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06" w:rsidRDefault="00566906" w:rsidP="00566906">
      <w:pPr>
        <w:ind w:right="-58"/>
        <w:jc w:val="center"/>
        <w:rPr>
          <w:b/>
        </w:rPr>
      </w:pPr>
      <w:bookmarkStart w:id="0" w:name="_GoBack"/>
      <w:bookmarkEnd w:id="0"/>
    </w:p>
    <w:p w:rsidR="00CB0C49" w:rsidRPr="001006D2" w:rsidRDefault="00CB0C49" w:rsidP="00566906">
      <w:pPr>
        <w:ind w:right="-58"/>
        <w:jc w:val="center"/>
        <w:rPr>
          <w:b/>
        </w:rPr>
      </w:pPr>
      <w:r w:rsidRPr="001006D2">
        <w:rPr>
          <w:b/>
        </w:rPr>
        <w:t>EXPLANATORY STATEMENT</w:t>
      </w:r>
    </w:p>
    <w:p w:rsidR="00CB0C49" w:rsidRDefault="00CB0C49" w:rsidP="00566906">
      <w:pPr>
        <w:ind w:right="-58"/>
        <w:jc w:val="center"/>
        <w:rPr>
          <w:u w:val="single"/>
        </w:rPr>
      </w:pPr>
    </w:p>
    <w:p w:rsidR="00CB0C49" w:rsidRPr="001006D2" w:rsidRDefault="00CB0C49" w:rsidP="00566906">
      <w:pPr>
        <w:ind w:right="-58"/>
        <w:jc w:val="center"/>
        <w:rPr>
          <w:b/>
        </w:rPr>
      </w:pPr>
      <w:r w:rsidRPr="001006D2">
        <w:rPr>
          <w:b/>
        </w:rPr>
        <w:t xml:space="preserve">Issued by the authority of the </w:t>
      </w:r>
      <w:r>
        <w:rPr>
          <w:b/>
        </w:rPr>
        <w:t xml:space="preserve">Assistant </w:t>
      </w:r>
      <w:r w:rsidRPr="001006D2">
        <w:rPr>
          <w:b/>
        </w:rPr>
        <w:t xml:space="preserve">Minister for </w:t>
      </w:r>
      <w:r>
        <w:rPr>
          <w:b/>
        </w:rPr>
        <w:t>Social Services</w:t>
      </w:r>
    </w:p>
    <w:p w:rsidR="00CB0C49" w:rsidRDefault="00CB0C49" w:rsidP="00566906">
      <w:pPr>
        <w:ind w:right="-58"/>
        <w:jc w:val="center"/>
        <w:rPr>
          <w:u w:val="single"/>
        </w:rPr>
      </w:pPr>
    </w:p>
    <w:p w:rsidR="00CB0C49" w:rsidRPr="001006D2" w:rsidRDefault="00CB0C49" w:rsidP="00566906">
      <w:pPr>
        <w:ind w:right="-58"/>
        <w:jc w:val="center"/>
        <w:rPr>
          <w:b/>
          <w:i/>
        </w:rPr>
      </w:pPr>
      <w:r w:rsidRPr="001006D2">
        <w:rPr>
          <w:b/>
          <w:i/>
        </w:rPr>
        <w:t>Aged Care Act 1997</w:t>
      </w:r>
    </w:p>
    <w:p w:rsidR="00CB0C49" w:rsidRDefault="00CB0C49" w:rsidP="00566906">
      <w:pPr>
        <w:ind w:right="-58"/>
        <w:jc w:val="center"/>
      </w:pPr>
    </w:p>
    <w:p w:rsidR="007E7EB7" w:rsidRDefault="007E7EB7" w:rsidP="00566906">
      <w:pPr>
        <w:autoSpaceDE w:val="0"/>
        <w:autoSpaceDN w:val="0"/>
        <w:adjustRightInd w:val="0"/>
        <w:ind w:right="-58"/>
        <w:jc w:val="center"/>
        <w:rPr>
          <w:b/>
          <w:bCs/>
          <w:i/>
          <w:iCs/>
        </w:rPr>
      </w:pPr>
      <w:r>
        <w:rPr>
          <w:b/>
          <w:bCs/>
          <w:i/>
          <w:iCs/>
        </w:rPr>
        <w:t>Quality of Care Amendment Principle 2014 (No. 1)</w:t>
      </w:r>
    </w:p>
    <w:p w:rsidR="00CB0C49" w:rsidRDefault="00CB0C49" w:rsidP="00566906">
      <w:pPr>
        <w:ind w:right="-58"/>
        <w:jc w:val="center"/>
      </w:pPr>
    </w:p>
    <w:p w:rsidR="00917020" w:rsidRDefault="00917020" w:rsidP="00566906">
      <w:pPr>
        <w:tabs>
          <w:tab w:val="left" w:pos="720"/>
        </w:tabs>
        <w:autoSpaceDE w:val="0"/>
        <w:autoSpaceDN w:val="0"/>
        <w:adjustRightInd w:val="0"/>
        <w:ind w:right="-58"/>
      </w:pPr>
      <w:r>
        <w:t xml:space="preserve">The </w:t>
      </w:r>
      <w:r>
        <w:rPr>
          <w:i/>
          <w:iCs/>
        </w:rPr>
        <w:t>Aged Care Act 1997</w:t>
      </w:r>
      <w:r>
        <w:t xml:space="preserve"> (the Act) provides for the regulation and funding of aged care services. Persons who are approved under the Act </w:t>
      </w:r>
      <w:r w:rsidR="00710302">
        <w:t xml:space="preserve">as a provider of </w:t>
      </w:r>
      <w:r>
        <w:t>aged care (approved providers) can be eligible to receive subsidy payments in respect of the care they provide to approved care recipients</w:t>
      </w:r>
      <w:r w:rsidR="00710302">
        <w:t xml:space="preserve"> and also become responsible for obligations under the Act.</w:t>
      </w:r>
    </w:p>
    <w:p w:rsidR="00917020" w:rsidRDefault="00917020" w:rsidP="00566906">
      <w:pPr>
        <w:tabs>
          <w:tab w:val="left" w:pos="720"/>
        </w:tabs>
        <w:autoSpaceDE w:val="0"/>
        <w:autoSpaceDN w:val="0"/>
        <w:adjustRightInd w:val="0"/>
        <w:ind w:right="-58"/>
      </w:pPr>
    </w:p>
    <w:p w:rsidR="00917020" w:rsidRDefault="00917020" w:rsidP="00566906">
      <w:pPr>
        <w:tabs>
          <w:tab w:val="left" w:pos="720"/>
        </w:tabs>
        <w:autoSpaceDE w:val="0"/>
        <w:autoSpaceDN w:val="0"/>
        <w:adjustRightInd w:val="0"/>
        <w:ind w:right="-58"/>
      </w:pPr>
      <w:r w:rsidRPr="00744635">
        <w:t>Section 96-1 of the Act allows</w:t>
      </w:r>
      <w:r>
        <w:t xml:space="preserve"> for the Minister to make Principles providing for various matters required or permitted by a Part or section of the Act. Among the Principles made under section 96-1 </w:t>
      </w:r>
      <w:proofErr w:type="gramStart"/>
      <w:r>
        <w:t>are</w:t>
      </w:r>
      <w:proofErr w:type="gramEnd"/>
      <w:r>
        <w:t xml:space="preserve"> the </w:t>
      </w:r>
      <w:r w:rsidR="00CB698B" w:rsidRPr="00CB698B">
        <w:rPr>
          <w:i/>
          <w:iCs/>
        </w:rPr>
        <w:t>Quality of Care Principles 2014</w:t>
      </w:r>
      <w:r>
        <w:t xml:space="preserve"> (the Principles).</w:t>
      </w:r>
    </w:p>
    <w:p w:rsidR="00917020" w:rsidRDefault="00917020" w:rsidP="00566906">
      <w:pPr>
        <w:tabs>
          <w:tab w:val="left" w:pos="720"/>
        </w:tabs>
        <w:autoSpaceDE w:val="0"/>
        <w:autoSpaceDN w:val="0"/>
        <w:adjustRightInd w:val="0"/>
        <w:ind w:right="-58"/>
      </w:pPr>
    </w:p>
    <w:p w:rsidR="00917020" w:rsidRDefault="00917020" w:rsidP="00566906">
      <w:pPr>
        <w:tabs>
          <w:tab w:val="left" w:pos="720"/>
        </w:tabs>
        <w:autoSpaceDE w:val="0"/>
        <w:autoSpaceDN w:val="0"/>
        <w:adjustRightInd w:val="0"/>
        <w:ind w:right="-58"/>
      </w:pPr>
      <w:r>
        <w:t xml:space="preserve">The Principles </w:t>
      </w:r>
      <w:r w:rsidRPr="00B962F8">
        <w:t>deal with the responsibilities of approved providers, accreditation standards, home care standards and flexible care standards in relation to the quality of aged care detailed in Part 4.1 of the Act.</w:t>
      </w:r>
      <w:r>
        <w:t xml:space="preserve"> </w:t>
      </w:r>
    </w:p>
    <w:p w:rsidR="00917020" w:rsidRDefault="00917020" w:rsidP="00566906">
      <w:pPr>
        <w:tabs>
          <w:tab w:val="left" w:pos="720"/>
        </w:tabs>
        <w:autoSpaceDE w:val="0"/>
        <w:autoSpaceDN w:val="0"/>
        <w:adjustRightInd w:val="0"/>
        <w:ind w:right="-58"/>
      </w:pPr>
    </w:p>
    <w:p w:rsidR="00710302" w:rsidRDefault="00710302" w:rsidP="00566906">
      <w:pPr>
        <w:tabs>
          <w:tab w:val="left" w:pos="720"/>
        </w:tabs>
        <w:autoSpaceDE w:val="0"/>
        <w:autoSpaceDN w:val="0"/>
        <w:adjustRightInd w:val="0"/>
        <w:ind w:right="-58"/>
      </w:pPr>
      <w:r>
        <w:t>The Principles require that if an</w:t>
      </w:r>
      <w:r w:rsidR="00B871B3">
        <w:t xml:space="preserve"> approved provider </w:t>
      </w:r>
      <w:r w:rsidR="00617784">
        <w:t xml:space="preserve">of residential care </w:t>
      </w:r>
      <w:r w:rsidR="00B871B3">
        <w:t>is notified</w:t>
      </w:r>
      <w:r>
        <w:t xml:space="preserve"> by a State, Territory or local government authority that an aged care service is not compliant with fire safety </w:t>
      </w:r>
      <w:r w:rsidR="0072757D">
        <w:t>laws, the a</w:t>
      </w:r>
      <w:r>
        <w:t xml:space="preserve">pproved </w:t>
      </w:r>
      <w:r w:rsidR="0072757D">
        <w:t>p</w:t>
      </w:r>
      <w:r>
        <w:t>rovider must notify the Secretary of the Department of Social Services. The Principles also require that the notice be given with</w:t>
      </w:r>
      <w:r w:rsidR="0072757D">
        <w:t>in</w:t>
      </w:r>
      <w:r>
        <w:t xml:space="preserve"> 28 days, in an approved form.</w:t>
      </w:r>
    </w:p>
    <w:p w:rsidR="00710302" w:rsidRDefault="00710302" w:rsidP="00566906">
      <w:pPr>
        <w:tabs>
          <w:tab w:val="left" w:pos="720"/>
        </w:tabs>
        <w:autoSpaceDE w:val="0"/>
        <w:autoSpaceDN w:val="0"/>
        <w:adjustRightInd w:val="0"/>
        <w:ind w:right="-58"/>
      </w:pPr>
    </w:p>
    <w:p w:rsidR="00710302" w:rsidRDefault="00710302" w:rsidP="00566906">
      <w:pPr>
        <w:tabs>
          <w:tab w:val="left" w:pos="720"/>
        </w:tabs>
        <w:autoSpaceDE w:val="0"/>
        <w:autoSpaceDN w:val="0"/>
        <w:adjustRightInd w:val="0"/>
        <w:ind w:right="-58"/>
      </w:pPr>
      <w:r>
        <w:t xml:space="preserve">The </w:t>
      </w:r>
      <w:r w:rsidRPr="0072757D">
        <w:rPr>
          <w:i/>
        </w:rPr>
        <w:t>Quality of Care Amendment Principle 2014 (No.1)</w:t>
      </w:r>
      <w:r>
        <w:t xml:space="preserve"> </w:t>
      </w:r>
      <w:r w:rsidR="0072757D">
        <w:t xml:space="preserve">(Amending Principle) </w:t>
      </w:r>
      <w:r>
        <w:t xml:space="preserve">is intended to remove this notification </w:t>
      </w:r>
      <w:r w:rsidR="0072757D">
        <w:t>requirement</w:t>
      </w:r>
      <w:r>
        <w:t xml:space="preserve">. </w:t>
      </w:r>
    </w:p>
    <w:p w:rsidR="00710302" w:rsidRDefault="00710302" w:rsidP="00566906">
      <w:pPr>
        <w:tabs>
          <w:tab w:val="left" w:pos="720"/>
        </w:tabs>
        <w:autoSpaceDE w:val="0"/>
        <w:autoSpaceDN w:val="0"/>
        <w:adjustRightInd w:val="0"/>
        <w:ind w:right="-58"/>
      </w:pPr>
    </w:p>
    <w:p w:rsidR="00710302" w:rsidRPr="0072757D" w:rsidRDefault="00710302" w:rsidP="00566906">
      <w:pPr>
        <w:tabs>
          <w:tab w:val="left" w:pos="720"/>
        </w:tabs>
        <w:autoSpaceDE w:val="0"/>
        <w:autoSpaceDN w:val="0"/>
        <w:adjustRightInd w:val="0"/>
        <w:ind w:right="-58"/>
        <w:rPr>
          <w:bCs/>
        </w:rPr>
      </w:pPr>
      <w:r w:rsidRPr="0072757D">
        <w:rPr>
          <w:bCs/>
        </w:rPr>
        <w:t xml:space="preserve">The Accreditation Standards will continue to require </w:t>
      </w:r>
      <w:r w:rsidR="00617784">
        <w:rPr>
          <w:bCs/>
        </w:rPr>
        <w:t>residential care</w:t>
      </w:r>
      <w:r w:rsidRPr="0072757D">
        <w:rPr>
          <w:bCs/>
        </w:rPr>
        <w:t xml:space="preserve"> providers to demonstrate </w:t>
      </w:r>
      <w:r>
        <w:rPr>
          <w:bCs/>
        </w:rPr>
        <w:t xml:space="preserve">systems to ensure </w:t>
      </w:r>
      <w:r w:rsidRPr="0072757D">
        <w:rPr>
          <w:bCs/>
        </w:rPr>
        <w:t>compliance with their regulatory responsibilities, including in respect of fire safety.</w:t>
      </w:r>
    </w:p>
    <w:p w:rsidR="00710302" w:rsidRDefault="00710302" w:rsidP="00566906">
      <w:pPr>
        <w:tabs>
          <w:tab w:val="left" w:pos="720"/>
        </w:tabs>
        <w:autoSpaceDE w:val="0"/>
        <w:autoSpaceDN w:val="0"/>
        <w:adjustRightInd w:val="0"/>
        <w:ind w:right="-58"/>
      </w:pPr>
    </w:p>
    <w:p w:rsidR="00917020" w:rsidRDefault="00917020" w:rsidP="00566906">
      <w:pPr>
        <w:tabs>
          <w:tab w:val="left" w:pos="720"/>
        </w:tabs>
        <w:autoSpaceDE w:val="0"/>
        <w:autoSpaceDN w:val="0"/>
        <w:adjustRightInd w:val="0"/>
        <w:ind w:right="-58"/>
        <w:rPr>
          <w:i/>
          <w:iCs/>
        </w:rPr>
      </w:pPr>
      <w:r>
        <w:t xml:space="preserve">The Amending Principle is a legislative instrument for the purposes of the </w:t>
      </w:r>
      <w:r>
        <w:rPr>
          <w:i/>
          <w:iCs/>
        </w:rPr>
        <w:t>Legislative Instruments Act 2003</w:t>
      </w:r>
      <w:r w:rsidRPr="00756E5D">
        <w:rPr>
          <w:iCs/>
        </w:rPr>
        <w:t>.</w:t>
      </w:r>
    </w:p>
    <w:p w:rsidR="00917020" w:rsidRDefault="00917020" w:rsidP="00566906">
      <w:pPr>
        <w:tabs>
          <w:tab w:val="left" w:pos="720"/>
        </w:tabs>
        <w:autoSpaceDE w:val="0"/>
        <w:autoSpaceDN w:val="0"/>
        <w:adjustRightInd w:val="0"/>
        <w:ind w:right="-58"/>
      </w:pPr>
    </w:p>
    <w:p w:rsidR="00917020" w:rsidRDefault="00917020" w:rsidP="00566906">
      <w:pPr>
        <w:tabs>
          <w:tab w:val="left" w:pos="720"/>
        </w:tabs>
        <w:autoSpaceDE w:val="0"/>
        <w:autoSpaceDN w:val="0"/>
        <w:adjustRightInd w:val="0"/>
        <w:ind w:right="-58"/>
      </w:pPr>
      <w:r>
        <w:rPr>
          <w:u w:val="single"/>
        </w:rPr>
        <w:t>Consultation</w:t>
      </w:r>
    </w:p>
    <w:p w:rsidR="00661F7C" w:rsidRDefault="00566906" w:rsidP="00566906">
      <w:pPr>
        <w:spacing w:before="100" w:beforeAutospacing="1" w:after="100" w:afterAutospacing="1"/>
        <w:ind w:right="-58"/>
      </w:pPr>
      <w:r>
        <w:t xml:space="preserve">Removal of the fire safety declaration was discussed and agreed as a useful change by the Aged Care Sector Committee (ACSC). </w:t>
      </w:r>
      <w:r w:rsidR="00EC65A0" w:rsidRPr="009D3E28">
        <w:t>As the amendments in the Amending Principles are of a minor or machinery nature, no specific consultation was undertaken</w:t>
      </w:r>
      <w:r w:rsidR="00661F7C">
        <w:t xml:space="preserve"> in relation to this instrument.</w:t>
      </w:r>
      <w:r>
        <w:t xml:space="preserve"> </w:t>
      </w:r>
    </w:p>
    <w:p w:rsidR="00566906" w:rsidRDefault="00566906" w:rsidP="00566906">
      <w:pPr>
        <w:tabs>
          <w:tab w:val="left" w:pos="720"/>
        </w:tabs>
        <w:autoSpaceDE w:val="0"/>
        <w:autoSpaceDN w:val="0"/>
        <w:adjustRightInd w:val="0"/>
        <w:ind w:right="-58"/>
        <w:rPr>
          <w:u w:val="single"/>
        </w:rPr>
      </w:pPr>
    </w:p>
    <w:p w:rsidR="00566906" w:rsidRDefault="00566906" w:rsidP="00566906">
      <w:pPr>
        <w:tabs>
          <w:tab w:val="left" w:pos="720"/>
        </w:tabs>
        <w:autoSpaceDE w:val="0"/>
        <w:autoSpaceDN w:val="0"/>
        <w:adjustRightInd w:val="0"/>
        <w:ind w:right="-58"/>
        <w:rPr>
          <w:u w:val="single"/>
        </w:rPr>
      </w:pPr>
    </w:p>
    <w:p w:rsidR="00566906" w:rsidRDefault="00566906" w:rsidP="00566906">
      <w:pPr>
        <w:tabs>
          <w:tab w:val="left" w:pos="720"/>
        </w:tabs>
        <w:autoSpaceDE w:val="0"/>
        <w:autoSpaceDN w:val="0"/>
        <w:adjustRightInd w:val="0"/>
        <w:ind w:right="-58"/>
        <w:rPr>
          <w:u w:val="single"/>
        </w:rPr>
      </w:pPr>
    </w:p>
    <w:p w:rsidR="00917020" w:rsidRDefault="00917020" w:rsidP="00566906">
      <w:pPr>
        <w:tabs>
          <w:tab w:val="left" w:pos="720"/>
        </w:tabs>
        <w:autoSpaceDE w:val="0"/>
        <w:autoSpaceDN w:val="0"/>
        <w:adjustRightInd w:val="0"/>
        <w:ind w:right="-58"/>
      </w:pPr>
      <w:r>
        <w:rPr>
          <w:u w:val="single"/>
        </w:rPr>
        <w:lastRenderedPageBreak/>
        <w:t>Regulation Impact Statement</w:t>
      </w:r>
    </w:p>
    <w:p w:rsidR="00917020" w:rsidRDefault="00917020" w:rsidP="00566906">
      <w:pPr>
        <w:tabs>
          <w:tab w:val="left" w:pos="720"/>
        </w:tabs>
        <w:autoSpaceDE w:val="0"/>
        <w:autoSpaceDN w:val="0"/>
        <w:adjustRightInd w:val="0"/>
        <w:ind w:right="-58"/>
      </w:pPr>
    </w:p>
    <w:p w:rsidR="00917020" w:rsidRDefault="00917020" w:rsidP="00566906">
      <w:pPr>
        <w:tabs>
          <w:tab w:val="left" w:pos="720"/>
        </w:tabs>
        <w:autoSpaceDE w:val="0"/>
        <w:autoSpaceDN w:val="0"/>
        <w:adjustRightInd w:val="0"/>
        <w:ind w:right="-58"/>
      </w:pPr>
      <w:r w:rsidRPr="00425BFE">
        <w:t>The Office of Best Practice Regulation has advised that no Regulatory Impact Stat</w:t>
      </w:r>
      <w:r w:rsidR="00425BFE" w:rsidRPr="00425BFE">
        <w:t>ement is required (OBPR ID 17120</w:t>
      </w:r>
      <w:r w:rsidRPr="00425BFE">
        <w:t>).</w:t>
      </w:r>
    </w:p>
    <w:p w:rsidR="00661F7C" w:rsidRDefault="00661F7C" w:rsidP="00566906">
      <w:pPr>
        <w:tabs>
          <w:tab w:val="left" w:pos="720"/>
        </w:tabs>
        <w:autoSpaceDE w:val="0"/>
        <w:autoSpaceDN w:val="0"/>
        <w:adjustRightInd w:val="0"/>
        <w:ind w:right="-58"/>
      </w:pPr>
    </w:p>
    <w:p w:rsidR="00917020" w:rsidRDefault="00917020" w:rsidP="00566906">
      <w:pPr>
        <w:tabs>
          <w:tab w:val="left" w:pos="720"/>
        </w:tabs>
        <w:autoSpaceDE w:val="0"/>
        <w:autoSpaceDN w:val="0"/>
        <w:adjustRightInd w:val="0"/>
        <w:ind w:right="-341"/>
      </w:pPr>
      <w:r>
        <w:rPr>
          <w:u w:val="single"/>
        </w:rPr>
        <w:t>Commencement</w:t>
      </w:r>
    </w:p>
    <w:p w:rsidR="00917020" w:rsidRDefault="00917020" w:rsidP="00566906">
      <w:pPr>
        <w:tabs>
          <w:tab w:val="left" w:pos="720"/>
        </w:tabs>
        <w:autoSpaceDE w:val="0"/>
        <w:autoSpaceDN w:val="0"/>
        <w:adjustRightInd w:val="0"/>
        <w:ind w:right="-341"/>
      </w:pPr>
    </w:p>
    <w:p w:rsidR="004E6B3D" w:rsidRDefault="00917020" w:rsidP="00566906">
      <w:pPr>
        <w:tabs>
          <w:tab w:val="left" w:pos="720"/>
        </w:tabs>
        <w:autoSpaceDE w:val="0"/>
        <w:autoSpaceDN w:val="0"/>
        <w:adjustRightInd w:val="0"/>
        <w:ind w:right="-341"/>
        <w:rPr>
          <w:b/>
          <w:bCs/>
        </w:rPr>
      </w:pPr>
      <w:r w:rsidRPr="00AB588E">
        <w:t xml:space="preserve">The Amending Principle </w:t>
      </w:r>
      <w:r w:rsidR="004218C6" w:rsidRPr="004E6B3D">
        <w:t>commence</w:t>
      </w:r>
      <w:r w:rsidR="004218C6">
        <w:t>s</w:t>
      </w:r>
      <w:r w:rsidR="004218C6" w:rsidRPr="004E6B3D">
        <w:t xml:space="preserve"> on the day after it is registered.</w:t>
      </w:r>
      <w:r w:rsidR="004E6B3D">
        <w:rPr>
          <w:b/>
          <w:bCs/>
        </w:rPr>
        <w:br w:type="page"/>
      </w:r>
    </w:p>
    <w:p w:rsidR="00917020" w:rsidRDefault="00917020" w:rsidP="00B83136">
      <w:pPr>
        <w:tabs>
          <w:tab w:val="left" w:pos="720"/>
        </w:tabs>
        <w:autoSpaceDE w:val="0"/>
        <w:autoSpaceDN w:val="0"/>
        <w:adjustRightInd w:val="0"/>
        <w:ind w:right="-625"/>
        <w:jc w:val="right"/>
        <w:rPr>
          <w:b/>
          <w:bCs/>
        </w:rPr>
      </w:pPr>
      <w:r>
        <w:rPr>
          <w:b/>
          <w:bCs/>
        </w:rPr>
        <w:lastRenderedPageBreak/>
        <w:t>ATTACHMENT</w:t>
      </w:r>
    </w:p>
    <w:p w:rsidR="00917020" w:rsidRDefault="00917020" w:rsidP="00B83136">
      <w:pPr>
        <w:tabs>
          <w:tab w:val="left" w:pos="720"/>
        </w:tabs>
        <w:autoSpaceDE w:val="0"/>
        <w:autoSpaceDN w:val="0"/>
        <w:adjustRightInd w:val="0"/>
        <w:ind w:right="-625"/>
      </w:pPr>
    </w:p>
    <w:p w:rsidR="007F20DD" w:rsidRDefault="007F20DD" w:rsidP="00B83136">
      <w:pPr>
        <w:tabs>
          <w:tab w:val="left" w:pos="720"/>
        </w:tabs>
        <w:autoSpaceDE w:val="0"/>
        <w:autoSpaceDN w:val="0"/>
        <w:adjustRightInd w:val="0"/>
        <w:ind w:right="-625"/>
        <w:rPr>
          <w:b/>
          <w:bCs/>
          <w:u w:val="single"/>
        </w:rPr>
      </w:pPr>
    </w:p>
    <w:p w:rsidR="007F20DD" w:rsidRDefault="007F20DD" w:rsidP="00B83136">
      <w:pPr>
        <w:tabs>
          <w:tab w:val="left" w:pos="720"/>
        </w:tabs>
        <w:autoSpaceDE w:val="0"/>
        <w:autoSpaceDN w:val="0"/>
        <w:adjustRightInd w:val="0"/>
        <w:ind w:right="-625"/>
        <w:rPr>
          <w:b/>
          <w:bCs/>
          <w:u w:val="single"/>
        </w:rPr>
      </w:pPr>
    </w:p>
    <w:p w:rsidR="00917020" w:rsidRDefault="00917020" w:rsidP="00B83136">
      <w:pPr>
        <w:tabs>
          <w:tab w:val="left" w:pos="720"/>
        </w:tabs>
        <w:autoSpaceDE w:val="0"/>
        <w:autoSpaceDN w:val="0"/>
        <w:adjustRightInd w:val="0"/>
        <w:ind w:right="-625"/>
        <w:rPr>
          <w:b/>
          <w:bCs/>
          <w:i/>
          <w:iCs/>
        </w:rPr>
      </w:pPr>
      <w:r>
        <w:rPr>
          <w:b/>
          <w:bCs/>
          <w:u w:val="single"/>
        </w:rPr>
        <w:t xml:space="preserve">Details of the </w:t>
      </w:r>
      <w:r>
        <w:rPr>
          <w:b/>
          <w:bCs/>
          <w:i/>
          <w:iCs/>
          <w:u w:val="single"/>
        </w:rPr>
        <w:t>Quality of Care Amendment Principle 201</w:t>
      </w:r>
      <w:r w:rsidR="00786EF7">
        <w:rPr>
          <w:b/>
          <w:bCs/>
          <w:i/>
          <w:iCs/>
          <w:u w:val="single"/>
        </w:rPr>
        <w:t>4</w:t>
      </w:r>
      <w:r>
        <w:rPr>
          <w:b/>
          <w:bCs/>
          <w:i/>
          <w:iCs/>
          <w:u w:val="single"/>
        </w:rPr>
        <w:t xml:space="preserve"> (No. 1)</w:t>
      </w:r>
    </w:p>
    <w:p w:rsidR="00917020" w:rsidRDefault="00917020" w:rsidP="00B83136">
      <w:pPr>
        <w:tabs>
          <w:tab w:val="left" w:pos="720"/>
        </w:tabs>
        <w:autoSpaceDE w:val="0"/>
        <w:autoSpaceDN w:val="0"/>
        <w:adjustRightInd w:val="0"/>
        <w:ind w:right="-625"/>
      </w:pPr>
    </w:p>
    <w:p w:rsidR="00917020" w:rsidRPr="004E6B3D" w:rsidRDefault="00917020" w:rsidP="00B83136">
      <w:pPr>
        <w:tabs>
          <w:tab w:val="left" w:pos="720"/>
        </w:tabs>
        <w:autoSpaceDE w:val="0"/>
        <w:autoSpaceDN w:val="0"/>
        <w:adjustRightInd w:val="0"/>
        <w:ind w:right="-625"/>
        <w:rPr>
          <w:i/>
          <w:iCs/>
        </w:rPr>
      </w:pPr>
      <w:r w:rsidRPr="004E6B3D">
        <w:rPr>
          <w:b/>
          <w:bCs/>
        </w:rPr>
        <w:t xml:space="preserve">Clause 1 </w:t>
      </w:r>
      <w:r w:rsidRPr="004E6B3D">
        <w:t xml:space="preserve">states that the name of the Amending Principle is the </w:t>
      </w:r>
      <w:r w:rsidRPr="004E6B3D">
        <w:rPr>
          <w:i/>
          <w:iCs/>
        </w:rPr>
        <w:t>Quality of Care Amendment Princ</w:t>
      </w:r>
      <w:r w:rsidR="00904E57">
        <w:rPr>
          <w:i/>
          <w:iCs/>
        </w:rPr>
        <w:t>iple 2014 (No.1)</w:t>
      </w:r>
      <w:r w:rsidRPr="00904E57">
        <w:rPr>
          <w:iCs/>
        </w:rPr>
        <w:t>.</w:t>
      </w:r>
    </w:p>
    <w:p w:rsidR="00917020" w:rsidRPr="004E6B3D" w:rsidRDefault="00917020" w:rsidP="00B83136">
      <w:pPr>
        <w:tabs>
          <w:tab w:val="left" w:pos="720"/>
        </w:tabs>
        <w:autoSpaceDE w:val="0"/>
        <w:autoSpaceDN w:val="0"/>
        <w:adjustRightInd w:val="0"/>
        <w:ind w:right="-625"/>
      </w:pPr>
    </w:p>
    <w:p w:rsidR="00917020" w:rsidRPr="004E6B3D" w:rsidRDefault="00917020" w:rsidP="00B83136">
      <w:pPr>
        <w:tabs>
          <w:tab w:val="left" w:pos="720"/>
        </w:tabs>
        <w:autoSpaceDE w:val="0"/>
        <w:autoSpaceDN w:val="0"/>
        <w:adjustRightInd w:val="0"/>
        <w:ind w:right="-625"/>
      </w:pPr>
      <w:r w:rsidRPr="004E6B3D">
        <w:rPr>
          <w:b/>
          <w:bCs/>
        </w:rPr>
        <w:t xml:space="preserve">Clause 2 </w:t>
      </w:r>
      <w:r w:rsidRPr="004E6B3D">
        <w:t xml:space="preserve">states the Amending Principle is to commence on </w:t>
      </w:r>
      <w:r w:rsidR="004E6B3D" w:rsidRPr="004E6B3D">
        <w:t>the day after it is registered.</w:t>
      </w:r>
    </w:p>
    <w:p w:rsidR="00917020" w:rsidRPr="00904E57" w:rsidRDefault="00917020" w:rsidP="00B83136">
      <w:pPr>
        <w:tabs>
          <w:tab w:val="left" w:pos="720"/>
        </w:tabs>
        <w:autoSpaceDE w:val="0"/>
        <w:autoSpaceDN w:val="0"/>
        <w:adjustRightInd w:val="0"/>
        <w:ind w:right="-625"/>
      </w:pPr>
    </w:p>
    <w:p w:rsidR="00917020" w:rsidRPr="00904E57" w:rsidRDefault="00917020" w:rsidP="00B83136">
      <w:pPr>
        <w:tabs>
          <w:tab w:val="left" w:pos="720"/>
        </w:tabs>
        <w:autoSpaceDE w:val="0"/>
        <w:autoSpaceDN w:val="0"/>
        <w:adjustRightInd w:val="0"/>
        <w:ind w:right="-625"/>
      </w:pPr>
      <w:r w:rsidRPr="00904E57">
        <w:rPr>
          <w:b/>
          <w:bCs/>
        </w:rPr>
        <w:t xml:space="preserve">Clause 3 </w:t>
      </w:r>
      <w:r w:rsidRPr="00904E57">
        <w:t>provides that the authority for the making of the</w:t>
      </w:r>
      <w:r w:rsidRPr="00904E57">
        <w:rPr>
          <w:b/>
          <w:bCs/>
        </w:rPr>
        <w:t xml:space="preserve"> </w:t>
      </w:r>
      <w:r w:rsidRPr="00904E57">
        <w:t xml:space="preserve">Amending Principle is the </w:t>
      </w:r>
      <w:r w:rsidRPr="00904E57">
        <w:rPr>
          <w:i/>
          <w:iCs/>
        </w:rPr>
        <w:t>Aged Care Act 1997</w:t>
      </w:r>
      <w:r w:rsidRPr="00904E57">
        <w:t>.</w:t>
      </w:r>
    </w:p>
    <w:p w:rsidR="00917020" w:rsidRPr="00B26A71" w:rsidRDefault="00917020" w:rsidP="00B83136">
      <w:pPr>
        <w:tabs>
          <w:tab w:val="left" w:pos="720"/>
        </w:tabs>
        <w:autoSpaceDE w:val="0"/>
        <w:autoSpaceDN w:val="0"/>
        <w:adjustRightInd w:val="0"/>
        <w:ind w:right="-625"/>
        <w:rPr>
          <w:b/>
          <w:bCs/>
        </w:rPr>
      </w:pPr>
    </w:p>
    <w:p w:rsidR="00917020" w:rsidRPr="00B26A71" w:rsidRDefault="00917020" w:rsidP="00B83136">
      <w:pPr>
        <w:tabs>
          <w:tab w:val="left" w:pos="720"/>
        </w:tabs>
        <w:autoSpaceDE w:val="0"/>
        <w:autoSpaceDN w:val="0"/>
        <w:adjustRightInd w:val="0"/>
        <w:ind w:right="-625"/>
      </w:pPr>
      <w:r w:rsidRPr="00B26A71">
        <w:rPr>
          <w:b/>
          <w:bCs/>
        </w:rPr>
        <w:t xml:space="preserve">Clause 4 </w:t>
      </w:r>
      <w:r w:rsidRPr="00B26A71">
        <w:t>provides that each instrument that is specified in a Schedule to this instrument is amended or repealed as set out in the applicable items in the Schedule concerned, and any other item in a Schedule to this instrument has effect according to its terms.</w:t>
      </w:r>
    </w:p>
    <w:p w:rsidR="00917020" w:rsidRPr="00E069BC" w:rsidRDefault="00917020" w:rsidP="00B83136">
      <w:pPr>
        <w:tabs>
          <w:tab w:val="left" w:pos="720"/>
        </w:tabs>
        <w:autoSpaceDE w:val="0"/>
        <w:autoSpaceDN w:val="0"/>
        <w:adjustRightInd w:val="0"/>
        <w:ind w:right="-625"/>
        <w:rPr>
          <w:highlight w:val="yellow"/>
        </w:rPr>
      </w:pPr>
    </w:p>
    <w:p w:rsidR="00917020" w:rsidRPr="006C17DD" w:rsidRDefault="00917020" w:rsidP="00B83136">
      <w:pPr>
        <w:tabs>
          <w:tab w:val="left" w:pos="720"/>
        </w:tabs>
        <w:autoSpaceDE w:val="0"/>
        <w:autoSpaceDN w:val="0"/>
        <w:adjustRightInd w:val="0"/>
        <w:ind w:right="-625"/>
        <w:rPr>
          <w:b/>
          <w:bCs/>
        </w:rPr>
      </w:pPr>
      <w:r w:rsidRPr="006C17DD">
        <w:rPr>
          <w:b/>
          <w:bCs/>
        </w:rPr>
        <w:t>Schedule 1 – Amendments</w:t>
      </w:r>
    </w:p>
    <w:p w:rsidR="00917020" w:rsidRPr="006C17DD" w:rsidRDefault="00917020" w:rsidP="00B83136">
      <w:pPr>
        <w:tabs>
          <w:tab w:val="left" w:pos="720"/>
        </w:tabs>
        <w:autoSpaceDE w:val="0"/>
        <w:autoSpaceDN w:val="0"/>
        <w:adjustRightInd w:val="0"/>
        <w:ind w:right="-625"/>
      </w:pPr>
    </w:p>
    <w:p w:rsidR="00917020" w:rsidRPr="006C17DD" w:rsidRDefault="008A024C" w:rsidP="00B83136">
      <w:pPr>
        <w:tabs>
          <w:tab w:val="left" w:pos="720"/>
        </w:tabs>
        <w:autoSpaceDE w:val="0"/>
        <w:autoSpaceDN w:val="0"/>
        <w:adjustRightInd w:val="0"/>
        <w:ind w:right="-625"/>
        <w:rPr>
          <w:b/>
          <w:bCs/>
        </w:rPr>
      </w:pPr>
      <w:r w:rsidRPr="006C17DD">
        <w:rPr>
          <w:b/>
          <w:bCs/>
        </w:rPr>
        <w:t xml:space="preserve">Item 1 - Section </w:t>
      </w:r>
      <w:r w:rsidR="00917020" w:rsidRPr="006C17DD">
        <w:rPr>
          <w:b/>
          <w:bCs/>
        </w:rPr>
        <w:t>8</w:t>
      </w:r>
    </w:p>
    <w:p w:rsidR="00B26A71" w:rsidRDefault="00B26A71" w:rsidP="00B26A71">
      <w:pPr>
        <w:autoSpaceDE w:val="0"/>
        <w:autoSpaceDN w:val="0"/>
        <w:adjustRightInd w:val="0"/>
        <w:ind w:right="-625"/>
      </w:pPr>
      <w:r w:rsidRPr="006C17DD">
        <w:t xml:space="preserve">This </w:t>
      </w:r>
      <w:r w:rsidR="00264C1D" w:rsidRPr="006C17DD">
        <w:t xml:space="preserve">Section </w:t>
      </w:r>
      <w:r w:rsidR="00312A67">
        <w:t xml:space="preserve">amends the </w:t>
      </w:r>
      <w:r w:rsidR="00312A67">
        <w:rPr>
          <w:i/>
        </w:rPr>
        <w:t xml:space="preserve">Quality of Care Principles 2014 </w:t>
      </w:r>
      <w:r w:rsidR="00312A67">
        <w:t xml:space="preserve">to </w:t>
      </w:r>
      <w:r w:rsidR="00264C1D" w:rsidRPr="006C17DD">
        <w:t>repeal the requirement for a fire safety exception notice</w:t>
      </w:r>
      <w:r w:rsidR="001E729D">
        <w:t>,</w:t>
      </w:r>
      <w:r w:rsidR="00264C1D" w:rsidRPr="006C17DD">
        <w:t xml:space="preserve"> for a given </w:t>
      </w:r>
      <w:r w:rsidR="00617784">
        <w:t xml:space="preserve">residential care </w:t>
      </w:r>
      <w:r w:rsidR="00264C1D" w:rsidRPr="006C17DD">
        <w:t>service</w:t>
      </w:r>
      <w:r w:rsidR="001E729D">
        <w:t>,</w:t>
      </w:r>
      <w:r w:rsidR="00264C1D" w:rsidRPr="006C17DD">
        <w:t xml:space="preserve"> to be provided to the Secretary</w:t>
      </w:r>
      <w:r w:rsidR="00264C1D">
        <w:t xml:space="preserve"> if an approved provider is notified by a State, Territory or local government authority that </w:t>
      </w:r>
      <w:r w:rsidR="00264C1D" w:rsidRPr="00C217EE">
        <w:t>the approved provider</w:t>
      </w:r>
      <w:r w:rsidR="00264C1D">
        <w:t xml:space="preserve"> is not complying with any applicable State or Territory laws relating to fire safety in relation to the service</w:t>
      </w:r>
      <w:r w:rsidR="00264C1D" w:rsidRPr="00C217EE">
        <w:t>.</w:t>
      </w:r>
    </w:p>
    <w:p w:rsidR="00917020" w:rsidRDefault="00917020" w:rsidP="00B83136">
      <w:pPr>
        <w:tabs>
          <w:tab w:val="left" w:pos="720"/>
        </w:tabs>
        <w:autoSpaceDE w:val="0"/>
        <w:autoSpaceDN w:val="0"/>
        <w:adjustRightInd w:val="0"/>
        <w:ind w:right="-625"/>
        <w:rPr>
          <w:bCs/>
          <w:highlight w:val="yellow"/>
        </w:rPr>
      </w:pPr>
    </w:p>
    <w:p w:rsidR="00080C0A" w:rsidRPr="00E069BC" w:rsidRDefault="00080C0A" w:rsidP="00B83136">
      <w:pPr>
        <w:tabs>
          <w:tab w:val="left" w:pos="720"/>
        </w:tabs>
        <w:autoSpaceDE w:val="0"/>
        <w:autoSpaceDN w:val="0"/>
        <w:adjustRightInd w:val="0"/>
        <w:ind w:right="-625"/>
        <w:rPr>
          <w:b/>
          <w:bCs/>
          <w:highlight w:val="yellow"/>
        </w:rPr>
      </w:pPr>
    </w:p>
    <w:p w:rsidR="00917020" w:rsidRDefault="00917020" w:rsidP="00B83136">
      <w:pPr>
        <w:autoSpaceDE w:val="0"/>
        <w:autoSpaceDN w:val="0"/>
        <w:adjustRightInd w:val="0"/>
        <w:ind w:right="-625"/>
      </w:pPr>
      <w:r>
        <w:br w:type="page"/>
      </w:r>
    </w:p>
    <w:p w:rsidR="00917020" w:rsidRDefault="00917020" w:rsidP="00B83136">
      <w:pPr>
        <w:autoSpaceDE w:val="0"/>
        <w:autoSpaceDN w:val="0"/>
        <w:adjustRightInd w:val="0"/>
        <w:ind w:right="-625"/>
      </w:pPr>
    </w:p>
    <w:p w:rsidR="00B83136" w:rsidRDefault="00B83136" w:rsidP="00B83136">
      <w:pPr>
        <w:ind w:right="-625"/>
        <w:jc w:val="center"/>
        <w:rPr>
          <w:b/>
          <w:sz w:val="28"/>
          <w:szCs w:val="28"/>
        </w:rPr>
      </w:pPr>
      <w:r w:rsidRPr="0077143C">
        <w:rPr>
          <w:b/>
          <w:sz w:val="28"/>
          <w:szCs w:val="28"/>
        </w:rPr>
        <w:t>Statement of Compatibility with Human Rights</w:t>
      </w:r>
    </w:p>
    <w:p w:rsidR="00B83136" w:rsidRPr="0077143C" w:rsidRDefault="00B83136" w:rsidP="00B83136">
      <w:pPr>
        <w:ind w:right="-625"/>
        <w:jc w:val="center"/>
        <w:rPr>
          <w:b/>
          <w:sz w:val="28"/>
          <w:szCs w:val="28"/>
        </w:rPr>
      </w:pPr>
    </w:p>
    <w:p w:rsidR="00B83136" w:rsidRDefault="00B83136" w:rsidP="00B83136">
      <w:pPr>
        <w:ind w:right="-625"/>
        <w:rPr>
          <w:i/>
        </w:rPr>
      </w:pPr>
      <w:r w:rsidRPr="0077143C">
        <w:rPr>
          <w:i/>
        </w:rPr>
        <w:t>Prepared in accordance with Part 3 of the Human Rights (Parliamentary Scrutiny) Act 2011</w:t>
      </w:r>
    </w:p>
    <w:p w:rsidR="00917020" w:rsidRDefault="00917020" w:rsidP="00B83136">
      <w:pPr>
        <w:autoSpaceDE w:val="0"/>
        <w:autoSpaceDN w:val="0"/>
        <w:adjustRightInd w:val="0"/>
        <w:ind w:right="-625"/>
      </w:pPr>
    </w:p>
    <w:p w:rsidR="00917020" w:rsidRDefault="00917020" w:rsidP="00B83136">
      <w:pPr>
        <w:autoSpaceDE w:val="0"/>
        <w:autoSpaceDN w:val="0"/>
        <w:adjustRightInd w:val="0"/>
        <w:ind w:right="-625"/>
      </w:pPr>
    </w:p>
    <w:p w:rsidR="00917020" w:rsidRDefault="00917020" w:rsidP="00B83136">
      <w:pPr>
        <w:autoSpaceDE w:val="0"/>
        <w:autoSpaceDN w:val="0"/>
        <w:adjustRightInd w:val="0"/>
        <w:ind w:right="-625"/>
        <w:rPr>
          <w:b/>
          <w:bCs/>
          <w:i/>
          <w:iCs/>
        </w:rPr>
      </w:pPr>
      <w:r>
        <w:rPr>
          <w:b/>
          <w:bCs/>
          <w:i/>
          <w:iCs/>
        </w:rPr>
        <w:t xml:space="preserve">Quality </w:t>
      </w:r>
      <w:r w:rsidR="008D55F6">
        <w:rPr>
          <w:b/>
          <w:bCs/>
          <w:i/>
          <w:iCs/>
        </w:rPr>
        <w:t>of Care Amendment Principle 2014</w:t>
      </w:r>
      <w:r>
        <w:rPr>
          <w:b/>
          <w:bCs/>
          <w:i/>
          <w:iCs/>
        </w:rPr>
        <w:t xml:space="preserve"> (No. 1)</w:t>
      </w:r>
    </w:p>
    <w:p w:rsidR="008D55F6" w:rsidRPr="008D55F6" w:rsidRDefault="008D55F6" w:rsidP="008D55F6">
      <w:pPr>
        <w:autoSpaceDE w:val="0"/>
        <w:autoSpaceDN w:val="0"/>
        <w:adjustRightInd w:val="0"/>
        <w:ind w:right="-625"/>
        <w:rPr>
          <w:b/>
          <w:bCs/>
          <w:i/>
          <w:iCs/>
        </w:rPr>
      </w:pPr>
      <w:r>
        <w:br/>
      </w:r>
      <w:r w:rsidRPr="006E7324">
        <w:t xml:space="preserve">The </w:t>
      </w:r>
      <w:r w:rsidRPr="008D55F6">
        <w:rPr>
          <w:bCs/>
          <w:i/>
          <w:iCs/>
        </w:rPr>
        <w:t>Quality of Care Amendment Principle 2014 (No. 1)</w:t>
      </w:r>
      <w:r w:rsidRPr="006E7324">
        <w:t xml:space="preserve"> (the </w:t>
      </w:r>
      <w:r>
        <w:t xml:space="preserve">Amending </w:t>
      </w:r>
      <w:r w:rsidRPr="006E7324">
        <w:t xml:space="preserve">Principle) </w:t>
      </w:r>
      <w:r>
        <w:t>is</w:t>
      </w:r>
      <w:r w:rsidRPr="006E7324">
        <w:t xml:space="preserve"> compatible with the human rights and freedoms recognised or declared in the international instruments listed in section 3 of the </w:t>
      </w:r>
      <w:r w:rsidRPr="0042663F">
        <w:rPr>
          <w:i/>
        </w:rPr>
        <w:t>Human Rights (Parliamentary Scrutiny) Act 2011</w:t>
      </w:r>
      <w:r w:rsidRPr="006E7324">
        <w:t>.</w:t>
      </w:r>
    </w:p>
    <w:p w:rsidR="00917020" w:rsidRDefault="00917020" w:rsidP="00B83136">
      <w:pPr>
        <w:autoSpaceDE w:val="0"/>
        <w:autoSpaceDN w:val="0"/>
        <w:adjustRightInd w:val="0"/>
        <w:ind w:right="-625"/>
      </w:pPr>
    </w:p>
    <w:p w:rsidR="00917020" w:rsidRDefault="00917020" w:rsidP="00B83136">
      <w:pPr>
        <w:autoSpaceDE w:val="0"/>
        <w:autoSpaceDN w:val="0"/>
        <w:adjustRightInd w:val="0"/>
        <w:ind w:right="-625"/>
        <w:rPr>
          <w:b/>
          <w:bCs/>
        </w:rPr>
      </w:pPr>
      <w:r>
        <w:rPr>
          <w:b/>
          <w:bCs/>
        </w:rPr>
        <w:t>Overview of the Legislative Instrument</w:t>
      </w:r>
    </w:p>
    <w:p w:rsidR="00917020" w:rsidRDefault="00917020" w:rsidP="00B83136">
      <w:pPr>
        <w:autoSpaceDE w:val="0"/>
        <w:autoSpaceDN w:val="0"/>
        <w:adjustRightInd w:val="0"/>
        <w:ind w:right="-625"/>
      </w:pPr>
      <w:r>
        <w:t xml:space="preserve">The purpose </w:t>
      </w:r>
      <w:r w:rsidR="001E729D">
        <w:t xml:space="preserve">of the Amending Principle is </w:t>
      </w:r>
      <w:r w:rsidR="001E729D" w:rsidRPr="00727844">
        <w:t>to repeal</w:t>
      </w:r>
      <w:r w:rsidR="001E729D">
        <w:t xml:space="preserve"> the requirement for a</w:t>
      </w:r>
      <w:r w:rsidR="001E729D" w:rsidRPr="00727844">
        <w:t xml:space="preserve"> fire safety exception notice</w:t>
      </w:r>
      <w:r w:rsidR="001E729D">
        <w:t xml:space="preserve">, for a given </w:t>
      </w:r>
      <w:r w:rsidR="00617784">
        <w:t xml:space="preserve">residential care </w:t>
      </w:r>
      <w:r w:rsidR="001E729D">
        <w:t xml:space="preserve">service, to be provided to the Secretary if an approved provider is notified by a State, Territory or local government authority that </w:t>
      </w:r>
      <w:r w:rsidR="001E729D" w:rsidRPr="00C217EE">
        <w:t>the approved provider</w:t>
      </w:r>
      <w:r w:rsidR="001E729D">
        <w:t xml:space="preserve"> is not complying with any applicable State or Territory laws relating to fire safety in relation to the service</w:t>
      </w:r>
      <w:r w:rsidR="001E729D" w:rsidRPr="00C217EE">
        <w:t>.</w:t>
      </w:r>
    </w:p>
    <w:p w:rsidR="00917020" w:rsidRDefault="00917020" w:rsidP="00B83136">
      <w:pPr>
        <w:autoSpaceDE w:val="0"/>
        <w:autoSpaceDN w:val="0"/>
        <w:adjustRightInd w:val="0"/>
        <w:ind w:right="-625"/>
      </w:pPr>
    </w:p>
    <w:p w:rsidR="00917020" w:rsidRDefault="00917020" w:rsidP="00B83136">
      <w:pPr>
        <w:autoSpaceDE w:val="0"/>
        <w:autoSpaceDN w:val="0"/>
        <w:adjustRightInd w:val="0"/>
        <w:ind w:right="-625"/>
        <w:rPr>
          <w:b/>
          <w:bCs/>
        </w:rPr>
      </w:pPr>
      <w:r>
        <w:rPr>
          <w:b/>
          <w:bCs/>
        </w:rPr>
        <w:t>Human Rights Implications</w:t>
      </w:r>
    </w:p>
    <w:p w:rsidR="005E320F" w:rsidRDefault="003E6C1A" w:rsidP="00B83136">
      <w:pPr>
        <w:autoSpaceDE w:val="0"/>
        <w:autoSpaceDN w:val="0"/>
        <w:adjustRightInd w:val="0"/>
        <w:ind w:right="-625"/>
      </w:pPr>
      <w:r>
        <w:t>The removal of this reporting requirement would not impede on human rights as the monitoring of fire safety is a State or Territory</w:t>
      </w:r>
      <w:r w:rsidR="008131C6">
        <w:t xml:space="preserve"> government responsibility and </w:t>
      </w:r>
      <w:r w:rsidR="00BA7380">
        <w:t xml:space="preserve">notification to the Secretary </w:t>
      </w:r>
      <w:r w:rsidR="008131C6">
        <w:t xml:space="preserve">duplicates State or Territory government regulation. It is </w:t>
      </w:r>
      <w:r w:rsidR="008131C6" w:rsidRPr="00652DF9">
        <w:t>an unnecessary regulato</w:t>
      </w:r>
      <w:r w:rsidR="00A533F6">
        <w:t>ry burden on approved providers.</w:t>
      </w:r>
    </w:p>
    <w:p w:rsidR="00744635" w:rsidRDefault="00744635" w:rsidP="00B83136">
      <w:pPr>
        <w:autoSpaceDE w:val="0"/>
        <w:autoSpaceDN w:val="0"/>
        <w:adjustRightInd w:val="0"/>
        <w:ind w:right="-625"/>
      </w:pPr>
    </w:p>
    <w:p w:rsidR="00917020" w:rsidRDefault="00917020" w:rsidP="00B83136">
      <w:pPr>
        <w:autoSpaceDE w:val="0"/>
        <w:autoSpaceDN w:val="0"/>
        <w:adjustRightInd w:val="0"/>
        <w:ind w:right="-625"/>
        <w:rPr>
          <w:b/>
          <w:bCs/>
        </w:rPr>
      </w:pPr>
      <w:r>
        <w:rPr>
          <w:b/>
          <w:bCs/>
        </w:rPr>
        <w:t>Conclusion</w:t>
      </w:r>
    </w:p>
    <w:p w:rsidR="00CB0C49" w:rsidRDefault="00917020" w:rsidP="009D25BB">
      <w:pPr>
        <w:autoSpaceDE w:val="0"/>
        <w:autoSpaceDN w:val="0"/>
        <w:adjustRightInd w:val="0"/>
        <w:ind w:right="-625"/>
        <w:rPr>
          <w:b/>
        </w:rPr>
      </w:pPr>
      <w:r w:rsidRPr="00755188">
        <w:t xml:space="preserve">This legislative instrument is compatible with human rights as it </w:t>
      </w:r>
      <w:r w:rsidR="00AE6121">
        <w:t>maintains</w:t>
      </w:r>
      <w:r w:rsidR="00A150C2" w:rsidRPr="00755188">
        <w:t xml:space="preserve"> the human right to an adequate standard or living and the highest attainable standard of physical and mental health.</w:t>
      </w:r>
    </w:p>
    <w:p w:rsidR="00CB0C49" w:rsidRDefault="00CB0C49" w:rsidP="00B83136">
      <w:pPr>
        <w:ind w:right="-625"/>
        <w:rPr>
          <w:b/>
        </w:rPr>
      </w:pPr>
    </w:p>
    <w:p w:rsidR="00CB0C49" w:rsidRDefault="00CB0C49" w:rsidP="00B83136">
      <w:pPr>
        <w:ind w:right="-625"/>
        <w:rPr>
          <w:b/>
        </w:rPr>
      </w:pPr>
    </w:p>
    <w:p w:rsidR="00CB0C49" w:rsidRPr="00BC745F" w:rsidRDefault="00CB0C49" w:rsidP="00B83136">
      <w:pPr>
        <w:ind w:right="-625"/>
        <w:jc w:val="center"/>
        <w:rPr>
          <w:b/>
        </w:rPr>
      </w:pPr>
      <w:r w:rsidRPr="00BC745F">
        <w:rPr>
          <w:b/>
        </w:rPr>
        <w:t>Senator the Hon Mitch Fifield</w:t>
      </w:r>
    </w:p>
    <w:p w:rsidR="00CB0C49" w:rsidRPr="009D25BB" w:rsidRDefault="00CB0C49" w:rsidP="009D25BB">
      <w:pPr>
        <w:ind w:right="-625"/>
        <w:jc w:val="center"/>
        <w:rPr>
          <w:rStyle w:val="BookTitle"/>
          <w:b/>
          <w:i w:val="0"/>
          <w:iCs w:val="0"/>
          <w:smallCaps w:val="0"/>
          <w:spacing w:val="0"/>
        </w:rPr>
      </w:pPr>
      <w:r>
        <w:rPr>
          <w:b/>
        </w:rPr>
        <w:t xml:space="preserve">Assistant Minister </w:t>
      </w:r>
      <w:r w:rsidRPr="00BC745F">
        <w:rPr>
          <w:b/>
        </w:rPr>
        <w:t>for Social Services</w:t>
      </w:r>
    </w:p>
    <w:sectPr w:rsidR="00CB0C49" w:rsidRPr="009D25B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19" w:rsidRDefault="00EF5419">
      <w:r>
        <w:separator/>
      </w:r>
    </w:p>
  </w:endnote>
  <w:endnote w:type="continuationSeparator" w:id="0">
    <w:p w:rsidR="00EF5419" w:rsidRDefault="00EF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19" w:rsidRDefault="00EF5419" w:rsidP="0003669D">
    <w:pPr>
      <w:pStyle w:val="Footer"/>
    </w:pPr>
  </w:p>
  <w:p w:rsidR="00EF5419" w:rsidRDefault="00EF5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19" w:rsidRDefault="00EF5419">
      <w:r>
        <w:separator/>
      </w:r>
    </w:p>
  </w:footnote>
  <w:footnote w:type="continuationSeparator" w:id="0">
    <w:p w:rsidR="00EF5419" w:rsidRDefault="00EF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19" w:rsidRDefault="00EF5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DC52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10C4364"/>
    <w:lvl w:ilvl="0">
      <w:start w:val="1"/>
      <w:numFmt w:val="decimal"/>
      <w:lvlText w:val="%1."/>
      <w:lvlJc w:val="left"/>
      <w:pPr>
        <w:tabs>
          <w:tab w:val="num" w:pos="1492"/>
        </w:tabs>
        <w:ind w:left="1492" w:hanging="360"/>
      </w:pPr>
    </w:lvl>
  </w:abstractNum>
  <w:abstractNum w:abstractNumId="2">
    <w:nsid w:val="FFFFFF7D"/>
    <w:multiLevelType w:val="singleLevel"/>
    <w:tmpl w:val="3C7A733A"/>
    <w:lvl w:ilvl="0">
      <w:start w:val="1"/>
      <w:numFmt w:val="decimal"/>
      <w:lvlText w:val="%1."/>
      <w:lvlJc w:val="left"/>
      <w:pPr>
        <w:tabs>
          <w:tab w:val="num" w:pos="1209"/>
        </w:tabs>
        <w:ind w:left="1209" w:hanging="360"/>
      </w:pPr>
    </w:lvl>
  </w:abstractNum>
  <w:abstractNum w:abstractNumId="3">
    <w:nsid w:val="FFFFFF7E"/>
    <w:multiLevelType w:val="singleLevel"/>
    <w:tmpl w:val="818A05F8"/>
    <w:lvl w:ilvl="0">
      <w:start w:val="1"/>
      <w:numFmt w:val="decimal"/>
      <w:lvlText w:val="%1."/>
      <w:lvlJc w:val="left"/>
      <w:pPr>
        <w:tabs>
          <w:tab w:val="num" w:pos="926"/>
        </w:tabs>
        <w:ind w:left="926" w:hanging="360"/>
      </w:pPr>
    </w:lvl>
  </w:abstractNum>
  <w:abstractNum w:abstractNumId="4">
    <w:nsid w:val="FFFFFF7F"/>
    <w:multiLevelType w:val="singleLevel"/>
    <w:tmpl w:val="3E666086"/>
    <w:lvl w:ilvl="0">
      <w:start w:val="1"/>
      <w:numFmt w:val="decimal"/>
      <w:lvlText w:val="%1."/>
      <w:lvlJc w:val="left"/>
      <w:pPr>
        <w:tabs>
          <w:tab w:val="num" w:pos="643"/>
        </w:tabs>
        <w:ind w:left="643" w:hanging="360"/>
      </w:pPr>
    </w:lvl>
  </w:abstractNum>
  <w:abstractNum w:abstractNumId="5">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48CFEB6"/>
    <w:lvl w:ilvl="0">
      <w:start w:val="1"/>
      <w:numFmt w:val="decimal"/>
      <w:lvlText w:val="%1."/>
      <w:lvlJc w:val="left"/>
      <w:pPr>
        <w:tabs>
          <w:tab w:val="num" w:pos="360"/>
        </w:tabs>
        <w:ind w:left="360" w:hanging="360"/>
      </w:pPr>
    </w:lvl>
  </w:abstractNum>
  <w:abstractNum w:abstractNumId="1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F4C1809"/>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E041A72"/>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E66387F"/>
    <w:multiLevelType w:val="hybridMultilevel"/>
    <w:tmpl w:val="3168D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862DF7"/>
    <w:multiLevelType w:val="multilevel"/>
    <w:tmpl w:val="840C4814"/>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5CCD752F"/>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58F5006"/>
    <w:multiLevelType w:val="hybridMultilevel"/>
    <w:tmpl w:val="72A0C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2F4437"/>
    <w:multiLevelType w:val="hybridMultilevel"/>
    <w:tmpl w:val="7BBC7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944128"/>
    <w:multiLevelType w:val="multilevel"/>
    <w:tmpl w:val="A924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AB665C2"/>
    <w:multiLevelType w:val="hybridMultilevel"/>
    <w:tmpl w:val="1894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1"/>
  </w:num>
  <w:num w:numId="13">
    <w:abstractNumId w:val="18"/>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0"/>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AD"/>
    <w:rsid w:val="000042A9"/>
    <w:rsid w:val="000206A1"/>
    <w:rsid w:val="0003669D"/>
    <w:rsid w:val="000438AA"/>
    <w:rsid w:val="00043D75"/>
    <w:rsid w:val="00051B05"/>
    <w:rsid w:val="00052059"/>
    <w:rsid w:val="00053A2E"/>
    <w:rsid w:val="00065354"/>
    <w:rsid w:val="000779E6"/>
    <w:rsid w:val="00077D0D"/>
    <w:rsid w:val="00080C0A"/>
    <w:rsid w:val="00092139"/>
    <w:rsid w:val="00095A74"/>
    <w:rsid w:val="00097AB8"/>
    <w:rsid w:val="000A0140"/>
    <w:rsid w:val="000A2A14"/>
    <w:rsid w:val="000B29E2"/>
    <w:rsid w:val="000B7133"/>
    <w:rsid w:val="000C2778"/>
    <w:rsid w:val="000C5B9B"/>
    <w:rsid w:val="000D1031"/>
    <w:rsid w:val="000D2E37"/>
    <w:rsid w:val="000D534E"/>
    <w:rsid w:val="000E390F"/>
    <w:rsid w:val="00103D79"/>
    <w:rsid w:val="00113FF6"/>
    <w:rsid w:val="00120B55"/>
    <w:rsid w:val="00122E8C"/>
    <w:rsid w:val="001265FE"/>
    <w:rsid w:val="00130F13"/>
    <w:rsid w:val="00136AB4"/>
    <w:rsid w:val="001760E2"/>
    <w:rsid w:val="00176FE3"/>
    <w:rsid w:val="001805C3"/>
    <w:rsid w:val="00183184"/>
    <w:rsid w:val="00186BF3"/>
    <w:rsid w:val="001920A0"/>
    <w:rsid w:val="001A5983"/>
    <w:rsid w:val="001B2979"/>
    <w:rsid w:val="001B77FE"/>
    <w:rsid w:val="001C4945"/>
    <w:rsid w:val="001C7E14"/>
    <w:rsid w:val="001D0F83"/>
    <w:rsid w:val="001D2D3B"/>
    <w:rsid w:val="001E229D"/>
    <w:rsid w:val="001E3A5D"/>
    <w:rsid w:val="001E48A9"/>
    <w:rsid w:val="001E630D"/>
    <w:rsid w:val="001E729D"/>
    <w:rsid w:val="001F12BC"/>
    <w:rsid w:val="00206703"/>
    <w:rsid w:val="002109CC"/>
    <w:rsid w:val="00213419"/>
    <w:rsid w:val="00224150"/>
    <w:rsid w:val="002366B9"/>
    <w:rsid w:val="00243CB2"/>
    <w:rsid w:val="00254D03"/>
    <w:rsid w:val="00264C1D"/>
    <w:rsid w:val="00264C81"/>
    <w:rsid w:val="002A0E7C"/>
    <w:rsid w:val="002A42C3"/>
    <w:rsid w:val="002B6C74"/>
    <w:rsid w:val="002B7875"/>
    <w:rsid w:val="002C7F54"/>
    <w:rsid w:val="002D27B2"/>
    <w:rsid w:val="002D631E"/>
    <w:rsid w:val="002D759E"/>
    <w:rsid w:val="002E215E"/>
    <w:rsid w:val="002E57A3"/>
    <w:rsid w:val="002E687A"/>
    <w:rsid w:val="002F0FFF"/>
    <w:rsid w:val="00307472"/>
    <w:rsid w:val="00312A67"/>
    <w:rsid w:val="00315BF5"/>
    <w:rsid w:val="00323048"/>
    <w:rsid w:val="00325FB0"/>
    <w:rsid w:val="00326BAD"/>
    <w:rsid w:val="003363C3"/>
    <w:rsid w:val="00341A09"/>
    <w:rsid w:val="00344290"/>
    <w:rsid w:val="003449C4"/>
    <w:rsid w:val="00346DCC"/>
    <w:rsid w:val="0036036D"/>
    <w:rsid w:val="00371ED5"/>
    <w:rsid w:val="00372E0E"/>
    <w:rsid w:val="00373209"/>
    <w:rsid w:val="003807DD"/>
    <w:rsid w:val="00385107"/>
    <w:rsid w:val="00387709"/>
    <w:rsid w:val="003A148B"/>
    <w:rsid w:val="003A402E"/>
    <w:rsid w:val="003A601A"/>
    <w:rsid w:val="003B2154"/>
    <w:rsid w:val="003B2BB8"/>
    <w:rsid w:val="003B3058"/>
    <w:rsid w:val="003B6E38"/>
    <w:rsid w:val="003B7843"/>
    <w:rsid w:val="003D099C"/>
    <w:rsid w:val="003D34FF"/>
    <w:rsid w:val="003E6C1A"/>
    <w:rsid w:val="003F77BE"/>
    <w:rsid w:val="00400573"/>
    <w:rsid w:val="00401429"/>
    <w:rsid w:val="00401EA7"/>
    <w:rsid w:val="0041117C"/>
    <w:rsid w:val="004162DA"/>
    <w:rsid w:val="004218C6"/>
    <w:rsid w:val="004257B4"/>
    <w:rsid w:val="00425BFE"/>
    <w:rsid w:val="00431283"/>
    <w:rsid w:val="0043332F"/>
    <w:rsid w:val="00447AEE"/>
    <w:rsid w:val="00464207"/>
    <w:rsid w:val="00492933"/>
    <w:rsid w:val="00497C56"/>
    <w:rsid w:val="004A1EA6"/>
    <w:rsid w:val="004B51C6"/>
    <w:rsid w:val="004B54CA"/>
    <w:rsid w:val="004B5733"/>
    <w:rsid w:val="004C2A31"/>
    <w:rsid w:val="004C2F9F"/>
    <w:rsid w:val="004D1649"/>
    <w:rsid w:val="004E2CB9"/>
    <w:rsid w:val="004E3E37"/>
    <w:rsid w:val="004E49CA"/>
    <w:rsid w:val="004E4E73"/>
    <w:rsid w:val="004E5CBF"/>
    <w:rsid w:val="004E6B3D"/>
    <w:rsid w:val="00504713"/>
    <w:rsid w:val="00507B51"/>
    <w:rsid w:val="005333CD"/>
    <w:rsid w:val="00533EE9"/>
    <w:rsid w:val="00547C45"/>
    <w:rsid w:val="00550637"/>
    <w:rsid w:val="0055372D"/>
    <w:rsid w:val="0055423A"/>
    <w:rsid w:val="00556B3D"/>
    <w:rsid w:val="00565268"/>
    <w:rsid w:val="00566906"/>
    <w:rsid w:val="00571F14"/>
    <w:rsid w:val="0057444F"/>
    <w:rsid w:val="00582409"/>
    <w:rsid w:val="00593F30"/>
    <w:rsid w:val="00595686"/>
    <w:rsid w:val="005A08A3"/>
    <w:rsid w:val="005A136B"/>
    <w:rsid w:val="005B2E33"/>
    <w:rsid w:val="005B5974"/>
    <w:rsid w:val="005C2132"/>
    <w:rsid w:val="005C3AA9"/>
    <w:rsid w:val="005E320F"/>
    <w:rsid w:val="005E58B3"/>
    <w:rsid w:val="005F25DD"/>
    <w:rsid w:val="005F32CF"/>
    <w:rsid w:val="0060472C"/>
    <w:rsid w:val="00610D6F"/>
    <w:rsid w:val="00617784"/>
    <w:rsid w:val="00633082"/>
    <w:rsid w:val="00633E93"/>
    <w:rsid w:val="00634B52"/>
    <w:rsid w:val="00640D00"/>
    <w:rsid w:val="00643A15"/>
    <w:rsid w:val="00643E0C"/>
    <w:rsid w:val="00647D67"/>
    <w:rsid w:val="0065361D"/>
    <w:rsid w:val="00660E5E"/>
    <w:rsid w:val="00661F7C"/>
    <w:rsid w:val="00670C4D"/>
    <w:rsid w:val="00696BFD"/>
    <w:rsid w:val="006A19F8"/>
    <w:rsid w:val="006A4CE7"/>
    <w:rsid w:val="006B1610"/>
    <w:rsid w:val="006B597E"/>
    <w:rsid w:val="006C17DD"/>
    <w:rsid w:val="006D0EAD"/>
    <w:rsid w:val="006F163D"/>
    <w:rsid w:val="006F6C6B"/>
    <w:rsid w:val="006F788C"/>
    <w:rsid w:val="00702088"/>
    <w:rsid w:val="007034AE"/>
    <w:rsid w:val="00710302"/>
    <w:rsid w:val="00716052"/>
    <w:rsid w:val="00717E33"/>
    <w:rsid w:val="00720136"/>
    <w:rsid w:val="00723E56"/>
    <w:rsid w:val="0072757D"/>
    <w:rsid w:val="00727844"/>
    <w:rsid w:val="007333E0"/>
    <w:rsid w:val="00735A72"/>
    <w:rsid w:val="007410EB"/>
    <w:rsid w:val="00744635"/>
    <w:rsid w:val="007515DA"/>
    <w:rsid w:val="00753D01"/>
    <w:rsid w:val="00755188"/>
    <w:rsid w:val="00756E5D"/>
    <w:rsid w:val="00761A63"/>
    <w:rsid w:val="00771057"/>
    <w:rsid w:val="00775296"/>
    <w:rsid w:val="00775AC5"/>
    <w:rsid w:val="00785261"/>
    <w:rsid w:val="00786EF7"/>
    <w:rsid w:val="007909AE"/>
    <w:rsid w:val="007915E8"/>
    <w:rsid w:val="007A5BC8"/>
    <w:rsid w:val="007B0256"/>
    <w:rsid w:val="007B204D"/>
    <w:rsid w:val="007B7110"/>
    <w:rsid w:val="007D5761"/>
    <w:rsid w:val="007E7EB7"/>
    <w:rsid w:val="007F0688"/>
    <w:rsid w:val="007F20DD"/>
    <w:rsid w:val="007F27BB"/>
    <w:rsid w:val="007F33FB"/>
    <w:rsid w:val="00804A68"/>
    <w:rsid w:val="008119BE"/>
    <w:rsid w:val="008131C6"/>
    <w:rsid w:val="00815613"/>
    <w:rsid w:val="00815A23"/>
    <w:rsid w:val="008163AA"/>
    <w:rsid w:val="00816D4F"/>
    <w:rsid w:val="00824824"/>
    <w:rsid w:val="00825402"/>
    <w:rsid w:val="008262C6"/>
    <w:rsid w:val="0083377F"/>
    <w:rsid w:val="0083611F"/>
    <w:rsid w:val="00844D46"/>
    <w:rsid w:val="00856AA2"/>
    <w:rsid w:val="008935B2"/>
    <w:rsid w:val="0089482E"/>
    <w:rsid w:val="00897490"/>
    <w:rsid w:val="008A024C"/>
    <w:rsid w:val="008A1781"/>
    <w:rsid w:val="008A32F3"/>
    <w:rsid w:val="008A69D2"/>
    <w:rsid w:val="008B6595"/>
    <w:rsid w:val="008B666B"/>
    <w:rsid w:val="008B6781"/>
    <w:rsid w:val="008C4595"/>
    <w:rsid w:val="008D55F6"/>
    <w:rsid w:val="008E09B5"/>
    <w:rsid w:val="008E10FC"/>
    <w:rsid w:val="008F21CD"/>
    <w:rsid w:val="008F7D8A"/>
    <w:rsid w:val="0090004B"/>
    <w:rsid w:val="00901870"/>
    <w:rsid w:val="009048F6"/>
    <w:rsid w:val="00904E57"/>
    <w:rsid w:val="00917020"/>
    <w:rsid w:val="009171E9"/>
    <w:rsid w:val="009225F0"/>
    <w:rsid w:val="00932DA5"/>
    <w:rsid w:val="00935DC6"/>
    <w:rsid w:val="00943412"/>
    <w:rsid w:val="00944D6E"/>
    <w:rsid w:val="0095535C"/>
    <w:rsid w:val="00963822"/>
    <w:rsid w:val="00976A87"/>
    <w:rsid w:val="00982709"/>
    <w:rsid w:val="009849DA"/>
    <w:rsid w:val="009959CD"/>
    <w:rsid w:val="009A1D3E"/>
    <w:rsid w:val="009A1E64"/>
    <w:rsid w:val="009A281A"/>
    <w:rsid w:val="009A6AD1"/>
    <w:rsid w:val="009B3139"/>
    <w:rsid w:val="009B4967"/>
    <w:rsid w:val="009C77F5"/>
    <w:rsid w:val="009D25BB"/>
    <w:rsid w:val="009D2790"/>
    <w:rsid w:val="009D317A"/>
    <w:rsid w:val="009E272D"/>
    <w:rsid w:val="009F3630"/>
    <w:rsid w:val="009F3691"/>
    <w:rsid w:val="009F62DF"/>
    <w:rsid w:val="009F76EE"/>
    <w:rsid w:val="00A02E32"/>
    <w:rsid w:val="00A13648"/>
    <w:rsid w:val="00A150AC"/>
    <w:rsid w:val="00A150C2"/>
    <w:rsid w:val="00A1593E"/>
    <w:rsid w:val="00A2127A"/>
    <w:rsid w:val="00A27951"/>
    <w:rsid w:val="00A46BF2"/>
    <w:rsid w:val="00A46F77"/>
    <w:rsid w:val="00A51535"/>
    <w:rsid w:val="00A533F6"/>
    <w:rsid w:val="00A61C57"/>
    <w:rsid w:val="00A71CC2"/>
    <w:rsid w:val="00A77B11"/>
    <w:rsid w:val="00A77E48"/>
    <w:rsid w:val="00A84F51"/>
    <w:rsid w:val="00AA352B"/>
    <w:rsid w:val="00AA57DB"/>
    <w:rsid w:val="00AA71BD"/>
    <w:rsid w:val="00AB071E"/>
    <w:rsid w:val="00AB25D8"/>
    <w:rsid w:val="00AB588E"/>
    <w:rsid w:val="00AC1C3B"/>
    <w:rsid w:val="00AC374C"/>
    <w:rsid w:val="00AC3E9D"/>
    <w:rsid w:val="00AC75B5"/>
    <w:rsid w:val="00AE05BB"/>
    <w:rsid w:val="00AE0626"/>
    <w:rsid w:val="00AE370D"/>
    <w:rsid w:val="00AE3DF4"/>
    <w:rsid w:val="00AE6121"/>
    <w:rsid w:val="00AF1D69"/>
    <w:rsid w:val="00B01524"/>
    <w:rsid w:val="00B04A96"/>
    <w:rsid w:val="00B05594"/>
    <w:rsid w:val="00B05EA7"/>
    <w:rsid w:val="00B068A9"/>
    <w:rsid w:val="00B06A29"/>
    <w:rsid w:val="00B17087"/>
    <w:rsid w:val="00B26A71"/>
    <w:rsid w:val="00B275B5"/>
    <w:rsid w:val="00B35286"/>
    <w:rsid w:val="00B41E21"/>
    <w:rsid w:val="00B44262"/>
    <w:rsid w:val="00B452B4"/>
    <w:rsid w:val="00B456AA"/>
    <w:rsid w:val="00B473BF"/>
    <w:rsid w:val="00B51060"/>
    <w:rsid w:val="00B52936"/>
    <w:rsid w:val="00B55929"/>
    <w:rsid w:val="00B71284"/>
    <w:rsid w:val="00B71A78"/>
    <w:rsid w:val="00B72D88"/>
    <w:rsid w:val="00B83136"/>
    <w:rsid w:val="00B834AE"/>
    <w:rsid w:val="00B8583F"/>
    <w:rsid w:val="00B871B3"/>
    <w:rsid w:val="00B962F8"/>
    <w:rsid w:val="00B966E0"/>
    <w:rsid w:val="00BA1018"/>
    <w:rsid w:val="00BA1F57"/>
    <w:rsid w:val="00BA2DB9"/>
    <w:rsid w:val="00BA7380"/>
    <w:rsid w:val="00BB2199"/>
    <w:rsid w:val="00BC206D"/>
    <w:rsid w:val="00BC2AD3"/>
    <w:rsid w:val="00BC6EB7"/>
    <w:rsid w:val="00BD10CF"/>
    <w:rsid w:val="00BD5462"/>
    <w:rsid w:val="00BE5BAC"/>
    <w:rsid w:val="00BE7148"/>
    <w:rsid w:val="00C00C2E"/>
    <w:rsid w:val="00C03247"/>
    <w:rsid w:val="00C06ACE"/>
    <w:rsid w:val="00C100E1"/>
    <w:rsid w:val="00C12CBA"/>
    <w:rsid w:val="00C13434"/>
    <w:rsid w:val="00C217EE"/>
    <w:rsid w:val="00C35E93"/>
    <w:rsid w:val="00C40A58"/>
    <w:rsid w:val="00C448CF"/>
    <w:rsid w:val="00C529F5"/>
    <w:rsid w:val="00C60CAA"/>
    <w:rsid w:val="00C60F5C"/>
    <w:rsid w:val="00C62232"/>
    <w:rsid w:val="00C700AB"/>
    <w:rsid w:val="00C726C5"/>
    <w:rsid w:val="00C82CE2"/>
    <w:rsid w:val="00C92FE0"/>
    <w:rsid w:val="00CA069C"/>
    <w:rsid w:val="00CA424E"/>
    <w:rsid w:val="00CB0C49"/>
    <w:rsid w:val="00CB698B"/>
    <w:rsid w:val="00CC512D"/>
    <w:rsid w:val="00CD48D5"/>
    <w:rsid w:val="00CD49CD"/>
    <w:rsid w:val="00CD504F"/>
    <w:rsid w:val="00CE236A"/>
    <w:rsid w:val="00CE38B5"/>
    <w:rsid w:val="00CF00AA"/>
    <w:rsid w:val="00D02656"/>
    <w:rsid w:val="00D04022"/>
    <w:rsid w:val="00D05A18"/>
    <w:rsid w:val="00D16BFD"/>
    <w:rsid w:val="00D232D0"/>
    <w:rsid w:val="00D23B41"/>
    <w:rsid w:val="00D267D6"/>
    <w:rsid w:val="00D30D32"/>
    <w:rsid w:val="00D3250D"/>
    <w:rsid w:val="00D40E3B"/>
    <w:rsid w:val="00D43551"/>
    <w:rsid w:val="00D6296C"/>
    <w:rsid w:val="00D708F8"/>
    <w:rsid w:val="00D766F7"/>
    <w:rsid w:val="00D978AC"/>
    <w:rsid w:val="00DD75FE"/>
    <w:rsid w:val="00DE3049"/>
    <w:rsid w:val="00DF438A"/>
    <w:rsid w:val="00E00940"/>
    <w:rsid w:val="00E04423"/>
    <w:rsid w:val="00E04FF2"/>
    <w:rsid w:val="00E069BC"/>
    <w:rsid w:val="00E06F3B"/>
    <w:rsid w:val="00E15A0B"/>
    <w:rsid w:val="00E21875"/>
    <w:rsid w:val="00E22C97"/>
    <w:rsid w:val="00E23667"/>
    <w:rsid w:val="00E417A2"/>
    <w:rsid w:val="00E478C2"/>
    <w:rsid w:val="00E535B6"/>
    <w:rsid w:val="00E5733F"/>
    <w:rsid w:val="00E607B4"/>
    <w:rsid w:val="00E65653"/>
    <w:rsid w:val="00E742B0"/>
    <w:rsid w:val="00E75162"/>
    <w:rsid w:val="00E80AC8"/>
    <w:rsid w:val="00E90FA0"/>
    <w:rsid w:val="00E914CC"/>
    <w:rsid w:val="00E941A8"/>
    <w:rsid w:val="00EA0BDC"/>
    <w:rsid w:val="00EA44EC"/>
    <w:rsid w:val="00EA61B7"/>
    <w:rsid w:val="00EB046E"/>
    <w:rsid w:val="00EB70AE"/>
    <w:rsid w:val="00EC65A0"/>
    <w:rsid w:val="00EF36FA"/>
    <w:rsid w:val="00EF3DDA"/>
    <w:rsid w:val="00EF5419"/>
    <w:rsid w:val="00EF7B7E"/>
    <w:rsid w:val="00F11ED6"/>
    <w:rsid w:val="00F1751A"/>
    <w:rsid w:val="00F2732B"/>
    <w:rsid w:val="00F33079"/>
    <w:rsid w:val="00F33FBA"/>
    <w:rsid w:val="00F40FEB"/>
    <w:rsid w:val="00F42E22"/>
    <w:rsid w:val="00F43F65"/>
    <w:rsid w:val="00F53B85"/>
    <w:rsid w:val="00F61869"/>
    <w:rsid w:val="00F7054F"/>
    <w:rsid w:val="00F75B82"/>
    <w:rsid w:val="00F81B35"/>
    <w:rsid w:val="00F83BB3"/>
    <w:rsid w:val="00F855E4"/>
    <w:rsid w:val="00F86E40"/>
    <w:rsid w:val="00F90DF1"/>
    <w:rsid w:val="00F92208"/>
    <w:rsid w:val="00FB1924"/>
    <w:rsid w:val="00FB4659"/>
    <w:rsid w:val="00FC6C6D"/>
    <w:rsid w:val="00FD7402"/>
    <w:rsid w:val="00FE1005"/>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rsid w:val="00CB0C49"/>
    <w:pPr>
      <w:tabs>
        <w:tab w:val="center" w:pos="4513"/>
        <w:tab w:val="right" w:pos="9026"/>
      </w:tabs>
    </w:pPr>
  </w:style>
  <w:style w:type="character" w:customStyle="1" w:styleId="FooterChar">
    <w:name w:val="Footer Char"/>
    <w:basedOn w:val="DefaultParagraphFont"/>
    <w:link w:val="Footer"/>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semiHidden/>
    <w:unhideWhenUsed/>
    <w:rsid w:val="007D5761"/>
    <w:rPr>
      <w:sz w:val="16"/>
      <w:szCs w:val="16"/>
    </w:rPr>
  </w:style>
  <w:style w:type="paragraph" w:styleId="CommentText">
    <w:name w:val="annotation text"/>
    <w:basedOn w:val="Normal"/>
    <w:link w:val="CommentTextChar"/>
    <w:uiPriority w:val="99"/>
    <w:semiHidden/>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semiHidden/>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rsid w:val="00CB0C49"/>
    <w:pPr>
      <w:tabs>
        <w:tab w:val="center" w:pos="4513"/>
        <w:tab w:val="right" w:pos="9026"/>
      </w:tabs>
    </w:pPr>
  </w:style>
  <w:style w:type="character" w:customStyle="1" w:styleId="FooterChar">
    <w:name w:val="Footer Char"/>
    <w:basedOn w:val="DefaultParagraphFont"/>
    <w:link w:val="Footer"/>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semiHidden/>
    <w:unhideWhenUsed/>
    <w:rsid w:val="007D5761"/>
    <w:rPr>
      <w:sz w:val="16"/>
      <w:szCs w:val="16"/>
    </w:rPr>
  </w:style>
  <w:style w:type="paragraph" w:styleId="CommentText">
    <w:name w:val="annotation text"/>
    <w:basedOn w:val="Normal"/>
    <w:link w:val="CommentTextChar"/>
    <w:uiPriority w:val="99"/>
    <w:semiHidden/>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semiHidden/>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GOH, Joy</cp:lastModifiedBy>
  <cp:revision>2</cp:revision>
  <cp:lastPrinted>2014-11-28T03:37:00Z</cp:lastPrinted>
  <dcterms:created xsi:type="dcterms:W3CDTF">2015-01-06T04:46:00Z</dcterms:created>
  <dcterms:modified xsi:type="dcterms:W3CDTF">2015-01-06T04:46:00Z</dcterms:modified>
</cp:coreProperties>
</file>