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7C" w:rsidRDefault="000E197C" w:rsidP="004C71CC">
      <w:pPr>
        <w:autoSpaceDE w:val="0"/>
        <w:autoSpaceDN w:val="0"/>
        <w:adjustRightInd w:val="0"/>
        <w:spacing w:after="0" w:line="240" w:lineRule="auto"/>
        <w:jc w:val="center"/>
        <w:rPr>
          <w:rFonts w:ascii="Arial,Bold" w:hAnsi="Arial,Bold" w:cs="Arial,Bold"/>
          <w:b/>
          <w:bCs/>
          <w:sz w:val="24"/>
          <w:szCs w:val="24"/>
        </w:rPr>
      </w:pPr>
      <w:bookmarkStart w:id="0" w:name="_GoBack"/>
      <w:bookmarkEnd w:id="0"/>
      <w:r>
        <w:rPr>
          <w:rFonts w:ascii="Arial,Bold" w:hAnsi="Arial,Bold" w:cs="Arial,Bold"/>
          <w:b/>
          <w:bCs/>
          <w:sz w:val="24"/>
          <w:szCs w:val="24"/>
        </w:rPr>
        <w:t>EXPLANATORY STATEMENT</w:t>
      </w:r>
    </w:p>
    <w:p w:rsidR="000E197C" w:rsidRDefault="000E197C" w:rsidP="008B7560">
      <w:pPr>
        <w:autoSpaceDE w:val="0"/>
        <w:autoSpaceDN w:val="0"/>
        <w:adjustRightInd w:val="0"/>
        <w:spacing w:after="0" w:line="240" w:lineRule="auto"/>
        <w:jc w:val="both"/>
        <w:rPr>
          <w:rFonts w:ascii="Arial,Bold" w:hAnsi="Arial,Bold" w:cs="Arial,Bold"/>
          <w:b/>
          <w:bCs/>
          <w:sz w:val="24"/>
          <w:szCs w:val="24"/>
        </w:rPr>
      </w:pPr>
    </w:p>
    <w:p w:rsidR="000E197C" w:rsidRDefault="000E197C" w:rsidP="004C71CC">
      <w:pPr>
        <w:autoSpaceDE w:val="0"/>
        <w:autoSpaceDN w:val="0"/>
        <w:adjustRightInd w:val="0"/>
        <w:spacing w:after="0" w:line="240" w:lineRule="auto"/>
        <w:jc w:val="center"/>
        <w:rPr>
          <w:rFonts w:ascii="Arial,Bold" w:hAnsi="Arial,Bold" w:cs="Arial,Bold"/>
          <w:b/>
          <w:bCs/>
          <w:sz w:val="24"/>
          <w:szCs w:val="24"/>
        </w:rPr>
      </w:pPr>
      <w:r>
        <w:rPr>
          <w:rFonts w:ascii="Arial,Bold" w:hAnsi="Arial,Bold" w:cs="Arial,Bold"/>
          <w:b/>
          <w:bCs/>
          <w:sz w:val="24"/>
          <w:szCs w:val="24"/>
        </w:rPr>
        <w:t>Social Security (Administration) (Excluded circumstances – Queensland Commission) Specification 2014</w:t>
      </w:r>
    </w:p>
    <w:p w:rsidR="000E197C" w:rsidRDefault="000E197C" w:rsidP="008B7560">
      <w:pPr>
        <w:autoSpaceDE w:val="0"/>
        <w:autoSpaceDN w:val="0"/>
        <w:adjustRightInd w:val="0"/>
        <w:spacing w:after="0" w:line="240" w:lineRule="auto"/>
        <w:jc w:val="both"/>
        <w:rPr>
          <w:rFonts w:ascii="Arial,Bold" w:hAnsi="Arial,Bold" w:cs="Arial,Bold"/>
          <w:b/>
          <w:bCs/>
          <w:sz w:val="24"/>
          <w:szCs w:val="24"/>
        </w:rPr>
      </w:pPr>
    </w:p>
    <w:p w:rsidR="000E197C" w:rsidRPr="009E267E" w:rsidRDefault="000E197C" w:rsidP="008B7560">
      <w:pPr>
        <w:jc w:val="both"/>
        <w:rPr>
          <w:rFonts w:cs="Arial"/>
          <w:b/>
          <w:bCs/>
          <w:sz w:val="24"/>
          <w:szCs w:val="24"/>
        </w:rPr>
      </w:pPr>
      <w:r w:rsidRPr="009E267E">
        <w:rPr>
          <w:rFonts w:cs="Arial"/>
          <w:b/>
          <w:bCs/>
          <w:sz w:val="24"/>
          <w:szCs w:val="24"/>
        </w:rPr>
        <w:t>Purpose</w:t>
      </w:r>
    </w:p>
    <w:p w:rsidR="00487A5F" w:rsidRDefault="00F34B54" w:rsidP="00624F07">
      <w:pPr>
        <w:jc w:val="both"/>
        <w:rPr>
          <w:rFonts w:cs="Arial"/>
          <w:bCs/>
          <w:sz w:val="24"/>
          <w:szCs w:val="24"/>
        </w:rPr>
      </w:pPr>
      <w:r w:rsidRPr="009E267E">
        <w:rPr>
          <w:rFonts w:cs="Arial"/>
          <w:bCs/>
          <w:sz w:val="24"/>
          <w:szCs w:val="24"/>
        </w:rPr>
        <w:t xml:space="preserve">The purpose of the </w:t>
      </w:r>
      <w:r w:rsidRPr="009E267E">
        <w:rPr>
          <w:rFonts w:cs="Arial"/>
          <w:bCs/>
          <w:i/>
          <w:sz w:val="24"/>
          <w:szCs w:val="24"/>
        </w:rPr>
        <w:t>Social Security (Administration) (Excluded circumstances – Queensland Commission) Specification 2014</w:t>
      </w:r>
      <w:r w:rsidRPr="009E267E">
        <w:rPr>
          <w:rFonts w:cs="Arial"/>
          <w:bCs/>
          <w:sz w:val="24"/>
          <w:szCs w:val="24"/>
        </w:rPr>
        <w:t xml:space="preserve"> (the Specification) is to specify </w:t>
      </w:r>
      <w:r w:rsidR="008B7560">
        <w:rPr>
          <w:rFonts w:cs="Arial"/>
          <w:bCs/>
          <w:sz w:val="24"/>
          <w:szCs w:val="24"/>
        </w:rPr>
        <w:t xml:space="preserve">a </w:t>
      </w:r>
      <w:r w:rsidRPr="009E267E">
        <w:rPr>
          <w:rFonts w:cs="Arial"/>
          <w:bCs/>
          <w:sz w:val="24"/>
          <w:szCs w:val="24"/>
        </w:rPr>
        <w:t>circumstance in which a person will not become subject to income management following a notice given by the Family Responsibilities Commission (</w:t>
      </w:r>
      <w:proofErr w:type="spellStart"/>
      <w:r w:rsidR="001E11B5" w:rsidRPr="007D4123">
        <w:rPr>
          <w:rFonts w:cs="Arial"/>
          <w:b/>
          <w:bCs/>
          <w:sz w:val="24"/>
          <w:szCs w:val="24"/>
        </w:rPr>
        <w:t>FRC</w:t>
      </w:r>
      <w:proofErr w:type="spellEnd"/>
      <w:r w:rsidRPr="009E267E">
        <w:rPr>
          <w:rFonts w:cs="Arial"/>
          <w:bCs/>
          <w:sz w:val="24"/>
          <w:szCs w:val="24"/>
        </w:rPr>
        <w:t xml:space="preserve">).  The circumstance </w:t>
      </w:r>
      <w:r w:rsidR="008B7560">
        <w:rPr>
          <w:rFonts w:cs="Arial"/>
          <w:bCs/>
          <w:sz w:val="24"/>
          <w:szCs w:val="24"/>
        </w:rPr>
        <w:t>is</w:t>
      </w:r>
      <w:r w:rsidRPr="009E267E">
        <w:rPr>
          <w:rFonts w:cs="Arial"/>
          <w:bCs/>
          <w:sz w:val="24"/>
          <w:szCs w:val="24"/>
        </w:rPr>
        <w:t xml:space="preserve"> that the notice was given in respect of a person</w:t>
      </w:r>
      <w:r w:rsidR="00470284">
        <w:rPr>
          <w:rFonts w:cs="Arial"/>
          <w:bCs/>
          <w:sz w:val="24"/>
          <w:szCs w:val="24"/>
        </w:rPr>
        <w:t xml:space="preserve"> </w:t>
      </w:r>
      <w:r w:rsidR="00487A5F">
        <w:rPr>
          <w:rFonts w:cs="Arial"/>
          <w:bCs/>
          <w:sz w:val="24"/>
          <w:szCs w:val="24"/>
        </w:rPr>
        <w:t>where:</w:t>
      </w:r>
    </w:p>
    <w:p w:rsidR="00487A5F" w:rsidRPr="00624F07" w:rsidRDefault="00487A5F" w:rsidP="00487A5F">
      <w:pPr>
        <w:pStyle w:val="ListParagraph"/>
        <w:numPr>
          <w:ilvl w:val="0"/>
          <w:numId w:val="1"/>
        </w:numPr>
        <w:jc w:val="both"/>
        <w:rPr>
          <w:rFonts w:cs="Arial"/>
          <w:bCs/>
          <w:sz w:val="24"/>
          <w:szCs w:val="24"/>
        </w:rPr>
      </w:pPr>
      <w:r w:rsidRPr="00624F07">
        <w:rPr>
          <w:rFonts w:cs="Arial"/>
          <w:bCs/>
          <w:sz w:val="24"/>
          <w:szCs w:val="24"/>
        </w:rPr>
        <w:t xml:space="preserve">the person’s usual place of residence is an area other than a welfare reform community area; </w:t>
      </w:r>
    </w:p>
    <w:p w:rsidR="00487A5F" w:rsidRPr="00435514" w:rsidRDefault="00487A5F" w:rsidP="00487A5F">
      <w:pPr>
        <w:pStyle w:val="ListParagraph"/>
        <w:numPr>
          <w:ilvl w:val="0"/>
          <w:numId w:val="1"/>
        </w:numPr>
        <w:jc w:val="both"/>
        <w:rPr>
          <w:rFonts w:cs="Arial"/>
          <w:bCs/>
          <w:sz w:val="24"/>
          <w:szCs w:val="24"/>
        </w:rPr>
      </w:pPr>
      <w:r w:rsidRPr="00435514">
        <w:rPr>
          <w:sz w:val="24"/>
          <w:szCs w:val="24"/>
        </w:rPr>
        <w:t>the person’s usual place of residence was not on 1 July 2008 in a welfare reform community area; and</w:t>
      </w:r>
    </w:p>
    <w:p w:rsidR="00487A5F" w:rsidRPr="00F067F6" w:rsidRDefault="00487A5F" w:rsidP="00470284">
      <w:pPr>
        <w:pStyle w:val="ListParagraph"/>
        <w:numPr>
          <w:ilvl w:val="0"/>
          <w:numId w:val="1"/>
        </w:numPr>
        <w:jc w:val="both"/>
        <w:rPr>
          <w:rFonts w:cs="Arial"/>
          <w:bCs/>
          <w:sz w:val="24"/>
          <w:szCs w:val="24"/>
        </w:rPr>
      </w:pPr>
      <w:proofErr w:type="gramStart"/>
      <w:r w:rsidRPr="009E267E">
        <w:rPr>
          <w:rFonts w:cs="Arial"/>
          <w:bCs/>
          <w:sz w:val="24"/>
          <w:szCs w:val="24"/>
        </w:rPr>
        <w:t>the</w:t>
      </w:r>
      <w:proofErr w:type="gramEnd"/>
      <w:r w:rsidRPr="009E267E">
        <w:rPr>
          <w:rFonts w:cs="Arial"/>
          <w:bCs/>
          <w:sz w:val="24"/>
          <w:szCs w:val="24"/>
        </w:rPr>
        <w:t xml:space="preserve"> person has not lived for 3 months or more in a welfare reform community area since 1 July 2008.</w:t>
      </w:r>
    </w:p>
    <w:p w:rsidR="00D133A3" w:rsidRPr="00D133A3" w:rsidRDefault="00D133A3" w:rsidP="008B7560">
      <w:pPr>
        <w:jc w:val="both"/>
        <w:rPr>
          <w:rFonts w:cs="Arial"/>
          <w:bCs/>
          <w:sz w:val="24"/>
          <w:szCs w:val="24"/>
        </w:rPr>
      </w:pPr>
      <w:r>
        <w:rPr>
          <w:rFonts w:cs="Arial"/>
          <w:bCs/>
          <w:sz w:val="24"/>
          <w:szCs w:val="24"/>
        </w:rPr>
        <w:t xml:space="preserve">“Welfare reform community area” is defined in the Specification to be </w:t>
      </w:r>
      <w:r w:rsidR="00D26FFD">
        <w:rPr>
          <w:rFonts w:cs="Arial"/>
          <w:bCs/>
          <w:sz w:val="24"/>
          <w:szCs w:val="24"/>
        </w:rPr>
        <w:t xml:space="preserve">the </w:t>
      </w:r>
      <w:r w:rsidRPr="009E267E">
        <w:rPr>
          <w:rFonts w:cs="Arial"/>
          <w:color w:val="000000"/>
          <w:sz w:val="24"/>
          <w:szCs w:val="24"/>
        </w:rPr>
        <w:t>Aurukun area, Coen area, Hope Vale area</w:t>
      </w:r>
      <w:r w:rsidR="00D26FFD">
        <w:rPr>
          <w:rFonts w:cs="Arial"/>
          <w:color w:val="000000"/>
          <w:sz w:val="24"/>
          <w:szCs w:val="24"/>
        </w:rPr>
        <w:t xml:space="preserve"> and</w:t>
      </w:r>
      <w:r w:rsidR="005F7D5D">
        <w:rPr>
          <w:rFonts w:cs="Arial"/>
          <w:color w:val="000000"/>
          <w:sz w:val="24"/>
          <w:szCs w:val="24"/>
        </w:rPr>
        <w:t xml:space="preserve"> </w:t>
      </w:r>
      <w:r w:rsidRPr="009E267E">
        <w:rPr>
          <w:rFonts w:cs="Arial"/>
          <w:color w:val="000000"/>
          <w:sz w:val="24"/>
          <w:szCs w:val="24"/>
        </w:rPr>
        <w:t>Mossman Gorge area</w:t>
      </w:r>
      <w:r>
        <w:rPr>
          <w:rFonts w:cs="Arial"/>
          <w:color w:val="000000"/>
          <w:sz w:val="24"/>
          <w:szCs w:val="24"/>
        </w:rPr>
        <w:t xml:space="preserve">.  </w:t>
      </w:r>
    </w:p>
    <w:p w:rsidR="000E197C" w:rsidRPr="009E267E" w:rsidRDefault="000E197C" w:rsidP="008B7560">
      <w:pPr>
        <w:jc w:val="both"/>
        <w:rPr>
          <w:rFonts w:cs="Arial"/>
          <w:b/>
          <w:bCs/>
          <w:sz w:val="24"/>
          <w:szCs w:val="24"/>
        </w:rPr>
      </w:pPr>
      <w:r w:rsidRPr="009E267E">
        <w:rPr>
          <w:rFonts w:cs="Arial"/>
          <w:b/>
          <w:bCs/>
          <w:sz w:val="24"/>
          <w:szCs w:val="24"/>
        </w:rPr>
        <w:t>Background</w:t>
      </w:r>
    </w:p>
    <w:p w:rsidR="001547EE" w:rsidRPr="009E267E" w:rsidRDefault="001E11B5" w:rsidP="008B7560">
      <w:pPr>
        <w:jc w:val="both"/>
        <w:rPr>
          <w:rFonts w:cs="Arial"/>
          <w:bCs/>
          <w:sz w:val="24"/>
          <w:szCs w:val="24"/>
        </w:rPr>
      </w:pPr>
      <w:r w:rsidRPr="009E267E">
        <w:rPr>
          <w:rFonts w:cs="Arial"/>
          <w:bCs/>
          <w:sz w:val="24"/>
          <w:szCs w:val="24"/>
        </w:rPr>
        <w:t>S</w:t>
      </w:r>
      <w:r w:rsidR="0052338B" w:rsidRPr="009E267E">
        <w:rPr>
          <w:rFonts w:cs="Arial"/>
          <w:bCs/>
          <w:sz w:val="24"/>
          <w:szCs w:val="24"/>
        </w:rPr>
        <w:t>ubse</w:t>
      </w:r>
      <w:r w:rsidRPr="009E267E">
        <w:rPr>
          <w:rFonts w:cs="Arial"/>
          <w:bCs/>
          <w:sz w:val="24"/>
          <w:szCs w:val="24"/>
        </w:rPr>
        <w:t>ction</w:t>
      </w:r>
      <w:r w:rsidR="0052338B" w:rsidRPr="009E267E">
        <w:rPr>
          <w:rFonts w:cs="Arial"/>
          <w:bCs/>
          <w:sz w:val="24"/>
          <w:szCs w:val="24"/>
        </w:rPr>
        <w:t>s</w:t>
      </w:r>
      <w:r w:rsidRPr="009E267E">
        <w:rPr>
          <w:rFonts w:cs="Arial"/>
          <w:bCs/>
          <w:sz w:val="24"/>
          <w:szCs w:val="24"/>
        </w:rPr>
        <w:t xml:space="preserve"> </w:t>
      </w:r>
      <w:proofErr w:type="spellStart"/>
      <w:proofErr w:type="gramStart"/>
      <w:r w:rsidRPr="009E267E">
        <w:rPr>
          <w:rFonts w:cs="Arial"/>
          <w:bCs/>
          <w:sz w:val="24"/>
          <w:szCs w:val="24"/>
        </w:rPr>
        <w:t>123UF</w:t>
      </w:r>
      <w:proofErr w:type="spellEnd"/>
      <w:r w:rsidR="0052338B" w:rsidRPr="009E267E">
        <w:rPr>
          <w:rFonts w:cs="Arial"/>
          <w:bCs/>
          <w:sz w:val="24"/>
          <w:szCs w:val="24"/>
        </w:rPr>
        <w:t>(</w:t>
      </w:r>
      <w:proofErr w:type="gramEnd"/>
      <w:r w:rsidR="0052338B" w:rsidRPr="009E267E">
        <w:rPr>
          <w:rFonts w:cs="Arial"/>
          <w:bCs/>
          <w:sz w:val="24"/>
          <w:szCs w:val="24"/>
        </w:rPr>
        <w:t>1) and (2)</w:t>
      </w:r>
      <w:r w:rsidRPr="009E267E">
        <w:rPr>
          <w:rFonts w:cs="Arial"/>
          <w:bCs/>
          <w:sz w:val="24"/>
          <w:szCs w:val="24"/>
        </w:rPr>
        <w:t xml:space="preserve"> of the </w:t>
      </w:r>
      <w:r w:rsidRPr="009E267E">
        <w:rPr>
          <w:rFonts w:cs="Arial"/>
          <w:bCs/>
          <w:i/>
          <w:sz w:val="24"/>
          <w:szCs w:val="24"/>
        </w:rPr>
        <w:t>Social Security (Administration) Act 1999</w:t>
      </w:r>
      <w:r w:rsidRPr="009E267E">
        <w:rPr>
          <w:rFonts w:cs="Arial"/>
          <w:bCs/>
          <w:sz w:val="24"/>
          <w:szCs w:val="24"/>
        </w:rPr>
        <w:t xml:space="preserve"> </w:t>
      </w:r>
      <w:r w:rsidR="007D4123">
        <w:rPr>
          <w:rFonts w:cs="Arial"/>
          <w:bCs/>
          <w:sz w:val="24"/>
          <w:szCs w:val="24"/>
        </w:rPr>
        <w:t>(</w:t>
      </w:r>
      <w:r w:rsidR="007D4123">
        <w:rPr>
          <w:rFonts w:cs="Arial"/>
          <w:b/>
          <w:bCs/>
          <w:sz w:val="24"/>
          <w:szCs w:val="24"/>
        </w:rPr>
        <w:t xml:space="preserve">Social Security Administration </w:t>
      </w:r>
      <w:r w:rsidR="007D4123" w:rsidRPr="007D4123">
        <w:rPr>
          <w:rFonts w:cs="Arial"/>
          <w:b/>
          <w:bCs/>
          <w:sz w:val="24"/>
          <w:szCs w:val="24"/>
        </w:rPr>
        <w:t>Act</w:t>
      </w:r>
      <w:r w:rsidR="007D4123">
        <w:rPr>
          <w:rFonts w:cs="Arial"/>
          <w:bCs/>
          <w:sz w:val="24"/>
          <w:szCs w:val="24"/>
        </w:rPr>
        <w:t xml:space="preserve">) </w:t>
      </w:r>
      <w:r w:rsidR="00CC0D8D">
        <w:rPr>
          <w:rFonts w:cs="Arial"/>
          <w:bCs/>
          <w:sz w:val="24"/>
          <w:szCs w:val="24"/>
        </w:rPr>
        <w:t>provide</w:t>
      </w:r>
      <w:r w:rsidRPr="009E267E">
        <w:rPr>
          <w:rFonts w:cs="Arial"/>
          <w:bCs/>
          <w:sz w:val="24"/>
          <w:szCs w:val="24"/>
        </w:rPr>
        <w:t xml:space="preserve"> for when a person become</w:t>
      </w:r>
      <w:r w:rsidR="0052338B" w:rsidRPr="009E267E">
        <w:rPr>
          <w:rFonts w:cs="Arial"/>
          <w:bCs/>
          <w:sz w:val="24"/>
          <w:szCs w:val="24"/>
        </w:rPr>
        <w:t>s</w:t>
      </w:r>
      <w:r w:rsidRPr="009E267E">
        <w:rPr>
          <w:rFonts w:cs="Arial"/>
          <w:bCs/>
          <w:sz w:val="24"/>
          <w:szCs w:val="24"/>
        </w:rPr>
        <w:t xml:space="preserve"> subject to the income management regime following a notice given </w:t>
      </w:r>
      <w:r w:rsidR="009E267E" w:rsidRPr="009E267E">
        <w:rPr>
          <w:rFonts w:cs="Arial"/>
          <w:bCs/>
          <w:sz w:val="24"/>
          <w:szCs w:val="24"/>
        </w:rPr>
        <w:t xml:space="preserve">to the Secretary </w:t>
      </w:r>
      <w:r w:rsidRPr="009E267E">
        <w:rPr>
          <w:rFonts w:cs="Arial"/>
          <w:bCs/>
          <w:sz w:val="24"/>
          <w:szCs w:val="24"/>
        </w:rPr>
        <w:t xml:space="preserve">by the Queensland Commission.  The </w:t>
      </w:r>
      <w:r w:rsidR="006268CA" w:rsidRPr="009E267E">
        <w:rPr>
          <w:rFonts w:cs="Arial"/>
          <w:bCs/>
          <w:sz w:val="24"/>
          <w:szCs w:val="24"/>
        </w:rPr>
        <w:t>effect of the definition of “</w:t>
      </w:r>
      <w:r w:rsidRPr="009E267E">
        <w:rPr>
          <w:rFonts w:cs="Arial"/>
          <w:bCs/>
          <w:sz w:val="24"/>
          <w:szCs w:val="24"/>
        </w:rPr>
        <w:t>Queensland Commission</w:t>
      </w:r>
      <w:r w:rsidR="006268CA" w:rsidRPr="009E267E">
        <w:rPr>
          <w:rFonts w:cs="Arial"/>
          <w:bCs/>
          <w:sz w:val="24"/>
          <w:szCs w:val="24"/>
        </w:rPr>
        <w:t xml:space="preserve">” in section </w:t>
      </w:r>
      <w:proofErr w:type="spellStart"/>
      <w:r w:rsidR="006268CA" w:rsidRPr="009E267E">
        <w:rPr>
          <w:rFonts w:cs="Arial"/>
          <w:bCs/>
          <w:sz w:val="24"/>
          <w:szCs w:val="24"/>
        </w:rPr>
        <w:t>123TC</w:t>
      </w:r>
      <w:proofErr w:type="spellEnd"/>
      <w:r w:rsidR="006268CA" w:rsidRPr="009E267E">
        <w:rPr>
          <w:rFonts w:cs="Arial"/>
          <w:bCs/>
          <w:sz w:val="24"/>
          <w:szCs w:val="24"/>
        </w:rPr>
        <w:t xml:space="preserve"> of the Social Security Administration Act</w:t>
      </w:r>
      <w:r w:rsidRPr="009E267E">
        <w:rPr>
          <w:rFonts w:cs="Arial"/>
          <w:bCs/>
          <w:sz w:val="24"/>
          <w:szCs w:val="24"/>
        </w:rPr>
        <w:t xml:space="preserve"> </w:t>
      </w:r>
      <w:r w:rsidR="006268CA" w:rsidRPr="009E267E">
        <w:rPr>
          <w:rFonts w:cs="Arial"/>
          <w:bCs/>
          <w:sz w:val="24"/>
          <w:szCs w:val="24"/>
        </w:rPr>
        <w:t xml:space="preserve">and the </w:t>
      </w:r>
      <w:r w:rsidR="006268CA" w:rsidRPr="009E267E">
        <w:rPr>
          <w:rFonts w:cs="Arial"/>
          <w:bCs/>
          <w:i/>
          <w:sz w:val="24"/>
          <w:szCs w:val="24"/>
        </w:rPr>
        <w:t>Social Security (Administration) – Queensland Commission (Family Responsibilities Commission) Specification 2014</w:t>
      </w:r>
      <w:r w:rsidR="006268CA" w:rsidRPr="009E267E">
        <w:rPr>
          <w:rFonts w:cs="Arial"/>
          <w:bCs/>
          <w:sz w:val="24"/>
          <w:szCs w:val="24"/>
        </w:rPr>
        <w:t xml:space="preserve"> is that the </w:t>
      </w:r>
      <w:proofErr w:type="spellStart"/>
      <w:r w:rsidR="006268CA" w:rsidRPr="009E267E">
        <w:rPr>
          <w:rFonts w:cs="Arial"/>
          <w:bCs/>
          <w:sz w:val="24"/>
          <w:szCs w:val="24"/>
        </w:rPr>
        <w:t>FRC</w:t>
      </w:r>
      <w:proofErr w:type="spellEnd"/>
      <w:r w:rsidR="006268CA" w:rsidRPr="009E267E">
        <w:rPr>
          <w:rFonts w:cs="Arial"/>
          <w:bCs/>
          <w:sz w:val="24"/>
          <w:szCs w:val="24"/>
        </w:rPr>
        <w:t xml:space="preserve"> is the Queensland Commission</w:t>
      </w:r>
      <w:r w:rsidRPr="009E267E">
        <w:rPr>
          <w:rFonts w:cs="Arial"/>
          <w:bCs/>
          <w:sz w:val="24"/>
          <w:szCs w:val="24"/>
        </w:rPr>
        <w:t>.</w:t>
      </w:r>
    </w:p>
    <w:p w:rsidR="009E267E" w:rsidRPr="009E267E" w:rsidRDefault="0052338B" w:rsidP="008B7560">
      <w:pPr>
        <w:jc w:val="both"/>
        <w:rPr>
          <w:rFonts w:cs="Arial"/>
          <w:bCs/>
          <w:sz w:val="24"/>
          <w:szCs w:val="24"/>
        </w:rPr>
      </w:pPr>
      <w:r w:rsidRPr="009E267E">
        <w:rPr>
          <w:rFonts w:cs="Arial"/>
          <w:bCs/>
          <w:sz w:val="24"/>
          <w:szCs w:val="24"/>
        </w:rPr>
        <w:t xml:space="preserve">If other legislative circumstances are met, a person will become subject to income management if the notice from the </w:t>
      </w:r>
      <w:proofErr w:type="spellStart"/>
      <w:r w:rsidRPr="009E267E">
        <w:rPr>
          <w:rFonts w:cs="Arial"/>
          <w:bCs/>
          <w:sz w:val="24"/>
          <w:szCs w:val="24"/>
        </w:rPr>
        <w:t>FRC</w:t>
      </w:r>
      <w:proofErr w:type="spellEnd"/>
      <w:r w:rsidRPr="009E267E">
        <w:rPr>
          <w:rFonts w:cs="Arial"/>
          <w:bCs/>
          <w:sz w:val="24"/>
          <w:szCs w:val="24"/>
        </w:rPr>
        <w:t xml:space="preserve"> is given under a law of Q</w:t>
      </w:r>
      <w:r w:rsidR="009E267E" w:rsidRPr="009E267E">
        <w:rPr>
          <w:rFonts w:cs="Arial"/>
          <w:bCs/>
          <w:sz w:val="24"/>
          <w:szCs w:val="24"/>
        </w:rPr>
        <w:t xml:space="preserve">ueensland (paragraphs </w:t>
      </w:r>
      <w:proofErr w:type="spellStart"/>
      <w:proofErr w:type="gramStart"/>
      <w:r w:rsidR="009E267E" w:rsidRPr="009E267E">
        <w:rPr>
          <w:rFonts w:cs="Arial"/>
          <w:bCs/>
          <w:sz w:val="24"/>
          <w:szCs w:val="24"/>
        </w:rPr>
        <w:t>123UF</w:t>
      </w:r>
      <w:proofErr w:type="spellEnd"/>
      <w:r w:rsidR="009E267E" w:rsidRPr="009E267E">
        <w:rPr>
          <w:rFonts w:cs="Arial"/>
          <w:bCs/>
          <w:sz w:val="24"/>
          <w:szCs w:val="24"/>
        </w:rPr>
        <w:t>(</w:t>
      </w:r>
      <w:proofErr w:type="gramEnd"/>
      <w:r w:rsidR="009E267E" w:rsidRPr="009E267E">
        <w:rPr>
          <w:rFonts w:cs="Arial"/>
          <w:bCs/>
          <w:sz w:val="24"/>
          <w:szCs w:val="24"/>
        </w:rPr>
        <w:t>1)(c</w:t>
      </w:r>
      <w:r w:rsidRPr="009E267E">
        <w:rPr>
          <w:rFonts w:cs="Arial"/>
          <w:bCs/>
          <w:sz w:val="24"/>
          <w:szCs w:val="24"/>
        </w:rPr>
        <w:t xml:space="preserve">) and </w:t>
      </w:r>
      <w:proofErr w:type="spellStart"/>
      <w:r w:rsidRPr="009E267E">
        <w:rPr>
          <w:rFonts w:cs="Arial"/>
          <w:bCs/>
          <w:sz w:val="24"/>
          <w:szCs w:val="24"/>
        </w:rPr>
        <w:t>123UF</w:t>
      </w:r>
      <w:proofErr w:type="spellEnd"/>
      <w:r w:rsidRPr="009E267E">
        <w:rPr>
          <w:rFonts w:cs="Arial"/>
          <w:bCs/>
          <w:sz w:val="24"/>
          <w:szCs w:val="24"/>
        </w:rPr>
        <w:t>(2)(</w:t>
      </w:r>
      <w:r w:rsidR="009E267E" w:rsidRPr="009E267E">
        <w:rPr>
          <w:rFonts w:cs="Arial"/>
          <w:bCs/>
          <w:sz w:val="24"/>
          <w:szCs w:val="24"/>
        </w:rPr>
        <w:t>d) of the Social Security Administration Act</w:t>
      </w:r>
      <w:r w:rsidR="007D4123">
        <w:rPr>
          <w:rFonts w:cs="Arial"/>
          <w:bCs/>
          <w:sz w:val="24"/>
          <w:szCs w:val="24"/>
        </w:rPr>
        <w:t>)</w:t>
      </w:r>
      <w:r w:rsidR="009E267E" w:rsidRPr="009E267E">
        <w:rPr>
          <w:rFonts w:cs="Arial"/>
          <w:bCs/>
          <w:sz w:val="24"/>
          <w:szCs w:val="24"/>
        </w:rPr>
        <w:t xml:space="preserve">.  The </w:t>
      </w:r>
      <w:proofErr w:type="spellStart"/>
      <w:r w:rsidR="009E267E" w:rsidRPr="009E267E">
        <w:rPr>
          <w:rFonts w:cs="Arial"/>
          <w:bCs/>
          <w:sz w:val="24"/>
          <w:szCs w:val="24"/>
        </w:rPr>
        <w:t>FRC</w:t>
      </w:r>
      <w:proofErr w:type="spellEnd"/>
      <w:r w:rsidR="009E267E" w:rsidRPr="009E267E">
        <w:rPr>
          <w:rFonts w:cs="Arial"/>
          <w:bCs/>
          <w:sz w:val="24"/>
          <w:szCs w:val="24"/>
        </w:rPr>
        <w:t xml:space="preserve"> relies on provisions in the </w:t>
      </w:r>
      <w:r w:rsidR="009E267E" w:rsidRPr="009E267E">
        <w:rPr>
          <w:rFonts w:cs="Arial"/>
          <w:bCs/>
          <w:i/>
          <w:sz w:val="24"/>
          <w:szCs w:val="24"/>
        </w:rPr>
        <w:t xml:space="preserve">Family Responsibilities Commission Act 2008 </w:t>
      </w:r>
      <w:r w:rsidR="009E267E" w:rsidRPr="009E267E">
        <w:rPr>
          <w:rFonts w:cs="Arial"/>
          <w:bCs/>
          <w:sz w:val="24"/>
          <w:szCs w:val="24"/>
        </w:rPr>
        <w:t>(Qld) (</w:t>
      </w:r>
      <w:proofErr w:type="spellStart"/>
      <w:r w:rsidR="009E267E" w:rsidRPr="007D4123">
        <w:rPr>
          <w:rFonts w:cs="Arial"/>
          <w:b/>
          <w:bCs/>
          <w:sz w:val="24"/>
          <w:szCs w:val="24"/>
        </w:rPr>
        <w:t>FRC</w:t>
      </w:r>
      <w:proofErr w:type="spellEnd"/>
      <w:r w:rsidR="009E267E" w:rsidRPr="007D4123">
        <w:rPr>
          <w:rFonts w:cs="Arial"/>
          <w:b/>
          <w:bCs/>
          <w:sz w:val="24"/>
          <w:szCs w:val="24"/>
        </w:rPr>
        <w:t xml:space="preserve"> Act</w:t>
      </w:r>
      <w:r w:rsidR="009E267E" w:rsidRPr="009E267E">
        <w:rPr>
          <w:rFonts w:cs="Arial"/>
          <w:bCs/>
          <w:sz w:val="24"/>
          <w:szCs w:val="24"/>
        </w:rPr>
        <w:t xml:space="preserve">) to provide notices to the Secretary.  In general terms, the </w:t>
      </w:r>
      <w:proofErr w:type="spellStart"/>
      <w:r w:rsidR="009E267E" w:rsidRPr="009E267E">
        <w:rPr>
          <w:rFonts w:cs="Arial"/>
          <w:bCs/>
          <w:sz w:val="24"/>
          <w:szCs w:val="24"/>
        </w:rPr>
        <w:t>FRC</w:t>
      </w:r>
      <w:proofErr w:type="spellEnd"/>
      <w:r w:rsidR="009E267E" w:rsidRPr="009E267E">
        <w:rPr>
          <w:rFonts w:cs="Arial"/>
          <w:bCs/>
          <w:sz w:val="24"/>
          <w:szCs w:val="24"/>
        </w:rPr>
        <w:t xml:space="preserve"> may give such a notice in respect of certain persons who are community members.  Section 7 of the </w:t>
      </w:r>
      <w:proofErr w:type="spellStart"/>
      <w:r w:rsidR="009E267E" w:rsidRPr="009E267E">
        <w:rPr>
          <w:rFonts w:cs="Arial"/>
          <w:bCs/>
          <w:sz w:val="24"/>
          <w:szCs w:val="24"/>
        </w:rPr>
        <w:t>FRC</w:t>
      </w:r>
      <w:proofErr w:type="spellEnd"/>
      <w:r w:rsidR="009E267E" w:rsidRPr="009E267E">
        <w:rPr>
          <w:rFonts w:cs="Arial"/>
          <w:bCs/>
          <w:sz w:val="24"/>
          <w:szCs w:val="24"/>
        </w:rPr>
        <w:t xml:space="preserve"> Act provides that a person is a community member if the person is a welfare recipient and either:</w:t>
      </w:r>
    </w:p>
    <w:p w:rsidR="001E11B5" w:rsidRPr="009E267E" w:rsidRDefault="009E267E" w:rsidP="008B7560">
      <w:pPr>
        <w:pStyle w:val="ListParagraph"/>
        <w:numPr>
          <w:ilvl w:val="0"/>
          <w:numId w:val="2"/>
        </w:numPr>
        <w:jc w:val="both"/>
        <w:rPr>
          <w:rFonts w:cs="Arial"/>
          <w:bCs/>
          <w:sz w:val="24"/>
          <w:szCs w:val="24"/>
        </w:rPr>
      </w:pPr>
      <w:r w:rsidRPr="009E267E">
        <w:rPr>
          <w:rFonts w:cs="Arial"/>
          <w:color w:val="000000"/>
          <w:sz w:val="24"/>
          <w:szCs w:val="24"/>
        </w:rPr>
        <w:t>the person’s usual place of residence is, or was on the commencement of section 7, in a welfare reform community area; or</w:t>
      </w:r>
    </w:p>
    <w:p w:rsidR="009E267E" w:rsidRPr="009E267E" w:rsidRDefault="009E267E" w:rsidP="008B7560">
      <w:pPr>
        <w:pStyle w:val="ListParagraph"/>
        <w:numPr>
          <w:ilvl w:val="0"/>
          <w:numId w:val="2"/>
        </w:numPr>
        <w:jc w:val="both"/>
        <w:rPr>
          <w:rFonts w:cs="Arial"/>
          <w:bCs/>
          <w:sz w:val="24"/>
          <w:szCs w:val="24"/>
        </w:rPr>
      </w:pPr>
      <w:proofErr w:type="gramStart"/>
      <w:r w:rsidRPr="009E267E">
        <w:rPr>
          <w:rFonts w:cs="Arial"/>
          <w:color w:val="000000"/>
          <w:sz w:val="24"/>
          <w:szCs w:val="24"/>
        </w:rPr>
        <w:t>the</w:t>
      </w:r>
      <w:proofErr w:type="gramEnd"/>
      <w:r w:rsidRPr="009E267E">
        <w:rPr>
          <w:rFonts w:cs="Arial"/>
          <w:color w:val="000000"/>
          <w:sz w:val="24"/>
          <w:szCs w:val="24"/>
        </w:rPr>
        <w:t xml:space="preserve"> person has, at any time after the commencement of section 7, lived in a welfare community area for at least 3 months.</w:t>
      </w:r>
    </w:p>
    <w:p w:rsidR="009E267E" w:rsidRPr="009E267E" w:rsidRDefault="009E267E" w:rsidP="008B7560">
      <w:pPr>
        <w:jc w:val="both"/>
        <w:rPr>
          <w:rFonts w:cs="Arial"/>
          <w:bCs/>
          <w:sz w:val="24"/>
          <w:szCs w:val="24"/>
        </w:rPr>
      </w:pPr>
      <w:r w:rsidRPr="009E267E">
        <w:rPr>
          <w:rFonts w:cs="Arial"/>
          <w:bCs/>
          <w:sz w:val="24"/>
          <w:szCs w:val="24"/>
        </w:rPr>
        <w:lastRenderedPageBreak/>
        <w:t xml:space="preserve">Section 7 of the </w:t>
      </w:r>
      <w:proofErr w:type="spellStart"/>
      <w:r w:rsidRPr="009E267E">
        <w:rPr>
          <w:rFonts w:cs="Arial"/>
          <w:bCs/>
          <w:sz w:val="24"/>
          <w:szCs w:val="24"/>
        </w:rPr>
        <w:t>FRC</w:t>
      </w:r>
      <w:proofErr w:type="spellEnd"/>
      <w:r w:rsidRPr="009E267E">
        <w:rPr>
          <w:rFonts w:cs="Arial"/>
          <w:bCs/>
          <w:sz w:val="24"/>
          <w:szCs w:val="24"/>
        </w:rPr>
        <w:t xml:space="preserve"> Act commenced on 1 July 2008.</w:t>
      </w:r>
    </w:p>
    <w:p w:rsidR="009E267E" w:rsidRDefault="00D133A3" w:rsidP="008B7560">
      <w:pPr>
        <w:jc w:val="both"/>
        <w:rPr>
          <w:rFonts w:cs="Arial"/>
          <w:color w:val="000000"/>
          <w:sz w:val="24"/>
          <w:szCs w:val="24"/>
        </w:rPr>
      </w:pPr>
      <w:r>
        <w:rPr>
          <w:rFonts w:cs="Arial"/>
          <w:color w:val="000000"/>
          <w:sz w:val="24"/>
          <w:szCs w:val="24"/>
        </w:rPr>
        <w:t>“</w:t>
      </w:r>
      <w:r w:rsidR="009E267E" w:rsidRPr="009E267E">
        <w:rPr>
          <w:rFonts w:cs="Arial"/>
          <w:color w:val="000000"/>
          <w:sz w:val="24"/>
          <w:szCs w:val="24"/>
        </w:rPr>
        <w:t xml:space="preserve">Welfare reform community area” is defined in the Dictionary of the </w:t>
      </w:r>
      <w:proofErr w:type="spellStart"/>
      <w:r w:rsidR="009E267E" w:rsidRPr="009E267E">
        <w:rPr>
          <w:rFonts w:cs="Arial"/>
          <w:color w:val="000000"/>
          <w:sz w:val="24"/>
          <w:szCs w:val="24"/>
        </w:rPr>
        <w:t>FRC</w:t>
      </w:r>
      <w:proofErr w:type="spellEnd"/>
      <w:r w:rsidR="009E267E" w:rsidRPr="009E267E">
        <w:rPr>
          <w:rFonts w:cs="Arial"/>
          <w:color w:val="000000"/>
          <w:sz w:val="24"/>
          <w:szCs w:val="24"/>
        </w:rPr>
        <w:t xml:space="preserve"> Act to mean the Aurukun area, Coen area, Hope Vale area, Mossman Gorge area or another area prescribed under regulation</w:t>
      </w:r>
      <w:r>
        <w:rPr>
          <w:rFonts w:cs="Arial"/>
          <w:color w:val="000000"/>
          <w:sz w:val="24"/>
          <w:szCs w:val="24"/>
        </w:rPr>
        <w:t xml:space="preserve">.  The </w:t>
      </w:r>
      <w:r>
        <w:rPr>
          <w:rFonts w:cs="Arial"/>
          <w:i/>
          <w:color w:val="000000"/>
          <w:sz w:val="24"/>
          <w:szCs w:val="24"/>
        </w:rPr>
        <w:t xml:space="preserve">Family Responsibilities Commission Regulation 2008 </w:t>
      </w:r>
      <w:r>
        <w:rPr>
          <w:rFonts w:cs="Arial"/>
          <w:color w:val="000000"/>
          <w:sz w:val="24"/>
          <w:szCs w:val="24"/>
        </w:rPr>
        <w:t xml:space="preserve">(Qld) </w:t>
      </w:r>
      <w:r w:rsidR="007D4123">
        <w:rPr>
          <w:rFonts w:cs="Arial"/>
          <w:color w:val="000000"/>
          <w:sz w:val="24"/>
          <w:szCs w:val="24"/>
        </w:rPr>
        <w:t>(</w:t>
      </w:r>
      <w:proofErr w:type="spellStart"/>
      <w:r w:rsidR="007D4123" w:rsidRPr="007D4123">
        <w:rPr>
          <w:rFonts w:cs="Arial"/>
          <w:b/>
          <w:color w:val="000000"/>
          <w:sz w:val="24"/>
          <w:szCs w:val="24"/>
        </w:rPr>
        <w:t>FRC</w:t>
      </w:r>
      <w:proofErr w:type="spellEnd"/>
      <w:r w:rsidR="007D4123" w:rsidRPr="007D4123">
        <w:rPr>
          <w:rFonts w:cs="Arial"/>
          <w:b/>
          <w:color w:val="000000"/>
          <w:sz w:val="24"/>
          <w:szCs w:val="24"/>
        </w:rPr>
        <w:t xml:space="preserve"> Regulation</w:t>
      </w:r>
      <w:r w:rsidR="007D4123">
        <w:rPr>
          <w:rFonts w:cs="Arial"/>
          <w:color w:val="000000"/>
          <w:sz w:val="24"/>
          <w:szCs w:val="24"/>
        </w:rPr>
        <w:t xml:space="preserve">) </w:t>
      </w:r>
      <w:r>
        <w:rPr>
          <w:rFonts w:cs="Arial"/>
          <w:color w:val="000000"/>
          <w:sz w:val="24"/>
          <w:szCs w:val="24"/>
        </w:rPr>
        <w:t>was amended on 7 August 2014 to provide that the area of Doomadgee Aboriginal Shire Council is prescribed as a welfare reform community area.  No other areas have been prescribed by regulation as welfare reform community areas.</w:t>
      </w:r>
    </w:p>
    <w:p w:rsidR="00D133A3" w:rsidRDefault="00D133A3" w:rsidP="008B7560">
      <w:pPr>
        <w:jc w:val="both"/>
        <w:rPr>
          <w:rFonts w:cs="Arial"/>
          <w:color w:val="000000"/>
          <w:sz w:val="24"/>
          <w:szCs w:val="24"/>
        </w:rPr>
      </w:pPr>
      <w:r>
        <w:rPr>
          <w:rFonts w:cs="Arial"/>
          <w:color w:val="000000"/>
          <w:sz w:val="24"/>
          <w:szCs w:val="24"/>
        </w:rPr>
        <w:t xml:space="preserve">Paragraphs </w:t>
      </w:r>
      <w:proofErr w:type="spellStart"/>
      <w:r>
        <w:rPr>
          <w:rFonts w:cs="Arial"/>
          <w:color w:val="000000"/>
          <w:sz w:val="24"/>
          <w:szCs w:val="24"/>
        </w:rPr>
        <w:t>123UF</w:t>
      </w:r>
      <w:proofErr w:type="spellEnd"/>
      <w:r>
        <w:rPr>
          <w:rFonts w:cs="Arial"/>
          <w:color w:val="000000"/>
          <w:sz w:val="24"/>
          <w:szCs w:val="24"/>
        </w:rPr>
        <w:t xml:space="preserve">(1)(d) and </w:t>
      </w:r>
      <w:proofErr w:type="spellStart"/>
      <w:r>
        <w:rPr>
          <w:rFonts w:cs="Arial"/>
          <w:color w:val="000000"/>
          <w:sz w:val="24"/>
          <w:szCs w:val="24"/>
        </w:rPr>
        <w:t>123UF</w:t>
      </w:r>
      <w:proofErr w:type="spellEnd"/>
      <w:r>
        <w:rPr>
          <w:rFonts w:cs="Arial"/>
          <w:color w:val="000000"/>
          <w:sz w:val="24"/>
          <w:szCs w:val="24"/>
        </w:rPr>
        <w:t>(2)(e) of the Social Security Administration Act provide that for a person to be subject to income management</w:t>
      </w:r>
      <w:r w:rsidR="008B7560">
        <w:rPr>
          <w:rFonts w:cs="Arial"/>
          <w:color w:val="000000"/>
          <w:sz w:val="24"/>
          <w:szCs w:val="24"/>
        </w:rPr>
        <w:t xml:space="preserve"> under section </w:t>
      </w:r>
      <w:proofErr w:type="spellStart"/>
      <w:r w:rsidR="008B7560">
        <w:rPr>
          <w:rFonts w:cs="Arial"/>
          <w:color w:val="000000"/>
          <w:sz w:val="24"/>
          <w:szCs w:val="24"/>
        </w:rPr>
        <w:t>123UF</w:t>
      </w:r>
      <w:proofErr w:type="spellEnd"/>
      <w:r w:rsidR="00695084">
        <w:rPr>
          <w:rFonts w:cs="Arial"/>
          <w:color w:val="000000"/>
          <w:sz w:val="24"/>
          <w:szCs w:val="24"/>
        </w:rPr>
        <w:t>,</w:t>
      </w:r>
      <w:r>
        <w:rPr>
          <w:rFonts w:cs="Arial"/>
          <w:color w:val="000000"/>
          <w:sz w:val="24"/>
          <w:szCs w:val="24"/>
        </w:rPr>
        <w:t xml:space="preserve"> the notice from the </w:t>
      </w:r>
      <w:proofErr w:type="spellStart"/>
      <w:r>
        <w:rPr>
          <w:rFonts w:cs="Arial"/>
          <w:color w:val="000000"/>
          <w:sz w:val="24"/>
          <w:szCs w:val="24"/>
        </w:rPr>
        <w:t>FRC</w:t>
      </w:r>
      <w:proofErr w:type="spellEnd"/>
      <w:r>
        <w:rPr>
          <w:rFonts w:cs="Arial"/>
          <w:color w:val="000000"/>
          <w:sz w:val="24"/>
          <w:szCs w:val="24"/>
        </w:rPr>
        <w:t xml:space="preserve"> must not have been given in such circumstances (if any) </w:t>
      </w:r>
      <w:r w:rsidR="00695084">
        <w:rPr>
          <w:rFonts w:cs="Arial"/>
          <w:color w:val="000000"/>
          <w:sz w:val="24"/>
          <w:szCs w:val="24"/>
        </w:rPr>
        <w:t xml:space="preserve">as are specified by the Minister for the purpose of those paragraphs.  </w:t>
      </w:r>
    </w:p>
    <w:p w:rsidR="000E197C" w:rsidRPr="00231684" w:rsidRDefault="000E197C" w:rsidP="008B7560">
      <w:pPr>
        <w:jc w:val="both"/>
        <w:rPr>
          <w:b/>
          <w:sz w:val="24"/>
          <w:szCs w:val="24"/>
          <w:lang w:val="en"/>
        </w:rPr>
      </w:pPr>
      <w:r>
        <w:rPr>
          <w:b/>
          <w:sz w:val="24"/>
          <w:szCs w:val="24"/>
          <w:lang w:val="en"/>
        </w:rPr>
        <w:t>Summary</w:t>
      </w:r>
    </w:p>
    <w:p w:rsidR="00273D45" w:rsidRDefault="007D4123" w:rsidP="00FB7ABE">
      <w:pPr>
        <w:jc w:val="both"/>
        <w:rPr>
          <w:rFonts w:cs="Arial"/>
          <w:color w:val="000000"/>
          <w:sz w:val="24"/>
          <w:szCs w:val="24"/>
        </w:rPr>
      </w:pPr>
      <w:r>
        <w:rPr>
          <w:rFonts w:cs="Arial"/>
          <w:color w:val="000000"/>
          <w:sz w:val="24"/>
          <w:szCs w:val="24"/>
        </w:rPr>
        <w:t xml:space="preserve">This Specification seeks to ensure that income management </w:t>
      </w:r>
      <w:r w:rsidR="00CC0D8D">
        <w:rPr>
          <w:rFonts w:cs="Arial"/>
          <w:color w:val="000000"/>
          <w:sz w:val="24"/>
          <w:szCs w:val="24"/>
        </w:rPr>
        <w:t xml:space="preserve">under section </w:t>
      </w:r>
      <w:proofErr w:type="spellStart"/>
      <w:r w:rsidR="00CC0D8D">
        <w:rPr>
          <w:rFonts w:cs="Arial"/>
          <w:color w:val="000000"/>
          <w:sz w:val="24"/>
          <w:szCs w:val="24"/>
        </w:rPr>
        <w:t>123UF</w:t>
      </w:r>
      <w:proofErr w:type="spellEnd"/>
      <w:r w:rsidR="00CC0D8D">
        <w:rPr>
          <w:rFonts w:cs="Arial"/>
          <w:color w:val="000000"/>
          <w:sz w:val="24"/>
          <w:szCs w:val="24"/>
        </w:rPr>
        <w:t xml:space="preserve"> of the Social Security Administration Act </w:t>
      </w:r>
      <w:r w:rsidR="00FD206D">
        <w:rPr>
          <w:rFonts w:cs="Arial"/>
          <w:color w:val="000000"/>
          <w:sz w:val="24"/>
          <w:szCs w:val="24"/>
        </w:rPr>
        <w:t xml:space="preserve">will not </w:t>
      </w:r>
      <w:r>
        <w:rPr>
          <w:rFonts w:cs="Arial"/>
          <w:color w:val="000000"/>
          <w:sz w:val="24"/>
          <w:szCs w:val="24"/>
        </w:rPr>
        <w:t xml:space="preserve">apply to a person </w:t>
      </w:r>
      <w:r w:rsidR="00273D45">
        <w:rPr>
          <w:rFonts w:cs="Arial"/>
          <w:color w:val="000000"/>
          <w:sz w:val="24"/>
          <w:szCs w:val="24"/>
        </w:rPr>
        <w:t>where:</w:t>
      </w:r>
    </w:p>
    <w:p w:rsidR="00273D45" w:rsidRDefault="00273D45" w:rsidP="00273D45">
      <w:pPr>
        <w:pStyle w:val="ListParagraph"/>
        <w:numPr>
          <w:ilvl w:val="0"/>
          <w:numId w:val="4"/>
        </w:numPr>
        <w:jc w:val="both"/>
        <w:rPr>
          <w:rStyle w:val="BookTitle"/>
          <w:i w:val="0"/>
          <w:iCs w:val="0"/>
          <w:smallCaps w:val="0"/>
          <w:spacing w:val="0"/>
          <w:sz w:val="24"/>
          <w:szCs w:val="24"/>
        </w:rPr>
      </w:pPr>
      <w:r w:rsidRPr="00834965">
        <w:rPr>
          <w:rStyle w:val="BookTitle"/>
          <w:i w:val="0"/>
          <w:iCs w:val="0"/>
          <w:smallCaps w:val="0"/>
          <w:spacing w:val="0"/>
          <w:sz w:val="24"/>
          <w:szCs w:val="24"/>
        </w:rPr>
        <w:t>the person’</w:t>
      </w:r>
      <w:r w:rsidR="00FD206D">
        <w:rPr>
          <w:rStyle w:val="BookTitle"/>
          <w:i w:val="0"/>
          <w:iCs w:val="0"/>
          <w:smallCaps w:val="0"/>
          <w:spacing w:val="0"/>
          <w:sz w:val="24"/>
          <w:szCs w:val="24"/>
        </w:rPr>
        <w:t>s usual place of residence is in an area other than</w:t>
      </w:r>
      <w:r w:rsidRPr="00834965">
        <w:rPr>
          <w:rStyle w:val="BookTitle"/>
          <w:i w:val="0"/>
          <w:iCs w:val="0"/>
          <w:smallCaps w:val="0"/>
          <w:spacing w:val="0"/>
          <w:sz w:val="24"/>
          <w:szCs w:val="24"/>
        </w:rPr>
        <w:t xml:space="preserve"> Aurukun</w:t>
      </w:r>
      <w:r>
        <w:rPr>
          <w:rStyle w:val="BookTitle"/>
          <w:i w:val="0"/>
          <w:iCs w:val="0"/>
          <w:smallCaps w:val="0"/>
          <w:spacing w:val="0"/>
          <w:sz w:val="24"/>
          <w:szCs w:val="24"/>
        </w:rPr>
        <w:t xml:space="preserve"> area</w:t>
      </w:r>
      <w:r w:rsidRPr="00834965">
        <w:rPr>
          <w:rStyle w:val="BookTitle"/>
          <w:i w:val="0"/>
          <w:iCs w:val="0"/>
          <w:smallCaps w:val="0"/>
          <w:spacing w:val="0"/>
          <w:sz w:val="24"/>
          <w:szCs w:val="24"/>
        </w:rPr>
        <w:t>, Coen</w:t>
      </w:r>
      <w:r w:rsidR="004D574B">
        <w:rPr>
          <w:rStyle w:val="BookTitle"/>
          <w:i w:val="0"/>
          <w:iCs w:val="0"/>
          <w:smallCaps w:val="0"/>
          <w:spacing w:val="0"/>
          <w:sz w:val="24"/>
          <w:szCs w:val="24"/>
        </w:rPr>
        <w:t xml:space="preserve"> </w:t>
      </w:r>
      <w:r>
        <w:rPr>
          <w:rStyle w:val="BookTitle"/>
          <w:i w:val="0"/>
          <w:iCs w:val="0"/>
          <w:smallCaps w:val="0"/>
          <w:spacing w:val="0"/>
          <w:sz w:val="24"/>
          <w:szCs w:val="24"/>
        </w:rPr>
        <w:t>area</w:t>
      </w:r>
      <w:r w:rsidRPr="00834965">
        <w:rPr>
          <w:rStyle w:val="BookTitle"/>
          <w:i w:val="0"/>
          <w:iCs w:val="0"/>
          <w:smallCaps w:val="0"/>
          <w:spacing w:val="0"/>
          <w:sz w:val="24"/>
          <w:szCs w:val="24"/>
        </w:rPr>
        <w:t>, Hope Vale</w:t>
      </w:r>
      <w:r>
        <w:rPr>
          <w:rStyle w:val="BookTitle"/>
          <w:i w:val="0"/>
          <w:iCs w:val="0"/>
          <w:smallCaps w:val="0"/>
          <w:spacing w:val="0"/>
          <w:sz w:val="24"/>
          <w:szCs w:val="24"/>
        </w:rPr>
        <w:t xml:space="preserve"> area</w:t>
      </w:r>
      <w:r w:rsidRPr="00834965">
        <w:rPr>
          <w:rStyle w:val="BookTitle"/>
          <w:i w:val="0"/>
          <w:iCs w:val="0"/>
          <w:smallCaps w:val="0"/>
          <w:spacing w:val="0"/>
          <w:sz w:val="24"/>
          <w:szCs w:val="24"/>
        </w:rPr>
        <w:t xml:space="preserve"> </w:t>
      </w:r>
      <w:r>
        <w:rPr>
          <w:rStyle w:val="BookTitle"/>
          <w:i w:val="0"/>
          <w:iCs w:val="0"/>
          <w:smallCaps w:val="0"/>
          <w:spacing w:val="0"/>
          <w:sz w:val="24"/>
          <w:szCs w:val="24"/>
        </w:rPr>
        <w:t>or</w:t>
      </w:r>
      <w:r w:rsidRPr="00834965">
        <w:rPr>
          <w:rStyle w:val="BookTitle"/>
          <w:i w:val="0"/>
          <w:iCs w:val="0"/>
          <w:smallCaps w:val="0"/>
          <w:spacing w:val="0"/>
          <w:sz w:val="24"/>
          <w:szCs w:val="24"/>
        </w:rPr>
        <w:t xml:space="preserve"> Mossman Gorge</w:t>
      </w:r>
      <w:r>
        <w:rPr>
          <w:rStyle w:val="BookTitle"/>
          <w:i w:val="0"/>
          <w:iCs w:val="0"/>
          <w:smallCaps w:val="0"/>
          <w:spacing w:val="0"/>
          <w:sz w:val="24"/>
          <w:szCs w:val="24"/>
        </w:rPr>
        <w:t xml:space="preserve"> area;</w:t>
      </w:r>
      <w:r w:rsidRPr="00834965">
        <w:rPr>
          <w:rStyle w:val="BookTitle"/>
          <w:i w:val="0"/>
          <w:iCs w:val="0"/>
          <w:smallCaps w:val="0"/>
          <w:spacing w:val="0"/>
          <w:sz w:val="24"/>
          <w:szCs w:val="24"/>
        </w:rPr>
        <w:t xml:space="preserve"> </w:t>
      </w:r>
    </w:p>
    <w:p w:rsidR="00273D45" w:rsidRDefault="00273D45" w:rsidP="00273D45">
      <w:pPr>
        <w:pStyle w:val="ListParagraph"/>
        <w:numPr>
          <w:ilvl w:val="0"/>
          <w:numId w:val="4"/>
        </w:numPr>
        <w:jc w:val="both"/>
        <w:rPr>
          <w:rStyle w:val="BookTitle"/>
          <w:i w:val="0"/>
          <w:iCs w:val="0"/>
          <w:smallCaps w:val="0"/>
          <w:spacing w:val="0"/>
          <w:sz w:val="24"/>
          <w:szCs w:val="24"/>
        </w:rPr>
      </w:pPr>
      <w:r w:rsidRPr="00435514">
        <w:rPr>
          <w:rStyle w:val="BookTitle"/>
          <w:i w:val="0"/>
          <w:iCs w:val="0"/>
          <w:smallCaps w:val="0"/>
          <w:spacing w:val="0"/>
          <w:sz w:val="24"/>
          <w:szCs w:val="24"/>
        </w:rPr>
        <w:t>the person’s</w:t>
      </w:r>
      <w:r w:rsidR="00FD206D">
        <w:rPr>
          <w:rStyle w:val="BookTitle"/>
          <w:i w:val="0"/>
          <w:iCs w:val="0"/>
          <w:smallCaps w:val="0"/>
          <w:spacing w:val="0"/>
          <w:sz w:val="24"/>
          <w:szCs w:val="24"/>
        </w:rPr>
        <w:t xml:space="preserve"> usual place of residence was not in</w:t>
      </w:r>
      <w:r w:rsidR="004D574B">
        <w:rPr>
          <w:rStyle w:val="BookTitle"/>
          <w:i w:val="0"/>
          <w:iCs w:val="0"/>
          <w:smallCaps w:val="0"/>
          <w:spacing w:val="0"/>
          <w:sz w:val="24"/>
          <w:szCs w:val="24"/>
        </w:rPr>
        <w:t xml:space="preserve"> Aurukun area, Coen</w:t>
      </w:r>
      <w:r w:rsidRPr="00435514">
        <w:rPr>
          <w:rStyle w:val="BookTitle"/>
          <w:i w:val="0"/>
          <w:iCs w:val="0"/>
          <w:smallCaps w:val="0"/>
          <w:spacing w:val="0"/>
          <w:sz w:val="24"/>
          <w:szCs w:val="24"/>
        </w:rPr>
        <w:t xml:space="preserve"> area, Hope Vale area or Mossman Gorge area on 1 July 2008;</w:t>
      </w:r>
      <w:r w:rsidR="00FD206D">
        <w:rPr>
          <w:rStyle w:val="BookTitle"/>
          <w:i w:val="0"/>
          <w:iCs w:val="0"/>
          <w:smallCaps w:val="0"/>
          <w:spacing w:val="0"/>
          <w:sz w:val="24"/>
          <w:szCs w:val="24"/>
        </w:rPr>
        <w:t xml:space="preserve"> and</w:t>
      </w:r>
    </w:p>
    <w:p w:rsidR="00273D45" w:rsidRDefault="00FD206D" w:rsidP="007B329D">
      <w:pPr>
        <w:pStyle w:val="ListParagraph"/>
        <w:keepNext/>
        <w:keepLines/>
        <w:numPr>
          <w:ilvl w:val="0"/>
          <w:numId w:val="4"/>
        </w:numPr>
        <w:ind w:left="714" w:hanging="357"/>
        <w:jc w:val="both"/>
        <w:rPr>
          <w:rStyle w:val="BookTitle"/>
          <w:i w:val="0"/>
          <w:iCs w:val="0"/>
          <w:smallCaps w:val="0"/>
          <w:spacing w:val="0"/>
          <w:sz w:val="24"/>
          <w:szCs w:val="24"/>
        </w:rPr>
      </w:pPr>
      <w:proofErr w:type="gramStart"/>
      <w:r>
        <w:rPr>
          <w:rStyle w:val="BookTitle"/>
          <w:i w:val="0"/>
          <w:iCs w:val="0"/>
          <w:smallCaps w:val="0"/>
          <w:spacing w:val="0"/>
          <w:sz w:val="24"/>
          <w:szCs w:val="24"/>
        </w:rPr>
        <w:t>the</w:t>
      </w:r>
      <w:proofErr w:type="gramEnd"/>
      <w:r>
        <w:rPr>
          <w:rStyle w:val="BookTitle"/>
          <w:i w:val="0"/>
          <w:iCs w:val="0"/>
          <w:smallCaps w:val="0"/>
          <w:spacing w:val="0"/>
          <w:sz w:val="24"/>
          <w:szCs w:val="24"/>
        </w:rPr>
        <w:t xml:space="preserve"> person has not lived in </w:t>
      </w:r>
      <w:r w:rsidR="00273D45" w:rsidRPr="00834965">
        <w:rPr>
          <w:rStyle w:val="BookTitle"/>
          <w:i w:val="0"/>
          <w:iCs w:val="0"/>
          <w:smallCaps w:val="0"/>
          <w:spacing w:val="0"/>
          <w:sz w:val="24"/>
          <w:szCs w:val="24"/>
        </w:rPr>
        <w:t>one of those areas for 3 mon</w:t>
      </w:r>
      <w:r w:rsidR="004D574B">
        <w:rPr>
          <w:rStyle w:val="BookTitle"/>
          <w:i w:val="0"/>
          <w:iCs w:val="0"/>
          <w:smallCaps w:val="0"/>
          <w:spacing w:val="0"/>
          <w:sz w:val="24"/>
          <w:szCs w:val="24"/>
        </w:rPr>
        <w:t xml:space="preserve">ths or more since </w:t>
      </w:r>
      <w:r>
        <w:rPr>
          <w:rStyle w:val="BookTitle"/>
          <w:i w:val="0"/>
          <w:iCs w:val="0"/>
          <w:smallCaps w:val="0"/>
          <w:spacing w:val="0"/>
          <w:sz w:val="24"/>
          <w:szCs w:val="24"/>
        </w:rPr>
        <w:br/>
      </w:r>
      <w:r w:rsidR="004D574B">
        <w:rPr>
          <w:rStyle w:val="BookTitle"/>
          <w:i w:val="0"/>
          <w:iCs w:val="0"/>
          <w:smallCaps w:val="0"/>
          <w:spacing w:val="0"/>
          <w:sz w:val="24"/>
          <w:szCs w:val="24"/>
        </w:rPr>
        <w:t xml:space="preserve">1 July 2008. </w:t>
      </w:r>
    </w:p>
    <w:p w:rsidR="007D4123" w:rsidRDefault="00D9741F" w:rsidP="00FB7ABE">
      <w:pPr>
        <w:jc w:val="both"/>
        <w:rPr>
          <w:rStyle w:val="BookTitle"/>
          <w:b/>
          <w:i w:val="0"/>
          <w:iCs w:val="0"/>
          <w:smallCaps w:val="0"/>
          <w:spacing w:val="0"/>
          <w:sz w:val="24"/>
          <w:szCs w:val="24"/>
        </w:rPr>
      </w:pPr>
      <w:r>
        <w:rPr>
          <w:rFonts w:cs="Arial"/>
          <w:color w:val="000000"/>
          <w:sz w:val="24"/>
          <w:szCs w:val="24"/>
        </w:rPr>
        <w:t xml:space="preserve">This ensures that income management under the </w:t>
      </w:r>
      <w:proofErr w:type="spellStart"/>
      <w:r>
        <w:rPr>
          <w:rFonts w:cs="Arial"/>
          <w:color w:val="000000"/>
          <w:sz w:val="24"/>
          <w:szCs w:val="24"/>
        </w:rPr>
        <w:t>FRC</w:t>
      </w:r>
      <w:proofErr w:type="spellEnd"/>
      <w:r>
        <w:rPr>
          <w:rFonts w:cs="Arial"/>
          <w:color w:val="000000"/>
          <w:sz w:val="24"/>
          <w:szCs w:val="24"/>
        </w:rPr>
        <w:t xml:space="preserve"> model cannot be expanded in a manner that is unintend</w:t>
      </w:r>
      <w:r w:rsidR="006E6EA7">
        <w:rPr>
          <w:rFonts w:cs="Arial"/>
          <w:color w:val="000000"/>
          <w:sz w:val="24"/>
          <w:szCs w:val="24"/>
        </w:rPr>
        <w:t>ed by the Aust</w:t>
      </w:r>
      <w:r w:rsidR="00011E23">
        <w:rPr>
          <w:rFonts w:cs="Arial"/>
          <w:color w:val="000000"/>
          <w:sz w:val="24"/>
          <w:szCs w:val="24"/>
        </w:rPr>
        <w:t>ralian Government.</w:t>
      </w:r>
    </w:p>
    <w:p w:rsidR="000E197C" w:rsidRDefault="000E197C" w:rsidP="008B7560">
      <w:pPr>
        <w:jc w:val="both"/>
        <w:rPr>
          <w:rStyle w:val="BookTitle"/>
          <w:b/>
          <w:i w:val="0"/>
          <w:iCs w:val="0"/>
          <w:smallCaps w:val="0"/>
          <w:spacing w:val="0"/>
          <w:sz w:val="24"/>
          <w:szCs w:val="24"/>
        </w:rPr>
      </w:pPr>
      <w:r>
        <w:rPr>
          <w:rStyle w:val="BookTitle"/>
          <w:b/>
          <w:i w:val="0"/>
          <w:iCs w:val="0"/>
          <w:smallCaps w:val="0"/>
          <w:spacing w:val="0"/>
          <w:sz w:val="24"/>
          <w:szCs w:val="24"/>
        </w:rPr>
        <w:t>Explanation of the provisions</w:t>
      </w:r>
    </w:p>
    <w:p w:rsidR="007B0256" w:rsidRDefault="000E197C" w:rsidP="008B7560">
      <w:pPr>
        <w:jc w:val="both"/>
        <w:rPr>
          <w:rStyle w:val="BookTitle"/>
          <w:i w:val="0"/>
          <w:iCs w:val="0"/>
          <w:smallCaps w:val="0"/>
          <w:spacing w:val="0"/>
          <w:sz w:val="24"/>
          <w:szCs w:val="24"/>
        </w:rPr>
      </w:pPr>
      <w:r>
        <w:rPr>
          <w:rStyle w:val="BookTitle"/>
          <w:b/>
          <w:i w:val="0"/>
          <w:iCs w:val="0"/>
          <w:smallCaps w:val="0"/>
          <w:spacing w:val="0"/>
          <w:sz w:val="24"/>
          <w:szCs w:val="24"/>
        </w:rPr>
        <w:t>Section 1</w:t>
      </w:r>
      <w:r w:rsidR="0014223D">
        <w:rPr>
          <w:rStyle w:val="BookTitle"/>
          <w:b/>
          <w:i w:val="0"/>
          <w:iCs w:val="0"/>
          <w:smallCaps w:val="0"/>
          <w:spacing w:val="0"/>
          <w:sz w:val="24"/>
          <w:szCs w:val="24"/>
        </w:rPr>
        <w:t xml:space="preserve"> </w:t>
      </w:r>
      <w:r w:rsidR="0014223D">
        <w:rPr>
          <w:rStyle w:val="BookTitle"/>
          <w:i w:val="0"/>
          <w:iCs w:val="0"/>
          <w:smallCaps w:val="0"/>
          <w:spacing w:val="0"/>
          <w:sz w:val="24"/>
          <w:szCs w:val="24"/>
        </w:rPr>
        <w:t>sets out the name of the Specification.</w:t>
      </w:r>
    </w:p>
    <w:p w:rsidR="0014223D" w:rsidRDefault="0014223D" w:rsidP="008B7560">
      <w:pPr>
        <w:jc w:val="both"/>
        <w:rPr>
          <w:rStyle w:val="BookTitle"/>
          <w:i w:val="0"/>
          <w:iCs w:val="0"/>
          <w:smallCaps w:val="0"/>
          <w:spacing w:val="0"/>
          <w:sz w:val="24"/>
          <w:szCs w:val="24"/>
        </w:rPr>
      </w:pPr>
      <w:r>
        <w:rPr>
          <w:rStyle w:val="BookTitle"/>
          <w:b/>
          <w:i w:val="0"/>
          <w:iCs w:val="0"/>
          <w:smallCaps w:val="0"/>
          <w:spacing w:val="0"/>
          <w:sz w:val="24"/>
          <w:szCs w:val="24"/>
        </w:rPr>
        <w:t xml:space="preserve">Section 2 </w:t>
      </w:r>
      <w:r>
        <w:rPr>
          <w:rStyle w:val="BookTitle"/>
          <w:i w:val="0"/>
          <w:iCs w:val="0"/>
          <w:smallCaps w:val="0"/>
          <w:spacing w:val="0"/>
          <w:sz w:val="24"/>
          <w:szCs w:val="24"/>
        </w:rPr>
        <w:t>provides that the Specification commences on the day after it is registered.</w:t>
      </w:r>
    </w:p>
    <w:p w:rsidR="0014223D" w:rsidRDefault="0014223D" w:rsidP="008B7560">
      <w:pPr>
        <w:jc w:val="both"/>
        <w:rPr>
          <w:rStyle w:val="BookTitle"/>
          <w:i w:val="0"/>
          <w:iCs w:val="0"/>
          <w:smallCaps w:val="0"/>
          <w:spacing w:val="0"/>
          <w:sz w:val="24"/>
          <w:szCs w:val="24"/>
        </w:rPr>
      </w:pPr>
      <w:r>
        <w:rPr>
          <w:rStyle w:val="BookTitle"/>
          <w:b/>
          <w:i w:val="0"/>
          <w:iCs w:val="0"/>
          <w:smallCaps w:val="0"/>
          <w:spacing w:val="0"/>
          <w:sz w:val="24"/>
          <w:szCs w:val="24"/>
        </w:rPr>
        <w:t xml:space="preserve">Section 3 </w:t>
      </w:r>
      <w:r>
        <w:rPr>
          <w:rStyle w:val="BookTitle"/>
          <w:i w:val="0"/>
          <w:iCs w:val="0"/>
          <w:smallCaps w:val="0"/>
          <w:spacing w:val="0"/>
          <w:sz w:val="24"/>
          <w:szCs w:val="24"/>
        </w:rPr>
        <w:t>set</w:t>
      </w:r>
      <w:r w:rsidR="00B01F96">
        <w:rPr>
          <w:rStyle w:val="BookTitle"/>
          <w:i w:val="0"/>
          <w:iCs w:val="0"/>
          <w:smallCaps w:val="0"/>
          <w:spacing w:val="0"/>
          <w:sz w:val="24"/>
          <w:szCs w:val="24"/>
        </w:rPr>
        <w:t>s</w:t>
      </w:r>
      <w:r>
        <w:rPr>
          <w:rStyle w:val="BookTitle"/>
          <w:i w:val="0"/>
          <w:iCs w:val="0"/>
          <w:smallCaps w:val="0"/>
          <w:spacing w:val="0"/>
          <w:sz w:val="24"/>
          <w:szCs w:val="24"/>
        </w:rPr>
        <w:t xml:space="preserve"> out a number of definitions used i</w:t>
      </w:r>
      <w:r w:rsidR="00825E69">
        <w:rPr>
          <w:rStyle w:val="BookTitle"/>
          <w:i w:val="0"/>
          <w:iCs w:val="0"/>
          <w:smallCaps w:val="0"/>
          <w:spacing w:val="0"/>
          <w:sz w:val="24"/>
          <w:szCs w:val="24"/>
        </w:rPr>
        <w:t xml:space="preserve">n the Specification. </w:t>
      </w:r>
    </w:p>
    <w:p w:rsidR="0014223D" w:rsidRDefault="0014223D" w:rsidP="008B7560">
      <w:pPr>
        <w:jc w:val="both"/>
        <w:rPr>
          <w:rStyle w:val="BookTitle"/>
          <w:i w:val="0"/>
          <w:iCs w:val="0"/>
          <w:smallCaps w:val="0"/>
          <w:spacing w:val="0"/>
          <w:sz w:val="24"/>
          <w:szCs w:val="24"/>
        </w:rPr>
      </w:pPr>
      <w:r>
        <w:rPr>
          <w:rStyle w:val="BookTitle"/>
          <w:i w:val="0"/>
          <w:iCs w:val="0"/>
          <w:smallCaps w:val="0"/>
          <w:spacing w:val="0"/>
          <w:sz w:val="24"/>
          <w:szCs w:val="24"/>
        </w:rPr>
        <w:t xml:space="preserve">“Welfare reform community area” is defined by reference to Aurukun area, Coen area, Hope Vale area and Mossman Gorge area.  These are the areas that </w:t>
      </w:r>
      <w:r w:rsidR="00BB518E">
        <w:rPr>
          <w:rStyle w:val="BookTitle"/>
          <w:i w:val="0"/>
          <w:iCs w:val="0"/>
          <w:smallCaps w:val="0"/>
          <w:spacing w:val="0"/>
          <w:sz w:val="24"/>
          <w:szCs w:val="24"/>
        </w:rPr>
        <w:t xml:space="preserve">are included in the </w:t>
      </w:r>
      <w:r w:rsidR="00F508E8">
        <w:rPr>
          <w:rStyle w:val="BookTitle"/>
          <w:i w:val="0"/>
          <w:iCs w:val="0"/>
          <w:smallCaps w:val="0"/>
          <w:spacing w:val="0"/>
          <w:sz w:val="24"/>
          <w:szCs w:val="24"/>
        </w:rPr>
        <w:t>definition of</w:t>
      </w:r>
      <w:r>
        <w:rPr>
          <w:rStyle w:val="BookTitle"/>
          <w:i w:val="0"/>
          <w:iCs w:val="0"/>
          <w:smallCaps w:val="0"/>
          <w:spacing w:val="0"/>
          <w:sz w:val="24"/>
          <w:szCs w:val="24"/>
        </w:rPr>
        <w:t xml:space="preserve"> “welfare reform community area” </w:t>
      </w:r>
      <w:r w:rsidR="00F508E8">
        <w:rPr>
          <w:rStyle w:val="BookTitle"/>
          <w:i w:val="0"/>
          <w:iCs w:val="0"/>
          <w:smallCaps w:val="0"/>
          <w:spacing w:val="0"/>
          <w:sz w:val="24"/>
          <w:szCs w:val="24"/>
        </w:rPr>
        <w:t>in</w:t>
      </w:r>
      <w:r>
        <w:rPr>
          <w:rStyle w:val="BookTitle"/>
          <w:i w:val="0"/>
          <w:iCs w:val="0"/>
          <w:smallCaps w:val="0"/>
          <w:spacing w:val="0"/>
          <w:sz w:val="24"/>
          <w:szCs w:val="24"/>
        </w:rPr>
        <w:t xml:space="preserve"> the </w:t>
      </w:r>
      <w:proofErr w:type="spellStart"/>
      <w:r>
        <w:rPr>
          <w:rStyle w:val="BookTitle"/>
          <w:i w:val="0"/>
          <w:iCs w:val="0"/>
          <w:smallCaps w:val="0"/>
          <w:spacing w:val="0"/>
          <w:sz w:val="24"/>
          <w:szCs w:val="24"/>
        </w:rPr>
        <w:t>FRC</w:t>
      </w:r>
      <w:proofErr w:type="spellEnd"/>
      <w:r>
        <w:rPr>
          <w:rStyle w:val="BookTitle"/>
          <w:i w:val="0"/>
          <w:iCs w:val="0"/>
          <w:smallCaps w:val="0"/>
          <w:spacing w:val="0"/>
          <w:sz w:val="24"/>
          <w:szCs w:val="24"/>
        </w:rPr>
        <w:t xml:space="preserve"> Act</w:t>
      </w:r>
      <w:r w:rsidR="00BB518E">
        <w:rPr>
          <w:rStyle w:val="BookTitle"/>
          <w:i w:val="0"/>
          <w:iCs w:val="0"/>
          <w:smallCaps w:val="0"/>
          <w:spacing w:val="0"/>
          <w:sz w:val="24"/>
          <w:szCs w:val="24"/>
        </w:rPr>
        <w:t xml:space="preserve">.  The definition of </w:t>
      </w:r>
      <w:r w:rsidR="00F508E8">
        <w:rPr>
          <w:rStyle w:val="BookTitle"/>
          <w:i w:val="0"/>
          <w:iCs w:val="0"/>
          <w:smallCaps w:val="0"/>
          <w:spacing w:val="0"/>
          <w:sz w:val="24"/>
          <w:szCs w:val="24"/>
        </w:rPr>
        <w:t xml:space="preserve">“welfare reform community area” in this Specification does not include areas taken to be welfare reform community areas under the </w:t>
      </w:r>
      <w:proofErr w:type="spellStart"/>
      <w:r w:rsidR="00F508E8">
        <w:rPr>
          <w:rStyle w:val="BookTitle"/>
          <w:i w:val="0"/>
          <w:iCs w:val="0"/>
          <w:smallCaps w:val="0"/>
          <w:spacing w:val="0"/>
          <w:sz w:val="24"/>
          <w:szCs w:val="24"/>
        </w:rPr>
        <w:t>FRC</w:t>
      </w:r>
      <w:proofErr w:type="spellEnd"/>
      <w:r w:rsidR="00F508E8">
        <w:rPr>
          <w:rStyle w:val="BookTitle"/>
          <w:i w:val="0"/>
          <w:iCs w:val="0"/>
          <w:smallCaps w:val="0"/>
          <w:spacing w:val="0"/>
          <w:sz w:val="24"/>
          <w:szCs w:val="24"/>
        </w:rPr>
        <w:t xml:space="preserve"> Regulation.</w:t>
      </w:r>
    </w:p>
    <w:p w:rsidR="00F508E8" w:rsidRDefault="00F508E8" w:rsidP="008B7560">
      <w:pPr>
        <w:jc w:val="both"/>
        <w:rPr>
          <w:rStyle w:val="BookTitle"/>
          <w:i w:val="0"/>
          <w:iCs w:val="0"/>
          <w:smallCaps w:val="0"/>
          <w:spacing w:val="0"/>
          <w:sz w:val="24"/>
          <w:szCs w:val="24"/>
        </w:rPr>
      </w:pPr>
      <w:r>
        <w:rPr>
          <w:rStyle w:val="BookTitle"/>
          <w:i w:val="0"/>
          <w:iCs w:val="0"/>
          <w:smallCaps w:val="0"/>
          <w:spacing w:val="0"/>
          <w:sz w:val="24"/>
          <w:szCs w:val="24"/>
        </w:rPr>
        <w:t xml:space="preserve">“Aurukun area”, “Coen area”, “Hope Vale area” and “Mossman Gorge area” </w:t>
      </w:r>
      <w:r w:rsidR="00B04B2E">
        <w:rPr>
          <w:rStyle w:val="BookTitle"/>
          <w:i w:val="0"/>
          <w:iCs w:val="0"/>
          <w:smallCaps w:val="0"/>
          <w:spacing w:val="0"/>
          <w:sz w:val="24"/>
          <w:szCs w:val="24"/>
        </w:rPr>
        <w:t xml:space="preserve">are </w:t>
      </w:r>
      <w:r w:rsidR="00211380">
        <w:rPr>
          <w:rStyle w:val="BookTitle"/>
          <w:i w:val="0"/>
          <w:iCs w:val="0"/>
          <w:smallCaps w:val="0"/>
          <w:spacing w:val="0"/>
          <w:sz w:val="24"/>
          <w:szCs w:val="24"/>
        </w:rPr>
        <w:t>defined in section 3 in the same way as those terms are defined</w:t>
      </w:r>
      <w:r w:rsidR="00B04B2E">
        <w:rPr>
          <w:rStyle w:val="BookTitle"/>
          <w:i w:val="0"/>
          <w:iCs w:val="0"/>
          <w:smallCaps w:val="0"/>
          <w:spacing w:val="0"/>
          <w:sz w:val="24"/>
          <w:szCs w:val="24"/>
        </w:rPr>
        <w:t xml:space="preserve"> in the </w:t>
      </w:r>
      <w:proofErr w:type="spellStart"/>
      <w:r w:rsidR="00B04B2E">
        <w:rPr>
          <w:rStyle w:val="BookTitle"/>
          <w:i w:val="0"/>
          <w:iCs w:val="0"/>
          <w:smallCaps w:val="0"/>
          <w:spacing w:val="0"/>
          <w:sz w:val="24"/>
          <w:szCs w:val="24"/>
        </w:rPr>
        <w:t>FRC</w:t>
      </w:r>
      <w:proofErr w:type="spellEnd"/>
      <w:r w:rsidR="00B04B2E">
        <w:rPr>
          <w:rStyle w:val="BookTitle"/>
          <w:i w:val="0"/>
          <w:iCs w:val="0"/>
          <w:smallCaps w:val="0"/>
          <w:spacing w:val="0"/>
          <w:sz w:val="24"/>
          <w:szCs w:val="24"/>
        </w:rPr>
        <w:t xml:space="preserve"> Act. </w:t>
      </w:r>
      <w:r w:rsidR="0054499A">
        <w:rPr>
          <w:rStyle w:val="BookTitle"/>
          <w:i w:val="0"/>
          <w:iCs w:val="0"/>
          <w:smallCaps w:val="0"/>
          <w:spacing w:val="0"/>
          <w:sz w:val="24"/>
          <w:szCs w:val="24"/>
        </w:rPr>
        <w:t xml:space="preserve"> </w:t>
      </w:r>
      <w:r w:rsidR="0054499A">
        <w:rPr>
          <w:rStyle w:val="BookTitle"/>
          <w:i w:val="0"/>
          <w:iCs w:val="0"/>
          <w:smallCaps w:val="0"/>
          <w:spacing w:val="0"/>
          <w:sz w:val="24"/>
          <w:szCs w:val="24"/>
        </w:rPr>
        <w:lastRenderedPageBreak/>
        <w:t>“Aurukun area” and “Hope Vale area” are defined by reference to the Aurukun Shire Council and Hope Vale Shire Council.  It is intended that these councils would have the same meaning as they do under Queensland law.</w:t>
      </w:r>
    </w:p>
    <w:p w:rsidR="0067217F" w:rsidRDefault="00B04B2E" w:rsidP="008B7560">
      <w:pPr>
        <w:jc w:val="both"/>
        <w:rPr>
          <w:rStyle w:val="BookTitle"/>
          <w:i w:val="0"/>
          <w:iCs w:val="0"/>
          <w:smallCaps w:val="0"/>
          <w:spacing w:val="0"/>
          <w:sz w:val="24"/>
          <w:szCs w:val="24"/>
        </w:rPr>
      </w:pPr>
      <w:r>
        <w:rPr>
          <w:rStyle w:val="BookTitle"/>
          <w:b/>
          <w:i w:val="0"/>
          <w:iCs w:val="0"/>
          <w:smallCaps w:val="0"/>
          <w:spacing w:val="0"/>
          <w:sz w:val="24"/>
          <w:szCs w:val="24"/>
        </w:rPr>
        <w:t>Section 4</w:t>
      </w:r>
      <w:r w:rsidR="0067217F">
        <w:rPr>
          <w:rStyle w:val="BookTitle"/>
          <w:b/>
          <w:i w:val="0"/>
          <w:iCs w:val="0"/>
          <w:smallCaps w:val="0"/>
          <w:spacing w:val="0"/>
          <w:sz w:val="24"/>
          <w:szCs w:val="24"/>
        </w:rPr>
        <w:t xml:space="preserve"> </w:t>
      </w:r>
      <w:r w:rsidR="0067217F">
        <w:rPr>
          <w:rStyle w:val="BookTitle"/>
          <w:i w:val="0"/>
          <w:iCs w:val="0"/>
          <w:smallCaps w:val="0"/>
          <w:spacing w:val="0"/>
          <w:sz w:val="24"/>
          <w:szCs w:val="24"/>
        </w:rPr>
        <w:t xml:space="preserve">specifies a circumstance for paragraphs </w:t>
      </w:r>
      <w:proofErr w:type="spellStart"/>
      <w:proofErr w:type="gramStart"/>
      <w:r w:rsidR="0067217F">
        <w:rPr>
          <w:rStyle w:val="BookTitle"/>
          <w:i w:val="0"/>
          <w:iCs w:val="0"/>
          <w:smallCaps w:val="0"/>
          <w:spacing w:val="0"/>
          <w:sz w:val="24"/>
          <w:szCs w:val="24"/>
        </w:rPr>
        <w:t>123UF</w:t>
      </w:r>
      <w:proofErr w:type="spellEnd"/>
      <w:r w:rsidR="0067217F">
        <w:rPr>
          <w:rStyle w:val="BookTitle"/>
          <w:i w:val="0"/>
          <w:iCs w:val="0"/>
          <w:smallCaps w:val="0"/>
          <w:spacing w:val="0"/>
          <w:sz w:val="24"/>
          <w:szCs w:val="24"/>
        </w:rPr>
        <w:t>(</w:t>
      </w:r>
      <w:proofErr w:type="gramEnd"/>
      <w:r w:rsidR="0067217F">
        <w:rPr>
          <w:rStyle w:val="BookTitle"/>
          <w:i w:val="0"/>
          <w:iCs w:val="0"/>
          <w:smallCaps w:val="0"/>
          <w:spacing w:val="0"/>
          <w:sz w:val="24"/>
          <w:szCs w:val="24"/>
        </w:rPr>
        <w:t xml:space="preserve">1)(d) and </w:t>
      </w:r>
      <w:proofErr w:type="spellStart"/>
      <w:r w:rsidR="0067217F">
        <w:rPr>
          <w:rStyle w:val="BookTitle"/>
          <w:i w:val="0"/>
          <w:iCs w:val="0"/>
          <w:smallCaps w:val="0"/>
          <w:spacing w:val="0"/>
          <w:sz w:val="24"/>
          <w:szCs w:val="24"/>
        </w:rPr>
        <w:t>123UF</w:t>
      </w:r>
      <w:proofErr w:type="spellEnd"/>
      <w:r w:rsidR="0067217F">
        <w:rPr>
          <w:rStyle w:val="BookTitle"/>
          <w:i w:val="0"/>
          <w:iCs w:val="0"/>
          <w:smallCaps w:val="0"/>
          <w:spacing w:val="0"/>
          <w:sz w:val="24"/>
          <w:szCs w:val="24"/>
        </w:rPr>
        <w:t xml:space="preserve">(2)(e) of the Social Security Administration Act.  </w:t>
      </w:r>
    </w:p>
    <w:p w:rsidR="00B04B2E" w:rsidRDefault="0067217F" w:rsidP="008B7560">
      <w:pPr>
        <w:jc w:val="both"/>
        <w:rPr>
          <w:rStyle w:val="BookTitle"/>
          <w:i w:val="0"/>
          <w:iCs w:val="0"/>
          <w:smallCaps w:val="0"/>
          <w:spacing w:val="0"/>
          <w:sz w:val="24"/>
          <w:szCs w:val="24"/>
        </w:rPr>
      </w:pPr>
      <w:r>
        <w:rPr>
          <w:rStyle w:val="BookTitle"/>
          <w:i w:val="0"/>
          <w:iCs w:val="0"/>
          <w:smallCaps w:val="0"/>
          <w:spacing w:val="0"/>
          <w:sz w:val="24"/>
          <w:szCs w:val="24"/>
        </w:rPr>
        <w:t xml:space="preserve">Subsections </w:t>
      </w:r>
      <w:proofErr w:type="spellStart"/>
      <w:proofErr w:type="gramStart"/>
      <w:r>
        <w:rPr>
          <w:rStyle w:val="BookTitle"/>
          <w:i w:val="0"/>
          <w:iCs w:val="0"/>
          <w:smallCaps w:val="0"/>
          <w:spacing w:val="0"/>
          <w:sz w:val="24"/>
          <w:szCs w:val="24"/>
        </w:rPr>
        <w:t>123UF</w:t>
      </w:r>
      <w:proofErr w:type="spellEnd"/>
      <w:r>
        <w:rPr>
          <w:rStyle w:val="BookTitle"/>
          <w:i w:val="0"/>
          <w:iCs w:val="0"/>
          <w:smallCaps w:val="0"/>
          <w:spacing w:val="0"/>
          <w:sz w:val="24"/>
          <w:szCs w:val="24"/>
        </w:rPr>
        <w:t>(</w:t>
      </w:r>
      <w:proofErr w:type="gramEnd"/>
      <w:r>
        <w:rPr>
          <w:rStyle w:val="BookTitle"/>
          <w:i w:val="0"/>
          <w:iCs w:val="0"/>
          <w:smallCaps w:val="0"/>
          <w:spacing w:val="0"/>
          <w:sz w:val="24"/>
          <w:szCs w:val="24"/>
        </w:rPr>
        <w:t xml:space="preserve">1) and (2) provide for when a person becomes subject to income management following a notice given by the </w:t>
      </w:r>
      <w:proofErr w:type="spellStart"/>
      <w:r>
        <w:rPr>
          <w:rStyle w:val="BookTitle"/>
          <w:i w:val="0"/>
          <w:iCs w:val="0"/>
          <w:smallCaps w:val="0"/>
          <w:spacing w:val="0"/>
          <w:sz w:val="24"/>
          <w:szCs w:val="24"/>
        </w:rPr>
        <w:t>FRC</w:t>
      </w:r>
      <w:proofErr w:type="spellEnd"/>
      <w:r>
        <w:rPr>
          <w:rStyle w:val="BookTitle"/>
          <w:i w:val="0"/>
          <w:iCs w:val="0"/>
          <w:smallCaps w:val="0"/>
          <w:spacing w:val="0"/>
          <w:sz w:val="24"/>
          <w:szCs w:val="24"/>
        </w:rPr>
        <w:t xml:space="preserve">.  Paragraphs </w:t>
      </w:r>
      <w:proofErr w:type="spellStart"/>
      <w:proofErr w:type="gramStart"/>
      <w:r>
        <w:rPr>
          <w:rStyle w:val="BookTitle"/>
          <w:i w:val="0"/>
          <w:iCs w:val="0"/>
          <w:smallCaps w:val="0"/>
          <w:spacing w:val="0"/>
          <w:sz w:val="24"/>
          <w:szCs w:val="24"/>
        </w:rPr>
        <w:t>123UF</w:t>
      </w:r>
      <w:proofErr w:type="spellEnd"/>
      <w:r>
        <w:rPr>
          <w:rStyle w:val="BookTitle"/>
          <w:i w:val="0"/>
          <w:iCs w:val="0"/>
          <w:smallCaps w:val="0"/>
          <w:spacing w:val="0"/>
          <w:sz w:val="24"/>
          <w:szCs w:val="24"/>
        </w:rPr>
        <w:t>(</w:t>
      </w:r>
      <w:proofErr w:type="gramEnd"/>
      <w:r>
        <w:rPr>
          <w:rStyle w:val="BookTitle"/>
          <w:i w:val="0"/>
          <w:iCs w:val="0"/>
          <w:smallCaps w:val="0"/>
          <w:spacing w:val="0"/>
          <w:sz w:val="24"/>
          <w:szCs w:val="24"/>
        </w:rPr>
        <w:t xml:space="preserve">1)(d) and </w:t>
      </w:r>
      <w:proofErr w:type="spellStart"/>
      <w:r>
        <w:rPr>
          <w:rStyle w:val="BookTitle"/>
          <w:i w:val="0"/>
          <w:iCs w:val="0"/>
          <w:smallCaps w:val="0"/>
          <w:spacing w:val="0"/>
          <w:sz w:val="24"/>
          <w:szCs w:val="24"/>
        </w:rPr>
        <w:t>123UF</w:t>
      </w:r>
      <w:proofErr w:type="spellEnd"/>
      <w:r>
        <w:rPr>
          <w:rStyle w:val="BookTitle"/>
          <w:i w:val="0"/>
          <w:iCs w:val="0"/>
          <w:smallCaps w:val="0"/>
          <w:spacing w:val="0"/>
          <w:sz w:val="24"/>
          <w:szCs w:val="24"/>
        </w:rPr>
        <w:t>(2)(e) provide that the notice must not have been given in such circumstances (if any) as are specified in a legislative instrument made by the Minister for the purpose of those paragraphs.</w:t>
      </w:r>
    </w:p>
    <w:p w:rsidR="007B329D" w:rsidRDefault="0067217F" w:rsidP="00AB24C5">
      <w:pPr>
        <w:jc w:val="both"/>
        <w:rPr>
          <w:rStyle w:val="BookTitle"/>
          <w:i w:val="0"/>
          <w:iCs w:val="0"/>
          <w:smallCaps w:val="0"/>
          <w:spacing w:val="0"/>
          <w:sz w:val="24"/>
          <w:szCs w:val="24"/>
        </w:rPr>
      </w:pPr>
      <w:r>
        <w:rPr>
          <w:rStyle w:val="BookTitle"/>
          <w:i w:val="0"/>
          <w:iCs w:val="0"/>
          <w:smallCaps w:val="0"/>
          <w:spacing w:val="0"/>
          <w:sz w:val="24"/>
          <w:szCs w:val="24"/>
        </w:rPr>
        <w:t xml:space="preserve">Section 4 specifies that a circumstance for paragraphs </w:t>
      </w:r>
      <w:proofErr w:type="spellStart"/>
      <w:proofErr w:type="gramStart"/>
      <w:r>
        <w:rPr>
          <w:rStyle w:val="BookTitle"/>
          <w:i w:val="0"/>
          <w:iCs w:val="0"/>
          <w:smallCaps w:val="0"/>
          <w:spacing w:val="0"/>
          <w:sz w:val="24"/>
          <w:szCs w:val="24"/>
        </w:rPr>
        <w:t>123UF</w:t>
      </w:r>
      <w:proofErr w:type="spellEnd"/>
      <w:r>
        <w:rPr>
          <w:rStyle w:val="BookTitle"/>
          <w:i w:val="0"/>
          <w:iCs w:val="0"/>
          <w:smallCaps w:val="0"/>
          <w:spacing w:val="0"/>
          <w:sz w:val="24"/>
          <w:szCs w:val="24"/>
        </w:rPr>
        <w:t>(</w:t>
      </w:r>
      <w:proofErr w:type="gramEnd"/>
      <w:r>
        <w:rPr>
          <w:rStyle w:val="BookTitle"/>
          <w:i w:val="0"/>
          <w:iCs w:val="0"/>
          <w:smallCaps w:val="0"/>
          <w:spacing w:val="0"/>
          <w:sz w:val="24"/>
          <w:szCs w:val="24"/>
        </w:rPr>
        <w:t xml:space="preserve">1)(d) and </w:t>
      </w:r>
      <w:proofErr w:type="spellStart"/>
      <w:r>
        <w:rPr>
          <w:rStyle w:val="BookTitle"/>
          <w:i w:val="0"/>
          <w:iCs w:val="0"/>
          <w:smallCaps w:val="0"/>
          <w:spacing w:val="0"/>
          <w:sz w:val="24"/>
          <w:szCs w:val="24"/>
        </w:rPr>
        <w:t>123UF</w:t>
      </w:r>
      <w:proofErr w:type="spellEnd"/>
      <w:r>
        <w:rPr>
          <w:rStyle w:val="BookTitle"/>
          <w:i w:val="0"/>
          <w:iCs w:val="0"/>
          <w:smallCaps w:val="0"/>
          <w:spacing w:val="0"/>
          <w:sz w:val="24"/>
          <w:szCs w:val="24"/>
        </w:rPr>
        <w:t>(1)(e)</w:t>
      </w:r>
      <w:r w:rsidR="004E1C1C">
        <w:rPr>
          <w:rStyle w:val="BookTitle"/>
          <w:i w:val="0"/>
          <w:iCs w:val="0"/>
          <w:smallCaps w:val="0"/>
          <w:spacing w:val="0"/>
          <w:sz w:val="24"/>
          <w:szCs w:val="24"/>
        </w:rPr>
        <w:t xml:space="preserve"> is that the notice is giv</w:t>
      </w:r>
      <w:r w:rsidR="00AB24C5">
        <w:rPr>
          <w:rStyle w:val="BookTitle"/>
          <w:i w:val="0"/>
          <w:iCs w:val="0"/>
          <w:smallCaps w:val="0"/>
          <w:spacing w:val="0"/>
          <w:sz w:val="24"/>
          <w:szCs w:val="24"/>
        </w:rPr>
        <w:t xml:space="preserve">en in respect of a person </w:t>
      </w:r>
      <w:r w:rsidR="007B329D">
        <w:rPr>
          <w:rStyle w:val="BookTitle"/>
          <w:i w:val="0"/>
          <w:iCs w:val="0"/>
          <w:smallCaps w:val="0"/>
          <w:spacing w:val="0"/>
          <w:sz w:val="24"/>
          <w:szCs w:val="24"/>
        </w:rPr>
        <w:t>where:</w:t>
      </w:r>
    </w:p>
    <w:p w:rsidR="007B329D" w:rsidRDefault="007B329D" w:rsidP="00C10977">
      <w:pPr>
        <w:pStyle w:val="ListParagraph"/>
        <w:numPr>
          <w:ilvl w:val="0"/>
          <w:numId w:val="6"/>
        </w:numPr>
        <w:jc w:val="both"/>
        <w:rPr>
          <w:sz w:val="24"/>
          <w:szCs w:val="24"/>
        </w:rPr>
      </w:pPr>
      <w:r>
        <w:rPr>
          <w:rStyle w:val="BookTitle"/>
          <w:i w:val="0"/>
          <w:iCs w:val="0"/>
          <w:smallCaps w:val="0"/>
          <w:spacing w:val="0"/>
          <w:sz w:val="24"/>
          <w:szCs w:val="24"/>
        </w:rPr>
        <w:t xml:space="preserve">the person’s </w:t>
      </w:r>
      <w:r w:rsidR="0054499A" w:rsidRPr="007B329D">
        <w:rPr>
          <w:rStyle w:val="BookTitle"/>
          <w:i w:val="0"/>
          <w:iCs w:val="0"/>
          <w:smallCaps w:val="0"/>
          <w:spacing w:val="0"/>
          <w:sz w:val="24"/>
          <w:szCs w:val="24"/>
        </w:rPr>
        <w:t>whose</w:t>
      </w:r>
      <w:r w:rsidR="004E1C1C" w:rsidRPr="00C10977">
        <w:rPr>
          <w:sz w:val="24"/>
          <w:szCs w:val="24"/>
        </w:rPr>
        <w:t xml:space="preserve"> usual place of residence is an area other than a we</w:t>
      </w:r>
      <w:r w:rsidR="00AB24C5" w:rsidRPr="00C10977">
        <w:rPr>
          <w:sz w:val="24"/>
          <w:szCs w:val="24"/>
        </w:rPr>
        <w:t>lfare reform community area</w:t>
      </w:r>
      <w:r>
        <w:rPr>
          <w:sz w:val="24"/>
          <w:szCs w:val="24"/>
        </w:rPr>
        <w:t>; and</w:t>
      </w:r>
    </w:p>
    <w:p w:rsidR="007B329D" w:rsidRDefault="007B329D" w:rsidP="00C10977">
      <w:pPr>
        <w:pStyle w:val="ListParagraph"/>
        <w:numPr>
          <w:ilvl w:val="0"/>
          <w:numId w:val="6"/>
        </w:numPr>
        <w:jc w:val="both"/>
        <w:rPr>
          <w:sz w:val="24"/>
          <w:szCs w:val="24"/>
        </w:rPr>
      </w:pPr>
      <w:r w:rsidRPr="007B329D">
        <w:rPr>
          <w:sz w:val="24"/>
          <w:szCs w:val="24"/>
        </w:rPr>
        <w:t>the person’s usual place of residence was not on 1 July 2008 in a welfare reform community area</w:t>
      </w:r>
      <w:r>
        <w:rPr>
          <w:sz w:val="24"/>
          <w:szCs w:val="24"/>
        </w:rPr>
        <w:t>; and</w:t>
      </w:r>
    </w:p>
    <w:p w:rsidR="004E1C1C" w:rsidRPr="00C10977" w:rsidRDefault="007B329D" w:rsidP="00C10977">
      <w:pPr>
        <w:pStyle w:val="ListParagraph"/>
        <w:numPr>
          <w:ilvl w:val="0"/>
          <w:numId w:val="6"/>
        </w:numPr>
        <w:jc w:val="both"/>
        <w:rPr>
          <w:sz w:val="24"/>
          <w:szCs w:val="24"/>
        </w:rPr>
      </w:pPr>
      <w:proofErr w:type="gramStart"/>
      <w:r>
        <w:rPr>
          <w:sz w:val="24"/>
          <w:szCs w:val="24"/>
        </w:rPr>
        <w:t>the</w:t>
      </w:r>
      <w:proofErr w:type="gramEnd"/>
      <w:r>
        <w:rPr>
          <w:sz w:val="24"/>
          <w:szCs w:val="24"/>
        </w:rPr>
        <w:t xml:space="preserve"> person has not lived for 3 months or more in a welfare reform community area since 1 July 2008</w:t>
      </w:r>
      <w:r w:rsidR="00AB24C5" w:rsidRPr="00C10977">
        <w:rPr>
          <w:sz w:val="24"/>
          <w:szCs w:val="24"/>
        </w:rPr>
        <w:t>.</w:t>
      </w:r>
    </w:p>
    <w:p w:rsidR="00793B36" w:rsidRDefault="004E1C1C" w:rsidP="00292D1C">
      <w:pPr>
        <w:jc w:val="both"/>
        <w:rPr>
          <w:rStyle w:val="BookTitle"/>
          <w:i w:val="0"/>
          <w:iCs w:val="0"/>
          <w:smallCaps w:val="0"/>
          <w:spacing w:val="0"/>
          <w:sz w:val="24"/>
          <w:szCs w:val="24"/>
        </w:rPr>
      </w:pPr>
      <w:r>
        <w:rPr>
          <w:rStyle w:val="BookTitle"/>
          <w:i w:val="0"/>
          <w:iCs w:val="0"/>
          <w:smallCaps w:val="0"/>
          <w:spacing w:val="0"/>
          <w:sz w:val="24"/>
          <w:szCs w:val="24"/>
        </w:rPr>
        <w:t>“Welfare reform community area” is defined in section 3 of this Specification to mean the areas of Aurukun, Co</w:t>
      </w:r>
      <w:r w:rsidR="004F2317">
        <w:rPr>
          <w:rStyle w:val="BookTitle"/>
          <w:i w:val="0"/>
          <w:iCs w:val="0"/>
          <w:smallCaps w:val="0"/>
          <w:spacing w:val="0"/>
          <w:sz w:val="24"/>
          <w:szCs w:val="24"/>
        </w:rPr>
        <w:t xml:space="preserve">en, Hope Vale and Mossman Gorge.  </w:t>
      </w:r>
    </w:p>
    <w:p w:rsidR="00292D1C" w:rsidRDefault="00292D1C" w:rsidP="00292D1C">
      <w:pPr>
        <w:jc w:val="both"/>
        <w:rPr>
          <w:rStyle w:val="BookTitle"/>
          <w:i w:val="0"/>
          <w:iCs w:val="0"/>
          <w:smallCaps w:val="0"/>
          <w:spacing w:val="0"/>
          <w:sz w:val="24"/>
          <w:szCs w:val="24"/>
        </w:rPr>
      </w:pPr>
      <w:r>
        <w:rPr>
          <w:rStyle w:val="BookTitle"/>
          <w:i w:val="0"/>
          <w:iCs w:val="0"/>
          <w:smallCaps w:val="0"/>
          <w:spacing w:val="0"/>
          <w:sz w:val="24"/>
          <w:szCs w:val="24"/>
        </w:rPr>
        <w:t xml:space="preserve">The effect of section 4 is that a person will not become subject to income management under section </w:t>
      </w:r>
      <w:proofErr w:type="spellStart"/>
      <w:r>
        <w:rPr>
          <w:rStyle w:val="BookTitle"/>
          <w:i w:val="0"/>
          <w:iCs w:val="0"/>
          <w:smallCaps w:val="0"/>
          <w:spacing w:val="0"/>
          <w:sz w:val="24"/>
          <w:szCs w:val="24"/>
        </w:rPr>
        <w:t>123UF</w:t>
      </w:r>
      <w:proofErr w:type="spellEnd"/>
      <w:r>
        <w:rPr>
          <w:rStyle w:val="BookTitle"/>
          <w:i w:val="0"/>
          <w:iCs w:val="0"/>
          <w:smallCaps w:val="0"/>
          <w:spacing w:val="0"/>
          <w:sz w:val="24"/>
          <w:szCs w:val="24"/>
        </w:rPr>
        <w:t xml:space="preserve"> of the Social Security Administration Act unless: </w:t>
      </w:r>
    </w:p>
    <w:p w:rsidR="00292D1C" w:rsidRDefault="00292D1C" w:rsidP="00292D1C">
      <w:pPr>
        <w:pStyle w:val="ListParagraph"/>
        <w:numPr>
          <w:ilvl w:val="0"/>
          <w:numId w:val="3"/>
        </w:numPr>
        <w:jc w:val="both"/>
        <w:rPr>
          <w:sz w:val="24"/>
          <w:szCs w:val="24"/>
        </w:rPr>
      </w:pPr>
      <w:r>
        <w:rPr>
          <w:sz w:val="24"/>
          <w:szCs w:val="24"/>
        </w:rPr>
        <w:t xml:space="preserve">the person’s usual place of residence is </w:t>
      </w:r>
      <w:r w:rsidR="007B329D">
        <w:rPr>
          <w:sz w:val="24"/>
          <w:szCs w:val="24"/>
        </w:rPr>
        <w:t xml:space="preserve">in Aurukun area, Coen area, </w:t>
      </w:r>
      <w:r w:rsidR="00B14A35">
        <w:rPr>
          <w:sz w:val="24"/>
          <w:szCs w:val="24"/>
        </w:rPr>
        <w:br/>
      </w:r>
      <w:r w:rsidR="007B329D">
        <w:rPr>
          <w:sz w:val="24"/>
          <w:szCs w:val="24"/>
        </w:rPr>
        <w:t>Hope Vale area or Mossman Gorge area</w:t>
      </w:r>
      <w:r>
        <w:rPr>
          <w:sz w:val="24"/>
          <w:szCs w:val="24"/>
        </w:rPr>
        <w:t xml:space="preserve">; </w:t>
      </w:r>
      <w:r w:rsidR="007B329D">
        <w:rPr>
          <w:sz w:val="24"/>
          <w:szCs w:val="24"/>
        </w:rPr>
        <w:t>or</w:t>
      </w:r>
    </w:p>
    <w:p w:rsidR="00292D1C" w:rsidRPr="004D574B" w:rsidRDefault="00292D1C" w:rsidP="00292D1C">
      <w:pPr>
        <w:pStyle w:val="ListParagraph"/>
        <w:numPr>
          <w:ilvl w:val="0"/>
          <w:numId w:val="3"/>
        </w:numPr>
        <w:jc w:val="both"/>
        <w:rPr>
          <w:sz w:val="24"/>
          <w:szCs w:val="24"/>
        </w:rPr>
      </w:pPr>
      <w:r w:rsidRPr="004D574B">
        <w:rPr>
          <w:sz w:val="24"/>
          <w:szCs w:val="24"/>
        </w:rPr>
        <w:t xml:space="preserve">the person’s usual place of residence was on 1 July 2008 in </w:t>
      </w:r>
      <w:r w:rsidR="00E125E5">
        <w:rPr>
          <w:sz w:val="24"/>
          <w:szCs w:val="24"/>
        </w:rPr>
        <w:t>Aurukun area, Coen area, Hope Vale area or Mossman Gorge area</w:t>
      </w:r>
      <w:r w:rsidRPr="004D574B">
        <w:rPr>
          <w:sz w:val="24"/>
          <w:szCs w:val="24"/>
        </w:rPr>
        <w:t xml:space="preserve">; </w:t>
      </w:r>
      <w:r w:rsidR="00E125E5">
        <w:rPr>
          <w:sz w:val="24"/>
          <w:szCs w:val="24"/>
        </w:rPr>
        <w:t>or</w:t>
      </w:r>
    </w:p>
    <w:p w:rsidR="00292D1C" w:rsidRPr="00292D1C" w:rsidRDefault="003C1AF4" w:rsidP="00624F07">
      <w:pPr>
        <w:pStyle w:val="ListParagraph"/>
        <w:numPr>
          <w:ilvl w:val="0"/>
          <w:numId w:val="3"/>
        </w:numPr>
        <w:jc w:val="both"/>
        <w:rPr>
          <w:rStyle w:val="BookTitle"/>
          <w:i w:val="0"/>
          <w:iCs w:val="0"/>
          <w:smallCaps w:val="0"/>
          <w:spacing w:val="0"/>
          <w:sz w:val="24"/>
          <w:szCs w:val="24"/>
        </w:rPr>
      </w:pPr>
      <w:proofErr w:type="gramStart"/>
      <w:r>
        <w:rPr>
          <w:sz w:val="24"/>
          <w:szCs w:val="24"/>
        </w:rPr>
        <w:t>the</w:t>
      </w:r>
      <w:proofErr w:type="gramEnd"/>
      <w:r>
        <w:rPr>
          <w:sz w:val="24"/>
          <w:szCs w:val="24"/>
        </w:rPr>
        <w:t xml:space="preserve"> person has </w:t>
      </w:r>
      <w:r w:rsidR="00292D1C">
        <w:rPr>
          <w:sz w:val="24"/>
          <w:szCs w:val="24"/>
        </w:rPr>
        <w:t xml:space="preserve">lived for 3 months or more in </w:t>
      </w:r>
      <w:r w:rsidR="00E125E5">
        <w:rPr>
          <w:sz w:val="24"/>
          <w:szCs w:val="24"/>
        </w:rPr>
        <w:t>Aurukun area, Coen area, Hope Vale area or Mossman Gorge area</w:t>
      </w:r>
      <w:r w:rsidR="00292D1C">
        <w:rPr>
          <w:sz w:val="24"/>
          <w:szCs w:val="24"/>
        </w:rPr>
        <w:t xml:space="preserve"> since 1 July 2008.</w:t>
      </w:r>
    </w:p>
    <w:p w:rsidR="00E125E5" w:rsidRDefault="00E125E5" w:rsidP="008B7560">
      <w:pPr>
        <w:jc w:val="both"/>
        <w:rPr>
          <w:rStyle w:val="BookTitle"/>
          <w:i w:val="0"/>
          <w:iCs w:val="0"/>
          <w:smallCaps w:val="0"/>
          <w:spacing w:val="0"/>
          <w:sz w:val="24"/>
          <w:szCs w:val="24"/>
        </w:rPr>
      </w:pPr>
      <w:r>
        <w:rPr>
          <w:rStyle w:val="BookTitle"/>
          <w:i w:val="0"/>
          <w:iCs w:val="0"/>
          <w:smallCaps w:val="0"/>
          <w:spacing w:val="0"/>
          <w:sz w:val="24"/>
          <w:szCs w:val="24"/>
        </w:rPr>
        <w:t xml:space="preserve">1 July 2008 is the day on which the </w:t>
      </w:r>
      <w:proofErr w:type="spellStart"/>
      <w:r>
        <w:rPr>
          <w:rStyle w:val="BookTitle"/>
          <w:i w:val="0"/>
          <w:iCs w:val="0"/>
          <w:smallCaps w:val="0"/>
          <w:spacing w:val="0"/>
          <w:sz w:val="24"/>
          <w:szCs w:val="24"/>
        </w:rPr>
        <w:t>FRC</w:t>
      </w:r>
      <w:proofErr w:type="spellEnd"/>
      <w:r>
        <w:rPr>
          <w:rStyle w:val="BookTitle"/>
          <w:i w:val="0"/>
          <w:iCs w:val="0"/>
          <w:smallCaps w:val="0"/>
          <w:spacing w:val="0"/>
          <w:sz w:val="24"/>
          <w:szCs w:val="24"/>
        </w:rPr>
        <w:t xml:space="preserve"> commenced.</w:t>
      </w:r>
    </w:p>
    <w:p w:rsidR="009C6FEB" w:rsidRPr="00834965" w:rsidRDefault="004D574B" w:rsidP="008B7560">
      <w:pPr>
        <w:jc w:val="both"/>
        <w:rPr>
          <w:rStyle w:val="BookTitle"/>
          <w:i w:val="0"/>
          <w:iCs w:val="0"/>
          <w:smallCaps w:val="0"/>
          <w:spacing w:val="0"/>
          <w:sz w:val="24"/>
          <w:szCs w:val="24"/>
        </w:rPr>
      </w:pPr>
      <w:r>
        <w:rPr>
          <w:rStyle w:val="BookTitle"/>
          <w:i w:val="0"/>
          <w:iCs w:val="0"/>
          <w:smallCaps w:val="0"/>
          <w:spacing w:val="0"/>
          <w:sz w:val="24"/>
          <w:szCs w:val="24"/>
        </w:rPr>
        <w:t>T</w:t>
      </w:r>
      <w:r w:rsidR="009C6FEB" w:rsidRPr="00834965">
        <w:rPr>
          <w:rStyle w:val="BookTitle"/>
          <w:i w:val="0"/>
          <w:iCs w:val="0"/>
          <w:smallCaps w:val="0"/>
          <w:spacing w:val="0"/>
          <w:sz w:val="24"/>
          <w:szCs w:val="24"/>
        </w:rPr>
        <w:t xml:space="preserve">his </w:t>
      </w:r>
      <w:r w:rsidR="009C6FEB">
        <w:rPr>
          <w:rStyle w:val="BookTitle"/>
          <w:i w:val="0"/>
          <w:iCs w:val="0"/>
          <w:smallCaps w:val="0"/>
          <w:spacing w:val="0"/>
          <w:sz w:val="24"/>
          <w:szCs w:val="24"/>
        </w:rPr>
        <w:t xml:space="preserve">Specification means that a person cannot become subject to income management under section </w:t>
      </w:r>
      <w:proofErr w:type="spellStart"/>
      <w:r w:rsidR="009C6FEB">
        <w:rPr>
          <w:rStyle w:val="BookTitle"/>
          <w:i w:val="0"/>
          <w:iCs w:val="0"/>
          <w:smallCaps w:val="0"/>
          <w:spacing w:val="0"/>
          <w:sz w:val="24"/>
          <w:szCs w:val="24"/>
        </w:rPr>
        <w:t>123UF</w:t>
      </w:r>
      <w:proofErr w:type="spellEnd"/>
      <w:r w:rsidR="009C6FEB">
        <w:rPr>
          <w:rStyle w:val="BookTitle"/>
          <w:i w:val="0"/>
          <w:iCs w:val="0"/>
          <w:smallCaps w:val="0"/>
          <w:spacing w:val="0"/>
          <w:sz w:val="24"/>
          <w:szCs w:val="24"/>
        </w:rPr>
        <w:t xml:space="preserve"> of the Social Security Administration Act on the basis of living in Doomadgee Aboriginal Shire Council or any other new welfare reform community areas that Queensland provides for in the </w:t>
      </w:r>
      <w:proofErr w:type="spellStart"/>
      <w:r w:rsidR="009C6FEB">
        <w:rPr>
          <w:rStyle w:val="BookTitle"/>
          <w:i w:val="0"/>
          <w:iCs w:val="0"/>
          <w:smallCaps w:val="0"/>
          <w:spacing w:val="0"/>
          <w:sz w:val="24"/>
          <w:szCs w:val="24"/>
        </w:rPr>
        <w:t>FRC</w:t>
      </w:r>
      <w:proofErr w:type="spellEnd"/>
      <w:r w:rsidR="009C6FEB">
        <w:rPr>
          <w:rStyle w:val="BookTitle"/>
          <w:i w:val="0"/>
          <w:iCs w:val="0"/>
          <w:smallCaps w:val="0"/>
          <w:spacing w:val="0"/>
          <w:sz w:val="24"/>
          <w:szCs w:val="24"/>
        </w:rPr>
        <w:t xml:space="preserve"> Act or the </w:t>
      </w:r>
      <w:proofErr w:type="spellStart"/>
      <w:r w:rsidR="009C6FEB">
        <w:rPr>
          <w:rStyle w:val="BookTitle"/>
          <w:i w:val="0"/>
          <w:iCs w:val="0"/>
          <w:smallCaps w:val="0"/>
          <w:spacing w:val="0"/>
          <w:sz w:val="24"/>
          <w:szCs w:val="24"/>
        </w:rPr>
        <w:t>FRC</w:t>
      </w:r>
      <w:proofErr w:type="spellEnd"/>
      <w:r w:rsidR="009C6FEB">
        <w:rPr>
          <w:rStyle w:val="BookTitle"/>
          <w:i w:val="0"/>
          <w:iCs w:val="0"/>
          <w:smallCaps w:val="0"/>
          <w:spacing w:val="0"/>
          <w:sz w:val="24"/>
          <w:szCs w:val="24"/>
        </w:rPr>
        <w:t xml:space="preserve"> Regulation</w:t>
      </w:r>
      <w:r w:rsidR="009C6FEB" w:rsidRPr="00834965">
        <w:rPr>
          <w:rStyle w:val="BookTitle"/>
          <w:i w:val="0"/>
          <w:iCs w:val="0"/>
          <w:smallCaps w:val="0"/>
          <w:spacing w:val="0"/>
          <w:sz w:val="24"/>
          <w:szCs w:val="24"/>
        </w:rPr>
        <w:t xml:space="preserve">. </w:t>
      </w:r>
    </w:p>
    <w:p w:rsidR="000E197C" w:rsidRDefault="000E197C" w:rsidP="0072342F">
      <w:pPr>
        <w:keepNext/>
        <w:jc w:val="both"/>
        <w:rPr>
          <w:b/>
          <w:sz w:val="24"/>
          <w:szCs w:val="24"/>
        </w:rPr>
      </w:pPr>
      <w:r>
        <w:rPr>
          <w:b/>
          <w:sz w:val="24"/>
          <w:szCs w:val="24"/>
        </w:rPr>
        <w:lastRenderedPageBreak/>
        <w:t>Consultation</w:t>
      </w:r>
    </w:p>
    <w:p w:rsidR="00DC47FB" w:rsidRDefault="00DC47FB" w:rsidP="008B7560">
      <w:pPr>
        <w:jc w:val="both"/>
        <w:rPr>
          <w:sz w:val="24"/>
          <w:szCs w:val="24"/>
        </w:rPr>
      </w:pPr>
      <w:r>
        <w:rPr>
          <w:sz w:val="24"/>
          <w:szCs w:val="24"/>
        </w:rPr>
        <w:t xml:space="preserve">Consultation was undertaken on the Specification with the Department of the Prime Minister and Cabinet and the Department of Human Services. </w:t>
      </w:r>
    </w:p>
    <w:p w:rsidR="00DC47FB" w:rsidRPr="005F7D5D" w:rsidRDefault="00DC47FB" w:rsidP="008B7560">
      <w:pPr>
        <w:jc w:val="both"/>
        <w:rPr>
          <w:sz w:val="24"/>
          <w:szCs w:val="24"/>
        </w:rPr>
      </w:pPr>
      <w:r>
        <w:rPr>
          <w:sz w:val="24"/>
          <w:szCs w:val="24"/>
        </w:rPr>
        <w:t xml:space="preserve">Broader community consultation was not necessary as the </w:t>
      </w:r>
      <w:r w:rsidR="00802A07">
        <w:rPr>
          <w:sz w:val="24"/>
          <w:szCs w:val="24"/>
        </w:rPr>
        <w:t>Specification is not expanding income management to</w:t>
      </w:r>
      <w:r w:rsidR="0086721B">
        <w:rPr>
          <w:sz w:val="24"/>
          <w:szCs w:val="24"/>
        </w:rPr>
        <w:t xml:space="preserve"> new area/s or persons.</w:t>
      </w:r>
    </w:p>
    <w:p w:rsidR="000E197C" w:rsidRDefault="000E197C" w:rsidP="008B7560">
      <w:pPr>
        <w:jc w:val="both"/>
        <w:rPr>
          <w:b/>
          <w:sz w:val="24"/>
          <w:szCs w:val="24"/>
        </w:rPr>
      </w:pPr>
      <w:r>
        <w:rPr>
          <w:b/>
          <w:sz w:val="24"/>
          <w:szCs w:val="24"/>
        </w:rPr>
        <w:t>Regulation Impact Analysis</w:t>
      </w:r>
    </w:p>
    <w:p w:rsidR="004F2317" w:rsidRDefault="00B04B2E" w:rsidP="008B7560">
      <w:pPr>
        <w:jc w:val="both"/>
        <w:rPr>
          <w:sz w:val="24"/>
          <w:szCs w:val="24"/>
        </w:rPr>
      </w:pPr>
      <w:r>
        <w:rPr>
          <w:sz w:val="24"/>
          <w:szCs w:val="24"/>
        </w:rPr>
        <w:t xml:space="preserve">The </w:t>
      </w:r>
      <w:r w:rsidR="0054499A">
        <w:rPr>
          <w:sz w:val="24"/>
          <w:szCs w:val="24"/>
        </w:rPr>
        <w:t>S</w:t>
      </w:r>
      <w:r>
        <w:rPr>
          <w:sz w:val="24"/>
          <w:szCs w:val="24"/>
        </w:rPr>
        <w:t xml:space="preserve">pecification does not require a Regulation Impact Statement because the </w:t>
      </w:r>
      <w:r w:rsidR="00916E8B">
        <w:rPr>
          <w:sz w:val="24"/>
          <w:szCs w:val="24"/>
        </w:rPr>
        <w:t xml:space="preserve">Specification </w:t>
      </w:r>
      <w:r>
        <w:rPr>
          <w:sz w:val="24"/>
          <w:szCs w:val="24"/>
        </w:rPr>
        <w:t xml:space="preserve">is not regulatory in nature, will not impact on business activity and will have no or minimal compliance costs or competition impact. </w:t>
      </w:r>
    </w:p>
    <w:p w:rsidR="005C635F" w:rsidRPr="004F2317" w:rsidRDefault="005C635F" w:rsidP="005C635F">
      <w:pPr>
        <w:rPr>
          <w:rStyle w:val="BookTitle"/>
          <w:i w:val="0"/>
          <w:iCs w:val="0"/>
          <w:smallCaps w:val="0"/>
          <w:spacing w:val="0"/>
          <w:sz w:val="24"/>
          <w:szCs w:val="24"/>
        </w:rPr>
      </w:pPr>
      <w:r>
        <w:rPr>
          <w:sz w:val="24"/>
          <w:szCs w:val="24"/>
        </w:rPr>
        <w:br w:type="page"/>
      </w:r>
    </w:p>
    <w:p w:rsidR="000E197C" w:rsidRPr="006400E0" w:rsidRDefault="000E197C" w:rsidP="004C71CC">
      <w:pPr>
        <w:spacing w:before="360" w:after="120"/>
        <w:jc w:val="center"/>
        <w:rPr>
          <w:rFonts w:cs="Arial"/>
          <w:b/>
          <w:sz w:val="28"/>
          <w:szCs w:val="28"/>
        </w:rPr>
      </w:pPr>
      <w:r w:rsidRPr="006400E0">
        <w:rPr>
          <w:rFonts w:cs="Arial"/>
          <w:b/>
          <w:sz w:val="28"/>
          <w:szCs w:val="28"/>
        </w:rPr>
        <w:lastRenderedPageBreak/>
        <w:t>Statement of Compatibility with Human Rights</w:t>
      </w:r>
    </w:p>
    <w:p w:rsidR="000E197C" w:rsidRPr="006400E0" w:rsidRDefault="000E197C" w:rsidP="004C71CC">
      <w:pPr>
        <w:spacing w:before="120" w:after="120"/>
        <w:jc w:val="center"/>
        <w:rPr>
          <w:rFonts w:cs="Arial"/>
          <w:sz w:val="24"/>
          <w:szCs w:val="24"/>
        </w:rPr>
      </w:pPr>
      <w:r w:rsidRPr="006400E0">
        <w:rPr>
          <w:rFonts w:cs="Arial"/>
          <w:i/>
          <w:sz w:val="24"/>
          <w:szCs w:val="24"/>
        </w:rPr>
        <w:t>Prepared in accordance with Part 3 of the Human Rights (Parliamentary Scrutiny) Act 2011</w:t>
      </w:r>
    </w:p>
    <w:p w:rsidR="000E197C" w:rsidRPr="006400E0" w:rsidRDefault="000E197C" w:rsidP="004C71CC">
      <w:pPr>
        <w:jc w:val="center"/>
        <w:rPr>
          <w:rFonts w:cs="Arial"/>
          <w:sz w:val="24"/>
          <w:szCs w:val="24"/>
        </w:rPr>
      </w:pPr>
    </w:p>
    <w:p w:rsidR="004C71CC" w:rsidRPr="004C71CC" w:rsidRDefault="004C71CC" w:rsidP="004C71CC">
      <w:pPr>
        <w:autoSpaceDE w:val="0"/>
        <w:autoSpaceDN w:val="0"/>
        <w:adjustRightInd w:val="0"/>
        <w:spacing w:after="0" w:line="240" w:lineRule="auto"/>
        <w:jc w:val="center"/>
        <w:rPr>
          <w:rFonts w:cs="Arial"/>
          <w:b/>
          <w:bCs/>
          <w:i/>
          <w:sz w:val="24"/>
          <w:szCs w:val="24"/>
        </w:rPr>
      </w:pPr>
      <w:r w:rsidRPr="004C71CC">
        <w:rPr>
          <w:rFonts w:cs="Arial"/>
          <w:b/>
          <w:bCs/>
          <w:i/>
          <w:sz w:val="24"/>
          <w:szCs w:val="24"/>
        </w:rPr>
        <w:t>Social Security (Administration) (Excluded circumstances – Queensland Commission) Specification 2014</w:t>
      </w:r>
    </w:p>
    <w:p w:rsidR="000C65EE" w:rsidRDefault="000C65EE" w:rsidP="000C65EE">
      <w:pPr>
        <w:rPr>
          <w:rStyle w:val="BookTitle"/>
          <w:i w:val="0"/>
          <w:iCs w:val="0"/>
          <w:smallCaps w:val="0"/>
          <w:spacing w:val="0"/>
        </w:rPr>
      </w:pPr>
    </w:p>
    <w:p w:rsidR="003F0ED8" w:rsidRPr="005F7D5D" w:rsidRDefault="00C36A2F" w:rsidP="003B57F4">
      <w:pPr>
        <w:jc w:val="center"/>
        <w:rPr>
          <w:rFonts w:cs="Arial"/>
          <w:bCs/>
          <w:sz w:val="24"/>
          <w:szCs w:val="24"/>
        </w:rPr>
      </w:pPr>
      <w:r>
        <w:rPr>
          <w:rFonts w:cs="Arial"/>
          <w:bCs/>
          <w:i/>
          <w:sz w:val="24"/>
          <w:szCs w:val="24"/>
        </w:rPr>
        <w:t>This l</w:t>
      </w:r>
      <w:r w:rsidR="000C65EE" w:rsidRPr="005F7D5D">
        <w:rPr>
          <w:rFonts w:cs="Arial"/>
          <w:bCs/>
          <w:i/>
          <w:sz w:val="24"/>
          <w:szCs w:val="24"/>
        </w:rPr>
        <w:t>egislative instrument is compatible with the human rights and freedoms recognised or declared in the international instruments listed in section 3 of the Human Rights (Parliamentary Scrutiny) Act 2011.</w:t>
      </w:r>
    </w:p>
    <w:p w:rsidR="003F0ED8" w:rsidRPr="003F0ED8" w:rsidRDefault="003F0ED8" w:rsidP="000C65EE">
      <w:pPr>
        <w:spacing w:after="0"/>
        <w:jc w:val="both"/>
        <w:rPr>
          <w:rStyle w:val="BookTitle"/>
          <w:b/>
          <w:i w:val="0"/>
          <w:iCs w:val="0"/>
          <w:smallCaps w:val="0"/>
          <w:spacing w:val="0"/>
        </w:rPr>
      </w:pPr>
      <w:r w:rsidRPr="003F0ED8">
        <w:rPr>
          <w:rStyle w:val="BookTitle"/>
          <w:b/>
          <w:i w:val="0"/>
          <w:iCs w:val="0"/>
          <w:smallCaps w:val="0"/>
          <w:spacing w:val="0"/>
        </w:rPr>
        <w:t>Overview of the Legislative Instrument</w:t>
      </w:r>
    </w:p>
    <w:p w:rsidR="003F0ED8" w:rsidRDefault="003F0ED8" w:rsidP="000C65EE">
      <w:pPr>
        <w:spacing w:after="0"/>
        <w:jc w:val="both"/>
        <w:rPr>
          <w:rStyle w:val="BookTitle"/>
          <w:i w:val="0"/>
          <w:iCs w:val="0"/>
          <w:smallCaps w:val="0"/>
          <w:spacing w:val="0"/>
        </w:rPr>
      </w:pPr>
    </w:p>
    <w:p w:rsidR="001C7C71" w:rsidRPr="009E267E" w:rsidRDefault="000C65EE" w:rsidP="001C7C71">
      <w:pPr>
        <w:jc w:val="both"/>
        <w:rPr>
          <w:rFonts w:cs="Arial"/>
          <w:bCs/>
          <w:sz w:val="24"/>
          <w:szCs w:val="24"/>
        </w:rPr>
      </w:pPr>
      <w:r w:rsidRPr="001C7C71">
        <w:rPr>
          <w:rFonts w:cs="Arial"/>
          <w:bCs/>
          <w:sz w:val="24"/>
          <w:szCs w:val="24"/>
        </w:rPr>
        <w:t xml:space="preserve">Part </w:t>
      </w:r>
      <w:proofErr w:type="spellStart"/>
      <w:r w:rsidRPr="001C7C71">
        <w:rPr>
          <w:rFonts w:cs="Arial"/>
          <w:bCs/>
          <w:sz w:val="24"/>
          <w:szCs w:val="24"/>
        </w:rPr>
        <w:t>3B</w:t>
      </w:r>
      <w:proofErr w:type="spellEnd"/>
      <w:r w:rsidRPr="001C7C71">
        <w:rPr>
          <w:rFonts w:cs="Arial"/>
          <w:bCs/>
          <w:sz w:val="24"/>
          <w:szCs w:val="24"/>
        </w:rPr>
        <w:t xml:space="preserve"> of the </w:t>
      </w:r>
      <w:r w:rsidRPr="001C7C71">
        <w:rPr>
          <w:rFonts w:cs="Arial"/>
          <w:bCs/>
          <w:i/>
          <w:sz w:val="24"/>
          <w:szCs w:val="24"/>
        </w:rPr>
        <w:t xml:space="preserve">Social Security (Administration) Act 1999 </w:t>
      </w:r>
      <w:r w:rsidR="00CC5814">
        <w:rPr>
          <w:rFonts w:cs="Arial"/>
          <w:bCs/>
          <w:sz w:val="24"/>
          <w:szCs w:val="24"/>
        </w:rPr>
        <w:t>(</w:t>
      </w:r>
      <w:r w:rsidR="00CC5814" w:rsidRPr="00CC5814">
        <w:rPr>
          <w:rFonts w:cs="Arial"/>
          <w:b/>
          <w:bCs/>
          <w:sz w:val="24"/>
          <w:szCs w:val="24"/>
        </w:rPr>
        <w:t>Social Security Administration</w:t>
      </w:r>
      <w:r w:rsidRPr="00CC5814">
        <w:rPr>
          <w:rFonts w:cs="Arial"/>
          <w:b/>
          <w:bCs/>
          <w:sz w:val="24"/>
          <w:szCs w:val="24"/>
        </w:rPr>
        <w:t xml:space="preserve"> Act</w:t>
      </w:r>
      <w:r w:rsidRPr="001C7C71">
        <w:rPr>
          <w:rFonts w:cs="Arial"/>
          <w:bCs/>
          <w:sz w:val="24"/>
          <w:szCs w:val="24"/>
        </w:rPr>
        <w:t>) establishes an income management regime that applies to recipien</w:t>
      </w:r>
      <w:r w:rsidR="00044955" w:rsidRPr="001C7C71">
        <w:rPr>
          <w:rFonts w:cs="Arial"/>
          <w:bCs/>
          <w:sz w:val="24"/>
          <w:szCs w:val="24"/>
        </w:rPr>
        <w:t xml:space="preserve">ts of certain welfare payments.  </w:t>
      </w:r>
      <w:r w:rsidR="001C7C71" w:rsidRPr="009E267E">
        <w:rPr>
          <w:rFonts w:cs="Arial"/>
          <w:bCs/>
          <w:sz w:val="24"/>
          <w:szCs w:val="24"/>
        </w:rPr>
        <w:t xml:space="preserve">Subsections </w:t>
      </w:r>
      <w:proofErr w:type="spellStart"/>
      <w:r w:rsidR="001C7C71" w:rsidRPr="009E267E">
        <w:rPr>
          <w:rFonts w:cs="Arial"/>
          <w:bCs/>
          <w:sz w:val="24"/>
          <w:szCs w:val="24"/>
        </w:rPr>
        <w:t>123UF</w:t>
      </w:r>
      <w:proofErr w:type="spellEnd"/>
      <w:r w:rsidR="001C7C71" w:rsidRPr="009E267E">
        <w:rPr>
          <w:rFonts w:cs="Arial"/>
          <w:bCs/>
          <w:sz w:val="24"/>
          <w:szCs w:val="24"/>
        </w:rPr>
        <w:t xml:space="preserve">(1) and (2) of the </w:t>
      </w:r>
      <w:r w:rsidR="001C7C71" w:rsidRPr="009E267E">
        <w:rPr>
          <w:rFonts w:cs="Arial"/>
          <w:bCs/>
          <w:i/>
          <w:sz w:val="24"/>
          <w:szCs w:val="24"/>
        </w:rPr>
        <w:t>Social Security (Administration) Act 1999</w:t>
      </w:r>
      <w:r w:rsidR="001C7C71" w:rsidRPr="009E267E">
        <w:rPr>
          <w:rFonts w:cs="Arial"/>
          <w:bCs/>
          <w:sz w:val="24"/>
          <w:szCs w:val="24"/>
        </w:rPr>
        <w:t xml:space="preserve"> </w:t>
      </w:r>
      <w:r w:rsidR="001C7C71">
        <w:rPr>
          <w:rFonts w:cs="Arial"/>
          <w:bCs/>
          <w:sz w:val="24"/>
          <w:szCs w:val="24"/>
        </w:rPr>
        <w:t>provide</w:t>
      </w:r>
      <w:r w:rsidR="001C7C71" w:rsidRPr="009E267E">
        <w:rPr>
          <w:rFonts w:cs="Arial"/>
          <w:bCs/>
          <w:sz w:val="24"/>
          <w:szCs w:val="24"/>
        </w:rPr>
        <w:t xml:space="preserve"> for when a person becomes subject to the income management regime following a notice given to the Secretary by the Queensland Commission.  The effect of the definition of “Queensland Commiss</w:t>
      </w:r>
      <w:r w:rsidR="00E81C3C">
        <w:rPr>
          <w:rFonts w:cs="Arial"/>
          <w:bCs/>
          <w:sz w:val="24"/>
          <w:szCs w:val="24"/>
        </w:rPr>
        <w:t xml:space="preserve">ion” in section </w:t>
      </w:r>
      <w:proofErr w:type="spellStart"/>
      <w:r w:rsidR="00E81C3C">
        <w:rPr>
          <w:rFonts w:cs="Arial"/>
          <w:bCs/>
          <w:sz w:val="24"/>
          <w:szCs w:val="24"/>
        </w:rPr>
        <w:t>123TC</w:t>
      </w:r>
      <w:proofErr w:type="spellEnd"/>
      <w:r w:rsidR="00E81C3C">
        <w:rPr>
          <w:rFonts w:cs="Arial"/>
          <w:bCs/>
          <w:sz w:val="24"/>
          <w:szCs w:val="24"/>
        </w:rPr>
        <w:t xml:space="preserve"> of the </w:t>
      </w:r>
      <w:r w:rsidR="004F5EE6">
        <w:rPr>
          <w:rFonts w:cs="Arial"/>
          <w:bCs/>
          <w:sz w:val="24"/>
          <w:szCs w:val="24"/>
        </w:rPr>
        <w:t xml:space="preserve">Social Security Administration </w:t>
      </w:r>
      <w:r w:rsidR="00E81C3C">
        <w:rPr>
          <w:rFonts w:cs="Arial"/>
          <w:bCs/>
          <w:sz w:val="24"/>
          <w:szCs w:val="24"/>
        </w:rPr>
        <w:t>Act</w:t>
      </w:r>
      <w:r w:rsidR="001C7C71" w:rsidRPr="009E267E">
        <w:rPr>
          <w:rFonts w:cs="Arial"/>
          <w:bCs/>
          <w:sz w:val="24"/>
          <w:szCs w:val="24"/>
        </w:rPr>
        <w:t xml:space="preserve"> and the </w:t>
      </w:r>
      <w:r w:rsidR="001C7C71" w:rsidRPr="009E267E">
        <w:rPr>
          <w:rFonts w:cs="Arial"/>
          <w:bCs/>
          <w:i/>
          <w:sz w:val="24"/>
          <w:szCs w:val="24"/>
        </w:rPr>
        <w:t>Social Security (Administration) – Queensland Commission (Family Responsibilities Commission) Specification 2014</w:t>
      </w:r>
      <w:r w:rsidR="001C7C71" w:rsidRPr="009E267E">
        <w:rPr>
          <w:rFonts w:cs="Arial"/>
          <w:bCs/>
          <w:sz w:val="24"/>
          <w:szCs w:val="24"/>
        </w:rPr>
        <w:t xml:space="preserve"> is that the </w:t>
      </w:r>
      <w:proofErr w:type="spellStart"/>
      <w:r w:rsidR="001C7C71" w:rsidRPr="009E267E">
        <w:rPr>
          <w:rFonts w:cs="Arial"/>
          <w:bCs/>
          <w:sz w:val="24"/>
          <w:szCs w:val="24"/>
        </w:rPr>
        <w:t>FRC</w:t>
      </w:r>
      <w:proofErr w:type="spellEnd"/>
      <w:r w:rsidR="001C7C71" w:rsidRPr="009E267E">
        <w:rPr>
          <w:rFonts w:cs="Arial"/>
          <w:bCs/>
          <w:sz w:val="24"/>
          <w:szCs w:val="24"/>
        </w:rPr>
        <w:t xml:space="preserve"> is the Queensland Commission.</w:t>
      </w:r>
    </w:p>
    <w:p w:rsidR="00044955" w:rsidRDefault="001C7C71" w:rsidP="001C7C71">
      <w:pPr>
        <w:spacing w:after="0"/>
        <w:jc w:val="both"/>
        <w:rPr>
          <w:rFonts w:cs="Arial"/>
          <w:bCs/>
          <w:sz w:val="24"/>
          <w:szCs w:val="24"/>
        </w:rPr>
      </w:pPr>
      <w:r w:rsidRPr="009E267E">
        <w:rPr>
          <w:rFonts w:cs="Arial"/>
          <w:bCs/>
          <w:sz w:val="24"/>
          <w:szCs w:val="24"/>
        </w:rPr>
        <w:t xml:space="preserve">If other legislative circumstances are met, a person will become subject to income management if the notice from the </w:t>
      </w:r>
      <w:proofErr w:type="spellStart"/>
      <w:r w:rsidRPr="009E267E">
        <w:rPr>
          <w:rFonts w:cs="Arial"/>
          <w:bCs/>
          <w:sz w:val="24"/>
          <w:szCs w:val="24"/>
        </w:rPr>
        <w:t>FRC</w:t>
      </w:r>
      <w:proofErr w:type="spellEnd"/>
      <w:r w:rsidRPr="009E267E">
        <w:rPr>
          <w:rFonts w:cs="Arial"/>
          <w:bCs/>
          <w:sz w:val="24"/>
          <w:szCs w:val="24"/>
        </w:rPr>
        <w:t xml:space="preserve"> is given under a law of Queensland (paragraphs </w:t>
      </w:r>
      <w:proofErr w:type="spellStart"/>
      <w:proofErr w:type="gramStart"/>
      <w:r w:rsidRPr="009E267E">
        <w:rPr>
          <w:rFonts w:cs="Arial"/>
          <w:bCs/>
          <w:sz w:val="24"/>
          <w:szCs w:val="24"/>
        </w:rPr>
        <w:t>12</w:t>
      </w:r>
      <w:r w:rsidR="00E81C3C">
        <w:rPr>
          <w:rFonts w:cs="Arial"/>
          <w:bCs/>
          <w:sz w:val="24"/>
          <w:szCs w:val="24"/>
        </w:rPr>
        <w:t>3UF</w:t>
      </w:r>
      <w:proofErr w:type="spellEnd"/>
      <w:r w:rsidR="00E81C3C">
        <w:rPr>
          <w:rFonts w:cs="Arial"/>
          <w:bCs/>
          <w:sz w:val="24"/>
          <w:szCs w:val="24"/>
        </w:rPr>
        <w:t>(</w:t>
      </w:r>
      <w:proofErr w:type="gramEnd"/>
      <w:r w:rsidR="00E81C3C">
        <w:rPr>
          <w:rFonts w:cs="Arial"/>
          <w:bCs/>
          <w:sz w:val="24"/>
          <w:szCs w:val="24"/>
        </w:rPr>
        <w:t xml:space="preserve">1)(c) and </w:t>
      </w:r>
      <w:proofErr w:type="spellStart"/>
      <w:r w:rsidR="00E81C3C">
        <w:rPr>
          <w:rFonts w:cs="Arial"/>
          <w:bCs/>
          <w:sz w:val="24"/>
          <w:szCs w:val="24"/>
        </w:rPr>
        <w:t>123UF</w:t>
      </w:r>
      <w:proofErr w:type="spellEnd"/>
      <w:r w:rsidR="00E81C3C">
        <w:rPr>
          <w:rFonts w:cs="Arial"/>
          <w:bCs/>
          <w:sz w:val="24"/>
          <w:szCs w:val="24"/>
        </w:rPr>
        <w:t xml:space="preserve">(2)(d) of the </w:t>
      </w:r>
      <w:r w:rsidR="004F5EE6">
        <w:rPr>
          <w:rFonts w:cs="Arial"/>
          <w:bCs/>
          <w:sz w:val="24"/>
          <w:szCs w:val="24"/>
        </w:rPr>
        <w:t xml:space="preserve">Social Security Administration </w:t>
      </w:r>
      <w:r w:rsidRPr="009E267E">
        <w:rPr>
          <w:rFonts w:cs="Arial"/>
          <w:bCs/>
          <w:sz w:val="24"/>
          <w:szCs w:val="24"/>
        </w:rPr>
        <w:t>Act</w:t>
      </w:r>
      <w:r>
        <w:rPr>
          <w:rFonts w:cs="Arial"/>
          <w:bCs/>
          <w:sz w:val="24"/>
          <w:szCs w:val="24"/>
        </w:rPr>
        <w:t>)</w:t>
      </w:r>
      <w:r w:rsidRPr="009E267E">
        <w:rPr>
          <w:rFonts w:cs="Arial"/>
          <w:bCs/>
          <w:sz w:val="24"/>
          <w:szCs w:val="24"/>
        </w:rPr>
        <w:t xml:space="preserve">.  The </w:t>
      </w:r>
      <w:proofErr w:type="spellStart"/>
      <w:r w:rsidRPr="009E267E">
        <w:rPr>
          <w:rFonts w:cs="Arial"/>
          <w:bCs/>
          <w:sz w:val="24"/>
          <w:szCs w:val="24"/>
        </w:rPr>
        <w:t>FRC</w:t>
      </w:r>
      <w:proofErr w:type="spellEnd"/>
      <w:r w:rsidRPr="009E267E">
        <w:rPr>
          <w:rFonts w:cs="Arial"/>
          <w:bCs/>
          <w:sz w:val="24"/>
          <w:szCs w:val="24"/>
        </w:rPr>
        <w:t xml:space="preserve"> relies on provisions in the </w:t>
      </w:r>
      <w:r w:rsidRPr="009E267E">
        <w:rPr>
          <w:rFonts w:cs="Arial"/>
          <w:bCs/>
          <w:i/>
          <w:sz w:val="24"/>
          <w:szCs w:val="24"/>
        </w:rPr>
        <w:t xml:space="preserve">Family Responsibilities Commission Act 2008 </w:t>
      </w:r>
      <w:r w:rsidRPr="009E267E">
        <w:rPr>
          <w:rFonts w:cs="Arial"/>
          <w:bCs/>
          <w:sz w:val="24"/>
          <w:szCs w:val="24"/>
        </w:rPr>
        <w:t>(Qld) to provide notices to the Secretary.</w:t>
      </w:r>
    </w:p>
    <w:p w:rsidR="00B83753" w:rsidRDefault="00B83753" w:rsidP="001C7C71">
      <w:pPr>
        <w:spacing w:after="0"/>
        <w:jc w:val="both"/>
        <w:rPr>
          <w:rFonts w:cs="Arial"/>
          <w:bCs/>
          <w:sz w:val="24"/>
          <w:szCs w:val="24"/>
        </w:rPr>
      </w:pPr>
    </w:p>
    <w:p w:rsidR="00B83753" w:rsidRDefault="00B83753" w:rsidP="00B83753">
      <w:pPr>
        <w:spacing w:after="0"/>
        <w:jc w:val="both"/>
        <w:rPr>
          <w:rFonts w:cs="Arial"/>
          <w:color w:val="000000"/>
          <w:sz w:val="24"/>
          <w:szCs w:val="24"/>
        </w:rPr>
      </w:pPr>
      <w:r>
        <w:rPr>
          <w:rFonts w:cs="Arial"/>
          <w:color w:val="000000"/>
          <w:sz w:val="24"/>
          <w:szCs w:val="24"/>
        </w:rPr>
        <w:t xml:space="preserve">Paragraphs </w:t>
      </w:r>
      <w:proofErr w:type="spellStart"/>
      <w:r>
        <w:rPr>
          <w:rFonts w:cs="Arial"/>
          <w:color w:val="000000"/>
          <w:sz w:val="24"/>
          <w:szCs w:val="24"/>
        </w:rPr>
        <w:t>123UF</w:t>
      </w:r>
      <w:proofErr w:type="spellEnd"/>
      <w:r>
        <w:rPr>
          <w:rFonts w:cs="Arial"/>
          <w:color w:val="000000"/>
          <w:sz w:val="24"/>
          <w:szCs w:val="24"/>
        </w:rPr>
        <w:t xml:space="preserve">(1)(d) and </w:t>
      </w:r>
      <w:proofErr w:type="spellStart"/>
      <w:r>
        <w:rPr>
          <w:rFonts w:cs="Arial"/>
          <w:color w:val="000000"/>
          <w:sz w:val="24"/>
          <w:szCs w:val="24"/>
        </w:rPr>
        <w:t>123UF</w:t>
      </w:r>
      <w:proofErr w:type="spellEnd"/>
      <w:r>
        <w:rPr>
          <w:rFonts w:cs="Arial"/>
          <w:color w:val="000000"/>
          <w:sz w:val="24"/>
          <w:szCs w:val="24"/>
        </w:rPr>
        <w:t xml:space="preserve">(2)(e) of the </w:t>
      </w:r>
      <w:r w:rsidR="004F5EE6">
        <w:rPr>
          <w:rFonts w:cs="Arial"/>
          <w:color w:val="000000"/>
          <w:sz w:val="24"/>
          <w:szCs w:val="24"/>
        </w:rPr>
        <w:t xml:space="preserve">Social Security Administration </w:t>
      </w:r>
      <w:r>
        <w:rPr>
          <w:rFonts w:cs="Arial"/>
          <w:color w:val="000000"/>
          <w:sz w:val="24"/>
          <w:szCs w:val="24"/>
        </w:rPr>
        <w:t xml:space="preserve">Act allow for a circumstance to be specified by the Minister in which a notice must not be given by the </w:t>
      </w:r>
      <w:proofErr w:type="spellStart"/>
      <w:r>
        <w:rPr>
          <w:rFonts w:cs="Arial"/>
          <w:color w:val="000000"/>
          <w:sz w:val="24"/>
          <w:szCs w:val="24"/>
        </w:rPr>
        <w:t>FRC</w:t>
      </w:r>
      <w:proofErr w:type="spellEnd"/>
      <w:r>
        <w:rPr>
          <w:rFonts w:cs="Arial"/>
          <w:color w:val="000000"/>
          <w:sz w:val="24"/>
          <w:szCs w:val="24"/>
        </w:rPr>
        <w:t xml:space="preserve"> to subject a person to income management under section </w:t>
      </w:r>
      <w:proofErr w:type="spellStart"/>
      <w:r>
        <w:rPr>
          <w:rFonts w:cs="Arial"/>
          <w:color w:val="000000"/>
          <w:sz w:val="24"/>
          <w:szCs w:val="24"/>
        </w:rPr>
        <w:t>123UF</w:t>
      </w:r>
      <w:proofErr w:type="spellEnd"/>
      <w:r>
        <w:rPr>
          <w:rFonts w:cs="Arial"/>
          <w:color w:val="000000"/>
          <w:sz w:val="24"/>
          <w:szCs w:val="24"/>
        </w:rPr>
        <w:t>.</w:t>
      </w:r>
    </w:p>
    <w:p w:rsidR="00B83753" w:rsidRPr="00B83753" w:rsidRDefault="00B83753" w:rsidP="001C7C71">
      <w:pPr>
        <w:spacing w:after="0"/>
        <w:jc w:val="both"/>
        <w:rPr>
          <w:rFonts w:cs="Arial"/>
          <w:bCs/>
          <w:sz w:val="24"/>
          <w:szCs w:val="24"/>
        </w:rPr>
      </w:pPr>
    </w:p>
    <w:p w:rsidR="003440D9" w:rsidRPr="00B83753" w:rsidRDefault="003440D9" w:rsidP="003F0ED8">
      <w:pPr>
        <w:spacing w:after="0"/>
        <w:jc w:val="both"/>
        <w:rPr>
          <w:rStyle w:val="BookTitle"/>
          <w:b/>
          <w:i w:val="0"/>
          <w:iCs w:val="0"/>
          <w:smallCaps w:val="0"/>
          <w:spacing w:val="0"/>
        </w:rPr>
      </w:pPr>
      <w:r w:rsidRPr="00B83753">
        <w:rPr>
          <w:rFonts w:cs="Arial"/>
          <w:b/>
          <w:bCs/>
          <w:sz w:val="24"/>
          <w:szCs w:val="24"/>
        </w:rPr>
        <w:t>Human</w:t>
      </w:r>
      <w:r w:rsidRPr="00B83753">
        <w:rPr>
          <w:rStyle w:val="BookTitle"/>
          <w:b/>
          <w:i w:val="0"/>
          <w:iCs w:val="0"/>
          <w:smallCaps w:val="0"/>
          <w:spacing w:val="0"/>
        </w:rPr>
        <w:t xml:space="preserve"> Rights implications</w:t>
      </w:r>
    </w:p>
    <w:p w:rsidR="003440D9" w:rsidRDefault="003440D9" w:rsidP="003F0ED8">
      <w:pPr>
        <w:spacing w:after="0"/>
        <w:jc w:val="both"/>
        <w:rPr>
          <w:rStyle w:val="BookTitle"/>
          <w:i w:val="0"/>
          <w:iCs w:val="0"/>
          <w:smallCaps w:val="0"/>
          <w:spacing w:val="0"/>
        </w:rPr>
      </w:pPr>
    </w:p>
    <w:p w:rsidR="001543C7" w:rsidRDefault="007E5379" w:rsidP="003F0ED8">
      <w:pPr>
        <w:spacing w:after="0"/>
        <w:jc w:val="both"/>
        <w:rPr>
          <w:rFonts w:cs="Arial"/>
          <w:bCs/>
          <w:sz w:val="24"/>
          <w:szCs w:val="24"/>
        </w:rPr>
      </w:pPr>
      <w:r w:rsidRPr="00DD068E">
        <w:rPr>
          <w:rFonts w:cs="Arial"/>
          <w:bCs/>
          <w:sz w:val="24"/>
          <w:szCs w:val="24"/>
        </w:rPr>
        <w:t>Article 9 of the International Covenant on Economic, Social and Cultural Rights recognises ‘</w:t>
      </w:r>
      <w:r w:rsidRPr="00DD068E">
        <w:rPr>
          <w:rFonts w:cs="Arial"/>
          <w:bCs/>
          <w:i/>
          <w:sz w:val="24"/>
          <w:szCs w:val="24"/>
        </w:rPr>
        <w:t xml:space="preserve">the right of everyone to social security, including social insurance’. </w:t>
      </w:r>
      <w:r w:rsidR="00B9225D">
        <w:rPr>
          <w:rFonts w:cs="Arial"/>
          <w:bCs/>
          <w:sz w:val="24"/>
          <w:szCs w:val="24"/>
        </w:rPr>
        <w:t xml:space="preserve"> The right to social security</w:t>
      </w:r>
      <w:r w:rsidR="006D2381">
        <w:rPr>
          <w:rFonts w:cs="Arial"/>
          <w:bCs/>
          <w:sz w:val="24"/>
          <w:szCs w:val="24"/>
        </w:rPr>
        <w:t xml:space="preserve"> is not engaged by this Sp</w:t>
      </w:r>
      <w:r w:rsidR="00966076">
        <w:rPr>
          <w:rFonts w:cs="Arial"/>
          <w:bCs/>
          <w:sz w:val="24"/>
          <w:szCs w:val="24"/>
        </w:rPr>
        <w:t xml:space="preserve">ecification as </w:t>
      </w:r>
      <w:r w:rsidR="006D2381">
        <w:rPr>
          <w:rFonts w:cs="Arial"/>
          <w:bCs/>
          <w:sz w:val="24"/>
          <w:szCs w:val="24"/>
        </w:rPr>
        <w:t xml:space="preserve">it is not </w:t>
      </w:r>
      <w:r w:rsidR="00314345">
        <w:rPr>
          <w:rFonts w:cs="Arial"/>
          <w:bCs/>
          <w:sz w:val="24"/>
          <w:szCs w:val="24"/>
        </w:rPr>
        <w:t xml:space="preserve">enabling the roll </w:t>
      </w:r>
      <w:r w:rsidR="006D2381">
        <w:rPr>
          <w:rFonts w:cs="Arial"/>
          <w:bCs/>
          <w:sz w:val="24"/>
          <w:szCs w:val="24"/>
        </w:rPr>
        <w:t xml:space="preserve">out </w:t>
      </w:r>
      <w:r w:rsidR="00314345">
        <w:rPr>
          <w:rFonts w:cs="Arial"/>
          <w:bCs/>
          <w:sz w:val="24"/>
          <w:szCs w:val="24"/>
        </w:rPr>
        <w:t xml:space="preserve">of </w:t>
      </w:r>
      <w:r w:rsidR="006D2381">
        <w:rPr>
          <w:rFonts w:cs="Arial"/>
          <w:bCs/>
          <w:sz w:val="24"/>
          <w:szCs w:val="24"/>
        </w:rPr>
        <w:t>income</w:t>
      </w:r>
      <w:r w:rsidR="001543C7">
        <w:rPr>
          <w:rFonts w:cs="Arial"/>
          <w:bCs/>
          <w:sz w:val="24"/>
          <w:szCs w:val="24"/>
        </w:rPr>
        <w:t xml:space="preserve"> management to any n</w:t>
      </w:r>
      <w:r w:rsidR="008079F1">
        <w:rPr>
          <w:rFonts w:cs="Arial"/>
          <w:bCs/>
          <w:sz w:val="24"/>
          <w:szCs w:val="24"/>
        </w:rPr>
        <w:t>e</w:t>
      </w:r>
      <w:r w:rsidR="00314345">
        <w:rPr>
          <w:rFonts w:cs="Arial"/>
          <w:bCs/>
          <w:sz w:val="24"/>
          <w:szCs w:val="24"/>
        </w:rPr>
        <w:t>w persons in any new locations.</w:t>
      </w:r>
      <w:r w:rsidR="00CE45CB">
        <w:rPr>
          <w:rFonts w:cs="Arial"/>
          <w:bCs/>
          <w:sz w:val="24"/>
          <w:szCs w:val="24"/>
        </w:rPr>
        <w:t xml:space="preserve"> </w:t>
      </w:r>
      <w:r w:rsidR="00BB20BB">
        <w:rPr>
          <w:rFonts w:cs="Arial"/>
          <w:bCs/>
          <w:sz w:val="24"/>
          <w:szCs w:val="24"/>
        </w:rPr>
        <w:t xml:space="preserve"> People currently being income managed in the four welfare reform community areas will not be impacted. </w:t>
      </w:r>
    </w:p>
    <w:p w:rsidR="001543C7" w:rsidRDefault="001543C7" w:rsidP="003F0ED8">
      <w:pPr>
        <w:spacing w:after="0"/>
        <w:jc w:val="both"/>
        <w:rPr>
          <w:rFonts w:cs="Arial"/>
          <w:bCs/>
          <w:sz w:val="24"/>
          <w:szCs w:val="24"/>
        </w:rPr>
      </w:pPr>
    </w:p>
    <w:p w:rsidR="006D2381" w:rsidRPr="008B50ED" w:rsidRDefault="006D2381" w:rsidP="003F0ED8">
      <w:pPr>
        <w:spacing w:after="0"/>
        <w:jc w:val="both"/>
        <w:rPr>
          <w:rFonts w:cs="Arial"/>
          <w:bCs/>
          <w:i/>
          <w:sz w:val="24"/>
          <w:szCs w:val="24"/>
        </w:rPr>
      </w:pPr>
      <w:r>
        <w:rPr>
          <w:rFonts w:cs="Arial"/>
          <w:bCs/>
          <w:sz w:val="24"/>
          <w:szCs w:val="24"/>
        </w:rPr>
        <w:lastRenderedPageBreak/>
        <w:t xml:space="preserve">For the same reason, the Specification also does not </w:t>
      </w:r>
      <w:r w:rsidR="001543C7">
        <w:rPr>
          <w:rFonts w:cs="Arial"/>
          <w:bCs/>
          <w:sz w:val="24"/>
          <w:szCs w:val="24"/>
        </w:rPr>
        <w:t xml:space="preserve">engage or </w:t>
      </w:r>
      <w:r w:rsidR="008B50ED">
        <w:rPr>
          <w:rFonts w:cs="Arial"/>
          <w:bCs/>
          <w:sz w:val="24"/>
          <w:szCs w:val="24"/>
        </w:rPr>
        <w:t xml:space="preserve">limit any other human rights or freedoms recognised or declared in the international instruments listed in section 3 of the </w:t>
      </w:r>
      <w:r w:rsidR="008B50ED">
        <w:rPr>
          <w:rFonts w:cs="Arial"/>
          <w:bCs/>
          <w:i/>
          <w:sz w:val="24"/>
          <w:szCs w:val="24"/>
        </w:rPr>
        <w:t xml:space="preserve">Human Rights (Parliamentary Scrutiny) Act 2011. </w:t>
      </w:r>
    </w:p>
    <w:p w:rsidR="003F0ED8" w:rsidRDefault="003F0ED8" w:rsidP="003F0ED8">
      <w:pPr>
        <w:spacing w:after="0"/>
        <w:jc w:val="both"/>
        <w:rPr>
          <w:rStyle w:val="BookTitle"/>
          <w:i w:val="0"/>
          <w:iCs w:val="0"/>
          <w:smallCaps w:val="0"/>
          <w:spacing w:val="0"/>
        </w:rPr>
      </w:pPr>
    </w:p>
    <w:p w:rsidR="00A6040D" w:rsidRDefault="00A6040D" w:rsidP="003F0ED8">
      <w:pPr>
        <w:spacing w:after="0"/>
        <w:jc w:val="both"/>
        <w:rPr>
          <w:rStyle w:val="BookTitle"/>
          <w:b/>
          <w:i w:val="0"/>
          <w:iCs w:val="0"/>
          <w:smallCaps w:val="0"/>
          <w:spacing w:val="0"/>
        </w:rPr>
      </w:pPr>
      <w:r>
        <w:rPr>
          <w:rStyle w:val="BookTitle"/>
          <w:b/>
          <w:i w:val="0"/>
          <w:iCs w:val="0"/>
          <w:smallCaps w:val="0"/>
          <w:spacing w:val="0"/>
        </w:rPr>
        <w:t>Conclusion</w:t>
      </w:r>
    </w:p>
    <w:p w:rsidR="00A6040D" w:rsidRDefault="00A6040D" w:rsidP="003F0ED8">
      <w:pPr>
        <w:spacing w:after="0"/>
        <w:jc w:val="both"/>
        <w:rPr>
          <w:rStyle w:val="BookTitle"/>
          <w:i w:val="0"/>
          <w:iCs w:val="0"/>
          <w:smallCaps w:val="0"/>
          <w:spacing w:val="0"/>
        </w:rPr>
      </w:pPr>
    </w:p>
    <w:p w:rsidR="00A6040D" w:rsidRPr="00C3063E" w:rsidRDefault="00C3063E" w:rsidP="003F0ED8">
      <w:pPr>
        <w:spacing w:after="0"/>
        <w:jc w:val="both"/>
        <w:rPr>
          <w:rFonts w:cs="Arial"/>
          <w:bCs/>
          <w:sz w:val="24"/>
          <w:szCs w:val="24"/>
        </w:rPr>
      </w:pPr>
      <w:r>
        <w:rPr>
          <w:rFonts w:cs="Arial"/>
          <w:bCs/>
          <w:sz w:val="24"/>
          <w:szCs w:val="24"/>
        </w:rPr>
        <w:t xml:space="preserve">This Specification does not engage or limit any human </w:t>
      </w:r>
      <w:r w:rsidR="009C038B">
        <w:rPr>
          <w:rFonts w:cs="Arial"/>
          <w:bCs/>
          <w:sz w:val="24"/>
          <w:szCs w:val="24"/>
        </w:rPr>
        <w:t>rights or freedoms as it is not rolling out income management to any new persons in any new locations.  Rather, it is maintaining the current status quo of income management un</w:t>
      </w:r>
      <w:r w:rsidR="001C5CE7">
        <w:rPr>
          <w:rFonts w:cs="Arial"/>
          <w:bCs/>
          <w:sz w:val="24"/>
          <w:szCs w:val="24"/>
        </w:rPr>
        <w:t xml:space="preserve">der the </w:t>
      </w:r>
      <w:proofErr w:type="spellStart"/>
      <w:r w:rsidR="001C5CE7">
        <w:rPr>
          <w:rFonts w:cs="Arial"/>
          <w:bCs/>
          <w:sz w:val="24"/>
          <w:szCs w:val="24"/>
        </w:rPr>
        <w:t>FRC</w:t>
      </w:r>
      <w:proofErr w:type="spellEnd"/>
      <w:r w:rsidR="001C5CE7">
        <w:rPr>
          <w:rFonts w:cs="Arial"/>
          <w:bCs/>
          <w:sz w:val="24"/>
          <w:szCs w:val="24"/>
        </w:rPr>
        <w:t xml:space="preserve"> model in Cape York. </w:t>
      </w:r>
    </w:p>
    <w:p w:rsidR="00A6040D" w:rsidRPr="00A6040D" w:rsidRDefault="00A6040D" w:rsidP="003F0ED8">
      <w:pPr>
        <w:spacing w:after="0"/>
        <w:jc w:val="both"/>
        <w:rPr>
          <w:rStyle w:val="BookTitle"/>
          <w:i w:val="0"/>
          <w:iCs w:val="0"/>
          <w:smallCaps w:val="0"/>
          <w:spacing w:val="0"/>
        </w:rPr>
      </w:pPr>
    </w:p>
    <w:sectPr w:rsidR="00A6040D" w:rsidRPr="00A6040D" w:rsidSect="00502B1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DE9" w:rsidRDefault="00902DE9" w:rsidP="00902DE9">
      <w:pPr>
        <w:spacing w:after="0" w:line="240" w:lineRule="auto"/>
      </w:pPr>
      <w:r>
        <w:separator/>
      </w:r>
    </w:p>
  </w:endnote>
  <w:endnote w:type="continuationSeparator" w:id="0">
    <w:p w:rsidR="00902DE9" w:rsidRDefault="00902DE9" w:rsidP="0090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B7" w:rsidRDefault="00D96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993107"/>
      <w:docPartObj>
        <w:docPartGallery w:val="Page Numbers (Bottom of Page)"/>
        <w:docPartUnique/>
      </w:docPartObj>
    </w:sdtPr>
    <w:sdtEndPr>
      <w:rPr>
        <w:color w:val="808080" w:themeColor="background1" w:themeShade="80"/>
        <w:spacing w:val="60"/>
      </w:rPr>
    </w:sdtEndPr>
    <w:sdtContent>
      <w:p w:rsidR="00902DE9" w:rsidRDefault="00902DE9" w:rsidP="00902DE9">
        <w:pPr>
          <w:pStyle w:val="Footer"/>
          <w:pBdr>
            <w:top w:val="single" w:sz="4" w:space="1" w:color="D9D9D9" w:themeColor="background1" w:themeShade="D9"/>
          </w:pBdr>
          <w:jc w:val="center"/>
          <w:rPr>
            <w:sz w:val="20"/>
            <w:szCs w:val="20"/>
          </w:rPr>
        </w:pPr>
        <w:r w:rsidRPr="00902DE9">
          <w:rPr>
            <w:sz w:val="20"/>
            <w:szCs w:val="20"/>
          </w:rPr>
          <w:t xml:space="preserve"> Social Security (Administration) (Excluded circumstances – Queensland </w:t>
        </w:r>
        <w:r>
          <w:rPr>
            <w:sz w:val="20"/>
            <w:szCs w:val="20"/>
          </w:rPr>
          <w:t>C</w:t>
        </w:r>
        <w:r w:rsidRPr="00902DE9">
          <w:rPr>
            <w:sz w:val="20"/>
            <w:szCs w:val="20"/>
          </w:rPr>
          <w:t>ommission) Specification 2014</w:t>
        </w:r>
      </w:p>
      <w:p w:rsidR="00902DE9" w:rsidRDefault="00902DE9">
        <w:pPr>
          <w:pStyle w:val="Footer"/>
          <w:pBdr>
            <w:top w:val="single" w:sz="4" w:space="1" w:color="D9D9D9" w:themeColor="background1" w:themeShade="D9"/>
          </w:pBdr>
          <w:jc w:val="right"/>
        </w:pPr>
        <w:r>
          <w:fldChar w:fldCharType="begin"/>
        </w:r>
        <w:r>
          <w:instrText xml:space="preserve"> PAGE   \* MERGEFORMAT </w:instrText>
        </w:r>
        <w:r>
          <w:fldChar w:fldCharType="separate"/>
        </w:r>
        <w:r w:rsidR="00A439BC">
          <w:rPr>
            <w:noProof/>
          </w:rPr>
          <w:t>1</w:t>
        </w:r>
        <w:r>
          <w:rPr>
            <w:noProof/>
          </w:rPr>
          <w:fldChar w:fldCharType="end"/>
        </w:r>
        <w:r>
          <w:t xml:space="preserve"> </w:t>
        </w:r>
      </w:p>
    </w:sdtContent>
  </w:sdt>
  <w:p w:rsidR="00902DE9" w:rsidRDefault="00902DE9" w:rsidP="00902DE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B7" w:rsidRDefault="00D96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DE9" w:rsidRDefault="00902DE9" w:rsidP="00902DE9">
      <w:pPr>
        <w:spacing w:after="0" w:line="240" w:lineRule="auto"/>
      </w:pPr>
      <w:r>
        <w:separator/>
      </w:r>
    </w:p>
  </w:footnote>
  <w:footnote w:type="continuationSeparator" w:id="0">
    <w:p w:rsidR="00902DE9" w:rsidRDefault="00902DE9" w:rsidP="00902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B7" w:rsidRDefault="00D96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2F" w:rsidRDefault="007234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B7" w:rsidRDefault="00D96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4283C"/>
    <w:multiLevelType w:val="hybridMultilevel"/>
    <w:tmpl w:val="6D9C6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AD06A1"/>
    <w:multiLevelType w:val="hybridMultilevel"/>
    <w:tmpl w:val="0178A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1EC3A19"/>
    <w:multiLevelType w:val="hybridMultilevel"/>
    <w:tmpl w:val="A65A3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7809DB"/>
    <w:multiLevelType w:val="hybridMultilevel"/>
    <w:tmpl w:val="7DB88758"/>
    <w:lvl w:ilvl="0" w:tplc="0C090001">
      <w:start w:val="1"/>
      <w:numFmt w:val="bullet"/>
      <w:lvlText w:val=""/>
      <w:lvlJc w:val="left"/>
      <w:pPr>
        <w:ind w:left="851" w:hanging="360"/>
      </w:pPr>
      <w:rPr>
        <w:rFonts w:ascii="Symbol" w:hAnsi="Symbol" w:hint="default"/>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4">
    <w:nsid w:val="5A5549F7"/>
    <w:multiLevelType w:val="hybridMultilevel"/>
    <w:tmpl w:val="AA7AB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A1C5A38"/>
    <w:multiLevelType w:val="hybridMultilevel"/>
    <w:tmpl w:val="D51AC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7C"/>
    <w:rsid w:val="00002D09"/>
    <w:rsid w:val="000103CD"/>
    <w:rsid w:val="00011E23"/>
    <w:rsid w:val="00025EAF"/>
    <w:rsid w:val="00044955"/>
    <w:rsid w:val="00066E66"/>
    <w:rsid w:val="000C65EE"/>
    <w:rsid w:val="000E197C"/>
    <w:rsid w:val="0014223D"/>
    <w:rsid w:val="001543C7"/>
    <w:rsid w:val="001547EE"/>
    <w:rsid w:val="001C5CE7"/>
    <w:rsid w:val="001C7C71"/>
    <w:rsid w:val="001E11B5"/>
    <w:rsid w:val="001E630D"/>
    <w:rsid w:val="00211380"/>
    <w:rsid w:val="00273D45"/>
    <w:rsid w:val="00292D1C"/>
    <w:rsid w:val="00302605"/>
    <w:rsid w:val="00314345"/>
    <w:rsid w:val="003440D9"/>
    <w:rsid w:val="003506D8"/>
    <w:rsid w:val="003B2BB8"/>
    <w:rsid w:val="003B57F4"/>
    <w:rsid w:val="003C1AF4"/>
    <w:rsid w:val="003D34FF"/>
    <w:rsid w:val="003E43FE"/>
    <w:rsid w:val="003F0ED8"/>
    <w:rsid w:val="00410533"/>
    <w:rsid w:val="00435514"/>
    <w:rsid w:val="00462DEF"/>
    <w:rsid w:val="00470284"/>
    <w:rsid w:val="00472DF6"/>
    <w:rsid w:val="00487A5F"/>
    <w:rsid w:val="004B54CA"/>
    <w:rsid w:val="004C71CC"/>
    <w:rsid w:val="004D574B"/>
    <w:rsid w:val="004E1C1C"/>
    <w:rsid w:val="004E5CBF"/>
    <w:rsid w:val="004F2317"/>
    <w:rsid w:val="004F5EE6"/>
    <w:rsid w:val="00502B1F"/>
    <w:rsid w:val="00517D3D"/>
    <w:rsid w:val="0052338B"/>
    <w:rsid w:val="0054499A"/>
    <w:rsid w:val="00553441"/>
    <w:rsid w:val="0055641A"/>
    <w:rsid w:val="005C3AA9"/>
    <w:rsid w:val="005C635F"/>
    <w:rsid w:val="005F7D5D"/>
    <w:rsid w:val="00624F07"/>
    <w:rsid w:val="006268CA"/>
    <w:rsid w:val="0067217F"/>
    <w:rsid w:val="00695084"/>
    <w:rsid w:val="006A2577"/>
    <w:rsid w:val="006A4CE7"/>
    <w:rsid w:val="006B05ED"/>
    <w:rsid w:val="006D2381"/>
    <w:rsid w:val="006E6EA7"/>
    <w:rsid w:val="0072342F"/>
    <w:rsid w:val="00775151"/>
    <w:rsid w:val="00785261"/>
    <w:rsid w:val="00793B36"/>
    <w:rsid w:val="007B0256"/>
    <w:rsid w:val="007B329D"/>
    <w:rsid w:val="007D4123"/>
    <w:rsid w:val="007E5379"/>
    <w:rsid w:val="00800201"/>
    <w:rsid w:val="00802A07"/>
    <w:rsid w:val="008079F1"/>
    <w:rsid w:val="00825E69"/>
    <w:rsid w:val="00834965"/>
    <w:rsid w:val="0086721B"/>
    <w:rsid w:val="00873566"/>
    <w:rsid w:val="008B50ED"/>
    <w:rsid w:val="008B7560"/>
    <w:rsid w:val="009025D2"/>
    <w:rsid w:val="00902DE9"/>
    <w:rsid w:val="00916E8B"/>
    <w:rsid w:val="009225F0"/>
    <w:rsid w:val="00966076"/>
    <w:rsid w:val="009A3B47"/>
    <w:rsid w:val="009C038B"/>
    <w:rsid w:val="009C6FEB"/>
    <w:rsid w:val="009E267E"/>
    <w:rsid w:val="00A439BC"/>
    <w:rsid w:val="00A6040D"/>
    <w:rsid w:val="00AB24C5"/>
    <w:rsid w:val="00AB5DFD"/>
    <w:rsid w:val="00B01F96"/>
    <w:rsid w:val="00B04B2E"/>
    <w:rsid w:val="00B052DA"/>
    <w:rsid w:val="00B14A35"/>
    <w:rsid w:val="00B61CAE"/>
    <w:rsid w:val="00B83753"/>
    <w:rsid w:val="00B9225D"/>
    <w:rsid w:val="00BA2DB9"/>
    <w:rsid w:val="00BB20BB"/>
    <w:rsid w:val="00BB518E"/>
    <w:rsid w:val="00BE7148"/>
    <w:rsid w:val="00C10977"/>
    <w:rsid w:val="00C3063E"/>
    <w:rsid w:val="00C36A2F"/>
    <w:rsid w:val="00C61005"/>
    <w:rsid w:val="00CC0D8D"/>
    <w:rsid w:val="00CC5814"/>
    <w:rsid w:val="00CD08DA"/>
    <w:rsid w:val="00CE45CB"/>
    <w:rsid w:val="00D133A3"/>
    <w:rsid w:val="00D26FFD"/>
    <w:rsid w:val="00D44BBF"/>
    <w:rsid w:val="00D617FB"/>
    <w:rsid w:val="00D961B7"/>
    <w:rsid w:val="00D9741F"/>
    <w:rsid w:val="00DA260C"/>
    <w:rsid w:val="00DC47FB"/>
    <w:rsid w:val="00DD068E"/>
    <w:rsid w:val="00E125E5"/>
    <w:rsid w:val="00E30BA7"/>
    <w:rsid w:val="00E54056"/>
    <w:rsid w:val="00E81C3C"/>
    <w:rsid w:val="00E86201"/>
    <w:rsid w:val="00F067F6"/>
    <w:rsid w:val="00F34B54"/>
    <w:rsid w:val="00F43CA2"/>
    <w:rsid w:val="00F508E8"/>
    <w:rsid w:val="00FA7F2D"/>
    <w:rsid w:val="00FB7ABE"/>
    <w:rsid w:val="00FD2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97C"/>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410533"/>
    <w:rPr>
      <w:sz w:val="16"/>
      <w:szCs w:val="16"/>
    </w:rPr>
  </w:style>
  <w:style w:type="paragraph" w:styleId="CommentText">
    <w:name w:val="annotation text"/>
    <w:basedOn w:val="Normal"/>
    <w:link w:val="CommentTextChar"/>
    <w:uiPriority w:val="99"/>
    <w:semiHidden/>
    <w:unhideWhenUsed/>
    <w:rsid w:val="00410533"/>
    <w:pPr>
      <w:spacing w:line="240" w:lineRule="auto"/>
    </w:pPr>
    <w:rPr>
      <w:sz w:val="20"/>
      <w:szCs w:val="20"/>
    </w:rPr>
  </w:style>
  <w:style w:type="character" w:customStyle="1" w:styleId="CommentTextChar">
    <w:name w:val="Comment Text Char"/>
    <w:basedOn w:val="DefaultParagraphFont"/>
    <w:link w:val="CommentText"/>
    <w:uiPriority w:val="99"/>
    <w:semiHidden/>
    <w:rsid w:val="004105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0533"/>
    <w:rPr>
      <w:b/>
      <w:bCs/>
    </w:rPr>
  </w:style>
  <w:style w:type="character" w:customStyle="1" w:styleId="CommentSubjectChar">
    <w:name w:val="Comment Subject Char"/>
    <w:basedOn w:val="CommentTextChar"/>
    <w:link w:val="CommentSubject"/>
    <w:uiPriority w:val="99"/>
    <w:semiHidden/>
    <w:rsid w:val="00410533"/>
    <w:rPr>
      <w:rFonts w:ascii="Arial" w:hAnsi="Arial"/>
      <w:b/>
      <w:bCs/>
      <w:sz w:val="20"/>
      <w:szCs w:val="20"/>
    </w:rPr>
  </w:style>
  <w:style w:type="paragraph" w:styleId="BalloonText">
    <w:name w:val="Balloon Text"/>
    <w:basedOn w:val="Normal"/>
    <w:link w:val="BalloonTextChar"/>
    <w:uiPriority w:val="99"/>
    <w:semiHidden/>
    <w:unhideWhenUsed/>
    <w:rsid w:val="00410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533"/>
    <w:rPr>
      <w:rFonts w:ascii="Tahoma" w:hAnsi="Tahoma" w:cs="Tahoma"/>
      <w:sz w:val="16"/>
      <w:szCs w:val="16"/>
    </w:rPr>
  </w:style>
  <w:style w:type="paragraph" w:styleId="Revision">
    <w:name w:val="Revision"/>
    <w:hidden/>
    <w:uiPriority w:val="99"/>
    <w:semiHidden/>
    <w:rsid w:val="0054499A"/>
    <w:pPr>
      <w:spacing w:after="0" w:line="240" w:lineRule="auto"/>
    </w:pPr>
    <w:rPr>
      <w:rFonts w:ascii="Arial" w:hAnsi="Arial"/>
    </w:rPr>
  </w:style>
  <w:style w:type="paragraph" w:styleId="Header">
    <w:name w:val="header"/>
    <w:basedOn w:val="Normal"/>
    <w:link w:val="HeaderChar"/>
    <w:uiPriority w:val="99"/>
    <w:unhideWhenUsed/>
    <w:rsid w:val="00902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DE9"/>
    <w:rPr>
      <w:rFonts w:ascii="Arial" w:hAnsi="Arial"/>
    </w:rPr>
  </w:style>
  <w:style w:type="paragraph" w:styleId="Footer">
    <w:name w:val="footer"/>
    <w:basedOn w:val="Normal"/>
    <w:link w:val="FooterChar"/>
    <w:uiPriority w:val="99"/>
    <w:unhideWhenUsed/>
    <w:rsid w:val="00902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DE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97C"/>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410533"/>
    <w:rPr>
      <w:sz w:val="16"/>
      <w:szCs w:val="16"/>
    </w:rPr>
  </w:style>
  <w:style w:type="paragraph" w:styleId="CommentText">
    <w:name w:val="annotation text"/>
    <w:basedOn w:val="Normal"/>
    <w:link w:val="CommentTextChar"/>
    <w:uiPriority w:val="99"/>
    <w:semiHidden/>
    <w:unhideWhenUsed/>
    <w:rsid w:val="00410533"/>
    <w:pPr>
      <w:spacing w:line="240" w:lineRule="auto"/>
    </w:pPr>
    <w:rPr>
      <w:sz w:val="20"/>
      <w:szCs w:val="20"/>
    </w:rPr>
  </w:style>
  <w:style w:type="character" w:customStyle="1" w:styleId="CommentTextChar">
    <w:name w:val="Comment Text Char"/>
    <w:basedOn w:val="DefaultParagraphFont"/>
    <w:link w:val="CommentText"/>
    <w:uiPriority w:val="99"/>
    <w:semiHidden/>
    <w:rsid w:val="004105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0533"/>
    <w:rPr>
      <w:b/>
      <w:bCs/>
    </w:rPr>
  </w:style>
  <w:style w:type="character" w:customStyle="1" w:styleId="CommentSubjectChar">
    <w:name w:val="Comment Subject Char"/>
    <w:basedOn w:val="CommentTextChar"/>
    <w:link w:val="CommentSubject"/>
    <w:uiPriority w:val="99"/>
    <w:semiHidden/>
    <w:rsid w:val="00410533"/>
    <w:rPr>
      <w:rFonts w:ascii="Arial" w:hAnsi="Arial"/>
      <w:b/>
      <w:bCs/>
      <w:sz w:val="20"/>
      <w:szCs w:val="20"/>
    </w:rPr>
  </w:style>
  <w:style w:type="paragraph" w:styleId="BalloonText">
    <w:name w:val="Balloon Text"/>
    <w:basedOn w:val="Normal"/>
    <w:link w:val="BalloonTextChar"/>
    <w:uiPriority w:val="99"/>
    <w:semiHidden/>
    <w:unhideWhenUsed/>
    <w:rsid w:val="00410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533"/>
    <w:rPr>
      <w:rFonts w:ascii="Tahoma" w:hAnsi="Tahoma" w:cs="Tahoma"/>
      <w:sz w:val="16"/>
      <w:szCs w:val="16"/>
    </w:rPr>
  </w:style>
  <w:style w:type="paragraph" w:styleId="Revision">
    <w:name w:val="Revision"/>
    <w:hidden/>
    <w:uiPriority w:val="99"/>
    <w:semiHidden/>
    <w:rsid w:val="0054499A"/>
    <w:pPr>
      <w:spacing w:after="0" w:line="240" w:lineRule="auto"/>
    </w:pPr>
    <w:rPr>
      <w:rFonts w:ascii="Arial" w:hAnsi="Arial"/>
    </w:rPr>
  </w:style>
  <w:style w:type="paragraph" w:styleId="Header">
    <w:name w:val="header"/>
    <w:basedOn w:val="Normal"/>
    <w:link w:val="HeaderChar"/>
    <w:uiPriority w:val="99"/>
    <w:unhideWhenUsed/>
    <w:rsid w:val="00902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DE9"/>
    <w:rPr>
      <w:rFonts w:ascii="Arial" w:hAnsi="Arial"/>
    </w:rPr>
  </w:style>
  <w:style w:type="paragraph" w:styleId="Footer">
    <w:name w:val="footer"/>
    <w:basedOn w:val="Normal"/>
    <w:link w:val="FooterChar"/>
    <w:uiPriority w:val="99"/>
    <w:unhideWhenUsed/>
    <w:rsid w:val="00902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D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6A569-0D83-44F1-982F-04F82322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Simon - Secure</dc:creator>
  <cp:lastModifiedBy>Burrowes, Megan</cp:lastModifiedBy>
  <cp:revision>2</cp:revision>
  <dcterms:created xsi:type="dcterms:W3CDTF">2014-12-22T00:26:00Z</dcterms:created>
  <dcterms:modified xsi:type="dcterms:W3CDTF">2014-12-22T00:26:00Z</dcterms:modified>
</cp:coreProperties>
</file>