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BD" w:rsidRPr="002C6D26" w:rsidRDefault="00E62E09" w:rsidP="001A2234">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 xml:space="preserve">determination No. </w:t>
      </w:r>
      <w:r w:rsidR="009B1CC8">
        <w:rPr>
          <w:rFonts w:ascii="Times New Roman" w:hAnsi="Times New Roman"/>
          <w:sz w:val="24"/>
          <w:szCs w:val="24"/>
        </w:rPr>
        <w:t>28, 29 and 30</w:t>
      </w:r>
      <w:r w:rsidR="002436BD" w:rsidRPr="002C6D26">
        <w:rPr>
          <w:rFonts w:ascii="Times New Roman" w:hAnsi="Times New Roman"/>
          <w:sz w:val="24"/>
          <w:szCs w:val="24"/>
        </w:rPr>
        <w:t xml:space="preserve"> of 20</w:t>
      </w:r>
      <w:r w:rsidR="00214C23">
        <w:rPr>
          <w:rFonts w:ascii="Times New Roman" w:hAnsi="Times New Roman"/>
          <w:sz w:val="24"/>
          <w:szCs w:val="24"/>
        </w:rPr>
        <w:t>14</w:t>
      </w:r>
    </w:p>
    <w:p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1A2ADB" w:rsidRDefault="001A2ADB" w:rsidP="001A2234">
      <w:pPr>
        <w:pStyle w:val="heading0"/>
        <w:spacing w:before="0" w:beforeAutospacing="0" w:after="240" w:afterAutospacing="0"/>
        <w:jc w:val="center"/>
      </w:pPr>
      <w:r>
        <w:rPr>
          <w:i/>
          <w:iCs/>
        </w:rPr>
        <w:t>Financial Sector (Collection of Data) Act 2001</w:t>
      </w:r>
      <w:r>
        <w:t>, sections 13 and 15</w:t>
      </w:r>
    </w:p>
    <w:p w:rsidR="00380068" w:rsidRDefault="00380068" w:rsidP="001A2234">
      <w:pPr>
        <w:pStyle w:val="heading0"/>
        <w:spacing w:before="0" w:beforeAutospacing="0" w:after="240" w:afterAutospacing="0"/>
        <w:jc w:val="center"/>
      </w:pPr>
      <w:r w:rsidRPr="00380068">
        <w:rPr>
          <w:i/>
        </w:rPr>
        <w:t>Acts Interpretation Act 1901</w:t>
      </w:r>
      <w:r>
        <w:t>, section 33</w:t>
      </w:r>
    </w:p>
    <w:p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t xml:space="preserve"> </w:t>
      </w:r>
      <w:r w:rsidR="00BD6360" w:rsidRPr="00BD6360">
        <w:rPr>
          <w:rFonts w:ascii="Times New Roman" w:hAnsi="Times New Roman"/>
          <w:sz w:val="24"/>
          <w:szCs w:val="24"/>
        </w:rPr>
        <w:t xml:space="preserve">Subsection 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rsidR="00246723" w:rsidRPr="00246723" w:rsidRDefault="00246723" w:rsidP="001A2234">
      <w:pPr>
        <w:spacing w:after="240"/>
        <w:jc w:val="both"/>
        <w:rPr>
          <w:rFonts w:ascii="Times New Roman" w:hAnsi="Times New Roman"/>
          <w:sz w:val="24"/>
          <w:szCs w:val="24"/>
        </w:rPr>
      </w:pPr>
      <w:r w:rsidRPr="00246723">
        <w:rPr>
          <w:rFonts w:ascii="Times New Roman" w:hAnsi="Times New Roman"/>
          <w:sz w:val="24"/>
          <w:szCs w:val="24"/>
        </w:rPr>
        <w:t xml:space="preserve">On </w:t>
      </w:r>
      <w:r w:rsidR="00004D85" w:rsidRPr="00D36321">
        <w:rPr>
          <w:rFonts w:ascii="Times New Roman" w:hAnsi="Times New Roman"/>
          <w:sz w:val="24"/>
          <w:szCs w:val="24"/>
        </w:rPr>
        <w:t xml:space="preserve">18 </w:t>
      </w:r>
      <w:r w:rsidR="00774F8D" w:rsidRPr="00D36321">
        <w:rPr>
          <w:rFonts w:ascii="Times New Roman" w:hAnsi="Times New Roman"/>
          <w:sz w:val="24"/>
          <w:szCs w:val="24"/>
        </w:rPr>
        <w:t>December 2014</w:t>
      </w:r>
      <w:r w:rsidRPr="00246723">
        <w:rPr>
          <w:rFonts w:ascii="Times New Roman" w:hAnsi="Times New Roman"/>
          <w:sz w:val="24"/>
          <w:szCs w:val="24"/>
        </w:rPr>
        <w:t>, APRA made the following determinations (the instruments):</w:t>
      </w:r>
    </w:p>
    <w:p w:rsidR="00736D41" w:rsidRDefault="000B14BD" w:rsidP="001A2234">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sidR="00736D41">
        <w:rPr>
          <w:rFonts w:ascii="Times New Roman" w:hAnsi="Times New Roman"/>
          <w:sz w:val="24"/>
          <w:szCs w:val="24"/>
        </w:rPr>
        <w:t xml:space="preserve">g standard) determination No. </w:t>
      </w:r>
      <w:r w:rsidR="00774F8D">
        <w:rPr>
          <w:rFonts w:ascii="Times New Roman" w:hAnsi="Times New Roman"/>
          <w:sz w:val="24"/>
          <w:szCs w:val="24"/>
        </w:rPr>
        <w:t>28</w:t>
      </w:r>
      <w:r w:rsidR="00736D41">
        <w:rPr>
          <w:rFonts w:ascii="Times New Roman" w:hAnsi="Times New Roman"/>
          <w:sz w:val="24"/>
          <w:szCs w:val="24"/>
        </w:rPr>
        <w:t xml:space="preserve"> </w:t>
      </w:r>
      <w:r w:rsidRPr="000B14BD">
        <w:rPr>
          <w:rFonts w:ascii="Times New Roman" w:hAnsi="Times New Roman"/>
          <w:sz w:val="24"/>
          <w:szCs w:val="24"/>
        </w:rPr>
        <w:t>of 20</w:t>
      </w:r>
      <w:r w:rsidR="00774F8D">
        <w:rPr>
          <w:rFonts w:ascii="Times New Roman" w:hAnsi="Times New Roman"/>
          <w:sz w:val="24"/>
          <w:szCs w:val="24"/>
        </w:rPr>
        <w:t>14</w:t>
      </w:r>
      <w:r w:rsidRPr="000B14BD">
        <w:rPr>
          <w:rFonts w:ascii="Times New Roman" w:hAnsi="Times New Roman"/>
          <w:sz w:val="24"/>
          <w:szCs w:val="24"/>
        </w:rPr>
        <w:t xml:space="preserve"> which</w:t>
      </w:r>
      <w:r w:rsidR="00736D41">
        <w:rPr>
          <w:rFonts w:ascii="Times New Roman" w:hAnsi="Times New Roman"/>
          <w:sz w:val="24"/>
          <w:szCs w:val="24"/>
        </w:rPr>
        <w:t>:</w:t>
      </w:r>
    </w:p>
    <w:p w:rsidR="00736D41" w:rsidRDefault="00BD6360" w:rsidP="001A2234">
      <w:pPr>
        <w:widowControl w:val="0"/>
        <w:numPr>
          <w:ilvl w:val="1"/>
          <w:numId w:val="4"/>
        </w:numPr>
        <w:spacing w:after="240"/>
        <w:jc w:val="both"/>
        <w:rPr>
          <w:rFonts w:ascii="Times New Roman" w:hAnsi="Times New Roman"/>
          <w:sz w:val="24"/>
          <w:szCs w:val="24"/>
        </w:rPr>
      </w:pPr>
      <w:r>
        <w:rPr>
          <w:rFonts w:ascii="Times New Roman" w:hAnsi="Times New Roman"/>
          <w:sz w:val="24"/>
          <w:szCs w:val="24"/>
        </w:rPr>
        <w:t xml:space="preserve">revokes </w:t>
      </w:r>
      <w:r w:rsidR="00774F8D">
        <w:rPr>
          <w:rFonts w:ascii="Times New Roman" w:hAnsi="Times New Roman"/>
          <w:i/>
          <w:sz w:val="24"/>
          <w:szCs w:val="24"/>
        </w:rPr>
        <w:t>Reporting Standard GR</w:t>
      </w:r>
      <w:r w:rsidR="00774F8D" w:rsidRPr="00BD6360">
        <w:rPr>
          <w:rFonts w:ascii="Times New Roman" w:hAnsi="Times New Roman"/>
          <w:i/>
          <w:sz w:val="24"/>
          <w:szCs w:val="24"/>
        </w:rPr>
        <w:t xml:space="preserve">S </w:t>
      </w:r>
      <w:r w:rsidR="00774F8D">
        <w:rPr>
          <w:rFonts w:ascii="Times New Roman" w:hAnsi="Times New Roman"/>
          <w:i/>
          <w:sz w:val="24"/>
          <w:szCs w:val="24"/>
        </w:rPr>
        <w:t>440</w:t>
      </w:r>
      <w:r w:rsidR="00774F8D" w:rsidRPr="00BD6360">
        <w:rPr>
          <w:rFonts w:ascii="Times New Roman" w:hAnsi="Times New Roman"/>
          <w:i/>
          <w:sz w:val="24"/>
          <w:szCs w:val="24"/>
        </w:rPr>
        <w:t>.</w:t>
      </w:r>
      <w:r w:rsidR="00774F8D">
        <w:rPr>
          <w:rFonts w:ascii="Times New Roman" w:hAnsi="Times New Roman"/>
          <w:i/>
          <w:sz w:val="24"/>
          <w:szCs w:val="24"/>
        </w:rPr>
        <w:t>0</w:t>
      </w:r>
      <w:r w:rsidR="00774F8D" w:rsidRPr="00BD6360">
        <w:rPr>
          <w:rFonts w:ascii="Times New Roman" w:hAnsi="Times New Roman"/>
          <w:i/>
          <w:sz w:val="24"/>
          <w:szCs w:val="24"/>
        </w:rPr>
        <w:t xml:space="preserve"> </w:t>
      </w:r>
      <w:r w:rsidR="00774F8D">
        <w:rPr>
          <w:rFonts w:ascii="Times New Roman" w:hAnsi="Times New Roman"/>
          <w:i/>
          <w:sz w:val="24"/>
          <w:szCs w:val="24"/>
        </w:rPr>
        <w:t>Claims Development Table</w:t>
      </w:r>
      <w:r w:rsidR="00736D41" w:rsidRPr="00736D41">
        <w:rPr>
          <w:rFonts w:ascii="Times New Roman" w:hAnsi="Times New Roman"/>
          <w:i/>
          <w:sz w:val="24"/>
          <w:szCs w:val="24"/>
        </w:rPr>
        <w:t xml:space="preserve"> </w:t>
      </w:r>
      <w:r w:rsidR="00736D41" w:rsidRPr="00736D41">
        <w:rPr>
          <w:rFonts w:ascii="Times New Roman" w:hAnsi="Times New Roman"/>
          <w:sz w:val="24"/>
          <w:szCs w:val="24"/>
        </w:rPr>
        <w:t xml:space="preserve">made under Financial Sector (Collection of Data) (reporting standard) determination No. </w:t>
      </w:r>
      <w:r w:rsidR="00774F8D">
        <w:rPr>
          <w:rFonts w:ascii="Times New Roman" w:hAnsi="Times New Roman"/>
          <w:sz w:val="24"/>
          <w:szCs w:val="24"/>
        </w:rPr>
        <w:t>25</w:t>
      </w:r>
      <w:r w:rsidR="00736D41" w:rsidRPr="00736D41">
        <w:rPr>
          <w:rFonts w:ascii="Times New Roman" w:hAnsi="Times New Roman"/>
          <w:sz w:val="24"/>
          <w:szCs w:val="24"/>
        </w:rPr>
        <w:t xml:space="preserve"> of 201</w:t>
      </w:r>
      <w:r w:rsidR="00774F8D">
        <w:rPr>
          <w:rFonts w:ascii="Times New Roman" w:hAnsi="Times New Roman"/>
          <w:sz w:val="24"/>
          <w:szCs w:val="24"/>
        </w:rPr>
        <w:t>3</w:t>
      </w:r>
      <w:r w:rsidR="00736D41">
        <w:rPr>
          <w:rFonts w:ascii="Times New Roman" w:hAnsi="Times New Roman"/>
          <w:sz w:val="24"/>
          <w:szCs w:val="24"/>
        </w:rPr>
        <w:t>; and</w:t>
      </w:r>
    </w:p>
    <w:p w:rsidR="00AC7A56" w:rsidRDefault="000B14BD" w:rsidP="001A2234">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sidR="00774F8D">
        <w:rPr>
          <w:rFonts w:ascii="Times New Roman" w:hAnsi="Times New Roman"/>
          <w:i/>
          <w:sz w:val="24"/>
          <w:szCs w:val="24"/>
        </w:rPr>
        <w:t>Reporting Standard GR</w:t>
      </w:r>
      <w:r w:rsidR="00774F8D" w:rsidRPr="00BD6360">
        <w:rPr>
          <w:rFonts w:ascii="Times New Roman" w:hAnsi="Times New Roman"/>
          <w:i/>
          <w:sz w:val="24"/>
          <w:szCs w:val="24"/>
        </w:rPr>
        <w:t xml:space="preserve">S </w:t>
      </w:r>
      <w:r w:rsidR="00774F8D">
        <w:rPr>
          <w:rFonts w:ascii="Times New Roman" w:hAnsi="Times New Roman"/>
          <w:i/>
          <w:sz w:val="24"/>
          <w:szCs w:val="24"/>
        </w:rPr>
        <w:t>440</w:t>
      </w:r>
      <w:r w:rsidR="00774F8D" w:rsidRPr="00BD6360">
        <w:rPr>
          <w:rFonts w:ascii="Times New Roman" w:hAnsi="Times New Roman"/>
          <w:i/>
          <w:sz w:val="24"/>
          <w:szCs w:val="24"/>
        </w:rPr>
        <w:t>.</w:t>
      </w:r>
      <w:r w:rsidR="00774F8D">
        <w:rPr>
          <w:rFonts w:ascii="Times New Roman" w:hAnsi="Times New Roman"/>
          <w:i/>
          <w:sz w:val="24"/>
          <w:szCs w:val="24"/>
        </w:rPr>
        <w:t>0</w:t>
      </w:r>
      <w:r w:rsidR="00774F8D" w:rsidRPr="00BD6360">
        <w:rPr>
          <w:rFonts w:ascii="Times New Roman" w:hAnsi="Times New Roman"/>
          <w:i/>
          <w:sz w:val="24"/>
          <w:szCs w:val="24"/>
        </w:rPr>
        <w:t xml:space="preserve"> </w:t>
      </w:r>
      <w:r w:rsidR="00774F8D">
        <w:rPr>
          <w:rFonts w:ascii="Times New Roman" w:hAnsi="Times New Roman"/>
          <w:i/>
          <w:sz w:val="24"/>
          <w:szCs w:val="24"/>
        </w:rPr>
        <w:t>Claims Development Table</w:t>
      </w:r>
      <w:r w:rsidRPr="000B14BD">
        <w:rPr>
          <w:rFonts w:ascii="Times New Roman" w:hAnsi="Times New Roman"/>
          <w:sz w:val="24"/>
          <w:szCs w:val="24"/>
        </w:rPr>
        <w:t xml:space="preserve"> (</w:t>
      </w:r>
      <w:r w:rsidR="00774F8D" w:rsidRPr="003B7DAA">
        <w:rPr>
          <w:rFonts w:ascii="Times New Roman" w:hAnsi="Times New Roman"/>
          <w:b/>
          <w:sz w:val="24"/>
          <w:szCs w:val="24"/>
        </w:rPr>
        <w:t>G</w:t>
      </w:r>
      <w:r w:rsidRPr="003B7DAA">
        <w:rPr>
          <w:rFonts w:ascii="Times New Roman" w:hAnsi="Times New Roman"/>
          <w:b/>
          <w:sz w:val="24"/>
          <w:szCs w:val="24"/>
        </w:rPr>
        <w:t xml:space="preserve">RS </w:t>
      </w:r>
      <w:r w:rsidR="00774F8D" w:rsidRPr="003B7DAA">
        <w:rPr>
          <w:rFonts w:ascii="Times New Roman" w:hAnsi="Times New Roman"/>
          <w:b/>
          <w:sz w:val="24"/>
          <w:szCs w:val="24"/>
        </w:rPr>
        <w:t>440.0</w:t>
      </w:r>
      <w:r w:rsidRPr="000B14BD">
        <w:rPr>
          <w:rFonts w:ascii="Times New Roman" w:hAnsi="Times New Roman"/>
          <w:sz w:val="24"/>
          <w:szCs w:val="24"/>
        </w:rPr>
        <w:t>)</w:t>
      </w:r>
      <w:r w:rsidR="00AC7A56">
        <w:rPr>
          <w:rFonts w:ascii="Times New Roman" w:hAnsi="Times New Roman"/>
          <w:sz w:val="24"/>
          <w:szCs w:val="24"/>
        </w:rPr>
        <w:t>;</w:t>
      </w:r>
    </w:p>
    <w:p w:rsidR="00774F8D" w:rsidRDefault="00774F8D" w:rsidP="00774F8D">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 xml:space="preserve">g standard) determination No. 29 </w:t>
      </w:r>
      <w:r w:rsidRPr="000B14BD">
        <w:rPr>
          <w:rFonts w:ascii="Times New Roman" w:hAnsi="Times New Roman"/>
          <w:sz w:val="24"/>
          <w:szCs w:val="24"/>
        </w:rPr>
        <w:t>of 20</w:t>
      </w:r>
      <w:r>
        <w:rPr>
          <w:rFonts w:ascii="Times New Roman" w:hAnsi="Times New Roman"/>
          <w:sz w:val="24"/>
          <w:szCs w:val="24"/>
        </w:rPr>
        <w:t>14</w:t>
      </w:r>
      <w:r w:rsidRPr="000B14BD">
        <w:rPr>
          <w:rFonts w:ascii="Times New Roman" w:hAnsi="Times New Roman"/>
          <w:sz w:val="24"/>
          <w:szCs w:val="24"/>
        </w:rPr>
        <w:t xml:space="preserve"> which</w:t>
      </w:r>
      <w:r>
        <w:rPr>
          <w:rFonts w:ascii="Times New Roman" w:hAnsi="Times New Roman"/>
          <w:sz w:val="24"/>
          <w:szCs w:val="24"/>
        </w:rPr>
        <w:t>:</w:t>
      </w:r>
    </w:p>
    <w:p w:rsidR="00774F8D" w:rsidRDefault="00774F8D" w:rsidP="00774F8D">
      <w:pPr>
        <w:widowControl w:val="0"/>
        <w:numPr>
          <w:ilvl w:val="1"/>
          <w:numId w:val="4"/>
        </w:numPr>
        <w:spacing w:after="240"/>
        <w:jc w:val="both"/>
        <w:rPr>
          <w:rFonts w:ascii="Times New Roman" w:hAnsi="Times New Roman"/>
          <w:sz w:val="24"/>
          <w:szCs w:val="24"/>
        </w:rPr>
      </w:pPr>
      <w:r>
        <w:rPr>
          <w:rFonts w:ascii="Times New Roman" w:hAnsi="Times New Roman"/>
          <w:sz w:val="24"/>
          <w:szCs w:val="24"/>
        </w:rPr>
        <w:t xml:space="preserve">revokes </w:t>
      </w:r>
      <w:r>
        <w:rPr>
          <w:rFonts w:ascii="Times New Roman" w:hAnsi="Times New Roman"/>
          <w:i/>
          <w:sz w:val="24"/>
          <w:szCs w:val="24"/>
        </w:rPr>
        <w:t>Reporting Standard GR</w:t>
      </w:r>
      <w:r w:rsidRPr="00BD6360">
        <w:rPr>
          <w:rFonts w:ascii="Times New Roman" w:hAnsi="Times New Roman"/>
          <w:i/>
          <w:sz w:val="24"/>
          <w:szCs w:val="24"/>
        </w:rPr>
        <w:t xml:space="preserve">S </w:t>
      </w:r>
      <w:r>
        <w:rPr>
          <w:rFonts w:ascii="Times New Roman" w:hAnsi="Times New Roman"/>
          <w:i/>
          <w:sz w:val="24"/>
          <w:szCs w:val="24"/>
        </w:rPr>
        <w:t>112</w:t>
      </w:r>
      <w:r w:rsidRPr="00BD6360">
        <w:rPr>
          <w:rFonts w:ascii="Times New Roman" w:hAnsi="Times New Roman"/>
          <w:i/>
          <w:sz w:val="24"/>
          <w:szCs w:val="24"/>
        </w:rPr>
        <w:t>.</w:t>
      </w:r>
      <w:r>
        <w:rPr>
          <w:rFonts w:ascii="Times New Roman" w:hAnsi="Times New Roman"/>
          <w:i/>
          <w:sz w:val="24"/>
          <w:szCs w:val="24"/>
        </w:rPr>
        <w:t>0</w:t>
      </w:r>
      <w:r w:rsidRPr="00BD6360">
        <w:rPr>
          <w:rFonts w:ascii="Times New Roman" w:hAnsi="Times New Roman"/>
          <w:i/>
          <w:sz w:val="24"/>
          <w:szCs w:val="24"/>
        </w:rPr>
        <w:t xml:space="preserve"> </w:t>
      </w:r>
      <w:r w:rsidRPr="00774F8D">
        <w:rPr>
          <w:rFonts w:ascii="Times New Roman" w:hAnsi="Times New Roman"/>
          <w:i/>
          <w:sz w:val="24"/>
          <w:szCs w:val="24"/>
        </w:rPr>
        <w:t xml:space="preserve">Determination of Capital Base </w:t>
      </w:r>
      <w:r w:rsidRPr="00736D41">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3</w:t>
      </w:r>
      <w:r w:rsidRPr="00736D41">
        <w:rPr>
          <w:rFonts w:ascii="Times New Roman" w:hAnsi="Times New Roman"/>
          <w:sz w:val="24"/>
          <w:szCs w:val="24"/>
        </w:rPr>
        <w:t xml:space="preserve"> of 201</w:t>
      </w:r>
      <w:r>
        <w:rPr>
          <w:rFonts w:ascii="Times New Roman" w:hAnsi="Times New Roman"/>
          <w:sz w:val="24"/>
          <w:szCs w:val="24"/>
        </w:rPr>
        <w:t>3; and</w:t>
      </w:r>
    </w:p>
    <w:p w:rsidR="00774F8D" w:rsidRDefault="00774F8D" w:rsidP="00774F8D">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Pr>
          <w:rFonts w:ascii="Times New Roman" w:hAnsi="Times New Roman"/>
          <w:i/>
          <w:sz w:val="24"/>
          <w:szCs w:val="24"/>
        </w:rPr>
        <w:t>Reporting Standard GR</w:t>
      </w:r>
      <w:r w:rsidRPr="00BD6360">
        <w:rPr>
          <w:rFonts w:ascii="Times New Roman" w:hAnsi="Times New Roman"/>
          <w:i/>
          <w:sz w:val="24"/>
          <w:szCs w:val="24"/>
        </w:rPr>
        <w:t xml:space="preserve">S </w:t>
      </w:r>
      <w:r>
        <w:rPr>
          <w:rFonts w:ascii="Times New Roman" w:hAnsi="Times New Roman"/>
          <w:i/>
          <w:sz w:val="24"/>
          <w:szCs w:val="24"/>
        </w:rPr>
        <w:t>112</w:t>
      </w:r>
      <w:r w:rsidRPr="00BD6360">
        <w:rPr>
          <w:rFonts w:ascii="Times New Roman" w:hAnsi="Times New Roman"/>
          <w:i/>
          <w:sz w:val="24"/>
          <w:szCs w:val="24"/>
        </w:rPr>
        <w:t>.</w:t>
      </w:r>
      <w:r>
        <w:rPr>
          <w:rFonts w:ascii="Times New Roman" w:hAnsi="Times New Roman"/>
          <w:i/>
          <w:sz w:val="24"/>
          <w:szCs w:val="24"/>
        </w:rPr>
        <w:t>0</w:t>
      </w:r>
      <w:r w:rsidRPr="00BD6360">
        <w:rPr>
          <w:rFonts w:ascii="Times New Roman" w:hAnsi="Times New Roman"/>
          <w:i/>
          <w:sz w:val="24"/>
          <w:szCs w:val="24"/>
        </w:rPr>
        <w:t xml:space="preserve"> </w:t>
      </w:r>
      <w:r w:rsidRPr="00774F8D">
        <w:rPr>
          <w:rFonts w:ascii="Times New Roman" w:hAnsi="Times New Roman"/>
          <w:i/>
          <w:sz w:val="24"/>
          <w:szCs w:val="24"/>
        </w:rPr>
        <w:t>Determination of Capital Base</w:t>
      </w:r>
      <w:r w:rsidRPr="000B14BD">
        <w:rPr>
          <w:rFonts w:ascii="Times New Roman" w:hAnsi="Times New Roman"/>
          <w:sz w:val="24"/>
          <w:szCs w:val="24"/>
        </w:rPr>
        <w:t xml:space="preserve"> (</w:t>
      </w:r>
      <w:r w:rsidRPr="003B7DAA">
        <w:rPr>
          <w:rFonts w:ascii="Times New Roman" w:hAnsi="Times New Roman"/>
          <w:b/>
          <w:sz w:val="24"/>
          <w:szCs w:val="24"/>
        </w:rPr>
        <w:t>GRS 112.0</w:t>
      </w:r>
      <w:r w:rsidRPr="000B14BD">
        <w:rPr>
          <w:rFonts w:ascii="Times New Roman" w:hAnsi="Times New Roman"/>
          <w:sz w:val="24"/>
          <w:szCs w:val="24"/>
        </w:rPr>
        <w:t>)</w:t>
      </w:r>
      <w:r>
        <w:rPr>
          <w:rFonts w:ascii="Times New Roman" w:hAnsi="Times New Roman"/>
          <w:sz w:val="24"/>
          <w:szCs w:val="24"/>
        </w:rPr>
        <w:t>;</w:t>
      </w:r>
    </w:p>
    <w:p w:rsidR="00774F8D" w:rsidRDefault="00774F8D" w:rsidP="00774F8D">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 xml:space="preserve">g standard) determination No. 30 </w:t>
      </w:r>
      <w:r w:rsidRPr="000B14BD">
        <w:rPr>
          <w:rFonts w:ascii="Times New Roman" w:hAnsi="Times New Roman"/>
          <w:sz w:val="24"/>
          <w:szCs w:val="24"/>
        </w:rPr>
        <w:t>of 20</w:t>
      </w:r>
      <w:r>
        <w:rPr>
          <w:rFonts w:ascii="Times New Roman" w:hAnsi="Times New Roman"/>
          <w:sz w:val="24"/>
          <w:szCs w:val="24"/>
        </w:rPr>
        <w:t>14</w:t>
      </w:r>
      <w:r w:rsidRPr="000B14BD">
        <w:rPr>
          <w:rFonts w:ascii="Times New Roman" w:hAnsi="Times New Roman"/>
          <w:sz w:val="24"/>
          <w:szCs w:val="24"/>
        </w:rPr>
        <w:t xml:space="preserve"> which</w:t>
      </w:r>
      <w:r>
        <w:rPr>
          <w:rFonts w:ascii="Times New Roman" w:hAnsi="Times New Roman"/>
          <w:sz w:val="24"/>
          <w:szCs w:val="24"/>
        </w:rPr>
        <w:t>:</w:t>
      </w:r>
    </w:p>
    <w:p w:rsidR="00774F8D" w:rsidRDefault="00774F8D" w:rsidP="00774F8D">
      <w:pPr>
        <w:widowControl w:val="0"/>
        <w:numPr>
          <w:ilvl w:val="1"/>
          <w:numId w:val="4"/>
        </w:numPr>
        <w:spacing w:after="240"/>
        <w:jc w:val="both"/>
        <w:rPr>
          <w:rFonts w:ascii="Times New Roman" w:hAnsi="Times New Roman"/>
          <w:sz w:val="24"/>
          <w:szCs w:val="24"/>
        </w:rPr>
      </w:pPr>
      <w:r>
        <w:rPr>
          <w:rFonts w:ascii="Times New Roman" w:hAnsi="Times New Roman"/>
          <w:sz w:val="24"/>
          <w:szCs w:val="24"/>
        </w:rPr>
        <w:t xml:space="preserve">revokes </w:t>
      </w:r>
      <w:r>
        <w:rPr>
          <w:rFonts w:ascii="Times New Roman" w:hAnsi="Times New Roman"/>
          <w:i/>
          <w:sz w:val="24"/>
          <w:szCs w:val="24"/>
        </w:rPr>
        <w:t>Reporting Standard GR</w:t>
      </w:r>
      <w:r w:rsidRPr="00BD6360">
        <w:rPr>
          <w:rFonts w:ascii="Times New Roman" w:hAnsi="Times New Roman"/>
          <w:i/>
          <w:sz w:val="24"/>
          <w:szCs w:val="24"/>
        </w:rPr>
        <w:t xml:space="preserve">S </w:t>
      </w:r>
      <w:r>
        <w:rPr>
          <w:rFonts w:ascii="Times New Roman" w:hAnsi="Times New Roman"/>
          <w:i/>
          <w:sz w:val="24"/>
          <w:szCs w:val="24"/>
        </w:rPr>
        <w:t>116</w:t>
      </w:r>
      <w:r w:rsidRPr="00BD6360">
        <w:rPr>
          <w:rFonts w:ascii="Times New Roman" w:hAnsi="Times New Roman"/>
          <w:i/>
          <w:sz w:val="24"/>
          <w:szCs w:val="24"/>
        </w:rPr>
        <w:t>.</w:t>
      </w:r>
      <w:r>
        <w:rPr>
          <w:rFonts w:ascii="Times New Roman" w:hAnsi="Times New Roman"/>
          <w:i/>
          <w:sz w:val="24"/>
          <w:szCs w:val="24"/>
        </w:rPr>
        <w:t>1</w:t>
      </w:r>
      <w:r w:rsidRPr="00BD6360">
        <w:rPr>
          <w:rFonts w:ascii="Times New Roman" w:hAnsi="Times New Roman"/>
          <w:i/>
          <w:sz w:val="24"/>
          <w:szCs w:val="24"/>
        </w:rPr>
        <w:t xml:space="preserve"> </w:t>
      </w:r>
      <w:r w:rsidRPr="00774F8D">
        <w:rPr>
          <w:rFonts w:ascii="Times New Roman" w:hAnsi="Times New Roman"/>
          <w:i/>
          <w:sz w:val="24"/>
          <w:szCs w:val="24"/>
        </w:rPr>
        <w:t>Probable Maximum Loss for LMIs</w:t>
      </w:r>
      <w:r w:rsidRPr="00736D41">
        <w:rPr>
          <w:rFonts w:ascii="Times New Roman" w:hAnsi="Times New Roman"/>
          <w:i/>
          <w:sz w:val="24"/>
          <w:szCs w:val="24"/>
        </w:rPr>
        <w:t xml:space="preserve"> </w:t>
      </w:r>
      <w:r w:rsidRPr="00736D41">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13</w:t>
      </w:r>
      <w:r w:rsidRPr="00736D41">
        <w:rPr>
          <w:rFonts w:ascii="Times New Roman" w:hAnsi="Times New Roman"/>
          <w:sz w:val="24"/>
          <w:szCs w:val="24"/>
        </w:rPr>
        <w:t xml:space="preserve"> of 201</w:t>
      </w:r>
      <w:r>
        <w:rPr>
          <w:rFonts w:ascii="Times New Roman" w:hAnsi="Times New Roman"/>
          <w:sz w:val="24"/>
          <w:szCs w:val="24"/>
        </w:rPr>
        <w:t>3; and</w:t>
      </w:r>
    </w:p>
    <w:p w:rsidR="00774F8D" w:rsidRDefault="00774F8D" w:rsidP="00774F8D">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Pr>
          <w:rFonts w:ascii="Times New Roman" w:hAnsi="Times New Roman"/>
          <w:i/>
          <w:sz w:val="24"/>
          <w:szCs w:val="24"/>
        </w:rPr>
        <w:t>Reporting Standard GR</w:t>
      </w:r>
      <w:r w:rsidRPr="00BD6360">
        <w:rPr>
          <w:rFonts w:ascii="Times New Roman" w:hAnsi="Times New Roman"/>
          <w:i/>
          <w:sz w:val="24"/>
          <w:szCs w:val="24"/>
        </w:rPr>
        <w:t xml:space="preserve">S </w:t>
      </w:r>
      <w:r>
        <w:rPr>
          <w:rFonts w:ascii="Times New Roman" w:hAnsi="Times New Roman"/>
          <w:i/>
          <w:sz w:val="24"/>
          <w:szCs w:val="24"/>
        </w:rPr>
        <w:t>116.1</w:t>
      </w:r>
      <w:r w:rsidRPr="00BD6360">
        <w:rPr>
          <w:rFonts w:ascii="Times New Roman" w:hAnsi="Times New Roman"/>
          <w:i/>
          <w:sz w:val="24"/>
          <w:szCs w:val="24"/>
        </w:rPr>
        <w:t xml:space="preserve"> </w:t>
      </w:r>
      <w:r w:rsidRPr="00774F8D">
        <w:rPr>
          <w:rFonts w:ascii="Times New Roman" w:hAnsi="Times New Roman"/>
          <w:i/>
          <w:sz w:val="24"/>
          <w:szCs w:val="24"/>
        </w:rPr>
        <w:t>Probable Maximum Loss for LMIs</w:t>
      </w:r>
      <w:r w:rsidRPr="000B14BD">
        <w:rPr>
          <w:rFonts w:ascii="Times New Roman" w:hAnsi="Times New Roman"/>
          <w:sz w:val="24"/>
          <w:szCs w:val="24"/>
        </w:rPr>
        <w:t xml:space="preserve"> (</w:t>
      </w:r>
      <w:r w:rsidRPr="003B7DAA">
        <w:rPr>
          <w:rFonts w:ascii="Times New Roman" w:hAnsi="Times New Roman"/>
          <w:b/>
          <w:sz w:val="24"/>
          <w:szCs w:val="24"/>
        </w:rPr>
        <w:t>GRS 116.1</w:t>
      </w:r>
      <w:r w:rsidRPr="000B14BD">
        <w:rPr>
          <w:rFonts w:ascii="Times New Roman" w:hAnsi="Times New Roman"/>
          <w:sz w:val="24"/>
          <w:szCs w:val="24"/>
        </w:rPr>
        <w:t>)</w:t>
      </w:r>
      <w:r>
        <w:rPr>
          <w:rFonts w:ascii="Times New Roman" w:hAnsi="Times New Roman"/>
          <w:sz w:val="24"/>
          <w:szCs w:val="24"/>
        </w:rPr>
        <w:t>;</w:t>
      </w:r>
    </w:p>
    <w:p w:rsidR="00246723" w:rsidRDefault="00AC7A56" w:rsidP="001A2234">
      <w:pPr>
        <w:widowControl w:val="0"/>
        <w:spacing w:after="240"/>
        <w:jc w:val="both"/>
        <w:rPr>
          <w:rFonts w:ascii="Times New Roman" w:hAnsi="Times New Roman"/>
          <w:sz w:val="24"/>
          <w:szCs w:val="24"/>
        </w:rPr>
      </w:pPr>
      <w:r>
        <w:rPr>
          <w:rFonts w:ascii="Times New Roman" w:hAnsi="Times New Roman"/>
          <w:sz w:val="24"/>
          <w:szCs w:val="24"/>
        </w:rPr>
        <w:lastRenderedPageBreak/>
        <w:t xml:space="preserve">The instruments </w:t>
      </w:r>
      <w:r w:rsidR="00774F8D" w:rsidRPr="009B1CC8">
        <w:rPr>
          <w:rFonts w:ascii="Times New Roman" w:hAnsi="Times New Roman"/>
          <w:sz w:val="24"/>
          <w:szCs w:val="24"/>
        </w:rPr>
        <w:t xml:space="preserve">commence on the </w:t>
      </w:r>
      <w:r w:rsidR="00774F8D">
        <w:rPr>
          <w:rFonts w:ascii="Times New Roman" w:hAnsi="Times New Roman"/>
          <w:sz w:val="24"/>
          <w:szCs w:val="24"/>
        </w:rPr>
        <w:t xml:space="preserve">date of </w:t>
      </w:r>
      <w:r w:rsidR="001F7293">
        <w:rPr>
          <w:rFonts w:ascii="Times New Roman" w:hAnsi="Times New Roman"/>
          <w:sz w:val="24"/>
          <w:szCs w:val="24"/>
        </w:rPr>
        <w:t xml:space="preserve">their respective </w:t>
      </w:r>
      <w:r w:rsidR="00774F8D">
        <w:rPr>
          <w:rFonts w:ascii="Times New Roman" w:hAnsi="Times New Roman"/>
          <w:sz w:val="24"/>
          <w:szCs w:val="24"/>
        </w:rPr>
        <w:t xml:space="preserve">registration on the </w:t>
      </w:r>
      <w:r w:rsidR="00774F8D" w:rsidRPr="009B1CC8">
        <w:rPr>
          <w:rFonts w:ascii="Times New Roman" w:hAnsi="Times New Roman"/>
          <w:sz w:val="24"/>
          <w:szCs w:val="24"/>
        </w:rPr>
        <w:t>Federal Register of Legislative Instruments</w:t>
      </w:r>
      <w:r w:rsidRPr="002C6D26">
        <w:rPr>
          <w:rFonts w:ascii="Times New Roman" w:hAnsi="Times New Roman"/>
          <w:sz w:val="24"/>
          <w:szCs w:val="24"/>
        </w:rPr>
        <w:t>.</w:t>
      </w:r>
      <w:r>
        <w:rPr>
          <w:rFonts w:ascii="Times New Roman" w:hAnsi="Times New Roman"/>
          <w:sz w:val="24"/>
          <w:szCs w:val="24"/>
        </w:rPr>
        <w:tab/>
      </w:r>
    </w:p>
    <w:p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rsidR="00413BB5" w:rsidRPr="0059040D" w:rsidRDefault="0059040D" w:rsidP="001A2234">
      <w:pPr>
        <w:pStyle w:val="Heading"/>
        <w:keepNext/>
        <w:spacing w:after="240"/>
        <w:outlineLvl w:val="0"/>
        <w:rPr>
          <w:rFonts w:ascii="Times New Roman" w:hAnsi="Times New Roman"/>
          <w:b w:val="0"/>
          <w:sz w:val="24"/>
          <w:szCs w:val="24"/>
          <w:u w:val="single"/>
        </w:rPr>
      </w:pPr>
      <w:r w:rsidRPr="0059040D">
        <w:rPr>
          <w:rFonts w:ascii="Times New Roman" w:hAnsi="Times New Roman"/>
          <w:b w:val="0"/>
          <w:sz w:val="24"/>
          <w:szCs w:val="24"/>
          <w:u w:val="single"/>
        </w:rPr>
        <w:t>GRS 440.0</w:t>
      </w:r>
    </w:p>
    <w:p w:rsidR="00413BB5" w:rsidRDefault="00413BB5" w:rsidP="001A2234">
      <w:pPr>
        <w:pStyle w:val="Heading"/>
        <w:keepNext/>
        <w:spacing w:after="240"/>
        <w:outlineLvl w:val="0"/>
        <w:rPr>
          <w:rFonts w:ascii="Times New Roman" w:hAnsi="Times New Roman"/>
          <w:b w:val="0"/>
          <w:sz w:val="24"/>
          <w:szCs w:val="24"/>
        </w:rPr>
      </w:pPr>
      <w:r w:rsidRPr="00413BB5">
        <w:rPr>
          <w:rFonts w:ascii="Times New Roman" w:hAnsi="Times New Roman"/>
          <w:b w:val="0"/>
          <w:sz w:val="24"/>
          <w:szCs w:val="24"/>
        </w:rPr>
        <w:t>Insurers that write reinsurance business are currently required to report, among other items, the ‘</w:t>
      </w:r>
      <w:r w:rsidRPr="00413BB5">
        <w:rPr>
          <w:rFonts w:ascii="Times New Roman" w:hAnsi="Times New Roman"/>
          <w:b w:val="0"/>
          <w:i/>
          <w:sz w:val="24"/>
          <w:szCs w:val="24"/>
        </w:rPr>
        <w:t>Number of claims reported</w:t>
      </w:r>
      <w:r w:rsidRPr="00413BB5">
        <w:rPr>
          <w:rFonts w:ascii="Times New Roman" w:hAnsi="Times New Roman"/>
          <w:b w:val="0"/>
          <w:sz w:val="24"/>
          <w:szCs w:val="24"/>
        </w:rPr>
        <w:t>’ and ‘</w:t>
      </w:r>
      <w:r w:rsidRPr="00413BB5">
        <w:rPr>
          <w:rFonts w:ascii="Times New Roman" w:hAnsi="Times New Roman"/>
          <w:b w:val="0"/>
          <w:i/>
          <w:sz w:val="24"/>
          <w:szCs w:val="24"/>
        </w:rPr>
        <w:t>Number of claims outstanding</w:t>
      </w:r>
      <w:r w:rsidRPr="00413BB5">
        <w:rPr>
          <w:rFonts w:ascii="Times New Roman" w:hAnsi="Times New Roman"/>
          <w:b w:val="0"/>
          <w:sz w:val="24"/>
          <w:szCs w:val="24"/>
        </w:rPr>
        <w:t xml:space="preserve">’ in the table at section 2 of </w:t>
      </w:r>
      <w:r>
        <w:rPr>
          <w:rFonts w:ascii="Times New Roman" w:hAnsi="Times New Roman"/>
          <w:b w:val="0"/>
          <w:sz w:val="24"/>
          <w:szCs w:val="24"/>
        </w:rPr>
        <w:t xml:space="preserve">Form </w:t>
      </w:r>
      <w:r w:rsidRPr="007868F6">
        <w:rPr>
          <w:rFonts w:ascii="Times New Roman" w:hAnsi="Times New Roman"/>
          <w:b w:val="0"/>
          <w:i/>
          <w:sz w:val="24"/>
          <w:szCs w:val="24"/>
        </w:rPr>
        <w:t>GRF 440.0</w:t>
      </w:r>
      <w:r w:rsidRPr="00413BB5">
        <w:rPr>
          <w:rFonts w:ascii="Times New Roman" w:hAnsi="Times New Roman"/>
          <w:b w:val="0"/>
          <w:sz w:val="24"/>
          <w:szCs w:val="24"/>
        </w:rPr>
        <w:t xml:space="preserve"> </w:t>
      </w:r>
      <w:r w:rsidRPr="003B7DAA">
        <w:rPr>
          <w:rFonts w:ascii="Times New Roman" w:hAnsi="Times New Roman"/>
          <w:b w:val="0"/>
          <w:i/>
          <w:sz w:val="24"/>
          <w:szCs w:val="24"/>
        </w:rPr>
        <w:t>Claims Development Table</w:t>
      </w:r>
      <w:r w:rsidRPr="00413BB5">
        <w:rPr>
          <w:rFonts w:ascii="Times New Roman" w:hAnsi="Times New Roman"/>
          <w:b w:val="0"/>
          <w:sz w:val="24"/>
          <w:szCs w:val="24"/>
        </w:rPr>
        <w:t xml:space="preserve"> (</w:t>
      </w:r>
      <w:r w:rsidRPr="003B7DAA">
        <w:rPr>
          <w:rFonts w:ascii="Times New Roman" w:hAnsi="Times New Roman"/>
          <w:sz w:val="24"/>
          <w:szCs w:val="24"/>
        </w:rPr>
        <w:t>GRF 440.0</w:t>
      </w:r>
      <w:r w:rsidRPr="00413BB5">
        <w:rPr>
          <w:rFonts w:ascii="Times New Roman" w:hAnsi="Times New Roman"/>
          <w:b w:val="0"/>
          <w:sz w:val="24"/>
          <w:szCs w:val="24"/>
        </w:rPr>
        <w:t xml:space="preserve">) (collectively referred to as ‘claim count data columns for reinsurance business’). </w:t>
      </w:r>
    </w:p>
    <w:p w:rsidR="00413BB5" w:rsidRDefault="00413BB5" w:rsidP="001A2234">
      <w:pPr>
        <w:pStyle w:val="Heading"/>
        <w:keepNext/>
        <w:spacing w:after="240"/>
        <w:outlineLvl w:val="0"/>
        <w:rPr>
          <w:rFonts w:ascii="Times New Roman" w:hAnsi="Times New Roman"/>
          <w:b w:val="0"/>
          <w:sz w:val="24"/>
          <w:szCs w:val="24"/>
        </w:rPr>
      </w:pPr>
      <w:r w:rsidRPr="00413BB5">
        <w:rPr>
          <w:rFonts w:ascii="Times New Roman" w:hAnsi="Times New Roman"/>
          <w:b w:val="0"/>
          <w:sz w:val="24"/>
          <w:szCs w:val="24"/>
        </w:rPr>
        <w:t>Industry feedback, and APRA’s review of this data, has identified inconsistent practice in the way insurers are reporting information provided in the claim count data columns for reinsurance business only. It is difficult to categorically define, and in some cases identify, what constitutes a ‘claim’ for some types of reinsurance business. Inconsistent reporting of this information limits its usefulness for APRA</w:t>
      </w:r>
      <w:r w:rsidR="00F12362">
        <w:rPr>
          <w:rFonts w:ascii="Times New Roman" w:hAnsi="Times New Roman"/>
          <w:b w:val="0"/>
          <w:sz w:val="24"/>
          <w:szCs w:val="24"/>
        </w:rPr>
        <w:t>’s</w:t>
      </w:r>
      <w:r w:rsidRPr="00413BB5">
        <w:rPr>
          <w:rFonts w:ascii="Times New Roman" w:hAnsi="Times New Roman"/>
          <w:b w:val="0"/>
          <w:sz w:val="24"/>
          <w:szCs w:val="24"/>
        </w:rPr>
        <w:t xml:space="preserve"> supervision. In addition, claim counts are not meaningful for many reinsurance arrangements.</w:t>
      </w:r>
    </w:p>
    <w:p w:rsidR="00413BB5" w:rsidRDefault="00413BB5" w:rsidP="001A2234">
      <w:pPr>
        <w:pStyle w:val="Heading"/>
        <w:keepNext/>
        <w:spacing w:after="240"/>
        <w:outlineLvl w:val="0"/>
        <w:rPr>
          <w:rFonts w:ascii="Times New Roman" w:hAnsi="Times New Roman"/>
          <w:b w:val="0"/>
          <w:sz w:val="24"/>
          <w:szCs w:val="24"/>
        </w:rPr>
      </w:pPr>
      <w:r w:rsidRPr="00413BB5">
        <w:rPr>
          <w:rFonts w:ascii="Times New Roman" w:hAnsi="Times New Roman"/>
          <w:b w:val="0"/>
          <w:sz w:val="24"/>
          <w:szCs w:val="24"/>
        </w:rPr>
        <w:t xml:space="preserve">To address this issue, APRA proposes to revoke reporting standard GRS 440.0, and replace it with a revised version of GRS 440.0 which does not include the claim count data columns for reinsurance business. </w:t>
      </w:r>
    </w:p>
    <w:p w:rsidR="0059040D" w:rsidRPr="0059040D" w:rsidRDefault="0059040D" w:rsidP="0059040D">
      <w:pPr>
        <w:pStyle w:val="Heading"/>
        <w:keepNext/>
        <w:spacing w:after="240"/>
        <w:outlineLvl w:val="0"/>
        <w:rPr>
          <w:rFonts w:ascii="Times New Roman" w:hAnsi="Times New Roman"/>
          <w:b w:val="0"/>
          <w:sz w:val="24"/>
          <w:szCs w:val="24"/>
          <w:u w:val="single"/>
        </w:rPr>
      </w:pPr>
      <w:r w:rsidRPr="0059040D">
        <w:rPr>
          <w:rFonts w:ascii="Times New Roman" w:hAnsi="Times New Roman"/>
          <w:b w:val="0"/>
          <w:sz w:val="24"/>
          <w:szCs w:val="24"/>
          <w:u w:val="single"/>
        </w:rPr>
        <w:t xml:space="preserve">GRS </w:t>
      </w:r>
      <w:r>
        <w:rPr>
          <w:rFonts w:ascii="Times New Roman" w:hAnsi="Times New Roman"/>
          <w:b w:val="0"/>
          <w:sz w:val="24"/>
          <w:szCs w:val="24"/>
          <w:u w:val="single"/>
        </w:rPr>
        <w:t>112</w:t>
      </w:r>
      <w:r w:rsidRPr="0059040D">
        <w:rPr>
          <w:rFonts w:ascii="Times New Roman" w:hAnsi="Times New Roman"/>
          <w:b w:val="0"/>
          <w:sz w:val="24"/>
          <w:szCs w:val="24"/>
          <w:u w:val="single"/>
        </w:rPr>
        <w:t>.0</w:t>
      </w:r>
      <w:r>
        <w:rPr>
          <w:rFonts w:ascii="Times New Roman" w:hAnsi="Times New Roman"/>
          <w:b w:val="0"/>
          <w:sz w:val="24"/>
          <w:szCs w:val="24"/>
          <w:u w:val="single"/>
        </w:rPr>
        <w:t xml:space="preserve"> and GRS 116.1</w:t>
      </w:r>
    </w:p>
    <w:p w:rsidR="0059040D" w:rsidRPr="0059040D" w:rsidRDefault="0059040D" w:rsidP="0059040D">
      <w:pPr>
        <w:pStyle w:val="Heading"/>
        <w:keepNext/>
        <w:spacing w:after="240"/>
        <w:outlineLvl w:val="0"/>
        <w:rPr>
          <w:rFonts w:ascii="Times New Roman" w:hAnsi="Times New Roman"/>
          <w:b w:val="0"/>
          <w:sz w:val="24"/>
          <w:szCs w:val="24"/>
        </w:rPr>
      </w:pPr>
      <w:r w:rsidRPr="0059040D">
        <w:rPr>
          <w:rFonts w:ascii="Times New Roman" w:hAnsi="Times New Roman"/>
          <w:b w:val="0"/>
          <w:sz w:val="24"/>
          <w:szCs w:val="24"/>
        </w:rPr>
        <w:t>APRA proposes to revise the following reporting standards</w:t>
      </w:r>
      <w:r w:rsidR="0033091F">
        <w:rPr>
          <w:rFonts w:ascii="Times New Roman" w:hAnsi="Times New Roman"/>
          <w:b w:val="0"/>
          <w:sz w:val="24"/>
          <w:szCs w:val="24"/>
        </w:rPr>
        <w:t>,</w:t>
      </w:r>
      <w:r w:rsidRPr="0059040D">
        <w:rPr>
          <w:rFonts w:ascii="Times New Roman" w:hAnsi="Times New Roman"/>
          <w:b w:val="0"/>
          <w:sz w:val="24"/>
          <w:szCs w:val="24"/>
        </w:rPr>
        <w:t xml:space="preserve"> </w:t>
      </w:r>
      <w:r w:rsidR="0033091F" w:rsidRPr="0033091F">
        <w:rPr>
          <w:rFonts w:ascii="Times New Roman" w:hAnsi="Times New Roman"/>
          <w:b w:val="0"/>
          <w:sz w:val="24"/>
          <w:szCs w:val="24"/>
        </w:rPr>
        <w:t>so that the reporting standard properly aligns with the intended application of the reporting requirements</w:t>
      </w:r>
      <w:r w:rsidRPr="0059040D">
        <w:rPr>
          <w:rFonts w:ascii="Times New Roman" w:hAnsi="Times New Roman"/>
          <w:b w:val="0"/>
          <w:sz w:val="24"/>
          <w:szCs w:val="24"/>
        </w:rPr>
        <w:t>:</w:t>
      </w:r>
    </w:p>
    <w:p w:rsidR="0059040D" w:rsidRDefault="0059040D" w:rsidP="006933F6">
      <w:pPr>
        <w:pStyle w:val="Heading"/>
        <w:keepNext/>
        <w:numPr>
          <w:ilvl w:val="0"/>
          <w:numId w:val="7"/>
        </w:numPr>
        <w:spacing w:after="240"/>
        <w:outlineLvl w:val="0"/>
        <w:rPr>
          <w:rFonts w:ascii="Times New Roman" w:hAnsi="Times New Roman"/>
          <w:b w:val="0"/>
          <w:sz w:val="24"/>
          <w:szCs w:val="24"/>
        </w:rPr>
      </w:pPr>
      <w:r w:rsidRPr="0059040D">
        <w:rPr>
          <w:rFonts w:ascii="Times New Roman" w:hAnsi="Times New Roman"/>
          <w:b w:val="0"/>
          <w:sz w:val="24"/>
          <w:szCs w:val="24"/>
        </w:rPr>
        <w:t xml:space="preserve">GRS 112.0 (to clearly indicate </w:t>
      </w:r>
      <w:r w:rsidR="00C914B8">
        <w:rPr>
          <w:rFonts w:ascii="Times New Roman" w:hAnsi="Times New Roman"/>
          <w:b w:val="0"/>
          <w:sz w:val="24"/>
          <w:szCs w:val="24"/>
        </w:rPr>
        <w:t xml:space="preserve">that </w:t>
      </w:r>
      <w:r w:rsidR="006933F6" w:rsidRPr="006933F6">
        <w:rPr>
          <w:rFonts w:ascii="Times New Roman" w:hAnsi="Times New Roman"/>
          <w:b w:val="0"/>
          <w:sz w:val="24"/>
          <w:szCs w:val="24"/>
        </w:rPr>
        <w:t xml:space="preserve">this reporting standard </w:t>
      </w:r>
      <w:r w:rsidRPr="0059040D">
        <w:rPr>
          <w:rFonts w:ascii="Times New Roman" w:hAnsi="Times New Roman"/>
          <w:b w:val="0"/>
          <w:sz w:val="24"/>
          <w:szCs w:val="24"/>
        </w:rPr>
        <w:t>do</w:t>
      </w:r>
      <w:r w:rsidR="006933F6">
        <w:rPr>
          <w:rFonts w:ascii="Times New Roman" w:hAnsi="Times New Roman"/>
          <w:b w:val="0"/>
          <w:sz w:val="24"/>
          <w:szCs w:val="24"/>
        </w:rPr>
        <w:t>es</w:t>
      </w:r>
      <w:r w:rsidRPr="0059040D">
        <w:rPr>
          <w:rFonts w:ascii="Times New Roman" w:hAnsi="Times New Roman"/>
          <w:b w:val="0"/>
          <w:sz w:val="24"/>
          <w:szCs w:val="24"/>
        </w:rPr>
        <w:t xml:space="preserve"> not apply to Category C insurers, as defined in </w:t>
      </w:r>
      <w:r w:rsidR="007868F6" w:rsidRPr="007868F6">
        <w:rPr>
          <w:rFonts w:ascii="Times New Roman" w:hAnsi="Times New Roman"/>
          <w:b w:val="0"/>
          <w:i/>
          <w:sz w:val="24"/>
          <w:szCs w:val="24"/>
        </w:rPr>
        <w:t>P</w:t>
      </w:r>
      <w:r w:rsidRPr="007868F6">
        <w:rPr>
          <w:rFonts w:ascii="Times New Roman" w:hAnsi="Times New Roman"/>
          <w:b w:val="0"/>
          <w:i/>
          <w:sz w:val="24"/>
          <w:szCs w:val="24"/>
        </w:rPr>
        <w:t xml:space="preserve">rudential </w:t>
      </w:r>
      <w:r w:rsidR="007868F6" w:rsidRPr="007868F6">
        <w:rPr>
          <w:rFonts w:ascii="Times New Roman" w:hAnsi="Times New Roman"/>
          <w:b w:val="0"/>
          <w:i/>
          <w:sz w:val="24"/>
          <w:szCs w:val="24"/>
        </w:rPr>
        <w:t>S</w:t>
      </w:r>
      <w:r w:rsidRPr="007868F6">
        <w:rPr>
          <w:rFonts w:ascii="Times New Roman" w:hAnsi="Times New Roman"/>
          <w:b w:val="0"/>
          <w:i/>
          <w:sz w:val="24"/>
          <w:szCs w:val="24"/>
        </w:rPr>
        <w:t>tandard GPS 001</w:t>
      </w:r>
      <w:r w:rsidRPr="0059040D">
        <w:rPr>
          <w:rFonts w:ascii="Times New Roman" w:hAnsi="Times New Roman"/>
          <w:b w:val="0"/>
          <w:sz w:val="24"/>
          <w:szCs w:val="24"/>
        </w:rPr>
        <w:t xml:space="preserve"> </w:t>
      </w:r>
      <w:r w:rsidRPr="0059040D">
        <w:rPr>
          <w:rFonts w:ascii="Times New Roman" w:hAnsi="Times New Roman"/>
          <w:b w:val="0"/>
          <w:i/>
          <w:sz w:val="24"/>
          <w:szCs w:val="24"/>
        </w:rPr>
        <w:t>Definitions</w:t>
      </w:r>
      <w:r w:rsidRPr="0059040D">
        <w:rPr>
          <w:rFonts w:ascii="Times New Roman" w:hAnsi="Times New Roman"/>
          <w:b w:val="0"/>
          <w:sz w:val="24"/>
          <w:szCs w:val="24"/>
        </w:rPr>
        <w:t>); and</w:t>
      </w:r>
    </w:p>
    <w:p w:rsidR="00413BB5" w:rsidRPr="0059040D" w:rsidRDefault="0059040D" w:rsidP="0059040D">
      <w:pPr>
        <w:pStyle w:val="Heading"/>
        <w:keepNext/>
        <w:numPr>
          <w:ilvl w:val="0"/>
          <w:numId w:val="7"/>
        </w:numPr>
        <w:spacing w:after="240"/>
        <w:outlineLvl w:val="0"/>
        <w:rPr>
          <w:rFonts w:ascii="Times New Roman" w:hAnsi="Times New Roman"/>
          <w:b w:val="0"/>
          <w:sz w:val="24"/>
          <w:szCs w:val="24"/>
        </w:rPr>
      </w:pPr>
      <w:r w:rsidRPr="0059040D">
        <w:rPr>
          <w:rFonts w:ascii="Times New Roman" w:hAnsi="Times New Roman"/>
          <w:b w:val="0"/>
          <w:sz w:val="24"/>
          <w:szCs w:val="24"/>
        </w:rPr>
        <w:t xml:space="preserve">GRS 116.1 (to clearly indicate that </w:t>
      </w:r>
      <w:r w:rsidR="006933F6" w:rsidRPr="006933F6">
        <w:rPr>
          <w:rFonts w:ascii="Times New Roman" w:hAnsi="Times New Roman"/>
          <w:b w:val="0"/>
          <w:sz w:val="24"/>
          <w:szCs w:val="24"/>
        </w:rPr>
        <w:t xml:space="preserve">this reporting standard </w:t>
      </w:r>
      <w:r w:rsidRPr="0059040D">
        <w:rPr>
          <w:rFonts w:ascii="Times New Roman" w:hAnsi="Times New Roman"/>
          <w:b w:val="0"/>
          <w:sz w:val="24"/>
          <w:szCs w:val="24"/>
        </w:rPr>
        <w:t>appl</w:t>
      </w:r>
      <w:r w:rsidR="006933F6">
        <w:rPr>
          <w:rFonts w:ascii="Times New Roman" w:hAnsi="Times New Roman"/>
          <w:b w:val="0"/>
          <w:sz w:val="24"/>
          <w:szCs w:val="24"/>
        </w:rPr>
        <w:t>ies</w:t>
      </w:r>
      <w:r w:rsidRPr="0059040D">
        <w:rPr>
          <w:rFonts w:ascii="Times New Roman" w:hAnsi="Times New Roman"/>
          <w:b w:val="0"/>
          <w:sz w:val="24"/>
          <w:szCs w:val="24"/>
        </w:rPr>
        <w:t xml:space="preserve"> only to lenders mortgage insurers, as defined in </w:t>
      </w:r>
      <w:r w:rsidR="007868F6" w:rsidRPr="007868F6">
        <w:rPr>
          <w:rFonts w:ascii="Times New Roman" w:hAnsi="Times New Roman"/>
          <w:b w:val="0"/>
          <w:i/>
          <w:sz w:val="24"/>
          <w:szCs w:val="24"/>
        </w:rPr>
        <w:t xml:space="preserve">Prudential Standard </w:t>
      </w:r>
      <w:r w:rsidRPr="007868F6">
        <w:rPr>
          <w:rFonts w:ascii="Times New Roman" w:hAnsi="Times New Roman"/>
          <w:b w:val="0"/>
          <w:i/>
          <w:sz w:val="24"/>
          <w:szCs w:val="24"/>
        </w:rPr>
        <w:t>GPS 001</w:t>
      </w:r>
      <w:r w:rsidRPr="0059040D">
        <w:rPr>
          <w:rFonts w:ascii="Times New Roman" w:hAnsi="Times New Roman"/>
          <w:b w:val="0"/>
          <w:sz w:val="24"/>
          <w:szCs w:val="24"/>
        </w:rPr>
        <w:t xml:space="preserve"> </w:t>
      </w:r>
      <w:r w:rsidRPr="0059040D">
        <w:rPr>
          <w:rFonts w:ascii="Times New Roman" w:hAnsi="Times New Roman"/>
          <w:b w:val="0"/>
          <w:i/>
          <w:sz w:val="24"/>
          <w:szCs w:val="24"/>
        </w:rPr>
        <w:t>Definitions</w:t>
      </w:r>
      <w:r w:rsidRPr="0059040D">
        <w:rPr>
          <w:rFonts w:ascii="Times New Roman" w:hAnsi="Times New Roman"/>
          <w:b w:val="0"/>
          <w:sz w:val="24"/>
          <w:szCs w:val="24"/>
        </w:rPr>
        <w:t>).</w:t>
      </w:r>
    </w:p>
    <w:p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rsidR="000A61D5" w:rsidRDefault="00331977" w:rsidP="00473869">
      <w:pPr>
        <w:pStyle w:val="Heading"/>
        <w:spacing w:after="240"/>
        <w:rPr>
          <w:rFonts w:ascii="Times New Roman" w:hAnsi="Times New Roman"/>
          <w:b w:val="0"/>
          <w:sz w:val="24"/>
          <w:szCs w:val="24"/>
        </w:rPr>
      </w:pPr>
      <w:bookmarkStart w:id="5" w:name="bkPurpose"/>
      <w:bookmarkEnd w:id="5"/>
      <w:r>
        <w:rPr>
          <w:rFonts w:ascii="Times New Roman" w:hAnsi="Times New Roman"/>
          <w:b w:val="0"/>
          <w:sz w:val="24"/>
          <w:szCs w:val="24"/>
        </w:rPr>
        <w:t xml:space="preserve">The issues of inconsistent reporting </w:t>
      </w:r>
      <w:r w:rsidR="008A0BEC">
        <w:rPr>
          <w:rFonts w:ascii="Times New Roman" w:hAnsi="Times New Roman"/>
          <w:b w:val="0"/>
          <w:sz w:val="24"/>
          <w:szCs w:val="24"/>
        </w:rPr>
        <w:t>and the</w:t>
      </w:r>
      <w:r>
        <w:rPr>
          <w:rFonts w:ascii="Times New Roman" w:hAnsi="Times New Roman"/>
          <w:b w:val="0"/>
          <w:sz w:val="24"/>
          <w:szCs w:val="24"/>
        </w:rPr>
        <w:t xml:space="preserve"> limited usefulness</w:t>
      </w:r>
      <w:r w:rsidR="008A0BEC">
        <w:rPr>
          <w:rFonts w:ascii="Times New Roman" w:hAnsi="Times New Roman"/>
          <w:b w:val="0"/>
          <w:sz w:val="24"/>
          <w:szCs w:val="24"/>
        </w:rPr>
        <w:t xml:space="preserve"> of this reporting</w:t>
      </w:r>
      <w:r>
        <w:rPr>
          <w:rFonts w:ascii="Times New Roman" w:hAnsi="Times New Roman"/>
          <w:b w:val="0"/>
          <w:sz w:val="24"/>
          <w:szCs w:val="24"/>
        </w:rPr>
        <w:t xml:space="preserve"> are discussed at Section 1 above.  These issues arise from an APRA reporting requirement and cannot be resolved by market or other influences alone.  Although </w:t>
      </w:r>
      <w:r w:rsidR="001B724E">
        <w:rPr>
          <w:rFonts w:ascii="Times New Roman" w:hAnsi="Times New Roman"/>
          <w:b w:val="0"/>
          <w:sz w:val="24"/>
          <w:szCs w:val="24"/>
        </w:rPr>
        <w:t>these issues are modest in scale and impact,</w:t>
      </w:r>
      <w:r w:rsidR="00C14F46">
        <w:rPr>
          <w:rFonts w:ascii="Times New Roman" w:hAnsi="Times New Roman"/>
          <w:b w:val="0"/>
          <w:sz w:val="24"/>
          <w:szCs w:val="24"/>
        </w:rPr>
        <w:t xml:space="preserve"> APRA is aware that industry is expending effort to report certain </w:t>
      </w:r>
      <w:r w:rsidR="00D84928">
        <w:rPr>
          <w:rFonts w:ascii="Times New Roman" w:hAnsi="Times New Roman"/>
          <w:b w:val="0"/>
          <w:sz w:val="24"/>
          <w:szCs w:val="24"/>
        </w:rPr>
        <w:t xml:space="preserve">reinsurance </w:t>
      </w:r>
      <w:r w:rsidR="008A0BEC">
        <w:rPr>
          <w:rFonts w:ascii="Times New Roman" w:hAnsi="Times New Roman"/>
          <w:b w:val="0"/>
          <w:sz w:val="24"/>
          <w:szCs w:val="24"/>
        </w:rPr>
        <w:t xml:space="preserve">data that is of </w:t>
      </w:r>
      <w:r w:rsidR="00C14F46">
        <w:rPr>
          <w:rFonts w:ascii="Times New Roman" w:hAnsi="Times New Roman"/>
          <w:b w:val="0"/>
          <w:sz w:val="24"/>
          <w:szCs w:val="24"/>
        </w:rPr>
        <w:t xml:space="preserve">limited benefit.  It is relatively straightforward to </w:t>
      </w:r>
      <w:r w:rsidR="00D84928">
        <w:rPr>
          <w:rFonts w:ascii="Times New Roman" w:hAnsi="Times New Roman"/>
          <w:b w:val="0"/>
          <w:sz w:val="24"/>
          <w:szCs w:val="24"/>
        </w:rPr>
        <w:t xml:space="preserve">amend </w:t>
      </w:r>
      <w:r w:rsidR="00C14F46">
        <w:rPr>
          <w:rFonts w:ascii="Times New Roman" w:hAnsi="Times New Roman"/>
          <w:b w:val="0"/>
          <w:sz w:val="24"/>
          <w:szCs w:val="24"/>
        </w:rPr>
        <w:t xml:space="preserve">this situation and </w:t>
      </w:r>
      <w:r w:rsidR="00D84928">
        <w:rPr>
          <w:rFonts w:ascii="Times New Roman" w:hAnsi="Times New Roman"/>
          <w:b w:val="0"/>
          <w:sz w:val="24"/>
          <w:szCs w:val="24"/>
        </w:rPr>
        <w:t>therefore,</w:t>
      </w:r>
      <w:r w:rsidR="00C00D42">
        <w:rPr>
          <w:rFonts w:ascii="Times New Roman" w:hAnsi="Times New Roman"/>
          <w:b w:val="0"/>
          <w:sz w:val="24"/>
          <w:szCs w:val="24"/>
        </w:rPr>
        <w:t xml:space="preserve"> </w:t>
      </w:r>
      <w:r w:rsidR="00473869" w:rsidRPr="00473869">
        <w:rPr>
          <w:rFonts w:ascii="Times New Roman" w:hAnsi="Times New Roman"/>
          <w:b w:val="0"/>
          <w:sz w:val="24"/>
          <w:szCs w:val="24"/>
        </w:rPr>
        <w:t>APRA proposes to take action.</w:t>
      </w:r>
    </w:p>
    <w:p w:rsidR="00473869" w:rsidRPr="00473869" w:rsidRDefault="00473869" w:rsidP="00473869">
      <w:pPr>
        <w:pStyle w:val="Heading"/>
        <w:spacing w:after="240"/>
        <w:rPr>
          <w:rFonts w:ascii="Times New Roman" w:hAnsi="Times New Roman"/>
          <w:b w:val="0"/>
          <w:sz w:val="24"/>
          <w:szCs w:val="24"/>
        </w:rPr>
      </w:pPr>
      <w:r w:rsidRPr="00473869">
        <w:rPr>
          <w:rFonts w:ascii="Times New Roman" w:hAnsi="Times New Roman"/>
          <w:b w:val="0"/>
          <w:sz w:val="24"/>
          <w:szCs w:val="24"/>
        </w:rPr>
        <w:t xml:space="preserve">APRA’s objective is to reduce reporting burden on industry by removing data items that have proven to have limited supervisory benefit. This can be </w:t>
      </w:r>
      <w:r w:rsidR="008A0BEC">
        <w:rPr>
          <w:rFonts w:ascii="Times New Roman" w:hAnsi="Times New Roman"/>
          <w:b w:val="0"/>
          <w:sz w:val="24"/>
          <w:szCs w:val="24"/>
        </w:rPr>
        <w:t>achiev</w:t>
      </w:r>
      <w:r w:rsidRPr="00473869">
        <w:rPr>
          <w:rFonts w:ascii="Times New Roman" w:hAnsi="Times New Roman"/>
          <w:b w:val="0"/>
          <w:sz w:val="24"/>
          <w:szCs w:val="24"/>
        </w:rPr>
        <w:t xml:space="preserve">ed by a minor amendment to GRF 440.0 to remove the requirement to report reinsurance claims count data, which will result in less work for insurers that write reinsurance business. </w:t>
      </w:r>
    </w:p>
    <w:p w:rsidR="00473869" w:rsidRDefault="00473869" w:rsidP="00473869">
      <w:pPr>
        <w:pStyle w:val="Heading"/>
        <w:spacing w:after="240"/>
        <w:rPr>
          <w:rFonts w:ascii="Times New Roman" w:hAnsi="Times New Roman"/>
          <w:b w:val="0"/>
          <w:sz w:val="24"/>
          <w:szCs w:val="24"/>
        </w:rPr>
      </w:pPr>
      <w:r w:rsidRPr="00473869">
        <w:rPr>
          <w:rFonts w:ascii="Times New Roman" w:hAnsi="Times New Roman"/>
          <w:b w:val="0"/>
          <w:sz w:val="24"/>
          <w:szCs w:val="24"/>
        </w:rPr>
        <w:t>The objective in terms of GRS 112.0 and GRS 116.1 is to clarify the legal application of these reporting standards as discussed above.</w:t>
      </w:r>
    </w:p>
    <w:p w:rsidR="002436BD" w:rsidRDefault="002436BD" w:rsidP="001A2234">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lastRenderedPageBreak/>
        <w:t>Consultation</w:t>
      </w:r>
    </w:p>
    <w:p w:rsidR="005A7B19" w:rsidRDefault="005A7B19" w:rsidP="005A7B19">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 instruments </w:t>
      </w:r>
      <w:r w:rsidR="007B1F6D">
        <w:rPr>
          <w:rFonts w:ascii="Times New Roman" w:hAnsi="Times New Roman"/>
          <w:b w:val="0"/>
          <w:sz w:val="24"/>
          <w:szCs w:val="24"/>
        </w:rPr>
        <w:t xml:space="preserve">are minor or machinery in nature and </w:t>
      </w:r>
      <w:r w:rsidRPr="00BB1678">
        <w:rPr>
          <w:rFonts w:ascii="Times New Roman" w:hAnsi="Times New Roman"/>
          <w:b w:val="0"/>
          <w:sz w:val="24"/>
          <w:szCs w:val="24"/>
        </w:rPr>
        <w:t xml:space="preserve">do not substantially </w:t>
      </w:r>
      <w:r>
        <w:rPr>
          <w:rFonts w:ascii="Times New Roman" w:hAnsi="Times New Roman"/>
          <w:b w:val="0"/>
          <w:sz w:val="24"/>
          <w:szCs w:val="24"/>
        </w:rPr>
        <w:t xml:space="preserve">alter existing arrangements. </w:t>
      </w:r>
    </w:p>
    <w:p w:rsidR="005A7B19" w:rsidRDefault="005A7B19" w:rsidP="005A7B19">
      <w:pPr>
        <w:pStyle w:val="Heading"/>
        <w:numPr>
          <w:ilvl w:val="0"/>
          <w:numId w:val="8"/>
        </w:numPr>
        <w:tabs>
          <w:tab w:val="left" w:pos="360"/>
        </w:tabs>
        <w:spacing w:after="240"/>
        <w:rPr>
          <w:rFonts w:ascii="Times New Roman" w:hAnsi="Times New Roman"/>
          <w:b w:val="0"/>
          <w:sz w:val="24"/>
          <w:szCs w:val="24"/>
        </w:rPr>
      </w:pPr>
      <w:r>
        <w:rPr>
          <w:rFonts w:ascii="Times New Roman" w:hAnsi="Times New Roman"/>
          <w:b w:val="0"/>
          <w:sz w:val="24"/>
          <w:szCs w:val="24"/>
        </w:rPr>
        <w:t>The proposed change</w:t>
      </w:r>
      <w:r w:rsidR="004F49EB">
        <w:rPr>
          <w:rFonts w:ascii="Times New Roman" w:hAnsi="Times New Roman"/>
          <w:b w:val="0"/>
          <w:sz w:val="24"/>
          <w:szCs w:val="24"/>
        </w:rPr>
        <w:t>s</w:t>
      </w:r>
      <w:r>
        <w:rPr>
          <w:rFonts w:ascii="Times New Roman" w:hAnsi="Times New Roman"/>
          <w:b w:val="0"/>
          <w:sz w:val="24"/>
          <w:szCs w:val="24"/>
        </w:rPr>
        <w:t xml:space="preserve"> in GRS 440.0</w:t>
      </w:r>
      <w:r w:rsidRPr="00935A82">
        <w:rPr>
          <w:rFonts w:ascii="Times New Roman" w:hAnsi="Times New Roman"/>
          <w:b w:val="0"/>
          <w:sz w:val="24"/>
          <w:szCs w:val="24"/>
        </w:rPr>
        <w:t xml:space="preserve"> will produce modest regulatory cost savings since less work is required of insurers. Specifically, insurers will no longer be required to record, collect, analyse and report the claim count information for reinsurance business.</w:t>
      </w:r>
      <w:r>
        <w:rPr>
          <w:rFonts w:ascii="Times New Roman" w:hAnsi="Times New Roman"/>
          <w:b w:val="0"/>
          <w:sz w:val="24"/>
          <w:szCs w:val="24"/>
        </w:rPr>
        <w:t xml:space="preserve"> </w:t>
      </w:r>
    </w:p>
    <w:p w:rsidR="005A7B19" w:rsidRPr="005A7B19" w:rsidRDefault="005A7B19" w:rsidP="005A7B19">
      <w:pPr>
        <w:pStyle w:val="Heading"/>
        <w:numPr>
          <w:ilvl w:val="0"/>
          <w:numId w:val="8"/>
        </w:numPr>
        <w:tabs>
          <w:tab w:val="left" w:pos="360"/>
        </w:tabs>
        <w:spacing w:after="240"/>
        <w:rPr>
          <w:rFonts w:ascii="Times New Roman" w:hAnsi="Times New Roman"/>
          <w:b w:val="0"/>
          <w:sz w:val="24"/>
          <w:szCs w:val="24"/>
        </w:rPr>
      </w:pPr>
      <w:r w:rsidRPr="005A7B19">
        <w:rPr>
          <w:rFonts w:ascii="Times New Roman" w:hAnsi="Times New Roman"/>
          <w:b w:val="0"/>
          <w:sz w:val="24"/>
          <w:szCs w:val="24"/>
        </w:rPr>
        <w:t xml:space="preserve">The proposed change in GRS 112.0 and GRS 116.1 will not result in any additional regulatory costs or savings as the reporting standards are effectively being brought in line with actual practice. For example, currently only lenders mortgage insurers provide APRA with reporting in the Form </w:t>
      </w:r>
      <w:r w:rsidRPr="007868F6">
        <w:rPr>
          <w:rFonts w:ascii="Times New Roman" w:hAnsi="Times New Roman"/>
          <w:b w:val="0"/>
          <w:i/>
          <w:sz w:val="24"/>
          <w:szCs w:val="24"/>
        </w:rPr>
        <w:t>GRF 116.1</w:t>
      </w:r>
      <w:r w:rsidRPr="005A7B19">
        <w:rPr>
          <w:rFonts w:ascii="Times New Roman" w:hAnsi="Times New Roman"/>
          <w:b w:val="0"/>
          <w:sz w:val="24"/>
          <w:szCs w:val="24"/>
        </w:rPr>
        <w:t xml:space="preserve"> </w:t>
      </w:r>
      <w:r w:rsidRPr="004F49EB">
        <w:rPr>
          <w:rFonts w:ascii="Times New Roman" w:hAnsi="Times New Roman"/>
          <w:b w:val="0"/>
          <w:i/>
          <w:sz w:val="24"/>
          <w:szCs w:val="24"/>
        </w:rPr>
        <w:t>Probable Maximum Loss for LMIs</w:t>
      </w:r>
      <w:r w:rsidRPr="005A7B19">
        <w:rPr>
          <w:rFonts w:ascii="Times New Roman" w:hAnsi="Times New Roman"/>
          <w:b w:val="0"/>
          <w:sz w:val="24"/>
          <w:szCs w:val="24"/>
        </w:rPr>
        <w:t>, despite the reporting standard GRS 116.1 indicating it applies to all general insurers</w:t>
      </w:r>
      <w:r w:rsidR="00B938C5">
        <w:rPr>
          <w:rFonts w:ascii="Times New Roman" w:hAnsi="Times New Roman"/>
          <w:b w:val="0"/>
          <w:sz w:val="24"/>
          <w:szCs w:val="24"/>
        </w:rPr>
        <w:t xml:space="preserve"> since this was the intended application</w:t>
      </w:r>
      <w:r w:rsidRPr="005A7B19">
        <w:rPr>
          <w:rFonts w:ascii="Times New Roman" w:hAnsi="Times New Roman"/>
          <w:b w:val="0"/>
          <w:sz w:val="24"/>
          <w:szCs w:val="24"/>
        </w:rPr>
        <w:t>.</w:t>
      </w:r>
    </w:p>
    <w:p w:rsidR="002436BD" w:rsidRPr="00D36321" w:rsidRDefault="00D36321" w:rsidP="00D36321">
      <w:pPr>
        <w:spacing w:after="240"/>
        <w:jc w:val="both"/>
        <w:rPr>
          <w:rFonts w:ascii="Times New Roman" w:hAnsi="Times New Roman"/>
          <w:sz w:val="24"/>
          <w:szCs w:val="24"/>
        </w:rPr>
      </w:pPr>
      <w:r w:rsidRPr="00D36321">
        <w:rPr>
          <w:rFonts w:ascii="Times New Roman" w:hAnsi="Times New Roman"/>
          <w:sz w:val="24"/>
          <w:szCs w:val="24"/>
        </w:rPr>
        <w:t xml:space="preserve">APRA consulted with industry for four weeks commencing </w:t>
      </w:r>
      <w:r w:rsidRPr="00D36321">
        <w:rPr>
          <w:rFonts w:ascii="Times New Roman" w:hAnsi="Times New Roman"/>
          <w:sz w:val="24"/>
          <w:szCs w:val="24"/>
        </w:rPr>
        <w:br/>
        <w:t>11 November 2014 on the proposals to revoke and replace the above reporting standards. Two submissions were received from industry</w:t>
      </w:r>
      <w:r>
        <w:rPr>
          <w:rFonts w:ascii="Times New Roman" w:hAnsi="Times New Roman"/>
          <w:sz w:val="24"/>
          <w:szCs w:val="24"/>
        </w:rPr>
        <w:t xml:space="preserve"> and b</w:t>
      </w:r>
      <w:r w:rsidRPr="00D36321">
        <w:rPr>
          <w:rFonts w:ascii="Times New Roman" w:hAnsi="Times New Roman"/>
          <w:sz w:val="24"/>
          <w:szCs w:val="24"/>
        </w:rPr>
        <w:t xml:space="preserve">oth submissions were of a positive nature agreeing with all of the suggested revisions to the reporting standards. </w:t>
      </w:r>
      <w:r w:rsidR="002436BD" w:rsidRPr="00D36321">
        <w:rPr>
          <w:rFonts w:ascii="Times New Roman" w:hAnsi="Times New Roman"/>
          <w:sz w:val="24"/>
          <w:szCs w:val="24"/>
        </w:rPr>
        <w:t>A</w:t>
      </w:r>
      <w:r w:rsidR="005A7B19" w:rsidRPr="00D36321">
        <w:rPr>
          <w:rFonts w:ascii="Times New Roman" w:hAnsi="Times New Roman"/>
          <w:sz w:val="24"/>
          <w:szCs w:val="24"/>
        </w:rPr>
        <w:t xml:space="preserve">s a result, APRA did not </w:t>
      </w:r>
      <w:r w:rsidR="00687D66" w:rsidRPr="00D36321">
        <w:rPr>
          <w:rFonts w:ascii="Times New Roman" w:hAnsi="Times New Roman"/>
          <w:sz w:val="24"/>
          <w:szCs w:val="24"/>
        </w:rPr>
        <w:t xml:space="preserve">consider </w:t>
      </w:r>
      <w:r w:rsidR="005A7B19" w:rsidRPr="00D36321">
        <w:rPr>
          <w:rFonts w:ascii="Times New Roman" w:hAnsi="Times New Roman"/>
          <w:sz w:val="24"/>
          <w:szCs w:val="24"/>
        </w:rPr>
        <w:t xml:space="preserve">it necessary to release any </w:t>
      </w:r>
      <w:r w:rsidR="002436BD" w:rsidRPr="00D36321">
        <w:rPr>
          <w:rFonts w:ascii="Times New Roman" w:hAnsi="Times New Roman"/>
          <w:sz w:val="24"/>
          <w:szCs w:val="24"/>
        </w:rPr>
        <w:t xml:space="preserve">public discussion </w:t>
      </w:r>
      <w:r w:rsidR="005A7B19" w:rsidRPr="00D36321">
        <w:rPr>
          <w:rFonts w:ascii="Times New Roman" w:hAnsi="Times New Roman"/>
          <w:sz w:val="24"/>
          <w:szCs w:val="24"/>
        </w:rPr>
        <w:t>or</w:t>
      </w:r>
      <w:r w:rsidR="002436BD" w:rsidRPr="00D36321">
        <w:rPr>
          <w:rFonts w:ascii="Times New Roman" w:hAnsi="Times New Roman"/>
          <w:sz w:val="24"/>
          <w:szCs w:val="24"/>
        </w:rPr>
        <w:t xml:space="preserve"> response papers</w:t>
      </w:r>
      <w:r w:rsidR="005A7B19" w:rsidRPr="00D36321">
        <w:rPr>
          <w:rFonts w:ascii="Times New Roman" w:hAnsi="Times New Roman"/>
          <w:sz w:val="24"/>
          <w:szCs w:val="24"/>
        </w:rPr>
        <w:t>.</w:t>
      </w:r>
      <w:r w:rsidR="005A7B19">
        <w:rPr>
          <w:rFonts w:ascii="Times New Roman" w:hAnsi="Times New Roman"/>
          <w:sz w:val="24"/>
          <w:szCs w:val="24"/>
        </w:rPr>
        <w:t xml:space="preserve"> </w:t>
      </w:r>
    </w:p>
    <w:p w:rsidR="002436BD" w:rsidRDefault="00DF524E" w:rsidP="001A2234">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rsidR="007B1F6D" w:rsidRDefault="009F1D83" w:rsidP="009F1D83">
      <w:pPr>
        <w:pStyle w:val="Heading"/>
        <w:spacing w:after="240"/>
        <w:rPr>
          <w:rFonts w:ascii="Times New Roman" w:hAnsi="Times New Roman"/>
          <w:b w:val="0"/>
          <w:sz w:val="24"/>
          <w:szCs w:val="24"/>
        </w:rPr>
      </w:pPr>
      <w:r w:rsidRPr="00935A82">
        <w:rPr>
          <w:rFonts w:ascii="Times New Roman" w:hAnsi="Times New Roman"/>
          <w:b w:val="0"/>
          <w:sz w:val="24"/>
          <w:szCs w:val="24"/>
        </w:rPr>
        <w:t>APRA does not expect the proposals to have any regulatory impacts.  The proposals are minor</w:t>
      </w:r>
      <w:r w:rsidR="00223777">
        <w:rPr>
          <w:rFonts w:ascii="Times New Roman" w:hAnsi="Times New Roman"/>
          <w:b w:val="0"/>
          <w:sz w:val="24"/>
          <w:szCs w:val="24"/>
        </w:rPr>
        <w:t xml:space="preserve"> or machinery</w:t>
      </w:r>
      <w:r w:rsidRPr="00935A82">
        <w:rPr>
          <w:rFonts w:ascii="Times New Roman" w:hAnsi="Times New Roman"/>
          <w:b w:val="0"/>
          <w:sz w:val="24"/>
          <w:szCs w:val="24"/>
        </w:rPr>
        <w:t xml:space="preserve"> in nature and relate only to a modest reduction in </w:t>
      </w:r>
      <w:r w:rsidR="00687D66">
        <w:rPr>
          <w:rFonts w:ascii="Times New Roman" w:hAnsi="Times New Roman"/>
          <w:b w:val="0"/>
          <w:sz w:val="24"/>
          <w:szCs w:val="24"/>
        </w:rPr>
        <w:t xml:space="preserve">the </w:t>
      </w:r>
      <w:r w:rsidRPr="00935A82">
        <w:rPr>
          <w:rFonts w:ascii="Times New Roman" w:hAnsi="Times New Roman"/>
          <w:b w:val="0"/>
          <w:sz w:val="24"/>
          <w:szCs w:val="24"/>
        </w:rPr>
        <w:t>reporting requirements</w:t>
      </w:r>
      <w:r w:rsidR="00687D66">
        <w:rPr>
          <w:rFonts w:ascii="Times New Roman" w:hAnsi="Times New Roman"/>
          <w:b w:val="0"/>
          <w:sz w:val="24"/>
          <w:szCs w:val="24"/>
        </w:rPr>
        <w:t xml:space="preserve"> currently imposed on industry</w:t>
      </w:r>
      <w:r w:rsidRPr="00935A82">
        <w:rPr>
          <w:rFonts w:ascii="Times New Roman" w:hAnsi="Times New Roman"/>
          <w:b w:val="0"/>
          <w:sz w:val="24"/>
          <w:szCs w:val="24"/>
        </w:rPr>
        <w:t>.</w:t>
      </w:r>
    </w:p>
    <w:p w:rsidR="00D3484E" w:rsidRDefault="00D3484E" w:rsidP="001A2234">
      <w:pPr>
        <w:pStyle w:val="Heading"/>
        <w:spacing w:after="240"/>
        <w:rPr>
          <w:rFonts w:ascii="Times New Roman" w:hAnsi="Times New Roman"/>
          <w:b w:val="0"/>
          <w:sz w:val="24"/>
          <w:szCs w:val="24"/>
        </w:rPr>
      </w:pPr>
      <w:r w:rsidRPr="00C00D42">
        <w:rPr>
          <w:rFonts w:ascii="Times New Roman" w:hAnsi="Times New Roman"/>
          <w:b w:val="0"/>
          <w:sz w:val="24"/>
          <w:szCs w:val="24"/>
        </w:rPr>
        <w:t>The Office of Best Practice Regulation has advised that a Regulation Impact Statement is not required for th</w:t>
      </w:r>
      <w:r w:rsidR="00EA44E0">
        <w:rPr>
          <w:rFonts w:ascii="Times New Roman" w:hAnsi="Times New Roman"/>
          <w:b w:val="0"/>
          <w:sz w:val="24"/>
          <w:szCs w:val="24"/>
        </w:rPr>
        <w:t>ese</w:t>
      </w:r>
      <w:r w:rsidRPr="00C00D42">
        <w:rPr>
          <w:rFonts w:ascii="Times New Roman" w:hAnsi="Times New Roman"/>
          <w:b w:val="0"/>
          <w:sz w:val="24"/>
          <w:szCs w:val="24"/>
        </w:rPr>
        <w:t xml:space="preserve"> legislative instrument</w:t>
      </w:r>
      <w:r w:rsidR="00EA44E0">
        <w:rPr>
          <w:rFonts w:ascii="Times New Roman" w:hAnsi="Times New Roman"/>
          <w:b w:val="0"/>
          <w:sz w:val="24"/>
          <w:szCs w:val="24"/>
        </w:rPr>
        <w:t>s</w:t>
      </w:r>
      <w:r w:rsidRPr="00C00D42">
        <w:rPr>
          <w:rFonts w:ascii="Times New Roman" w:hAnsi="Times New Roman"/>
          <w:b w:val="0"/>
          <w:sz w:val="24"/>
          <w:szCs w:val="24"/>
        </w:rPr>
        <w:t>.</w:t>
      </w:r>
    </w:p>
    <w:p w:rsidR="002436BD" w:rsidRPr="00B3165F" w:rsidDel="001254F0" w:rsidRDefault="00DF524E" w:rsidP="001A2234">
      <w:pPr>
        <w:pStyle w:val="Heading"/>
        <w:tabs>
          <w:tab w:val="left" w:pos="360"/>
        </w:tabs>
        <w:spacing w:after="240"/>
        <w:rPr>
          <w:rFonts w:ascii="Times New Roman" w:hAnsi="Times New Roman"/>
          <w:sz w:val="24"/>
          <w:szCs w:val="24"/>
        </w:rPr>
      </w:pPr>
      <w:r w:rsidDel="001254F0">
        <w:rPr>
          <w:rFonts w:ascii="Times New Roman" w:hAnsi="Times New Roman"/>
          <w:sz w:val="24"/>
          <w:szCs w:val="24"/>
        </w:rPr>
        <w:t>5</w:t>
      </w:r>
      <w:r w:rsidR="002436BD" w:rsidRPr="00B3165F" w:rsidDel="001254F0">
        <w:rPr>
          <w:rFonts w:ascii="Times New Roman" w:hAnsi="Times New Roman"/>
          <w:sz w:val="24"/>
          <w:szCs w:val="24"/>
        </w:rPr>
        <w:t>.</w:t>
      </w:r>
      <w:r w:rsidR="002436BD" w:rsidRPr="00B3165F" w:rsidDel="001254F0">
        <w:rPr>
          <w:rFonts w:ascii="Times New Roman" w:hAnsi="Times New Roman"/>
          <w:sz w:val="24"/>
          <w:szCs w:val="24"/>
        </w:rPr>
        <w:tab/>
        <w:t>Statement of compatibility prepared in accordance with Part 3 of the Human Rights (Parliamentary Scrutiny) Act 2011</w:t>
      </w:r>
    </w:p>
    <w:p w:rsidR="007B1F6D" w:rsidRDefault="0062713B" w:rsidP="001254F0">
      <w:pPr>
        <w:pStyle w:val="Heading"/>
        <w:spacing w:after="240"/>
        <w:rPr>
          <w:rFonts w:ascii="Times New Roman" w:hAnsi="Times New Roman"/>
          <w:b w:val="0"/>
          <w:sz w:val="24"/>
          <w:szCs w:val="24"/>
        </w:rPr>
      </w:pPr>
      <w:r w:rsidRPr="0062713B" w:rsidDel="001254F0">
        <w:rPr>
          <w:rFonts w:ascii="Times New Roman" w:hAnsi="Times New Roman"/>
          <w:b w:val="0"/>
          <w:sz w:val="24"/>
          <w:szCs w:val="24"/>
        </w:rPr>
        <w:t xml:space="preserve">The legislative instruments </w:t>
      </w:r>
      <w:r w:rsidR="005B75FC" w:rsidDel="001254F0">
        <w:rPr>
          <w:rFonts w:ascii="Times New Roman" w:hAnsi="Times New Roman"/>
          <w:b w:val="0"/>
          <w:sz w:val="24"/>
          <w:szCs w:val="24"/>
        </w:rPr>
        <w:t xml:space="preserve">which are </w:t>
      </w:r>
      <w:r w:rsidRPr="0062713B" w:rsidDel="001254F0">
        <w:rPr>
          <w:rFonts w:ascii="Times New Roman" w:hAnsi="Times New Roman"/>
          <w:b w:val="0"/>
          <w:sz w:val="24"/>
          <w:szCs w:val="24"/>
        </w:rPr>
        <w:t>the subject of this explanatory statement</w:t>
      </w:r>
      <w:r w:rsidR="005B75FC" w:rsidDel="001254F0">
        <w:rPr>
          <w:rFonts w:ascii="Times New Roman" w:hAnsi="Times New Roman"/>
          <w:b w:val="0"/>
          <w:sz w:val="24"/>
          <w:szCs w:val="24"/>
        </w:rPr>
        <w:t>,</w:t>
      </w:r>
      <w:r w:rsidRPr="0062713B" w:rsidDel="001254F0">
        <w:rPr>
          <w:rFonts w:ascii="Times New Roman" w:hAnsi="Times New Roman"/>
          <w:b w:val="0"/>
          <w:sz w:val="24"/>
          <w:szCs w:val="24"/>
        </w:rPr>
        <w:t xml:space="preserve"> do not engage any of the applicable rights or freedoms recognised or declared in the international instruments listed in </w:t>
      </w:r>
      <w:r w:rsidDel="001254F0">
        <w:rPr>
          <w:rFonts w:ascii="Times New Roman" w:hAnsi="Times New Roman"/>
          <w:b w:val="0"/>
          <w:sz w:val="24"/>
          <w:szCs w:val="24"/>
        </w:rPr>
        <w:t>Part</w:t>
      </w:r>
      <w:r w:rsidRPr="0062713B" w:rsidDel="001254F0">
        <w:rPr>
          <w:rFonts w:ascii="Times New Roman" w:hAnsi="Times New Roman"/>
          <w:b w:val="0"/>
          <w:sz w:val="24"/>
          <w:szCs w:val="24"/>
        </w:rPr>
        <w:t xml:space="preserve"> 3 of the </w:t>
      </w:r>
      <w:r w:rsidRPr="0062713B" w:rsidDel="001254F0">
        <w:rPr>
          <w:rFonts w:ascii="Times New Roman" w:hAnsi="Times New Roman"/>
          <w:b w:val="0"/>
          <w:i/>
          <w:sz w:val="24"/>
          <w:szCs w:val="24"/>
        </w:rPr>
        <w:t>Human Rights (Parliamentary Scrutiny)</w:t>
      </w:r>
      <w:r w:rsidRPr="0062713B" w:rsidDel="001254F0">
        <w:rPr>
          <w:rFonts w:ascii="Times New Roman" w:hAnsi="Times New Roman"/>
          <w:b w:val="0"/>
          <w:sz w:val="24"/>
          <w:szCs w:val="24"/>
        </w:rPr>
        <w:t xml:space="preserve"> Act 2011. Accordingly, in APRA’s assessment, these legislative instruments are compatible with human rights.</w:t>
      </w:r>
    </w:p>
    <w:p w:rsidR="007B1F6D" w:rsidRDefault="007B1F6D">
      <w:pPr>
        <w:rPr>
          <w:rFonts w:ascii="Times New Roman" w:hAnsi="Times New Roman"/>
          <w:sz w:val="24"/>
          <w:szCs w:val="24"/>
        </w:rPr>
      </w:pPr>
      <w:r>
        <w:rPr>
          <w:rFonts w:ascii="Times New Roman" w:hAnsi="Times New Roman"/>
          <w:b/>
          <w:sz w:val="24"/>
          <w:szCs w:val="24"/>
        </w:rPr>
        <w:br w:type="page"/>
      </w:r>
    </w:p>
    <w:p w:rsidR="001254F0" w:rsidRDefault="001254F0" w:rsidP="001254F0">
      <w:pPr>
        <w:pStyle w:val="Heading"/>
        <w:spacing w:after="240"/>
        <w:rPr>
          <w:rFonts w:ascii="Times New Roman" w:hAnsi="Times New Roman"/>
          <w:sz w:val="24"/>
          <w:szCs w:val="24"/>
        </w:rPr>
      </w:pPr>
      <w:r>
        <w:rPr>
          <w:rFonts w:ascii="Times New Roman" w:hAnsi="Times New Roman"/>
          <w:sz w:val="24"/>
          <w:szCs w:val="24"/>
          <w:u w:val="single"/>
          <w:lang w:val="en-GB"/>
        </w:rPr>
        <w:lastRenderedPageBreak/>
        <w:t>ATTACHMENT A</w:t>
      </w:r>
    </w:p>
    <w:p w:rsidR="001254F0" w:rsidRDefault="001254F0" w:rsidP="001254F0">
      <w:pPr>
        <w:pStyle w:val="Heading"/>
        <w:spacing w:after="240"/>
        <w:jc w:val="center"/>
        <w:rPr>
          <w:rFonts w:ascii="Times New Roman" w:hAnsi="Times New Roman"/>
          <w:sz w:val="24"/>
          <w:szCs w:val="24"/>
        </w:rPr>
      </w:pPr>
      <w:r>
        <w:rPr>
          <w:rFonts w:ascii="Times New Roman" w:hAnsi="Times New Roman"/>
          <w:sz w:val="24"/>
          <w:szCs w:val="24"/>
        </w:rPr>
        <w:t>Statement of Compatibility with Human Rights</w:t>
      </w:r>
    </w:p>
    <w:p w:rsidR="001254F0" w:rsidRDefault="001254F0" w:rsidP="001254F0">
      <w:pPr>
        <w:pStyle w:val="Heading1"/>
        <w:spacing w:after="240"/>
        <w:jc w:val="center"/>
        <w:rPr>
          <w:rFonts w:ascii="Times New Roman" w:hAnsi="Times New Roman"/>
          <w:b w:val="0"/>
          <w:sz w:val="24"/>
          <w:szCs w:val="24"/>
        </w:rPr>
      </w:pPr>
      <w:r>
        <w:rPr>
          <w:rFonts w:ascii="Times New Roman" w:hAnsi="Times New Roman"/>
          <w:b w:val="0"/>
          <w:sz w:val="24"/>
          <w:szCs w:val="24"/>
        </w:rPr>
        <w:t xml:space="preserve">Prepared in accordance with Part 3 of the </w:t>
      </w:r>
      <w:r>
        <w:rPr>
          <w:rFonts w:ascii="Times New Roman" w:hAnsi="Times New Roman"/>
          <w:b w:val="0"/>
          <w:i/>
          <w:sz w:val="24"/>
          <w:szCs w:val="24"/>
        </w:rPr>
        <w:t>Human Rights (Parliamentary Scrutiny) Act 2011</w:t>
      </w:r>
    </w:p>
    <w:p w:rsidR="001254F0" w:rsidRDefault="001254F0" w:rsidP="001254F0">
      <w:pPr>
        <w:jc w:val="center"/>
        <w:rPr>
          <w:rFonts w:ascii="Times New Roman" w:hAnsi="Times New Roman"/>
          <w:sz w:val="24"/>
          <w:szCs w:val="24"/>
        </w:rPr>
      </w:pPr>
      <w:r>
        <w:rPr>
          <w:rFonts w:ascii="Times New Roman" w:hAnsi="Times New Roman"/>
          <w:b/>
          <w:sz w:val="24"/>
          <w:szCs w:val="24"/>
        </w:rPr>
        <w:t>Financial Sector (Collection of Data) (reporting standard) determinations Nos. 28, 29 and 30 of 2014</w:t>
      </w:r>
    </w:p>
    <w:p w:rsidR="001254F0" w:rsidRDefault="001254F0" w:rsidP="001254F0">
      <w:pPr>
        <w:jc w:val="center"/>
        <w:rPr>
          <w:rFonts w:ascii="Times New Roman" w:hAnsi="Times New Roman"/>
          <w:sz w:val="24"/>
          <w:szCs w:val="24"/>
        </w:rPr>
      </w:pPr>
    </w:p>
    <w:p w:rsidR="001254F0" w:rsidRDefault="001254F0" w:rsidP="001254F0">
      <w:pPr>
        <w:pStyle w:val="Heading"/>
        <w:spacing w:after="240"/>
        <w:rPr>
          <w:rFonts w:ascii="Times New Roman" w:hAnsi="Times New Roman"/>
          <w:b w:val="0"/>
          <w:sz w:val="24"/>
          <w:szCs w:val="24"/>
        </w:rPr>
      </w:pPr>
      <w:r>
        <w:rPr>
          <w:rFonts w:ascii="Times New Roman" w:hAnsi="Times New Roman"/>
          <w:b w:val="0"/>
          <w:sz w:val="24"/>
          <w:szCs w:val="24"/>
        </w:rPr>
        <w:t xml:space="preserve">The above legislative instruments are compatible with the human rights and freedoms recognised or declared in the international instrument listed in section 3 of the </w:t>
      </w:r>
      <w:r>
        <w:rPr>
          <w:rFonts w:ascii="Times New Roman" w:hAnsi="Times New Roman"/>
          <w:b w:val="0"/>
          <w:i/>
          <w:sz w:val="24"/>
          <w:szCs w:val="24"/>
        </w:rPr>
        <w:t>Human Rights (Parliamentary Scrutiny) Act 2011</w:t>
      </w:r>
      <w:r>
        <w:rPr>
          <w:rFonts w:ascii="Times New Roman" w:hAnsi="Times New Roman"/>
          <w:b w:val="0"/>
          <w:sz w:val="24"/>
          <w:szCs w:val="24"/>
        </w:rPr>
        <w:t xml:space="preserve"> (HRPS Act).</w:t>
      </w:r>
    </w:p>
    <w:p w:rsidR="001254F0" w:rsidRDefault="001254F0" w:rsidP="001254F0">
      <w:pPr>
        <w:spacing w:after="240"/>
        <w:jc w:val="both"/>
        <w:rPr>
          <w:rFonts w:ascii="Times New Roman" w:hAnsi="Times New Roman"/>
          <w:sz w:val="24"/>
          <w:szCs w:val="24"/>
        </w:rPr>
      </w:pPr>
      <w:r>
        <w:rPr>
          <w:rFonts w:ascii="Times New Roman" w:hAnsi="Times New Roman"/>
          <w:b/>
          <w:sz w:val="24"/>
          <w:szCs w:val="24"/>
        </w:rPr>
        <w:t>Overview of the Legislative Instruments</w:t>
      </w:r>
    </w:p>
    <w:p w:rsidR="001254F0" w:rsidRDefault="001254F0" w:rsidP="001254F0">
      <w:pPr>
        <w:pStyle w:val="Heading"/>
        <w:spacing w:after="240"/>
        <w:rPr>
          <w:rFonts w:ascii="Times New Roman" w:hAnsi="Times New Roman"/>
          <w:b w:val="0"/>
          <w:sz w:val="24"/>
          <w:szCs w:val="24"/>
        </w:rPr>
      </w:pPr>
      <w:r>
        <w:rPr>
          <w:rFonts w:ascii="Times New Roman" w:hAnsi="Times New Roman"/>
          <w:b w:val="0"/>
          <w:sz w:val="24"/>
          <w:szCs w:val="24"/>
        </w:rPr>
        <w:t xml:space="preserve">The purpose of making these legislative instruments is to revoke existing reporting standards and remake reporting standards to make minor and machinery amendments to the reporting requirements in relation to </w:t>
      </w:r>
      <w:r w:rsidR="008D5E8B">
        <w:rPr>
          <w:rFonts w:ascii="Times New Roman" w:hAnsi="Times New Roman"/>
          <w:b w:val="0"/>
          <w:sz w:val="24"/>
          <w:szCs w:val="24"/>
        </w:rPr>
        <w:t>general insurers</w:t>
      </w:r>
      <w:r>
        <w:rPr>
          <w:rFonts w:ascii="Times New Roman" w:hAnsi="Times New Roman"/>
          <w:b w:val="0"/>
          <w:sz w:val="24"/>
          <w:szCs w:val="24"/>
        </w:rPr>
        <w:t>.</w:t>
      </w:r>
    </w:p>
    <w:p w:rsidR="001254F0" w:rsidRDefault="001254F0" w:rsidP="001254F0">
      <w:pPr>
        <w:spacing w:after="240"/>
        <w:jc w:val="both"/>
        <w:rPr>
          <w:rFonts w:ascii="Times New Roman" w:hAnsi="Times New Roman"/>
          <w:sz w:val="24"/>
          <w:szCs w:val="24"/>
        </w:rPr>
      </w:pPr>
      <w:r>
        <w:rPr>
          <w:rFonts w:ascii="Times New Roman" w:hAnsi="Times New Roman"/>
          <w:b/>
          <w:sz w:val="24"/>
          <w:szCs w:val="24"/>
        </w:rPr>
        <w:t>Human rights implications</w:t>
      </w:r>
    </w:p>
    <w:p w:rsidR="007B1F6D" w:rsidRDefault="001254F0" w:rsidP="001254F0">
      <w:pPr>
        <w:pStyle w:val="Heading"/>
        <w:spacing w:after="240"/>
        <w:rPr>
          <w:rFonts w:ascii="Times New Roman" w:hAnsi="Times New Roman"/>
          <w:b w:val="0"/>
          <w:sz w:val="24"/>
          <w:szCs w:val="24"/>
        </w:rPr>
      </w:pPr>
      <w:r>
        <w:rPr>
          <w:rFonts w:ascii="Times New Roman" w:hAnsi="Times New Roman"/>
          <w:b w:val="0"/>
          <w:sz w:val="24"/>
          <w:szCs w:val="24"/>
        </w:rPr>
        <w:t xml:space="preserve">APRA has assessed the instruments against the international instruments listed in section 3 of the HRPS Act and determined that </w:t>
      </w:r>
      <w:r w:rsidR="007B1F6D">
        <w:rPr>
          <w:rFonts w:ascii="Times New Roman" w:hAnsi="Times New Roman"/>
          <w:b w:val="0"/>
          <w:sz w:val="24"/>
          <w:szCs w:val="24"/>
        </w:rPr>
        <w:t>they do not engage any of the applicable rights or freedoms recognised or declared in the international instruments listed in section 3 of the HRPS Act.  Accordingly, in APRA’s assessment, the instruments are compatible with human rights.</w:t>
      </w:r>
    </w:p>
    <w:p w:rsidR="001254F0" w:rsidRDefault="001254F0" w:rsidP="001254F0">
      <w:pPr>
        <w:spacing w:after="240"/>
        <w:jc w:val="both"/>
        <w:rPr>
          <w:rFonts w:ascii="Times New Roman" w:hAnsi="Times New Roman"/>
          <w:b/>
          <w:sz w:val="24"/>
          <w:szCs w:val="24"/>
        </w:rPr>
      </w:pPr>
      <w:r>
        <w:rPr>
          <w:rFonts w:ascii="Times New Roman" w:hAnsi="Times New Roman"/>
          <w:b/>
          <w:sz w:val="24"/>
          <w:szCs w:val="24"/>
        </w:rPr>
        <w:t>Conclusion</w:t>
      </w:r>
      <w:r w:rsidR="0095579E" w:rsidRPr="0095579E">
        <w:rPr>
          <w:rFonts w:ascii="Times New Roman" w:hAnsi="Times New Roman"/>
          <w:b/>
          <w:sz w:val="24"/>
          <w:szCs w:val="24"/>
        </w:rPr>
        <w:t xml:space="preserve"> </w:t>
      </w:r>
    </w:p>
    <w:p w:rsidR="001254F0" w:rsidRDefault="001254F0" w:rsidP="001254F0">
      <w:pPr>
        <w:pStyle w:val="Heading"/>
        <w:spacing w:after="240"/>
        <w:rPr>
          <w:rFonts w:ascii="Times New Roman" w:hAnsi="Times New Roman"/>
          <w:b w:val="0"/>
          <w:sz w:val="24"/>
          <w:szCs w:val="24"/>
        </w:rPr>
      </w:pPr>
      <w:r>
        <w:rPr>
          <w:rFonts w:ascii="Times New Roman" w:hAnsi="Times New Roman"/>
          <w:b w:val="0"/>
          <w:sz w:val="24"/>
          <w:szCs w:val="24"/>
        </w:rPr>
        <w:t>Financial Sector (Collection of Data) (reporting standard) determination</w:t>
      </w:r>
      <w:r w:rsidR="0095579E">
        <w:rPr>
          <w:rFonts w:ascii="Times New Roman" w:hAnsi="Times New Roman"/>
          <w:b w:val="0"/>
          <w:sz w:val="24"/>
          <w:szCs w:val="24"/>
        </w:rPr>
        <w:t>s</w:t>
      </w:r>
      <w:r>
        <w:rPr>
          <w:rFonts w:ascii="Times New Roman" w:hAnsi="Times New Roman"/>
          <w:b w:val="0"/>
          <w:sz w:val="24"/>
          <w:szCs w:val="24"/>
        </w:rPr>
        <w:t xml:space="preserve"> Nos. 28, 29 and 30 </w:t>
      </w:r>
      <w:r w:rsidR="00EA44E0">
        <w:rPr>
          <w:rFonts w:ascii="Times New Roman" w:hAnsi="Times New Roman"/>
          <w:b w:val="0"/>
          <w:sz w:val="24"/>
          <w:szCs w:val="24"/>
        </w:rPr>
        <w:t xml:space="preserve">of 2014 </w:t>
      </w:r>
      <w:r>
        <w:rPr>
          <w:rFonts w:ascii="Times New Roman" w:hAnsi="Times New Roman"/>
          <w:b w:val="0"/>
          <w:sz w:val="24"/>
          <w:szCs w:val="24"/>
        </w:rPr>
        <w:t xml:space="preserve">are compatible with human rights because the instruments do not limit human rights or otherwise raise any human rights issues.   </w:t>
      </w:r>
    </w:p>
    <w:p w:rsidR="001254F0" w:rsidRPr="00DE0A59" w:rsidRDefault="001254F0" w:rsidP="001254F0"/>
    <w:p w:rsidR="001254F0" w:rsidRDefault="001254F0">
      <w:pPr>
        <w:rPr>
          <w:rFonts w:ascii="Times New Roman" w:hAnsi="Times New Roman"/>
          <w:sz w:val="24"/>
          <w:szCs w:val="24"/>
        </w:rPr>
      </w:pPr>
    </w:p>
    <w:p w:rsidR="001254F0" w:rsidRPr="0062713B" w:rsidRDefault="001254F0" w:rsidP="001A2234">
      <w:pPr>
        <w:pStyle w:val="Heading"/>
        <w:spacing w:after="240"/>
        <w:rPr>
          <w:rFonts w:ascii="Times New Roman" w:hAnsi="Times New Roman"/>
          <w:b w:val="0"/>
          <w:sz w:val="24"/>
          <w:szCs w:val="24"/>
        </w:rPr>
      </w:pPr>
    </w:p>
    <w:sectPr w:rsidR="001254F0" w:rsidRPr="0062713B"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31" w:rsidRDefault="00B04D31" w:rsidP="001A2234">
      <w:r>
        <w:separator/>
      </w:r>
    </w:p>
  </w:endnote>
  <w:endnote w:type="continuationSeparator" w:id="0">
    <w:p w:rsidR="00B04D31" w:rsidRDefault="00B04D31"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2672E0">
          <w:rPr>
            <w:rFonts w:ascii="Times New Roman" w:hAnsi="Times New Roman"/>
            <w:bCs/>
            <w:noProof/>
            <w:sz w:val="24"/>
            <w:szCs w:val="24"/>
          </w:rPr>
          <w:t>2</w:t>
        </w:r>
        <w:r w:rsidRPr="001A2234">
          <w:rPr>
            <w:rFonts w:ascii="Times New Roman" w:hAnsi="Times New Roman"/>
            <w:bCs/>
            <w:sz w:val="24"/>
            <w:szCs w:val="24"/>
          </w:rPr>
          <w:fldChar w:fldCharType="end"/>
        </w:r>
      </w:p>
    </w:sdtContent>
  </w:sdt>
  <w:p w:rsidR="001A2234" w:rsidRDefault="001A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31" w:rsidRDefault="00B04D31" w:rsidP="001A2234">
      <w:r>
        <w:separator/>
      </w:r>
    </w:p>
  </w:footnote>
  <w:footnote w:type="continuationSeparator" w:id="0">
    <w:p w:rsidR="00B04D31" w:rsidRDefault="00B04D31" w:rsidP="001A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0E5"/>
    <w:multiLevelType w:val="hybridMultilevel"/>
    <w:tmpl w:val="837C9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4C7681"/>
    <w:multiLevelType w:val="hybridMultilevel"/>
    <w:tmpl w:val="02F24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31"/>
    <w:rsid w:val="00004D85"/>
    <w:rsid w:val="000401FC"/>
    <w:rsid w:val="0008677C"/>
    <w:rsid w:val="000A38F8"/>
    <w:rsid w:val="000A61D5"/>
    <w:rsid w:val="000B14BD"/>
    <w:rsid w:val="000E369C"/>
    <w:rsid w:val="001254F0"/>
    <w:rsid w:val="00182FA1"/>
    <w:rsid w:val="001A2234"/>
    <w:rsid w:val="001A2ADB"/>
    <w:rsid w:val="001B724E"/>
    <w:rsid w:val="001F7293"/>
    <w:rsid w:val="00214C23"/>
    <w:rsid w:val="00223777"/>
    <w:rsid w:val="002436BD"/>
    <w:rsid w:val="00246723"/>
    <w:rsid w:val="002672E0"/>
    <w:rsid w:val="002A4347"/>
    <w:rsid w:val="002A73BD"/>
    <w:rsid w:val="0030506B"/>
    <w:rsid w:val="00310CF8"/>
    <w:rsid w:val="0033091F"/>
    <w:rsid w:val="00331977"/>
    <w:rsid w:val="00354CB8"/>
    <w:rsid w:val="00380068"/>
    <w:rsid w:val="003866AD"/>
    <w:rsid w:val="003A52A5"/>
    <w:rsid w:val="003B7DAA"/>
    <w:rsid w:val="003D5032"/>
    <w:rsid w:val="0040175E"/>
    <w:rsid w:val="00413BB5"/>
    <w:rsid w:val="00422164"/>
    <w:rsid w:val="00427A88"/>
    <w:rsid w:val="00443A02"/>
    <w:rsid w:val="00464570"/>
    <w:rsid w:val="00473869"/>
    <w:rsid w:val="004C3D07"/>
    <w:rsid w:val="004E2008"/>
    <w:rsid w:val="004F49EB"/>
    <w:rsid w:val="0051575B"/>
    <w:rsid w:val="00550F94"/>
    <w:rsid w:val="00552805"/>
    <w:rsid w:val="0056141D"/>
    <w:rsid w:val="0059040D"/>
    <w:rsid w:val="005A7B19"/>
    <w:rsid w:val="005B75FC"/>
    <w:rsid w:val="005D4287"/>
    <w:rsid w:val="005E37E3"/>
    <w:rsid w:val="005E5910"/>
    <w:rsid w:val="00622480"/>
    <w:rsid w:val="0062713B"/>
    <w:rsid w:val="00647D58"/>
    <w:rsid w:val="00657678"/>
    <w:rsid w:val="00682865"/>
    <w:rsid w:val="00684F73"/>
    <w:rsid w:val="00687D66"/>
    <w:rsid w:val="006933F6"/>
    <w:rsid w:val="006B093F"/>
    <w:rsid w:val="006C591F"/>
    <w:rsid w:val="007031F4"/>
    <w:rsid w:val="007049CF"/>
    <w:rsid w:val="007368AD"/>
    <w:rsid w:val="00736D41"/>
    <w:rsid w:val="007428D4"/>
    <w:rsid w:val="00747AFF"/>
    <w:rsid w:val="00774F8D"/>
    <w:rsid w:val="00785CDC"/>
    <w:rsid w:val="007868F6"/>
    <w:rsid w:val="007B1F6D"/>
    <w:rsid w:val="007C1D70"/>
    <w:rsid w:val="007C2298"/>
    <w:rsid w:val="007E4B2A"/>
    <w:rsid w:val="00830F66"/>
    <w:rsid w:val="00834676"/>
    <w:rsid w:val="00872354"/>
    <w:rsid w:val="008877DE"/>
    <w:rsid w:val="008A0BEC"/>
    <w:rsid w:val="008D5E8B"/>
    <w:rsid w:val="00932EFA"/>
    <w:rsid w:val="00935A82"/>
    <w:rsid w:val="00936C75"/>
    <w:rsid w:val="0095579E"/>
    <w:rsid w:val="00967D16"/>
    <w:rsid w:val="009A1BFC"/>
    <w:rsid w:val="009B1CC8"/>
    <w:rsid w:val="009B67A8"/>
    <w:rsid w:val="009C5368"/>
    <w:rsid w:val="009E097D"/>
    <w:rsid w:val="009F1D83"/>
    <w:rsid w:val="00A214E6"/>
    <w:rsid w:val="00A279AF"/>
    <w:rsid w:val="00A4133B"/>
    <w:rsid w:val="00A63A2B"/>
    <w:rsid w:val="00AC2517"/>
    <w:rsid w:val="00AC7A56"/>
    <w:rsid w:val="00B04B20"/>
    <w:rsid w:val="00B04D31"/>
    <w:rsid w:val="00B64B2E"/>
    <w:rsid w:val="00B731B6"/>
    <w:rsid w:val="00B85B6E"/>
    <w:rsid w:val="00B938C5"/>
    <w:rsid w:val="00BA7DA6"/>
    <w:rsid w:val="00BB1678"/>
    <w:rsid w:val="00BD6360"/>
    <w:rsid w:val="00BE7B88"/>
    <w:rsid w:val="00BF2953"/>
    <w:rsid w:val="00C00D42"/>
    <w:rsid w:val="00C14F46"/>
    <w:rsid w:val="00C302FA"/>
    <w:rsid w:val="00C71F95"/>
    <w:rsid w:val="00C914B8"/>
    <w:rsid w:val="00C948AA"/>
    <w:rsid w:val="00CA6CB3"/>
    <w:rsid w:val="00CB384A"/>
    <w:rsid w:val="00CD1947"/>
    <w:rsid w:val="00CE3EF2"/>
    <w:rsid w:val="00CF3D86"/>
    <w:rsid w:val="00D119F5"/>
    <w:rsid w:val="00D3484E"/>
    <w:rsid w:val="00D36321"/>
    <w:rsid w:val="00D61C83"/>
    <w:rsid w:val="00D64906"/>
    <w:rsid w:val="00D74DC3"/>
    <w:rsid w:val="00D83531"/>
    <w:rsid w:val="00D84928"/>
    <w:rsid w:val="00D87E36"/>
    <w:rsid w:val="00D912B0"/>
    <w:rsid w:val="00DF524E"/>
    <w:rsid w:val="00E15497"/>
    <w:rsid w:val="00E154A3"/>
    <w:rsid w:val="00E16789"/>
    <w:rsid w:val="00E201A8"/>
    <w:rsid w:val="00E52DFE"/>
    <w:rsid w:val="00E61B19"/>
    <w:rsid w:val="00E62E09"/>
    <w:rsid w:val="00E90C89"/>
    <w:rsid w:val="00EA44E0"/>
    <w:rsid w:val="00EC5653"/>
    <w:rsid w:val="00F12362"/>
    <w:rsid w:val="00F436BC"/>
    <w:rsid w:val="00F56313"/>
    <w:rsid w:val="00F7706D"/>
    <w:rsid w:val="00FA5345"/>
    <w:rsid w:val="00FC2F3C"/>
    <w:rsid w:val="00FC3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78EA5-D32E-4B8D-98EA-FDB09196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Ayoub</dc:creator>
  <cp:lastModifiedBy>Antonietta Michalis</cp:lastModifiedBy>
  <cp:revision>2</cp:revision>
  <cp:lastPrinted>2012-11-13T01:53:00Z</cp:lastPrinted>
  <dcterms:created xsi:type="dcterms:W3CDTF">2014-12-18T19:49:00Z</dcterms:created>
  <dcterms:modified xsi:type="dcterms:W3CDTF">2014-12-18T19:49:00Z</dcterms:modified>
</cp:coreProperties>
</file>