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A3F" w:rsidRPr="001F70D4" w:rsidRDefault="00A90A3F" w:rsidP="00A90A3F">
      <w:pPr>
        <w:rPr>
          <w:sz w:val="28"/>
        </w:rPr>
      </w:pPr>
      <w:bookmarkStart w:id="0" w:name="_GoBack"/>
      <w:bookmarkEnd w:id="0"/>
      <w:r w:rsidRPr="001F70D4">
        <w:rPr>
          <w:noProof/>
          <w:lang w:eastAsia="en-AU"/>
        </w:rPr>
        <w:drawing>
          <wp:inline distT="0" distB="0" distL="0" distR="0" wp14:anchorId="76EB4294" wp14:editId="3A6628A5">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A90A3F" w:rsidRPr="001F70D4" w:rsidRDefault="00A90A3F" w:rsidP="00A90A3F">
      <w:pPr>
        <w:rPr>
          <w:sz w:val="19"/>
        </w:rPr>
      </w:pPr>
    </w:p>
    <w:p w:rsidR="00A90A3F" w:rsidRPr="001F70D4" w:rsidRDefault="00A90A3F" w:rsidP="00A90A3F">
      <w:pPr>
        <w:pStyle w:val="ShortT"/>
      </w:pPr>
      <w:r w:rsidRPr="001F70D4">
        <w:t>Family Law Amendment (2014 Measures No.</w:t>
      </w:r>
      <w:r w:rsidR="001F70D4" w:rsidRPr="001F70D4">
        <w:t> </w:t>
      </w:r>
      <w:r w:rsidRPr="001F70D4">
        <w:t>1) Rules</w:t>
      </w:r>
      <w:r w:rsidR="001F70D4" w:rsidRPr="001F70D4">
        <w:t> </w:t>
      </w:r>
      <w:r w:rsidRPr="001F70D4">
        <w:t>2014</w:t>
      </w:r>
    </w:p>
    <w:p w:rsidR="00A90A3F" w:rsidRPr="001F70D4" w:rsidRDefault="00A90A3F" w:rsidP="00A90A3F"/>
    <w:p w:rsidR="00655E2C" w:rsidRPr="001F70D4" w:rsidRDefault="00655E2C" w:rsidP="00655E2C">
      <w:pPr>
        <w:pStyle w:val="InstNo"/>
      </w:pPr>
      <w:r w:rsidRPr="001F70D4">
        <w:t xml:space="preserve">Select Legislative Instrument </w:t>
      </w:r>
      <w:bookmarkStart w:id="1" w:name="BKCheck15B_1"/>
      <w:bookmarkEnd w:id="1"/>
      <w:r w:rsidRPr="001F70D4">
        <w:fldChar w:fldCharType="begin"/>
      </w:r>
      <w:r w:rsidRPr="001F70D4">
        <w:instrText xml:space="preserve"> DOCPROPERTY  ActNo </w:instrText>
      </w:r>
      <w:r w:rsidRPr="001F70D4">
        <w:fldChar w:fldCharType="separate"/>
      </w:r>
      <w:r w:rsidR="00C9660C">
        <w:t>No. 213, 2014</w:t>
      </w:r>
      <w:r w:rsidRPr="001F70D4">
        <w:fldChar w:fldCharType="end"/>
      </w:r>
    </w:p>
    <w:p w:rsidR="00655E2C" w:rsidRPr="001F70D4" w:rsidRDefault="00655E2C" w:rsidP="00655E2C">
      <w:pPr>
        <w:pStyle w:val="SignCoverPageStart"/>
        <w:rPr>
          <w:i/>
        </w:rPr>
      </w:pPr>
      <w:r w:rsidRPr="001F70D4">
        <w:t>We, Judges of the Family Court of Australia, make the following Rules.</w:t>
      </w:r>
    </w:p>
    <w:p w:rsidR="00655E2C" w:rsidRPr="001F70D4" w:rsidRDefault="00655E2C" w:rsidP="00655E2C">
      <w:pPr>
        <w:keepNext/>
        <w:spacing w:before="300" w:line="240" w:lineRule="atLeast"/>
        <w:ind w:right="397"/>
        <w:jc w:val="both"/>
      </w:pPr>
      <w:r w:rsidRPr="001F70D4">
        <w:t>Dated</w:t>
      </w:r>
      <w:bookmarkStart w:id="2" w:name="BKCheck15B_2"/>
      <w:bookmarkEnd w:id="2"/>
      <w:r w:rsidR="008B2DCE">
        <w:t xml:space="preserve"> </w:t>
      </w:r>
      <w:fldSimple w:instr=" DOCPROPERTY  DateMade ">
        <w:r w:rsidR="00C9660C">
          <w:t>17 December 2014</w:t>
        </w:r>
      </w:fldSimple>
    </w:p>
    <w:p w:rsidR="00655E2C" w:rsidRDefault="00F042EC" w:rsidP="00655E2C">
      <w:pPr>
        <w:tabs>
          <w:tab w:val="left" w:pos="3402"/>
        </w:tabs>
        <w:spacing w:before="120" w:line="240" w:lineRule="auto"/>
        <w:ind w:left="397" w:right="397"/>
        <w:jc w:val="right"/>
      </w:pPr>
      <w:r>
        <w:t>D Bryant CJ</w:t>
      </w:r>
    </w:p>
    <w:p w:rsidR="00F042EC" w:rsidRDefault="00F042EC" w:rsidP="00655E2C">
      <w:pPr>
        <w:tabs>
          <w:tab w:val="left" w:pos="3402"/>
        </w:tabs>
        <w:spacing w:before="120" w:line="240" w:lineRule="auto"/>
        <w:ind w:left="397" w:right="397"/>
        <w:jc w:val="right"/>
      </w:pPr>
      <w:r>
        <w:t xml:space="preserve">J </w:t>
      </w:r>
      <w:proofErr w:type="spellStart"/>
      <w:r>
        <w:t>Faulkes</w:t>
      </w:r>
      <w:proofErr w:type="spellEnd"/>
      <w:r>
        <w:t xml:space="preserve"> J</w:t>
      </w:r>
    </w:p>
    <w:p w:rsidR="00F042EC" w:rsidRDefault="00F042EC" w:rsidP="00655E2C">
      <w:pPr>
        <w:tabs>
          <w:tab w:val="left" w:pos="3402"/>
        </w:tabs>
        <w:spacing w:before="120" w:line="240" w:lineRule="auto"/>
        <w:ind w:left="397" w:right="397"/>
        <w:jc w:val="right"/>
      </w:pPr>
      <w:r>
        <w:t>M May J</w:t>
      </w:r>
    </w:p>
    <w:p w:rsidR="00F042EC" w:rsidRDefault="00F042EC" w:rsidP="00655E2C">
      <w:pPr>
        <w:tabs>
          <w:tab w:val="left" w:pos="3402"/>
        </w:tabs>
        <w:spacing w:before="120" w:line="240" w:lineRule="auto"/>
        <w:ind w:left="397" w:right="397"/>
        <w:jc w:val="right"/>
      </w:pPr>
      <w:r>
        <w:t>A Ainslie-Wallace J</w:t>
      </w:r>
    </w:p>
    <w:p w:rsidR="00F042EC" w:rsidRDefault="00F042EC" w:rsidP="00655E2C">
      <w:pPr>
        <w:tabs>
          <w:tab w:val="left" w:pos="3402"/>
        </w:tabs>
        <w:spacing w:before="120" w:line="240" w:lineRule="auto"/>
        <w:ind w:left="397" w:right="397"/>
        <w:jc w:val="right"/>
      </w:pPr>
      <w:r>
        <w:t>J Ryan J</w:t>
      </w:r>
    </w:p>
    <w:p w:rsidR="00F042EC" w:rsidRDefault="00F042EC" w:rsidP="00655E2C">
      <w:pPr>
        <w:tabs>
          <w:tab w:val="left" w:pos="3402"/>
        </w:tabs>
        <w:spacing w:before="120" w:line="240" w:lineRule="auto"/>
        <w:ind w:left="397" w:right="397"/>
        <w:jc w:val="right"/>
      </w:pPr>
      <w:r>
        <w:t>J Stevenson J</w:t>
      </w:r>
    </w:p>
    <w:p w:rsidR="00F042EC" w:rsidRDefault="00F042EC" w:rsidP="00655E2C">
      <w:pPr>
        <w:tabs>
          <w:tab w:val="left" w:pos="3402"/>
        </w:tabs>
        <w:spacing w:before="120" w:line="240" w:lineRule="auto"/>
        <w:ind w:left="397" w:right="397"/>
        <w:jc w:val="right"/>
      </w:pPr>
      <w:r>
        <w:t xml:space="preserve">M Le </w:t>
      </w:r>
      <w:proofErr w:type="spellStart"/>
      <w:r>
        <w:t>Poer</w:t>
      </w:r>
      <w:proofErr w:type="spellEnd"/>
      <w:r>
        <w:t xml:space="preserve"> Trench J</w:t>
      </w:r>
    </w:p>
    <w:p w:rsidR="00F042EC" w:rsidRDefault="00F042EC" w:rsidP="00655E2C">
      <w:pPr>
        <w:tabs>
          <w:tab w:val="left" w:pos="3402"/>
        </w:tabs>
        <w:spacing w:before="120" w:line="240" w:lineRule="auto"/>
        <w:ind w:left="397" w:right="397"/>
        <w:jc w:val="right"/>
      </w:pPr>
      <w:r>
        <w:t>R Benjamin J</w:t>
      </w:r>
    </w:p>
    <w:p w:rsidR="00F042EC" w:rsidRDefault="00F042EC" w:rsidP="00655E2C">
      <w:pPr>
        <w:tabs>
          <w:tab w:val="left" w:pos="3402"/>
        </w:tabs>
        <w:spacing w:before="120" w:line="240" w:lineRule="auto"/>
        <w:ind w:left="397" w:right="397"/>
        <w:jc w:val="right"/>
      </w:pPr>
      <w:r>
        <w:t xml:space="preserve">J </w:t>
      </w:r>
      <w:proofErr w:type="spellStart"/>
      <w:r>
        <w:t>Crisford</w:t>
      </w:r>
      <w:proofErr w:type="spellEnd"/>
      <w:r>
        <w:t xml:space="preserve"> J</w:t>
      </w:r>
    </w:p>
    <w:p w:rsidR="00F042EC" w:rsidRDefault="00F042EC" w:rsidP="00655E2C">
      <w:pPr>
        <w:tabs>
          <w:tab w:val="left" w:pos="3402"/>
        </w:tabs>
        <w:spacing w:before="120" w:line="240" w:lineRule="auto"/>
        <w:ind w:left="397" w:right="397"/>
        <w:jc w:val="right"/>
      </w:pPr>
      <w:r>
        <w:t>S Austin J</w:t>
      </w:r>
    </w:p>
    <w:p w:rsidR="00F042EC" w:rsidRDefault="00F042EC" w:rsidP="00F042EC">
      <w:pPr>
        <w:tabs>
          <w:tab w:val="left" w:pos="3402"/>
        </w:tabs>
        <w:spacing w:before="120" w:line="240" w:lineRule="auto"/>
        <w:ind w:left="397" w:right="397"/>
        <w:jc w:val="right"/>
      </w:pPr>
      <w:r>
        <w:t>S Moncrieff J</w:t>
      </w:r>
    </w:p>
    <w:p w:rsidR="00F042EC" w:rsidRDefault="00F042EC" w:rsidP="00F042EC">
      <w:pPr>
        <w:tabs>
          <w:tab w:val="left" w:pos="3402"/>
        </w:tabs>
        <w:spacing w:before="120" w:line="240" w:lineRule="auto"/>
        <w:ind w:left="397" w:right="397"/>
        <w:jc w:val="right"/>
      </w:pPr>
      <w:r>
        <w:t>M Cleary J</w:t>
      </w:r>
    </w:p>
    <w:p w:rsidR="00F042EC" w:rsidRDefault="00F042EC" w:rsidP="00655E2C">
      <w:pPr>
        <w:tabs>
          <w:tab w:val="left" w:pos="3402"/>
        </w:tabs>
        <w:spacing w:before="120" w:line="240" w:lineRule="auto"/>
        <w:ind w:left="397" w:right="397"/>
        <w:jc w:val="right"/>
      </w:pPr>
      <w:r>
        <w:t xml:space="preserve">W Johnston J </w:t>
      </w:r>
    </w:p>
    <w:p w:rsidR="00F042EC" w:rsidRDefault="00F042EC" w:rsidP="00655E2C">
      <w:pPr>
        <w:tabs>
          <w:tab w:val="left" w:pos="3402"/>
        </w:tabs>
        <w:spacing w:before="120" w:line="240" w:lineRule="auto"/>
        <w:ind w:left="397" w:right="397"/>
        <w:jc w:val="right"/>
      </w:pPr>
      <w:r>
        <w:t xml:space="preserve">I </w:t>
      </w:r>
      <w:proofErr w:type="spellStart"/>
      <w:r>
        <w:t>Loughnan</w:t>
      </w:r>
      <w:proofErr w:type="spellEnd"/>
      <w:r>
        <w:t xml:space="preserve"> J</w:t>
      </w:r>
    </w:p>
    <w:p w:rsidR="00F042EC" w:rsidRDefault="00F042EC" w:rsidP="00655E2C">
      <w:pPr>
        <w:tabs>
          <w:tab w:val="left" w:pos="3402"/>
        </w:tabs>
        <w:spacing w:before="120" w:line="240" w:lineRule="auto"/>
        <w:ind w:left="397" w:right="397"/>
        <w:jc w:val="right"/>
      </w:pPr>
      <w:r>
        <w:t>C Forrest J</w:t>
      </w:r>
    </w:p>
    <w:p w:rsidR="00F042EC" w:rsidRDefault="00F042EC" w:rsidP="00655E2C">
      <w:pPr>
        <w:tabs>
          <w:tab w:val="left" w:pos="3402"/>
        </w:tabs>
        <w:spacing w:before="120" w:line="240" w:lineRule="auto"/>
        <w:ind w:left="397" w:right="397"/>
        <w:jc w:val="right"/>
      </w:pPr>
      <w:r>
        <w:t>M Kent J</w:t>
      </w:r>
    </w:p>
    <w:p w:rsidR="00F042EC" w:rsidRDefault="00F042EC" w:rsidP="00655E2C">
      <w:pPr>
        <w:tabs>
          <w:tab w:val="left" w:pos="3402"/>
        </w:tabs>
        <w:spacing w:before="120" w:line="240" w:lineRule="auto"/>
        <w:ind w:left="397" w:right="397"/>
        <w:jc w:val="right"/>
      </w:pPr>
      <w:r>
        <w:t>K Macmillan J</w:t>
      </w:r>
    </w:p>
    <w:p w:rsidR="00F042EC" w:rsidRDefault="00F042EC" w:rsidP="00655E2C">
      <w:pPr>
        <w:tabs>
          <w:tab w:val="left" w:pos="3402"/>
        </w:tabs>
        <w:spacing w:before="120" w:line="240" w:lineRule="auto"/>
        <w:ind w:left="397" w:right="397"/>
        <w:jc w:val="right"/>
      </w:pPr>
      <w:r>
        <w:lastRenderedPageBreak/>
        <w:t>M Aldridge J</w:t>
      </w:r>
    </w:p>
    <w:p w:rsidR="00F042EC" w:rsidRDefault="00F042EC" w:rsidP="00655E2C">
      <w:pPr>
        <w:tabs>
          <w:tab w:val="left" w:pos="3402"/>
        </w:tabs>
        <w:spacing w:before="120" w:line="240" w:lineRule="auto"/>
        <w:ind w:left="397" w:right="397"/>
        <w:jc w:val="right"/>
      </w:pPr>
      <w:r>
        <w:t>J Walters J</w:t>
      </w:r>
    </w:p>
    <w:p w:rsidR="00F042EC" w:rsidRDefault="00F042EC" w:rsidP="00F1704A">
      <w:pPr>
        <w:tabs>
          <w:tab w:val="left" w:pos="3402"/>
          <w:tab w:val="left" w:pos="5954"/>
        </w:tabs>
        <w:spacing w:before="120" w:line="240" w:lineRule="auto"/>
        <w:ind w:left="397" w:right="397"/>
        <w:jc w:val="right"/>
      </w:pPr>
      <w:r>
        <w:t xml:space="preserve">S </w:t>
      </w:r>
      <w:proofErr w:type="spellStart"/>
      <w:r>
        <w:t>Duncanson</w:t>
      </w:r>
      <w:proofErr w:type="spellEnd"/>
      <w:r>
        <w:t xml:space="preserve"> J</w:t>
      </w:r>
    </w:p>
    <w:p w:rsidR="00F042EC" w:rsidRDefault="00F042EC" w:rsidP="00F042EC">
      <w:pPr>
        <w:tabs>
          <w:tab w:val="left" w:pos="3402"/>
        </w:tabs>
        <w:spacing w:before="120" w:line="240" w:lineRule="auto"/>
        <w:ind w:left="397" w:right="397"/>
        <w:jc w:val="right"/>
      </w:pPr>
      <w:r>
        <w:t>P Tree J</w:t>
      </w:r>
    </w:p>
    <w:p w:rsidR="00F1704A" w:rsidRDefault="00F1704A" w:rsidP="00655E2C">
      <w:pPr>
        <w:tabs>
          <w:tab w:val="left" w:pos="3402"/>
        </w:tabs>
        <w:spacing w:before="120" w:line="240" w:lineRule="auto"/>
        <w:ind w:left="397" w:right="397"/>
        <w:jc w:val="right"/>
      </w:pPr>
      <w:r>
        <w:t>J Hogan J</w:t>
      </w:r>
    </w:p>
    <w:p w:rsidR="00655E2C" w:rsidRDefault="00F042EC" w:rsidP="00655E2C">
      <w:pPr>
        <w:tabs>
          <w:tab w:val="left" w:pos="3402"/>
        </w:tabs>
        <w:spacing w:before="120" w:line="240" w:lineRule="auto"/>
        <w:ind w:left="397" w:right="397"/>
        <w:jc w:val="right"/>
      </w:pPr>
      <w:r>
        <w:t>D Berman J</w:t>
      </w:r>
    </w:p>
    <w:p w:rsidR="00F042EC" w:rsidRDefault="00F042EC" w:rsidP="00655E2C">
      <w:pPr>
        <w:tabs>
          <w:tab w:val="left" w:pos="3402"/>
        </w:tabs>
        <w:spacing w:before="120" w:line="240" w:lineRule="auto"/>
        <w:ind w:left="397" w:right="397"/>
        <w:jc w:val="right"/>
      </w:pPr>
      <w:r>
        <w:t>G Foster J</w:t>
      </w:r>
    </w:p>
    <w:p w:rsidR="00F042EC" w:rsidRDefault="00F042EC" w:rsidP="00655E2C">
      <w:pPr>
        <w:tabs>
          <w:tab w:val="left" w:pos="3402"/>
        </w:tabs>
        <w:spacing w:before="120" w:line="240" w:lineRule="auto"/>
        <w:ind w:left="397" w:right="397"/>
        <w:jc w:val="right"/>
      </w:pPr>
      <w:r>
        <w:t>C Thornton J</w:t>
      </w:r>
    </w:p>
    <w:p w:rsidR="00655E2C" w:rsidRPr="001F70D4" w:rsidRDefault="00F042EC" w:rsidP="00655E2C">
      <w:pPr>
        <w:tabs>
          <w:tab w:val="left" w:pos="3402"/>
        </w:tabs>
        <w:spacing w:before="120" w:line="240" w:lineRule="auto"/>
        <w:ind w:left="397" w:right="397"/>
        <w:jc w:val="right"/>
      </w:pPr>
      <w:r>
        <w:t xml:space="preserve">H </w:t>
      </w:r>
      <w:proofErr w:type="spellStart"/>
      <w:r>
        <w:t>Hannam</w:t>
      </w:r>
      <w:proofErr w:type="spellEnd"/>
      <w:r>
        <w:t xml:space="preserve"> J</w:t>
      </w:r>
    </w:p>
    <w:p w:rsidR="00655E2C" w:rsidRPr="001F70D4" w:rsidRDefault="00655E2C" w:rsidP="00655E2C">
      <w:pPr>
        <w:keepNext/>
        <w:tabs>
          <w:tab w:val="left" w:pos="3402"/>
        </w:tabs>
        <w:spacing w:before="840" w:line="300" w:lineRule="atLeast"/>
        <w:ind w:left="397" w:right="397"/>
        <w:jc w:val="right"/>
      </w:pPr>
    </w:p>
    <w:p w:rsidR="00655E2C" w:rsidRPr="001F70D4" w:rsidRDefault="00655E2C" w:rsidP="00655E2C">
      <w:pPr>
        <w:keepNext/>
        <w:tabs>
          <w:tab w:val="left" w:pos="3402"/>
        </w:tabs>
        <w:spacing w:before="840" w:line="300" w:lineRule="atLeast"/>
        <w:ind w:left="397" w:right="397"/>
        <w:jc w:val="right"/>
      </w:pPr>
    </w:p>
    <w:p w:rsidR="00655E2C" w:rsidRPr="001F70D4" w:rsidRDefault="00655E2C" w:rsidP="00F042EC">
      <w:pPr>
        <w:pStyle w:val="SignCoverPageEnd"/>
        <w:spacing w:before="1080"/>
        <w:jc w:val="right"/>
      </w:pPr>
      <w:r w:rsidRPr="001F70D4">
        <w:t>Judges of the Family Court</w:t>
      </w:r>
      <w:r w:rsidRPr="001F70D4">
        <w:br/>
        <w:t>of Australia</w:t>
      </w:r>
    </w:p>
    <w:p w:rsidR="00655E2C" w:rsidRPr="001F70D4" w:rsidRDefault="00655E2C" w:rsidP="00655E2C">
      <w:pPr>
        <w:pStyle w:val="Header"/>
        <w:tabs>
          <w:tab w:val="clear" w:pos="4150"/>
          <w:tab w:val="clear" w:pos="8307"/>
        </w:tabs>
      </w:pPr>
      <w:r w:rsidRPr="001F70D4">
        <w:rPr>
          <w:rStyle w:val="CharAmSchNo"/>
        </w:rPr>
        <w:t xml:space="preserve"> </w:t>
      </w:r>
      <w:r w:rsidRPr="001F70D4">
        <w:rPr>
          <w:rStyle w:val="CharAmSchText"/>
        </w:rPr>
        <w:t xml:space="preserve"> </w:t>
      </w:r>
    </w:p>
    <w:p w:rsidR="00655E2C" w:rsidRPr="001F70D4" w:rsidRDefault="00655E2C" w:rsidP="00655E2C">
      <w:pPr>
        <w:pStyle w:val="Header"/>
        <w:tabs>
          <w:tab w:val="clear" w:pos="4150"/>
          <w:tab w:val="clear" w:pos="8307"/>
        </w:tabs>
      </w:pPr>
      <w:r w:rsidRPr="001F70D4">
        <w:rPr>
          <w:rStyle w:val="CharAmPartNo"/>
        </w:rPr>
        <w:t xml:space="preserve"> </w:t>
      </w:r>
      <w:r w:rsidRPr="001F70D4">
        <w:rPr>
          <w:rStyle w:val="CharAmPartText"/>
        </w:rPr>
        <w:t xml:space="preserve"> </w:t>
      </w:r>
    </w:p>
    <w:p w:rsidR="00A90A3F" w:rsidRPr="001F70D4" w:rsidRDefault="00A90A3F" w:rsidP="00A90A3F">
      <w:pPr>
        <w:sectPr w:rsidR="00A90A3F" w:rsidRPr="001F70D4" w:rsidSect="00A25B4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546" w:gutter="0"/>
          <w:cols w:space="708"/>
          <w:titlePg/>
          <w:docGrid w:linePitch="360"/>
        </w:sectPr>
      </w:pPr>
    </w:p>
    <w:p w:rsidR="00A90A3F" w:rsidRPr="001F70D4" w:rsidRDefault="00A90A3F" w:rsidP="00A90A3F">
      <w:pPr>
        <w:rPr>
          <w:sz w:val="36"/>
        </w:rPr>
      </w:pPr>
      <w:r w:rsidRPr="001F70D4">
        <w:rPr>
          <w:sz w:val="36"/>
        </w:rPr>
        <w:t>Contents</w:t>
      </w:r>
    </w:p>
    <w:bookmarkStart w:id="3" w:name="BKCheck15B_3"/>
    <w:bookmarkEnd w:id="3"/>
    <w:p w:rsidR="00546AB8" w:rsidRPr="001F70D4" w:rsidRDefault="00546AB8">
      <w:pPr>
        <w:pStyle w:val="TOC5"/>
        <w:rPr>
          <w:rFonts w:asciiTheme="minorHAnsi" w:eastAsiaTheme="minorEastAsia" w:hAnsiTheme="minorHAnsi" w:cstheme="minorBidi"/>
          <w:noProof/>
          <w:kern w:val="0"/>
          <w:sz w:val="22"/>
          <w:szCs w:val="22"/>
        </w:rPr>
      </w:pPr>
      <w:r w:rsidRPr="001F70D4">
        <w:fldChar w:fldCharType="begin"/>
      </w:r>
      <w:r w:rsidRPr="001F70D4">
        <w:instrText xml:space="preserve"> TOC \o "1-9" </w:instrText>
      </w:r>
      <w:r w:rsidRPr="001F70D4">
        <w:fldChar w:fldCharType="separate"/>
      </w:r>
      <w:r w:rsidRPr="001F70D4">
        <w:rPr>
          <w:noProof/>
        </w:rPr>
        <w:t>1</w:t>
      </w:r>
      <w:r w:rsidRPr="001F70D4">
        <w:rPr>
          <w:noProof/>
        </w:rPr>
        <w:tab/>
        <w:t>Name</w:t>
      </w:r>
      <w:r w:rsidRPr="001F70D4">
        <w:rPr>
          <w:noProof/>
        </w:rPr>
        <w:tab/>
      </w:r>
      <w:r w:rsidRPr="001F70D4">
        <w:rPr>
          <w:noProof/>
        </w:rPr>
        <w:fldChar w:fldCharType="begin"/>
      </w:r>
      <w:r w:rsidRPr="001F70D4">
        <w:rPr>
          <w:noProof/>
        </w:rPr>
        <w:instrText xml:space="preserve"> PAGEREF _Toc406142303 \h </w:instrText>
      </w:r>
      <w:r w:rsidRPr="001F70D4">
        <w:rPr>
          <w:noProof/>
        </w:rPr>
      </w:r>
      <w:r w:rsidRPr="001F70D4">
        <w:rPr>
          <w:noProof/>
        </w:rPr>
        <w:fldChar w:fldCharType="separate"/>
      </w:r>
      <w:r w:rsidR="00C9660C">
        <w:rPr>
          <w:noProof/>
        </w:rPr>
        <w:t>1</w:t>
      </w:r>
      <w:r w:rsidRPr="001F70D4">
        <w:rPr>
          <w:noProof/>
        </w:rPr>
        <w:fldChar w:fldCharType="end"/>
      </w:r>
    </w:p>
    <w:p w:rsidR="00546AB8" w:rsidRPr="001F70D4" w:rsidRDefault="00546AB8">
      <w:pPr>
        <w:pStyle w:val="TOC5"/>
        <w:rPr>
          <w:rFonts w:asciiTheme="minorHAnsi" w:eastAsiaTheme="minorEastAsia" w:hAnsiTheme="minorHAnsi" w:cstheme="minorBidi"/>
          <w:noProof/>
          <w:kern w:val="0"/>
          <w:sz w:val="22"/>
          <w:szCs w:val="22"/>
        </w:rPr>
      </w:pPr>
      <w:r w:rsidRPr="001F70D4">
        <w:rPr>
          <w:noProof/>
        </w:rPr>
        <w:t>2</w:t>
      </w:r>
      <w:r w:rsidRPr="001F70D4">
        <w:rPr>
          <w:noProof/>
        </w:rPr>
        <w:tab/>
        <w:t>Commencement</w:t>
      </w:r>
      <w:r w:rsidRPr="001F70D4">
        <w:rPr>
          <w:noProof/>
        </w:rPr>
        <w:tab/>
      </w:r>
      <w:r w:rsidRPr="001F70D4">
        <w:rPr>
          <w:noProof/>
        </w:rPr>
        <w:fldChar w:fldCharType="begin"/>
      </w:r>
      <w:r w:rsidRPr="001F70D4">
        <w:rPr>
          <w:noProof/>
        </w:rPr>
        <w:instrText xml:space="preserve"> PAGEREF _Toc406142304 \h </w:instrText>
      </w:r>
      <w:r w:rsidRPr="001F70D4">
        <w:rPr>
          <w:noProof/>
        </w:rPr>
      </w:r>
      <w:r w:rsidRPr="001F70D4">
        <w:rPr>
          <w:noProof/>
        </w:rPr>
        <w:fldChar w:fldCharType="separate"/>
      </w:r>
      <w:r w:rsidR="00C9660C">
        <w:rPr>
          <w:noProof/>
        </w:rPr>
        <w:t>1</w:t>
      </w:r>
      <w:r w:rsidRPr="001F70D4">
        <w:rPr>
          <w:noProof/>
        </w:rPr>
        <w:fldChar w:fldCharType="end"/>
      </w:r>
    </w:p>
    <w:p w:rsidR="00546AB8" w:rsidRPr="001F70D4" w:rsidRDefault="00546AB8">
      <w:pPr>
        <w:pStyle w:val="TOC5"/>
        <w:rPr>
          <w:rFonts w:asciiTheme="minorHAnsi" w:eastAsiaTheme="minorEastAsia" w:hAnsiTheme="minorHAnsi" w:cstheme="minorBidi"/>
          <w:noProof/>
          <w:kern w:val="0"/>
          <w:sz w:val="22"/>
          <w:szCs w:val="22"/>
        </w:rPr>
      </w:pPr>
      <w:r w:rsidRPr="001F70D4">
        <w:rPr>
          <w:noProof/>
        </w:rPr>
        <w:t>3</w:t>
      </w:r>
      <w:r w:rsidRPr="001F70D4">
        <w:rPr>
          <w:noProof/>
        </w:rPr>
        <w:tab/>
        <w:t>Authority</w:t>
      </w:r>
      <w:r w:rsidRPr="001F70D4">
        <w:rPr>
          <w:noProof/>
        </w:rPr>
        <w:tab/>
      </w:r>
      <w:r w:rsidRPr="001F70D4">
        <w:rPr>
          <w:noProof/>
        </w:rPr>
        <w:fldChar w:fldCharType="begin"/>
      </w:r>
      <w:r w:rsidRPr="001F70D4">
        <w:rPr>
          <w:noProof/>
        </w:rPr>
        <w:instrText xml:space="preserve"> PAGEREF _Toc406142305 \h </w:instrText>
      </w:r>
      <w:r w:rsidRPr="001F70D4">
        <w:rPr>
          <w:noProof/>
        </w:rPr>
      </w:r>
      <w:r w:rsidRPr="001F70D4">
        <w:rPr>
          <w:noProof/>
        </w:rPr>
        <w:fldChar w:fldCharType="separate"/>
      </w:r>
      <w:r w:rsidR="00C9660C">
        <w:rPr>
          <w:noProof/>
        </w:rPr>
        <w:t>1</w:t>
      </w:r>
      <w:r w:rsidRPr="001F70D4">
        <w:rPr>
          <w:noProof/>
        </w:rPr>
        <w:fldChar w:fldCharType="end"/>
      </w:r>
    </w:p>
    <w:p w:rsidR="00546AB8" w:rsidRPr="001F70D4" w:rsidRDefault="00546AB8">
      <w:pPr>
        <w:pStyle w:val="TOC5"/>
        <w:rPr>
          <w:rFonts w:asciiTheme="minorHAnsi" w:eastAsiaTheme="minorEastAsia" w:hAnsiTheme="minorHAnsi" w:cstheme="minorBidi"/>
          <w:noProof/>
          <w:kern w:val="0"/>
          <w:sz w:val="22"/>
          <w:szCs w:val="22"/>
        </w:rPr>
      </w:pPr>
      <w:r w:rsidRPr="001F70D4">
        <w:rPr>
          <w:noProof/>
        </w:rPr>
        <w:t>4</w:t>
      </w:r>
      <w:r w:rsidRPr="001F70D4">
        <w:rPr>
          <w:noProof/>
        </w:rPr>
        <w:tab/>
        <w:t>Schedules</w:t>
      </w:r>
      <w:r w:rsidRPr="001F70D4">
        <w:rPr>
          <w:noProof/>
        </w:rPr>
        <w:tab/>
      </w:r>
      <w:r w:rsidRPr="001F70D4">
        <w:rPr>
          <w:noProof/>
        </w:rPr>
        <w:fldChar w:fldCharType="begin"/>
      </w:r>
      <w:r w:rsidRPr="001F70D4">
        <w:rPr>
          <w:noProof/>
        </w:rPr>
        <w:instrText xml:space="preserve"> PAGEREF _Toc406142306 \h </w:instrText>
      </w:r>
      <w:r w:rsidRPr="001F70D4">
        <w:rPr>
          <w:noProof/>
        </w:rPr>
      </w:r>
      <w:r w:rsidRPr="001F70D4">
        <w:rPr>
          <w:noProof/>
        </w:rPr>
        <w:fldChar w:fldCharType="separate"/>
      </w:r>
      <w:r w:rsidR="00C9660C">
        <w:rPr>
          <w:noProof/>
        </w:rPr>
        <w:t>1</w:t>
      </w:r>
      <w:r w:rsidRPr="001F70D4">
        <w:rPr>
          <w:noProof/>
        </w:rPr>
        <w:fldChar w:fldCharType="end"/>
      </w:r>
    </w:p>
    <w:p w:rsidR="00546AB8" w:rsidRPr="001F70D4" w:rsidRDefault="00546AB8">
      <w:pPr>
        <w:pStyle w:val="TOC6"/>
        <w:rPr>
          <w:rFonts w:asciiTheme="minorHAnsi" w:eastAsiaTheme="minorEastAsia" w:hAnsiTheme="minorHAnsi" w:cstheme="minorBidi"/>
          <w:b w:val="0"/>
          <w:noProof/>
          <w:kern w:val="0"/>
          <w:sz w:val="22"/>
          <w:szCs w:val="22"/>
        </w:rPr>
      </w:pPr>
      <w:r w:rsidRPr="001F70D4">
        <w:rPr>
          <w:noProof/>
        </w:rPr>
        <w:t>Schedule</w:t>
      </w:r>
      <w:r w:rsidR="001F70D4" w:rsidRPr="001F70D4">
        <w:rPr>
          <w:noProof/>
        </w:rPr>
        <w:t> </w:t>
      </w:r>
      <w:r w:rsidRPr="001F70D4">
        <w:rPr>
          <w:noProof/>
        </w:rPr>
        <w:t>1—Amendments</w:t>
      </w:r>
      <w:r w:rsidRPr="001F70D4">
        <w:rPr>
          <w:b w:val="0"/>
          <w:noProof/>
          <w:sz w:val="18"/>
        </w:rPr>
        <w:tab/>
      </w:r>
      <w:r w:rsidRPr="001F70D4">
        <w:rPr>
          <w:b w:val="0"/>
          <w:noProof/>
          <w:sz w:val="18"/>
        </w:rPr>
        <w:fldChar w:fldCharType="begin"/>
      </w:r>
      <w:r w:rsidRPr="001F70D4">
        <w:rPr>
          <w:b w:val="0"/>
          <w:noProof/>
          <w:sz w:val="18"/>
        </w:rPr>
        <w:instrText xml:space="preserve"> PAGEREF _Toc406142307 \h </w:instrText>
      </w:r>
      <w:r w:rsidRPr="001F70D4">
        <w:rPr>
          <w:b w:val="0"/>
          <w:noProof/>
          <w:sz w:val="18"/>
        </w:rPr>
      </w:r>
      <w:r w:rsidRPr="001F70D4">
        <w:rPr>
          <w:b w:val="0"/>
          <w:noProof/>
          <w:sz w:val="18"/>
        </w:rPr>
        <w:fldChar w:fldCharType="separate"/>
      </w:r>
      <w:r w:rsidR="00C9660C">
        <w:rPr>
          <w:b w:val="0"/>
          <w:noProof/>
          <w:sz w:val="18"/>
        </w:rPr>
        <w:t>2</w:t>
      </w:r>
      <w:r w:rsidRPr="001F70D4">
        <w:rPr>
          <w:b w:val="0"/>
          <w:noProof/>
          <w:sz w:val="18"/>
        </w:rPr>
        <w:fldChar w:fldCharType="end"/>
      </w:r>
    </w:p>
    <w:p w:rsidR="00546AB8" w:rsidRPr="001F70D4" w:rsidRDefault="00546AB8">
      <w:pPr>
        <w:pStyle w:val="TOC9"/>
        <w:rPr>
          <w:rFonts w:asciiTheme="minorHAnsi" w:eastAsiaTheme="minorEastAsia" w:hAnsiTheme="minorHAnsi" w:cstheme="minorBidi"/>
          <w:i w:val="0"/>
          <w:noProof/>
          <w:kern w:val="0"/>
          <w:sz w:val="22"/>
          <w:szCs w:val="22"/>
        </w:rPr>
      </w:pPr>
      <w:r w:rsidRPr="001F70D4">
        <w:rPr>
          <w:noProof/>
        </w:rPr>
        <w:t>Family Law Rules</w:t>
      </w:r>
      <w:r w:rsidR="001F70D4" w:rsidRPr="001F70D4">
        <w:rPr>
          <w:noProof/>
        </w:rPr>
        <w:t> </w:t>
      </w:r>
      <w:r w:rsidRPr="001F70D4">
        <w:rPr>
          <w:noProof/>
        </w:rPr>
        <w:t>2004</w:t>
      </w:r>
      <w:r w:rsidRPr="001F70D4">
        <w:rPr>
          <w:i w:val="0"/>
          <w:noProof/>
          <w:sz w:val="18"/>
        </w:rPr>
        <w:tab/>
      </w:r>
      <w:r w:rsidRPr="001F70D4">
        <w:rPr>
          <w:i w:val="0"/>
          <w:noProof/>
          <w:sz w:val="18"/>
        </w:rPr>
        <w:fldChar w:fldCharType="begin"/>
      </w:r>
      <w:r w:rsidRPr="001F70D4">
        <w:rPr>
          <w:i w:val="0"/>
          <w:noProof/>
          <w:sz w:val="18"/>
        </w:rPr>
        <w:instrText xml:space="preserve"> PAGEREF _Toc406142308 \h </w:instrText>
      </w:r>
      <w:r w:rsidRPr="001F70D4">
        <w:rPr>
          <w:i w:val="0"/>
          <w:noProof/>
          <w:sz w:val="18"/>
        </w:rPr>
      </w:r>
      <w:r w:rsidRPr="001F70D4">
        <w:rPr>
          <w:i w:val="0"/>
          <w:noProof/>
          <w:sz w:val="18"/>
        </w:rPr>
        <w:fldChar w:fldCharType="separate"/>
      </w:r>
      <w:r w:rsidR="00C9660C">
        <w:rPr>
          <w:i w:val="0"/>
          <w:noProof/>
          <w:sz w:val="18"/>
        </w:rPr>
        <w:t>2</w:t>
      </w:r>
      <w:r w:rsidRPr="001F70D4">
        <w:rPr>
          <w:i w:val="0"/>
          <w:noProof/>
          <w:sz w:val="18"/>
        </w:rPr>
        <w:fldChar w:fldCharType="end"/>
      </w:r>
    </w:p>
    <w:p w:rsidR="00A90A3F" w:rsidRPr="001F70D4" w:rsidRDefault="00546AB8" w:rsidP="00A90A3F">
      <w:r w:rsidRPr="001F70D4">
        <w:fldChar w:fldCharType="end"/>
      </w:r>
    </w:p>
    <w:p w:rsidR="00A90A3F" w:rsidRPr="001F70D4" w:rsidRDefault="00A90A3F" w:rsidP="00A90A3F">
      <w:pPr>
        <w:sectPr w:rsidR="00A90A3F" w:rsidRPr="001F70D4" w:rsidSect="00A25B43">
          <w:headerReference w:type="even" r:id="rId16"/>
          <w:headerReference w:type="default" r:id="rId17"/>
          <w:footerReference w:type="even" r:id="rId18"/>
          <w:footerReference w:type="default" r:id="rId19"/>
          <w:headerReference w:type="first" r:id="rId20"/>
          <w:pgSz w:w="11907" w:h="16839"/>
          <w:pgMar w:top="2375" w:right="2410" w:bottom="4253" w:left="2410" w:header="720" w:footer="3402" w:gutter="0"/>
          <w:pgNumType w:fmt="lowerRoman" w:start="1"/>
          <w:cols w:space="708"/>
          <w:docGrid w:linePitch="360"/>
        </w:sectPr>
      </w:pPr>
    </w:p>
    <w:p w:rsidR="00A90A3F" w:rsidRPr="001F70D4" w:rsidRDefault="00A90A3F" w:rsidP="00A90A3F">
      <w:pPr>
        <w:pStyle w:val="ActHead5"/>
      </w:pPr>
      <w:bookmarkStart w:id="4" w:name="_Toc406142303"/>
      <w:r w:rsidRPr="001F70D4">
        <w:rPr>
          <w:rStyle w:val="CharSectno"/>
        </w:rPr>
        <w:t>1</w:t>
      </w:r>
      <w:r w:rsidRPr="001F70D4">
        <w:t xml:space="preserve">  Name</w:t>
      </w:r>
      <w:bookmarkEnd w:id="4"/>
    </w:p>
    <w:p w:rsidR="00A90A3F" w:rsidRPr="001F70D4" w:rsidRDefault="00A90A3F" w:rsidP="00A90A3F">
      <w:pPr>
        <w:pStyle w:val="subsection"/>
      </w:pPr>
      <w:r w:rsidRPr="001F70D4">
        <w:tab/>
      </w:r>
      <w:r w:rsidRPr="001F70D4">
        <w:tab/>
        <w:t xml:space="preserve">These are the </w:t>
      </w:r>
      <w:bookmarkStart w:id="5" w:name="BKCheck15B_4"/>
      <w:bookmarkEnd w:id="5"/>
      <w:r w:rsidRPr="001F70D4">
        <w:rPr>
          <w:i/>
        </w:rPr>
        <w:fldChar w:fldCharType="begin"/>
      </w:r>
      <w:r w:rsidRPr="001F70D4">
        <w:rPr>
          <w:i/>
        </w:rPr>
        <w:instrText xml:space="preserve"> STYLEREF  ShortT </w:instrText>
      </w:r>
      <w:r w:rsidRPr="001F70D4">
        <w:rPr>
          <w:i/>
        </w:rPr>
        <w:fldChar w:fldCharType="separate"/>
      </w:r>
      <w:r w:rsidR="00C9660C">
        <w:rPr>
          <w:i/>
          <w:noProof/>
        </w:rPr>
        <w:t>Family Law Amendment (2014 Measures No. 1) Rules 2014</w:t>
      </w:r>
      <w:r w:rsidRPr="001F70D4">
        <w:rPr>
          <w:i/>
        </w:rPr>
        <w:fldChar w:fldCharType="end"/>
      </w:r>
      <w:r w:rsidRPr="001F70D4">
        <w:t>.</w:t>
      </w:r>
    </w:p>
    <w:p w:rsidR="00A90A3F" w:rsidRPr="001F70D4" w:rsidRDefault="00A90A3F" w:rsidP="00A90A3F">
      <w:pPr>
        <w:pStyle w:val="ActHead5"/>
      </w:pPr>
      <w:bookmarkStart w:id="6" w:name="_Toc406142304"/>
      <w:r w:rsidRPr="001F70D4">
        <w:rPr>
          <w:rStyle w:val="CharSectno"/>
        </w:rPr>
        <w:t>2</w:t>
      </w:r>
      <w:r w:rsidRPr="001F70D4">
        <w:t xml:space="preserve">  Commencement</w:t>
      </w:r>
      <w:bookmarkEnd w:id="6"/>
    </w:p>
    <w:p w:rsidR="00A90A3F" w:rsidRPr="001F70D4" w:rsidRDefault="00A90A3F" w:rsidP="00A90A3F">
      <w:pPr>
        <w:pStyle w:val="subsection"/>
      </w:pPr>
      <w:r w:rsidRPr="001F70D4">
        <w:tab/>
      </w:r>
      <w:r w:rsidRPr="001F70D4">
        <w:tab/>
        <w:t>These Rules commence on 1</w:t>
      </w:r>
      <w:r w:rsidR="001F70D4" w:rsidRPr="001F70D4">
        <w:t> </w:t>
      </w:r>
      <w:r w:rsidRPr="001F70D4">
        <w:t>January 2015.</w:t>
      </w:r>
    </w:p>
    <w:p w:rsidR="00A90A3F" w:rsidRPr="001F70D4" w:rsidRDefault="00A90A3F" w:rsidP="00A90A3F">
      <w:pPr>
        <w:pStyle w:val="ActHead5"/>
      </w:pPr>
      <w:bookmarkStart w:id="7" w:name="_Toc406142305"/>
      <w:r w:rsidRPr="001F70D4">
        <w:rPr>
          <w:rStyle w:val="CharSectno"/>
        </w:rPr>
        <w:t>3</w:t>
      </w:r>
      <w:r w:rsidRPr="001F70D4">
        <w:t xml:space="preserve">  Authority</w:t>
      </w:r>
      <w:bookmarkEnd w:id="7"/>
    </w:p>
    <w:p w:rsidR="00A90A3F" w:rsidRPr="001F70D4" w:rsidRDefault="00A90A3F" w:rsidP="00A90A3F">
      <w:pPr>
        <w:pStyle w:val="subsection"/>
      </w:pPr>
      <w:r w:rsidRPr="001F70D4">
        <w:tab/>
      </w:r>
      <w:r w:rsidRPr="001F70D4">
        <w:tab/>
        <w:t xml:space="preserve">These Rules are made under the </w:t>
      </w:r>
      <w:r w:rsidRPr="001F70D4">
        <w:rPr>
          <w:i/>
        </w:rPr>
        <w:t>Family Law Act 1975.</w:t>
      </w:r>
    </w:p>
    <w:p w:rsidR="00A90A3F" w:rsidRPr="001F70D4" w:rsidRDefault="00A90A3F" w:rsidP="00A90A3F">
      <w:pPr>
        <w:pStyle w:val="ActHead5"/>
      </w:pPr>
      <w:bookmarkStart w:id="8" w:name="_Toc406142306"/>
      <w:r w:rsidRPr="001F70D4">
        <w:rPr>
          <w:rStyle w:val="CharSectno"/>
        </w:rPr>
        <w:t>4</w:t>
      </w:r>
      <w:r w:rsidRPr="001F70D4">
        <w:t xml:space="preserve">  Schedules</w:t>
      </w:r>
      <w:bookmarkEnd w:id="8"/>
    </w:p>
    <w:p w:rsidR="00A90A3F" w:rsidRPr="001F70D4" w:rsidRDefault="00A90A3F" w:rsidP="00A90A3F">
      <w:pPr>
        <w:pStyle w:val="subsection"/>
      </w:pPr>
      <w:r w:rsidRPr="001F70D4">
        <w:tab/>
      </w:r>
      <w:r w:rsidRPr="001F70D4">
        <w:tab/>
        <w:t>Each instrument that is specified in a Schedule to these Rules is amended or repealed as set out in the applicable items in the Schedule concerned, and any other item in a Schedule to these Rules has effect according to its terms.</w:t>
      </w:r>
    </w:p>
    <w:p w:rsidR="00A90A3F" w:rsidRPr="001F70D4" w:rsidRDefault="00A90A3F" w:rsidP="00A90A3F">
      <w:pPr>
        <w:pStyle w:val="ActHead6"/>
        <w:pageBreakBefore/>
      </w:pPr>
      <w:bookmarkStart w:id="9" w:name="_Toc406142307"/>
      <w:bookmarkStart w:id="10" w:name="opcAmSched"/>
      <w:bookmarkStart w:id="11" w:name="opcCurrentFind"/>
      <w:r w:rsidRPr="001F70D4">
        <w:rPr>
          <w:rStyle w:val="CharAmSchNo"/>
        </w:rPr>
        <w:t>Schedule</w:t>
      </w:r>
      <w:r w:rsidR="001F70D4" w:rsidRPr="001F70D4">
        <w:rPr>
          <w:rStyle w:val="CharAmSchNo"/>
        </w:rPr>
        <w:t> </w:t>
      </w:r>
      <w:r w:rsidRPr="001F70D4">
        <w:rPr>
          <w:rStyle w:val="CharAmSchNo"/>
        </w:rPr>
        <w:t>1</w:t>
      </w:r>
      <w:r w:rsidRPr="001F70D4">
        <w:t>—</w:t>
      </w:r>
      <w:r w:rsidRPr="001F70D4">
        <w:rPr>
          <w:rStyle w:val="CharAmSchText"/>
        </w:rPr>
        <w:t>Amendments</w:t>
      </w:r>
      <w:bookmarkEnd w:id="9"/>
    </w:p>
    <w:bookmarkEnd w:id="10"/>
    <w:bookmarkEnd w:id="11"/>
    <w:p w:rsidR="00A90A3F" w:rsidRPr="001F70D4" w:rsidRDefault="00A90A3F" w:rsidP="00A90A3F">
      <w:pPr>
        <w:pStyle w:val="Header"/>
      </w:pPr>
      <w:r w:rsidRPr="001F70D4">
        <w:rPr>
          <w:rStyle w:val="CharAmPartNo"/>
        </w:rPr>
        <w:t xml:space="preserve"> </w:t>
      </w:r>
      <w:r w:rsidRPr="001F70D4">
        <w:rPr>
          <w:rStyle w:val="CharAmPartText"/>
        </w:rPr>
        <w:t xml:space="preserve"> </w:t>
      </w:r>
    </w:p>
    <w:p w:rsidR="00A90A3F" w:rsidRPr="001F70D4" w:rsidRDefault="00A90A3F" w:rsidP="00A90A3F">
      <w:pPr>
        <w:pStyle w:val="ActHead9"/>
      </w:pPr>
      <w:bookmarkStart w:id="12" w:name="_Toc406142308"/>
      <w:r w:rsidRPr="001F70D4">
        <w:t>Family Law Rules</w:t>
      </w:r>
      <w:r w:rsidR="001F70D4" w:rsidRPr="001F70D4">
        <w:t> </w:t>
      </w:r>
      <w:r w:rsidRPr="001F70D4">
        <w:t>2004</w:t>
      </w:r>
      <w:bookmarkEnd w:id="12"/>
    </w:p>
    <w:p w:rsidR="00A90A3F" w:rsidRPr="001F70D4" w:rsidRDefault="00C63336" w:rsidP="00A90A3F">
      <w:pPr>
        <w:pStyle w:val="ItemHead"/>
      </w:pPr>
      <w:r w:rsidRPr="001F70D4">
        <w:t>1</w:t>
      </w:r>
      <w:r w:rsidR="00A90A3F" w:rsidRPr="001F70D4">
        <w:t xml:space="preserve">  At the end of Part</w:t>
      </w:r>
      <w:r w:rsidR="001F70D4" w:rsidRPr="001F70D4">
        <w:t> </w:t>
      </w:r>
      <w:r w:rsidR="00A90A3F" w:rsidRPr="001F70D4">
        <w:t>1.4</w:t>
      </w:r>
    </w:p>
    <w:p w:rsidR="00A90A3F" w:rsidRPr="001F70D4" w:rsidRDefault="00A90A3F" w:rsidP="00A90A3F">
      <w:pPr>
        <w:pStyle w:val="Item"/>
      </w:pPr>
      <w:r w:rsidRPr="001F70D4">
        <w:t>Add:</w:t>
      </w:r>
    </w:p>
    <w:p w:rsidR="00A90A3F" w:rsidRPr="001F70D4" w:rsidRDefault="00A90A3F" w:rsidP="00A90A3F">
      <w:pPr>
        <w:pStyle w:val="ActHead5"/>
      </w:pPr>
      <w:bookmarkStart w:id="13" w:name="_Toc406142309"/>
      <w:r w:rsidRPr="001F70D4">
        <w:rPr>
          <w:rStyle w:val="CharSectno"/>
        </w:rPr>
        <w:t>1.22</w:t>
      </w:r>
      <w:r w:rsidRPr="001F70D4">
        <w:t xml:space="preserve">  Methods of attaching the seal of the Court</w:t>
      </w:r>
      <w:bookmarkEnd w:id="13"/>
    </w:p>
    <w:p w:rsidR="00A90A3F" w:rsidRPr="001F70D4" w:rsidRDefault="00A90A3F" w:rsidP="00A90A3F">
      <w:pPr>
        <w:pStyle w:val="subsection"/>
      </w:pPr>
      <w:r w:rsidRPr="001F70D4">
        <w:tab/>
      </w:r>
      <w:r w:rsidRPr="001F70D4">
        <w:tab/>
        <w:t>The seal of the Court may be attached to a document:</w:t>
      </w:r>
    </w:p>
    <w:p w:rsidR="00A90A3F" w:rsidRPr="001F70D4" w:rsidRDefault="00A90A3F" w:rsidP="00A90A3F">
      <w:pPr>
        <w:pStyle w:val="paragraph"/>
      </w:pPr>
      <w:r w:rsidRPr="001F70D4">
        <w:tab/>
        <w:t>(a)</w:t>
      </w:r>
      <w:r w:rsidRPr="001F70D4">
        <w:tab/>
        <w:t>by hand; or</w:t>
      </w:r>
    </w:p>
    <w:p w:rsidR="00A90A3F" w:rsidRPr="001F70D4" w:rsidRDefault="00A90A3F" w:rsidP="00A90A3F">
      <w:pPr>
        <w:pStyle w:val="paragraph"/>
      </w:pPr>
      <w:r w:rsidRPr="001F70D4">
        <w:tab/>
        <w:t>(b)</w:t>
      </w:r>
      <w:r w:rsidRPr="001F70D4">
        <w:tab/>
        <w:t>by electronic means; or</w:t>
      </w:r>
    </w:p>
    <w:p w:rsidR="00A90A3F" w:rsidRPr="001F70D4" w:rsidRDefault="00A90A3F" w:rsidP="00A90A3F">
      <w:pPr>
        <w:pStyle w:val="paragraph"/>
      </w:pPr>
      <w:r w:rsidRPr="001F70D4">
        <w:tab/>
        <w:t>(c)</w:t>
      </w:r>
      <w:r w:rsidRPr="001F70D4">
        <w:tab/>
        <w:t>in any other way.</w:t>
      </w:r>
    </w:p>
    <w:p w:rsidR="00A90A3F" w:rsidRPr="001F70D4" w:rsidRDefault="00C63336" w:rsidP="00A90A3F">
      <w:pPr>
        <w:pStyle w:val="ItemHead"/>
      </w:pPr>
      <w:r w:rsidRPr="001F70D4">
        <w:t>2</w:t>
      </w:r>
      <w:r w:rsidR="00A90A3F" w:rsidRPr="001F70D4">
        <w:t xml:space="preserve">  </w:t>
      </w:r>
      <w:proofErr w:type="spellStart"/>
      <w:r w:rsidR="00A90A3F" w:rsidRPr="001F70D4">
        <w:t>Subrule</w:t>
      </w:r>
      <w:proofErr w:type="spellEnd"/>
      <w:r w:rsidR="00A90A3F" w:rsidRPr="001F70D4">
        <w:t xml:space="preserve"> 2.04D(1)</w:t>
      </w:r>
    </w:p>
    <w:p w:rsidR="00A90A3F" w:rsidRPr="001F70D4" w:rsidRDefault="00A90A3F" w:rsidP="00A90A3F">
      <w:pPr>
        <w:pStyle w:val="Item"/>
      </w:pPr>
      <w:r w:rsidRPr="001F70D4">
        <w:t>Omit “A Notice of Child Abuse or Family Violence (Form 4)”, substitute “Form 4”.</w:t>
      </w:r>
    </w:p>
    <w:p w:rsidR="00A90A3F" w:rsidRPr="001F70D4" w:rsidRDefault="00C63336" w:rsidP="00A90A3F">
      <w:pPr>
        <w:pStyle w:val="ItemHead"/>
      </w:pPr>
      <w:r w:rsidRPr="001F70D4">
        <w:t>3</w:t>
      </w:r>
      <w:r w:rsidR="00A90A3F" w:rsidRPr="001F70D4">
        <w:t xml:space="preserve">  Paragraph 2.04E(1)(c)</w:t>
      </w:r>
    </w:p>
    <w:p w:rsidR="00A90A3F" w:rsidRPr="001F70D4" w:rsidRDefault="00A90A3F" w:rsidP="00A90A3F">
      <w:pPr>
        <w:pStyle w:val="Item"/>
      </w:pPr>
      <w:r w:rsidRPr="001F70D4">
        <w:t>Omit “Notice of Child Abuse or Family Violence (Form</w:t>
      </w:r>
      <w:r w:rsidR="00300B64" w:rsidRPr="001F70D4">
        <w:t xml:space="preserve"> </w:t>
      </w:r>
      <w:r w:rsidRPr="001F70D4">
        <w:t>4)”, substitute “Form 4”.</w:t>
      </w:r>
    </w:p>
    <w:p w:rsidR="00A90A3F" w:rsidRPr="001F70D4" w:rsidRDefault="00C63336" w:rsidP="00A90A3F">
      <w:pPr>
        <w:pStyle w:val="ItemHead"/>
        <w:tabs>
          <w:tab w:val="left" w:pos="6663"/>
        </w:tabs>
      </w:pPr>
      <w:r w:rsidRPr="001F70D4">
        <w:t>4</w:t>
      </w:r>
      <w:r w:rsidR="00A90A3F" w:rsidRPr="001F70D4">
        <w:t xml:space="preserve">  After rule</w:t>
      </w:r>
      <w:r w:rsidR="001F70D4" w:rsidRPr="001F70D4">
        <w:t> </w:t>
      </w:r>
      <w:r w:rsidR="00A90A3F" w:rsidRPr="001F70D4">
        <w:t>11.03</w:t>
      </w:r>
    </w:p>
    <w:p w:rsidR="00A90A3F" w:rsidRPr="001F70D4" w:rsidRDefault="00A90A3F" w:rsidP="00A90A3F">
      <w:pPr>
        <w:pStyle w:val="Item"/>
      </w:pPr>
      <w:r w:rsidRPr="001F70D4">
        <w:t>Insert:</w:t>
      </w:r>
    </w:p>
    <w:p w:rsidR="00A90A3F" w:rsidRPr="001F70D4" w:rsidRDefault="00A90A3F" w:rsidP="00A90A3F">
      <w:pPr>
        <w:pStyle w:val="ActHead5"/>
      </w:pPr>
      <w:bookmarkStart w:id="14" w:name="_Toc406142310"/>
      <w:r w:rsidRPr="001F70D4">
        <w:rPr>
          <w:rStyle w:val="CharSectno"/>
        </w:rPr>
        <w:t>11.04</w:t>
      </w:r>
      <w:r w:rsidRPr="001F70D4">
        <w:t xml:space="preserve">  Certificate of vexatious proceedings order</w:t>
      </w:r>
      <w:bookmarkEnd w:id="14"/>
    </w:p>
    <w:p w:rsidR="00A90A3F" w:rsidRPr="001F70D4" w:rsidRDefault="00A90A3F" w:rsidP="00A90A3F">
      <w:pPr>
        <w:pStyle w:val="subsection"/>
      </w:pPr>
      <w:r w:rsidRPr="001F70D4">
        <w:tab/>
        <w:t>(1)</w:t>
      </w:r>
      <w:r w:rsidRPr="001F70D4">
        <w:tab/>
        <w:t>A request under subsection</w:t>
      </w:r>
      <w:r w:rsidR="001F70D4" w:rsidRPr="001F70D4">
        <w:t> </w:t>
      </w:r>
      <w:r w:rsidRPr="001F70D4">
        <w:t>102QC(1) of the Act for a certificate relating to a vexatious proceedings order must:</w:t>
      </w:r>
    </w:p>
    <w:p w:rsidR="00A90A3F" w:rsidRPr="001F70D4" w:rsidRDefault="00A90A3F" w:rsidP="00A90A3F">
      <w:pPr>
        <w:pStyle w:val="paragraph"/>
      </w:pPr>
      <w:r w:rsidRPr="001F70D4">
        <w:tab/>
        <w:t>(a)</w:t>
      </w:r>
      <w:r w:rsidRPr="001F70D4">
        <w:tab/>
        <w:t>be in writing; and</w:t>
      </w:r>
    </w:p>
    <w:p w:rsidR="00A90A3F" w:rsidRPr="001F70D4" w:rsidRDefault="00A90A3F" w:rsidP="00A90A3F">
      <w:pPr>
        <w:pStyle w:val="paragraph"/>
      </w:pPr>
      <w:r w:rsidRPr="001F70D4">
        <w:tab/>
        <w:t>(b)</w:t>
      </w:r>
      <w:r w:rsidRPr="001F70D4">
        <w:tab/>
        <w:t>include the following:</w:t>
      </w:r>
    </w:p>
    <w:p w:rsidR="00A90A3F" w:rsidRPr="001F70D4" w:rsidRDefault="00A90A3F" w:rsidP="00A90A3F">
      <w:pPr>
        <w:pStyle w:val="paragraphsub"/>
      </w:pPr>
      <w:r w:rsidRPr="001F70D4">
        <w:tab/>
        <w:t>(i)</w:t>
      </w:r>
      <w:r w:rsidRPr="001F70D4">
        <w:tab/>
        <w:t>the name and address of the person making the request;</w:t>
      </w:r>
    </w:p>
    <w:p w:rsidR="00A90A3F" w:rsidRPr="001F70D4" w:rsidRDefault="00A90A3F" w:rsidP="00A90A3F">
      <w:pPr>
        <w:pStyle w:val="paragraphsub"/>
      </w:pPr>
      <w:r w:rsidRPr="001F70D4">
        <w:tab/>
        <w:t>(ii)</w:t>
      </w:r>
      <w:r w:rsidRPr="001F70D4">
        <w:tab/>
        <w:t>the person’s interest in making the request.</w:t>
      </w:r>
    </w:p>
    <w:p w:rsidR="00A90A3F" w:rsidRPr="001F70D4" w:rsidRDefault="00A90A3F" w:rsidP="00A90A3F">
      <w:pPr>
        <w:pStyle w:val="subsection"/>
      </w:pPr>
      <w:r w:rsidRPr="001F70D4">
        <w:tab/>
        <w:t>(2)</w:t>
      </w:r>
      <w:r w:rsidRPr="001F70D4">
        <w:tab/>
        <w:t>The request must be lodged in the Registry in which the vexatious proceedings order was made.</w:t>
      </w:r>
    </w:p>
    <w:p w:rsidR="00A90A3F" w:rsidRPr="001F70D4" w:rsidRDefault="00A90A3F" w:rsidP="00A90A3F">
      <w:pPr>
        <w:pStyle w:val="subsection"/>
      </w:pPr>
      <w:r w:rsidRPr="001F70D4">
        <w:tab/>
        <w:t>(3)</w:t>
      </w:r>
      <w:r w:rsidRPr="001F70D4">
        <w:tab/>
        <w:t>For the purposes of paragraph</w:t>
      </w:r>
      <w:r w:rsidR="001F70D4" w:rsidRPr="001F70D4">
        <w:t> </w:t>
      </w:r>
      <w:r w:rsidRPr="001F70D4">
        <w:t>102QC(2)(b) of the Act, the certificate must specify the following information:</w:t>
      </w:r>
    </w:p>
    <w:p w:rsidR="00A90A3F" w:rsidRPr="001F70D4" w:rsidRDefault="00A90A3F" w:rsidP="00A90A3F">
      <w:pPr>
        <w:pStyle w:val="paragraph"/>
      </w:pPr>
      <w:r w:rsidRPr="001F70D4">
        <w:tab/>
        <w:t>(a)</w:t>
      </w:r>
      <w:r w:rsidRPr="001F70D4">
        <w:tab/>
        <w:t>the name of the person subject to the vexatious proceedings order;</w:t>
      </w:r>
    </w:p>
    <w:p w:rsidR="00A90A3F" w:rsidRPr="001F70D4" w:rsidRDefault="00A90A3F" w:rsidP="00A90A3F">
      <w:pPr>
        <w:pStyle w:val="paragraph"/>
      </w:pPr>
      <w:r w:rsidRPr="001F70D4">
        <w:tab/>
        <w:t>(b)</w:t>
      </w:r>
      <w:r w:rsidRPr="001F70D4">
        <w:tab/>
        <w:t>if applicable, the name of the person who applied for the vexatious proceedings order;</w:t>
      </w:r>
    </w:p>
    <w:p w:rsidR="00A90A3F" w:rsidRPr="001F70D4" w:rsidRDefault="00A90A3F" w:rsidP="00A90A3F">
      <w:pPr>
        <w:pStyle w:val="paragraph"/>
      </w:pPr>
      <w:r w:rsidRPr="001F70D4">
        <w:tab/>
        <w:t>(c)</w:t>
      </w:r>
      <w:r w:rsidRPr="001F70D4">
        <w:tab/>
        <w:t>the orders made by the court under subsection</w:t>
      </w:r>
      <w:r w:rsidR="001F70D4" w:rsidRPr="001F70D4">
        <w:t> </w:t>
      </w:r>
      <w:r w:rsidRPr="001F70D4">
        <w:t>102QB(2) of the Act.</w:t>
      </w:r>
    </w:p>
    <w:p w:rsidR="00A90A3F" w:rsidRPr="001F70D4" w:rsidRDefault="00A90A3F" w:rsidP="00A90A3F">
      <w:pPr>
        <w:pStyle w:val="notetext"/>
      </w:pPr>
      <w:r w:rsidRPr="001F70D4">
        <w:t>Note:</w:t>
      </w:r>
      <w:r w:rsidRPr="001F70D4">
        <w:tab/>
        <w:t>The certificate must also specify the date of the vexatious proceedings order: see paragraph</w:t>
      </w:r>
      <w:r w:rsidR="001F70D4" w:rsidRPr="001F70D4">
        <w:t> </w:t>
      </w:r>
      <w:r w:rsidRPr="001F70D4">
        <w:t>102QC(2)(a) of the Act.</w:t>
      </w:r>
    </w:p>
    <w:p w:rsidR="00A90A3F" w:rsidRPr="001F70D4" w:rsidRDefault="00C63336" w:rsidP="00A90A3F">
      <w:pPr>
        <w:pStyle w:val="ItemHead"/>
        <w:tabs>
          <w:tab w:val="left" w:pos="6663"/>
        </w:tabs>
      </w:pPr>
      <w:r w:rsidRPr="001F70D4">
        <w:t>5</w:t>
      </w:r>
      <w:r w:rsidR="00A90A3F" w:rsidRPr="001F70D4">
        <w:t xml:space="preserve">  Division</w:t>
      </w:r>
      <w:r w:rsidR="001F70D4" w:rsidRPr="001F70D4">
        <w:t> </w:t>
      </w:r>
      <w:r w:rsidR="00A90A3F" w:rsidRPr="001F70D4">
        <w:t>15.3.4</w:t>
      </w:r>
    </w:p>
    <w:p w:rsidR="00A90A3F" w:rsidRPr="001F70D4" w:rsidRDefault="00A90A3F" w:rsidP="00A90A3F">
      <w:pPr>
        <w:pStyle w:val="Item"/>
      </w:pPr>
      <w:r w:rsidRPr="001F70D4">
        <w:t>Repeal the Division.</w:t>
      </w:r>
    </w:p>
    <w:p w:rsidR="00A90A3F" w:rsidRPr="001F70D4" w:rsidRDefault="00C63336" w:rsidP="00A90A3F">
      <w:pPr>
        <w:pStyle w:val="ItemHead"/>
        <w:tabs>
          <w:tab w:val="left" w:pos="6663"/>
        </w:tabs>
      </w:pPr>
      <w:r w:rsidRPr="001F70D4">
        <w:t>6</w:t>
      </w:r>
      <w:r w:rsidR="00A90A3F" w:rsidRPr="001F70D4">
        <w:t xml:space="preserve">  Paragraph 16.06(1)(a)</w:t>
      </w:r>
    </w:p>
    <w:p w:rsidR="00A90A3F" w:rsidRPr="001F70D4" w:rsidRDefault="00A90A3F" w:rsidP="00A90A3F">
      <w:pPr>
        <w:pStyle w:val="Item"/>
      </w:pPr>
      <w:r w:rsidRPr="001F70D4">
        <w:t>Repeal the paragraph.</w:t>
      </w:r>
    </w:p>
    <w:p w:rsidR="00A90A3F" w:rsidRPr="001F70D4" w:rsidRDefault="00C63336" w:rsidP="00A90A3F">
      <w:pPr>
        <w:pStyle w:val="ItemHead"/>
      </w:pPr>
      <w:r w:rsidRPr="001F70D4">
        <w:t>7</w:t>
      </w:r>
      <w:r w:rsidR="00A90A3F" w:rsidRPr="001F70D4">
        <w:t xml:space="preserve">  Paragraph 16.06(1)(b)</w:t>
      </w:r>
    </w:p>
    <w:p w:rsidR="00A90A3F" w:rsidRPr="001F70D4" w:rsidRDefault="00A90A3F" w:rsidP="00A90A3F">
      <w:pPr>
        <w:pStyle w:val="Item"/>
      </w:pPr>
      <w:r w:rsidRPr="001F70D4">
        <w:t>Repeal the paragraph, substitute:</w:t>
      </w:r>
    </w:p>
    <w:p w:rsidR="00A90A3F" w:rsidRPr="001F70D4" w:rsidRDefault="00A90A3F" w:rsidP="00A90A3F">
      <w:pPr>
        <w:pStyle w:val="paragraph"/>
      </w:pPr>
      <w:r w:rsidRPr="001F70D4">
        <w:tab/>
        <w:t>(b)</w:t>
      </w:r>
      <w:r w:rsidRPr="001F70D4">
        <w:tab/>
        <w:t>that the party has made appropriate inquiries to determine the attitude of the foreign country’s government to the taking of evidence by electronic communication; and</w:t>
      </w:r>
    </w:p>
    <w:p w:rsidR="00A90A3F" w:rsidRPr="001F70D4" w:rsidRDefault="00C63336" w:rsidP="00A90A3F">
      <w:pPr>
        <w:pStyle w:val="ItemHead"/>
      </w:pPr>
      <w:r w:rsidRPr="001F70D4">
        <w:t>8</w:t>
      </w:r>
      <w:r w:rsidR="00A90A3F" w:rsidRPr="001F70D4">
        <w:t xml:space="preserve">  At the end of paragraphs 16.06(1)(c) and (d)</w:t>
      </w:r>
    </w:p>
    <w:p w:rsidR="00A90A3F" w:rsidRPr="001F70D4" w:rsidRDefault="00A90A3F" w:rsidP="00A90A3F">
      <w:pPr>
        <w:pStyle w:val="Item"/>
      </w:pPr>
      <w:r w:rsidRPr="001F70D4">
        <w:t>Add “and”.</w:t>
      </w:r>
    </w:p>
    <w:p w:rsidR="00A90A3F" w:rsidRPr="001F70D4" w:rsidRDefault="00C63336" w:rsidP="00A90A3F">
      <w:pPr>
        <w:pStyle w:val="ItemHead"/>
      </w:pPr>
      <w:r w:rsidRPr="001F70D4">
        <w:t>9</w:t>
      </w:r>
      <w:r w:rsidR="00A90A3F" w:rsidRPr="001F70D4">
        <w:t xml:space="preserve">  Rule</w:t>
      </w:r>
      <w:r w:rsidR="001F70D4" w:rsidRPr="001F70D4">
        <w:t> </w:t>
      </w:r>
      <w:r w:rsidR="00A90A3F" w:rsidRPr="001F70D4">
        <w:t>17.03</w:t>
      </w:r>
    </w:p>
    <w:p w:rsidR="00A90A3F" w:rsidRPr="001F70D4" w:rsidRDefault="00A90A3F" w:rsidP="00A90A3F">
      <w:pPr>
        <w:pStyle w:val="Item"/>
      </w:pPr>
      <w:r w:rsidRPr="001F70D4">
        <w:t>Omit “87(11)(b) and 90KA(b)”, substitute “87(11)(b), 90KA(b) and 90UN(b),”.</w:t>
      </w:r>
    </w:p>
    <w:p w:rsidR="00A90A3F" w:rsidRPr="001F70D4" w:rsidRDefault="00C63336" w:rsidP="00A90A3F">
      <w:pPr>
        <w:pStyle w:val="ItemHead"/>
      </w:pPr>
      <w:r w:rsidRPr="001F70D4">
        <w:t>10</w:t>
      </w:r>
      <w:r w:rsidR="00A90A3F" w:rsidRPr="001F70D4">
        <w:t xml:space="preserve">  Subrule 18.06(2) (at the end of table 18.5)</w:t>
      </w:r>
    </w:p>
    <w:p w:rsidR="00A90A3F" w:rsidRPr="001F70D4" w:rsidRDefault="00A90A3F" w:rsidP="00A90A3F">
      <w:pPr>
        <w:pStyle w:val="Item"/>
      </w:pPr>
      <w:r w:rsidRPr="001F70D4">
        <w:t>Add:</w:t>
      </w:r>
    </w:p>
    <w:tbl>
      <w:tblPr>
        <w:tblW w:w="6019" w:type="dxa"/>
        <w:tblInd w:w="1242" w:type="dxa"/>
        <w:tblLayout w:type="fixed"/>
        <w:tblLook w:val="0000" w:firstRow="0" w:lastRow="0" w:firstColumn="0" w:lastColumn="0" w:noHBand="0" w:noVBand="0"/>
      </w:tblPr>
      <w:tblGrid>
        <w:gridCol w:w="714"/>
        <w:gridCol w:w="5305"/>
      </w:tblGrid>
      <w:tr w:rsidR="00A90A3F" w:rsidRPr="001F70D4" w:rsidTr="0078313B">
        <w:tc>
          <w:tcPr>
            <w:tcW w:w="714" w:type="dxa"/>
            <w:shd w:val="clear" w:color="auto" w:fill="auto"/>
          </w:tcPr>
          <w:p w:rsidR="00A90A3F" w:rsidRPr="001F70D4" w:rsidRDefault="00A90A3F" w:rsidP="0078313B">
            <w:pPr>
              <w:pStyle w:val="Tabletext"/>
            </w:pPr>
            <w:r w:rsidRPr="001F70D4">
              <w:t>44</w:t>
            </w:r>
          </w:p>
        </w:tc>
        <w:tc>
          <w:tcPr>
            <w:tcW w:w="5305" w:type="dxa"/>
            <w:shd w:val="clear" w:color="auto" w:fill="auto"/>
          </w:tcPr>
          <w:p w:rsidR="00A90A3F" w:rsidRPr="001F70D4" w:rsidRDefault="00A90A3F" w:rsidP="0078313B">
            <w:pPr>
              <w:pStyle w:val="Tabletext"/>
            </w:pPr>
            <w:r w:rsidRPr="001F70D4">
              <w:t>Chapter</w:t>
            </w:r>
            <w:r w:rsidR="001F70D4" w:rsidRPr="001F70D4">
              <w:t> </w:t>
            </w:r>
            <w:r w:rsidRPr="001F70D4">
              <w:t>26A</w:t>
            </w:r>
          </w:p>
        </w:tc>
      </w:tr>
    </w:tbl>
    <w:p w:rsidR="00A90A3F" w:rsidRPr="001F70D4" w:rsidRDefault="00C63336" w:rsidP="00A90A3F">
      <w:pPr>
        <w:pStyle w:val="ItemHead"/>
      </w:pPr>
      <w:r w:rsidRPr="001F70D4">
        <w:t>11</w:t>
      </w:r>
      <w:r w:rsidR="00A90A3F" w:rsidRPr="001F70D4">
        <w:t xml:space="preserve">  At the end of paragraph</w:t>
      </w:r>
      <w:r w:rsidR="001F70D4" w:rsidRPr="001F70D4">
        <w:t> </w:t>
      </w:r>
      <w:r w:rsidR="00A90A3F" w:rsidRPr="001F70D4">
        <w:t>20.04(d)</w:t>
      </w:r>
    </w:p>
    <w:p w:rsidR="00A90A3F" w:rsidRPr="001F70D4" w:rsidRDefault="00A90A3F" w:rsidP="00A90A3F">
      <w:pPr>
        <w:pStyle w:val="Item"/>
      </w:pPr>
      <w:r w:rsidRPr="001F70D4">
        <w:t>Add “or the Assessment Act”.</w:t>
      </w:r>
    </w:p>
    <w:p w:rsidR="00A90A3F" w:rsidRPr="001F70D4" w:rsidRDefault="00C63336" w:rsidP="00A90A3F">
      <w:pPr>
        <w:pStyle w:val="ItemHead"/>
      </w:pPr>
      <w:r w:rsidRPr="001F70D4">
        <w:t>12</w:t>
      </w:r>
      <w:r w:rsidR="00A90A3F" w:rsidRPr="001F70D4">
        <w:t xml:space="preserve">  Rule</w:t>
      </w:r>
      <w:r w:rsidR="001F70D4" w:rsidRPr="001F70D4">
        <w:t> </w:t>
      </w:r>
      <w:r w:rsidR="00A90A3F" w:rsidRPr="001F70D4">
        <w:t>20.04 (at the end of the note)</w:t>
      </w:r>
    </w:p>
    <w:p w:rsidR="00A90A3F" w:rsidRPr="001F70D4" w:rsidRDefault="00A90A3F" w:rsidP="00A90A3F">
      <w:pPr>
        <w:pStyle w:val="Item"/>
      </w:pPr>
      <w:r w:rsidRPr="001F70D4">
        <w:t>Add “and section</w:t>
      </w:r>
      <w:r w:rsidR="001F70D4" w:rsidRPr="001F70D4">
        <w:t> </w:t>
      </w:r>
      <w:r w:rsidRPr="001F70D4">
        <w:t>79 of the Assessment Act”.</w:t>
      </w:r>
    </w:p>
    <w:p w:rsidR="00A90A3F" w:rsidRPr="001F70D4" w:rsidRDefault="00C63336" w:rsidP="00A90A3F">
      <w:pPr>
        <w:pStyle w:val="ItemHead"/>
      </w:pPr>
      <w:r w:rsidRPr="001F70D4">
        <w:t>13</w:t>
      </w:r>
      <w:r w:rsidR="00A90A3F" w:rsidRPr="001F70D4">
        <w:t xml:space="preserve">  Rule</w:t>
      </w:r>
      <w:r w:rsidR="001F70D4" w:rsidRPr="001F70D4">
        <w:t> </w:t>
      </w:r>
      <w:r w:rsidR="00A90A3F" w:rsidRPr="001F70D4">
        <w:t>22.02 (note 3)</w:t>
      </w:r>
    </w:p>
    <w:p w:rsidR="00A90A3F" w:rsidRPr="001F70D4" w:rsidRDefault="00A90A3F" w:rsidP="00A90A3F">
      <w:pPr>
        <w:pStyle w:val="Item"/>
      </w:pPr>
      <w:r w:rsidRPr="001F70D4">
        <w:t>Omit “For the number of copies of a document to file, see rule</w:t>
      </w:r>
      <w:r w:rsidR="001F70D4" w:rsidRPr="001F70D4">
        <w:t> </w:t>
      </w:r>
      <w:r w:rsidRPr="001F70D4">
        <w:t>24.08.”.</w:t>
      </w:r>
    </w:p>
    <w:p w:rsidR="00A90A3F" w:rsidRPr="001F70D4" w:rsidRDefault="00C63336" w:rsidP="00A90A3F">
      <w:pPr>
        <w:pStyle w:val="ItemHead"/>
      </w:pPr>
      <w:r w:rsidRPr="001F70D4">
        <w:t>14</w:t>
      </w:r>
      <w:r w:rsidR="00A90A3F" w:rsidRPr="001F70D4">
        <w:t xml:space="preserve">  </w:t>
      </w:r>
      <w:r w:rsidR="00F026AF" w:rsidRPr="001F70D4">
        <w:t>Subrule</w:t>
      </w:r>
      <w:r w:rsidR="00E051DA" w:rsidRPr="001F70D4">
        <w:t xml:space="preserve"> </w:t>
      </w:r>
      <w:r w:rsidR="00A90A3F" w:rsidRPr="001F70D4">
        <w:t>22.22</w:t>
      </w:r>
      <w:r w:rsidR="00F026AF" w:rsidRPr="001F70D4">
        <w:t>(2)</w:t>
      </w:r>
      <w:r w:rsidR="00A90A3F" w:rsidRPr="001F70D4">
        <w:t xml:space="preserve"> (note)</w:t>
      </w:r>
    </w:p>
    <w:p w:rsidR="00A90A3F" w:rsidRPr="001F70D4" w:rsidRDefault="00A90A3F" w:rsidP="00A90A3F">
      <w:pPr>
        <w:pStyle w:val="Item"/>
      </w:pPr>
      <w:r w:rsidRPr="001F70D4">
        <w:t>Repeal the note.</w:t>
      </w:r>
    </w:p>
    <w:p w:rsidR="00A90A3F" w:rsidRPr="001F70D4" w:rsidRDefault="00C63336" w:rsidP="00A90A3F">
      <w:pPr>
        <w:pStyle w:val="ItemHead"/>
      </w:pPr>
      <w:r w:rsidRPr="001F70D4">
        <w:t>15</w:t>
      </w:r>
      <w:r w:rsidR="00A90A3F" w:rsidRPr="001F70D4">
        <w:t xml:space="preserve">  Rule</w:t>
      </w:r>
      <w:r w:rsidR="001F70D4" w:rsidRPr="001F70D4">
        <w:t> </w:t>
      </w:r>
      <w:r w:rsidR="00A90A3F" w:rsidRPr="001F70D4">
        <w:t>22.36 (note 2)</w:t>
      </w:r>
    </w:p>
    <w:p w:rsidR="00A90A3F" w:rsidRPr="001F70D4" w:rsidRDefault="00A90A3F" w:rsidP="00A90A3F">
      <w:pPr>
        <w:pStyle w:val="Item"/>
      </w:pPr>
      <w:r w:rsidRPr="001F70D4">
        <w:t>Repeal the note.</w:t>
      </w:r>
    </w:p>
    <w:p w:rsidR="00A90A3F" w:rsidRPr="001F70D4" w:rsidRDefault="00C63336" w:rsidP="00A90A3F">
      <w:pPr>
        <w:pStyle w:val="ItemHead"/>
      </w:pPr>
      <w:r w:rsidRPr="001F70D4">
        <w:t>16</w:t>
      </w:r>
      <w:r w:rsidR="00A90A3F" w:rsidRPr="001F70D4">
        <w:t xml:space="preserve">  Rule</w:t>
      </w:r>
      <w:r w:rsidR="001F70D4" w:rsidRPr="001F70D4">
        <w:t> </w:t>
      </w:r>
      <w:r w:rsidR="00A90A3F" w:rsidRPr="001F70D4">
        <w:t>22.36 (note 3)</w:t>
      </w:r>
    </w:p>
    <w:p w:rsidR="00A90A3F" w:rsidRPr="001F70D4" w:rsidRDefault="00A90A3F" w:rsidP="00A90A3F">
      <w:pPr>
        <w:pStyle w:val="Item"/>
      </w:pPr>
      <w:r w:rsidRPr="001F70D4">
        <w:t>Omit “Note 3”, substitute “Note 2”.</w:t>
      </w:r>
    </w:p>
    <w:p w:rsidR="00A90A3F" w:rsidRPr="001F70D4" w:rsidRDefault="00C63336" w:rsidP="00A90A3F">
      <w:pPr>
        <w:pStyle w:val="ItemHead"/>
        <w:tabs>
          <w:tab w:val="left" w:pos="6663"/>
        </w:tabs>
      </w:pPr>
      <w:r w:rsidRPr="001F70D4">
        <w:t>17</w:t>
      </w:r>
      <w:r w:rsidR="00A90A3F" w:rsidRPr="001F70D4">
        <w:t xml:space="preserve">  Paragraph 24.01(1)(g)</w:t>
      </w:r>
    </w:p>
    <w:p w:rsidR="00A90A3F" w:rsidRPr="001F70D4" w:rsidRDefault="00A90A3F" w:rsidP="00A90A3F">
      <w:pPr>
        <w:pStyle w:val="Item"/>
      </w:pPr>
      <w:r w:rsidRPr="001F70D4">
        <w:t>Omit “include the following on the first page”, substitute “have a coversheet, in a form approved by the Principal Registrar, that includes the following”.</w:t>
      </w:r>
    </w:p>
    <w:p w:rsidR="00A90A3F" w:rsidRPr="001F70D4" w:rsidRDefault="00C63336" w:rsidP="00A90A3F">
      <w:pPr>
        <w:pStyle w:val="ItemHead"/>
      </w:pPr>
      <w:r w:rsidRPr="001F70D4">
        <w:t>18</w:t>
      </w:r>
      <w:r w:rsidR="00A90A3F" w:rsidRPr="001F70D4">
        <w:t xml:space="preserve">  Subparagraph 24.01(1)(g)(iv)</w:t>
      </w:r>
    </w:p>
    <w:p w:rsidR="00A90A3F" w:rsidRPr="001F70D4" w:rsidRDefault="00A90A3F" w:rsidP="00A90A3F">
      <w:pPr>
        <w:pStyle w:val="Item"/>
      </w:pPr>
      <w:r w:rsidRPr="001F70D4">
        <w:t>Omit “document; and”, substitute “document.”.</w:t>
      </w:r>
    </w:p>
    <w:p w:rsidR="00A90A3F" w:rsidRPr="001F70D4" w:rsidRDefault="00C63336" w:rsidP="00A90A3F">
      <w:pPr>
        <w:pStyle w:val="ItemHead"/>
      </w:pPr>
      <w:r w:rsidRPr="001F70D4">
        <w:t>19</w:t>
      </w:r>
      <w:r w:rsidR="00A90A3F" w:rsidRPr="001F70D4">
        <w:t xml:space="preserve">  Paragraph 24.01(1)(h)</w:t>
      </w:r>
    </w:p>
    <w:p w:rsidR="00A90A3F" w:rsidRPr="001F70D4" w:rsidRDefault="00A90A3F" w:rsidP="00A90A3F">
      <w:pPr>
        <w:pStyle w:val="Item"/>
      </w:pPr>
      <w:r w:rsidRPr="001F70D4">
        <w:t>Repeal the paragraph.</w:t>
      </w:r>
    </w:p>
    <w:p w:rsidR="00A90A3F" w:rsidRPr="001F70D4" w:rsidRDefault="00C63336" w:rsidP="00A90A3F">
      <w:pPr>
        <w:pStyle w:val="ItemHead"/>
      </w:pPr>
      <w:r w:rsidRPr="001F70D4">
        <w:t>20</w:t>
      </w:r>
      <w:r w:rsidR="00A90A3F" w:rsidRPr="001F70D4">
        <w:t xml:space="preserve">  Rule</w:t>
      </w:r>
      <w:r w:rsidR="001F70D4" w:rsidRPr="001F70D4">
        <w:t> </w:t>
      </w:r>
      <w:r w:rsidR="00A90A3F" w:rsidRPr="001F70D4">
        <w:t>24.06 (note 1)</w:t>
      </w:r>
    </w:p>
    <w:p w:rsidR="00A90A3F" w:rsidRPr="001F70D4" w:rsidRDefault="00A90A3F" w:rsidP="00A90A3F">
      <w:pPr>
        <w:pStyle w:val="Item"/>
      </w:pPr>
      <w:r w:rsidRPr="001F70D4">
        <w:t>Omit “Note 1”, substitute “Note”.</w:t>
      </w:r>
    </w:p>
    <w:p w:rsidR="00A90A3F" w:rsidRPr="001F70D4" w:rsidRDefault="00C63336" w:rsidP="00A90A3F">
      <w:pPr>
        <w:pStyle w:val="ItemHead"/>
      </w:pPr>
      <w:r w:rsidRPr="001F70D4">
        <w:t>21</w:t>
      </w:r>
      <w:r w:rsidR="00A90A3F" w:rsidRPr="001F70D4">
        <w:t xml:space="preserve">  Rule</w:t>
      </w:r>
      <w:r w:rsidR="001F70D4" w:rsidRPr="001F70D4">
        <w:t> </w:t>
      </w:r>
      <w:r w:rsidR="00A90A3F" w:rsidRPr="001F70D4">
        <w:t>24.06 (note 2)</w:t>
      </w:r>
    </w:p>
    <w:p w:rsidR="00A90A3F" w:rsidRPr="001F70D4" w:rsidRDefault="00A90A3F" w:rsidP="00A90A3F">
      <w:pPr>
        <w:pStyle w:val="Item"/>
      </w:pPr>
      <w:r w:rsidRPr="001F70D4">
        <w:t>Repeal the note.</w:t>
      </w:r>
    </w:p>
    <w:p w:rsidR="00A90A3F" w:rsidRPr="001F70D4" w:rsidRDefault="00C63336" w:rsidP="00A90A3F">
      <w:pPr>
        <w:pStyle w:val="ItemHead"/>
      </w:pPr>
      <w:r w:rsidRPr="001F70D4">
        <w:t>22</w:t>
      </w:r>
      <w:r w:rsidR="00A90A3F" w:rsidRPr="001F70D4">
        <w:t xml:space="preserve">  Rule</w:t>
      </w:r>
      <w:r w:rsidR="001F70D4" w:rsidRPr="001F70D4">
        <w:t> </w:t>
      </w:r>
      <w:r w:rsidR="00A90A3F" w:rsidRPr="001F70D4">
        <w:t>24.08</w:t>
      </w:r>
    </w:p>
    <w:p w:rsidR="00A90A3F" w:rsidRPr="001F70D4" w:rsidRDefault="00A90A3F" w:rsidP="00A90A3F">
      <w:pPr>
        <w:pStyle w:val="Item"/>
      </w:pPr>
      <w:r w:rsidRPr="001F70D4">
        <w:t>Repeal the rule.</w:t>
      </w:r>
    </w:p>
    <w:p w:rsidR="00A90A3F" w:rsidRPr="001F70D4" w:rsidRDefault="00C63336" w:rsidP="00A90A3F">
      <w:pPr>
        <w:pStyle w:val="ItemHead"/>
        <w:tabs>
          <w:tab w:val="left" w:pos="6663"/>
        </w:tabs>
      </w:pPr>
      <w:r w:rsidRPr="001F70D4">
        <w:t>23</w:t>
      </w:r>
      <w:r w:rsidR="00A90A3F" w:rsidRPr="001F70D4">
        <w:t xml:space="preserve">  After paragraph</w:t>
      </w:r>
      <w:r w:rsidR="001F70D4" w:rsidRPr="001F70D4">
        <w:t> </w:t>
      </w:r>
      <w:r w:rsidR="00A90A3F" w:rsidRPr="001F70D4">
        <w:t>24.13(1)(b)</w:t>
      </w:r>
    </w:p>
    <w:p w:rsidR="00A90A3F" w:rsidRPr="001F70D4" w:rsidRDefault="00A90A3F" w:rsidP="00A90A3F">
      <w:pPr>
        <w:pStyle w:val="Item"/>
      </w:pPr>
      <w:r w:rsidRPr="001F70D4">
        <w:t>Insert:</w:t>
      </w:r>
    </w:p>
    <w:p w:rsidR="00A90A3F" w:rsidRPr="001F70D4" w:rsidRDefault="00A90A3F" w:rsidP="00A90A3F">
      <w:pPr>
        <w:pStyle w:val="paragraph"/>
      </w:pPr>
      <w:r w:rsidRPr="001F70D4">
        <w:tab/>
        <w:t>(</w:t>
      </w:r>
      <w:proofErr w:type="spellStart"/>
      <w:r w:rsidRPr="001F70D4">
        <w:t>ba</w:t>
      </w:r>
      <w:proofErr w:type="spellEnd"/>
      <w:r w:rsidRPr="001F70D4">
        <w:t>)</w:t>
      </w:r>
      <w:r w:rsidRPr="001F70D4">
        <w:tab/>
        <w:t>if the case affects, or may affect, the welfare of a child—a child welfare officer of a State or Territory;</w:t>
      </w:r>
    </w:p>
    <w:p w:rsidR="00A90A3F" w:rsidRPr="001F70D4" w:rsidRDefault="00C63336" w:rsidP="00A90A3F">
      <w:pPr>
        <w:pStyle w:val="ItemHead"/>
      </w:pPr>
      <w:r w:rsidRPr="001F70D4">
        <w:t>24</w:t>
      </w:r>
      <w:r w:rsidR="00A90A3F" w:rsidRPr="001F70D4">
        <w:t xml:space="preserve">  After Chapter</w:t>
      </w:r>
      <w:r w:rsidR="001F70D4" w:rsidRPr="001F70D4">
        <w:t> </w:t>
      </w:r>
      <w:r w:rsidR="00A90A3F" w:rsidRPr="001F70D4">
        <w:t>26</w:t>
      </w:r>
    </w:p>
    <w:p w:rsidR="00A90A3F" w:rsidRPr="001F70D4" w:rsidRDefault="00A90A3F" w:rsidP="00A90A3F">
      <w:pPr>
        <w:pStyle w:val="Item"/>
      </w:pPr>
      <w:r w:rsidRPr="001F70D4">
        <w:t>Insert:</w:t>
      </w:r>
    </w:p>
    <w:p w:rsidR="00A90A3F" w:rsidRPr="001F70D4" w:rsidRDefault="00A90A3F" w:rsidP="00A90A3F">
      <w:pPr>
        <w:pStyle w:val="ActHead1"/>
      </w:pPr>
      <w:bookmarkStart w:id="15" w:name="_Toc406142311"/>
      <w:r w:rsidRPr="001F70D4">
        <w:rPr>
          <w:rStyle w:val="CharChapNo"/>
        </w:rPr>
        <w:t>Chapter</w:t>
      </w:r>
      <w:r w:rsidR="001F70D4" w:rsidRPr="001F70D4">
        <w:rPr>
          <w:rStyle w:val="CharChapNo"/>
        </w:rPr>
        <w:t> </w:t>
      </w:r>
      <w:r w:rsidRPr="001F70D4">
        <w:rPr>
          <w:rStyle w:val="CharChapNo"/>
        </w:rPr>
        <w:t>26A</w:t>
      </w:r>
      <w:r w:rsidRPr="001F70D4">
        <w:t>—</w:t>
      </w:r>
      <w:r w:rsidRPr="001F70D4">
        <w:rPr>
          <w:rStyle w:val="CharChapText"/>
        </w:rPr>
        <w:t>Cases to which the Trans</w:t>
      </w:r>
      <w:r w:rsidR="001F70D4" w:rsidRPr="001F70D4">
        <w:rPr>
          <w:rStyle w:val="CharChapText"/>
        </w:rPr>
        <w:noBreakHyphen/>
      </w:r>
      <w:r w:rsidRPr="001F70D4">
        <w:rPr>
          <w:rStyle w:val="CharChapText"/>
        </w:rPr>
        <w:t>Tasman Proceedings Act 2010 applies</w:t>
      </w:r>
      <w:bookmarkEnd w:id="15"/>
    </w:p>
    <w:p w:rsidR="00A90A3F" w:rsidRPr="001F70D4" w:rsidRDefault="00A90A3F" w:rsidP="00A90A3F">
      <w:pPr>
        <w:pStyle w:val="SOText"/>
        <w:rPr>
          <w:i/>
        </w:rPr>
      </w:pPr>
      <w:r w:rsidRPr="001F70D4">
        <w:rPr>
          <w:i/>
        </w:rPr>
        <w:t>Summary of Chapter</w:t>
      </w:r>
      <w:r w:rsidR="001F70D4" w:rsidRPr="001F70D4">
        <w:rPr>
          <w:i/>
        </w:rPr>
        <w:t> </w:t>
      </w:r>
      <w:r w:rsidRPr="001F70D4">
        <w:rPr>
          <w:i/>
        </w:rPr>
        <w:t>26A</w:t>
      </w:r>
    </w:p>
    <w:p w:rsidR="00A90A3F" w:rsidRPr="001F70D4" w:rsidRDefault="00A90A3F" w:rsidP="00A90A3F">
      <w:pPr>
        <w:pStyle w:val="SOText"/>
      </w:pPr>
      <w:r w:rsidRPr="001F70D4">
        <w:t>Chapter</w:t>
      </w:r>
      <w:r w:rsidR="001F70D4" w:rsidRPr="001F70D4">
        <w:t> </w:t>
      </w:r>
      <w:r w:rsidRPr="001F70D4">
        <w:t xml:space="preserve">26A sets out the rules about a case in a Family Court to which the </w:t>
      </w:r>
      <w:r w:rsidRPr="001F70D4">
        <w:rPr>
          <w:i/>
        </w:rPr>
        <w:t>Trans</w:t>
      </w:r>
      <w:r w:rsidR="001F70D4">
        <w:rPr>
          <w:i/>
        </w:rPr>
        <w:noBreakHyphen/>
      </w:r>
      <w:r w:rsidRPr="001F70D4">
        <w:rPr>
          <w:i/>
        </w:rPr>
        <w:t>Tasman Proceedings Act 2010</w:t>
      </w:r>
      <w:r w:rsidRPr="001F70D4">
        <w:t xml:space="preserve"> applies. Delegation of the Family Court’s power in such cases is set out in Chapter</w:t>
      </w:r>
      <w:r w:rsidR="001F70D4" w:rsidRPr="001F70D4">
        <w:t> </w:t>
      </w:r>
      <w:r w:rsidRPr="001F70D4">
        <w:t>18 of these Rules.</w:t>
      </w:r>
    </w:p>
    <w:p w:rsidR="00A90A3F" w:rsidRPr="001F70D4" w:rsidRDefault="00A90A3F" w:rsidP="00A90A3F">
      <w:pPr>
        <w:pStyle w:val="SOText"/>
        <w:rPr>
          <w:b/>
          <w:i/>
        </w:rPr>
      </w:pPr>
      <w:r w:rsidRPr="001F70D4">
        <w:rPr>
          <w:b/>
          <w:i/>
        </w:rPr>
        <w:t>The rules in Chapter</w:t>
      </w:r>
      <w:r w:rsidR="001F70D4" w:rsidRPr="001F70D4">
        <w:rPr>
          <w:b/>
          <w:i/>
        </w:rPr>
        <w:t> </w:t>
      </w:r>
      <w:r w:rsidRPr="001F70D4">
        <w:rPr>
          <w:b/>
          <w:i/>
        </w:rPr>
        <w:t>1 relating to the court’s general powers apply in all cases and override all other provisions in these Rules.</w:t>
      </w:r>
    </w:p>
    <w:p w:rsidR="00A90A3F" w:rsidRPr="001F70D4" w:rsidRDefault="00A90A3F" w:rsidP="00A90A3F">
      <w:pPr>
        <w:pStyle w:val="SOText"/>
        <w:rPr>
          <w:b/>
          <w:i/>
        </w:rPr>
      </w:pPr>
      <w:r w:rsidRPr="001F70D4">
        <w:rPr>
          <w:b/>
          <w:i/>
        </w:rPr>
        <w:t>A word or expression used in this Chapter may be defined in the dictionary at the end of these Rules.</w:t>
      </w:r>
    </w:p>
    <w:p w:rsidR="00A90A3F" w:rsidRPr="001F70D4" w:rsidRDefault="00A90A3F" w:rsidP="00A90A3F">
      <w:pPr>
        <w:pStyle w:val="Header"/>
      </w:pPr>
      <w:r w:rsidRPr="001F70D4">
        <w:t xml:space="preserve">  </w:t>
      </w:r>
    </w:p>
    <w:p w:rsidR="00A90A3F" w:rsidRPr="001F70D4" w:rsidRDefault="00A90A3F" w:rsidP="00A90A3F">
      <w:pPr>
        <w:pStyle w:val="Header"/>
      </w:pPr>
      <w:r w:rsidRPr="001F70D4">
        <w:t xml:space="preserve">  </w:t>
      </w:r>
    </w:p>
    <w:p w:rsidR="00A90A3F" w:rsidRPr="001F70D4" w:rsidRDefault="00A90A3F" w:rsidP="00A90A3F">
      <w:pPr>
        <w:pStyle w:val="ActHead5"/>
        <w:rPr>
          <w:i/>
        </w:rPr>
      </w:pPr>
      <w:bookmarkStart w:id="16" w:name="_Toc406142312"/>
      <w:r w:rsidRPr="001F70D4">
        <w:rPr>
          <w:rStyle w:val="CharSectno"/>
        </w:rPr>
        <w:t>26A.01</w:t>
      </w:r>
      <w:r w:rsidRPr="001F70D4">
        <w:t xml:space="preserve">  Application of Division</w:t>
      </w:r>
      <w:r w:rsidR="001F70D4" w:rsidRPr="001F70D4">
        <w:t> </w:t>
      </w:r>
      <w:r w:rsidRPr="001F70D4">
        <w:t xml:space="preserve">34.4 of the </w:t>
      </w:r>
      <w:r w:rsidRPr="001F70D4">
        <w:rPr>
          <w:i/>
        </w:rPr>
        <w:t>Federal Court Rules</w:t>
      </w:r>
      <w:r w:rsidR="001F70D4" w:rsidRPr="001F70D4">
        <w:rPr>
          <w:i/>
        </w:rPr>
        <w:t> </w:t>
      </w:r>
      <w:r w:rsidRPr="001F70D4">
        <w:rPr>
          <w:i/>
        </w:rPr>
        <w:t>2011</w:t>
      </w:r>
      <w:bookmarkEnd w:id="16"/>
    </w:p>
    <w:p w:rsidR="00A90A3F" w:rsidRPr="001F70D4" w:rsidRDefault="00A90A3F" w:rsidP="00A90A3F">
      <w:pPr>
        <w:pStyle w:val="subsection"/>
      </w:pPr>
      <w:r w:rsidRPr="001F70D4">
        <w:tab/>
      </w:r>
      <w:r w:rsidRPr="001F70D4">
        <w:tab/>
        <w:t>Division</w:t>
      </w:r>
      <w:r w:rsidR="001F70D4" w:rsidRPr="001F70D4">
        <w:t> </w:t>
      </w:r>
      <w:r w:rsidRPr="001F70D4">
        <w:t xml:space="preserve">34.4 of the </w:t>
      </w:r>
      <w:r w:rsidRPr="001F70D4">
        <w:rPr>
          <w:i/>
        </w:rPr>
        <w:t>Federal Court Rules</w:t>
      </w:r>
      <w:r w:rsidR="001F70D4" w:rsidRPr="001F70D4">
        <w:rPr>
          <w:i/>
        </w:rPr>
        <w:t> </w:t>
      </w:r>
      <w:r w:rsidRPr="001F70D4">
        <w:rPr>
          <w:i/>
        </w:rPr>
        <w:t>2011</w:t>
      </w:r>
      <w:r w:rsidRPr="001F70D4">
        <w:t>, as modified by rule</w:t>
      </w:r>
      <w:r w:rsidR="001F70D4" w:rsidRPr="001F70D4">
        <w:t> </w:t>
      </w:r>
      <w:r w:rsidRPr="001F70D4">
        <w:t>26A.02 or an order, applies to a proceeding in a Family Court as if the rules in that Division were provisions of these Rules.</w:t>
      </w:r>
    </w:p>
    <w:p w:rsidR="00A90A3F" w:rsidRPr="001F70D4" w:rsidRDefault="00A90A3F" w:rsidP="00A90A3F">
      <w:pPr>
        <w:pStyle w:val="ActHead5"/>
      </w:pPr>
      <w:bookmarkStart w:id="17" w:name="_Toc406142313"/>
      <w:r w:rsidRPr="001F70D4">
        <w:rPr>
          <w:rStyle w:val="CharSectno"/>
        </w:rPr>
        <w:t>26A.02</w:t>
      </w:r>
      <w:r w:rsidRPr="001F70D4">
        <w:t xml:space="preserve">  Modification of the </w:t>
      </w:r>
      <w:r w:rsidRPr="001F70D4">
        <w:rPr>
          <w:i/>
        </w:rPr>
        <w:t>Federal Court Rules</w:t>
      </w:r>
      <w:r w:rsidR="001F70D4" w:rsidRPr="001F70D4">
        <w:rPr>
          <w:i/>
        </w:rPr>
        <w:t> </w:t>
      </w:r>
      <w:r w:rsidRPr="001F70D4">
        <w:rPr>
          <w:i/>
        </w:rPr>
        <w:t>2011</w:t>
      </w:r>
      <w:bookmarkEnd w:id="17"/>
    </w:p>
    <w:p w:rsidR="00A90A3F" w:rsidRPr="001F70D4" w:rsidRDefault="00A90A3F" w:rsidP="00A90A3F">
      <w:pPr>
        <w:pStyle w:val="subsection"/>
      </w:pPr>
      <w:r w:rsidRPr="001F70D4">
        <w:tab/>
        <w:t>(1)</w:t>
      </w:r>
      <w:r w:rsidRPr="001F70D4">
        <w:tab/>
        <w:t>For the purposes of rule</w:t>
      </w:r>
      <w:r w:rsidR="001F70D4" w:rsidRPr="001F70D4">
        <w:t> </w:t>
      </w:r>
      <w:r w:rsidRPr="001F70D4">
        <w:t>26A.01, Division</w:t>
      </w:r>
      <w:r w:rsidR="001F70D4" w:rsidRPr="001F70D4">
        <w:t> </w:t>
      </w:r>
      <w:r w:rsidRPr="001F70D4">
        <w:t xml:space="preserve">34.4 of the </w:t>
      </w:r>
      <w:r w:rsidRPr="001F70D4">
        <w:rPr>
          <w:i/>
        </w:rPr>
        <w:t>Federal Court Rules</w:t>
      </w:r>
      <w:r w:rsidR="001F70D4" w:rsidRPr="001F70D4">
        <w:rPr>
          <w:i/>
        </w:rPr>
        <w:t> </w:t>
      </w:r>
      <w:r w:rsidRPr="001F70D4">
        <w:rPr>
          <w:i/>
        </w:rPr>
        <w:t>2011</w:t>
      </w:r>
      <w:r w:rsidRPr="001F70D4">
        <w:t xml:space="preserve"> is modified as follows:</w:t>
      </w:r>
    </w:p>
    <w:p w:rsidR="00A90A3F" w:rsidRPr="001F70D4" w:rsidRDefault="00A90A3F" w:rsidP="00A90A3F">
      <w:pPr>
        <w:pStyle w:val="paragraph"/>
      </w:pPr>
      <w:r w:rsidRPr="001F70D4">
        <w:tab/>
        <w:t>(a)</w:t>
      </w:r>
      <w:r w:rsidRPr="001F70D4">
        <w:tab/>
        <w:t>a reference to an originating application is taken to be a reference to an Initiating Application;</w:t>
      </w:r>
    </w:p>
    <w:p w:rsidR="00A90A3F" w:rsidRPr="001F70D4" w:rsidRDefault="00A90A3F" w:rsidP="00A90A3F">
      <w:pPr>
        <w:pStyle w:val="paragraph"/>
      </w:pPr>
      <w:r w:rsidRPr="001F70D4">
        <w:tab/>
        <w:t>(b)</w:t>
      </w:r>
      <w:r w:rsidRPr="001F70D4">
        <w:tab/>
        <w:t>a reference to an interlocutory application is taken to be a reference to an Application in a Case;</w:t>
      </w:r>
    </w:p>
    <w:p w:rsidR="00A90A3F" w:rsidRPr="001F70D4" w:rsidRDefault="00A90A3F" w:rsidP="00A90A3F">
      <w:pPr>
        <w:pStyle w:val="paragraph"/>
      </w:pPr>
      <w:r w:rsidRPr="001F70D4">
        <w:tab/>
        <w:t>(c)</w:t>
      </w:r>
      <w:r w:rsidRPr="001F70D4">
        <w:tab/>
        <w:t>a reference to an application or subpoena being in accordance with a Form is to be disregarded.</w:t>
      </w:r>
    </w:p>
    <w:p w:rsidR="00A90A3F" w:rsidRPr="001F70D4" w:rsidRDefault="00A90A3F" w:rsidP="00A90A3F">
      <w:pPr>
        <w:pStyle w:val="subsection"/>
      </w:pPr>
      <w:r w:rsidRPr="001F70D4">
        <w:tab/>
        <w:t>(2)</w:t>
      </w:r>
      <w:r w:rsidRPr="001F70D4">
        <w:tab/>
        <w:t>For the purposes of rule</w:t>
      </w:r>
      <w:r w:rsidR="001F70D4" w:rsidRPr="001F70D4">
        <w:t> </w:t>
      </w:r>
      <w:r w:rsidRPr="001F70D4">
        <w:t>26A.01, Division</w:t>
      </w:r>
      <w:r w:rsidR="001F70D4" w:rsidRPr="001F70D4">
        <w:t> </w:t>
      </w:r>
      <w:r w:rsidRPr="001F70D4">
        <w:t xml:space="preserve">34.4 of the </w:t>
      </w:r>
      <w:r w:rsidRPr="001F70D4">
        <w:rPr>
          <w:i/>
        </w:rPr>
        <w:t>Federal Court Rules</w:t>
      </w:r>
      <w:r w:rsidR="001F70D4" w:rsidRPr="001F70D4">
        <w:rPr>
          <w:i/>
        </w:rPr>
        <w:t> </w:t>
      </w:r>
      <w:r w:rsidRPr="001F70D4">
        <w:rPr>
          <w:i/>
        </w:rPr>
        <w:t>2011</w:t>
      </w:r>
      <w:r w:rsidRPr="001F70D4">
        <w:t xml:space="preserve"> is also modified in accordance with Table 26A.1.</w:t>
      </w:r>
    </w:p>
    <w:p w:rsidR="00A90A3F" w:rsidRPr="001F70D4" w:rsidRDefault="00A90A3F" w:rsidP="00A90A3F">
      <w:pPr>
        <w:pStyle w:val="Tabletext"/>
      </w:pPr>
    </w:p>
    <w:tbl>
      <w:tblPr>
        <w:tblW w:w="5957" w:type="dxa"/>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126"/>
        <w:gridCol w:w="1985"/>
        <w:gridCol w:w="1137"/>
      </w:tblGrid>
      <w:tr w:rsidR="00A90A3F" w:rsidRPr="001F70D4" w:rsidTr="0078313B">
        <w:trPr>
          <w:tblHeader/>
        </w:trPr>
        <w:tc>
          <w:tcPr>
            <w:tcW w:w="5957" w:type="dxa"/>
            <w:gridSpan w:val="4"/>
            <w:tcBorders>
              <w:top w:val="single" w:sz="12" w:space="0" w:color="auto"/>
              <w:bottom w:val="single" w:sz="6" w:space="0" w:color="auto"/>
            </w:tcBorders>
            <w:shd w:val="clear" w:color="auto" w:fill="auto"/>
          </w:tcPr>
          <w:p w:rsidR="00A90A3F" w:rsidRPr="001F70D4" w:rsidRDefault="00A90A3F" w:rsidP="0078313B">
            <w:pPr>
              <w:pStyle w:val="TableHeading"/>
              <w:rPr>
                <w:i/>
              </w:rPr>
            </w:pPr>
            <w:r w:rsidRPr="001F70D4">
              <w:t xml:space="preserve">Table 26A.1—Additional modifications of the </w:t>
            </w:r>
            <w:r w:rsidRPr="001F70D4">
              <w:rPr>
                <w:i/>
              </w:rPr>
              <w:t>Federal Court Rules</w:t>
            </w:r>
            <w:r w:rsidR="001F70D4" w:rsidRPr="001F70D4">
              <w:rPr>
                <w:i/>
              </w:rPr>
              <w:t> </w:t>
            </w:r>
            <w:r w:rsidRPr="001F70D4">
              <w:rPr>
                <w:i/>
              </w:rPr>
              <w:t>2011</w:t>
            </w:r>
          </w:p>
        </w:tc>
      </w:tr>
      <w:tr w:rsidR="00A90A3F" w:rsidRPr="001F70D4" w:rsidTr="0078313B">
        <w:trPr>
          <w:tblHeader/>
        </w:trPr>
        <w:tc>
          <w:tcPr>
            <w:tcW w:w="709" w:type="dxa"/>
            <w:tcBorders>
              <w:top w:val="single" w:sz="6" w:space="0" w:color="auto"/>
              <w:bottom w:val="single" w:sz="12" w:space="0" w:color="auto"/>
            </w:tcBorders>
            <w:shd w:val="clear" w:color="auto" w:fill="auto"/>
          </w:tcPr>
          <w:p w:rsidR="00A90A3F" w:rsidRPr="001F70D4" w:rsidRDefault="00A90A3F" w:rsidP="0078313B">
            <w:pPr>
              <w:pStyle w:val="TableHeading"/>
            </w:pPr>
            <w:r w:rsidRPr="001F70D4">
              <w:t>Item</w:t>
            </w:r>
          </w:p>
        </w:tc>
        <w:tc>
          <w:tcPr>
            <w:tcW w:w="2126" w:type="dxa"/>
            <w:tcBorders>
              <w:top w:val="single" w:sz="6" w:space="0" w:color="auto"/>
              <w:bottom w:val="single" w:sz="12" w:space="0" w:color="auto"/>
            </w:tcBorders>
            <w:shd w:val="clear" w:color="auto" w:fill="auto"/>
          </w:tcPr>
          <w:p w:rsidR="00A90A3F" w:rsidRPr="001F70D4" w:rsidRDefault="00A90A3F" w:rsidP="0078313B">
            <w:pPr>
              <w:pStyle w:val="TableHeading"/>
            </w:pPr>
            <w:r w:rsidRPr="001F70D4">
              <w:t>Provision</w:t>
            </w:r>
          </w:p>
        </w:tc>
        <w:tc>
          <w:tcPr>
            <w:tcW w:w="1985" w:type="dxa"/>
            <w:tcBorders>
              <w:top w:val="single" w:sz="6" w:space="0" w:color="auto"/>
              <w:bottom w:val="single" w:sz="12" w:space="0" w:color="auto"/>
            </w:tcBorders>
            <w:shd w:val="clear" w:color="auto" w:fill="auto"/>
          </w:tcPr>
          <w:p w:rsidR="00A90A3F" w:rsidRPr="001F70D4" w:rsidRDefault="00A90A3F" w:rsidP="0078313B">
            <w:pPr>
              <w:pStyle w:val="TableHeading"/>
            </w:pPr>
            <w:r w:rsidRPr="001F70D4">
              <w:t>Omit</w:t>
            </w:r>
          </w:p>
        </w:tc>
        <w:tc>
          <w:tcPr>
            <w:tcW w:w="1137" w:type="dxa"/>
            <w:tcBorders>
              <w:top w:val="single" w:sz="6" w:space="0" w:color="auto"/>
              <w:bottom w:val="single" w:sz="12" w:space="0" w:color="auto"/>
            </w:tcBorders>
            <w:shd w:val="clear" w:color="auto" w:fill="auto"/>
          </w:tcPr>
          <w:p w:rsidR="00A90A3F" w:rsidRPr="001F70D4" w:rsidRDefault="00A90A3F" w:rsidP="0078313B">
            <w:pPr>
              <w:pStyle w:val="TableHeading"/>
            </w:pPr>
            <w:r w:rsidRPr="001F70D4">
              <w:t>Substitute</w:t>
            </w:r>
          </w:p>
        </w:tc>
      </w:tr>
      <w:tr w:rsidR="00A90A3F" w:rsidRPr="001F70D4" w:rsidTr="0078313B">
        <w:tc>
          <w:tcPr>
            <w:tcW w:w="709" w:type="dxa"/>
            <w:tcBorders>
              <w:top w:val="single" w:sz="12" w:space="0" w:color="auto"/>
            </w:tcBorders>
            <w:shd w:val="clear" w:color="auto" w:fill="auto"/>
          </w:tcPr>
          <w:p w:rsidR="00A90A3F" w:rsidRPr="001F70D4" w:rsidRDefault="00A90A3F" w:rsidP="0078313B">
            <w:pPr>
              <w:pStyle w:val="Tabletext"/>
            </w:pPr>
            <w:r w:rsidRPr="001F70D4">
              <w:t>1</w:t>
            </w:r>
          </w:p>
        </w:tc>
        <w:tc>
          <w:tcPr>
            <w:tcW w:w="2126" w:type="dxa"/>
            <w:tcBorders>
              <w:top w:val="single" w:sz="12" w:space="0" w:color="auto"/>
            </w:tcBorders>
            <w:shd w:val="clear" w:color="auto" w:fill="auto"/>
          </w:tcPr>
          <w:p w:rsidR="00A90A3F" w:rsidRPr="001F70D4" w:rsidRDefault="00A90A3F" w:rsidP="0078313B">
            <w:pPr>
              <w:pStyle w:val="Tabletext"/>
            </w:pPr>
            <w:r w:rsidRPr="001F70D4">
              <w:t>Paragraph 34.63(1)(b)</w:t>
            </w:r>
          </w:p>
        </w:tc>
        <w:tc>
          <w:tcPr>
            <w:tcW w:w="1985" w:type="dxa"/>
            <w:tcBorders>
              <w:top w:val="single" w:sz="12" w:space="0" w:color="auto"/>
            </w:tcBorders>
            <w:shd w:val="clear" w:color="auto" w:fill="auto"/>
          </w:tcPr>
          <w:p w:rsidR="00A90A3F" w:rsidRPr="001F70D4" w:rsidRDefault="00A90A3F" w:rsidP="0078313B">
            <w:pPr>
              <w:pStyle w:val="Tabletext"/>
            </w:pPr>
            <w:r w:rsidRPr="001F70D4">
              <w:t>rules</w:t>
            </w:r>
            <w:r w:rsidR="001F70D4" w:rsidRPr="001F70D4">
              <w:t> </w:t>
            </w:r>
            <w:r w:rsidRPr="001F70D4">
              <w:t>8.01 and 8.03</w:t>
            </w:r>
          </w:p>
        </w:tc>
        <w:tc>
          <w:tcPr>
            <w:tcW w:w="1137" w:type="dxa"/>
            <w:tcBorders>
              <w:top w:val="single" w:sz="12" w:space="0" w:color="auto"/>
            </w:tcBorders>
            <w:shd w:val="clear" w:color="auto" w:fill="auto"/>
          </w:tcPr>
          <w:p w:rsidR="00A90A3F" w:rsidRPr="001F70D4" w:rsidRDefault="00A90A3F" w:rsidP="0078313B">
            <w:pPr>
              <w:pStyle w:val="Tabletext"/>
            </w:pPr>
            <w:r w:rsidRPr="001F70D4">
              <w:t>rule</w:t>
            </w:r>
            <w:r w:rsidR="001F70D4" w:rsidRPr="001F70D4">
              <w:t> </w:t>
            </w:r>
            <w:r w:rsidRPr="001F70D4">
              <w:t>2.01</w:t>
            </w:r>
          </w:p>
        </w:tc>
      </w:tr>
      <w:tr w:rsidR="00A90A3F" w:rsidRPr="001F70D4" w:rsidTr="0078313B">
        <w:tc>
          <w:tcPr>
            <w:tcW w:w="709" w:type="dxa"/>
            <w:tcBorders>
              <w:bottom w:val="single" w:sz="4" w:space="0" w:color="auto"/>
            </w:tcBorders>
            <w:shd w:val="clear" w:color="auto" w:fill="auto"/>
          </w:tcPr>
          <w:p w:rsidR="00A90A3F" w:rsidRPr="001F70D4" w:rsidRDefault="00A90A3F" w:rsidP="0078313B">
            <w:pPr>
              <w:pStyle w:val="Tabletext"/>
            </w:pPr>
            <w:r w:rsidRPr="001F70D4">
              <w:t>2</w:t>
            </w:r>
          </w:p>
        </w:tc>
        <w:tc>
          <w:tcPr>
            <w:tcW w:w="2126" w:type="dxa"/>
            <w:tcBorders>
              <w:bottom w:val="single" w:sz="4" w:space="0" w:color="auto"/>
            </w:tcBorders>
            <w:shd w:val="clear" w:color="auto" w:fill="auto"/>
          </w:tcPr>
          <w:p w:rsidR="00A90A3F" w:rsidRPr="001F70D4" w:rsidRDefault="00A90A3F" w:rsidP="0078313B">
            <w:pPr>
              <w:pStyle w:val="Tabletext"/>
            </w:pPr>
            <w:r w:rsidRPr="001F70D4">
              <w:t>Subparagraph 34.64(a)(ii)</w:t>
            </w:r>
          </w:p>
        </w:tc>
        <w:tc>
          <w:tcPr>
            <w:tcW w:w="1985" w:type="dxa"/>
            <w:tcBorders>
              <w:bottom w:val="single" w:sz="4" w:space="0" w:color="auto"/>
            </w:tcBorders>
            <w:shd w:val="clear" w:color="auto" w:fill="auto"/>
          </w:tcPr>
          <w:p w:rsidR="00A90A3F" w:rsidRPr="001F70D4" w:rsidRDefault="00A90A3F" w:rsidP="0078313B">
            <w:pPr>
              <w:pStyle w:val="Tabletext"/>
            </w:pPr>
            <w:r w:rsidRPr="001F70D4">
              <w:t>rule</w:t>
            </w:r>
            <w:r w:rsidR="001F70D4" w:rsidRPr="001F70D4">
              <w:t> </w:t>
            </w:r>
            <w:r w:rsidRPr="001F70D4">
              <w:t>17.01</w:t>
            </w:r>
          </w:p>
        </w:tc>
        <w:tc>
          <w:tcPr>
            <w:tcW w:w="1137" w:type="dxa"/>
            <w:tcBorders>
              <w:bottom w:val="single" w:sz="4" w:space="0" w:color="auto"/>
            </w:tcBorders>
            <w:shd w:val="clear" w:color="auto" w:fill="auto"/>
          </w:tcPr>
          <w:p w:rsidR="00A90A3F" w:rsidRPr="001F70D4" w:rsidRDefault="00A90A3F" w:rsidP="0078313B">
            <w:pPr>
              <w:pStyle w:val="Tabletext"/>
            </w:pPr>
            <w:r w:rsidRPr="001F70D4">
              <w:t>rule</w:t>
            </w:r>
            <w:r w:rsidR="001F70D4" w:rsidRPr="001F70D4">
              <w:t> </w:t>
            </w:r>
            <w:r w:rsidRPr="001F70D4">
              <w:t>5.01</w:t>
            </w:r>
          </w:p>
        </w:tc>
      </w:tr>
      <w:tr w:rsidR="00A90A3F" w:rsidRPr="001F70D4" w:rsidTr="0078313B">
        <w:tc>
          <w:tcPr>
            <w:tcW w:w="709" w:type="dxa"/>
            <w:tcBorders>
              <w:bottom w:val="single" w:sz="12" w:space="0" w:color="auto"/>
            </w:tcBorders>
            <w:shd w:val="clear" w:color="auto" w:fill="auto"/>
          </w:tcPr>
          <w:p w:rsidR="00A90A3F" w:rsidRPr="001F70D4" w:rsidRDefault="00A90A3F" w:rsidP="0078313B">
            <w:pPr>
              <w:pStyle w:val="Tabletext"/>
            </w:pPr>
            <w:r w:rsidRPr="001F70D4">
              <w:t>3</w:t>
            </w:r>
          </w:p>
        </w:tc>
        <w:tc>
          <w:tcPr>
            <w:tcW w:w="2126" w:type="dxa"/>
            <w:tcBorders>
              <w:bottom w:val="single" w:sz="12" w:space="0" w:color="auto"/>
            </w:tcBorders>
            <w:shd w:val="clear" w:color="auto" w:fill="auto"/>
          </w:tcPr>
          <w:p w:rsidR="00A90A3F" w:rsidRPr="001F70D4" w:rsidRDefault="00A90A3F" w:rsidP="0078313B">
            <w:pPr>
              <w:pStyle w:val="Tabletext"/>
            </w:pPr>
            <w:r w:rsidRPr="001F70D4">
              <w:t>Subrule 34.68(2)</w:t>
            </w:r>
          </w:p>
        </w:tc>
        <w:tc>
          <w:tcPr>
            <w:tcW w:w="1985" w:type="dxa"/>
            <w:tcBorders>
              <w:bottom w:val="single" w:sz="12" w:space="0" w:color="auto"/>
            </w:tcBorders>
            <w:shd w:val="clear" w:color="auto" w:fill="auto"/>
          </w:tcPr>
          <w:p w:rsidR="00A90A3F" w:rsidRPr="001F70D4" w:rsidRDefault="00A90A3F" w:rsidP="0078313B">
            <w:pPr>
              <w:pStyle w:val="Tabletext"/>
            </w:pPr>
            <w:r w:rsidRPr="001F70D4">
              <w:t>the whole of the subrule</w:t>
            </w:r>
          </w:p>
        </w:tc>
        <w:tc>
          <w:tcPr>
            <w:tcW w:w="1137" w:type="dxa"/>
            <w:tcBorders>
              <w:bottom w:val="single" w:sz="12" w:space="0" w:color="auto"/>
            </w:tcBorders>
            <w:shd w:val="clear" w:color="auto" w:fill="auto"/>
          </w:tcPr>
          <w:p w:rsidR="00A90A3F" w:rsidRPr="001F70D4" w:rsidRDefault="00A90A3F" w:rsidP="0078313B">
            <w:pPr>
              <w:pStyle w:val="Tabletext"/>
            </w:pPr>
          </w:p>
        </w:tc>
      </w:tr>
    </w:tbl>
    <w:p w:rsidR="00A90A3F" w:rsidRPr="001F70D4" w:rsidRDefault="00A90A3F" w:rsidP="003F4EF5">
      <w:pPr>
        <w:pStyle w:val="Tabletext"/>
      </w:pPr>
    </w:p>
    <w:p w:rsidR="00A90A3F" w:rsidRPr="001F70D4" w:rsidRDefault="00A90A3F" w:rsidP="00A90A3F">
      <w:pPr>
        <w:pStyle w:val="ActHead5"/>
      </w:pPr>
      <w:bookmarkStart w:id="18" w:name="_Toc406142314"/>
      <w:r w:rsidRPr="001F70D4">
        <w:rPr>
          <w:rStyle w:val="CharSectno"/>
        </w:rPr>
        <w:t>26A.03</w:t>
      </w:r>
      <w:r w:rsidRPr="001F70D4">
        <w:t xml:space="preserve">  Service of subpoena</w:t>
      </w:r>
      <w:bookmarkEnd w:id="18"/>
    </w:p>
    <w:p w:rsidR="00A90A3F" w:rsidRPr="001F70D4" w:rsidRDefault="00A90A3F" w:rsidP="00A90A3F">
      <w:pPr>
        <w:pStyle w:val="subsection"/>
      </w:pPr>
      <w:r w:rsidRPr="001F70D4">
        <w:tab/>
      </w:r>
      <w:r w:rsidRPr="001F70D4">
        <w:tab/>
        <w:t>A subpoena to which Division</w:t>
      </w:r>
      <w:r w:rsidR="001F70D4" w:rsidRPr="001F70D4">
        <w:t> </w:t>
      </w:r>
      <w:r w:rsidRPr="001F70D4">
        <w:t>2 of Part</w:t>
      </w:r>
      <w:r w:rsidR="001F70D4" w:rsidRPr="001F70D4">
        <w:t> </w:t>
      </w:r>
      <w:r w:rsidRPr="001F70D4">
        <w:t xml:space="preserve">5 of the </w:t>
      </w:r>
      <w:r w:rsidRPr="001F70D4">
        <w:rPr>
          <w:i/>
        </w:rPr>
        <w:t>Trans</w:t>
      </w:r>
      <w:r w:rsidR="001F70D4">
        <w:rPr>
          <w:i/>
        </w:rPr>
        <w:noBreakHyphen/>
      </w:r>
      <w:r w:rsidRPr="001F70D4">
        <w:rPr>
          <w:i/>
        </w:rPr>
        <w:t>Tasman Proceedings Act 2010</w:t>
      </w:r>
      <w:r w:rsidRPr="001F70D4">
        <w:t xml:space="preserve"> applies must also be accompanied by an information sheet in a form approved by the Principal Registrar.</w:t>
      </w:r>
    </w:p>
    <w:p w:rsidR="00A90A3F" w:rsidRPr="001F70D4" w:rsidRDefault="00A90A3F" w:rsidP="00A90A3F">
      <w:pPr>
        <w:pStyle w:val="notetext"/>
      </w:pPr>
      <w:r w:rsidRPr="001F70D4">
        <w:t>Note 1:</w:t>
      </w:r>
      <w:r w:rsidRPr="001F70D4">
        <w:tab/>
        <w:t>Subsection</w:t>
      </w:r>
      <w:r w:rsidR="001F70D4" w:rsidRPr="001F70D4">
        <w:t> </w:t>
      </w:r>
      <w:r w:rsidRPr="001F70D4">
        <w:t xml:space="preserve">32(2) of the </w:t>
      </w:r>
      <w:r w:rsidRPr="001F70D4">
        <w:rPr>
          <w:i/>
        </w:rPr>
        <w:t>Trans</w:t>
      </w:r>
      <w:r w:rsidR="001F70D4">
        <w:rPr>
          <w:i/>
        </w:rPr>
        <w:noBreakHyphen/>
      </w:r>
      <w:r w:rsidRPr="001F70D4">
        <w:rPr>
          <w:i/>
        </w:rPr>
        <w:t>Tasman Proceedings Act 2010</w:t>
      </w:r>
      <w:r w:rsidRPr="001F70D4">
        <w:t xml:space="preserve"> requires the subpoena to be accompanied by a copy of the order giving leave for service and a notice in the prescribed form.</w:t>
      </w:r>
    </w:p>
    <w:p w:rsidR="00A90A3F" w:rsidRPr="001F70D4" w:rsidRDefault="00A90A3F" w:rsidP="00A90A3F">
      <w:pPr>
        <w:pStyle w:val="notetext"/>
      </w:pPr>
      <w:r w:rsidRPr="001F70D4">
        <w:t>Note 2:</w:t>
      </w:r>
      <w:r w:rsidRPr="001F70D4">
        <w:tab/>
        <w:t>Section</w:t>
      </w:r>
      <w:r w:rsidR="001F70D4" w:rsidRPr="001F70D4">
        <w:t> </w:t>
      </w:r>
      <w:r w:rsidRPr="001F70D4">
        <w:t xml:space="preserve">33 of the </w:t>
      </w:r>
      <w:r w:rsidRPr="001F70D4">
        <w:rPr>
          <w:i/>
        </w:rPr>
        <w:t>Trans</w:t>
      </w:r>
      <w:r w:rsidR="001F70D4">
        <w:rPr>
          <w:i/>
        </w:rPr>
        <w:noBreakHyphen/>
      </w:r>
      <w:r w:rsidRPr="001F70D4">
        <w:rPr>
          <w:i/>
        </w:rPr>
        <w:t>Tasman Proceedings Act 2010</w:t>
      </w:r>
      <w:r w:rsidRPr="001F70D4">
        <w:t xml:space="preserve"> requires the reasonable expenses of complying with the subpoena to be paid at the time of service of the subpoena or at some other reasonable time before compliance with the subpoena is required.</w:t>
      </w:r>
    </w:p>
    <w:p w:rsidR="00762DA7" w:rsidRPr="001F70D4" w:rsidRDefault="00C63336" w:rsidP="00762DA7">
      <w:pPr>
        <w:pStyle w:val="ItemHead"/>
      </w:pPr>
      <w:r w:rsidRPr="001F70D4">
        <w:t>25</w:t>
      </w:r>
      <w:r w:rsidR="00762DA7" w:rsidRPr="001F70D4">
        <w:t xml:space="preserve">  At the end of Chapter</w:t>
      </w:r>
      <w:r w:rsidR="001F70D4" w:rsidRPr="001F70D4">
        <w:t> </w:t>
      </w:r>
      <w:r w:rsidR="00762DA7" w:rsidRPr="001F70D4">
        <w:t>27</w:t>
      </w:r>
    </w:p>
    <w:p w:rsidR="00762DA7" w:rsidRPr="001F70D4" w:rsidRDefault="00762DA7" w:rsidP="00762DA7">
      <w:pPr>
        <w:pStyle w:val="Item"/>
      </w:pPr>
      <w:r w:rsidRPr="001F70D4">
        <w:t>Add:</w:t>
      </w:r>
    </w:p>
    <w:p w:rsidR="00762DA7" w:rsidRPr="001F70D4" w:rsidRDefault="00762DA7" w:rsidP="00762DA7">
      <w:pPr>
        <w:pStyle w:val="ActHead2"/>
      </w:pPr>
      <w:bookmarkStart w:id="19" w:name="_Toc406142315"/>
      <w:r w:rsidRPr="001F70D4">
        <w:rPr>
          <w:rStyle w:val="CharPartNo"/>
        </w:rPr>
        <w:t>Part</w:t>
      </w:r>
      <w:r w:rsidR="001F70D4" w:rsidRPr="001F70D4">
        <w:rPr>
          <w:rStyle w:val="CharPartNo"/>
        </w:rPr>
        <w:t> </w:t>
      </w:r>
      <w:r w:rsidRPr="001F70D4">
        <w:rPr>
          <w:rStyle w:val="CharPartNo"/>
        </w:rPr>
        <w:t>2</w:t>
      </w:r>
      <w:r w:rsidRPr="001F70D4">
        <w:t>—</w:t>
      </w:r>
      <w:r w:rsidRPr="001F70D4">
        <w:rPr>
          <w:rStyle w:val="CharPartText"/>
        </w:rPr>
        <w:t>Transitional provisions relating to the Family Law Amendment (2014 Measures No.</w:t>
      </w:r>
      <w:r w:rsidR="001F70D4" w:rsidRPr="001F70D4">
        <w:rPr>
          <w:rStyle w:val="CharPartText"/>
        </w:rPr>
        <w:t> </w:t>
      </w:r>
      <w:r w:rsidRPr="001F70D4">
        <w:rPr>
          <w:rStyle w:val="CharPartText"/>
        </w:rPr>
        <w:t>1) Rules</w:t>
      </w:r>
      <w:r w:rsidR="001F70D4" w:rsidRPr="001F70D4">
        <w:rPr>
          <w:rStyle w:val="CharPartText"/>
        </w:rPr>
        <w:t> </w:t>
      </w:r>
      <w:r w:rsidRPr="001F70D4">
        <w:rPr>
          <w:rStyle w:val="CharPartText"/>
        </w:rPr>
        <w:t>2014</w:t>
      </w:r>
      <w:bookmarkEnd w:id="19"/>
    </w:p>
    <w:p w:rsidR="00A60149" w:rsidRPr="001F70D4" w:rsidRDefault="00A60149" w:rsidP="00A60149">
      <w:pPr>
        <w:pStyle w:val="Header"/>
      </w:pPr>
      <w:r w:rsidRPr="001F70D4">
        <w:rPr>
          <w:rStyle w:val="CharDivNo"/>
        </w:rPr>
        <w:t xml:space="preserve"> </w:t>
      </w:r>
      <w:r w:rsidRPr="001F70D4">
        <w:rPr>
          <w:rStyle w:val="CharDivText"/>
        </w:rPr>
        <w:t xml:space="preserve"> </w:t>
      </w:r>
    </w:p>
    <w:p w:rsidR="00762DA7" w:rsidRPr="001F70D4" w:rsidRDefault="00762DA7" w:rsidP="00762DA7">
      <w:pPr>
        <w:pStyle w:val="ActHead5"/>
      </w:pPr>
      <w:bookmarkStart w:id="20" w:name="_Toc406142316"/>
      <w:r w:rsidRPr="001F70D4">
        <w:rPr>
          <w:rStyle w:val="CharSectno"/>
        </w:rPr>
        <w:t>27.02</w:t>
      </w:r>
      <w:r w:rsidRPr="001F70D4">
        <w:t xml:space="preserve">  Application of Schedule</w:t>
      </w:r>
      <w:r w:rsidR="001F70D4" w:rsidRPr="001F70D4">
        <w:t> </w:t>
      </w:r>
      <w:r w:rsidRPr="001F70D4">
        <w:t>3 (itemised scale of costs)</w:t>
      </w:r>
      <w:bookmarkEnd w:id="20"/>
    </w:p>
    <w:p w:rsidR="00762DA7" w:rsidRPr="001F70D4" w:rsidRDefault="00762DA7" w:rsidP="00762DA7">
      <w:pPr>
        <w:pStyle w:val="subsection"/>
      </w:pPr>
      <w:r w:rsidRPr="001F70D4">
        <w:tab/>
      </w:r>
      <w:r w:rsidRPr="001F70D4">
        <w:tab/>
        <w:t>Schedule</w:t>
      </w:r>
      <w:r w:rsidR="001F70D4" w:rsidRPr="001F70D4">
        <w:t> </w:t>
      </w:r>
      <w:r w:rsidRPr="001F70D4">
        <w:t xml:space="preserve">3, as substituted by the </w:t>
      </w:r>
      <w:r w:rsidR="003361BA" w:rsidRPr="001F70D4">
        <w:rPr>
          <w:i/>
        </w:rPr>
        <w:t>Family Law Amendment (2014 Measures No.</w:t>
      </w:r>
      <w:r w:rsidR="001F70D4" w:rsidRPr="001F70D4">
        <w:rPr>
          <w:i/>
        </w:rPr>
        <w:t> </w:t>
      </w:r>
      <w:r w:rsidR="003361BA" w:rsidRPr="001F70D4">
        <w:rPr>
          <w:i/>
        </w:rPr>
        <w:t>1) Rules</w:t>
      </w:r>
      <w:r w:rsidR="001F70D4" w:rsidRPr="001F70D4">
        <w:rPr>
          <w:i/>
        </w:rPr>
        <w:t> </w:t>
      </w:r>
      <w:r w:rsidR="003361BA" w:rsidRPr="001F70D4">
        <w:rPr>
          <w:i/>
        </w:rPr>
        <w:t>2014</w:t>
      </w:r>
      <w:r w:rsidRPr="001F70D4">
        <w:t>, applies to work done on or after 1</w:t>
      </w:r>
      <w:r w:rsidR="001F70D4" w:rsidRPr="001F70D4">
        <w:t> </w:t>
      </w:r>
      <w:r w:rsidRPr="001F70D4">
        <w:t xml:space="preserve">January </w:t>
      </w:r>
      <w:r w:rsidR="003361BA" w:rsidRPr="001F70D4">
        <w:t>2015</w:t>
      </w:r>
      <w:r w:rsidRPr="001F70D4">
        <w:t>.</w:t>
      </w:r>
    </w:p>
    <w:p w:rsidR="00FA24EE" w:rsidRPr="001F70D4" w:rsidRDefault="00C63336" w:rsidP="00FA24EE">
      <w:pPr>
        <w:pStyle w:val="ItemHead"/>
      </w:pPr>
      <w:r w:rsidRPr="001F70D4">
        <w:t>26</w:t>
      </w:r>
      <w:r w:rsidR="00FA24EE" w:rsidRPr="001F70D4">
        <w:t xml:space="preserve">  Schedule</w:t>
      </w:r>
      <w:r w:rsidR="001F70D4" w:rsidRPr="001F70D4">
        <w:t> </w:t>
      </w:r>
      <w:r w:rsidR="00FA24EE" w:rsidRPr="001F70D4">
        <w:t>2</w:t>
      </w:r>
    </w:p>
    <w:p w:rsidR="005E5F51" w:rsidRPr="001F70D4" w:rsidRDefault="00FA24EE" w:rsidP="005E5F51">
      <w:pPr>
        <w:pStyle w:val="Item"/>
      </w:pPr>
      <w:r w:rsidRPr="001F70D4">
        <w:t>Repeal the Schedule, substitute:</w:t>
      </w:r>
    </w:p>
    <w:p w:rsidR="00FA24EE" w:rsidRPr="001F70D4" w:rsidRDefault="00FA24EE" w:rsidP="00FB2899">
      <w:pPr>
        <w:pStyle w:val="ActHead1"/>
      </w:pPr>
      <w:bookmarkStart w:id="21" w:name="_Toc406142317"/>
      <w:r w:rsidRPr="001F70D4">
        <w:rPr>
          <w:rStyle w:val="CharChapNo"/>
        </w:rPr>
        <w:t>Schedule</w:t>
      </w:r>
      <w:r w:rsidR="001F70D4" w:rsidRPr="001F70D4">
        <w:rPr>
          <w:rStyle w:val="CharChapNo"/>
        </w:rPr>
        <w:t> </w:t>
      </w:r>
      <w:r w:rsidRPr="001F70D4">
        <w:rPr>
          <w:rStyle w:val="CharChapNo"/>
        </w:rPr>
        <w:t>2</w:t>
      </w:r>
      <w:r w:rsidRPr="001F70D4">
        <w:t>—</w:t>
      </w:r>
      <w:r w:rsidRPr="001F70D4">
        <w:rPr>
          <w:rStyle w:val="CharChapText"/>
        </w:rPr>
        <w:t>Forms</w:t>
      </w:r>
      <w:bookmarkEnd w:id="21"/>
    </w:p>
    <w:p w:rsidR="005E5F51" w:rsidRPr="001F70D4" w:rsidRDefault="005E5F51" w:rsidP="005E5F51">
      <w:pPr>
        <w:pStyle w:val="notemargin"/>
      </w:pPr>
      <w:r w:rsidRPr="001F70D4">
        <w:t>Note:</w:t>
      </w:r>
      <w:r w:rsidRPr="001F70D4">
        <w:tab/>
        <w:t>See subrule 2</w:t>
      </w:r>
      <w:r w:rsidR="0094494F" w:rsidRPr="001F70D4">
        <w:t>4</w:t>
      </w:r>
      <w:r w:rsidRPr="001F70D4">
        <w:t>.04(2).</w:t>
      </w:r>
    </w:p>
    <w:p w:rsidR="00405F23" w:rsidRPr="001F70D4" w:rsidRDefault="00405F23" w:rsidP="00405F23">
      <w:pPr>
        <w:pStyle w:val="Header"/>
      </w:pPr>
      <w:bookmarkStart w:id="22" w:name="f_Check_Lines_below"/>
      <w:bookmarkEnd w:id="22"/>
      <w:r w:rsidRPr="001F70D4">
        <w:rPr>
          <w:rStyle w:val="CharPartNo"/>
        </w:rPr>
        <w:t xml:space="preserve"> </w:t>
      </w:r>
      <w:r w:rsidRPr="001F70D4">
        <w:rPr>
          <w:rStyle w:val="CharPartText"/>
        </w:rPr>
        <w:t xml:space="preserve"> </w:t>
      </w:r>
    </w:p>
    <w:p w:rsidR="00405F23" w:rsidRPr="001F70D4" w:rsidRDefault="00405F23" w:rsidP="005E5F51">
      <w:pPr>
        <w:pStyle w:val="notemargin"/>
      </w:pPr>
    </w:p>
    <w:p w:rsidR="00D600A4" w:rsidRPr="001F70D4" w:rsidRDefault="00CD1A85" w:rsidP="00D600A4">
      <w:r w:rsidRPr="001F70D4">
        <w:rPr>
          <w:noProof/>
          <w:lang w:eastAsia="en-AU"/>
        </w:rPr>
        <w:drawing>
          <wp:inline distT="0" distB="0" distL="0" distR="0" wp14:anchorId="53252936" wp14:editId="53AAE764">
            <wp:extent cx="4368400" cy="6781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377352" cy="6795698"/>
                    </a:xfrm>
                    <a:prstGeom prst="rect">
                      <a:avLst/>
                    </a:prstGeom>
                  </pic:spPr>
                </pic:pic>
              </a:graphicData>
            </a:graphic>
          </wp:inline>
        </w:drawing>
      </w:r>
      <w:r w:rsidRPr="001F70D4">
        <w:rPr>
          <w:noProof/>
          <w:lang w:eastAsia="en-AU"/>
        </w:rPr>
        <w:drawing>
          <wp:inline distT="0" distB="0" distL="0" distR="0" wp14:anchorId="5E7BBAF2" wp14:editId="4BBFCB07">
            <wp:extent cx="4463115" cy="6781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67528" cy="6788505"/>
                    </a:xfrm>
                    <a:prstGeom prst="rect">
                      <a:avLst/>
                    </a:prstGeom>
                  </pic:spPr>
                </pic:pic>
              </a:graphicData>
            </a:graphic>
          </wp:inline>
        </w:drawing>
      </w:r>
      <w:r w:rsidRPr="001F70D4">
        <w:rPr>
          <w:noProof/>
          <w:lang w:eastAsia="en-AU"/>
        </w:rPr>
        <w:drawing>
          <wp:inline distT="0" distB="0" distL="0" distR="0" wp14:anchorId="17DCA1B7" wp14:editId="0634989D">
            <wp:extent cx="4455160" cy="6819283"/>
            <wp:effectExtent l="0" t="0" r="254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459565" cy="6826025"/>
                    </a:xfrm>
                    <a:prstGeom prst="rect">
                      <a:avLst/>
                    </a:prstGeom>
                  </pic:spPr>
                </pic:pic>
              </a:graphicData>
            </a:graphic>
          </wp:inline>
        </w:drawing>
      </w:r>
      <w:r w:rsidRPr="001F70D4">
        <w:rPr>
          <w:noProof/>
          <w:lang w:eastAsia="en-AU"/>
        </w:rPr>
        <w:drawing>
          <wp:inline distT="0" distB="0" distL="0" distR="0" wp14:anchorId="2ACF7C2E" wp14:editId="74DBAC93">
            <wp:extent cx="4500245" cy="672778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500245" cy="6727786"/>
                    </a:xfrm>
                    <a:prstGeom prst="rect">
                      <a:avLst/>
                    </a:prstGeom>
                  </pic:spPr>
                </pic:pic>
              </a:graphicData>
            </a:graphic>
          </wp:inline>
        </w:drawing>
      </w:r>
      <w:r w:rsidRPr="001F70D4">
        <w:rPr>
          <w:noProof/>
          <w:lang w:eastAsia="en-AU"/>
        </w:rPr>
        <w:drawing>
          <wp:inline distT="0" distB="0" distL="0" distR="0" wp14:anchorId="2A7888A0" wp14:editId="6D1E3A50">
            <wp:extent cx="4500245" cy="6795989"/>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500245" cy="6795989"/>
                    </a:xfrm>
                    <a:prstGeom prst="rect">
                      <a:avLst/>
                    </a:prstGeom>
                  </pic:spPr>
                </pic:pic>
              </a:graphicData>
            </a:graphic>
          </wp:inline>
        </w:drawing>
      </w:r>
      <w:r w:rsidRPr="001F70D4">
        <w:rPr>
          <w:noProof/>
          <w:lang w:eastAsia="en-AU"/>
        </w:rPr>
        <w:drawing>
          <wp:inline distT="0" distB="0" distL="0" distR="0" wp14:anchorId="3BB00740" wp14:editId="6B12E336">
            <wp:extent cx="4500245" cy="6624622"/>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500245" cy="6624622"/>
                    </a:xfrm>
                    <a:prstGeom prst="rect">
                      <a:avLst/>
                    </a:prstGeom>
                  </pic:spPr>
                </pic:pic>
              </a:graphicData>
            </a:graphic>
          </wp:inline>
        </w:drawing>
      </w:r>
      <w:r w:rsidRPr="001F70D4">
        <w:rPr>
          <w:noProof/>
          <w:lang w:eastAsia="en-AU"/>
        </w:rPr>
        <w:drawing>
          <wp:inline distT="0" distB="0" distL="0" distR="0" wp14:anchorId="4EA37AF7" wp14:editId="70B1223B">
            <wp:extent cx="4386991" cy="67532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391433" cy="6760063"/>
                    </a:xfrm>
                    <a:prstGeom prst="rect">
                      <a:avLst/>
                    </a:prstGeom>
                  </pic:spPr>
                </pic:pic>
              </a:graphicData>
            </a:graphic>
          </wp:inline>
        </w:drawing>
      </w:r>
      <w:r w:rsidRPr="001F70D4">
        <w:rPr>
          <w:noProof/>
          <w:lang w:eastAsia="en-AU"/>
        </w:rPr>
        <w:drawing>
          <wp:inline distT="0" distB="0" distL="0" distR="0" wp14:anchorId="567B1CBB" wp14:editId="4C0A0FF8">
            <wp:extent cx="4500245" cy="6762107"/>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500245" cy="6762107"/>
                    </a:xfrm>
                    <a:prstGeom prst="rect">
                      <a:avLst/>
                    </a:prstGeom>
                  </pic:spPr>
                </pic:pic>
              </a:graphicData>
            </a:graphic>
          </wp:inline>
        </w:drawing>
      </w:r>
      <w:r w:rsidRPr="001F70D4">
        <w:rPr>
          <w:noProof/>
          <w:lang w:eastAsia="en-AU"/>
        </w:rPr>
        <w:drawing>
          <wp:inline distT="0" distB="0" distL="0" distR="0" wp14:anchorId="3913755C" wp14:editId="3A8A2336">
            <wp:extent cx="4391025" cy="678360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392886" cy="6786481"/>
                    </a:xfrm>
                    <a:prstGeom prst="rect">
                      <a:avLst/>
                    </a:prstGeom>
                  </pic:spPr>
                </pic:pic>
              </a:graphicData>
            </a:graphic>
          </wp:inline>
        </w:drawing>
      </w:r>
    </w:p>
    <w:p w:rsidR="00A90A3F" w:rsidRPr="001F70D4" w:rsidRDefault="00C63336" w:rsidP="00A90A3F">
      <w:pPr>
        <w:pStyle w:val="ItemHead"/>
      </w:pPr>
      <w:r w:rsidRPr="001F70D4">
        <w:t>27</w:t>
      </w:r>
      <w:r w:rsidR="00A90A3F" w:rsidRPr="001F70D4">
        <w:t xml:space="preserve">  Schedule</w:t>
      </w:r>
      <w:r w:rsidR="001F70D4" w:rsidRPr="001F70D4">
        <w:t> </w:t>
      </w:r>
      <w:r w:rsidR="00A90A3F" w:rsidRPr="001F70D4">
        <w:t>3</w:t>
      </w:r>
    </w:p>
    <w:p w:rsidR="00A90A3F" w:rsidRPr="001F70D4" w:rsidRDefault="00A90A3F" w:rsidP="00A90A3F">
      <w:pPr>
        <w:pStyle w:val="Item"/>
      </w:pPr>
      <w:r w:rsidRPr="001F70D4">
        <w:t>Repeal the Schedule, substitute:</w:t>
      </w:r>
    </w:p>
    <w:p w:rsidR="00FA24EE" w:rsidRPr="001F70D4" w:rsidRDefault="00FA24EE" w:rsidP="007F13F3">
      <w:pPr>
        <w:pStyle w:val="ActHead1"/>
      </w:pPr>
      <w:bookmarkStart w:id="23" w:name="_Toc406142318"/>
      <w:r w:rsidRPr="001F70D4">
        <w:rPr>
          <w:rStyle w:val="CharChapNo"/>
        </w:rPr>
        <w:t>Schedule</w:t>
      </w:r>
      <w:r w:rsidR="001F70D4" w:rsidRPr="001F70D4">
        <w:rPr>
          <w:rStyle w:val="CharChapNo"/>
        </w:rPr>
        <w:t> </w:t>
      </w:r>
      <w:r w:rsidRPr="001F70D4">
        <w:rPr>
          <w:rStyle w:val="CharChapNo"/>
        </w:rPr>
        <w:t>3</w:t>
      </w:r>
      <w:r w:rsidR="007F13F3" w:rsidRPr="001F70D4">
        <w:t>—</w:t>
      </w:r>
      <w:r w:rsidR="007F13F3" w:rsidRPr="001F70D4">
        <w:rPr>
          <w:rStyle w:val="CharChapText"/>
        </w:rPr>
        <w:t>Itemised</w:t>
      </w:r>
      <w:r w:rsidRPr="001F70D4">
        <w:rPr>
          <w:rStyle w:val="CharChapText"/>
        </w:rPr>
        <w:t xml:space="preserve"> scale of costs</w:t>
      </w:r>
      <w:bookmarkEnd w:id="23"/>
    </w:p>
    <w:p w:rsidR="007F13F3" w:rsidRPr="001F70D4" w:rsidRDefault="007F13F3" w:rsidP="007F13F3">
      <w:pPr>
        <w:pStyle w:val="notemargin"/>
      </w:pPr>
      <w:r w:rsidRPr="001F70D4">
        <w:t>Note 1:</w:t>
      </w:r>
      <w:r w:rsidRPr="001F70D4">
        <w:tab/>
        <w:t>See rule</w:t>
      </w:r>
      <w:r w:rsidR="001F70D4" w:rsidRPr="001F70D4">
        <w:t> </w:t>
      </w:r>
      <w:r w:rsidRPr="001F70D4">
        <w:t>19.18 and clause</w:t>
      </w:r>
      <w:r w:rsidR="001F70D4" w:rsidRPr="001F70D4">
        <w:t> </w:t>
      </w:r>
      <w:r w:rsidRPr="001F70D4">
        <w:t>6.19 of Schedule</w:t>
      </w:r>
      <w:r w:rsidR="001F70D4" w:rsidRPr="001F70D4">
        <w:t> </w:t>
      </w:r>
      <w:r w:rsidRPr="001F70D4">
        <w:t>6.</w:t>
      </w:r>
    </w:p>
    <w:p w:rsidR="005E5F51" w:rsidRPr="001F70D4" w:rsidRDefault="00CC2F2E" w:rsidP="007F13F3">
      <w:pPr>
        <w:pStyle w:val="notemargin"/>
      </w:pPr>
      <w:r w:rsidRPr="001F70D4">
        <w:t>Note 2:</w:t>
      </w:r>
      <w:r w:rsidR="005E5F51" w:rsidRPr="001F70D4">
        <w:tab/>
        <w:t>This Schedule applies generally to work done on or after 1</w:t>
      </w:r>
      <w:r w:rsidR="001F70D4" w:rsidRPr="001F70D4">
        <w:t> </w:t>
      </w:r>
      <w:r w:rsidR="005E5F51" w:rsidRPr="001F70D4">
        <w:t>January 2015 (see rule</w:t>
      </w:r>
      <w:r w:rsidR="001F70D4" w:rsidRPr="001F70D4">
        <w:t> </w:t>
      </w:r>
      <w:r w:rsidR="005E5F51" w:rsidRPr="001F70D4">
        <w:t>27.02). Different amounts, set out in superseded versions of this Schedule, may continue to apply to work done before that date.</w:t>
      </w:r>
    </w:p>
    <w:p w:rsidR="007F13F3" w:rsidRPr="001F70D4" w:rsidRDefault="007F13F3" w:rsidP="007F13F3">
      <w:pPr>
        <w:pStyle w:val="ActHead2"/>
      </w:pPr>
      <w:bookmarkStart w:id="24" w:name="_Toc406142319"/>
      <w:r w:rsidRPr="001F70D4">
        <w:rPr>
          <w:rStyle w:val="CharPartNo"/>
        </w:rPr>
        <w:t>Part</w:t>
      </w:r>
      <w:r w:rsidR="001F70D4" w:rsidRPr="001F70D4">
        <w:rPr>
          <w:rStyle w:val="CharPartNo"/>
        </w:rPr>
        <w:t> </w:t>
      </w:r>
      <w:r w:rsidRPr="001F70D4">
        <w:rPr>
          <w:rStyle w:val="CharPartNo"/>
        </w:rPr>
        <w:t>1</w:t>
      </w:r>
      <w:r w:rsidRPr="001F70D4">
        <w:t>—</w:t>
      </w:r>
      <w:r w:rsidRPr="001F70D4">
        <w:rPr>
          <w:rStyle w:val="CharPartText"/>
        </w:rPr>
        <w:t>Costs allowable for lawyer’s work done and services performed</w:t>
      </w:r>
      <w:bookmarkEnd w:id="24"/>
    </w:p>
    <w:p w:rsidR="007F13F3" w:rsidRPr="001F70D4" w:rsidRDefault="007F13F3" w:rsidP="007F13F3">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672"/>
        <w:gridCol w:w="4431"/>
        <w:gridCol w:w="1985"/>
      </w:tblGrid>
      <w:tr w:rsidR="007F13F3" w:rsidRPr="001F70D4" w:rsidTr="0078313B">
        <w:trPr>
          <w:tblHeader/>
        </w:trPr>
        <w:tc>
          <w:tcPr>
            <w:tcW w:w="7088" w:type="dxa"/>
            <w:gridSpan w:val="3"/>
            <w:tcBorders>
              <w:top w:val="single" w:sz="12" w:space="0" w:color="auto"/>
              <w:bottom w:val="single" w:sz="6" w:space="0" w:color="auto"/>
            </w:tcBorders>
            <w:shd w:val="clear" w:color="auto" w:fill="auto"/>
          </w:tcPr>
          <w:p w:rsidR="007F13F3" w:rsidRPr="001F70D4" w:rsidRDefault="007F13F3" w:rsidP="00D84C16">
            <w:pPr>
              <w:pStyle w:val="TableHeading"/>
            </w:pPr>
            <w:r w:rsidRPr="001F70D4">
              <w:t>Costs—lawyer’s work</w:t>
            </w:r>
          </w:p>
        </w:tc>
      </w:tr>
      <w:tr w:rsidR="007F13F3" w:rsidRPr="001F70D4" w:rsidTr="0078313B">
        <w:trPr>
          <w:tblHeader/>
        </w:trPr>
        <w:tc>
          <w:tcPr>
            <w:tcW w:w="672" w:type="dxa"/>
            <w:tcBorders>
              <w:top w:val="single" w:sz="6" w:space="0" w:color="auto"/>
              <w:bottom w:val="single" w:sz="12" w:space="0" w:color="auto"/>
            </w:tcBorders>
            <w:shd w:val="clear" w:color="auto" w:fill="auto"/>
            <w:hideMark/>
          </w:tcPr>
          <w:p w:rsidR="007F13F3" w:rsidRPr="001F70D4" w:rsidRDefault="007F13F3" w:rsidP="00D84C16">
            <w:pPr>
              <w:pStyle w:val="TableHeading"/>
            </w:pPr>
            <w:r w:rsidRPr="001F70D4">
              <w:t>Item</w:t>
            </w:r>
          </w:p>
        </w:tc>
        <w:tc>
          <w:tcPr>
            <w:tcW w:w="4431" w:type="dxa"/>
            <w:tcBorders>
              <w:top w:val="single" w:sz="6" w:space="0" w:color="auto"/>
              <w:bottom w:val="single" w:sz="12" w:space="0" w:color="auto"/>
            </w:tcBorders>
            <w:shd w:val="clear" w:color="auto" w:fill="auto"/>
            <w:hideMark/>
          </w:tcPr>
          <w:p w:rsidR="007F13F3" w:rsidRPr="001F70D4" w:rsidRDefault="007F13F3" w:rsidP="00D84C16">
            <w:pPr>
              <w:pStyle w:val="TableHeading"/>
            </w:pPr>
            <w:r w:rsidRPr="001F70D4">
              <w:t>Matter for which charge is made</w:t>
            </w:r>
          </w:p>
        </w:tc>
        <w:tc>
          <w:tcPr>
            <w:tcW w:w="1985" w:type="dxa"/>
            <w:tcBorders>
              <w:top w:val="single" w:sz="6" w:space="0" w:color="auto"/>
              <w:bottom w:val="single" w:sz="12" w:space="0" w:color="auto"/>
            </w:tcBorders>
            <w:shd w:val="clear" w:color="auto" w:fill="auto"/>
            <w:hideMark/>
          </w:tcPr>
          <w:p w:rsidR="007F13F3" w:rsidRPr="001F70D4" w:rsidRDefault="00C4087E" w:rsidP="00D84C16">
            <w:pPr>
              <w:pStyle w:val="TableHeading"/>
            </w:pPr>
            <w:r w:rsidRPr="001F70D4">
              <w:t>Amount</w:t>
            </w:r>
            <w:r w:rsidR="0028704C" w:rsidRPr="001F70D4">
              <w:t xml:space="preserve"> (including GST)</w:t>
            </w:r>
          </w:p>
        </w:tc>
      </w:tr>
      <w:tr w:rsidR="007F13F3" w:rsidRPr="001F70D4" w:rsidTr="0078313B">
        <w:tc>
          <w:tcPr>
            <w:tcW w:w="672" w:type="dxa"/>
            <w:tcBorders>
              <w:top w:val="single" w:sz="12" w:space="0" w:color="auto"/>
            </w:tcBorders>
            <w:shd w:val="clear" w:color="auto" w:fill="auto"/>
            <w:hideMark/>
          </w:tcPr>
          <w:p w:rsidR="007F13F3" w:rsidRPr="001F70D4" w:rsidRDefault="007F13F3" w:rsidP="0078313B">
            <w:pPr>
              <w:pStyle w:val="Tabletext"/>
            </w:pPr>
            <w:r w:rsidRPr="001F70D4">
              <w:t>101</w:t>
            </w:r>
          </w:p>
        </w:tc>
        <w:tc>
          <w:tcPr>
            <w:tcW w:w="4431" w:type="dxa"/>
            <w:tcBorders>
              <w:top w:val="single" w:sz="12" w:space="0" w:color="auto"/>
            </w:tcBorders>
            <w:shd w:val="clear" w:color="auto" w:fill="auto"/>
            <w:hideMark/>
          </w:tcPr>
          <w:p w:rsidR="007F13F3" w:rsidRPr="001F70D4" w:rsidRDefault="007F13F3" w:rsidP="0078313B">
            <w:pPr>
              <w:pStyle w:val="Tabletext"/>
            </w:pPr>
            <w:r w:rsidRPr="001F70D4">
              <w:t>Drafting a document (other than a letter)</w:t>
            </w:r>
          </w:p>
        </w:tc>
        <w:tc>
          <w:tcPr>
            <w:tcW w:w="1985" w:type="dxa"/>
            <w:tcBorders>
              <w:top w:val="single" w:sz="12" w:space="0" w:color="auto"/>
            </w:tcBorders>
            <w:shd w:val="clear" w:color="auto" w:fill="auto"/>
            <w:hideMark/>
          </w:tcPr>
          <w:p w:rsidR="007F13F3" w:rsidRPr="001F70D4" w:rsidRDefault="007F13F3" w:rsidP="003F4EF5">
            <w:pPr>
              <w:pStyle w:val="Tabletext"/>
            </w:pPr>
            <w:r w:rsidRPr="001F70D4">
              <w:t>$19.</w:t>
            </w:r>
            <w:r w:rsidR="003F4EF5" w:rsidRPr="001F70D4">
              <w:t>67</w:t>
            </w:r>
            <w:r w:rsidRPr="001F70D4">
              <w:t xml:space="preserve"> per 100 words</w:t>
            </w:r>
          </w:p>
        </w:tc>
      </w:tr>
      <w:tr w:rsidR="007F13F3" w:rsidRPr="001F70D4" w:rsidTr="0078313B">
        <w:tc>
          <w:tcPr>
            <w:tcW w:w="672" w:type="dxa"/>
            <w:shd w:val="clear" w:color="auto" w:fill="auto"/>
            <w:hideMark/>
          </w:tcPr>
          <w:p w:rsidR="007F13F3" w:rsidRPr="001F70D4" w:rsidRDefault="007F13F3" w:rsidP="0078313B">
            <w:pPr>
              <w:pStyle w:val="Tabletext"/>
            </w:pPr>
            <w:r w:rsidRPr="001F70D4">
              <w:t>102</w:t>
            </w:r>
          </w:p>
        </w:tc>
        <w:tc>
          <w:tcPr>
            <w:tcW w:w="4431" w:type="dxa"/>
            <w:shd w:val="clear" w:color="auto" w:fill="auto"/>
            <w:hideMark/>
          </w:tcPr>
          <w:p w:rsidR="007F13F3" w:rsidRPr="001F70D4" w:rsidRDefault="007F13F3" w:rsidP="0078313B">
            <w:pPr>
              <w:pStyle w:val="Tabletext"/>
            </w:pPr>
            <w:r w:rsidRPr="001F70D4">
              <w:t>Producing a document (other than a letter) in printed form</w:t>
            </w:r>
          </w:p>
        </w:tc>
        <w:tc>
          <w:tcPr>
            <w:tcW w:w="1985" w:type="dxa"/>
            <w:shd w:val="clear" w:color="auto" w:fill="auto"/>
            <w:hideMark/>
          </w:tcPr>
          <w:p w:rsidR="007F13F3" w:rsidRPr="001F70D4" w:rsidRDefault="007F13F3" w:rsidP="003F4EF5">
            <w:pPr>
              <w:pStyle w:val="Tabletext"/>
            </w:pPr>
            <w:r w:rsidRPr="001F70D4">
              <w:t>$6.</w:t>
            </w:r>
            <w:r w:rsidR="003F4EF5" w:rsidRPr="001F70D4">
              <w:t>72</w:t>
            </w:r>
            <w:r w:rsidRPr="001F70D4">
              <w:t xml:space="preserve"> per 100 words</w:t>
            </w:r>
          </w:p>
        </w:tc>
      </w:tr>
      <w:tr w:rsidR="007F13F3" w:rsidRPr="001F70D4" w:rsidTr="0078313B">
        <w:tc>
          <w:tcPr>
            <w:tcW w:w="672" w:type="dxa"/>
            <w:shd w:val="clear" w:color="auto" w:fill="auto"/>
            <w:hideMark/>
          </w:tcPr>
          <w:p w:rsidR="007F13F3" w:rsidRPr="001F70D4" w:rsidRDefault="007F13F3" w:rsidP="0078313B">
            <w:pPr>
              <w:pStyle w:val="Tabletext"/>
            </w:pPr>
            <w:r w:rsidRPr="001F70D4">
              <w:t>103</w:t>
            </w:r>
          </w:p>
        </w:tc>
        <w:tc>
          <w:tcPr>
            <w:tcW w:w="4431" w:type="dxa"/>
            <w:shd w:val="clear" w:color="auto" w:fill="auto"/>
            <w:hideMark/>
          </w:tcPr>
          <w:p w:rsidR="007F13F3" w:rsidRPr="001F70D4" w:rsidRDefault="007F13F3" w:rsidP="0078313B">
            <w:pPr>
              <w:pStyle w:val="Tabletext"/>
            </w:pPr>
            <w:r w:rsidRPr="001F70D4">
              <w:t>Drafting and producing a letter (including a fax or an email)</w:t>
            </w:r>
          </w:p>
        </w:tc>
        <w:tc>
          <w:tcPr>
            <w:tcW w:w="1985" w:type="dxa"/>
            <w:shd w:val="clear" w:color="auto" w:fill="auto"/>
            <w:hideMark/>
          </w:tcPr>
          <w:p w:rsidR="007F13F3" w:rsidRPr="001F70D4" w:rsidRDefault="007F13F3" w:rsidP="003F4EF5">
            <w:pPr>
              <w:pStyle w:val="Tabletext"/>
            </w:pPr>
            <w:r w:rsidRPr="001F70D4">
              <w:t>$</w:t>
            </w:r>
            <w:r w:rsidR="003F4EF5" w:rsidRPr="001F70D4">
              <w:t xml:space="preserve">22.60 </w:t>
            </w:r>
            <w:r w:rsidRPr="001F70D4">
              <w:t>per 100 words</w:t>
            </w:r>
          </w:p>
        </w:tc>
      </w:tr>
      <w:tr w:rsidR="007F13F3" w:rsidRPr="001F70D4" w:rsidTr="0078313B">
        <w:tc>
          <w:tcPr>
            <w:tcW w:w="672" w:type="dxa"/>
            <w:shd w:val="clear" w:color="auto" w:fill="auto"/>
            <w:hideMark/>
          </w:tcPr>
          <w:p w:rsidR="007F13F3" w:rsidRPr="001F70D4" w:rsidRDefault="007F13F3" w:rsidP="0078313B">
            <w:pPr>
              <w:pStyle w:val="Tabletext"/>
            </w:pPr>
            <w:r w:rsidRPr="001F70D4">
              <w:t>104</w:t>
            </w:r>
          </w:p>
        </w:tc>
        <w:tc>
          <w:tcPr>
            <w:tcW w:w="4431" w:type="dxa"/>
            <w:shd w:val="clear" w:color="auto" w:fill="auto"/>
            <w:hideMark/>
          </w:tcPr>
          <w:p w:rsidR="007F13F3" w:rsidRPr="001F70D4" w:rsidRDefault="007F13F3" w:rsidP="0078313B">
            <w:pPr>
              <w:pStyle w:val="Tabletext"/>
            </w:pPr>
            <w:r w:rsidRPr="001F70D4">
              <w:t>Reading a document</w:t>
            </w:r>
          </w:p>
        </w:tc>
        <w:tc>
          <w:tcPr>
            <w:tcW w:w="1985" w:type="dxa"/>
            <w:shd w:val="clear" w:color="auto" w:fill="auto"/>
            <w:hideMark/>
          </w:tcPr>
          <w:p w:rsidR="007F13F3" w:rsidRPr="001F70D4" w:rsidRDefault="007F13F3" w:rsidP="003F4EF5">
            <w:pPr>
              <w:pStyle w:val="Tabletext"/>
            </w:pPr>
            <w:r w:rsidRPr="001F70D4">
              <w:t>$</w:t>
            </w:r>
            <w:r w:rsidR="003F4EF5" w:rsidRPr="001F70D4">
              <w:t>9.21</w:t>
            </w:r>
            <w:r w:rsidRPr="001F70D4">
              <w:t xml:space="preserve"> per 100 words</w:t>
            </w:r>
          </w:p>
        </w:tc>
      </w:tr>
      <w:tr w:rsidR="007F13F3" w:rsidRPr="001F70D4" w:rsidTr="0078313B">
        <w:tc>
          <w:tcPr>
            <w:tcW w:w="672" w:type="dxa"/>
            <w:shd w:val="clear" w:color="auto" w:fill="auto"/>
            <w:hideMark/>
          </w:tcPr>
          <w:p w:rsidR="007F13F3" w:rsidRPr="001F70D4" w:rsidRDefault="007F13F3" w:rsidP="0078313B">
            <w:pPr>
              <w:pStyle w:val="Tabletext"/>
            </w:pPr>
            <w:r w:rsidRPr="001F70D4">
              <w:t>105</w:t>
            </w:r>
          </w:p>
        </w:tc>
        <w:tc>
          <w:tcPr>
            <w:tcW w:w="4431" w:type="dxa"/>
            <w:shd w:val="clear" w:color="auto" w:fill="auto"/>
            <w:hideMark/>
          </w:tcPr>
          <w:p w:rsidR="007F13F3" w:rsidRPr="001F70D4" w:rsidRDefault="007F13F3" w:rsidP="0078313B">
            <w:pPr>
              <w:pStyle w:val="Tabletext"/>
            </w:pPr>
            <w:r w:rsidRPr="001F70D4">
              <w:t>Scanning a document (where reading is not necessary)</w:t>
            </w:r>
          </w:p>
        </w:tc>
        <w:tc>
          <w:tcPr>
            <w:tcW w:w="1985" w:type="dxa"/>
            <w:shd w:val="clear" w:color="auto" w:fill="auto"/>
            <w:hideMark/>
          </w:tcPr>
          <w:p w:rsidR="007F13F3" w:rsidRPr="001F70D4" w:rsidRDefault="007F13F3" w:rsidP="003F4EF5">
            <w:pPr>
              <w:pStyle w:val="Tabletext"/>
            </w:pPr>
            <w:r w:rsidRPr="001F70D4">
              <w:t>$</w:t>
            </w:r>
            <w:r w:rsidR="003F4EF5" w:rsidRPr="001F70D4">
              <w:t>3.62</w:t>
            </w:r>
            <w:r w:rsidRPr="001F70D4">
              <w:t xml:space="preserve"> per 100 words</w:t>
            </w:r>
          </w:p>
        </w:tc>
      </w:tr>
      <w:tr w:rsidR="007F13F3" w:rsidRPr="001F70D4" w:rsidTr="0078313B">
        <w:tc>
          <w:tcPr>
            <w:tcW w:w="672" w:type="dxa"/>
            <w:shd w:val="clear" w:color="auto" w:fill="auto"/>
            <w:hideMark/>
          </w:tcPr>
          <w:p w:rsidR="007F13F3" w:rsidRPr="001F70D4" w:rsidRDefault="007F13F3" w:rsidP="0078313B">
            <w:pPr>
              <w:pStyle w:val="Tabletext"/>
            </w:pPr>
            <w:r w:rsidRPr="001F70D4">
              <w:t>106</w:t>
            </w:r>
          </w:p>
        </w:tc>
        <w:tc>
          <w:tcPr>
            <w:tcW w:w="4431" w:type="dxa"/>
            <w:shd w:val="clear" w:color="auto" w:fill="auto"/>
            <w:hideMark/>
          </w:tcPr>
          <w:p w:rsidR="007F13F3" w:rsidRPr="001F70D4" w:rsidRDefault="007F13F3" w:rsidP="0078313B">
            <w:pPr>
              <w:pStyle w:val="Tabletext"/>
            </w:pPr>
            <w:r w:rsidRPr="001F70D4">
              <w:t>For a document or letter mentioned in item</w:t>
            </w:r>
            <w:r w:rsidR="001F70D4" w:rsidRPr="001F70D4">
              <w:t> </w:t>
            </w:r>
            <w:r w:rsidRPr="001F70D4">
              <w:t>101, 102, 103, 104 or 105 containing more than 3</w:t>
            </w:r>
            <w:r w:rsidR="001F70D4" w:rsidRPr="001F70D4">
              <w:t> </w:t>
            </w:r>
            <w:r w:rsidRPr="001F70D4">
              <w:t>000 words</w:t>
            </w:r>
          </w:p>
        </w:tc>
        <w:tc>
          <w:tcPr>
            <w:tcW w:w="1985" w:type="dxa"/>
            <w:shd w:val="clear" w:color="auto" w:fill="auto"/>
            <w:hideMark/>
          </w:tcPr>
          <w:p w:rsidR="007F13F3" w:rsidRPr="001F70D4" w:rsidRDefault="007F13F3" w:rsidP="0078313B">
            <w:pPr>
              <w:pStyle w:val="Tabletext"/>
            </w:pPr>
            <w:r w:rsidRPr="001F70D4">
              <w:t>The amount allowed by the Registrar</w:t>
            </w:r>
          </w:p>
        </w:tc>
      </w:tr>
      <w:tr w:rsidR="007F13F3" w:rsidRPr="001F70D4" w:rsidTr="0078313B">
        <w:tc>
          <w:tcPr>
            <w:tcW w:w="672" w:type="dxa"/>
            <w:shd w:val="clear" w:color="auto" w:fill="auto"/>
            <w:hideMark/>
          </w:tcPr>
          <w:p w:rsidR="007F13F3" w:rsidRPr="001F70D4" w:rsidRDefault="007F13F3" w:rsidP="0078313B">
            <w:pPr>
              <w:pStyle w:val="Tabletext"/>
            </w:pPr>
            <w:r w:rsidRPr="001F70D4">
              <w:t>107</w:t>
            </w:r>
          </w:p>
        </w:tc>
        <w:tc>
          <w:tcPr>
            <w:tcW w:w="4431" w:type="dxa"/>
            <w:shd w:val="clear" w:color="auto" w:fill="auto"/>
            <w:hideMark/>
          </w:tcPr>
          <w:p w:rsidR="007F13F3" w:rsidRPr="001F70D4" w:rsidRDefault="007F13F3" w:rsidP="0078313B">
            <w:pPr>
              <w:pStyle w:val="Tabletext"/>
            </w:pPr>
            <w:r w:rsidRPr="001F70D4">
              <w:t>Photocopy or other reproduction of a document</w:t>
            </w:r>
          </w:p>
        </w:tc>
        <w:tc>
          <w:tcPr>
            <w:tcW w:w="1985" w:type="dxa"/>
            <w:shd w:val="clear" w:color="auto" w:fill="auto"/>
            <w:hideMark/>
          </w:tcPr>
          <w:p w:rsidR="007F13F3" w:rsidRPr="001F70D4" w:rsidRDefault="003F4EF5" w:rsidP="0078313B">
            <w:pPr>
              <w:pStyle w:val="Tabletext"/>
            </w:pPr>
            <w:r w:rsidRPr="001F70D4">
              <w:t>78</w:t>
            </w:r>
            <w:r w:rsidR="007F13F3" w:rsidRPr="001F70D4">
              <w:t xml:space="preserve"> cents per page</w:t>
            </w:r>
          </w:p>
        </w:tc>
      </w:tr>
      <w:tr w:rsidR="007F13F3" w:rsidRPr="001F70D4" w:rsidTr="0078313B">
        <w:tc>
          <w:tcPr>
            <w:tcW w:w="672" w:type="dxa"/>
            <w:tcBorders>
              <w:bottom w:val="single" w:sz="4" w:space="0" w:color="auto"/>
            </w:tcBorders>
            <w:shd w:val="clear" w:color="auto" w:fill="auto"/>
            <w:hideMark/>
          </w:tcPr>
          <w:p w:rsidR="007F13F3" w:rsidRPr="001F70D4" w:rsidRDefault="007F13F3" w:rsidP="0078313B">
            <w:pPr>
              <w:pStyle w:val="Tabletext"/>
            </w:pPr>
            <w:r w:rsidRPr="001F70D4">
              <w:t>108</w:t>
            </w:r>
          </w:p>
        </w:tc>
        <w:tc>
          <w:tcPr>
            <w:tcW w:w="4431" w:type="dxa"/>
            <w:tcBorders>
              <w:bottom w:val="single" w:sz="4" w:space="0" w:color="auto"/>
            </w:tcBorders>
            <w:shd w:val="clear" w:color="auto" w:fill="auto"/>
            <w:hideMark/>
          </w:tcPr>
          <w:p w:rsidR="007F13F3" w:rsidRPr="001F70D4" w:rsidRDefault="007F13F3" w:rsidP="0078313B">
            <w:pPr>
              <w:pStyle w:val="Tabletext"/>
            </w:pPr>
            <w:r w:rsidRPr="001F70D4">
              <w:t>Time reasonably spent by a lawyer on work requiring the skill of a lawyer (except work to which any other item in this Part applies)</w:t>
            </w:r>
          </w:p>
        </w:tc>
        <w:tc>
          <w:tcPr>
            <w:tcW w:w="1985" w:type="dxa"/>
            <w:tcBorders>
              <w:bottom w:val="single" w:sz="4" w:space="0" w:color="auto"/>
            </w:tcBorders>
            <w:shd w:val="clear" w:color="auto" w:fill="auto"/>
            <w:hideMark/>
          </w:tcPr>
          <w:p w:rsidR="007F13F3" w:rsidRPr="001F70D4" w:rsidRDefault="007F13F3" w:rsidP="003F4EF5">
            <w:pPr>
              <w:pStyle w:val="Tabletext"/>
            </w:pPr>
            <w:r w:rsidRPr="001F70D4">
              <w:t>$</w:t>
            </w:r>
            <w:r w:rsidR="003F4EF5" w:rsidRPr="001F70D4">
              <w:t>230.78</w:t>
            </w:r>
            <w:r w:rsidRPr="001F70D4">
              <w:t xml:space="preserve"> per hour</w:t>
            </w:r>
          </w:p>
        </w:tc>
      </w:tr>
      <w:tr w:rsidR="007F13F3" w:rsidRPr="001F70D4" w:rsidTr="0078313B">
        <w:tc>
          <w:tcPr>
            <w:tcW w:w="672" w:type="dxa"/>
            <w:tcBorders>
              <w:bottom w:val="single" w:sz="12" w:space="0" w:color="auto"/>
            </w:tcBorders>
            <w:shd w:val="clear" w:color="auto" w:fill="auto"/>
            <w:hideMark/>
          </w:tcPr>
          <w:p w:rsidR="007F13F3" w:rsidRPr="001F70D4" w:rsidRDefault="007F13F3" w:rsidP="0078313B">
            <w:pPr>
              <w:pStyle w:val="Tabletext"/>
            </w:pPr>
            <w:r w:rsidRPr="001F70D4">
              <w:t>109</w:t>
            </w:r>
          </w:p>
        </w:tc>
        <w:tc>
          <w:tcPr>
            <w:tcW w:w="4431" w:type="dxa"/>
            <w:tcBorders>
              <w:bottom w:val="single" w:sz="12" w:space="0" w:color="auto"/>
            </w:tcBorders>
            <w:shd w:val="clear" w:color="auto" w:fill="auto"/>
            <w:hideMark/>
          </w:tcPr>
          <w:p w:rsidR="007F13F3" w:rsidRPr="001F70D4" w:rsidRDefault="007F13F3" w:rsidP="0078313B">
            <w:pPr>
              <w:pStyle w:val="Tabletext"/>
            </w:pPr>
            <w:r w:rsidRPr="001F70D4">
              <w:t>Time reasonably spent by a lawyer, or by a clerk of a lawyer, on work (except work to which any other item in this Part applies)</w:t>
            </w:r>
          </w:p>
        </w:tc>
        <w:tc>
          <w:tcPr>
            <w:tcW w:w="1985" w:type="dxa"/>
            <w:tcBorders>
              <w:bottom w:val="single" w:sz="12" w:space="0" w:color="auto"/>
            </w:tcBorders>
            <w:shd w:val="clear" w:color="auto" w:fill="auto"/>
            <w:hideMark/>
          </w:tcPr>
          <w:p w:rsidR="007F13F3" w:rsidRPr="001F70D4" w:rsidRDefault="007F13F3" w:rsidP="003F4EF5">
            <w:pPr>
              <w:pStyle w:val="Tabletext"/>
            </w:pPr>
            <w:r w:rsidRPr="001F70D4">
              <w:t>$</w:t>
            </w:r>
            <w:r w:rsidR="003F4EF5" w:rsidRPr="001F70D4">
              <w:t>149.63</w:t>
            </w:r>
            <w:r w:rsidRPr="001F70D4">
              <w:t xml:space="preserve"> per hour</w:t>
            </w:r>
          </w:p>
        </w:tc>
      </w:tr>
    </w:tbl>
    <w:p w:rsidR="007F13F3" w:rsidRPr="001F70D4" w:rsidRDefault="007F13F3" w:rsidP="007F13F3">
      <w:pPr>
        <w:pStyle w:val="notemargin"/>
      </w:pPr>
      <w:r w:rsidRPr="001F70D4">
        <w:t>Note:</w:t>
      </w:r>
      <w:r w:rsidRPr="001F70D4">
        <w:tab/>
        <w:t>See rule</w:t>
      </w:r>
      <w:r w:rsidR="001F70D4" w:rsidRPr="001F70D4">
        <w:t> </w:t>
      </w:r>
      <w:r w:rsidRPr="001F70D4">
        <w:t>19.43 in relation to item</w:t>
      </w:r>
      <w:r w:rsidR="001F70D4" w:rsidRPr="001F70D4">
        <w:t> </w:t>
      </w:r>
      <w:r w:rsidRPr="001F70D4">
        <w:t>104.</w:t>
      </w:r>
    </w:p>
    <w:p w:rsidR="007F13F3" w:rsidRPr="001F70D4" w:rsidRDefault="007F13F3" w:rsidP="0078313B">
      <w:pPr>
        <w:pStyle w:val="ActHead2"/>
      </w:pPr>
      <w:bookmarkStart w:id="25" w:name="_Toc406142320"/>
      <w:r w:rsidRPr="001F70D4">
        <w:rPr>
          <w:rStyle w:val="CharPartNo"/>
        </w:rPr>
        <w:t>Part</w:t>
      </w:r>
      <w:r w:rsidR="001F70D4" w:rsidRPr="001F70D4">
        <w:rPr>
          <w:rStyle w:val="CharPartNo"/>
        </w:rPr>
        <w:t> </w:t>
      </w:r>
      <w:r w:rsidRPr="001F70D4">
        <w:rPr>
          <w:rStyle w:val="CharPartNo"/>
        </w:rPr>
        <w:t>2</w:t>
      </w:r>
      <w:r w:rsidRPr="001F70D4">
        <w:t>—</w:t>
      </w:r>
      <w:r w:rsidRPr="001F70D4">
        <w:rPr>
          <w:rStyle w:val="CharPartText"/>
        </w:rPr>
        <w:t>Costs allowable for counsel’s work done and services performed</w:t>
      </w:r>
      <w:bookmarkEnd w:id="25"/>
    </w:p>
    <w:p w:rsidR="007F13F3" w:rsidRPr="001F70D4" w:rsidRDefault="007F13F3" w:rsidP="007F13F3">
      <w:pPr>
        <w:pStyle w:val="Tabletext"/>
      </w:pPr>
    </w:p>
    <w:tbl>
      <w:tblPr>
        <w:tblW w:w="7088"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657"/>
        <w:gridCol w:w="3879"/>
        <w:gridCol w:w="1276"/>
        <w:gridCol w:w="1276"/>
      </w:tblGrid>
      <w:tr w:rsidR="007F13F3" w:rsidRPr="001F70D4" w:rsidTr="0078313B">
        <w:trPr>
          <w:tblHeader/>
        </w:trPr>
        <w:tc>
          <w:tcPr>
            <w:tcW w:w="7088" w:type="dxa"/>
            <w:gridSpan w:val="4"/>
            <w:tcBorders>
              <w:top w:val="single" w:sz="12" w:space="0" w:color="auto"/>
              <w:bottom w:val="single" w:sz="6" w:space="0" w:color="auto"/>
            </w:tcBorders>
            <w:shd w:val="clear" w:color="auto" w:fill="auto"/>
          </w:tcPr>
          <w:p w:rsidR="007F13F3" w:rsidRPr="001F70D4" w:rsidRDefault="007F13F3" w:rsidP="00D84C16">
            <w:pPr>
              <w:pStyle w:val="TableHeading"/>
            </w:pPr>
            <w:r w:rsidRPr="001F70D4">
              <w:t>Costs—counsel’s work</w:t>
            </w:r>
          </w:p>
        </w:tc>
      </w:tr>
      <w:tr w:rsidR="007F13F3" w:rsidRPr="001F70D4" w:rsidTr="0078313B">
        <w:trPr>
          <w:tblHeader/>
        </w:trPr>
        <w:tc>
          <w:tcPr>
            <w:tcW w:w="657" w:type="dxa"/>
            <w:tcBorders>
              <w:top w:val="single" w:sz="6" w:space="0" w:color="auto"/>
              <w:bottom w:val="single" w:sz="12" w:space="0" w:color="auto"/>
            </w:tcBorders>
            <w:shd w:val="clear" w:color="auto" w:fill="auto"/>
            <w:hideMark/>
          </w:tcPr>
          <w:p w:rsidR="007F13F3" w:rsidRPr="001F70D4" w:rsidRDefault="007F13F3" w:rsidP="00D84C16">
            <w:pPr>
              <w:pStyle w:val="TableHeading"/>
            </w:pPr>
            <w:r w:rsidRPr="001F70D4">
              <w:t>Item</w:t>
            </w:r>
          </w:p>
        </w:tc>
        <w:tc>
          <w:tcPr>
            <w:tcW w:w="3879" w:type="dxa"/>
            <w:tcBorders>
              <w:top w:val="single" w:sz="6" w:space="0" w:color="auto"/>
              <w:bottom w:val="single" w:sz="12" w:space="0" w:color="auto"/>
            </w:tcBorders>
            <w:shd w:val="clear" w:color="auto" w:fill="auto"/>
            <w:hideMark/>
          </w:tcPr>
          <w:p w:rsidR="007F13F3" w:rsidRPr="001F70D4" w:rsidRDefault="007F13F3" w:rsidP="00D84C16">
            <w:pPr>
              <w:pStyle w:val="TableHeading"/>
            </w:pPr>
            <w:r w:rsidRPr="001F70D4">
              <w:t>Matter for which charge is made</w:t>
            </w:r>
          </w:p>
        </w:tc>
        <w:tc>
          <w:tcPr>
            <w:tcW w:w="1276" w:type="dxa"/>
            <w:tcBorders>
              <w:top w:val="single" w:sz="6" w:space="0" w:color="auto"/>
              <w:bottom w:val="single" w:sz="12" w:space="0" w:color="auto"/>
            </w:tcBorders>
            <w:shd w:val="clear" w:color="auto" w:fill="auto"/>
            <w:hideMark/>
          </w:tcPr>
          <w:p w:rsidR="007F13F3" w:rsidRPr="001F70D4" w:rsidRDefault="00C4087E" w:rsidP="00D84C16">
            <w:pPr>
              <w:pStyle w:val="TableHeading"/>
            </w:pPr>
            <w:r w:rsidRPr="001F70D4">
              <w:t>Amount</w:t>
            </w:r>
            <w:r w:rsidR="0028704C" w:rsidRPr="001F70D4">
              <w:t xml:space="preserve"> (including GST)</w:t>
            </w:r>
            <w:r w:rsidR="007F13F3" w:rsidRPr="001F70D4">
              <w:t>—senior counsel</w:t>
            </w:r>
          </w:p>
        </w:tc>
        <w:tc>
          <w:tcPr>
            <w:tcW w:w="1276" w:type="dxa"/>
            <w:tcBorders>
              <w:top w:val="single" w:sz="6" w:space="0" w:color="auto"/>
              <w:bottom w:val="single" w:sz="12" w:space="0" w:color="auto"/>
            </w:tcBorders>
            <w:shd w:val="clear" w:color="auto" w:fill="auto"/>
            <w:hideMark/>
          </w:tcPr>
          <w:p w:rsidR="007F13F3" w:rsidRPr="001F70D4" w:rsidRDefault="00C4087E" w:rsidP="00D84C16">
            <w:pPr>
              <w:pStyle w:val="TableHeading"/>
            </w:pPr>
            <w:r w:rsidRPr="001F70D4">
              <w:t>Amount</w:t>
            </w:r>
            <w:r w:rsidR="0028704C" w:rsidRPr="001F70D4">
              <w:t xml:space="preserve"> (including GST)</w:t>
            </w:r>
            <w:r w:rsidR="007F13F3" w:rsidRPr="001F70D4">
              <w:t>—junior counsel</w:t>
            </w:r>
          </w:p>
        </w:tc>
      </w:tr>
      <w:tr w:rsidR="007F13F3" w:rsidRPr="001F70D4" w:rsidTr="0078313B">
        <w:tc>
          <w:tcPr>
            <w:tcW w:w="657" w:type="dxa"/>
            <w:tcBorders>
              <w:top w:val="single" w:sz="12" w:space="0" w:color="auto"/>
            </w:tcBorders>
            <w:shd w:val="clear" w:color="auto" w:fill="auto"/>
            <w:hideMark/>
          </w:tcPr>
          <w:p w:rsidR="007F13F3" w:rsidRPr="001F70D4" w:rsidRDefault="007F13F3" w:rsidP="0078313B">
            <w:pPr>
              <w:pStyle w:val="Tabletext"/>
            </w:pPr>
            <w:r w:rsidRPr="001F70D4">
              <w:t>201</w:t>
            </w:r>
          </w:p>
        </w:tc>
        <w:tc>
          <w:tcPr>
            <w:tcW w:w="3879" w:type="dxa"/>
            <w:tcBorders>
              <w:top w:val="single" w:sz="12" w:space="0" w:color="auto"/>
            </w:tcBorders>
            <w:shd w:val="clear" w:color="auto" w:fill="auto"/>
            <w:hideMark/>
          </w:tcPr>
          <w:p w:rsidR="007F13F3" w:rsidRPr="001F70D4" w:rsidRDefault="007F13F3" w:rsidP="0078313B">
            <w:pPr>
              <w:pStyle w:val="Tabletext"/>
            </w:pPr>
            <w:r w:rsidRPr="001F70D4">
              <w:t>Chamber work (including preparing or settling any necessary document, opinion, advice or evidence, and any reading fee (if allowed))</w:t>
            </w:r>
          </w:p>
        </w:tc>
        <w:tc>
          <w:tcPr>
            <w:tcW w:w="1276" w:type="dxa"/>
            <w:tcBorders>
              <w:top w:val="single" w:sz="12" w:space="0" w:color="auto"/>
            </w:tcBorders>
            <w:shd w:val="clear" w:color="auto" w:fill="auto"/>
            <w:hideMark/>
          </w:tcPr>
          <w:p w:rsidR="007F13F3" w:rsidRPr="001F70D4" w:rsidRDefault="007F13F3" w:rsidP="003F4EF5">
            <w:pPr>
              <w:pStyle w:val="Tabletext"/>
            </w:pPr>
            <w:r w:rsidRPr="001F70D4">
              <w:t>$</w:t>
            </w:r>
            <w:r w:rsidR="003F4EF5" w:rsidRPr="001F70D4">
              <w:t>443.84</w:t>
            </w:r>
            <w:r w:rsidRPr="001F70D4">
              <w:t>–$</w:t>
            </w:r>
            <w:r w:rsidR="003F4EF5" w:rsidRPr="001F70D4">
              <w:t>760.88</w:t>
            </w:r>
            <w:r w:rsidRPr="001F70D4">
              <w:t xml:space="preserve"> per hour</w:t>
            </w:r>
          </w:p>
        </w:tc>
        <w:tc>
          <w:tcPr>
            <w:tcW w:w="1276" w:type="dxa"/>
            <w:tcBorders>
              <w:top w:val="single" w:sz="12" w:space="0" w:color="auto"/>
            </w:tcBorders>
            <w:shd w:val="clear" w:color="auto" w:fill="auto"/>
            <w:hideMark/>
          </w:tcPr>
          <w:p w:rsidR="007F13F3" w:rsidRPr="001F70D4" w:rsidRDefault="007F13F3" w:rsidP="003F4EF5">
            <w:pPr>
              <w:pStyle w:val="Tabletext"/>
            </w:pPr>
            <w:r w:rsidRPr="001F70D4">
              <w:t>$</w:t>
            </w:r>
            <w:r w:rsidR="003F4EF5" w:rsidRPr="001F70D4">
              <w:t>264.99</w:t>
            </w:r>
            <w:r w:rsidRPr="001F70D4">
              <w:t>–$</w:t>
            </w:r>
            <w:r w:rsidR="003F4EF5" w:rsidRPr="001F70D4">
              <w:t>377.92</w:t>
            </w:r>
            <w:r w:rsidRPr="001F70D4">
              <w:t xml:space="preserve"> per hour</w:t>
            </w:r>
          </w:p>
        </w:tc>
      </w:tr>
      <w:tr w:rsidR="003F4EF5" w:rsidRPr="001F70D4" w:rsidTr="0078313B">
        <w:tc>
          <w:tcPr>
            <w:tcW w:w="657" w:type="dxa"/>
            <w:shd w:val="clear" w:color="auto" w:fill="auto"/>
            <w:hideMark/>
          </w:tcPr>
          <w:p w:rsidR="003F4EF5" w:rsidRPr="001F70D4" w:rsidRDefault="003F4EF5" w:rsidP="0078313B">
            <w:pPr>
              <w:pStyle w:val="Tabletext"/>
            </w:pPr>
            <w:r w:rsidRPr="001F70D4">
              <w:t>202</w:t>
            </w:r>
          </w:p>
        </w:tc>
        <w:tc>
          <w:tcPr>
            <w:tcW w:w="3879" w:type="dxa"/>
            <w:shd w:val="clear" w:color="auto" w:fill="auto"/>
            <w:hideMark/>
          </w:tcPr>
          <w:p w:rsidR="003F4EF5" w:rsidRPr="001F70D4" w:rsidRDefault="003F4EF5" w:rsidP="0078313B">
            <w:pPr>
              <w:pStyle w:val="Tabletext"/>
            </w:pPr>
            <w:r w:rsidRPr="001F70D4">
              <w:t>Attendance at a conference (including a court</w:t>
            </w:r>
            <w:r w:rsidR="001F70D4">
              <w:noBreakHyphen/>
            </w:r>
            <w:r w:rsidRPr="001F70D4">
              <w:t>appointed conference), if necessary</w:t>
            </w:r>
          </w:p>
        </w:tc>
        <w:tc>
          <w:tcPr>
            <w:tcW w:w="1276" w:type="dxa"/>
            <w:shd w:val="clear" w:color="auto" w:fill="auto"/>
            <w:hideMark/>
          </w:tcPr>
          <w:p w:rsidR="003F4EF5" w:rsidRPr="001F70D4" w:rsidRDefault="003F4EF5" w:rsidP="0078313B">
            <w:pPr>
              <w:pStyle w:val="Tabletext"/>
            </w:pPr>
            <w:r w:rsidRPr="001F70D4">
              <w:t>$443.84–$760.88 per hour</w:t>
            </w:r>
          </w:p>
        </w:tc>
        <w:tc>
          <w:tcPr>
            <w:tcW w:w="1276" w:type="dxa"/>
            <w:shd w:val="clear" w:color="auto" w:fill="auto"/>
            <w:hideMark/>
          </w:tcPr>
          <w:p w:rsidR="003F4EF5" w:rsidRPr="001F70D4" w:rsidRDefault="003F4EF5" w:rsidP="0078313B">
            <w:pPr>
              <w:pStyle w:val="Tabletext"/>
            </w:pPr>
            <w:r w:rsidRPr="001F70D4">
              <w:t>$264.99–$377.92 per hour</w:t>
            </w:r>
          </w:p>
        </w:tc>
      </w:tr>
      <w:tr w:rsidR="007F13F3" w:rsidRPr="001F70D4" w:rsidTr="0078313B">
        <w:tc>
          <w:tcPr>
            <w:tcW w:w="657" w:type="dxa"/>
            <w:shd w:val="clear" w:color="auto" w:fill="auto"/>
            <w:hideMark/>
          </w:tcPr>
          <w:p w:rsidR="007F13F3" w:rsidRPr="001F70D4" w:rsidRDefault="007F13F3" w:rsidP="0078313B">
            <w:pPr>
              <w:pStyle w:val="Tabletext"/>
            </w:pPr>
            <w:r w:rsidRPr="001F70D4">
              <w:t>203</w:t>
            </w:r>
          </w:p>
        </w:tc>
        <w:tc>
          <w:tcPr>
            <w:tcW w:w="3879" w:type="dxa"/>
            <w:shd w:val="clear" w:color="auto" w:fill="auto"/>
            <w:hideMark/>
          </w:tcPr>
          <w:p w:rsidR="007F13F3" w:rsidRPr="001F70D4" w:rsidRDefault="007F13F3" w:rsidP="0078313B">
            <w:pPr>
              <w:pStyle w:val="Tabletext"/>
            </w:pPr>
            <w:r w:rsidRPr="001F70D4">
              <w:t>Attendance of less than 3 hours (for example, a procedural hearing or a summary hearing)</w:t>
            </w:r>
          </w:p>
        </w:tc>
        <w:tc>
          <w:tcPr>
            <w:tcW w:w="1276" w:type="dxa"/>
            <w:shd w:val="clear" w:color="auto" w:fill="auto"/>
            <w:hideMark/>
          </w:tcPr>
          <w:p w:rsidR="007F13F3" w:rsidRPr="001F70D4" w:rsidRDefault="007F13F3" w:rsidP="00C4087E">
            <w:pPr>
              <w:pStyle w:val="Tabletext"/>
            </w:pPr>
            <w:r w:rsidRPr="001F70D4">
              <w:t>$</w:t>
            </w:r>
            <w:r w:rsidR="003F4EF5" w:rsidRPr="001F70D4">
              <w:t>443.84</w:t>
            </w:r>
            <w:r w:rsidRPr="001F70D4">
              <w:t>–$</w:t>
            </w:r>
            <w:r w:rsidR="003F4EF5" w:rsidRPr="001F70D4">
              <w:t>3</w:t>
            </w:r>
            <w:r w:rsidR="001F70D4" w:rsidRPr="001F70D4">
              <w:t> </w:t>
            </w:r>
            <w:r w:rsidR="003F4EF5" w:rsidRPr="001F70D4">
              <w:t>170.16</w:t>
            </w:r>
          </w:p>
        </w:tc>
        <w:tc>
          <w:tcPr>
            <w:tcW w:w="1276" w:type="dxa"/>
            <w:shd w:val="clear" w:color="auto" w:fill="auto"/>
            <w:hideMark/>
          </w:tcPr>
          <w:p w:rsidR="007F13F3" w:rsidRPr="001F70D4" w:rsidRDefault="007F13F3" w:rsidP="00C4087E">
            <w:pPr>
              <w:pStyle w:val="Tabletext"/>
            </w:pPr>
            <w:r w:rsidRPr="001F70D4">
              <w:t>$</w:t>
            </w:r>
            <w:r w:rsidR="003F4EF5" w:rsidRPr="001F70D4">
              <w:t>237</w:t>
            </w:r>
            <w:r w:rsidRPr="001F70D4">
              <w:t>.</w:t>
            </w:r>
            <w:r w:rsidR="003F4EF5" w:rsidRPr="001F70D4">
              <w:t>06</w:t>
            </w:r>
            <w:r w:rsidRPr="001F70D4">
              <w:t>–$</w:t>
            </w:r>
            <w:r w:rsidR="003F4EF5" w:rsidRPr="001F70D4">
              <w:t>1</w:t>
            </w:r>
            <w:r w:rsidR="001F70D4" w:rsidRPr="001F70D4">
              <w:t> </w:t>
            </w:r>
            <w:r w:rsidR="003F4EF5" w:rsidRPr="001F70D4">
              <w:t>110.82</w:t>
            </w:r>
          </w:p>
        </w:tc>
      </w:tr>
      <w:tr w:rsidR="007F13F3" w:rsidRPr="001F70D4" w:rsidTr="0078313B">
        <w:tc>
          <w:tcPr>
            <w:tcW w:w="657" w:type="dxa"/>
            <w:shd w:val="clear" w:color="auto" w:fill="auto"/>
            <w:hideMark/>
          </w:tcPr>
          <w:p w:rsidR="007F13F3" w:rsidRPr="001F70D4" w:rsidRDefault="007F13F3" w:rsidP="0078313B">
            <w:pPr>
              <w:pStyle w:val="Tabletext"/>
            </w:pPr>
            <w:r w:rsidRPr="001F70D4">
              <w:t>204</w:t>
            </w:r>
          </w:p>
        </w:tc>
        <w:tc>
          <w:tcPr>
            <w:tcW w:w="3879" w:type="dxa"/>
            <w:shd w:val="clear" w:color="auto" w:fill="auto"/>
            <w:hideMark/>
          </w:tcPr>
          <w:p w:rsidR="007F13F3" w:rsidRPr="001F70D4" w:rsidRDefault="007F13F3" w:rsidP="0078313B">
            <w:pPr>
              <w:pStyle w:val="Tabletext"/>
            </w:pPr>
            <w:r w:rsidRPr="001F70D4">
              <w:t>A hearing or trial taking at least 3 hours but not more than 1 day</w:t>
            </w:r>
          </w:p>
        </w:tc>
        <w:tc>
          <w:tcPr>
            <w:tcW w:w="1276" w:type="dxa"/>
            <w:shd w:val="clear" w:color="auto" w:fill="auto"/>
            <w:hideMark/>
          </w:tcPr>
          <w:p w:rsidR="007F13F3" w:rsidRPr="001F70D4" w:rsidRDefault="007F13F3" w:rsidP="003F4EF5">
            <w:pPr>
              <w:pStyle w:val="Tabletext"/>
            </w:pPr>
            <w:r w:rsidRPr="001F70D4">
              <w:t>$</w:t>
            </w:r>
            <w:r w:rsidR="003F4EF5" w:rsidRPr="001F70D4">
              <w:t>824.25</w:t>
            </w:r>
            <w:r w:rsidRPr="001F70D4">
              <w:t>–$</w:t>
            </w:r>
            <w:r w:rsidR="00C4087E" w:rsidRPr="001F70D4">
              <w:t>6</w:t>
            </w:r>
            <w:r w:rsidR="001F70D4" w:rsidRPr="001F70D4">
              <w:t> </w:t>
            </w:r>
            <w:r w:rsidR="003F4EF5" w:rsidRPr="001F70D4">
              <w:t>340.92</w:t>
            </w:r>
          </w:p>
        </w:tc>
        <w:tc>
          <w:tcPr>
            <w:tcW w:w="1276" w:type="dxa"/>
            <w:shd w:val="clear" w:color="auto" w:fill="auto"/>
            <w:hideMark/>
          </w:tcPr>
          <w:p w:rsidR="007F13F3" w:rsidRPr="001F70D4" w:rsidRDefault="007F13F3" w:rsidP="003F4EF5">
            <w:pPr>
              <w:pStyle w:val="Tabletext"/>
            </w:pPr>
            <w:r w:rsidRPr="001F70D4">
              <w:t>$</w:t>
            </w:r>
            <w:r w:rsidR="003F4EF5" w:rsidRPr="001F70D4">
              <w:t>785.92</w:t>
            </w:r>
            <w:r w:rsidRPr="001F70D4">
              <w:t>–$</w:t>
            </w:r>
            <w:r w:rsidR="00C4087E" w:rsidRPr="001F70D4">
              <w:t>1</w:t>
            </w:r>
            <w:r w:rsidR="001F70D4" w:rsidRPr="001F70D4">
              <w:t> </w:t>
            </w:r>
            <w:r w:rsidR="003F4EF5" w:rsidRPr="001F70D4">
              <w:t>816.68</w:t>
            </w:r>
          </w:p>
        </w:tc>
      </w:tr>
      <w:tr w:rsidR="007F13F3" w:rsidRPr="001F70D4" w:rsidTr="0078313B">
        <w:tc>
          <w:tcPr>
            <w:tcW w:w="657" w:type="dxa"/>
            <w:tcBorders>
              <w:bottom w:val="single" w:sz="4" w:space="0" w:color="auto"/>
            </w:tcBorders>
            <w:shd w:val="clear" w:color="auto" w:fill="auto"/>
            <w:hideMark/>
          </w:tcPr>
          <w:p w:rsidR="007F13F3" w:rsidRPr="001F70D4" w:rsidRDefault="007F13F3" w:rsidP="0078313B">
            <w:pPr>
              <w:pStyle w:val="Tabletext"/>
            </w:pPr>
            <w:r w:rsidRPr="001F70D4">
              <w:t>205</w:t>
            </w:r>
          </w:p>
        </w:tc>
        <w:tc>
          <w:tcPr>
            <w:tcW w:w="3879" w:type="dxa"/>
            <w:tcBorders>
              <w:bottom w:val="single" w:sz="4" w:space="0" w:color="auto"/>
            </w:tcBorders>
            <w:shd w:val="clear" w:color="auto" w:fill="auto"/>
            <w:hideMark/>
          </w:tcPr>
          <w:p w:rsidR="007F13F3" w:rsidRPr="001F70D4" w:rsidRDefault="007F13F3" w:rsidP="0078313B">
            <w:pPr>
              <w:pStyle w:val="Tabletext"/>
            </w:pPr>
            <w:r w:rsidRPr="001F70D4">
              <w:t>Other hearings or trials</w:t>
            </w:r>
          </w:p>
        </w:tc>
        <w:tc>
          <w:tcPr>
            <w:tcW w:w="1276" w:type="dxa"/>
            <w:tcBorders>
              <w:bottom w:val="single" w:sz="4" w:space="0" w:color="auto"/>
            </w:tcBorders>
            <w:shd w:val="clear" w:color="auto" w:fill="auto"/>
            <w:hideMark/>
          </w:tcPr>
          <w:p w:rsidR="007F13F3" w:rsidRPr="001F70D4" w:rsidRDefault="007F13F3" w:rsidP="003F4EF5">
            <w:pPr>
              <w:pStyle w:val="Tabletext"/>
            </w:pPr>
            <w:r w:rsidRPr="001F70D4">
              <w:t>$</w:t>
            </w:r>
            <w:r w:rsidR="00C4087E" w:rsidRPr="001F70D4">
              <w:t>2</w:t>
            </w:r>
            <w:r w:rsidR="001F70D4" w:rsidRPr="001F70D4">
              <w:t> </w:t>
            </w:r>
            <w:r w:rsidR="003F4EF5" w:rsidRPr="001F70D4">
              <w:t>092.40</w:t>
            </w:r>
            <w:r w:rsidRPr="001F70D4">
              <w:t>–$</w:t>
            </w:r>
            <w:r w:rsidR="00C4087E" w:rsidRPr="001F70D4">
              <w:t>6</w:t>
            </w:r>
            <w:r w:rsidR="001F70D4" w:rsidRPr="001F70D4">
              <w:t> </w:t>
            </w:r>
            <w:r w:rsidR="003F4EF5" w:rsidRPr="001F70D4">
              <w:t xml:space="preserve">340.92 </w:t>
            </w:r>
            <w:r w:rsidRPr="001F70D4">
              <w:t>per day</w:t>
            </w:r>
          </w:p>
        </w:tc>
        <w:tc>
          <w:tcPr>
            <w:tcW w:w="1276" w:type="dxa"/>
            <w:tcBorders>
              <w:bottom w:val="single" w:sz="4" w:space="0" w:color="auto"/>
            </w:tcBorders>
            <w:shd w:val="clear" w:color="auto" w:fill="auto"/>
            <w:hideMark/>
          </w:tcPr>
          <w:p w:rsidR="007F13F3" w:rsidRPr="001F70D4" w:rsidRDefault="007F13F3" w:rsidP="003F4EF5">
            <w:pPr>
              <w:pStyle w:val="Tabletext"/>
            </w:pPr>
            <w:r w:rsidRPr="001F70D4">
              <w:t>$</w:t>
            </w:r>
            <w:r w:rsidR="00C4087E" w:rsidRPr="001F70D4">
              <w:t>1</w:t>
            </w:r>
            <w:r w:rsidR="001F70D4" w:rsidRPr="001F70D4">
              <w:t> </w:t>
            </w:r>
            <w:r w:rsidR="003F4EF5" w:rsidRPr="001F70D4">
              <w:t>873</w:t>
            </w:r>
            <w:r w:rsidRPr="001F70D4">
              <w:t>–$</w:t>
            </w:r>
            <w:r w:rsidR="00C4087E" w:rsidRPr="001F70D4">
              <w:t>2</w:t>
            </w:r>
            <w:r w:rsidR="001F70D4" w:rsidRPr="001F70D4">
              <w:t> </w:t>
            </w:r>
            <w:r w:rsidR="003F4EF5" w:rsidRPr="001F70D4">
              <w:t>753.04</w:t>
            </w:r>
            <w:r w:rsidRPr="001F70D4">
              <w:t xml:space="preserve"> per day</w:t>
            </w:r>
          </w:p>
        </w:tc>
      </w:tr>
      <w:tr w:rsidR="003F4EF5" w:rsidRPr="001F70D4" w:rsidTr="0078313B">
        <w:tc>
          <w:tcPr>
            <w:tcW w:w="657" w:type="dxa"/>
            <w:tcBorders>
              <w:bottom w:val="single" w:sz="12" w:space="0" w:color="auto"/>
            </w:tcBorders>
            <w:shd w:val="clear" w:color="auto" w:fill="auto"/>
            <w:hideMark/>
          </w:tcPr>
          <w:p w:rsidR="003F4EF5" w:rsidRPr="001F70D4" w:rsidRDefault="003F4EF5" w:rsidP="0078313B">
            <w:pPr>
              <w:pStyle w:val="Tabletext"/>
            </w:pPr>
            <w:r w:rsidRPr="001F70D4">
              <w:t>206</w:t>
            </w:r>
          </w:p>
        </w:tc>
        <w:tc>
          <w:tcPr>
            <w:tcW w:w="3879" w:type="dxa"/>
            <w:tcBorders>
              <w:bottom w:val="single" w:sz="12" w:space="0" w:color="auto"/>
            </w:tcBorders>
            <w:shd w:val="clear" w:color="auto" w:fill="auto"/>
            <w:hideMark/>
          </w:tcPr>
          <w:p w:rsidR="003F4EF5" w:rsidRPr="001F70D4" w:rsidRDefault="003F4EF5" w:rsidP="0078313B">
            <w:pPr>
              <w:pStyle w:val="Tabletext"/>
            </w:pPr>
            <w:r w:rsidRPr="001F70D4">
              <w:t>Reserved judgment</w:t>
            </w:r>
          </w:p>
        </w:tc>
        <w:tc>
          <w:tcPr>
            <w:tcW w:w="1276" w:type="dxa"/>
            <w:tcBorders>
              <w:bottom w:val="single" w:sz="12" w:space="0" w:color="auto"/>
            </w:tcBorders>
            <w:shd w:val="clear" w:color="auto" w:fill="auto"/>
            <w:hideMark/>
          </w:tcPr>
          <w:p w:rsidR="003F4EF5" w:rsidRPr="001F70D4" w:rsidRDefault="003F4EF5" w:rsidP="0078313B">
            <w:pPr>
              <w:pStyle w:val="Tabletext"/>
            </w:pPr>
            <w:r w:rsidRPr="001F70D4">
              <w:t>$443.84–$760.88 per hour</w:t>
            </w:r>
          </w:p>
        </w:tc>
        <w:tc>
          <w:tcPr>
            <w:tcW w:w="1276" w:type="dxa"/>
            <w:tcBorders>
              <w:bottom w:val="single" w:sz="12" w:space="0" w:color="auto"/>
            </w:tcBorders>
            <w:shd w:val="clear" w:color="auto" w:fill="auto"/>
            <w:hideMark/>
          </w:tcPr>
          <w:p w:rsidR="003F4EF5" w:rsidRPr="001F70D4" w:rsidRDefault="003F4EF5" w:rsidP="0078313B">
            <w:pPr>
              <w:pStyle w:val="Tabletext"/>
            </w:pPr>
            <w:r w:rsidRPr="001F70D4">
              <w:t>$264.99–$377.92 per hour</w:t>
            </w:r>
          </w:p>
        </w:tc>
      </w:tr>
    </w:tbl>
    <w:p w:rsidR="007F13F3" w:rsidRPr="001F70D4" w:rsidRDefault="007F13F3" w:rsidP="007F13F3">
      <w:pPr>
        <w:pStyle w:val="Tabletext"/>
      </w:pPr>
    </w:p>
    <w:p w:rsidR="007F13F3" w:rsidRPr="001F70D4" w:rsidRDefault="007F13F3" w:rsidP="0078313B">
      <w:pPr>
        <w:pStyle w:val="ActHead2"/>
      </w:pPr>
      <w:bookmarkStart w:id="26" w:name="_Toc406142321"/>
      <w:r w:rsidRPr="001F70D4">
        <w:rPr>
          <w:rStyle w:val="CharPartNo"/>
        </w:rPr>
        <w:t>Part</w:t>
      </w:r>
      <w:r w:rsidR="001F70D4" w:rsidRPr="001F70D4">
        <w:rPr>
          <w:rStyle w:val="CharPartNo"/>
        </w:rPr>
        <w:t> </w:t>
      </w:r>
      <w:r w:rsidRPr="001F70D4">
        <w:rPr>
          <w:rStyle w:val="CharPartNo"/>
        </w:rPr>
        <w:t>3</w:t>
      </w:r>
      <w:r w:rsidRPr="001F70D4">
        <w:t>—</w:t>
      </w:r>
      <w:r w:rsidRPr="001F70D4">
        <w:rPr>
          <w:rStyle w:val="CharPartText"/>
        </w:rPr>
        <w:t>Basic composite amount for undefended divorce</w:t>
      </w:r>
      <w:bookmarkEnd w:id="26"/>
    </w:p>
    <w:p w:rsidR="007F13F3" w:rsidRPr="001F70D4" w:rsidRDefault="007F13F3" w:rsidP="007F13F3">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672"/>
        <w:gridCol w:w="5282"/>
        <w:gridCol w:w="1134"/>
      </w:tblGrid>
      <w:tr w:rsidR="007F13F3" w:rsidRPr="001F70D4" w:rsidTr="0078313B">
        <w:trPr>
          <w:tblHeader/>
        </w:trPr>
        <w:tc>
          <w:tcPr>
            <w:tcW w:w="7088" w:type="dxa"/>
            <w:gridSpan w:val="3"/>
            <w:tcBorders>
              <w:top w:val="single" w:sz="12" w:space="0" w:color="auto"/>
              <w:bottom w:val="single" w:sz="6" w:space="0" w:color="auto"/>
            </w:tcBorders>
            <w:shd w:val="clear" w:color="auto" w:fill="auto"/>
          </w:tcPr>
          <w:p w:rsidR="007F13F3" w:rsidRPr="001F70D4" w:rsidRDefault="007F13F3" w:rsidP="00762DA7">
            <w:pPr>
              <w:pStyle w:val="TableHeading"/>
            </w:pPr>
            <w:r w:rsidRPr="001F70D4">
              <w:t>Costs—undefended divorce</w:t>
            </w:r>
          </w:p>
        </w:tc>
      </w:tr>
      <w:tr w:rsidR="007F13F3" w:rsidRPr="001F70D4" w:rsidTr="00F026AF">
        <w:trPr>
          <w:tblHeader/>
        </w:trPr>
        <w:tc>
          <w:tcPr>
            <w:tcW w:w="672" w:type="dxa"/>
            <w:tcBorders>
              <w:top w:val="single" w:sz="6" w:space="0" w:color="auto"/>
              <w:bottom w:val="single" w:sz="12" w:space="0" w:color="auto"/>
            </w:tcBorders>
            <w:shd w:val="clear" w:color="auto" w:fill="auto"/>
            <w:hideMark/>
          </w:tcPr>
          <w:p w:rsidR="007F13F3" w:rsidRPr="001F70D4" w:rsidRDefault="007F13F3" w:rsidP="00762DA7">
            <w:pPr>
              <w:pStyle w:val="TableHeading"/>
            </w:pPr>
            <w:r w:rsidRPr="001F70D4">
              <w:t>Item</w:t>
            </w:r>
          </w:p>
        </w:tc>
        <w:tc>
          <w:tcPr>
            <w:tcW w:w="5282" w:type="dxa"/>
            <w:tcBorders>
              <w:top w:val="single" w:sz="6" w:space="0" w:color="auto"/>
              <w:bottom w:val="single" w:sz="12" w:space="0" w:color="auto"/>
            </w:tcBorders>
            <w:shd w:val="clear" w:color="auto" w:fill="auto"/>
            <w:hideMark/>
          </w:tcPr>
          <w:p w:rsidR="007F13F3" w:rsidRPr="001F70D4" w:rsidRDefault="007F13F3" w:rsidP="00762DA7">
            <w:pPr>
              <w:pStyle w:val="TableHeading"/>
            </w:pPr>
            <w:r w:rsidRPr="001F70D4">
              <w:t>Matter for which charge is made</w:t>
            </w:r>
          </w:p>
        </w:tc>
        <w:tc>
          <w:tcPr>
            <w:tcW w:w="1134" w:type="dxa"/>
            <w:tcBorders>
              <w:top w:val="single" w:sz="6" w:space="0" w:color="auto"/>
              <w:bottom w:val="single" w:sz="12" w:space="0" w:color="auto"/>
            </w:tcBorders>
            <w:shd w:val="clear" w:color="auto" w:fill="auto"/>
            <w:hideMark/>
          </w:tcPr>
          <w:p w:rsidR="007F13F3" w:rsidRPr="001F70D4" w:rsidRDefault="00C4087E" w:rsidP="00F026AF">
            <w:pPr>
              <w:pStyle w:val="TableHeading"/>
              <w:jc w:val="right"/>
            </w:pPr>
            <w:r w:rsidRPr="001F70D4">
              <w:t>Amount</w:t>
            </w:r>
            <w:r w:rsidR="0028704C" w:rsidRPr="001F70D4">
              <w:t xml:space="preserve"> (including GST)</w:t>
            </w:r>
          </w:p>
        </w:tc>
      </w:tr>
      <w:tr w:rsidR="007F13F3" w:rsidRPr="001F70D4" w:rsidTr="00E53F10">
        <w:tc>
          <w:tcPr>
            <w:tcW w:w="672" w:type="dxa"/>
            <w:tcBorders>
              <w:top w:val="single" w:sz="12" w:space="0" w:color="auto"/>
            </w:tcBorders>
            <w:shd w:val="clear" w:color="auto" w:fill="auto"/>
            <w:hideMark/>
          </w:tcPr>
          <w:p w:rsidR="007F13F3" w:rsidRPr="001F70D4" w:rsidRDefault="007F13F3" w:rsidP="0078313B">
            <w:pPr>
              <w:pStyle w:val="Tabletext"/>
            </w:pPr>
            <w:r w:rsidRPr="001F70D4">
              <w:t>301</w:t>
            </w:r>
          </w:p>
        </w:tc>
        <w:tc>
          <w:tcPr>
            <w:tcW w:w="5282" w:type="dxa"/>
            <w:tcBorders>
              <w:top w:val="single" w:sz="12" w:space="0" w:color="auto"/>
            </w:tcBorders>
            <w:shd w:val="clear" w:color="auto" w:fill="auto"/>
            <w:hideMark/>
          </w:tcPr>
          <w:p w:rsidR="007F13F3" w:rsidRPr="001F70D4" w:rsidRDefault="007F13F3" w:rsidP="0078313B">
            <w:pPr>
              <w:pStyle w:val="Tabletext"/>
            </w:pPr>
            <w:r w:rsidRPr="001F70D4">
              <w:t>If the lawyer employed another lawyer to attend at court for the applicant and there is a child of the marriage under 18</w:t>
            </w:r>
          </w:p>
        </w:tc>
        <w:tc>
          <w:tcPr>
            <w:tcW w:w="1134" w:type="dxa"/>
            <w:tcBorders>
              <w:top w:val="single" w:sz="12" w:space="0" w:color="auto"/>
            </w:tcBorders>
            <w:shd w:val="clear" w:color="auto" w:fill="auto"/>
            <w:hideMark/>
          </w:tcPr>
          <w:p w:rsidR="007F13F3" w:rsidRPr="001F70D4" w:rsidRDefault="007F13F3" w:rsidP="0028704C">
            <w:pPr>
              <w:pStyle w:val="Tabletext"/>
              <w:jc w:val="right"/>
            </w:pPr>
            <w:r w:rsidRPr="001F70D4">
              <w:t>$</w:t>
            </w:r>
            <w:r w:rsidR="0028704C" w:rsidRPr="001F70D4">
              <w:t>974</w:t>
            </w:r>
            <w:r w:rsidR="003F4EF5" w:rsidRPr="001F70D4">
              <w:t>.74</w:t>
            </w:r>
          </w:p>
        </w:tc>
      </w:tr>
      <w:tr w:rsidR="007F13F3" w:rsidRPr="001F70D4" w:rsidTr="00E53F10">
        <w:tc>
          <w:tcPr>
            <w:tcW w:w="672" w:type="dxa"/>
            <w:shd w:val="clear" w:color="auto" w:fill="auto"/>
            <w:hideMark/>
          </w:tcPr>
          <w:p w:rsidR="007F13F3" w:rsidRPr="001F70D4" w:rsidRDefault="007F13F3" w:rsidP="0078313B">
            <w:pPr>
              <w:pStyle w:val="Tabletext"/>
            </w:pPr>
            <w:r w:rsidRPr="001F70D4">
              <w:t>302</w:t>
            </w:r>
          </w:p>
        </w:tc>
        <w:tc>
          <w:tcPr>
            <w:tcW w:w="5282" w:type="dxa"/>
            <w:shd w:val="clear" w:color="auto" w:fill="auto"/>
            <w:hideMark/>
          </w:tcPr>
          <w:p w:rsidR="007F13F3" w:rsidRPr="001F70D4" w:rsidRDefault="007F13F3" w:rsidP="0078313B">
            <w:pPr>
              <w:pStyle w:val="Tabletext"/>
            </w:pPr>
            <w:r w:rsidRPr="001F70D4">
              <w:t>If the lawyer employed another lawyer to attend at court for the applicant and there is no child of the marriage under 18</w:t>
            </w:r>
          </w:p>
        </w:tc>
        <w:tc>
          <w:tcPr>
            <w:tcW w:w="1134" w:type="dxa"/>
            <w:shd w:val="clear" w:color="auto" w:fill="auto"/>
            <w:hideMark/>
          </w:tcPr>
          <w:p w:rsidR="007F13F3" w:rsidRPr="001F70D4" w:rsidRDefault="007F13F3" w:rsidP="003F4EF5">
            <w:pPr>
              <w:pStyle w:val="Tabletext"/>
              <w:jc w:val="right"/>
            </w:pPr>
            <w:r w:rsidRPr="001F70D4">
              <w:t>$</w:t>
            </w:r>
            <w:r w:rsidR="003F4EF5" w:rsidRPr="001F70D4">
              <w:t>725.21</w:t>
            </w:r>
          </w:p>
        </w:tc>
      </w:tr>
      <w:tr w:rsidR="007F13F3" w:rsidRPr="001F70D4" w:rsidTr="00E53F10">
        <w:tc>
          <w:tcPr>
            <w:tcW w:w="672" w:type="dxa"/>
            <w:shd w:val="clear" w:color="auto" w:fill="auto"/>
            <w:hideMark/>
          </w:tcPr>
          <w:p w:rsidR="007F13F3" w:rsidRPr="001F70D4" w:rsidRDefault="007F13F3" w:rsidP="0078313B">
            <w:pPr>
              <w:pStyle w:val="Tabletext"/>
            </w:pPr>
            <w:r w:rsidRPr="001F70D4">
              <w:t>303</w:t>
            </w:r>
          </w:p>
        </w:tc>
        <w:tc>
          <w:tcPr>
            <w:tcW w:w="5282" w:type="dxa"/>
            <w:shd w:val="clear" w:color="auto" w:fill="auto"/>
            <w:hideMark/>
          </w:tcPr>
          <w:p w:rsidR="007F13F3" w:rsidRPr="001F70D4" w:rsidRDefault="007F13F3" w:rsidP="0078313B">
            <w:pPr>
              <w:pStyle w:val="Tabletext"/>
            </w:pPr>
            <w:r w:rsidRPr="001F70D4">
              <w:t>If the lawyer did not employ another lawyer to attend at court for the applicant and there is a child of the marriage under 18</w:t>
            </w:r>
          </w:p>
        </w:tc>
        <w:tc>
          <w:tcPr>
            <w:tcW w:w="1134" w:type="dxa"/>
            <w:shd w:val="clear" w:color="auto" w:fill="auto"/>
            <w:hideMark/>
          </w:tcPr>
          <w:p w:rsidR="007F13F3" w:rsidRPr="001F70D4" w:rsidRDefault="007F13F3" w:rsidP="003F4EF5">
            <w:pPr>
              <w:pStyle w:val="Tabletext"/>
              <w:jc w:val="right"/>
            </w:pPr>
            <w:r w:rsidRPr="001F70D4">
              <w:t>$</w:t>
            </w:r>
            <w:r w:rsidR="003F4EF5" w:rsidRPr="001F70D4">
              <w:t>915.11</w:t>
            </w:r>
          </w:p>
        </w:tc>
      </w:tr>
      <w:tr w:rsidR="007F13F3" w:rsidRPr="001F70D4" w:rsidTr="00E53F10">
        <w:tc>
          <w:tcPr>
            <w:tcW w:w="672" w:type="dxa"/>
            <w:tcBorders>
              <w:bottom w:val="single" w:sz="4" w:space="0" w:color="auto"/>
            </w:tcBorders>
            <w:shd w:val="clear" w:color="auto" w:fill="auto"/>
            <w:hideMark/>
          </w:tcPr>
          <w:p w:rsidR="007F13F3" w:rsidRPr="001F70D4" w:rsidRDefault="007F13F3" w:rsidP="0078313B">
            <w:pPr>
              <w:pStyle w:val="Tabletext"/>
            </w:pPr>
            <w:r w:rsidRPr="001F70D4">
              <w:t>304</w:t>
            </w:r>
          </w:p>
        </w:tc>
        <w:tc>
          <w:tcPr>
            <w:tcW w:w="5282" w:type="dxa"/>
            <w:tcBorders>
              <w:bottom w:val="single" w:sz="4" w:space="0" w:color="auto"/>
            </w:tcBorders>
            <w:shd w:val="clear" w:color="auto" w:fill="auto"/>
            <w:hideMark/>
          </w:tcPr>
          <w:p w:rsidR="007F13F3" w:rsidRPr="001F70D4" w:rsidRDefault="007F13F3" w:rsidP="0078313B">
            <w:pPr>
              <w:pStyle w:val="Tabletext"/>
            </w:pPr>
            <w:r w:rsidRPr="001F70D4">
              <w:t>If the lawyer did not employ another lawyer to attend at court for the applicant and there is no child of the marriage under 18</w:t>
            </w:r>
          </w:p>
        </w:tc>
        <w:tc>
          <w:tcPr>
            <w:tcW w:w="1134" w:type="dxa"/>
            <w:tcBorders>
              <w:bottom w:val="single" w:sz="4" w:space="0" w:color="auto"/>
            </w:tcBorders>
            <w:shd w:val="clear" w:color="auto" w:fill="auto"/>
            <w:hideMark/>
          </w:tcPr>
          <w:p w:rsidR="007F13F3" w:rsidRPr="001F70D4" w:rsidRDefault="007F13F3" w:rsidP="003F4EF5">
            <w:pPr>
              <w:pStyle w:val="Tabletext"/>
              <w:jc w:val="right"/>
            </w:pPr>
            <w:r w:rsidRPr="001F70D4">
              <w:t>$</w:t>
            </w:r>
            <w:r w:rsidR="003F4EF5" w:rsidRPr="001F70D4">
              <w:t>684.76</w:t>
            </w:r>
          </w:p>
        </w:tc>
      </w:tr>
      <w:tr w:rsidR="007F13F3" w:rsidRPr="001F70D4" w:rsidTr="00E53F10">
        <w:tc>
          <w:tcPr>
            <w:tcW w:w="672" w:type="dxa"/>
            <w:tcBorders>
              <w:bottom w:val="single" w:sz="12" w:space="0" w:color="auto"/>
            </w:tcBorders>
            <w:shd w:val="clear" w:color="auto" w:fill="auto"/>
            <w:hideMark/>
          </w:tcPr>
          <w:p w:rsidR="007F13F3" w:rsidRPr="001F70D4" w:rsidRDefault="007F13F3" w:rsidP="0078313B">
            <w:pPr>
              <w:pStyle w:val="Tabletext"/>
            </w:pPr>
            <w:r w:rsidRPr="001F70D4">
              <w:t>305</w:t>
            </w:r>
          </w:p>
        </w:tc>
        <w:tc>
          <w:tcPr>
            <w:tcW w:w="5282" w:type="dxa"/>
            <w:tcBorders>
              <w:bottom w:val="single" w:sz="12" w:space="0" w:color="auto"/>
            </w:tcBorders>
            <w:shd w:val="clear" w:color="auto" w:fill="auto"/>
            <w:hideMark/>
          </w:tcPr>
          <w:p w:rsidR="007F13F3" w:rsidRPr="001F70D4" w:rsidRDefault="007F13F3" w:rsidP="0078313B">
            <w:pPr>
              <w:pStyle w:val="Tabletext"/>
            </w:pPr>
            <w:r w:rsidRPr="001F70D4">
              <w:t>If the lawyer did not attend at court for the hearing under section</w:t>
            </w:r>
            <w:r w:rsidR="001F70D4" w:rsidRPr="001F70D4">
              <w:t> </w:t>
            </w:r>
            <w:r w:rsidRPr="001F70D4">
              <w:t>98A of the Act</w:t>
            </w:r>
          </w:p>
        </w:tc>
        <w:tc>
          <w:tcPr>
            <w:tcW w:w="1134" w:type="dxa"/>
            <w:tcBorders>
              <w:bottom w:val="single" w:sz="12" w:space="0" w:color="auto"/>
            </w:tcBorders>
            <w:shd w:val="clear" w:color="auto" w:fill="auto"/>
            <w:hideMark/>
          </w:tcPr>
          <w:p w:rsidR="007F13F3" w:rsidRPr="001F70D4" w:rsidRDefault="007F13F3" w:rsidP="003F4EF5">
            <w:pPr>
              <w:pStyle w:val="Tabletext"/>
              <w:jc w:val="right"/>
            </w:pPr>
            <w:r w:rsidRPr="001F70D4">
              <w:t>$</w:t>
            </w:r>
            <w:r w:rsidR="003F4EF5" w:rsidRPr="001F70D4">
              <w:t>589.18</w:t>
            </w:r>
          </w:p>
        </w:tc>
      </w:tr>
    </w:tbl>
    <w:p w:rsidR="007F13F3" w:rsidRPr="001F70D4" w:rsidRDefault="007F13F3" w:rsidP="007F13F3">
      <w:pPr>
        <w:pStyle w:val="Tabletext"/>
      </w:pPr>
    </w:p>
    <w:p w:rsidR="007F13F3" w:rsidRPr="001F70D4" w:rsidRDefault="007F13F3" w:rsidP="0078313B">
      <w:pPr>
        <w:pStyle w:val="ActHead2"/>
      </w:pPr>
      <w:bookmarkStart w:id="27" w:name="f_Check_Lines_above"/>
      <w:bookmarkStart w:id="28" w:name="_Toc406142322"/>
      <w:bookmarkEnd w:id="27"/>
      <w:r w:rsidRPr="001F70D4">
        <w:rPr>
          <w:rStyle w:val="CharPartNo"/>
        </w:rPr>
        <w:t>Part</w:t>
      </w:r>
      <w:r w:rsidR="001F70D4" w:rsidRPr="001F70D4">
        <w:rPr>
          <w:rStyle w:val="CharPartNo"/>
        </w:rPr>
        <w:t> </w:t>
      </w:r>
      <w:r w:rsidRPr="001F70D4">
        <w:rPr>
          <w:rStyle w:val="CharPartNo"/>
        </w:rPr>
        <w:t>4</w:t>
      </w:r>
      <w:r w:rsidRPr="001F70D4">
        <w:t>—</w:t>
      </w:r>
      <w:r w:rsidRPr="001F70D4">
        <w:rPr>
          <w:rStyle w:val="CharPartText"/>
        </w:rPr>
        <w:t>Basic composite amount for request for Enforcement Warrant or Third Party Debt Notice</w:t>
      </w:r>
      <w:bookmarkEnd w:id="28"/>
    </w:p>
    <w:p w:rsidR="007F13F3" w:rsidRPr="001F70D4" w:rsidRDefault="007F13F3" w:rsidP="007F13F3">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709"/>
        <w:gridCol w:w="5245"/>
        <w:gridCol w:w="1134"/>
      </w:tblGrid>
      <w:tr w:rsidR="007F13F3" w:rsidRPr="001F70D4" w:rsidTr="0078313B">
        <w:tc>
          <w:tcPr>
            <w:tcW w:w="7088" w:type="dxa"/>
            <w:gridSpan w:val="3"/>
            <w:tcBorders>
              <w:top w:val="single" w:sz="12" w:space="0" w:color="auto"/>
              <w:bottom w:val="single" w:sz="6" w:space="0" w:color="auto"/>
            </w:tcBorders>
            <w:shd w:val="clear" w:color="auto" w:fill="auto"/>
          </w:tcPr>
          <w:p w:rsidR="007F13F3" w:rsidRPr="001F70D4" w:rsidRDefault="007F13F3" w:rsidP="00762DA7">
            <w:pPr>
              <w:pStyle w:val="TableHeading"/>
            </w:pPr>
            <w:r w:rsidRPr="001F70D4">
              <w:t>Costs—Enforcement Warrant or Third Party Debt Notice</w:t>
            </w:r>
          </w:p>
        </w:tc>
      </w:tr>
      <w:tr w:rsidR="007F13F3" w:rsidRPr="001F70D4" w:rsidTr="00F026AF">
        <w:tc>
          <w:tcPr>
            <w:tcW w:w="709" w:type="dxa"/>
            <w:tcBorders>
              <w:bottom w:val="single" w:sz="12" w:space="0" w:color="auto"/>
            </w:tcBorders>
            <w:shd w:val="clear" w:color="auto" w:fill="auto"/>
            <w:hideMark/>
          </w:tcPr>
          <w:p w:rsidR="007F13F3" w:rsidRPr="001F70D4" w:rsidRDefault="007F13F3" w:rsidP="00762DA7">
            <w:pPr>
              <w:pStyle w:val="TableHeading"/>
            </w:pPr>
            <w:r w:rsidRPr="001F70D4">
              <w:t>Item</w:t>
            </w:r>
          </w:p>
        </w:tc>
        <w:tc>
          <w:tcPr>
            <w:tcW w:w="5245" w:type="dxa"/>
            <w:tcBorders>
              <w:top w:val="single" w:sz="6" w:space="0" w:color="auto"/>
              <w:bottom w:val="single" w:sz="12" w:space="0" w:color="auto"/>
            </w:tcBorders>
            <w:shd w:val="clear" w:color="auto" w:fill="auto"/>
            <w:hideMark/>
          </w:tcPr>
          <w:p w:rsidR="007F13F3" w:rsidRPr="001F70D4" w:rsidRDefault="007F13F3" w:rsidP="00762DA7">
            <w:pPr>
              <w:pStyle w:val="TableHeading"/>
            </w:pPr>
            <w:r w:rsidRPr="001F70D4">
              <w:t>Matter for which charge is made</w:t>
            </w:r>
          </w:p>
        </w:tc>
        <w:tc>
          <w:tcPr>
            <w:tcW w:w="1134" w:type="dxa"/>
            <w:tcBorders>
              <w:bottom w:val="single" w:sz="12" w:space="0" w:color="auto"/>
            </w:tcBorders>
            <w:shd w:val="clear" w:color="auto" w:fill="auto"/>
            <w:hideMark/>
          </w:tcPr>
          <w:p w:rsidR="007F13F3" w:rsidRPr="001F70D4" w:rsidRDefault="00C4087E" w:rsidP="00F026AF">
            <w:pPr>
              <w:pStyle w:val="TableHeading"/>
              <w:jc w:val="right"/>
            </w:pPr>
            <w:r w:rsidRPr="001F70D4">
              <w:t>Amount</w:t>
            </w:r>
            <w:r w:rsidR="0028704C" w:rsidRPr="001F70D4">
              <w:t xml:space="preserve"> (including GST)</w:t>
            </w:r>
          </w:p>
        </w:tc>
      </w:tr>
      <w:tr w:rsidR="007F13F3" w:rsidRPr="001F70D4" w:rsidTr="001460A0">
        <w:tc>
          <w:tcPr>
            <w:tcW w:w="709" w:type="dxa"/>
            <w:tcBorders>
              <w:top w:val="single" w:sz="12" w:space="0" w:color="auto"/>
              <w:bottom w:val="single" w:sz="6" w:space="0" w:color="auto"/>
            </w:tcBorders>
            <w:shd w:val="clear" w:color="auto" w:fill="auto"/>
            <w:hideMark/>
          </w:tcPr>
          <w:p w:rsidR="007F13F3" w:rsidRPr="001F70D4" w:rsidRDefault="007F13F3" w:rsidP="0078313B">
            <w:pPr>
              <w:pStyle w:val="Tabletext"/>
            </w:pPr>
            <w:r w:rsidRPr="001F70D4">
              <w:t>401</w:t>
            </w:r>
          </w:p>
        </w:tc>
        <w:tc>
          <w:tcPr>
            <w:tcW w:w="5245" w:type="dxa"/>
            <w:tcBorders>
              <w:top w:val="single" w:sz="12" w:space="0" w:color="auto"/>
              <w:bottom w:val="single" w:sz="6" w:space="0" w:color="auto"/>
            </w:tcBorders>
            <w:shd w:val="clear" w:color="auto" w:fill="auto"/>
            <w:hideMark/>
          </w:tcPr>
          <w:p w:rsidR="007F13F3" w:rsidRPr="001F70D4" w:rsidRDefault="007F13F3" w:rsidP="0078313B">
            <w:pPr>
              <w:pStyle w:val="Tabletext"/>
            </w:pPr>
            <w:r w:rsidRPr="001F70D4">
              <w:t>An Enforcement Warrant under rule</w:t>
            </w:r>
            <w:r w:rsidR="001F70D4" w:rsidRPr="001F70D4">
              <w:t> </w:t>
            </w:r>
            <w:r w:rsidRPr="001F70D4">
              <w:t>20.16</w:t>
            </w:r>
          </w:p>
        </w:tc>
        <w:tc>
          <w:tcPr>
            <w:tcW w:w="1134" w:type="dxa"/>
            <w:tcBorders>
              <w:top w:val="single" w:sz="12" w:space="0" w:color="auto"/>
              <w:bottom w:val="single" w:sz="6" w:space="0" w:color="auto"/>
            </w:tcBorders>
            <w:shd w:val="clear" w:color="auto" w:fill="auto"/>
            <w:hideMark/>
          </w:tcPr>
          <w:p w:rsidR="007F13F3" w:rsidRPr="001F70D4" w:rsidRDefault="007F13F3" w:rsidP="006B3D29">
            <w:pPr>
              <w:pStyle w:val="Tabletext"/>
              <w:jc w:val="right"/>
            </w:pPr>
            <w:r w:rsidRPr="001F70D4">
              <w:t>$</w:t>
            </w:r>
            <w:r w:rsidR="006B3D29" w:rsidRPr="001F70D4">
              <w:t>589.18</w:t>
            </w:r>
          </w:p>
        </w:tc>
      </w:tr>
      <w:tr w:rsidR="007F13F3" w:rsidRPr="001F70D4" w:rsidTr="001460A0">
        <w:tc>
          <w:tcPr>
            <w:tcW w:w="709" w:type="dxa"/>
            <w:tcBorders>
              <w:top w:val="single" w:sz="6" w:space="0" w:color="auto"/>
              <w:bottom w:val="single" w:sz="12" w:space="0" w:color="auto"/>
            </w:tcBorders>
            <w:shd w:val="clear" w:color="auto" w:fill="auto"/>
            <w:hideMark/>
          </w:tcPr>
          <w:p w:rsidR="007F13F3" w:rsidRPr="001F70D4" w:rsidRDefault="007F13F3" w:rsidP="0078313B">
            <w:pPr>
              <w:pStyle w:val="Tabletext"/>
            </w:pPr>
            <w:r w:rsidRPr="001F70D4">
              <w:t>402</w:t>
            </w:r>
          </w:p>
        </w:tc>
        <w:tc>
          <w:tcPr>
            <w:tcW w:w="5245" w:type="dxa"/>
            <w:tcBorders>
              <w:top w:val="single" w:sz="6" w:space="0" w:color="auto"/>
              <w:bottom w:val="single" w:sz="12" w:space="0" w:color="auto"/>
            </w:tcBorders>
            <w:shd w:val="clear" w:color="auto" w:fill="auto"/>
            <w:hideMark/>
          </w:tcPr>
          <w:p w:rsidR="007F13F3" w:rsidRPr="001F70D4" w:rsidRDefault="007F13F3" w:rsidP="0078313B">
            <w:pPr>
              <w:pStyle w:val="Tabletext"/>
            </w:pPr>
            <w:r w:rsidRPr="001F70D4">
              <w:t>A Third Party Debt Notice under rule</w:t>
            </w:r>
            <w:r w:rsidR="001F70D4" w:rsidRPr="001F70D4">
              <w:t> </w:t>
            </w:r>
            <w:r w:rsidRPr="001F70D4">
              <w:t>20.32</w:t>
            </w:r>
          </w:p>
        </w:tc>
        <w:tc>
          <w:tcPr>
            <w:tcW w:w="1134" w:type="dxa"/>
            <w:tcBorders>
              <w:top w:val="single" w:sz="6" w:space="0" w:color="auto"/>
              <w:bottom w:val="single" w:sz="12" w:space="0" w:color="auto"/>
            </w:tcBorders>
            <w:shd w:val="clear" w:color="auto" w:fill="auto"/>
            <w:hideMark/>
          </w:tcPr>
          <w:p w:rsidR="007F13F3" w:rsidRPr="001F70D4" w:rsidRDefault="007F13F3" w:rsidP="006B3D29">
            <w:pPr>
              <w:pStyle w:val="Tabletext"/>
              <w:jc w:val="right"/>
            </w:pPr>
            <w:r w:rsidRPr="001F70D4">
              <w:t>$</w:t>
            </w:r>
            <w:r w:rsidR="006B3D29" w:rsidRPr="001F70D4">
              <w:t>589.18</w:t>
            </w:r>
          </w:p>
        </w:tc>
      </w:tr>
    </w:tbl>
    <w:p w:rsidR="007F13F3" w:rsidRPr="001F70D4" w:rsidRDefault="007F13F3" w:rsidP="007F13F3">
      <w:pPr>
        <w:pStyle w:val="Tabletext"/>
      </w:pPr>
    </w:p>
    <w:p w:rsidR="00A90A3F" w:rsidRPr="001F70D4" w:rsidRDefault="00C63336" w:rsidP="00A90A3F">
      <w:pPr>
        <w:pStyle w:val="ItemHead"/>
      </w:pPr>
      <w:r w:rsidRPr="001F70D4">
        <w:t>28</w:t>
      </w:r>
      <w:r w:rsidR="00A90A3F" w:rsidRPr="001F70D4">
        <w:t xml:space="preserve">  Dictionary (definition of </w:t>
      </w:r>
      <w:r w:rsidR="00A90A3F" w:rsidRPr="001F70D4">
        <w:rPr>
          <w:i/>
        </w:rPr>
        <w:t>Federal Magistrates Court</w:t>
      </w:r>
      <w:r w:rsidR="00A90A3F" w:rsidRPr="001F70D4">
        <w:t>)</w:t>
      </w:r>
    </w:p>
    <w:p w:rsidR="00A90A3F" w:rsidRPr="001F70D4" w:rsidRDefault="00A90A3F" w:rsidP="00A90A3F">
      <w:pPr>
        <w:pStyle w:val="Item"/>
      </w:pPr>
      <w:r w:rsidRPr="001F70D4">
        <w:t>Repeal the definition.</w:t>
      </w:r>
    </w:p>
    <w:p w:rsidR="00A90A3F" w:rsidRPr="001F70D4" w:rsidRDefault="00C63336" w:rsidP="00A90A3F">
      <w:pPr>
        <w:pStyle w:val="ItemHead"/>
      </w:pPr>
      <w:r w:rsidRPr="001F70D4">
        <w:t>29</w:t>
      </w:r>
      <w:r w:rsidR="00A90A3F" w:rsidRPr="001F70D4">
        <w:t xml:space="preserve">  Amendments of listed provisions relating to the Federal Magistrates Court of Australia</w:t>
      </w:r>
    </w:p>
    <w:p w:rsidR="00A90A3F" w:rsidRPr="001F70D4" w:rsidRDefault="00A90A3F" w:rsidP="00A90A3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24"/>
        <w:gridCol w:w="2124"/>
        <w:gridCol w:w="2124"/>
      </w:tblGrid>
      <w:tr w:rsidR="00A90A3F" w:rsidRPr="001F70D4" w:rsidTr="0078313B">
        <w:trPr>
          <w:tblHeader/>
        </w:trPr>
        <w:tc>
          <w:tcPr>
            <w:tcW w:w="7086" w:type="dxa"/>
            <w:gridSpan w:val="4"/>
            <w:tcBorders>
              <w:top w:val="single" w:sz="12" w:space="0" w:color="auto"/>
              <w:bottom w:val="single" w:sz="6" w:space="0" w:color="auto"/>
            </w:tcBorders>
            <w:shd w:val="clear" w:color="auto" w:fill="auto"/>
          </w:tcPr>
          <w:p w:rsidR="00A90A3F" w:rsidRPr="001F70D4" w:rsidRDefault="00A90A3F" w:rsidP="0078313B">
            <w:pPr>
              <w:pStyle w:val="TableHeading"/>
            </w:pPr>
            <w:r w:rsidRPr="001F70D4">
              <w:t>Amendments relating to the Federal Magistrates Court of Australia</w:t>
            </w:r>
          </w:p>
        </w:tc>
      </w:tr>
      <w:tr w:rsidR="00A90A3F" w:rsidRPr="001F70D4" w:rsidTr="0078313B">
        <w:trPr>
          <w:tblHeader/>
        </w:trPr>
        <w:tc>
          <w:tcPr>
            <w:tcW w:w="714" w:type="dxa"/>
            <w:tcBorders>
              <w:top w:val="single" w:sz="6" w:space="0" w:color="auto"/>
              <w:bottom w:val="single" w:sz="12" w:space="0" w:color="auto"/>
            </w:tcBorders>
            <w:shd w:val="clear" w:color="auto" w:fill="auto"/>
          </w:tcPr>
          <w:p w:rsidR="00A90A3F" w:rsidRPr="001F70D4" w:rsidRDefault="00A90A3F" w:rsidP="0078313B">
            <w:pPr>
              <w:pStyle w:val="TableHeading"/>
            </w:pPr>
            <w:r w:rsidRPr="001F70D4">
              <w:t>Item</w:t>
            </w:r>
          </w:p>
        </w:tc>
        <w:tc>
          <w:tcPr>
            <w:tcW w:w="2124" w:type="dxa"/>
            <w:tcBorders>
              <w:top w:val="single" w:sz="6" w:space="0" w:color="auto"/>
              <w:bottom w:val="single" w:sz="12" w:space="0" w:color="auto"/>
            </w:tcBorders>
            <w:shd w:val="clear" w:color="auto" w:fill="auto"/>
          </w:tcPr>
          <w:p w:rsidR="00A90A3F" w:rsidRPr="001F70D4" w:rsidRDefault="00A90A3F" w:rsidP="0078313B">
            <w:pPr>
              <w:pStyle w:val="TableHeading"/>
            </w:pPr>
            <w:r w:rsidRPr="001F70D4">
              <w:t>Provision</w:t>
            </w:r>
          </w:p>
        </w:tc>
        <w:tc>
          <w:tcPr>
            <w:tcW w:w="2124" w:type="dxa"/>
            <w:tcBorders>
              <w:top w:val="single" w:sz="6" w:space="0" w:color="auto"/>
              <w:bottom w:val="single" w:sz="12" w:space="0" w:color="auto"/>
            </w:tcBorders>
            <w:shd w:val="clear" w:color="auto" w:fill="auto"/>
          </w:tcPr>
          <w:p w:rsidR="00A90A3F" w:rsidRPr="001F70D4" w:rsidRDefault="00A90A3F" w:rsidP="0078313B">
            <w:pPr>
              <w:pStyle w:val="TableHeading"/>
            </w:pPr>
            <w:r w:rsidRPr="001F70D4">
              <w:t>Omit</w:t>
            </w:r>
          </w:p>
        </w:tc>
        <w:tc>
          <w:tcPr>
            <w:tcW w:w="2124" w:type="dxa"/>
            <w:tcBorders>
              <w:top w:val="single" w:sz="6" w:space="0" w:color="auto"/>
              <w:bottom w:val="single" w:sz="12" w:space="0" w:color="auto"/>
            </w:tcBorders>
            <w:shd w:val="clear" w:color="auto" w:fill="auto"/>
          </w:tcPr>
          <w:p w:rsidR="00A90A3F" w:rsidRPr="001F70D4" w:rsidRDefault="00A90A3F" w:rsidP="0078313B">
            <w:pPr>
              <w:pStyle w:val="TableHeading"/>
            </w:pPr>
            <w:r w:rsidRPr="001F70D4">
              <w:t>Substitute</w:t>
            </w:r>
          </w:p>
        </w:tc>
      </w:tr>
      <w:tr w:rsidR="00A90A3F" w:rsidRPr="001F70D4" w:rsidTr="0078313B">
        <w:tc>
          <w:tcPr>
            <w:tcW w:w="714" w:type="dxa"/>
            <w:tcBorders>
              <w:top w:val="single" w:sz="12" w:space="0" w:color="auto"/>
            </w:tcBorders>
            <w:shd w:val="clear" w:color="auto" w:fill="auto"/>
          </w:tcPr>
          <w:p w:rsidR="00A90A3F" w:rsidRPr="001F70D4" w:rsidRDefault="00A90A3F" w:rsidP="0078313B">
            <w:pPr>
              <w:pStyle w:val="Tabletext"/>
            </w:pPr>
            <w:r w:rsidRPr="001F70D4">
              <w:t>1</w:t>
            </w:r>
          </w:p>
        </w:tc>
        <w:tc>
          <w:tcPr>
            <w:tcW w:w="2124" w:type="dxa"/>
            <w:tcBorders>
              <w:top w:val="single" w:sz="12" w:space="0" w:color="auto"/>
            </w:tcBorders>
            <w:shd w:val="clear" w:color="auto" w:fill="auto"/>
          </w:tcPr>
          <w:p w:rsidR="00A90A3F" w:rsidRPr="001F70D4" w:rsidRDefault="00A90A3F" w:rsidP="0078313B">
            <w:pPr>
              <w:pStyle w:val="Tabletext"/>
            </w:pPr>
            <w:r w:rsidRPr="001F70D4">
              <w:t>Division</w:t>
            </w:r>
            <w:r w:rsidR="001F70D4" w:rsidRPr="001F70D4">
              <w:t> </w:t>
            </w:r>
            <w:r w:rsidRPr="001F70D4">
              <w:t>4.2.4 (note to Division heading)</w:t>
            </w:r>
          </w:p>
        </w:tc>
        <w:tc>
          <w:tcPr>
            <w:tcW w:w="2124" w:type="dxa"/>
            <w:tcBorders>
              <w:top w:val="single" w:sz="12" w:space="0" w:color="auto"/>
            </w:tcBorders>
            <w:shd w:val="clear" w:color="auto" w:fill="auto"/>
          </w:tcPr>
          <w:p w:rsidR="00A90A3F" w:rsidRPr="001F70D4" w:rsidRDefault="00A90A3F" w:rsidP="0078313B">
            <w:pPr>
              <w:pStyle w:val="Tabletext"/>
            </w:pPr>
            <w:r w:rsidRPr="001F70D4">
              <w:t>Federal Magistrates Court (wherever occurring)</w:t>
            </w:r>
          </w:p>
        </w:tc>
        <w:tc>
          <w:tcPr>
            <w:tcW w:w="2124" w:type="dxa"/>
            <w:tcBorders>
              <w:top w:val="single" w:sz="12" w:space="0" w:color="auto"/>
            </w:tcBorders>
            <w:shd w:val="clear" w:color="auto" w:fill="auto"/>
          </w:tcPr>
          <w:p w:rsidR="00A90A3F" w:rsidRPr="001F70D4" w:rsidRDefault="00A90A3F" w:rsidP="0078313B">
            <w:pPr>
              <w:pStyle w:val="Tabletext"/>
            </w:pPr>
            <w:r w:rsidRPr="001F70D4">
              <w:t>Federal Circuit Court</w:t>
            </w:r>
          </w:p>
        </w:tc>
      </w:tr>
      <w:tr w:rsidR="00A90A3F" w:rsidRPr="001F70D4" w:rsidTr="0078313B">
        <w:tc>
          <w:tcPr>
            <w:tcW w:w="714" w:type="dxa"/>
            <w:shd w:val="clear" w:color="auto" w:fill="auto"/>
          </w:tcPr>
          <w:p w:rsidR="00A90A3F" w:rsidRPr="001F70D4" w:rsidRDefault="00A90A3F" w:rsidP="0078313B">
            <w:pPr>
              <w:pStyle w:val="Tabletext"/>
            </w:pPr>
            <w:r w:rsidRPr="001F70D4">
              <w:t>2</w:t>
            </w:r>
          </w:p>
        </w:tc>
        <w:tc>
          <w:tcPr>
            <w:tcW w:w="2124" w:type="dxa"/>
            <w:shd w:val="clear" w:color="auto" w:fill="auto"/>
          </w:tcPr>
          <w:p w:rsidR="00A90A3F" w:rsidRPr="001F70D4" w:rsidRDefault="00A90A3F" w:rsidP="0078313B">
            <w:pPr>
              <w:pStyle w:val="Tabletext"/>
            </w:pPr>
            <w:r w:rsidRPr="001F70D4">
              <w:t>Division</w:t>
            </w:r>
            <w:r w:rsidR="001F70D4" w:rsidRPr="001F70D4">
              <w:t> </w:t>
            </w:r>
            <w:r w:rsidRPr="001F70D4">
              <w:t>4.2.5 (overview of Division</w:t>
            </w:r>
            <w:r w:rsidR="001F70D4" w:rsidRPr="001F70D4">
              <w:t> </w:t>
            </w:r>
            <w:r w:rsidRPr="001F70D4">
              <w:t>4.2.5)</w:t>
            </w:r>
          </w:p>
        </w:tc>
        <w:tc>
          <w:tcPr>
            <w:tcW w:w="2124" w:type="dxa"/>
            <w:shd w:val="clear" w:color="auto" w:fill="auto"/>
          </w:tcPr>
          <w:p w:rsidR="00A90A3F" w:rsidRPr="001F70D4" w:rsidRDefault="00A90A3F" w:rsidP="0078313B">
            <w:pPr>
              <w:pStyle w:val="Tabletext"/>
            </w:pPr>
            <w:r w:rsidRPr="001F70D4">
              <w:t>Federal Magistrates Court (wherever occurring)</w:t>
            </w:r>
          </w:p>
        </w:tc>
        <w:tc>
          <w:tcPr>
            <w:tcW w:w="2124" w:type="dxa"/>
            <w:shd w:val="clear" w:color="auto" w:fill="auto"/>
          </w:tcPr>
          <w:p w:rsidR="00A90A3F" w:rsidRPr="001F70D4" w:rsidRDefault="00A90A3F" w:rsidP="0078313B">
            <w:pPr>
              <w:pStyle w:val="Tabletext"/>
            </w:pPr>
            <w:r w:rsidRPr="001F70D4">
              <w:t>Federal Circuit Court</w:t>
            </w:r>
          </w:p>
        </w:tc>
      </w:tr>
      <w:tr w:rsidR="00A90A3F" w:rsidRPr="001F70D4" w:rsidTr="0078313B">
        <w:tc>
          <w:tcPr>
            <w:tcW w:w="714" w:type="dxa"/>
            <w:shd w:val="clear" w:color="auto" w:fill="auto"/>
          </w:tcPr>
          <w:p w:rsidR="00A90A3F" w:rsidRPr="001F70D4" w:rsidRDefault="00A90A3F" w:rsidP="0078313B">
            <w:pPr>
              <w:pStyle w:val="Tabletext"/>
            </w:pPr>
            <w:r w:rsidRPr="001F70D4">
              <w:t>3</w:t>
            </w:r>
          </w:p>
        </w:tc>
        <w:tc>
          <w:tcPr>
            <w:tcW w:w="2124" w:type="dxa"/>
            <w:shd w:val="clear" w:color="auto" w:fill="auto"/>
          </w:tcPr>
          <w:p w:rsidR="00A90A3F" w:rsidRPr="001F70D4" w:rsidRDefault="00A90A3F" w:rsidP="0078313B">
            <w:pPr>
              <w:pStyle w:val="Tabletext"/>
            </w:pPr>
            <w:r w:rsidRPr="001F70D4">
              <w:t>Rule</w:t>
            </w:r>
            <w:r w:rsidR="001F70D4" w:rsidRPr="001F70D4">
              <w:t> </w:t>
            </w:r>
            <w:r w:rsidRPr="001F70D4">
              <w:t xml:space="preserve">6.16 (definition of </w:t>
            </w:r>
            <w:r w:rsidRPr="001F70D4">
              <w:rPr>
                <w:b/>
                <w:i/>
              </w:rPr>
              <w:t>bankruptcy proceedings</w:t>
            </w:r>
            <w:r w:rsidRPr="001F70D4">
              <w:t>)</w:t>
            </w:r>
          </w:p>
        </w:tc>
        <w:tc>
          <w:tcPr>
            <w:tcW w:w="2124" w:type="dxa"/>
            <w:shd w:val="clear" w:color="auto" w:fill="auto"/>
          </w:tcPr>
          <w:p w:rsidR="00A90A3F" w:rsidRPr="001F70D4" w:rsidRDefault="00A90A3F" w:rsidP="0078313B">
            <w:pPr>
              <w:pStyle w:val="Tabletext"/>
            </w:pPr>
            <w:r w:rsidRPr="001F70D4">
              <w:t>Federal Magistrates Court</w:t>
            </w:r>
          </w:p>
        </w:tc>
        <w:tc>
          <w:tcPr>
            <w:tcW w:w="2124" w:type="dxa"/>
            <w:shd w:val="clear" w:color="auto" w:fill="auto"/>
          </w:tcPr>
          <w:p w:rsidR="00A90A3F" w:rsidRPr="001F70D4" w:rsidRDefault="00A90A3F" w:rsidP="0078313B">
            <w:pPr>
              <w:pStyle w:val="Tabletext"/>
            </w:pPr>
            <w:r w:rsidRPr="001F70D4">
              <w:t>Federal Circuit Court</w:t>
            </w:r>
          </w:p>
        </w:tc>
      </w:tr>
      <w:tr w:rsidR="00A90A3F" w:rsidRPr="001F70D4" w:rsidTr="0078313B">
        <w:tc>
          <w:tcPr>
            <w:tcW w:w="714" w:type="dxa"/>
            <w:shd w:val="clear" w:color="auto" w:fill="auto"/>
          </w:tcPr>
          <w:p w:rsidR="00A90A3F" w:rsidRPr="001F70D4" w:rsidRDefault="00A90A3F" w:rsidP="0078313B">
            <w:pPr>
              <w:pStyle w:val="Tabletext"/>
            </w:pPr>
            <w:r w:rsidRPr="001F70D4">
              <w:t>4</w:t>
            </w:r>
          </w:p>
        </w:tc>
        <w:tc>
          <w:tcPr>
            <w:tcW w:w="2124" w:type="dxa"/>
            <w:shd w:val="clear" w:color="auto" w:fill="auto"/>
          </w:tcPr>
          <w:p w:rsidR="00A90A3F" w:rsidRPr="001F70D4" w:rsidRDefault="00A90A3F" w:rsidP="0078313B">
            <w:pPr>
              <w:pStyle w:val="Tabletext"/>
            </w:pPr>
            <w:r w:rsidRPr="001F70D4">
              <w:t>Subrule 11.18(1) (note)</w:t>
            </w:r>
          </w:p>
        </w:tc>
        <w:tc>
          <w:tcPr>
            <w:tcW w:w="2124" w:type="dxa"/>
            <w:shd w:val="clear" w:color="auto" w:fill="auto"/>
          </w:tcPr>
          <w:p w:rsidR="00A90A3F" w:rsidRPr="001F70D4" w:rsidRDefault="00A90A3F" w:rsidP="0078313B">
            <w:pPr>
              <w:pStyle w:val="Tabletext"/>
            </w:pPr>
            <w:r w:rsidRPr="001F70D4">
              <w:t>Federal Magistrates Court (wherever occurring)</w:t>
            </w:r>
          </w:p>
        </w:tc>
        <w:tc>
          <w:tcPr>
            <w:tcW w:w="2124" w:type="dxa"/>
            <w:shd w:val="clear" w:color="auto" w:fill="auto"/>
          </w:tcPr>
          <w:p w:rsidR="00A90A3F" w:rsidRPr="001F70D4" w:rsidRDefault="00A90A3F" w:rsidP="0078313B">
            <w:pPr>
              <w:pStyle w:val="Tabletext"/>
            </w:pPr>
            <w:r w:rsidRPr="001F70D4">
              <w:t>Federal Circuit Court</w:t>
            </w:r>
          </w:p>
        </w:tc>
      </w:tr>
      <w:tr w:rsidR="00A90A3F" w:rsidRPr="001F70D4" w:rsidTr="0078313B">
        <w:tc>
          <w:tcPr>
            <w:tcW w:w="714" w:type="dxa"/>
            <w:shd w:val="clear" w:color="auto" w:fill="auto"/>
          </w:tcPr>
          <w:p w:rsidR="00A90A3F" w:rsidRPr="001F70D4" w:rsidRDefault="00A90A3F" w:rsidP="0078313B">
            <w:pPr>
              <w:pStyle w:val="Tabletext"/>
            </w:pPr>
            <w:r w:rsidRPr="001F70D4">
              <w:t>5</w:t>
            </w:r>
          </w:p>
        </w:tc>
        <w:tc>
          <w:tcPr>
            <w:tcW w:w="2124" w:type="dxa"/>
            <w:shd w:val="clear" w:color="auto" w:fill="auto"/>
          </w:tcPr>
          <w:p w:rsidR="00A90A3F" w:rsidRPr="001F70D4" w:rsidRDefault="00A90A3F" w:rsidP="0078313B">
            <w:pPr>
              <w:pStyle w:val="Tabletext"/>
            </w:pPr>
            <w:r w:rsidRPr="001F70D4">
              <w:t>Chapter</w:t>
            </w:r>
            <w:r w:rsidR="001F70D4" w:rsidRPr="001F70D4">
              <w:t> </w:t>
            </w:r>
            <w:r w:rsidRPr="001F70D4">
              <w:t>21 (summary of Chapter</w:t>
            </w:r>
            <w:r w:rsidR="001F70D4" w:rsidRPr="001F70D4">
              <w:t> </w:t>
            </w:r>
            <w:r w:rsidRPr="001F70D4">
              <w:t>21)</w:t>
            </w:r>
          </w:p>
        </w:tc>
        <w:tc>
          <w:tcPr>
            <w:tcW w:w="2124" w:type="dxa"/>
            <w:shd w:val="clear" w:color="auto" w:fill="auto"/>
          </w:tcPr>
          <w:p w:rsidR="00A90A3F" w:rsidRPr="001F70D4" w:rsidRDefault="00A90A3F" w:rsidP="0078313B">
            <w:pPr>
              <w:pStyle w:val="Tabletext"/>
            </w:pPr>
            <w:r w:rsidRPr="001F70D4">
              <w:t>Federal Magistrates Court (wherever occurring)</w:t>
            </w:r>
          </w:p>
        </w:tc>
        <w:tc>
          <w:tcPr>
            <w:tcW w:w="2124" w:type="dxa"/>
            <w:shd w:val="clear" w:color="auto" w:fill="auto"/>
          </w:tcPr>
          <w:p w:rsidR="00A90A3F" w:rsidRPr="001F70D4" w:rsidRDefault="00A90A3F" w:rsidP="0078313B">
            <w:pPr>
              <w:pStyle w:val="Tabletext"/>
            </w:pPr>
            <w:r w:rsidRPr="001F70D4">
              <w:t>Federal Circuit Court</w:t>
            </w:r>
          </w:p>
        </w:tc>
      </w:tr>
      <w:tr w:rsidR="00A90A3F" w:rsidRPr="001F70D4" w:rsidTr="0078313B">
        <w:tc>
          <w:tcPr>
            <w:tcW w:w="714" w:type="dxa"/>
            <w:shd w:val="clear" w:color="auto" w:fill="auto"/>
          </w:tcPr>
          <w:p w:rsidR="00A90A3F" w:rsidRPr="001F70D4" w:rsidRDefault="00A90A3F" w:rsidP="0078313B">
            <w:pPr>
              <w:pStyle w:val="Tabletext"/>
            </w:pPr>
            <w:r w:rsidRPr="001F70D4">
              <w:t>6</w:t>
            </w:r>
          </w:p>
        </w:tc>
        <w:tc>
          <w:tcPr>
            <w:tcW w:w="2124" w:type="dxa"/>
            <w:shd w:val="clear" w:color="auto" w:fill="auto"/>
          </w:tcPr>
          <w:p w:rsidR="00A90A3F" w:rsidRPr="001F70D4" w:rsidRDefault="00A90A3F" w:rsidP="0078313B">
            <w:pPr>
              <w:pStyle w:val="Tabletext"/>
            </w:pPr>
            <w:r w:rsidRPr="001F70D4">
              <w:t>Paragraph 22.01(1)(b)</w:t>
            </w:r>
          </w:p>
        </w:tc>
        <w:tc>
          <w:tcPr>
            <w:tcW w:w="2124" w:type="dxa"/>
            <w:shd w:val="clear" w:color="auto" w:fill="auto"/>
          </w:tcPr>
          <w:p w:rsidR="00A90A3F" w:rsidRPr="001F70D4" w:rsidRDefault="00A90A3F" w:rsidP="0078313B">
            <w:pPr>
              <w:pStyle w:val="Tabletext"/>
            </w:pPr>
            <w:r w:rsidRPr="001F70D4">
              <w:t>a Federal Magistrates Court</w:t>
            </w:r>
          </w:p>
        </w:tc>
        <w:tc>
          <w:tcPr>
            <w:tcW w:w="2124" w:type="dxa"/>
            <w:shd w:val="clear" w:color="auto" w:fill="auto"/>
          </w:tcPr>
          <w:p w:rsidR="00A90A3F" w:rsidRPr="001F70D4" w:rsidRDefault="00A90A3F" w:rsidP="0078313B">
            <w:pPr>
              <w:pStyle w:val="Tabletext"/>
            </w:pPr>
            <w:r w:rsidRPr="001F70D4">
              <w:t>the Federal Circuit Court</w:t>
            </w:r>
          </w:p>
        </w:tc>
      </w:tr>
      <w:tr w:rsidR="00A90A3F" w:rsidRPr="001F70D4" w:rsidTr="0078313B">
        <w:tc>
          <w:tcPr>
            <w:tcW w:w="714" w:type="dxa"/>
            <w:shd w:val="clear" w:color="auto" w:fill="auto"/>
          </w:tcPr>
          <w:p w:rsidR="00A90A3F" w:rsidRPr="001F70D4" w:rsidRDefault="00A90A3F" w:rsidP="0078313B">
            <w:pPr>
              <w:pStyle w:val="Tabletext"/>
            </w:pPr>
            <w:r w:rsidRPr="001F70D4">
              <w:t>7</w:t>
            </w:r>
          </w:p>
        </w:tc>
        <w:tc>
          <w:tcPr>
            <w:tcW w:w="2124" w:type="dxa"/>
            <w:shd w:val="clear" w:color="auto" w:fill="auto"/>
          </w:tcPr>
          <w:p w:rsidR="00A90A3F" w:rsidRPr="001F70D4" w:rsidRDefault="00A90A3F" w:rsidP="0078313B">
            <w:pPr>
              <w:pStyle w:val="Tabletext"/>
            </w:pPr>
            <w:r w:rsidRPr="001F70D4">
              <w:t>Part</w:t>
            </w:r>
            <w:r w:rsidR="001F70D4" w:rsidRPr="001F70D4">
              <w:t> </w:t>
            </w:r>
            <w:r w:rsidRPr="001F70D4">
              <w:t>22.2 (note to Part heading)</w:t>
            </w:r>
          </w:p>
        </w:tc>
        <w:tc>
          <w:tcPr>
            <w:tcW w:w="2124" w:type="dxa"/>
            <w:shd w:val="clear" w:color="auto" w:fill="auto"/>
          </w:tcPr>
          <w:p w:rsidR="00A90A3F" w:rsidRPr="001F70D4" w:rsidRDefault="00A90A3F" w:rsidP="0078313B">
            <w:pPr>
              <w:pStyle w:val="Tabletext"/>
            </w:pPr>
            <w:r w:rsidRPr="001F70D4">
              <w:t>Federal Magistrates Court</w:t>
            </w:r>
          </w:p>
        </w:tc>
        <w:tc>
          <w:tcPr>
            <w:tcW w:w="2124" w:type="dxa"/>
            <w:shd w:val="clear" w:color="auto" w:fill="auto"/>
          </w:tcPr>
          <w:p w:rsidR="00A90A3F" w:rsidRPr="001F70D4" w:rsidRDefault="00A90A3F" w:rsidP="0078313B">
            <w:pPr>
              <w:pStyle w:val="Tabletext"/>
            </w:pPr>
            <w:r w:rsidRPr="001F70D4">
              <w:t>Federal Circuit Court</w:t>
            </w:r>
          </w:p>
        </w:tc>
      </w:tr>
      <w:tr w:rsidR="00A90A3F" w:rsidRPr="001F70D4" w:rsidTr="0078313B">
        <w:tc>
          <w:tcPr>
            <w:tcW w:w="714" w:type="dxa"/>
            <w:shd w:val="clear" w:color="auto" w:fill="auto"/>
          </w:tcPr>
          <w:p w:rsidR="00A90A3F" w:rsidRPr="001F70D4" w:rsidRDefault="00A90A3F" w:rsidP="0078313B">
            <w:pPr>
              <w:pStyle w:val="Tabletext"/>
            </w:pPr>
            <w:r w:rsidRPr="001F70D4">
              <w:t>8</w:t>
            </w:r>
          </w:p>
        </w:tc>
        <w:tc>
          <w:tcPr>
            <w:tcW w:w="2124" w:type="dxa"/>
            <w:shd w:val="clear" w:color="auto" w:fill="auto"/>
          </w:tcPr>
          <w:p w:rsidR="00A90A3F" w:rsidRPr="001F70D4" w:rsidRDefault="00A90A3F" w:rsidP="0078313B">
            <w:pPr>
              <w:pStyle w:val="Tabletext"/>
            </w:pPr>
            <w:r w:rsidRPr="001F70D4">
              <w:t>Subrule 22.11(3)</w:t>
            </w:r>
          </w:p>
        </w:tc>
        <w:tc>
          <w:tcPr>
            <w:tcW w:w="2124" w:type="dxa"/>
            <w:shd w:val="clear" w:color="auto" w:fill="auto"/>
          </w:tcPr>
          <w:p w:rsidR="00A90A3F" w:rsidRPr="001F70D4" w:rsidRDefault="00A90A3F" w:rsidP="0078313B">
            <w:pPr>
              <w:pStyle w:val="Tabletext"/>
            </w:pPr>
            <w:r w:rsidRPr="001F70D4">
              <w:t>Judge, Federal Magistrate</w:t>
            </w:r>
          </w:p>
        </w:tc>
        <w:tc>
          <w:tcPr>
            <w:tcW w:w="2124" w:type="dxa"/>
            <w:shd w:val="clear" w:color="auto" w:fill="auto"/>
          </w:tcPr>
          <w:p w:rsidR="00A90A3F" w:rsidRPr="001F70D4" w:rsidRDefault="00A90A3F" w:rsidP="0078313B">
            <w:pPr>
              <w:pStyle w:val="Tabletext"/>
            </w:pPr>
            <w:r w:rsidRPr="001F70D4">
              <w:t>Judge of the Family Court, Judge of the Federal Circuit Court</w:t>
            </w:r>
          </w:p>
        </w:tc>
      </w:tr>
      <w:tr w:rsidR="00A90A3F" w:rsidRPr="001F70D4" w:rsidTr="0078313B">
        <w:tc>
          <w:tcPr>
            <w:tcW w:w="714" w:type="dxa"/>
            <w:shd w:val="clear" w:color="auto" w:fill="auto"/>
          </w:tcPr>
          <w:p w:rsidR="00A90A3F" w:rsidRPr="001F70D4" w:rsidRDefault="00A90A3F" w:rsidP="0078313B">
            <w:pPr>
              <w:pStyle w:val="Tabletext"/>
            </w:pPr>
            <w:r w:rsidRPr="001F70D4">
              <w:t>9</w:t>
            </w:r>
          </w:p>
        </w:tc>
        <w:tc>
          <w:tcPr>
            <w:tcW w:w="2124" w:type="dxa"/>
            <w:shd w:val="clear" w:color="auto" w:fill="auto"/>
          </w:tcPr>
          <w:p w:rsidR="00A90A3F" w:rsidRPr="001F70D4" w:rsidRDefault="00A90A3F" w:rsidP="0078313B">
            <w:pPr>
              <w:pStyle w:val="Tabletext"/>
            </w:pPr>
            <w:r w:rsidRPr="001F70D4">
              <w:t>Rule</w:t>
            </w:r>
            <w:r w:rsidR="001F70D4" w:rsidRPr="001F70D4">
              <w:t> </w:t>
            </w:r>
            <w:r w:rsidRPr="001F70D4">
              <w:t>22.14</w:t>
            </w:r>
          </w:p>
        </w:tc>
        <w:tc>
          <w:tcPr>
            <w:tcW w:w="2124" w:type="dxa"/>
            <w:shd w:val="clear" w:color="auto" w:fill="auto"/>
          </w:tcPr>
          <w:p w:rsidR="00A90A3F" w:rsidRPr="001F70D4" w:rsidRDefault="00A90A3F" w:rsidP="0078313B">
            <w:pPr>
              <w:pStyle w:val="Tabletext"/>
            </w:pPr>
            <w:r w:rsidRPr="001F70D4">
              <w:t>Federal Magistrates Court (wherever occurring)</w:t>
            </w:r>
          </w:p>
        </w:tc>
        <w:tc>
          <w:tcPr>
            <w:tcW w:w="2124" w:type="dxa"/>
            <w:shd w:val="clear" w:color="auto" w:fill="auto"/>
          </w:tcPr>
          <w:p w:rsidR="00A90A3F" w:rsidRPr="001F70D4" w:rsidRDefault="00A90A3F" w:rsidP="0078313B">
            <w:pPr>
              <w:pStyle w:val="Tabletext"/>
            </w:pPr>
            <w:r w:rsidRPr="001F70D4">
              <w:t>Federal Circuit Court</w:t>
            </w:r>
          </w:p>
        </w:tc>
      </w:tr>
      <w:tr w:rsidR="00A90A3F" w:rsidRPr="001F70D4" w:rsidTr="0078313B">
        <w:tc>
          <w:tcPr>
            <w:tcW w:w="714" w:type="dxa"/>
            <w:shd w:val="clear" w:color="auto" w:fill="auto"/>
          </w:tcPr>
          <w:p w:rsidR="00A90A3F" w:rsidRPr="001F70D4" w:rsidRDefault="00A90A3F" w:rsidP="0078313B">
            <w:pPr>
              <w:pStyle w:val="Tabletext"/>
            </w:pPr>
            <w:r w:rsidRPr="001F70D4">
              <w:t>10</w:t>
            </w:r>
          </w:p>
        </w:tc>
        <w:tc>
          <w:tcPr>
            <w:tcW w:w="2124" w:type="dxa"/>
            <w:shd w:val="clear" w:color="auto" w:fill="auto"/>
          </w:tcPr>
          <w:p w:rsidR="00A90A3F" w:rsidRPr="001F70D4" w:rsidRDefault="00A90A3F" w:rsidP="0078313B">
            <w:pPr>
              <w:pStyle w:val="Tabletext"/>
            </w:pPr>
            <w:r w:rsidRPr="001F70D4">
              <w:t>Part</w:t>
            </w:r>
            <w:r w:rsidR="001F70D4" w:rsidRPr="001F70D4">
              <w:t> </w:t>
            </w:r>
            <w:r w:rsidRPr="001F70D4">
              <w:t>22.4 (heading)</w:t>
            </w:r>
          </w:p>
        </w:tc>
        <w:tc>
          <w:tcPr>
            <w:tcW w:w="2124" w:type="dxa"/>
            <w:shd w:val="clear" w:color="auto" w:fill="auto"/>
          </w:tcPr>
          <w:p w:rsidR="00A90A3F" w:rsidRPr="001F70D4" w:rsidRDefault="00A90A3F" w:rsidP="0078313B">
            <w:pPr>
              <w:pStyle w:val="Tabletext"/>
              <w:rPr>
                <w:b/>
              </w:rPr>
            </w:pPr>
            <w:r w:rsidRPr="001F70D4">
              <w:rPr>
                <w:b/>
              </w:rPr>
              <w:t>Federal Magistrates Court</w:t>
            </w:r>
          </w:p>
        </w:tc>
        <w:tc>
          <w:tcPr>
            <w:tcW w:w="2124" w:type="dxa"/>
            <w:shd w:val="clear" w:color="auto" w:fill="auto"/>
          </w:tcPr>
          <w:p w:rsidR="00A90A3F" w:rsidRPr="001F70D4" w:rsidRDefault="00A90A3F" w:rsidP="0078313B">
            <w:pPr>
              <w:pStyle w:val="Tabletext"/>
              <w:rPr>
                <w:b/>
              </w:rPr>
            </w:pPr>
            <w:r w:rsidRPr="001F70D4">
              <w:rPr>
                <w:b/>
              </w:rPr>
              <w:t>Federal Circuit Court</w:t>
            </w:r>
          </w:p>
        </w:tc>
      </w:tr>
      <w:tr w:rsidR="00A90A3F" w:rsidRPr="001F70D4" w:rsidTr="0078313B">
        <w:tc>
          <w:tcPr>
            <w:tcW w:w="714" w:type="dxa"/>
            <w:shd w:val="clear" w:color="auto" w:fill="auto"/>
          </w:tcPr>
          <w:p w:rsidR="00A90A3F" w:rsidRPr="001F70D4" w:rsidRDefault="00A90A3F" w:rsidP="0078313B">
            <w:pPr>
              <w:pStyle w:val="Tabletext"/>
            </w:pPr>
            <w:r w:rsidRPr="001F70D4">
              <w:t>11</w:t>
            </w:r>
          </w:p>
        </w:tc>
        <w:tc>
          <w:tcPr>
            <w:tcW w:w="2124" w:type="dxa"/>
            <w:shd w:val="clear" w:color="auto" w:fill="auto"/>
          </w:tcPr>
          <w:p w:rsidR="00A90A3F" w:rsidRPr="001F70D4" w:rsidRDefault="00A90A3F" w:rsidP="0078313B">
            <w:pPr>
              <w:pStyle w:val="Tabletext"/>
            </w:pPr>
            <w:r w:rsidRPr="001F70D4">
              <w:t>Rule</w:t>
            </w:r>
            <w:r w:rsidR="001F70D4" w:rsidRPr="001F70D4">
              <w:t> </w:t>
            </w:r>
            <w:r w:rsidRPr="001F70D4">
              <w:t>22.23</w:t>
            </w:r>
          </w:p>
        </w:tc>
        <w:tc>
          <w:tcPr>
            <w:tcW w:w="2124" w:type="dxa"/>
            <w:shd w:val="clear" w:color="auto" w:fill="auto"/>
          </w:tcPr>
          <w:p w:rsidR="00A90A3F" w:rsidRPr="001F70D4" w:rsidRDefault="00A90A3F" w:rsidP="0078313B">
            <w:pPr>
              <w:pStyle w:val="Tabletext"/>
            </w:pPr>
            <w:r w:rsidRPr="001F70D4">
              <w:t>Federal Magistrates Court (wherever occurring)</w:t>
            </w:r>
          </w:p>
        </w:tc>
        <w:tc>
          <w:tcPr>
            <w:tcW w:w="2124" w:type="dxa"/>
            <w:shd w:val="clear" w:color="auto" w:fill="auto"/>
          </w:tcPr>
          <w:p w:rsidR="00A90A3F" w:rsidRPr="001F70D4" w:rsidRDefault="00A90A3F" w:rsidP="0078313B">
            <w:pPr>
              <w:pStyle w:val="Tabletext"/>
            </w:pPr>
            <w:r w:rsidRPr="001F70D4">
              <w:t>Federal Circuit Court</w:t>
            </w:r>
          </w:p>
        </w:tc>
      </w:tr>
      <w:tr w:rsidR="00A90A3F" w:rsidRPr="001F70D4" w:rsidTr="0078313B">
        <w:tc>
          <w:tcPr>
            <w:tcW w:w="714" w:type="dxa"/>
            <w:shd w:val="clear" w:color="auto" w:fill="auto"/>
          </w:tcPr>
          <w:p w:rsidR="00A90A3F" w:rsidRPr="001F70D4" w:rsidRDefault="00A90A3F" w:rsidP="0078313B">
            <w:pPr>
              <w:pStyle w:val="Tabletext"/>
            </w:pPr>
            <w:r w:rsidRPr="001F70D4">
              <w:t>12</w:t>
            </w:r>
          </w:p>
        </w:tc>
        <w:tc>
          <w:tcPr>
            <w:tcW w:w="2124" w:type="dxa"/>
            <w:shd w:val="clear" w:color="auto" w:fill="auto"/>
          </w:tcPr>
          <w:p w:rsidR="00A90A3F" w:rsidRPr="001F70D4" w:rsidRDefault="00A90A3F" w:rsidP="0078313B">
            <w:pPr>
              <w:pStyle w:val="Tabletext"/>
            </w:pPr>
            <w:r w:rsidRPr="001F70D4">
              <w:t>Subparagraph 22.26(1)(c)(i)</w:t>
            </w:r>
          </w:p>
        </w:tc>
        <w:tc>
          <w:tcPr>
            <w:tcW w:w="2124" w:type="dxa"/>
            <w:shd w:val="clear" w:color="auto" w:fill="auto"/>
          </w:tcPr>
          <w:p w:rsidR="00A90A3F" w:rsidRPr="001F70D4" w:rsidRDefault="00A90A3F" w:rsidP="0078313B">
            <w:pPr>
              <w:pStyle w:val="Tabletext"/>
            </w:pPr>
            <w:r w:rsidRPr="001F70D4">
              <w:t>Federal Magistrate</w:t>
            </w:r>
          </w:p>
        </w:tc>
        <w:tc>
          <w:tcPr>
            <w:tcW w:w="2124" w:type="dxa"/>
            <w:shd w:val="clear" w:color="auto" w:fill="auto"/>
          </w:tcPr>
          <w:p w:rsidR="00A90A3F" w:rsidRPr="001F70D4" w:rsidRDefault="00A90A3F" w:rsidP="0078313B">
            <w:pPr>
              <w:pStyle w:val="Tabletext"/>
            </w:pPr>
            <w:r w:rsidRPr="001F70D4">
              <w:t>Judge of the Federal Circuit Court</w:t>
            </w:r>
          </w:p>
        </w:tc>
      </w:tr>
      <w:tr w:rsidR="00A90A3F" w:rsidRPr="001F70D4" w:rsidTr="0078313B">
        <w:tc>
          <w:tcPr>
            <w:tcW w:w="714" w:type="dxa"/>
            <w:shd w:val="clear" w:color="auto" w:fill="auto"/>
          </w:tcPr>
          <w:p w:rsidR="00A90A3F" w:rsidRPr="001F70D4" w:rsidRDefault="00A90A3F" w:rsidP="0078313B">
            <w:pPr>
              <w:pStyle w:val="Tabletext"/>
            </w:pPr>
            <w:r w:rsidRPr="001F70D4">
              <w:t>13</w:t>
            </w:r>
          </w:p>
        </w:tc>
        <w:tc>
          <w:tcPr>
            <w:tcW w:w="2124" w:type="dxa"/>
            <w:shd w:val="clear" w:color="auto" w:fill="auto"/>
          </w:tcPr>
          <w:p w:rsidR="00A90A3F" w:rsidRPr="001F70D4" w:rsidRDefault="00A90A3F" w:rsidP="0078313B">
            <w:pPr>
              <w:pStyle w:val="Tabletext"/>
            </w:pPr>
            <w:r w:rsidRPr="001F70D4">
              <w:t>Rule</w:t>
            </w:r>
            <w:r w:rsidR="001F70D4" w:rsidRPr="001F70D4">
              <w:t> </w:t>
            </w:r>
            <w:r w:rsidRPr="001F70D4">
              <w:t>22.27</w:t>
            </w:r>
          </w:p>
        </w:tc>
        <w:tc>
          <w:tcPr>
            <w:tcW w:w="2124" w:type="dxa"/>
            <w:shd w:val="clear" w:color="auto" w:fill="auto"/>
          </w:tcPr>
          <w:p w:rsidR="00A90A3F" w:rsidRPr="001F70D4" w:rsidRDefault="00A90A3F" w:rsidP="0078313B">
            <w:pPr>
              <w:pStyle w:val="Tabletext"/>
            </w:pPr>
            <w:r w:rsidRPr="001F70D4">
              <w:t>Federal Magistrate (wherever occurring)</w:t>
            </w:r>
          </w:p>
        </w:tc>
        <w:tc>
          <w:tcPr>
            <w:tcW w:w="2124" w:type="dxa"/>
            <w:shd w:val="clear" w:color="auto" w:fill="auto"/>
          </w:tcPr>
          <w:p w:rsidR="00A90A3F" w:rsidRPr="001F70D4" w:rsidRDefault="00A90A3F" w:rsidP="0078313B">
            <w:pPr>
              <w:pStyle w:val="Tabletext"/>
            </w:pPr>
            <w:r w:rsidRPr="001F70D4">
              <w:t>Judge of the Federal Circuit Court</w:t>
            </w:r>
          </w:p>
        </w:tc>
      </w:tr>
      <w:tr w:rsidR="00A90A3F" w:rsidRPr="001F70D4" w:rsidTr="0078313B">
        <w:tc>
          <w:tcPr>
            <w:tcW w:w="714" w:type="dxa"/>
            <w:shd w:val="clear" w:color="auto" w:fill="auto"/>
          </w:tcPr>
          <w:p w:rsidR="00A90A3F" w:rsidRPr="001F70D4" w:rsidRDefault="00A90A3F" w:rsidP="0078313B">
            <w:pPr>
              <w:pStyle w:val="Tabletext"/>
            </w:pPr>
            <w:r w:rsidRPr="001F70D4">
              <w:t>14</w:t>
            </w:r>
          </w:p>
        </w:tc>
        <w:tc>
          <w:tcPr>
            <w:tcW w:w="2124" w:type="dxa"/>
            <w:shd w:val="clear" w:color="auto" w:fill="auto"/>
          </w:tcPr>
          <w:p w:rsidR="00A90A3F" w:rsidRPr="001F70D4" w:rsidRDefault="00A90A3F" w:rsidP="0078313B">
            <w:pPr>
              <w:pStyle w:val="Tabletext"/>
            </w:pPr>
            <w:r w:rsidRPr="001F70D4">
              <w:t>Subrule 24.04(4)</w:t>
            </w:r>
          </w:p>
        </w:tc>
        <w:tc>
          <w:tcPr>
            <w:tcW w:w="2124" w:type="dxa"/>
            <w:shd w:val="clear" w:color="auto" w:fill="auto"/>
          </w:tcPr>
          <w:p w:rsidR="00A90A3F" w:rsidRPr="001F70D4" w:rsidRDefault="00A90A3F" w:rsidP="0078313B">
            <w:pPr>
              <w:pStyle w:val="Tabletext"/>
            </w:pPr>
            <w:r w:rsidRPr="001F70D4">
              <w:t>Federal Magistrates Court</w:t>
            </w:r>
          </w:p>
        </w:tc>
        <w:tc>
          <w:tcPr>
            <w:tcW w:w="2124" w:type="dxa"/>
            <w:shd w:val="clear" w:color="auto" w:fill="auto"/>
          </w:tcPr>
          <w:p w:rsidR="00A90A3F" w:rsidRPr="001F70D4" w:rsidRDefault="00A90A3F" w:rsidP="0078313B">
            <w:pPr>
              <w:pStyle w:val="Tabletext"/>
            </w:pPr>
            <w:r w:rsidRPr="001F70D4">
              <w:t>Federal Circuit Court</w:t>
            </w:r>
          </w:p>
        </w:tc>
      </w:tr>
      <w:tr w:rsidR="00A90A3F" w:rsidRPr="001F70D4" w:rsidTr="0078313B">
        <w:tc>
          <w:tcPr>
            <w:tcW w:w="714" w:type="dxa"/>
            <w:tcBorders>
              <w:bottom w:val="single" w:sz="4" w:space="0" w:color="auto"/>
            </w:tcBorders>
            <w:shd w:val="clear" w:color="auto" w:fill="auto"/>
          </w:tcPr>
          <w:p w:rsidR="00A90A3F" w:rsidRPr="001F70D4" w:rsidRDefault="00A90A3F" w:rsidP="0078313B">
            <w:pPr>
              <w:pStyle w:val="Tabletext"/>
            </w:pPr>
            <w:r w:rsidRPr="001F70D4">
              <w:t>15</w:t>
            </w:r>
          </w:p>
        </w:tc>
        <w:tc>
          <w:tcPr>
            <w:tcW w:w="2124" w:type="dxa"/>
            <w:tcBorders>
              <w:bottom w:val="single" w:sz="4" w:space="0" w:color="auto"/>
            </w:tcBorders>
            <w:shd w:val="clear" w:color="auto" w:fill="auto"/>
          </w:tcPr>
          <w:p w:rsidR="00A90A3F" w:rsidRPr="001F70D4" w:rsidRDefault="00A90A3F" w:rsidP="0078313B">
            <w:pPr>
              <w:pStyle w:val="Tabletext"/>
            </w:pPr>
            <w:r w:rsidRPr="001F70D4">
              <w:t>Dictionary (</w:t>
            </w:r>
            <w:r w:rsidR="001F70D4" w:rsidRPr="001F70D4">
              <w:t>paragraph (</w:t>
            </w:r>
            <w:r w:rsidRPr="001F70D4">
              <w:t xml:space="preserve">a) of the definition of </w:t>
            </w:r>
            <w:r w:rsidRPr="001F70D4">
              <w:rPr>
                <w:b/>
                <w:i/>
              </w:rPr>
              <w:t>appeal</w:t>
            </w:r>
            <w:r w:rsidRPr="001F70D4">
              <w:t>)</w:t>
            </w:r>
          </w:p>
        </w:tc>
        <w:tc>
          <w:tcPr>
            <w:tcW w:w="2124" w:type="dxa"/>
            <w:tcBorders>
              <w:bottom w:val="single" w:sz="4" w:space="0" w:color="auto"/>
            </w:tcBorders>
            <w:shd w:val="clear" w:color="auto" w:fill="auto"/>
          </w:tcPr>
          <w:p w:rsidR="00A90A3F" w:rsidRPr="001F70D4" w:rsidRDefault="00A90A3F" w:rsidP="0078313B">
            <w:pPr>
              <w:pStyle w:val="Tabletext"/>
            </w:pPr>
            <w:r w:rsidRPr="001F70D4">
              <w:t>Federal Magistrates Court</w:t>
            </w:r>
          </w:p>
        </w:tc>
        <w:tc>
          <w:tcPr>
            <w:tcW w:w="2124" w:type="dxa"/>
            <w:tcBorders>
              <w:bottom w:val="single" w:sz="4" w:space="0" w:color="auto"/>
            </w:tcBorders>
            <w:shd w:val="clear" w:color="auto" w:fill="auto"/>
          </w:tcPr>
          <w:p w:rsidR="00A90A3F" w:rsidRPr="001F70D4" w:rsidRDefault="00A90A3F" w:rsidP="0078313B">
            <w:pPr>
              <w:pStyle w:val="Tabletext"/>
            </w:pPr>
            <w:r w:rsidRPr="001F70D4">
              <w:t>Federal Circuit Court</w:t>
            </w:r>
          </w:p>
        </w:tc>
      </w:tr>
      <w:tr w:rsidR="00A90A3F" w:rsidRPr="001F70D4" w:rsidTr="0078313B">
        <w:tc>
          <w:tcPr>
            <w:tcW w:w="714" w:type="dxa"/>
            <w:tcBorders>
              <w:bottom w:val="single" w:sz="12" w:space="0" w:color="auto"/>
            </w:tcBorders>
            <w:shd w:val="clear" w:color="auto" w:fill="auto"/>
          </w:tcPr>
          <w:p w:rsidR="00A90A3F" w:rsidRPr="001F70D4" w:rsidRDefault="00A90A3F" w:rsidP="0078313B">
            <w:pPr>
              <w:pStyle w:val="Tabletext"/>
            </w:pPr>
            <w:r w:rsidRPr="001F70D4">
              <w:t>16</w:t>
            </w:r>
          </w:p>
        </w:tc>
        <w:tc>
          <w:tcPr>
            <w:tcW w:w="2124" w:type="dxa"/>
            <w:tcBorders>
              <w:bottom w:val="single" w:sz="12" w:space="0" w:color="auto"/>
            </w:tcBorders>
            <w:shd w:val="clear" w:color="auto" w:fill="auto"/>
          </w:tcPr>
          <w:p w:rsidR="00A90A3F" w:rsidRPr="001F70D4" w:rsidRDefault="00A90A3F" w:rsidP="0078313B">
            <w:pPr>
              <w:pStyle w:val="Tabletext"/>
            </w:pPr>
            <w:r w:rsidRPr="001F70D4">
              <w:t>Dictionary (</w:t>
            </w:r>
            <w:r w:rsidR="001F70D4" w:rsidRPr="001F70D4">
              <w:t>paragraph (</w:t>
            </w:r>
            <w:r w:rsidRPr="001F70D4">
              <w:t xml:space="preserve">a) of the definition of </w:t>
            </w:r>
            <w:r w:rsidRPr="001F70D4">
              <w:rPr>
                <w:b/>
                <w:i/>
              </w:rPr>
              <w:t>Appeal Registry</w:t>
            </w:r>
            <w:r w:rsidRPr="001F70D4">
              <w:t>)</w:t>
            </w:r>
          </w:p>
        </w:tc>
        <w:tc>
          <w:tcPr>
            <w:tcW w:w="2124" w:type="dxa"/>
            <w:tcBorders>
              <w:bottom w:val="single" w:sz="12" w:space="0" w:color="auto"/>
            </w:tcBorders>
            <w:shd w:val="clear" w:color="auto" w:fill="auto"/>
          </w:tcPr>
          <w:p w:rsidR="00A90A3F" w:rsidRPr="001F70D4" w:rsidRDefault="00A90A3F" w:rsidP="0078313B">
            <w:pPr>
              <w:pStyle w:val="Tabletext"/>
            </w:pPr>
            <w:r w:rsidRPr="001F70D4">
              <w:t>Federal Magistrates Court</w:t>
            </w:r>
          </w:p>
        </w:tc>
        <w:tc>
          <w:tcPr>
            <w:tcW w:w="2124" w:type="dxa"/>
            <w:tcBorders>
              <w:bottom w:val="single" w:sz="12" w:space="0" w:color="auto"/>
            </w:tcBorders>
            <w:shd w:val="clear" w:color="auto" w:fill="auto"/>
          </w:tcPr>
          <w:p w:rsidR="00A90A3F" w:rsidRPr="001F70D4" w:rsidRDefault="00A90A3F" w:rsidP="0078313B">
            <w:pPr>
              <w:pStyle w:val="Tabletext"/>
            </w:pPr>
            <w:r w:rsidRPr="001F70D4">
              <w:t>Federal Circuit Court</w:t>
            </w:r>
          </w:p>
        </w:tc>
      </w:tr>
    </w:tbl>
    <w:p w:rsidR="003119FF" w:rsidRPr="001F70D4" w:rsidRDefault="003119FF" w:rsidP="00A90A3F">
      <w:pPr>
        <w:pStyle w:val="Tabletext"/>
      </w:pPr>
    </w:p>
    <w:sectPr w:rsidR="003119FF" w:rsidRPr="001F70D4" w:rsidSect="00A25B43">
      <w:headerReference w:type="even" r:id="rId30"/>
      <w:headerReference w:type="default" r:id="rId31"/>
      <w:footerReference w:type="even" r:id="rId32"/>
      <w:footerReference w:type="default" r:id="rId33"/>
      <w:headerReference w:type="first" r:id="rId34"/>
      <w:footerReference w:type="first" r:id="rId35"/>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336" w:rsidRDefault="00C63336" w:rsidP="0048364F">
      <w:pPr>
        <w:spacing w:line="240" w:lineRule="auto"/>
      </w:pPr>
      <w:r>
        <w:separator/>
      </w:r>
    </w:p>
  </w:endnote>
  <w:endnote w:type="continuationSeparator" w:id="0">
    <w:p w:rsidR="00C63336" w:rsidRDefault="00C6333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3D" w:rsidRPr="00A25B43" w:rsidRDefault="006A3B3D" w:rsidP="00A25B43">
    <w:pPr>
      <w:pStyle w:val="Footer"/>
      <w:tabs>
        <w:tab w:val="clear" w:pos="4153"/>
        <w:tab w:val="clear" w:pos="8306"/>
        <w:tab w:val="center" w:pos="4150"/>
        <w:tab w:val="right" w:pos="8307"/>
      </w:tabs>
      <w:spacing w:before="120"/>
      <w:rPr>
        <w:i/>
        <w:sz w:val="18"/>
      </w:rPr>
    </w:pPr>
    <w:r w:rsidRPr="00A25B43">
      <w:rPr>
        <w:i/>
        <w:sz w:val="18"/>
      </w:rPr>
      <w:t xml:space="preserve"> </w:t>
    </w:r>
    <w:r w:rsidR="00A25B43" w:rsidRPr="00A25B43">
      <w:rPr>
        <w:i/>
        <w:sz w:val="18"/>
      </w:rPr>
      <w:t>OPC60602 -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43" w:rsidRDefault="00A25B43" w:rsidP="00A25B43">
    <w:pPr>
      <w:pStyle w:val="Footer"/>
    </w:pPr>
    <w:r w:rsidRPr="00A25B43">
      <w:rPr>
        <w:i/>
        <w:sz w:val="18"/>
      </w:rPr>
      <w:t>OPC60602 -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3D" w:rsidRPr="00A25B43" w:rsidRDefault="006A3B3D" w:rsidP="006A3B3D">
    <w:pPr>
      <w:pStyle w:val="Footer"/>
      <w:rPr>
        <w:sz w:val="18"/>
      </w:rPr>
    </w:pPr>
  </w:p>
  <w:p w:rsidR="006A3B3D" w:rsidRPr="00A25B43" w:rsidRDefault="00A25B43" w:rsidP="00A25B43">
    <w:pPr>
      <w:pStyle w:val="Footer"/>
      <w:rPr>
        <w:sz w:val="18"/>
      </w:rPr>
    </w:pPr>
    <w:r w:rsidRPr="00A25B43">
      <w:rPr>
        <w:i/>
        <w:sz w:val="18"/>
      </w:rPr>
      <w:t>OPC60602 -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3D" w:rsidRPr="00A25B43" w:rsidRDefault="006A3B3D" w:rsidP="006A3B3D">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6A3B3D" w:rsidRPr="00A25B43" w:rsidTr="00744B34">
      <w:tc>
        <w:tcPr>
          <w:tcW w:w="533" w:type="dxa"/>
          <w:tcBorders>
            <w:top w:val="nil"/>
            <w:left w:val="nil"/>
            <w:bottom w:val="nil"/>
            <w:right w:val="nil"/>
          </w:tcBorders>
        </w:tcPr>
        <w:p w:rsidR="006A3B3D" w:rsidRPr="00A25B43" w:rsidRDefault="006A3B3D" w:rsidP="00744B34">
          <w:pPr>
            <w:spacing w:line="0" w:lineRule="atLeast"/>
            <w:rPr>
              <w:rFonts w:cs="Times New Roman"/>
              <w:i/>
              <w:sz w:val="18"/>
            </w:rPr>
          </w:pPr>
          <w:r w:rsidRPr="00A25B43">
            <w:rPr>
              <w:rFonts w:cs="Times New Roman"/>
              <w:i/>
              <w:sz w:val="18"/>
            </w:rPr>
            <w:fldChar w:fldCharType="begin"/>
          </w:r>
          <w:r w:rsidRPr="00A25B43">
            <w:rPr>
              <w:rFonts w:cs="Times New Roman"/>
              <w:i/>
              <w:sz w:val="18"/>
            </w:rPr>
            <w:instrText xml:space="preserve"> PAGE </w:instrText>
          </w:r>
          <w:r w:rsidRPr="00A25B43">
            <w:rPr>
              <w:rFonts w:cs="Times New Roman"/>
              <w:i/>
              <w:sz w:val="18"/>
            </w:rPr>
            <w:fldChar w:fldCharType="separate"/>
          </w:r>
          <w:r w:rsidR="002E454A">
            <w:rPr>
              <w:rFonts w:cs="Times New Roman"/>
              <w:i/>
              <w:noProof/>
              <w:sz w:val="18"/>
            </w:rPr>
            <w:t>ii</w:t>
          </w:r>
          <w:r w:rsidRPr="00A25B43">
            <w:rPr>
              <w:rFonts w:cs="Times New Roman"/>
              <w:i/>
              <w:sz w:val="18"/>
            </w:rPr>
            <w:fldChar w:fldCharType="end"/>
          </w:r>
        </w:p>
      </w:tc>
      <w:tc>
        <w:tcPr>
          <w:tcW w:w="5387" w:type="dxa"/>
          <w:tcBorders>
            <w:top w:val="nil"/>
            <w:left w:val="nil"/>
            <w:bottom w:val="nil"/>
            <w:right w:val="nil"/>
          </w:tcBorders>
        </w:tcPr>
        <w:p w:rsidR="006A3B3D" w:rsidRPr="00A25B43" w:rsidRDefault="006A3B3D" w:rsidP="00744B34">
          <w:pPr>
            <w:spacing w:line="0" w:lineRule="atLeast"/>
            <w:jc w:val="center"/>
            <w:rPr>
              <w:rFonts w:cs="Times New Roman"/>
              <w:i/>
              <w:sz w:val="18"/>
            </w:rPr>
          </w:pPr>
          <w:r w:rsidRPr="00A25B43">
            <w:rPr>
              <w:rFonts w:cs="Times New Roman"/>
              <w:i/>
              <w:sz w:val="18"/>
            </w:rPr>
            <w:fldChar w:fldCharType="begin"/>
          </w:r>
          <w:r w:rsidRPr="00A25B43">
            <w:rPr>
              <w:rFonts w:cs="Times New Roman"/>
              <w:i/>
              <w:sz w:val="18"/>
            </w:rPr>
            <w:instrText xml:space="preserve"> DOCPROPERTY ShortT </w:instrText>
          </w:r>
          <w:r w:rsidRPr="00A25B43">
            <w:rPr>
              <w:rFonts w:cs="Times New Roman"/>
              <w:i/>
              <w:sz w:val="18"/>
            </w:rPr>
            <w:fldChar w:fldCharType="separate"/>
          </w:r>
          <w:r w:rsidR="00C9660C">
            <w:rPr>
              <w:rFonts w:cs="Times New Roman"/>
              <w:i/>
              <w:sz w:val="18"/>
            </w:rPr>
            <w:t>Family Law Amendment (2014 Measures No. 1) Rules 2014</w:t>
          </w:r>
          <w:r w:rsidRPr="00A25B43">
            <w:rPr>
              <w:rFonts w:cs="Times New Roman"/>
              <w:i/>
              <w:sz w:val="18"/>
            </w:rPr>
            <w:fldChar w:fldCharType="end"/>
          </w:r>
        </w:p>
      </w:tc>
      <w:tc>
        <w:tcPr>
          <w:tcW w:w="1383" w:type="dxa"/>
          <w:tcBorders>
            <w:top w:val="nil"/>
            <w:left w:val="nil"/>
            <w:bottom w:val="nil"/>
            <w:right w:val="nil"/>
          </w:tcBorders>
        </w:tcPr>
        <w:p w:rsidR="006A3B3D" w:rsidRPr="00A25B43" w:rsidRDefault="006A3B3D" w:rsidP="00744B34">
          <w:pPr>
            <w:spacing w:line="0" w:lineRule="atLeast"/>
            <w:jc w:val="right"/>
            <w:rPr>
              <w:rFonts w:cs="Times New Roman"/>
              <w:i/>
              <w:sz w:val="18"/>
            </w:rPr>
          </w:pPr>
          <w:r w:rsidRPr="00A25B43">
            <w:rPr>
              <w:rFonts w:cs="Times New Roman"/>
              <w:i/>
              <w:sz w:val="18"/>
            </w:rPr>
            <w:fldChar w:fldCharType="begin"/>
          </w:r>
          <w:r w:rsidRPr="00A25B43">
            <w:rPr>
              <w:rFonts w:cs="Times New Roman"/>
              <w:i/>
              <w:sz w:val="18"/>
            </w:rPr>
            <w:instrText xml:space="preserve"> DOCPROPERTY ActNo </w:instrText>
          </w:r>
          <w:r w:rsidRPr="00A25B43">
            <w:rPr>
              <w:rFonts w:cs="Times New Roman"/>
              <w:i/>
              <w:sz w:val="18"/>
            </w:rPr>
            <w:fldChar w:fldCharType="separate"/>
          </w:r>
          <w:r w:rsidR="00C9660C">
            <w:rPr>
              <w:rFonts w:cs="Times New Roman"/>
              <w:i/>
              <w:sz w:val="18"/>
            </w:rPr>
            <w:t>No. 213, 2014</w:t>
          </w:r>
          <w:r w:rsidRPr="00A25B43">
            <w:rPr>
              <w:rFonts w:cs="Times New Roman"/>
              <w:i/>
              <w:sz w:val="18"/>
            </w:rPr>
            <w:fldChar w:fldCharType="end"/>
          </w:r>
        </w:p>
      </w:tc>
    </w:tr>
  </w:tbl>
  <w:p w:rsidR="006A3B3D" w:rsidRPr="00A25B43" w:rsidRDefault="00A25B43" w:rsidP="00A25B43">
    <w:pPr>
      <w:rPr>
        <w:rFonts w:cs="Times New Roman"/>
        <w:i/>
        <w:sz w:val="18"/>
      </w:rPr>
    </w:pPr>
    <w:r w:rsidRPr="00A25B43">
      <w:rPr>
        <w:rFonts w:cs="Times New Roman"/>
        <w:i/>
        <w:sz w:val="18"/>
      </w:rPr>
      <w:t>OPC60602 -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3D" w:rsidRPr="00E33C1C" w:rsidRDefault="006A3B3D" w:rsidP="006A3B3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A3B3D" w:rsidTr="00744B34">
      <w:tc>
        <w:tcPr>
          <w:tcW w:w="1383" w:type="dxa"/>
          <w:tcBorders>
            <w:top w:val="nil"/>
            <w:left w:val="nil"/>
            <w:bottom w:val="nil"/>
            <w:right w:val="nil"/>
          </w:tcBorders>
        </w:tcPr>
        <w:p w:rsidR="006A3B3D" w:rsidRDefault="006A3B3D" w:rsidP="00744B3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C9660C">
            <w:rPr>
              <w:i/>
              <w:sz w:val="18"/>
            </w:rPr>
            <w:t>No. 213, 2014</w:t>
          </w:r>
          <w:r w:rsidRPr="007A1328">
            <w:rPr>
              <w:i/>
              <w:sz w:val="18"/>
            </w:rPr>
            <w:fldChar w:fldCharType="end"/>
          </w:r>
        </w:p>
      </w:tc>
      <w:tc>
        <w:tcPr>
          <w:tcW w:w="5387" w:type="dxa"/>
          <w:tcBorders>
            <w:top w:val="nil"/>
            <w:left w:val="nil"/>
            <w:bottom w:val="nil"/>
            <w:right w:val="nil"/>
          </w:tcBorders>
        </w:tcPr>
        <w:p w:rsidR="006A3B3D" w:rsidRDefault="006A3B3D" w:rsidP="00744B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9660C">
            <w:rPr>
              <w:i/>
              <w:sz w:val="18"/>
            </w:rPr>
            <w:t>Family Law Amendment (2014 Measures No. 1) Rules 2014</w:t>
          </w:r>
          <w:r w:rsidRPr="007A1328">
            <w:rPr>
              <w:i/>
              <w:sz w:val="18"/>
            </w:rPr>
            <w:fldChar w:fldCharType="end"/>
          </w:r>
        </w:p>
      </w:tc>
      <w:tc>
        <w:tcPr>
          <w:tcW w:w="533" w:type="dxa"/>
          <w:tcBorders>
            <w:top w:val="nil"/>
            <w:left w:val="nil"/>
            <w:bottom w:val="nil"/>
            <w:right w:val="nil"/>
          </w:tcBorders>
        </w:tcPr>
        <w:p w:rsidR="006A3B3D" w:rsidRDefault="006A3B3D" w:rsidP="00744B3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067B0">
            <w:rPr>
              <w:i/>
              <w:noProof/>
              <w:sz w:val="18"/>
            </w:rPr>
            <w:t>i</w:t>
          </w:r>
          <w:r w:rsidRPr="00ED79B6">
            <w:rPr>
              <w:i/>
              <w:sz w:val="18"/>
            </w:rPr>
            <w:fldChar w:fldCharType="end"/>
          </w:r>
        </w:p>
      </w:tc>
    </w:tr>
  </w:tbl>
  <w:p w:rsidR="006A3B3D" w:rsidRPr="00ED79B6" w:rsidRDefault="00A25B43" w:rsidP="00A25B43">
    <w:pPr>
      <w:rPr>
        <w:i/>
        <w:sz w:val="18"/>
      </w:rPr>
    </w:pPr>
    <w:r w:rsidRPr="00A25B43">
      <w:rPr>
        <w:rFonts w:cs="Times New Roman"/>
        <w:i/>
        <w:sz w:val="18"/>
      </w:rPr>
      <w:t>OPC60602 -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3D" w:rsidRPr="00A25B43" w:rsidRDefault="006A3B3D" w:rsidP="006A3B3D">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6A3B3D" w:rsidRPr="00A25B43" w:rsidTr="00744B34">
      <w:tc>
        <w:tcPr>
          <w:tcW w:w="533" w:type="dxa"/>
          <w:tcBorders>
            <w:top w:val="nil"/>
            <w:left w:val="nil"/>
            <w:bottom w:val="nil"/>
            <w:right w:val="nil"/>
          </w:tcBorders>
        </w:tcPr>
        <w:p w:rsidR="006A3B3D" w:rsidRPr="00A25B43" w:rsidRDefault="006A3B3D" w:rsidP="00744B34">
          <w:pPr>
            <w:spacing w:line="0" w:lineRule="atLeast"/>
            <w:rPr>
              <w:rFonts w:cs="Times New Roman"/>
              <w:i/>
              <w:sz w:val="18"/>
            </w:rPr>
          </w:pPr>
          <w:r w:rsidRPr="00A25B43">
            <w:rPr>
              <w:rFonts w:cs="Times New Roman"/>
              <w:i/>
              <w:sz w:val="18"/>
            </w:rPr>
            <w:fldChar w:fldCharType="begin"/>
          </w:r>
          <w:r w:rsidRPr="00A25B43">
            <w:rPr>
              <w:rFonts w:cs="Times New Roman"/>
              <w:i/>
              <w:sz w:val="18"/>
            </w:rPr>
            <w:instrText xml:space="preserve"> PAGE </w:instrText>
          </w:r>
          <w:r w:rsidRPr="00A25B43">
            <w:rPr>
              <w:rFonts w:cs="Times New Roman"/>
              <w:i/>
              <w:sz w:val="18"/>
            </w:rPr>
            <w:fldChar w:fldCharType="separate"/>
          </w:r>
          <w:r w:rsidR="00A067B0">
            <w:rPr>
              <w:rFonts w:cs="Times New Roman"/>
              <w:i/>
              <w:noProof/>
              <w:sz w:val="18"/>
            </w:rPr>
            <w:t>20</w:t>
          </w:r>
          <w:r w:rsidRPr="00A25B43">
            <w:rPr>
              <w:rFonts w:cs="Times New Roman"/>
              <w:i/>
              <w:sz w:val="18"/>
            </w:rPr>
            <w:fldChar w:fldCharType="end"/>
          </w:r>
        </w:p>
      </w:tc>
      <w:tc>
        <w:tcPr>
          <w:tcW w:w="5387" w:type="dxa"/>
          <w:tcBorders>
            <w:top w:val="nil"/>
            <w:left w:val="nil"/>
            <w:bottom w:val="nil"/>
            <w:right w:val="nil"/>
          </w:tcBorders>
        </w:tcPr>
        <w:p w:rsidR="006A3B3D" w:rsidRPr="00A25B43" w:rsidRDefault="006A3B3D" w:rsidP="00744B34">
          <w:pPr>
            <w:spacing w:line="0" w:lineRule="atLeast"/>
            <w:jc w:val="center"/>
            <w:rPr>
              <w:rFonts w:cs="Times New Roman"/>
              <w:i/>
              <w:sz w:val="18"/>
            </w:rPr>
          </w:pPr>
          <w:r w:rsidRPr="00A25B43">
            <w:rPr>
              <w:rFonts w:cs="Times New Roman"/>
              <w:i/>
              <w:sz w:val="18"/>
            </w:rPr>
            <w:fldChar w:fldCharType="begin"/>
          </w:r>
          <w:r w:rsidRPr="00A25B43">
            <w:rPr>
              <w:rFonts w:cs="Times New Roman"/>
              <w:i/>
              <w:sz w:val="18"/>
            </w:rPr>
            <w:instrText xml:space="preserve"> DOCPROPERTY ShortT </w:instrText>
          </w:r>
          <w:r w:rsidRPr="00A25B43">
            <w:rPr>
              <w:rFonts w:cs="Times New Roman"/>
              <w:i/>
              <w:sz w:val="18"/>
            </w:rPr>
            <w:fldChar w:fldCharType="separate"/>
          </w:r>
          <w:r w:rsidR="00C9660C">
            <w:rPr>
              <w:rFonts w:cs="Times New Roman"/>
              <w:i/>
              <w:sz w:val="18"/>
            </w:rPr>
            <w:t>Family Law Amendment (2014 Measures No. 1) Rules 2014</w:t>
          </w:r>
          <w:r w:rsidRPr="00A25B43">
            <w:rPr>
              <w:rFonts w:cs="Times New Roman"/>
              <w:i/>
              <w:sz w:val="18"/>
            </w:rPr>
            <w:fldChar w:fldCharType="end"/>
          </w:r>
        </w:p>
      </w:tc>
      <w:tc>
        <w:tcPr>
          <w:tcW w:w="1383" w:type="dxa"/>
          <w:tcBorders>
            <w:top w:val="nil"/>
            <w:left w:val="nil"/>
            <w:bottom w:val="nil"/>
            <w:right w:val="nil"/>
          </w:tcBorders>
        </w:tcPr>
        <w:p w:rsidR="006A3B3D" w:rsidRPr="00A25B43" w:rsidRDefault="006A3B3D" w:rsidP="00744B34">
          <w:pPr>
            <w:spacing w:line="0" w:lineRule="atLeast"/>
            <w:jc w:val="right"/>
            <w:rPr>
              <w:rFonts w:cs="Times New Roman"/>
              <w:i/>
              <w:sz w:val="18"/>
            </w:rPr>
          </w:pPr>
          <w:r w:rsidRPr="00A25B43">
            <w:rPr>
              <w:rFonts w:cs="Times New Roman"/>
              <w:i/>
              <w:sz w:val="18"/>
            </w:rPr>
            <w:fldChar w:fldCharType="begin"/>
          </w:r>
          <w:r w:rsidRPr="00A25B43">
            <w:rPr>
              <w:rFonts w:cs="Times New Roman"/>
              <w:i/>
              <w:sz w:val="18"/>
            </w:rPr>
            <w:instrText xml:space="preserve"> DOCPROPERTY ActNo </w:instrText>
          </w:r>
          <w:r w:rsidRPr="00A25B43">
            <w:rPr>
              <w:rFonts w:cs="Times New Roman"/>
              <w:i/>
              <w:sz w:val="18"/>
            </w:rPr>
            <w:fldChar w:fldCharType="separate"/>
          </w:r>
          <w:r w:rsidR="00C9660C">
            <w:rPr>
              <w:rFonts w:cs="Times New Roman"/>
              <w:i/>
              <w:sz w:val="18"/>
            </w:rPr>
            <w:t>No. 213, 2014</w:t>
          </w:r>
          <w:r w:rsidRPr="00A25B43">
            <w:rPr>
              <w:rFonts w:cs="Times New Roman"/>
              <w:i/>
              <w:sz w:val="18"/>
            </w:rPr>
            <w:fldChar w:fldCharType="end"/>
          </w:r>
        </w:p>
      </w:tc>
    </w:tr>
  </w:tbl>
  <w:p w:rsidR="006A3B3D" w:rsidRPr="00A25B43" w:rsidRDefault="00A25B43" w:rsidP="00A25B43">
    <w:pPr>
      <w:rPr>
        <w:rFonts w:cs="Times New Roman"/>
        <w:i/>
        <w:sz w:val="18"/>
      </w:rPr>
    </w:pPr>
    <w:r w:rsidRPr="00A25B43">
      <w:rPr>
        <w:rFonts w:cs="Times New Roman"/>
        <w:i/>
        <w:sz w:val="18"/>
      </w:rPr>
      <w:t>OPC60602 -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3D" w:rsidRPr="00E33C1C" w:rsidRDefault="006A3B3D" w:rsidP="006A3B3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A3B3D" w:rsidTr="00744B34">
      <w:tc>
        <w:tcPr>
          <w:tcW w:w="1383" w:type="dxa"/>
          <w:tcBorders>
            <w:top w:val="nil"/>
            <w:left w:val="nil"/>
            <w:bottom w:val="nil"/>
            <w:right w:val="nil"/>
          </w:tcBorders>
        </w:tcPr>
        <w:p w:rsidR="006A3B3D" w:rsidRDefault="006A3B3D" w:rsidP="00744B3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C9660C">
            <w:rPr>
              <w:i/>
              <w:sz w:val="18"/>
            </w:rPr>
            <w:t>No. 213, 2014</w:t>
          </w:r>
          <w:r w:rsidRPr="007A1328">
            <w:rPr>
              <w:i/>
              <w:sz w:val="18"/>
            </w:rPr>
            <w:fldChar w:fldCharType="end"/>
          </w:r>
        </w:p>
      </w:tc>
      <w:tc>
        <w:tcPr>
          <w:tcW w:w="5387" w:type="dxa"/>
          <w:tcBorders>
            <w:top w:val="nil"/>
            <w:left w:val="nil"/>
            <w:bottom w:val="nil"/>
            <w:right w:val="nil"/>
          </w:tcBorders>
        </w:tcPr>
        <w:p w:rsidR="006A3B3D" w:rsidRDefault="006A3B3D" w:rsidP="00744B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9660C">
            <w:rPr>
              <w:i/>
              <w:sz w:val="18"/>
            </w:rPr>
            <w:t>Family Law Amendment (2014 Measures No. 1) Rules 2014</w:t>
          </w:r>
          <w:r w:rsidRPr="007A1328">
            <w:rPr>
              <w:i/>
              <w:sz w:val="18"/>
            </w:rPr>
            <w:fldChar w:fldCharType="end"/>
          </w:r>
        </w:p>
      </w:tc>
      <w:tc>
        <w:tcPr>
          <w:tcW w:w="533" w:type="dxa"/>
          <w:tcBorders>
            <w:top w:val="nil"/>
            <w:left w:val="nil"/>
            <w:bottom w:val="nil"/>
            <w:right w:val="nil"/>
          </w:tcBorders>
        </w:tcPr>
        <w:p w:rsidR="006A3B3D" w:rsidRDefault="006A3B3D" w:rsidP="00744B3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067B0">
            <w:rPr>
              <w:i/>
              <w:noProof/>
              <w:sz w:val="18"/>
            </w:rPr>
            <w:t>1</w:t>
          </w:r>
          <w:r w:rsidRPr="00ED79B6">
            <w:rPr>
              <w:i/>
              <w:sz w:val="18"/>
            </w:rPr>
            <w:fldChar w:fldCharType="end"/>
          </w:r>
        </w:p>
      </w:tc>
    </w:tr>
  </w:tbl>
  <w:p w:rsidR="006A3B3D" w:rsidRPr="00ED79B6" w:rsidRDefault="00A25B43" w:rsidP="00A25B43">
    <w:pPr>
      <w:rPr>
        <w:i/>
        <w:sz w:val="18"/>
      </w:rPr>
    </w:pPr>
    <w:r w:rsidRPr="00A25B43">
      <w:rPr>
        <w:rFonts w:cs="Times New Roman"/>
        <w:i/>
        <w:sz w:val="18"/>
      </w:rPr>
      <w:t>OPC60602 -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3D" w:rsidRPr="00E33C1C" w:rsidRDefault="006A3B3D" w:rsidP="006A3B3D">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A3B3D" w:rsidTr="00744B34">
      <w:tc>
        <w:tcPr>
          <w:tcW w:w="1383" w:type="dxa"/>
          <w:tcBorders>
            <w:top w:val="nil"/>
            <w:left w:val="nil"/>
            <w:bottom w:val="nil"/>
            <w:right w:val="nil"/>
          </w:tcBorders>
        </w:tcPr>
        <w:p w:rsidR="006A3B3D" w:rsidRDefault="006A3B3D" w:rsidP="00744B3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C9660C">
            <w:rPr>
              <w:i/>
              <w:sz w:val="18"/>
            </w:rPr>
            <w:t>No. 213, 2014</w:t>
          </w:r>
          <w:r w:rsidRPr="007A1328">
            <w:rPr>
              <w:i/>
              <w:sz w:val="18"/>
            </w:rPr>
            <w:fldChar w:fldCharType="end"/>
          </w:r>
        </w:p>
      </w:tc>
      <w:tc>
        <w:tcPr>
          <w:tcW w:w="5387" w:type="dxa"/>
          <w:tcBorders>
            <w:top w:val="nil"/>
            <w:left w:val="nil"/>
            <w:bottom w:val="nil"/>
            <w:right w:val="nil"/>
          </w:tcBorders>
        </w:tcPr>
        <w:p w:rsidR="006A3B3D" w:rsidRDefault="006A3B3D" w:rsidP="00744B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9660C">
            <w:rPr>
              <w:i/>
              <w:sz w:val="18"/>
            </w:rPr>
            <w:t>Family Law Amendment (2014 Measures No. 1) Rules 2014</w:t>
          </w:r>
          <w:r w:rsidRPr="007A1328">
            <w:rPr>
              <w:i/>
              <w:sz w:val="18"/>
            </w:rPr>
            <w:fldChar w:fldCharType="end"/>
          </w:r>
        </w:p>
      </w:tc>
      <w:tc>
        <w:tcPr>
          <w:tcW w:w="533" w:type="dxa"/>
          <w:tcBorders>
            <w:top w:val="nil"/>
            <w:left w:val="nil"/>
            <w:bottom w:val="nil"/>
            <w:right w:val="nil"/>
          </w:tcBorders>
        </w:tcPr>
        <w:p w:rsidR="006A3B3D" w:rsidRDefault="006A3B3D" w:rsidP="00744B3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E454A">
            <w:rPr>
              <w:i/>
              <w:noProof/>
              <w:sz w:val="18"/>
            </w:rPr>
            <w:t>2</w:t>
          </w:r>
          <w:r w:rsidRPr="00ED79B6">
            <w:rPr>
              <w:i/>
              <w:sz w:val="18"/>
            </w:rPr>
            <w:fldChar w:fldCharType="end"/>
          </w:r>
        </w:p>
      </w:tc>
    </w:tr>
  </w:tbl>
  <w:p w:rsidR="006A3B3D" w:rsidRPr="00ED79B6" w:rsidRDefault="006A3B3D" w:rsidP="006A3B3D">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336" w:rsidRDefault="00C63336" w:rsidP="0048364F">
      <w:pPr>
        <w:spacing w:line="240" w:lineRule="auto"/>
      </w:pPr>
      <w:r>
        <w:separator/>
      </w:r>
    </w:p>
  </w:footnote>
  <w:footnote w:type="continuationSeparator" w:id="0">
    <w:p w:rsidR="00C63336" w:rsidRDefault="00C63336"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3D" w:rsidRPr="005F1388" w:rsidRDefault="006A3B3D" w:rsidP="006A3B3D">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3D" w:rsidRPr="005F1388" w:rsidRDefault="006A3B3D" w:rsidP="006A3B3D">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3D" w:rsidRPr="005F1388" w:rsidRDefault="006A3B3D" w:rsidP="006A3B3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3D" w:rsidRPr="00ED79B6" w:rsidRDefault="006A3B3D" w:rsidP="006A3B3D">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3D" w:rsidRPr="00ED79B6" w:rsidRDefault="006A3B3D" w:rsidP="006A3B3D">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3D" w:rsidRPr="00ED79B6" w:rsidRDefault="006A3B3D" w:rsidP="006A3B3D">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3D" w:rsidRPr="00A961C4" w:rsidRDefault="006A3B3D" w:rsidP="006A3B3D">
    <w:pPr>
      <w:rPr>
        <w:b/>
        <w:sz w:val="20"/>
      </w:rPr>
    </w:pPr>
    <w:r>
      <w:rPr>
        <w:b/>
        <w:sz w:val="20"/>
      </w:rPr>
      <w:fldChar w:fldCharType="begin"/>
    </w:r>
    <w:r>
      <w:rPr>
        <w:b/>
        <w:sz w:val="20"/>
      </w:rPr>
      <w:instrText xml:space="preserve"> STYLEREF CharAmSchNo </w:instrText>
    </w:r>
    <w:r>
      <w:rPr>
        <w:b/>
        <w:sz w:val="20"/>
      </w:rPr>
      <w:fldChar w:fldCharType="separate"/>
    </w:r>
    <w:r w:rsidR="00A067B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A067B0">
      <w:rPr>
        <w:noProof/>
        <w:sz w:val="20"/>
      </w:rPr>
      <w:t>Amendments</w:t>
    </w:r>
    <w:r>
      <w:rPr>
        <w:sz w:val="20"/>
      </w:rPr>
      <w:fldChar w:fldCharType="end"/>
    </w:r>
  </w:p>
  <w:p w:rsidR="006A3B3D" w:rsidRPr="00A961C4" w:rsidRDefault="006A3B3D" w:rsidP="006A3B3D">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A3B3D" w:rsidRPr="00A961C4" w:rsidRDefault="006A3B3D" w:rsidP="006A3B3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3D" w:rsidRPr="00A961C4" w:rsidRDefault="006A3B3D" w:rsidP="006A3B3D">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6A3B3D" w:rsidRPr="00A961C4" w:rsidRDefault="006A3B3D" w:rsidP="006A3B3D">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A3B3D" w:rsidRPr="00A961C4" w:rsidRDefault="006A3B3D" w:rsidP="006A3B3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3D" w:rsidRPr="00A961C4" w:rsidRDefault="006A3B3D" w:rsidP="006A3B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867065"/>
    <w:multiLevelType w:val="hybridMultilevel"/>
    <w:tmpl w:val="94E6DB68"/>
    <w:lvl w:ilvl="0" w:tplc="0C090001">
      <w:start w:val="1"/>
      <w:numFmt w:val="bullet"/>
      <w:lvlText w:val=""/>
      <w:lvlJc w:val="left"/>
      <w:pPr>
        <w:ind w:left="360" w:hanging="360"/>
      </w:pPr>
      <w:rPr>
        <w:rFonts w:ascii="Symbol" w:hAnsi="Symbol" w:hint="default"/>
        <w:b w:val="0"/>
        <w:i w:val="0"/>
        <w:color w:val="auto"/>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5026D49"/>
    <w:multiLevelType w:val="hybridMultilevel"/>
    <w:tmpl w:val="BA06FC22"/>
    <w:lvl w:ilvl="0" w:tplc="77F2163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276"/>
    <w:rsid w:val="000041C6"/>
    <w:rsid w:val="000063E4"/>
    <w:rsid w:val="000113BC"/>
    <w:rsid w:val="000120B9"/>
    <w:rsid w:val="000136AF"/>
    <w:rsid w:val="00025060"/>
    <w:rsid w:val="0003670A"/>
    <w:rsid w:val="0004044E"/>
    <w:rsid w:val="00052077"/>
    <w:rsid w:val="000614BF"/>
    <w:rsid w:val="00074ABA"/>
    <w:rsid w:val="00074F2E"/>
    <w:rsid w:val="000802AC"/>
    <w:rsid w:val="000A03CD"/>
    <w:rsid w:val="000B7086"/>
    <w:rsid w:val="000C4A91"/>
    <w:rsid w:val="000C4E79"/>
    <w:rsid w:val="000D05EF"/>
    <w:rsid w:val="000D25CF"/>
    <w:rsid w:val="000E5116"/>
    <w:rsid w:val="000F21C1"/>
    <w:rsid w:val="000F7427"/>
    <w:rsid w:val="00100013"/>
    <w:rsid w:val="00101DE5"/>
    <w:rsid w:val="00106FC0"/>
    <w:rsid w:val="0010745C"/>
    <w:rsid w:val="0011046A"/>
    <w:rsid w:val="00112276"/>
    <w:rsid w:val="00116975"/>
    <w:rsid w:val="001354C5"/>
    <w:rsid w:val="00143236"/>
    <w:rsid w:val="00144081"/>
    <w:rsid w:val="00145D3D"/>
    <w:rsid w:val="001460A0"/>
    <w:rsid w:val="00154EAC"/>
    <w:rsid w:val="001636A8"/>
    <w:rsid w:val="00163805"/>
    <w:rsid w:val="001643C9"/>
    <w:rsid w:val="0016463A"/>
    <w:rsid w:val="00165568"/>
    <w:rsid w:val="00166C2F"/>
    <w:rsid w:val="001716C9"/>
    <w:rsid w:val="00171EAE"/>
    <w:rsid w:val="00186579"/>
    <w:rsid w:val="00191859"/>
    <w:rsid w:val="00192A35"/>
    <w:rsid w:val="00193461"/>
    <w:rsid w:val="001939E1"/>
    <w:rsid w:val="00195382"/>
    <w:rsid w:val="00196BD4"/>
    <w:rsid w:val="001A16DA"/>
    <w:rsid w:val="001B3097"/>
    <w:rsid w:val="001B7A5D"/>
    <w:rsid w:val="001B7F35"/>
    <w:rsid w:val="001C3819"/>
    <w:rsid w:val="001C69C4"/>
    <w:rsid w:val="001D4229"/>
    <w:rsid w:val="001D7F83"/>
    <w:rsid w:val="001E16D0"/>
    <w:rsid w:val="001E3590"/>
    <w:rsid w:val="001E562E"/>
    <w:rsid w:val="001E7407"/>
    <w:rsid w:val="001F3B17"/>
    <w:rsid w:val="001F3B4D"/>
    <w:rsid w:val="001F4148"/>
    <w:rsid w:val="001F6924"/>
    <w:rsid w:val="001F70D4"/>
    <w:rsid w:val="00201D27"/>
    <w:rsid w:val="00231427"/>
    <w:rsid w:val="00240749"/>
    <w:rsid w:val="00241887"/>
    <w:rsid w:val="00246406"/>
    <w:rsid w:val="00250457"/>
    <w:rsid w:val="00253136"/>
    <w:rsid w:val="00265FBC"/>
    <w:rsid w:val="00266D05"/>
    <w:rsid w:val="002855FA"/>
    <w:rsid w:val="0028704C"/>
    <w:rsid w:val="00292660"/>
    <w:rsid w:val="002932B1"/>
    <w:rsid w:val="002932CE"/>
    <w:rsid w:val="00295408"/>
    <w:rsid w:val="00297495"/>
    <w:rsid w:val="00297ECB"/>
    <w:rsid w:val="002A0FFD"/>
    <w:rsid w:val="002B2731"/>
    <w:rsid w:val="002B5B89"/>
    <w:rsid w:val="002B7D96"/>
    <w:rsid w:val="002C78BD"/>
    <w:rsid w:val="002D043A"/>
    <w:rsid w:val="002D1CC9"/>
    <w:rsid w:val="002D7985"/>
    <w:rsid w:val="002E454A"/>
    <w:rsid w:val="002F4C9F"/>
    <w:rsid w:val="00300B64"/>
    <w:rsid w:val="00304E75"/>
    <w:rsid w:val="003072FA"/>
    <w:rsid w:val="003119FF"/>
    <w:rsid w:val="0031713F"/>
    <w:rsid w:val="00320D94"/>
    <w:rsid w:val="003263AC"/>
    <w:rsid w:val="003361BA"/>
    <w:rsid w:val="003415D3"/>
    <w:rsid w:val="00352B0F"/>
    <w:rsid w:val="00352E8A"/>
    <w:rsid w:val="0035521D"/>
    <w:rsid w:val="00361BD9"/>
    <w:rsid w:val="00363549"/>
    <w:rsid w:val="003651FC"/>
    <w:rsid w:val="003702F6"/>
    <w:rsid w:val="003801D0"/>
    <w:rsid w:val="003835B9"/>
    <w:rsid w:val="00391D44"/>
    <w:rsid w:val="0039228E"/>
    <w:rsid w:val="003926B5"/>
    <w:rsid w:val="003B04EC"/>
    <w:rsid w:val="003B26B7"/>
    <w:rsid w:val="003B3647"/>
    <w:rsid w:val="003B6EDF"/>
    <w:rsid w:val="003C5F2B"/>
    <w:rsid w:val="003D0BFE"/>
    <w:rsid w:val="003D1700"/>
    <w:rsid w:val="003D187A"/>
    <w:rsid w:val="003D5700"/>
    <w:rsid w:val="003D7C27"/>
    <w:rsid w:val="003E5FF5"/>
    <w:rsid w:val="003F2F9A"/>
    <w:rsid w:val="003F4CA9"/>
    <w:rsid w:val="003F4EF5"/>
    <w:rsid w:val="003F567B"/>
    <w:rsid w:val="004010E7"/>
    <w:rsid w:val="00401403"/>
    <w:rsid w:val="00405F23"/>
    <w:rsid w:val="004116CD"/>
    <w:rsid w:val="00412B83"/>
    <w:rsid w:val="004160A2"/>
    <w:rsid w:val="004201EE"/>
    <w:rsid w:val="00423892"/>
    <w:rsid w:val="00423F71"/>
    <w:rsid w:val="00424CA9"/>
    <w:rsid w:val="00433910"/>
    <w:rsid w:val="0044291A"/>
    <w:rsid w:val="004541B9"/>
    <w:rsid w:val="00460499"/>
    <w:rsid w:val="00471A8F"/>
    <w:rsid w:val="00472786"/>
    <w:rsid w:val="00480FB9"/>
    <w:rsid w:val="0048364F"/>
    <w:rsid w:val="004847A8"/>
    <w:rsid w:val="00486382"/>
    <w:rsid w:val="00486F9D"/>
    <w:rsid w:val="00496F97"/>
    <w:rsid w:val="004A2276"/>
    <w:rsid w:val="004A2484"/>
    <w:rsid w:val="004A2B6C"/>
    <w:rsid w:val="004A2D6D"/>
    <w:rsid w:val="004A589C"/>
    <w:rsid w:val="004A7DE9"/>
    <w:rsid w:val="004C0255"/>
    <w:rsid w:val="004C5B5A"/>
    <w:rsid w:val="004C6444"/>
    <w:rsid w:val="004C6DE1"/>
    <w:rsid w:val="004F1386"/>
    <w:rsid w:val="004F1A11"/>
    <w:rsid w:val="004F1FAC"/>
    <w:rsid w:val="004F3A90"/>
    <w:rsid w:val="004F676E"/>
    <w:rsid w:val="004F6B6C"/>
    <w:rsid w:val="004F6D93"/>
    <w:rsid w:val="0050188E"/>
    <w:rsid w:val="005023BC"/>
    <w:rsid w:val="0051593C"/>
    <w:rsid w:val="00516B8D"/>
    <w:rsid w:val="00523B7B"/>
    <w:rsid w:val="0053356C"/>
    <w:rsid w:val="00537FBC"/>
    <w:rsid w:val="00543469"/>
    <w:rsid w:val="005447B2"/>
    <w:rsid w:val="00546AB8"/>
    <w:rsid w:val="00557C7A"/>
    <w:rsid w:val="00570312"/>
    <w:rsid w:val="00574653"/>
    <w:rsid w:val="00584811"/>
    <w:rsid w:val="005851A5"/>
    <w:rsid w:val="00585717"/>
    <w:rsid w:val="0058646E"/>
    <w:rsid w:val="00591E07"/>
    <w:rsid w:val="00593AA6"/>
    <w:rsid w:val="00594161"/>
    <w:rsid w:val="00594749"/>
    <w:rsid w:val="005956E3"/>
    <w:rsid w:val="005B4067"/>
    <w:rsid w:val="005B72DB"/>
    <w:rsid w:val="005C12DE"/>
    <w:rsid w:val="005C3F41"/>
    <w:rsid w:val="005E552A"/>
    <w:rsid w:val="005E5F51"/>
    <w:rsid w:val="005F1BAD"/>
    <w:rsid w:val="005F4FEE"/>
    <w:rsid w:val="005F68ED"/>
    <w:rsid w:val="00600219"/>
    <w:rsid w:val="00600967"/>
    <w:rsid w:val="006104B5"/>
    <w:rsid w:val="006249E6"/>
    <w:rsid w:val="00630733"/>
    <w:rsid w:val="00631878"/>
    <w:rsid w:val="0064468A"/>
    <w:rsid w:val="00650642"/>
    <w:rsid w:val="006519AD"/>
    <w:rsid w:val="00653879"/>
    <w:rsid w:val="00654CCA"/>
    <w:rsid w:val="00655E2C"/>
    <w:rsid w:val="00656DE9"/>
    <w:rsid w:val="00663BDD"/>
    <w:rsid w:val="00672C23"/>
    <w:rsid w:val="00677CC2"/>
    <w:rsid w:val="00677D45"/>
    <w:rsid w:val="00680F17"/>
    <w:rsid w:val="00684E55"/>
    <w:rsid w:val="00685F42"/>
    <w:rsid w:val="0069207B"/>
    <w:rsid w:val="006937E2"/>
    <w:rsid w:val="006977FB"/>
    <w:rsid w:val="006A3B3D"/>
    <w:rsid w:val="006A4820"/>
    <w:rsid w:val="006A5DFD"/>
    <w:rsid w:val="006B262A"/>
    <w:rsid w:val="006B3D29"/>
    <w:rsid w:val="006C2C12"/>
    <w:rsid w:val="006C3FFF"/>
    <w:rsid w:val="006C50C6"/>
    <w:rsid w:val="006C6EFF"/>
    <w:rsid w:val="006C7F8C"/>
    <w:rsid w:val="006D3667"/>
    <w:rsid w:val="006D4E91"/>
    <w:rsid w:val="006E004B"/>
    <w:rsid w:val="006E2587"/>
    <w:rsid w:val="006E3225"/>
    <w:rsid w:val="006E7147"/>
    <w:rsid w:val="006E7BC9"/>
    <w:rsid w:val="006F5ED6"/>
    <w:rsid w:val="00700B2C"/>
    <w:rsid w:val="00701E6A"/>
    <w:rsid w:val="00713084"/>
    <w:rsid w:val="00722023"/>
    <w:rsid w:val="00730562"/>
    <w:rsid w:val="00731E00"/>
    <w:rsid w:val="007440B7"/>
    <w:rsid w:val="00756D19"/>
    <w:rsid w:val="00762DA7"/>
    <w:rsid w:val="007634AD"/>
    <w:rsid w:val="00767F83"/>
    <w:rsid w:val="007715C9"/>
    <w:rsid w:val="007739FE"/>
    <w:rsid w:val="00774EDD"/>
    <w:rsid w:val="007757EC"/>
    <w:rsid w:val="007769D4"/>
    <w:rsid w:val="0078313B"/>
    <w:rsid w:val="00785865"/>
    <w:rsid w:val="00785AFA"/>
    <w:rsid w:val="007903AC"/>
    <w:rsid w:val="007A7F9F"/>
    <w:rsid w:val="007B1DE4"/>
    <w:rsid w:val="007C7108"/>
    <w:rsid w:val="007D03F8"/>
    <w:rsid w:val="007E7D4A"/>
    <w:rsid w:val="007F13F3"/>
    <w:rsid w:val="0082579A"/>
    <w:rsid w:val="00826DA5"/>
    <w:rsid w:val="00833416"/>
    <w:rsid w:val="00854994"/>
    <w:rsid w:val="00856A31"/>
    <w:rsid w:val="008624C4"/>
    <w:rsid w:val="0087030D"/>
    <w:rsid w:val="0087405C"/>
    <w:rsid w:val="00874B69"/>
    <w:rsid w:val="008754D0"/>
    <w:rsid w:val="00877D48"/>
    <w:rsid w:val="00877E00"/>
    <w:rsid w:val="0089783B"/>
    <w:rsid w:val="008B2DCE"/>
    <w:rsid w:val="008B4613"/>
    <w:rsid w:val="008B7EE5"/>
    <w:rsid w:val="008C09EF"/>
    <w:rsid w:val="008C4037"/>
    <w:rsid w:val="008D0EE0"/>
    <w:rsid w:val="008E1D1B"/>
    <w:rsid w:val="008E3FEE"/>
    <w:rsid w:val="008F07E3"/>
    <w:rsid w:val="008F4EA6"/>
    <w:rsid w:val="008F4F1C"/>
    <w:rsid w:val="00907271"/>
    <w:rsid w:val="009126DB"/>
    <w:rsid w:val="00932377"/>
    <w:rsid w:val="00932A33"/>
    <w:rsid w:val="0094494F"/>
    <w:rsid w:val="00947281"/>
    <w:rsid w:val="009577DF"/>
    <w:rsid w:val="00960D1C"/>
    <w:rsid w:val="009813F7"/>
    <w:rsid w:val="009848EC"/>
    <w:rsid w:val="00985827"/>
    <w:rsid w:val="009A090C"/>
    <w:rsid w:val="009A566D"/>
    <w:rsid w:val="009B3629"/>
    <w:rsid w:val="009B615C"/>
    <w:rsid w:val="009C1473"/>
    <w:rsid w:val="009C49D8"/>
    <w:rsid w:val="009D237D"/>
    <w:rsid w:val="009E3601"/>
    <w:rsid w:val="009F727E"/>
    <w:rsid w:val="00A067B0"/>
    <w:rsid w:val="00A1027A"/>
    <w:rsid w:val="00A1159C"/>
    <w:rsid w:val="00A2057D"/>
    <w:rsid w:val="00A231E2"/>
    <w:rsid w:val="00A2525E"/>
    <w:rsid w:val="00A2550D"/>
    <w:rsid w:val="00A25B43"/>
    <w:rsid w:val="00A26DBE"/>
    <w:rsid w:val="00A326A4"/>
    <w:rsid w:val="00A3580C"/>
    <w:rsid w:val="00A4169B"/>
    <w:rsid w:val="00A4361F"/>
    <w:rsid w:val="00A47EE0"/>
    <w:rsid w:val="00A5197F"/>
    <w:rsid w:val="00A60149"/>
    <w:rsid w:val="00A64912"/>
    <w:rsid w:val="00A70A74"/>
    <w:rsid w:val="00A71C4E"/>
    <w:rsid w:val="00A77715"/>
    <w:rsid w:val="00A810F4"/>
    <w:rsid w:val="00A81DE0"/>
    <w:rsid w:val="00A824FB"/>
    <w:rsid w:val="00A87AB9"/>
    <w:rsid w:val="00A901F7"/>
    <w:rsid w:val="00A90A3F"/>
    <w:rsid w:val="00AB3315"/>
    <w:rsid w:val="00AB7B41"/>
    <w:rsid w:val="00AC06B3"/>
    <w:rsid w:val="00AD5641"/>
    <w:rsid w:val="00AE50A2"/>
    <w:rsid w:val="00AF0301"/>
    <w:rsid w:val="00AF0336"/>
    <w:rsid w:val="00AF3DA0"/>
    <w:rsid w:val="00AF59D5"/>
    <w:rsid w:val="00AF6613"/>
    <w:rsid w:val="00B00902"/>
    <w:rsid w:val="00B02784"/>
    <w:rsid w:val="00B032D8"/>
    <w:rsid w:val="00B10855"/>
    <w:rsid w:val="00B211E1"/>
    <w:rsid w:val="00B332B8"/>
    <w:rsid w:val="00B33B3C"/>
    <w:rsid w:val="00B41A39"/>
    <w:rsid w:val="00B52381"/>
    <w:rsid w:val="00B61D2C"/>
    <w:rsid w:val="00B63BDE"/>
    <w:rsid w:val="00B666B5"/>
    <w:rsid w:val="00B8058B"/>
    <w:rsid w:val="00B878F2"/>
    <w:rsid w:val="00BA5026"/>
    <w:rsid w:val="00BB141A"/>
    <w:rsid w:val="00BB2B42"/>
    <w:rsid w:val="00BB6E79"/>
    <w:rsid w:val="00BC4F91"/>
    <w:rsid w:val="00BC6845"/>
    <w:rsid w:val="00BD60E6"/>
    <w:rsid w:val="00BE253A"/>
    <w:rsid w:val="00BE289F"/>
    <w:rsid w:val="00BE5EA5"/>
    <w:rsid w:val="00BE719A"/>
    <w:rsid w:val="00BE720A"/>
    <w:rsid w:val="00BF41EC"/>
    <w:rsid w:val="00BF4533"/>
    <w:rsid w:val="00C067E5"/>
    <w:rsid w:val="00C14512"/>
    <w:rsid w:val="00C164CA"/>
    <w:rsid w:val="00C21B63"/>
    <w:rsid w:val="00C24935"/>
    <w:rsid w:val="00C4087E"/>
    <w:rsid w:val="00C42BF8"/>
    <w:rsid w:val="00C460AE"/>
    <w:rsid w:val="00C50043"/>
    <w:rsid w:val="00C62422"/>
    <w:rsid w:val="00C63336"/>
    <w:rsid w:val="00C67C83"/>
    <w:rsid w:val="00C74CCE"/>
    <w:rsid w:val="00C7573B"/>
    <w:rsid w:val="00C76CF3"/>
    <w:rsid w:val="00C77E30"/>
    <w:rsid w:val="00C909BD"/>
    <w:rsid w:val="00C9660C"/>
    <w:rsid w:val="00CA28EB"/>
    <w:rsid w:val="00CA2ED7"/>
    <w:rsid w:val="00CB0180"/>
    <w:rsid w:val="00CB3470"/>
    <w:rsid w:val="00CC2F2E"/>
    <w:rsid w:val="00CC4FD6"/>
    <w:rsid w:val="00CD1A85"/>
    <w:rsid w:val="00CD3693"/>
    <w:rsid w:val="00CD606E"/>
    <w:rsid w:val="00CD73B0"/>
    <w:rsid w:val="00CD7ECB"/>
    <w:rsid w:val="00CE0E87"/>
    <w:rsid w:val="00CF0BB2"/>
    <w:rsid w:val="00CF48F7"/>
    <w:rsid w:val="00D0104A"/>
    <w:rsid w:val="00D13441"/>
    <w:rsid w:val="00D1405D"/>
    <w:rsid w:val="00D1458C"/>
    <w:rsid w:val="00D17B17"/>
    <w:rsid w:val="00D243A3"/>
    <w:rsid w:val="00D333D9"/>
    <w:rsid w:val="00D33440"/>
    <w:rsid w:val="00D37453"/>
    <w:rsid w:val="00D40403"/>
    <w:rsid w:val="00D425F4"/>
    <w:rsid w:val="00D4624D"/>
    <w:rsid w:val="00D514A9"/>
    <w:rsid w:val="00D51AB3"/>
    <w:rsid w:val="00D521B3"/>
    <w:rsid w:val="00D52EFE"/>
    <w:rsid w:val="00D5398F"/>
    <w:rsid w:val="00D600A4"/>
    <w:rsid w:val="00D63EF6"/>
    <w:rsid w:val="00D679D5"/>
    <w:rsid w:val="00D70DFB"/>
    <w:rsid w:val="00D766DF"/>
    <w:rsid w:val="00D77732"/>
    <w:rsid w:val="00D81DB5"/>
    <w:rsid w:val="00D83D21"/>
    <w:rsid w:val="00D84B58"/>
    <w:rsid w:val="00D84C16"/>
    <w:rsid w:val="00D925D1"/>
    <w:rsid w:val="00DC3D3A"/>
    <w:rsid w:val="00DD1156"/>
    <w:rsid w:val="00DD3A42"/>
    <w:rsid w:val="00DE4CF1"/>
    <w:rsid w:val="00DE5C9A"/>
    <w:rsid w:val="00DF4B32"/>
    <w:rsid w:val="00E051DA"/>
    <w:rsid w:val="00E05704"/>
    <w:rsid w:val="00E05C46"/>
    <w:rsid w:val="00E25B47"/>
    <w:rsid w:val="00E26852"/>
    <w:rsid w:val="00E30206"/>
    <w:rsid w:val="00E33C1C"/>
    <w:rsid w:val="00E443FC"/>
    <w:rsid w:val="00E45FE7"/>
    <w:rsid w:val="00E476B8"/>
    <w:rsid w:val="00E53F10"/>
    <w:rsid w:val="00E54292"/>
    <w:rsid w:val="00E55BCD"/>
    <w:rsid w:val="00E65C2F"/>
    <w:rsid w:val="00E73EC4"/>
    <w:rsid w:val="00E74DC7"/>
    <w:rsid w:val="00E76FAB"/>
    <w:rsid w:val="00E82C1F"/>
    <w:rsid w:val="00E83E2E"/>
    <w:rsid w:val="00E84B32"/>
    <w:rsid w:val="00E87699"/>
    <w:rsid w:val="00E94328"/>
    <w:rsid w:val="00EA47DC"/>
    <w:rsid w:val="00ED3A7D"/>
    <w:rsid w:val="00ED4C40"/>
    <w:rsid w:val="00ED5736"/>
    <w:rsid w:val="00EE5971"/>
    <w:rsid w:val="00EF2E3A"/>
    <w:rsid w:val="00F026AF"/>
    <w:rsid w:val="00F042EC"/>
    <w:rsid w:val="00F047E2"/>
    <w:rsid w:val="00F078DC"/>
    <w:rsid w:val="00F1363D"/>
    <w:rsid w:val="00F13E86"/>
    <w:rsid w:val="00F14ECF"/>
    <w:rsid w:val="00F1704A"/>
    <w:rsid w:val="00F24C35"/>
    <w:rsid w:val="00F35A91"/>
    <w:rsid w:val="00F415AD"/>
    <w:rsid w:val="00F55F93"/>
    <w:rsid w:val="00F56759"/>
    <w:rsid w:val="00F6054C"/>
    <w:rsid w:val="00F677A9"/>
    <w:rsid w:val="00F718FF"/>
    <w:rsid w:val="00F84CF5"/>
    <w:rsid w:val="00F868DF"/>
    <w:rsid w:val="00FA24EE"/>
    <w:rsid w:val="00FA420B"/>
    <w:rsid w:val="00FB03B3"/>
    <w:rsid w:val="00FB192C"/>
    <w:rsid w:val="00FB2899"/>
    <w:rsid w:val="00FC48C3"/>
    <w:rsid w:val="00FC52FE"/>
    <w:rsid w:val="00FD4B4C"/>
    <w:rsid w:val="00FD6A40"/>
    <w:rsid w:val="00FD7CFE"/>
    <w:rsid w:val="00FF2BA0"/>
    <w:rsid w:val="00FF3089"/>
    <w:rsid w:val="00FF3848"/>
    <w:rsid w:val="00FF3B04"/>
    <w:rsid w:val="00FF79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70D4"/>
    <w:pPr>
      <w:spacing w:line="260" w:lineRule="atLeast"/>
    </w:pPr>
    <w:rPr>
      <w:sz w:val="22"/>
    </w:rPr>
  </w:style>
  <w:style w:type="paragraph" w:styleId="Heading1">
    <w:name w:val="heading 1"/>
    <w:basedOn w:val="Normal"/>
    <w:next w:val="Normal"/>
    <w:link w:val="Heading1Char"/>
    <w:uiPriority w:val="9"/>
    <w:qFormat/>
    <w:rsid w:val="00E65C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65C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65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5C2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65C2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65C2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65C2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5C2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65C2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65C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65C2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65C2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65C2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65C2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65C2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65C2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65C2F"/>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1F70D4"/>
  </w:style>
  <w:style w:type="paragraph" w:customStyle="1" w:styleId="OPCParaBase">
    <w:name w:val="OPCParaBase"/>
    <w:qFormat/>
    <w:rsid w:val="001F70D4"/>
    <w:pPr>
      <w:spacing w:line="260" w:lineRule="atLeast"/>
    </w:pPr>
    <w:rPr>
      <w:rFonts w:eastAsia="Times New Roman" w:cs="Times New Roman"/>
      <w:sz w:val="22"/>
      <w:lang w:eastAsia="en-AU"/>
    </w:rPr>
  </w:style>
  <w:style w:type="paragraph" w:customStyle="1" w:styleId="ShortT">
    <w:name w:val="ShortT"/>
    <w:basedOn w:val="OPCParaBase"/>
    <w:next w:val="Normal"/>
    <w:qFormat/>
    <w:rsid w:val="001F70D4"/>
    <w:pPr>
      <w:spacing w:line="240" w:lineRule="auto"/>
    </w:pPr>
    <w:rPr>
      <w:b/>
      <w:sz w:val="40"/>
    </w:rPr>
  </w:style>
  <w:style w:type="paragraph" w:customStyle="1" w:styleId="ActHead1">
    <w:name w:val="ActHead 1"/>
    <w:aliases w:val="c"/>
    <w:basedOn w:val="OPCParaBase"/>
    <w:next w:val="Normal"/>
    <w:qFormat/>
    <w:rsid w:val="001F70D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F70D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F70D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F70D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F70D4"/>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1F70D4"/>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E65C2F"/>
    <w:rPr>
      <w:rFonts w:eastAsia="Times New Roman" w:cs="Times New Roman"/>
      <w:sz w:val="22"/>
      <w:lang w:eastAsia="en-AU"/>
    </w:rPr>
  </w:style>
  <w:style w:type="paragraph" w:customStyle="1" w:styleId="ActHead6">
    <w:name w:val="ActHead 6"/>
    <w:aliases w:val="as"/>
    <w:basedOn w:val="OPCParaBase"/>
    <w:next w:val="ActHead7"/>
    <w:qFormat/>
    <w:rsid w:val="001F70D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F70D4"/>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1F70D4"/>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1F70D4"/>
    <w:pPr>
      <w:keepLines/>
      <w:spacing w:before="80" w:line="240" w:lineRule="auto"/>
      <w:ind w:left="709"/>
    </w:pPr>
  </w:style>
  <w:style w:type="paragraph" w:customStyle="1" w:styleId="ActHead8">
    <w:name w:val="ActHead 8"/>
    <w:aliases w:val="ad"/>
    <w:basedOn w:val="OPCParaBase"/>
    <w:next w:val="ItemHead"/>
    <w:qFormat/>
    <w:rsid w:val="001F70D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F70D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F70D4"/>
  </w:style>
  <w:style w:type="paragraph" w:customStyle="1" w:styleId="Blocks">
    <w:name w:val="Blocks"/>
    <w:aliases w:val="bb"/>
    <w:basedOn w:val="OPCParaBase"/>
    <w:qFormat/>
    <w:rsid w:val="001F70D4"/>
    <w:pPr>
      <w:spacing w:line="240" w:lineRule="auto"/>
    </w:pPr>
    <w:rPr>
      <w:sz w:val="24"/>
    </w:rPr>
  </w:style>
  <w:style w:type="paragraph" w:customStyle="1" w:styleId="BoxText">
    <w:name w:val="BoxText"/>
    <w:aliases w:val="bt"/>
    <w:basedOn w:val="OPCParaBase"/>
    <w:qFormat/>
    <w:rsid w:val="001F70D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F70D4"/>
    <w:rPr>
      <w:b/>
    </w:rPr>
  </w:style>
  <w:style w:type="paragraph" w:customStyle="1" w:styleId="BoxHeadItalic">
    <w:name w:val="BoxHeadItalic"/>
    <w:aliases w:val="bhi"/>
    <w:basedOn w:val="BoxText"/>
    <w:next w:val="BoxStep"/>
    <w:qFormat/>
    <w:rsid w:val="001F70D4"/>
    <w:rPr>
      <w:i/>
    </w:rPr>
  </w:style>
  <w:style w:type="paragraph" w:customStyle="1" w:styleId="BoxStep">
    <w:name w:val="BoxStep"/>
    <w:aliases w:val="bs"/>
    <w:basedOn w:val="BoxText"/>
    <w:qFormat/>
    <w:rsid w:val="001F70D4"/>
    <w:pPr>
      <w:ind w:left="1985" w:hanging="851"/>
    </w:pPr>
  </w:style>
  <w:style w:type="paragraph" w:customStyle="1" w:styleId="BoxList">
    <w:name w:val="BoxList"/>
    <w:aliases w:val="bl"/>
    <w:basedOn w:val="BoxText"/>
    <w:qFormat/>
    <w:rsid w:val="001F70D4"/>
    <w:pPr>
      <w:ind w:left="1559" w:hanging="425"/>
    </w:pPr>
  </w:style>
  <w:style w:type="paragraph" w:customStyle="1" w:styleId="BoxNote">
    <w:name w:val="BoxNote"/>
    <w:aliases w:val="bn"/>
    <w:basedOn w:val="BoxText"/>
    <w:qFormat/>
    <w:rsid w:val="001F70D4"/>
    <w:pPr>
      <w:tabs>
        <w:tab w:val="left" w:pos="1985"/>
      </w:tabs>
      <w:spacing w:before="122" w:line="198" w:lineRule="exact"/>
      <w:ind w:left="2948" w:hanging="1814"/>
    </w:pPr>
    <w:rPr>
      <w:sz w:val="18"/>
    </w:rPr>
  </w:style>
  <w:style w:type="paragraph" w:customStyle="1" w:styleId="BoxPara">
    <w:name w:val="BoxPara"/>
    <w:aliases w:val="bp"/>
    <w:basedOn w:val="BoxText"/>
    <w:qFormat/>
    <w:rsid w:val="001F70D4"/>
    <w:pPr>
      <w:tabs>
        <w:tab w:val="right" w:pos="2268"/>
      </w:tabs>
      <w:ind w:left="2552" w:hanging="1418"/>
    </w:pPr>
  </w:style>
  <w:style w:type="character" w:customStyle="1" w:styleId="CharAmPartNo">
    <w:name w:val="CharAmPartNo"/>
    <w:basedOn w:val="OPCCharBase"/>
    <w:qFormat/>
    <w:rsid w:val="001F70D4"/>
  </w:style>
  <w:style w:type="character" w:customStyle="1" w:styleId="CharAmPartText">
    <w:name w:val="CharAmPartText"/>
    <w:basedOn w:val="OPCCharBase"/>
    <w:qFormat/>
    <w:rsid w:val="001F70D4"/>
  </w:style>
  <w:style w:type="character" w:customStyle="1" w:styleId="CharAmSchNo">
    <w:name w:val="CharAmSchNo"/>
    <w:basedOn w:val="OPCCharBase"/>
    <w:qFormat/>
    <w:rsid w:val="001F70D4"/>
  </w:style>
  <w:style w:type="character" w:customStyle="1" w:styleId="CharAmSchText">
    <w:name w:val="CharAmSchText"/>
    <w:basedOn w:val="OPCCharBase"/>
    <w:qFormat/>
    <w:rsid w:val="001F70D4"/>
  </w:style>
  <w:style w:type="character" w:customStyle="1" w:styleId="CharBoldItalic">
    <w:name w:val="CharBoldItalic"/>
    <w:basedOn w:val="OPCCharBase"/>
    <w:uiPriority w:val="1"/>
    <w:qFormat/>
    <w:rsid w:val="001F70D4"/>
    <w:rPr>
      <w:b/>
      <w:i/>
    </w:rPr>
  </w:style>
  <w:style w:type="character" w:customStyle="1" w:styleId="CharChapNo">
    <w:name w:val="CharChapNo"/>
    <w:basedOn w:val="OPCCharBase"/>
    <w:uiPriority w:val="1"/>
    <w:qFormat/>
    <w:rsid w:val="001F70D4"/>
  </w:style>
  <w:style w:type="character" w:customStyle="1" w:styleId="CharChapText">
    <w:name w:val="CharChapText"/>
    <w:basedOn w:val="OPCCharBase"/>
    <w:uiPriority w:val="1"/>
    <w:qFormat/>
    <w:rsid w:val="001F70D4"/>
  </w:style>
  <w:style w:type="character" w:customStyle="1" w:styleId="CharDivNo">
    <w:name w:val="CharDivNo"/>
    <w:basedOn w:val="OPCCharBase"/>
    <w:uiPriority w:val="1"/>
    <w:qFormat/>
    <w:rsid w:val="001F70D4"/>
  </w:style>
  <w:style w:type="character" w:customStyle="1" w:styleId="CharDivText">
    <w:name w:val="CharDivText"/>
    <w:basedOn w:val="OPCCharBase"/>
    <w:uiPriority w:val="1"/>
    <w:qFormat/>
    <w:rsid w:val="001F70D4"/>
  </w:style>
  <w:style w:type="character" w:customStyle="1" w:styleId="CharItalic">
    <w:name w:val="CharItalic"/>
    <w:basedOn w:val="OPCCharBase"/>
    <w:uiPriority w:val="1"/>
    <w:qFormat/>
    <w:rsid w:val="001F70D4"/>
    <w:rPr>
      <w:i/>
    </w:rPr>
  </w:style>
  <w:style w:type="character" w:customStyle="1" w:styleId="CharPartNo">
    <w:name w:val="CharPartNo"/>
    <w:basedOn w:val="OPCCharBase"/>
    <w:uiPriority w:val="1"/>
    <w:qFormat/>
    <w:rsid w:val="001F70D4"/>
  </w:style>
  <w:style w:type="character" w:customStyle="1" w:styleId="CharPartText">
    <w:name w:val="CharPartText"/>
    <w:basedOn w:val="OPCCharBase"/>
    <w:uiPriority w:val="1"/>
    <w:qFormat/>
    <w:rsid w:val="001F70D4"/>
  </w:style>
  <w:style w:type="character" w:customStyle="1" w:styleId="CharSectno">
    <w:name w:val="CharSectno"/>
    <w:basedOn w:val="OPCCharBase"/>
    <w:qFormat/>
    <w:rsid w:val="001F70D4"/>
  </w:style>
  <w:style w:type="character" w:customStyle="1" w:styleId="CharSubdNo">
    <w:name w:val="CharSubdNo"/>
    <w:basedOn w:val="OPCCharBase"/>
    <w:uiPriority w:val="1"/>
    <w:qFormat/>
    <w:rsid w:val="001F70D4"/>
  </w:style>
  <w:style w:type="character" w:customStyle="1" w:styleId="CharSubdText">
    <w:name w:val="CharSubdText"/>
    <w:basedOn w:val="OPCCharBase"/>
    <w:uiPriority w:val="1"/>
    <w:qFormat/>
    <w:rsid w:val="001F70D4"/>
  </w:style>
  <w:style w:type="paragraph" w:customStyle="1" w:styleId="CTA--">
    <w:name w:val="CTA --"/>
    <w:basedOn w:val="OPCParaBase"/>
    <w:next w:val="Normal"/>
    <w:rsid w:val="001F70D4"/>
    <w:pPr>
      <w:spacing w:before="60" w:line="240" w:lineRule="atLeast"/>
      <w:ind w:left="142" w:hanging="142"/>
    </w:pPr>
    <w:rPr>
      <w:sz w:val="20"/>
    </w:rPr>
  </w:style>
  <w:style w:type="paragraph" w:customStyle="1" w:styleId="CTA-">
    <w:name w:val="CTA -"/>
    <w:basedOn w:val="OPCParaBase"/>
    <w:rsid w:val="001F70D4"/>
    <w:pPr>
      <w:spacing w:before="60" w:line="240" w:lineRule="atLeast"/>
      <w:ind w:left="85" w:hanging="85"/>
    </w:pPr>
    <w:rPr>
      <w:sz w:val="20"/>
    </w:rPr>
  </w:style>
  <w:style w:type="paragraph" w:customStyle="1" w:styleId="CTA---">
    <w:name w:val="CTA ---"/>
    <w:basedOn w:val="OPCParaBase"/>
    <w:next w:val="Normal"/>
    <w:rsid w:val="001F70D4"/>
    <w:pPr>
      <w:spacing w:before="60" w:line="240" w:lineRule="atLeast"/>
      <w:ind w:left="198" w:hanging="198"/>
    </w:pPr>
    <w:rPr>
      <w:sz w:val="20"/>
    </w:rPr>
  </w:style>
  <w:style w:type="paragraph" w:customStyle="1" w:styleId="CTA----">
    <w:name w:val="CTA ----"/>
    <w:basedOn w:val="OPCParaBase"/>
    <w:next w:val="Normal"/>
    <w:rsid w:val="001F70D4"/>
    <w:pPr>
      <w:spacing w:before="60" w:line="240" w:lineRule="atLeast"/>
      <w:ind w:left="255" w:hanging="255"/>
    </w:pPr>
    <w:rPr>
      <w:sz w:val="20"/>
    </w:rPr>
  </w:style>
  <w:style w:type="paragraph" w:customStyle="1" w:styleId="CTA1a">
    <w:name w:val="CTA 1(a)"/>
    <w:basedOn w:val="OPCParaBase"/>
    <w:rsid w:val="001F70D4"/>
    <w:pPr>
      <w:tabs>
        <w:tab w:val="right" w:pos="414"/>
      </w:tabs>
      <w:spacing w:before="40" w:line="240" w:lineRule="atLeast"/>
      <w:ind w:left="675" w:hanging="675"/>
    </w:pPr>
    <w:rPr>
      <w:sz w:val="20"/>
    </w:rPr>
  </w:style>
  <w:style w:type="paragraph" w:customStyle="1" w:styleId="CTA1ai">
    <w:name w:val="CTA 1(a)(i)"/>
    <w:basedOn w:val="OPCParaBase"/>
    <w:rsid w:val="001F70D4"/>
    <w:pPr>
      <w:tabs>
        <w:tab w:val="right" w:pos="1004"/>
      </w:tabs>
      <w:spacing w:before="40" w:line="240" w:lineRule="atLeast"/>
      <w:ind w:left="1253" w:hanging="1253"/>
    </w:pPr>
    <w:rPr>
      <w:sz w:val="20"/>
    </w:rPr>
  </w:style>
  <w:style w:type="paragraph" w:customStyle="1" w:styleId="CTA2a">
    <w:name w:val="CTA 2(a)"/>
    <w:basedOn w:val="OPCParaBase"/>
    <w:rsid w:val="001F70D4"/>
    <w:pPr>
      <w:tabs>
        <w:tab w:val="right" w:pos="482"/>
      </w:tabs>
      <w:spacing w:before="40" w:line="240" w:lineRule="atLeast"/>
      <w:ind w:left="748" w:hanging="748"/>
    </w:pPr>
    <w:rPr>
      <w:sz w:val="20"/>
    </w:rPr>
  </w:style>
  <w:style w:type="paragraph" w:customStyle="1" w:styleId="CTA2ai">
    <w:name w:val="CTA 2(a)(i)"/>
    <w:basedOn w:val="OPCParaBase"/>
    <w:rsid w:val="001F70D4"/>
    <w:pPr>
      <w:tabs>
        <w:tab w:val="right" w:pos="1089"/>
      </w:tabs>
      <w:spacing w:before="40" w:line="240" w:lineRule="atLeast"/>
      <w:ind w:left="1327" w:hanging="1327"/>
    </w:pPr>
    <w:rPr>
      <w:sz w:val="20"/>
    </w:rPr>
  </w:style>
  <w:style w:type="paragraph" w:customStyle="1" w:styleId="CTA3a">
    <w:name w:val="CTA 3(a)"/>
    <w:basedOn w:val="OPCParaBase"/>
    <w:rsid w:val="001F70D4"/>
    <w:pPr>
      <w:tabs>
        <w:tab w:val="right" w:pos="556"/>
      </w:tabs>
      <w:spacing w:before="40" w:line="240" w:lineRule="atLeast"/>
      <w:ind w:left="805" w:hanging="805"/>
    </w:pPr>
    <w:rPr>
      <w:sz w:val="20"/>
    </w:rPr>
  </w:style>
  <w:style w:type="paragraph" w:customStyle="1" w:styleId="CTA3ai">
    <w:name w:val="CTA 3(a)(i)"/>
    <w:basedOn w:val="OPCParaBase"/>
    <w:rsid w:val="001F70D4"/>
    <w:pPr>
      <w:tabs>
        <w:tab w:val="right" w:pos="1140"/>
      </w:tabs>
      <w:spacing w:before="40" w:line="240" w:lineRule="atLeast"/>
      <w:ind w:left="1361" w:hanging="1361"/>
    </w:pPr>
    <w:rPr>
      <w:sz w:val="20"/>
    </w:rPr>
  </w:style>
  <w:style w:type="paragraph" w:customStyle="1" w:styleId="CTA4a">
    <w:name w:val="CTA 4(a)"/>
    <w:basedOn w:val="OPCParaBase"/>
    <w:rsid w:val="001F70D4"/>
    <w:pPr>
      <w:tabs>
        <w:tab w:val="right" w:pos="624"/>
      </w:tabs>
      <w:spacing w:before="40" w:line="240" w:lineRule="atLeast"/>
      <w:ind w:left="873" w:hanging="873"/>
    </w:pPr>
    <w:rPr>
      <w:sz w:val="20"/>
    </w:rPr>
  </w:style>
  <w:style w:type="paragraph" w:customStyle="1" w:styleId="CTA4ai">
    <w:name w:val="CTA 4(a)(i)"/>
    <w:basedOn w:val="OPCParaBase"/>
    <w:rsid w:val="001F70D4"/>
    <w:pPr>
      <w:tabs>
        <w:tab w:val="right" w:pos="1213"/>
      </w:tabs>
      <w:spacing w:before="40" w:line="240" w:lineRule="atLeast"/>
      <w:ind w:left="1452" w:hanging="1452"/>
    </w:pPr>
    <w:rPr>
      <w:sz w:val="20"/>
    </w:rPr>
  </w:style>
  <w:style w:type="paragraph" w:customStyle="1" w:styleId="CTACAPS">
    <w:name w:val="CTA CAPS"/>
    <w:basedOn w:val="OPCParaBase"/>
    <w:rsid w:val="001F70D4"/>
    <w:pPr>
      <w:spacing w:before="60" w:line="240" w:lineRule="atLeast"/>
    </w:pPr>
    <w:rPr>
      <w:sz w:val="20"/>
    </w:rPr>
  </w:style>
  <w:style w:type="paragraph" w:customStyle="1" w:styleId="CTAright">
    <w:name w:val="CTA right"/>
    <w:basedOn w:val="OPCParaBase"/>
    <w:rsid w:val="001F70D4"/>
    <w:pPr>
      <w:spacing w:before="60" w:line="240" w:lineRule="auto"/>
      <w:jc w:val="right"/>
    </w:pPr>
    <w:rPr>
      <w:sz w:val="20"/>
    </w:rPr>
  </w:style>
  <w:style w:type="paragraph" w:customStyle="1" w:styleId="Definition">
    <w:name w:val="Definition"/>
    <w:aliases w:val="dd"/>
    <w:basedOn w:val="OPCParaBase"/>
    <w:rsid w:val="001F70D4"/>
    <w:pPr>
      <w:spacing w:before="180" w:line="240" w:lineRule="auto"/>
      <w:ind w:left="1134"/>
    </w:pPr>
  </w:style>
  <w:style w:type="paragraph" w:customStyle="1" w:styleId="ETAsubitem">
    <w:name w:val="ETA(subitem)"/>
    <w:basedOn w:val="OPCParaBase"/>
    <w:rsid w:val="001F70D4"/>
    <w:pPr>
      <w:tabs>
        <w:tab w:val="right" w:pos="340"/>
      </w:tabs>
      <w:spacing w:before="60" w:line="240" w:lineRule="auto"/>
      <w:ind w:left="454" w:hanging="454"/>
    </w:pPr>
    <w:rPr>
      <w:sz w:val="20"/>
    </w:rPr>
  </w:style>
  <w:style w:type="paragraph" w:customStyle="1" w:styleId="ETApara">
    <w:name w:val="ETA(para)"/>
    <w:basedOn w:val="OPCParaBase"/>
    <w:rsid w:val="001F70D4"/>
    <w:pPr>
      <w:tabs>
        <w:tab w:val="right" w:pos="754"/>
      </w:tabs>
      <w:spacing w:before="60" w:line="240" w:lineRule="auto"/>
      <w:ind w:left="828" w:hanging="828"/>
    </w:pPr>
    <w:rPr>
      <w:sz w:val="20"/>
    </w:rPr>
  </w:style>
  <w:style w:type="paragraph" w:customStyle="1" w:styleId="ETAsubpara">
    <w:name w:val="ETA(subpara)"/>
    <w:basedOn w:val="OPCParaBase"/>
    <w:rsid w:val="001F70D4"/>
    <w:pPr>
      <w:tabs>
        <w:tab w:val="right" w:pos="1083"/>
      </w:tabs>
      <w:spacing w:before="60" w:line="240" w:lineRule="auto"/>
      <w:ind w:left="1191" w:hanging="1191"/>
    </w:pPr>
    <w:rPr>
      <w:sz w:val="20"/>
    </w:rPr>
  </w:style>
  <w:style w:type="paragraph" w:customStyle="1" w:styleId="ETAsub-subpara">
    <w:name w:val="ETA(sub-subpara)"/>
    <w:basedOn w:val="OPCParaBase"/>
    <w:rsid w:val="001F70D4"/>
    <w:pPr>
      <w:tabs>
        <w:tab w:val="right" w:pos="1412"/>
      </w:tabs>
      <w:spacing w:before="60" w:line="240" w:lineRule="auto"/>
      <w:ind w:left="1525" w:hanging="1525"/>
    </w:pPr>
    <w:rPr>
      <w:sz w:val="20"/>
    </w:rPr>
  </w:style>
  <w:style w:type="paragraph" w:customStyle="1" w:styleId="Formula">
    <w:name w:val="Formula"/>
    <w:basedOn w:val="OPCParaBase"/>
    <w:rsid w:val="001F70D4"/>
    <w:pPr>
      <w:spacing w:line="240" w:lineRule="auto"/>
      <w:ind w:left="1134"/>
    </w:pPr>
    <w:rPr>
      <w:sz w:val="20"/>
    </w:rPr>
  </w:style>
  <w:style w:type="paragraph" w:styleId="Header">
    <w:name w:val="header"/>
    <w:basedOn w:val="OPCParaBase"/>
    <w:link w:val="HeaderChar"/>
    <w:unhideWhenUsed/>
    <w:rsid w:val="001F70D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F70D4"/>
    <w:rPr>
      <w:rFonts w:eastAsia="Times New Roman" w:cs="Times New Roman"/>
      <w:sz w:val="16"/>
      <w:lang w:eastAsia="en-AU"/>
    </w:rPr>
  </w:style>
  <w:style w:type="paragraph" w:customStyle="1" w:styleId="House">
    <w:name w:val="House"/>
    <w:basedOn w:val="OPCParaBase"/>
    <w:rsid w:val="001F70D4"/>
    <w:pPr>
      <w:spacing w:line="240" w:lineRule="auto"/>
    </w:pPr>
    <w:rPr>
      <w:sz w:val="28"/>
    </w:rPr>
  </w:style>
  <w:style w:type="paragraph" w:customStyle="1" w:styleId="LongT">
    <w:name w:val="LongT"/>
    <w:basedOn w:val="OPCParaBase"/>
    <w:rsid w:val="001F70D4"/>
    <w:pPr>
      <w:spacing w:line="240" w:lineRule="auto"/>
    </w:pPr>
    <w:rPr>
      <w:b/>
      <w:sz w:val="32"/>
    </w:rPr>
  </w:style>
  <w:style w:type="paragraph" w:customStyle="1" w:styleId="notedraft">
    <w:name w:val="note(draft)"/>
    <w:aliases w:val="nd"/>
    <w:basedOn w:val="OPCParaBase"/>
    <w:rsid w:val="001F70D4"/>
    <w:pPr>
      <w:spacing w:before="240" w:line="240" w:lineRule="auto"/>
      <w:ind w:left="284" w:hanging="284"/>
    </w:pPr>
    <w:rPr>
      <w:i/>
      <w:sz w:val="24"/>
    </w:rPr>
  </w:style>
  <w:style w:type="paragraph" w:customStyle="1" w:styleId="notemargin">
    <w:name w:val="note(margin)"/>
    <w:aliases w:val="nm"/>
    <w:basedOn w:val="OPCParaBase"/>
    <w:rsid w:val="001F70D4"/>
    <w:pPr>
      <w:tabs>
        <w:tab w:val="left" w:pos="709"/>
      </w:tabs>
      <w:spacing w:before="122" w:line="198" w:lineRule="exact"/>
      <w:ind w:left="709" w:hanging="709"/>
    </w:pPr>
    <w:rPr>
      <w:sz w:val="18"/>
    </w:rPr>
  </w:style>
  <w:style w:type="paragraph" w:customStyle="1" w:styleId="noteToPara">
    <w:name w:val="noteToPara"/>
    <w:aliases w:val="ntp"/>
    <w:basedOn w:val="OPCParaBase"/>
    <w:rsid w:val="001F70D4"/>
    <w:pPr>
      <w:spacing w:before="122" w:line="198" w:lineRule="exact"/>
      <w:ind w:left="2353" w:hanging="709"/>
    </w:pPr>
    <w:rPr>
      <w:sz w:val="18"/>
    </w:rPr>
  </w:style>
  <w:style w:type="paragraph" w:customStyle="1" w:styleId="noteParlAmend">
    <w:name w:val="note(ParlAmend)"/>
    <w:aliases w:val="npp"/>
    <w:basedOn w:val="OPCParaBase"/>
    <w:next w:val="ParlAmend"/>
    <w:rsid w:val="001F70D4"/>
    <w:pPr>
      <w:spacing w:line="240" w:lineRule="auto"/>
      <w:jc w:val="right"/>
    </w:pPr>
    <w:rPr>
      <w:rFonts w:ascii="Arial" w:hAnsi="Arial"/>
      <w:b/>
      <w:i/>
    </w:rPr>
  </w:style>
  <w:style w:type="paragraph" w:customStyle="1" w:styleId="ParlAmend">
    <w:name w:val="ParlAmend"/>
    <w:aliases w:val="pp"/>
    <w:basedOn w:val="OPCParaBase"/>
    <w:rsid w:val="001F70D4"/>
    <w:pPr>
      <w:spacing w:before="240" w:line="240" w:lineRule="atLeast"/>
      <w:ind w:hanging="567"/>
    </w:pPr>
    <w:rPr>
      <w:sz w:val="24"/>
    </w:rPr>
  </w:style>
  <w:style w:type="paragraph" w:customStyle="1" w:styleId="Page1">
    <w:name w:val="Page1"/>
    <w:basedOn w:val="OPCParaBase"/>
    <w:rsid w:val="001F70D4"/>
    <w:pPr>
      <w:spacing w:before="5600" w:line="240" w:lineRule="auto"/>
    </w:pPr>
    <w:rPr>
      <w:b/>
      <w:sz w:val="32"/>
    </w:rPr>
  </w:style>
  <w:style w:type="paragraph" w:customStyle="1" w:styleId="PageBreak">
    <w:name w:val="PageBreak"/>
    <w:aliases w:val="pb"/>
    <w:basedOn w:val="OPCParaBase"/>
    <w:rsid w:val="001F70D4"/>
    <w:pPr>
      <w:spacing w:line="240" w:lineRule="auto"/>
    </w:pPr>
    <w:rPr>
      <w:sz w:val="20"/>
    </w:rPr>
  </w:style>
  <w:style w:type="paragraph" w:customStyle="1" w:styleId="paragraphsub">
    <w:name w:val="paragraph(sub)"/>
    <w:aliases w:val="aa"/>
    <w:basedOn w:val="OPCParaBase"/>
    <w:rsid w:val="001F70D4"/>
    <w:pPr>
      <w:tabs>
        <w:tab w:val="right" w:pos="1985"/>
      </w:tabs>
      <w:spacing w:before="40" w:line="240" w:lineRule="auto"/>
      <w:ind w:left="2098" w:hanging="2098"/>
    </w:pPr>
  </w:style>
  <w:style w:type="paragraph" w:customStyle="1" w:styleId="paragraphsub-sub">
    <w:name w:val="paragraph(sub-sub)"/>
    <w:aliases w:val="aaa"/>
    <w:basedOn w:val="OPCParaBase"/>
    <w:rsid w:val="001F70D4"/>
    <w:pPr>
      <w:tabs>
        <w:tab w:val="right" w:pos="2722"/>
      </w:tabs>
      <w:spacing w:before="40" w:line="240" w:lineRule="auto"/>
      <w:ind w:left="2835" w:hanging="2835"/>
    </w:pPr>
  </w:style>
  <w:style w:type="paragraph" w:customStyle="1" w:styleId="paragraph">
    <w:name w:val="paragraph"/>
    <w:aliases w:val="a"/>
    <w:basedOn w:val="OPCParaBase"/>
    <w:rsid w:val="001F70D4"/>
    <w:pPr>
      <w:tabs>
        <w:tab w:val="right" w:pos="1531"/>
      </w:tabs>
      <w:spacing w:before="40" w:line="240" w:lineRule="auto"/>
      <w:ind w:left="1644" w:hanging="1644"/>
    </w:pPr>
  </w:style>
  <w:style w:type="paragraph" w:customStyle="1" w:styleId="Penalty">
    <w:name w:val="Penalty"/>
    <w:basedOn w:val="OPCParaBase"/>
    <w:rsid w:val="001F70D4"/>
    <w:pPr>
      <w:tabs>
        <w:tab w:val="left" w:pos="2977"/>
      </w:tabs>
      <w:spacing w:before="180" w:line="240" w:lineRule="auto"/>
      <w:ind w:left="1985" w:hanging="851"/>
    </w:pPr>
  </w:style>
  <w:style w:type="paragraph" w:customStyle="1" w:styleId="Portfolio">
    <w:name w:val="Portfolio"/>
    <w:basedOn w:val="OPCParaBase"/>
    <w:rsid w:val="001F70D4"/>
    <w:pPr>
      <w:spacing w:line="240" w:lineRule="auto"/>
    </w:pPr>
    <w:rPr>
      <w:i/>
      <w:sz w:val="20"/>
    </w:rPr>
  </w:style>
  <w:style w:type="paragraph" w:customStyle="1" w:styleId="Preamble">
    <w:name w:val="Preamble"/>
    <w:basedOn w:val="OPCParaBase"/>
    <w:next w:val="Normal"/>
    <w:rsid w:val="001F70D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F70D4"/>
    <w:pPr>
      <w:spacing w:line="240" w:lineRule="auto"/>
    </w:pPr>
    <w:rPr>
      <w:i/>
      <w:sz w:val="20"/>
    </w:rPr>
  </w:style>
  <w:style w:type="paragraph" w:customStyle="1" w:styleId="Session">
    <w:name w:val="Session"/>
    <w:basedOn w:val="OPCParaBase"/>
    <w:rsid w:val="001F70D4"/>
    <w:pPr>
      <w:spacing w:line="240" w:lineRule="auto"/>
    </w:pPr>
    <w:rPr>
      <w:sz w:val="28"/>
    </w:rPr>
  </w:style>
  <w:style w:type="paragraph" w:customStyle="1" w:styleId="Sponsor">
    <w:name w:val="Sponsor"/>
    <w:basedOn w:val="OPCParaBase"/>
    <w:rsid w:val="001F70D4"/>
    <w:pPr>
      <w:spacing w:line="240" w:lineRule="auto"/>
    </w:pPr>
    <w:rPr>
      <w:i/>
    </w:rPr>
  </w:style>
  <w:style w:type="paragraph" w:customStyle="1" w:styleId="Subitem">
    <w:name w:val="Subitem"/>
    <w:aliases w:val="iss"/>
    <w:basedOn w:val="OPCParaBase"/>
    <w:rsid w:val="001F70D4"/>
    <w:pPr>
      <w:spacing w:before="180" w:line="240" w:lineRule="auto"/>
      <w:ind w:left="709" w:hanging="709"/>
    </w:pPr>
  </w:style>
  <w:style w:type="paragraph" w:customStyle="1" w:styleId="SubitemHead">
    <w:name w:val="SubitemHead"/>
    <w:aliases w:val="issh"/>
    <w:basedOn w:val="OPCParaBase"/>
    <w:rsid w:val="001F70D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F70D4"/>
    <w:pPr>
      <w:spacing w:before="40" w:line="240" w:lineRule="auto"/>
      <w:ind w:left="1134"/>
    </w:pPr>
  </w:style>
  <w:style w:type="paragraph" w:customStyle="1" w:styleId="SubsectionHead">
    <w:name w:val="SubsectionHead"/>
    <w:aliases w:val="ssh"/>
    <w:basedOn w:val="OPCParaBase"/>
    <w:next w:val="subsection"/>
    <w:rsid w:val="001F70D4"/>
    <w:pPr>
      <w:keepNext/>
      <w:keepLines/>
      <w:spacing w:before="240" w:line="240" w:lineRule="auto"/>
      <w:ind w:left="1134"/>
    </w:pPr>
    <w:rPr>
      <w:i/>
    </w:rPr>
  </w:style>
  <w:style w:type="paragraph" w:customStyle="1" w:styleId="Tablea">
    <w:name w:val="Table(a)"/>
    <w:aliases w:val="ta"/>
    <w:basedOn w:val="OPCParaBase"/>
    <w:rsid w:val="001F70D4"/>
    <w:pPr>
      <w:spacing w:before="60" w:line="240" w:lineRule="auto"/>
      <w:ind w:left="284" w:hanging="284"/>
    </w:pPr>
    <w:rPr>
      <w:sz w:val="20"/>
    </w:rPr>
  </w:style>
  <w:style w:type="paragraph" w:customStyle="1" w:styleId="TableAA">
    <w:name w:val="Table(AA)"/>
    <w:aliases w:val="taaa"/>
    <w:basedOn w:val="OPCParaBase"/>
    <w:rsid w:val="001F70D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F70D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F70D4"/>
    <w:pPr>
      <w:spacing w:before="60" w:line="240" w:lineRule="atLeast"/>
    </w:pPr>
    <w:rPr>
      <w:sz w:val="20"/>
    </w:rPr>
  </w:style>
  <w:style w:type="paragraph" w:customStyle="1" w:styleId="TLPBoxTextnote">
    <w:name w:val="TLPBoxText(note"/>
    <w:aliases w:val="right)"/>
    <w:basedOn w:val="OPCParaBase"/>
    <w:rsid w:val="001F70D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F70D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F70D4"/>
    <w:pPr>
      <w:spacing w:before="122" w:line="198" w:lineRule="exact"/>
      <w:ind w:left="1985" w:hanging="851"/>
      <w:jc w:val="right"/>
    </w:pPr>
    <w:rPr>
      <w:sz w:val="18"/>
    </w:rPr>
  </w:style>
  <w:style w:type="paragraph" w:customStyle="1" w:styleId="TLPTableBullet">
    <w:name w:val="TLPTableBullet"/>
    <w:aliases w:val="ttb"/>
    <w:basedOn w:val="OPCParaBase"/>
    <w:rsid w:val="001F70D4"/>
    <w:pPr>
      <w:spacing w:line="240" w:lineRule="exact"/>
      <w:ind w:left="284" w:hanging="284"/>
    </w:pPr>
    <w:rPr>
      <w:sz w:val="20"/>
    </w:rPr>
  </w:style>
  <w:style w:type="paragraph" w:styleId="TOC1">
    <w:name w:val="toc 1"/>
    <w:basedOn w:val="OPCParaBase"/>
    <w:next w:val="Normal"/>
    <w:uiPriority w:val="39"/>
    <w:unhideWhenUsed/>
    <w:rsid w:val="001F70D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F70D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F70D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F70D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F70D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F70D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F70D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F70D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F70D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F70D4"/>
    <w:pPr>
      <w:keepLines/>
      <w:spacing w:before="240" w:after="120" w:line="240" w:lineRule="auto"/>
      <w:ind w:left="794"/>
    </w:pPr>
    <w:rPr>
      <w:b/>
      <w:kern w:val="28"/>
      <w:sz w:val="20"/>
    </w:rPr>
  </w:style>
  <w:style w:type="paragraph" w:customStyle="1" w:styleId="TofSectsSection">
    <w:name w:val="TofSects(Section)"/>
    <w:basedOn w:val="OPCParaBase"/>
    <w:rsid w:val="001F70D4"/>
    <w:pPr>
      <w:keepLines/>
      <w:spacing w:before="40" w:line="240" w:lineRule="auto"/>
      <w:ind w:left="1588" w:hanging="794"/>
    </w:pPr>
    <w:rPr>
      <w:kern w:val="28"/>
      <w:sz w:val="18"/>
    </w:rPr>
  </w:style>
  <w:style w:type="paragraph" w:customStyle="1" w:styleId="TofSectsHeading">
    <w:name w:val="TofSects(Heading)"/>
    <w:basedOn w:val="OPCParaBase"/>
    <w:rsid w:val="001F70D4"/>
    <w:pPr>
      <w:spacing w:before="240" w:after="120" w:line="240" w:lineRule="auto"/>
    </w:pPr>
    <w:rPr>
      <w:b/>
      <w:sz w:val="24"/>
    </w:rPr>
  </w:style>
  <w:style w:type="paragraph" w:customStyle="1" w:styleId="TofSectsSubdiv">
    <w:name w:val="TofSects(Subdiv)"/>
    <w:basedOn w:val="OPCParaBase"/>
    <w:rsid w:val="001F70D4"/>
    <w:pPr>
      <w:keepLines/>
      <w:spacing w:before="80" w:line="240" w:lineRule="auto"/>
      <w:ind w:left="1588" w:hanging="794"/>
    </w:pPr>
    <w:rPr>
      <w:kern w:val="28"/>
    </w:rPr>
  </w:style>
  <w:style w:type="paragraph" w:customStyle="1" w:styleId="WRStyle">
    <w:name w:val="WR Style"/>
    <w:aliases w:val="WR"/>
    <w:basedOn w:val="OPCParaBase"/>
    <w:rsid w:val="001F70D4"/>
    <w:pPr>
      <w:spacing w:before="240" w:line="240" w:lineRule="auto"/>
      <w:ind w:left="284" w:hanging="284"/>
    </w:pPr>
    <w:rPr>
      <w:b/>
      <w:i/>
      <w:kern w:val="28"/>
      <w:sz w:val="24"/>
    </w:rPr>
  </w:style>
  <w:style w:type="paragraph" w:customStyle="1" w:styleId="notepara">
    <w:name w:val="note(para)"/>
    <w:aliases w:val="na"/>
    <w:basedOn w:val="OPCParaBase"/>
    <w:rsid w:val="001F70D4"/>
    <w:pPr>
      <w:spacing w:before="40" w:line="198" w:lineRule="exact"/>
      <w:ind w:left="2354" w:hanging="369"/>
    </w:pPr>
    <w:rPr>
      <w:sz w:val="18"/>
    </w:rPr>
  </w:style>
  <w:style w:type="paragraph" w:styleId="Footer">
    <w:name w:val="footer"/>
    <w:link w:val="FooterChar"/>
    <w:rsid w:val="001F70D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F70D4"/>
    <w:rPr>
      <w:rFonts w:eastAsia="Times New Roman" w:cs="Times New Roman"/>
      <w:sz w:val="22"/>
      <w:szCs w:val="24"/>
      <w:lang w:eastAsia="en-AU"/>
    </w:rPr>
  </w:style>
  <w:style w:type="character" w:styleId="LineNumber">
    <w:name w:val="line number"/>
    <w:basedOn w:val="OPCCharBase"/>
    <w:uiPriority w:val="99"/>
    <w:semiHidden/>
    <w:unhideWhenUsed/>
    <w:rsid w:val="001F70D4"/>
    <w:rPr>
      <w:sz w:val="16"/>
    </w:rPr>
  </w:style>
  <w:style w:type="table" w:customStyle="1" w:styleId="CFlag">
    <w:name w:val="CFlag"/>
    <w:basedOn w:val="TableNormal"/>
    <w:uiPriority w:val="99"/>
    <w:rsid w:val="001F70D4"/>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70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0D4"/>
    <w:rPr>
      <w:rFonts w:ascii="Tahoma" w:hAnsi="Tahoma" w:cs="Tahoma"/>
      <w:sz w:val="16"/>
      <w:szCs w:val="16"/>
    </w:rPr>
  </w:style>
  <w:style w:type="character" w:styleId="Hyperlink">
    <w:name w:val="Hyperlink"/>
    <w:basedOn w:val="DefaultParagraphFont"/>
    <w:rsid w:val="001F70D4"/>
    <w:rPr>
      <w:color w:val="0000FF"/>
      <w:u w:val="single"/>
    </w:rPr>
  </w:style>
  <w:style w:type="table" w:styleId="TableGrid">
    <w:name w:val="Table Grid"/>
    <w:basedOn w:val="TableNormal"/>
    <w:uiPriority w:val="59"/>
    <w:rsid w:val="001F7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1F70D4"/>
    <w:rPr>
      <w:b/>
      <w:sz w:val="28"/>
      <w:szCs w:val="32"/>
    </w:rPr>
  </w:style>
  <w:style w:type="paragraph" w:customStyle="1" w:styleId="TerritoryT">
    <w:name w:val="TerritoryT"/>
    <w:basedOn w:val="OPCParaBase"/>
    <w:next w:val="Normal"/>
    <w:rsid w:val="001F70D4"/>
    <w:rPr>
      <w:b/>
      <w:sz w:val="32"/>
    </w:rPr>
  </w:style>
  <w:style w:type="paragraph" w:customStyle="1" w:styleId="LegislationMadeUnder">
    <w:name w:val="LegislationMadeUnder"/>
    <w:basedOn w:val="OPCParaBase"/>
    <w:next w:val="Normal"/>
    <w:rsid w:val="001F70D4"/>
    <w:rPr>
      <w:i/>
      <w:sz w:val="32"/>
      <w:szCs w:val="32"/>
    </w:rPr>
  </w:style>
  <w:style w:type="paragraph" w:customStyle="1" w:styleId="SignCoverPageEnd">
    <w:name w:val="SignCoverPageEnd"/>
    <w:basedOn w:val="OPCParaBase"/>
    <w:next w:val="Normal"/>
    <w:rsid w:val="001F70D4"/>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F70D4"/>
    <w:pPr>
      <w:pBdr>
        <w:top w:val="single" w:sz="4" w:space="1" w:color="auto"/>
      </w:pBdr>
      <w:spacing w:before="360"/>
      <w:ind w:right="397"/>
      <w:jc w:val="both"/>
    </w:pPr>
  </w:style>
  <w:style w:type="paragraph" w:customStyle="1" w:styleId="NotesHeading1">
    <w:name w:val="NotesHeading 1"/>
    <w:basedOn w:val="OPCParaBase"/>
    <w:next w:val="Normal"/>
    <w:rsid w:val="001F70D4"/>
    <w:rPr>
      <w:b/>
      <w:sz w:val="28"/>
      <w:szCs w:val="28"/>
    </w:rPr>
  </w:style>
  <w:style w:type="paragraph" w:customStyle="1" w:styleId="NotesHeading2">
    <w:name w:val="NotesHeading 2"/>
    <w:basedOn w:val="OPCParaBase"/>
    <w:next w:val="Normal"/>
    <w:rsid w:val="001F70D4"/>
    <w:rPr>
      <w:b/>
      <w:sz w:val="28"/>
      <w:szCs w:val="28"/>
    </w:rPr>
  </w:style>
  <w:style w:type="paragraph" w:customStyle="1" w:styleId="ENotesText">
    <w:name w:val="ENotesText"/>
    <w:basedOn w:val="OPCParaBase"/>
    <w:next w:val="Normal"/>
    <w:rsid w:val="001F70D4"/>
  </w:style>
  <w:style w:type="paragraph" w:customStyle="1" w:styleId="CompiledActNo">
    <w:name w:val="CompiledActNo"/>
    <w:basedOn w:val="OPCParaBase"/>
    <w:next w:val="Normal"/>
    <w:rsid w:val="001F70D4"/>
    <w:rPr>
      <w:b/>
      <w:sz w:val="24"/>
      <w:szCs w:val="24"/>
    </w:rPr>
  </w:style>
  <w:style w:type="paragraph" w:customStyle="1" w:styleId="CompiledMadeUnder">
    <w:name w:val="CompiledMadeUnder"/>
    <w:basedOn w:val="OPCParaBase"/>
    <w:next w:val="Normal"/>
    <w:rsid w:val="001F70D4"/>
    <w:rPr>
      <w:i/>
      <w:sz w:val="24"/>
      <w:szCs w:val="24"/>
    </w:rPr>
  </w:style>
  <w:style w:type="paragraph" w:customStyle="1" w:styleId="Paragraphsub-sub-sub">
    <w:name w:val="Paragraph(sub-sub-sub)"/>
    <w:aliases w:val="aaaa"/>
    <w:basedOn w:val="OPCParaBase"/>
    <w:rsid w:val="001F70D4"/>
    <w:pPr>
      <w:tabs>
        <w:tab w:val="right" w:pos="3402"/>
      </w:tabs>
      <w:spacing w:before="40" w:line="240" w:lineRule="auto"/>
      <w:ind w:left="3402" w:hanging="3402"/>
    </w:pPr>
  </w:style>
  <w:style w:type="paragraph" w:customStyle="1" w:styleId="NoteToSubpara">
    <w:name w:val="NoteToSubpara"/>
    <w:aliases w:val="nts"/>
    <w:basedOn w:val="OPCParaBase"/>
    <w:rsid w:val="001F70D4"/>
    <w:pPr>
      <w:spacing w:before="40" w:line="198" w:lineRule="exact"/>
      <w:ind w:left="2835" w:hanging="709"/>
    </w:pPr>
    <w:rPr>
      <w:sz w:val="18"/>
    </w:rPr>
  </w:style>
  <w:style w:type="paragraph" w:customStyle="1" w:styleId="EndNotespara">
    <w:name w:val="EndNotes(para)"/>
    <w:aliases w:val="eta"/>
    <w:basedOn w:val="OPCParaBase"/>
    <w:next w:val="Normal"/>
    <w:rsid w:val="001F70D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F70D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1F70D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F70D4"/>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1F70D4"/>
    <w:pPr>
      <w:keepNext/>
      <w:spacing w:before="60" w:line="240" w:lineRule="atLeast"/>
    </w:pPr>
    <w:rPr>
      <w:rFonts w:ascii="Arial" w:hAnsi="Arial"/>
      <w:b/>
      <w:sz w:val="16"/>
    </w:rPr>
  </w:style>
  <w:style w:type="paragraph" w:customStyle="1" w:styleId="ENoteTTi">
    <w:name w:val="ENoteTTi"/>
    <w:aliases w:val="entti"/>
    <w:basedOn w:val="OPCParaBase"/>
    <w:rsid w:val="001F70D4"/>
    <w:pPr>
      <w:keepNext/>
      <w:spacing w:before="60" w:line="240" w:lineRule="atLeast"/>
      <w:ind w:left="170"/>
    </w:pPr>
    <w:rPr>
      <w:sz w:val="16"/>
    </w:rPr>
  </w:style>
  <w:style w:type="paragraph" w:customStyle="1" w:styleId="ENotesHeading1">
    <w:name w:val="ENotesHeading 1"/>
    <w:aliases w:val="Enh1"/>
    <w:basedOn w:val="OPCParaBase"/>
    <w:next w:val="Normal"/>
    <w:rsid w:val="001F70D4"/>
    <w:pPr>
      <w:spacing w:before="120"/>
      <w:outlineLvl w:val="1"/>
    </w:pPr>
    <w:rPr>
      <w:b/>
      <w:sz w:val="28"/>
      <w:szCs w:val="28"/>
    </w:rPr>
  </w:style>
  <w:style w:type="paragraph" w:customStyle="1" w:styleId="ENotesHeading2">
    <w:name w:val="ENotesHeading 2"/>
    <w:aliases w:val="Enh2"/>
    <w:basedOn w:val="OPCParaBase"/>
    <w:next w:val="Normal"/>
    <w:rsid w:val="001F70D4"/>
    <w:pPr>
      <w:spacing w:before="120" w:after="120"/>
      <w:outlineLvl w:val="2"/>
    </w:pPr>
    <w:rPr>
      <w:b/>
      <w:sz w:val="24"/>
      <w:szCs w:val="28"/>
    </w:rPr>
  </w:style>
  <w:style w:type="paragraph" w:customStyle="1" w:styleId="ENoteTTIndentHeading">
    <w:name w:val="ENoteTTIndentHeading"/>
    <w:aliases w:val="enTTHi"/>
    <w:basedOn w:val="OPCParaBase"/>
    <w:rsid w:val="001F70D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F70D4"/>
    <w:pPr>
      <w:spacing w:before="60" w:line="240" w:lineRule="atLeast"/>
    </w:pPr>
    <w:rPr>
      <w:sz w:val="16"/>
    </w:rPr>
  </w:style>
  <w:style w:type="paragraph" w:customStyle="1" w:styleId="MadeunderText">
    <w:name w:val="MadeunderText"/>
    <w:basedOn w:val="OPCParaBase"/>
    <w:next w:val="CompiledMadeUnder"/>
    <w:rsid w:val="001F70D4"/>
    <w:pPr>
      <w:spacing w:before="240"/>
    </w:pPr>
    <w:rPr>
      <w:sz w:val="24"/>
      <w:szCs w:val="24"/>
    </w:rPr>
  </w:style>
  <w:style w:type="paragraph" w:customStyle="1" w:styleId="ENotesHeading3">
    <w:name w:val="ENotesHeading 3"/>
    <w:aliases w:val="Enh3"/>
    <w:basedOn w:val="OPCParaBase"/>
    <w:next w:val="Normal"/>
    <w:rsid w:val="001F70D4"/>
    <w:pPr>
      <w:keepNext/>
      <w:spacing w:before="120" w:line="240" w:lineRule="auto"/>
      <w:outlineLvl w:val="4"/>
    </w:pPr>
    <w:rPr>
      <w:b/>
      <w:szCs w:val="24"/>
    </w:rPr>
  </w:style>
  <w:style w:type="paragraph" w:customStyle="1" w:styleId="SubPartCASA">
    <w:name w:val="SubPart(CASA)"/>
    <w:aliases w:val="csp"/>
    <w:basedOn w:val="OPCParaBase"/>
    <w:next w:val="ActHead3"/>
    <w:rsid w:val="001F70D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F70D4"/>
  </w:style>
  <w:style w:type="character" w:customStyle="1" w:styleId="CharSubPartNoCASA">
    <w:name w:val="CharSubPartNo(CASA)"/>
    <w:basedOn w:val="OPCCharBase"/>
    <w:uiPriority w:val="1"/>
    <w:rsid w:val="001F70D4"/>
  </w:style>
  <w:style w:type="paragraph" w:customStyle="1" w:styleId="ENoteTTIndentHeadingSub">
    <w:name w:val="ENoteTTIndentHeadingSub"/>
    <w:aliases w:val="enTTHis"/>
    <w:basedOn w:val="OPCParaBase"/>
    <w:rsid w:val="001F70D4"/>
    <w:pPr>
      <w:keepNext/>
      <w:spacing w:before="60" w:line="240" w:lineRule="atLeast"/>
      <w:ind w:left="340"/>
    </w:pPr>
    <w:rPr>
      <w:b/>
      <w:sz w:val="16"/>
    </w:rPr>
  </w:style>
  <w:style w:type="paragraph" w:customStyle="1" w:styleId="ENoteTTiSub">
    <w:name w:val="ENoteTTiSub"/>
    <w:aliases w:val="enttis"/>
    <w:basedOn w:val="OPCParaBase"/>
    <w:rsid w:val="001F70D4"/>
    <w:pPr>
      <w:keepNext/>
      <w:spacing w:before="60" w:line="240" w:lineRule="atLeast"/>
      <w:ind w:left="340"/>
    </w:pPr>
    <w:rPr>
      <w:sz w:val="16"/>
    </w:rPr>
  </w:style>
  <w:style w:type="paragraph" w:customStyle="1" w:styleId="SubDivisionMigration">
    <w:name w:val="SubDivisionMigration"/>
    <w:aliases w:val="sdm"/>
    <w:basedOn w:val="OPCParaBase"/>
    <w:rsid w:val="001F70D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F70D4"/>
    <w:pPr>
      <w:keepNext/>
      <w:keepLines/>
      <w:spacing w:before="240" w:line="240" w:lineRule="auto"/>
      <w:ind w:left="1134" w:hanging="1134"/>
    </w:pPr>
    <w:rPr>
      <w:b/>
      <w:sz w:val="28"/>
    </w:rPr>
  </w:style>
  <w:style w:type="paragraph" w:customStyle="1" w:styleId="notetext">
    <w:name w:val="note(text)"/>
    <w:aliases w:val="n"/>
    <w:basedOn w:val="OPCParaBase"/>
    <w:rsid w:val="001F70D4"/>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1F70D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F70D4"/>
    <w:rPr>
      <w:sz w:val="22"/>
    </w:rPr>
  </w:style>
  <w:style w:type="paragraph" w:customStyle="1" w:styleId="SOTextNote">
    <w:name w:val="SO TextNote"/>
    <w:aliases w:val="sont"/>
    <w:basedOn w:val="SOText"/>
    <w:qFormat/>
    <w:rsid w:val="001F70D4"/>
    <w:pPr>
      <w:spacing w:before="122" w:line="198" w:lineRule="exact"/>
      <w:ind w:left="1843" w:hanging="709"/>
    </w:pPr>
    <w:rPr>
      <w:sz w:val="18"/>
    </w:rPr>
  </w:style>
  <w:style w:type="paragraph" w:customStyle="1" w:styleId="SOPara">
    <w:name w:val="SO Para"/>
    <w:aliases w:val="soa"/>
    <w:basedOn w:val="SOText"/>
    <w:link w:val="SOParaChar"/>
    <w:qFormat/>
    <w:rsid w:val="001F70D4"/>
    <w:pPr>
      <w:tabs>
        <w:tab w:val="right" w:pos="1786"/>
      </w:tabs>
      <w:spacing w:before="40"/>
      <w:ind w:left="2070" w:hanging="936"/>
    </w:pPr>
  </w:style>
  <w:style w:type="character" w:customStyle="1" w:styleId="SOParaChar">
    <w:name w:val="SO Para Char"/>
    <w:aliases w:val="soa Char"/>
    <w:basedOn w:val="DefaultParagraphFont"/>
    <w:link w:val="SOPara"/>
    <w:rsid w:val="001F70D4"/>
    <w:rPr>
      <w:sz w:val="22"/>
    </w:rPr>
  </w:style>
  <w:style w:type="paragraph" w:customStyle="1" w:styleId="FileName">
    <w:name w:val="FileName"/>
    <w:basedOn w:val="Normal"/>
    <w:rsid w:val="001F70D4"/>
  </w:style>
  <w:style w:type="paragraph" w:customStyle="1" w:styleId="TableHeading">
    <w:name w:val="TableHeading"/>
    <w:aliases w:val="th"/>
    <w:basedOn w:val="OPCParaBase"/>
    <w:next w:val="Tabletext"/>
    <w:rsid w:val="001F70D4"/>
    <w:pPr>
      <w:keepNext/>
      <w:spacing w:before="60" w:line="240" w:lineRule="atLeast"/>
    </w:pPr>
    <w:rPr>
      <w:b/>
      <w:sz w:val="20"/>
    </w:rPr>
  </w:style>
  <w:style w:type="paragraph" w:customStyle="1" w:styleId="SOHeadBold">
    <w:name w:val="SO HeadBold"/>
    <w:aliases w:val="sohb"/>
    <w:basedOn w:val="SOText"/>
    <w:next w:val="SOText"/>
    <w:link w:val="SOHeadBoldChar"/>
    <w:qFormat/>
    <w:rsid w:val="001F70D4"/>
    <w:rPr>
      <w:b/>
    </w:rPr>
  </w:style>
  <w:style w:type="character" w:customStyle="1" w:styleId="SOHeadBoldChar">
    <w:name w:val="SO HeadBold Char"/>
    <w:aliases w:val="sohb Char"/>
    <w:basedOn w:val="DefaultParagraphFont"/>
    <w:link w:val="SOHeadBold"/>
    <w:rsid w:val="001F70D4"/>
    <w:rPr>
      <w:b/>
      <w:sz w:val="22"/>
    </w:rPr>
  </w:style>
  <w:style w:type="paragraph" w:customStyle="1" w:styleId="SOHeadItalic">
    <w:name w:val="SO HeadItalic"/>
    <w:aliases w:val="sohi"/>
    <w:basedOn w:val="SOText"/>
    <w:next w:val="SOText"/>
    <w:link w:val="SOHeadItalicChar"/>
    <w:qFormat/>
    <w:rsid w:val="001F70D4"/>
    <w:rPr>
      <w:i/>
    </w:rPr>
  </w:style>
  <w:style w:type="character" w:customStyle="1" w:styleId="SOHeadItalicChar">
    <w:name w:val="SO HeadItalic Char"/>
    <w:aliases w:val="sohi Char"/>
    <w:basedOn w:val="DefaultParagraphFont"/>
    <w:link w:val="SOHeadItalic"/>
    <w:rsid w:val="001F70D4"/>
    <w:rPr>
      <w:i/>
      <w:sz w:val="22"/>
    </w:rPr>
  </w:style>
  <w:style w:type="paragraph" w:customStyle="1" w:styleId="SOBullet">
    <w:name w:val="SO Bullet"/>
    <w:aliases w:val="sotb"/>
    <w:basedOn w:val="SOText"/>
    <w:link w:val="SOBulletChar"/>
    <w:qFormat/>
    <w:rsid w:val="001F70D4"/>
    <w:pPr>
      <w:ind w:left="1559" w:hanging="425"/>
    </w:pPr>
  </w:style>
  <w:style w:type="character" w:customStyle="1" w:styleId="SOBulletChar">
    <w:name w:val="SO Bullet Char"/>
    <w:aliases w:val="sotb Char"/>
    <w:basedOn w:val="DefaultParagraphFont"/>
    <w:link w:val="SOBullet"/>
    <w:rsid w:val="001F70D4"/>
    <w:rPr>
      <w:sz w:val="22"/>
    </w:rPr>
  </w:style>
  <w:style w:type="paragraph" w:customStyle="1" w:styleId="SOBulletNote">
    <w:name w:val="SO BulletNote"/>
    <w:aliases w:val="sonb"/>
    <w:basedOn w:val="SOTextNote"/>
    <w:link w:val="SOBulletNoteChar"/>
    <w:qFormat/>
    <w:rsid w:val="001F70D4"/>
    <w:pPr>
      <w:tabs>
        <w:tab w:val="left" w:pos="1560"/>
      </w:tabs>
      <w:ind w:left="2268" w:hanging="1134"/>
    </w:pPr>
  </w:style>
  <w:style w:type="character" w:customStyle="1" w:styleId="SOBulletNoteChar">
    <w:name w:val="SO BulletNote Char"/>
    <w:aliases w:val="sonb Char"/>
    <w:basedOn w:val="DefaultParagraphFont"/>
    <w:link w:val="SOBulletNote"/>
    <w:rsid w:val="001F70D4"/>
    <w:rPr>
      <w:sz w:val="18"/>
    </w:rPr>
  </w:style>
  <w:style w:type="paragraph" w:customStyle="1" w:styleId="SOText2">
    <w:name w:val="SO Text2"/>
    <w:aliases w:val="sot2"/>
    <w:basedOn w:val="Normal"/>
    <w:next w:val="SOText"/>
    <w:link w:val="SOText2Char"/>
    <w:rsid w:val="001F70D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F70D4"/>
    <w:rPr>
      <w:sz w:val="22"/>
    </w:rPr>
  </w:style>
  <w:style w:type="paragraph" w:styleId="ListParagraph">
    <w:name w:val="List Paragraph"/>
    <w:basedOn w:val="Normal"/>
    <w:uiPriority w:val="34"/>
    <w:qFormat/>
    <w:rsid w:val="00074F2E"/>
    <w:pPr>
      <w:spacing w:line="240" w:lineRule="auto"/>
      <w:ind w:left="720"/>
    </w:pPr>
    <w:rPr>
      <w:rFonts w:ascii="Calibri" w:eastAsia="Times New Roman" w:hAnsi="Calibri" w:cs="Calibri"/>
      <w:sz w:val="20"/>
      <w:lang w:eastAsia="en-AU"/>
    </w:rPr>
  </w:style>
  <w:style w:type="paragraph" w:styleId="NormalWeb">
    <w:name w:val="Normal (Web)"/>
    <w:basedOn w:val="Normal"/>
    <w:uiPriority w:val="99"/>
    <w:unhideWhenUsed/>
    <w:rsid w:val="00D5398F"/>
    <w:pPr>
      <w:spacing w:before="100" w:beforeAutospacing="1" w:after="100" w:afterAutospacing="1" w:line="240" w:lineRule="auto"/>
    </w:pPr>
    <w:rPr>
      <w:rFonts w:cs="Times New Roman"/>
      <w:sz w:val="24"/>
      <w:szCs w:val="24"/>
      <w:lang w:eastAsia="en-AU"/>
    </w:rPr>
  </w:style>
  <w:style w:type="character" w:customStyle="1" w:styleId="charlegtitle1">
    <w:name w:val="charlegtitle1"/>
    <w:basedOn w:val="DefaultParagraphFont"/>
    <w:rsid w:val="004A7DE9"/>
    <w:rPr>
      <w:rFonts w:ascii="Helvetica Neue" w:hAnsi="Helvetica Neue" w:hint="default"/>
      <w:b/>
      <w:bCs/>
      <w:color w:val="10418E"/>
      <w:sz w:val="40"/>
      <w:szCs w:val="40"/>
    </w:rPr>
  </w:style>
  <w:style w:type="character" w:customStyle="1" w:styleId="charlegsubtitle1">
    <w:name w:val="charlegsubtitle1"/>
    <w:basedOn w:val="DefaultParagraphFont"/>
    <w:rsid w:val="004A7DE9"/>
    <w:rPr>
      <w:rFonts w:ascii="Helvetica Neue" w:hAnsi="Helvetica Neue" w:hint="default"/>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70D4"/>
    <w:pPr>
      <w:spacing w:line="260" w:lineRule="atLeast"/>
    </w:pPr>
    <w:rPr>
      <w:sz w:val="22"/>
    </w:rPr>
  </w:style>
  <w:style w:type="paragraph" w:styleId="Heading1">
    <w:name w:val="heading 1"/>
    <w:basedOn w:val="Normal"/>
    <w:next w:val="Normal"/>
    <w:link w:val="Heading1Char"/>
    <w:uiPriority w:val="9"/>
    <w:qFormat/>
    <w:rsid w:val="00E65C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65C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65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5C2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65C2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65C2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65C2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5C2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65C2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65C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65C2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65C2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65C2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65C2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65C2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65C2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65C2F"/>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1F70D4"/>
  </w:style>
  <w:style w:type="paragraph" w:customStyle="1" w:styleId="OPCParaBase">
    <w:name w:val="OPCParaBase"/>
    <w:qFormat/>
    <w:rsid w:val="001F70D4"/>
    <w:pPr>
      <w:spacing w:line="260" w:lineRule="atLeast"/>
    </w:pPr>
    <w:rPr>
      <w:rFonts w:eastAsia="Times New Roman" w:cs="Times New Roman"/>
      <w:sz w:val="22"/>
      <w:lang w:eastAsia="en-AU"/>
    </w:rPr>
  </w:style>
  <w:style w:type="paragraph" w:customStyle="1" w:styleId="ShortT">
    <w:name w:val="ShortT"/>
    <w:basedOn w:val="OPCParaBase"/>
    <w:next w:val="Normal"/>
    <w:qFormat/>
    <w:rsid w:val="001F70D4"/>
    <w:pPr>
      <w:spacing w:line="240" w:lineRule="auto"/>
    </w:pPr>
    <w:rPr>
      <w:b/>
      <w:sz w:val="40"/>
    </w:rPr>
  </w:style>
  <w:style w:type="paragraph" w:customStyle="1" w:styleId="ActHead1">
    <w:name w:val="ActHead 1"/>
    <w:aliases w:val="c"/>
    <w:basedOn w:val="OPCParaBase"/>
    <w:next w:val="Normal"/>
    <w:qFormat/>
    <w:rsid w:val="001F70D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F70D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F70D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F70D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F70D4"/>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1F70D4"/>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E65C2F"/>
    <w:rPr>
      <w:rFonts w:eastAsia="Times New Roman" w:cs="Times New Roman"/>
      <w:sz w:val="22"/>
      <w:lang w:eastAsia="en-AU"/>
    </w:rPr>
  </w:style>
  <w:style w:type="paragraph" w:customStyle="1" w:styleId="ActHead6">
    <w:name w:val="ActHead 6"/>
    <w:aliases w:val="as"/>
    <w:basedOn w:val="OPCParaBase"/>
    <w:next w:val="ActHead7"/>
    <w:qFormat/>
    <w:rsid w:val="001F70D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F70D4"/>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1F70D4"/>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1F70D4"/>
    <w:pPr>
      <w:keepLines/>
      <w:spacing w:before="80" w:line="240" w:lineRule="auto"/>
      <w:ind w:left="709"/>
    </w:pPr>
  </w:style>
  <w:style w:type="paragraph" w:customStyle="1" w:styleId="ActHead8">
    <w:name w:val="ActHead 8"/>
    <w:aliases w:val="ad"/>
    <w:basedOn w:val="OPCParaBase"/>
    <w:next w:val="ItemHead"/>
    <w:qFormat/>
    <w:rsid w:val="001F70D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F70D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F70D4"/>
  </w:style>
  <w:style w:type="paragraph" w:customStyle="1" w:styleId="Blocks">
    <w:name w:val="Blocks"/>
    <w:aliases w:val="bb"/>
    <w:basedOn w:val="OPCParaBase"/>
    <w:qFormat/>
    <w:rsid w:val="001F70D4"/>
    <w:pPr>
      <w:spacing w:line="240" w:lineRule="auto"/>
    </w:pPr>
    <w:rPr>
      <w:sz w:val="24"/>
    </w:rPr>
  </w:style>
  <w:style w:type="paragraph" w:customStyle="1" w:styleId="BoxText">
    <w:name w:val="BoxText"/>
    <w:aliases w:val="bt"/>
    <w:basedOn w:val="OPCParaBase"/>
    <w:qFormat/>
    <w:rsid w:val="001F70D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F70D4"/>
    <w:rPr>
      <w:b/>
    </w:rPr>
  </w:style>
  <w:style w:type="paragraph" w:customStyle="1" w:styleId="BoxHeadItalic">
    <w:name w:val="BoxHeadItalic"/>
    <w:aliases w:val="bhi"/>
    <w:basedOn w:val="BoxText"/>
    <w:next w:val="BoxStep"/>
    <w:qFormat/>
    <w:rsid w:val="001F70D4"/>
    <w:rPr>
      <w:i/>
    </w:rPr>
  </w:style>
  <w:style w:type="paragraph" w:customStyle="1" w:styleId="BoxStep">
    <w:name w:val="BoxStep"/>
    <w:aliases w:val="bs"/>
    <w:basedOn w:val="BoxText"/>
    <w:qFormat/>
    <w:rsid w:val="001F70D4"/>
    <w:pPr>
      <w:ind w:left="1985" w:hanging="851"/>
    </w:pPr>
  </w:style>
  <w:style w:type="paragraph" w:customStyle="1" w:styleId="BoxList">
    <w:name w:val="BoxList"/>
    <w:aliases w:val="bl"/>
    <w:basedOn w:val="BoxText"/>
    <w:qFormat/>
    <w:rsid w:val="001F70D4"/>
    <w:pPr>
      <w:ind w:left="1559" w:hanging="425"/>
    </w:pPr>
  </w:style>
  <w:style w:type="paragraph" w:customStyle="1" w:styleId="BoxNote">
    <w:name w:val="BoxNote"/>
    <w:aliases w:val="bn"/>
    <w:basedOn w:val="BoxText"/>
    <w:qFormat/>
    <w:rsid w:val="001F70D4"/>
    <w:pPr>
      <w:tabs>
        <w:tab w:val="left" w:pos="1985"/>
      </w:tabs>
      <w:spacing w:before="122" w:line="198" w:lineRule="exact"/>
      <w:ind w:left="2948" w:hanging="1814"/>
    </w:pPr>
    <w:rPr>
      <w:sz w:val="18"/>
    </w:rPr>
  </w:style>
  <w:style w:type="paragraph" w:customStyle="1" w:styleId="BoxPara">
    <w:name w:val="BoxPara"/>
    <w:aliases w:val="bp"/>
    <w:basedOn w:val="BoxText"/>
    <w:qFormat/>
    <w:rsid w:val="001F70D4"/>
    <w:pPr>
      <w:tabs>
        <w:tab w:val="right" w:pos="2268"/>
      </w:tabs>
      <w:ind w:left="2552" w:hanging="1418"/>
    </w:pPr>
  </w:style>
  <w:style w:type="character" w:customStyle="1" w:styleId="CharAmPartNo">
    <w:name w:val="CharAmPartNo"/>
    <w:basedOn w:val="OPCCharBase"/>
    <w:qFormat/>
    <w:rsid w:val="001F70D4"/>
  </w:style>
  <w:style w:type="character" w:customStyle="1" w:styleId="CharAmPartText">
    <w:name w:val="CharAmPartText"/>
    <w:basedOn w:val="OPCCharBase"/>
    <w:qFormat/>
    <w:rsid w:val="001F70D4"/>
  </w:style>
  <w:style w:type="character" w:customStyle="1" w:styleId="CharAmSchNo">
    <w:name w:val="CharAmSchNo"/>
    <w:basedOn w:val="OPCCharBase"/>
    <w:qFormat/>
    <w:rsid w:val="001F70D4"/>
  </w:style>
  <w:style w:type="character" w:customStyle="1" w:styleId="CharAmSchText">
    <w:name w:val="CharAmSchText"/>
    <w:basedOn w:val="OPCCharBase"/>
    <w:qFormat/>
    <w:rsid w:val="001F70D4"/>
  </w:style>
  <w:style w:type="character" w:customStyle="1" w:styleId="CharBoldItalic">
    <w:name w:val="CharBoldItalic"/>
    <w:basedOn w:val="OPCCharBase"/>
    <w:uiPriority w:val="1"/>
    <w:qFormat/>
    <w:rsid w:val="001F70D4"/>
    <w:rPr>
      <w:b/>
      <w:i/>
    </w:rPr>
  </w:style>
  <w:style w:type="character" w:customStyle="1" w:styleId="CharChapNo">
    <w:name w:val="CharChapNo"/>
    <w:basedOn w:val="OPCCharBase"/>
    <w:uiPriority w:val="1"/>
    <w:qFormat/>
    <w:rsid w:val="001F70D4"/>
  </w:style>
  <w:style w:type="character" w:customStyle="1" w:styleId="CharChapText">
    <w:name w:val="CharChapText"/>
    <w:basedOn w:val="OPCCharBase"/>
    <w:uiPriority w:val="1"/>
    <w:qFormat/>
    <w:rsid w:val="001F70D4"/>
  </w:style>
  <w:style w:type="character" w:customStyle="1" w:styleId="CharDivNo">
    <w:name w:val="CharDivNo"/>
    <w:basedOn w:val="OPCCharBase"/>
    <w:uiPriority w:val="1"/>
    <w:qFormat/>
    <w:rsid w:val="001F70D4"/>
  </w:style>
  <w:style w:type="character" w:customStyle="1" w:styleId="CharDivText">
    <w:name w:val="CharDivText"/>
    <w:basedOn w:val="OPCCharBase"/>
    <w:uiPriority w:val="1"/>
    <w:qFormat/>
    <w:rsid w:val="001F70D4"/>
  </w:style>
  <w:style w:type="character" w:customStyle="1" w:styleId="CharItalic">
    <w:name w:val="CharItalic"/>
    <w:basedOn w:val="OPCCharBase"/>
    <w:uiPriority w:val="1"/>
    <w:qFormat/>
    <w:rsid w:val="001F70D4"/>
    <w:rPr>
      <w:i/>
    </w:rPr>
  </w:style>
  <w:style w:type="character" w:customStyle="1" w:styleId="CharPartNo">
    <w:name w:val="CharPartNo"/>
    <w:basedOn w:val="OPCCharBase"/>
    <w:uiPriority w:val="1"/>
    <w:qFormat/>
    <w:rsid w:val="001F70D4"/>
  </w:style>
  <w:style w:type="character" w:customStyle="1" w:styleId="CharPartText">
    <w:name w:val="CharPartText"/>
    <w:basedOn w:val="OPCCharBase"/>
    <w:uiPriority w:val="1"/>
    <w:qFormat/>
    <w:rsid w:val="001F70D4"/>
  </w:style>
  <w:style w:type="character" w:customStyle="1" w:styleId="CharSectno">
    <w:name w:val="CharSectno"/>
    <w:basedOn w:val="OPCCharBase"/>
    <w:qFormat/>
    <w:rsid w:val="001F70D4"/>
  </w:style>
  <w:style w:type="character" w:customStyle="1" w:styleId="CharSubdNo">
    <w:name w:val="CharSubdNo"/>
    <w:basedOn w:val="OPCCharBase"/>
    <w:uiPriority w:val="1"/>
    <w:qFormat/>
    <w:rsid w:val="001F70D4"/>
  </w:style>
  <w:style w:type="character" w:customStyle="1" w:styleId="CharSubdText">
    <w:name w:val="CharSubdText"/>
    <w:basedOn w:val="OPCCharBase"/>
    <w:uiPriority w:val="1"/>
    <w:qFormat/>
    <w:rsid w:val="001F70D4"/>
  </w:style>
  <w:style w:type="paragraph" w:customStyle="1" w:styleId="CTA--">
    <w:name w:val="CTA --"/>
    <w:basedOn w:val="OPCParaBase"/>
    <w:next w:val="Normal"/>
    <w:rsid w:val="001F70D4"/>
    <w:pPr>
      <w:spacing w:before="60" w:line="240" w:lineRule="atLeast"/>
      <w:ind w:left="142" w:hanging="142"/>
    </w:pPr>
    <w:rPr>
      <w:sz w:val="20"/>
    </w:rPr>
  </w:style>
  <w:style w:type="paragraph" w:customStyle="1" w:styleId="CTA-">
    <w:name w:val="CTA -"/>
    <w:basedOn w:val="OPCParaBase"/>
    <w:rsid w:val="001F70D4"/>
    <w:pPr>
      <w:spacing w:before="60" w:line="240" w:lineRule="atLeast"/>
      <w:ind w:left="85" w:hanging="85"/>
    </w:pPr>
    <w:rPr>
      <w:sz w:val="20"/>
    </w:rPr>
  </w:style>
  <w:style w:type="paragraph" w:customStyle="1" w:styleId="CTA---">
    <w:name w:val="CTA ---"/>
    <w:basedOn w:val="OPCParaBase"/>
    <w:next w:val="Normal"/>
    <w:rsid w:val="001F70D4"/>
    <w:pPr>
      <w:spacing w:before="60" w:line="240" w:lineRule="atLeast"/>
      <w:ind w:left="198" w:hanging="198"/>
    </w:pPr>
    <w:rPr>
      <w:sz w:val="20"/>
    </w:rPr>
  </w:style>
  <w:style w:type="paragraph" w:customStyle="1" w:styleId="CTA----">
    <w:name w:val="CTA ----"/>
    <w:basedOn w:val="OPCParaBase"/>
    <w:next w:val="Normal"/>
    <w:rsid w:val="001F70D4"/>
    <w:pPr>
      <w:spacing w:before="60" w:line="240" w:lineRule="atLeast"/>
      <w:ind w:left="255" w:hanging="255"/>
    </w:pPr>
    <w:rPr>
      <w:sz w:val="20"/>
    </w:rPr>
  </w:style>
  <w:style w:type="paragraph" w:customStyle="1" w:styleId="CTA1a">
    <w:name w:val="CTA 1(a)"/>
    <w:basedOn w:val="OPCParaBase"/>
    <w:rsid w:val="001F70D4"/>
    <w:pPr>
      <w:tabs>
        <w:tab w:val="right" w:pos="414"/>
      </w:tabs>
      <w:spacing w:before="40" w:line="240" w:lineRule="atLeast"/>
      <w:ind w:left="675" w:hanging="675"/>
    </w:pPr>
    <w:rPr>
      <w:sz w:val="20"/>
    </w:rPr>
  </w:style>
  <w:style w:type="paragraph" w:customStyle="1" w:styleId="CTA1ai">
    <w:name w:val="CTA 1(a)(i)"/>
    <w:basedOn w:val="OPCParaBase"/>
    <w:rsid w:val="001F70D4"/>
    <w:pPr>
      <w:tabs>
        <w:tab w:val="right" w:pos="1004"/>
      </w:tabs>
      <w:spacing w:before="40" w:line="240" w:lineRule="atLeast"/>
      <w:ind w:left="1253" w:hanging="1253"/>
    </w:pPr>
    <w:rPr>
      <w:sz w:val="20"/>
    </w:rPr>
  </w:style>
  <w:style w:type="paragraph" w:customStyle="1" w:styleId="CTA2a">
    <w:name w:val="CTA 2(a)"/>
    <w:basedOn w:val="OPCParaBase"/>
    <w:rsid w:val="001F70D4"/>
    <w:pPr>
      <w:tabs>
        <w:tab w:val="right" w:pos="482"/>
      </w:tabs>
      <w:spacing w:before="40" w:line="240" w:lineRule="atLeast"/>
      <w:ind w:left="748" w:hanging="748"/>
    </w:pPr>
    <w:rPr>
      <w:sz w:val="20"/>
    </w:rPr>
  </w:style>
  <w:style w:type="paragraph" w:customStyle="1" w:styleId="CTA2ai">
    <w:name w:val="CTA 2(a)(i)"/>
    <w:basedOn w:val="OPCParaBase"/>
    <w:rsid w:val="001F70D4"/>
    <w:pPr>
      <w:tabs>
        <w:tab w:val="right" w:pos="1089"/>
      </w:tabs>
      <w:spacing w:before="40" w:line="240" w:lineRule="atLeast"/>
      <w:ind w:left="1327" w:hanging="1327"/>
    </w:pPr>
    <w:rPr>
      <w:sz w:val="20"/>
    </w:rPr>
  </w:style>
  <w:style w:type="paragraph" w:customStyle="1" w:styleId="CTA3a">
    <w:name w:val="CTA 3(a)"/>
    <w:basedOn w:val="OPCParaBase"/>
    <w:rsid w:val="001F70D4"/>
    <w:pPr>
      <w:tabs>
        <w:tab w:val="right" w:pos="556"/>
      </w:tabs>
      <w:spacing w:before="40" w:line="240" w:lineRule="atLeast"/>
      <w:ind w:left="805" w:hanging="805"/>
    </w:pPr>
    <w:rPr>
      <w:sz w:val="20"/>
    </w:rPr>
  </w:style>
  <w:style w:type="paragraph" w:customStyle="1" w:styleId="CTA3ai">
    <w:name w:val="CTA 3(a)(i)"/>
    <w:basedOn w:val="OPCParaBase"/>
    <w:rsid w:val="001F70D4"/>
    <w:pPr>
      <w:tabs>
        <w:tab w:val="right" w:pos="1140"/>
      </w:tabs>
      <w:spacing w:before="40" w:line="240" w:lineRule="atLeast"/>
      <w:ind w:left="1361" w:hanging="1361"/>
    </w:pPr>
    <w:rPr>
      <w:sz w:val="20"/>
    </w:rPr>
  </w:style>
  <w:style w:type="paragraph" w:customStyle="1" w:styleId="CTA4a">
    <w:name w:val="CTA 4(a)"/>
    <w:basedOn w:val="OPCParaBase"/>
    <w:rsid w:val="001F70D4"/>
    <w:pPr>
      <w:tabs>
        <w:tab w:val="right" w:pos="624"/>
      </w:tabs>
      <w:spacing w:before="40" w:line="240" w:lineRule="atLeast"/>
      <w:ind w:left="873" w:hanging="873"/>
    </w:pPr>
    <w:rPr>
      <w:sz w:val="20"/>
    </w:rPr>
  </w:style>
  <w:style w:type="paragraph" w:customStyle="1" w:styleId="CTA4ai">
    <w:name w:val="CTA 4(a)(i)"/>
    <w:basedOn w:val="OPCParaBase"/>
    <w:rsid w:val="001F70D4"/>
    <w:pPr>
      <w:tabs>
        <w:tab w:val="right" w:pos="1213"/>
      </w:tabs>
      <w:spacing w:before="40" w:line="240" w:lineRule="atLeast"/>
      <w:ind w:left="1452" w:hanging="1452"/>
    </w:pPr>
    <w:rPr>
      <w:sz w:val="20"/>
    </w:rPr>
  </w:style>
  <w:style w:type="paragraph" w:customStyle="1" w:styleId="CTACAPS">
    <w:name w:val="CTA CAPS"/>
    <w:basedOn w:val="OPCParaBase"/>
    <w:rsid w:val="001F70D4"/>
    <w:pPr>
      <w:spacing w:before="60" w:line="240" w:lineRule="atLeast"/>
    </w:pPr>
    <w:rPr>
      <w:sz w:val="20"/>
    </w:rPr>
  </w:style>
  <w:style w:type="paragraph" w:customStyle="1" w:styleId="CTAright">
    <w:name w:val="CTA right"/>
    <w:basedOn w:val="OPCParaBase"/>
    <w:rsid w:val="001F70D4"/>
    <w:pPr>
      <w:spacing w:before="60" w:line="240" w:lineRule="auto"/>
      <w:jc w:val="right"/>
    </w:pPr>
    <w:rPr>
      <w:sz w:val="20"/>
    </w:rPr>
  </w:style>
  <w:style w:type="paragraph" w:customStyle="1" w:styleId="Definition">
    <w:name w:val="Definition"/>
    <w:aliases w:val="dd"/>
    <w:basedOn w:val="OPCParaBase"/>
    <w:rsid w:val="001F70D4"/>
    <w:pPr>
      <w:spacing w:before="180" w:line="240" w:lineRule="auto"/>
      <w:ind w:left="1134"/>
    </w:pPr>
  </w:style>
  <w:style w:type="paragraph" w:customStyle="1" w:styleId="ETAsubitem">
    <w:name w:val="ETA(subitem)"/>
    <w:basedOn w:val="OPCParaBase"/>
    <w:rsid w:val="001F70D4"/>
    <w:pPr>
      <w:tabs>
        <w:tab w:val="right" w:pos="340"/>
      </w:tabs>
      <w:spacing w:before="60" w:line="240" w:lineRule="auto"/>
      <w:ind w:left="454" w:hanging="454"/>
    </w:pPr>
    <w:rPr>
      <w:sz w:val="20"/>
    </w:rPr>
  </w:style>
  <w:style w:type="paragraph" w:customStyle="1" w:styleId="ETApara">
    <w:name w:val="ETA(para)"/>
    <w:basedOn w:val="OPCParaBase"/>
    <w:rsid w:val="001F70D4"/>
    <w:pPr>
      <w:tabs>
        <w:tab w:val="right" w:pos="754"/>
      </w:tabs>
      <w:spacing w:before="60" w:line="240" w:lineRule="auto"/>
      <w:ind w:left="828" w:hanging="828"/>
    </w:pPr>
    <w:rPr>
      <w:sz w:val="20"/>
    </w:rPr>
  </w:style>
  <w:style w:type="paragraph" w:customStyle="1" w:styleId="ETAsubpara">
    <w:name w:val="ETA(subpara)"/>
    <w:basedOn w:val="OPCParaBase"/>
    <w:rsid w:val="001F70D4"/>
    <w:pPr>
      <w:tabs>
        <w:tab w:val="right" w:pos="1083"/>
      </w:tabs>
      <w:spacing w:before="60" w:line="240" w:lineRule="auto"/>
      <w:ind w:left="1191" w:hanging="1191"/>
    </w:pPr>
    <w:rPr>
      <w:sz w:val="20"/>
    </w:rPr>
  </w:style>
  <w:style w:type="paragraph" w:customStyle="1" w:styleId="ETAsub-subpara">
    <w:name w:val="ETA(sub-subpara)"/>
    <w:basedOn w:val="OPCParaBase"/>
    <w:rsid w:val="001F70D4"/>
    <w:pPr>
      <w:tabs>
        <w:tab w:val="right" w:pos="1412"/>
      </w:tabs>
      <w:spacing w:before="60" w:line="240" w:lineRule="auto"/>
      <w:ind w:left="1525" w:hanging="1525"/>
    </w:pPr>
    <w:rPr>
      <w:sz w:val="20"/>
    </w:rPr>
  </w:style>
  <w:style w:type="paragraph" w:customStyle="1" w:styleId="Formula">
    <w:name w:val="Formula"/>
    <w:basedOn w:val="OPCParaBase"/>
    <w:rsid w:val="001F70D4"/>
    <w:pPr>
      <w:spacing w:line="240" w:lineRule="auto"/>
      <w:ind w:left="1134"/>
    </w:pPr>
    <w:rPr>
      <w:sz w:val="20"/>
    </w:rPr>
  </w:style>
  <w:style w:type="paragraph" w:styleId="Header">
    <w:name w:val="header"/>
    <w:basedOn w:val="OPCParaBase"/>
    <w:link w:val="HeaderChar"/>
    <w:unhideWhenUsed/>
    <w:rsid w:val="001F70D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F70D4"/>
    <w:rPr>
      <w:rFonts w:eastAsia="Times New Roman" w:cs="Times New Roman"/>
      <w:sz w:val="16"/>
      <w:lang w:eastAsia="en-AU"/>
    </w:rPr>
  </w:style>
  <w:style w:type="paragraph" w:customStyle="1" w:styleId="House">
    <w:name w:val="House"/>
    <w:basedOn w:val="OPCParaBase"/>
    <w:rsid w:val="001F70D4"/>
    <w:pPr>
      <w:spacing w:line="240" w:lineRule="auto"/>
    </w:pPr>
    <w:rPr>
      <w:sz w:val="28"/>
    </w:rPr>
  </w:style>
  <w:style w:type="paragraph" w:customStyle="1" w:styleId="LongT">
    <w:name w:val="LongT"/>
    <w:basedOn w:val="OPCParaBase"/>
    <w:rsid w:val="001F70D4"/>
    <w:pPr>
      <w:spacing w:line="240" w:lineRule="auto"/>
    </w:pPr>
    <w:rPr>
      <w:b/>
      <w:sz w:val="32"/>
    </w:rPr>
  </w:style>
  <w:style w:type="paragraph" w:customStyle="1" w:styleId="notedraft">
    <w:name w:val="note(draft)"/>
    <w:aliases w:val="nd"/>
    <w:basedOn w:val="OPCParaBase"/>
    <w:rsid w:val="001F70D4"/>
    <w:pPr>
      <w:spacing w:before="240" w:line="240" w:lineRule="auto"/>
      <w:ind w:left="284" w:hanging="284"/>
    </w:pPr>
    <w:rPr>
      <w:i/>
      <w:sz w:val="24"/>
    </w:rPr>
  </w:style>
  <w:style w:type="paragraph" w:customStyle="1" w:styleId="notemargin">
    <w:name w:val="note(margin)"/>
    <w:aliases w:val="nm"/>
    <w:basedOn w:val="OPCParaBase"/>
    <w:rsid w:val="001F70D4"/>
    <w:pPr>
      <w:tabs>
        <w:tab w:val="left" w:pos="709"/>
      </w:tabs>
      <w:spacing w:before="122" w:line="198" w:lineRule="exact"/>
      <w:ind w:left="709" w:hanging="709"/>
    </w:pPr>
    <w:rPr>
      <w:sz w:val="18"/>
    </w:rPr>
  </w:style>
  <w:style w:type="paragraph" w:customStyle="1" w:styleId="noteToPara">
    <w:name w:val="noteToPara"/>
    <w:aliases w:val="ntp"/>
    <w:basedOn w:val="OPCParaBase"/>
    <w:rsid w:val="001F70D4"/>
    <w:pPr>
      <w:spacing w:before="122" w:line="198" w:lineRule="exact"/>
      <w:ind w:left="2353" w:hanging="709"/>
    </w:pPr>
    <w:rPr>
      <w:sz w:val="18"/>
    </w:rPr>
  </w:style>
  <w:style w:type="paragraph" w:customStyle="1" w:styleId="noteParlAmend">
    <w:name w:val="note(ParlAmend)"/>
    <w:aliases w:val="npp"/>
    <w:basedOn w:val="OPCParaBase"/>
    <w:next w:val="ParlAmend"/>
    <w:rsid w:val="001F70D4"/>
    <w:pPr>
      <w:spacing w:line="240" w:lineRule="auto"/>
      <w:jc w:val="right"/>
    </w:pPr>
    <w:rPr>
      <w:rFonts w:ascii="Arial" w:hAnsi="Arial"/>
      <w:b/>
      <w:i/>
    </w:rPr>
  </w:style>
  <w:style w:type="paragraph" w:customStyle="1" w:styleId="ParlAmend">
    <w:name w:val="ParlAmend"/>
    <w:aliases w:val="pp"/>
    <w:basedOn w:val="OPCParaBase"/>
    <w:rsid w:val="001F70D4"/>
    <w:pPr>
      <w:spacing w:before="240" w:line="240" w:lineRule="atLeast"/>
      <w:ind w:hanging="567"/>
    </w:pPr>
    <w:rPr>
      <w:sz w:val="24"/>
    </w:rPr>
  </w:style>
  <w:style w:type="paragraph" w:customStyle="1" w:styleId="Page1">
    <w:name w:val="Page1"/>
    <w:basedOn w:val="OPCParaBase"/>
    <w:rsid w:val="001F70D4"/>
    <w:pPr>
      <w:spacing w:before="5600" w:line="240" w:lineRule="auto"/>
    </w:pPr>
    <w:rPr>
      <w:b/>
      <w:sz w:val="32"/>
    </w:rPr>
  </w:style>
  <w:style w:type="paragraph" w:customStyle="1" w:styleId="PageBreak">
    <w:name w:val="PageBreak"/>
    <w:aliases w:val="pb"/>
    <w:basedOn w:val="OPCParaBase"/>
    <w:rsid w:val="001F70D4"/>
    <w:pPr>
      <w:spacing w:line="240" w:lineRule="auto"/>
    </w:pPr>
    <w:rPr>
      <w:sz w:val="20"/>
    </w:rPr>
  </w:style>
  <w:style w:type="paragraph" w:customStyle="1" w:styleId="paragraphsub">
    <w:name w:val="paragraph(sub)"/>
    <w:aliases w:val="aa"/>
    <w:basedOn w:val="OPCParaBase"/>
    <w:rsid w:val="001F70D4"/>
    <w:pPr>
      <w:tabs>
        <w:tab w:val="right" w:pos="1985"/>
      </w:tabs>
      <w:spacing w:before="40" w:line="240" w:lineRule="auto"/>
      <w:ind w:left="2098" w:hanging="2098"/>
    </w:pPr>
  </w:style>
  <w:style w:type="paragraph" w:customStyle="1" w:styleId="paragraphsub-sub">
    <w:name w:val="paragraph(sub-sub)"/>
    <w:aliases w:val="aaa"/>
    <w:basedOn w:val="OPCParaBase"/>
    <w:rsid w:val="001F70D4"/>
    <w:pPr>
      <w:tabs>
        <w:tab w:val="right" w:pos="2722"/>
      </w:tabs>
      <w:spacing w:before="40" w:line="240" w:lineRule="auto"/>
      <w:ind w:left="2835" w:hanging="2835"/>
    </w:pPr>
  </w:style>
  <w:style w:type="paragraph" w:customStyle="1" w:styleId="paragraph">
    <w:name w:val="paragraph"/>
    <w:aliases w:val="a"/>
    <w:basedOn w:val="OPCParaBase"/>
    <w:rsid w:val="001F70D4"/>
    <w:pPr>
      <w:tabs>
        <w:tab w:val="right" w:pos="1531"/>
      </w:tabs>
      <w:spacing w:before="40" w:line="240" w:lineRule="auto"/>
      <w:ind w:left="1644" w:hanging="1644"/>
    </w:pPr>
  </w:style>
  <w:style w:type="paragraph" w:customStyle="1" w:styleId="Penalty">
    <w:name w:val="Penalty"/>
    <w:basedOn w:val="OPCParaBase"/>
    <w:rsid w:val="001F70D4"/>
    <w:pPr>
      <w:tabs>
        <w:tab w:val="left" w:pos="2977"/>
      </w:tabs>
      <w:spacing w:before="180" w:line="240" w:lineRule="auto"/>
      <w:ind w:left="1985" w:hanging="851"/>
    </w:pPr>
  </w:style>
  <w:style w:type="paragraph" w:customStyle="1" w:styleId="Portfolio">
    <w:name w:val="Portfolio"/>
    <w:basedOn w:val="OPCParaBase"/>
    <w:rsid w:val="001F70D4"/>
    <w:pPr>
      <w:spacing w:line="240" w:lineRule="auto"/>
    </w:pPr>
    <w:rPr>
      <w:i/>
      <w:sz w:val="20"/>
    </w:rPr>
  </w:style>
  <w:style w:type="paragraph" w:customStyle="1" w:styleId="Preamble">
    <w:name w:val="Preamble"/>
    <w:basedOn w:val="OPCParaBase"/>
    <w:next w:val="Normal"/>
    <w:rsid w:val="001F70D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F70D4"/>
    <w:pPr>
      <w:spacing w:line="240" w:lineRule="auto"/>
    </w:pPr>
    <w:rPr>
      <w:i/>
      <w:sz w:val="20"/>
    </w:rPr>
  </w:style>
  <w:style w:type="paragraph" w:customStyle="1" w:styleId="Session">
    <w:name w:val="Session"/>
    <w:basedOn w:val="OPCParaBase"/>
    <w:rsid w:val="001F70D4"/>
    <w:pPr>
      <w:spacing w:line="240" w:lineRule="auto"/>
    </w:pPr>
    <w:rPr>
      <w:sz w:val="28"/>
    </w:rPr>
  </w:style>
  <w:style w:type="paragraph" w:customStyle="1" w:styleId="Sponsor">
    <w:name w:val="Sponsor"/>
    <w:basedOn w:val="OPCParaBase"/>
    <w:rsid w:val="001F70D4"/>
    <w:pPr>
      <w:spacing w:line="240" w:lineRule="auto"/>
    </w:pPr>
    <w:rPr>
      <w:i/>
    </w:rPr>
  </w:style>
  <w:style w:type="paragraph" w:customStyle="1" w:styleId="Subitem">
    <w:name w:val="Subitem"/>
    <w:aliases w:val="iss"/>
    <w:basedOn w:val="OPCParaBase"/>
    <w:rsid w:val="001F70D4"/>
    <w:pPr>
      <w:spacing w:before="180" w:line="240" w:lineRule="auto"/>
      <w:ind w:left="709" w:hanging="709"/>
    </w:pPr>
  </w:style>
  <w:style w:type="paragraph" w:customStyle="1" w:styleId="SubitemHead">
    <w:name w:val="SubitemHead"/>
    <w:aliases w:val="issh"/>
    <w:basedOn w:val="OPCParaBase"/>
    <w:rsid w:val="001F70D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F70D4"/>
    <w:pPr>
      <w:spacing w:before="40" w:line="240" w:lineRule="auto"/>
      <w:ind w:left="1134"/>
    </w:pPr>
  </w:style>
  <w:style w:type="paragraph" w:customStyle="1" w:styleId="SubsectionHead">
    <w:name w:val="SubsectionHead"/>
    <w:aliases w:val="ssh"/>
    <w:basedOn w:val="OPCParaBase"/>
    <w:next w:val="subsection"/>
    <w:rsid w:val="001F70D4"/>
    <w:pPr>
      <w:keepNext/>
      <w:keepLines/>
      <w:spacing w:before="240" w:line="240" w:lineRule="auto"/>
      <w:ind w:left="1134"/>
    </w:pPr>
    <w:rPr>
      <w:i/>
    </w:rPr>
  </w:style>
  <w:style w:type="paragraph" w:customStyle="1" w:styleId="Tablea">
    <w:name w:val="Table(a)"/>
    <w:aliases w:val="ta"/>
    <w:basedOn w:val="OPCParaBase"/>
    <w:rsid w:val="001F70D4"/>
    <w:pPr>
      <w:spacing w:before="60" w:line="240" w:lineRule="auto"/>
      <w:ind w:left="284" w:hanging="284"/>
    </w:pPr>
    <w:rPr>
      <w:sz w:val="20"/>
    </w:rPr>
  </w:style>
  <w:style w:type="paragraph" w:customStyle="1" w:styleId="TableAA">
    <w:name w:val="Table(AA)"/>
    <w:aliases w:val="taaa"/>
    <w:basedOn w:val="OPCParaBase"/>
    <w:rsid w:val="001F70D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F70D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F70D4"/>
    <w:pPr>
      <w:spacing w:before="60" w:line="240" w:lineRule="atLeast"/>
    </w:pPr>
    <w:rPr>
      <w:sz w:val="20"/>
    </w:rPr>
  </w:style>
  <w:style w:type="paragraph" w:customStyle="1" w:styleId="TLPBoxTextnote">
    <w:name w:val="TLPBoxText(note"/>
    <w:aliases w:val="right)"/>
    <w:basedOn w:val="OPCParaBase"/>
    <w:rsid w:val="001F70D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F70D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F70D4"/>
    <w:pPr>
      <w:spacing w:before="122" w:line="198" w:lineRule="exact"/>
      <w:ind w:left="1985" w:hanging="851"/>
      <w:jc w:val="right"/>
    </w:pPr>
    <w:rPr>
      <w:sz w:val="18"/>
    </w:rPr>
  </w:style>
  <w:style w:type="paragraph" w:customStyle="1" w:styleId="TLPTableBullet">
    <w:name w:val="TLPTableBullet"/>
    <w:aliases w:val="ttb"/>
    <w:basedOn w:val="OPCParaBase"/>
    <w:rsid w:val="001F70D4"/>
    <w:pPr>
      <w:spacing w:line="240" w:lineRule="exact"/>
      <w:ind w:left="284" w:hanging="284"/>
    </w:pPr>
    <w:rPr>
      <w:sz w:val="20"/>
    </w:rPr>
  </w:style>
  <w:style w:type="paragraph" w:styleId="TOC1">
    <w:name w:val="toc 1"/>
    <w:basedOn w:val="OPCParaBase"/>
    <w:next w:val="Normal"/>
    <w:uiPriority w:val="39"/>
    <w:unhideWhenUsed/>
    <w:rsid w:val="001F70D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F70D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F70D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F70D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F70D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F70D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F70D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F70D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F70D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F70D4"/>
    <w:pPr>
      <w:keepLines/>
      <w:spacing w:before="240" w:after="120" w:line="240" w:lineRule="auto"/>
      <w:ind w:left="794"/>
    </w:pPr>
    <w:rPr>
      <w:b/>
      <w:kern w:val="28"/>
      <w:sz w:val="20"/>
    </w:rPr>
  </w:style>
  <w:style w:type="paragraph" w:customStyle="1" w:styleId="TofSectsSection">
    <w:name w:val="TofSects(Section)"/>
    <w:basedOn w:val="OPCParaBase"/>
    <w:rsid w:val="001F70D4"/>
    <w:pPr>
      <w:keepLines/>
      <w:spacing w:before="40" w:line="240" w:lineRule="auto"/>
      <w:ind w:left="1588" w:hanging="794"/>
    </w:pPr>
    <w:rPr>
      <w:kern w:val="28"/>
      <w:sz w:val="18"/>
    </w:rPr>
  </w:style>
  <w:style w:type="paragraph" w:customStyle="1" w:styleId="TofSectsHeading">
    <w:name w:val="TofSects(Heading)"/>
    <w:basedOn w:val="OPCParaBase"/>
    <w:rsid w:val="001F70D4"/>
    <w:pPr>
      <w:spacing w:before="240" w:after="120" w:line="240" w:lineRule="auto"/>
    </w:pPr>
    <w:rPr>
      <w:b/>
      <w:sz w:val="24"/>
    </w:rPr>
  </w:style>
  <w:style w:type="paragraph" w:customStyle="1" w:styleId="TofSectsSubdiv">
    <w:name w:val="TofSects(Subdiv)"/>
    <w:basedOn w:val="OPCParaBase"/>
    <w:rsid w:val="001F70D4"/>
    <w:pPr>
      <w:keepLines/>
      <w:spacing w:before="80" w:line="240" w:lineRule="auto"/>
      <w:ind w:left="1588" w:hanging="794"/>
    </w:pPr>
    <w:rPr>
      <w:kern w:val="28"/>
    </w:rPr>
  </w:style>
  <w:style w:type="paragraph" w:customStyle="1" w:styleId="WRStyle">
    <w:name w:val="WR Style"/>
    <w:aliases w:val="WR"/>
    <w:basedOn w:val="OPCParaBase"/>
    <w:rsid w:val="001F70D4"/>
    <w:pPr>
      <w:spacing w:before="240" w:line="240" w:lineRule="auto"/>
      <w:ind w:left="284" w:hanging="284"/>
    </w:pPr>
    <w:rPr>
      <w:b/>
      <w:i/>
      <w:kern w:val="28"/>
      <w:sz w:val="24"/>
    </w:rPr>
  </w:style>
  <w:style w:type="paragraph" w:customStyle="1" w:styleId="notepara">
    <w:name w:val="note(para)"/>
    <w:aliases w:val="na"/>
    <w:basedOn w:val="OPCParaBase"/>
    <w:rsid w:val="001F70D4"/>
    <w:pPr>
      <w:spacing w:before="40" w:line="198" w:lineRule="exact"/>
      <w:ind w:left="2354" w:hanging="369"/>
    </w:pPr>
    <w:rPr>
      <w:sz w:val="18"/>
    </w:rPr>
  </w:style>
  <w:style w:type="paragraph" w:styleId="Footer">
    <w:name w:val="footer"/>
    <w:link w:val="FooterChar"/>
    <w:rsid w:val="001F70D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F70D4"/>
    <w:rPr>
      <w:rFonts w:eastAsia="Times New Roman" w:cs="Times New Roman"/>
      <w:sz w:val="22"/>
      <w:szCs w:val="24"/>
      <w:lang w:eastAsia="en-AU"/>
    </w:rPr>
  </w:style>
  <w:style w:type="character" w:styleId="LineNumber">
    <w:name w:val="line number"/>
    <w:basedOn w:val="OPCCharBase"/>
    <w:uiPriority w:val="99"/>
    <w:semiHidden/>
    <w:unhideWhenUsed/>
    <w:rsid w:val="001F70D4"/>
    <w:rPr>
      <w:sz w:val="16"/>
    </w:rPr>
  </w:style>
  <w:style w:type="table" w:customStyle="1" w:styleId="CFlag">
    <w:name w:val="CFlag"/>
    <w:basedOn w:val="TableNormal"/>
    <w:uiPriority w:val="99"/>
    <w:rsid w:val="001F70D4"/>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70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0D4"/>
    <w:rPr>
      <w:rFonts w:ascii="Tahoma" w:hAnsi="Tahoma" w:cs="Tahoma"/>
      <w:sz w:val="16"/>
      <w:szCs w:val="16"/>
    </w:rPr>
  </w:style>
  <w:style w:type="character" w:styleId="Hyperlink">
    <w:name w:val="Hyperlink"/>
    <w:basedOn w:val="DefaultParagraphFont"/>
    <w:rsid w:val="001F70D4"/>
    <w:rPr>
      <w:color w:val="0000FF"/>
      <w:u w:val="single"/>
    </w:rPr>
  </w:style>
  <w:style w:type="table" w:styleId="TableGrid">
    <w:name w:val="Table Grid"/>
    <w:basedOn w:val="TableNormal"/>
    <w:uiPriority w:val="59"/>
    <w:rsid w:val="001F7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1F70D4"/>
    <w:rPr>
      <w:b/>
      <w:sz w:val="28"/>
      <w:szCs w:val="32"/>
    </w:rPr>
  </w:style>
  <w:style w:type="paragraph" w:customStyle="1" w:styleId="TerritoryT">
    <w:name w:val="TerritoryT"/>
    <w:basedOn w:val="OPCParaBase"/>
    <w:next w:val="Normal"/>
    <w:rsid w:val="001F70D4"/>
    <w:rPr>
      <w:b/>
      <w:sz w:val="32"/>
    </w:rPr>
  </w:style>
  <w:style w:type="paragraph" w:customStyle="1" w:styleId="LegislationMadeUnder">
    <w:name w:val="LegislationMadeUnder"/>
    <w:basedOn w:val="OPCParaBase"/>
    <w:next w:val="Normal"/>
    <w:rsid w:val="001F70D4"/>
    <w:rPr>
      <w:i/>
      <w:sz w:val="32"/>
      <w:szCs w:val="32"/>
    </w:rPr>
  </w:style>
  <w:style w:type="paragraph" w:customStyle="1" w:styleId="SignCoverPageEnd">
    <w:name w:val="SignCoverPageEnd"/>
    <w:basedOn w:val="OPCParaBase"/>
    <w:next w:val="Normal"/>
    <w:rsid w:val="001F70D4"/>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F70D4"/>
    <w:pPr>
      <w:pBdr>
        <w:top w:val="single" w:sz="4" w:space="1" w:color="auto"/>
      </w:pBdr>
      <w:spacing w:before="360"/>
      <w:ind w:right="397"/>
      <w:jc w:val="both"/>
    </w:pPr>
  </w:style>
  <w:style w:type="paragraph" w:customStyle="1" w:styleId="NotesHeading1">
    <w:name w:val="NotesHeading 1"/>
    <w:basedOn w:val="OPCParaBase"/>
    <w:next w:val="Normal"/>
    <w:rsid w:val="001F70D4"/>
    <w:rPr>
      <w:b/>
      <w:sz w:val="28"/>
      <w:szCs w:val="28"/>
    </w:rPr>
  </w:style>
  <w:style w:type="paragraph" w:customStyle="1" w:styleId="NotesHeading2">
    <w:name w:val="NotesHeading 2"/>
    <w:basedOn w:val="OPCParaBase"/>
    <w:next w:val="Normal"/>
    <w:rsid w:val="001F70D4"/>
    <w:rPr>
      <w:b/>
      <w:sz w:val="28"/>
      <w:szCs w:val="28"/>
    </w:rPr>
  </w:style>
  <w:style w:type="paragraph" w:customStyle="1" w:styleId="ENotesText">
    <w:name w:val="ENotesText"/>
    <w:basedOn w:val="OPCParaBase"/>
    <w:next w:val="Normal"/>
    <w:rsid w:val="001F70D4"/>
  </w:style>
  <w:style w:type="paragraph" w:customStyle="1" w:styleId="CompiledActNo">
    <w:name w:val="CompiledActNo"/>
    <w:basedOn w:val="OPCParaBase"/>
    <w:next w:val="Normal"/>
    <w:rsid w:val="001F70D4"/>
    <w:rPr>
      <w:b/>
      <w:sz w:val="24"/>
      <w:szCs w:val="24"/>
    </w:rPr>
  </w:style>
  <w:style w:type="paragraph" w:customStyle="1" w:styleId="CompiledMadeUnder">
    <w:name w:val="CompiledMadeUnder"/>
    <w:basedOn w:val="OPCParaBase"/>
    <w:next w:val="Normal"/>
    <w:rsid w:val="001F70D4"/>
    <w:rPr>
      <w:i/>
      <w:sz w:val="24"/>
      <w:szCs w:val="24"/>
    </w:rPr>
  </w:style>
  <w:style w:type="paragraph" w:customStyle="1" w:styleId="Paragraphsub-sub-sub">
    <w:name w:val="Paragraph(sub-sub-sub)"/>
    <w:aliases w:val="aaaa"/>
    <w:basedOn w:val="OPCParaBase"/>
    <w:rsid w:val="001F70D4"/>
    <w:pPr>
      <w:tabs>
        <w:tab w:val="right" w:pos="3402"/>
      </w:tabs>
      <w:spacing w:before="40" w:line="240" w:lineRule="auto"/>
      <w:ind w:left="3402" w:hanging="3402"/>
    </w:pPr>
  </w:style>
  <w:style w:type="paragraph" w:customStyle="1" w:styleId="NoteToSubpara">
    <w:name w:val="NoteToSubpara"/>
    <w:aliases w:val="nts"/>
    <w:basedOn w:val="OPCParaBase"/>
    <w:rsid w:val="001F70D4"/>
    <w:pPr>
      <w:spacing w:before="40" w:line="198" w:lineRule="exact"/>
      <w:ind w:left="2835" w:hanging="709"/>
    </w:pPr>
    <w:rPr>
      <w:sz w:val="18"/>
    </w:rPr>
  </w:style>
  <w:style w:type="paragraph" w:customStyle="1" w:styleId="EndNotespara">
    <w:name w:val="EndNotes(para)"/>
    <w:aliases w:val="eta"/>
    <w:basedOn w:val="OPCParaBase"/>
    <w:next w:val="Normal"/>
    <w:rsid w:val="001F70D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F70D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1F70D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F70D4"/>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1F70D4"/>
    <w:pPr>
      <w:keepNext/>
      <w:spacing w:before="60" w:line="240" w:lineRule="atLeast"/>
    </w:pPr>
    <w:rPr>
      <w:rFonts w:ascii="Arial" w:hAnsi="Arial"/>
      <w:b/>
      <w:sz w:val="16"/>
    </w:rPr>
  </w:style>
  <w:style w:type="paragraph" w:customStyle="1" w:styleId="ENoteTTi">
    <w:name w:val="ENoteTTi"/>
    <w:aliases w:val="entti"/>
    <w:basedOn w:val="OPCParaBase"/>
    <w:rsid w:val="001F70D4"/>
    <w:pPr>
      <w:keepNext/>
      <w:spacing w:before="60" w:line="240" w:lineRule="atLeast"/>
      <w:ind w:left="170"/>
    </w:pPr>
    <w:rPr>
      <w:sz w:val="16"/>
    </w:rPr>
  </w:style>
  <w:style w:type="paragraph" w:customStyle="1" w:styleId="ENotesHeading1">
    <w:name w:val="ENotesHeading 1"/>
    <w:aliases w:val="Enh1"/>
    <w:basedOn w:val="OPCParaBase"/>
    <w:next w:val="Normal"/>
    <w:rsid w:val="001F70D4"/>
    <w:pPr>
      <w:spacing w:before="120"/>
      <w:outlineLvl w:val="1"/>
    </w:pPr>
    <w:rPr>
      <w:b/>
      <w:sz w:val="28"/>
      <w:szCs w:val="28"/>
    </w:rPr>
  </w:style>
  <w:style w:type="paragraph" w:customStyle="1" w:styleId="ENotesHeading2">
    <w:name w:val="ENotesHeading 2"/>
    <w:aliases w:val="Enh2"/>
    <w:basedOn w:val="OPCParaBase"/>
    <w:next w:val="Normal"/>
    <w:rsid w:val="001F70D4"/>
    <w:pPr>
      <w:spacing w:before="120" w:after="120"/>
      <w:outlineLvl w:val="2"/>
    </w:pPr>
    <w:rPr>
      <w:b/>
      <w:sz w:val="24"/>
      <w:szCs w:val="28"/>
    </w:rPr>
  </w:style>
  <w:style w:type="paragraph" w:customStyle="1" w:styleId="ENoteTTIndentHeading">
    <w:name w:val="ENoteTTIndentHeading"/>
    <w:aliases w:val="enTTHi"/>
    <w:basedOn w:val="OPCParaBase"/>
    <w:rsid w:val="001F70D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F70D4"/>
    <w:pPr>
      <w:spacing w:before="60" w:line="240" w:lineRule="atLeast"/>
    </w:pPr>
    <w:rPr>
      <w:sz w:val="16"/>
    </w:rPr>
  </w:style>
  <w:style w:type="paragraph" w:customStyle="1" w:styleId="MadeunderText">
    <w:name w:val="MadeunderText"/>
    <w:basedOn w:val="OPCParaBase"/>
    <w:next w:val="CompiledMadeUnder"/>
    <w:rsid w:val="001F70D4"/>
    <w:pPr>
      <w:spacing w:before="240"/>
    </w:pPr>
    <w:rPr>
      <w:sz w:val="24"/>
      <w:szCs w:val="24"/>
    </w:rPr>
  </w:style>
  <w:style w:type="paragraph" w:customStyle="1" w:styleId="ENotesHeading3">
    <w:name w:val="ENotesHeading 3"/>
    <w:aliases w:val="Enh3"/>
    <w:basedOn w:val="OPCParaBase"/>
    <w:next w:val="Normal"/>
    <w:rsid w:val="001F70D4"/>
    <w:pPr>
      <w:keepNext/>
      <w:spacing w:before="120" w:line="240" w:lineRule="auto"/>
      <w:outlineLvl w:val="4"/>
    </w:pPr>
    <w:rPr>
      <w:b/>
      <w:szCs w:val="24"/>
    </w:rPr>
  </w:style>
  <w:style w:type="paragraph" w:customStyle="1" w:styleId="SubPartCASA">
    <w:name w:val="SubPart(CASA)"/>
    <w:aliases w:val="csp"/>
    <w:basedOn w:val="OPCParaBase"/>
    <w:next w:val="ActHead3"/>
    <w:rsid w:val="001F70D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F70D4"/>
  </w:style>
  <w:style w:type="character" w:customStyle="1" w:styleId="CharSubPartNoCASA">
    <w:name w:val="CharSubPartNo(CASA)"/>
    <w:basedOn w:val="OPCCharBase"/>
    <w:uiPriority w:val="1"/>
    <w:rsid w:val="001F70D4"/>
  </w:style>
  <w:style w:type="paragraph" w:customStyle="1" w:styleId="ENoteTTIndentHeadingSub">
    <w:name w:val="ENoteTTIndentHeadingSub"/>
    <w:aliases w:val="enTTHis"/>
    <w:basedOn w:val="OPCParaBase"/>
    <w:rsid w:val="001F70D4"/>
    <w:pPr>
      <w:keepNext/>
      <w:spacing w:before="60" w:line="240" w:lineRule="atLeast"/>
      <w:ind w:left="340"/>
    </w:pPr>
    <w:rPr>
      <w:b/>
      <w:sz w:val="16"/>
    </w:rPr>
  </w:style>
  <w:style w:type="paragraph" w:customStyle="1" w:styleId="ENoteTTiSub">
    <w:name w:val="ENoteTTiSub"/>
    <w:aliases w:val="enttis"/>
    <w:basedOn w:val="OPCParaBase"/>
    <w:rsid w:val="001F70D4"/>
    <w:pPr>
      <w:keepNext/>
      <w:spacing w:before="60" w:line="240" w:lineRule="atLeast"/>
      <w:ind w:left="340"/>
    </w:pPr>
    <w:rPr>
      <w:sz w:val="16"/>
    </w:rPr>
  </w:style>
  <w:style w:type="paragraph" w:customStyle="1" w:styleId="SubDivisionMigration">
    <w:name w:val="SubDivisionMigration"/>
    <w:aliases w:val="sdm"/>
    <w:basedOn w:val="OPCParaBase"/>
    <w:rsid w:val="001F70D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F70D4"/>
    <w:pPr>
      <w:keepNext/>
      <w:keepLines/>
      <w:spacing w:before="240" w:line="240" w:lineRule="auto"/>
      <w:ind w:left="1134" w:hanging="1134"/>
    </w:pPr>
    <w:rPr>
      <w:b/>
      <w:sz w:val="28"/>
    </w:rPr>
  </w:style>
  <w:style w:type="paragraph" w:customStyle="1" w:styleId="notetext">
    <w:name w:val="note(text)"/>
    <w:aliases w:val="n"/>
    <w:basedOn w:val="OPCParaBase"/>
    <w:rsid w:val="001F70D4"/>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1F70D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F70D4"/>
    <w:rPr>
      <w:sz w:val="22"/>
    </w:rPr>
  </w:style>
  <w:style w:type="paragraph" w:customStyle="1" w:styleId="SOTextNote">
    <w:name w:val="SO TextNote"/>
    <w:aliases w:val="sont"/>
    <w:basedOn w:val="SOText"/>
    <w:qFormat/>
    <w:rsid w:val="001F70D4"/>
    <w:pPr>
      <w:spacing w:before="122" w:line="198" w:lineRule="exact"/>
      <w:ind w:left="1843" w:hanging="709"/>
    </w:pPr>
    <w:rPr>
      <w:sz w:val="18"/>
    </w:rPr>
  </w:style>
  <w:style w:type="paragraph" w:customStyle="1" w:styleId="SOPara">
    <w:name w:val="SO Para"/>
    <w:aliases w:val="soa"/>
    <w:basedOn w:val="SOText"/>
    <w:link w:val="SOParaChar"/>
    <w:qFormat/>
    <w:rsid w:val="001F70D4"/>
    <w:pPr>
      <w:tabs>
        <w:tab w:val="right" w:pos="1786"/>
      </w:tabs>
      <w:spacing w:before="40"/>
      <w:ind w:left="2070" w:hanging="936"/>
    </w:pPr>
  </w:style>
  <w:style w:type="character" w:customStyle="1" w:styleId="SOParaChar">
    <w:name w:val="SO Para Char"/>
    <w:aliases w:val="soa Char"/>
    <w:basedOn w:val="DefaultParagraphFont"/>
    <w:link w:val="SOPara"/>
    <w:rsid w:val="001F70D4"/>
    <w:rPr>
      <w:sz w:val="22"/>
    </w:rPr>
  </w:style>
  <w:style w:type="paragraph" w:customStyle="1" w:styleId="FileName">
    <w:name w:val="FileName"/>
    <w:basedOn w:val="Normal"/>
    <w:rsid w:val="001F70D4"/>
  </w:style>
  <w:style w:type="paragraph" w:customStyle="1" w:styleId="TableHeading">
    <w:name w:val="TableHeading"/>
    <w:aliases w:val="th"/>
    <w:basedOn w:val="OPCParaBase"/>
    <w:next w:val="Tabletext"/>
    <w:rsid w:val="001F70D4"/>
    <w:pPr>
      <w:keepNext/>
      <w:spacing w:before="60" w:line="240" w:lineRule="atLeast"/>
    </w:pPr>
    <w:rPr>
      <w:b/>
      <w:sz w:val="20"/>
    </w:rPr>
  </w:style>
  <w:style w:type="paragraph" w:customStyle="1" w:styleId="SOHeadBold">
    <w:name w:val="SO HeadBold"/>
    <w:aliases w:val="sohb"/>
    <w:basedOn w:val="SOText"/>
    <w:next w:val="SOText"/>
    <w:link w:val="SOHeadBoldChar"/>
    <w:qFormat/>
    <w:rsid w:val="001F70D4"/>
    <w:rPr>
      <w:b/>
    </w:rPr>
  </w:style>
  <w:style w:type="character" w:customStyle="1" w:styleId="SOHeadBoldChar">
    <w:name w:val="SO HeadBold Char"/>
    <w:aliases w:val="sohb Char"/>
    <w:basedOn w:val="DefaultParagraphFont"/>
    <w:link w:val="SOHeadBold"/>
    <w:rsid w:val="001F70D4"/>
    <w:rPr>
      <w:b/>
      <w:sz w:val="22"/>
    </w:rPr>
  </w:style>
  <w:style w:type="paragraph" w:customStyle="1" w:styleId="SOHeadItalic">
    <w:name w:val="SO HeadItalic"/>
    <w:aliases w:val="sohi"/>
    <w:basedOn w:val="SOText"/>
    <w:next w:val="SOText"/>
    <w:link w:val="SOHeadItalicChar"/>
    <w:qFormat/>
    <w:rsid w:val="001F70D4"/>
    <w:rPr>
      <w:i/>
    </w:rPr>
  </w:style>
  <w:style w:type="character" w:customStyle="1" w:styleId="SOHeadItalicChar">
    <w:name w:val="SO HeadItalic Char"/>
    <w:aliases w:val="sohi Char"/>
    <w:basedOn w:val="DefaultParagraphFont"/>
    <w:link w:val="SOHeadItalic"/>
    <w:rsid w:val="001F70D4"/>
    <w:rPr>
      <w:i/>
      <w:sz w:val="22"/>
    </w:rPr>
  </w:style>
  <w:style w:type="paragraph" w:customStyle="1" w:styleId="SOBullet">
    <w:name w:val="SO Bullet"/>
    <w:aliases w:val="sotb"/>
    <w:basedOn w:val="SOText"/>
    <w:link w:val="SOBulletChar"/>
    <w:qFormat/>
    <w:rsid w:val="001F70D4"/>
    <w:pPr>
      <w:ind w:left="1559" w:hanging="425"/>
    </w:pPr>
  </w:style>
  <w:style w:type="character" w:customStyle="1" w:styleId="SOBulletChar">
    <w:name w:val="SO Bullet Char"/>
    <w:aliases w:val="sotb Char"/>
    <w:basedOn w:val="DefaultParagraphFont"/>
    <w:link w:val="SOBullet"/>
    <w:rsid w:val="001F70D4"/>
    <w:rPr>
      <w:sz w:val="22"/>
    </w:rPr>
  </w:style>
  <w:style w:type="paragraph" w:customStyle="1" w:styleId="SOBulletNote">
    <w:name w:val="SO BulletNote"/>
    <w:aliases w:val="sonb"/>
    <w:basedOn w:val="SOTextNote"/>
    <w:link w:val="SOBulletNoteChar"/>
    <w:qFormat/>
    <w:rsid w:val="001F70D4"/>
    <w:pPr>
      <w:tabs>
        <w:tab w:val="left" w:pos="1560"/>
      </w:tabs>
      <w:ind w:left="2268" w:hanging="1134"/>
    </w:pPr>
  </w:style>
  <w:style w:type="character" w:customStyle="1" w:styleId="SOBulletNoteChar">
    <w:name w:val="SO BulletNote Char"/>
    <w:aliases w:val="sonb Char"/>
    <w:basedOn w:val="DefaultParagraphFont"/>
    <w:link w:val="SOBulletNote"/>
    <w:rsid w:val="001F70D4"/>
    <w:rPr>
      <w:sz w:val="18"/>
    </w:rPr>
  </w:style>
  <w:style w:type="paragraph" w:customStyle="1" w:styleId="SOText2">
    <w:name w:val="SO Text2"/>
    <w:aliases w:val="sot2"/>
    <w:basedOn w:val="Normal"/>
    <w:next w:val="SOText"/>
    <w:link w:val="SOText2Char"/>
    <w:rsid w:val="001F70D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F70D4"/>
    <w:rPr>
      <w:sz w:val="22"/>
    </w:rPr>
  </w:style>
  <w:style w:type="paragraph" w:styleId="ListParagraph">
    <w:name w:val="List Paragraph"/>
    <w:basedOn w:val="Normal"/>
    <w:uiPriority w:val="34"/>
    <w:qFormat/>
    <w:rsid w:val="00074F2E"/>
    <w:pPr>
      <w:spacing w:line="240" w:lineRule="auto"/>
      <w:ind w:left="720"/>
    </w:pPr>
    <w:rPr>
      <w:rFonts w:ascii="Calibri" w:eastAsia="Times New Roman" w:hAnsi="Calibri" w:cs="Calibri"/>
      <w:sz w:val="20"/>
      <w:lang w:eastAsia="en-AU"/>
    </w:rPr>
  </w:style>
  <w:style w:type="paragraph" w:styleId="NormalWeb">
    <w:name w:val="Normal (Web)"/>
    <w:basedOn w:val="Normal"/>
    <w:uiPriority w:val="99"/>
    <w:unhideWhenUsed/>
    <w:rsid w:val="00D5398F"/>
    <w:pPr>
      <w:spacing w:before="100" w:beforeAutospacing="1" w:after="100" w:afterAutospacing="1" w:line="240" w:lineRule="auto"/>
    </w:pPr>
    <w:rPr>
      <w:rFonts w:cs="Times New Roman"/>
      <w:sz w:val="24"/>
      <w:szCs w:val="24"/>
      <w:lang w:eastAsia="en-AU"/>
    </w:rPr>
  </w:style>
  <w:style w:type="character" w:customStyle="1" w:styleId="charlegtitle1">
    <w:name w:val="charlegtitle1"/>
    <w:basedOn w:val="DefaultParagraphFont"/>
    <w:rsid w:val="004A7DE9"/>
    <w:rPr>
      <w:rFonts w:ascii="Helvetica Neue" w:hAnsi="Helvetica Neue" w:hint="default"/>
      <w:b/>
      <w:bCs/>
      <w:color w:val="10418E"/>
      <w:sz w:val="40"/>
      <w:szCs w:val="40"/>
    </w:rPr>
  </w:style>
  <w:style w:type="character" w:customStyle="1" w:styleId="charlegsubtitle1">
    <w:name w:val="charlegsubtitle1"/>
    <w:basedOn w:val="DefaultParagraphFont"/>
    <w:rsid w:val="004A7DE9"/>
    <w:rPr>
      <w:rFonts w:ascii="Helvetica Neue" w:hAnsi="Helvetica Neue"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3209">
      <w:bodyDiv w:val="1"/>
      <w:marLeft w:val="0"/>
      <w:marRight w:val="0"/>
      <w:marTop w:val="0"/>
      <w:marBottom w:val="0"/>
      <w:divBdr>
        <w:top w:val="none" w:sz="0" w:space="0" w:color="auto"/>
        <w:left w:val="none" w:sz="0" w:space="0" w:color="auto"/>
        <w:bottom w:val="none" w:sz="0" w:space="0" w:color="auto"/>
        <w:right w:val="none" w:sz="0" w:space="0" w:color="auto"/>
      </w:divBdr>
    </w:div>
    <w:div w:id="879973338">
      <w:bodyDiv w:val="1"/>
      <w:marLeft w:val="0"/>
      <w:marRight w:val="0"/>
      <w:marTop w:val="0"/>
      <w:marBottom w:val="0"/>
      <w:divBdr>
        <w:top w:val="none" w:sz="0" w:space="0" w:color="auto"/>
        <w:left w:val="none" w:sz="0" w:space="0" w:color="auto"/>
        <w:bottom w:val="none" w:sz="0" w:space="0" w:color="auto"/>
        <w:right w:val="none" w:sz="0" w:space="0" w:color="auto"/>
      </w:divBdr>
    </w:div>
    <w:div w:id="1245184820">
      <w:bodyDiv w:val="1"/>
      <w:marLeft w:val="0"/>
      <w:marRight w:val="0"/>
      <w:marTop w:val="0"/>
      <w:marBottom w:val="0"/>
      <w:divBdr>
        <w:top w:val="none" w:sz="0" w:space="0" w:color="auto"/>
        <w:left w:val="none" w:sz="0" w:space="0" w:color="auto"/>
        <w:bottom w:val="none" w:sz="0" w:space="0" w:color="auto"/>
        <w:right w:val="none" w:sz="0" w:space="0" w:color="auto"/>
      </w:divBdr>
    </w:div>
    <w:div w:id="1294601001">
      <w:bodyDiv w:val="1"/>
      <w:marLeft w:val="0"/>
      <w:marRight w:val="0"/>
      <w:marTop w:val="0"/>
      <w:marBottom w:val="0"/>
      <w:divBdr>
        <w:top w:val="none" w:sz="0" w:space="0" w:color="auto"/>
        <w:left w:val="none" w:sz="0" w:space="0" w:color="auto"/>
        <w:bottom w:val="none" w:sz="0" w:space="0" w:color="auto"/>
        <w:right w:val="none" w:sz="0" w:space="0" w:color="auto"/>
      </w:divBdr>
      <w:divsChild>
        <w:div w:id="173153414">
          <w:marLeft w:val="0"/>
          <w:marRight w:val="0"/>
          <w:marTop w:val="0"/>
          <w:marBottom w:val="0"/>
          <w:divBdr>
            <w:top w:val="none" w:sz="0" w:space="0" w:color="auto"/>
            <w:left w:val="none" w:sz="0" w:space="0" w:color="auto"/>
            <w:bottom w:val="none" w:sz="0" w:space="0" w:color="auto"/>
            <w:right w:val="none" w:sz="0" w:space="0" w:color="auto"/>
          </w:divBdr>
          <w:divsChild>
            <w:div w:id="1955941935">
              <w:marLeft w:val="0"/>
              <w:marRight w:val="0"/>
              <w:marTop w:val="0"/>
              <w:marBottom w:val="0"/>
              <w:divBdr>
                <w:top w:val="none" w:sz="0" w:space="0" w:color="auto"/>
                <w:left w:val="none" w:sz="0" w:space="0" w:color="auto"/>
                <w:bottom w:val="none" w:sz="0" w:space="0" w:color="auto"/>
                <w:right w:val="none" w:sz="0" w:space="0" w:color="auto"/>
              </w:divBdr>
              <w:divsChild>
                <w:div w:id="58750590">
                  <w:marLeft w:val="0"/>
                  <w:marRight w:val="0"/>
                  <w:marTop w:val="0"/>
                  <w:marBottom w:val="0"/>
                  <w:divBdr>
                    <w:top w:val="none" w:sz="0" w:space="0" w:color="auto"/>
                    <w:left w:val="none" w:sz="0" w:space="0" w:color="auto"/>
                    <w:bottom w:val="none" w:sz="0" w:space="0" w:color="auto"/>
                    <w:right w:val="none" w:sz="0" w:space="0" w:color="auto"/>
                  </w:divBdr>
                  <w:divsChild>
                    <w:div w:id="758715937">
                      <w:marLeft w:val="0"/>
                      <w:marRight w:val="0"/>
                      <w:marTop w:val="0"/>
                      <w:marBottom w:val="0"/>
                      <w:divBdr>
                        <w:top w:val="none" w:sz="0" w:space="0" w:color="auto"/>
                        <w:left w:val="none" w:sz="0" w:space="0" w:color="auto"/>
                        <w:bottom w:val="none" w:sz="0" w:space="0" w:color="auto"/>
                        <w:right w:val="none" w:sz="0" w:space="0" w:color="auto"/>
                      </w:divBdr>
                      <w:divsChild>
                        <w:div w:id="1993558945">
                          <w:marLeft w:val="0"/>
                          <w:marRight w:val="0"/>
                          <w:marTop w:val="0"/>
                          <w:marBottom w:val="0"/>
                          <w:divBdr>
                            <w:top w:val="none" w:sz="0" w:space="0" w:color="auto"/>
                            <w:left w:val="none" w:sz="0" w:space="0" w:color="auto"/>
                            <w:bottom w:val="none" w:sz="0" w:space="0" w:color="auto"/>
                            <w:right w:val="none" w:sz="0" w:space="0" w:color="auto"/>
                          </w:divBdr>
                          <w:divsChild>
                            <w:div w:id="1573127051">
                              <w:marLeft w:val="0"/>
                              <w:marRight w:val="0"/>
                              <w:marTop w:val="0"/>
                              <w:marBottom w:val="0"/>
                              <w:divBdr>
                                <w:top w:val="none" w:sz="0" w:space="0" w:color="auto"/>
                                <w:left w:val="none" w:sz="0" w:space="0" w:color="auto"/>
                                <w:bottom w:val="none" w:sz="0" w:space="0" w:color="auto"/>
                                <w:right w:val="none" w:sz="0" w:space="0" w:color="auto"/>
                              </w:divBdr>
                            </w:div>
                            <w:div w:id="7255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png"/><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png"/><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eader" Target="header7.xml"/><Relationship Id="rId35"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CD065-B68E-406F-BD43-78C279D6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24</Pages>
  <Words>1845</Words>
  <Characters>10520</Characters>
  <Application>Microsoft Office Word</Application>
  <DocSecurity>4</DocSecurity>
  <PresentationFormat/>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2014-12-23T03:04:00Z</dcterms:created>
  <dcterms:modified xsi:type="dcterms:W3CDTF">2014-12-23T03:04:00Z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213, 2014</vt:lpwstr>
  </property>
  <property fmtid="{D5CDD505-2E9C-101B-9397-08002B2CF9AE}" pid="3" name="ShortT">
    <vt:lpwstr>Family Law Amendment (2014 Measures No. 1) Rules 2014</vt:lpwstr>
  </property>
  <property fmtid="{D5CDD505-2E9C-101B-9397-08002B2CF9AE}" pid="4" name="Class">
    <vt:lpwstr>Family Court Rules</vt:lpwstr>
  </property>
  <property fmtid="{D5CDD505-2E9C-101B-9397-08002B2CF9AE}" pid="5" name="Type">
    <vt:lpwstr>SLI</vt:lpwstr>
  </property>
  <property fmtid="{D5CDD505-2E9C-101B-9397-08002B2CF9AE}" pid="6" name="DocType">
    <vt:lpwstr>AMD</vt:lpwstr>
  </property>
  <property fmtid="{D5CDD505-2E9C-101B-9397-08002B2CF9AE}" pid="7" name="Header">
    <vt:lpwstr>Rule</vt:lpwstr>
  </property>
  <property fmtid="{D5CDD505-2E9C-101B-9397-08002B2CF9AE}" pid="8" name="Exco">
    <vt:lpwstr>No</vt:lpwstr>
  </property>
  <property fmtid="{D5CDD505-2E9C-101B-9397-08002B2CF9AE}" pid="9" name="DateMade">
    <vt:lpwstr>17 December 2014</vt:lpwstr>
  </property>
  <property fmtid="{D5CDD505-2E9C-101B-9397-08002B2CF9AE}" pid="10" name="Authority">
    <vt:lpwstr/>
  </property>
  <property fmtid="{D5CDD505-2E9C-101B-9397-08002B2CF9AE}" pid="11" name="ID">
    <vt:lpwstr>OPC60602</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Family Law Act 1975</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B</vt:lpwstr>
  </property>
  <property fmtid="{D5CDD505-2E9C-101B-9397-08002B2CF9AE}" pid="19" name="CounterSign">
    <vt:lpwstr/>
  </property>
  <property fmtid="{D5CDD505-2E9C-101B-9397-08002B2CF9AE}" pid="20" name="ExcoDate">
    <vt:lpwstr>17 December 2014</vt:lpwstr>
  </property>
</Properties>
</file>