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C4F66" w14:textId="77777777" w:rsidR="00F81193" w:rsidRPr="009A2975" w:rsidRDefault="004905F8">
      <w:r>
        <w:rPr>
          <w:noProof/>
        </w:rPr>
        <w:drawing>
          <wp:inline distT="0" distB="0" distL="0" distR="0" wp14:anchorId="3CEADEC0" wp14:editId="197040A5">
            <wp:extent cx="1425575" cy="1101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25575" cy="1101725"/>
                    </a:xfrm>
                    <a:prstGeom prst="rect">
                      <a:avLst/>
                    </a:prstGeom>
                    <a:noFill/>
                    <a:ln w="9525">
                      <a:noFill/>
                      <a:miter lim="800000"/>
                      <a:headEnd/>
                      <a:tailEnd/>
                    </a:ln>
                  </pic:spPr>
                </pic:pic>
              </a:graphicData>
            </a:graphic>
          </wp:inline>
        </w:drawing>
      </w:r>
    </w:p>
    <w:p w14:paraId="63EEFD4E" w14:textId="77777777" w:rsidR="00F81193" w:rsidRDefault="00F81193">
      <w:pPr>
        <w:pStyle w:val="Title"/>
      </w:pPr>
      <w:bookmarkStart w:id="0" w:name="Citation"/>
      <w:proofErr w:type="spellStart"/>
      <w:r>
        <w:t>Radiocommunications</w:t>
      </w:r>
      <w:proofErr w:type="spellEnd"/>
      <w:r>
        <w:t xml:space="preserve"> (Cordless </w:t>
      </w:r>
      <w:r w:rsidR="00F0273F">
        <w:t xml:space="preserve">Communications </w:t>
      </w:r>
      <w:r>
        <w:t xml:space="preserve">Devices) Class Licence </w:t>
      </w:r>
      <w:bookmarkEnd w:id="0"/>
      <w:r w:rsidR="00E909D4">
        <w:t>2014</w:t>
      </w:r>
    </w:p>
    <w:p w14:paraId="62787FD6" w14:textId="5499DB04" w:rsidR="00F81193" w:rsidRPr="00D72907" w:rsidRDefault="00F81193">
      <w:pPr>
        <w:pStyle w:val="CoverMade"/>
        <w:rPr>
          <w:lang w:val="en-US"/>
        </w:rPr>
      </w:pPr>
      <w:proofErr w:type="gramStart"/>
      <w:r>
        <w:rPr>
          <w:lang w:val="en-US"/>
        </w:rPr>
        <w:t>made</w:t>
      </w:r>
      <w:proofErr w:type="gramEnd"/>
      <w:r>
        <w:rPr>
          <w:lang w:val="en-US"/>
        </w:rPr>
        <w:t xml:space="preserve"> under </w:t>
      </w:r>
      <w:r w:rsidR="00445DEF">
        <w:rPr>
          <w:lang w:val="en-US"/>
        </w:rPr>
        <w:t>sub</w:t>
      </w:r>
      <w:r>
        <w:rPr>
          <w:lang w:val="en-US"/>
        </w:rPr>
        <w:t xml:space="preserve">section </w:t>
      </w:r>
      <w:r w:rsidR="00E909D4">
        <w:rPr>
          <w:lang w:val="en-US"/>
        </w:rPr>
        <w:t>132</w:t>
      </w:r>
      <w:r w:rsidR="00445DEF">
        <w:rPr>
          <w:lang w:val="en-US"/>
        </w:rPr>
        <w:t>(1</w:t>
      </w:r>
      <w:r w:rsidR="00445DEF" w:rsidRPr="00031E07">
        <w:rPr>
          <w:lang w:val="en-US"/>
        </w:rPr>
        <w:t>)</w:t>
      </w:r>
      <w:r w:rsidR="00E909D4" w:rsidRPr="00031E07">
        <w:t xml:space="preserve"> </w:t>
      </w:r>
      <w:r w:rsidR="00C10F75" w:rsidRPr="00031E07">
        <w:t>of</w:t>
      </w:r>
      <w:r>
        <w:t xml:space="preserve"> the</w:t>
      </w:r>
    </w:p>
    <w:p w14:paraId="43CD212A" w14:textId="77777777" w:rsidR="00F81193" w:rsidRDefault="00F81193" w:rsidP="00F81193">
      <w:pPr>
        <w:pStyle w:val="CoverAct"/>
        <w:rPr>
          <w:lang w:val="en-US"/>
        </w:rPr>
      </w:pPr>
      <w:bookmarkStart w:id="1" w:name="Act"/>
      <w:proofErr w:type="spellStart"/>
      <w:r>
        <w:t>Radiocommunications</w:t>
      </w:r>
      <w:proofErr w:type="spellEnd"/>
      <w:r>
        <w:t xml:space="preserve"> Act 1992</w:t>
      </w:r>
      <w:bookmarkEnd w:id="1"/>
    </w:p>
    <w:p w14:paraId="2F7E1BBB" w14:textId="7AEB0CD0" w:rsidR="0080707F" w:rsidRDefault="00A50610" w:rsidP="0080707F">
      <w:pPr>
        <w:spacing w:before="120"/>
      </w:pPr>
      <w:r w:rsidRPr="00031E07">
        <w:t>Dated</w:t>
      </w:r>
      <w:r w:rsidRPr="00716957">
        <w:tab/>
      </w:r>
      <w:r w:rsidR="002C7553" w:rsidRPr="002C7553">
        <w:rPr>
          <w:i/>
        </w:rPr>
        <w:t>15 December 2014</w:t>
      </w:r>
    </w:p>
    <w:p w14:paraId="13FA95C0" w14:textId="77777777" w:rsidR="00A50610" w:rsidRPr="00716957" w:rsidRDefault="00A50610" w:rsidP="00A50610"/>
    <w:p w14:paraId="0F4F9ECD" w14:textId="2E7E1F1C" w:rsidR="00A50610" w:rsidRPr="00716957" w:rsidRDefault="002C7553" w:rsidP="00A50610">
      <w:pPr>
        <w:jc w:val="right"/>
      </w:pPr>
      <w:r w:rsidRPr="002C7553">
        <w:rPr>
          <w:i/>
        </w:rPr>
        <w:t>Chris Chapman</w:t>
      </w:r>
      <w:r>
        <w:t xml:space="preserve"> </w:t>
      </w:r>
      <w:r>
        <w:br/>
        <w:t>[signed</w:t>
      </w:r>
      <w:proofErr w:type="gramStart"/>
      <w:r>
        <w:t>]</w:t>
      </w:r>
      <w:proofErr w:type="gramEnd"/>
      <w:r>
        <w:br/>
      </w:r>
      <w:r w:rsidR="00A50610" w:rsidRPr="00716957">
        <w:t>Member</w:t>
      </w:r>
    </w:p>
    <w:p w14:paraId="7C8BCCDA" w14:textId="77777777" w:rsidR="00A50610" w:rsidRPr="00716957" w:rsidRDefault="00A50610" w:rsidP="00A50610">
      <w:pPr>
        <w:jc w:val="right"/>
      </w:pPr>
    </w:p>
    <w:p w14:paraId="1A3EB1BF" w14:textId="77777777" w:rsidR="00A50610" w:rsidRPr="00716957" w:rsidRDefault="00A50610" w:rsidP="00A50610">
      <w:pPr>
        <w:jc w:val="right"/>
      </w:pPr>
    </w:p>
    <w:p w14:paraId="7235AB40" w14:textId="77777777" w:rsidR="00A50610" w:rsidRPr="00716957" w:rsidRDefault="00A50610" w:rsidP="00A50610">
      <w:pPr>
        <w:jc w:val="right"/>
      </w:pPr>
    </w:p>
    <w:p w14:paraId="0FF79F4E" w14:textId="355D89DE" w:rsidR="00A50610" w:rsidRPr="00716957" w:rsidRDefault="002C7553" w:rsidP="00A50610">
      <w:pPr>
        <w:jc w:val="right"/>
      </w:pPr>
      <w:r w:rsidRPr="002C7553">
        <w:rPr>
          <w:i/>
        </w:rPr>
        <w:t>Richard Bean</w:t>
      </w:r>
      <w:r>
        <w:t xml:space="preserve"> </w:t>
      </w:r>
      <w:r>
        <w:br/>
        <w:t xml:space="preserve">[signed] </w:t>
      </w:r>
      <w:r>
        <w:br/>
      </w:r>
      <w:r w:rsidR="00A50610" w:rsidRPr="00716957">
        <w:t>Member/</w:t>
      </w:r>
      <w:r w:rsidR="00A50610" w:rsidRPr="002C7553">
        <w:rPr>
          <w:strike/>
        </w:rPr>
        <w:t>General Manager</w:t>
      </w:r>
    </w:p>
    <w:p w14:paraId="29A719ED" w14:textId="77777777" w:rsidR="00A50610" w:rsidRPr="00716957" w:rsidRDefault="00A50610" w:rsidP="00A50610"/>
    <w:p w14:paraId="0A9A617B" w14:textId="77777777" w:rsidR="00A50610" w:rsidRDefault="00A50610" w:rsidP="00A50610">
      <w:pPr>
        <w:pBdr>
          <w:bottom w:val="single" w:sz="6" w:space="1" w:color="auto"/>
        </w:pBdr>
      </w:pPr>
      <w:r w:rsidRPr="00716957">
        <w:t>Australian Communications and Media Authorit</w:t>
      </w:r>
      <w:bookmarkStart w:id="2" w:name="_GoBack"/>
      <w:bookmarkEnd w:id="2"/>
      <w:r w:rsidRPr="00716957">
        <w:t>y</w:t>
      </w:r>
    </w:p>
    <w:p w14:paraId="5F9A70FE" w14:textId="77777777" w:rsidR="00F81193" w:rsidRDefault="00F81193">
      <w:pPr>
        <w:pStyle w:val="SigningPageBreak"/>
        <w:sectPr w:rsidR="00F81193">
          <w:headerReference w:type="even" r:id="rId13"/>
          <w:headerReference w:type="default" r:id="rId14"/>
          <w:footerReference w:type="even" r:id="rId15"/>
          <w:footerReference w:type="default" r:id="rId16"/>
          <w:pgSz w:w="11907" w:h="16839" w:code="9"/>
          <w:pgMar w:top="1440" w:right="1797" w:bottom="1440" w:left="1797" w:header="709" w:footer="709" w:gutter="0"/>
          <w:cols w:space="708"/>
          <w:titlePg/>
          <w:docGrid w:linePitch="360"/>
        </w:sectPr>
      </w:pPr>
    </w:p>
    <w:p w14:paraId="42ED9AC9" w14:textId="77777777" w:rsidR="00AF4D93" w:rsidRDefault="00AF4D93" w:rsidP="00F81193">
      <w:pPr>
        <w:pStyle w:val="Header"/>
        <w:pageBreakBefore/>
      </w:pPr>
      <w:r>
        <w:rPr>
          <w:rStyle w:val="CharPartNo"/>
        </w:rPr>
        <w:lastRenderedPageBreak/>
        <w:t xml:space="preserve"> </w:t>
      </w:r>
      <w:r>
        <w:rPr>
          <w:rStyle w:val="CharPartText"/>
        </w:rPr>
        <w:t xml:space="preserve"> </w:t>
      </w:r>
    </w:p>
    <w:p w14:paraId="3057FB0B" w14:textId="77777777" w:rsidR="00AF4D93" w:rsidRDefault="00AF4D93" w:rsidP="00AF4D93">
      <w:pPr>
        <w:pStyle w:val="Header"/>
      </w:pPr>
      <w:r>
        <w:rPr>
          <w:rStyle w:val="CharDivNo"/>
        </w:rPr>
        <w:t xml:space="preserve"> </w:t>
      </w:r>
      <w:r>
        <w:rPr>
          <w:rStyle w:val="CharDivText"/>
        </w:rPr>
        <w:t xml:space="preserve"> </w:t>
      </w:r>
    </w:p>
    <w:p w14:paraId="3A46AFA9" w14:textId="6A737F7B" w:rsidR="00F0273F" w:rsidRPr="00F0273F" w:rsidRDefault="00F0273F" w:rsidP="00F0273F">
      <w:pPr>
        <w:pStyle w:val="HR"/>
        <w:rPr>
          <w:b w:val="0"/>
          <w:sz w:val="18"/>
        </w:rPr>
      </w:pPr>
      <w:bookmarkStart w:id="3" w:name="_Toc211679800"/>
      <w:r w:rsidRPr="00FA6F20">
        <w:rPr>
          <w:rStyle w:val="CharSectno"/>
        </w:rPr>
        <w:t>1</w:t>
      </w:r>
      <w:r w:rsidRPr="001C73BA">
        <w:tab/>
        <w:t>Name of class licence</w:t>
      </w:r>
      <w:bookmarkEnd w:id="3"/>
    </w:p>
    <w:p w14:paraId="44CDB7FE" w14:textId="3E17D5C1" w:rsidR="00F0273F" w:rsidRPr="001C73BA" w:rsidRDefault="00F0273F" w:rsidP="00F0273F">
      <w:pPr>
        <w:pStyle w:val="R1"/>
      </w:pPr>
      <w:r w:rsidRPr="001C73BA">
        <w:tab/>
      </w:r>
      <w:r w:rsidRPr="001C73BA">
        <w:tab/>
        <w:t xml:space="preserve">This </w:t>
      </w:r>
      <w:r w:rsidR="00463A8A">
        <w:t>C</w:t>
      </w:r>
      <w:r w:rsidR="00463A8A" w:rsidRPr="001C73BA">
        <w:t xml:space="preserve">lass </w:t>
      </w:r>
      <w:r w:rsidR="00463A8A">
        <w:t>L</w:t>
      </w:r>
      <w:r w:rsidRPr="001C73BA">
        <w:t xml:space="preserve">icence is the </w:t>
      </w:r>
      <w:proofErr w:type="spellStart"/>
      <w:r w:rsidRPr="001C73BA">
        <w:rPr>
          <w:i/>
        </w:rPr>
        <w:t>Radiocommunications</w:t>
      </w:r>
      <w:proofErr w:type="spellEnd"/>
      <w:r w:rsidRPr="001C73BA">
        <w:rPr>
          <w:i/>
        </w:rPr>
        <w:t xml:space="preserve"> (Cordless Communications Devices) Class Licence 201</w:t>
      </w:r>
      <w:r w:rsidR="0006152D">
        <w:rPr>
          <w:i/>
        </w:rPr>
        <w:t>4</w:t>
      </w:r>
      <w:r w:rsidRPr="001C73BA">
        <w:t>.</w:t>
      </w:r>
    </w:p>
    <w:p w14:paraId="23185DB2" w14:textId="77777777" w:rsidR="00AF4D93" w:rsidRDefault="00AF4D93" w:rsidP="00AF4D93">
      <w:pPr>
        <w:pStyle w:val="HR"/>
      </w:pPr>
      <w:bookmarkStart w:id="4" w:name="_Toc211679801"/>
      <w:r>
        <w:rPr>
          <w:rStyle w:val="CharSectno"/>
        </w:rPr>
        <w:t>2</w:t>
      </w:r>
      <w:r>
        <w:tab/>
        <w:t>Commencement</w:t>
      </w:r>
      <w:bookmarkEnd w:id="4"/>
    </w:p>
    <w:p w14:paraId="78CF4802" w14:textId="77777777" w:rsidR="00E461DD" w:rsidRPr="00031E07" w:rsidRDefault="00AF4D93" w:rsidP="00E461DD">
      <w:pPr>
        <w:pStyle w:val="R1"/>
      </w:pPr>
      <w:r>
        <w:tab/>
      </w:r>
      <w:r>
        <w:tab/>
      </w:r>
      <w:r w:rsidRPr="00031E07">
        <w:t>This Class Licence commences on</w:t>
      </w:r>
      <w:r w:rsidR="0006152D" w:rsidRPr="00031E07">
        <w:t xml:space="preserve"> </w:t>
      </w:r>
      <w:r w:rsidR="00E461DD" w:rsidRPr="00031E07">
        <w:t>the later of:</w:t>
      </w:r>
    </w:p>
    <w:p w14:paraId="430A6678" w14:textId="77777777" w:rsidR="00E461DD" w:rsidRPr="00031E07" w:rsidRDefault="00E461DD" w:rsidP="003E2CCE">
      <w:pPr>
        <w:pStyle w:val="P1"/>
        <w:tabs>
          <w:tab w:val="clear" w:pos="1191"/>
          <w:tab w:val="right" w:pos="1276"/>
        </w:tabs>
      </w:pPr>
      <w:r w:rsidRPr="00031E07">
        <w:tab/>
        <w:t>(a)</w:t>
      </w:r>
      <w:r w:rsidRPr="00031E07">
        <w:tab/>
      </w:r>
      <w:proofErr w:type="gramStart"/>
      <w:r w:rsidRPr="00031E07">
        <w:t>the</w:t>
      </w:r>
      <w:proofErr w:type="gramEnd"/>
      <w:r w:rsidRPr="00031E07">
        <w:t xml:space="preserve"> day after it is registered; and</w:t>
      </w:r>
    </w:p>
    <w:p w14:paraId="0109D93F" w14:textId="77777777" w:rsidR="00E461DD" w:rsidRPr="00031E07" w:rsidRDefault="00E461DD" w:rsidP="003E2CCE">
      <w:pPr>
        <w:pStyle w:val="P1"/>
        <w:tabs>
          <w:tab w:val="clear" w:pos="1191"/>
          <w:tab w:val="right" w:pos="1276"/>
        </w:tabs>
      </w:pPr>
      <w:r w:rsidRPr="00031E07">
        <w:tab/>
        <w:t>(b)</w:t>
      </w:r>
      <w:r w:rsidRPr="00031E07">
        <w:tab/>
      </w:r>
      <w:proofErr w:type="gramStart"/>
      <w:r w:rsidRPr="00031E07">
        <w:t>the</w:t>
      </w:r>
      <w:proofErr w:type="gramEnd"/>
      <w:r w:rsidRPr="00031E07">
        <w:t xml:space="preserve"> day on which it is published in the Gazette;</w:t>
      </w:r>
    </w:p>
    <w:p w14:paraId="71DFFC95" w14:textId="77777777" w:rsidR="00E461DD" w:rsidRPr="00031E07" w:rsidRDefault="00E461DD" w:rsidP="00E461DD">
      <w:pPr>
        <w:pStyle w:val="Note"/>
      </w:pPr>
      <w:r w:rsidRPr="00031E07">
        <w:rPr>
          <w:i/>
          <w:iCs/>
        </w:rPr>
        <w:t>Note 1   </w:t>
      </w:r>
      <w:r w:rsidRPr="00031E07">
        <w:t xml:space="preserve">All legislative instruments and compilations are registered on the Federal Register of Legislative Instruments kept under the </w:t>
      </w:r>
      <w:r w:rsidRPr="00031E07">
        <w:rPr>
          <w:i/>
          <w:iCs/>
        </w:rPr>
        <w:t>Legislative Instruments Act 2003</w:t>
      </w:r>
      <w:r w:rsidRPr="00031E07">
        <w:t xml:space="preserve">. See </w:t>
      </w:r>
      <w:hyperlink r:id="rId17" w:history="1">
        <w:r w:rsidRPr="00031E07">
          <w:rPr>
            <w:rStyle w:val="Hyperlink"/>
          </w:rPr>
          <w:t>http://www.comlaw.gov.au</w:t>
        </w:r>
      </w:hyperlink>
      <w:r w:rsidRPr="00031E07">
        <w:t xml:space="preserve">. </w:t>
      </w:r>
    </w:p>
    <w:p w14:paraId="38E9D0E6" w14:textId="4A3BEBBA" w:rsidR="00AF4D93" w:rsidRDefault="00E461DD" w:rsidP="00E461DD">
      <w:pPr>
        <w:pStyle w:val="R1"/>
      </w:pPr>
      <w:r w:rsidRPr="00031E07">
        <w:rPr>
          <w:i/>
          <w:iCs/>
          <w:sz w:val="20"/>
          <w:lang w:eastAsia="en-AU"/>
        </w:rPr>
        <w:tab/>
      </w:r>
      <w:r w:rsidRPr="00031E07">
        <w:rPr>
          <w:i/>
          <w:iCs/>
          <w:sz w:val="20"/>
          <w:lang w:eastAsia="en-AU"/>
        </w:rPr>
        <w:tab/>
        <w:t>Note 2   </w:t>
      </w:r>
      <w:r w:rsidRPr="00031E07">
        <w:rPr>
          <w:iCs/>
          <w:sz w:val="20"/>
          <w:lang w:eastAsia="en-AU"/>
        </w:rPr>
        <w:t>Both of these events must occur before this Class Licence commences.</w:t>
      </w:r>
      <w:r w:rsidR="0006152D">
        <w:t xml:space="preserve"> </w:t>
      </w:r>
    </w:p>
    <w:p w14:paraId="7CFFD4CD" w14:textId="77777777" w:rsidR="00AF4D93" w:rsidRDefault="00AF4D93" w:rsidP="00AF4D93">
      <w:pPr>
        <w:pStyle w:val="HR"/>
      </w:pPr>
      <w:bookmarkStart w:id="5" w:name="_Toc211679802"/>
      <w:r>
        <w:rPr>
          <w:rStyle w:val="CharSectno"/>
        </w:rPr>
        <w:t>3</w:t>
      </w:r>
      <w:r>
        <w:tab/>
        <w:t>Revocation</w:t>
      </w:r>
      <w:bookmarkEnd w:id="5"/>
    </w:p>
    <w:p w14:paraId="7D93C716" w14:textId="05CC53B9" w:rsidR="00AF4D93" w:rsidRDefault="00AF4D93" w:rsidP="0006152D">
      <w:pPr>
        <w:pStyle w:val="R1"/>
        <w:jc w:val="left"/>
        <w:rPr>
          <w:vertAlign w:val="superscript"/>
        </w:rPr>
      </w:pPr>
      <w:r>
        <w:tab/>
      </w:r>
      <w:r>
        <w:tab/>
      </w:r>
      <w:r w:rsidR="0006152D">
        <w:t xml:space="preserve">The </w:t>
      </w:r>
      <w:proofErr w:type="spellStart"/>
      <w:r w:rsidR="0006152D" w:rsidRPr="001C73BA">
        <w:rPr>
          <w:i/>
        </w:rPr>
        <w:t>Radiocommunications</w:t>
      </w:r>
      <w:proofErr w:type="spellEnd"/>
      <w:r w:rsidR="0006152D" w:rsidRPr="001C73BA">
        <w:rPr>
          <w:i/>
        </w:rPr>
        <w:t xml:space="preserve"> (Cordless Commun</w:t>
      </w:r>
      <w:r w:rsidR="0006152D">
        <w:rPr>
          <w:i/>
        </w:rPr>
        <w:t xml:space="preserve">ications Devices) Class Licence </w:t>
      </w:r>
      <w:r w:rsidR="0006152D" w:rsidRPr="001C73BA">
        <w:rPr>
          <w:i/>
        </w:rPr>
        <w:t>20</w:t>
      </w:r>
      <w:r w:rsidR="0006152D">
        <w:rPr>
          <w:i/>
        </w:rPr>
        <w:t>01</w:t>
      </w:r>
      <w:r w:rsidR="00920CF0">
        <w:t xml:space="preserve"> [F2005B00296] </w:t>
      </w:r>
      <w:r>
        <w:t>is revoked.</w:t>
      </w:r>
    </w:p>
    <w:p w14:paraId="0773A854" w14:textId="77777777" w:rsidR="00AF4D93" w:rsidRDefault="00AF4D93" w:rsidP="00AF4D93">
      <w:pPr>
        <w:pStyle w:val="HR"/>
      </w:pPr>
      <w:bookmarkStart w:id="6" w:name="_Toc211679803"/>
      <w:r>
        <w:rPr>
          <w:rStyle w:val="CharSectno"/>
        </w:rPr>
        <w:t>4</w:t>
      </w:r>
      <w:r>
        <w:tab/>
        <w:t>Definitions</w:t>
      </w:r>
      <w:bookmarkEnd w:id="6"/>
    </w:p>
    <w:p w14:paraId="7B0D52D0" w14:textId="77777777" w:rsidR="00AF4D93" w:rsidRDefault="00AF4D93" w:rsidP="00AF4D93">
      <w:pPr>
        <w:pStyle w:val="R1"/>
        <w:keepNext/>
      </w:pPr>
      <w:r>
        <w:tab/>
      </w:r>
      <w:r>
        <w:tab/>
        <w:t>In this Class Licence:</w:t>
      </w:r>
    </w:p>
    <w:p w14:paraId="492EED86" w14:textId="77777777" w:rsidR="00F0273F" w:rsidRPr="001C73BA" w:rsidRDefault="00F0273F" w:rsidP="00F0273F">
      <w:pPr>
        <w:pStyle w:val="Zdefinition"/>
      </w:pPr>
      <w:proofErr w:type="gramStart"/>
      <w:r w:rsidRPr="00FA6F20">
        <w:rPr>
          <w:b/>
          <w:i/>
        </w:rPr>
        <w:t>cordless</w:t>
      </w:r>
      <w:proofErr w:type="gramEnd"/>
      <w:r w:rsidRPr="00FA6F20">
        <w:rPr>
          <w:b/>
          <w:i/>
        </w:rPr>
        <w:t xml:space="preserve"> communications device</w:t>
      </w:r>
      <w:r w:rsidRPr="001C73BA">
        <w:t xml:space="preserve"> means any of the following:</w:t>
      </w:r>
    </w:p>
    <w:p w14:paraId="285B002D" w14:textId="77777777" w:rsidR="00F0273F" w:rsidRPr="001C73BA" w:rsidRDefault="00F0273F" w:rsidP="003E2CCE">
      <w:pPr>
        <w:pStyle w:val="ZP1"/>
        <w:tabs>
          <w:tab w:val="clear" w:pos="1191"/>
          <w:tab w:val="right" w:pos="1276"/>
        </w:tabs>
      </w:pPr>
      <w:r w:rsidRPr="001C73BA">
        <w:tab/>
        <w:t>(a)</w:t>
      </w:r>
      <w:r w:rsidRPr="001C73BA">
        <w:tab/>
      </w:r>
      <w:proofErr w:type="gramStart"/>
      <w:r w:rsidRPr="001C73BA">
        <w:t>a</w:t>
      </w:r>
      <w:proofErr w:type="gramEnd"/>
      <w:r w:rsidRPr="001C73BA">
        <w:t xml:space="preserve"> land station or</w:t>
      </w:r>
      <w:r>
        <w:t xml:space="preserve"> hand</w:t>
      </w:r>
      <w:r w:rsidRPr="001C73BA">
        <w:t>set that uses:</w:t>
      </w:r>
    </w:p>
    <w:p w14:paraId="462297AA" w14:textId="4BDBA7F7" w:rsidR="00F0273F" w:rsidRPr="001C73BA" w:rsidRDefault="00F0273F" w:rsidP="003E2CCE">
      <w:pPr>
        <w:pStyle w:val="P2"/>
        <w:numPr>
          <w:ilvl w:val="0"/>
          <w:numId w:val="15"/>
        </w:numPr>
        <w:tabs>
          <w:tab w:val="clear" w:pos="1758"/>
        </w:tabs>
        <w:ind w:left="1843" w:hanging="425"/>
      </w:pPr>
      <w:r w:rsidRPr="001C73BA">
        <w:t>a frequency greater than 1.7175 MHz and not greater than 1.7925</w:t>
      </w:r>
      <w:r>
        <w:t> </w:t>
      </w:r>
      <w:r w:rsidRPr="001C73BA">
        <w:t>MHz; or</w:t>
      </w:r>
    </w:p>
    <w:p w14:paraId="38211C04" w14:textId="53853492" w:rsidR="00F0273F" w:rsidRPr="001C73BA" w:rsidRDefault="00F0273F" w:rsidP="003E2CCE">
      <w:pPr>
        <w:pStyle w:val="P2"/>
        <w:numPr>
          <w:ilvl w:val="0"/>
          <w:numId w:val="15"/>
        </w:numPr>
        <w:tabs>
          <w:tab w:val="clear" w:pos="1758"/>
        </w:tabs>
        <w:ind w:left="1843" w:hanging="425"/>
      </w:pPr>
      <w:r w:rsidRPr="001C73BA">
        <w:t>a frequency greater than 30.0625 MHz and not greater than 30.3125 MHz; or</w:t>
      </w:r>
    </w:p>
    <w:p w14:paraId="693C9553" w14:textId="5713FBE1" w:rsidR="00F0273F" w:rsidRPr="001C73BA" w:rsidRDefault="00F0273F" w:rsidP="003E2CCE">
      <w:pPr>
        <w:pStyle w:val="P2"/>
        <w:numPr>
          <w:ilvl w:val="0"/>
          <w:numId w:val="15"/>
        </w:numPr>
        <w:tabs>
          <w:tab w:val="clear" w:pos="1758"/>
        </w:tabs>
        <w:ind w:left="1843" w:hanging="425"/>
      </w:pPr>
      <w:r w:rsidRPr="001C73BA">
        <w:t>a frequency greater than 39.7625 MHz and not greater than 40.250</w:t>
      </w:r>
      <w:r>
        <w:t> </w:t>
      </w:r>
      <w:r w:rsidRPr="001C73BA">
        <w:t>MHz; or</w:t>
      </w:r>
    </w:p>
    <w:p w14:paraId="5439831E" w14:textId="4CFC6C9D" w:rsidR="00F0273F" w:rsidRPr="001C73BA" w:rsidRDefault="00F0273F" w:rsidP="003E2CCE">
      <w:pPr>
        <w:pStyle w:val="P2"/>
        <w:numPr>
          <w:ilvl w:val="0"/>
          <w:numId w:val="15"/>
        </w:numPr>
        <w:tabs>
          <w:tab w:val="clear" w:pos="1758"/>
        </w:tabs>
        <w:ind w:left="1843" w:hanging="425"/>
      </w:pPr>
      <w:r w:rsidRPr="001C73BA">
        <w:t>a frequency greater than 857 MHz and not greater than 861 MHz; or</w:t>
      </w:r>
    </w:p>
    <w:p w14:paraId="3D67FA4E" w14:textId="3E41BE2E" w:rsidR="00F0273F" w:rsidRPr="001C73BA" w:rsidRDefault="00F0273F" w:rsidP="003E2CCE">
      <w:pPr>
        <w:pStyle w:val="P2"/>
        <w:numPr>
          <w:ilvl w:val="0"/>
          <w:numId w:val="15"/>
        </w:numPr>
        <w:tabs>
          <w:tab w:val="clear" w:pos="1758"/>
        </w:tabs>
        <w:ind w:left="1843" w:hanging="425"/>
      </w:pPr>
      <w:r w:rsidRPr="001C73BA">
        <w:t>a frequency greater than 861 MHz and not greater than 865 MHz; or</w:t>
      </w:r>
    </w:p>
    <w:p w14:paraId="58FA4519" w14:textId="09D9A441" w:rsidR="00F0273F" w:rsidRPr="001C73BA" w:rsidRDefault="00F0273F" w:rsidP="003E2CCE">
      <w:pPr>
        <w:pStyle w:val="P2"/>
        <w:numPr>
          <w:ilvl w:val="0"/>
          <w:numId w:val="15"/>
        </w:numPr>
        <w:tabs>
          <w:tab w:val="clear" w:pos="1758"/>
        </w:tabs>
        <w:ind w:left="1843" w:hanging="425"/>
      </w:pPr>
      <w:r w:rsidRPr="001C73BA">
        <w:t>Personal Handy Phone System (PHS) technology on a frequency greater than 1895 MHz and not greater than 1899.8 MHz;</w:t>
      </w:r>
    </w:p>
    <w:p w14:paraId="1439A3DB" w14:textId="77777777" w:rsidR="00F0273F" w:rsidRPr="001C73BA" w:rsidRDefault="00F0273F" w:rsidP="003E2CCE">
      <w:pPr>
        <w:pStyle w:val="P1"/>
        <w:tabs>
          <w:tab w:val="clear" w:pos="1191"/>
          <w:tab w:val="right" w:pos="1276"/>
        </w:tabs>
      </w:pPr>
      <w:r w:rsidRPr="001C73BA">
        <w:tab/>
        <w:t>(b)</w:t>
      </w:r>
      <w:r w:rsidRPr="001C73BA">
        <w:tab/>
        <w:t xml:space="preserve">a </w:t>
      </w:r>
      <w:proofErr w:type="spellStart"/>
      <w:r w:rsidRPr="001C73BA">
        <w:t>radiocommunications</w:t>
      </w:r>
      <w:proofErr w:type="spellEnd"/>
      <w:r w:rsidRPr="001C73BA">
        <w:t xml:space="preserve"> device that uses Digitally Enhanced Cordless Telecommunications (DECT) technology on a frequency greater than 1880 MHz and not greater than 1900 </w:t>
      </w:r>
      <w:proofErr w:type="spellStart"/>
      <w:r w:rsidRPr="001C73BA">
        <w:t>MHz.</w:t>
      </w:r>
      <w:proofErr w:type="spellEnd"/>
    </w:p>
    <w:p w14:paraId="024FBEE3" w14:textId="77777777" w:rsidR="00F0273F" w:rsidRPr="001C73BA" w:rsidRDefault="00F0273F" w:rsidP="00F0273F">
      <w:pPr>
        <w:pStyle w:val="Note"/>
      </w:pPr>
      <w:r w:rsidRPr="001C73BA">
        <w:rPr>
          <w:i/>
        </w:rPr>
        <w:t>Note</w:t>
      </w:r>
      <w:r>
        <w:rPr>
          <w:i/>
        </w:rPr>
        <w:t>   </w:t>
      </w:r>
      <w:r w:rsidRPr="001C73BA">
        <w:t>Land stations for subparagraph (a)</w:t>
      </w:r>
      <w:r>
        <w:t> </w:t>
      </w:r>
      <w:r w:rsidRPr="001C73BA">
        <w:t>(</w:t>
      </w:r>
      <w:proofErr w:type="gramStart"/>
      <w:r w:rsidRPr="001C73BA">
        <w:t>iv</w:t>
      </w:r>
      <w:proofErr w:type="gramEnd"/>
      <w:r w:rsidRPr="001C73BA">
        <w:t>) are individually licensed under the Land Mobile PABX cordless telephone service licensing option</w:t>
      </w:r>
      <w:r>
        <w:t xml:space="preserve"> — </w:t>
      </w:r>
      <w:r w:rsidRPr="001C73BA">
        <w:t xml:space="preserve">see the </w:t>
      </w:r>
      <w:proofErr w:type="spellStart"/>
      <w:r w:rsidRPr="001C73BA">
        <w:rPr>
          <w:i/>
        </w:rPr>
        <w:t>Radiocommunications</w:t>
      </w:r>
      <w:proofErr w:type="spellEnd"/>
      <w:r w:rsidRPr="001C73BA">
        <w:rPr>
          <w:i/>
        </w:rPr>
        <w:t xml:space="preserve"> Licence Conditions (Land Mobile </w:t>
      </w:r>
      <w:r>
        <w:rPr>
          <w:i/>
        </w:rPr>
        <w:t>Licence</w:t>
      </w:r>
      <w:r w:rsidRPr="001C73BA">
        <w:rPr>
          <w:i/>
        </w:rPr>
        <w:t xml:space="preserve">) Determination (No. 1) </w:t>
      </w:r>
      <w:r>
        <w:rPr>
          <w:i/>
        </w:rPr>
        <w:t xml:space="preserve">of </w:t>
      </w:r>
      <w:r w:rsidRPr="001C73BA">
        <w:rPr>
          <w:i/>
        </w:rPr>
        <w:t>1997</w:t>
      </w:r>
      <w:r w:rsidRPr="001C73BA">
        <w:t>.</w:t>
      </w:r>
    </w:p>
    <w:p w14:paraId="27D2EE86" w14:textId="77777777" w:rsidR="003E2CCE" w:rsidRDefault="00AF4D93" w:rsidP="00AF4D93">
      <w:pPr>
        <w:pStyle w:val="definition"/>
        <w:sectPr w:rsidR="003E2CCE" w:rsidSect="00B457CC">
          <w:headerReference w:type="even" r:id="rId18"/>
          <w:headerReference w:type="default" r:id="rId19"/>
          <w:footerReference w:type="even" r:id="rId20"/>
          <w:footerReference w:type="default" r:id="rId21"/>
          <w:headerReference w:type="first" r:id="rId22"/>
          <w:footerReference w:type="first" r:id="rId23"/>
          <w:pgSz w:w="11907" w:h="16839" w:code="9"/>
          <w:pgMar w:top="1440" w:right="1797" w:bottom="1440" w:left="1797" w:header="720" w:footer="720" w:gutter="0"/>
          <w:cols w:space="708"/>
          <w:docGrid w:linePitch="360"/>
        </w:sectPr>
      </w:pPr>
      <w:proofErr w:type="gramStart"/>
      <w:r>
        <w:rPr>
          <w:b/>
          <w:i/>
        </w:rPr>
        <w:t>device</w:t>
      </w:r>
      <w:proofErr w:type="gramEnd"/>
      <w:r>
        <w:rPr>
          <w:b/>
          <w:i/>
        </w:rPr>
        <w:t xml:space="preserve"> compliance day</w:t>
      </w:r>
      <w:r>
        <w:t xml:space="preserve">, for a </w:t>
      </w:r>
      <w:r w:rsidR="00F0273F" w:rsidRPr="001C73BA">
        <w:t>cordless communications device</w:t>
      </w:r>
      <w:r>
        <w:t>, means the most recent of the following days:</w:t>
      </w:r>
    </w:p>
    <w:p w14:paraId="5A6C8CC9" w14:textId="4C9F9C06" w:rsidR="00AF4D93" w:rsidRDefault="00AF4D93" w:rsidP="003E2CCE">
      <w:pPr>
        <w:pStyle w:val="P1"/>
        <w:tabs>
          <w:tab w:val="clear" w:pos="1191"/>
        </w:tabs>
        <w:ind w:hanging="425"/>
      </w:pPr>
      <w:r>
        <w:lastRenderedPageBreak/>
        <w:t>(a)</w:t>
      </w:r>
      <w:r>
        <w:tab/>
      </w:r>
      <w:proofErr w:type="gramStart"/>
      <w:r>
        <w:t>if</w:t>
      </w:r>
      <w:proofErr w:type="gramEnd"/>
      <w:r>
        <w:t xml:space="preserve"> the </w:t>
      </w:r>
      <w:r w:rsidR="00F0273F" w:rsidRPr="001C73BA">
        <w:t>device</w:t>
      </w:r>
      <w:r>
        <w:t xml:space="preserve"> was manufactured in Australia — the day the </w:t>
      </w:r>
      <w:r w:rsidR="00F0273F" w:rsidRPr="001C73BA">
        <w:t>device</w:t>
      </w:r>
      <w:r>
        <w:t xml:space="preserve"> was manufactured;</w:t>
      </w:r>
    </w:p>
    <w:p w14:paraId="1161EE7D" w14:textId="223178FC" w:rsidR="00AF4D93" w:rsidRDefault="00AF4D93" w:rsidP="003E2CCE">
      <w:pPr>
        <w:pStyle w:val="P1"/>
        <w:tabs>
          <w:tab w:val="clear" w:pos="1191"/>
        </w:tabs>
        <w:ind w:hanging="425"/>
      </w:pPr>
      <w:r>
        <w:t>(b)</w:t>
      </w:r>
      <w:r>
        <w:tab/>
      </w:r>
      <w:proofErr w:type="gramStart"/>
      <w:r>
        <w:t>if</w:t>
      </w:r>
      <w:proofErr w:type="gramEnd"/>
      <w:r>
        <w:t xml:space="preserve"> the </w:t>
      </w:r>
      <w:r w:rsidR="00F0273F" w:rsidRPr="001C73BA">
        <w:t>device</w:t>
      </w:r>
      <w:r>
        <w:t xml:space="preserve"> was manufactured overseas and imported — the day it was imported;</w:t>
      </w:r>
    </w:p>
    <w:p w14:paraId="7506E15D" w14:textId="5EFB171D" w:rsidR="00AF4D93" w:rsidRDefault="00AF4D93" w:rsidP="003E2CCE">
      <w:pPr>
        <w:pStyle w:val="P1"/>
        <w:tabs>
          <w:tab w:val="clear" w:pos="1191"/>
        </w:tabs>
        <w:ind w:hanging="425"/>
      </w:pPr>
      <w:r>
        <w:t>(c)</w:t>
      </w:r>
      <w:r>
        <w:tab/>
      </w:r>
      <w:proofErr w:type="gramStart"/>
      <w:r>
        <w:t>if</w:t>
      </w:r>
      <w:proofErr w:type="gramEnd"/>
      <w:r>
        <w:t xml:space="preserve"> the </w:t>
      </w:r>
      <w:r w:rsidR="00F0273F" w:rsidRPr="001C73BA">
        <w:t>device</w:t>
      </w:r>
      <w:r>
        <w:t xml:space="preserve"> was altered or modified in a material respect — the day it was altered or modified.</w:t>
      </w:r>
    </w:p>
    <w:p w14:paraId="24009038" w14:textId="77777777" w:rsidR="00AF4D93" w:rsidRDefault="00AF4D93" w:rsidP="00AF4D93">
      <w:pPr>
        <w:pStyle w:val="definition"/>
      </w:pPr>
      <w:proofErr w:type="gramStart"/>
      <w:r>
        <w:rPr>
          <w:b/>
          <w:i/>
        </w:rPr>
        <w:t>handset</w:t>
      </w:r>
      <w:proofErr w:type="gramEnd"/>
      <w:r>
        <w:t xml:space="preserve"> means a handset for a cordless telephone service.</w:t>
      </w:r>
    </w:p>
    <w:p w14:paraId="44A96951" w14:textId="77777777" w:rsidR="00AF4D93" w:rsidRDefault="00AF4D93" w:rsidP="00AF4D93">
      <w:pPr>
        <w:pStyle w:val="definition"/>
      </w:pPr>
      <w:proofErr w:type="gramStart"/>
      <w:r>
        <w:rPr>
          <w:b/>
          <w:i/>
        </w:rPr>
        <w:t>land</w:t>
      </w:r>
      <w:proofErr w:type="gramEnd"/>
      <w:r>
        <w:rPr>
          <w:b/>
          <w:i/>
        </w:rPr>
        <w:t xml:space="preserve"> station</w:t>
      </w:r>
      <w:r>
        <w:t xml:space="preserve"> means a land station for a cordless telephone service.</w:t>
      </w:r>
    </w:p>
    <w:p w14:paraId="15CEB512" w14:textId="0CF5F783" w:rsidR="00E02EFC" w:rsidRPr="00F645D1" w:rsidRDefault="00E02EFC" w:rsidP="00E02EFC">
      <w:pPr>
        <w:pStyle w:val="definition"/>
        <w:rPr>
          <w:bCs/>
          <w:iCs/>
        </w:rPr>
      </w:pPr>
      <w:proofErr w:type="gramStart"/>
      <w:r>
        <w:rPr>
          <w:b/>
          <w:bCs/>
          <w:i/>
          <w:iCs/>
        </w:rPr>
        <w:t>technical</w:t>
      </w:r>
      <w:proofErr w:type="gramEnd"/>
      <w:r>
        <w:rPr>
          <w:b/>
          <w:bCs/>
          <w:i/>
          <w:iCs/>
        </w:rPr>
        <w:t xml:space="preserve"> specification</w:t>
      </w:r>
      <w:r>
        <w:rPr>
          <w:bCs/>
          <w:i/>
          <w:iCs/>
        </w:rPr>
        <w:t xml:space="preserve"> </w:t>
      </w:r>
      <w:r w:rsidRPr="00F645D1">
        <w:rPr>
          <w:bCs/>
          <w:iCs/>
        </w:rPr>
        <w:t>means a document mentioned in</w:t>
      </w:r>
      <w:r>
        <w:rPr>
          <w:bCs/>
          <w:i/>
          <w:iCs/>
        </w:rPr>
        <w:t xml:space="preserve"> </w:t>
      </w:r>
      <w:r>
        <w:rPr>
          <w:bCs/>
          <w:iCs/>
        </w:rPr>
        <w:t xml:space="preserve">Schedule </w:t>
      </w:r>
      <w:r w:rsidR="00FF1A28">
        <w:rPr>
          <w:bCs/>
          <w:iCs/>
        </w:rPr>
        <w:t>2</w:t>
      </w:r>
      <w:r>
        <w:rPr>
          <w:bCs/>
          <w:iCs/>
        </w:rPr>
        <w:t xml:space="preserve"> of this Class Licence.</w:t>
      </w:r>
    </w:p>
    <w:p w14:paraId="7DAB6091" w14:textId="77777777" w:rsidR="00AF4D93" w:rsidRDefault="00AF4D93" w:rsidP="00AF4D93">
      <w:pPr>
        <w:pStyle w:val="definition"/>
      </w:pPr>
      <w:proofErr w:type="gramStart"/>
      <w:r>
        <w:rPr>
          <w:b/>
          <w:i/>
        </w:rPr>
        <w:t>wireless</w:t>
      </w:r>
      <w:proofErr w:type="gramEnd"/>
      <w:r>
        <w:rPr>
          <w:b/>
          <w:i/>
        </w:rPr>
        <w:t xml:space="preserve"> local loop</w:t>
      </w:r>
      <w:r>
        <w:t xml:space="preserve"> </w:t>
      </w:r>
      <w:r>
        <w:rPr>
          <w:b/>
          <w:i/>
        </w:rPr>
        <w:t>arrangement</w:t>
      </w:r>
      <w:r>
        <w:t xml:space="preserve"> means a commercial arrangement between a carrier or carriage service provider and a person for the service provider to provide a connection between a telecommunications network and a device owned or used by the person.</w:t>
      </w:r>
    </w:p>
    <w:p w14:paraId="32A496C2" w14:textId="61B29CE2" w:rsidR="00F0273F" w:rsidRPr="001C73BA" w:rsidRDefault="00F0273F" w:rsidP="00F0273F">
      <w:pPr>
        <w:pStyle w:val="ZNote"/>
      </w:pPr>
      <w:r w:rsidRPr="001C73BA">
        <w:rPr>
          <w:i/>
        </w:rPr>
        <w:t>Note</w:t>
      </w:r>
      <w:r>
        <w:t>   </w:t>
      </w:r>
      <w:r w:rsidRPr="001C73BA">
        <w:t xml:space="preserve">For the definitions of other expressions used in this </w:t>
      </w:r>
      <w:r w:rsidR="00463A8A">
        <w:t>C</w:t>
      </w:r>
      <w:r w:rsidRPr="001C73BA">
        <w:t xml:space="preserve">lass </w:t>
      </w:r>
      <w:r w:rsidR="00463A8A">
        <w:t>L</w:t>
      </w:r>
      <w:r w:rsidRPr="001C73BA">
        <w:t xml:space="preserve">icence, see the </w:t>
      </w:r>
      <w:proofErr w:type="spellStart"/>
      <w:r w:rsidRPr="001C73BA">
        <w:rPr>
          <w:i/>
        </w:rPr>
        <w:t>Radiocommunications</w:t>
      </w:r>
      <w:proofErr w:type="spellEnd"/>
      <w:r w:rsidRPr="001C73BA">
        <w:rPr>
          <w:i/>
        </w:rPr>
        <w:t xml:space="preserve"> Act 1992</w:t>
      </w:r>
      <w:r w:rsidRPr="001C73BA">
        <w:t xml:space="preserve">, the </w:t>
      </w:r>
      <w:proofErr w:type="spellStart"/>
      <w:r w:rsidRPr="001C73BA">
        <w:rPr>
          <w:i/>
        </w:rPr>
        <w:t>Radiocommunications</w:t>
      </w:r>
      <w:proofErr w:type="spellEnd"/>
      <w:r w:rsidRPr="001C73BA">
        <w:rPr>
          <w:i/>
        </w:rPr>
        <w:t xml:space="preserve"> Regulations</w:t>
      </w:r>
      <w:r w:rsidRPr="001C73BA">
        <w:t xml:space="preserve"> </w:t>
      </w:r>
      <w:r w:rsidRPr="001C73BA">
        <w:rPr>
          <w:i/>
        </w:rPr>
        <w:t>1993</w:t>
      </w:r>
      <w:r w:rsidRPr="001C73BA">
        <w:t xml:space="preserve"> and the </w:t>
      </w:r>
      <w:proofErr w:type="spellStart"/>
      <w:r w:rsidRPr="001C73BA">
        <w:rPr>
          <w:i/>
        </w:rPr>
        <w:t>Radiocommunications</w:t>
      </w:r>
      <w:proofErr w:type="spellEnd"/>
      <w:r w:rsidRPr="001C73BA">
        <w:rPr>
          <w:i/>
        </w:rPr>
        <w:t xml:space="preserve"> (Interpretation) Determination 2000</w:t>
      </w:r>
      <w:r w:rsidRPr="001C73BA">
        <w:t>.</w:t>
      </w:r>
      <w:r>
        <w:t xml:space="preserve"> </w:t>
      </w:r>
      <w:r w:rsidR="0062333F">
        <w:t>Such</w:t>
      </w:r>
      <w:r w:rsidR="0062333F" w:rsidRPr="001C73BA">
        <w:t xml:space="preserve"> </w:t>
      </w:r>
      <w:r w:rsidRPr="001C73BA">
        <w:t>expressions include the following:</w:t>
      </w:r>
    </w:p>
    <w:p w14:paraId="6F386285" w14:textId="6F3452AA" w:rsidR="00AA0A60" w:rsidRDefault="00F0273F" w:rsidP="004963E3">
      <w:pPr>
        <w:pStyle w:val="Note"/>
        <w:numPr>
          <w:ilvl w:val="0"/>
          <w:numId w:val="14"/>
        </w:numPr>
        <w:ind w:left="1418" w:hanging="425"/>
        <w:rPr>
          <w:b/>
          <w:i/>
        </w:rPr>
      </w:pPr>
      <w:r w:rsidRPr="001C73BA">
        <w:rPr>
          <w:b/>
          <w:i/>
        </w:rPr>
        <w:t>cordless telephone service</w:t>
      </w:r>
    </w:p>
    <w:p w14:paraId="6128848C" w14:textId="77777777" w:rsidR="008B441F" w:rsidRPr="008B441F" w:rsidRDefault="008B441F" w:rsidP="004963E3">
      <w:pPr>
        <w:pStyle w:val="Note"/>
        <w:numPr>
          <w:ilvl w:val="0"/>
          <w:numId w:val="14"/>
        </w:numPr>
        <w:ind w:left="1418" w:hanging="425"/>
        <w:rPr>
          <w:b/>
          <w:i/>
        </w:rPr>
      </w:pPr>
      <w:r>
        <w:rPr>
          <w:b/>
          <w:i/>
        </w:rPr>
        <w:t>land station</w:t>
      </w:r>
    </w:p>
    <w:p w14:paraId="6A71CEFD" w14:textId="77777777" w:rsidR="00AA0A60" w:rsidRDefault="00031E07" w:rsidP="004963E3">
      <w:pPr>
        <w:pStyle w:val="Note"/>
        <w:numPr>
          <w:ilvl w:val="0"/>
          <w:numId w:val="14"/>
        </w:numPr>
        <w:ind w:left="1418" w:hanging="425"/>
      </w:pPr>
      <w:proofErr w:type="spellStart"/>
      <w:r w:rsidRPr="00031E07">
        <w:rPr>
          <w:b/>
          <w:i/>
        </w:rPr>
        <w:t>radiocommunications</w:t>
      </w:r>
      <w:proofErr w:type="spellEnd"/>
      <w:r w:rsidRPr="00031E07">
        <w:rPr>
          <w:b/>
          <w:i/>
        </w:rPr>
        <w:t xml:space="preserve"> device</w:t>
      </w:r>
    </w:p>
    <w:p w14:paraId="2B1EC1D6" w14:textId="45544575" w:rsidR="00AA0A60" w:rsidRDefault="00031E07" w:rsidP="004963E3">
      <w:pPr>
        <w:pStyle w:val="Note"/>
        <w:numPr>
          <w:ilvl w:val="0"/>
          <w:numId w:val="14"/>
        </w:numPr>
        <w:ind w:left="1418" w:hanging="425"/>
      </w:pPr>
      <w:r>
        <w:rPr>
          <w:b/>
          <w:i/>
        </w:rPr>
        <w:t>standard</w:t>
      </w:r>
    </w:p>
    <w:p w14:paraId="55FF073B" w14:textId="77777777" w:rsidR="00F0273F" w:rsidRPr="001C73BA" w:rsidRDefault="00F0273F" w:rsidP="00F0273F">
      <w:pPr>
        <w:pStyle w:val="HR"/>
      </w:pPr>
      <w:bookmarkStart w:id="7" w:name="_Toc211679804"/>
      <w:r w:rsidRPr="00FA6F20">
        <w:rPr>
          <w:rStyle w:val="CharSectno"/>
        </w:rPr>
        <w:t>5</w:t>
      </w:r>
      <w:r w:rsidRPr="001C73BA">
        <w:tab/>
        <w:t>Class licence</w:t>
      </w:r>
      <w:r>
        <w:t> </w:t>
      </w:r>
      <w:r w:rsidRPr="001C73BA">
        <w:t>— cordless communications devices</w:t>
      </w:r>
      <w:bookmarkEnd w:id="7"/>
    </w:p>
    <w:p w14:paraId="33C55021" w14:textId="41E96D5A" w:rsidR="00F0273F" w:rsidRPr="001C73BA" w:rsidRDefault="00F0273F" w:rsidP="00F0273F">
      <w:pPr>
        <w:pStyle w:val="R1"/>
      </w:pPr>
      <w:r w:rsidRPr="001C73BA">
        <w:tab/>
        <w:t>(1)</w:t>
      </w:r>
      <w:r w:rsidRPr="001C73BA">
        <w:tab/>
        <w:t xml:space="preserve">This </w:t>
      </w:r>
      <w:r w:rsidR="003F486E">
        <w:t>C</w:t>
      </w:r>
      <w:r w:rsidR="003F486E" w:rsidRPr="001C73BA">
        <w:t xml:space="preserve">lass </w:t>
      </w:r>
      <w:r w:rsidR="003F486E">
        <w:t>L</w:t>
      </w:r>
      <w:r w:rsidRPr="001C73BA">
        <w:t>icence authorises any person to operate a cordless communications device.</w:t>
      </w:r>
    </w:p>
    <w:p w14:paraId="339FD8D5" w14:textId="4419993F" w:rsidR="00F0273F" w:rsidRPr="001C73BA" w:rsidRDefault="00F0273F" w:rsidP="00F0273F">
      <w:pPr>
        <w:pStyle w:val="R2"/>
      </w:pPr>
      <w:r w:rsidRPr="001C73BA">
        <w:tab/>
        <w:t>(2)</w:t>
      </w:r>
      <w:r w:rsidRPr="001C73BA">
        <w:tab/>
        <w:t xml:space="preserve">The operation of the cordless communications device is subject to the conditions imposed by this </w:t>
      </w:r>
      <w:r w:rsidR="00463A8A">
        <w:t>C</w:t>
      </w:r>
      <w:r w:rsidRPr="001C73BA">
        <w:t xml:space="preserve">lass </w:t>
      </w:r>
      <w:r w:rsidR="00463A8A">
        <w:t>L</w:t>
      </w:r>
      <w:r w:rsidRPr="001C73BA">
        <w:t>icence that are applicable to the device.</w:t>
      </w:r>
    </w:p>
    <w:p w14:paraId="164E2ADD" w14:textId="30A46D56" w:rsidR="00F0273F" w:rsidRPr="001C73BA" w:rsidRDefault="00F0273F" w:rsidP="00F0273F">
      <w:pPr>
        <w:pStyle w:val="R2"/>
      </w:pPr>
      <w:r w:rsidRPr="001C73BA">
        <w:tab/>
        <w:t>(3)</w:t>
      </w:r>
      <w:r w:rsidRPr="001C73BA">
        <w:tab/>
        <w:t xml:space="preserve">The class of </w:t>
      </w:r>
      <w:proofErr w:type="spellStart"/>
      <w:r w:rsidRPr="001C73BA">
        <w:t>radiocommunications</w:t>
      </w:r>
      <w:proofErr w:type="spellEnd"/>
      <w:r w:rsidRPr="001C73BA">
        <w:t xml:space="preserve"> devices authorised by this </w:t>
      </w:r>
      <w:r w:rsidR="00463A8A">
        <w:t>C</w:t>
      </w:r>
      <w:r w:rsidRPr="001C73BA">
        <w:t xml:space="preserve">lass </w:t>
      </w:r>
      <w:r w:rsidR="00463A8A">
        <w:t>L</w:t>
      </w:r>
      <w:r w:rsidRPr="001C73BA">
        <w:t xml:space="preserve">icence does not include </w:t>
      </w:r>
      <w:r w:rsidR="0041108C">
        <w:t>devices</w:t>
      </w:r>
      <w:r w:rsidRPr="001C73BA">
        <w:t xml:space="preserve"> authorised</w:t>
      </w:r>
      <w:r w:rsidR="0041108C">
        <w:t xml:space="preserve"> by an apparatus licence</w:t>
      </w:r>
      <w:r w:rsidRPr="001C73BA">
        <w:t xml:space="preserve"> to operate for a purpose that is substantially the same as the purpose that, except for this subsection, would be authorised by this </w:t>
      </w:r>
      <w:r w:rsidR="00463A8A">
        <w:t>C</w:t>
      </w:r>
      <w:r w:rsidRPr="001C73BA">
        <w:t xml:space="preserve">lass </w:t>
      </w:r>
      <w:r w:rsidR="00463A8A">
        <w:t>L</w:t>
      </w:r>
      <w:r w:rsidRPr="001C73BA">
        <w:t>icence.</w:t>
      </w:r>
    </w:p>
    <w:p w14:paraId="4FCF1EB3" w14:textId="1C3972C7" w:rsidR="00F0273F" w:rsidRPr="001C73BA" w:rsidRDefault="0062333F" w:rsidP="00F0273F">
      <w:pPr>
        <w:pStyle w:val="HR"/>
      </w:pPr>
      <w:bookmarkStart w:id="8" w:name="_Toc211679805"/>
      <w:r>
        <w:rPr>
          <w:rStyle w:val="CharSectno"/>
        </w:rPr>
        <w:t>6</w:t>
      </w:r>
      <w:r w:rsidR="00F0273F" w:rsidRPr="001C73BA">
        <w:tab/>
        <w:t>Conditions</w:t>
      </w:r>
      <w:r w:rsidR="00F0273F">
        <w:t> </w:t>
      </w:r>
      <w:r w:rsidR="00F0273F" w:rsidRPr="001C73BA">
        <w:t>— general</w:t>
      </w:r>
      <w:bookmarkEnd w:id="8"/>
    </w:p>
    <w:p w14:paraId="57D99EA1" w14:textId="1016C05A" w:rsidR="00F0273F" w:rsidRPr="001C73BA" w:rsidRDefault="00F0273F" w:rsidP="00F0273F">
      <w:pPr>
        <w:pStyle w:val="ZR1"/>
      </w:pPr>
      <w:r w:rsidRPr="001C73BA">
        <w:tab/>
        <w:t>(1)</w:t>
      </w:r>
      <w:r w:rsidRPr="001C73BA">
        <w:tab/>
        <w:t>For subsection 5</w:t>
      </w:r>
      <w:r w:rsidR="00337B00">
        <w:t xml:space="preserve"> </w:t>
      </w:r>
      <w:r w:rsidRPr="001C73BA">
        <w:t>(2), it is a condition of the operation of a cordless communications device that the device:</w:t>
      </w:r>
    </w:p>
    <w:p w14:paraId="52A76C04" w14:textId="0405E16E" w:rsidR="00F0273F" w:rsidRPr="001C73BA" w:rsidRDefault="00F0273F" w:rsidP="003E2CCE">
      <w:pPr>
        <w:pStyle w:val="P1"/>
        <w:tabs>
          <w:tab w:val="clear" w:pos="1191"/>
        </w:tabs>
        <w:ind w:hanging="425"/>
      </w:pPr>
      <w:r w:rsidRPr="001C73BA">
        <w:t>(a)</w:t>
      </w:r>
      <w:r w:rsidRPr="001C73BA">
        <w:tab/>
      </w:r>
      <w:proofErr w:type="gramStart"/>
      <w:r w:rsidRPr="001C73BA">
        <w:t>must</w:t>
      </w:r>
      <w:proofErr w:type="gramEnd"/>
      <w:r w:rsidRPr="001C73BA">
        <w:t xml:space="preserve"> be used only for private purposes; and </w:t>
      </w:r>
    </w:p>
    <w:p w14:paraId="7BE7B402" w14:textId="70A5F8B9" w:rsidR="00F0273F" w:rsidRPr="001C73BA" w:rsidRDefault="00F0273F" w:rsidP="003E2CCE">
      <w:pPr>
        <w:pStyle w:val="P1"/>
        <w:tabs>
          <w:tab w:val="clear" w:pos="1191"/>
        </w:tabs>
        <w:ind w:hanging="425"/>
      </w:pPr>
      <w:r w:rsidRPr="001C73BA">
        <w:t>(b)</w:t>
      </w:r>
      <w:r w:rsidRPr="001C73BA">
        <w:tab/>
      </w:r>
      <w:proofErr w:type="gramStart"/>
      <w:r w:rsidRPr="001C73BA">
        <w:t>must</w:t>
      </w:r>
      <w:proofErr w:type="gramEnd"/>
      <w:r w:rsidRPr="001C73BA">
        <w:t xml:space="preserve"> not be used for the provision of commercial cordless telecommunications services to the public; and</w:t>
      </w:r>
    </w:p>
    <w:p w14:paraId="7C27A882" w14:textId="77777777" w:rsidR="003E2CCE" w:rsidRDefault="00F0273F" w:rsidP="003E2CCE">
      <w:pPr>
        <w:pStyle w:val="P1"/>
        <w:tabs>
          <w:tab w:val="clear" w:pos="1191"/>
        </w:tabs>
        <w:ind w:hanging="425"/>
        <w:sectPr w:rsidR="003E2CCE" w:rsidSect="003E2CCE">
          <w:headerReference w:type="default" r:id="rId24"/>
          <w:type w:val="continuous"/>
          <w:pgSz w:w="11907" w:h="16839" w:code="9"/>
          <w:pgMar w:top="1440" w:right="1797" w:bottom="1440" w:left="1797" w:header="720" w:footer="720" w:gutter="0"/>
          <w:cols w:space="708"/>
          <w:docGrid w:linePitch="360"/>
        </w:sectPr>
      </w:pPr>
      <w:r w:rsidRPr="001C73BA">
        <w:t>(c)</w:t>
      </w:r>
      <w:r w:rsidRPr="001C73BA">
        <w:tab/>
      </w:r>
      <w:proofErr w:type="gramStart"/>
      <w:r w:rsidRPr="001C73BA">
        <w:t>must</w:t>
      </w:r>
      <w:proofErr w:type="gramEnd"/>
      <w:r w:rsidRPr="001C73BA">
        <w:t xml:space="preserve"> not be used for the provision of a connection under a wireless local loop arrangement.</w:t>
      </w:r>
    </w:p>
    <w:p w14:paraId="02F1B9C6" w14:textId="6A2A8470" w:rsidR="00F0273F" w:rsidRPr="001C73BA" w:rsidRDefault="00F0273F" w:rsidP="003E2CCE">
      <w:pPr>
        <w:pStyle w:val="P1"/>
        <w:tabs>
          <w:tab w:val="clear" w:pos="1191"/>
        </w:tabs>
        <w:ind w:hanging="425"/>
      </w:pPr>
    </w:p>
    <w:p w14:paraId="0E709CF3" w14:textId="2F033B42" w:rsidR="00F0273F" w:rsidRPr="001C73BA" w:rsidRDefault="00F0273F" w:rsidP="00F0273F">
      <w:pPr>
        <w:pStyle w:val="R2"/>
      </w:pPr>
      <w:r w:rsidRPr="001C73BA">
        <w:lastRenderedPageBreak/>
        <w:tab/>
        <w:t>(2)</w:t>
      </w:r>
      <w:r w:rsidRPr="001C73BA">
        <w:tab/>
        <w:t xml:space="preserve">If the device is a land station, the device must also comply with the Equivalent </w:t>
      </w:r>
      <w:proofErr w:type="spellStart"/>
      <w:r w:rsidRPr="001C73BA">
        <w:t>Isotropically</w:t>
      </w:r>
      <w:proofErr w:type="spellEnd"/>
      <w:r w:rsidRPr="001C73BA">
        <w:t xml:space="preserve"> Radiated Power limits mentioned for a land station in </w:t>
      </w:r>
      <w:r w:rsidR="00307A27" w:rsidRPr="001C73BA">
        <w:t>Schedule</w:t>
      </w:r>
      <w:r w:rsidR="00307A27">
        <w:t> </w:t>
      </w:r>
      <w:r w:rsidRPr="001C73BA">
        <w:t>1.</w:t>
      </w:r>
    </w:p>
    <w:p w14:paraId="1141DCB7" w14:textId="74FE681D" w:rsidR="00F0273F" w:rsidRPr="001C73BA" w:rsidRDefault="0062333F" w:rsidP="00F0273F">
      <w:pPr>
        <w:pStyle w:val="HR"/>
      </w:pPr>
      <w:bookmarkStart w:id="9" w:name="_Toc211679806"/>
      <w:r>
        <w:rPr>
          <w:rStyle w:val="CharSectno"/>
        </w:rPr>
        <w:t>7</w:t>
      </w:r>
      <w:r w:rsidR="00F0273F" w:rsidRPr="001C73BA">
        <w:tab/>
        <w:t>Conditions</w:t>
      </w:r>
      <w:r w:rsidR="00F0273F">
        <w:t> </w:t>
      </w:r>
      <w:r w:rsidR="00F0273F" w:rsidRPr="001C73BA">
        <w:t>— technical requirements for 1.9 GHz band operation</w:t>
      </w:r>
      <w:bookmarkEnd w:id="9"/>
    </w:p>
    <w:p w14:paraId="26BD1912" w14:textId="7CA7A785" w:rsidR="00F0273F" w:rsidRPr="001C73BA" w:rsidRDefault="00F0273F" w:rsidP="00F0273F">
      <w:pPr>
        <w:pStyle w:val="ZR1"/>
      </w:pPr>
      <w:r w:rsidRPr="001C73BA">
        <w:tab/>
        <w:t>(1)</w:t>
      </w:r>
      <w:r w:rsidRPr="001C73BA">
        <w:tab/>
        <w:t xml:space="preserve">For subsection 5(2), this section applies to a </w:t>
      </w:r>
      <w:r>
        <w:t>land station or hand</w:t>
      </w:r>
      <w:r w:rsidRPr="001C73BA">
        <w:t>set:</w:t>
      </w:r>
    </w:p>
    <w:p w14:paraId="3F77910B" w14:textId="78DEE740" w:rsidR="00F0273F" w:rsidRPr="001C73BA" w:rsidRDefault="00F0273F" w:rsidP="003E2CCE">
      <w:pPr>
        <w:pStyle w:val="P1"/>
        <w:tabs>
          <w:tab w:val="clear" w:pos="1191"/>
        </w:tabs>
        <w:ind w:hanging="425"/>
      </w:pPr>
      <w:r w:rsidRPr="001C73BA">
        <w:t>(a)</w:t>
      </w:r>
      <w:r w:rsidRPr="001C73BA">
        <w:tab/>
      </w:r>
      <w:proofErr w:type="gramStart"/>
      <w:r w:rsidRPr="001C73BA">
        <w:t>that</w:t>
      </w:r>
      <w:proofErr w:type="gramEnd"/>
      <w:r w:rsidRPr="001C73BA">
        <w:t xml:space="preserve"> operates at a frequency greater than 1880</w:t>
      </w:r>
      <w:r>
        <w:t> </w:t>
      </w:r>
      <w:r w:rsidRPr="001C73BA">
        <w:t>MHz and not greater than 1900</w:t>
      </w:r>
      <w:r>
        <w:t> </w:t>
      </w:r>
      <w:r w:rsidRPr="001C73BA">
        <w:t>MHz; and</w:t>
      </w:r>
    </w:p>
    <w:p w14:paraId="6904341A" w14:textId="1A5A6FCC" w:rsidR="00F0273F" w:rsidRPr="001C73BA" w:rsidRDefault="00F0273F" w:rsidP="003E2CCE">
      <w:pPr>
        <w:pStyle w:val="P1"/>
        <w:tabs>
          <w:tab w:val="clear" w:pos="1191"/>
        </w:tabs>
        <w:ind w:hanging="425"/>
      </w:pPr>
      <w:r w:rsidRPr="001C73BA">
        <w:t>(b)</w:t>
      </w:r>
      <w:r w:rsidRPr="001C73BA">
        <w:tab/>
      </w:r>
      <w:proofErr w:type="gramStart"/>
      <w:r w:rsidRPr="001C73BA">
        <w:t>for</w:t>
      </w:r>
      <w:proofErr w:type="gramEnd"/>
      <w:r w:rsidRPr="001C73BA">
        <w:t xml:space="preserve"> which the </w:t>
      </w:r>
      <w:r w:rsidR="00307A27">
        <w:t xml:space="preserve">device </w:t>
      </w:r>
      <w:r w:rsidRPr="001C73BA">
        <w:t xml:space="preserve">compliance day is before </w:t>
      </w:r>
      <w:r>
        <w:t>1 September 2007</w:t>
      </w:r>
      <w:r w:rsidRPr="001C73BA">
        <w:t>.</w:t>
      </w:r>
    </w:p>
    <w:p w14:paraId="614FB2DE" w14:textId="2A05239A" w:rsidR="00F0273F" w:rsidRPr="001C73BA" w:rsidRDefault="00F0273F" w:rsidP="00F0273F">
      <w:pPr>
        <w:pStyle w:val="ZR2"/>
      </w:pPr>
      <w:r w:rsidRPr="001C73BA">
        <w:tab/>
        <w:t>(2)</w:t>
      </w:r>
      <w:r w:rsidRPr="001C73BA">
        <w:tab/>
        <w:t xml:space="preserve">The </w:t>
      </w:r>
      <w:r>
        <w:t>land station or hand</w:t>
      </w:r>
      <w:r w:rsidRPr="001C73BA">
        <w:t xml:space="preserve">set must comply with the technical </w:t>
      </w:r>
      <w:r w:rsidR="00DB1038">
        <w:t>specification</w:t>
      </w:r>
      <w:r w:rsidR="00DB1038" w:rsidRPr="001C73BA">
        <w:t xml:space="preserve"> </w:t>
      </w:r>
      <w:r w:rsidRPr="001C73BA">
        <w:t>mentioned in an item in Schedule 2 that:</w:t>
      </w:r>
    </w:p>
    <w:p w14:paraId="498DDE4B" w14:textId="1A7FAE2B" w:rsidR="00F0273F" w:rsidRPr="001C73BA" w:rsidRDefault="00F0273F" w:rsidP="003E2CCE">
      <w:pPr>
        <w:pStyle w:val="P1"/>
        <w:tabs>
          <w:tab w:val="clear" w:pos="1191"/>
        </w:tabs>
        <w:ind w:hanging="425"/>
      </w:pPr>
      <w:r w:rsidRPr="001C73BA">
        <w:t>(a)</w:t>
      </w:r>
      <w:r w:rsidRPr="001C73BA">
        <w:tab/>
      </w:r>
      <w:proofErr w:type="gramStart"/>
      <w:r w:rsidRPr="001C73BA">
        <w:t>was</w:t>
      </w:r>
      <w:proofErr w:type="gramEnd"/>
      <w:r w:rsidRPr="001C73BA">
        <w:t xml:space="preserve"> in effect immediately before the device compliance day for the land station or handset; and</w:t>
      </w:r>
    </w:p>
    <w:p w14:paraId="6295AF72" w14:textId="2F495EEB" w:rsidR="00F0273F" w:rsidRPr="001C73BA" w:rsidRDefault="00F0273F" w:rsidP="003E2CCE">
      <w:pPr>
        <w:pStyle w:val="P1"/>
        <w:tabs>
          <w:tab w:val="clear" w:pos="1191"/>
        </w:tabs>
        <w:ind w:hanging="425"/>
      </w:pPr>
      <w:r w:rsidRPr="001C73BA">
        <w:t>(</w:t>
      </w:r>
      <w:proofErr w:type="gramStart"/>
      <w:r w:rsidRPr="001C73BA">
        <w:t>b</w:t>
      </w:r>
      <w:proofErr w:type="gramEnd"/>
      <w:r w:rsidRPr="001C73BA">
        <w:t>)</w:t>
      </w:r>
      <w:r w:rsidRPr="001C73BA">
        <w:tab/>
        <w:t>appl</w:t>
      </w:r>
      <w:r>
        <w:t>ies to the land station or hand</w:t>
      </w:r>
      <w:r w:rsidRPr="001C73BA">
        <w:t>set.</w:t>
      </w:r>
    </w:p>
    <w:p w14:paraId="23789E34" w14:textId="46D2836A" w:rsidR="00F0273F" w:rsidRPr="001C73BA" w:rsidRDefault="00F0273F" w:rsidP="00F0273F">
      <w:pPr>
        <w:pStyle w:val="R2"/>
      </w:pPr>
      <w:r w:rsidRPr="001C73BA">
        <w:tab/>
        <w:t>(3)</w:t>
      </w:r>
      <w:r w:rsidRPr="001C73BA">
        <w:tab/>
        <w:t xml:space="preserve">If the </w:t>
      </w:r>
      <w:r>
        <w:t>land station or hand</w:t>
      </w:r>
      <w:r w:rsidRPr="001C73BA">
        <w:t>set is described in subsection 9(1), it must also comply with section 9.</w:t>
      </w:r>
    </w:p>
    <w:p w14:paraId="6559F90B" w14:textId="15085B24" w:rsidR="00F0273F" w:rsidRPr="001C73BA" w:rsidRDefault="0062333F" w:rsidP="00F0273F">
      <w:pPr>
        <w:pStyle w:val="HR"/>
      </w:pPr>
      <w:bookmarkStart w:id="10" w:name="_Toc211679807"/>
      <w:r>
        <w:rPr>
          <w:rStyle w:val="CharSectno"/>
        </w:rPr>
        <w:t>8</w:t>
      </w:r>
      <w:r w:rsidR="00F0273F" w:rsidRPr="001C73BA">
        <w:tab/>
        <w:t>Conditions</w:t>
      </w:r>
      <w:r w:rsidR="00F0273F">
        <w:t> </w:t>
      </w:r>
      <w:r w:rsidR="00F0273F" w:rsidRPr="001C73BA">
        <w:t>— technical requirements for 861</w:t>
      </w:r>
      <w:r w:rsidR="00F0273F">
        <w:noBreakHyphen/>
      </w:r>
      <w:r w:rsidR="00F0273F" w:rsidRPr="001C73BA">
        <w:t>865 MHz operation</w:t>
      </w:r>
      <w:bookmarkEnd w:id="10"/>
    </w:p>
    <w:p w14:paraId="47B41820" w14:textId="3A52DC34" w:rsidR="00F0273F" w:rsidRPr="001C73BA" w:rsidRDefault="00F0273F" w:rsidP="00F0273F">
      <w:pPr>
        <w:pStyle w:val="R1"/>
      </w:pPr>
      <w:r w:rsidRPr="001C73BA">
        <w:tab/>
        <w:t>(1)</w:t>
      </w:r>
      <w:r w:rsidRPr="001C73BA">
        <w:tab/>
        <w:t xml:space="preserve">For subsection 5(2), this section applies to a cordless communications device that operates at a frequency greater than 861 MHz and not greater than 865 </w:t>
      </w:r>
      <w:proofErr w:type="spellStart"/>
      <w:r w:rsidRPr="001C73BA">
        <w:t>MHz.</w:t>
      </w:r>
      <w:proofErr w:type="spellEnd"/>
    </w:p>
    <w:p w14:paraId="630E6A80" w14:textId="22338F82" w:rsidR="00F0273F" w:rsidRPr="001C73BA" w:rsidRDefault="00F0273F" w:rsidP="00F0273F">
      <w:pPr>
        <w:pStyle w:val="ZR2"/>
      </w:pPr>
      <w:r w:rsidRPr="001C73BA">
        <w:tab/>
        <w:t>(2)</w:t>
      </w:r>
      <w:r w:rsidRPr="001C73BA">
        <w:tab/>
        <w:t xml:space="preserve">The cordless communications device must comply with the technical </w:t>
      </w:r>
      <w:r w:rsidR="00735E5A">
        <w:t>specification</w:t>
      </w:r>
      <w:r w:rsidR="00735E5A" w:rsidRPr="001C73BA">
        <w:t xml:space="preserve"> </w:t>
      </w:r>
      <w:r w:rsidRPr="001C73BA">
        <w:t>mentioned in an item in Schedule 2 that:</w:t>
      </w:r>
    </w:p>
    <w:p w14:paraId="3B189966" w14:textId="2CCB3929" w:rsidR="00F0273F" w:rsidRPr="001C73BA" w:rsidRDefault="00F0273F" w:rsidP="003E2CCE">
      <w:pPr>
        <w:pStyle w:val="P1"/>
        <w:tabs>
          <w:tab w:val="clear" w:pos="1191"/>
        </w:tabs>
        <w:ind w:hanging="425"/>
      </w:pPr>
      <w:r w:rsidRPr="001C73BA">
        <w:t>(a)</w:t>
      </w:r>
      <w:r w:rsidRPr="001C73BA">
        <w:tab/>
      </w:r>
      <w:proofErr w:type="gramStart"/>
      <w:r w:rsidRPr="001C73BA">
        <w:t>was</w:t>
      </w:r>
      <w:proofErr w:type="gramEnd"/>
      <w:r w:rsidRPr="001C73BA">
        <w:t xml:space="preserve"> in effect immediately before the device compliance day for the device</w:t>
      </w:r>
      <w:r>
        <w:t>;</w:t>
      </w:r>
      <w:r w:rsidRPr="001C73BA">
        <w:t xml:space="preserve"> and </w:t>
      </w:r>
    </w:p>
    <w:p w14:paraId="39C1C349" w14:textId="0B5CA0EE" w:rsidR="00F0273F" w:rsidRPr="001C73BA" w:rsidRDefault="00F0273F" w:rsidP="003E2CCE">
      <w:pPr>
        <w:pStyle w:val="P1"/>
        <w:tabs>
          <w:tab w:val="clear" w:pos="1191"/>
        </w:tabs>
        <w:ind w:hanging="425"/>
      </w:pPr>
      <w:r w:rsidRPr="001C73BA">
        <w:t>(b)</w:t>
      </w:r>
      <w:r w:rsidRPr="001C73BA">
        <w:tab/>
      </w:r>
      <w:proofErr w:type="gramStart"/>
      <w:r w:rsidRPr="001C73BA">
        <w:t>applies</w:t>
      </w:r>
      <w:proofErr w:type="gramEnd"/>
      <w:r w:rsidRPr="001C73BA">
        <w:t xml:space="preserve"> to the device.</w:t>
      </w:r>
    </w:p>
    <w:p w14:paraId="596D8A34" w14:textId="77777777" w:rsidR="00F0273F" w:rsidRPr="001C73BA" w:rsidRDefault="00F0273F" w:rsidP="00F0273F">
      <w:pPr>
        <w:pStyle w:val="HR"/>
      </w:pPr>
      <w:bookmarkStart w:id="11" w:name="_Toc211679808"/>
      <w:r w:rsidRPr="00FA6F20">
        <w:rPr>
          <w:rStyle w:val="CharSectno"/>
        </w:rPr>
        <w:t>9</w:t>
      </w:r>
      <w:r w:rsidRPr="001C73BA">
        <w:tab/>
        <w:t>Conditions</w:t>
      </w:r>
      <w:r>
        <w:t> </w:t>
      </w:r>
      <w:r w:rsidRPr="001C73BA">
        <w:t>— PHS cordless communications devices</w:t>
      </w:r>
      <w:bookmarkEnd w:id="11"/>
    </w:p>
    <w:p w14:paraId="5A5BE00E" w14:textId="17D69215" w:rsidR="00F0273F" w:rsidRPr="001C73BA" w:rsidRDefault="00F0273F" w:rsidP="00F0273F">
      <w:pPr>
        <w:pStyle w:val="ZR1"/>
      </w:pPr>
      <w:r w:rsidRPr="001C73BA">
        <w:tab/>
        <w:t>(1)</w:t>
      </w:r>
      <w:r w:rsidRPr="001C73BA">
        <w:tab/>
        <w:t>For subsection 5(2), this section applies to a cordless communications device:</w:t>
      </w:r>
    </w:p>
    <w:p w14:paraId="11AF59E5" w14:textId="7B96856D" w:rsidR="00F0273F" w:rsidRPr="001C73BA" w:rsidRDefault="00F0273F" w:rsidP="003E2CCE">
      <w:pPr>
        <w:pStyle w:val="P1"/>
        <w:tabs>
          <w:tab w:val="clear" w:pos="1191"/>
        </w:tabs>
        <w:ind w:hanging="425"/>
      </w:pPr>
      <w:r w:rsidRPr="001C73BA">
        <w:t>(a)</w:t>
      </w:r>
      <w:r w:rsidRPr="001C73BA">
        <w:tab/>
      </w:r>
      <w:proofErr w:type="gramStart"/>
      <w:r w:rsidRPr="001C73BA">
        <w:t>that</w:t>
      </w:r>
      <w:proofErr w:type="gramEnd"/>
      <w:r w:rsidRPr="001C73BA">
        <w:t xml:space="preserve"> employs the technology used in Personal Handy Phone Systems cordless telecommunications equipment; and</w:t>
      </w:r>
    </w:p>
    <w:p w14:paraId="0F1873BF" w14:textId="5889A4ED" w:rsidR="00F0273F" w:rsidRPr="001C73BA" w:rsidRDefault="00F0273F" w:rsidP="003E2CCE">
      <w:pPr>
        <w:pStyle w:val="P1"/>
        <w:tabs>
          <w:tab w:val="clear" w:pos="1191"/>
        </w:tabs>
        <w:ind w:hanging="425"/>
      </w:pPr>
      <w:r w:rsidRPr="001C73BA">
        <w:t>(b)</w:t>
      </w:r>
      <w:r w:rsidRPr="001C73BA">
        <w:tab/>
      </w:r>
      <w:proofErr w:type="gramStart"/>
      <w:r w:rsidRPr="001C73BA">
        <w:t>for</w:t>
      </w:r>
      <w:proofErr w:type="gramEnd"/>
      <w:r w:rsidRPr="001C73BA">
        <w:t xml:space="preserve"> which the device compliance day is:</w:t>
      </w:r>
    </w:p>
    <w:p w14:paraId="381D19CA" w14:textId="77777777" w:rsidR="00F0273F" w:rsidRPr="001C73BA" w:rsidRDefault="00F0273F" w:rsidP="00F0273F">
      <w:pPr>
        <w:pStyle w:val="P2"/>
      </w:pPr>
      <w:r w:rsidRPr="001C73BA">
        <w:tab/>
        <w:t>(</w:t>
      </w:r>
      <w:proofErr w:type="spellStart"/>
      <w:r w:rsidRPr="001C73BA">
        <w:t>i</w:t>
      </w:r>
      <w:proofErr w:type="spellEnd"/>
      <w:r w:rsidRPr="001C73BA">
        <w:t>)</w:t>
      </w:r>
      <w:r w:rsidRPr="001C73BA">
        <w:tab/>
      </w:r>
      <w:proofErr w:type="gramStart"/>
      <w:r w:rsidRPr="001C73BA">
        <w:t>on</w:t>
      </w:r>
      <w:proofErr w:type="gramEnd"/>
      <w:r w:rsidRPr="001C73BA">
        <w:t xml:space="preserve"> or after 1 July 2001; and</w:t>
      </w:r>
    </w:p>
    <w:p w14:paraId="4F732516" w14:textId="77777777" w:rsidR="00F0273F" w:rsidRPr="001C73BA" w:rsidRDefault="00F0273F" w:rsidP="00F0273F">
      <w:pPr>
        <w:pStyle w:val="P2"/>
      </w:pPr>
      <w:r w:rsidRPr="001C73BA">
        <w:tab/>
        <w:t>(ii)</w:t>
      </w:r>
      <w:r w:rsidRPr="001C73BA">
        <w:tab/>
      </w:r>
      <w:proofErr w:type="gramStart"/>
      <w:r w:rsidRPr="001C73BA">
        <w:t>before</w:t>
      </w:r>
      <w:proofErr w:type="gramEnd"/>
      <w:r w:rsidRPr="001C73BA">
        <w:t xml:space="preserve"> </w:t>
      </w:r>
      <w:r>
        <w:t>1 September 2007</w:t>
      </w:r>
      <w:r w:rsidRPr="001C73BA">
        <w:t>.</w:t>
      </w:r>
    </w:p>
    <w:p w14:paraId="02998872" w14:textId="77777777" w:rsidR="003E2CCE" w:rsidRDefault="00F0273F" w:rsidP="00F0273F">
      <w:pPr>
        <w:pStyle w:val="R2"/>
        <w:sectPr w:rsidR="003E2CCE" w:rsidSect="003E2CCE">
          <w:headerReference w:type="default" r:id="rId25"/>
          <w:type w:val="continuous"/>
          <w:pgSz w:w="11907" w:h="16839" w:code="9"/>
          <w:pgMar w:top="1440" w:right="1797" w:bottom="1440" w:left="1797" w:header="720" w:footer="720" w:gutter="0"/>
          <w:cols w:space="708"/>
          <w:docGrid w:linePitch="360"/>
        </w:sectPr>
      </w:pPr>
      <w:r w:rsidRPr="001C73BA">
        <w:tab/>
        <w:t>(2)</w:t>
      </w:r>
      <w:r w:rsidRPr="001C73BA">
        <w:tab/>
        <w:t>The cordless communications device must be operated at 1896.650 MHz or 1898.450 MHz for control purposes.</w:t>
      </w:r>
    </w:p>
    <w:p w14:paraId="0F629A82" w14:textId="35DD3726" w:rsidR="00F0273F" w:rsidRDefault="00F0273F" w:rsidP="00F0273F">
      <w:pPr>
        <w:pStyle w:val="R2"/>
      </w:pPr>
    </w:p>
    <w:p w14:paraId="54CE14B6" w14:textId="77777777" w:rsidR="00F0273F" w:rsidRDefault="00F0273F" w:rsidP="00F0273F">
      <w:pPr>
        <w:pStyle w:val="HR"/>
      </w:pPr>
      <w:bookmarkStart w:id="12" w:name="_Toc211679809"/>
      <w:r w:rsidRPr="00FA6F20">
        <w:rPr>
          <w:rStyle w:val="CharSectno"/>
        </w:rPr>
        <w:lastRenderedPageBreak/>
        <w:t>9A</w:t>
      </w:r>
      <w:r>
        <w:tab/>
        <w:t>Conditions — cordless telephone service</w:t>
      </w:r>
      <w:bookmarkEnd w:id="12"/>
    </w:p>
    <w:p w14:paraId="00FD7FC2" w14:textId="1DAEE548" w:rsidR="00F0273F" w:rsidRDefault="00F0273F" w:rsidP="00F0273F">
      <w:pPr>
        <w:pStyle w:val="R1"/>
      </w:pPr>
      <w:r>
        <w:tab/>
        <w:t>(1)</w:t>
      </w:r>
      <w:r>
        <w:tab/>
        <w:t xml:space="preserve">For subsection 5(2), this section applies to a land station or handset used in a cordless telephone service that operates in any of the following frequency bands: </w:t>
      </w:r>
    </w:p>
    <w:p w14:paraId="181AEFB3" w14:textId="3388FB87" w:rsidR="00F0273F" w:rsidRDefault="00F0273F" w:rsidP="003E2CCE">
      <w:pPr>
        <w:pStyle w:val="P1"/>
        <w:tabs>
          <w:tab w:val="clear" w:pos="1191"/>
        </w:tabs>
        <w:ind w:hanging="425"/>
      </w:pPr>
      <w:r>
        <w:t>(a)</w:t>
      </w:r>
      <w:r>
        <w:tab/>
      </w:r>
      <w:proofErr w:type="gramStart"/>
      <w:r>
        <w:t>greater</w:t>
      </w:r>
      <w:proofErr w:type="gramEnd"/>
      <w:r>
        <w:t xml:space="preserve"> than 1.7175 MHz and not greater than 1.7925 MHz;</w:t>
      </w:r>
    </w:p>
    <w:p w14:paraId="5C6A5EAC" w14:textId="2926454F" w:rsidR="00F0273F" w:rsidRDefault="00F0273F" w:rsidP="003E2CCE">
      <w:pPr>
        <w:pStyle w:val="P1"/>
        <w:tabs>
          <w:tab w:val="clear" w:pos="1191"/>
        </w:tabs>
        <w:ind w:hanging="425"/>
      </w:pPr>
      <w:r>
        <w:t>(b)</w:t>
      </w:r>
      <w:r>
        <w:tab/>
      </w:r>
      <w:proofErr w:type="gramStart"/>
      <w:r>
        <w:t>greater</w:t>
      </w:r>
      <w:proofErr w:type="gramEnd"/>
      <w:r>
        <w:t xml:space="preserve"> than 30.0625 MHz and not greater than 30.3125 MHz;</w:t>
      </w:r>
    </w:p>
    <w:p w14:paraId="77BEDE1C" w14:textId="3C3DA451" w:rsidR="00F0273F" w:rsidRDefault="00F0273F" w:rsidP="003E2CCE">
      <w:pPr>
        <w:pStyle w:val="P1"/>
        <w:tabs>
          <w:tab w:val="clear" w:pos="1191"/>
        </w:tabs>
        <w:ind w:hanging="425"/>
      </w:pPr>
      <w:r>
        <w:t>(c)</w:t>
      </w:r>
      <w:r>
        <w:tab/>
      </w:r>
      <w:proofErr w:type="gramStart"/>
      <w:r>
        <w:t>greater</w:t>
      </w:r>
      <w:proofErr w:type="gramEnd"/>
      <w:r>
        <w:t xml:space="preserve"> than 39.7625 MHz and not greater than 40.250 </w:t>
      </w:r>
      <w:proofErr w:type="spellStart"/>
      <w:r>
        <w:t>MHz.</w:t>
      </w:r>
      <w:proofErr w:type="spellEnd"/>
    </w:p>
    <w:p w14:paraId="705BD6CC" w14:textId="77777777" w:rsidR="00F0273F" w:rsidRDefault="00F0273F" w:rsidP="00F0273F">
      <w:pPr>
        <w:pStyle w:val="R2"/>
      </w:pPr>
      <w:r>
        <w:tab/>
      </w:r>
      <w:r w:rsidRPr="009062C6">
        <w:t>(2)</w:t>
      </w:r>
      <w:r w:rsidRPr="009062C6">
        <w:tab/>
        <w:t>A land station or handset used in a cordless telephone service that has a device compliance day on or after 5 M</w:t>
      </w:r>
      <w:r>
        <w:t>arch 1997 and before 1 July 2001</w:t>
      </w:r>
      <w:r w:rsidRPr="009062C6">
        <w:t xml:space="preserve"> must comply with the </w:t>
      </w:r>
      <w:proofErr w:type="spellStart"/>
      <w:r w:rsidRPr="009062C6">
        <w:rPr>
          <w:i/>
        </w:rPr>
        <w:t>Radiocommunications</w:t>
      </w:r>
      <w:proofErr w:type="spellEnd"/>
      <w:r w:rsidRPr="009062C6">
        <w:rPr>
          <w:i/>
        </w:rPr>
        <w:t xml:space="preserve"> Standard (Cordless Telephone) No. 1 of 1997</w:t>
      </w:r>
      <w:r>
        <w:rPr>
          <w:i/>
        </w:rPr>
        <w:t> </w:t>
      </w:r>
      <w:r w:rsidRPr="009062C6">
        <w:t>as</w:t>
      </w:r>
      <w:r>
        <w:t xml:space="preserve"> </w:t>
      </w:r>
      <w:r w:rsidRPr="009062C6">
        <w:t xml:space="preserve">in force on that day. </w:t>
      </w:r>
    </w:p>
    <w:p w14:paraId="0E4C4F6A" w14:textId="77777777" w:rsidR="00F0273F" w:rsidRDefault="00F0273F" w:rsidP="00F0273F">
      <w:pPr>
        <w:pStyle w:val="Note"/>
      </w:pPr>
      <w:r w:rsidRPr="009062C6">
        <w:rPr>
          <w:i/>
        </w:rPr>
        <w:t>Note</w:t>
      </w:r>
      <w:r>
        <w:rPr>
          <w:i/>
        </w:rPr>
        <w:t>   </w:t>
      </w:r>
      <w:r w:rsidRPr="009062C6">
        <w:t>Subsection 10</w:t>
      </w:r>
      <w:r>
        <w:t> </w:t>
      </w:r>
      <w:r w:rsidRPr="009062C6">
        <w:t>(2) applies standards to devices with a device compliance day on or after 1 July 2001.</w:t>
      </w:r>
    </w:p>
    <w:p w14:paraId="208F605D" w14:textId="77777777" w:rsidR="00F0273F" w:rsidRPr="0022080F" w:rsidRDefault="00F0273F" w:rsidP="00F0273F">
      <w:pPr>
        <w:pStyle w:val="R2"/>
      </w:pPr>
      <w:r w:rsidRPr="009062C6">
        <w:tab/>
        <w:t>(3)</w:t>
      </w:r>
      <w:r w:rsidRPr="009062C6">
        <w:tab/>
        <w:t xml:space="preserve">A land station or handset used in a cordless telephone service that has a device compliance day on or after 17 September 1991 </w:t>
      </w:r>
      <w:r>
        <w:t>and before 5</w:t>
      </w:r>
      <w:r w:rsidRPr="009062C6">
        <w:t xml:space="preserve"> March 1997 must comply with the </w:t>
      </w:r>
      <w:proofErr w:type="spellStart"/>
      <w:r w:rsidRPr="0022080F">
        <w:t>Radiocommunications</w:t>
      </w:r>
      <w:proofErr w:type="spellEnd"/>
      <w:r w:rsidRPr="0022080F">
        <w:t xml:space="preserve"> Standard 302 (Cordless Telephones) (Revised 1991) </w:t>
      </w:r>
      <w:r>
        <w:t xml:space="preserve">(Statutory Rules 1991 No. 293) </w:t>
      </w:r>
      <w:r w:rsidRPr="0022080F">
        <w:t>as</w:t>
      </w:r>
      <w:r>
        <w:t xml:space="preserve"> </w:t>
      </w:r>
      <w:r w:rsidRPr="0022080F">
        <w:t xml:space="preserve">in force on </w:t>
      </w:r>
      <w:r>
        <w:t>17 September 1991</w:t>
      </w:r>
      <w:r w:rsidRPr="0022080F">
        <w:t xml:space="preserve">. </w:t>
      </w:r>
    </w:p>
    <w:p w14:paraId="6462DDEE" w14:textId="50170500" w:rsidR="00316BBC" w:rsidRPr="00316BBC" w:rsidRDefault="00316BBC" w:rsidP="003D275B">
      <w:pPr>
        <w:pStyle w:val="R2"/>
        <w:rPr>
          <w:i/>
          <w:sz w:val="20"/>
          <w:lang w:eastAsia="en-AU"/>
        </w:rPr>
      </w:pPr>
      <w:r>
        <w:rPr>
          <w:i/>
        </w:rPr>
        <w:tab/>
      </w:r>
      <w:r>
        <w:rPr>
          <w:i/>
        </w:rPr>
        <w:tab/>
      </w:r>
      <w:r w:rsidR="00AC2859" w:rsidRPr="00316BBC">
        <w:rPr>
          <w:i/>
          <w:sz w:val="20"/>
          <w:lang w:eastAsia="en-AU"/>
        </w:rPr>
        <w:t>Note </w:t>
      </w:r>
      <w:r w:rsidR="00F0273F" w:rsidRPr="00316BBC">
        <w:rPr>
          <w:i/>
          <w:sz w:val="20"/>
          <w:lang w:eastAsia="en-AU"/>
        </w:rPr>
        <w:t> </w:t>
      </w:r>
      <w:r w:rsidR="00F0273F">
        <w:t> </w:t>
      </w:r>
      <w:r w:rsidR="00F0273F" w:rsidRPr="00316BBC">
        <w:rPr>
          <w:sz w:val="20"/>
          <w:lang w:eastAsia="en-AU"/>
        </w:rPr>
        <w:t xml:space="preserve">The </w:t>
      </w:r>
      <w:proofErr w:type="spellStart"/>
      <w:r w:rsidR="00F0273F" w:rsidRPr="00316BBC">
        <w:rPr>
          <w:sz w:val="20"/>
          <w:lang w:eastAsia="en-AU"/>
        </w:rPr>
        <w:t>Radiocommunications</w:t>
      </w:r>
      <w:proofErr w:type="spellEnd"/>
      <w:r w:rsidR="00F0273F" w:rsidRPr="00316BBC">
        <w:rPr>
          <w:sz w:val="20"/>
          <w:lang w:eastAsia="en-AU"/>
        </w:rPr>
        <w:t xml:space="preserve"> Standard 302 (Cordless Telephones) (Revised 1991) (Statutory Rules 1991 No. 293) was revoked by the</w:t>
      </w:r>
      <w:r w:rsidR="00F0273F">
        <w:t xml:space="preserve"> </w:t>
      </w:r>
      <w:proofErr w:type="spellStart"/>
      <w:r w:rsidR="00F0273F" w:rsidRPr="00316BBC">
        <w:rPr>
          <w:i/>
          <w:sz w:val="20"/>
          <w:lang w:eastAsia="en-AU"/>
        </w:rPr>
        <w:t>Radiocommunications</w:t>
      </w:r>
      <w:proofErr w:type="spellEnd"/>
      <w:r w:rsidR="00F0273F" w:rsidRPr="00316BBC">
        <w:rPr>
          <w:i/>
          <w:sz w:val="20"/>
          <w:lang w:eastAsia="en-AU"/>
        </w:rPr>
        <w:t xml:space="preserve"> Standards Revocation 1999. </w:t>
      </w:r>
    </w:p>
    <w:p w14:paraId="750BF49E" w14:textId="665A181E" w:rsidR="00F0273F" w:rsidRPr="003D275B" w:rsidRDefault="00316BBC" w:rsidP="003D275B">
      <w:pPr>
        <w:pStyle w:val="R2"/>
      </w:pPr>
      <w:r>
        <w:rPr>
          <w:i/>
        </w:rPr>
        <w:tab/>
      </w:r>
      <w:r w:rsidR="00F0273F" w:rsidRPr="009062C6">
        <w:t>(</w:t>
      </w:r>
      <w:r w:rsidR="00F0273F" w:rsidRPr="003D275B">
        <w:t>4)</w:t>
      </w:r>
      <w:r w:rsidR="00F0273F" w:rsidRPr="003D275B">
        <w:tab/>
        <w:t xml:space="preserve">A land station or handset used in a cordless telephone service that has a device compliance day before 17 September 1991 must comply with the Ministerial Standard 302 as in force on 1 December 1987. </w:t>
      </w:r>
    </w:p>
    <w:p w14:paraId="66B447C8" w14:textId="4EFBC900" w:rsidR="00F0273F" w:rsidRPr="00206680" w:rsidRDefault="00F0273F" w:rsidP="00206680">
      <w:pPr>
        <w:pStyle w:val="Note"/>
        <w:rPr>
          <w:i/>
        </w:rPr>
      </w:pPr>
      <w:r w:rsidRPr="00206680">
        <w:rPr>
          <w:i/>
        </w:rPr>
        <w:t>Note   </w:t>
      </w:r>
      <w:r w:rsidRPr="00307A27">
        <w:t xml:space="preserve">The </w:t>
      </w:r>
      <w:r w:rsidRPr="00206680">
        <w:t>Ministerial Standard 302 (Statutory Rules 1987 No. 237), as in force on 1 December 1987</w:t>
      </w:r>
      <w:r w:rsidRPr="00307A27">
        <w:t xml:space="preserve">, was revoked by the </w:t>
      </w:r>
      <w:proofErr w:type="spellStart"/>
      <w:r w:rsidRPr="00307A27">
        <w:t>Radiocommunications</w:t>
      </w:r>
      <w:proofErr w:type="spellEnd"/>
      <w:r w:rsidRPr="00307A27">
        <w:t xml:space="preserve"> Standard 302 (Cordless Telephones) (Revised 1991) (Statutory Rules 1991 No. 293).</w:t>
      </w:r>
      <w:r w:rsidRPr="00206680">
        <w:rPr>
          <w:i/>
        </w:rPr>
        <w:t xml:space="preserve"> </w:t>
      </w:r>
    </w:p>
    <w:p w14:paraId="2D32C38F" w14:textId="77777777" w:rsidR="00F0273F" w:rsidRPr="001C73BA" w:rsidRDefault="00F0273F" w:rsidP="00F0273F">
      <w:pPr>
        <w:pStyle w:val="HR"/>
      </w:pPr>
      <w:bookmarkStart w:id="13" w:name="_Toc211679810"/>
      <w:r w:rsidRPr="00FA6F20">
        <w:rPr>
          <w:rStyle w:val="CharSectno"/>
        </w:rPr>
        <w:t>10</w:t>
      </w:r>
      <w:r w:rsidRPr="001C73BA">
        <w:tab/>
        <w:t>Conditions</w:t>
      </w:r>
      <w:r>
        <w:t> </w:t>
      </w:r>
      <w:r w:rsidRPr="001C73BA">
        <w:t>— compliance with standards</w:t>
      </w:r>
      <w:bookmarkEnd w:id="13"/>
    </w:p>
    <w:p w14:paraId="0F85211D" w14:textId="77777777" w:rsidR="00F0273F" w:rsidRPr="001C73BA" w:rsidRDefault="00F0273F" w:rsidP="00F0273F">
      <w:pPr>
        <w:pStyle w:val="ZR1"/>
      </w:pPr>
      <w:r w:rsidRPr="001C73BA">
        <w:tab/>
        <w:t>(1)</w:t>
      </w:r>
      <w:r>
        <w:tab/>
        <w:t>A hand</w:t>
      </w:r>
      <w:r w:rsidRPr="001C73BA">
        <w:t xml:space="preserve">set or land station must comply with the </w:t>
      </w:r>
      <w:proofErr w:type="spellStart"/>
      <w:r w:rsidRPr="001C73BA">
        <w:rPr>
          <w:i/>
          <w:iCs/>
        </w:rPr>
        <w:t>Radiocommunications</w:t>
      </w:r>
      <w:proofErr w:type="spellEnd"/>
      <w:r w:rsidRPr="001C73BA">
        <w:rPr>
          <w:i/>
          <w:iCs/>
        </w:rPr>
        <w:t xml:space="preserve"> (Electromagnetic Radiation — Human Exposure) Standard 1999</w:t>
      </w:r>
      <w:r w:rsidRPr="001C73BA">
        <w:t>, as in force on the device compliance day for the device, if:</w:t>
      </w:r>
    </w:p>
    <w:p w14:paraId="0154190D" w14:textId="46AB8C40" w:rsidR="00F0273F" w:rsidRPr="001C73BA" w:rsidRDefault="00F0273F" w:rsidP="003E2CCE">
      <w:pPr>
        <w:pStyle w:val="P1"/>
        <w:tabs>
          <w:tab w:val="clear" w:pos="1191"/>
        </w:tabs>
        <w:ind w:hanging="425"/>
      </w:pPr>
      <w:r w:rsidRPr="001C73BA">
        <w:t>(a)</w:t>
      </w:r>
      <w:r w:rsidRPr="001C73BA">
        <w:tab/>
      </w:r>
      <w:proofErr w:type="gramStart"/>
      <w:r w:rsidRPr="001C73BA">
        <w:t>the</w:t>
      </w:r>
      <w:proofErr w:type="gramEnd"/>
      <w:r w:rsidRPr="001C73BA">
        <w:t xml:space="preserve"> device compliance day for the </w:t>
      </w:r>
      <w:r>
        <w:t>hand</w:t>
      </w:r>
      <w:r w:rsidRPr="001C73BA">
        <w:t xml:space="preserve">set is </w:t>
      </w:r>
      <w:r>
        <w:t xml:space="preserve">on or after </w:t>
      </w:r>
      <w:r w:rsidRPr="001C73BA">
        <w:t>15 December 1999</w:t>
      </w:r>
      <w:r>
        <w:t> </w:t>
      </w:r>
      <w:r w:rsidRPr="001C73BA">
        <w:t xml:space="preserve">and </w:t>
      </w:r>
      <w:r>
        <w:t xml:space="preserve">before </w:t>
      </w:r>
      <w:r w:rsidRPr="001C73BA">
        <w:t>1 July 2001; or</w:t>
      </w:r>
    </w:p>
    <w:p w14:paraId="1251AE17" w14:textId="3E30527C" w:rsidR="00F0273F" w:rsidRPr="001C73BA" w:rsidRDefault="00F0273F" w:rsidP="003E2CCE">
      <w:pPr>
        <w:pStyle w:val="P1"/>
        <w:tabs>
          <w:tab w:val="clear" w:pos="1191"/>
        </w:tabs>
        <w:ind w:hanging="425"/>
      </w:pPr>
      <w:r w:rsidRPr="001C73BA">
        <w:t>(b)</w:t>
      </w:r>
      <w:r w:rsidRPr="001C73BA">
        <w:tab/>
      </w:r>
      <w:proofErr w:type="gramStart"/>
      <w:r w:rsidRPr="001C73BA">
        <w:t>the</w:t>
      </w:r>
      <w:proofErr w:type="gramEnd"/>
      <w:r w:rsidRPr="001C73BA">
        <w:t xml:space="preserve"> device compliance day for the land station is </w:t>
      </w:r>
      <w:r>
        <w:t>on or after</w:t>
      </w:r>
      <w:r w:rsidRPr="001C73BA">
        <w:t xml:space="preserve"> 1</w:t>
      </w:r>
      <w:r>
        <w:t> </w:t>
      </w:r>
      <w:r w:rsidRPr="001C73BA">
        <w:t>February</w:t>
      </w:r>
      <w:r>
        <w:t> </w:t>
      </w:r>
      <w:r w:rsidRPr="001C73BA">
        <w:t xml:space="preserve">1999 and </w:t>
      </w:r>
      <w:r>
        <w:t xml:space="preserve">before </w:t>
      </w:r>
      <w:r w:rsidRPr="001C73BA">
        <w:t>1 July 2001.</w:t>
      </w:r>
    </w:p>
    <w:p w14:paraId="62905BD5" w14:textId="2C5AE5BC" w:rsidR="00F0273F" w:rsidRPr="001C73BA" w:rsidRDefault="00F0273F" w:rsidP="00F0273F">
      <w:pPr>
        <w:pStyle w:val="R2"/>
        <w:rPr>
          <w:color w:val="000080"/>
        </w:rPr>
      </w:pPr>
      <w:r w:rsidRPr="001C73BA">
        <w:tab/>
        <w:t>(2)</w:t>
      </w:r>
      <w:r w:rsidRPr="001C73BA">
        <w:tab/>
        <w:t xml:space="preserve">If the device compliance day for a cordless communications device is on or after 1 July 2001, </w:t>
      </w:r>
      <w:r>
        <w:t>the device</w:t>
      </w:r>
      <w:r w:rsidRPr="001C73BA">
        <w:t xml:space="preserve"> must comply with any standard applicable to the device on its compliance day, as in force on that day.</w:t>
      </w:r>
    </w:p>
    <w:p w14:paraId="571FD78D" w14:textId="56694C9F" w:rsidR="00F0273F" w:rsidRPr="001C73BA" w:rsidRDefault="00F0273F" w:rsidP="00F0273F">
      <w:pPr>
        <w:pStyle w:val="Note"/>
      </w:pPr>
      <w:r w:rsidRPr="001C73BA">
        <w:rPr>
          <w:i/>
        </w:rPr>
        <w:t>Note 1</w:t>
      </w:r>
      <w:r>
        <w:t>   </w:t>
      </w:r>
      <w:r w:rsidR="00307A27">
        <w:t>If</w:t>
      </w:r>
      <w:r w:rsidRPr="001C73BA">
        <w:t xml:space="preserve"> a standard mentioned in subsection 10</w:t>
      </w:r>
      <w:r>
        <w:t> </w:t>
      </w:r>
      <w:r w:rsidRPr="001C73BA">
        <w:t>(1) or (2) is amended or replaced by another standard after the device compliance day for the device, the device need not comply with the new or amended standard.</w:t>
      </w:r>
    </w:p>
    <w:p w14:paraId="77886AE9" w14:textId="77777777" w:rsidR="003E2CCE" w:rsidRDefault="00F0273F" w:rsidP="00F0273F">
      <w:pPr>
        <w:pStyle w:val="Note"/>
        <w:sectPr w:rsidR="003E2CCE" w:rsidSect="003E2CCE">
          <w:headerReference w:type="default" r:id="rId26"/>
          <w:type w:val="continuous"/>
          <w:pgSz w:w="11907" w:h="16839" w:code="9"/>
          <w:pgMar w:top="1440" w:right="1797" w:bottom="1440" w:left="1797" w:header="720" w:footer="720" w:gutter="0"/>
          <w:cols w:space="708"/>
          <w:docGrid w:linePitch="360"/>
        </w:sectPr>
      </w:pPr>
      <w:r w:rsidRPr="001C73BA">
        <w:rPr>
          <w:i/>
        </w:rPr>
        <w:t>Note 2</w:t>
      </w:r>
      <w:r>
        <w:rPr>
          <w:i/>
        </w:rPr>
        <w:t>  </w:t>
      </w:r>
      <w:r>
        <w:t> </w:t>
      </w:r>
      <w:r w:rsidRPr="001C73BA">
        <w:t xml:space="preserve">Section 5 of the </w:t>
      </w:r>
      <w:proofErr w:type="spellStart"/>
      <w:r w:rsidRPr="001C73BA">
        <w:rPr>
          <w:i/>
        </w:rPr>
        <w:t>Radiocommunications</w:t>
      </w:r>
      <w:proofErr w:type="spellEnd"/>
      <w:r w:rsidRPr="001C73BA">
        <w:rPr>
          <w:i/>
        </w:rPr>
        <w:t xml:space="preserve"> Act 1992</w:t>
      </w:r>
      <w:r w:rsidRPr="001C73BA">
        <w:t xml:space="preserve"> provides that </w:t>
      </w:r>
      <w:r w:rsidRPr="001C73BA">
        <w:rPr>
          <w:b/>
          <w:i/>
        </w:rPr>
        <w:t>standard</w:t>
      </w:r>
      <w:r w:rsidRPr="001C73BA">
        <w:t xml:space="preserve"> means a standard made under section 162 of that Act.</w:t>
      </w:r>
    </w:p>
    <w:p w14:paraId="56837D0A" w14:textId="365A232C" w:rsidR="00F0273F" w:rsidRDefault="00F0273F" w:rsidP="00F0273F">
      <w:pPr>
        <w:pStyle w:val="Note"/>
      </w:pPr>
      <w:r w:rsidRPr="001C73BA">
        <w:rPr>
          <w:i/>
        </w:rPr>
        <w:lastRenderedPageBreak/>
        <w:t>Note 3</w:t>
      </w:r>
      <w:r>
        <w:t>   </w:t>
      </w:r>
      <w:r w:rsidRPr="001C73BA">
        <w:t xml:space="preserve">A cordless communications device operating in the bands mentioned in this </w:t>
      </w:r>
      <w:r w:rsidR="00463A8A">
        <w:t>C</w:t>
      </w:r>
      <w:r w:rsidRPr="001C73BA">
        <w:t xml:space="preserve">lass </w:t>
      </w:r>
      <w:r w:rsidR="00463A8A">
        <w:t>L</w:t>
      </w:r>
      <w:r w:rsidRPr="001C73BA">
        <w:t xml:space="preserve">icence will not be afforded protection from interference from </w:t>
      </w:r>
      <w:proofErr w:type="spellStart"/>
      <w:r w:rsidRPr="001C73BA">
        <w:t>radiocommunications</w:t>
      </w:r>
      <w:proofErr w:type="spellEnd"/>
      <w:r w:rsidRPr="001C73BA">
        <w:t xml:space="preserve"> services operating within the same band in accordance with their licences. </w:t>
      </w:r>
    </w:p>
    <w:p w14:paraId="2481D4EC" w14:textId="77777777" w:rsidR="00526D05" w:rsidRPr="001C73BA" w:rsidRDefault="00526D05" w:rsidP="00526D05">
      <w:pPr>
        <w:pStyle w:val="Note"/>
      </w:pPr>
      <w:r w:rsidRPr="001C73BA">
        <w:t>The shared spectrum arrangements and uncoordinated nature of cordless device usage in the band may lead to interaction between different cordless devices and between cordless services and mobile services operating in adjacent bands, which could reduce system performance. The probability of such interaction is low because of the dynamic channel allocation techniques inherent in cordless device technology.</w:t>
      </w:r>
    </w:p>
    <w:p w14:paraId="2BE29D7F" w14:textId="58FF5432" w:rsidR="00316BBC" w:rsidRPr="001C73BA" w:rsidRDefault="00316BBC" w:rsidP="00F0273F">
      <w:pPr>
        <w:pStyle w:val="Note"/>
      </w:pPr>
      <w:r>
        <w:rPr>
          <w:i/>
        </w:rPr>
        <w:t xml:space="preserve">Note </w:t>
      </w:r>
      <w:proofErr w:type="gramStart"/>
      <w:r>
        <w:rPr>
          <w:i/>
        </w:rPr>
        <w:t xml:space="preserve">4 </w:t>
      </w:r>
      <w:r w:rsidR="0062333F">
        <w:rPr>
          <w:i/>
        </w:rPr>
        <w:t xml:space="preserve"> </w:t>
      </w:r>
      <w:r w:rsidRPr="00316BBC">
        <w:t>The</w:t>
      </w:r>
      <w:proofErr w:type="gramEnd"/>
      <w:r>
        <w:rPr>
          <w:i/>
        </w:rPr>
        <w:t xml:space="preserve"> </w:t>
      </w:r>
      <w:proofErr w:type="spellStart"/>
      <w:r>
        <w:rPr>
          <w:i/>
        </w:rPr>
        <w:t>Radiocommunications</w:t>
      </w:r>
      <w:proofErr w:type="spellEnd"/>
      <w:r>
        <w:rPr>
          <w:i/>
        </w:rPr>
        <w:t xml:space="preserve"> (Electromagnetic Radiation – Human Exposure) Standard 1999, </w:t>
      </w:r>
      <w:r w:rsidRPr="00316BBC">
        <w:t>as in force immediately before 1 January 2002 was revoked by</w:t>
      </w:r>
      <w:r>
        <w:rPr>
          <w:i/>
        </w:rPr>
        <w:t xml:space="preserve"> </w:t>
      </w:r>
      <w:r w:rsidRPr="00316BBC">
        <w:t xml:space="preserve">the </w:t>
      </w:r>
      <w:proofErr w:type="spellStart"/>
      <w:r w:rsidRPr="00913993">
        <w:rPr>
          <w:i/>
          <w:iCs/>
        </w:rPr>
        <w:t>Radiocommunications</w:t>
      </w:r>
      <w:proofErr w:type="spellEnd"/>
      <w:r w:rsidRPr="00913993">
        <w:rPr>
          <w:i/>
          <w:iCs/>
        </w:rPr>
        <w:t xml:space="preserve"> (Electromagnetic Radiation – Human Exposure) Standard 2001</w:t>
      </w:r>
      <w:r>
        <w:rPr>
          <w:iCs/>
        </w:rPr>
        <w:t>.</w:t>
      </w:r>
    </w:p>
    <w:p w14:paraId="0D60DCDA" w14:textId="16B7D42B" w:rsidR="00F0273F" w:rsidRPr="001C73BA" w:rsidRDefault="00F0273F" w:rsidP="00F0273F">
      <w:pPr>
        <w:pStyle w:val="Note"/>
      </w:pPr>
      <w:r w:rsidRPr="001C73BA">
        <w:t>.</w:t>
      </w:r>
    </w:p>
    <w:p w14:paraId="5805401B" w14:textId="77777777" w:rsidR="00F0273F" w:rsidRDefault="00F0273F" w:rsidP="00F0273F"/>
    <w:p w14:paraId="5C792C64" w14:textId="77777777" w:rsidR="000A4528" w:rsidRDefault="000A4528">
      <w:pPr>
        <w:pStyle w:val="MainBodySectionBreak"/>
        <w:sectPr w:rsidR="000A4528" w:rsidSect="003E2CCE">
          <w:headerReference w:type="default" r:id="rId27"/>
          <w:type w:val="continuous"/>
          <w:pgSz w:w="11907" w:h="16839" w:code="9"/>
          <w:pgMar w:top="1440" w:right="1797" w:bottom="1440" w:left="1797" w:header="720" w:footer="720" w:gutter="0"/>
          <w:cols w:space="708"/>
          <w:docGrid w:linePitch="360"/>
        </w:sectPr>
      </w:pPr>
      <w:bookmarkStart w:id="14" w:name="_Toc211679811"/>
    </w:p>
    <w:p w14:paraId="2FA8D757" w14:textId="77777777" w:rsidR="00AF4D93" w:rsidRPr="00C42FE7" w:rsidRDefault="00AF4D93" w:rsidP="00AF4D93">
      <w:pPr>
        <w:pStyle w:val="Scheduletitle"/>
      </w:pPr>
      <w:r w:rsidRPr="00C42FE7">
        <w:rPr>
          <w:rStyle w:val="CharAmSchNo"/>
        </w:rPr>
        <w:lastRenderedPageBreak/>
        <w:t>Schedule 1</w:t>
      </w:r>
      <w:r w:rsidRPr="00C42FE7">
        <w:tab/>
      </w:r>
      <w:r w:rsidRPr="00C42FE7">
        <w:rPr>
          <w:rStyle w:val="CharAmSchText"/>
        </w:rPr>
        <w:t xml:space="preserve">Equivalent </w:t>
      </w:r>
      <w:proofErr w:type="spellStart"/>
      <w:r w:rsidRPr="00C42FE7">
        <w:rPr>
          <w:rStyle w:val="CharAmSchText"/>
        </w:rPr>
        <w:t>Isotropically</w:t>
      </w:r>
      <w:proofErr w:type="spellEnd"/>
      <w:r w:rsidRPr="00C42FE7">
        <w:rPr>
          <w:rStyle w:val="CharAmSchText"/>
        </w:rPr>
        <w:t xml:space="preserve"> Radiated Power (EIRP) limits</w:t>
      </w:r>
      <w:bookmarkEnd w:id="14"/>
    </w:p>
    <w:p w14:paraId="7B59E45E" w14:textId="599EB0BB" w:rsidR="00AF4D93" w:rsidRDefault="00AF4D93" w:rsidP="00AF4D93">
      <w:pPr>
        <w:pStyle w:val="Schedulereference"/>
        <w:spacing w:after="120"/>
      </w:pPr>
      <w:r>
        <w:t>(</w:t>
      </w:r>
      <w:proofErr w:type="gramStart"/>
      <w:r w:rsidR="00C10F75" w:rsidRPr="00031E07">
        <w:t>subsection</w:t>
      </w:r>
      <w:proofErr w:type="gramEnd"/>
      <w:r>
        <w:t xml:space="preserve"> </w:t>
      </w:r>
      <w:r w:rsidR="0062333F">
        <w:t>6 </w:t>
      </w:r>
      <w:r>
        <w:t>(2) )</w:t>
      </w:r>
    </w:p>
    <w:p w14:paraId="429ADA17" w14:textId="77777777" w:rsidR="00AF4D93" w:rsidRDefault="00AF4D93" w:rsidP="00AF4D93">
      <w:pPr>
        <w:pStyle w:val="Header"/>
      </w:pPr>
      <w:r>
        <w:rPr>
          <w:rStyle w:val="CharSchPTNo"/>
        </w:rPr>
        <w:t xml:space="preserve"> </w:t>
      </w:r>
      <w:r>
        <w:rPr>
          <w:rStyle w:val="CharSchPTText"/>
        </w:rPr>
        <w:t xml:space="preserve"> </w:t>
      </w:r>
    </w:p>
    <w:p w14:paraId="49AD8C95" w14:textId="77777777" w:rsidR="00AF4D93" w:rsidRDefault="00AF4D93" w:rsidP="00AF4D93"/>
    <w:tbl>
      <w:tblPr>
        <w:tblW w:w="0" w:type="auto"/>
        <w:tblInd w:w="108" w:type="dxa"/>
        <w:tblLayout w:type="fixed"/>
        <w:tblLook w:val="0000" w:firstRow="0" w:lastRow="0" w:firstColumn="0" w:lastColumn="0" w:noHBand="0" w:noVBand="0"/>
      </w:tblPr>
      <w:tblGrid>
        <w:gridCol w:w="6379"/>
        <w:gridCol w:w="1985"/>
      </w:tblGrid>
      <w:tr w:rsidR="00AF4D93" w14:paraId="2599E983" w14:textId="77777777">
        <w:tc>
          <w:tcPr>
            <w:tcW w:w="6379" w:type="dxa"/>
          </w:tcPr>
          <w:p w14:paraId="21F6FD02" w14:textId="77777777" w:rsidR="00AF4D93" w:rsidRDefault="00AF4D93" w:rsidP="00AF4D93">
            <w:pPr>
              <w:pStyle w:val="TableColHead"/>
            </w:pPr>
            <w:r>
              <w:t>Land station</w:t>
            </w:r>
          </w:p>
        </w:tc>
        <w:tc>
          <w:tcPr>
            <w:tcW w:w="1985" w:type="dxa"/>
          </w:tcPr>
          <w:p w14:paraId="1B54F724" w14:textId="77777777" w:rsidR="00AF4D93" w:rsidRDefault="00AF4D93" w:rsidP="00AF4D93">
            <w:pPr>
              <w:pStyle w:val="TableColHead"/>
            </w:pPr>
            <w:r>
              <w:t>Maximum EIRP</w:t>
            </w:r>
          </w:p>
        </w:tc>
      </w:tr>
      <w:tr w:rsidR="00AF4D93" w14:paraId="0BD718CA" w14:textId="77777777">
        <w:tc>
          <w:tcPr>
            <w:tcW w:w="6379" w:type="dxa"/>
            <w:tcBorders>
              <w:top w:val="single" w:sz="4" w:space="0" w:color="auto"/>
            </w:tcBorders>
          </w:tcPr>
          <w:p w14:paraId="1C9FFA5E" w14:textId="77777777" w:rsidR="00AF4D93" w:rsidRDefault="00AF4D93" w:rsidP="00AF4D93">
            <w:pPr>
              <w:pStyle w:val="TableText"/>
            </w:pPr>
            <w:r>
              <w:t>Land station using Digital Enhanced Cordless Telecommunications (average per occupied time slot)</w:t>
            </w:r>
          </w:p>
        </w:tc>
        <w:tc>
          <w:tcPr>
            <w:tcW w:w="1985" w:type="dxa"/>
            <w:tcBorders>
              <w:top w:val="single" w:sz="4" w:space="0" w:color="auto"/>
            </w:tcBorders>
          </w:tcPr>
          <w:p w14:paraId="4054AF55" w14:textId="77777777" w:rsidR="00AF4D93" w:rsidRDefault="00AF4D93" w:rsidP="00AF4D93">
            <w:pPr>
              <w:pStyle w:val="TableText"/>
            </w:pPr>
            <w:r>
              <w:t xml:space="preserve">22 </w:t>
            </w:r>
            <w:proofErr w:type="spellStart"/>
            <w:r>
              <w:t>dBm</w:t>
            </w:r>
            <w:proofErr w:type="spellEnd"/>
            <w:r>
              <w:t xml:space="preserve"> </w:t>
            </w:r>
          </w:p>
        </w:tc>
      </w:tr>
      <w:tr w:rsidR="00AF4D93" w14:paraId="4341FE5E" w14:textId="77777777">
        <w:tc>
          <w:tcPr>
            <w:tcW w:w="6379" w:type="dxa"/>
          </w:tcPr>
          <w:p w14:paraId="55DEA6BE" w14:textId="77777777" w:rsidR="00AF4D93" w:rsidRDefault="00AF4D93" w:rsidP="00AF4D93">
            <w:pPr>
              <w:pStyle w:val="TableText"/>
            </w:pPr>
            <w:r>
              <w:t>Land station using Digital Enhanced Cordless Telecommunications (peak)</w:t>
            </w:r>
          </w:p>
        </w:tc>
        <w:tc>
          <w:tcPr>
            <w:tcW w:w="1985" w:type="dxa"/>
          </w:tcPr>
          <w:p w14:paraId="59AFAB0D" w14:textId="77777777" w:rsidR="00AF4D93" w:rsidRDefault="00AF4D93" w:rsidP="00AF4D93">
            <w:pPr>
              <w:pStyle w:val="TableText"/>
            </w:pPr>
            <w:r>
              <w:t xml:space="preserve">36 </w:t>
            </w:r>
            <w:proofErr w:type="spellStart"/>
            <w:r>
              <w:t>dBm</w:t>
            </w:r>
            <w:proofErr w:type="spellEnd"/>
            <w:r>
              <w:t xml:space="preserve"> </w:t>
            </w:r>
          </w:p>
        </w:tc>
      </w:tr>
      <w:tr w:rsidR="00AF4D93" w14:paraId="4A01F84F" w14:textId="77777777">
        <w:tc>
          <w:tcPr>
            <w:tcW w:w="6379" w:type="dxa"/>
          </w:tcPr>
          <w:p w14:paraId="55C84486" w14:textId="77777777" w:rsidR="00AF4D93" w:rsidRDefault="00AF4D93" w:rsidP="00AF4D93">
            <w:pPr>
              <w:pStyle w:val="TableText"/>
            </w:pPr>
            <w:r>
              <w:t>Land station using the Personal Handy Phone System (average per occupied time slot)</w:t>
            </w:r>
          </w:p>
        </w:tc>
        <w:tc>
          <w:tcPr>
            <w:tcW w:w="1985" w:type="dxa"/>
          </w:tcPr>
          <w:p w14:paraId="7EF9A37D" w14:textId="77777777" w:rsidR="00AF4D93" w:rsidRDefault="00AF4D93" w:rsidP="00AF4D93">
            <w:pPr>
              <w:pStyle w:val="TableText"/>
            </w:pPr>
            <w:r>
              <w:t xml:space="preserve">12.5 </w:t>
            </w:r>
            <w:proofErr w:type="spellStart"/>
            <w:r>
              <w:t>dBm</w:t>
            </w:r>
            <w:proofErr w:type="spellEnd"/>
          </w:p>
        </w:tc>
      </w:tr>
      <w:tr w:rsidR="00AF4D93" w14:paraId="0A16D9F9" w14:textId="77777777">
        <w:tc>
          <w:tcPr>
            <w:tcW w:w="6379" w:type="dxa"/>
            <w:tcBorders>
              <w:bottom w:val="single" w:sz="4" w:space="0" w:color="auto"/>
            </w:tcBorders>
          </w:tcPr>
          <w:p w14:paraId="489FB8F4" w14:textId="77777777" w:rsidR="00AF4D93" w:rsidRDefault="00AF4D93" w:rsidP="00AF4D93">
            <w:pPr>
              <w:pStyle w:val="TableText"/>
            </w:pPr>
            <w:r>
              <w:t>Land station using the Personal Handy Phone System (peak)</w:t>
            </w:r>
          </w:p>
        </w:tc>
        <w:tc>
          <w:tcPr>
            <w:tcW w:w="1985" w:type="dxa"/>
            <w:tcBorders>
              <w:bottom w:val="single" w:sz="4" w:space="0" w:color="auto"/>
            </w:tcBorders>
          </w:tcPr>
          <w:p w14:paraId="328742B5" w14:textId="77777777" w:rsidR="00AF4D93" w:rsidRDefault="00AF4D93" w:rsidP="00AF4D93">
            <w:pPr>
              <w:pStyle w:val="TableText"/>
            </w:pPr>
            <w:r>
              <w:t xml:space="preserve">21.5 </w:t>
            </w:r>
            <w:proofErr w:type="spellStart"/>
            <w:r>
              <w:t>dBm</w:t>
            </w:r>
            <w:proofErr w:type="spellEnd"/>
          </w:p>
        </w:tc>
      </w:tr>
    </w:tbl>
    <w:p w14:paraId="29B4CC1F" w14:textId="7974DD22" w:rsidR="00723CC1" w:rsidRDefault="00AF4D93" w:rsidP="00AF4D93">
      <w:pPr>
        <w:pStyle w:val="DNote"/>
      </w:pPr>
      <w:r>
        <w:rPr>
          <w:i/>
        </w:rPr>
        <w:t>Note</w:t>
      </w:r>
      <w:r>
        <w:t>   </w:t>
      </w:r>
      <w:r>
        <w:rPr>
          <w:b/>
          <w:i/>
        </w:rPr>
        <w:t>Average per occupied time slot</w:t>
      </w:r>
      <w:r>
        <w:t xml:space="preserve"> means the average power permitted for each time slot occupied in a channel.</w:t>
      </w:r>
    </w:p>
    <w:p w14:paraId="3831985C" w14:textId="77777777" w:rsidR="00723CC1" w:rsidRDefault="00723CC1">
      <w:pPr>
        <w:rPr>
          <w:sz w:val="20"/>
          <w:lang w:eastAsia="en-US"/>
        </w:rPr>
        <w:sectPr w:rsidR="00723CC1">
          <w:headerReference w:type="even" r:id="rId28"/>
          <w:headerReference w:type="default" r:id="rId29"/>
          <w:footerReference w:type="even" r:id="rId30"/>
          <w:footerReference w:type="default" r:id="rId31"/>
          <w:headerReference w:type="first" r:id="rId32"/>
          <w:footerReference w:type="first" r:id="rId33"/>
          <w:pgSz w:w="11907" w:h="16839" w:code="9"/>
          <w:pgMar w:top="1440" w:right="1797" w:bottom="1440" w:left="1797" w:header="709" w:footer="709" w:gutter="0"/>
          <w:cols w:space="708"/>
          <w:docGrid w:linePitch="360"/>
        </w:sectPr>
      </w:pPr>
    </w:p>
    <w:p w14:paraId="1807909D" w14:textId="4257E70A" w:rsidR="00F0273F" w:rsidRPr="001C73BA" w:rsidRDefault="00F0273F" w:rsidP="00F0273F">
      <w:pPr>
        <w:pStyle w:val="Scheduletitle"/>
      </w:pPr>
      <w:bookmarkStart w:id="15" w:name="_Toc211679812"/>
      <w:r w:rsidRPr="00FA6F20">
        <w:rPr>
          <w:rStyle w:val="CharAmSchNo"/>
        </w:rPr>
        <w:lastRenderedPageBreak/>
        <w:t>Schedule 2</w:t>
      </w:r>
      <w:r w:rsidRPr="001C73BA">
        <w:tab/>
      </w:r>
      <w:r w:rsidRPr="00FA6F20">
        <w:rPr>
          <w:rStyle w:val="CharAmSchText"/>
        </w:rPr>
        <w:t xml:space="preserve">Technical </w:t>
      </w:r>
      <w:bookmarkEnd w:id="15"/>
      <w:r w:rsidR="00E27260" w:rsidRPr="00FA6F20">
        <w:rPr>
          <w:rStyle w:val="CharAmSchText"/>
        </w:rPr>
        <w:t>s</w:t>
      </w:r>
      <w:r w:rsidR="00E27260">
        <w:rPr>
          <w:rStyle w:val="CharAmSchText"/>
        </w:rPr>
        <w:t>pecification</w:t>
      </w:r>
      <w:r w:rsidR="00E27260" w:rsidRPr="00FA6F20">
        <w:rPr>
          <w:rStyle w:val="CharAmSchText"/>
        </w:rPr>
        <w:t>s</w:t>
      </w:r>
    </w:p>
    <w:p w14:paraId="75439838" w14:textId="5EEAD902" w:rsidR="00F0273F" w:rsidRPr="001C73BA" w:rsidRDefault="00F0273F" w:rsidP="00F0273F">
      <w:pPr>
        <w:pStyle w:val="Schedulereference"/>
      </w:pPr>
      <w:r w:rsidRPr="001C73BA">
        <w:t>(</w:t>
      </w:r>
      <w:proofErr w:type="gramStart"/>
      <w:r w:rsidRPr="001C73BA">
        <w:t>section</w:t>
      </w:r>
      <w:r w:rsidR="002D02F7">
        <w:t>s</w:t>
      </w:r>
      <w:proofErr w:type="gramEnd"/>
      <w:r w:rsidR="002D02F7">
        <w:t xml:space="preserve"> </w:t>
      </w:r>
      <w:r w:rsidR="0062333F">
        <w:t xml:space="preserve">7 </w:t>
      </w:r>
      <w:r w:rsidR="002D02F7">
        <w:t>and</w:t>
      </w:r>
      <w:r w:rsidRPr="001C73BA">
        <w:t xml:space="preserve"> 8)</w:t>
      </w:r>
    </w:p>
    <w:p w14:paraId="3D339D98" w14:textId="77777777" w:rsidR="00F0273F" w:rsidRPr="00F92235" w:rsidRDefault="00F0273F">
      <w:pPr>
        <w:pStyle w:val="Header"/>
      </w:pPr>
      <w:r>
        <w:rPr>
          <w:rStyle w:val="CharSchPTNo"/>
        </w:rPr>
        <w:t xml:space="preserve"> </w:t>
      </w:r>
      <w:r>
        <w:rPr>
          <w:rStyle w:val="CharSchPTText"/>
        </w:rPr>
        <w:t xml:space="preserve"> </w:t>
      </w:r>
    </w:p>
    <w:p w14:paraId="0031B6CD" w14:textId="77777777" w:rsidR="00F0273F" w:rsidRPr="001C73BA" w:rsidRDefault="00F0273F" w:rsidP="00F0273F"/>
    <w:tbl>
      <w:tblPr>
        <w:tblW w:w="8416" w:type="dxa"/>
        <w:tblInd w:w="80" w:type="dxa"/>
        <w:tblLayout w:type="fixed"/>
        <w:tblLook w:val="01E0" w:firstRow="1" w:lastRow="1" w:firstColumn="1" w:lastColumn="1" w:noHBand="0" w:noVBand="0"/>
      </w:tblPr>
      <w:tblGrid>
        <w:gridCol w:w="640"/>
        <w:gridCol w:w="5628"/>
        <w:gridCol w:w="2148"/>
      </w:tblGrid>
      <w:tr w:rsidR="00F0273F" w:rsidRPr="001C73BA" w14:paraId="5EA261E0" w14:textId="77777777">
        <w:trPr>
          <w:cantSplit/>
          <w:tblHeader/>
        </w:trPr>
        <w:tc>
          <w:tcPr>
            <w:tcW w:w="640" w:type="dxa"/>
            <w:tcBorders>
              <w:bottom w:val="single" w:sz="4" w:space="0" w:color="auto"/>
            </w:tcBorders>
            <w:shd w:val="clear" w:color="auto" w:fill="auto"/>
          </w:tcPr>
          <w:p w14:paraId="0E3E7D24" w14:textId="77777777" w:rsidR="00F0273F" w:rsidRPr="001C73BA" w:rsidRDefault="00F0273F" w:rsidP="008619FF">
            <w:pPr>
              <w:pStyle w:val="TableColHead"/>
              <w:rPr>
                <w:sz w:val="20"/>
                <w:szCs w:val="20"/>
                <w:lang w:eastAsia="en-AU"/>
              </w:rPr>
            </w:pPr>
            <w:r w:rsidRPr="001C73BA">
              <w:t>Item</w:t>
            </w:r>
          </w:p>
        </w:tc>
        <w:tc>
          <w:tcPr>
            <w:tcW w:w="5628" w:type="dxa"/>
            <w:tcBorders>
              <w:bottom w:val="single" w:sz="4" w:space="0" w:color="auto"/>
            </w:tcBorders>
            <w:shd w:val="clear" w:color="auto" w:fill="auto"/>
          </w:tcPr>
          <w:p w14:paraId="0E537712" w14:textId="41474765" w:rsidR="00F0273F" w:rsidRPr="001C73BA" w:rsidRDefault="00F0273F" w:rsidP="008C11B8">
            <w:pPr>
              <w:pStyle w:val="TableColHead"/>
            </w:pPr>
            <w:r w:rsidRPr="001C73BA">
              <w:t xml:space="preserve">Description of </w:t>
            </w:r>
            <w:r w:rsidR="008C11B8" w:rsidRPr="001C73BA">
              <w:t>s</w:t>
            </w:r>
            <w:r w:rsidR="008C11B8">
              <w:t>pecification</w:t>
            </w:r>
          </w:p>
        </w:tc>
        <w:tc>
          <w:tcPr>
            <w:tcW w:w="2148" w:type="dxa"/>
            <w:tcBorders>
              <w:bottom w:val="single" w:sz="4" w:space="0" w:color="auto"/>
            </w:tcBorders>
            <w:shd w:val="clear" w:color="auto" w:fill="auto"/>
          </w:tcPr>
          <w:p w14:paraId="330B96BB" w14:textId="77777777" w:rsidR="00F0273F" w:rsidRPr="001C73BA" w:rsidRDefault="00F0273F" w:rsidP="008619FF">
            <w:pPr>
              <w:pStyle w:val="TableColHead"/>
            </w:pPr>
            <w:r w:rsidRPr="001C73BA">
              <w:t>Date of effect</w:t>
            </w:r>
          </w:p>
        </w:tc>
      </w:tr>
      <w:tr w:rsidR="00F0273F" w:rsidRPr="001C73BA" w14:paraId="4E6EE2D5" w14:textId="77777777">
        <w:trPr>
          <w:cantSplit/>
        </w:trPr>
        <w:tc>
          <w:tcPr>
            <w:tcW w:w="640" w:type="dxa"/>
            <w:shd w:val="clear" w:color="auto" w:fill="auto"/>
          </w:tcPr>
          <w:p w14:paraId="36A53248" w14:textId="6B662B83" w:rsidR="00F0273F" w:rsidRPr="001C73BA" w:rsidRDefault="00723CC1" w:rsidP="008619FF">
            <w:pPr>
              <w:pStyle w:val="TableText"/>
              <w:ind w:left="227"/>
            </w:pPr>
            <w:r>
              <w:t>1</w:t>
            </w:r>
          </w:p>
        </w:tc>
        <w:tc>
          <w:tcPr>
            <w:tcW w:w="5628" w:type="dxa"/>
            <w:shd w:val="clear" w:color="auto" w:fill="auto"/>
          </w:tcPr>
          <w:p w14:paraId="1D91643B" w14:textId="72EC42C0" w:rsidR="00E92541" w:rsidRPr="001C73BA" w:rsidRDefault="00F0273F" w:rsidP="00723CC1">
            <w:pPr>
              <w:pStyle w:val="TableText"/>
            </w:pPr>
            <w:r w:rsidRPr="001C73BA">
              <w:t>Radio Equipment and Systems Cordless Telecommunications</w:t>
            </w:r>
            <w:r>
              <w:t> </w:t>
            </w:r>
            <w:r w:rsidRPr="001C73BA">
              <w:t>— CT2 CAI</w:t>
            </w:r>
            <w:r>
              <w:t> </w:t>
            </w:r>
            <w:r w:rsidRPr="001C73BA">
              <w:t>— number TS</w:t>
            </w:r>
            <w:r>
              <w:t> </w:t>
            </w:r>
            <w:r w:rsidRPr="001C73BA">
              <w:t>019</w:t>
            </w:r>
            <w:r>
              <w:t> </w:t>
            </w:r>
            <w:r w:rsidRPr="001C73BA">
              <w:t>— 1993</w:t>
            </w:r>
          </w:p>
        </w:tc>
        <w:tc>
          <w:tcPr>
            <w:tcW w:w="2148" w:type="dxa"/>
            <w:shd w:val="clear" w:color="auto" w:fill="auto"/>
          </w:tcPr>
          <w:p w14:paraId="6DBEDE9B" w14:textId="7C166348" w:rsidR="00F0273F" w:rsidRPr="001C73BA" w:rsidRDefault="00F0273F" w:rsidP="008619FF">
            <w:pPr>
              <w:pStyle w:val="TableText"/>
            </w:pPr>
            <w:r w:rsidRPr="001C73BA">
              <w:t>14 July 1993</w:t>
            </w:r>
          </w:p>
        </w:tc>
      </w:tr>
      <w:tr w:rsidR="00F0273F" w:rsidRPr="001C73BA" w14:paraId="148FCB1F" w14:textId="77777777">
        <w:trPr>
          <w:cantSplit/>
        </w:trPr>
        <w:tc>
          <w:tcPr>
            <w:tcW w:w="640" w:type="dxa"/>
            <w:shd w:val="clear" w:color="auto" w:fill="auto"/>
          </w:tcPr>
          <w:p w14:paraId="0F00EF68" w14:textId="23BD1F40" w:rsidR="00F0273F" w:rsidRPr="001C73BA" w:rsidRDefault="00723CC1" w:rsidP="008619FF">
            <w:pPr>
              <w:pStyle w:val="TableText"/>
              <w:ind w:left="227"/>
            </w:pPr>
            <w:r>
              <w:t>2</w:t>
            </w:r>
          </w:p>
        </w:tc>
        <w:tc>
          <w:tcPr>
            <w:tcW w:w="5628" w:type="dxa"/>
            <w:shd w:val="clear" w:color="auto" w:fill="auto"/>
          </w:tcPr>
          <w:p w14:paraId="70818039" w14:textId="6CC9B22A" w:rsidR="00B65C4A" w:rsidRPr="001C73BA" w:rsidRDefault="00F0273F" w:rsidP="00723CC1">
            <w:pPr>
              <w:pStyle w:val="TableText"/>
            </w:pPr>
            <w:r w:rsidRPr="001C73BA">
              <w:t>Radio Equipment and Systems Cordless Telecommunications</w:t>
            </w:r>
            <w:r>
              <w:t> </w:t>
            </w:r>
            <w:r w:rsidRPr="001C73BA">
              <w:t>— DECT</w:t>
            </w:r>
            <w:r>
              <w:t> </w:t>
            </w:r>
            <w:r w:rsidRPr="001C73BA">
              <w:t>— number TS</w:t>
            </w:r>
            <w:r>
              <w:t> </w:t>
            </w:r>
            <w:r w:rsidRPr="001C73BA">
              <w:t>028</w:t>
            </w:r>
            <w:r>
              <w:noBreakHyphen/>
            </w:r>
            <w:r w:rsidRPr="001C73BA">
              <w:t>1995</w:t>
            </w:r>
          </w:p>
        </w:tc>
        <w:tc>
          <w:tcPr>
            <w:tcW w:w="2148" w:type="dxa"/>
            <w:shd w:val="clear" w:color="auto" w:fill="auto"/>
          </w:tcPr>
          <w:p w14:paraId="3321037E" w14:textId="5294A9FE" w:rsidR="00F0273F" w:rsidRPr="001C73BA" w:rsidRDefault="00F0273F" w:rsidP="008619FF">
            <w:pPr>
              <w:pStyle w:val="TableText"/>
            </w:pPr>
            <w:r w:rsidRPr="001C73BA">
              <w:t>4 October 1995</w:t>
            </w:r>
          </w:p>
        </w:tc>
      </w:tr>
      <w:tr w:rsidR="00F0273F" w:rsidRPr="001C73BA" w14:paraId="020B066F" w14:textId="77777777">
        <w:trPr>
          <w:cantSplit/>
        </w:trPr>
        <w:tc>
          <w:tcPr>
            <w:tcW w:w="640" w:type="dxa"/>
            <w:shd w:val="clear" w:color="auto" w:fill="auto"/>
          </w:tcPr>
          <w:p w14:paraId="2F37839A" w14:textId="15EAD8B7" w:rsidR="00F0273F" w:rsidRPr="001C73BA" w:rsidRDefault="00723CC1" w:rsidP="008619FF">
            <w:pPr>
              <w:pStyle w:val="TableText"/>
              <w:ind w:left="227"/>
            </w:pPr>
            <w:r>
              <w:t>3</w:t>
            </w:r>
          </w:p>
        </w:tc>
        <w:tc>
          <w:tcPr>
            <w:tcW w:w="5628" w:type="dxa"/>
            <w:shd w:val="clear" w:color="auto" w:fill="auto"/>
          </w:tcPr>
          <w:p w14:paraId="35E4305D" w14:textId="6D889209" w:rsidR="00E92541" w:rsidRPr="001C73BA" w:rsidRDefault="00F0273F" w:rsidP="00723CC1">
            <w:pPr>
              <w:pStyle w:val="TableText"/>
            </w:pPr>
            <w:r w:rsidRPr="001C73BA">
              <w:t>Radio Equipment and Systems Cordless Telecommunications</w:t>
            </w:r>
            <w:r>
              <w:t> </w:t>
            </w:r>
            <w:r w:rsidRPr="001C73BA">
              <w:t>— CT2 CAI</w:t>
            </w:r>
            <w:r>
              <w:t> </w:t>
            </w:r>
            <w:r w:rsidRPr="001C73BA">
              <w:t>— number TS</w:t>
            </w:r>
            <w:r>
              <w:t> </w:t>
            </w:r>
            <w:r w:rsidRPr="001C73BA">
              <w:t>019</w:t>
            </w:r>
            <w:r>
              <w:t> </w:t>
            </w:r>
            <w:r w:rsidRPr="001C73BA">
              <w:t>— 1997</w:t>
            </w:r>
          </w:p>
        </w:tc>
        <w:tc>
          <w:tcPr>
            <w:tcW w:w="2148" w:type="dxa"/>
            <w:shd w:val="clear" w:color="auto" w:fill="auto"/>
          </w:tcPr>
          <w:p w14:paraId="0E2023D3" w14:textId="376AAAC9" w:rsidR="00F0273F" w:rsidRPr="001C73BA" w:rsidRDefault="00F0273F" w:rsidP="008619FF">
            <w:pPr>
              <w:pStyle w:val="TableText"/>
            </w:pPr>
            <w:r w:rsidRPr="001C73BA">
              <w:t>25 June 1997</w:t>
            </w:r>
          </w:p>
        </w:tc>
      </w:tr>
      <w:tr w:rsidR="00F0273F" w:rsidRPr="001C73BA" w14:paraId="01C5385C" w14:textId="77777777">
        <w:trPr>
          <w:cantSplit/>
        </w:trPr>
        <w:tc>
          <w:tcPr>
            <w:tcW w:w="640" w:type="dxa"/>
            <w:shd w:val="clear" w:color="auto" w:fill="auto"/>
          </w:tcPr>
          <w:p w14:paraId="7C028D50" w14:textId="4F540FF3" w:rsidR="00F0273F" w:rsidRPr="001C73BA" w:rsidRDefault="00723CC1" w:rsidP="008619FF">
            <w:pPr>
              <w:pStyle w:val="TableText"/>
              <w:ind w:left="227"/>
            </w:pPr>
            <w:r>
              <w:t>4</w:t>
            </w:r>
          </w:p>
        </w:tc>
        <w:tc>
          <w:tcPr>
            <w:tcW w:w="5628" w:type="dxa"/>
            <w:shd w:val="clear" w:color="auto" w:fill="auto"/>
          </w:tcPr>
          <w:p w14:paraId="1AFE00F3" w14:textId="3DAC396A" w:rsidR="003D275B" w:rsidRPr="001C73BA" w:rsidRDefault="00F0273F" w:rsidP="00723CC1">
            <w:pPr>
              <w:pStyle w:val="TableText"/>
            </w:pPr>
            <w:r w:rsidRPr="001C73BA">
              <w:t>Radio Equipment and Systems Cordless Telecommunications</w:t>
            </w:r>
            <w:r>
              <w:t> </w:t>
            </w:r>
            <w:r w:rsidRPr="001C73BA">
              <w:t>— DECT</w:t>
            </w:r>
            <w:r>
              <w:t> </w:t>
            </w:r>
            <w:r w:rsidRPr="001C73BA">
              <w:t>— number TS</w:t>
            </w:r>
            <w:r>
              <w:t> </w:t>
            </w:r>
            <w:r w:rsidRPr="001C73BA">
              <w:t>028</w:t>
            </w:r>
            <w:r>
              <w:noBreakHyphen/>
            </w:r>
            <w:r w:rsidRPr="001C73BA">
              <w:t>1997</w:t>
            </w:r>
          </w:p>
        </w:tc>
        <w:tc>
          <w:tcPr>
            <w:tcW w:w="2148" w:type="dxa"/>
            <w:shd w:val="clear" w:color="auto" w:fill="auto"/>
          </w:tcPr>
          <w:p w14:paraId="1D7738A8" w14:textId="4CA67B72" w:rsidR="00F0273F" w:rsidRPr="001C73BA" w:rsidRDefault="00F0273F" w:rsidP="008619FF">
            <w:pPr>
              <w:pStyle w:val="TableText"/>
            </w:pPr>
            <w:r w:rsidRPr="001C73BA">
              <w:t>25 June 1997</w:t>
            </w:r>
          </w:p>
        </w:tc>
      </w:tr>
      <w:tr w:rsidR="00F0273F" w:rsidRPr="001C73BA" w14:paraId="45431E0E" w14:textId="77777777">
        <w:trPr>
          <w:cantSplit/>
        </w:trPr>
        <w:tc>
          <w:tcPr>
            <w:tcW w:w="640" w:type="dxa"/>
            <w:shd w:val="clear" w:color="auto" w:fill="auto"/>
          </w:tcPr>
          <w:p w14:paraId="060FE529" w14:textId="55BFE475" w:rsidR="00F0273F" w:rsidRPr="001C73BA" w:rsidRDefault="00723CC1" w:rsidP="008619FF">
            <w:pPr>
              <w:pStyle w:val="TableText"/>
              <w:ind w:left="227"/>
            </w:pPr>
            <w:r>
              <w:t>5</w:t>
            </w:r>
          </w:p>
        </w:tc>
        <w:tc>
          <w:tcPr>
            <w:tcW w:w="5628" w:type="dxa"/>
            <w:shd w:val="clear" w:color="auto" w:fill="auto"/>
          </w:tcPr>
          <w:p w14:paraId="63842C6A" w14:textId="13237A57" w:rsidR="00B3114F" w:rsidRPr="001C73BA" w:rsidRDefault="00F0273F" w:rsidP="00723CC1">
            <w:pPr>
              <w:pStyle w:val="TableText"/>
            </w:pPr>
            <w:r w:rsidRPr="001C73BA">
              <w:t>Radio Equipment and Systems Cordless Telecommunications — Personal Handy Phone System (PHS)</w:t>
            </w:r>
            <w:r>
              <w:t> </w:t>
            </w:r>
            <w:r w:rsidRPr="001C73BA">
              <w:t>— number ACA TS</w:t>
            </w:r>
            <w:r>
              <w:t> </w:t>
            </w:r>
            <w:r w:rsidRPr="001C73BA">
              <w:t>034</w:t>
            </w:r>
            <w:r>
              <w:noBreakHyphen/>
            </w:r>
            <w:r w:rsidRPr="001C73BA">
              <w:t>1997</w:t>
            </w:r>
          </w:p>
        </w:tc>
        <w:tc>
          <w:tcPr>
            <w:tcW w:w="2148" w:type="dxa"/>
            <w:shd w:val="clear" w:color="auto" w:fill="auto"/>
          </w:tcPr>
          <w:p w14:paraId="60A8C2B9" w14:textId="77777777" w:rsidR="00F0273F" w:rsidRPr="001C73BA" w:rsidRDefault="00F0273F" w:rsidP="008619FF">
            <w:pPr>
              <w:pStyle w:val="TableText"/>
            </w:pPr>
            <w:r w:rsidRPr="001C73BA">
              <w:t>8 December 1997</w:t>
            </w:r>
          </w:p>
        </w:tc>
      </w:tr>
      <w:tr w:rsidR="00F0273F" w:rsidRPr="001C73BA" w14:paraId="52E1DB5E" w14:textId="77777777">
        <w:trPr>
          <w:cantSplit/>
        </w:trPr>
        <w:tc>
          <w:tcPr>
            <w:tcW w:w="640" w:type="dxa"/>
            <w:shd w:val="clear" w:color="auto" w:fill="auto"/>
          </w:tcPr>
          <w:p w14:paraId="3AE4D9AD" w14:textId="06BFE3A3" w:rsidR="00F0273F" w:rsidRPr="001C73BA" w:rsidRDefault="00723CC1" w:rsidP="008619FF">
            <w:pPr>
              <w:pStyle w:val="TableText"/>
              <w:ind w:left="227"/>
            </w:pPr>
            <w:r>
              <w:t>6</w:t>
            </w:r>
          </w:p>
        </w:tc>
        <w:tc>
          <w:tcPr>
            <w:tcW w:w="5628" w:type="dxa"/>
            <w:shd w:val="clear" w:color="auto" w:fill="auto"/>
          </w:tcPr>
          <w:p w14:paraId="4E70C255" w14:textId="0A8C92AD" w:rsidR="005B2FC3" w:rsidRPr="001C73BA" w:rsidRDefault="00F0273F" w:rsidP="00723CC1">
            <w:pPr>
              <w:pStyle w:val="TableText"/>
            </w:pPr>
            <w:r w:rsidRPr="001C73BA">
              <w:t>Telecommunications Technical Standard (Customer Equipment for use with CT2 CA1 Cordless Telecommunications Systems</w:t>
            </w:r>
            <w:r>
              <w:t> </w:t>
            </w:r>
            <w:r w:rsidRPr="001C73BA">
              <w:t>— ACA TS</w:t>
            </w:r>
            <w:r>
              <w:t> </w:t>
            </w:r>
            <w:r w:rsidRPr="001C73BA">
              <w:t>019</w:t>
            </w:r>
            <w:r>
              <w:t> </w:t>
            </w:r>
            <w:r w:rsidRPr="001C73BA">
              <w:t>— 1997)</w:t>
            </w:r>
          </w:p>
        </w:tc>
        <w:tc>
          <w:tcPr>
            <w:tcW w:w="2148" w:type="dxa"/>
            <w:shd w:val="clear" w:color="auto" w:fill="auto"/>
          </w:tcPr>
          <w:p w14:paraId="56DC0CBF" w14:textId="77777777" w:rsidR="00F0273F" w:rsidRPr="001C73BA" w:rsidRDefault="00F0273F" w:rsidP="008619FF">
            <w:pPr>
              <w:pStyle w:val="TableText"/>
            </w:pPr>
            <w:r w:rsidRPr="001C73BA">
              <w:t>10 December 1997</w:t>
            </w:r>
          </w:p>
        </w:tc>
      </w:tr>
      <w:tr w:rsidR="00F0273F" w14:paraId="2CE78794" w14:textId="77777777">
        <w:trPr>
          <w:cantSplit/>
        </w:trPr>
        <w:tc>
          <w:tcPr>
            <w:tcW w:w="640" w:type="dxa"/>
            <w:tcBorders>
              <w:bottom w:val="single" w:sz="4" w:space="0" w:color="auto"/>
            </w:tcBorders>
            <w:shd w:val="clear" w:color="auto" w:fill="auto"/>
          </w:tcPr>
          <w:p w14:paraId="3DA99923" w14:textId="2FD69D2C" w:rsidR="00F0273F" w:rsidRPr="001C73BA" w:rsidRDefault="00723CC1" w:rsidP="008619FF">
            <w:pPr>
              <w:pStyle w:val="TableText"/>
              <w:ind w:left="227"/>
            </w:pPr>
            <w:r>
              <w:t>7</w:t>
            </w:r>
          </w:p>
        </w:tc>
        <w:tc>
          <w:tcPr>
            <w:tcW w:w="5628" w:type="dxa"/>
            <w:tcBorders>
              <w:bottom w:val="single" w:sz="4" w:space="0" w:color="auto"/>
            </w:tcBorders>
            <w:shd w:val="clear" w:color="auto" w:fill="auto"/>
          </w:tcPr>
          <w:p w14:paraId="2E64B473" w14:textId="77777777" w:rsidR="00F0273F" w:rsidRDefault="00F0273F" w:rsidP="008619FF">
            <w:pPr>
              <w:pStyle w:val="TableText"/>
            </w:pPr>
            <w:r w:rsidRPr="001C73BA">
              <w:t>Radio Equipment and Systems Cordless Telecommunications</w:t>
            </w:r>
            <w:r>
              <w:t> </w:t>
            </w:r>
            <w:r w:rsidRPr="001C73BA">
              <w:t>— Digital Enhanced Cordless Telecommunications (DECT)</w:t>
            </w:r>
            <w:r>
              <w:t> </w:t>
            </w:r>
            <w:r w:rsidRPr="001C73BA">
              <w:t>— number ACA TS 028</w:t>
            </w:r>
            <w:r>
              <w:noBreakHyphen/>
            </w:r>
            <w:r w:rsidRPr="001C73BA">
              <w:t>1997</w:t>
            </w:r>
          </w:p>
          <w:p w14:paraId="7B42B54E" w14:textId="2D047CCF" w:rsidR="00D5002F" w:rsidRPr="001C73BA" w:rsidRDefault="00D5002F" w:rsidP="003D275B">
            <w:pPr>
              <w:pStyle w:val="TableText"/>
              <w:tabs>
                <w:tab w:val="left" w:pos="2235"/>
              </w:tabs>
            </w:pPr>
          </w:p>
        </w:tc>
        <w:tc>
          <w:tcPr>
            <w:tcW w:w="2148" w:type="dxa"/>
            <w:tcBorders>
              <w:bottom w:val="single" w:sz="4" w:space="0" w:color="auto"/>
            </w:tcBorders>
            <w:shd w:val="clear" w:color="auto" w:fill="auto"/>
          </w:tcPr>
          <w:p w14:paraId="49326207" w14:textId="77777777" w:rsidR="00F0273F" w:rsidRDefault="00F0273F" w:rsidP="008619FF">
            <w:pPr>
              <w:pStyle w:val="TableText"/>
            </w:pPr>
            <w:r w:rsidRPr="001C73BA">
              <w:t>17 December 1997</w:t>
            </w:r>
          </w:p>
        </w:tc>
      </w:tr>
    </w:tbl>
    <w:p w14:paraId="4948F4DC" w14:textId="77777777" w:rsidR="00AF4D93" w:rsidRDefault="00AF4D93" w:rsidP="00AF4D93"/>
    <w:p w14:paraId="0EE66953" w14:textId="77777777" w:rsidR="00F81193" w:rsidRDefault="00F81193">
      <w:pPr>
        <w:pStyle w:val="SchedSectionBreak"/>
        <w:sectPr w:rsidR="00F81193">
          <w:headerReference w:type="default" r:id="rId34"/>
          <w:pgSz w:w="11907" w:h="16839" w:code="9"/>
          <w:pgMar w:top="1440" w:right="1797" w:bottom="1440" w:left="1797" w:header="709" w:footer="709" w:gutter="0"/>
          <w:cols w:space="708"/>
          <w:docGrid w:linePitch="360"/>
        </w:sectPr>
      </w:pPr>
    </w:p>
    <w:p w14:paraId="578C5021" w14:textId="77777777" w:rsidR="00AF4D93" w:rsidRPr="00F81193" w:rsidRDefault="00AF4D93" w:rsidP="00F81193"/>
    <w:sectPr w:rsidR="00AF4D93" w:rsidRPr="00F81193" w:rsidSect="00F81193">
      <w:headerReference w:type="even" r:id="rId35"/>
      <w:headerReference w:type="default" r:id="rId36"/>
      <w:footerReference w:type="even" r:id="rId37"/>
      <w:footerReference w:type="default" r:id="rId38"/>
      <w:headerReference w:type="first" r:id="rId39"/>
      <w:footerReference w:type="first" r:id="rId40"/>
      <w:type w:val="continuous"/>
      <w:pgSz w:w="11907" w:h="16839"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CF491" w14:textId="77777777" w:rsidR="0007272A" w:rsidRDefault="0007272A">
      <w:r>
        <w:separator/>
      </w:r>
    </w:p>
  </w:endnote>
  <w:endnote w:type="continuationSeparator" w:id="0">
    <w:p w14:paraId="3C0D458B" w14:textId="77777777" w:rsidR="0007272A" w:rsidRDefault="0007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E0D0" w14:textId="77777777" w:rsidR="003C19E1" w:rsidRPr="00F10D43" w:rsidRDefault="003C19E1">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3C19E1" w:rsidRPr="008C43B2" w14:paraId="5ED37EDA" w14:textId="77777777">
      <w:tc>
        <w:tcPr>
          <w:tcW w:w="1701" w:type="dxa"/>
          <w:shd w:val="clear" w:color="auto" w:fill="auto"/>
        </w:tcPr>
        <w:p w14:paraId="1F6D7151" w14:textId="77777777" w:rsidR="003C19E1" w:rsidRPr="008C43B2" w:rsidRDefault="00E05BC5">
          <w:pPr>
            <w:pStyle w:val="FooterPageEven"/>
          </w:pPr>
          <w:r>
            <w:fldChar w:fldCharType="begin"/>
          </w:r>
          <w:r>
            <w:instrText xml:space="preserve"> PAGE </w:instrText>
          </w:r>
          <w:r>
            <w:fldChar w:fldCharType="separate"/>
          </w:r>
          <w:r w:rsidR="003C19E1">
            <w:rPr>
              <w:noProof/>
            </w:rPr>
            <w:t>4</w:t>
          </w:r>
          <w:r>
            <w:rPr>
              <w:noProof/>
            </w:rPr>
            <w:fldChar w:fldCharType="end"/>
          </w:r>
        </w:p>
      </w:tc>
      <w:tc>
        <w:tcPr>
          <w:tcW w:w="4933" w:type="dxa"/>
          <w:shd w:val="clear" w:color="auto" w:fill="auto"/>
        </w:tcPr>
        <w:p w14:paraId="44A0FD87" w14:textId="77777777" w:rsidR="003C19E1" w:rsidRPr="008C43B2" w:rsidRDefault="004160A4">
          <w:pPr>
            <w:pStyle w:val="FooterCitation"/>
          </w:pPr>
          <w:r>
            <w:fldChar w:fldCharType="begin"/>
          </w:r>
          <w:r>
            <w:instrText xml:space="preserve"> STYLEREF  Title </w:instrText>
          </w:r>
          <w:r>
            <w:fldChar w:fldCharType="separate"/>
          </w:r>
          <w:r w:rsidR="00FF1A28">
            <w:rPr>
              <w:noProof/>
            </w:rPr>
            <w:t>Radiocommunications (Cordless Communications Devices) Class Licence 2014</w:t>
          </w:r>
          <w:r>
            <w:rPr>
              <w:noProof/>
            </w:rPr>
            <w:fldChar w:fldCharType="end"/>
          </w:r>
        </w:p>
      </w:tc>
      <w:tc>
        <w:tcPr>
          <w:tcW w:w="1701" w:type="dxa"/>
          <w:shd w:val="clear" w:color="auto" w:fill="auto"/>
        </w:tcPr>
        <w:p w14:paraId="6F2AFA5C" w14:textId="77777777" w:rsidR="003C19E1" w:rsidRPr="008C43B2" w:rsidRDefault="003C19E1">
          <w:pPr>
            <w:pStyle w:val="FooterPageOdd"/>
          </w:pPr>
        </w:p>
      </w:tc>
    </w:tr>
  </w:tbl>
  <w:p w14:paraId="72B64C88" w14:textId="77777777" w:rsidR="003C19E1" w:rsidRPr="00F10D43" w:rsidRDefault="003C19E1">
    <w:pPr>
      <w:pStyle w:val="Footerinfo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53D0D" w14:textId="77777777" w:rsidR="003C19E1" w:rsidRPr="00F10D43" w:rsidRDefault="003C19E1" w:rsidP="00F81193">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3C19E1" w:rsidRPr="008C43B2" w14:paraId="1D47D6CA" w14:textId="77777777">
      <w:tc>
        <w:tcPr>
          <w:tcW w:w="1701" w:type="dxa"/>
          <w:shd w:val="clear" w:color="auto" w:fill="auto"/>
        </w:tcPr>
        <w:p w14:paraId="6B33EF6A" w14:textId="77777777" w:rsidR="003C19E1" w:rsidRPr="008C43B2" w:rsidRDefault="003C19E1" w:rsidP="00F81193">
          <w:pPr>
            <w:pStyle w:val="FooterPageOdd"/>
          </w:pPr>
        </w:p>
      </w:tc>
      <w:tc>
        <w:tcPr>
          <w:tcW w:w="4933" w:type="dxa"/>
          <w:shd w:val="clear" w:color="auto" w:fill="auto"/>
        </w:tcPr>
        <w:p w14:paraId="4274B197" w14:textId="77777777" w:rsidR="003C19E1" w:rsidRPr="008C43B2" w:rsidRDefault="004160A4" w:rsidP="00F81193">
          <w:pPr>
            <w:pStyle w:val="FooterCitation"/>
          </w:pPr>
          <w:r>
            <w:fldChar w:fldCharType="begin"/>
          </w:r>
          <w:r>
            <w:instrText xml:space="preserve"> STYLEREF  Title </w:instrText>
          </w:r>
          <w:r>
            <w:fldChar w:fldCharType="separate"/>
          </w:r>
          <w:r w:rsidR="00FF1A28">
            <w:rPr>
              <w:noProof/>
            </w:rPr>
            <w:t>Radiocommunications (Cordless Communications Devices) Class Licence 2014</w:t>
          </w:r>
          <w:r>
            <w:rPr>
              <w:noProof/>
            </w:rPr>
            <w:fldChar w:fldCharType="end"/>
          </w:r>
        </w:p>
      </w:tc>
      <w:tc>
        <w:tcPr>
          <w:tcW w:w="1701" w:type="dxa"/>
          <w:shd w:val="clear" w:color="auto" w:fill="auto"/>
        </w:tcPr>
        <w:p w14:paraId="11CDBFE8" w14:textId="77777777" w:rsidR="003C19E1" w:rsidRPr="008C43B2" w:rsidRDefault="00E05BC5" w:rsidP="00F81193">
          <w:pPr>
            <w:pStyle w:val="FooterPageOdd"/>
          </w:pPr>
          <w:r>
            <w:fldChar w:fldCharType="begin"/>
          </w:r>
          <w:r>
            <w:instrText xml:space="preserve"> PAGE </w:instrText>
          </w:r>
          <w:r>
            <w:fldChar w:fldCharType="separate"/>
          </w:r>
          <w:r w:rsidR="005873EE">
            <w:rPr>
              <w:noProof/>
            </w:rPr>
            <w:t>9</w:t>
          </w:r>
          <w:r>
            <w:rPr>
              <w:noProof/>
            </w:rPr>
            <w:fldChar w:fldCharType="end"/>
          </w:r>
        </w:p>
      </w:tc>
    </w:tr>
  </w:tbl>
  <w:p w14:paraId="6807BD00" w14:textId="77777777" w:rsidR="003C19E1" w:rsidRPr="00F10D43" w:rsidRDefault="003C19E1" w:rsidP="00F81193">
    <w:pPr>
      <w:pStyle w:val="Footerinfo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81891" w14:textId="77777777" w:rsidR="003C19E1" w:rsidRPr="00556EB9" w:rsidRDefault="003C19E1" w:rsidP="00F81193">
    <w:pPr>
      <w:pStyle w:val="FooterCitation"/>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261E7" w14:textId="77777777" w:rsidR="003C19E1" w:rsidRPr="00F10D43" w:rsidRDefault="003C19E1">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3C19E1" w:rsidRPr="008C43B2" w14:paraId="4F255DF3" w14:textId="77777777">
      <w:tc>
        <w:tcPr>
          <w:tcW w:w="1701" w:type="dxa"/>
          <w:shd w:val="clear" w:color="auto" w:fill="auto"/>
        </w:tcPr>
        <w:p w14:paraId="04C2BE94" w14:textId="77777777" w:rsidR="003C19E1" w:rsidRPr="008C43B2" w:rsidRDefault="003C19E1">
          <w:pPr>
            <w:pStyle w:val="FooterPageOdd"/>
          </w:pPr>
        </w:p>
      </w:tc>
      <w:tc>
        <w:tcPr>
          <w:tcW w:w="4933" w:type="dxa"/>
          <w:shd w:val="clear" w:color="auto" w:fill="auto"/>
        </w:tcPr>
        <w:p w14:paraId="3E15D735" w14:textId="77777777" w:rsidR="003C19E1" w:rsidRPr="008C43B2" w:rsidRDefault="004160A4">
          <w:pPr>
            <w:pStyle w:val="FooterCitation"/>
          </w:pPr>
          <w:r>
            <w:fldChar w:fldCharType="begin"/>
          </w:r>
          <w:r>
            <w:instrText xml:space="preserve"> STYLEREF  Title </w:instrText>
          </w:r>
          <w:r>
            <w:fldChar w:fldCharType="separate"/>
          </w:r>
          <w:r w:rsidR="00FF1A28">
            <w:rPr>
              <w:noProof/>
            </w:rPr>
            <w:t>Radiocommunications (Cordless Communications Devices) Class Licence 2014</w:t>
          </w:r>
          <w:r>
            <w:rPr>
              <w:noProof/>
            </w:rPr>
            <w:fldChar w:fldCharType="end"/>
          </w:r>
        </w:p>
      </w:tc>
      <w:tc>
        <w:tcPr>
          <w:tcW w:w="1701" w:type="dxa"/>
          <w:shd w:val="clear" w:color="auto" w:fill="auto"/>
        </w:tcPr>
        <w:p w14:paraId="66EDE2DE" w14:textId="77777777" w:rsidR="003C19E1" w:rsidRPr="008C43B2" w:rsidRDefault="00E05BC5">
          <w:pPr>
            <w:pStyle w:val="FooterPageOdd"/>
          </w:pPr>
          <w:r>
            <w:fldChar w:fldCharType="begin"/>
          </w:r>
          <w:r>
            <w:instrText xml:space="preserve"> PAGE </w:instrText>
          </w:r>
          <w:r>
            <w:fldChar w:fldCharType="separate"/>
          </w:r>
          <w:r w:rsidR="003C19E1">
            <w:rPr>
              <w:noProof/>
            </w:rPr>
            <w:t>3</w:t>
          </w:r>
          <w:r>
            <w:rPr>
              <w:noProof/>
            </w:rPr>
            <w:fldChar w:fldCharType="end"/>
          </w:r>
        </w:p>
      </w:tc>
    </w:tr>
  </w:tbl>
  <w:p w14:paraId="6792246B" w14:textId="77777777" w:rsidR="003C19E1" w:rsidRPr="00F10D43" w:rsidRDefault="003C19E1">
    <w:pPr>
      <w:pStyle w:val="Footerinfo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D8E3F" w14:textId="77777777" w:rsidR="003C19E1" w:rsidRPr="00F10D43" w:rsidRDefault="003C19E1">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3C19E1" w:rsidRPr="008C43B2" w14:paraId="5AE7FF74" w14:textId="77777777">
      <w:tc>
        <w:tcPr>
          <w:tcW w:w="1701" w:type="dxa"/>
          <w:shd w:val="clear" w:color="auto" w:fill="auto"/>
        </w:tcPr>
        <w:p w14:paraId="2266E6B9" w14:textId="77777777" w:rsidR="003C19E1" w:rsidRPr="008C43B2" w:rsidRDefault="00E05BC5">
          <w:pPr>
            <w:pStyle w:val="FooterPageEven"/>
          </w:pPr>
          <w:r>
            <w:fldChar w:fldCharType="begin"/>
          </w:r>
          <w:r>
            <w:instrText xml:space="preserve"> PAGE </w:instrText>
          </w:r>
          <w:r>
            <w:fldChar w:fldCharType="separate"/>
          </w:r>
          <w:r w:rsidR="00B457CC">
            <w:rPr>
              <w:noProof/>
            </w:rPr>
            <w:t>4</w:t>
          </w:r>
          <w:r>
            <w:rPr>
              <w:noProof/>
            </w:rPr>
            <w:fldChar w:fldCharType="end"/>
          </w:r>
        </w:p>
      </w:tc>
      <w:tc>
        <w:tcPr>
          <w:tcW w:w="4933" w:type="dxa"/>
          <w:shd w:val="clear" w:color="auto" w:fill="auto"/>
        </w:tcPr>
        <w:p w14:paraId="60AE06E5" w14:textId="77777777" w:rsidR="003C19E1" w:rsidRPr="008C43B2" w:rsidRDefault="004160A4">
          <w:pPr>
            <w:pStyle w:val="FooterCitation"/>
          </w:pPr>
          <w:r>
            <w:fldChar w:fldCharType="begin"/>
          </w:r>
          <w:r>
            <w:instrText xml:space="preserve"> STYLEREF  Title </w:instrText>
          </w:r>
          <w:r>
            <w:fldChar w:fldCharType="separate"/>
          </w:r>
          <w:r w:rsidR="00FF1A28">
            <w:rPr>
              <w:noProof/>
            </w:rPr>
            <w:t>Radiocommunications (Cordless Communications Devices) Class Licence 2014</w:t>
          </w:r>
          <w:r>
            <w:rPr>
              <w:noProof/>
            </w:rPr>
            <w:fldChar w:fldCharType="end"/>
          </w:r>
        </w:p>
      </w:tc>
      <w:tc>
        <w:tcPr>
          <w:tcW w:w="1701" w:type="dxa"/>
          <w:shd w:val="clear" w:color="auto" w:fill="auto"/>
        </w:tcPr>
        <w:p w14:paraId="0F4B682B" w14:textId="77777777" w:rsidR="003C19E1" w:rsidRPr="008C43B2" w:rsidRDefault="003C19E1">
          <w:pPr>
            <w:pStyle w:val="FooterPageOdd"/>
          </w:pPr>
        </w:p>
      </w:tc>
    </w:tr>
  </w:tbl>
  <w:p w14:paraId="113FEA12" w14:textId="77777777" w:rsidR="003C19E1" w:rsidRPr="00F10D43" w:rsidRDefault="003C19E1">
    <w:pPr>
      <w:pStyle w:val="Footerinfo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426C5" w14:textId="77777777" w:rsidR="003C19E1" w:rsidRPr="00F10D43" w:rsidRDefault="003C19E1">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3C19E1" w:rsidRPr="008C43B2" w14:paraId="44A1D59E" w14:textId="77777777">
      <w:tc>
        <w:tcPr>
          <w:tcW w:w="1701" w:type="dxa"/>
          <w:shd w:val="clear" w:color="auto" w:fill="auto"/>
        </w:tcPr>
        <w:p w14:paraId="07A00C84" w14:textId="77777777" w:rsidR="003C19E1" w:rsidRPr="008C43B2" w:rsidRDefault="003C19E1">
          <w:pPr>
            <w:pStyle w:val="FooterPageOdd"/>
          </w:pPr>
        </w:p>
      </w:tc>
      <w:tc>
        <w:tcPr>
          <w:tcW w:w="4933" w:type="dxa"/>
          <w:shd w:val="clear" w:color="auto" w:fill="auto"/>
        </w:tcPr>
        <w:p w14:paraId="220CD93B" w14:textId="7D2EC7F4" w:rsidR="003C19E1" w:rsidRPr="008C43B2" w:rsidRDefault="00B457CC" w:rsidP="00766C64">
          <w:pPr>
            <w:pStyle w:val="FooterCitation"/>
          </w:pPr>
          <w:proofErr w:type="spellStart"/>
          <w:r>
            <w:t>Radiocommunications</w:t>
          </w:r>
          <w:proofErr w:type="spellEnd"/>
          <w:r>
            <w:t xml:space="preserve"> (Cordless Communications Devices) Class Licence 2014</w:t>
          </w:r>
        </w:p>
      </w:tc>
      <w:tc>
        <w:tcPr>
          <w:tcW w:w="1701" w:type="dxa"/>
          <w:shd w:val="clear" w:color="auto" w:fill="auto"/>
        </w:tcPr>
        <w:p w14:paraId="61F66587" w14:textId="77777777" w:rsidR="003C19E1" w:rsidRPr="008C43B2" w:rsidRDefault="00E05BC5">
          <w:pPr>
            <w:pStyle w:val="FooterPageOdd"/>
          </w:pPr>
          <w:r>
            <w:fldChar w:fldCharType="begin"/>
          </w:r>
          <w:r>
            <w:instrText xml:space="preserve"> PAGE </w:instrText>
          </w:r>
          <w:r>
            <w:fldChar w:fldCharType="separate"/>
          </w:r>
          <w:r w:rsidR="002C7553">
            <w:rPr>
              <w:noProof/>
            </w:rPr>
            <w:t>6</w:t>
          </w:r>
          <w:r>
            <w:rPr>
              <w:noProof/>
            </w:rPr>
            <w:fldChar w:fldCharType="end"/>
          </w:r>
        </w:p>
      </w:tc>
    </w:tr>
  </w:tbl>
  <w:p w14:paraId="0F8CE59E" w14:textId="77777777" w:rsidR="003C19E1" w:rsidRPr="00F10D43" w:rsidRDefault="003C19E1">
    <w:pPr>
      <w:pStyle w:val="Footerinfo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101A8" w14:textId="77777777" w:rsidR="003C19E1" w:rsidRPr="00556EB9" w:rsidRDefault="003C19E1">
    <w:pPr>
      <w:pStyle w:val="FooterCitation"/>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D57D4" w14:textId="77777777" w:rsidR="003C19E1" w:rsidRPr="00F10D43" w:rsidRDefault="003C19E1">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3C19E1" w:rsidRPr="008C43B2" w14:paraId="08172231" w14:textId="77777777">
      <w:tc>
        <w:tcPr>
          <w:tcW w:w="1701" w:type="dxa"/>
          <w:shd w:val="clear" w:color="auto" w:fill="auto"/>
        </w:tcPr>
        <w:p w14:paraId="36BF2720" w14:textId="77777777" w:rsidR="003C19E1" w:rsidRPr="008C43B2" w:rsidRDefault="00E05BC5">
          <w:pPr>
            <w:pStyle w:val="FooterPageEven"/>
          </w:pPr>
          <w:r>
            <w:fldChar w:fldCharType="begin"/>
          </w:r>
          <w:r>
            <w:instrText xml:space="preserve"> PAGE </w:instrText>
          </w:r>
          <w:r>
            <w:fldChar w:fldCharType="separate"/>
          </w:r>
          <w:r w:rsidR="00B457CC">
            <w:rPr>
              <w:noProof/>
            </w:rPr>
            <w:t>8</w:t>
          </w:r>
          <w:r>
            <w:rPr>
              <w:noProof/>
            </w:rPr>
            <w:fldChar w:fldCharType="end"/>
          </w:r>
        </w:p>
      </w:tc>
      <w:tc>
        <w:tcPr>
          <w:tcW w:w="4933" w:type="dxa"/>
          <w:shd w:val="clear" w:color="auto" w:fill="auto"/>
        </w:tcPr>
        <w:p w14:paraId="5E4CB88F" w14:textId="77777777" w:rsidR="003C19E1" w:rsidRPr="008C43B2" w:rsidRDefault="004160A4">
          <w:pPr>
            <w:pStyle w:val="FooterCitation"/>
          </w:pPr>
          <w:r>
            <w:fldChar w:fldCharType="begin"/>
          </w:r>
          <w:r>
            <w:instrText xml:space="preserve"> STYLEREF  Title </w:instrText>
          </w:r>
          <w:r>
            <w:fldChar w:fldCharType="separate"/>
          </w:r>
          <w:r w:rsidR="00FF1A28">
            <w:rPr>
              <w:noProof/>
            </w:rPr>
            <w:t>Radiocommunications (Cordless Communications Devices) Class Licence 2014</w:t>
          </w:r>
          <w:r>
            <w:rPr>
              <w:noProof/>
            </w:rPr>
            <w:fldChar w:fldCharType="end"/>
          </w:r>
        </w:p>
      </w:tc>
      <w:tc>
        <w:tcPr>
          <w:tcW w:w="1701" w:type="dxa"/>
          <w:shd w:val="clear" w:color="auto" w:fill="auto"/>
        </w:tcPr>
        <w:p w14:paraId="40514028" w14:textId="77777777" w:rsidR="003C19E1" w:rsidRPr="008C43B2" w:rsidRDefault="003C19E1">
          <w:pPr>
            <w:pStyle w:val="FooterPageOdd"/>
          </w:pPr>
        </w:p>
      </w:tc>
    </w:tr>
  </w:tbl>
  <w:p w14:paraId="7A87553D" w14:textId="77777777" w:rsidR="003C19E1" w:rsidRPr="00F10D43" w:rsidRDefault="003C19E1">
    <w:pPr>
      <w:pStyle w:val="Footerinfo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4F805" w14:textId="77777777" w:rsidR="003C19E1" w:rsidRPr="00F10D43" w:rsidRDefault="003C19E1">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3C19E1" w:rsidRPr="008C43B2" w14:paraId="73DFFB1F" w14:textId="77777777">
      <w:tc>
        <w:tcPr>
          <w:tcW w:w="1701" w:type="dxa"/>
          <w:shd w:val="clear" w:color="auto" w:fill="auto"/>
        </w:tcPr>
        <w:p w14:paraId="0DABA299" w14:textId="77777777" w:rsidR="003C19E1" w:rsidRPr="008C43B2" w:rsidRDefault="003C19E1">
          <w:pPr>
            <w:pStyle w:val="FooterPageOdd"/>
          </w:pPr>
        </w:p>
      </w:tc>
      <w:tc>
        <w:tcPr>
          <w:tcW w:w="4933" w:type="dxa"/>
          <w:shd w:val="clear" w:color="auto" w:fill="auto"/>
        </w:tcPr>
        <w:p w14:paraId="0C8985B3" w14:textId="77777777" w:rsidR="003C19E1" w:rsidRPr="008C43B2" w:rsidRDefault="004160A4">
          <w:pPr>
            <w:pStyle w:val="FooterCitation"/>
          </w:pPr>
          <w:r>
            <w:fldChar w:fldCharType="begin"/>
          </w:r>
          <w:r>
            <w:instrText xml:space="preserve"> STYLEREF  Title </w:instrText>
          </w:r>
          <w:r>
            <w:fldChar w:fldCharType="separate"/>
          </w:r>
          <w:r w:rsidR="002C7553">
            <w:rPr>
              <w:noProof/>
            </w:rPr>
            <w:t>Radiocommunications (Cordless Communications Devices) Class Licence 2014</w:t>
          </w:r>
          <w:r>
            <w:rPr>
              <w:noProof/>
            </w:rPr>
            <w:fldChar w:fldCharType="end"/>
          </w:r>
        </w:p>
      </w:tc>
      <w:tc>
        <w:tcPr>
          <w:tcW w:w="1701" w:type="dxa"/>
          <w:shd w:val="clear" w:color="auto" w:fill="auto"/>
        </w:tcPr>
        <w:p w14:paraId="12DAEDC3" w14:textId="77777777" w:rsidR="003C19E1" w:rsidRPr="008C43B2" w:rsidRDefault="00E05BC5">
          <w:pPr>
            <w:pStyle w:val="FooterPageOdd"/>
          </w:pPr>
          <w:r>
            <w:fldChar w:fldCharType="begin"/>
          </w:r>
          <w:r>
            <w:instrText xml:space="preserve"> PAGE </w:instrText>
          </w:r>
          <w:r>
            <w:fldChar w:fldCharType="separate"/>
          </w:r>
          <w:r w:rsidR="002C7553">
            <w:rPr>
              <w:noProof/>
            </w:rPr>
            <w:t>8</w:t>
          </w:r>
          <w:r>
            <w:rPr>
              <w:noProof/>
            </w:rPr>
            <w:fldChar w:fldCharType="end"/>
          </w:r>
        </w:p>
      </w:tc>
    </w:tr>
  </w:tbl>
  <w:p w14:paraId="72B1D7AF" w14:textId="77777777" w:rsidR="003C19E1" w:rsidRPr="00F10D43" w:rsidRDefault="003C19E1">
    <w:pPr>
      <w:pStyle w:val="Footerinfo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1DC03" w14:textId="77777777" w:rsidR="003C19E1" w:rsidRPr="00556EB9" w:rsidRDefault="003C19E1">
    <w:pPr>
      <w:pStyle w:val="FooterCitation"/>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FED89" w14:textId="77777777" w:rsidR="003C19E1" w:rsidRPr="00F10D43" w:rsidRDefault="003C19E1" w:rsidP="00F81193">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3C19E1" w:rsidRPr="008C43B2" w14:paraId="4C23B1F3" w14:textId="77777777">
      <w:tc>
        <w:tcPr>
          <w:tcW w:w="1701" w:type="dxa"/>
          <w:shd w:val="clear" w:color="auto" w:fill="auto"/>
        </w:tcPr>
        <w:p w14:paraId="64A8A0D2" w14:textId="77777777" w:rsidR="003C19E1" w:rsidRPr="008C43B2" w:rsidRDefault="00E05BC5" w:rsidP="00F81193">
          <w:pPr>
            <w:pStyle w:val="FooterPageEven"/>
          </w:pPr>
          <w:r>
            <w:fldChar w:fldCharType="begin"/>
          </w:r>
          <w:r>
            <w:instrText xml:space="preserve"> PAGE </w:instrText>
          </w:r>
          <w:r>
            <w:fldChar w:fldCharType="separate"/>
          </w:r>
          <w:r w:rsidR="00B457CC">
            <w:rPr>
              <w:noProof/>
            </w:rPr>
            <w:t>10</w:t>
          </w:r>
          <w:r>
            <w:rPr>
              <w:noProof/>
            </w:rPr>
            <w:fldChar w:fldCharType="end"/>
          </w:r>
        </w:p>
      </w:tc>
      <w:tc>
        <w:tcPr>
          <w:tcW w:w="4933" w:type="dxa"/>
          <w:shd w:val="clear" w:color="auto" w:fill="auto"/>
        </w:tcPr>
        <w:p w14:paraId="342E8277" w14:textId="77777777" w:rsidR="003C19E1" w:rsidRPr="008C43B2" w:rsidRDefault="004160A4" w:rsidP="00F81193">
          <w:pPr>
            <w:pStyle w:val="FooterCitation"/>
          </w:pPr>
          <w:r>
            <w:fldChar w:fldCharType="begin"/>
          </w:r>
          <w:r>
            <w:instrText xml:space="preserve"> STYLEREF  Title </w:instrText>
          </w:r>
          <w:r>
            <w:fldChar w:fldCharType="separate"/>
          </w:r>
          <w:r w:rsidR="00FF1A28">
            <w:rPr>
              <w:noProof/>
            </w:rPr>
            <w:t>Radiocommunications (Cordless Communications Devices) Class Licence 2014</w:t>
          </w:r>
          <w:r>
            <w:rPr>
              <w:noProof/>
            </w:rPr>
            <w:fldChar w:fldCharType="end"/>
          </w:r>
        </w:p>
      </w:tc>
      <w:tc>
        <w:tcPr>
          <w:tcW w:w="1701" w:type="dxa"/>
          <w:shd w:val="clear" w:color="auto" w:fill="auto"/>
        </w:tcPr>
        <w:p w14:paraId="774FD177" w14:textId="77777777" w:rsidR="003C19E1" w:rsidRPr="008C43B2" w:rsidRDefault="003C19E1" w:rsidP="00F81193">
          <w:pPr>
            <w:pStyle w:val="FooterPageOdd"/>
          </w:pPr>
        </w:p>
      </w:tc>
    </w:tr>
  </w:tbl>
  <w:p w14:paraId="106E8A87" w14:textId="77777777" w:rsidR="003C19E1" w:rsidRPr="00F10D43" w:rsidRDefault="003C19E1" w:rsidP="00F81193">
    <w:pPr>
      <w:pStyle w:val="Footerinfo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133BA" w14:textId="77777777" w:rsidR="0007272A" w:rsidRDefault="0007272A">
      <w:r>
        <w:separator/>
      </w:r>
    </w:p>
  </w:footnote>
  <w:footnote w:type="continuationSeparator" w:id="0">
    <w:p w14:paraId="020B1756" w14:textId="77777777" w:rsidR="0007272A" w:rsidRDefault="00072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14" w:type="dxa"/>
      <w:tblLook w:val="01E0" w:firstRow="1" w:lastRow="1" w:firstColumn="1" w:lastColumn="1" w:noHBand="0" w:noVBand="0"/>
    </w:tblPr>
    <w:tblGrid>
      <w:gridCol w:w="1546"/>
      <w:gridCol w:w="6868"/>
    </w:tblGrid>
    <w:tr w:rsidR="003C19E1" w14:paraId="19E8E8D3" w14:textId="77777777">
      <w:tc>
        <w:tcPr>
          <w:tcW w:w="1546" w:type="dxa"/>
        </w:tcPr>
        <w:p w14:paraId="4AD93904" w14:textId="77777777" w:rsidR="003C19E1" w:rsidRDefault="003C19E1">
          <w:pPr>
            <w:pStyle w:val="HeaderLiteEven"/>
          </w:pPr>
        </w:p>
      </w:tc>
      <w:tc>
        <w:tcPr>
          <w:tcW w:w="6868" w:type="dxa"/>
          <w:vAlign w:val="bottom"/>
        </w:tcPr>
        <w:p w14:paraId="0A6D3077" w14:textId="77777777" w:rsidR="003C19E1" w:rsidRDefault="003C19E1">
          <w:pPr>
            <w:pStyle w:val="HeaderLiteEven"/>
          </w:pPr>
        </w:p>
      </w:tc>
    </w:tr>
    <w:tr w:rsidR="003C19E1" w14:paraId="18041427" w14:textId="77777777">
      <w:tc>
        <w:tcPr>
          <w:tcW w:w="1546" w:type="dxa"/>
        </w:tcPr>
        <w:p w14:paraId="1738A4D8" w14:textId="77777777" w:rsidR="003C19E1" w:rsidRDefault="003C19E1">
          <w:pPr>
            <w:pStyle w:val="HeaderLiteEven"/>
          </w:pPr>
        </w:p>
      </w:tc>
      <w:tc>
        <w:tcPr>
          <w:tcW w:w="6868" w:type="dxa"/>
          <w:vAlign w:val="bottom"/>
        </w:tcPr>
        <w:p w14:paraId="7318C32A" w14:textId="77777777" w:rsidR="003C19E1" w:rsidRDefault="003C19E1">
          <w:pPr>
            <w:pStyle w:val="HeaderLiteEven"/>
          </w:pPr>
        </w:p>
      </w:tc>
    </w:tr>
    <w:tr w:rsidR="003C19E1" w14:paraId="7C05B867" w14:textId="77777777">
      <w:tc>
        <w:tcPr>
          <w:tcW w:w="8414" w:type="dxa"/>
          <w:gridSpan w:val="2"/>
          <w:tcBorders>
            <w:bottom w:val="single" w:sz="4" w:space="0" w:color="auto"/>
          </w:tcBorders>
          <w:shd w:val="clear" w:color="auto" w:fill="auto"/>
        </w:tcPr>
        <w:p w14:paraId="6F85D33D" w14:textId="77777777" w:rsidR="003C19E1" w:rsidRDefault="003C19E1">
          <w:pPr>
            <w:pStyle w:val="HeaderLiteEven"/>
            <w:spacing w:before="120" w:after="60"/>
            <w:ind w:right="-108"/>
          </w:pPr>
        </w:p>
      </w:tc>
    </w:tr>
  </w:tbl>
  <w:p w14:paraId="02804155" w14:textId="77777777" w:rsidR="003C19E1" w:rsidRDefault="003C19E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43" w:type="dxa"/>
      <w:tblLook w:val="01E0" w:firstRow="1" w:lastRow="1" w:firstColumn="1" w:lastColumn="1" w:noHBand="0" w:noVBand="0"/>
    </w:tblPr>
    <w:tblGrid>
      <w:gridCol w:w="1546"/>
      <w:gridCol w:w="6797"/>
    </w:tblGrid>
    <w:tr w:rsidR="003C19E1" w14:paraId="6BBEB73B" w14:textId="77777777">
      <w:tc>
        <w:tcPr>
          <w:tcW w:w="1546" w:type="dxa"/>
        </w:tcPr>
        <w:p w14:paraId="0B686AB1" w14:textId="77777777" w:rsidR="003C19E1" w:rsidRDefault="004160A4">
          <w:pPr>
            <w:pStyle w:val="HeaderLiteEven"/>
          </w:pPr>
          <w:r>
            <w:fldChar w:fldCharType="begin"/>
          </w:r>
          <w:r>
            <w:instrText xml:space="preserve"> STYLEREF  CharAmSchNo  \* CHARFORMAT </w:instrText>
          </w:r>
          <w:r>
            <w:fldChar w:fldCharType="separate"/>
          </w:r>
          <w:r w:rsidR="00FF1A28">
            <w:rPr>
              <w:noProof/>
            </w:rPr>
            <w:t>Schedule 1</w:t>
          </w:r>
          <w:r>
            <w:rPr>
              <w:noProof/>
            </w:rPr>
            <w:fldChar w:fldCharType="end"/>
          </w:r>
        </w:p>
      </w:tc>
      <w:tc>
        <w:tcPr>
          <w:tcW w:w="6797" w:type="dxa"/>
          <w:vAlign w:val="bottom"/>
        </w:tcPr>
        <w:p w14:paraId="3FD1B94E" w14:textId="77777777" w:rsidR="003C19E1" w:rsidRDefault="004160A4">
          <w:pPr>
            <w:pStyle w:val="HeaderLiteEven"/>
          </w:pPr>
          <w:r>
            <w:fldChar w:fldCharType="begin"/>
          </w:r>
          <w:r>
            <w:instrText xml:space="preserve"> STYLEREF  CharAmSchText  \* CHARFORMAT </w:instrText>
          </w:r>
          <w:r>
            <w:fldChar w:fldCharType="separate"/>
          </w:r>
          <w:r w:rsidR="00FF1A28">
            <w:rPr>
              <w:noProof/>
            </w:rPr>
            <w:t>Equivalent Isotropically Radiated Power (EIRP) limits</w:t>
          </w:r>
          <w:r>
            <w:rPr>
              <w:noProof/>
            </w:rPr>
            <w:fldChar w:fldCharType="end"/>
          </w:r>
        </w:p>
      </w:tc>
    </w:tr>
    <w:tr w:rsidR="003C19E1" w14:paraId="46BFE9FC" w14:textId="77777777">
      <w:tc>
        <w:tcPr>
          <w:tcW w:w="1546" w:type="dxa"/>
        </w:tcPr>
        <w:p w14:paraId="0E8840BB" w14:textId="77777777" w:rsidR="003C19E1" w:rsidRDefault="00D72225">
          <w:pPr>
            <w:pStyle w:val="HeaderLiteEven"/>
          </w:pPr>
          <w:r>
            <w:fldChar w:fldCharType="begin"/>
          </w:r>
          <w:r w:rsidR="003C19E1">
            <w:instrText xml:space="preserve"> STYLEREF  CharSchPTNo  \* CHARFORMAT </w:instrText>
          </w:r>
          <w:r>
            <w:fldChar w:fldCharType="end"/>
          </w:r>
        </w:p>
      </w:tc>
      <w:tc>
        <w:tcPr>
          <w:tcW w:w="6797" w:type="dxa"/>
          <w:vAlign w:val="bottom"/>
        </w:tcPr>
        <w:p w14:paraId="1C2807CC" w14:textId="77777777" w:rsidR="003C19E1" w:rsidRDefault="00D72225">
          <w:pPr>
            <w:pStyle w:val="HeaderLiteEven"/>
          </w:pPr>
          <w:r>
            <w:fldChar w:fldCharType="begin"/>
          </w:r>
          <w:r w:rsidR="003C19E1">
            <w:instrText xml:space="preserve"> STYLEREF  CharSchPTText  \* CHARFORMAT </w:instrText>
          </w:r>
          <w:r>
            <w:fldChar w:fldCharType="end"/>
          </w:r>
        </w:p>
      </w:tc>
    </w:tr>
    <w:tr w:rsidR="003C19E1" w14:paraId="14964996" w14:textId="77777777">
      <w:tc>
        <w:tcPr>
          <w:tcW w:w="8343" w:type="dxa"/>
          <w:gridSpan w:val="2"/>
          <w:tcBorders>
            <w:bottom w:val="single" w:sz="4" w:space="0" w:color="auto"/>
          </w:tcBorders>
          <w:shd w:val="clear" w:color="auto" w:fill="auto"/>
        </w:tcPr>
        <w:p w14:paraId="4B805052" w14:textId="77777777" w:rsidR="003C19E1" w:rsidRDefault="003C19E1">
          <w:pPr>
            <w:pStyle w:val="HeaderLiteEven"/>
            <w:spacing w:before="120" w:after="60"/>
            <w:ind w:right="-108"/>
          </w:pPr>
        </w:p>
      </w:tc>
    </w:tr>
  </w:tbl>
  <w:p w14:paraId="6491B344" w14:textId="77777777" w:rsidR="003C19E1" w:rsidRDefault="003C19E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39C0" w14:textId="2D77D321" w:rsidR="003E2CCE" w:rsidRPr="003E2CCE" w:rsidRDefault="003E2CCE" w:rsidP="003E2CCE">
    <w:pPr>
      <w:pBdr>
        <w:bottom w:val="single" w:sz="4" w:space="0" w:color="auto"/>
      </w:pBdr>
      <w:jc w:val="right"/>
      <w:rPr>
        <w:rFonts w:ascii="Arial" w:hAnsi="Arial" w:cs="Arial"/>
        <w:b/>
        <w:sz w:val="20"/>
        <w:szCs w:val="20"/>
      </w:rPr>
    </w:pPr>
    <w:r w:rsidRPr="003E2CCE">
      <w:rPr>
        <w:rFonts w:ascii="Arial" w:hAnsi="Arial" w:cs="Arial"/>
        <w:b/>
        <w:sz w:val="20"/>
        <w:szCs w:val="20"/>
      </w:rPr>
      <w:t xml:space="preserve">Schedule </w:t>
    </w:r>
    <w:r w:rsidR="00723CC1">
      <w:rPr>
        <w:rFonts w:ascii="Arial" w:hAnsi="Arial" w:cs="Arial"/>
        <w:b/>
        <w:sz w:val="20"/>
        <w:szCs w:val="20"/>
      </w:rPr>
      <w:t>1</w:t>
    </w:r>
  </w:p>
  <w:p w14:paraId="42622FF3" w14:textId="77777777" w:rsidR="003E2CCE" w:rsidRPr="003E2CCE" w:rsidRDefault="003E2CCE" w:rsidP="003E2CCE">
    <w:pPr>
      <w:pBdr>
        <w:bottom w:val="single" w:sz="4" w:space="0" w:color="auto"/>
      </w:pBdr>
      <w:jc w:val="right"/>
      <w:rPr>
        <w:rFonts w:ascii="Arial" w:hAnsi="Arial" w:cs="Arial"/>
        <w:b/>
        <w:sz w:val="20"/>
        <w:szCs w:val="20"/>
      </w:rPr>
    </w:pPr>
  </w:p>
  <w:p w14:paraId="11575E74" w14:textId="591AAC95" w:rsidR="003C19E1" w:rsidRPr="003E2CCE" w:rsidRDefault="00723CC1" w:rsidP="003E2CCE">
    <w:pPr>
      <w:pBdr>
        <w:bottom w:val="single" w:sz="4" w:space="0" w:color="auto"/>
      </w:pBdr>
      <w:jc w:val="right"/>
      <w:rPr>
        <w:rFonts w:ascii="Arial" w:hAnsi="Arial" w:cs="Arial"/>
        <w:b/>
        <w:sz w:val="20"/>
        <w:szCs w:val="20"/>
      </w:rPr>
    </w:pPr>
    <w:r>
      <w:rPr>
        <w:rFonts w:ascii="Arial" w:hAnsi="Arial" w:cs="Arial"/>
        <w:b/>
        <w:sz w:val="20"/>
        <w:szCs w:val="20"/>
      </w:rPr>
      <w:t xml:space="preserve">Equivalent </w:t>
    </w:r>
    <w:proofErr w:type="spellStart"/>
    <w:r>
      <w:rPr>
        <w:rFonts w:ascii="Arial" w:hAnsi="Arial" w:cs="Arial"/>
        <w:b/>
        <w:sz w:val="20"/>
        <w:szCs w:val="20"/>
      </w:rPr>
      <w:t>Isotropically</w:t>
    </w:r>
    <w:proofErr w:type="spellEnd"/>
    <w:r>
      <w:rPr>
        <w:rFonts w:ascii="Arial" w:hAnsi="Arial" w:cs="Arial"/>
        <w:b/>
        <w:sz w:val="20"/>
        <w:szCs w:val="20"/>
      </w:rPr>
      <w:t xml:space="preserve"> Radiated Power (EIRP) limits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C26D" w14:textId="77777777" w:rsidR="003C19E1" w:rsidRDefault="003C19E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5DAC3" w14:textId="77777777" w:rsidR="00723CC1" w:rsidRPr="003E2CCE" w:rsidRDefault="00723CC1" w:rsidP="003E2CCE">
    <w:pPr>
      <w:pBdr>
        <w:bottom w:val="single" w:sz="4" w:space="0" w:color="auto"/>
      </w:pBdr>
      <w:jc w:val="right"/>
      <w:rPr>
        <w:rFonts w:ascii="Arial" w:hAnsi="Arial" w:cs="Arial"/>
        <w:b/>
        <w:sz w:val="20"/>
        <w:szCs w:val="20"/>
      </w:rPr>
    </w:pPr>
    <w:r w:rsidRPr="003E2CCE">
      <w:rPr>
        <w:rFonts w:ascii="Arial" w:hAnsi="Arial" w:cs="Arial"/>
        <w:b/>
        <w:sz w:val="20"/>
        <w:szCs w:val="20"/>
      </w:rPr>
      <w:t xml:space="preserve">Schedule </w:t>
    </w:r>
    <w:r>
      <w:rPr>
        <w:rFonts w:ascii="Arial" w:hAnsi="Arial" w:cs="Arial"/>
        <w:b/>
        <w:sz w:val="20"/>
        <w:szCs w:val="20"/>
      </w:rPr>
      <w:t>2</w:t>
    </w:r>
  </w:p>
  <w:p w14:paraId="59062D13" w14:textId="77777777" w:rsidR="00723CC1" w:rsidRPr="003E2CCE" w:rsidRDefault="00723CC1" w:rsidP="003E2CCE">
    <w:pPr>
      <w:pBdr>
        <w:bottom w:val="single" w:sz="4" w:space="0" w:color="auto"/>
      </w:pBdr>
      <w:jc w:val="right"/>
      <w:rPr>
        <w:rFonts w:ascii="Arial" w:hAnsi="Arial" w:cs="Arial"/>
        <w:b/>
        <w:sz w:val="20"/>
        <w:szCs w:val="20"/>
      </w:rPr>
    </w:pPr>
  </w:p>
  <w:p w14:paraId="5CFC219E" w14:textId="77777777" w:rsidR="00723CC1" w:rsidRPr="003E2CCE" w:rsidRDefault="00723CC1" w:rsidP="003E2CCE">
    <w:pPr>
      <w:pBdr>
        <w:bottom w:val="single" w:sz="4" w:space="0" w:color="auto"/>
      </w:pBdr>
      <w:jc w:val="right"/>
      <w:rPr>
        <w:rFonts w:ascii="Arial" w:hAnsi="Arial" w:cs="Arial"/>
        <w:b/>
        <w:sz w:val="20"/>
        <w:szCs w:val="20"/>
      </w:rPr>
    </w:pPr>
    <w:r>
      <w:rPr>
        <w:rFonts w:ascii="Arial" w:hAnsi="Arial" w:cs="Arial"/>
        <w:b/>
        <w:sz w:val="20"/>
        <w:szCs w:val="20"/>
      </w:rPr>
      <w:t>Technical specifications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14" w:type="dxa"/>
      <w:tblLook w:val="01E0" w:firstRow="1" w:lastRow="1" w:firstColumn="1" w:lastColumn="1" w:noHBand="0" w:noVBand="0"/>
    </w:tblPr>
    <w:tblGrid>
      <w:gridCol w:w="8414"/>
    </w:tblGrid>
    <w:tr w:rsidR="003C19E1" w14:paraId="47C92327" w14:textId="77777777">
      <w:tc>
        <w:tcPr>
          <w:tcW w:w="8414" w:type="dxa"/>
        </w:tcPr>
        <w:p w14:paraId="558E1BB0" w14:textId="77777777" w:rsidR="003C19E1" w:rsidRDefault="003C19E1" w:rsidP="00F81193">
          <w:pPr>
            <w:pStyle w:val="HeaderLiteEven"/>
          </w:pPr>
          <w:r>
            <w:t>Notes to the</w:t>
          </w:r>
          <w:r w:rsidRPr="000D4CDA">
            <w:t xml:space="preserve"> </w:t>
          </w:r>
          <w:r w:rsidR="00D72225" w:rsidRPr="00264A41">
            <w:rPr>
              <w:i/>
            </w:rPr>
            <w:fldChar w:fldCharType="begin"/>
          </w:r>
          <w:r w:rsidRPr="00264A41">
            <w:rPr>
              <w:i/>
            </w:rPr>
            <w:instrText xml:space="preserve"> STYLEREF  Title </w:instrText>
          </w:r>
          <w:r w:rsidR="00D72225" w:rsidRPr="00264A41">
            <w:rPr>
              <w:i/>
            </w:rPr>
            <w:fldChar w:fldCharType="separate"/>
          </w:r>
          <w:r w:rsidR="00FF1A28">
            <w:rPr>
              <w:i/>
              <w:noProof/>
            </w:rPr>
            <w:t>Radiocommunications (Cordless Communications Devices) Class Licence 2014</w:t>
          </w:r>
          <w:r w:rsidR="00D72225" w:rsidRPr="00264A41">
            <w:rPr>
              <w:i/>
            </w:rPr>
            <w:fldChar w:fldCharType="end"/>
          </w:r>
        </w:p>
      </w:tc>
    </w:tr>
    <w:tr w:rsidR="003C19E1" w14:paraId="2E71F5A2" w14:textId="77777777">
      <w:tc>
        <w:tcPr>
          <w:tcW w:w="8414" w:type="dxa"/>
        </w:tcPr>
        <w:p w14:paraId="0A565E72" w14:textId="77777777" w:rsidR="003C19E1" w:rsidRDefault="003C19E1" w:rsidP="00F81193">
          <w:pPr>
            <w:pStyle w:val="HeaderLiteEven"/>
          </w:pPr>
        </w:p>
      </w:tc>
    </w:tr>
    <w:tr w:rsidR="003C19E1" w14:paraId="5F84AC0C" w14:textId="77777777">
      <w:tc>
        <w:tcPr>
          <w:tcW w:w="8414" w:type="dxa"/>
          <w:tcBorders>
            <w:bottom w:val="single" w:sz="4" w:space="0" w:color="auto"/>
          </w:tcBorders>
          <w:shd w:val="clear" w:color="auto" w:fill="auto"/>
        </w:tcPr>
        <w:p w14:paraId="64E926DC" w14:textId="77777777" w:rsidR="003C19E1" w:rsidRPr="000D4CDA" w:rsidRDefault="007A0648" w:rsidP="00F81193">
          <w:pPr>
            <w:pStyle w:val="HeaderBoldEven"/>
          </w:pPr>
          <w:r>
            <w:fldChar w:fldCharType="begin"/>
          </w:r>
          <w:r>
            <w:instrText xml:space="preserve"> STYLEREF  CharENotesHeading  \* CHARFORMAT </w:instrText>
          </w:r>
          <w:r>
            <w:fldChar w:fldCharType="separate"/>
          </w:r>
          <w:r w:rsidR="00FF1A28">
            <w:rPr>
              <w:b w:val="0"/>
              <w:bCs/>
              <w:noProof/>
              <w:lang w:val="en-US"/>
            </w:rPr>
            <w:t>Error! No text of specified style in document.</w:t>
          </w:r>
          <w:r>
            <w:rPr>
              <w:noProof/>
            </w:rPr>
            <w:fldChar w:fldCharType="end"/>
          </w:r>
        </w:p>
      </w:tc>
    </w:tr>
  </w:tbl>
  <w:p w14:paraId="7FC9384C" w14:textId="77777777" w:rsidR="003C19E1" w:rsidRDefault="003C19E1" w:rsidP="00F81193"/>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60" w:type="dxa"/>
      <w:tblLook w:val="01E0" w:firstRow="1" w:lastRow="1" w:firstColumn="1" w:lastColumn="1" w:noHBand="0" w:noVBand="0"/>
    </w:tblPr>
    <w:tblGrid>
      <w:gridCol w:w="8460"/>
    </w:tblGrid>
    <w:tr w:rsidR="003C19E1" w14:paraId="58CF0A48" w14:textId="77777777">
      <w:tc>
        <w:tcPr>
          <w:tcW w:w="8460" w:type="dxa"/>
        </w:tcPr>
        <w:p w14:paraId="3F3113BD" w14:textId="77777777" w:rsidR="003C19E1" w:rsidRDefault="003C19E1" w:rsidP="00F81193">
          <w:pPr>
            <w:pStyle w:val="HeaderLiteOdd"/>
          </w:pPr>
          <w:r>
            <w:t xml:space="preserve">Notes to the </w:t>
          </w:r>
          <w:r w:rsidR="00D72225" w:rsidRPr="00264A41">
            <w:rPr>
              <w:i/>
            </w:rPr>
            <w:fldChar w:fldCharType="begin"/>
          </w:r>
          <w:r w:rsidRPr="00264A41">
            <w:rPr>
              <w:i/>
            </w:rPr>
            <w:instrText xml:space="preserve"> STYLEREF  Title </w:instrText>
          </w:r>
          <w:r w:rsidR="00D72225" w:rsidRPr="00264A41">
            <w:rPr>
              <w:i/>
            </w:rPr>
            <w:fldChar w:fldCharType="separate"/>
          </w:r>
          <w:r w:rsidR="00FF1A28">
            <w:rPr>
              <w:i/>
              <w:noProof/>
            </w:rPr>
            <w:t>Radiocommunications (Cordless Communications Devices) Class Licence 2014</w:t>
          </w:r>
          <w:r w:rsidR="00D72225" w:rsidRPr="00264A41">
            <w:rPr>
              <w:i/>
            </w:rPr>
            <w:fldChar w:fldCharType="end"/>
          </w:r>
        </w:p>
      </w:tc>
    </w:tr>
    <w:tr w:rsidR="003C19E1" w14:paraId="027B7BD4" w14:textId="77777777">
      <w:tc>
        <w:tcPr>
          <w:tcW w:w="8460" w:type="dxa"/>
        </w:tcPr>
        <w:p w14:paraId="19CA5715" w14:textId="77777777" w:rsidR="003C19E1" w:rsidRDefault="003C19E1" w:rsidP="00F81193">
          <w:pPr>
            <w:pStyle w:val="HeaderLiteOdd"/>
          </w:pPr>
        </w:p>
      </w:tc>
    </w:tr>
    <w:tr w:rsidR="003C19E1" w14:paraId="72F43FD0" w14:textId="77777777">
      <w:tc>
        <w:tcPr>
          <w:tcW w:w="8460" w:type="dxa"/>
          <w:tcBorders>
            <w:bottom w:val="single" w:sz="4" w:space="0" w:color="auto"/>
          </w:tcBorders>
          <w:shd w:val="clear" w:color="auto" w:fill="auto"/>
        </w:tcPr>
        <w:p w14:paraId="564A1429" w14:textId="77777777" w:rsidR="003C19E1" w:rsidRPr="000D4CDA" w:rsidRDefault="00E05BC5" w:rsidP="00F81193">
          <w:pPr>
            <w:pStyle w:val="HeaderBoldOdd"/>
          </w:pPr>
          <w:r>
            <w:fldChar w:fldCharType="begin"/>
          </w:r>
          <w:r>
            <w:instrText xml:space="preserve"> STYLEREF  CharENotesHeading  \* CHARFORMAT </w:instrText>
          </w:r>
          <w:r>
            <w:fldChar w:fldCharType="separate"/>
          </w:r>
          <w:r w:rsidR="00FF1A28">
            <w:rPr>
              <w:b w:val="0"/>
              <w:bCs/>
              <w:noProof/>
              <w:lang w:val="en-US"/>
            </w:rPr>
            <w:t>Error! No text of specified style in document.</w:t>
          </w:r>
          <w:r>
            <w:rPr>
              <w:noProof/>
            </w:rPr>
            <w:fldChar w:fldCharType="end"/>
          </w:r>
        </w:p>
      </w:tc>
    </w:tr>
  </w:tbl>
  <w:p w14:paraId="1F40F405" w14:textId="77777777" w:rsidR="003C19E1" w:rsidRDefault="003C19E1" w:rsidP="00F81193"/>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576A5" w14:textId="77777777" w:rsidR="003C19E1" w:rsidRDefault="003C19E1" w:rsidP="00F811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14" w:type="dxa"/>
      <w:tblLook w:val="01E0" w:firstRow="1" w:lastRow="1" w:firstColumn="1" w:lastColumn="1" w:noHBand="0" w:noVBand="0"/>
    </w:tblPr>
    <w:tblGrid>
      <w:gridCol w:w="6840"/>
      <w:gridCol w:w="1574"/>
    </w:tblGrid>
    <w:tr w:rsidR="003C19E1" w14:paraId="4D378200" w14:textId="77777777">
      <w:tc>
        <w:tcPr>
          <w:tcW w:w="6840" w:type="dxa"/>
          <w:vAlign w:val="bottom"/>
        </w:tcPr>
        <w:p w14:paraId="5CF64CC5" w14:textId="77777777" w:rsidR="003C19E1" w:rsidRDefault="003C19E1">
          <w:pPr>
            <w:pStyle w:val="HeaderLiteEven"/>
          </w:pPr>
        </w:p>
      </w:tc>
      <w:tc>
        <w:tcPr>
          <w:tcW w:w="1574" w:type="dxa"/>
        </w:tcPr>
        <w:p w14:paraId="6FEC098E" w14:textId="77777777" w:rsidR="003C19E1" w:rsidRDefault="003C19E1">
          <w:pPr>
            <w:pStyle w:val="HeaderLiteEven"/>
          </w:pPr>
        </w:p>
      </w:tc>
    </w:tr>
    <w:tr w:rsidR="003C19E1" w14:paraId="5418183D" w14:textId="77777777">
      <w:tc>
        <w:tcPr>
          <w:tcW w:w="6840" w:type="dxa"/>
          <w:vAlign w:val="bottom"/>
        </w:tcPr>
        <w:p w14:paraId="658305C0" w14:textId="77777777" w:rsidR="003C19E1" w:rsidRDefault="003C19E1">
          <w:pPr>
            <w:pStyle w:val="HeaderLiteEven"/>
          </w:pPr>
        </w:p>
      </w:tc>
      <w:tc>
        <w:tcPr>
          <w:tcW w:w="1574" w:type="dxa"/>
        </w:tcPr>
        <w:p w14:paraId="6E808917" w14:textId="77777777" w:rsidR="003C19E1" w:rsidRDefault="003C19E1">
          <w:pPr>
            <w:pStyle w:val="HeaderLiteEven"/>
          </w:pPr>
        </w:p>
      </w:tc>
    </w:tr>
    <w:tr w:rsidR="003C19E1" w14:paraId="6D97B8B9" w14:textId="77777777">
      <w:tc>
        <w:tcPr>
          <w:tcW w:w="8414" w:type="dxa"/>
          <w:gridSpan w:val="2"/>
          <w:tcBorders>
            <w:bottom w:val="single" w:sz="4" w:space="0" w:color="auto"/>
          </w:tcBorders>
          <w:shd w:val="clear" w:color="auto" w:fill="auto"/>
        </w:tcPr>
        <w:p w14:paraId="3B66B0C1" w14:textId="77777777" w:rsidR="003C19E1" w:rsidRDefault="003C19E1">
          <w:pPr>
            <w:pStyle w:val="HeaderLiteEven"/>
            <w:spacing w:before="120" w:after="60"/>
            <w:ind w:right="-108"/>
          </w:pPr>
        </w:p>
      </w:tc>
    </w:tr>
  </w:tbl>
  <w:p w14:paraId="70967E86" w14:textId="77777777" w:rsidR="003C19E1" w:rsidRDefault="003C19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548"/>
      <w:gridCol w:w="6980"/>
    </w:tblGrid>
    <w:tr w:rsidR="003C19E1" w14:paraId="01FDB9F4" w14:textId="77777777">
      <w:tc>
        <w:tcPr>
          <w:tcW w:w="1548" w:type="dxa"/>
        </w:tcPr>
        <w:p w14:paraId="521CA36D" w14:textId="77777777" w:rsidR="003C19E1" w:rsidRDefault="00D72225">
          <w:pPr>
            <w:pStyle w:val="HeaderLiteEven"/>
          </w:pPr>
          <w:r>
            <w:fldChar w:fldCharType="begin"/>
          </w:r>
          <w:r w:rsidR="003C19E1">
            <w:instrText xml:space="preserve"> STYLEREF  CharPartNo  \* CHARFORMAT </w:instrText>
          </w:r>
          <w:r>
            <w:fldChar w:fldCharType="end"/>
          </w:r>
        </w:p>
      </w:tc>
      <w:tc>
        <w:tcPr>
          <w:tcW w:w="6980" w:type="dxa"/>
          <w:vAlign w:val="bottom"/>
        </w:tcPr>
        <w:p w14:paraId="2FB65C3F" w14:textId="77777777" w:rsidR="003C19E1" w:rsidRDefault="00D72225">
          <w:pPr>
            <w:pStyle w:val="HeaderLiteEven"/>
          </w:pPr>
          <w:r>
            <w:fldChar w:fldCharType="begin"/>
          </w:r>
          <w:r w:rsidR="003C19E1">
            <w:instrText xml:space="preserve"> STYLEREF  CharPartText  \* CHARFORMAT </w:instrText>
          </w:r>
          <w:r>
            <w:fldChar w:fldCharType="end"/>
          </w:r>
        </w:p>
      </w:tc>
    </w:tr>
    <w:tr w:rsidR="003C19E1" w14:paraId="7802AD07" w14:textId="77777777">
      <w:tc>
        <w:tcPr>
          <w:tcW w:w="1548" w:type="dxa"/>
        </w:tcPr>
        <w:p w14:paraId="7DD369AD" w14:textId="77777777" w:rsidR="003C19E1" w:rsidRDefault="00D72225">
          <w:pPr>
            <w:pStyle w:val="HeaderLiteEven"/>
          </w:pPr>
          <w:r>
            <w:fldChar w:fldCharType="begin"/>
          </w:r>
          <w:r w:rsidR="003C19E1">
            <w:instrText xml:space="preserve"> STYLEREF  CharDivNo  \* CHARFORMAT </w:instrText>
          </w:r>
          <w:r>
            <w:fldChar w:fldCharType="end"/>
          </w:r>
        </w:p>
      </w:tc>
      <w:tc>
        <w:tcPr>
          <w:tcW w:w="6980" w:type="dxa"/>
          <w:vAlign w:val="bottom"/>
        </w:tcPr>
        <w:p w14:paraId="328A2037" w14:textId="77777777" w:rsidR="003C19E1" w:rsidRDefault="00D72225">
          <w:pPr>
            <w:pStyle w:val="HeaderLiteEven"/>
          </w:pPr>
          <w:r>
            <w:fldChar w:fldCharType="begin"/>
          </w:r>
          <w:r w:rsidR="003C19E1">
            <w:instrText xml:space="preserve"> STYLEREF  CharDivText  \* CHARFORMAT </w:instrText>
          </w:r>
          <w:r>
            <w:fldChar w:fldCharType="end"/>
          </w:r>
        </w:p>
      </w:tc>
    </w:tr>
    <w:tr w:rsidR="003C19E1" w14:paraId="49BF5AA7" w14:textId="77777777">
      <w:tc>
        <w:tcPr>
          <w:tcW w:w="8528" w:type="dxa"/>
          <w:gridSpan w:val="2"/>
          <w:tcBorders>
            <w:bottom w:val="single" w:sz="4" w:space="0" w:color="auto"/>
          </w:tcBorders>
          <w:shd w:val="clear" w:color="auto" w:fill="auto"/>
        </w:tcPr>
        <w:p w14:paraId="19B4D796" w14:textId="77777777" w:rsidR="003C19E1" w:rsidRDefault="003C19E1">
          <w:pPr>
            <w:pStyle w:val="HeaderBoldEven"/>
          </w:pPr>
          <w:r>
            <w:t xml:space="preserve">Section </w:t>
          </w:r>
          <w:r w:rsidR="004160A4">
            <w:fldChar w:fldCharType="begin"/>
          </w:r>
          <w:r w:rsidR="004160A4">
            <w:instrText xml:space="preserve"> STYLEREF  CharSectno  \* CHARFORMAT </w:instrText>
          </w:r>
          <w:r w:rsidR="004160A4">
            <w:fldChar w:fldCharType="separate"/>
          </w:r>
          <w:r w:rsidR="00FF1A28">
            <w:rPr>
              <w:noProof/>
            </w:rPr>
            <w:t>1</w:t>
          </w:r>
          <w:r w:rsidR="004160A4">
            <w:rPr>
              <w:noProof/>
            </w:rPr>
            <w:fldChar w:fldCharType="end"/>
          </w:r>
        </w:p>
      </w:tc>
    </w:tr>
  </w:tbl>
  <w:p w14:paraId="4D05853F" w14:textId="77777777" w:rsidR="003C19E1" w:rsidRDefault="003C19E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6798"/>
      <w:gridCol w:w="1548"/>
    </w:tblGrid>
    <w:tr w:rsidR="003C19E1" w14:paraId="6BDE5084" w14:textId="77777777">
      <w:tc>
        <w:tcPr>
          <w:tcW w:w="6798" w:type="dxa"/>
          <w:vAlign w:val="bottom"/>
        </w:tcPr>
        <w:p w14:paraId="06AD584D" w14:textId="77777777" w:rsidR="003C19E1" w:rsidRDefault="00D72225">
          <w:pPr>
            <w:pStyle w:val="HeaderLiteOdd"/>
          </w:pPr>
          <w:r>
            <w:fldChar w:fldCharType="begin"/>
          </w:r>
          <w:r w:rsidR="003C19E1">
            <w:instrText xml:space="preserve"> STYLEREF  CharPartText \l \* CHARFORMAT </w:instrText>
          </w:r>
          <w:r>
            <w:fldChar w:fldCharType="end"/>
          </w:r>
        </w:p>
      </w:tc>
      <w:tc>
        <w:tcPr>
          <w:tcW w:w="1548" w:type="dxa"/>
        </w:tcPr>
        <w:p w14:paraId="43213440" w14:textId="77777777" w:rsidR="003C19E1" w:rsidRDefault="00D72225">
          <w:pPr>
            <w:pStyle w:val="HeaderLiteOdd"/>
          </w:pPr>
          <w:r>
            <w:fldChar w:fldCharType="begin"/>
          </w:r>
          <w:r w:rsidR="003C19E1">
            <w:instrText xml:space="preserve"> STYLEREF  CharPartNo \l \* CHARFORMAT </w:instrText>
          </w:r>
          <w:r>
            <w:fldChar w:fldCharType="end"/>
          </w:r>
        </w:p>
      </w:tc>
    </w:tr>
    <w:tr w:rsidR="003C19E1" w14:paraId="10C7A08E" w14:textId="77777777">
      <w:tc>
        <w:tcPr>
          <w:tcW w:w="6798" w:type="dxa"/>
          <w:vAlign w:val="bottom"/>
        </w:tcPr>
        <w:p w14:paraId="4AC3CCEA" w14:textId="77777777" w:rsidR="003C19E1" w:rsidRDefault="00D72225">
          <w:pPr>
            <w:pStyle w:val="HeaderLiteOdd"/>
          </w:pPr>
          <w:r>
            <w:fldChar w:fldCharType="begin"/>
          </w:r>
          <w:r w:rsidR="003C19E1">
            <w:instrText xml:space="preserve"> STYLEREF  CharDivText \l \* CHARFORMAT </w:instrText>
          </w:r>
          <w:r>
            <w:fldChar w:fldCharType="end"/>
          </w:r>
        </w:p>
      </w:tc>
      <w:tc>
        <w:tcPr>
          <w:tcW w:w="1548" w:type="dxa"/>
        </w:tcPr>
        <w:p w14:paraId="54991BAD" w14:textId="77777777" w:rsidR="003C19E1" w:rsidRDefault="00D72225">
          <w:pPr>
            <w:pStyle w:val="HeaderLiteOdd"/>
          </w:pPr>
          <w:r>
            <w:fldChar w:fldCharType="begin"/>
          </w:r>
          <w:r w:rsidR="003C19E1">
            <w:instrText xml:space="preserve"> STYLEREF  CharDivNo \l \* CHARFORMAT </w:instrText>
          </w:r>
          <w:r>
            <w:fldChar w:fldCharType="end"/>
          </w:r>
        </w:p>
      </w:tc>
    </w:tr>
    <w:tr w:rsidR="003C19E1" w14:paraId="703DFE34" w14:textId="77777777">
      <w:tc>
        <w:tcPr>
          <w:tcW w:w="1548" w:type="dxa"/>
          <w:gridSpan w:val="2"/>
          <w:tcBorders>
            <w:bottom w:val="single" w:sz="4" w:space="0" w:color="auto"/>
          </w:tcBorders>
          <w:shd w:val="clear" w:color="auto" w:fill="auto"/>
        </w:tcPr>
        <w:p w14:paraId="55671FDB" w14:textId="468F213C" w:rsidR="003C19E1" w:rsidRDefault="003C19E1" w:rsidP="003E2CCE">
          <w:pPr>
            <w:pStyle w:val="HeaderBoldOdd"/>
          </w:pPr>
          <w:r>
            <w:t xml:space="preserve">Section </w:t>
          </w:r>
          <w:r w:rsidR="003E2CCE">
            <w:t>1</w:t>
          </w:r>
        </w:p>
      </w:tc>
    </w:tr>
  </w:tbl>
  <w:p w14:paraId="154E1571" w14:textId="77777777" w:rsidR="003C19E1" w:rsidRDefault="003C19E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E7398" w14:textId="77777777" w:rsidR="003C19E1" w:rsidRDefault="003C19E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6798"/>
      <w:gridCol w:w="1548"/>
    </w:tblGrid>
    <w:tr w:rsidR="003E2CCE" w14:paraId="7B14CC01" w14:textId="77777777">
      <w:tc>
        <w:tcPr>
          <w:tcW w:w="6798" w:type="dxa"/>
          <w:vAlign w:val="bottom"/>
        </w:tcPr>
        <w:p w14:paraId="7E13FA26" w14:textId="77777777" w:rsidR="003E2CCE" w:rsidRDefault="003E2CCE">
          <w:pPr>
            <w:pStyle w:val="HeaderLiteOdd"/>
          </w:pPr>
          <w:r>
            <w:fldChar w:fldCharType="begin"/>
          </w:r>
          <w:r>
            <w:instrText xml:space="preserve"> STYLEREF  CharPartText \l \* CHARFORMAT </w:instrText>
          </w:r>
          <w:r>
            <w:fldChar w:fldCharType="end"/>
          </w:r>
        </w:p>
      </w:tc>
      <w:tc>
        <w:tcPr>
          <w:tcW w:w="1548" w:type="dxa"/>
        </w:tcPr>
        <w:p w14:paraId="5F7087C0" w14:textId="77777777" w:rsidR="003E2CCE" w:rsidRDefault="003E2CCE">
          <w:pPr>
            <w:pStyle w:val="HeaderLiteOdd"/>
          </w:pPr>
          <w:r>
            <w:fldChar w:fldCharType="begin"/>
          </w:r>
          <w:r>
            <w:instrText xml:space="preserve"> STYLEREF  CharPartNo \l \* CHARFORMAT </w:instrText>
          </w:r>
          <w:r>
            <w:fldChar w:fldCharType="end"/>
          </w:r>
        </w:p>
      </w:tc>
    </w:tr>
    <w:tr w:rsidR="003E2CCE" w14:paraId="504342FC" w14:textId="77777777">
      <w:tc>
        <w:tcPr>
          <w:tcW w:w="6798" w:type="dxa"/>
          <w:vAlign w:val="bottom"/>
        </w:tcPr>
        <w:p w14:paraId="67E33AD9" w14:textId="77777777" w:rsidR="003E2CCE" w:rsidRDefault="003E2CCE">
          <w:pPr>
            <w:pStyle w:val="HeaderLiteOdd"/>
          </w:pPr>
          <w:r>
            <w:fldChar w:fldCharType="begin"/>
          </w:r>
          <w:r>
            <w:instrText xml:space="preserve"> STYLEREF  CharDivText \l \* CHARFORMAT </w:instrText>
          </w:r>
          <w:r>
            <w:fldChar w:fldCharType="end"/>
          </w:r>
        </w:p>
      </w:tc>
      <w:tc>
        <w:tcPr>
          <w:tcW w:w="1548" w:type="dxa"/>
        </w:tcPr>
        <w:p w14:paraId="135573AC" w14:textId="77777777" w:rsidR="003E2CCE" w:rsidRDefault="003E2CCE">
          <w:pPr>
            <w:pStyle w:val="HeaderLiteOdd"/>
          </w:pPr>
          <w:r>
            <w:fldChar w:fldCharType="begin"/>
          </w:r>
          <w:r>
            <w:instrText xml:space="preserve"> STYLEREF  CharDivNo \l \* CHARFORMAT </w:instrText>
          </w:r>
          <w:r>
            <w:fldChar w:fldCharType="end"/>
          </w:r>
        </w:p>
      </w:tc>
    </w:tr>
    <w:tr w:rsidR="003E2CCE" w14:paraId="688F5711" w14:textId="77777777">
      <w:tc>
        <w:tcPr>
          <w:tcW w:w="1548" w:type="dxa"/>
          <w:gridSpan w:val="2"/>
          <w:tcBorders>
            <w:bottom w:val="single" w:sz="4" w:space="0" w:color="auto"/>
          </w:tcBorders>
          <w:shd w:val="clear" w:color="auto" w:fill="auto"/>
        </w:tcPr>
        <w:p w14:paraId="3F6D8B8C" w14:textId="7EB117FC" w:rsidR="003E2CCE" w:rsidRDefault="003E2CCE" w:rsidP="003E2CCE">
          <w:pPr>
            <w:pStyle w:val="HeaderBoldOdd"/>
          </w:pPr>
          <w:r>
            <w:t>Section 5</w:t>
          </w:r>
        </w:p>
      </w:tc>
    </w:tr>
  </w:tbl>
  <w:p w14:paraId="5E0C25E1" w14:textId="77777777" w:rsidR="003E2CCE" w:rsidRDefault="003E2CC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6798"/>
      <w:gridCol w:w="1548"/>
    </w:tblGrid>
    <w:tr w:rsidR="003E2CCE" w14:paraId="5457A996" w14:textId="77777777">
      <w:tc>
        <w:tcPr>
          <w:tcW w:w="6798" w:type="dxa"/>
          <w:vAlign w:val="bottom"/>
        </w:tcPr>
        <w:p w14:paraId="5F24DF4B" w14:textId="77777777" w:rsidR="003E2CCE" w:rsidRDefault="003E2CCE">
          <w:pPr>
            <w:pStyle w:val="HeaderLiteOdd"/>
          </w:pPr>
          <w:r>
            <w:fldChar w:fldCharType="begin"/>
          </w:r>
          <w:r>
            <w:instrText xml:space="preserve"> STYLEREF  CharPartText \l \* CHARFORMAT </w:instrText>
          </w:r>
          <w:r>
            <w:fldChar w:fldCharType="end"/>
          </w:r>
        </w:p>
      </w:tc>
      <w:tc>
        <w:tcPr>
          <w:tcW w:w="1548" w:type="dxa"/>
        </w:tcPr>
        <w:p w14:paraId="24971D9C" w14:textId="77777777" w:rsidR="003E2CCE" w:rsidRDefault="003E2CCE">
          <w:pPr>
            <w:pStyle w:val="HeaderLiteOdd"/>
          </w:pPr>
          <w:r>
            <w:fldChar w:fldCharType="begin"/>
          </w:r>
          <w:r>
            <w:instrText xml:space="preserve"> STYLEREF  CharPartNo \l \* CHARFORMAT </w:instrText>
          </w:r>
          <w:r>
            <w:fldChar w:fldCharType="end"/>
          </w:r>
        </w:p>
      </w:tc>
    </w:tr>
    <w:tr w:rsidR="003E2CCE" w14:paraId="6076FF00" w14:textId="77777777">
      <w:tc>
        <w:tcPr>
          <w:tcW w:w="6798" w:type="dxa"/>
          <w:vAlign w:val="bottom"/>
        </w:tcPr>
        <w:p w14:paraId="4211B702" w14:textId="77777777" w:rsidR="003E2CCE" w:rsidRDefault="003E2CCE">
          <w:pPr>
            <w:pStyle w:val="HeaderLiteOdd"/>
          </w:pPr>
          <w:r>
            <w:fldChar w:fldCharType="begin"/>
          </w:r>
          <w:r>
            <w:instrText xml:space="preserve"> STYLEREF  CharDivText \l \* CHARFORMAT </w:instrText>
          </w:r>
          <w:r>
            <w:fldChar w:fldCharType="end"/>
          </w:r>
        </w:p>
      </w:tc>
      <w:tc>
        <w:tcPr>
          <w:tcW w:w="1548" w:type="dxa"/>
        </w:tcPr>
        <w:p w14:paraId="3CA6A78F" w14:textId="77777777" w:rsidR="003E2CCE" w:rsidRDefault="003E2CCE">
          <w:pPr>
            <w:pStyle w:val="HeaderLiteOdd"/>
          </w:pPr>
          <w:r>
            <w:fldChar w:fldCharType="begin"/>
          </w:r>
          <w:r>
            <w:instrText xml:space="preserve"> STYLEREF  CharDivNo \l \* CHARFORMAT </w:instrText>
          </w:r>
          <w:r>
            <w:fldChar w:fldCharType="end"/>
          </w:r>
        </w:p>
      </w:tc>
    </w:tr>
    <w:tr w:rsidR="003E2CCE" w14:paraId="3203BBA8" w14:textId="77777777">
      <w:tc>
        <w:tcPr>
          <w:tcW w:w="1548" w:type="dxa"/>
          <w:gridSpan w:val="2"/>
          <w:tcBorders>
            <w:bottom w:val="single" w:sz="4" w:space="0" w:color="auto"/>
          </w:tcBorders>
          <w:shd w:val="clear" w:color="auto" w:fill="auto"/>
        </w:tcPr>
        <w:p w14:paraId="50218BF9" w14:textId="687FBCC8" w:rsidR="003E2CCE" w:rsidRDefault="003E2CCE" w:rsidP="003E2CCE">
          <w:pPr>
            <w:pStyle w:val="HeaderBoldOdd"/>
          </w:pPr>
          <w:r>
            <w:t>Section 8</w:t>
          </w:r>
        </w:p>
      </w:tc>
    </w:tr>
  </w:tbl>
  <w:p w14:paraId="5442DA98" w14:textId="77777777" w:rsidR="003E2CCE" w:rsidRDefault="003E2CC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6798"/>
      <w:gridCol w:w="1548"/>
    </w:tblGrid>
    <w:tr w:rsidR="003E2CCE" w14:paraId="6ACE4AF2" w14:textId="77777777">
      <w:tc>
        <w:tcPr>
          <w:tcW w:w="6798" w:type="dxa"/>
          <w:vAlign w:val="bottom"/>
        </w:tcPr>
        <w:p w14:paraId="43F99EF7" w14:textId="77777777" w:rsidR="003E2CCE" w:rsidRDefault="003E2CCE">
          <w:pPr>
            <w:pStyle w:val="HeaderLiteOdd"/>
          </w:pPr>
          <w:r>
            <w:fldChar w:fldCharType="begin"/>
          </w:r>
          <w:r>
            <w:instrText xml:space="preserve"> STYLEREF  CharPartText \l \* CHARFORMAT </w:instrText>
          </w:r>
          <w:r>
            <w:fldChar w:fldCharType="end"/>
          </w:r>
        </w:p>
      </w:tc>
      <w:tc>
        <w:tcPr>
          <w:tcW w:w="1548" w:type="dxa"/>
        </w:tcPr>
        <w:p w14:paraId="5A543050" w14:textId="77777777" w:rsidR="003E2CCE" w:rsidRDefault="003E2CCE">
          <w:pPr>
            <w:pStyle w:val="HeaderLiteOdd"/>
          </w:pPr>
          <w:r>
            <w:fldChar w:fldCharType="begin"/>
          </w:r>
          <w:r>
            <w:instrText xml:space="preserve"> STYLEREF  CharPartNo \l \* CHARFORMAT </w:instrText>
          </w:r>
          <w:r>
            <w:fldChar w:fldCharType="end"/>
          </w:r>
        </w:p>
      </w:tc>
    </w:tr>
    <w:tr w:rsidR="003E2CCE" w14:paraId="0A170111" w14:textId="77777777">
      <w:tc>
        <w:tcPr>
          <w:tcW w:w="6798" w:type="dxa"/>
          <w:vAlign w:val="bottom"/>
        </w:tcPr>
        <w:p w14:paraId="071E169C" w14:textId="77777777" w:rsidR="003E2CCE" w:rsidRDefault="003E2CCE">
          <w:pPr>
            <w:pStyle w:val="HeaderLiteOdd"/>
          </w:pPr>
          <w:r>
            <w:fldChar w:fldCharType="begin"/>
          </w:r>
          <w:r>
            <w:instrText xml:space="preserve"> STYLEREF  CharDivText \l \* CHARFORMAT </w:instrText>
          </w:r>
          <w:r>
            <w:fldChar w:fldCharType="end"/>
          </w:r>
        </w:p>
      </w:tc>
      <w:tc>
        <w:tcPr>
          <w:tcW w:w="1548" w:type="dxa"/>
        </w:tcPr>
        <w:p w14:paraId="28561958" w14:textId="77777777" w:rsidR="003E2CCE" w:rsidRDefault="003E2CCE">
          <w:pPr>
            <w:pStyle w:val="HeaderLiteOdd"/>
          </w:pPr>
          <w:r>
            <w:fldChar w:fldCharType="begin"/>
          </w:r>
          <w:r>
            <w:instrText xml:space="preserve"> STYLEREF  CharDivNo \l \* CHARFORMAT </w:instrText>
          </w:r>
          <w:r>
            <w:fldChar w:fldCharType="end"/>
          </w:r>
        </w:p>
      </w:tc>
    </w:tr>
    <w:tr w:rsidR="003E2CCE" w14:paraId="57F959CF" w14:textId="77777777">
      <w:tc>
        <w:tcPr>
          <w:tcW w:w="1548" w:type="dxa"/>
          <w:gridSpan w:val="2"/>
          <w:tcBorders>
            <w:bottom w:val="single" w:sz="4" w:space="0" w:color="auto"/>
          </w:tcBorders>
          <w:shd w:val="clear" w:color="auto" w:fill="auto"/>
        </w:tcPr>
        <w:p w14:paraId="2F909037" w14:textId="78D96761" w:rsidR="003E2CCE" w:rsidRDefault="003E2CCE" w:rsidP="003E2CCE">
          <w:pPr>
            <w:pStyle w:val="HeaderBoldOdd"/>
          </w:pPr>
          <w:r>
            <w:t>Section 9A</w:t>
          </w:r>
        </w:p>
      </w:tc>
    </w:tr>
  </w:tbl>
  <w:p w14:paraId="13F72D26" w14:textId="77777777" w:rsidR="003E2CCE" w:rsidRDefault="003E2CC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6798"/>
      <w:gridCol w:w="1548"/>
    </w:tblGrid>
    <w:tr w:rsidR="003E2CCE" w14:paraId="3DF114A9" w14:textId="77777777">
      <w:tc>
        <w:tcPr>
          <w:tcW w:w="6798" w:type="dxa"/>
          <w:vAlign w:val="bottom"/>
        </w:tcPr>
        <w:p w14:paraId="4B761ECB" w14:textId="77777777" w:rsidR="003E2CCE" w:rsidRDefault="003E2CCE">
          <w:pPr>
            <w:pStyle w:val="HeaderLiteOdd"/>
          </w:pPr>
          <w:r>
            <w:fldChar w:fldCharType="begin"/>
          </w:r>
          <w:r>
            <w:instrText xml:space="preserve"> STYLEREF  CharPartText \l \* CHARFORMAT </w:instrText>
          </w:r>
          <w:r>
            <w:fldChar w:fldCharType="end"/>
          </w:r>
        </w:p>
      </w:tc>
      <w:tc>
        <w:tcPr>
          <w:tcW w:w="1548" w:type="dxa"/>
        </w:tcPr>
        <w:p w14:paraId="0D8838A0" w14:textId="77777777" w:rsidR="003E2CCE" w:rsidRDefault="003E2CCE">
          <w:pPr>
            <w:pStyle w:val="HeaderLiteOdd"/>
          </w:pPr>
          <w:r>
            <w:fldChar w:fldCharType="begin"/>
          </w:r>
          <w:r>
            <w:instrText xml:space="preserve"> STYLEREF  CharPartNo \l \* CHARFORMAT </w:instrText>
          </w:r>
          <w:r>
            <w:fldChar w:fldCharType="end"/>
          </w:r>
        </w:p>
      </w:tc>
    </w:tr>
    <w:tr w:rsidR="003E2CCE" w14:paraId="451BA05D" w14:textId="77777777">
      <w:tc>
        <w:tcPr>
          <w:tcW w:w="6798" w:type="dxa"/>
          <w:vAlign w:val="bottom"/>
        </w:tcPr>
        <w:p w14:paraId="64B27C9F" w14:textId="77777777" w:rsidR="003E2CCE" w:rsidRDefault="003E2CCE">
          <w:pPr>
            <w:pStyle w:val="HeaderLiteOdd"/>
          </w:pPr>
          <w:r>
            <w:fldChar w:fldCharType="begin"/>
          </w:r>
          <w:r>
            <w:instrText xml:space="preserve"> STYLEREF  CharDivText \l \* CHARFORMAT </w:instrText>
          </w:r>
          <w:r>
            <w:fldChar w:fldCharType="end"/>
          </w:r>
        </w:p>
      </w:tc>
      <w:tc>
        <w:tcPr>
          <w:tcW w:w="1548" w:type="dxa"/>
        </w:tcPr>
        <w:p w14:paraId="2E63C8D0" w14:textId="77777777" w:rsidR="003E2CCE" w:rsidRDefault="003E2CCE">
          <w:pPr>
            <w:pStyle w:val="HeaderLiteOdd"/>
          </w:pPr>
          <w:r>
            <w:fldChar w:fldCharType="begin"/>
          </w:r>
          <w:r>
            <w:instrText xml:space="preserve"> STYLEREF  CharDivNo \l \* CHARFORMAT </w:instrText>
          </w:r>
          <w:r>
            <w:fldChar w:fldCharType="end"/>
          </w:r>
        </w:p>
      </w:tc>
    </w:tr>
    <w:tr w:rsidR="003E2CCE" w14:paraId="7691C4C4" w14:textId="77777777">
      <w:tc>
        <w:tcPr>
          <w:tcW w:w="1548" w:type="dxa"/>
          <w:gridSpan w:val="2"/>
          <w:tcBorders>
            <w:bottom w:val="single" w:sz="4" w:space="0" w:color="auto"/>
          </w:tcBorders>
          <w:shd w:val="clear" w:color="auto" w:fill="auto"/>
        </w:tcPr>
        <w:p w14:paraId="4FE3F098" w14:textId="35BEEEBC" w:rsidR="003E2CCE" w:rsidRDefault="003E2CCE" w:rsidP="003E2CCE">
          <w:pPr>
            <w:pStyle w:val="HeaderBoldOdd"/>
          </w:pPr>
          <w:r>
            <w:t>Section 10</w:t>
          </w:r>
        </w:p>
      </w:tc>
    </w:tr>
  </w:tbl>
  <w:p w14:paraId="51369354" w14:textId="77777777" w:rsidR="003E2CCE" w:rsidRDefault="003E2C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90EBA7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DAA32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A44E4AC"/>
    <w:lvl w:ilvl="0">
      <w:start w:val="1"/>
      <w:numFmt w:val="decimal"/>
      <w:pStyle w:val="ListNumber3"/>
      <w:lvlText w:val="%1."/>
      <w:lvlJc w:val="left"/>
      <w:pPr>
        <w:tabs>
          <w:tab w:val="num" w:pos="926"/>
        </w:tabs>
        <w:ind w:left="926" w:hanging="360"/>
      </w:pPr>
    </w:lvl>
  </w:abstractNum>
  <w:abstractNum w:abstractNumId="3">
    <w:nsid w:val="FFFFFF7F"/>
    <w:multiLevelType w:val="singleLevel"/>
    <w:tmpl w:val="075C9EF8"/>
    <w:lvl w:ilvl="0">
      <w:start w:val="1"/>
      <w:numFmt w:val="decimal"/>
      <w:pStyle w:val="ListNumber2"/>
      <w:lvlText w:val="%1."/>
      <w:lvlJc w:val="left"/>
      <w:pPr>
        <w:tabs>
          <w:tab w:val="num" w:pos="643"/>
        </w:tabs>
        <w:ind w:left="643" w:hanging="360"/>
      </w:pPr>
    </w:lvl>
  </w:abstractNum>
  <w:abstractNum w:abstractNumId="4">
    <w:nsid w:val="FFFFFF80"/>
    <w:multiLevelType w:val="singleLevel"/>
    <w:tmpl w:val="8E90CE2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pStyle w:val="ListNumber"/>
      <w:lvlText w:val="%1."/>
      <w:lvlJc w:val="left"/>
      <w:pPr>
        <w:tabs>
          <w:tab w:val="num" w:pos="360"/>
        </w:tabs>
        <w:ind w:left="360" w:hanging="360"/>
      </w:pPr>
    </w:lvl>
  </w:abstractNum>
  <w:abstractNum w:abstractNumId="9">
    <w:nsid w:val="FFFFFF89"/>
    <w:multiLevelType w:val="singleLevel"/>
    <w:tmpl w:val="3136637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73953AB"/>
    <w:multiLevelType w:val="hybridMultilevel"/>
    <w:tmpl w:val="0AA47600"/>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3">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44C736AC"/>
    <w:multiLevelType w:val="hybridMultilevel"/>
    <w:tmpl w:val="A6BAA052"/>
    <w:lvl w:ilvl="0" w:tplc="319C7CBC">
      <w:start w:val="1"/>
      <w:numFmt w:val="lowerRoman"/>
      <w:lvlText w:val="(%1)"/>
      <w:lvlJc w:val="left"/>
      <w:pPr>
        <w:ind w:left="2265" w:hanging="720"/>
      </w:pPr>
      <w:rPr>
        <w:rFonts w:hint="default"/>
      </w:rPr>
    </w:lvl>
    <w:lvl w:ilvl="1" w:tplc="0C090019" w:tentative="1">
      <w:start w:val="1"/>
      <w:numFmt w:val="lowerLetter"/>
      <w:lvlText w:val="%2."/>
      <w:lvlJc w:val="left"/>
      <w:pPr>
        <w:ind w:left="2625" w:hanging="360"/>
      </w:pPr>
    </w:lvl>
    <w:lvl w:ilvl="2" w:tplc="0C09001B" w:tentative="1">
      <w:start w:val="1"/>
      <w:numFmt w:val="lowerRoman"/>
      <w:lvlText w:val="%3."/>
      <w:lvlJc w:val="right"/>
      <w:pPr>
        <w:ind w:left="3345" w:hanging="180"/>
      </w:pPr>
    </w:lvl>
    <w:lvl w:ilvl="3" w:tplc="0C09000F" w:tentative="1">
      <w:start w:val="1"/>
      <w:numFmt w:val="decimal"/>
      <w:lvlText w:val="%4."/>
      <w:lvlJc w:val="left"/>
      <w:pPr>
        <w:ind w:left="4065" w:hanging="360"/>
      </w:pPr>
    </w:lvl>
    <w:lvl w:ilvl="4" w:tplc="0C090019" w:tentative="1">
      <w:start w:val="1"/>
      <w:numFmt w:val="lowerLetter"/>
      <w:lvlText w:val="%5."/>
      <w:lvlJc w:val="left"/>
      <w:pPr>
        <w:ind w:left="4785" w:hanging="360"/>
      </w:pPr>
    </w:lvl>
    <w:lvl w:ilvl="5" w:tplc="0C09001B" w:tentative="1">
      <w:start w:val="1"/>
      <w:numFmt w:val="lowerRoman"/>
      <w:lvlText w:val="%6."/>
      <w:lvlJc w:val="right"/>
      <w:pPr>
        <w:ind w:left="5505" w:hanging="180"/>
      </w:pPr>
    </w:lvl>
    <w:lvl w:ilvl="6" w:tplc="0C09000F" w:tentative="1">
      <w:start w:val="1"/>
      <w:numFmt w:val="decimal"/>
      <w:lvlText w:val="%7."/>
      <w:lvlJc w:val="left"/>
      <w:pPr>
        <w:ind w:left="6225" w:hanging="360"/>
      </w:pPr>
    </w:lvl>
    <w:lvl w:ilvl="7" w:tplc="0C090019" w:tentative="1">
      <w:start w:val="1"/>
      <w:numFmt w:val="lowerLetter"/>
      <w:lvlText w:val="%8."/>
      <w:lvlJc w:val="left"/>
      <w:pPr>
        <w:ind w:left="6945" w:hanging="360"/>
      </w:pPr>
    </w:lvl>
    <w:lvl w:ilvl="8" w:tplc="0C09001B" w:tentative="1">
      <w:start w:val="1"/>
      <w:numFmt w:val="lowerRoman"/>
      <w:lvlText w:val="%9."/>
      <w:lvlJc w:val="right"/>
      <w:pPr>
        <w:ind w:left="7665" w:hanging="180"/>
      </w:pPr>
    </w:lvl>
  </w:abstractNum>
  <w:abstractNum w:abstractNumId="15">
    <w:nsid w:val="5ABB0377"/>
    <w:multiLevelType w:val="hybridMultilevel"/>
    <w:tmpl w:val="258023C6"/>
    <w:lvl w:ilvl="0" w:tplc="202CBBB4">
      <w:start w:val="1"/>
      <w:numFmt w:val="lowerRoman"/>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abstractNumId w:val="10"/>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5"/>
  </w:num>
  <w:num w:numId="1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AU"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71"/>
    <w:rsid w:val="000056EE"/>
    <w:rsid w:val="00011852"/>
    <w:rsid w:val="00013E3A"/>
    <w:rsid w:val="00014FDE"/>
    <w:rsid w:val="00021676"/>
    <w:rsid w:val="00024697"/>
    <w:rsid w:val="00027EB9"/>
    <w:rsid w:val="00031E07"/>
    <w:rsid w:val="00032756"/>
    <w:rsid w:val="0003498B"/>
    <w:rsid w:val="0005680C"/>
    <w:rsid w:val="0006152D"/>
    <w:rsid w:val="00070A26"/>
    <w:rsid w:val="0007272A"/>
    <w:rsid w:val="000821BA"/>
    <w:rsid w:val="00087E3A"/>
    <w:rsid w:val="000A4528"/>
    <w:rsid w:val="000A6004"/>
    <w:rsid w:val="000A705B"/>
    <w:rsid w:val="000A7AF2"/>
    <w:rsid w:val="000B3BCC"/>
    <w:rsid w:val="000B52F3"/>
    <w:rsid w:val="000C0E9A"/>
    <w:rsid w:val="000E16F3"/>
    <w:rsid w:val="000E6727"/>
    <w:rsid w:val="000F6173"/>
    <w:rsid w:val="00111395"/>
    <w:rsid w:val="00114286"/>
    <w:rsid w:val="001164F8"/>
    <w:rsid w:val="001241C9"/>
    <w:rsid w:val="001312CF"/>
    <w:rsid w:val="00137445"/>
    <w:rsid w:val="00137655"/>
    <w:rsid w:val="001410A9"/>
    <w:rsid w:val="001415D1"/>
    <w:rsid w:val="00141B4E"/>
    <w:rsid w:val="00142CB2"/>
    <w:rsid w:val="00145C33"/>
    <w:rsid w:val="0014660D"/>
    <w:rsid w:val="00147077"/>
    <w:rsid w:val="0015004C"/>
    <w:rsid w:val="00150F5C"/>
    <w:rsid w:val="00160DB0"/>
    <w:rsid w:val="00165EF5"/>
    <w:rsid w:val="0017099C"/>
    <w:rsid w:val="00183AC8"/>
    <w:rsid w:val="001857FC"/>
    <w:rsid w:val="00187B15"/>
    <w:rsid w:val="00190752"/>
    <w:rsid w:val="0019199A"/>
    <w:rsid w:val="001B2225"/>
    <w:rsid w:val="001B4AE0"/>
    <w:rsid w:val="001B503D"/>
    <w:rsid w:val="001B680B"/>
    <w:rsid w:val="001B7538"/>
    <w:rsid w:val="001D09D3"/>
    <w:rsid w:val="001D217A"/>
    <w:rsid w:val="001D49E7"/>
    <w:rsid w:val="001E454E"/>
    <w:rsid w:val="001F3D4C"/>
    <w:rsid w:val="002019B4"/>
    <w:rsid w:val="00204409"/>
    <w:rsid w:val="00206680"/>
    <w:rsid w:val="002108D2"/>
    <w:rsid w:val="00211F14"/>
    <w:rsid w:val="00212061"/>
    <w:rsid w:val="002125DA"/>
    <w:rsid w:val="00213748"/>
    <w:rsid w:val="00213EC8"/>
    <w:rsid w:val="0021465E"/>
    <w:rsid w:val="00217C64"/>
    <w:rsid w:val="00220EDA"/>
    <w:rsid w:val="00222DA1"/>
    <w:rsid w:val="0022369F"/>
    <w:rsid w:val="00223A7F"/>
    <w:rsid w:val="00224DA4"/>
    <w:rsid w:val="00234FDE"/>
    <w:rsid w:val="00251437"/>
    <w:rsid w:val="00253675"/>
    <w:rsid w:val="00254B2F"/>
    <w:rsid w:val="00255ECE"/>
    <w:rsid w:val="00256425"/>
    <w:rsid w:val="00263CA6"/>
    <w:rsid w:val="00284A2C"/>
    <w:rsid w:val="002929F2"/>
    <w:rsid w:val="00296E69"/>
    <w:rsid w:val="002A5339"/>
    <w:rsid w:val="002A57A4"/>
    <w:rsid w:val="002A7BFA"/>
    <w:rsid w:val="002B0FB1"/>
    <w:rsid w:val="002B4431"/>
    <w:rsid w:val="002C2F88"/>
    <w:rsid w:val="002C34B3"/>
    <w:rsid w:val="002C7553"/>
    <w:rsid w:val="002D02F7"/>
    <w:rsid w:val="002D24DD"/>
    <w:rsid w:val="002D3EED"/>
    <w:rsid w:val="002D68AE"/>
    <w:rsid w:val="002E0C9A"/>
    <w:rsid w:val="002E2385"/>
    <w:rsid w:val="0030627F"/>
    <w:rsid w:val="00307A27"/>
    <w:rsid w:val="00316BBC"/>
    <w:rsid w:val="00325AED"/>
    <w:rsid w:val="003263DD"/>
    <w:rsid w:val="00331F91"/>
    <w:rsid w:val="003327E3"/>
    <w:rsid w:val="00337B00"/>
    <w:rsid w:val="00342DD9"/>
    <w:rsid w:val="00347278"/>
    <w:rsid w:val="00347ABE"/>
    <w:rsid w:val="00352893"/>
    <w:rsid w:val="003535E0"/>
    <w:rsid w:val="003570F6"/>
    <w:rsid w:val="00360F57"/>
    <w:rsid w:val="00366209"/>
    <w:rsid w:val="00373900"/>
    <w:rsid w:val="0038236C"/>
    <w:rsid w:val="00382EAF"/>
    <w:rsid w:val="00383571"/>
    <w:rsid w:val="00383D0E"/>
    <w:rsid w:val="00384027"/>
    <w:rsid w:val="003843EC"/>
    <w:rsid w:val="00393D57"/>
    <w:rsid w:val="00396732"/>
    <w:rsid w:val="003A2BF9"/>
    <w:rsid w:val="003A3291"/>
    <w:rsid w:val="003C19E1"/>
    <w:rsid w:val="003C3C69"/>
    <w:rsid w:val="003C700C"/>
    <w:rsid w:val="003C7D9A"/>
    <w:rsid w:val="003D20DD"/>
    <w:rsid w:val="003D275B"/>
    <w:rsid w:val="003E2CCE"/>
    <w:rsid w:val="003E33EE"/>
    <w:rsid w:val="003F43C5"/>
    <w:rsid w:val="003F486E"/>
    <w:rsid w:val="00403CA6"/>
    <w:rsid w:val="00405625"/>
    <w:rsid w:val="0041108C"/>
    <w:rsid w:val="00411C6B"/>
    <w:rsid w:val="004162D6"/>
    <w:rsid w:val="004174C2"/>
    <w:rsid w:val="00420A7B"/>
    <w:rsid w:val="0043600E"/>
    <w:rsid w:val="00440BE1"/>
    <w:rsid w:val="00443EEA"/>
    <w:rsid w:val="00445DEF"/>
    <w:rsid w:val="00447669"/>
    <w:rsid w:val="00454D0B"/>
    <w:rsid w:val="0046344B"/>
    <w:rsid w:val="004637A5"/>
    <w:rsid w:val="00463A8A"/>
    <w:rsid w:val="00471C7B"/>
    <w:rsid w:val="0047221D"/>
    <w:rsid w:val="00473443"/>
    <w:rsid w:val="00482B0A"/>
    <w:rsid w:val="00484DBA"/>
    <w:rsid w:val="004853CC"/>
    <w:rsid w:val="00487822"/>
    <w:rsid w:val="004905F8"/>
    <w:rsid w:val="00491CFB"/>
    <w:rsid w:val="004963E3"/>
    <w:rsid w:val="004A28F1"/>
    <w:rsid w:val="004A4722"/>
    <w:rsid w:val="004A5D00"/>
    <w:rsid w:val="004A73F7"/>
    <w:rsid w:val="004B0C6E"/>
    <w:rsid w:val="004C0E42"/>
    <w:rsid w:val="004C3B67"/>
    <w:rsid w:val="004C72B2"/>
    <w:rsid w:val="004D2CCB"/>
    <w:rsid w:val="004D7964"/>
    <w:rsid w:val="004E01BE"/>
    <w:rsid w:val="004F38AE"/>
    <w:rsid w:val="004F3A0D"/>
    <w:rsid w:val="004F4139"/>
    <w:rsid w:val="004F4E12"/>
    <w:rsid w:val="004F6457"/>
    <w:rsid w:val="0050017F"/>
    <w:rsid w:val="00505817"/>
    <w:rsid w:val="00516F09"/>
    <w:rsid w:val="00526A68"/>
    <w:rsid w:val="00526D05"/>
    <w:rsid w:val="00530A4B"/>
    <w:rsid w:val="00533AB5"/>
    <w:rsid w:val="00551FD3"/>
    <w:rsid w:val="00552309"/>
    <w:rsid w:val="00564001"/>
    <w:rsid w:val="00564A57"/>
    <w:rsid w:val="005666B3"/>
    <w:rsid w:val="00584A71"/>
    <w:rsid w:val="005873EE"/>
    <w:rsid w:val="005904E0"/>
    <w:rsid w:val="00590B66"/>
    <w:rsid w:val="005944CF"/>
    <w:rsid w:val="00596122"/>
    <w:rsid w:val="00596F0D"/>
    <w:rsid w:val="005971A1"/>
    <w:rsid w:val="005A0865"/>
    <w:rsid w:val="005A0F53"/>
    <w:rsid w:val="005A2A56"/>
    <w:rsid w:val="005A45DD"/>
    <w:rsid w:val="005A495B"/>
    <w:rsid w:val="005B2FC3"/>
    <w:rsid w:val="005B6D02"/>
    <w:rsid w:val="005C00F6"/>
    <w:rsid w:val="005C3646"/>
    <w:rsid w:val="005C3B21"/>
    <w:rsid w:val="005D6F22"/>
    <w:rsid w:val="005D7FE4"/>
    <w:rsid w:val="005E5309"/>
    <w:rsid w:val="005F0786"/>
    <w:rsid w:val="005F5365"/>
    <w:rsid w:val="00600C1B"/>
    <w:rsid w:val="006133D2"/>
    <w:rsid w:val="006136E1"/>
    <w:rsid w:val="0061472F"/>
    <w:rsid w:val="00614E70"/>
    <w:rsid w:val="006165B3"/>
    <w:rsid w:val="00617061"/>
    <w:rsid w:val="0062333F"/>
    <w:rsid w:val="00623919"/>
    <w:rsid w:val="00624116"/>
    <w:rsid w:val="0062619F"/>
    <w:rsid w:val="00636345"/>
    <w:rsid w:val="00637F29"/>
    <w:rsid w:val="00644B8D"/>
    <w:rsid w:val="006503AC"/>
    <w:rsid w:val="00657047"/>
    <w:rsid w:val="00672003"/>
    <w:rsid w:val="00684F7D"/>
    <w:rsid w:val="00686231"/>
    <w:rsid w:val="00693D62"/>
    <w:rsid w:val="006B28EE"/>
    <w:rsid w:val="006C2F02"/>
    <w:rsid w:val="006C42CE"/>
    <w:rsid w:val="006C4BED"/>
    <w:rsid w:val="006C53D2"/>
    <w:rsid w:val="006D1971"/>
    <w:rsid w:val="006D3A38"/>
    <w:rsid w:val="006D41A0"/>
    <w:rsid w:val="006D4B7F"/>
    <w:rsid w:val="006D6872"/>
    <w:rsid w:val="006E06EA"/>
    <w:rsid w:val="006E69DC"/>
    <w:rsid w:val="006F3964"/>
    <w:rsid w:val="007037DD"/>
    <w:rsid w:val="00703B38"/>
    <w:rsid w:val="00710DC7"/>
    <w:rsid w:val="00717563"/>
    <w:rsid w:val="00723CC1"/>
    <w:rsid w:val="007318EC"/>
    <w:rsid w:val="00735B24"/>
    <w:rsid w:val="00735E5A"/>
    <w:rsid w:val="00742BE4"/>
    <w:rsid w:val="00750BF2"/>
    <w:rsid w:val="00750F54"/>
    <w:rsid w:val="0075789A"/>
    <w:rsid w:val="00761759"/>
    <w:rsid w:val="00766C64"/>
    <w:rsid w:val="00771B1D"/>
    <w:rsid w:val="00787D5F"/>
    <w:rsid w:val="007A0648"/>
    <w:rsid w:val="007A1349"/>
    <w:rsid w:val="007A3567"/>
    <w:rsid w:val="007A56B8"/>
    <w:rsid w:val="007B03CF"/>
    <w:rsid w:val="007C0378"/>
    <w:rsid w:val="007C3AEA"/>
    <w:rsid w:val="007D1EB6"/>
    <w:rsid w:val="007D2042"/>
    <w:rsid w:val="007D6265"/>
    <w:rsid w:val="007E11A4"/>
    <w:rsid w:val="007E14BF"/>
    <w:rsid w:val="007E21C3"/>
    <w:rsid w:val="007E222C"/>
    <w:rsid w:val="007E2AB6"/>
    <w:rsid w:val="007E4DC1"/>
    <w:rsid w:val="007F3913"/>
    <w:rsid w:val="00802693"/>
    <w:rsid w:val="00802C50"/>
    <w:rsid w:val="0080309D"/>
    <w:rsid w:val="00803119"/>
    <w:rsid w:val="00804233"/>
    <w:rsid w:val="00806B35"/>
    <w:rsid w:val="0080707F"/>
    <w:rsid w:val="008200F1"/>
    <w:rsid w:val="00820E6A"/>
    <w:rsid w:val="00821F9F"/>
    <w:rsid w:val="00827C9C"/>
    <w:rsid w:val="0083130D"/>
    <w:rsid w:val="00833F72"/>
    <w:rsid w:val="00851BB2"/>
    <w:rsid w:val="00855B7C"/>
    <w:rsid w:val="00856AC8"/>
    <w:rsid w:val="008619FF"/>
    <w:rsid w:val="008621D6"/>
    <w:rsid w:val="00865588"/>
    <w:rsid w:val="00870B97"/>
    <w:rsid w:val="00886D36"/>
    <w:rsid w:val="00890A16"/>
    <w:rsid w:val="00891412"/>
    <w:rsid w:val="008949D1"/>
    <w:rsid w:val="008A0372"/>
    <w:rsid w:val="008A0D3A"/>
    <w:rsid w:val="008A266B"/>
    <w:rsid w:val="008A2EE6"/>
    <w:rsid w:val="008A483B"/>
    <w:rsid w:val="008A5870"/>
    <w:rsid w:val="008B2946"/>
    <w:rsid w:val="008B441F"/>
    <w:rsid w:val="008C11B8"/>
    <w:rsid w:val="008D2E31"/>
    <w:rsid w:val="008D68C0"/>
    <w:rsid w:val="008E02E5"/>
    <w:rsid w:val="008E3156"/>
    <w:rsid w:val="008E31CA"/>
    <w:rsid w:val="008E5537"/>
    <w:rsid w:val="008E74ED"/>
    <w:rsid w:val="008F5EC2"/>
    <w:rsid w:val="0090243E"/>
    <w:rsid w:val="009070F5"/>
    <w:rsid w:val="00914CC9"/>
    <w:rsid w:val="00915B19"/>
    <w:rsid w:val="00920CF0"/>
    <w:rsid w:val="0093033C"/>
    <w:rsid w:val="009356C5"/>
    <w:rsid w:val="009502EF"/>
    <w:rsid w:val="0095137A"/>
    <w:rsid w:val="009553F5"/>
    <w:rsid w:val="00962521"/>
    <w:rsid w:val="009625BC"/>
    <w:rsid w:val="0096686E"/>
    <w:rsid w:val="0096767F"/>
    <w:rsid w:val="00972EB1"/>
    <w:rsid w:val="0097307E"/>
    <w:rsid w:val="00977116"/>
    <w:rsid w:val="00982FFF"/>
    <w:rsid w:val="009830DC"/>
    <w:rsid w:val="00992710"/>
    <w:rsid w:val="009A0DED"/>
    <w:rsid w:val="009A2045"/>
    <w:rsid w:val="009A43F4"/>
    <w:rsid w:val="009A595E"/>
    <w:rsid w:val="009B1BAD"/>
    <w:rsid w:val="009B68AD"/>
    <w:rsid w:val="009C0B85"/>
    <w:rsid w:val="009C0DE1"/>
    <w:rsid w:val="009C1C01"/>
    <w:rsid w:val="009C27D7"/>
    <w:rsid w:val="009C7B2F"/>
    <w:rsid w:val="009D13E9"/>
    <w:rsid w:val="009D17D3"/>
    <w:rsid w:val="009D712E"/>
    <w:rsid w:val="009E3171"/>
    <w:rsid w:val="009F47BC"/>
    <w:rsid w:val="009F5A9A"/>
    <w:rsid w:val="00A00812"/>
    <w:rsid w:val="00A1281A"/>
    <w:rsid w:val="00A205B2"/>
    <w:rsid w:val="00A208AB"/>
    <w:rsid w:val="00A232BF"/>
    <w:rsid w:val="00A25157"/>
    <w:rsid w:val="00A2544F"/>
    <w:rsid w:val="00A30D09"/>
    <w:rsid w:val="00A31BE9"/>
    <w:rsid w:val="00A40923"/>
    <w:rsid w:val="00A453B8"/>
    <w:rsid w:val="00A45D09"/>
    <w:rsid w:val="00A50610"/>
    <w:rsid w:val="00A63FC9"/>
    <w:rsid w:val="00A64F24"/>
    <w:rsid w:val="00A7238F"/>
    <w:rsid w:val="00A72A46"/>
    <w:rsid w:val="00A742C6"/>
    <w:rsid w:val="00A82D4B"/>
    <w:rsid w:val="00A8453D"/>
    <w:rsid w:val="00A867B2"/>
    <w:rsid w:val="00A87051"/>
    <w:rsid w:val="00A93472"/>
    <w:rsid w:val="00A93484"/>
    <w:rsid w:val="00AA0A60"/>
    <w:rsid w:val="00AA1E8A"/>
    <w:rsid w:val="00AA2C0E"/>
    <w:rsid w:val="00AA31CC"/>
    <w:rsid w:val="00AB6EF6"/>
    <w:rsid w:val="00AC2859"/>
    <w:rsid w:val="00AC63D9"/>
    <w:rsid w:val="00AD3815"/>
    <w:rsid w:val="00AD4C82"/>
    <w:rsid w:val="00AF4D93"/>
    <w:rsid w:val="00B02301"/>
    <w:rsid w:val="00B06E71"/>
    <w:rsid w:val="00B117D1"/>
    <w:rsid w:val="00B11FF4"/>
    <w:rsid w:val="00B27130"/>
    <w:rsid w:val="00B3114F"/>
    <w:rsid w:val="00B3419B"/>
    <w:rsid w:val="00B41A08"/>
    <w:rsid w:val="00B4372D"/>
    <w:rsid w:val="00B440EB"/>
    <w:rsid w:val="00B457CC"/>
    <w:rsid w:val="00B50B2D"/>
    <w:rsid w:val="00B564FE"/>
    <w:rsid w:val="00B61BD7"/>
    <w:rsid w:val="00B645CC"/>
    <w:rsid w:val="00B64D46"/>
    <w:rsid w:val="00B65355"/>
    <w:rsid w:val="00B65B18"/>
    <w:rsid w:val="00B65C4A"/>
    <w:rsid w:val="00B7226E"/>
    <w:rsid w:val="00B73ED2"/>
    <w:rsid w:val="00B74AE5"/>
    <w:rsid w:val="00B8004D"/>
    <w:rsid w:val="00B82B9D"/>
    <w:rsid w:val="00B82EAA"/>
    <w:rsid w:val="00B93121"/>
    <w:rsid w:val="00BA46A3"/>
    <w:rsid w:val="00BA5A4E"/>
    <w:rsid w:val="00BA61EE"/>
    <w:rsid w:val="00BB1F07"/>
    <w:rsid w:val="00BB5CE5"/>
    <w:rsid w:val="00BC053C"/>
    <w:rsid w:val="00BC3117"/>
    <w:rsid w:val="00BD1049"/>
    <w:rsid w:val="00BD2512"/>
    <w:rsid w:val="00BE2947"/>
    <w:rsid w:val="00BE6504"/>
    <w:rsid w:val="00BF25FA"/>
    <w:rsid w:val="00BF365C"/>
    <w:rsid w:val="00BF7E18"/>
    <w:rsid w:val="00C02DBF"/>
    <w:rsid w:val="00C03332"/>
    <w:rsid w:val="00C10F75"/>
    <w:rsid w:val="00C143E8"/>
    <w:rsid w:val="00C144DF"/>
    <w:rsid w:val="00C15633"/>
    <w:rsid w:val="00C25519"/>
    <w:rsid w:val="00C3273C"/>
    <w:rsid w:val="00C354E3"/>
    <w:rsid w:val="00C42FE7"/>
    <w:rsid w:val="00C4697F"/>
    <w:rsid w:val="00C553C7"/>
    <w:rsid w:val="00C62CF6"/>
    <w:rsid w:val="00C63448"/>
    <w:rsid w:val="00C63F35"/>
    <w:rsid w:val="00C7037E"/>
    <w:rsid w:val="00C71889"/>
    <w:rsid w:val="00C71A74"/>
    <w:rsid w:val="00C7214E"/>
    <w:rsid w:val="00C72BF3"/>
    <w:rsid w:val="00C73541"/>
    <w:rsid w:val="00C7648E"/>
    <w:rsid w:val="00C8165C"/>
    <w:rsid w:val="00C82D38"/>
    <w:rsid w:val="00C849ED"/>
    <w:rsid w:val="00C85D0E"/>
    <w:rsid w:val="00C86D30"/>
    <w:rsid w:val="00C90F7D"/>
    <w:rsid w:val="00C92281"/>
    <w:rsid w:val="00C9472B"/>
    <w:rsid w:val="00C95234"/>
    <w:rsid w:val="00C95A4E"/>
    <w:rsid w:val="00C97166"/>
    <w:rsid w:val="00C9745A"/>
    <w:rsid w:val="00CB5EDC"/>
    <w:rsid w:val="00CC03EF"/>
    <w:rsid w:val="00CC4EF4"/>
    <w:rsid w:val="00CC7753"/>
    <w:rsid w:val="00CD50B2"/>
    <w:rsid w:val="00CF0CA4"/>
    <w:rsid w:val="00CF1DEB"/>
    <w:rsid w:val="00CF6B79"/>
    <w:rsid w:val="00CF7042"/>
    <w:rsid w:val="00D00741"/>
    <w:rsid w:val="00D018E9"/>
    <w:rsid w:val="00D02CCC"/>
    <w:rsid w:val="00D064C9"/>
    <w:rsid w:val="00D10555"/>
    <w:rsid w:val="00D108FD"/>
    <w:rsid w:val="00D205BB"/>
    <w:rsid w:val="00D22684"/>
    <w:rsid w:val="00D305D7"/>
    <w:rsid w:val="00D405C2"/>
    <w:rsid w:val="00D4341A"/>
    <w:rsid w:val="00D449AE"/>
    <w:rsid w:val="00D5002F"/>
    <w:rsid w:val="00D52FF6"/>
    <w:rsid w:val="00D558BA"/>
    <w:rsid w:val="00D55BBF"/>
    <w:rsid w:val="00D5643B"/>
    <w:rsid w:val="00D616FB"/>
    <w:rsid w:val="00D62BA7"/>
    <w:rsid w:val="00D62C81"/>
    <w:rsid w:val="00D632AF"/>
    <w:rsid w:val="00D72225"/>
    <w:rsid w:val="00D771D4"/>
    <w:rsid w:val="00D779B3"/>
    <w:rsid w:val="00D86301"/>
    <w:rsid w:val="00D9415C"/>
    <w:rsid w:val="00D96401"/>
    <w:rsid w:val="00D96FAA"/>
    <w:rsid w:val="00DB1038"/>
    <w:rsid w:val="00DB3C97"/>
    <w:rsid w:val="00DB5220"/>
    <w:rsid w:val="00DB78AA"/>
    <w:rsid w:val="00DC1628"/>
    <w:rsid w:val="00DC413A"/>
    <w:rsid w:val="00DD0812"/>
    <w:rsid w:val="00DD3616"/>
    <w:rsid w:val="00DE0A50"/>
    <w:rsid w:val="00DE4D4D"/>
    <w:rsid w:val="00E01F26"/>
    <w:rsid w:val="00E0273C"/>
    <w:rsid w:val="00E02EFC"/>
    <w:rsid w:val="00E05BC5"/>
    <w:rsid w:val="00E07150"/>
    <w:rsid w:val="00E27260"/>
    <w:rsid w:val="00E371BB"/>
    <w:rsid w:val="00E461DD"/>
    <w:rsid w:val="00E56B25"/>
    <w:rsid w:val="00E654E4"/>
    <w:rsid w:val="00E759B1"/>
    <w:rsid w:val="00E77EFF"/>
    <w:rsid w:val="00E909D4"/>
    <w:rsid w:val="00E92541"/>
    <w:rsid w:val="00E9274A"/>
    <w:rsid w:val="00EA3E08"/>
    <w:rsid w:val="00EA521A"/>
    <w:rsid w:val="00EA65F3"/>
    <w:rsid w:val="00EB160C"/>
    <w:rsid w:val="00EB4EA0"/>
    <w:rsid w:val="00EC6938"/>
    <w:rsid w:val="00ED07E0"/>
    <w:rsid w:val="00ED2990"/>
    <w:rsid w:val="00EE1DE9"/>
    <w:rsid w:val="00EE7D3C"/>
    <w:rsid w:val="00EF4628"/>
    <w:rsid w:val="00F0273F"/>
    <w:rsid w:val="00F06685"/>
    <w:rsid w:val="00F07903"/>
    <w:rsid w:val="00F22C59"/>
    <w:rsid w:val="00F253A0"/>
    <w:rsid w:val="00F25838"/>
    <w:rsid w:val="00F325AA"/>
    <w:rsid w:val="00F5294F"/>
    <w:rsid w:val="00F532FC"/>
    <w:rsid w:val="00F63A79"/>
    <w:rsid w:val="00F72662"/>
    <w:rsid w:val="00F74980"/>
    <w:rsid w:val="00F81193"/>
    <w:rsid w:val="00F83E23"/>
    <w:rsid w:val="00F84B47"/>
    <w:rsid w:val="00F86AD1"/>
    <w:rsid w:val="00F90818"/>
    <w:rsid w:val="00FA108D"/>
    <w:rsid w:val="00FB2A3E"/>
    <w:rsid w:val="00FB515C"/>
    <w:rsid w:val="00FB68C5"/>
    <w:rsid w:val="00FC1CF1"/>
    <w:rsid w:val="00FD212A"/>
    <w:rsid w:val="00FD4B3A"/>
    <w:rsid w:val="00FE3FC6"/>
    <w:rsid w:val="00FE6EEA"/>
    <w:rsid w:val="00FF1A28"/>
    <w:rsid w:val="00FF20D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4B8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0DC"/>
    <w:rPr>
      <w:sz w:val="24"/>
      <w:szCs w:val="24"/>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 w:val="22"/>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8A483B"/>
    <w:rPr>
      <w:lang w:eastAsia="en-US"/>
    </w:rPr>
  </w:style>
  <w:style w:type="paragraph" w:customStyle="1" w:styleId="DictionarySectionBreak">
    <w:name w:val="DictionarySectionBreak"/>
    <w:basedOn w:val="Normal"/>
    <w:next w:val="Normal"/>
    <w:rsid w:val="008A483B"/>
    <w:rPr>
      <w:lang w:eastAsia="en-US"/>
    </w:rPr>
  </w:style>
  <w:style w:type="paragraph" w:styleId="Footer">
    <w:name w:val="footer"/>
    <w:basedOn w:val="Normal"/>
    <w:rsid w:val="009A43F4"/>
    <w:pPr>
      <w:tabs>
        <w:tab w:val="center" w:pos="4153"/>
        <w:tab w:val="right" w:pos="8306"/>
      </w:tabs>
    </w:pPr>
    <w:rPr>
      <w:rFonts w:ascii="Arial" w:hAnsi="Arial"/>
      <w:sz w:val="18"/>
    </w:rPr>
  </w:style>
  <w:style w:type="paragraph" w:customStyle="1" w:styleId="FooterDraft">
    <w:name w:val="FooterDraft"/>
    <w:basedOn w:val="Normal"/>
    <w:rsid w:val="008A483B"/>
    <w:pPr>
      <w:jc w:val="center"/>
    </w:pPr>
    <w:rPr>
      <w:rFonts w:ascii="Arial" w:hAnsi="Arial"/>
      <w:b/>
      <w:sz w:val="40"/>
      <w:lang w:eastAsia="en-US"/>
    </w:rPr>
  </w:style>
  <w:style w:type="paragraph" w:customStyle="1" w:styleId="FooterCitation">
    <w:name w:val="FooterCitation"/>
    <w:basedOn w:val="Footer"/>
    <w:rsid w:val="00E01F26"/>
    <w:pPr>
      <w:spacing w:before="20" w:line="240" w:lineRule="exact"/>
      <w:jc w:val="center"/>
    </w:pPr>
    <w:rPr>
      <w:i/>
    </w:rPr>
  </w:style>
  <w:style w:type="paragraph" w:customStyle="1" w:styleId="HeaderBoldEven">
    <w:name w:val="HeaderBoldEven"/>
    <w:basedOn w:val="Normal"/>
    <w:rsid w:val="008A483B"/>
    <w:pPr>
      <w:spacing w:before="120" w:after="60"/>
    </w:pPr>
    <w:rPr>
      <w:rFonts w:ascii="Arial" w:hAnsi="Arial"/>
      <w:b/>
      <w:sz w:val="20"/>
      <w:lang w:eastAsia="en-US"/>
    </w:rPr>
  </w:style>
  <w:style w:type="paragraph" w:customStyle="1" w:styleId="HeaderBoldOdd">
    <w:name w:val="HeaderBoldOdd"/>
    <w:basedOn w:val="Normal"/>
    <w:rsid w:val="008A483B"/>
    <w:pPr>
      <w:spacing w:before="120" w:after="60"/>
      <w:jc w:val="right"/>
    </w:pPr>
    <w:rPr>
      <w:rFonts w:ascii="Arial" w:hAnsi="Arial"/>
      <w:b/>
      <w:sz w:val="20"/>
      <w:lang w:eastAsia="en-US"/>
    </w:rPr>
  </w:style>
  <w:style w:type="paragraph" w:customStyle="1" w:styleId="HeaderContentsPage">
    <w:name w:val="HeaderContents&quot;Page&quot;"/>
    <w:basedOn w:val="Normal"/>
    <w:rsid w:val="008A483B"/>
    <w:pPr>
      <w:spacing w:before="120" w:after="120"/>
      <w:jc w:val="right"/>
    </w:pPr>
    <w:rPr>
      <w:rFonts w:ascii="Arial" w:hAnsi="Arial"/>
      <w:sz w:val="20"/>
      <w:lang w:eastAsia="en-US"/>
    </w:rPr>
  </w:style>
  <w:style w:type="paragraph" w:customStyle="1" w:styleId="HeaderLiteEven">
    <w:name w:val="HeaderLiteEven"/>
    <w:basedOn w:val="Normal"/>
    <w:rsid w:val="008A483B"/>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8A483B"/>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8A483B"/>
    <w:rPr>
      <w:lang w:eastAsia="en-US"/>
    </w:rPr>
  </w:style>
  <w:style w:type="paragraph" w:customStyle="1" w:styleId="NotesSectionBreak">
    <w:name w:val="NotesSectionBreak"/>
    <w:basedOn w:val="Normal"/>
    <w:next w:val="Normal"/>
    <w:rsid w:val="008A483B"/>
    <w:rPr>
      <w:lang w:eastAsia="en-US"/>
    </w:rPr>
  </w:style>
  <w:style w:type="paragraph" w:customStyle="1" w:styleId="ReadersGuideSectionBreak">
    <w:name w:val="ReadersGuideSectionBreak"/>
    <w:basedOn w:val="Normal"/>
    <w:next w:val="Normal"/>
    <w:rsid w:val="008A483B"/>
    <w:rPr>
      <w:lang w:eastAsia="en-US"/>
    </w:rPr>
  </w:style>
  <w:style w:type="paragraph" w:customStyle="1" w:styleId="SchedSectionBreak">
    <w:name w:val="SchedSectionBreak"/>
    <w:basedOn w:val="Normal"/>
    <w:next w:val="Normal"/>
    <w:rsid w:val="008A483B"/>
    <w:rPr>
      <w:lang w:eastAsia="en-US"/>
    </w:rPr>
  </w:style>
  <w:style w:type="paragraph" w:customStyle="1" w:styleId="SigningPageBreak">
    <w:name w:val="SigningPageBreak"/>
    <w:basedOn w:val="Normal"/>
    <w:next w:val="Normal"/>
    <w:rsid w:val="008A483B"/>
    <w:rPr>
      <w:lang w:eastAsia="en-US"/>
    </w:rPr>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basedOn w:val="DefaultParagraphFont"/>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szCs w:val="20"/>
    </w:rPr>
  </w:style>
  <w:style w:type="character" w:styleId="FollowedHyperlink">
    <w:name w:val="FollowedHyperlink"/>
    <w:basedOn w:val="DefaultParagraphFont"/>
    <w:rsid w:val="008A483B"/>
    <w:rPr>
      <w:color w:val="800080"/>
      <w:u w:val="single"/>
    </w:rPr>
  </w:style>
  <w:style w:type="paragraph" w:styleId="Header">
    <w:name w:val="header"/>
    <w:basedOn w:val="Normal"/>
    <w:rsid w:val="0061472F"/>
    <w:pPr>
      <w:tabs>
        <w:tab w:val="center" w:pos="4153"/>
        <w:tab w:val="right" w:pos="8306"/>
      </w:tabs>
    </w:pPr>
    <w:rPr>
      <w:rFonts w:ascii="Arial" w:hAnsi="Arial"/>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basedOn w:val="DefaultParagraphFont"/>
    <w:rsid w:val="008A483B"/>
    <w:rPr>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szCs w:val="20"/>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i/>
      <w:iCs/>
    </w:rPr>
  </w:style>
  <w:style w:type="character" w:styleId="Hyperlink">
    <w:name w:val="Hyperlink"/>
    <w:basedOn w:val="DefaultParagraphFont"/>
    <w:rsid w:val="008A483B"/>
    <w:rPr>
      <w:color w:val="0000FF"/>
      <w:u w:val="single"/>
    </w:rPr>
  </w:style>
  <w:style w:type="character" w:styleId="LineNumber">
    <w:name w:val="line number"/>
    <w:basedOn w:val="DefaultParagraphFont"/>
    <w:rsid w:val="008A483B"/>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numPr>
        <w:numId w:val="4"/>
      </w:numPr>
    </w:pPr>
  </w:style>
  <w:style w:type="paragraph" w:styleId="ListBullet2">
    <w:name w:val="List Bullet 2"/>
    <w:basedOn w:val="Normal"/>
    <w:rsid w:val="008A483B"/>
    <w:pPr>
      <w:numPr>
        <w:numId w:val="5"/>
      </w:numPr>
      <w:tabs>
        <w:tab w:val="clear" w:pos="643"/>
        <w:tab w:val="num" w:pos="360"/>
      </w:tabs>
      <w:ind w:left="0" w:firstLine="0"/>
    </w:pPr>
  </w:style>
  <w:style w:type="paragraph" w:styleId="ListBullet3">
    <w:name w:val="List Bullet 3"/>
    <w:basedOn w:val="Normal"/>
    <w:rsid w:val="008A483B"/>
    <w:pPr>
      <w:numPr>
        <w:numId w:val="6"/>
      </w:numPr>
    </w:pPr>
  </w:style>
  <w:style w:type="paragraph" w:styleId="ListBullet4">
    <w:name w:val="List Bullet 4"/>
    <w:basedOn w:val="Normal"/>
    <w:rsid w:val="008A483B"/>
    <w:pPr>
      <w:numPr>
        <w:numId w:val="7"/>
      </w:numPr>
    </w:pPr>
  </w:style>
  <w:style w:type="paragraph" w:styleId="ListBullet5">
    <w:name w:val="List Bullet 5"/>
    <w:basedOn w:val="Normal"/>
    <w:rsid w:val="008A483B"/>
    <w:pPr>
      <w:numPr>
        <w:numId w:val="8"/>
      </w:numPr>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numPr>
        <w:numId w:val="9"/>
      </w:numPr>
    </w:pPr>
  </w:style>
  <w:style w:type="paragraph" w:styleId="ListNumber2">
    <w:name w:val="List Number 2"/>
    <w:basedOn w:val="Normal"/>
    <w:rsid w:val="008A483B"/>
    <w:pPr>
      <w:numPr>
        <w:numId w:val="10"/>
      </w:numPr>
    </w:pPr>
  </w:style>
  <w:style w:type="paragraph" w:styleId="ListNumber3">
    <w:name w:val="List Number 3"/>
    <w:basedOn w:val="Normal"/>
    <w:rsid w:val="008A483B"/>
    <w:pPr>
      <w:numPr>
        <w:numId w:val="11"/>
      </w:numPr>
    </w:pPr>
  </w:style>
  <w:style w:type="paragraph" w:styleId="ListNumber4">
    <w:name w:val="List Number 4"/>
    <w:basedOn w:val="Normal"/>
    <w:rsid w:val="008A483B"/>
    <w:pPr>
      <w:numPr>
        <w:numId w:val="12"/>
      </w:numPr>
    </w:pPr>
  </w:style>
  <w:style w:type="paragraph" w:styleId="ListNumber5">
    <w:name w:val="List Number 5"/>
    <w:basedOn w:val="Normal"/>
    <w:rsid w:val="008A483B"/>
    <w:pPr>
      <w:numPr>
        <w:numId w:val="13"/>
      </w:numPr>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paragraph" w:styleId="NoteHeading">
    <w:name w:val="Note Heading"/>
    <w:aliases w:val="HN"/>
    <w:basedOn w:val="Normal"/>
    <w:next w:val="Normal"/>
    <w:rsid w:val="00BA46A3"/>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D07E0"/>
    <w:rPr>
      <w:rFonts w:ascii="Arial" w:hAnsi="Arial"/>
      <w:sz w:val="22"/>
      <w:szCs w:val="22"/>
    </w:rPr>
  </w:style>
  <w:style w:type="paragraph" w:styleId="PlainText">
    <w:name w:val="Plain Text"/>
    <w:basedOn w:val="Normal"/>
    <w:rsid w:val="008A483B"/>
    <w:rPr>
      <w:rFonts w:ascii="Courier New" w:hAnsi="Courier New" w:cs="Courier New"/>
      <w:sz w:val="20"/>
      <w:szCs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basedOn w:val="DefaultParagraphFont"/>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162D6"/>
    <w:tblPr>
      <w:tblInd w:w="0" w:type="dxa"/>
      <w:tblCellMar>
        <w:top w:w="0" w:type="dxa"/>
        <w:left w:w="108" w:type="dxa"/>
        <w:bottom w:w="0" w:type="dxa"/>
        <w:right w:w="108" w:type="dxa"/>
      </w:tblCellMar>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483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8A483B"/>
    <w:pPr>
      <w:spacing w:before="240" w:after="240" w:line="300" w:lineRule="exact"/>
      <w:ind w:left="2410" w:hanging="2410"/>
    </w:pPr>
    <w:rPr>
      <w:rFonts w:ascii="Arial" w:hAnsi="Arial"/>
      <w:b/>
      <w:sz w:val="28"/>
    </w:rPr>
  </w:style>
  <w:style w:type="paragraph" w:styleId="Title">
    <w:name w:val="Title"/>
    <w:basedOn w:val="Normal"/>
    <w:qFormat/>
    <w:rsid w:val="008A483B"/>
    <w:pPr>
      <w:spacing w:before="240" w:after="60"/>
    </w:pPr>
    <w:rPr>
      <w:rFonts w:ascii="Arial" w:hAnsi="Arial" w:cs="Arial"/>
      <w:b/>
      <w:bCs/>
      <w:sz w:val="40"/>
      <w:szCs w:val="40"/>
    </w:rPr>
  </w:style>
  <w:style w:type="character" w:customStyle="1" w:styleId="CharAmSchNo">
    <w:name w:val="CharAmSchNo"/>
    <w:basedOn w:val="DefaultParagraphFont"/>
    <w:rsid w:val="008A483B"/>
  </w:style>
  <w:style w:type="character" w:customStyle="1" w:styleId="CharAmSchText">
    <w:name w:val="CharAmSchText"/>
    <w:basedOn w:val="DefaultParagraphFont"/>
    <w:rsid w:val="008A483B"/>
  </w:style>
  <w:style w:type="character" w:customStyle="1" w:styleId="CharChapNo">
    <w:name w:val="CharChapNo"/>
    <w:basedOn w:val="DefaultParagraphFont"/>
    <w:rsid w:val="008A483B"/>
  </w:style>
  <w:style w:type="character" w:customStyle="1" w:styleId="CharChapText">
    <w:name w:val="CharChapText"/>
    <w:basedOn w:val="DefaultParagraphFont"/>
    <w:rsid w:val="008A483B"/>
  </w:style>
  <w:style w:type="character" w:customStyle="1" w:styleId="CharDivNo">
    <w:name w:val="CharDivNo"/>
    <w:basedOn w:val="DefaultParagraphFont"/>
    <w:rsid w:val="008A483B"/>
  </w:style>
  <w:style w:type="character" w:customStyle="1" w:styleId="CharDivText">
    <w:name w:val="CharDivText"/>
    <w:basedOn w:val="DefaultParagraphFont"/>
    <w:rsid w:val="008A483B"/>
  </w:style>
  <w:style w:type="character" w:customStyle="1" w:styleId="CharPartNo">
    <w:name w:val="CharPartNo"/>
    <w:basedOn w:val="DefaultParagraphFont"/>
    <w:rsid w:val="008A483B"/>
  </w:style>
  <w:style w:type="character" w:customStyle="1" w:styleId="CharPartText">
    <w:name w:val="CharPartText"/>
    <w:basedOn w:val="DefaultParagraphFont"/>
    <w:rsid w:val="008A483B"/>
  </w:style>
  <w:style w:type="character" w:customStyle="1" w:styleId="CharSchPTNo">
    <w:name w:val="CharSchPTNo"/>
    <w:basedOn w:val="DefaultParagraphFont"/>
    <w:rsid w:val="008A483B"/>
  </w:style>
  <w:style w:type="character" w:customStyle="1" w:styleId="CharSchPTText">
    <w:name w:val="CharSchPTText"/>
    <w:basedOn w:val="DefaultParagraphFont"/>
    <w:rsid w:val="008A483B"/>
  </w:style>
  <w:style w:type="character" w:customStyle="1" w:styleId="CharSectno">
    <w:name w:val="CharSectno"/>
    <w:basedOn w:val="DefaultParagraphFont"/>
    <w:rsid w:val="008A483B"/>
  </w:style>
  <w:style w:type="character" w:customStyle="1" w:styleId="CharENotesHeading">
    <w:name w:val="CharENotesHeading"/>
    <w:basedOn w:val="DefaultParagraphFont"/>
    <w:rsid w:val="008A483B"/>
  </w:style>
  <w:style w:type="character" w:customStyle="1" w:styleId="Citation">
    <w:name w:val="Citation"/>
    <w:basedOn w:val="DefaultParagraphFont"/>
    <w:rsid w:val="008A483B"/>
  </w:style>
  <w:style w:type="paragraph" w:customStyle="1" w:styleId="A1">
    <w:name w:val="A1"/>
    <w:aliases w:val="Heading Amendment,1. Amendment"/>
    <w:basedOn w:val="Normal"/>
    <w:next w:val="Normal"/>
    <w:rsid w:val="008A483B"/>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8A483B"/>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8A483B"/>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8A483B"/>
    <w:pPr>
      <w:keepNext/>
      <w:spacing w:before="120" w:line="260" w:lineRule="exact"/>
      <w:ind w:left="964"/>
    </w:pPr>
    <w:rPr>
      <w:i/>
      <w:lang w:eastAsia="en-US"/>
    </w:rPr>
  </w:style>
  <w:style w:type="paragraph" w:customStyle="1" w:styleId="A3">
    <w:name w:val="A3"/>
    <w:aliases w:val="1.2 amendment"/>
    <w:basedOn w:val="Normal"/>
    <w:rsid w:val="008A483B"/>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8A483B"/>
    <w:pPr>
      <w:spacing w:before="60" w:line="260" w:lineRule="exact"/>
      <w:ind w:left="1247"/>
      <w:jc w:val="both"/>
    </w:pPr>
    <w:rPr>
      <w:lang w:eastAsia="en-US"/>
    </w:rPr>
  </w:style>
  <w:style w:type="paragraph" w:customStyle="1" w:styleId="A4">
    <w:name w:val="A4"/>
    <w:aliases w:val="(a) Amendment"/>
    <w:basedOn w:val="Normal"/>
    <w:rsid w:val="008A483B"/>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8A483B"/>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8A483B"/>
    <w:pPr>
      <w:spacing w:before="120" w:line="220" w:lineRule="exact"/>
      <w:ind w:left="964"/>
      <w:jc w:val="both"/>
    </w:pPr>
    <w:rPr>
      <w:sz w:val="20"/>
      <w:lang w:eastAsia="en-US"/>
    </w:rPr>
  </w:style>
  <w:style w:type="paragraph" w:customStyle="1" w:styleId="ASref">
    <w:name w:val="AS ref"/>
    <w:basedOn w:val="Normal"/>
    <w:next w:val="A1S"/>
    <w:rsid w:val="008A483B"/>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8A483B"/>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8A483B"/>
    <w:pPr>
      <w:keepNext/>
      <w:spacing w:before="360"/>
      <w:ind w:left="2410" w:hanging="2410"/>
    </w:pPr>
    <w:rPr>
      <w:rFonts w:ascii="Arial" w:hAnsi="Arial"/>
      <w:b/>
      <w:sz w:val="28"/>
      <w:lang w:eastAsia="en-US"/>
    </w:rPr>
  </w:style>
  <w:style w:type="paragraph" w:customStyle="1" w:styleId="ContentsHead">
    <w:name w:val="ContentsHead"/>
    <w:basedOn w:val="Normal"/>
    <w:next w:val="Normal"/>
    <w:rsid w:val="008A483B"/>
    <w:pPr>
      <w:keepNext/>
      <w:pageBreakBefore/>
      <w:spacing w:before="240" w:after="240"/>
    </w:pPr>
    <w:rPr>
      <w:rFonts w:ascii="Arial" w:hAnsi="Arial"/>
      <w:b/>
      <w:sz w:val="28"/>
      <w:lang w:eastAsia="en-US"/>
    </w:rPr>
  </w:style>
  <w:style w:type="paragraph" w:customStyle="1" w:styleId="DD">
    <w:name w:val="DD"/>
    <w:aliases w:val="Dictionary Definition"/>
    <w:basedOn w:val="Normal"/>
    <w:rsid w:val="008A483B"/>
    <w:pPr>
      <w:spacing w:before="80" w:line="260" w:lineRule="exact"/>
      <w:jc w:val="both"/>
    </w:pPr>
    <w:rPr>
      <w:lang w:eastAsia="en-US"/>
    </w:rPr>
  </w:style>
  <w:style w:type="paragraph" w:customStyle="1" w:styleId="definition">
    <w:name w:val="definition"/>
    <w:basedOn w:val="Normal"/>
    <w:rsid w:val="008A483B"/>
    <w:pPr>
      <w:spacing w:before="80" w:line="260" w:lineRule="exact"/>
      <w:ind w:left="964"/>
      <w:jc w:val="both"/>
    </w:pPr>
    <w:rPr>
      <w:lang w:eastAsia="en-US"/>
    </w:rPr>
  </w:style>
  <w:style w:type="paragraph" w:customStyle="1" w:styleId="DictionaryHeading">
    <w:name w:val="Dictionary Heading"/>
    <w:basedOn w:val="Normal"/>
    <w:next w:val="DD"/>
    <w:rsid w:val="008A483B"/>
    <w:pPr>
      <w:keepNext/>
      <w:spacing w:before="480"/>
      <w:ind w:left="2552" w:hanging="2552"/>
    </w:pPr>
    <w:rPr>
      <w:rFonts w:ascii="Arial" w:hAnsi="Arial"/>
      <w:b/>
      <w:sz w:val="32"/>
      <w:lang w:eastAsia="en-US"/>
    </w:rPr>
  </w:style>
  <w:style w:type="paragraph" w:customStyle="1" w:styleId="DNote">
    <w:name w:val="DNote"/>
    <w:aliases w:val="DictionaryNote"/>
    <w:basedOn w:val="Normal"/>
    <w:rsid w:val="008A483B"/>
    <w:pPr>
      <w:spacing w:before="120" w:line="220" w:lineRule="exact"/>
      <w:ind w:left="425"/>
      <w:jc w:val="both"/>
    </w:pPr>
    <w:rPr>
      <w:sz w:val="20"/>
      <w:lang w:eastAsia="en-US"/>
    </w:rPr>
  </w:style>
  <w:style w:type="paragraph" w:customStyle="1" w:styleId="DP1a">
    <w:name w:val="DP1(a)"/>
    <w:aliases w:val="Dictionary (a)"/>
    <w:basedOn w:val="Normal"/>
    <w:rsid w:val="008A483B"/>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8A483B"/>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8A483B"/>
    <w:rPr>
      <w:vertAlign w:val="superscript"/>
    </w:rPr>
  </w:style>
  <w:style w:type="paragraph" w:styleId="EndnoteText">
    <w:name w:val="endnote text"/>
    <w:basedOn w:val="Normal"/>
    <w:rsid w:val="008A483B"/>
    <w:rPr>
      <w:sz w:val="20"/>
      <w:szCs w:val="20"/>
      <w:lang w:eastAsia="en-US"/>
    </w:rPr>
  </w:style>
  <w:style w:type="paragraph" w:customStyle="1" w:styleId="ExampleBody">
    <w:name w:val="Example Body"/>
    <w:basedOn w:val="Normal"/>
    <w:rsid w:val="008A483B"/>
    <w:pPr>
      <w:spacing w:before="60" w:line="220" w:lineRule="exact"/>
      <w:ind w:left="964"/>
      <w:jc w:val="both"/>
    </w:pPr>
    <w:rPr>
      <w:sz w:val="20"/>
      <w:lang w:eastAsia="en-US"/>
    </w:rPr>
  </w:style>
  <w:style w:type="paragraph" w:customStyle="1" w:styleId="ExampleList">
    <w:name w:val="Example List"/>
    <w:basedOn w:val="Normal"/>
    <w:rsid w:val="008A483B"/>
    <w:pPr>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8A483B"/>
    <w:rPr>
      <w:rFonts w:ascii="Times New Roman" w:hAnsi="Times New Roman"/>
      <w:sz w:val="20"/>
      <w:vertAlign w:val="superscript"/>
    </w:rPr>
  </w:style>
  <w:style w:type="paragraph" w:styleId="FootnoteText">
    <w:name w:val="footnote text"/>
    <w:basedOn w:val="Normal"/>
    <w:rsid w:val="008A483B"/>
    <w:rPr>
      <w:sz w:val="20"/>
      <w:szCs w:val="20"/>
      <w:lang w:eastAsia="en-US"/>
    </w:rPr>
  </w:style>
  <w:style w:type="paragraph" w:customStyle="1" w:styleId="Formula">
    <w:name w:val="Formula"/>
    <w:basedOn w:val="Normal"/>
    <w:next w:val="Normal"/>
    <w:rsid w:val="008A483B"/>
    <w:pPr>
      <w:spacing w:before="180" w:after="180"/>
      <w:jc w:val="center"/>
    </w:pPr>
    <w:rPr>
      <w:lang w:eastAsia="en-US"/>
    </w:rPr>
  </w:style>
  <w:style w:type="paragraph" w:customStyle="1" w:styleId="HC">
    <w:name w:val="HC"/>
    <w:aliases w:val="Chapter Heading"/>
    <w:basedOn w:val="Normal"/>
    <w:next w:val="Normal"/>
    <w:rsid w:val="008E5537"/>
    <w:pPr>
      <w:keepNext/>
      <w:pageBreakBefore/>
      <w:spacing w:before="480"/>
      <w:ind w:left="2410" w:hanging="2410"/>
    </w:pPr>
    <w:rPr>
      <w:rFonts w:ascii="Arial" w:hAnsi="Arial"/>
      <w:b/>
      <w:sz w:val="40"/>
      <w:lang w:eastAsia="en-US"/>
    </w:rPr>
  </w:style>
  <w:style w:type="character" w:customStyle="1" w:styleId="CharSchNo">
    <w:name w:val="CharSchNo"/>
    <w:basedOn w:val="DefaultParagraphFont"/>
    <w:rsid w:val="008A483B"/>
  </w:style>
  <w:style w:type="paragraph" w:customStyle="1" w:styleId="HE">
    <w:name w:val="HE"/>
    <w:aliases w:val="Example heading"/>
    <w:basedOn w:val="Normal"/>
    <w:next w:val="ExampleBody"/>
    <w:rsid w:val="008A483B"/>
    <w:pPr>
      <w:keepNext/>
      <w:spacing w:before="120" w:line="220" w:lineRule="exact"/>
      <w:ind w:left="964"/>
    </w:pPr>
    <w:rPr>
      <w:i/>
      <w:sz w:val="20"/>
      <w:lang w:eastAsia="en-US"/>
    </w:rPr>
  </w:style>
  <w:style w:type="paragraph" w:customStyle="1" w:styleId="HP">
    <w:name w:val="HP"/>
    <w:aliases w:val="Part Heading"/>
    <w:basedOn w:val="Normal"/>
    <w:next w:val="Normal"/>
    <w:rsid w:val="008A483B"/>
    <w:pPr>
      <w:keepNext/>
      <w:spacing w:before="360"/>
      <w:ind w:left="2410" w:hanging="2410"/>
    </w:pPr>
    <w:rPr>
      <w:rFonts w:ascii="Arial" w:hAnsi="Arial"/>
      <w:b/>
      <w:sz w:val="32"/>
      <w:lang w:eastAsia="en-US"/>
    </w:rPr>
  </w:style>
  <w:style w:type="paragraph" w:customStyle="1" w:styleId="HR">
    <w:name w:val="HR"/>
    <w:aliases w:val="Regulation Heading"/>
    <w:basedOn w:val="Normal"/>
    <w:next w:val="Normal"/>
    <w:rsid w:val="008A483B"/>
    <w:pPr>
      <w:keepNext/>
      <w:spacing w:before="360"/>
      <w:ind w:left="964" w:hanging="964"/>
    </w:pPr>
    <w:rPr>
      <w:rFonts w:ascii="Arial" w:hAnsi="Arial"/>
      <w:b/>
      <w:lang w:eastAsia="en-US"/>
    </w:rPr>
  </w:style>
  <w:style w:type="paragraph" w:customStyle="1" w:styleId="HS">
    <w:name w:val="HS"/>
    <w:aliases w:val="Subdiv Heading"/>
    <w:basedOn w:val="Normal"/>
    <w:next w:val="HR"/>
    <w:rsid w:val="008A483B"/>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8A483B"/>
    <w:pPr>
      <w:keepNext/>
      <w:spacing w:before="300"/>
      <w:ind w:left="964"/>
    </w:pPr>
    <w:rPr>
      <w:rFonts w:ascii="Arial" w:hAnsi="Arial"/>
      <w:i/>
      <w:lang w:eastAsia="en-US"/>
    </w:rPr>
  </w:style>
  <w:style w:type="paragraph" w:customStyle="1" w:styleId="Lt">
    <w:name w:val="Lt"/>
    <w:aliases w:val="Long title"/>
    <w:basedOn w:val="Normal"/>
    <w:rsid w:val="008A483B"/>
    <w:pPr>
      <w:spacing w:before="260"/>
    </w:pPr>
    <w:rPr>
      <w:rFonts w:ascii="Arial" w:hAnsi="Arial"/>
      <w:b/>
      <w:sz w:val="28"/>
      <w:lang w:eastAsia="en-US"/>
    </w:rPr>
  </w:style>
  <w:style w:type="paragraph" w:customStyle="1" w:styleId="M1">
    <w:name w:val="M1"/>
    <w:aliases w:val="Modification Heading"/>
    <w:basedOn w:val="Normal"/>
    <w:next w:val="Normal"/>
    <w:rsid w:val="008A483B"/>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8A483B"/>
    <w:pPr>
      <w:keepNext/>
      <w:spacing w:before="120" w:line="260" w:lineRule="exact"/>
      <w:ind w:left="964"/>
    </w:pPr>
    <w:rPr>
      <w:i/>
      <w:lang w:eastAsia="en-US"/>
    </w:rPr>
  </w:style>
  <w:style w:type="paragraph" w:customStyle="1" w:styleId="M3">
    <w:name w:val="M3"/>
    <w:aliases w:val="Modification Text"/>
    <w:basedOn w:val="Normal"/>
    <w:next w:val="M1"/>
    <w:rsid w:val="008A483B"/>
    <w:pPr>
      <w:spacing w:before="60" w:line="260" w:lineRule="exact"/>
      <w:ind w:left="1247"/>
      <w:jc w:val="both"/>
    </w:pPr>
    <w:rPr>
      <w:lang w:eastAsia="en-US"/>
    </w:rPr>
  </w:style>
  <w:style w:type="paragraph" w:customStyle="1" w:styleId="Maker">
    <w:name w:val="Maker"/>
    <w:basedOn w:val="Normal"/>
    <w:rsid w:val="008A483B"/>
    <w:pPr>
      <w:tabs>
        <w:tab w:val="left" w:pos="3119"/>
      </w:tabs>
      <w:spacing w:line="300" w:lineRule="atLeast"/>
    </w:pPr>
    <w:rPr>
      <w:lang w:eastAsia="en-US"/>
    </w:rPr>
  </w:style>
  <w:style w:type="paragraph" w:customStyle="1" w:styleId="MHD">
    <w:name w:val="MHD"/>
    <w:aliases w:val="Mod Division Heading"/>
    <w:basedOn w:val="Normal"/>
    <w:next w:val="Normal"/>
    <w:rsid w:val="008A483B"/>
    <w:pPr>
      <w:keepNext/>
      <w:spacing w:before="360"/>
      <w:ind w:left="2410" w:hanging="2410"/>
    </w:pPr>
    <w:rPr>
      <w:b/>
      <w:sz w:val="28"/>
      <w:lang w:eastAsia="en-US"/>
    </w:rPr>
  </w:style>
  <w:style w:type="paragraph" w:customStyle="1" w:styleId="MHP">
    <w:name w:val="MHP"/>
    <w:aliases w:val="Mod Part Heading"/>
    <w:basedOn w:val="Normal"/>
    <w:next w:val="Normal"/>
    <w:rsid w:val="008A483B"/>
    <w:pPr>
      <w:keepNext/>
      <w:spacing w:before="360"/>
      <w:ind w:left="2410" w:hanging="2410"/>
    </w:pPr>
    <w:rPr>
      <w:b/>
      <w:sz w:val="32"/>
      <w:lang w:eastAsia="en-US"/>
    </w:rPr>
  </w:style>
  <w:style w:type="paragraph" w:customStyle="1" w:styleId="MHR">
    <w:name w:val="MHR"/>
    <w:aliases w:val="Mod Regulation Heading"/>
    <w:basedOn w:val="Normal"/>
    <w:next w:val="Normal"/>
    <w:rsid w:val="008A483B"/>
    <w:pPr>
      <w:keepNext/>
      <w:spacing w:before="360"/>
      <w:ind w:left="964" w:hanging="964"/>
    </w:pPr>
    <w:rPr>
      <w:b/>
      <w:lang w:eastAsia="en-US"/>
    </w:rPr>
  </w:style>
  <w:style w:type="paragraph" w:customStyle="1" w:styleId="MHS">
    <w:name w:val="MHS"/>
    <w:aliases w:val="Mod Subdivision Heading"/>
    <w:basedOn w:val="Normal"/>
    <w:next w:val="MHR"/>
    <w:rsid w:val="008A483B"/>
    <w:pPr>
      <w:keepNext/>
      <w:spacing w:before="360"/>
      <w:ind w:left="2410" w:hanging="2410"/>
    </w:pPr>
    <w:rPr>
      <w:b/>
      <w:lang w:eastAsia="en-US"/>
    </w:rPr>
  </w:style>
  <w:style w:type="paragraph" w:customStyle="1" w:styleId="MHSR">
    <w:name w:val="MHSR"/>
    <w:aliases w:val="Mod Subregulation Heading"/>
    <w:basedOn w:val="Normal"/>
    <w:next w:val="Normal"/>
    <w:rsid w:val="008A483B"/>
    <w:pPr>
      <w:keepNext/>
      <w:spacing w:before="300"/>
      <w:ind w:left="964" w:hanging="964"/>
    </w:pPr>
    <w:rPr>
      <w:i/>
      <w:lang w:eastAsia="en-US"/>
    </w:rPr>
  </w:style>
  <w:style w:type="paragraph" w:customStyle="1" w:styleId="Note">
    <w:name w:val="Note"/>
    <w:rsid w:val="008A483B"/>
    <w:pPr>
      <w:spacing w:before="120" w:line="220" w:lineRule="exact"/>
      <w:ind w:left="964"/>
      <w:jc w:val="both"/>
    </w:pPr>
    <w:rPr>
      <w:szCs w:val="24"/>
    </w:rPr>
  </w:style>
  <w:style w:type="paragraph" w:customStyle="1" w:styleId="NoteEnd">
    <w:name w:val="Note End"/>
    <w:basedOn w:val="Normal"/>
    <w:rsid w:val="008A483B"/>
    <w:pPr>
      <w:spacing w:before="120" w:line="240" w:lineRule="exact"/>
      <w:ind w:left="567" w:hanging="567"/>
      <w:jc w:val="both"/>
    </w:pPr>
    <w:rPr>
      <w:sz w:val="22"/>
      <w:lang w:eastAsia="en-US"/>
    </w:rPr>
  </w:style>
  <w:style w:type="paragraph" w:customStyle="1" w:styleId="Notepara">
    <w:name w:val="Note para"/>
    <w:basedOn w:val="Normal"/>
    <w:rsid w:val="008A483B"/>
    <w:pPr>
      <w:spacing w:before="60" w:line="220" w:lineRule="exact"/>
      <w:ind w:left="1304" w:hanging="340"/>
      <w:jc w:val="both"/>
    </w:pPr>
    <w:rPr>
      <w:sz w:val="20"/>
      <w:lang w:eastAsia="en-US"/>
    </w:rPr>
  </w:style>
  <w:style w:type="paragraph" w:customStyle="1" w:styleId="P1">
    <w:name w:val="P1"/>
    <w:aliases w:val="(a)"/>
    <w:basedOn w:val="Normal"/>
    <w:rsid w:val="008A483B"/>
    <w:pPr>
      <w:tabs>
        <w:tab w:val="right" w:pos="1191"/>
      </w:tabs>
      <w:spacing w:before="60" w:line="260" w:lineRule="exact"/>
      <w:ind w:left="1418" w:hanging="1418"/>
      <w:jc w:val="both"/>
    </w:pPr>
    <w:rPr>
      <w:lang w:eastAsia="en-US"/>
    </w:rPr>
  </w:style>
  <w:style w:type="paragraph" w:customStyle="1" w:styleId="P2">
    <w:name w:val="P2"/>
    <w:aliases w:val="(i)"/>
    <w:basedOn w:val="Normal"/>
    <w:rsid w:val="008A483B"/>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8A483B"/>
    <w:pPr>
      <w:tabs>
        <w:tab w:val="right" w:pos="2410"/>
      </w:tabs>
      <w:spacing w:before="60" w:line="260" w:lineRule="exact"/>
      <w:ind w:left="2693" w:hanging="2693"/>
      <w:jc w:val="both"/>
    </w:pPr>
    <w:rPr>
      <w:lang w:eastAsia="en-US"/>
    </w:rPr>
  </w:style>
  <w:style w:type="paragraph" w:customStyle="1" w:styleId="P4">
    <w:name w:val="P4"/>
    <w:aliases w:val="(I)"/>
    <w:basedOn w:val="Normal"/>
    <w:rsid w:val="008A483B"/>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8A483B"/>
    <w:pPr>
      <w:spacing w:before="180" w:line="260" w:lineRule="exact"/>
      <w:ind w:left="964"/>
      <w:jc w:val="both"/>
    </w:pPr>
    <w:rPr>
      <w:lang w:eastAsia="en-US"/>
    </w:rPr>
  </w:style>
  <w:style w:type="paragraph" w:customStyle="1" w:styleId="Query">
    <w:name w:val="Query"/>
    <w:aliases w:val="QY"/>
    <w:basedOn w:val="Normal"/>
    <w:rsid w:val="008A483B"/>
    <w:pPr>
      <w:spacing w:before="180" w:line="260" w:lineRule="exact"/>
      <w:ind w:left="964" w:hanging="964"/>
      <w:jc w:val="both"/>
    </w:pPr>
    <w:rPr>
      <w:b/>
      <w:i/>
      <w:lang w:eastAsia="en-US"/>
    </w:rPr>
  </w:style>
  <w:style w:type="paragraph" w:customStyle="1" w:styleId="R1">
    <w:name w:val="R1"/>
    <w:aliases w:val="1. or 1.(1)"/>
    <w:basedOn w:val="Normal"/>
    <w:next w:val="Normal"/>
    <w:rsid w:val="00533AB5"/>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533AB5"/>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8A483B"/>
    <w:pPr>
      <w:spacing w:before="60" w:line="260" w:lineRule="exact"/>
      <w:ind w:left="964"/>
      <w:jc w:val="both"/>
    </w:pPr>
    <w:rPr>
      <w:lang w:eastAsia="en-US"/>
    </w:rPr>
  </w:style>
  <w:style w:type="paragraph" w:customStyle="1" w:styleId="RGHead">
    <w:name w:val="RGHead"/>
    <w:basedOn w:val="Normal"/>
    <w:next w:val="Normal"/>
    <w:rsid w:val="008A483B"/>
    <w:pPr>
      <w:keepNext/>
      <w:spacing w:before="360"/>
    </w:pPr>
    <w:rPr>
      <w:rFonts w:ascii="Arial" w:hAnsi="Arial"/>
      <w:b/>
      <w:sz w:val="32"/>
      <w:lang w:eastAsia="en-US"/>
    </w:rPr>
  </w:style>
  <w:style w:type="paragraph" w:customStyle="1" w:styleId="RGPara">
    <w:name w:val="RGPara"/>
    <w:aliases w:val="Readers Guide Para"/>
    <w:basedOn w:val="Normal"/>
    <w:rsid w:val="008A483B"/>
    <w:pPr>
      <w:spacing w:before="120" w:line="260" w:lineRule="exact"/>
      <w:jc w:val="both"/>
    </w:pPr>
    <w:rPr>
      <w:lang w:eastAsia="en-US"/>
    </w:rPr>
  </w:style>
  <w:style w:type="paragraph" w:customStyle="1" w:styleId="RGPtHd">
    <w:name w:val="RGPtHd"/>
    <w:aliases w:val="Readers Guide PT Heading"/>
    <w:basedOn w:val="Normal"/>
    <w:next w:val="Normal"/>
    <w:rsid w:val="008A483B"/>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8A483B"/>
    <w:pPr>
      <w:keepNext/>
      <w:spacing w:before="360"/>
      <w:ind w:left="964" w:hanging="964"/>
    </w:pPr>
    <w:rPr>
      <w:rFonts w:ascii="Arial" w:hAnsi="Arial"/>
      <w:b/>
      <w:lang w:eastAsia="en-US"/>
    </w:rPr>
  </w:style>
  <w:style w:type="paragraph" w:customStyle="1" w:styleId="Rx2">
    <w:name w:val="Rx(2)"/>
    <w:aliases w:val="Subclause (2)"/>
    <w:basedOn w:val="Normal"/>
    <w:rsid w:val="008A483B"/>
    <w:pPr>
      <w:spacing w:before="180" w:line="260" w:lineRule="exact"/>
      <w:ind w:left="1134" w:hanging="1134"/>
      <w:jc w:val="both"/>
    </w:pPr>
    <w:rPr>
      <w:lang w:eastAsia="en-US"/>
    </w:rPr>
  </w:style>
  <w:style w:type="paragraph" w:customStyle="1" w:styleId="Rxa">
    <w:name w:val="Rx(a)"/>
    <w:aliases w:val="Cardpara"/>
    <w:basedOn w:val="Normal"/>
    <w:rsid w:val="008A483B"/>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8A483B"/>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8A483B"/>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8A483B"/>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8A483B"/>
    <w:pPr>
      <w:keepNext/>
      <w:spacing w:before="360"/>
      <w:ind w:left="1134" w:hanging="1134"/>
    </w:pPr>
    <w:rPr>
      <w:rFonts w:ascii="Arial" w:hAnsi="Arial"/>
      <w:b/>
      <w:sz w:val="28"/>
      <w:lang w:eastAsia="en-US"/>
    </w:rPr>
  </w:style>
  <w:style w:type="paragraph" w:customStyle="1" w:styleId="Rx12">
    <w:name w:val="Rx.12"/>
    <w:aliases w:val="Subdivision"/>
    <w:basedOn w:val="Normal"/>
    <w:next w:val="Normal"/>
    <w:rsid w:val="008A483B"/>
    <w:pPr>
      <w:keepNext/>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8A483B"/>
    <w:pPr>
      <w:spacing w:before="120" w:line="260" w:lineRule="exact"/>
      <w:ind w:left="1134" w:hanging="1134"/>
      <w:jc w:val="both"/>
    </w:pPr>
    <w:rPr>
      <w:lang w:eastAsia="en-US"/>
    </w:rPr>
  </w:style>
  <w:style w:type="paragraph" w:customStyle="1" w:styleId="RxDef">
    <w:name w:val="Rx.Def"/>
    <w:aliases w:val="MDefinition"/>
    <w:basedOn w:val="Normal"/>
    <w:rsid w:val="008A483B"/>
    <w:pPr>
      <w:spacing w:before="80" w:line="260" w:lineRule="exact"/>
      <w:ind w:left="1134"/>
      <w:jc w:val="both"/>
    </w:pPr>
    <w:rPr>
      <w:lang w:eastAsia="en-US"/>
    </w:rPr>
  </w:style>
  <w:style w:type="paragraph" w:customStyle="1" w:styleId="RxN">
    <w:name w:val="Rx.N"/>
    <w:aliases w:val="MNote"/>
    <w:basedOn w:val="Normal"/>
    <w:rsid w:val="008A483B"/>
    <w:pPr>
      <w:spacing w:before="120" w:line="220" w:lineRule="exact"/>
      <w:ind w:left="1134"/>
      <w:jc w:val="both"/>
    </w:pPr>
    <w:rPr>
      <w:sz w:val="20"/>
      <w:lang w:eastAsia="en-US"/>
    </w:rPr>
  </w:style>
  <w:style w:type="paragraph" w:customStyle="1" w:styleId="RxSC">
    <w:name w:val="Rx.SC"/>
    <w:aliases w:val="Subclass"/>
    <w:basedOn w:val="Normal"/>
    <w:next w:val="Rx1"/>
    <w:rsid w:val="008A483B"/>
    <w:pPr>
      <w:spacing w:before="360"/>
      <w:ind w:left="2835" w:hanging="2835"/>
    </w:pPr>
    <w:rPr>
      <w:rFonts w:ascii="Arial" w:hAnsi="Arial"/>
      <w:b/>
      <w:sz w:val="28"/>
      <w:lang w:eastAsia="en-US"/>
    </w:rPr>
  </w:style>
  <w:style w:type="paragraph" w:customStyle="1" w:styleId="ScheduleHeading">
    <w:name w:val="Schedule Heading"/>
    <w:basedOn w:val="Normal"/>
    <w:next w:val="Normal"/>
    <w:rsid w:val="008A483B"/>
    <w:pPr>
      <w:keepNext/>
      <w:keepLines/>
      <w:spacing w:before="360"/>
      <w:ind w:left="964" w:hanging="964"/>
    </w:pPr>
    <w:rPr>
      <w:rFonts w:ascii="Arial" w:hAnsi="Arial"/>
      <w:b/>
      <w:lang w:eastAsia="en-US"/>
    </w:rPr>
  </w:style>
  <w:style w:type="paragraph" w:customStyle="1" w:styleId="Schedulelist">
    <w:name w:val="Schedule list"/>
    <w:basedOn w:val="Normal"/>
    <w:rsid w:val="008A483B"/>
    <w:pPr>
      <w:tabs>
        <w:tab w:val="right" w:pos="1985"/>
      </w:tabs>
      <w:spacing w:before="60" w:line="260" w:lineRule="exact"/>
      <w:ind w:left="454"/>
    </w:pPr>
    <w:rPr>
      <w:lang w:eastAsia="en-US"/>
    </w:rPr>
  </w:style>
  <w:style w:type="paragraph" w:customStyle="1" w:styleId="Schedulepara">
    <w:name w:val="Schedule para"/>
    <w:basedOn w:val="Normal"/>
    <w:rsid w:val="008A483B"/>
    <w:pPr>
      <w:tabs>
        <w:tab w:val="right" w:pos="567"/>
      </w:tabs>
      <w:spacing w:before="180" w:line="260" w:lineRule="exact"/>
      <w:ind w:left="964" w:hanging="964"/>
      <w:jc w:val="both"/>
    </w:pPr>
    <w:rPr>
      <w:lang w:eastAsia="en-US"/>
    </w:rPr>
  </w:style>
  <w:style w:type="paragraph" w:customStyle="1" w:styleId="Schedulepart">
    <w:name w:val="Schedule part"/>
    <w:basedOn w:val="Normal"/>
    <w:rsid w:val="008A483B"/>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8A483B"/>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DC413A"/>
    <w:pPr>
      <w:keepNext/>
      <w:keepLines/>
      <w:pageBreakBefore/>
      <w:spacing w:before="480"/>
      <w:ind w:left="2410" w:hanging="2410"/>
    </w:pPr>
    <w:rPr>
      <w:rFonts w:ascii="Arial" w:hAnsi="Arial"/>
      <w:b/>
      <w:sz w:val="32"/>
      <w:lang w:eastAsia="en-US"/>
    </w:rPr>
  </w:style>
  <w:style w:type="paragraph" w:customStyle="1" w:styleId="SRNo">
    <w:name w:val="SRNo"/>
    <w:basedOn w:val="Normal"/>
    <w:next w:val="Normal"/>
    <w:rsid w:val="008A483B"/>
    <w:pPr>
      <w:pBdr>
        <w:bottom w:val="single" w:sz="4" w:space="3" w:color="auto"/>
      </w:pBdr>
      <w:spacing w:before="480"/>
    </w:pPr>
    <w:rPr>
      <w:rFonts w:ascii="Arial" w:hAnsi="Arial"/>
      <w:b/>
      <w:lang w:eastAsia="en-US"/>
    </w:rPr>
  </w:style>
  <w:style w:type="paragraph" w:customStyle="1" w:styleId="TableColHead">
    <w:name w:val="TableColHead"/>
    <w:basedOn w:val="Normal"/>
    <w:rsid w:val="00A00812"/>
    <w:pPr>
      <w:keepNext/>
      <w:spacing w:before="120" w:after="60" w:line="200" w:lineRule="exact"/>
    </w:pPr>
    <w:rPr>
      <w:rFonts w:ascii="Arial" w:hAnsi="Arial"/>
      <w:b/>
      <w:sz w:val="18"/>
      <w:lang w:eastAsia="en-US"/>
    </w:rPr>
  </w:style>
  <w:style w:type="paragraph" w:customStyle="1" w:styleId="TableP1a">
    <w:name w:val="TableP1(a)"/>
    <w:basedOn w:val="Normal"/>
    <w:rsid w:val="00A93472"/>
    <w:pPr>
      <w:tabs>
        <w:tab w:val="right" w:pos="408"/>
      </w:tabs>
      <w:spacing w:after="60" w:line="240" w:lineRule="exact"/>
      <w:ind w:left="533" w:hanging="533"/>
    </w:pPr>
    <w:rPr>
      <w:sz w:val="22"/>
      <w:lang w:eastAsia="en-US"/>
    </w:rPr>
  </w:style>
  <w:style w:type="paragraph" w:customStyle="1" w:styleId="TableP2i">
    <w:name w:val="TableP2(i)"/>
    <w:basedOn w:val="Normal"/>
    <w:rsid w:val="00A93472"/>
    <w:pPr>
      <w:tabs>
        <w:tab w:val="right" w:pos="726"/>
      </w:tabs>
      <w:spacing w:after="60" w:line="240" w:lineRule="exact"/>
      <w:ind w:left="868" w:hanging="868"/>
    </w:pPr>
    <w:rPr>
      <w:sz w:val="22"/>
      <w:lang w:eastAsia="en-US"/>
    </w:rPr>
  </w:style>
  <w:style w:type="paragraph" w:customStyle="1" w:styleId="TableText">
    <w:name w:val="TableText"/>
    <w:basedOn w:val="Normal"/>
    <w:rsid w:val="008A483B"/>
    <w:pPr>
      <w:spacing w:before="60" w:after="60" w:line="240" w:lineRule="exact"/>
    </w:pPr>
    <w:rPr>
      <w:sz w:val="22"/>
      <w:lang w:eastAsia="en-US"/>
    </w:rPr>
  </w:style>
  <w:style w:type="paragraph" w:customStyle="1" w:styleId="TOC">
    <w:name w:val="TOC"/>
    <w:basedOn w:val="Normal"/>
    <w:next w:val="Normal"/>
    <w:rsid w:val="008A483B"/>
    <w:pPr>
      <w:tabs>
        <w:tab w:val="right" w:pos="7088"/>
      </w:tabs>
      <w:spacing w:after="120"/>
    </w:pPr>
    <w:rPr>
      <w:rFonts w:ascii="Arial" w:hAnsi="Arial"/>
      <w:sz w:val="20"/>
      <w:lang w:eastAsia="en-US"/>
    </w:rPr>
  </w:style>
  <w:style w:type="paragraph" w:styleId="TOC1">
    <w:name w:val="toc 1"/>
    <w:basedOn w:val="Normal"/>
    <w:next w:val="Normal"/>
    <w:rsid w:val="008A483B"/>
    <w:pPr>
      <w:keepNext/>
      <w:tabs>
        <w:tab w:val="right" w:pos="8278"/>
      </w:tabs>
      <w:spacing w:before="120"/>
      <w:ind w:left="1701" w:hanging="1701"/>
    </w:pPr>
    <w:rPr>
      <w:rFonts w:ascii="Arial" w:hAnsi="Arial"/>
      <w:b/>
      <w:lang w:eastAsia="en-US"/>
    </w:rPr>
  </w:style>
  <w:style w:type="paragraph" w:styleId="TOC2">
    <w:name w:val="toc 2"/>
    <w:basedOn w:val="Normal"/>
    <w:next w:val="Normal"/>
    <w:rsid w:val="008A483B"/>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rsid w:val="008A483B"/>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rsid w:val="008A483B"/>
    <w:pPr>
      <w:keepNext/>
      <w:tabs>
        <w:tab w:val="right" w:pos="8278"/>
      </w:tabs>
      <w:spacing w:before="80"/>
      <w:ind w:left="1843" w:right="714" w:hanging="1843"/>
    </w:pPr>
    <w:rPr>
      <w:rFonts w:ascii="Arial" w:hAnsi="Arial"/>
      <w:b/>
      <w:sz w:val="18"/>
      <w:lang w:eastAsia="en-US"/>
    </w:rPr>
  </w:style>
  <w:style w:type="paragraph" w:styleId="TOC5">
    <w:name w:val="toc 5"/>
    <w:basedOn w:val="Normal"/>
    <w:next w:val="Normal"/>
    <w:rsid w:val="008A483B"/>
    <w:pPr>
      <w:tabs>
        <w:tab w:val="right" w:pos="1559"/>
        <w:tab w:val="right" w:pos="8278"/>
      </w:tabs>
      <w:spacing w:before="40"/>
      <w:ind w:left="1843" w:right="714" w:hanging="1843"/>
    </w:pPr>
    <w:rPr>
      <w:rFonts w:ascii="Arial" w:hAnsi="Arial"/>
      <w:noProof/>
      <w:sz w:val="20"/>
      <w:lang w:eastAsia="en-US"/>
    </w:rPr>
  </w:style>
  <w:style w:type="paragraph" w:styleId="TOC6">
    <w:name w:val="toc 6"/>
    <w:basedOn w:val="Normal"/>
    <w:next w:val="Normal"/>
    <w:rsid w:val="008A483B"/>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rsid w:val="008A483B"/>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rsid w:val="008A483B"/>
    <w:pPr>
      <w:tabs>
        <w:tab w:val="right" w:pos="8278"/>
      </w:tabs>
      <w:spacing w:before="60"/>
      <w:ind w:left="1843" w:right="714" w:hanging="1843"/>
    </w:pPr>
    <w:rPr>
      <w:rFonts w:ascii="Arial" w:hAnsi="Arial"/>
      <w:sz w:val="20"/>
      <w:lang w:eastAsia="en-US"/>
    </w:rPr>
  </w:style>
  <w:style w:type="paragraph" w:styleId="TOC9">
    <w:name w:val="toc 9"/>
    <w:basedOn w:val="Normal"/>
    <w:next w:val="Normal"/>
    <w:rsid w:val="008A483B"/>
    <w:pPr>
      <w:tabs>
        <w:tab w:val="right" w:pos="8278"/>
      </w:tabs>
      <w:spacing w:before="240" w:after="120"/>
      <w:ind w:left="1843" w:hanging="1843"/>
    </w:pPr>
    <w:rPr>
      <w:rFonts w:ascii="Arial" w:hAnsi="Arial"/>
      <w:b/>
      <w:sz w:val="20"/>
      <w:lang w:eastAsia="en-US"/>
    </w:rPr>
  </w:style>
  <w:style w:type="paragraph" w:customStyle="1" w:styleId="ZA2">
    <w:name w:val="ZA2"/>
    <w:basedOn w:val="A2"/>
    <w:rsid w:val="008A483B"/>
    <w:pPr>
      <w:keepNext/>
    </w:pPr>
  </w:style>
  <w:style w:type="paragraph" w:customStyle="1" w:styleId="ZA3">
    <w:name w:val="ZA3"/>
    <w:basedOn w:val="A3"/>
    <w:rsid w:val="008A483B"/>
    <w:pPr>
      <w:keepNext/>
    </w:pPr>
  </w:style>
  <w:style w:type="paragraph" w:customStyle="1" w:styleId="ZA4">
    <w:name w:val="ZA4"/>
    <w:basedOn w:val="Normal"/>
    <w:next w:val="A4"/>
    <w:rsid w:val="008A483B"/>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8A483B"/>
    <w:pPr>
      <w:keepNext/>
    </w:pPr>
  </w:style>
  <w:style w:type="paragraph" w:customStyle="1" w:styleId="Zdefinition">
    <w:name w:val="Zdefinition"/>
    <w:basedOn w:val="definition"/>
    <w:rsid w:val="008A483B"/>
    <w:pPr>
      <w:keepNext/>
    </w:pPr>
  </w:style>
  <w:style w:type="paragraph" w:customStyle="1" w:styleId="ZDP1">
    <w:name w:val="ZDP1"/>
    <w:basedOn w:val="DP1a"/>
    <w:rsid w:val="008A483B"/>
    <w:pPr>
      <w:keepNext/>
    </w:pPr>
  </w:style>
  <w:style w:type="paragraph" w:customStyle="1" w:styleId="ZExampleBody">
    <w:name w:val="ZExample Body"/>
    <w:basedOn w:val="ExampleBody"/>
    <w:rsid w:val="008A483B"/>
    <w:pPr>
      <w:keepNext/>
    </w:pPr>
  </w:style>
  <w:style w:type="paragraph" w:customStyle="1" w:styleId="ZNote">
    <w:name w:val="ZNote"/>
    <w:basedOn w:val="Normal"/>
    <w:rsid w:val="008A483B"/>
    <w:pPr>
      <w:keepNext/>
      <w:spacing w:before="120" w:line="220" w:lineRule="exact"/>
      <w:ind w:left="964"/>
      <w:jc w:val="both"/>
    </w:pPr>
    <w:rPr>
      <w:sz w:val="20"/>
      <w:lang w:eastAsia="en-US"/>
    </w:rPr>
  </w:style>
  <w:style w:type="paragraph" w:customStyle="1" w:styleId="ZP1">
    <w:name w:val="ZP1"/>
    <w:basedOn w:val="P1"/>
    <w:rsid w:val="008A483B"/>
    <w:pPr>
      <w:keepNext/>
    </w:pPr>
  </w:style>
  <w:style w:type="paragraph" w:customStyle="1" w:styleId="ZP2">
    <w:name w:val="ZP2"/>
    <w:basedOn w:val="P2"/>
    <w:rsid w:val="008A483B"/>
    <w:pPr>
      <w:keepNext/>
    </w:pPr>
  </w:style>
  <w:style w:type="paragraph" w:customStyle="1" w:styleId="ZP3">
    <w:name w:val="ZP3"/>
    <w:basedOn w:val="P3"/>
    <w:rsid w:val="008A483B"/>
    <w:pPr>
      <w:keepNext/>
    </w:pPr>
  </w:style>
  <w:style w:type="paragraph" w:customStyle="1" w:styleId="ZR1">
    <w:name w:val="ZR1"/>
    <w:basedOn w:val="R1"/>
    <w:rsid w:val="008A483B"/>
    <w:pPr>
      <w:keepNext/>
    </w:pPr>
  </w:style>
  <w:style w:type="paragraph" w:customStyle="1" w:styleId="ZR2">
    <w:name w:val="ZR2"/>
    <w:basedOn w:val="R2"/>
    <w:rsid w:val="008A483B"/>
    <w:pPr>
      <w:keepNext/>
    </w:pPr>
  </w:style>
  <w:style w:type="paragraph" w:customStyle="1" w:styleId="ZRcN">
    <w:name w:val="ZRcN"/>
    <w:basedOn w:val="Rc"/>
    <w:rsid w:val="008A483B"/>
    <w:pPr>
      <w:keepNext/>
    </w:pPr>
  </w:style>
  <w:style w:type="paragraph" w:customStyle="1" w:styleId="ZRx2">
    <w:name w:val="ZRx(2)"/>
    <w:basedOn w:val="Rx2"/>
    <w:rsid w:val="008A483B"/>
    <w:pPr>
      <w:keepNext/>
    </w:pPr>
  </w:style>
  <w:style w:type="paragraph" w:customStyle="1" w:styleId="ZRxA">
    <w:name w:val="ZRx(A)"/>
    <w:basedOn w:val="RxA0"/>
    <w:rsid w:val="008A483B"/>
    <w:pPr>
      <w:keepNext/>
    </w:pPr>
  </w:style>
  <w:style w:type="paragraph" w:customStyle="1" w:styleId="ZRxa0">
    <w:name w:val="ZRx(a)"/>
    <w:basedOn w:val="Rxa"/>
    <w:rsid w:val="008A483B"/>
    <w:pPr>
      <w:keepNext/>
    </w:pPr>
  </w:style>
  <w:style w:type="paragraph" w:customStyle="1" w:styleId="ZRxi">
    <w:name w:val="ZRx(i)"/>
    <w:basedOn w:val="Rxi"/>
    <w:rsid w:val="008A483B"/>
    <w:pPr>
      <w:keepNext/>
    </w:pPr>
  </w:style>
  <w:style w:type="paragraph" w:customStyle="1" w:styleId="ZRx123">
    <w:name w:val="ZRx.123"/>
    <w:basedOn w:val="Rx123"/>
    <w:rsid w:val="008A483B"/>
    <w:pPr>
      <w:keepNext/>
    </w:pPr>
  </w:style>
  <w:style w:type="paragraph" w:customStyle="1" w:styleId="TableOfAmend">
    <w:name w:val="TableOfAmend"/>
    <w:basedOn w:val="Normal"/>
    <w:rsid w:val="006C42CE"/>
    <w:pPr>
      <w:tabs>
        <w:tab w:val="right" w:leader="dot" w:pos="2268"/>
      </w:tabs>
      <w:spacing w:before="60" w:line="200" w:lineRule="exact"/>
      <w:ind w:left="170" w:right="-11" w:hanging="170"/>
    </w:pPr>
    <w:rPr>
      <w:rFonts w:ascii="Arial" w:hAnsi="Arial"/>
      <w:sz w:val="18"/>
    </w:rPr>
  </w:style>
  <w:style w:type="paragraph" w:customStyle="1" w:styleId="FooterInfo">
    <w:name w:val="FooterInfo"/>
    <w:basedOn w:val="Normal"/>
    <w:rsid w:val="00AF4D93"/>
    <w:rPr>
      <w:rFonts w:ascii="Arial" w:hAnsi="Arial"/>
      <w:sz w:val="12"/>
      <w:szCs w:val="20"/>
    </w:rPr>
  </w:style>
  <w:style w:type="paragraph" w:customStyle="1" w:styleId="TableOfAmend0pt">
    <w:name w:val="TableOfAmend0pt"/>
    <w:basedOn w:val="TableOfAmend"/>
    <w:rsid w:val="006C42CE"/>
    <w:pPr>
      <w:spacing w:before="0"/>
    </w:pPr>
  </w:style>
  <w:style w:type="paragraph" w:customStyle="1" w:styleId="TableOfAmendHead">
    <w:name w:val="TableOfAmendHead"/>
    <w:basedOn w:val="TableOfAmend"/>
    <w:next w:val="Normal"/>
    <w:rsid w:val="006C42CE"/>
    <w:pPr>
      <w:spacing w:after="60"/>
    </w:pPr>
    <w:rPr>
      <w:sz w:val="16"/>
    </w:rPr>
  </w:style>
  <w:style w:type="paragraph" w:customStyle="1" w:styleId="HD">
    <w:name w:val="HD"/>
    <w:aliases w:val="Division Heading"/>
    <w:basedOn w:val="Normal"/>
    <w:next w:val="HR"/>
    <w:rsid w:val="00B61BD7"/>
    <w:pPr>
      <w:keepNext/>
      <w:spacing w:before="360"/>
      <w:ind w:left="2410" w:hanging="2410"/>
    </w:pPr>
    <w:rPr>
      <w:rFonts w:ascii="Arial" w:hAnsi="Arial"/>
      <w:b/>
      <w:sz w:val="28"/>
    </w:rPr>
  </w:style>
  <w:style w:type="paragraph" w:customStyle="1" w:styleId="TableASLI">
    <w:name w:val="TableASLI"/>
    <w:basedOn w:val="Normal"/>
    <w:rsid w:val="008A483B"/>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8A483B"/>
    <w:pPr>
      <w:ind w:left="0"/>
      <w:jc w:val="both"/>
    </w:pPr>
  </w:style>
  <w:style w:type="paragraph" w:customStyle="1" w:styleId="RegNotesa">
    <w:name w:val="RegNotes(a)"/>
    <w:basedOn w:val="Normal"/>
    <w:rsid w:val="008A483B"/>
    <w:pPr>
      <w:spacing w:before="60" w:line="200" w:lineRule="exact"/>
      <w:ind w:left="425" w:hanging="425"/>
      <w:jc w:val="both"/>
    </w:pPr>
    <w:rPr>
      <w:rFonts w:ascii="Arial" w:hAnsi="Arial"/>
      <w:sz w:val="18"/>
    </w:rPr>
  </w:style>
  <w:style w:type="paragraph" w:customStyle="1" w:styleId="RegNotes1">
    <w:name w:val="RegNotes(1)"/>
    <w:basedOn w:val="RegNotesa"/>
    <w:rsid w:val="008A483B"/>
    <w:pPr>
      <w:ind w:left="850"/>
    </w:pPr>
  </w:style>
  <w:style w:type="paragraph" w:customStyle="1" w:styleId="FooterText">
    <w:name w:val="Footer Text"/>
    <w:basedOn w:val="Normal"/>
    <w:rsid w:val="008A483B"/>
    <w:rPr>
      <w:sz w:val="20"/>
    </w:rPr>
  </w:style>
  <w:style w:type="paragraph" w:customStyle="1" w:styleId="EndNotes">
    <w:name w:val="EndNotes"/>
    <w:basedOn w:val="Normal"/>
    <w:rsid w:val="008A483B"/>
    <w:pPr>
      <w:spacing w:before="120" w:line="260" w:lineRule="exact"/>
      <w:jc w:val="both"/>
    </w:pPr>
  </w:style>
  <w:style w:type="paragraph" w:customStyle="1" w:styleId="ENoteNo">
    <w:name w:val="ENoteNo"/>
    <w:basedOn w:val="EndNotes"/>
    <w:rsid w:val="008A483B"/>
    <w:pPr>
      <w:ind w:left="357" w:hanging="357"/>
    </w:pPr>
    <w:rPr>
      <w:rFonts w:ascii="Arial" w:hAnsi="Arial"/>
      <w:b/>
    </w:rPr>
  </w:style>
  <w:style w:type="paragraph" w:customStyle="1" w:styleId="CoverUpdate">
    <w:name w:val="CoverUpdate"/>
    <w:basedOn w:val="Normal"/>
    <w:rsid w:val="008A483B"/>
    <w:pPr>
      <w:spacing w:before="240"/>
    </w:pPr>
  </w:style>
  <w:style w:type="paragraph" w:customStyle="1" w:styleId="CoverAct">
    <w:name w:val="CoverAct"/>
    <w:basedOn w:val="Normal"/>
    <w:next w:val="CoverUpdate"/>
    <w:rsid w:val="008A483B"/>
    <w:pPr>
      <w:pBdr>
        <w:bottom w:val="single" w:sz="4" w:space="3" w:color="auto"/>
      </w:pBdr>
    </w:pPr>
    <w:rPr>
      <w:rFonts w:ascii="Arial" w:hAnsi="Arial"/>
      <w:i/>
      <w:sz w:val="28"/>
    </w:rPr>
  </w:style>
  <w:style w:type="paragraph" w:customStyle="1" w:styleId="CoverMade">
    <w:name w:val="CoverMade"/>
    <w:basedOn w:val="Normal"/>
    <w:rsid w:val="008A483B"/>
    <w:pPr>
      <w:spacing w:before="240" w:after="240"/>
    </w:pPr>
    <w:rPr>
      <w:rFonts w:ascii="Arial" w:hAnsi="Arial"/>
    </w:rPr>
  </w:style>
  <w:style w:type="paragraph" w:customStyle="1" w:styleId="CoverStatRule">
    <w:name w:val="CoverStatRule"/>
    <w:basedOn w:val="Normal"/>
    <w:next w:val="Normal"/>
    <w:rsid w:val="008A483B"/>
    <w:pPr>
      <w:spacing w:before="240"/>
    </w:pPr>
    <w:rPr>
      <w:rFonts w:ascii="Arial" w:hAnsi="Arial"/>
      <w:b/>
    </w:rPr>
  </w:style>
  <w:style w:type="paragraph" w:customStyle="1" w:styleId="ContentsStatRule">
    <w:name w:val="ContentsStatRule"/>
    <w:basedOn w:val="Normal"/>
    <w:rsid w:val="008A483B"/>
    <w:pPr>
      <w:spacing w:before="480"/>
    </w:pPr>
    <w:rPr>
      <w:rFonts w:ascii="Arial" w:hAnsi="Arial"/>
      <w:b/>
    </w:rPr>
  </w:style>
  <w:style w:type="paragraph" w:customStyle="1" w:styleId="ContentsPage">
    <w:name w:val="ContentsPage"/>
    <w:basedOn w:val="Normal"/>
    <w:next w:val="TOC"/>
    <w:rsid w:val="008A483B"/>
    <w:pPr>
      <w:spacing w:before="120"/>
      <w:jc w:val="right"/>
    </w:pPr>
    <w:rPr>
      <w:rFonts w:ascii="Arial" w:hAnsi="Arial"/>
    </w:rPr>
  </w:style>
  <w:style w:type="paragraph" w:customStyle="1" w:styleId="AsAmendedBy">
    <w:name w:val="AsAmendedBy"/>
    <w:basedOn w:val="Normal"/>
    <w:rsid w:val="008A483B"/>
    <w:pPr>
      <w:spacing w:before="60" w:line="200" w:lineRule="exact"/>
      <w:ind w:left="170"/>
    </w:pPr>
    <w:rPr>
      <w:rFonts w:ascii="Arial" w:hAnsi="Arial"/>
      <w:sz w:val="18"/>
    </w:rPr>
  </w:style>
  <w:style w:type="paragraph" w:customStyle="1" w:styleId="AsAmendedByBold">
    <w:name w:val="AsAmendedByBold"/>
    <w:basedOn w:val="Normal"/>
    <w:next w:val="AsAmendedBy"/>
    <w:rsid w:val="008A483B"/>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8A483B"/>
    <w:rPr>
      <w:sz w:val="16"/>
      <w:szCs w:val="20"/>
    </w:rPr>
  </w:style>
  <w:style w:type="paragraph" w:customStyle="1" w:styleId="TextWOutChapSectionBreak">
    <w:name w:val="TextW/OutChapSectionBreak"/>
    <w:basedOn w:val="Normal"/>
    <w:next w:val="Normal"/>
    <w:rsid w:val="00AF4D93"/>
    <w:pPr>
      <w:jc w:val="center"/>
    </w:pPr>
    <w:rPr>
      <w:szCs w:val="20"/>
    </w:rPr>
  </w:style>
  <w:style w:type="paragraph" w:customStyle="1" w:styleId="Tablepara">
    <w:name w:val="Table para"/>
    <w:basedOn w:val="Normal"/>
    <w:rsid w:val="008A483B"/>
    <w:pPr>
      <w:spacing w:before="40" w:line="240" w:lineRule="exact"/>
      <w:ind w:left="459" w:hanging="425"/>
    </w:pPr>
    <w:rPr>
      <w:sz w:val="22"/>
      <w:szCs w:val="20"/>
    </w:rPr>
  </w:style>
  <w:style w:type="paragraph" w:customStyle="1" w:styleId="Tablesubpara">
    <w:name w:val="Table subpara"/>
    <w:basedOn w:val="Normal"/>
    <w:rsid w:val="008A483B"/>
    <w:pPr>
      <w:tabs>
        <w:tab w:val="right" w:pos="884"/>
      </w:tabs>
      <w:spacing w:before="40"/>
      <w:ind w:left="1168" w:hanging="1168"/>
    </w:pPr>
    <w:rPr>
      <w:sz w:val="22"/>
      <w:szCs w:val="20"/>
    </w:rPr>
  </w:style>
  <w:style w:type="paragraph" w:customStyle="1" w:styleId="TableTextpa">
    <w:name w:val="TableText p(a)"/>
    <w:basedOn w:val="TableText"/>
    <w:rsid w:val="008A483B"/>
    <w:pPr>
      <w:spacing w:after="0"/>
      <w:ind w:left="318" w:hanging="318"/>
    </w:pPr>
    <w:rPr>
      <w:sz w:val="18"/>
      <w:szCs w:val="20"/>
      <w:lang w:eastAsia="en-AU"/>
    </w:rPr>
  </w:style>
  <w:style w:type="character" w:customStyle="1" w:styleId="CharSchText">
    <w:name w:val="CharSchText"/>
    <w:basedOn w:val="DefaultParagraphFont"/>
    <w:rsid w:val="008A483B"/>
  </w:style>
  <w:style w:type="paragraph" w:customStyle="1" w:styleId="TableENotesHeadingAmdt">
    <w:name w:val="TableENotesHeadingAmdt"/>
    <w:basedOn w:val="Normal"/>
    <w:rsid w:val="008A483B"/>
    <w:pPr>
      <w:pageBreakBefore/>
      <w:spacing w:before="240" w:after="240" w:line="300" w:lineRule="exact"/>
      <w:ind w:left="2410" w:hanging="2410"/>
    </w:pPr>
    <w:rPr>
      <w:rFonts w:ascii="Arial" w:hAnsi="Arial"/>
      <w:b/>
      <w:sz w:val="28"/>
    </w:rPr>
  </w:style>
  <w:style w:type="paragraph" w:styleId="BalloonText">
    <w:name w:val="Balloon Text"/>
    <w:basedOn w:val="Normal"/>
    <w:rsid w:val="008A483B"/>
    <w:rPr>
      <w:rFonts w:ascii="Tahoma" w:hAnsi="Tahoma" w:cs="Tahoma"/>
      <w:sz w:val="16"/>
      <w:szCs w:val="16"/>
    </w:rPr>
  </w:style>
  <w:style w:type="paragraph" w:styleId="Caption">
    <w:name w:val="caption"/>
    <w:basedOn w:val="Normal"/>
    <w:next w:val="Normal"/>
    <w:qFormat/>
    <w:rsid w:val="008A483B"/>
    <w:pPr>
      <w:spacing w:before="120" w:after="120"/>
    </w:pPr>
    <w:rPr>
      <w:b/>
      <w:bCs/>
      <w:sz w:val="20"/>
      <w:szCs w:val="20"/>
    </w:rPr>
  </w:style>
  <w:style w:type="character" w:styleId="CommentReference">
    <w:name w:val="annotation reference"/>
    <w:basedOn w:val="DefaultParagraphFont"/>
    <w:rsid w:val="008A483B"/>
    <w:rPr>
      <w:sz w:val="16"/>
      <w:szCs w:val="16"/>
    </w:rPr>
  </w:style>
  <w:style w:type="paragraph" w:styleId="CommentText">
    <w:name w:val="annotation text"/>
    <w:basedOn w:val="Normal"/>
    <w:link w:val="CommentTextChar"/>
    <w:rsid w:val="008A483B"/>
    <w:rPr>
      <w:sz w:val="20"/>
      <w:szCs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top1">
    <w:name w:val="top1"/>
    <w:basedOn w:val="Normal"/>
    <w:rsid w:val="008A483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8A483B"/>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8A483B"/>
    <w:pPr>
      <w:spacing w:before="80"/>
      <w:ind w:left="2410" w:hanging="1168"/>
    </w:pPr>
    <w:rPr>
      <w:rFonts w:ascii="Arial" w:hAnsi="Arial"/>
      <w:sz w:val="18"/>
      <w:lang w:eastAsia="en-US"/>
    </w:rPr>
  </w:style>
  <w:style w:type="paragraph" w:customStyle="1" w:styleId="ScheduleDivision">
    <w:name w:val="Schedule Division"/>
    <w:basedOn w:val="Normal"/>
    <w:next w:val="ScheduleHeading"/>
    <w:rsid w:val="008A483B"/>
    <w:pPr>
      <w:keepNext/>
      <w:spacing w:before="360"/>
      <w:ind w:left="1559" w:hanging="1559"/>
    </w:pPr>
    <w:rPr>
      <w:rFonts w:ascii="Arial" w:hAnsi="Arial"/>
      <w:b/>
      <w:lang w:eastAsia="en-US"/>
    </w:rPr>
  </w:style>
  <w:style w:type="paragraph" w:customStyle="1" w:styleId="notetext">
    <w:name w:val="note(text)"/>
    <w:aliases w:val="n"/>
    <w:rsid w:val="008A483B"/>
    <w:pPr>
      <w:spacing w:before="122" w:line="198" w:lineRule="exact"/>
      <w:ind w:left="1985" w:hanging="851"/>
    </w:pPr>
    <w:rPr>
      <w:sz w:val="18"/>
      <w:szCs w:val="24"/>
    </w:rPr>
  </w:style>
  <w:style w:type="paragraph" w:customStyle="1" w:styleId="FooterPageOdd">
    <w:name w:val="FooterPageOdd"/>
    <w:basedOn w:val="Footer"/>
    <w:rsid w:val="00D62BA7"/>
    <w:pPr>
      <w:tabs>
        <w:tab w:val="clear" w:pos="4153"/>
        <w:tab w:val="clear" w:pos="8306"/>
        <w:tab w:val="center" w:pos="3600"/>
        <w:tab w:val="right" w:pos="7201"/>
      </w:tabs>
      <w:jc w:val="right"/>
    </w:pPr>
    <w:rPr>
      <w:sz w:val="22"/>
      <w:szCs w:val="18"/>
      <w:lang w:eastAsia="en-US"/>
    </w:rPr>
  </w:style>
  <w:style w:type="paragraph" w:customStyle="1" w:styleId="FooterPageEven">
    <w:name w:val="FooterPageEven"/>
    <w:basedOn w:val="FooterPageOdd"/>
    <w:rsid w:val="00D62BA7"/>
    <w:pPr>
      <w:jc w:val="left"/>
    </w:pPr>
  </w:style>
  <w:style w:type="paragraph" w:customStyle="1" w:styleId="Footerinfo0">
    <w:name w:val="Footerinfo"/>
    <w:basedOn w:val="Footer"/>
    <w:rsid w:val="008A483B"/>
    <w:pPr>
      <w:tabs>
        <w:tab w:val="clear" w:pos="4153"/>
        <w:tab w:val="clear" w:pos="8306"/>
        <w:tab w:val="center" w:pos="3600"/>
        <w:tab w:val="right" w:pos="7201"/>
      </w:tabs>
    </w:pPr>
    <w:rPr>
      <w:sz w:val="12"/>
      <w:szCs w:val="18"/>
      <w:lang w:eastAsia="en-US"/>
    </w:rPr>
  </w:style>
  <w:style w:type="paragraph" w:customStyle="1" w:styleId="TableOfStatRules">
    <w:name w:val="TableOfStatRules"/>
    <w:basedOn w:val="Normal"/>
    <w:rsid w:val="006C42CE"/>
    <w:pPr>
      <w:spacing w:before="60" w:line="200" w:lineRule="exact"/>
    </w:pPr>
    <w:rPr>
      <w:rFonts w:ascii="Arial" w:hAnsi="Arial"/>
      <w:sz w:val="18"/>
    </w:rPr>
  </w:style>
  <w:style w:type="paragraph" w:styleId="Revision">
    <w:name w:val="Revision"/>
    <w:hidden/>
    <w:uiPriority w:val="99"/>
    <w:semiHidden/>
    <w:rsid w:val="00624116"/>
    <w:rPr>
      <w:sz w:val="24"/>
      <w:szCs w:val="24"/>
    </w:rPr>
  </w:style>
  <w:style w:type="character" w:customStyle="1" w:styleId="CommentTextChar">
    <w:name w:val="Comment Text Char"/>
    <w:basedOn w:val="DefaultParagraphFont"/>
    <w:link w:val="CommentText"/>
    <w:rsid w:val="00307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header" Target="header1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www.comlaw.gov.au" TargetMode="External"/><Relationship Id="rId25" Type="http://schemas.openxmlformats.org/officeDocument/2006/relationships/header" Target="header7.xml"/><Relationship Id="rId33" Type="http://schemas.openxmlformats.org/officeDocument/2006/relationships/footer" Target="footer8.xml"/><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footer" Target="footer9.xml"/><Relationship Id="rId40"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oter" Target="footer6.xml"/><Relationship Id="rId35"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6700E72D8C244BB4A9479B32C0DD1" ma:contentTypeVersion="0" ma:contentTypeDescription="Create a new document." ma:contentTypeScope="" ma:versionID="9ec5da8a6c9a492cfcd5e85756ab22c7">
  <xsd:schema xmlns:xsd="http://www.w3.org/2001/XMLSchema" xmlns:xs="http://www.w3.org/2001/XMLSchema" xmlns:p="http://schemas.microsoft.com/office/2006/metadata/properties" xmlns:ns2="6db8f3c6-01a1-4322-b043-a3b2a190f7a8" targetNamespace="http://schemas.microsoft.com/office/2006/metadata/properties" ma:root="true" ma:fieldsID="08fd8ed56bc4c63e248c838960af90a7" ns2:_="">
    <xsd:import namespace="6db8f3c6-01a1-4322-b043-a3b2a190f7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KNAH4PPFC442-2596-212</_dlc_DocId>
    <_dlc_DocIdUrl xmlns="6db8f3c6-01a1-4322-b043-a3b2a190f7a8">
      <Url>http://collaboration/organisation/CID/RPB/RLPS/lib/_layouts/DocIdRedir.aspx?ID=KNAH4PPFC442-2596-212</Url>
      <Description>KNAH4PPFC442-2596-212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07074-4A44-4B8D-B145-DF3ACD4D7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8f3c6-01a1-4322-b043-a3b2a190f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93F02-51FC-40BA-A4AF-A43BC48B12B7}">
  <ds:schemaRefs>
    <ds:schemaRef ds:uri="http://schemas.microsoft.com/sharepoint/v3/contenttype/forms"/>
  </ds:schemaRefs>
</ds:datastoreItem>
</file>

<file path=customXml/itemProps3.xml><?xml version="1.0" encoding="utf-8"?>
<ds:datastoreItem xmlns:ds="http://schemas.openxmlformats.org/officeDocument/2006/customXml" ds:itemID="{0270807A-7678-4FCE-956B-3CFE0E7A8E90}">
  <ds:schemaRefs>
    <ds:schemaRef ds:uri="http://schemas.microsoft.com/sharepoint/events"/>
  </ds:schemaRefs>
</ds:datastoreItem>
</file>

<file path=customXml/itemProps4.xml><?xml version="1.0" encoding="utf-8"?>
<ds:datastoreItem xmlns:ds="http://schemas.openxmlformats.org/officeDocument/2006/customXml" ds:itemID="{F3C5999B-B960-4B97-B9E5-7DFF8704A155}">
  <ds:schemaRefs>
    <ds:schemaRef ds:uri="http://schemas.microsoft.com/office/2006/metadata/properties"/>
    <ds:schemaRef ds:uri="http://schemas.microsoft.com/office/infopath/2007/PartnerControls"/>
    <ds:schemaRef ds:uri="6db8f3c6-01a1-4322-b043-a3b2a190f7a8"/>
  </ds:schemaRefs>
</ds:datastoreItem>
</file>

<file path=customXml/itemProps5.xml><?xml version="1.0" encoding="utf-8"?>
<ds:datastoreItem xmlns:ds="http://schemas.openxmlformats.org/officeDocument/2006/customXml" ds:itemID="{B7A664C2-5902-4913-AE9B-1641691F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2014-12-08T05:30:00Z</dcterms:created>
  <dcterms:modified xsi:type="dcterms:W3CDTF">2014-12-18T23:50:00Z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0x010100E7F6700E72D8C244BB4A9479B32C0DD1</vt:lpwstr>
  </property>
  <property fmtid="{D5CDD505-2E9C-101B-9397-08002B2CF9AE}" pid="3" name="_dlc_DocIdItemGuid">
    <vt:lpwstr>088f0567-e8a4-4838-a27e-bd8464d481df</vt:lpwstr>
  </property>
</Properties>
</file>