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281FC" w14:textId="4AE34EBC" w:rsidR="003B7524" w:rsidRPr="00A712E4" w:rsidRDefault="00490AB1" w:rsidP="003B7524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</w:p>
    <w:p w14:paraId="40015B5E" w14:textId="77777777" w:rsidR="003B7524" w:rsidRPr="00A712E4" w:rsidRDefault="003B7524" w:rsidP="003B7524">
      <w:pPr>
        <w:rPr>
          <w:rFonts w:ascii="Times New Roman" w:hAnsi="Times New Roman"/>
          <w:b/>
        </w:rPr>
      </w:pPr>
    </w:p>
    <w:p w14:paraId="0F1AEF2E" w14:textId="77777777" w:rsidR="003B7524" w:rsidRPr="00A712E4" w:rsidRDefault="003B7524" w:rsidP="003B7524">
      <w:pPr>
        <w:rPr>
          <w:rFonts w:ascii="Times New Roman" w:hAnsi="Times New Roman"/>
          <w:b/>
        </w:rPr>
      </w:pPr>
    </w:p>
    <w:p w14:paraId="17567CDF" w14:textId="77777777" w:rsidR="003B7524" w:rsidRPr="00A712E4" w:rsidRDefault="009E4E1E" w:rsidP="003B7524">
      <w:pPr>
        <w:tabs>
          <w:tab w:val="right" w:pos="831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 w14:anchorId="5920D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85pt;margin-top:-10.8pt;width:250.6pt;height:63.95pt;z-index:251657728">
            <v:imagedata r:id="rId9" o:title="AUSTRAC_L2"/>
          </v:shape>
        </w:pict>
      </w:r>
      <w:r w:rsidR="003B7524" w:rsidRPr="00A712E4">
        <w:rPr>
          <w:rFonts w:ascii="Times New Roman" w:hAnsi="Times New Roman"/>
          <w:b/>
        </w:rPr>
        <w:tab/>
      </w:r>
    </w:p>
    <w:p w14:paraId="6C014396" w14:textId="77777777" w:rsidR="003B7524" w:rsidRPr="00A712E4" w:rsidRDefault="003B7524" w:rsidP="003B7524">
      <w:pPr>
        <w:rPr>
          <w:rFonts w:ascii="Times New Roman" w:hAnsi="Times New Roman"/>
          <w:b/>
        </w:rPr>
      </w:pPr>
    </w:p>
    <w:p w14:paraId="078AC3C3" w14:textId="77777777" w:rsidR="003B7524" w:rsidRPr="00A712E4" w:rsidRDefault="003B7524" w:rsidP="003B7524">
      <w:pPr>
        <w:rPr>
          <w:rFonts w:ascii="Times New Roman" w:hAnsi="Times New Roman"/>
          <w:b/>
        </w:rPr>
      </w:pPr>
    </w:p>
    <w:p w14:paraId="7184C376" w14:textId="77777777" w:rsidR="003B7524" w:rsidRPr="00A712E4" w:rsidRDefault="003B7524" w:rsidP="003B7524">
      <w:pPr>
        <w:rPr>
          <w:rFonts w:ascii="Times New Roman" w:hAnsi="Times New Roman"/>
          <w:b/>
        </w:rPr>
      </w:pPr>
    </w:p>
    <w:p w14:paraId="0D4B8BD8" w14:textId="77777777" w:rsidR="003B7524" w:rsidRPr="00A712E4" w:rsidRDefault="003B7524" w:rsidP="00051713">
      <w:pPr>
        <w:rPr>
          <w:rFonts w:ascii="Times New Roman" w:hAnsi="Times New Roman"/>
          <w:b/>
          <w:sz w:val="24"/>
        </w:rPr>
      </w:pPr>
    </w:p>
    <w:p w14:paraId="26408841" w14:textId="77777777" w:rsidR="003B7524" w:rsidRPr="00A712E4" w:rsidRDefault="003B7524" w:rsidP="00051713">
      <w:pPr>
        <w:rPr>
          <w:rFonts w:ascii="Times New Roman" w:hAnsi="Times New Roman"/>
          <w:b/>
          <w:sz w:val="24"/>
        </w:rPr>
      </w:pPr>
    </w:p>
    <w:p w14:paraId="2F0E3F68" w14:textId="77777777" w:rsidR="00051713" w:rsidRPr="00A712E4" w:rsidRDefault="00051713" w:rsidP="00051713">
      <w:pPr>
        <w:rPr>
          <w:rFonts w:ascii="Times New Roman" w:hAnsi="Times New Roman"/>
          <w:b/>
          <w:sz w:val="24"/>
        </w:rPr>
      </w:pPr>
    </w:p>
    <w:p w14:paraId="1BBA6B78" w14:textId="08549A57" w:rsidR="003B7524" w:rsidRPr="00A712E4" w:rsidRDefault="003B7524" w:rsidP="003B7524">
      <w:pPr>
        <w:tabs>
          <w:tab w:val="left" w:pos="360"/>
          <w:tab w:val="left" w:pos="1080"/>
          <w:tab w:val="left" w:pos="3600"/>
        </w:tabs>
        <w:jc w:val="center"/>
        <w:rPr>
          <w:rFonts w:ascii="Times New Roman" w:hAnsi="Times New Roman"/>
          <w:b/>
          <w:sz w:val="24"/>
        </w:rPr>
      </w:pPr>
      <w:r w:rsidRPr="00A712E4">
        <w:rPr>
          <w:rFonts w:ascii="Times New Roman" w:hAnsi="Times New Roman"/>
          <w:b/>
          <w:sz w:val="24"/>
        </w:rPr>
        <w:t xml:space="preserve">Explanatory </w:t>
      </w:r>
      <w:r w:rsidR="003C0500" w:rsidRPr="00A712E4">
        <w:rPr>
          <w:rFonts w:ascii="Times New Roman" w:hAnsi="Times New Roman"/>
          <w:b/>
          <w:sz w:val="24"/>
        </w:rPr>
        <w:t xml:space="preserve">Statement </w:t>
      </w:r>
      <w:r w:rsidRPr="00A712E4">
        <w:rPr>
          <w:rFonts w:ascii="Times New Roman" w:hAnsi="Times New Roman"/>
          <w:b/>
          <w:sz w:val="24"/>
        </w:rPr>
        <w:t xml:space="preserve">– </w:t>
      </w:r>
      <w:r w:rsidR="00134CA6" w:rsidRPr="00A712E4">
        <w:rPr>
          <w:rFonts w:ascii="Times New Roman" w:hAnsi="Times New Roman"/>
          <w:b/>
          <w:i/>
          <w:sz w:val="24"/>
        </w:rPr>
        <w:t xml:space="preserve">Anti-Money </w:t>
      </w:r>
      <w:proofErr w:type="gramStart"/>
      <w:r w:rsidR="00134CA6" w:rsidRPr="00A712E4">
        <w:rPr>
          <w:rFonts w:ascii="Times New Roman" w:hAnsi="Times New Roman"/>
          <w:b/>
          <w:i/>
          <w:sz w:val="24"/>
        </w:rPr>
        <w:t>Laundering</w:t>
      </w:r>
      <w:proofErr w:type="gramEnd"/>
      <w:r w:rsidR="00134CA6" w:rsidRPr="00A712E4">
        <w:rPr>
          <w:rFonts w:ascii="Times New Roman" w:hAnsi="Times New Roman"/>
          <w:b/>
          <w:i/>
          <w:sz w:val="24"/>
        </w:rPr>
        <w:t xml:space="preserve"> and Counter-Terrorism Financing Rules </w:t>
      </w:r>
      <w:r w:rsidR="00856FD6" w:rsidRPr="00A712E4">
        <w:rPr>
          <w:rFonts w:ascii="Times New Roman" w:hAnsi="Times New Roman"/>
          <w:b/>
          <w:i/>
          <w:sz w:val="24"/>
        </w:rPr>
        <w:t>Amendment Instrument 201</w:t>
      </w:r>
      <w:r w:rsidR="002C75DD" w:rsidRPr="00A712E4">
        <w:rPr>
          <w:rFonts w:ascii="Times New Roman" w:hAnsi="Times New Roman"/>
          <w:b/>
          <w:i/>
          <w:sz w:val="24"/>
        </w:rPr>
        <w:t>4</w:t>
      </w:r>
      <w:r w:rsidR="00856FD6" w:rsidRPr="00A712E4">
        <w:rPr>
          <w:rFonts w:ascii="Times New Roman" w:hAnsi="Times New Roman"/>
          <w:b/>
          <w:i/>
          <w:sz w:val="24"/>
        </w:rPr>
        <w:t xml:space="preserve"> (No. </w:t>
      </w:r>
      <w:r w:rsidR="00351A74">
        <w:rPr>
          <w:rFonts w:ascii="Times New Roman" w:hAnsi="Times New Roman"/>
          <w:b/>
          <w:i/>
          <w:sz w:val="24"/>
        </w:rPr>
        <w:t>6</w:t>
      </w:r>
      <w:r w:rsidR="00134CA6" w:rsidRPr="00A712E4">
        <w:rPr>
          <w:rFonts w:ascii="Times New Roman" w:hAnsi="Times New Roman"/>
          <w:b/>
          <w:i/>
          <w:sz w:val="24"/>
        </w:rPr>
        <w:t xml:space="preserve">) </w:t>
      </w:r>
      <w:r w:rsidR="00134CA6" w:rsidRPr="00A712E4">
        <w:rPr>
          <w:rFonts w:ascii="Times New Roman" w:hAnsi="Times New Roman"/>
          <w:b/>
          <w:sz w:val="24"/>
        </w:rPr>
        <w:t xml:space="preserve">amending the </w:t>
      </w:r>
      <w:r w:rsidRPr="00A712E4">
        <w:rPr>
          <w:rFonts w:ascii="Times New Roman" w:hAnsi="Times New Roman"/>
          <w:b/>
          <w:i/>
          <w:sz w:val="24"/>
        </w:rPr>
        <w:t xml:space="preserve">Anti-Money Laundering and Counter-Terrorism Financing Rules Instrument 2007 (No. 1) </w:t>
      </w:r>
    </w:p>
    <w:p w14:paraId="59B98BE5" w14:textId="77777777" w:rsidR="003B7524" w:rsidRPr="00A712E4" w:rsidRDefault="003B7524" w:rsidP="003B7524">
      <w:pPr>
        <w:rPr>
          <w:rFonts w:ascii="Times New Roman" w:hAnsi="Times New Roman"/>
          <w:b/>
          <w:sz w:val="24"/>
        </w:rPr>
      </w:pPr>
    </w:p>
    <w:p w14:paraId="3E38BDF6" w14:textId="77777777" w:rsidR="003B7524" w:rsidRPr="00A712E4" w:rsidRDefault="003B7524" w:rsidP="003B7524">
      <w:pPr>
        <w:rPr>
          <w:rFonts w:ascii="Times New Roman" w:hAnsi="Times New Roman"/>
          <w:b/>
          <w:sz w:val="24"/>
        </w:rPr>
      </w:pPr>
    </w:p>
    <w:p w14:paraId="21DC642E" w14:textId="76977D38" w:rsidR="003B7524" w:rsidRPr="00A712E4" w:rsidRDefault="003B7524" w:rsidP="003B7524">
      <w:pPr>
        <w:ind w:left="720" w:hanging="720"/>
        <w:rPr>
          <w:rFonts w:ascii="Times New Roman" w:hAnsi="Times New Roman"/>
          <w:b/>
          <w:sz w:val="24"/>
        </w:rPr>
      </w:pPr>
      <w:r w:rsidRPr="00A712E4">
        <w:rPr>
          <w:rFonts w:ascii="Times New Roman" w:hAnsi="Times New Roman"/>
          <w:b/>
          <w:sz w:val="24"/>
        </w:rPr>
        <w:t>1.</w:t>
      </w:r>
      <w:r w:rsidRPr="00A712E4">
        <w:rPr>
          <w:rFonts w:ascii="Times New Roman" w:hAnsi="Times New Roman"/>
          <w:b/>
          <w:sz w:val="24"/>
        </w:rPr>
        <w:tab/>
        <w:t>Purpose and operation of An</w:t>
      </w:r>
      <w:r w:rsidR="00F7392E" w:rsidRPr="00A712E4">
        <w:rPr>
          <w:rFonts w:ascii="Times New Roman" w:hAnsi="Times New Roman"/>
          <w:b/>
          <w:sz w:val="24"/>
        </w:rPr>
        <w:t>ti-Money Laundering</w:t>
      </w:r>
      <w:r w:rsidR="009808DB" w:rsidRPr="00A712E4">
        <w:rPr>
          <w:rFonts w:ascii="Times New Roman" w:hAnsi="Times New Roman"/>
          <w:b/>
          <w:sz w:val="24"/>
        </w:rPr>
        <w:t>/</w:t>
      </w:r>
      <w:r w:rsidR="00F7392E" w:rsidRPr="00A712E4">
        <w:rPr>
          <w:rFonts w:ascii="Times New Roman" w:hAnsi="Times New Roman"/>
          <w:b/>
          <w:sz w:val="24"/>
        </w:rPr>
        <w:t>Counter</w:t>
      </w:r>
      <w:r w:rsidR="00F7392E" w:rsidRPr="00A712E4">
        <w:rPr>
          <w:rFonts w:ascii="Times New Roman" w:hAnsi="Times New Roman"/>
          <w:b/>
          <w:sz w:val="24"/>
        </w:rPr>
        <w:noBreakHyphen/>
      </w:r>
      <w:r w:rsidRPr="00A712E4">
        <w:rPr>
          <w:rFonts w:ascii="Times New Roman" w:hAnsi="Times New Roman"/>
          <w:b/>
          <w:sz w:val="24"/>
        </w:rPr>
        <w:t xml:space="preserve">Terrorism Financing Rules (AML/CTF Rules) </w:t>
      </w:r>
      <w:r w:rsidR="00351A74">
        <w:rPr>
          <w:rFonts w:ascii="Times New Roman" w:hAnsi="Times New Roman"/>
          <w:b/>
          <w:sz w:val="24"/>
        </w:rPr>
        <w:t>adding Chapter 71</w:t>
      </w:r>
      <w:r w:rsidR="00285882" w:rsidRPr="00A712E4">
        <w:rPr>
          <w:rFonts w:ascii="Times New Roman" w:hAnsi="Times New Roman"/>
          <w:b/>
          <w:sz w:val="24"/>
        </w:rPr>
        <w:t xml:space="preserve"> </w:t>
      </w:r>
    </w:p>
    <w:p w14:paraId="1EFBFC13" w14:textId="77777777" w:rsidR="003B7524" w:rsidRPr="00A712E4" w:rsidRDefault="003B7524" w:rsidP="003B7524">
      <w:pPr>
        <w:rPr>
          <w:rFonts w:ascii="Times New Roman" w:hAnsi="Times New Roman"/>
          <w:b/>
          <w:sz w:val="24"/>
        </w:rPr>
      </w:pPr>
    </w:p>
    <w:p w14:paraId="440223B1" w14:textId="77777777" w:rsidR="003B7524" w:rsidRPr="00A712E4" w:rsidRDefault="003B7524" w:rsidP="00F7392E">
      <w:pPr>
        <w:numPr>
          <w:ilvl w:val="0"/>
          <w:numId w:val="2"/>
        </w:numPr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 w:rsidRPr="00A712E4">
        <w:rPr>
          <w:rFonts w:ascii="Times New Roman" w:hAnsi="Times New Roman"/>
          <w:sz w:val="24"/>
        </w:rPr>
        <w:t xml:space="preserve">Section 229 of the </w:t>
      </w:r>
      <w:r w:rsidRPr="00A712E4">
        <w:rPr>
          <w:rFonts w:ascii="Times New Roman" w:hAnsi="Times New Roman"/>
          <w:i/>
          <w:sz w:val="24"/>
        </w:rPr>
        <w:t>Anti-Money Laundering and Counter-Terrorism Financing Act 2006</w:t>
      </w:r>
      <w:r w:rsidRPr="00A712E4">
        <w:rPr>
          <w:rFonts w:ascii="Times New Roman" w:hAnsi="Times New Roman"/>
          <w:sz w:val="24"/>
        </w:rPr>
        <w:t xml:space="preserve"> (AML/CTF Act) provides that the AUSTRAC Chief Executive Officer (AUSTRAC CEO) </w:t>
      </w:r>
      <w:r w:rsidR="009531E4" w:rsidRPr="00A712E4">
        <w:rPr>
          <w:rFonts w:ascii="Times New Roman" w:hAnsi="Times New Roman"/>
          <w:sz w:val="24"/>
        </w:rPr>
        <w:t>may, b</w:t>
      </w:r>
      <w:r w:rsidRPr="00A712E4">
        <w:rPr>
          <w:rFonts w:ascii="Times New Roman" w:hAnsi="Times New Roman"/>
          <w:sz w:val="24"/>
        </w:rPr>
        <w:t>y writing, make AML/CTF Rules prescribing matters required or permitted by any other provision of the AML/CTF Act.</w:t>
      </w:r>
    </w:p>
    <w:p w14:paraId="73CEEEDF" w14:textId="77777777" w:rsidR="00DE08BE" w:rsidRPr="00A712E4" w:rsidRDefault="00DE08BE" w:rsidP="00DE08BE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</w:rPr>
      </w:pPr>
    </w:p>
    <w:p w14:paraId="050E5C80" w14:textId="74ECE5E8" w:rsidR="00910C62" w:rsidRPr="00A712E4" w:rsidRDefault="00351A74" w:rsidP="00910C62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Addition of Chapter 71</w:t>
      </w:r>
    </w:p>
    <w:p w14:paraId="334306BD" w14:textId="4F0103CD" w:rsidR="003E4452" w:rsidRPr="003E4452" w:rsidRDefault="00FF69CE" w:rsidP="00447C21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Items 1-3 in</w:t>
      </w:r>
      <w:r w:rsidR="00722199">
        <w:rPr>
          <w:rFonts w:ascii="Times New Roman" w:hAnsi="Times New Roman"/>
          <w:sz w:val="24"/>
        </w:rPr>
        <w:t xml:space="preserve"> T</w:t>
      </w:r>
      <w:r w:rsidR="003E4452" w:rsidRPr="003E4452">
        <w:rPr>
          <w:rFonts w:ascii="Times New Roman" w:hAnsi="Times New Roman"/>
          <w:sz w:val="24"/>
        </w:rPr>
        <w:t>able 1 in subsection 6(2) of the AML/CTF Act apply to ADIs (Authorised Deposit-taking Institutions), banks, building societies, credit unions and person</w:t>
      </w:r>
      <w:r w:rsidR="005E7F89">
        <w:rPr>
          <w:rFonts w:ascii="Times New Roman" w:hAnsi="Times New Roman"/>
          <w:sz w:val="24"/>
        </w:rPr>
        <w:t>s</w:t>
      </w:r>
      <w:r w:rsidR="003E4452" w:rsidRPr="003E4452">
        <w:rPr>
          <w:rFonts w:ascii="Times New Roman" w:hAnsi="Times New Roman"/>
          <w:sz w:val="24"/>
        </w:rPr>
        <w:t xml:space="preserve"> specified in the AML/CTF Rules.  ADI is defined in section 5 of the AML/CTF Act as:</w:t>
      </w:r>
    </w:p>
    <w:p w14:paraId="2D664A77" w14:textId="0F697133" w:rsidR="003E4452" w:rsidRPr="00747D32" w:rsidRDefault="003E4452" w:rsidP="00951830">
      <w:pPr>
        <w:pStyle w:val="Heading1"/>
        <w:numPr>
          <w:ilvl w:val="0"/>
          <w:numId w:val="31"/>
        </w:numPr>
        <w:ind w:left="1418" w:hanging="425"/>
        <w:rPr>
          <w:b w:val="0"/>
        </w:rPr>
      </w:pPr>
      <w:proofErr w:type="gramStart"/>
      <w:r w:rsidRPr="00747D32">
        <w:rPr>
          <w:b w:val="0"/>
        </w:rPr>
        <w:t>a</w:t>
      </w:r>
      <w:proofErr w:type="gramEnd"/>
      <w:r w:rsidRPr="00747D32">
        <w:rPr>
          <w:b w:val="0"/>
        </w:rPr>
        <w:t xml:space="preserve"> body corporate that is an ADI for the purposes of the </w:t>
      </w:r>
      <w:r w:rsidRPr="00FF199A">
        <w:rPr>
          <w:b w:val="0"/>
          <w:i/>
        </w:rPr>
        <w:t>Banking Act 1959</w:t>
      </w:r>
      <w:r w:rsidRPr="00747D32">
        <w:rPr>
          <w:b w:val="0"/>
        </w:rPr>
        <w:t>; or</w:t>
      </w:r>
    </w:p>
    <w:p w14:paraId="48438DD9" w14:textId="4D751FBD" w:rsidR="003E4452" w:rsidRPr="00747D32" w:rsidRDefault="003E4452" w:rsidP="00951830">
      <w:pPr>
        <w:pStyle w:val="Heading1"/>
        <w:numPr>
          <w:ilvl w:val="0"/>
          <w:numId w:val="31"/>
        </w:numPr>
        <w:ind w:left="1418" w:hanging="425"/>
        <w:rPr>
          <w:b w:val="0"/>
        </w:rPr>
      </w:pPr>
      <w:proofErr w:type="gramStart"/>
      <w:r w:rsidRPr="00747D32">
        <w:rPr>
          <w:b w:val="0"/>
        </w:rPr>
        <w:t>the</w:t>
      </w:r>
      <w:proofErr w:type="gramEnd"/>
      <w:r w:rsidRPr="00747D32">
        <w:rPr>
          <w:b w:val="0"/>
        </w:rPr>
        <w:t xml:space="preserve"> Reserve Bank of Australia; or</w:t>
      </w:r>
    </w:p>
    <w:p w14:paraId="62A596C5" w14:textId="339F9006" w:rsidR="003E4452" w:rsidRPr="00747D32" w:rsidRDefault="003E4452" w:rsidP="00951830">
      <w:pPr>
        <w:pStyle w:val="Heading1"/>
        <w:numPr>
          <w:ilvl w:val="0"/>
          <w:numId w:val="31"/>
        </w:numPr>
        <w:ind w:left="1418" w:hanging="425"/>
        <w:rPr>
          <w:b w:val="0"/>
        </w:rPr>
      </w:pPr>
      <w:proofErr w:type="gramStart"/>
      <w:r w:rsidRPr="00747D32">
        <w:rPr>
          <w:b w:val="0"/>
        </w:rPr>
        <w:t>a</w:t>
      </w:r>
      <w:proofErr w:type="gramEnd"/>
      <w:r w:rsidRPr="00747D32">
        <w:rPr>
          <w:b w:val="0"/>
        </w:rPr>
        <w:t xml:space="preserve"> person who carriers on State banking within the meaning of paragraph 51(xii) of the Constitution. </w:t>
      </w:r>
      <w:r w:rsidR="007D2F38">
        <w:rPr>
          <w:b w:val="0"/>
        </w:rPr>
        <w:t xml:space="preserve"> </w:t>
      </w:r>
    </w:p>
    <w:p w14:paraId="0595F4B6" w14:textId="77777777" w:rsidR="003E4452" w:rsidRPr="004C0DD8" w:rsidRDefault="003E4452" w:rsidP="00447C21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 w:rsidRPr="004C0DD8">
        <w:rPr>
          <w:rFonts w:ascii="Times New Roman" w:hAnsi="Times New Roman"/>
          <w:sz w:val="24"/>
        </w:rPr>
        <w:t>The designated services above are those of opening an account (item 1), allowing a person to become a signatory to an account (item 2) and allowing transactions to be conducted on an account (item 3).  Section 5 defines “account” to include a “credit card account”.</w:t>
      </w:r>
    </w:p>
    <w:p w14:paraId="64D9A83B" w14:textId="5B351438" w:rsidR="003E4452" w:rsidRPr="004C0DD8" w:rsidRDefault="002F4E64" w:rsidP="00447C21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 w:rsidRPr="004C0DD8">
        <w:rPr>
          <w:rFonts w:ascii="Times New Roman" w:hAnsi="Times New Roman"/>
          <w:sz w:val="24"/>
        </w:rPr>
        <w:t xml:space="preserve">The </w:t>
      </w:r>
      <w:r w:rsidR="003E4452" w:rsidRPr="003A0122">
        <w:rPr>
          <w:rFonts w:ascii="Times New Roman" w:hAnsi="Times New Roman"/>
          <w:i/>
          <w:sz w:val="24"/>
        </w:rPr>
        <w:t>Banking Regulations 1966</w:t>
      </w:r>
      <w:r w:rsidR="003A0122">
        <w:rPr>
          <w:rFonts w:ascii="Times New Roman" w:hAnsi="Times New Roman"/>
          <w:sz w:val="24"/>
        </w:rPr>
        <w:t xml:space="preserve"> (Banking Regulations)</w:t>
      </w:r>
      <w:r w:rsidR="003E4452" w:rsidRPr="004C0DD8">
        <w:rPr>
          <w:rFonts w:ascii="Times New Roman" w:hAnsi="Times New Roman"/>
          <w:sz w:val="24"/>
        </w:rPr>
        <w:t xml:space="preserve"> </w:t>
      </w:r>
      <w:r w:rsidRPr="004C0DD8">
        <w:rPr>
          <w:rFonts w:ascii="Times New Roman" w:hAnsi="Times New Roman"/>
          <w:sz w:val="24"/>
        </w:rPr>
        <w:t xml:space="preserve">have been amended with effect from 1 January 2015 </w:t>
      </w:r>
      <w:r w:rsidR="003E4452" w:rsidRPr="004C0DD8">
        <w:rPr>
          <w:rFonts w:ascii="Times New Roman" w:hAnsi="Times New Roman"/>
          <w:sz w:val="24"/>
        </w:rPr>
        <w:t xml:space="preserve">to open up credit card issuing and acquiring to non-ADIs.  </w:t>
      </w:r>
      <w:r w:rsidR="00951830">
        <w:rPr>
          <w:rFonts w:ascii="Times New Roman" w:hAnsi="Times New Roman"/>
          <w:sz w:val="24"/>
        </w:rPr>
        <w:t>This</w:t>
      </w:r>
      <w:r w:rsidR="003E4452" w:rsidRPr="004C0DD8">
        <w:rPr>
          <w:rFonts w:ascii="Times New Roman" w:hAnsi="Times New Roman"/>
          <w:sz w:val="24"/>
        </w:rPr>
        <w:t xml:space="preserve"> will allow non-ADIs to become credit card issuers and credit card acquirers in the Visa and MasterCard credit card schemes.</w:t>
      </w:r>
    </w:p>
    <w:p w14:paraId="65813DB1" w14:textId="6C9E6CFB" w:rsidR="003E4452" w:rsidRDefault="003E4452" w:rsidP="00447C21">
      <w:pPr>
        <w:numPr>
          <w:ilvl w:val="0"/>
          <w:numId w:val="2"/>
        </w:numPr>
        <w:autoSpaceDE w:val="0"/>
        <w:autoSpaceDN w:val="0"/>
        <w:adjustRightInd w:val="0"/>
        <w:spacing w:before="240"/>
        <w:ind w:hanging="720"/>
        <w:rPr>
          <w:rFonts w:ascii="Times New Roman" w:hAnsi="Times New Roman"/>
          <w:sz w:val="24"/>
        </w:rPr>
      </w:pPr>
      <w:r w:rsidRPr="00447C21">
        <w:rPr>
          <w:rFonts w:ascii="Times New Roman" w:hAnsi="Times New Roman"/>
          <w:sz w:val="24"/>
        </w:rPr>
        <w:t>Th</w:t>
      </w:r>
      <w:r w:rsidR="003A0122">
        <w:rPr>
          <w:rFonts w:ascii="Times New Roman" w:hAnsi="Times New Roman"/>
          <w:sz w:val="24"/>
        </w:rPr>
        <w:t>is Instrument amends the</w:t>
      </w:r>
      <w:r w:rsidRPr="00447C21">
        <w:rPr>
          <w:rFonts w:ascii="Times New Roman" w:hAnsi="Times New Roman"/>
          <w:sz w:val="24"/>
        </w:rPr>
        <w:t xml:space="preserve"> AML/CTF Rules </w:t>
      </w:r>
      <w:r w:rsidR="003A0122">
        <w:rPr>
          <w:rFonts w:ascii="Times New Roman" w:hAnsi="Times New Roman"/>
          <w:sz w:val="24"/>
        </w:rPr>
        <w:t>to</w:t>
      </w:r>
      <w:r w:rsidRPr="00447C21">
        <w:rPr>
          <w:rFonts w:ascii="Times New Roman" w:hAnsi="Times New Roman"/>
          <w:sz w:val="24"/>
        </w:rPr>
        <w:t xml:space="preserve"> ensure that </w:t>
      </w:r>
      <w:r w:rsidR="003A0122">
        <w:rPr>
          <w:rFonts w:ascii="Times New Roman" w:hAnsi="Times New Roman"/>
          <w:sz w:val="24"/>
        </w:rPr>
        <w:t>subsequent to</w:t>
      </w:r>
      <w:r w:rsidRPr="00447C21">
        <w:rPr>
          <w:rFonts w:ascii="Times New Roman" w:hAnsi="Times New Roman"/>
          <w:sz w:val="24"/>
        </w:rPr>
        <w:t xml:space="preserve"> the </w:t>
      </w:r>
      <w:r w:rsidR="003A0122">
        <w:rPr>
          <w:rFonts w:ascii="Times New Roman" w:hAnsi="Times New Roman"/>
          <w:sz w:val="24"/>
        </w:rPr>
        <w:t>amendments to the Banking Regulations</w:t>
      </w:r>
      <w:r w:rsidRPr="00447C21">
        <w:rPr>
          <w:rFonts w:ascii="Times New Roman" w:hAnsi="Times New Roman"/>
          <w:sz w:val="24"/>
        </w:rPr>
        <w:t xml:space="preserve">, a person who is a credit card issuer </w:t>
      </w:r>
      <w:r w:rsidRPr="00447C21">
        <w:rPr>
          <w:rFonts w:ascii="Times New Roman" w:hAnsi="Times New Roman"/>
          <w:sz w:val="24"/>
        </w:rPr>
        <w:lastRenderedPageBreak/>
        <w:t xml:space="preserve">or acquirer </w:t>
      </w:r>
      <w:r w:rsidR="001322E8">
        <w:rPr>
          <w:rFonts w:ascii="Times New Roman" w:hAnsi="Times New Roman"/>
          <w:sz w:val="24"/>
        </w:rPr>
        <w:t xml:space="preserve">(or both) </w:t>
      </w:r>
      <w:r w:rsidRPr="00447C21">
        <w:rPr>
          <w:rFonts w:ascii="Times New Roman" w:hAnsi="Times New Roman"/>
          <w:sz w:val="24"/>
        </w:rPr>
        <w:t>and is not an ADI, bank, building society or credit union will be a reporting entity</w:t>
      </w:r>
      <w:r w:rsidR="003A0122">
        <w:rPr>
          <w:rFonts w:ascii="Times New Roman" w:hAnsi="Times New Roman"/>
          <w:sz w:val="24"/>
        </w:rPr>
        <w:t xml:space="preserve"> for the purposes of the AML/CTF Act</w:t>
      </w:r>
      <w:r w:rsidRPr="00447C21">
        <w:rPr>
          <w:rFonts w:ascii="Times New Roman" w:hAnsi="Times New Roman"/>
          <w:sz w:val="24"/>
        </w:rPr>
        <w:t>.</w:t>
      </w:r>
    </w:p>
    <w:p w14:paraId="34A4B2F1" w14:textId="77777777" w:rsidR="003A0122" w:rsidRPr="00447C21" w:rsidRDefault="003A0122" w:rsidP="001C083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0F729865" w14:textId="77777777" w:rsidR="00F7392E" w:rsidRPr="00A712E4" w:rsidRDefault="009C7626" w:rsidP="00F7392E">
      <w:pPr>
        <w:rPr>
          <w:rFonts w:ascii="Times New Roman" w:hAnsi="Times New Roman"/>
          <w:b/>
          <w:i/>
          <w:sz w:val="24"/>
          <w:lang w:eastAsia="en-AU"/>
        </w:rPr>
      </w:pPr>
      <w:r w:rsidRPr="00A712E4">
        <w:rPr>
          <w:rFonts w:ascii="Times New Roman" w:hAnsi="Times New Roman"/>
          <w:b/>
          <w:sz w:val="24"/>
          <w:lang w:eastAsia="en-AU"/>
        </w:rPr>
        <w:t>Statement</w:t>
      </w:r>
      <w:r w:rsidR="00F7392E" w:rsidRPr="00A712E4">
        <w:rPr>
          <w:rFonts w:ascii="Times New Roman" w:hAnsi="Times New Roman"/>
          <w:b/>
          <w:sz w:val="24"/>
          <w:lang w:eastAsia="en-AU"/>
        </w:rPr>
        <w:t xml:space="preserve"> of Compatibility with the </w:t>
      </w:r>
      <w:r w:rsidR="00F7392E" w:rsidRPr="00A712E4">
        <w:rPr>
          <w:rFonts w:ascii="Times New Roman" w:hAnsi="Times New Roman"/>
          <w:b/>
          <w:i/>
          <w:sz w:val="24"/>
          <w:lang w:eastAsia="en-AU"/>
        </w:rPr>
        <w:t>Human Rights (Parliamentary Scrutiny) Act 2011</w:t>
      </w:r>
    </w:p>
    <w:p w14:paraId="3A4D246C" w14:textId="77777777" w:rsidR="003340DB" w:rsidRPr="00A712E4" w:rsidRDefault="003340DB" w:rsidP="00F7392E">
      <w:pPr>
        <w:rPr>
          <w:rFonts w:ascii="Times New Roman" w:hAnsi="Times New Roman"/>
          <w:b/>
          <w:sz w:val="24"/>
          <w:lang w:eastAsia="en-AU"/>
        </w:rPr>
      </w:pPr>
    </w:p>
    <w:p w14:paraId="3C7B12E2" w14:textId="0A2F77D7" w:rsidR="00F7392E" w:rsidRPr="00A712E4" w:rsidRDefault="00F7392E" w:rsidP="007202F1">
      <w:pPr>
        <w:numPr>
          <w:ilvl w:val="0"/>
          <w:numId w:val="2"/>
        </w:numPr>
        <w:tabs>
          <w:tab w:val="clear" w:pos="720"/>
          <w:tab w:val="left" w:pos="709"/>
        </w:tabs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 w:rsidRPr="00A712E4">
        <w:rPr>
          <w:rFonts w:ascii="Times New Roman" w:hAnsi="Times New Roman"/>
          <w:sz w:val="24"/>
        </w:rPr>
        <w:t xml:space="preserve">The </w:t>
      </w:r>
      <w:r w:rsidRPr="00A712E4">
        <w:rPr>
          <w:rFonts w:ascii="Times New Roman" w:hAnsi="Times New Roman"/>
          <w:i/>
          <w:sz w:val="24"/>
        </w:rPr>
        <w:t>Human Rights (Parliamentary Scrutiny) Act 2011</w:t>
      </w:r>
      <w:r w:rsidR="00193377" w:rsidRPr="00A712E4">
        <w:rPr>
          <w:rFonts w:ascii="Times New Roman" w:hAnsi="Times New Roman"/>
          <w:sz w:val="24"/>
        </w:rPr>
        <w:t xml:space="preserve"> was passed</w:t>
      </w:r>
      <w:r w:rsidR="00412175" w:rsidRPr="00A712E4">
        <w:rPr>
          <w:rFonts w:ascii="Times New Roman" w:hAnsi="Times New Roman"/>
          <w:sz w:val="24"/>
        </w:rPr>
        <w:t xml:space="preserve"> on 25 </w:t>
      </w:r>
      <w:r w:rsidRPr="00A712E4">
        <w:rPr>
          <w:rFonts w:ascii="Times New Roman" w:hAnsi="Times New Roman"/>
          <w:sz w:val="24"/>
        </w:rPr>
        <w:t>November 2011 and came into effect o</w:t>
      </w:r>
      <w:r w:rsidR="006B2808" w:rsidRPr="00A712E4">
        <w:rPr>
          <w:rFonts w:ascii="Times New Roman" w:hAnsi="Times New Roman"/>
          <w:sz w:val="24"/>
        </w:rPr>
        <w:t>n 4 January 2012.  It introduced</w:t>
      </w:r>
      <w:r w:rsidRPr="00A712E4">
        <w:rPr>
          <w:rFonts w:ascii="Times New Roman" w:hAnsi="Times New Roman"/>
          <w:sz w:val="24"/>
        </w:rPr>
        <w:t xml:space="preserve"> a requirement for </w:t>
      </w:r>
      <w:r w:rsidR="000D143A" w:rsidRPr="00A712E4">
        <w:rPr>
          <w:rFonts w:ascii="Times New Roman" w:hAnsi="Times New Roman"/>
          <w:sz w:val="24"/>
        </w:rPr>
        <w:t>a Statement</w:t>
      </w:r>
      <w:r w:rsidRPr="00A712E4">
        <w:rPr>
          <w:rFonts w:ascii="Times New Roman" w:hAnsi="Times New Roman"/>
          <w:sz w:val="24"/>
        </w:rPr>
        <w:t xml:space="preserve"> of Compatibility to accompany all new Bills and disallowable legislative instruments.</w:t>
      </w:r>
    </w:p>
    <w:p w14:paraId="58904529" w14:textId="77777777" w:rsidR="00F7392E" w:rsidRPr="00A712E4" w:rsidRDefault="00F7392E" w:rsidP="007202F1">
      <w:pPr>
        <w:tabs>
          <w:tab w:val="left" w:pos="709"/>
        </w:tabs>
        <w:autoSpaceDE w:val="0"/>
        <w:autoSpaceDN w:val="0"/>
        <w:adjustRightInd w:val="0"/>
        <w:ind w:left="720"/>
        <w:rPr>
          <w:rFonts w:ascii="Times New Roman" w:hAnsi="Times New Roman"/>
          <w:sz w:val="24"/>
        </w:rPr>
      </w:pPr>
    </w:p>
    <w:p w14:paraId="31BA26AA" w14:textId="23F3BDA6" w:rsidR="00F7392E" w:rsidRPr="00A712E4" w:rsidRDefault="00F7392E" w:rsidP="007202F1">
      <w:pPr>
        <w:numPr>
          <w:ilvl w:val="0"/>
          <w:numId w:val="2"/>
        </w:numPr>
        <w:tabs>
          <w:tab w:val="clear" w:pos="720"/>
          <w:tab w:val="left" w:pos="709"/>
        </w:tabs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 w:rsidRPr="00A712E4">
        <w:rPr>
          <w:rFonts w:ascii="Times New Roman" w:hAnsi="Times New Roman"/>
          <w:sz w:val="24"/>
        </w:rPr>
        <w:t xml:space="preserve">The </w:t>
      </w:r>
      <w:r w:rsidR="000D143A" w:rsidRPr="00A712E4">
        <w:rPr>
          <w:rFonts w:ascii="Times New Roman" w:hAnsi="Times New Roman"/>
          <w:sz w:val="24"/>
        </w:rPr>
        <w:t>Statement</w:t>
      </w:r>
      <w:r w:rsidRPr="00A712E4">
        <w:rPr>
          <w:rFonts w:ascii="Times New Roman" w:hAnsi="Times New Roman"/>
          <w:sz w:val="24"/>
        </w:rPr>
        <w:t xml:space="preserve"> of Compatibility for</w:t>
      </w:r>
      <w:r w:rsidR="0030571B" w:rsidRPr="00A712E4">
        <w:rPr>
          <w:rFonts w:ascii="Times New Roman" w:hAnsi="Times New Roman"/>
          <w:sz w:val="24"/>
        </w:rPr>
        <w:t xml:space="preserve"> the</w:t>
      </w:r>
      <w:r w:rsidRPr="00A712E4">
        <w:rPr>
          <w:rFonts w:ascii="Times New Roman" w:hAnsi="Times New Roman"/>
          <w:sz w:val="24"/>
        </w:rPr>
        <w:t xml:space="preserve"> </w:t>
      </w:r>
      <w:r w:rsidRPr="00A712E4">
        <w:rPr>
          <w:rFonts w:ascii="Times New Roman" w:hAnsi="Times New Roman"/>
          <w:i/>
          <w:sz w:val="24"/>
        </w:rPr>
        <w:t>Anti-Money Laundering and Counter-Terrorism Financing Rules Amendment Instrument 201</w:t>
      </w:r>
      <w:r w:rsidR="005F5E52" w:rsidRPr="00A712E4">
        <w:rPr>
          <w:rFonts w:ascii="Times New Roman" w:hAnsi="Times New Roman"/>
          <w:i/>
          <w:sz w:val="24"/>
        </w:rPr>
        <w:t>4</w:t>
      </w:r>
      <w:r w:rsidRPr="00A712E4">
        <w:rPr>
          <w:rFonts w:ascii="Times New Roman" w:hAnsi="Times New Roman"/>
          <w:i/>
          <w:sz w:val="24"/>
        </w:rPr>
        <w:t xml:space="preserve"> (N</w:t>
      </w:r>
      <w:r w:rsidR="00A35354" w:rsidRPr="00A712E4">
        <w:rPr>
          <w:rFonts w:ascii="Times New Roman" w:hAnsi="Times New Roman"/>
          <w:i/>
          <w:sz w:val="24"/>
        </w:rPr>
        <w:t>o.</w:t>
      </w:r>
      <w:r w:rsidR="0030571B" w:rsidRPr="00A712E4">
        <w:rPr>
          <w:rFonts w:ascii="Times New Roman" w:hAnsi="Times New Roman"/>
          <w:i/>
          <w:sz w:val="24"/>
        </w:rPr>
        <w:t xml:space="preserve"> </w:t>
      </w:r>
      <w:r w:rsidR="007C6D7E">
        <w:rPr>
          <w:rFonts w:ascii="Times New Roman" w:hAnsi="Times New Roman"/>
          <w:i/>
          <w:sz w:val="24"/>
        </w:rPr>
        <w:t>6</w:t>
      </w:r>
      <w:r w:rsidRPr="00A712E4">
        <w:rPr>
          <w:rFonts w:ascii="Times New Roman" w:hAnsi="Times New Roman"/>
          <w:i/>
          <w:sz w:val="24"/>
        </w:rPr>
        <w:t>)</w:t>
      </w:r>
      <w:r w:rsidRPr="00A712E4">
        <w:rPr>
          <w:rFonts w:ascii="Times New Roman" w:hAnsi="Times New Roman"/>
          <w:sz w:val="24"/>
        </w:rPr>
        <w:t xml:space="preserve"> is included in this Explanatory </w:t>
      </w:r>
      <w:r w:rsidR="009C7626" w:rsidRPr="00A712E4">
        <w:rPr>
          <w:rFonts w:ascii="Times New Roman" w:hAnsi="Times New Roman"/>
          <w:sz w:val="24"/>
        </w:rPr>
        <w:t>Statement</w:t>
      </w:r>
      <w:r w:rsidRPr="00A712E4">
        <w:rPr>
          <w:rFonts w:ascii="Times New Roman" w:hAnsi="Times New Roman"/>
          <w:sz w:val="24"/>
        </w:rPr>
        <w:t xml:space="preserve"> at page</w:t>
      </w:r>
      <w:r w:rsidR="009D7454">
        <w:rPr>
          <w:rFonts w:ascii="Times New Roman" w:hAnsi="Times New Roman"/>
          <w:sz w:val="24"/>
        </w:rPr>
        <w:t xml:space="preserve"> </w:t>
      </w:r>
      <w:r w:rsidR="00E015F8">
        <w:rPr>
          <w:rFonts w:ascii="Times New Roman" w:hAnsi="Times New Roman"/>
          <w:sz w:val="24"/>
        </w:rPr>
        <w:t>5</w:t>
      </w:r>
      <w:r w:rsidRPr="00A712E4">
        <w:rPr>
          <w:rFonts w:ascii="Times New Roman" w:hAnsi="Times New Roman"/>
          <w:sz w:val="24"/>
        </w:rPr>
        <w:t>. The AUSTRAC CEO</w:t>
      </w:r>
      <w:r w:rsidR="0030571B" w:rsidRPr="00A712E4">
        <w:rPr>
          <w:rFonts w:ascii="Times New Roman" w:hAnsi="Times New Roman"/>
          <w:sz w:val="24"/>
        </w:rPr>
        <w:t>,</w:t>
      </w:r>
      <w:r w:rsidRPr="00A712E4">
        <w:rPr>
          <w:rFonts w:ascii="Times New Roman" w:hAnsi="Times New Roman"/>
          <w:sz w:val="24"/>
        </w:rPr>
        <w:t xml:space="preserve"> as the rule-maker of this legislative instrument</w:t>
      </w:r>
      <w:r w:rsidR="0030571B" w:rsidRPr="00A712E4">
        <w:rPr>
          <w:rFonts w:ascii="Times New Roman" w:hAnsi="Times New Roman"/>
          <w:sz w:val="24"/>
        </w:rPr>
        <w:t>,</w:t>
      </w:r>
      <w:r w:rsidRPr="00A712E4">
        <w:rPr>
          <w:rFonts w:ascii="Times New Roman" w:hAnsi="Times New Roman"/>
          <w:sz w:val="24"/>
        </w:rPr>
        <w:t xml:space="preserve"> has stated that it is compatible with the human rights and freedoms recognised or declared in the international instruments list</w:t>
      </w:r>
      <w:r w:rsidR="005B5D9A" w:rsidRPr="00A712E4">
        <w:rPr>
          <w:rFonts w:ascii="Times New Roman" w:hAnsi="Times New Roman"/>
          <w:sz w:val="24"/>
        </w:rPr>
        <w:t>ed</w:t>
      </w:r>
      <w:r w:rsidRPr="00A712E4">
        <w:rPr>
          <w:rFonts w:ascii="Times New Roman" w:hAnsi="Times New Roman"/>
          <w:sz w:val="24"/>
        </w:rPr>
        <w:t xml:space="preserve"> in section 3 of the </w:t>
      </w:r>
      <w:r w:rsidRPr="00A712E4">
        <w:rPr>
          <w:rFonts w:ascii="Times New Roman" w:hAnsi="Times New Roman"/>
          <w:i/>
          <w:sz w:val="24"/>
        </w:rPr>
        <w:t>Human Rights (Parliamentary Scrutiny) Act 2011</w:t>
      </w:r>
      <w:r w:rsidRPr="00A712E4">
        <w:rPr>
          <w:rFonts w:ascii="Times New Roman" w:hAnsi="Times New Roman"/>
          <w:sz w:val="24"/>
        </w:rPr>
        <w:t>.</w:t>
      </w:r>
    </w:p>
    <w:p w14:paraId="60658CFD" w14:textId="77777777" w:rsidR="00D71B84" w:rsidRPr="00A712E4" w:rsidRDefault="00D71B84" w:rsidP="00E33BDF">
      <w:pPr>
        <w:rPr>
          <w:rFonts w:ascii="Times New Roman" w:hAnsi="Times New Roman"/>
          <w:b/>
          <w:sz w:val="24"/>
        </w:rPr>
      </w:pPr>
    </w:p>
    <w:p w14:paraId="77F74606" w14:textId="41CD81AE" w:rsidR="003B7524" w:rsidRPr="00A712E4" w:rsidRDefault="003B7524" w:rsidP="00E33BDF">
      <w:pPr>
        <w:rPr>
          <w:rFonts w:ascii="Times New Roman" w:hAnsi="Times New Roman"/>
          <w:b/>
          <w:sz w:val="24"/>
        </w:rPr>
      </w:pPr>
      <w:r w:rsidRPr="00A712E4">
        <w:rPr>
          <w:rFonts w:ascii="Times New Roman" w:hAnsi="Times New Roman"/>
          <w:b/>
          <w:sz w:val="24"/>
        </w:rPr>
        <w:t>2.</w:t>
      </w:r>
      <w:r w:rsidRPr="00A712E4">
        <w:rPr>
          <w:rFonts w:ascii="Times New Roman" w:hAnsi="Times New Roman"/>
          <w:b/>
          <w:sz w:val="24"/>
        </w:rPr>
        <w:tab/>
        <w:t>Notes on sections</w:t>
      </w:r>
    </w:p>
    <w:p w14:paraId="64464851" w14:textId="77777777" w:rsidR="003B7524" w:rsidRPr="00A712E4" w:rsidRDefault="003B7524" w:rsidP="00326047">
      <w:pPr>
        <w:rPr>
          <w:rFonts w:ascii="Times New Roman" w:hAnsi="Times New Roman"/>
          <w:b/>
          <w:sz w:val="24"/>
        </w:rPr>
      </w:pPr>
    </w:p>
    <w:p w14:paraId="77513A18" w14:textId="77777777" w:rsidR="003B7524" w:rsidRPr="00A712E4" w:rsidRDefault="003B7524" w:rsidP="003B7524">
      <w:pPr>
        <w:rPr>
          <w:rFonts w:ascii="Times New Roman" w:hAnsi="Times New Roman"/>
          <w:b/>
          <w:sz w:val="24"/>
        </w:rPr>
      </w:pPr>
      <w:r w:rsidRPr="00A712E4">
        <w:rPr>
          <w:rFonts w:ascii="Times New Roman" w:hAnsi="Times New Roman"/>
          <w:b/>
          <w:sz w:val="24"/>
        </w:rPr>
        <w:t>Section 1</w:t>
      </w:r>
    </w:p>
    <w:p w14:paraId="022E8F6D" w14:textId="77777777" w:rsidR="003B7524" w:rsidRPr="00A712E4" w:rsidRDefault="003B7524" w:rsidP="003B7524">
      <w:pPr>
        <w:rPr>
          <w:rFonts w:ascii="Times New Roman" w:hAnsi="Times New Roman"/>
          <w:b/>
          <w:sz w:val="24"/>
        </w:rPr>
      </w:pPr>
    </w:p>
    <w:p w14:paraId="4F4100DE" w14:textId="5FCA3E48" w:rsidR="003B7524" w:rsidRPr="00A712E4" w:rsidRDefault="003B7524" w:rsidP="003B7524">
      <w:pPr>
        <w:rPr>
          <w:rFonts w:ascii="Times New Roman" w:hAnsi="Times New Roman"/>
          <w:i/>
          <w:sz w:val="24"/>
        </w:rPr>
      </w:pPr>
      <w:r w:rsidRPr="00A712E4">
        <w:rPr>
          <w:rFonts w:ascii="Times New Roman" w:hAnsi="Times New Roman"/>
          <w:sz w:val="24"/>
        </w:rPr>
        <w:t xml:space="preserve">This section sets out the name of the </w:t>
      </w:r>
      <w:r w:rsidR="00535FD4" w:rsidRPr="00A712E4">
        <w:rPr>
          <w:rFonts w:ascii="Times New Roman" w:hAnsi="Times New Roman"/>
          <w:sz w:val="24"/>
        </w:rPr>
        <w:t>I</w:t>
      </w:r>
      <w:r w:rsidRPr="00A712E4">
        <w:rPr>
          <w:rFonts w:ascii="Times New Roman" w:hAnsi="Times New Roman"/>
          <w:sz w:val="24"/>
        </w:rPr>
        <w:t xml:space="preserve">nstrument, i.e. the </w:t>
      </w:r>
      <w:r w:rsidRPr="00A712E4">
        <w:rPr>
          <w:rFonts w:ascii="Times New Roman" w:hAnsi="Times New Roman"/>
          <w:i/>
          <w:sz w:val="24"/>
        </w:rPr>
        <w:t xml:space="preserve">Anti-Money Laundering and Counter-Terrorism Financing Rules Amendment Instrument </w:t>
      </w:r>
      <w:r w:rsidR="00A434EF" w:rsidRPr="00A712E4">
        <w:rPr>
          <w:rFonts w:ascii="Times New Roman" w:hAnsi="Times New Roman"/>
          <w:i/>
          <w:sz w:val="24"/>
        </w:rPr>
        <w:t>201</w:t>
      </w:r>
      <w:r w:rsidR="005F5E52" w:rsidRPr="00A712E4">
        <w:rPr>
          <w:rFonts w:ascii="Times New Roman" w:hAnsi="Times New Roman"/>
          <w:i/>
          <w:sz w:val="24"/>
        </w:rPr>
        <w:t>4</w:t>
      </w:r>
      <w:r w:rsidR="00A434EF" w:rsidRPr="00A712E4">
        <w:rPr>
          <w:rFonts w:ascii="Times New Roman" w:hAnsi="Times New Roman"/>
          <w:i/>
          <w:sz w:val="24"/>
        </w:rPr>
        <w:t xml:space="preserve"> </w:t>
      </w:r>
      <w:r w:rsidRPr="00A712E4">
        <w:rPr>
          <w:rFonts w:ascii="Times New Roman" w:hAnsi="Times New Roman"/>
          <w:i/>
          <w:sz w:val="24"/>
        </w:rPr>
        <w:t>(No.</w:t>
      </w:r>
      <w:r w:rsidR="0030571B" w:rsidRPr="00A712E4">
        <w:rPr>
          <w:rFonts w:ascii="Times New Roman" w:hAnsi="Times New Roman"/>
          <w:i/>
          <w:sz w:val="24"/>
        </w:rPr>
        <w:t xml:space="preserve"> </w:t>
      </w:r>
      <w:r w:rsidR="00351A74">
        <w:rPr>
          <w:rFonts w:ascii="Times New Roman" w:hAnsi="Times New Roman"/>
          <w:i/>
          <w:sz w:val="24"/>
        </w:rPr>
        <w:t>6</w:t>
      </w:r>
      <w:r w:rsidRPr="00A712E4">
        <w:rPr>
          <w:rFonts w:ascii="Times New Roman" w:hAnsi="Times New Roman"/>
          <w:i/>
          <w:sz w:val="24"/>
        </w:rPr>
        <w:t>).</w:t>
      </w:r>
    </w:p>
    <w:p w14:paraId="0BCB2E4E" w14:textId="77777777" w:rsidR="003B7524" w:rsidRPr="00A712E4" w:rsidRDefault="003B7524" w:rsidP="003B7524">
      <w:pPr>
        <w:rPr>
          <w:rFonts w:ascii="Times New Roman" w:hAnsi="Times New Roman"/>
          <w:b/>
          <w:sz w:val="24"/>
        </w:rPr>
      </w:pPr>
    </w:p>
    <w:p w14:paraId="0CBC0ECD" w14:textId="77777777" w:rsidR="003B7524" w:rsidRPr="00A712E4" w:rsidRDefault="003B7524" w:rsidP="003B7524">
      <w:pPr>
        <w:rPr>
          <w:rFonts w:ascii="Times New Roman" w:hAnsi="Times New Roman"/>
          <w:b/>
          <w:sz w:val="24"/>
        </w:rPr>
      </w:pPr>
      <w:r w:rsidRPr="00A712E4">
        <w:rPr>
          <w:rFonts w:ascii="Times New Roman" w:hAnsi="Times New Roman"/>
          <w:b/>
          <w:sz w:val="24"/>
        </w:rPr>
        <w:t>Section 2</w:t>
      </w:r>
    </w:p>
    <w:p w14:paraId="2590853F" w14:textId="77777777" w:rsidR="003B7524" w:rsidRPr="00A712E4" w:rsidRDefault="003B7524" w:rsidP="003B7524">
      <w:pPr>
        <w:rPr>
          <w:rFonts w:ascii="Times New Roman" w:hAnsi="Times New Roman"/>
          <w:b/>
          <w:sz w:val="24"/>
        </w:rPr>
      </w:pPr>
    </w:p>
    <w:p w14:paraId="34549343" w14:textId="6C671B5C" w:rsidR="003B7524" w:rsidRPr="00A712E4" w:rsidRDefault="003B7524" w:rsidP="003B7524">
      <w:pPr>
        <w:rPr>
          <w:rFonts w:ascii="Times New Roman" w:hAnsi="Times New Roman"/>
          <w:sz w:val="24"/>
        </w:rPr>
      </w:pPr>
      <w:r w:rsidRPr="00A712E4">
        <w:rPr>
          <w:rFonts w:ascii="Times New Roman" w:hAnsi="Times New Roman"/>
          <w:sz w:val="24"/>
        </w:rPr>
        <w:t>This section specifies that</w:t>
      </w:r>
      <w:r w:rsidR="009A6156">
        <w:rPr>
          <w:rFonts w:ascii="Times New Roman" w:hAnsi="Times New Roman"/>
          <w:sz w:val="24"/>
        </w:rPr>
        <w:t xml:space="preserve"> the</w:t>
      </w:r>
      <w:r w:rsidRPr="00A712E4">
        <w:rPr>
          <w:rFonts w:ascii="Times New Roman" w:hAnsi="Times New Roman"/>
          <w:sz w:val="24"/>
        </w:rPr>
        <w:t xml:space="preserve"> </w:t>
      </w:r>
      <w:r w:rsidR="00412175" w:rsidRPr="00A712E4">
        <w:rPr>
          <w:rFonts w:ascii="Times New Roman" w:hAnsi="Times New Roman"/>
          <w:sz w:val="24"/>
        </w:rPr>
        <w:t>Instrument</w:t>
      </w:r>
      <w:r w:rsidR="004878CA" w:rsidRPr="00A712E4">
        <w:rPr>
          <w:rFonts w:ascii="Times New Roman" w:hAnsi="Times New Roman"/>
          <w:sz w:val="24"/>
        </w:rPr>
        <w:t xml:space="preserve"> </w:t>
      </w:r>
      <w:r w:rsidRPr="00A712E4">
        <w:rPr>
          <w:rFonts w:ascii="Times New Roman" w:hAnsi="Times New Roman"/>
          <w:sz w:val="24"/>
        </w:rPr>
        <w:t>commence</w:t>
      </w:r>
      <w:r w:rsidR="008B14C4" w:rsidRPr="00A712E4">
        <w:rPr>
          <w:rFonts w:ascii="Times New Roman" w:hAnsi="Times New Roman"/>
          <w:sz w:val="24"/>
        </w:rPr>
        <w:t>s</w:t>
      </w:r>
      <w:r w:rsidRPr="00A712E4">
        <w:rPr>
          <w:rFonts w:ascii="Times New Roman" w:hAnsi="Times New Roman"/>
          <w:sz w:val="24"/>
        </w:rPr>
        <w:t xml:space="preserve"> on </w:t>
      </w:r>
      <w:r w:rsidR="005C59EE">
        <w:rPr>
          <w:rFonts w:ascii="Times New Roman" w:hAnsi="Times New Roman"/>
          <w:sz w:val="24"/>
        </w:rPr>
        <w:t>1 January 2015</w:t>
      </w:r>
      <w:r w:rsidRPr="00A712E4">
        <w:rPr>
          <w:rFonts w:ascii="Times New Roman" w:hAnsi="Times New Roman"/>
          <w:sz w:val="24"/>
        </w:rPr>
        <w:t>.</w:t>
      </w:r>
    </w:p>
    <w:p w14:paraId="2D899CAE" w14:textId="77777777" w:rsidR="00EF1910" w:rsidRPr="00A712E4" w:rsidRDefault="00EF1910" w:rsidP="003B7524">
      <w:pPr>
        <w:rPr>
          <w:rFonts w:ascii="Times New Roman" w:hAnsi="Times New Roman"/>
          <w:b/>
          <w:sz w:val="24"/>
        </w:rPr>
      </w:pPr>
    </w:p>
    <w:p w14:paraId="07EC6646" w14:textId="5FFFE9FE" w:rsidR="003B7524" w:rsidRPr="00A712E4" w:rsidRDefault="003B7524" w:rsidP="003B7524">
      <w:pPr>
        <w:rPr>
          <w:rFonts w:ascii="Times New Roman" w:hAnsi="Times New Roman"/>
          <w:b/>
          <w:sz w:val="24"/>
        </w:rPr>
      </w:pPr>
      <w:r w:rsidRPr="00A712E4">
        <w:rPr>
          <w:rFonts w:ascii="Times New Roman" w:hAnsi="Times New Roman"/>
          <w:b/>
          <w:sz w:val="24"/>
        </w:rPr>
        <w:t>Section 3</w:t>
      </w:r>
    </w:p>
    <w:p w14:paraId="131C2F53" w14:textId="77777777" w:rsidR="00F7392E" w:rsidRPr="00A712E4" w:rsidRDefault="00F7392E" w:rsidP="003B7524">
      <w:pPr>
        <w:rPr>
          <w:rFonts w:ascii="Times New Roman" w:hAnsi="Times New Roman"/>
          <w:b/>
          <w:sz w:val="24"/>
        </w:rPr>
      </w:pPr>
    </w:p>
    <w:p w14:paraId="3B5036DA" w14:textId="4782D280" w:rsidR="00F7392E" w:rsidRPr="00A712E4" w:rsidRDefault="00F7392E" w:rsidP="00F7392E">
      <w:pPr>
        <w:rPr>
          <w:rFonts w:ascii="Times New Roman" w:hAnsi="Times New Roman"/>
          <w:sz w:val="24"/>
        </w:rPr>
      </w:pPr>
      <w:r w:rsidRPr="00A712E4">
        <w:rPr>
          <w:rFonts w:ascii="Times New Roman" w:hAnsi="Times New Roman"/>
          <w:sz w:val="24"/>
        </w:rPr>
        <w:t>This section contains the details of the amendment</w:t>
      </w:r>
      <w:r w:rsidR="00412175" w:rsidRPr="00A712E4">
        <w:rPr>
          <w:rFonts w:ascii="Times New Roman" w:hAnsi="Times New Roman"/>
          <w:sz w:val="24"/>
        </w:rPr>
        <w:t>s</w:t>
      </w:r>
      <w:r w:rsidRPr="00A712E4">
        <w:rPr>
          <w:rFonts w:ascii="Times New Roman" w:hAnsi="Times New Roman"/>
          <w:sz w:val="24"/>
        </w:rPr>
        <w:t>:</w:t>
      </w:r>
    </w:p>
    <w:p w14:paraId="0F552FC7" w14:textId="77777777" w:rsidR="00F7392E" w:rsidRPr="00A712E4" w:rsidRDefault="00F7392E" w:rsidP="00F7392E">
      <w:pPr>
        <w:rPr>
          <w:rFonts w:ascii="Times New Roman" w:hAnsi="Times New Roman"/>
          <w:b/>
          <w:sz w:val="24"/>
        </w:rPr>
      </w:pPr>
    </w:p>
    <w:p w14:paraId="6BC272DD" w14:textId="049A9A63" w:rsidR="00412175" w:rsidRPr="00A712E4" w:rsidRDefault="00F7392E" w:rsidP="00F7392E">
      <w:pPr>
        <w:rPr>
          <w:rFonts w:ascii="Times New Roman" w:hAnsi="Times New Roman"/>
          <w:sz w:val="24"/>
        </w:rPr>
      </w:pPr>
      <w:r w:rsidRPr="00A712E4">
        <w:rPr>
          <w:rFonts w:ascii="Times New Roman" w:hAnsi="Times New Roman"/>
          <w:sz w:val="24"/>
        </w:rPr>
        <w:t>Schedule 1</w:t>
      </w:r>
      <w:r w:rsidR="00B85A4C" w:rsidRPr="00A712E4">
        <w:rPr>
          <w:rFonts w:ascii="Times New Roman" w:hAnsi="Times New Roman"/>
          <w:sz w:val="24"/>
        </w:rPr>
        <w:t xml:space="preserve"> amend</w:t>
      </w:r>
      <w:r w:rsidR="005C59EE">
        <w:rPr>
          <w:rFonts w:ascii="Times New Roman" w:hAnsi="Times New Roman"/>
          <w:sz w:val="24"/>
        </w:rPr>
        <w:t>s</w:t>
      </w:r>
      <w:r w:rsidRPr="00A712E4">
        <w:rPr>
          <w:rFonts w:ascii="Times New Roman" w:hAnsi="Times New Roman"/>
          <w:sz w:val="24"/>
        </w:rPr>
        <w:t xml:space="preserve"> the </w:t>
      </w:r>
      <w:r w:rsidRPr="00A712E4">
        <w:rPr>
          <w:rFonts w:ascii="Times New Roman" w:hAnsi="Times New Roman"/>
          <w:i/>
          <w:sz w:val="24"/>
        </w:rPr>
        <w:t>Anti-Money Laundering and Counter-Terrorism Financing Rules Instrument 2007 (No.</w:t>
      </w:r>
      <w:r w:rsidR="00FE78D3" w:rsidRPr="00A712E4">
        <w:rPr>
          <w:rFonts w:ascii="Times New Roman" w:hAnsi="Times New Roman"/>
          <w:i/>
          <w:sz w:val="24"/>
        </w:rPr>
        <w:t xml:space="preserve"> </w:t>
      </w:r>
      <w:r w:rsidRPr="00A712E4">
        <w:rPr>
          <w:rFonts w:ascii="Times New Roman" w:hAnsi="Times New Roman"/>
          <w:i/>
          <w:sz w:val="24"/>
        </w:rPr>
        <w:t>1)</w:t>
      </w:r>
      <w:r w:rsidRPr="00A712E4">
        <w:rPr>
          <w:rFonts w:ascii="Times New Roman" w:hAnsi="Times New Roman"/>
          <w:sz w:val="24"/>
        </w:rPr>
        <w:t>.</w:t>
      </w:r>
    </w:p>
    <w:p w14:paraId="4604055A" w14:textId="77777777" w:rsidR="00F7392E" w:rsidRPr="00A712E4" w:rsidRDefault="00F7392E" w:rsidP="00F7392E">
      <w:pPr>
        <w:rPr>
          <w:rFonts w:ascii="Times New Roman" w:hAnsi="Times New Roman"/>
          <w:b/>
          <w:sz w:val="24"/>
        </w:rPr>
      </w:pPr>
    </w:p>
    <w:p w14:paraId="234E3540" w14:textId="382C0DC1" w:rsidR="00F7392E" w:rsidRPr="00A712E4" w:rsidRDefault="00F7392E" w:rsidP="00F7392E">
      <w:pPr>
        <w:rPr>
          <w:rFonts w:ascii="Times New Roman" w:hAnsi="Times New Roman"/>
          <w:b/>
          <w:sz w:val="24"/>
        </w:rPr>
      </w:pPr>
      <w:r w:rsidRPr="00A712E4">
        <w:rPr>
          <w:rFonts w:ascii="Times New Roman" w:hAnsi="Times New Roman"/>
          <w:b/>
          <w:sz w:val="24"/>
        </w:rPr>
        <w:t>Schedule 1</w:t>
      </w:r>
    </w:p>
    <w:p w14:paraId="0A5D8CC7" w14:textId="77777777" w:rsidR="003340DB" w:rsidRPr="00A712E4" w:rsidRDefault="003340DB" w:rsidP="00F7392E">
      <w:pPr>
        <w:rPr>
          <w:rFonts w:ascii="Times New Roman" w:hAnsi="Times New Roman"/>
          <w:b/>
          <w:sz w:val="24"/>
        </w:rPr>
      </w:pPr>
    </w:p>
    <w:p w14:paraId="73953E48" w14:textId="66C23B61" w:rsidR="00412175" w:rsidRPr="00A712E4" w:rsidRDefault="005114F2" w:rsidP="005114F2">
      <w:pPr>
        <w:rPr>
          <w:rFonts w:ascii="Times New Roman" w:hAnsi="Times New Roman"/>
          <w:sz w:val="24"/>
        </w:rPr>
      </w:pPr>
      <w:r w:rsidRPr="00A712E4">
        <w:rPr>
          <w:rFonts w:ascii="Times New Roman" w:hAnsi="Times New Roman"/>
          <w:sz w:val="24"/>
        </w:rPr>
        <w:t xml:space="preserve">This schedule </w:t>
      </w:r>
      <w:r w:rsidR="00951830">
        <w:rPr>
          <w:rFonts w:ascii="Times New Roman" w:hAnsi="Times New Roman"/>
          <w:sz w:val="24"/>
        </w:rPr>
        <w:t xml:space="preserve">adds a new chapter, </w:t>
      </w:r>
      <w:r w:rsidR="005C59EE">
        <w:rPr>
          <w:rFonts w:ascii="Times New Roman" w:hAnsi="Times New Roman"/>
          <w:sz w:val="24"/>
        </w:rPr>
        <w:t>Chapter 71</w:t>
      </w:r>
      <w:r w:rsidR="00412175" w:rsidRPr="00A712E4">
        <w:rPr>
          <w:rFonts w:ascii="Times New Roman" w:hAnsi="Times New Roman"/>
          <w:sz w:val="24"/>
        </w:rPr>
        <w:t xml:space="preserve">. </w:t>
      </w:r>
    </w:p>
    <w:p w14:paraId="53967E96" w14:textId="13824E5E" w:rsidR="003B7524" w:rsidRPr="00A712E4" w:rsidRDefault="003B7524" w:rsidP="003B7524">
      <w:pPr>
        <w:spacing w:before="240"/>
        <w:rPr>
          <w:rFonts w:ascii="Times New Roman" w:hAnsi="Times New Roman"/>
          <w:b/>
          <w:sz w:val="24"/>
        </w:rPr>
      </w:pPr>
      <w:r w:rsidRPr="00A712E4">
        <w:rPr>
          <w:rFonts w:ascii="Times New Roman" w:hAnsi="Times New Roman"/>
          <w:b/>
          <w:sz w:val="24"/>
        </w:rPr>
        <w:t>3.</w:t>
      </w:r>
      <w:r w:rsidRPr="00A712E4">
        <w:rPr>
          <w:rFonts w:ascii="Times New Roman" w:hAnsi="Times New Roman"/>
          <w:b/>
          <w:sz w:val="24"/>
        </w:rPr>
        <w:tab/>
        <w:t xml:space="preserve">Notes on </w:t>
      </w:r>
      <w:r w:rsidR="00F7392E" w:rsidRPr="00A712E4">
        <w:rPr>
          <w:rFonts w:ascii="Times New Roman" w:hAnsi="Times New Roman"/>
          <w:b/>
          <w:sz w:val="24"/>
        </w:rPr>
        <w:t>I</w:t>
      </w:r>
      <w:r w:rsidR="00430DA3" w:rsidRPr="00A712E4">
        <w:rPr>
          <w:rFonts w:ascii="Times New Roman" w:hAnsi="Times New Roman"/>
          <w:b/>
          <w:sz w:val="24"/>
        </w:rPr>
        <w:t>tems</w:t>
      </w:r>
    </w:p>
    <w:p w14:paraId="4F832592" w14:textId="77777777" w:rsidR="007B0B01" w:rsidRPr="00A712E4" w:rsidRDefault="007B0B01" w:rsidP="007B0B01">
      <w:pPr>
        <w:spacing w:before="240"/>
        <w:rPr>
          <w:rFonts w:ascii="Times New Roman" w:hAnsi="Times New Roman"/>
          <w:b/>
          <w:sz w:val="24"/>
        </w:rPr>
      </w:pPr>
      <w:r w:rsidRPr="00A712E4">
        <w:rPr>
          <w:rFonts w:ascii="Times New Roman" w:hAnsi="Times New Roman"/>
          <w:b/>
          <w:sz w:val="24"/>
        </w:rPr>
        <w:t>Schedule 1</w:t>
      </w:r>
    </w:p>
    <w:p w14:paraId="16ABBDF4" w14:textId="7AA051E0" w:rsidR="0049116B" w:rsidRPr="00A712E4" w:rsidRDefault="0049116B" w:rsidP="003D1772">
      <w:pPr>
        <w:numPr>
          <w:ilvl w:val="0"/>
          <w:numId w:val="21"/>
        </w:numPr>
        <w:tabs>
          <w:tab w:val="left" w:pos="709"/>
        </w:tabs>
        <w:spacing w:before="240"/>
        <w:ind w:left="709" w:hanging="709"/>
        <w:rPr>
          <w:rFonts w:ascii="Times New Roman" w:hAnsi="Times New Roman"/>
          <w:b/>
          <w:sz w:val="24"/>
        </w:rPr>
      </w:pPr>
      <w:r w:rsidRPr="00A712E4">
        <w:rPr>
          <w:rFonts w:ascii="Times New Roman" w:hAnsi="Times New Roman"/>
          <w:b/>
          <w:sz w:val="24"/>
        </w:rPr>
        <w:t xml:space="preserve">Chapter </w:t>
      </w:r>
      <w:r w:rsidR="007C6D7E">
        <w:rPr>
          <w:rFonts w:ascii="Times New Roman" w:hAnsi="Times New Roman"/>
          <w:b/>
          <w:sz w:val="24"/>
        </w:rPr>
        <w:t>71</w:t>
      </w:r>
    </w:p>
    <w:p w14:paraId="79E20635" w14:textId="71BF6D89" w:rsidR="007B0B01" w:rsidRPr="00A712E4" w:rsidRDefault="007B0B01" w:rsidP="007B0B01">
      <w:pPr>
        <w:spacing w:before="240"/>
        <w:rPr>
          <w:rFonts w:ascii="Times New Roman" w:hAnsi="Times New Roman"/>
          <w:b/>
          <w:sz w:val="24"/>
        </w:rPr>
      </w:pPr>
      <w:r w:rsidRPr="00A712E4">
        <w:rPr>
          <w:rFonts w:ascii="Times New Roman" w:hAnsi="Times New Roman"/>
          <w:b/>
          <w:sz w:val="24"/>
        </w:rPr>
        <w:t>Item 1</w:t>
      </w:r>
    </w:p>
    <w:p w14:paraId="7907430A" w14:textId="3E0C4130" w:rsidR="00412175" w:rsidRPr="008507A3" w:rsidRDefault="008507A3" w:rsidP="00231302">
      <w:pPr>
        <w:spacing w:before="240"/>
        <w:rPr>
          <w:rFonts w:ascii="Times New Roman" w:hAnsi="Times New Roman"/>
          <w:b/>
          <w:sz w:val="24"/>
        </w:rPr>
      </w:pPr>
      <w:r w:rsidRPr="008507A3">
        <w:rPr>
          <w:rFonts w:ascii="Times New Roman" w:hAnsi="Times New Roman"/>
          <w:b/>
          <w:sz w:val="24"/>
        </w:rPr>
        <w:t>Paragraph 71.1</w:t>
      </w:r>
    </w:p>
    <w:p w14:paraId="29F52EAC" w14:textId="214B6EE8" w:rsidR="008507A3" w:rsidRPr="00A712E4" w:rsidRDefault="008507A3" w:rsidP="00231302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This paragraph specifies that Chapter 71 is made under section 229 for </w:t>
      </w:r>
      <w:r w:rsidRPr="00DF37FF">
        <w:rPr>
          <w:rFonts w:ascii="Times New Roman" w:hAnsi="Times New Roman"/>
          <w:sz w:val="24"/>
          <w:lang w:eastAsia="en-AU"/>
        </w:rPr>
        <w:t xml:space="preserve">the purposes of paragraph (e) of Items 1, 2 and 3 in Table 1 of subsection 6(2) </w:t>
      </w:r>
      <w:r>
        <w:rPr>
          <w:rFonts w:ascii="Times New Roman" w:hAnsi="Times New Roman"/>
          <w:sz w:val="24"/>
          <w:lang w:eastAsia="en-AU"/>
        </w:rPr>
        <w:t>of the AML/CTF Act</w:t>
      </w:r>
      <w:r>
        <w:rPr>
          <w:rFonts w:ascii="Times New Roman" w:hAnsi="Times New Roman"/>
          <w:sz w:val="24"/>
        </w:rPr>
        <w:t xml:space="preserve">, which relates to </w:t>
      </w:r>
      <w:r w:rsidR="00D5145B">
        <w:rPr>
          <w:rFonts w:ascii="Times New Roman" w:hAnsi="Times New Roman"/>
          <w:sz w:val="24"/>
        </w:rPr>
        <w:t xml:space="preserve">specifying </w:t>
      </w:r>
      <w:r w:rsidR="00CA161C">
        <w:rPr>
          <w:rFonts w:ascii="Times New Roman" w:hAnsi="Times New Roman"/>
          <w:sz w:val="24"/>
        </w:rPr>
        <w:t>a person as a provider of the designated service set out in each item of the table</w:t>
      </w:r>
      <w:r>
        <w:rPr>
          <w:rFonts w:ascii="Times New Roman" w:hAnsi="Times New Roman"/>
          <w:sz w:val="24"/>
        </w:rPr>
        <w:t>.</w:t>
      </w:r>
    </w:p>
    <w:p w14:paraId="2F55F576" w14:textId="575980A8" w:rsidR="008507A3" w:rsidRPr="008507A3" w:rsidRDefault="008507A3" w:rsidP="008507A3">
      <w:pPr>
        <w:spacing w:before="240"/>
        <w:rPr>
          <w:rFonts w:ascii="Times New Roman" w:hAnsi="Times New Roman"/>
          <w:b/>
          <w:sz w:val="24"/>
        </w:rPr>
      </w:pPr>
      <w:r w:rsidRPr="008507A3">
        <w:rPr>
          <w:rFonts w:ascii="Times New Roman" w:hAnsi="Times New Roman"/>
          <w:b/>
          <w:sz w:val="24"/>
        </w:rPr>
        <w:t>Paragraph 71.</w:t>
      </w:r>
      <w:r>
        <w:rPr>
          <w:rFonts w:ascii="Times New Roman" w:hAnsi="Times New Roman"/>
          <w:b/>
          <w:sz w:val="24"/>
        </w:rPr>
        <w:t>2</w:t>
      </w:r>
    </w:p>
    <w:p w14:paraId="7113414B" w14:textId="5EFB1D1F" w:rsidR="00412175" w:rsidRPr="00A712E4" w:rsidRDefault="002B05E8" w:rsidP="00231302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paragraph </w:t>
      </w:r>
      <w:r w:rsidR="00AF6CC4">
        <w:rPr>
          <w:rFonts w:ascii="Times New Roman" w:hAnsi="Times New Roman"/>
          <w:sz w:val="24"/>
        </w:rPr>
        <w:t xml:space="preserve">sets out </w:t>
      </w:r>
      <w:r w:rsidR="00035CA9">
        <w:rPr>
          <w:rFonts w:ascii="Times New Roman" w:hAnsi="Times New Roman"/>
          <w:sz w:val="24"/>
        </w:rPr>
        <w:t xml:space="preserve">that a person who carries out the activities of credit card issuing or credit card acquiring </w:t>
      </w:r>
      <w:r w:rsidR="001322E8">
        <w:rPr>
          <w:rFonts w:ascii="Times New Roman" w:hAnsi="Times New Roman"/>
          <w:sz w:val="24"/>
        </w:rPr>
        <w:t xml:space="preserve">(or both) </w:t>
      </w:r>
      <w:r w:rsidR="00035CA9">
        <w:rPr>
          <w:rFonts w:ascii="Times New Roman" w:hAnsi="Times New Roman"/>
          <w:sz w:val="24"/>
        </w:rPr>
        <w:t>and meets the conditions described is a</w:t>
      </w:r>
      <w:r w:rsidR="00AF6CC4">
        <w:rPr>
          <w:rFonts w:ascii="Times New Roman" w:hAnsi="Times New Roman"/>
          <w:sz w:val="24"/>
        </w:rPr>
        <w:t xml:space="preserve"> person who </w:t>
      </w:r>
      <w:r w:rsidR="00035CA9">
        <w:rPr>
          <w:rFonts w:ascii="Times New Roman" w:hAnsi="Times New Roman"/>
          <w:sz w:val="24"/>
        </w:rPr>
        <w:t>is</w:t>
      </w:r>
      <w:r w:rsidR="00AF6CC4">
        <w:rPr>
          <w:rFonts w:ascii="Times New Roman" w:hAnsi="Times New Roman"/>
          <w:sz w:val="24"/>
        </w:rPr>
        <w:t xml:space="preserve"> specified for the purposes of paragraph (e) of Item 1</w:t>
      </w:r>
      <w:r w:rsidR="00AF6CC4" w:rsidRPr="00AF6CC4">
        <w:rPr>
          <w:rFonts w:ascii="Times New Roman" w:hAnsi="Times New Roman"/>
          <w:sz w:val="24"/>
          <w:lang w:eastAsia="en-AU"/>
        </w:rPr>
        <w:t xml:space="preserve"> </w:t>
      </w:r>
      <w:r w:rsidR="00924ED1">
        <w:rPr>
          <w:rFonts w:ascii="Times New Roman" w:hAnsi="Times New Roman"/>
          <w:sz w:val="24"/>
          <w:lang w:eastAsia="en-AU"/>
        </w:rPr>
        <w:t>in Table 1 of</w:t>
      </w:r>
      <w:r w:rsidR="00AF6CC4" w:rsidRPr="00DF37FF">
        <w:rPr>
          <w:rFonts w:ascii="Times New Roman" w:hAnsi="Times New Roman"/>
          <w:sz w:val="24"/>
          <w:lang w:eastAsia="en-AU"/>
        </w:rPr>
        <w:t xml:space="preserve"> subsection 6(2) </w:t>
      </w:r>
      <w:r w:rsidR="00AF6CC4">
        <w:rPr>
          <w:rFonts w:ascii="Times New Roman" w:hAnsi="Times New Roman"/>
          <w:sz w:val="24"/>
          <w:lang w:eastAsia="en-AU"/>
        </w:rPr>
        <w:t>of the AML/CTF Act</w:t>
      </w:r>
      <w:r w:rsidR="00AF6CC4">
        <w:rPr>
          <w:rFonts w:ascii="Times New Roman" w:hAnsi="Times New Roman"/>
          <w:sz w:val="24"/>
        </w:rPr>
        <w:t>.</w:t>
      </w:r>
    </w:p>
    <w:p w14:paraId="2BD04BED" w14:textId="4AA8C9CF" w:rsidR="008507A3" w:rsidRPr="008507A3" w:rsidRDefault="008507A3" w:rsidP="008507A3">
      <w:pPr>
        <w:spacing w:before="240"/>
        <w:rPr>
          <w:rFonts w:ascii="Times New Roman" w:hAnsi="Times New Roman"/>
          <w:b/>
          <w:sz w:val="24"/>
        </w:rPr>
      </w:pPr>
      <w:r w:rsidRPr="008507A3">
        <w:rPr>
          <w:rFonts w:ascii="Times New Roman" w:hAnsi="Times New Roman"/>
          <w:b/>
          <w:sz w:val="24"/>
        </w:rPr>
        <w:t>Paragraph 71.</w:t>
      </w:r>
      <w:r>
        <w:rPr>
          <w:rFonts w:ascii="Times New Roman" w:hAnsi="Times New Roman"/>
          <w:b/>
          <w:sz w:val="24"/>
        </w:rPr>
        <w:t>3</w:t>
      </w:r>
    </w:p>
    <w:p w14:paraId="0ACDFA03" w14:textId="0E4F3CD1" w:rsidR="00027022" w:rsidRPr="00A712E4" w:rsidRDefault="00035CA9" w:rsidP="00231302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paragraph sets out that a person who carries out the activities of credit card issuing or credit card acquiring </w:t>
      </w:r>
      <w:r w:rsidR="001322E8">
        <w:rPr>
          <w:rFonts w:ascii="Times New Roman" w:hAnsi="Times New Roman"/>
          <w:sz w:val="24"/>
        </w:rPr>
        <w:t xml:space="preserve">(or both) </w:t>
      </w:r>
      <w:r>
        <w:rPr>
          <w:rFonts w:ascii="Times New Roman" w:hAnsi="Times New Roman"/>
          <w:sz w:val="24"/>
        </w:rPr>
        <w:t>and meets the conditions described is a person who is specified for the purposes of paragraph (e) of Item 2</w:t>
      </w:r>
      <w:r w:rsidRPr="00AF6CC4">
        <w:rPr>
          <w:rFonts w:ascii="Times New Roman" w:hAnsi="Times New Roman"/>
          <w:sz w:val="24"/>
          <w:lang w:eastAsia="en-AU"/>
        </w:rPr>
        <w:t xml:space="preserve"> </w:t>
      </w:r>
      <w:r w:rsidR="00924ED1">
        <w:rPr>
          <w:rFonts w:ascii="Times New Roman" w:hAnsi="Times New Roman"/>
          <w:sz w:val="24"/>
          <w:lang w:eastAsia="en-AU"/>
        </w:rPr>
        <w:t xml:space="preserve">in Table 1 </w:t>
      </w:r>
      <w:r w:rsidRPr="00DF37FF">
        <w:rPr>
          <w:rFonts w:ascii="Times New Roman" w:hAnsi="Times New Roman"/>
          <w:sz w:val="24"/>
          <w:lang w:eastAsia="en-AU"/>
        </w:rPr>
        <w:t xml:space="preserve">of subsection 6(2) </w:t>
      </w:r>
      <w:r>
        <w:rPr>
          <w:rFonts w:ascii="Times New Roman" w:hAnsi="Times New Roman"/>
          <w:sz w:val="24"/>
          <w:lang w:eastAsia="en-AU"/>
        </w:rPr>
        <w:t>of the AML/CTF Act</w:t>
      </w:r>
      <w:r>
        <w:rPr>
          <w:rFonts w:ascii="Times New Roman" w:hAnsi="Times New Roman"/>
          <w:sz w:val="24"/>
        </w:rPr>
        <w:t>.</w:t>
      </w:r>
    </w:p>
    <w:p w14:paraId="4852F306" w14:textId="4DBDB4DC" w:rsidR="008507A3" w:rsidRPr="008507A3" w:rsidRDefault="008507A3" w:rsidP="008507A3">
      <w:pPr>
        <w:spacing w:before="240"/>
        <w:rPr>
          <w:rFonts w:ascii="Times New Roman" w:hAnsi="Times New Roman"/>
          <w:b/>
          <w:sz w:val="24"/>
        </w:rPr>
      </w:pPr>
      <w:r w:rsidRPr="008507A3">
        <w:rPr>
          <w:rFonts w:ascii="Times New Roman" w:hAnsi="Times New Roman"/>
          <w:b/>
          <w:sz w:val="24"/>
        </w:rPr>
        <w:t>Paragraph 71.</w:t>
      </w:r>
      <w:r>
        <w:rPr>
          <w:rFonts w:ascii="Times New Roman" w:hAnsi="Times New Roman"/>
          <w:b/>
          <w:sz w:val="24"/>
        </w:rPr>
        <w:t>4</w:t>
      </w:r>
    </w:p>
    <w:p w14:paraId="70797395" w14:textId="24A4270E" w:rsidR="00027022" w:rsidRPr="00A712E4" w:rsidRDefault="00035CA9" w:rsidP="00231302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paragraph sets out that a person who carries out the activities of credit card issuing or credit card acquiring </w:t>
      </w:r>
      <w:r w:rsidR="001322E8">
        <w:rPr>
          <w:rFonts w:ascii="Times New Roman" w:hAnsi="Times New Roman"/>
          <w:sz w:val="24"/>
        </w:rPr>
        <w:t xml:space="preserve">(or both) </w:t>
      </w:r>
      <w:r>
        <w:rPr>
          <w:rFonts w:ascii="Times New Roman" w:hAnsi="Times New Roman"/>
          <w:sz w:val="24"/>
        </w:rPr>
        <w:t>and meets the conditions described is a person who is specified for the purposes of paragraph (e) of Item 3</w:t>
      </w:r>
      <w:r w:rsidRPr="00AF6CC4">
        <w:rPr>
          <w:rFonts w:ascii="Times New Roman" w:hAnsi="Times New Roman"/>
          <w:sz w:val="24"/>
          <w:lang w:eastAsia="en-AU"/>
        </w:rPr>
        <w:t xml:space="preserve"> </w:t>
      </w:r>
      <w:r w:rsidR="00924ED1">
        <w:rPr>
          <w:rFonts w:ascii="Times New Roman" w:hAnsi="Times New Roman"/>
          <w:sz w:val="24"/>
          <w:lang w:eastAsia="en-AU"/>
        </w:rPr>
        <w:t xml:space="preserve">in Table 1 </w:t>
      </w:r>
      <w:r w:rsidRPr="00DF37FF">
        <w:rPr>
          <w:rFonts w:ascii="Times New Roman" w:hAnsi="Times New Roman"/>
          <w:sz w:val="24"/>
          <w:lang w:eastAsia="en-AU"/>
        </w:rPr>
        <w:t xml:space="preserve">of subsection 6(2) </w:t>
      </w:r>
      <w:r>
        <w:rPr>
          <w:rFonts w:ascii="Times New Roman" w:hAnsi="Times New Roman"/>
          <w:sz w:val="24"/>
          <w:lang w:eastAsia="en-AU"/>
        </w:rPr>
        <w:t>of the AML/CTF Act</w:t>
      </w:r>
      <w:r>
        <w:rPr>
          <w:rFonts w:ascii="Times New Roman" w:hAnsi="Times New Roman"/>
          <w:sz w:val="24"/>
        </w:rPr>
        <w:t>.</w:t>
      </w:r>
    </w:p>
    <w:p w14:paraId="01D0285A" w14:textId="4A40AF8D" w:rsidR="008507A3" w:rsidRPr="008507A3" w:rsidRDefault="008507A3" w:rsidP="008507A3">
      <w:pPr>
        <w:spacing w:before="240"/>
        <w:rPr>
          <w:rFonts w:ascii="Times New Roman" w:hAnsi="Times New Roman"/>
          <w:b/>
          <w:sz w:val="24"/>
        </w:rPr>
      </w:pPr>
      <w:r w:rsidRPr="008507A3">
        <w:rPr>
          <w:rFonts w:ascii="Times New Roman" w:hAnsi="Times New Roman"/>
          <w:b/>
          <w:sz w:val="24"/>
        </w:rPr>
        <w:t>Paragraph 71.</w:t>
      </w:r>
      <w:r>
        <w:rPr>
          <w:rFonts w:ascii="Times New Roman" w:hAnsi="Times New Roman"/>
          <w:b/>
          <w:sz w:val="24"/>
        </w:rPr>
        <w:t>5</w:t>
      </w:r>
    </w:p>
    <w:p w14:paraId="714E0719" w14:textId="6694AD38" w:rsidR="00027022" w:rsidRPr="00A712E4" w:rsidRDefault="005301F3" w:rsidP="00231302">
      <w:pPr>
        <w:spacing w:before="24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This paragraph defines </w:t>
      </w:r>
      <w:r w:rsidRPr="00DF37FF">
        <w:rPr>
          <w:rFonts w:ascii="Times New Roman" w:hAnsi="Times New Roman"/>
          <w:sz w:val="24"/>
          <w:lang w:eastAsia="en-AU"/>
        </w:rPr>
        <w:t>‘credit card acquiring’</w:t>
      </w:r>
      <w:r>
        <w:rPr>
          <w:rFonts w:ascii="Times New Roman" w:hAnsi="Times New Roman"/>
          <w:sz w:val="24"/>
          <w:lang w:eastAsia="en-AU"/>
        </w:rPr>
        <w:t xml:space="preserve">, </w:t>
      </w:r>
      <w:r w:rsidRPr="00DF37FF">
        <w:rPr>
          <w:rFonts w:ascii="Times New Roman" w:hAnsi="Times New Roman"/>
          <w:sz w:val="24"/>
          <w:lang w:eastAsia="en-AU"/>
        </w:rPr>
        <w:t>‘credit card issuing’</w:t>
      </w:r>
      <w:r>
        <w:rPr>
          <w:rFonts w:ascii="Times New Roman" w:hAnsi="Times New Roman"/>
          <w:sz w:val="24"/>
          <w:lang w:eastAsia="en-AU"/>
        </w:rPr>
        <w:t xml:space="preserve">, </w:t>
      </w:r>
      <w:r w:rsidRPr="00DF37FF">
        <w:rPr>
          <w:rFonts w:ascii="Times New Roman" w:hAnsi="Times New Roman"/>
          <w:sz w:val="24"/>
          <w:lang w:eastAsia="en-AU"/>
        </w:rPr>
        <w:t>‘credit card transaction’</w:t>
      </w:r>
      <w:r>
        <w:rPr>
          <w:rFonts w:ascii="Times New Roman" w:hAnsi="Times New Roman"/>
          <w:sz w:val="24"/>
          <w:lang w:eastAsia="en-AU"/>
        </w:rPr>
        <w:t xml:space="preserve">, </w:t>
      </w:r>
      <w:r w:rsidRPr="00DF37FF">
        <w:rPr>
          <w:rFonts w:ascii="Times New Roman" w:hAnsi="Times New Roman"/>
          <w:sz w:val="24"/>
          <w:lang w:eastAsia="en-AU"/>
        </w:rPr>
        <w:t>‘</w:t>
      </w:r>
      <w:proofErr w:type="gramStart"/>
      <w:r w:rsidRPr="00DF37FF">
        <w:rPr>
          <w:rFonts w:ascii="Times New Roman" w:hAnsi="Times New Roman"/>
          <w:sz w:val="24"/>
          <w:lang w:eastAsia="en-AU"/>
        </w:rPr>
        <w:t>merchant’</w:t>
      </w:r>
      <w:r>
        <w:rPr>
          <w:rFonts w:ascii="Times New Roman" w:hAnsi="Times New Roman"/>
          <w:sz w:val="24"/>
          <w:lang w:eastAsia="en-AU"/>
        </w:rPr>
        <w:t xml:space="preserve"> and </w:t>
      </w:r>
      <w:r w:rsidRPr="00DF37FF">
        <w:rPr>
          <w:rFonts w:ascii="Times New Roman" w:hAnsi="Times New Roman"/>
          <w:sz w:val="24"/>
          <w:lang w:eastAsia="en-AU"/>
        </w:rPr>
        <w:t>‘payment</w:t>
      </w:r>
      <w:proofErr w:type="gramEnd"/>
      <w:r w:rsidRPr="00DF37FF">
        <w:rPr>
          <w:rFonts w:ascii="Times New Roman" w:hAnsi="Times New Roman"/>
          <w:sz w:val="24"/>
          <w:lang w:eastAsia="en-AU"/>
        </w:rPr>
        <w:t xml:space="preserve"> system’</w:t>
      </w:r>
      <w:r>
        <w:rPr>
          <w:rFonts w:ascii="Times New Roman" w:hAnsi="Times New Roman"/>
          <w:sz w:val="24"/>
          <w:lang w:eastAsia="en-AU"/>
        </w:rPr>
        <w:t>.</w:t>
      </w:r>
    </w:p>
    <w:p w14:paraId="0C64A2C1" w14:textId="12075C39" w:rsidR="003B7524" w:rsidRPr="00A712E4" w:rsidRDefault="003B7524" w:rsidP="003B7524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sz w:val="24"/>
        </w:rPr>
      </w:pPr>
      <w:r w:rsidRPr="00A712E4">
        <w:rPr>
          <w:rFonts w:ascii="Times New Roman" w:hAnsi="Times New Roman"/>
          <w:b/>
          <w:sz w:val="24"/>
        </w:rPr>
        <w:t>4.</w:t>
      </w:r>
      <w:r w:rsidRPr="00A712E4">
        <w:rPr>
          <w:rFonts w:ascii="Times New Roman" w:hAnsi="Times New Roman"/>
          <w:b/>
          <w:sz w:val="24"/>
        </w:rPr>
        <w:tab/>
        <w:t>Legislative instruments</w:t>
      </w:r>
    </w:p>
    <w:p w14:paraId="0BC47B17" w14:textId="65008E7C" w:rsidR="003B7524" w:rsidRPr="00A712E4" w:rsidRDefault="003B7524" w:rsidP="003B7524">
      <w:pPr>
        <w:spacing w:before="240"/>
        <w:rPr>
          <w:rFonts w:ascii="Times New Roman" w:hAnsi="Times New Roman"/>
          <w:sz w:val="24"/>
        </w:rPr>
      </w:pPr>
      <w:r w:rsidRPr="00A712E4">
        <w:rPr>
          <w:rFonts w:ascii="Times New Roman" w:hAnsi="Times New Roman"/>
          <w:sz w:val="24"/>
        </w:rPr>
        <w:t xml:space="preserve">These AML/CTF Rules are </w:t>
      </w:r>
      <w:r w:rsidR="006B3743">
        <w:rPr>
          <w:rFonts w:ascii="Times New Roman" w:hAnsi="Times New Roman"/>
          <w:sz w:val="24"/>
        </w:rPr>
        <w:t>a legislative instrument</w:t>
      </w:r>
      <w:r w:rsidRPr="00A712E4">
        <w:rPr>
          <w:rFonts w:ascii="Times New Roman" w:hAnsi="Times New Roman"/>
          <w:sz w:val="24"/>
        </w:rPr>
        <w:t xml:space="preserve"> as defined in section 5 of the </w:t>
      </w:r>
      <w:r w:rsidRPr="00A712E4">
        <w:rPr>
          <w:rFonts w:ascii="Times New Roman" w:hAnsi="Times New Roman"/>
          <w:i/>
          <w:sz w:val="24"/>
        </w:rPr>
        <w:t>Legislative Instruments Act 2003</w:t>
      </w:r>
      <w:r w:rsidRPr="00A712E4">
        <w:rPr>
          <w:rFonts w:ascii="Times New Roman" w:hAnsi="Times New Roman"/>
          <w:sz w:val="24"/>
        </w:rPr>
        <w:t>.</w:t>
      </w:r>
    </w:p>
    <w:p w14:paraId="0BB2E4F2" w14:textId="77777777" w:rsidR="003B7524" w:rsidRPr="00A712E4" w:rsidRDefault="003B7524" w:rsidP="003B7524">
      <w:pPr>
        <w:spacing w:before="240"/>
        <w:rPr>
          <w:rFonts w:ascii="Times New Roman" w:hAnsi="Times New Roman"/>
          <w:b/>
          <w:sz w:val="24"/>
        </w:rPr>
      </w:pPr>
      <w:r w:rsidRPr="00A712E4">
        <w:rPr>
          <w:rFonts w:ascii="Times New Roman" w:hAnsi="Times New Roman"/>
          <w:b/>
          <w:sz w:val="24"/>
        </w:rPr>
        <w:t>5.</w:t>
      </w:r>
      <w:r w:rsidRPr="00A712E4">
        <w:rPr>
          <w:rFonts w:ascii="Times New Roman" w:hAnsi="Times New Roman"/>
          <w:b/>
          <w:sz w:val="24"/>
        </w:rPr>
        <w:tab/>
        <w:t>Likely impact</w:t>
      </w:r>
    </w:p>
    <w:p w14:paraId="3DC50F97" w14:textId="346C9A47" w:rsidR="00ED38B0" w:rsidRPr="00A712E4" w:rsidRDefault="009D3ADC" w:rsidP="003B7524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Chapter 71 will impact on those persons that carry out the activities of credit card issuing or credit card acquiring </w:t>
      </w:r>
      <w:r w:rsidR="001322E8">
        <w:rPr>
          <w:rFonts w:ascii="Times New Roman" w:hAnsi="Times New Roman"/>
          <w:sz w:val="24"/>
        </w:rPr>
        <w:t xml:space="preserve">(or both) </w:t>
      </w:r>
      <w:r>
        <w:rPr>
          <w:rFonts w:ascii="Times New Roman" w:hAnsi="Times New Roman"/>
          <w:sz w:val="24"/>
        </w:rPr>
        <w:t xml:space="preserve">and who currently are not reporting entities under the AML/CTF Act. </w:t>
      </w:r>
      <w:r w:rsidR="00BE1F9A">
        <w:rPr>
          <w:rFonts w:ascii="Times New Roman" w:hAnsi="Times New Roman"/>
          <w:sz w:val="24"/>
        </w:rPr>
        <w:t>These persons will be required to apply for enrolment on the Reporting Entities Roll</w:t>
      </w:r>
      <w:r w:rsidR="00951830">
        <w:rPr>
          <w:rFonts w:ascii="Times New Roman" w:hAnsi="Times New Roman"/>
          <w:sz w:val="24"/>
        </w:rPr>
        <w:t xml:space="preserve"> and comply with various obligations under the AML/CTF Act</w:t>
      </w:r>
      <w:r w:rsidR="003C6DF6">
        <w:rPr>
          <w:rFonts w:ascii="Times New Roman" w:hAnsi="Times New Roman"/>
          <w:sz w:val="24"/>
        </w:rPr>
        <w:t>,</w:t>
      </w:r>
      <w:r w:rsidR="00951830">
        <w:rPr>
          <w:rFonts w:ascii="Times New Roman" w:hAnsi="Times New Roman"/>
          <w:sz w:val="24"/>
        </w:rPr>
        <w:t xml:space="preserve"> such as customer identification and verification, transaction reporting and adopting and maintaining an AML/CTF program.</w:t>
      </w:r>
    </w:p>
    <w:p w14:paraId="1D6CD79B" w14:textId="77777777" w:rsidR="003B7524" w:rsidRPr="00A712E4" w:rsidRDefault="003B7524" w:rsidP="003B7524">
      <w:pPr>
        <w:spacing w:before="240"/>
        <w:rPr>
          <w:rFonts w:ascii="Times New Roman" w:hAnsi="Times New Roman"/>
          <w:b/>
          <w:color w:val="000000" w:themeColor="text1"/>
          <w:sz w:val="24"/>
        </w:rPr>
      </w:pPr>
      <w:r w:rsidRPr="00A712E4">
        <w:rPr>
          <w:rFonts w:ascii="Times New Roman" w:hAnsi="Times New Roman"/>
          <w:b/>
          <w:color w:val="000000" w:themeColor="text1"/>
          <w:sz w:val="24"/>
        </w:rPr>
        <w:t>6.</w:t>
      </w:r>
      <w:r w:rsidRPr="00A712E4">
        <w:rPr>
          <w:rFonts w:ascii="Times New Roman" w:hAnsi="Times New Roman"/>
          <w:b/>
          <w:color w:val="000000" w:themeColor="text1"/>
          <w:sz w:val="24"/>
        </w:rPr>
        <w:tab/>
        <w:t>Assessment of benefits</w:t>
      </w:r>
    </w:p>
    <w:p w14:paraId="077AD85B" w14:textId="055A8CD7" w:rsidR="002848A4" w:rsidRPr="00A712E4" w:rsidRDefault="00657535" w:rsidP="007103FF">
      <w:pPr>
        <w:pStyle w:val="Paragraph"/>
      </w:pPr>
      <w:r>
        <w:t xml:space="preserve">Before the commencement of the credit card reforms, on 1 January 2015, all credit card issuers and acquirers were reporting entities for the purposes of the AML/CTF Act because they were ADIs.  </w:t>
      </w:r>
      <w:r w:rsidR="009D3ADC">
        <w:t>Chapter 71</w:t>
      </w:r>
      <w:r w:rsidR="002848A4" w:rsidRPr="00A712E4">
        <w:t xml:space="preserve"> will </w:t>
      </w:r>
      <w:r w:rsidR="00BE1F9A" w:rsidRPr="00BE1F9A">
        <w:t xml:space="preserve">ensure that </w:t>
      </w:r>
      <w:r>
        <w:t xml:space="preserve">all </w:t>
      </w:r>
      <w:r w:rsidR="00BE1F9A" w:rsidRPr="00BE1F9A">
        <w:t>credit card issuer</w:t>
      </w:r>
      <w:r>
        <w:t>s</w:t>
      </w:r>
      <w:r w:rsidR="00BE1F9A" w:rsidRPr="00BE1F9A">
        <w:t xml:space="preserve"> </w:t>
      </w:r>
      <w:r w:rsidR="00BE1F9A">
        <w:t>and</w:t>
      </w:r>
      <w:r w:rsidR="00BE1F9A" w:rsidRPr="00BE1F9A">
        <w:t xml:space="preserve"> acquirer</w:t>
      </w:r>
      <w:r>
        <w:t>s, both ADIs and non-ADIs,</w:t>
      </w:r>
      <w:r w:rsidR="00BE1F9A" w:rsidRPr="00BE1F9A">
        <w:t xml:space="preserve"> </w:t>
      </w:r>
      <w:r>
        <w:t xml:space="preserve">will be </w:t>
      </w:r>
      <w:r w:rsidR="00BE1F9A" w:rsidRPr="00BE1F9A">
        <w:t>reporting entit</w:t>
      </w:r>
      <w:r>
        <w:t>ies</w:t>
      </w:r>
      <w:r w:rsidR="00BE1F9A" w:rsidRPr="00BE1F9A">
        <w:t xml:space="preserve"> for the purposes of the AML/CTF Act</w:t>
      </w:r>
      <w:r>
        <w:t xml:space="preserve"> following the commencement of the credit card reforms</w:t>
      </w:r>
      <w:r w:rsidR="00BE1F9A" w:rsidRPr="00BE1F9A">
        <w:t>.</w:t>
      </w:r>
      <w:r w:rsidR="00BE1F9A">
        <w:t xml:space="preserve"> </w:t>
      </w:r>
      <w:r>
        <w:t xml:space="preserve"> </w:t>
      </w:r>
    </w:p>
    <w:p w14:paraId="10F39859" w14:textId="2BAFA4A5" w:rsidR="003B7524" w:rsidRPr="00A712E4" w:rsidRDefault="003B7524" w:rsidP="003B7524">
      <w:pPr>
        <w:pStyle w:val="Paragraph"/>
        <w:rPr>
          <w:b/>
          <w:szCs w:val="24"/>
        </w:rPr>
      </w:pPr>
      <w:r w:rsidRPr="00A712E4">
        <w:rPr>
          <w:b/>
        </w:rPr>
        <w:lastRenderedPageBreak/>
        <w:t>7.</w:t>
      </w:r>
      <w:r w:rsidRPr="00A712E4">
        <w:rPr>
          <w:b/>
        </w:rPr>
        <w:tab/>
        <w:t>Consultation</w:t>
      </w:r>
    </w:p>
    <w:p w14:paraId="466C5FF2" w14:textId="00FC0998" w:rsidR="00A14FF4" w:rsidRDefault="00A14FF4" w:rsidP="00E9115C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Subsection 212(2) of the AML/CTF Act requires the AUSTRAC CEO to consult with reporting entities and </w:t>
      </w:r>
      <w:r w:rsidR="00E9115C" w:rsidRPr="00A712E4">
        <w:rPr>
          <w:rFonts w:ascii="Times New Roman" w:hAnsi="Times New Roman"/>
          <w:sz w:val="24"/>
        </w:rPr>
        <w:t xml:space="preserve">the </w:t>
      </w:r>
      <w:r w:rsidR="00832FD7" w:rsidRPr="00A712E4">
        <w:rPr>
          <w:rFonts w:ascii="Times New Roman" w:hAnsi="Times New Roman"/>
          <w:sz w:val="24"/>
        </w:rPr>
        <w:t>Australian Taxation Office, the Australia</w:t>
      </w:r>
      <w:r w:rsidR="008D25B6" w:rsidRPr="00A712E4">
        <w:rPr>
          <w:rFonts w:ascii="Times New Roman" w:hAnsi="Times New Roman"/>
          <w:sz w:val="24"/>
        </w:rPr>
        <w:t>n</w:t>
      </w:r>
      <w:r w:rsidR="00832FD7" w:rsidRPr="00A712E4">
        <w:rPr>
          <w:rFonts w:ascii="Times New Roman" w:hAnsi="Times New Roman"/>
          <w:sz w:val="24"/>
        </w:rPr>
        <w:t xml:space="preserve"> Customs and Border Protection Service, the Australian Federal Police, the Australian Crime Commission and the Office of the Australian Information Commissioner </w:t>
      </w:r>
      <w:r>
        <w:rPr>
          <w:rFonts w:ascii="Times New Roman" w:hAnsi="Times New Roman"/>
          <w:sz w:val="24"/>
        </w:rPr>
        <w:t xml:space="preserve">in performing his or her functions. </w:t>
      </w:r>
    </w:p>
    <w:p w14:paraId="56BF0CB8" w14:textId="7C536493" w:rsidR="00A14FF4" w:rsidRPr="007C6D7E" w:rsidRDefault="00941850" w:rsidP="003B7524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consideration of this and consistent with best practice consultation </w:t>
      </w:r>
      <w:r w:rsidR="00923A47">
        <w:rPr>
          <w:rFonts w:ascii="Times New Roman" w:hAnsi="Times New Roman"/>
          <w:sz w:val="24"/>
        </w:rPr>
        <w:t>principles</w:t>
      </w:r>
      <w:r>
        <w:rPr>
          <w:rFonts w:ascii="Times New Roman" w:hAnsi="Times New Roman"/>
          <w:sz w:val="24"/>
        </w:rPr>
        <w:t xml:space="preserve">, </w:t>
      </w:r>
      <w:r w:rsidR="00A14FF4" w:rsidRPr="00A712E4">
        <w:rPr>
          <w:rFonts w:ascii="Times New Roman" w:hAnsi="Times New Roman"/>
          <w:sz w:val="24"/>
        </w:rPr>
        <w:t xml:space="preserve">AUSTRAC published draft AML/CTF Rules </w:t>
      </w:r>
      <w:r w:rsidR="007C6D7E">
        <w:rPr>
          <w:rFonts w:ascii="Times New Roman" w:hAnsi="Times New Roman"/>
          <w:sz w:val="24"/>
        </w:rPr>
        <w:t>adding Chapter 71</w:t>
      </w:r>
      <w:r w:rsidR="00A14FF4" w:rsidRPr="00A712E4">
        <w:rPr>
          <w:rFonts w:ascii="Times New Roman" w:hAnsi="Times New Roman"/>
          <w:sz w:val="24"/>
        </w:rPr>
        <w:t xml:space="preserve"> for public consultation on AUSTRAC’s website from 25 </w:t>
      </w:r>
      <w:r w:rsidR="007C6D7E">
        <w:rPr>
          <w:rFonts w:ascii="Times New Roman" w:hAnsi="Times New Roman"/>
          <w:sz w:val="24"/>
        </w:rPr>
        <w:t>November</w:t>
      </w:r>
      <w:r w:rsidR="00A14FF4" w:rsidRPr="00A712E4">
        <w:rPr>
          <w:rFonts w:ascii="Times New Roman" w:hAnsi="Times New Roman"/>
          <w:sz w:val="24"/>
        </w:rPr>
        <w:t xml:space="preserve"> 2014 to </w:t>
      </w:r>
      <w:r w:rsidR="007C6D7E">
        <w:rPr>
          <w:rFonts w:ascii="Times New Roman" w:hAnsi="Times New Roman"/>
          <w:sz w:val="24"/>
        </w:rPr>
        <w:t>9 December</w:t>
      </w:r>
      <w:r w:rsidR="00A14FF4" w:rsidRPr="00A712E4">
        <w:rPr>
          <w:rFonts w:ascii="Times New Roman" w:hAnsi="Times New Roman"/>
          <w:sz w:val="24"/>
        </w:rPr>
        <w:t xml:space="preserve"> 2014.</w:t>
      </w:r>
    </w:p>
    <w:p w14:paraId="21040039" w14:textId="77777777" w:rsidR="003B7524" w:rsidRPr="00A712E4" w:rsidRDefault="003B7524" w:rsidP="003B7524">
      <w:pPr>
        <w:spacing w:before="240"/>
        <w:rPr>
          <w:rFonts w:ascii="Times New Roman" w:hAnsi="Times New Roman"/>
          <w:b/>
          <w:sz w:val="24"/>
        </w:rPr>
      </w:pPr>
      <w:r w:rsidRPr="00A712E4">
        <w:rPr>
          <w:rFonts w:ascii="Times New Roman" w:hAnsi="Times New Roman"/>
          <w:b/>
          <w:sz w:val="24"/>
        </w:rPr>
        <w:t>8.</w:t>
      </w:r>
      <w:r w:rsidRPr="00A712E4">
        <w:rPr>
          <w:rFonts w:ascii="Times New Roman" w:hAnsi="Times New Roman"/>
          <w:b/>
          <w:sz w:val="24"/>
        </w:rPr>
        <w:tab/>
        <w:t>Ongoing consultation</w:t>
      </w:r>
    </w:p>
    <w:p w14:paraId="318942AE" w14:textId="128B1295" w:rsidR="00D852BA" w:rsidRPr="00A712E4" w:rsidRDefault="007929FC" w:rsidP="003B7524">
      <w:pPr>
        <w:spacing w:before="240"/>
        <w:rPr>
          <w:rFonts w:ascii="Times New Roman" w:hAnsi="Times New Roman"/>
          <w:sz w:val="24"/>
        </w:rPr>
      </w:pPr>
      <w:r w:rsidRPr="00A712E4">
        <w:rPr>
          <w:rFonts w:ascii="Times New Roman" w:hAnsi="Times New Roman"/>
          <w:sz w:val="24"/>
        </w:rPr>
        <w:t>AUSTRAC will conduct ongoing consultation with stakeholders on the operation of the</w:t>
      </w:r>
      <w:r w:rsidR="007D2DBB" w:rsidRPr="00A712E4">
        <w:rPr>
          <w:rFonts w:ascii="Times New Roman" w:hAnsi="Times New Roman"/>
          <w:sz w:val="24"/>
        </w:rPr>
        <w:t>se</w:t>
      </w:r>
      <w:r w:rsidRPr="00A712E4">
        <w:rPr>
          <w:rFonts w:ascii="Times New Roman" w:hAnsi="Times New Roman"/>
          <w:sz w:val="24"/>
        </w:rPr>
        <w:t xml:space="preserve"> AML/CTF Rules</w:t>
      </w:r>
      <w:r w:rsidR="003B7524" w:rsidRPr="00A712E4">
        <w:rPr>
          <w:rFonts w:ascii="Times New Roman" w:hAnsi="Times New Roman"/>
          <w:sz w:val="24"/>
        </w:rPr>
        <w:t>.</w:t>
      </w:r>
    </w:p>
    <w:p w14:paraId="79CFDAFC" w14:textId="77777777" w:rsidR="00D852BA" w:rsidRPr="00A712E4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A712E4">
        <w:rPr>
          <w:rFonts w:ascii="Times New Roman" w:hAnsi="Times New Roman"/>
        </w:rPr>
        <w:br w:type="page"/>
      </w:r>
      <w:r w:rsidRPr="00A712E4">
        <w:rPr>
          <w:rFonts w:ascii="Times New Roman" w:hAnsi="Times New Roman"/>
          <w:b/>
          <w:sz w:val="28"/>
          <w:szCs w:val="28"/>
        </w:rPr>
        <w:lastRenderedPageBreak/>
        <w:t>Statement of Compatibility with Human Rights</w:t>
      </w:r>
    </w:p>
    <w:p w14:paraId="3610E438" w14:textId="77777777" w:rsidR="00D852BA" w:rsidRPr="00A712E4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410FF6C2" w14:textId="77777777" w:rsidR="00D852BA" w:rsidRPr="00A712E4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Cs w:val="22"/>
        </w:rPr>
      </w:pPr>
      <w:r w:rsidRPr="00A712E4">
        <w:rPr>
          <w:rFonts w:ascii="Times New Roman" w:hAnsi="Times New Roman"/>
          <w:i/>
          <w:szCs w:val="22"/>
        </w:rPr>
        <w:t>Prepared in accordance with Part 3 of the Human Rights (Parliamentary Scrutiny) Act 2011</w:t>
      </w:r>
    </w:p>
    <w:p w14:paraId="1C7A5615" w14:textId="77777777" w:rsidR="00D852BA" w:rsidRPr="00A712E4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1C4522CC" w14:textId="732F86BF" w:rsidR="00D852BA" w:rsidRPr="00A712E4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  <w:sz w:val="24"/>
        </w:rPr>
      </w:pPr>
      <w:r w:rsidRPr="00A712E4">
        <w:rPr>
          <w:rFonts w:ascii="Times New Roman" w:hAnsi="Times New Roman"/>
          <w:b/>
          <w:i/>
          <w:sz w:val="24"/>
        </w:rPr>
        <w:t>Anti-Money Laundering and Counter-Terrorism Financing Rules Amendment Instrument 201</w:t>
      </w:r>
      <w:r w:rsidR="005F5E52" w:rsidRPr="00A712E4">
        <w:rPr>
          <w:rFonts w:ascii="Times New Roman" w:hAnsi="Times New Roman"/>
          <w:b/>
          <w:i/>
          <w:sz w:val="24"/>
        </w:rPr>
        <w:t>4</w:t>
      </w:r>
      <w:r w:rsidRPr="00A712E4">
        <w:rPr>
          <w:rFonts w:ascii="Times New Roman" w:hAnsi="Times New Roman"/>
          <w:b/>
          <w:i/>
          <w:sz w:val="24"/>
        </w:rPr>
        <w:t xml:space="preserve"> (No.</w:t>
      </w:r>
      <w:r w:rsidR="00745E6D" w:rsidRPr="00A712E4">
        <w:rPr>
          <w:rFonts w:ascii="Times New Roman" w:hAnsi="Times New Roman"/>
          <w:b/>
          <w:i/>
          <w:sz w:val="24"/>
        </w:rPr>
        <w:t xml:space="preserve"> </w:t>
      </w:r>
      <w:r w:rsidR="007C6D7E">
        <w:rPr>
          <w:rFonts w:ascii="Times New Roman" w:hAnsi="Times New Roman"/>
          <w:b/>
          <w:i/>
          <w:sz w:val="24"/>
        </w:rPr>
        <w:t>6</w:t>
      </w:r>
      <w:r w:rsidRPr="00A712E4">
        <w:rPr>
          <w:rFonts w:ascii="Times New Roman" w:hAnsi="Times New Roman"/>
          <w:b/>
          <w:i/>
          <w:sz w:val="24"/>
        </w:rPr>
        <w:t>)</w:t>
      </w:r>
    </w:p>
    <w:p w14:paraId="2354A44F" w14:textId="77777777" w:rsidR="00D852BA" w:rsidRPr="00A712E4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</w:rPr>
      </w:pPr>
    </w:p>
    <w:p w14:paraId="01302705" w14:textId="77777777" w:rsidR="00D852BA" w:rsidRPr="00A712E4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 w:rsidRPr="00A712E4">
        <w:rPr>
          <w:rFonts w:ascii="Times New Roman" w:hAnsi="Times New Roman"/>
          <w:sz w:val="24"/>
        </w:rPr>
        <w:t xml:space="preserve">This Instrument is compatible with the human rights and freedoms recognised or declared in the international instruments listed in section 3 of the </w:t>
      </w:r>
      <w:r w:rsidRPr="00A712E4">
        <w:rPr>
          <w:rFonts w:ascii="Times New Roman" w:hAnsi="Times New Roman"/>
          <w:i/>
          <w:sz w:val="24"/>
        </w:rPr>
        <w:t>Human Rights (Parliamentary Scrutiny) Act 2011</w:t>
      </w:r>
      <w:r w:rsidRPr="00A712E4">
        <w:rPr>
          <w:rFonts w:ascii="Times New Roman" w:hAnsi="Times New Roman"/>
          <w:sz w:val="24"/>
        </w:rPr>
        <w:t>.</w:t>
      </w:r>
    </w:p>
    <w:p w14:paraId="4F023C75" w14:textId="77777777" w:rsidR="00E07FA9" w:rsidRPr="00A712E4" w:rsidRDefault="00E07FA9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03EB464F" w14:textId="77777777" w:rsidR="00D852BA" w:rsidRPr="00A712E4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  <w:r w:rsidRPr="00A712E4">
        <w:rPr>
          <w:rFonts w:ascii="Times New Roman" w:hAnsi="Times New Roman"/>
          <w:b/>
          <w:sz w:val="24"/>
        </w:rPr>
        <w:t>Overview of the legislative instrument</w:t>
      </w:r>
    </w:p>
    <w:p w14:paraId="17D3D072" w14:textId="77777777" w:rsidR="00E07FA9" w:rsidRPr="00A712E4" w:rsidRDefault="00E07FA9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</w:p>
    <w:p w14:paraId="2FAEA706" w14:textId="0D5AD1E2" w:rsidR="00FA76E9" w:rsidRPr="00FA76E9" w:rsidRDefault="003F16C9" w:rsidP="00FF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</w:rPr>
      </w:pPr>
      <w:r w:rsidRPr="00A712E4">
        <w:rPr>
          <w:rFonts w:ascii="Times New Roman" w:hAnsi="Times New Roman"/>
          <w:color w:val="000000" w:themeColor="text1"/>
          <w:sz w:val="24"/>
        </w:rPr>
        <w:t xml:space="preserve">The Instrument </w:t>
      </w:r>
      <w:r w:rsidR="00656124" w:rsidRPr="00A712E4">
        <w:rPr>
          <w:rFonts w:ascii="Times New Roman" w:hAnsi="Times New Roman"/>
          <w:color w:val="000000" w:themeColor="text1"/>
          <w:sz w:val="24"/>
        </w:rPr>
        <w:t>a</w:t>
      </w:r>
      <w:r w:rsidR="007C6D7E">
        <w:rPr>
          <w:rFonts w:ascii="Times New Roman" w:hAnsi="Times New Roman"/>
          <w:color w:val="000000" w:themeColor="text1"/>
          <w:sz w:val="24"/>
        </w:rPr>
        <w:t>dds</w:t>
      </w:r>
      <w:r w:rsidR="00656124" w:rsidRPr="00A712E4">
        <w:rPr>
          <w:rFonts w:ascii="Times New Roman" w:hAnsi="Times New Roman"/>
          <w:color w:val="000000" w:themeColor="text1"/>
          <w:sz w:val="24"/>
        </w:rPr>
        <w:t xml:space="preserve"> Chapter </w:t>
      </w:r>
      <w:r w:rsidR="007C6D7E">
        <w:rPr>
          <w:rFonts w:ascii="Times New Roman" w:hAnsi="Times New Roman"/>
          <w:color w:val="000000" w:themeColor="text1"/>
          <w:sz w:val="24"/>
        </w:rPr>
        <w:t>71</w:t>
      </w:r>
      <w:r w:rsidR="00656124" w:rsidRPr="00A712E4">
        <w:rPr>
          <w:rFonts w:ascii="Times New Roman" w:hAnsi="Times New Roman"/>
          <w:color w:val="000000" w:themeColor="text1"/>
          <w:sz w:val="24"/>
        </w:rPr>
        <w:t xml:space="preserve"> </w:t>
      </w:r>
      <w:r w:rsidR="007C6D7E">
        <w:rPr>
          <w:rFonts w:ascii="Times New Roman" w:hAnsi="Times New Roman"/>
          <w:color w:val="000000" w:themeColor="text1"/>
          <w:sz w:val="24"/>
        </w:rPr>
        <w:t>to</w:t>
      </w:r>
      <w:r w:rsidR="00656124" w:rsidRPr="00A712E4">
        <w:rPr>
          <w:rFonts w:ascii="Times New Roman" w:hAnsi="Times New Roman"/>
          <w:color w:val="000000" w:themeColor="text1"/>
          <w:sz w:val="24"/>
        </w:rPr>
        <w:t xml:space="preserve"> </w:t>
      </w:r>
      <w:r w:rsidRPr="00A712E4">
        <w:rPr>
          <w:rFonts w:ascii="Times New Roman" w:hAnsi="Times New Roman"/>
          <w:color w:val="000000" w:themeColor="text1"/>
          <w:sz w:val="24"/>
        </w:rPr>
        <w:t>the Anti-Money Laundering/Counter-Terrorism Financing Rules (AML/CTF Rules)</w:t>
      </w:r>
      <w:r w:rsidR="00656124" w:rsidRPr="00A712E4">
        <w:rPr>
          <w:rFonts w:ascii="Times New Roman" w:hAnsi="Times New Roman"/>
          <w:color w:val="000000" w:themeColor="text1"/>
          <w:sz w:val="24"/>
        </w:rPr>
        <w:t xml:space="preserve"> to</w:t>
      </w:r>
      <w:r w:rsidR="00FF0A57">
        <w:rPr>
          <w:rFonts w:ascii="Times New Roman" w:hAnsi="Times New Roman"/>
          <w:color w:val="000000" w:themeColor="text1"/>
          <w:sz w:val="24"/>
        </w:rPr>
        <w:t xml:space="preserve"> </w:t>
      </w:r>
      <w:r w:rsidR="00656124" w:rsidRPr="00FA76E9">
        <w:rPr>
          <w:rFonts w:ascii="Times New Roman" w:hAnsi="Times New Roman"/>
          <w:color w:val="000000" w:themeColor="text1"/>
          <w:sz w:val="24"/>
        </w:rPr>
        <w:t xml:space="preserve">implement changes to the AML/CTF Rules which are consequential to the </w:t>
      </w:r>
      <w:r w:rsidR="00FA76E9" w:rsidRPr="00FA76E9">
        <w:rPr>
          <w:rFonts w:ascii="Times New Roman" w:hAnsi="Times New Roman"/>
          <w:color w:val="000000" w:themeColor="text1"/>
          <w:sz w:val="24"/>
        </w:rPr>
        <w:t xml:space="preserve">amendments to the </w:t>
      </w:r>
      <w:r w:rsidR="00FA76E9" w:rsidRPr="00FA76E9">
        <w:rPr>
          <w:rFonts w:ascii="Times New Roman" w:hAnsi="Times New Roman"/>
          <w:i/>
          <w:color w:val="000000" w:themeColor="text1"/>
          <w:sz w:val="24"/>
        </w:rPr>
        <w:t>Banking Regulations</w:t>
      </w:r>
      <w:r w:rsidR="00FA76E9" w:rsidRPr="00FA76E9">
        <w:rPr>
          <w:rFonts w:ascii="Times New Roman" w:hAnsi="Times New Roman"/>
          <w:color w:val="000000" w:themeColor="text1"/>
          <w:sz w:val="24"/>
        </w:rPr>
        <w:t xml:space="preserve"> </w:t>
      </w:r>
      <w:r w:rsidR="0032777D">
        <w:rPr>
          <w:rFonts w:ascii="Times New Roman" w:hAnsi="Times New Roman"/>
          <w:i/>
          <w:color w:val="000000" w:themeColor="text1"/>
          <w:sz w:val="24"/>
        </w:rPr>
        <w:t xml:space="preserve">1966 </w:t>
      </w:r>
      <w:r w:rsidR="00FA76E9" w:rsidRPr="00FA76E9">
        <w:rPr>
          <w:rFonts w:ascii="Times New Roman" w:hAnsi="Times New Roman"/>
          <w:color w:val="000000" w:themeColor="text1"/>
          <w:sz w:val="24"/>
        </w:rPr>
        <w:t xml:space="preserve">and </w:t>
      </w:r>
      <w:r w:rsidR="00FA76E9" w:rsidRPr="00FA76E9">
        <w:rPr>
          <w:rFonts w:ascii="Times New Roman" w:hAnsi="Times New Roman"/>
          <w:color w:val="000000"/>
          <w:sz w:val="24"/>
        </w:rPr>
        <w:t xml:space="preserve">ensure that a person who is a credit card issuer or acquirer </w:t>
      </w:r>
      <w:r w:rsidR="00493341">
        <w:rPr>
          <w:rFonts w:ascii="Times New Roman" w:hAnsi="Times New Roman"/>
          <w:color w:val="000000"/>
          <w:sz w:val="24"/>
        </w:rPr>
        <w:t xml:space="preserve">(or both) </w:t>
      </w:r>
      <w:r w:rsidR="00FA76E9" w:rsidRPr="00FA76E9">
        <w:rPr>
          <w:rFonts w:ascii="Times New Roman" w:hAnsi="Times New Roman"/>
          <w:color w:val="000000"/>
          <w:sz w:val="24"/>
        </w:rPr>
        <w:t>and is not an ADI, bank, building society or credit union will be a reporting entity for the purposes of the AML/CTF Act.</w:t>
      </w:r>
    </w:p>
    <w:p w14:paraId="780DA2B4" w14:textId="77777777" w:rsidR="00954005" w:rsidRPr="00A712E4" w:rsidRDefault="00954005" w:rsidP="0095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3E27C608" w14:textId="77777777" w:rsidR="00954005" w:rsidRPr="00A712E4" w:rsidRDefault="00954005" w:rsidP="0095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  <w:r w:rsidRPr="00A712E4">
        <w:rPr>
          <w:rFonts w:ascii="Times New Roman" w:hAnsi="Times New Roman"/>
          <w:b/>
          <w:sz w:val="24"/>
        </w:rPr>
        <w:t>Human rights implications</w:t>
      </w:r>
    </w:p>
    <w:p w14:paraId="16E4F74D" w14:textId="77777777" w:rsidR="00954005" w:rsidRPr="00A712E4" w:rsidRDefault="00954005" w:rsidP="0095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68F00901" w14:textId="77777777" w:rsidR="00954005" w:rsidRPr="00A712E4" w:rsidRDefault="00954005" w:rsidP="0095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 w:rsidRPr="00A712E4">
        <w:rPr>
          <w:rFonts w:ascii="Times New Roman" w:hAnsi="Times New Roman"/>
          <w:sz w:val="24"/>
        </w:rPr>
        <w:t xml:space="preserve">This Instrument does not engage any of the applicable rights or freedoms. </w:t>
      </w:r>
    </w:p>
    <w:p w14:paraId="5B9668DE" w14:textId="77777777" w:rsidR="00954005" w:rsidRPr="00A712E4" w:rsidRDefault="00954005" w:rsidP="0095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3441F001" w14:textId="77777777" w:rsidR="00954005" w:rsidRPr="00A712E4" w:rsidRDefault="00954005" w:rsidP="0095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  <w:r w:rsidRPr="00A712E4">
        <w:rPr>
          <w:rFonts w:ascii="Times New Roman" w:hAnsi="Times New Roman"/>
          <w:b/>
          <w:sz w:val="24"/>
        </w:rPr>
        <w:t>Conclusion</w:t>
      </w:r>
    </w:p>
    <w:p w14:paraId="60A12AA8" w14:textId="77777777" w:rsidR="00954005" w:rsidRPr="00A712E4" w:rsidRDefault="00954005" w:rsidP="0095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21EE5622" w14:textId="77777777" w:rsidR="00954005" w:rsidRPr="00A712E4" w:rsidRDefault="00954005" w:rsidP="0095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 w:rsidRPr="00A712E4">
        <w:rPr>
          <w:rFonts w:ascii="Times New Roman" w:hAnsi="Times New Roman"/>
          <w:sz w:val="24"/>
        </w:rPr>
        <w:t xml:space="preserve">This Instrument is compatible with human rights as it does not raise any human rights issues. </w:t>
      </w:r>
    </w:p>
    <w:p w14:paraId="0D59E0E0" w14:textId="77777777" w:rsidR="00BC0846" w:rsidRPr="00A712E4" w:rsidRDefault="00BC0846" w:rsidP="00953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</w:p>
    <w:p w14:paraId="30559E7E" w14:textId="77777777" w:rsidR="00D852BA" w:rsidRPr="00A712E4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4F6B2DCB" w14:textId="77777777" w:rsidR="00954005" w:rsidRPr="00A712E4" w:rsidRDefault="00954005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5DC89D9C" w14:textId="77777777" w:rsidR="00954005" w:rsidRPr="00A712E4" w:rsidRDefault="00954005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4EDE6F30" w14:textId="77777777" w:rsidR="00E7671F" w:rsidRPr="00A712E4" w:rsidRDefault="00E7671F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5F40AAFB" w14:textId="77777777" w:rsidR="00E7671F" w:rsidRPr="00A712E4" w:rsidRDefault="00E7671F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5FAE2655" w14:textId="77777777" w:rsidR="003340DB" w:rsidRPr="00A712E4" w:rsidRDefault="003340DB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37016D8F" w14:textId="77777777" w:rsidR="003340DB" w:rsidRPr="00A712E4" w:rsidRDefault="003340DB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4CD4E941" w14:textId="196BAABD" w:rsidR="00D65393" w:rsidRPr="00A712E4" w:rsidRDefault="00472F40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Paul </w:t>
      </w:r>
      <w:proofErr w:type="spellStart"/>
      <w:r>
        <w:rPr>
          <w:rFonts w:ascii="Times New Roman" w:hAnsi="Times New Roman"/>
          <w:sz w:val="24"/>
        </w:rPr>
        <w:t>Jevtovic</w:t>
      </w:r>
      <w:proofErr w:type="spellEnd"/>
      <w:r w:rsidR="00D65393" w:rsidRPr="00A712E4">
        <w:rPr>
          <w:rFonts w:ascii="Times New Roman" w:hAnsi="Times New Roman"/>
          <w:sz w:val="24"/>
        </w:rPr>
        <w:t xml:space="preserve"> </w:t>
      </w:r>
      <w:r w:rsidR="00584D60" w:rsidRPr="00FF199A">
        <w:rPr>
          <w:rFonts w:ascii="Times New Roman" w:hAnsi="Times New Roman"/>
          <w:sz w:val="20"/>
        </w:rPr>
        <w:t>APM</w:t>
      </w:r>
    </w:p>
    <w:p w14:paraId="1F054871" w14:textId="78C33E62" w:rsidR="009531E4" w:rsidRPr="00A712E4" w:rsidRDefault="00640C28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 w:rsidRPr="00A712E4">
        <w:rPr>
          <w:rFonts w:ascii="Times New Roman" w:hAnsi="Times New Roman"/>
          <w:sz w:val="24"/>
        </w:rPr>
        <w:t>Chief Executive Officer</w:t>
      </w:r>
    </w:p>
    <w:p w14:paraId="28B8EB1F" w14:textId="77777777" w:rsidR="00D65393" w:rsidRPr="00A712E4" w:rsidRDefault="00640C28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 w:rsidRPr="00A712E4">
        <w:rPr>
          <w:rFonts w:ascii="Times New Roman" w:hAnsi="Times New Roman"/>
          <w:sz w:val="24"/>
        </w:rPr>
        <w:t>Australian Transaction Reports and Analysis Centre</w:t>
      </w:r>
    </w:p>
    <w:p w14:paraId="6FBB1BC5" w14:textId="77777777" w:rsidR="00E7671F" w:rsidRPr="00A712E4" w:rsidRDefault="00E7671F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78253E23" w14:textId="77777777" w:rsidR="00E7671F" w:rsidRPr="00A712E4" w:rsidRDefault="00E7671F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47CDC25F" w14:textId="77777777" w:rsidR="00E7671F" w:rsidRPr="00A712E4" w:rsidRDefault="00E7671F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3BA68184" w14:textId="77777777" w:rsidR="00E7671F" w:rsidRPr="00A712E4" w:rsidRDefault="00E7671F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7DC377F8" w14:textId="77777777" w:rsidR="00E7671F" w:rsidRPr="00A712E4" w:rsidRDefault="00E7671F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sectPr w:rsidR="00E7671F" w:rsidRPr="00A712E4" w:rsidSect="001B43E9">
      <w:footerReference w:type="even" r:id="rId10"/>
      <w:footerReference w:type="default" r:id="rId11"/>
      <w:pgSz w:w="11906" w:h="16838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2029E" w14:textId="77777777" w:rsidR="00FD6954" w:rsidRDefault="00FD6954">
      <w:r>
        <w:separator/>
      </w:r>
    </w:p>
  </w:endnote>
  <w:endnote w:type="continuationSeparator" w:id="0">
    <w:p w14:paraId="1CED8562" w14:textId="77777777" w:rsidR="00FD6954" w:rsidRDefault="00FD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4BEE1" w14:textId="77777777" w:rsidR="00FD6954" w:rsidRDefault="00FD6954" w:rsidP="003F25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EB9ADF" w14:textId="77777777" w:rsidR="00FD6954" w:rsidRDefault="00FD69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D0745" w14:textId="77777777" w:rsidR="00FD6954" w:rsidRDefault="00FD6954" w:rsidP="003F25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4E1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4C9A6A" w14:textId="77777777" w:rsidR="00FD6954" w:rsidRDefault="00FD6954" w:rsidP="003B752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02A4F" w14:textId="77777777" w:rsidR="00FD6954" w:rsidRDefault="00FD6954">
      <w:r>
        <w:separator/>
      </w:r>
    </w:p>
  </w:footnote>
  <w:footnote w:type="continuationSeparator" w:id="0">
    <w:p w14:paraId="385BED6D" w14:textId="77777777" w:rsidR="00FD6954" w:rsidRDefault="00FD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503"/>
    <w:multiLevelType w:val="hybridMultilevel"/>
    <w:tmpl w:val="FDC2C2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26EF2"/>
    <w:multiLevelType w:val="hybridMultilevel"/>
    <w:tmpl w:val="8BE0A230"/>
    <w:lvl w:ilvl="0" w:tplc="5AF4C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52079"/>
    <w:multiLevelType w:val="hybridMultilevel"/>
    <w:tmpl w:val="D42C4688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0C6D6350"/>
    <w:multiLevelType w:val="hybridMultilevel"/>
    <w:tmpl w:val="427E53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5A2E73"/>
    <w:multiLevelType w:val="hybridMultilevel"/>
    <w:tmpl w:val="626638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A32BF4"/>
    <w:multiLevelType w:val="hybridMultilevel"/>
    <w:tmpl w:val="C6288D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BD24EF"/>
    <w:multiLevelType w:val="hybridMultilevel"/>
    <w:tmpl w:val="60F407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53313A"/>
    <w:multiLevelType w:val="hybridMultilevel"/>
    <w:tmpl w:val="938042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06278F"/>
    <w:multiLevelType w:val="multilevel"/>
    <w:tmpl w:val="FF9C90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DC16C4"/>
    <w:multiLevelType w:val="hybridMultilevel"/>
    <w:tmpl w:val="57B2ABA4"/>
    <w:lvl w:ilvl="0" w:tplc="FFB6A9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515A7CE6">
      <w:start w:val="1"/>
      <w:numFmt w:val="lowerLetter"/>
      <w:lvlText w:val="(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548B"/>
    <w:multiLevelType w:val="hybridMultilevel"/>
    <w:tmpl w:val="3A08B9AA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3D1054B1"/>
    <w:multiLevelType w:val="hybridMultilevel"/>
    <w:tmpl w:val="B64E71DA"/>
    <w:lvl w:ilvl="0" w:tplc="4322B9C8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E212D74"/>
    <w:multiLevelType w:val="hybridMultilevel"/>
    <w:tmpl w:val="04429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A293B"/>
    <w:multiLevelType w:val="hybridMultilevel"/>
    <w:tmpl w:val="830A868E"/>
    <w:lvl w:ilvl="0" w:tplc="F6606D1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807B4B"/>
    <w:multiLevelType w:val="hybridMultilevel"/>
    <w:tmpl w:val="7D3A8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029E9"/>
    <w:multiLevelType w:val="hybridMultilevel"/>
    <w:tmpl w:val="27B6D4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98301C"/>
    <w:multiLevelType w:val="hybridMultilevel"/>
    <w:tmpl w:val="B7A0FB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7670BA"/>
    <w:multiLevelType w:val="hybridMultilevel"/>
    <w:tmpl w:val="9C0CDF9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0C64AE"/>
    <w:multiLevelType w:val="hybridMultilevel"/>
    <w:tmpl w:val="A7C6D62A"/>
    <w:lvl w:ilvl="0" w:tplc="1FECFAA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6005F"/>
    <w:multiLevelType w:val="hybridMultilevel"/>
    <w:tmpl w:val="AB989A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C5908"/>
    <w:multiLevelType w:val="hybridMultilevel"/>
    <w:tmpl w:val="A32C36E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58C65A21"/>
    <w:multiLevelType w:val="hybridMultilevel"/>
    <w:tmpl w:val="EEF4C094"/>
    <w:lvl w:ilvl="0" w:tplc="5AF4C4DC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C13A1B"/>
    <w:multiLevelType w:val="hybridMultilevel"/>
    <w:tmpl w:val="4C8E725C"/>
    <w:lvl w:ilvl="0" w:tplc="F6606D1A">
      <w:start w:val="1"/>
      <w:numFmt w:val="bullet"/>
      <w:lvlText w:val=""/>
      <w:lvlJc w:val="left"/>
      <w:pPr>
        <w:tabs>
          <w:tab w:val="num" w:pos="1500"/>
        </w:tabs>
        <w:ind w:left="16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3">
    <w:nsid w:val="5FE80D0D"/>
    <w:multiLevelType w:val="hybridMultilevel"/>
    <w:tmpl w:val="D6EA8562"/>
    <w:lvl w:ilvl="0" w:tplc="78ACF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F6606D1A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F429FD"/>
    <w:multiLevelType w:val="hybridMultilevel"/>
    <w:tmpl w:val="5A1A1DA4"/>
    <w:lvl w:ilvl="0" w:tplc="414099E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5BF2A2F"/>
    <w:multiLevelType w:val="multilevel"/>
    <w:tmpl w:val="468CB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4070E2"/>
    <w:multiLevelType w:val="hybridMultilevel"/>
    <w:tmpl w:val="3B90928A"/>
    <w:lvl w:ilvl="0" w:tplc="952667D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B4C537C">
      <w:start w:val="1"/>
      <w:numFmt w:val="lowerLetter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9A19DC"/>
    <w:multiLevelType w:val="multilevel"/>
    <w:tmpl w:val="5100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C34085"/>
    <w:multiLevelType w:val="hybridMultilevel"/>
    <w:tmpl w:val="ECEA7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2042D"/>
    <w:multiLevelType w:val="hybridMultilevel"/>
    <w:tmpl w:val="A9B2C408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>
    <w:nsid w:val="737E09C7"/>
    <w:multiLevelType w:val="hybridMultilevel"/>
    <w:tmpl w:val="7196F280"/>
    <w:lvl w:ilvl="0" w:tplc="04463F8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23"/>
  </w:num>
  <w:num w:numId="3">
    <w:abstractNumId w:val="1"/>
  </w:num>
  <w:num w:numId="4">
    <w:abstractNumId w:val="21"/>
  </w:num>
  <w:num w:numId="5">
    <w:abstractNumId w:val="27"/>
  </w:num>
  <w:num w:numId="6">
    <w:abstractNumId w:val="18"/>
  </w:num>
  <w:num w:numId="7">
    <w:abstractNumId w:val="30"/>
  </w:num>
  <w:num w:numId="8">
    <w:abstractNumId w:val="25"/>
  </w:num>
  <w:num w:numId="9">
    <w:abstractNumId w:val="8"/>
  </w:num>
  <w:num w:numId="10">
    <w:abstractNumId w:val="22"/>
  </w:num>
  <w:num w:numId="11">
    <w:abstractNumId w:val="13"/>
  </w:num>
  <w:num w:numId="12">
    <w:abstractNumId w:val="24"/>
  </w:num>
  <w:num w:numId="13">
    <w:abstractNumId w:val="7"/>
  </w:num>
  <w:num w:numId="14">
    <w:abstractNumId w:val="3"/>
  </w:num>
  <w:num w:numId="15">
    <w:abstractNumId w:val="5"/>
  </w:num>
  <w:num w:numId="16">
    <w:abstractNumId w:val="9"/>
  </w:num>
  <w:num w:numId="17">
    <w:abstractNumId w:val="26"/>
  </w:num>
  <w:num w:numId="18">
    <w:abstractNumId w:val="4"/>
  </w:num>
  <w:num w:numId="19">
    <w:abstractNumId w:val="0"/>
  </w:num>
  <w:num w:numId="20">
    <w:abstractNumId w:val="28"/>
  </w:num>
  <w:num w:numId="21">
    <w:abstractNumId w:val="19"/>
  </w:num>
  <w:num w:numId="22">
    <w:abstractNumId w:val="14"/>
  </w:num>
  <w:num w:numId="23">
    <w:abstractNumId w:val="6"/>
  </w:num>
  <w:num w:numId="24">
    <w:abstractNumId w:val="12"/>
  </w:num>
  <w:num w:numId="25">
    <w:abstractNumId w:val="29"/>
  </w:num>
  <w:num w:numId="26">
    <w:abstractNumId w:val="15"/>
  </w:num>
  <w:num w:numId="27">
    <w:abstractNumId w:val="16"/>
  </w:num>
  <w:num w:numId="28">
    <w:abstractNumId w:val="2"/>
  </w:num>
  <w:num w:numId="29">
    <w:abstractNumId w:val="20"/>
  </w:num>
  <w:num w:numId="30">
    <w:abstractNumId w:val="1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524"/>
    <w:rsid w:val="0000129C"/>
    <w:rsid w:val="00002D59"/>
    <w:rsid w:val="00004237"/>
    <w:rsid w:val="00005185"/>
    <w:rsid w:val="00011BFD"/>
    <w:rsid w:val="00013686"/>
    <w:rsid w:val="0001564A"/>
    <w:rsid w:val="00024C66"/>
    <w:rsid w:val="00027022"/>
    <w:rsid w:val="00027747"/>
    <w:rsid w:val="00035795"/>
    <w:rsid w:val="00035CA9"/>
    <w:rsid w:val="000430D4"/>
    <w:rsid w:val="00050CE5"/>
    <w:rsid w:val="00051713"/>
    <w:rsid w:val="000572EA"/>
    <w:rsid w:val="00057C98"/>
    <w:rsid w:val="0006328D"/>
    <w:rsid w:val="00075472"/>
    <w:rsid w:val="0008191B"/>
    <w:rsid w:val="00092891"/>
    <w:rsid w:val="0009363E"/>
    <w:rsid w:val="000A0109"/>
    <w:rsid w:val="000A1B36"/>
    <w:rsid w:val="000A448C"/>
    <w:rsid w:val="000A71FF"/>
    <w:rsid w:val="000B07C2"/>
    <w:rsid w:val="000B3D22"/>
    <w:rsid w:val="000B7D16"/>
    <w:rsid w:val="000C4CBB"/>
    <w:rsid w:val="000C4DEC"/>
    <w:rsid w:val="000C5E2A"/>
    <w:rsid w:val="000D0E25"/>
    <w:rsid w:val="000D143A"/>
    <w:rsid w:val="000D180A"/>
    <w:rsid w:val="000D1DA2"/>
    <w:rsid w:val="000D261E"/>
    <w:rsid w:val="000E63EE"/>
    <w:rsid w:val="00100A29"/>
    <w:rsid w:val="00100E9D"/>
    <w:rsid w:val="00101CDF"/>
    <w:rsid w:val="0010649D"/>
    <w:rsid w:val="001138C2"/>
    <w:rsid w:val="00115CA1"/>
    <w:rsid w:val="001161BA"/>
    <w:rsid w:val="00121FC3"/>
    <w:rsid w:val="00122D9B"/>
    <w:rsid w:val="00123C27"/>
    <w:rsid w:val="001322E8"/>
    <w:rsid w:val="0013429C"/>
    <w:rsid w:val="00134CA6"/>
    <w:rsid w:val="00146670"/>
    <w:rsid w:val="00146C29"/>
    <w:rsid w:val="00151851"/>
    <w:rsid w:val="00151CE0"/>
    <w:rsid w:val="0015491C"/>
    <w:rsid w:val="00156041"/>
    <w:rsid w:val="0015621A"/>
    <w:rsid w:val="00156C39"/>
    <w:rsid w:val="00160041"/>
    <w:rsid w:val="001663D5"/>
    <w:rsid w:val="0017034F"/>
    <w:rsid w:val="00193377"/>
    <w:rsid w:val="001941DA"/>
    <w:rsid w:val="00197E8A"/>
    <w:rsid w:val="001A58BA"/>
    <w:rsid w:val="001A63E8"/>
    <w:rsid w:val="001B005E"/>
    <w:rsid w:val="001B3A61"/>
    <w:rsid w:val="001B43E9"/>
    <w:rsid w:val="001B679A"/>
    <w:rsid w:val="001B7DCC"/>
    <w:rsid w:val="001C0833"/>
    <w:rsid w:val="001C2371"/>
    <w:rsid w:val="001C37C9"/>
    <w:rsid w:val="001C57DA"/>
    <w:rsid w:val="001C5B36"/>
    <w:rsid w:val="001C60F1"/>
    <w:rsid w:val="001C6C6F"/>
    <w:rsid w:val="001D3034"/>
    <w:rsid w:val="001D3559"/>
    <w:rsid w:val="001D3968"/>
    <w:rsid w:val="001D3C6E"/>
    <w:rsid w:val="001D5E25"/>
    <w:rsid w:val="001D6003"/>
    <w:rsid w:val="001E005B"/>
    <w:rsid w:val="001E23BF"/>
    <w:rsid w:val="001E2728"/>
    <w:rsid w:val="001E4D8A"/>
    <w:rsid w:val="001F108A"/>
    <w:rsid w:val="001F396D"/>
    <w:rsid w:val="00205D35"/>
    <w:rsid w:val="0020702F"/>
    <w:rsid w:val="002222BA"/>
    <w:rsid w:val="00231302"/>
    <w:rsid w:val="00234EE9"/>
    <w:rsid w:val="002358FE"/>
    <w:rsid w:val="00237735"/>
    <w:rsid w:val="00241858"/>
    <w:rsid w:val="00243298"/>
    <w:rsid w:val="00243C97"/>
    <w:rsid w:val="00244D95"/>
    <w:rsid w:val="00246666"/>
    <w:rsid w:val="00247043"/>
    <w:rsid w:val="002475AC"/>
    <w:rsid w:val="002526C4"/>
    <w:rsid w:val="00252A86"/>
    <w:rsid w:val="0025603C"/>
    <w:rsid w:val="002570AB"/>
    <w:rsid w:val="002700FC"/>
    <w:rsid w:val="00272368"/>
    <w:rsid w:val="00276CC0"/>
    <w:rsid w:val="002848A4"/>
    <w:rsid w:val="00285882"/>
    <w:rsid w:val="00291994"/>
    <w:rsid w:val="0029686B"/>
    <w:rsid w:val="002A0A5F"/>
    <w:rsid w:val="002A5004"/>
    <w:rsid w:val="002A6852"/>
    <w:rsid w:val="002A6B5F"/>
    <w:rsid w:val="002B05E8"/>
    <w:rsid w:val="002B0655"/>
    <w:rsid w:val="002B0D2D"/>
    <w:rsid w:val="002B4D5C"/>
    <w:rsid w:val="002C10AE"/>
    <w:rsid w:val="002C2936"/>
    <w:rsid w:val="002C75DD"/>
    <w:rsid w:val="002C76AE"/>
    <w:rsid w:val="002D123A"/>
    <w:rsid w:val="002D18EA"/>
    <w:rsid w:val="002D67A4"/>
    <w:rsid w:val="002D7A9B"/>
    <w:rsid w:val="002E74AC"/>
    <w:rsid w:val="002F4E2A"/>
    <w:rsid w:val="002F4E64"/>
    <w:rsid w:val="003017CC"/>
    <w:rsid w:val="0030571B"/>
    <w:rsid w:val="00306189"/>
    <w:rsid w:val="0031084E"/>
    <w:rsid w:val="00322DBF"/>
    <w:rsid w:val="00325102"/>
    <w:rsid w:val="00326047"/>
    <w:rsid w:val="0032777D"/>
    <w:rsid w:val="00330393"/>
    <w:rsid w:val="003340DB"/>
    <w:rsid w:val="00344E15"/>
    <w:rsid w:val="00345CA1"/>
    <w:rsid w:val="00351A74"/>
    <w:rsid w:val="003568F8"/>
    <w:rsid w:val="00363F21"/>
    <w:rsid w:val="00365FD7"/>
    <w:rsid w:val="003676D9"/>
    <w:rsid w:val="003747EE"/>
    <w:rsid w:val="003911F4"/>
    <w:rsid w:val="003912AD"/>
    <w:rsid w:val="003917FA"/>
    <w:rsid w:val="003932F4"/>
    <w:rsid w:val="00393952"/>
    <w:rsid w:val="00393D2A"/>
    <w:rsid w:val="003A0122"/>
    <w:rsid w:val="003A1795"/>
    <w:rsid w:val="003A3B0B"/>
    <w:rsid w:val="003A73B8"/>
    <w:rsid w:val="003B2DDD"/>
    <w:rsid w:val="003B4F88"/>
    <w:rsid w:val="003B7524"/>
    <w:rsid w:val="003C0500"/>
    <w:rsid w:val="003C6DF6"/>
    <w:rsid w:val="003D1772"/>
    <w:rsid w:val="003D7390"/>
    <w:rsid w:val="003E13D0"/>
    <w:rsid w:val="003E4452"/>
    <w:rsid w:val="003E6AA6"/>
    <w:rsid w:val="003F13E2"/>
    <w:rsid w:val="003F166D"/>
    <w:rsid w:val="003F16C9"/>
    <w:rsid w:val="003F250A"/>
    <w:rsid w:val="003F2F59"/>
    <w:rsid w:val="003F5ADD"/>
    <w:rsid w:val="003F623E"/>
    <w:rsid w:val="00402D9E"/>
    <w:rsid w:val="0040415D"/>
    <w:rsid w:val="00404190"/>
    <w:rsid w:val="0040525D"/>
    <w:rsid w:val="004065F6"/>
    <w:rsid w:val="00412175"/>
    <w:rsid w:val="004132BB"/>
    <w:rsid w:val="00413391"/>
    <w:rsid w:val="00413620"/>
    <w:rsid w:val="0041386C"/>
    <w:rsid w:val="0041387C"/>
    <w:rsid w:val="004164E5"/>
    <w:rsid w:val="0042132D"/>
    <w:rsid w:val="004253AB"/>
    <w:rsid w:val="00430DA3"/>
    <w:rsid w:val="004321FD"/>
    <w:rsid w:val="00433B24"/>
    <w:rsid w:val="00433C9D"/>
    <w:rsid w:val="0043626D"/>
    <w:rsid w:val="004379C6"/>
    <w:rsid w:val="00445B35"/>
    <w:rsid w:val="004479B7"/>
    <w:rsid w:val="00447C21"/>
    <w:rsid w:val="004521B8"/>
    <w:rsid w:val="004571E2"/>
    <w:rsid w:val="00460BA8"/>
    <w:rsid w:val="00460E86"/>
    <w:rsid w:val="004619BB"/>
    <w:rsid w:val="004661D5"/>
    <w:rsid w:val="00472F40"/>
    <w:rsid w:val="00474718"/>
    <w:rsid w:val="004760F8"/>
    <w:rsid w:val="00482B80"/>
    <w:rsid w:val="00484BF4"/>
    <w:rsid w:val="00486E49"/>
    <w:rsid w:val="004878CA"/>
    <w:rsid w:val="00490AB1"/>
    <w:rsid w:val="0049116B"/>
    <w:rsid w:val="00492C90"/>
    <w:rsid w:val="00493341"/>
    <w:rsid w:val="0049443F"/>
    <w:rsid w:val="004A3E59"/>
    <w:rsid w:val="004A49A4"/>
    <w:rsid w:val="004B06CC"/>
    <w:rsid w:val="004B06F0"/>
    <w:rsid w:val="004B17CA"/>
    <w:rsid w:val="004C0DD8"/>
    <w:rsid w:val="004C1454"/>
    <w:rsid w:val="004D1BEF"/>
    <w:rsid w:val="004D29B8"/>
    <w:rsid w:val="004D3937"/>
    <w:rsid w:val="004D6131"/>
    <w:rsid w:val="004F566E"/>
    <w:rsid w:val="00507EC4"/>
    <w:rsid w:val="005114F2"/>
    <w:rsid w:val="005117CC"/>
    <w:rsid w:val="00512DE8"/>
    <w:rsid w:val="00514F91"/>
    <w:rsid w:val="00515AE5"/>
    <w:rsid w:val="00517752"/>
    <w:rsid w:val="00521F8E"/>
    <w:rsid w:val="0052299B"/>
    <w:rsid w:val="00524990"/>
    <w:rsid w:val="00525FFD"/>
    <w:rsid w:val="00527C66"/>
    <w:rsid w:val="005300D6"/>
    <w:rsid w:val="005301E1"/>
    <w:rsid w:val="005301F3"/>
    <w:rsid w:val="005352F5"/>
    <w:rsid w:val="00535FD4"/>
    <w:rsid w:val="0054012A"/>
    <w:rsid w:val="00540D1C"/>
    <w:rsid w:val="00542129"/>
    <w:rsid w:val="00543C45"/>
    <w:rsid w:val="005472C1"/>
    <w:rsid w:val="005474A0"/>
    <w:rsid w:val="005516F3"/>
    <w:rsid w:val="0055701C"/>
    <w:rsid w:val="00560220"/>
    <w:rsid w:val="0056172E"/>
    <w:rsid w:val="00565748"/>
    <w:rsid w:val="00570274"/>
    <w:rsid w:val="005723CF"/>
    <w:rsid w:val="00573FB1"/>
    <w:rsid w:val="00580BF2"/>
    <w:rsid w:val="00584D60"/>
    <w:rsid w:val="0058606F"/>
    <w:rsid w:val="0059487B"/>
    <w:rsid w:val="00596868"/>
    <w:rsid w:val="005A3C8A"/>
    <w:rsid w:val="005A3F83"/>
    <w:rsid w:val="005B548D"/>
    <w:rsid w:val="005B5AD3"/>
    <w:rsid w:val="005B5D9A"/>
    <w:rsid w:val="005B6807"/>
    <w:rsid w:val="005B69DB"/>
    <w:rsid w:val="005C0442"/>
    <w:rsid w:val="005C0E87"/>
    <w:rsid w:val="005C51C8"/>
    <w:rsid w:val="005C59EE"/>
    <w:rsid w:val="005D51C8"/>
    <w:rsid w:val="005D58B2"/>
    <w:rsid w:val="005D650F"/>
    <w:rsid w:val="005D67E7"/>
    <w:rsid w:val="005E5E7F"/>
    <w:rsid w:val="005E600A"/>
    <w:rsid w:val="005E7F24"/>
    <w:rsid w:val="005E7F89"/>
    <w:rsid w:val="005F2F3D"/>
    <w:rsid w:val="005F5E52"/>
    <w:rsid w:val="00603BC5"/>
    <w:rsid w:val="00611827"/>
    <w:rsid w:val="00613E6B"/>
    <w:rsid w:val="00624DF2"/>
    <w:rsid w:val="00625479"/>
    <w:rsid w:val="006262A1"/>
    <w:rsid w:val="00626E80"/>
    <w:rsid w:val="00627996"/>
    <w:rsid w:val="00627C0B"/>
    <w:rsid w:val="0063048E"/>
    <w:rsid w:val="00631371"/>
    <w:rsid w:val="006361B8"/>
    <w:rsid w:val="00637851"/>
    <w:rsid w:val="00640C28"/>
    <w:rsid w:val="00642710"/>
    <w:rsid w:val="006474D5"/>
    <w:rsid w:val="00650E63"/>
    <w:rsid w:val="006552E8"/>
    <w:rsid w:val="00656124"/>
    <w:rsid w:val="00656B01"/>
    <w:rsid w:val="00657535"/>
    <w:rsid w:val="00657A4D"/>
    <w:rsid w:val="006613BC"/>
    <w:rsid w:val="00662190"/>
    <w:rsid w:val="006734CF"/>
    <w:rsid w:val="006757A9"/>
    <w:rsid w:val="006760CB"/>
    <w:rsid w:val="00685A58"/>
    <w:rsid w:val="00685FBE"/>
    <w:rsid w:val="00686BF3"/>
    <w:rsid w:val="006A0527"/>
    <w:rsid w:val="006A44F1"/>
    <w:rsid w:val="006B1285"/>
    <w:rsid w:val="006B2808"/>
    <w:rsid w:val="006B3743"/>
    <w:rsid w:val="006B3A2F"/>
    <w:rsid w:val="006B520D"/>
    <w:rsid w:val="006C1ED7"/>
    <w:rsid w:val="006C3F77"/>
    <w:rsid w:val="006D0503"/>
    <w:rsid w:val="006D1560"/>
    <w:rsid w:val="006E3AB3"/>
    <w:rsid w:val="006E438F"/>
    <w:rsid w:val="006E51E2"/>
    <w:rsid w:val="006E5F4D"/>
    <w:rsid w:val="006F4E28"/>
    <w:rsid w:val="0070191D"/>
    <w:rsid w:val="0070277B"/>
    <w:rsid w:val="007030C7"/>
    <w:rsid w:val="00703DE2"/>
    <w:rsid w:val="00704289"/>
    <w:rsid w:val="00706BE4"/>
    <w:rsid w:val="007103FF"/>
    <w:rsid w:val="00710EA7"/>
    <w:rsid w:val="00712840"/>
    <w:rsid w:val="00715DED"/>
    <w:rsid w:val="007202F1"/>
    <w:rsid w:val="00722199"/>
    <w:rsid w:val="00722B4C"/>
    <w:rsid w:val="00722E42"/>
    <w:rsid w:val="00730049"/>
    <w:rsid w:val="00731178"/>
    <w:rsid w:val="00731CAB"/>
    <w:rsid w:val="007350B4"/>
    <w:rsid w:val="00736E51"/>
    <w:rsid w:val="007402D2"/>
    <w:rsid w:val="00740E05"/>
    <w:rsid w:val="00743DDD"/>
    <w:rsid w:val="00745E6D"/>
    <w:rsid w:val="00746C4A"/>
    <w:rsid w:val="00747409"/>
    <w:rsid w:val="00753E95"/>
    <w:rsid w:val="00766E95"/>
    <w:rsid w:val="00774219"/>
    <w:rsid w:val="00775723"/>
    <w:rsid w:val="00775BBE"/>
    <w:rsid w:val="00777AA8"/>
    <w:rsid w:val="0078248D"/>
    <w:rsid w:val="00784906"/>
    <w:rsid w:val="00785B2D"/>
    <w:rsid w:val="00787D9C"/>
    <w:rsid w:val="00791450"/>
    <w:rsid w:val="007929FC"/>
    <w:rsid w:val="00794DB6"/>
    <w:rsid w:val="007A5903"/>
    <w:rsid w:val="007B0B01"/>
    <w:rsid w:val="007B1B95"/>
    <w:rsid w:val="007B404C"/>
    <w:rsid w:val="007C52B3"/>
    <w:rsid w:val="007C6B20"/>
    <w:rsid w:val="007C6D7E"/>
    <w:rsid w:val="007C7671"/>
    <w:rsid w:val="007D0816"/>
    <w:rsid w:val="007D2DBB"/>
    <w:rsid w:val="007D2F38"/>
    <w:rsid w:val="007D52F8"/>
    <w:rsid w:val="007D57F7"/>
    <w:rsid w:val="007D5F87"/>
    <w:rsid w:val="007E08A2"/>
    <w:rsid w:val="007E2861"/>
    <w:rsid w:val="007E32CD"/>
    <w:rsid w:val="007E6720"/>
    <w:rsid w:val="007E67BF"/>
    <w:rsid w:val="007F6303"/>
    <w:rsid w:val="00800383"/>
    <w:rsid w:val="00801D69"/>
    <w:rsid w:val="00803999"/>
    <w:rsid w:val="008103BF"/>
    <w:rsid w:val="008156AC"/>
    <w:rsid w:val="008158AC"/>
    <w:rsid w:val="008169EF"/>
    <w:rsid w:val="0082090C"/>
    <w:rsid w:val="00821DE1"/>
    <w:rsid w:val="00822B6C"/>
    <w:rsid w:val="008275EE"/>
    <w:rsid w:val="00832FD7"/>
    <w:rsid w:val="008344D1"/>
    <w:rsid w:val="008348DE"/>
    <w:rsid w:val="00834E6A"/>
    <w:rsid w:val="00842441"/>
    <w:rsid w:val="008507A3"/>
    <w:rsid w:val="00851AE0"/>
    <w:rsid w:val="00853EB5"/>
    <w:rsid w:val="00854FDF"/>
    <w:rsid w:val="00856FD6"/>
    <w:rsid w:val="008634E5"/>
    <w:rsid w:val="008729BE"/>
    <w:rsid w:val="008759D0"/>
    <w:rsid w:val="0088590B"/>
    <w:rsid w:val="008929D0"/>
    <w:rsid w:val="00893479"/>
    <w:rsid w:val="00893E97"/>
    <w:rsid w:val="008944A3"/>
    <w:rsid w:val="008A5AE5"/>
    <w:rsid w:val="008A602F"/>
    <w:rsid w:val="008B14C4"/>
    <w:rsid w:val="008B2491"/>
    <w:rsid w:val="008B5AA2"/>
    <w:rsid w:val="008C3631"/>
    <w:rsid w:val="008C67CA"/>
    <w:rsid w:val="008D0E3B"/>
    <w:rsid w:val="008D128E"/>
    <w:rsid w:val="008D1D16"/>
    <w:rsid w:val="008D25B6"/>
    <w:rsid w:val="008E09CA"/>
    <w:rsid w:val="008E7F86"/>
    <w:rsid w:val="008F5EA5"/>
    <w:rsid w:val="008F6EB6"/>
    <w:rsid w:val="00901510"/>
    <w:rsid w:val="00903128"/>
    <w:rsid w:val="009103AC"/>
    <w:rsid w:val="00910C62"/>
    <w:rsid w:val="00915C8B"/>
    <w:rsid w:val="0091656F"/>
    <w:rsid w:val="00920455"/>
    <w:rsid w:val="00922EA2"/>
    <w:rsid w:val="00923A47"/>
    <w:rsid w:val="00924ED1"/>
    <w:rsid w:val="009413B8"/>
    <w:rsid w:val="00941850"/>
    <w:rsid w:val="009430AC"/>
    <w:rsid w:val="009451CB"/>
    <w:rsid w:val="00951830"/>
    <w:rsid w:val="00951A7D"/>
    <w:rsid w:val="009531E4"/>
    <w:rsid w:val="00954005"/>
    <w:rsid w:val="00955AF7"/>
    <w:rsid w:val="0096018A"/>
    <w:rsid w:val="009671EF"/>
    <w:rsid w:val="0097268A"/>
    <w:rsid w:val="0097373B"/>
    <w:rsid w:val="00976AF8"/>
    <w:rsid w:val="0097739D"/>
    <w:rsid w:val="009808DB"/>
    <w:rsid w:val="00980BB2"/>
    <w:rsid w:val="00983976"/>
    <w:rsid w:val="00986F88"/>
    <w:rsid w:val="00987C46"/>
    <w:rsid w:val="00992FA8"/>
    <w:rsid w:val="00995FE6"/>
    <w:rsid w:val="009A05A7"/>
    <w:rsid w:val="009A6156"/>
    <w:rsid w:val="009A70D8"/>
    <w:rsid w:val="009B18E1"/>
    <w:rsid w:val="009B3E36"/>
    <w:rsid w:val="009B66AA"/>
    <w:rsid w:val="009C2AEA"/>
    <w:rsid w:val="009C7626"/>
    <w:rsid w:val="009D20F2"/>
    <w:rsid w:val="009D3ADC"/>
    <w:rsid w:val="009D4EDA"/>
    <w:rsid w:val="009D7365"/>
    <w:rsid w:val="009D7454"/>
    <w:rsid w:val="009E2403"/>
    <w:rsid w:val="009E3ABB"/>
    <w:rsid w:val="009E4E1E"/>
    <w:rsid w:val="009E5551"/>
    <w:rsid w:val="009F1526"/>
    <w:rsid w:val="009F24E4"/>
    <w:rsid w:val="009F55D4"/>
    <w:rsid w:val="009F7B8D"/>
    <w:rsid w:val="00A14FF4"/>
    <w:rsid w:val="00A15D25"/>
    <w:rsid w:val="00A15FD8"/>
    <w:rsid w:val="00A220EF"/>
    <w:rsid w:val="00A3220B"/>
    <w:rsid w:val="00A33486"/>
    <w:rsid w:val="00A33736"/>
    <w:rsid w:val="00A35354"/>
    <w:rsid w:val="00A364BC"/>
    <w:rsid w:val="00A40D24"/>
    <w:rsid w:val="00A41DC2"/>
    <w:rsid w:val="00A42783"/>
    <w:rsid w:val="00A427FE"/>
    <w:rsid w:val="00A42967"/>
    <w:rsid w:val="00A434EF"/>
    <w:rsid w:val="00A44FB5"/>
    <w:rsid w:val="00A47890"/>
    <w:rsid w:val="00A52F00"/>
    <w:rsid w:val="00A55140"/>
    <w:rsid w:val="00A57F33"/>
    <w:rsid w:val="00A629AC"/>
    <w:rsid w:val="00A66647"/>
    <w:rsid w:val="00A673EB"/>
    <w:rsid w:val="00A67B86"/>
    <w:rsid w:val="00A712E4"/>
    <w:rsid w:val="00A73A2F"/>
    <w:rsid w:val="00A76C79"/>
    <w:rsid w:val="00A810CD"/>
    <w:rsid w:val="00A82F52"/>
    <w:rsid w:val="00A83001"/>
    <w:rsid w:val="00A91296"/>
    <w:rsid w:val="00A920E5"/>
    <w:rsid w:val="00A93FC1"/>
    <w:rsid w:val="00AA28B4"/>
    <w:rsid w:val="00AB3147"/>
    <w:rsid w:val="00AC2B2D"/>
    <w:rsid w:val="00AC4EFE"/>
    <w:rsid w:val="00AD12F4"/>
    <w:rsid w:val="00AD47F9"/>
    <w:rsid w:val="00AE0609"/>
    <w:rsid w:val="00AE0E61"/>
    <w:rsid w:val="00AE10CB"/>
    <w:rsid w:val="00AE23BF"/>
    <w:rsid w:val="00AF361F"/>
    <w:rsid w:val="00AF543F"/>
    <w:rsid w:val="00AF6CC4"/>
    <w:rsid w:val="00B05B5F"/>
    <w:rsid w:val="00B06115"/>
    <w:rsid w:val="00B142A8"/>
    <w:rsid w:val="00B14DFD"/>
    <w:rsid w:val="00B20C44"/>
    <w:rsid w:val="00B235C2"/>
    <w:rsid w:val="00B268B2"/>
    <w:rsid w:val="00B3042A"/>
    <w:rsid w:val="00B319D0"/>
    <w:rsid w:val="00B647FD"/>
    <w:rsid w:val="00B66083"/>
    <w:rsid w:val="00B7008F"/>
    <w:rsid w:val="00B70663"/>
    <w:rsid w:val="00B76175"/>
    <w:rsid w:val="00B77480"/>
    <w:rsid w:val="00B804DA"/>
    <w:rsid w:val="00B85A4C"/>
    <w:rsid w:val="00B907A6"/>
    <w:rsid w:val="00B925C6"/>
    <w:rsid w:val="00B936F6"/>
    <w:rsid w:val="00B969D5"/>
    <w:rsid w:val="00BA0C4A"/>
    <w:rsid w:val="00BA1275"/>
    <w:rsid w:val="00BA2CFE"/>
    <w:rsid w:val="00BA7E86"/>
    <w:rsid w:val="00BB186F"/>
    <w:rsid w:val="00BB454B"/>
    <w:rsid w:val="00BB59CE"/>
    <w:rsid w:val="00BB6FC8"/>
    <w:rsid w:val="00BC0846"/>
    <w:rsid w:val="00BC221B"/>
    <w:rsid w:val="00BD06AD"/>
    <w:rsid w:val="00BD07E8"/>
    <w:rsid w:val="00BD14DB"/>
    <w:rsid w:val="00BD3813"/>
    <w:rsid w:val="00BE1F9A"/>
    <w:rsid w:val="00BE3D82"/>
    <w:rsid w:val="00BE509D"/>
    <w:rsid w:val="00BF0E87"/>
    <w:rsid w:val="00BF4F6F"/>
    <w:rsid w:val="00BF7EAB"/>
    <w:rsid w:val="00C00D41"/>
    <w:rsid w:val="00C039F5"/>
    <w:rsid w:val="00C126D8"/>
    <w:rsid w:val="00C13686"/>
    <w:rsid w:val="00C1446B"/>
    <w:rsid w:val="00C15AD7"/>
    <w:rsid w:val="00C320D4"/>
    <w:rsid w:val="00C3257C"/>
    <w:rsid w:val="00C35547"/>
    <w:rsid w:val="00C40447"/>
    <w:rsid w:val="00C40CB3"/>
    <w:rsid w:val="00C47BCA"/>
    <w:rsid w:val="00C50C3E"/>
    <w:rsid w:val="00C64858"/>
    <w:rsid w:val="00C672BC"/>
    <w:rsid w:val="00C813A6"/>
    <w:rsid w:val="00C83B9B"/>
    <w:rsid w:val="00C87509"/>
    <w:rsid w:val="00CA0D07"/>
    <w:rsid w:val="00CA161C"/>
    <w:rsid w:val="00CA215F"/>
    <w:rsid w:val="00CA497D"/>
    <w:rsid w:val="00CB12E9"/>
    <w:rsid w:val="00CB2E92"/>
    <w:rsid w:val="00CB5002"/>
    <w:rsid w:val="00CB6711"/>
    <w:rsid w:val="00CB675F"/>
    <w:rsid w:val="00CC054E"/>
    <w:rsid w:val="00CC34D4"/>
    <w:rsid w:val="00CD2059"/>
    <w:rsid w:val="00CD5822"/>
    <w:rsid w:val="00CE05AD"/>
    <w:rsid w:val="00CE3A3D"/>
    <w:rsid w:val="00CE3E37"/>
    <w:rsid w:val="00CE7678"/>
    <w:rsid w:val="00CE7F16"/>
    <w:rsid w:val="00CF081A"/>
    <w:rsid w:val="00CF3A4F"/>
    <w:rsid w:val="00CF684B"/>
    <w:rsid w:val="00D071F3"/>
    <w:rsid w:val="00D13DE2"/>
    <w:rsid w:val="00D13F7F"/>
    <w:rsid w:val="00D17CB5"/>
    <w:rsid w:val="00D25D42"/>
    <w:rsid w:val="00D26799"/>
    <w:rsid w:val="00D300A2"/>
    <w:rsid w:val="00D335F0"/>
    <w:rsid w:val="00D34049"/>
    <w:rsid w:val="00D36795"/>
    <w:rsid w:val="00D37860"/>
    <w:rsid w:val="00D426F8"/>
    <w:rsid w:val="00D4382C"/>
    <w:rsid w:val="00D44977"/>
    <w:rsid w:val="00D44DEA"/>
    <w:rsid w:val="00D456F1"/>
    <w:rsid w:val="00D5145B"/>
    <w:rsid w:val="00D62BC3"/>
    <w:rsid w:val="00D65393"/>
    <w:rsid w:val="00D656CC"/>
    <w:rsid w:val="00D70C84"/>
    <w:rsid w:val="00D71B84"/>
    <w:rsid w:val="00D72E28"/>
    <w:rsid w:val="00D74443"/>
    <w:rsid w:val="00D763EF"/>
    <w:rsid w:val="00D808DA"/>
    <w:rsid w:val="00D80A79"/>
    <w:rsid w:val="00D80B64"/>
    <w:rsid w:val="00D8338A"/>
    <w:rsid w:val="00D852BA"/>
    <w:rsid w:val="00D9183F"/>
    <w:rsid w:val="00D92A32"/>
    <w:rsid w:val="00D932DB"/>
    <w:rsid w:val="00DA141C"/>
    <w:rsid w:val="00DA5511"/>
    <w:rsid w:val="00DA6E85"/>
    <w:rsid w:val="00DA7965"/>
    <w:rsid w:val="00DB317D"/>
    <w:rsid w:val="00DB46BA"/>
    <w:rsid w:val="00DB59B1"/>
    <w:rsid w:val="00DB626B"/>
    <w:rsid w:val="00DB6EF1"/>
    <w:rsid w:val="00DC3F5A"/>
    <w:rsid w:val="00DC5399"/>
    <w:rsid w:val="00DD029B"/>
    <w:rsid w:val="00DD17DD"/>
    <w:rsid w:val="00DE08BE"/>
    <w:rsid w:val="00DE43EB"/>
    <w:rsid w:val="00DE4563"/>
    <w:rsid w:val="00DE6A9B"/>
    <w:rsid w:val="00DE7AA1"/>
    <w:rsid w:val="00E00882"/>
    <w:rsid w:val="00E015F8"/>
    <w:rsid w:val="00E06A12"/>
    <w:rsid w:val="00E07FA9"/>
    <w:rsid w:val="00E108DB"/>
    <w:rsid w:val="00E1250A"/>
    <w:rsid w:val="00E1765C"/>
    <w:rsid w:val="00E32833"/>
    <w:rsid w:val="00E32F27"/>
    <w:rsid w:val="00E33BDF"/>
    <w:rsid w:val="00E36D58"/>
    <w:rsid w:val="00E5533D"/>
    <w:rsid w:val="00E600DC"/>
    <w:rsid w:val="00E61D36"/>
    <w:rsid w:val="00E624B5"/>
    <w:rsid w:val="00E64F1D"/>
    <w:rsid w:val="00E72232"/>
    <w:rsid w:val="00E7671F"/>
    <w:rsid w:val="00E90EF9"/>
    <w:rsid w:val="00E9115C"/>
    <w:rsid w:val="00E912AF"/>
    <w:rsid w:val="00E92A2E"/>
    <w:rsid w:val="00E943AE"/>
    <w:rsid w:val="00E961FB"/>
    <w:rsid w:val="00EA1048"/>
    <w:rsid w:val="00EB5C57"/>
    <w:rsid w:val="00EC51D6"/>
    <w:rsid w:val="00EC58C8"/>
    <w:rsid w:val="00ED38B0"/>
    <w:rsid w:val="00ED38BE"/>
    <w:rsid w:val="00ED6C78"/>
    <w:rsid w:val="00EE04A8"/>
    <w:rsid w:val="00EE3472"/>
    <w:rsid w:val="00EF1910"/>
    <w:rsid w:val="00EF1BAE"/>
    <w:rsid w:val="00F021D4"/>
    <w:rsid w:val="00F03C63"/>
    <w:rsid w:val="00F06A0F"/>
    <w:rsid w:val="00F10923"/>
    <w:rsid w:val="00F15258"/>
    <w:rsid w:val="00F17295"/>
    <w:rsid w:val="00F21CB2"/>
    <w:rsid w:val="00F36D4C"/>
    <w:rsid w:val="00F3748B"/>
    <w:rsid w:val="00F43D4C"/>
    <w:rsid w:val="00F44835"/>
    <w:rsid w:val="00F47B4B"/>
    <w:rsid w:val="00F53284"/>
    <w:rsid w:val="00F7392E"/>
    <w:rsid w:val="00F74E13"/>
    <w:rsid w:val="00F76DE0"/>
    <w:rsid w:val="00F82B9F"/>
    <w:rsid w:val="00F83DEF"/>
    <w:rsid w:val="00F8508D"/>
    <w:rsid w:val="00F85165"/>
    <w:rsid w:val="00F905A2"/>
    <w:rsid w:val="00F910C0"/>
    <w:rsid w:val="00FA17AB"/>
    <w:rsid w:val="00FA45DE"/>
    <w:rsid w:val="00FA4A39"/>
    <w:rsid w:val="00FA76E9"/>
    <w:rsid w:val="00FA7AE1"/>
    <w:rsid w:val="00FC3DE0"/>
    <w:rsid w:val="00FC42B9"/>
    <w:rsid w:val="00FC504D"/>
    <w:rsid w:val="00FC56C1"/>
    <w:rsid w:val="00FD2AF7"/>
    <w:rsid w:val="00FD3177"/>
    <w:rsid w:val="00FD5727"/>
    <w:rsid w:val="00FD5819"/>
    <w:rsid w:val="00FD6954"/>
    <w:rsid w:val="00FD72F0"/>
    <w:rsid w:val="00FE38AB"/>
    <w:rsid w:val="00FE415A"/>
    <w:rsid w:val="00FE5A97"/>
    <w:rsid w:val="00FE78D3"/>
    <w:rsid w:val="00FF0A57"/>
    <w:rsid w:val="00FF199A"/>
    <w:rsid w:val="00FF69CE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8F47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524"/>
    <w:rPr>
      <w:rFonts w:ascii="CG Omega" w:hAnsi="CG Omeg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452"/>
    <w:pPr>
      <w:spacing w:before="240"/>
      <w:outlineLvl w:val="0"/>
    </w:pPr>
    <w:rPr>
      <w:rFonts w:ascii="Times New Roman" w:hAnsi="Times New Roman"/>
      <w:b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7524"/>
    <w:pPr>
      <w:numPr>
        <w:ilvl w:val="12"/>
      </w:numPr>
      <w:spacing w:before="240"/>
    </w:pPr>
    <w:rPr>
      <w:rFonts w:ascii="Times New Roman" w:hAnsi="Times New Roman"/>
      <w:sz w:val="24"/>
      <w:szCs w:val="20"/>
      <w:lang w:eastAsia="en-AU"/>
    </w:rPr>
  </w:style>
  <w:style w:type="paragraph" w:customStyle="1" w:styleId="StyleLeft349cmRight-011cm">
    <w:name w:val="Style Left:  3.49 cm Right:  -0.11 cm"/>
    <w:basedOn w:val="Normal"/>
    <w:rsid w:val="003B7524"/>
    <w:pPr>
      <w:ind w:left="1979" w:right="1701"/>
    </w:pPr>
    <w:rPr>
      <w:rFonts w:ascii="Times New Roman" w:hAnsi="Times New Roman"/>
      <w:sz w:val="24"/>
      <w:szCs w:val="20"/>
      <w:lang w:eastAsia="en-AU"/>
    </w:rPr>
  </w:style>
  <w:style w:type="paragraph" w:styleId="Footer">
    <w:name w:val="footer"/>
    <w:basedOn w:val="Normal"/>
    <w:rsid w:val="003B75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524"/>
  </w:style>
  <w:style w:type="paragraph" w:customStyle="1" w:styleId="Default1">
    <w:name w:val="Default1"/>
    <w:basedOn w:val="Normal"/>
    <w:next w:val="Normal"/>
    <w:rsid w:val="003B7524"/>
    <w:pPr>
      <w:autoSpaceDE w:val="0"/>
      <w:autoSpaceDN w:val="0"/>
      <w:adjustRightInd w:val="0"/>
      <w:spacing w:after="240"/>
    </w:pPr>
    <w:rPr>
      <w:rFonts w:ascii="Times New Roman" w:hAnsi="Times New Roman"/>
      <w:sz w:val="24"/>
      <w:lang w:eastAsia="en-AU"/>
    </w:rPr>
  </w:style>
  <w:style w:type="paragraph" w:styleId="Header">
    <w:name w:val="header"/>
    <w:aliases w:val="h"/>
    <w:basedOn w:val="Normal"/>
    <w:rsid w:val="003B752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46C2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9363E"/>
    <w:rPr>
      <w:sz w:val="16"/>
      <w:szCs w:val="16"/>
    </w:rPr>
  </w:style>
  <w:style w:type="paragraph" w:styleId="CommentText">
    <w:name w:val="annotation text"/>
    <w:basedOn w:val="Normal"/>
    <w:semiHidden/>
    <w:rsid w:val="0009363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363E"/>
    <w:rPr>
      <w:b/>
      <w:bCs/>
    </w:rPr>
  </w:style>
  <w:style w:type="paragraph" w:customStyle="1" w:styleId="Default">
    <w:name w:val="Default"/>
    <w:rsid w:val="00F739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4D1B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B24"/>
    <w:pPr>
      <w:ind w:left="720"/>
    </w:pPr>
  </w:style>
  <w:style w:type="paragraph" w:customStyle="1" w:styleId="default0">
    <w:name w:val="default"/>
    <w:basedOn w:val="Normal"/>
    <w:rsid w:val="00AD47F9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E4452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75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5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43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91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9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1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7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978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8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2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9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79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0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0735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7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4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2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149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8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4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2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1441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0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3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55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0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5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1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4D71-6D80-4AB0-9981-0E05D2D3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AUSTRAC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pjohns</dc:creator>
  <cp:keywords/>
  <dc:description/>
  <cp:lastModifiedBy>Hugh Dixon</cp:lastModifiedBy>
  <cp:revision>2</cp:revision>
  <cp:lastPrinted>2014-12-09T00:33:00Z</cp:lastPrinted>
  <dcterms:created xsi:type="dcterms:W3CDTF">2014-12-22T00:46:00Z</dcterms:created>
  <dcterms:modified xsi:type="dcterms:W3CDTF">2014-12-22T00:46:00Z</dcterms:modified>
</cp:coreProperties>
</file>