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965D3" w14:textId="77777777" w:rsidR="003B7524" w:rsidRDefault="0026075D" w:rsidP="003B7524">
      <w:pPr>
        <w:tabs>
          <w:tab w:val="right" w:pos="8312"/>
        </w:tabs>
        <w:rPr>
          <w:b/>
        </w:rPr>
      </w:pPr>
      <w:bookmarkStart w:id="0" w:name="_GoBack"/>
      <w:bookmarkEnd w:id="0"/>
      <w:r>
        <w:rPr>
          <w:b/>
          <w:noProof/>
        </w:rPr>
        <w:pict w14:anchorId="2D9CA4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.85pt;margin-top:-10.8pt;width:250.6pt;height:63.95pt;z-index:251657728">
            <v:imagedata r:id="rId9" o:title="AUSTRAC_L2"/>
          </v:shape>
        </w:pict>
      </w:r>
      <w:r w:rsidR="003B7524">
        <w:rPr>
          <w:b/>
        </w:rPr>
        <w:tab/>
      </w:r>
    </w:p>
    <w:p w14:paraId="4953F019" w14:textId="77777777" w:rsidR="003B7524" w:rsidRDefault="003B7524" w:rsidP="003B7524">
      <w:pPr>
        <w:rPr>
          <w:b/>
        </w:rPr>
      </w:pPr>
    </w:p>
    <w:p w14:paraId="342EBB83" w14:textId="77777777" w:rsidR="003B7524" w:rsidRDefault="003B7524" w:rsidP="003B7524">
      <w:pPr>
        <w:rPr>
          <w:b/>
        </w:rPr>
      </w:pPr>
    </w:p>
    <w:p w14:paraId="7FDC5A04" w14:textId="77777777" w:rsidR="003B7524" w:rsidRPr="00102477" w:rsidRDefault="003B7524" w:rsidP="003B7524">
      <w:pPr>
        <w:rPr>
          <w:b/>
        </w:rPr>
      </w:pPr>
    </w:p>
    <w:p w14:paraId="43764BF5" w14:textId="77777777" w:rsidR="003B7524" w:rsidRDefault="003B7524" w:rsidP="003B7524">
      <w:pPr>
        <w:autoSpaceDE w:val="0"/>
        <w:autoSpaceDN w:val="0"/>
        <w:adjustRightInd w:val="0"/>
        <w:rPr>
          <w:b/>
        </w:rPr>
      </w:pPr>
    </w:p>
    <w:p w14:paraId="2C4CBD43" w14:textId="77777777" w:rsidR="003B7524" w:rsidRDefault="003B7524" w:rsidP="003B7524">
      <w:pPr>
        <w:autoSpaceDE w:val="0"/>
        <w:autoSpaceDN w:val="0"/>
        <w:adjustRightInd w:val="0"/>
        <w:rPr>
          <w:b/>
        </w:rPr>
      </w:pPr>
    </w:p>
    <w:p w14:paraId="73285888" w14:textId="77777777" w:rsidR="003B7524" w:rsidRDefault="003B7524" w:rsidP="003B7524"/>
    <w:p w14:paraId="6DD94287" w14:textId="6FFC2BEF" w:rsidR="003B7524" w:rsidRPr="00BF4F6F" w:rsidRDefault="003B7524" w:rsidP="003B7524">
      <w:pPr>
        <w:tabs>
          <w:tab w:val="left" w:pos="360"/>
          <w:tab w:val="left" w:pos="1080"/>
          <w:tab w:val="left" w:pos="3600"/>
        </w:tabs>
        <w:jc w:val="center"/>
        <w:rPr>
          <w:rFonts w:ascii="Times New Roman" w:hAnsi="Times New Roman"/>
          <w:b/>
          <w:sz w:val="24"/>
        </w:rPr>
      </w:pPr>
      <w:r w:rsidRPr="00BF4F6F">
        <w:rPr>
          <w:rFonts w:ascii="Times New Roman" w:hAnsi="Times New Roman"/>
          <w:b/>
          <w:sz w:val="24"/>
        </w:rPr>
        <w:t xml:space="preserve">Explanatory </w:t>
      </w:r>
      <w:r w:rsidR="003C0500" w:rsidRPr="00BF4F6F">
        <w:rPr>
          <w:rFonts w:ascii="Times New Roman" w:hAnsi="Times New Roman"/>
          <w:b/>
          <w:sz w:val="24"/>
        </w:rPr>
        <w:t xml:space="preserve">Statement </w:t>
      </w:r>
      <w:r w:rsidRPr="00BF4F6F">
        <w:rPr>
          <w:rFonts w:ascii="Times New Roman" w:hAnsi="Times New Roman"/>
          <w:b/>
          <w:sz w:val="24"/>
        </w:rPr>
        <w:t xml:space="preserve">– </w:t>
      </w:r>
      <w:r w:rsidR="00134CA6" w:rsidRPr="00BF4F6F">
        <w:rPr>
          <w:rFonts w:ascii="Times New Roman" w:hAnsi="Times New Roman"/>
          <w:b/>
          <w:i/>
          <w:sz w:val="24"/>
        </w:rPr>
        <w:t xml:space="preserve">Anti-Money </w:t>
      </w:r>
      <w:proofErr w:type="gramStart"/>
      <w:r w:rsidR="00134CA6" w:rsidRPr="00BF4F6F">
        <w:rPr>
          <w:rFonts w:ascii="Times New Roman" w:hAnsi="Times New Roman"/>
          <w:b/>
          <w:i/>
          <w:sz w:val="24"/>
        </w:rPr>
        <w:t>Laundering</w:t>
      </w:r>
      <w:proofErr w:type="gramEnd"/>
      <w:r w:rsidR="00134CA6" w:rsidRPr="00BF4F6F">
        <w:rPr>
          <w:rFonts w:ascii="Times New Roman" w:hAnsi="Times New Roman"/>
          <w:b/>
          <w:i/>
          <w:sz w:val="24"/>
        </w:rPr>
        <w:t xml:space="preserve"> and Counter-Terrorism Financing Rules </w:t>
      </w:r>
      <w:r w:rsidR="00856FD6" w:rsidRPr="00BF4F6F">
        <w:rPr>
          <w:rFonts w:ascii="Times New Roman" w:hAnsi="Times New Roman"/>
          <w:b/>
          <w:i/>
          <w:sz w:val="24"/>
        </w:rPr>
        <w:t>Amendment Instrument 201</w:t>
      </w:r>
      <w:r w:rsidR="003F3B09">
        <w:rPr>
          <w:rFonts w:ascii="Times New Roman" w:hAnsi="Times New Roman"/>
          <w:b/>
          <w:i/>
          <w:sz w:val="24"/>
        </w:rPr>
        <w:t>4</w:t>
      </w:r>
      <w:r w:rsidR="00856FD6" w:rsidRPr="00BF4F6F">
        <w:rPr>
          <w:rFonts w:ascii="Times New Roman" w:hAnsi="Times New Roman"/>
          <w:b/>
          <w:i/>
          <w:sz w:val="24"/>
        </w:rPr>
        <w:t xml:space="preserve"> (No. </w:t>
      </w:r>
      <w:r w:rsidR="006A635B">
        <w:rPr>
          <w:rFonts w:ascii="Times New Roman" w:hAnsi="Times New Roman"/>
          <w:b/>
          <w:i/>
          <w:sz w:val="24"/>
        </w:rPr>
        <w:t>5</w:t>
      </w:r>
      <w:r w:rsidR="00134CA6" w:rsidRPr="00BF4F6F">
        <w:rPr>
          <w:rFonts w:ascii="Times New Roman" w:hAnsi="Times New Roman"/>
          <w:b/>
          <w:i/>
          <w:sz w:val="24"/>
        </w:rPr>
        <w:t xml:space="preserve">) </w:t>
      </w:r>
      <w:r w:rsidR="00134CA6" w:rsidRPr="00BF4F6F">
        <w:rPr>
          <w:rFonts w:ascii="Times New Roman" w:hAnsi="Times New Roman"/>
          <w:b/>
          <w:sz w:val="24"/>
        </w:rPr>
        <w:t xml:space="preserve">amending the </w:t>
      </w:r>
      <w:r w:rsidRPr="00BF4F6F">
        <w:rPr>
          <w:rFonts w:ascii="Times New Roman" w:hAnsi="Times New Roman"/>
          <w:b/>
          <w:i/>
          <w:sz w:val="24"/>
        </w:rPr>
        <w:t xml:space="preserve">Anti-Money Laundering and Counter-Terrorism Financing Rules Instrument 2007 (No. 1) </w:t>
      </w:r>
    </w:p>
    <w:p w14:paraId="42DA2F40" w14:textId="77777777" w:rsidR="003B7524" w:rsidRDefault="003B7524" w:rsidP="003B7524">
      <w:pPr>
        <w:rPr>
          <w:rFonts w:ascii="Times New Roman" w:hAnsi="Times New Roman"/>
          <w:b/>
          <w:sz w:val="24"/>
        </w:rPr>
      </w:pPr>
    </w:p>
    <w:p w14:paraId="47538DFB" w14:textId="77777777" w:rsidR="003B7524" w:rsidRPr="00F0454D" w:rsidRDefault="003B7524" w:rsidP="003B7524">
      <w:pPr>
        <w:rPr>
          <w:rFonts w:ascii="Times New Roman" w:hAnsi="Times New Roman"/>
          <w:b/>
          <w:sz w:val="24"/>
        </w:rPr>
      </w:pPr>
    </w:p>
    <w:p w14:paraId="6B7AA6F4" w14:textId="31196AAE" w:rsidR="003B7524" w:rsidRPr="00F0454D" w:rsidRDefault="003B7524" w:rsidP="003B7524">
      <w:pPr>
        <w:ind w:left="720" w:hanging="720"/>
        <w:rPr>
          <w:rFonts w:ascii="Times New Roman" w:hAnsi="Times New Roman"/>
          <w:b/>
          <w:sz w:val="24"/>
        </w:rPr>
      </w:pPr>
      <w:r w:rsidRPr="00F0454D">
        <w:rPr>
          <w:rFonts w:ascii="Times New Roman" w:hAnsi="Times New Roman"/>
          <w:b/>
          <w:sz w:val="24"/>
        </w:rPr>
        <w:t>1.</w:t>
      </w:r>
      <w:r w:rsidRPr="00F0454D">
        <w:rPr>
          <w:rFonts w:ascii="Times New Roman" w:hAnsi="Times New Roman"/>
          <w:b/>
          <w:sz w:val="24"/>
        </w:rPr>
        <w:tab/>
        <w:t>Purpose and operation of An</w:t>
      </w:r>
      <w:r w:rsidR="00F7392E">
        <w:rPr>
          <w:rFonts w:ascii="Times New Roman" w:hAnsi="Times New Roman"/>
          <w:b/>
          <w:sz w:val="24"/>
        </w:rPr>
        <w:t>ti-Money Laundering</w:t>
      </w:r>
      <w:r w:rsidR="009808DB">
        <w:rPr>
          <w:rFonts w:ascii="Times New Roman" w:hAnsi="Times New Roman"/>
          <w:b/>
          <w:sz w:val="24"/>
        </w:rPr>
        <w:t>/</w:t>
      </w:r>
      <w:r w:rsidR="00F7392E">
        <w:rPr>
          <w:rFonts w:ascii="Times New Roman" w:hAnsi="Times New Roman"/>
          <w:b/>
          <w:sz w:val="24"/>
        </w:rPr>
        <w:t>Counter</w:t>
      </w:r>
      <w:r w:rsidR="00F7392E">
        <w:rPr>
          <w:rFonts w:ascii="Times New Roman" w:hAnsi="Times New Roman"/>
          <w:b/>
          <w:sz w:val="24"/>
        </w:rPr>
        <w:noBreakHyphen/>
      </w:r>
      <w:r w:rsidRPr="00F0454D">
        <w:rPr>
          <w:rFonts w:ascii="Times New Roman" w:hAnsi="Times New Roman"/>
          <w:b/>
          <w:sz w:val="24"/>
        </w:rPr>
        <w:t xml:space="preserve">Terrorism Financing Rules (AML/CTF Rules) </w:t>
      </w:r>
      <w:r w:rsidR="00285882">
        <w:rPr>
          <w:rFonts w:ascii="Times New Roman" w:hAnsi="Times New Roman"/>
          <w:b/>
          <w:sz w:val="24"/>
        </w:rPr>
        <w:t xml:space="preserve">amending </w:t>
      </w:r>
      <w:r w:rsidR="004D29B8">
        <w:rPr>
          <w:rFonts w:ascii="Times New Roman" w:hAnsi="Times New Roman"/>
          <w:b/>
          <w:sz w:val="24"/>
        </w:rPr>
        <w:t>Chapter</w:t>
      </w:r>
      <w:r w:rsidR="003F3B09">
        <w:rPr>
          <w:rFonts w:ascii="Times New Roman" w:hAnsi="Times New Roman"/>
          <w:b/>
          <w:sz w:val="24"/>
        </w:rPr>
        <w:t xml:space="preserve"> 11</w:t>
      </w:r>
    </w:p>
    <w:p w14:paraId="5B63D780" w14:textId="77777777" w:rsidR="003B7524" w:rsidRPr="00F0454D" w:rsidRDefault="003B7524" w:rsidP="003B7524">
      <w:pPr>
        <w:rPr>
          <w:rFonts w:ascii="Times New Roman" w:hAnsi="Times New Roman"/>
          <w:b/>
          <w:sz w:val="24"/>
        </w:rPr>
      </w:pPr>
    </w:p>
    <w:p w14:paraId="204F22E4" w14:textId="77777777" w:rsidR="003B7524" w:rsidRDefault="003B7524" w:rsidP="00F7392E">
      <w:pPr>
        <w:numPr>
          <w:ilvl w:val="0"/>
          <w:numId w:val="2"/>
        </w:numPr>
        <w:autoSpaceDE w:val="0"/>
        <w:autoSpaceDN w:val="0"/>
        <w:adjustRightInd w:val="0"/>
        <w:ind w:hanging="720"/>
        <w:rPr>
          <w:rFonts w:ascii="Times New Roman" w:hAnsi="Times New Roman"/>
          <w:sz w:val="24"/>
        </w:rPr>
      </w:pPr>
      <w:r w:rsidRPr="00F0454D">
        <w:rPr>
          <w:rFonts w:ascii="Times New Roman" w:hAnsi="Times New Roman"/>
          <w:sz w:val="24"/>
        </w:rPr>
        <w:t xml:space="preserve">Section 229 of the </w:t>
      </w:r>
      <w:r w:rsidRPr="00F0454D">
        <w:rPr>
          <w:rFonts w:ascii="Times New Roman" w:hAnsi="Times New Roman"/>
          <w:i/>
          <w:sz w:val="24"/>
        </w:rPr>
        <w:t>Anti-Money Laundering and Counter-Terrorism Financing Act 2006</w:t>
      </w:r>
      <w:r w:rsidRPr="00F0454D">
        <w:rPr>
          <w:rFonts w:ascii="Times New Roman" w:hAnsi="Times New Roman"/>
          <w:sz w:val="24"/>
        </w:rPr>
        <w:t xml:space="preserve"> (AML/CTF Act) provides that the AUSTRAC Chief Executive Officer </w:t>
      </w:r>
      <w:r>
        <w:rPr>
          <w:rFonts w:ascii="Times New Roman" w:hAnsi="Times New Roman"/>
          <w:sz w:val="24"/>
        </w:rPr>
        <w:t xml:space="preserve">(AUSTRAC CEO) </w:t>
      </w:r>
      <w:r w:rsidR="009531E4">
        <w:rPr>
          <w:rFonts w:ascii="Times New Roman" w:hAnsi="Times New Roman"/>
          <w:sz w:val="24"/>
        </w:rPr>
        <w:t>may, b</w:t>
      </w:r>
      <w:r w:rsidRPr="00F0454D">
        <w:rPr>
          <w:rFonts w:ascii="Times New Roman" w:hAnsi="Times New Roman"/>
          <w:sz w:val="24"/>
        </w:rPr>
        <w:t>y writing, make AML/CTF Rules prescribing matters required or permitted by any other provision of the AML/CTF Act.</w:t>
      </w:r>
    </w:p>
    <w:p w14:paraId="16FA530E" w14:textId="2AE399D9" w:rsidR="00285882" w:rsidRDefault="00894444" w:rsidP="00A44FB5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8D3CE1">
        <w:rPr>
          <w:rFonts w:ascii="Times New Roman" w:hAnsi="Times New Roman"/>
          <w:sz w:val="24"/>
        </w:rPr>
        <w:t xml:space="preserve"> </w:t>
      </w:r>
    </w:p>
    <w:p w14:paraId="1C510BD7" w14:textId="77777777" w:rsidR="00C039F5" w:rsidRDefault="00C039F5" w:rsidP="00C039F5">
      <w:pPr>
        <w:ind w:left="720" w:hanging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Amendments to Chapter 11</w:t>
      </w:r>
    </w:p>
    <w:p w14:paraId="6C400315" w14:textId="77777777" w:rsidR="00C039F5" w:rsidRPr="00C039F5" w:rsidRDefault="00C039F5" w:rsidP="00C039F5">
      <w:pPr>
        <w:ind w:left="720" w:hanging="720"/>
        <w:rPr>
          <w:rFonts w:ascii="Times New Roman" w:hAnsi="Times New Roman"/>
          <w:b/>
          <w:sz w:val="24"/>
        </w:rPr>
      </w:pPr>
    </w:p>
    <w:p w14:paraId="10651202" w14:textId="1BC9F3A0" w:rsidR="00194B94" w:rsidRDefault="00194B94" w:rsidP="00194B94">
      <w:pPr>
        <w:numPr>
          <w:ilvl w:val="0"/>
          <w:numId w:val="2"/>
        </w:numPr>
        <w:autoSpaceDE w:val="0"/>
        <w:autoSpaceDN w:val="0"/>
        <w:adjustRightInd w:val="0"/>
        <w:ind w:hanging="720"/>
        <w:rPr>
          <w:rFonts w:ascii="Times New Roman" w:hAnsi="Times New Roman"/>
          <w:sz w:val="24"/>
        </w:rPr>
      </w:pPr>
      <w:r w:rsidRPr="00C039F5">
        <w:rPr>
          <w:rFonts w:ascii="Times New Roman" w:hAnsi="Times New Roman"/>
          <w:sz w:val="24"/>
        </w:rPr>
        <w:t xml:space="preserve">Chapter 11 of the AML/CTF Rules </w:t>
      </w:r>
      <w:r>
        <w:rPr>
          <w:rFonts w:ascii="Times New Roman" w:hAnsi="Times New Roman"/>
          <w:sz w:val="24"/>
        </w:rPr>
        <w:t>is made for the purposes of paragraphs 47(1)(a) and (b) of the AML/CTF Act and specifies</w:t>
      </w:r>
      <w:r w:rsidRPr="00C039F5">
        <w:rPr>
          <w:rFonts w:ascii="Times New Roman" w:hAnsi="Times New Roman"/>
          <w:sz w:val="24"/>
        </w:rPr>
        <w:t xml:space="preserve"> the reporting periods and the </w:t>
      </w:r>
      <w:proofErr w:type="spellStart"/>
      <w:r w:rsidRPr="00C039F5">
        <w:rPr>
          <w:rFonts w:ascii="Times New Roman" w:hAnsi="Times New Roman"/>
          <w:sz w:val="24"/>
        </w:rPr>
        <w:t>lodgment</w:t>
      </w:r>
      <w:proofErr w:type="spellEnd"/>
      <w:r w:rsidRPr="00C039F5">
        <w:rPr>
          <w:rFonts w:ascii="Times New Roman" w:hAnsi="Times New Roman"/>
          <w:sz w:val="24"/>
        </w:rPr>
        <w:t xml:space="preserve"> periods </w:t>
      </w:r>
      <w:r>
        <w:rPr>
          <w:rFonts w:ascii="Times New Roman" w:hAnsi="Times New Roman"/>
          <w:sz w:val="24"/>
        </w:rPr>
        <w:t>applicable to the</w:t>
      </w:r>
      <w:r w:rsidRPr="00C039F5">
        <w:rPr>
          <w:rFonts w:ascii="Times New Roman" w:hAnsi="Times New Roman"/>
          <w:sz w:val="24"/>
        </w:rPr>
        <w:t xml:space="preserve"> compliance report</w:t>
      </w:r>
      <w:r>
        <w:rPr>
          <w:rFonts w:ascii="Times New Roman" w:hAnsi="Times New Roman"/>
          <w:sz w:val="24"/>
        </w:rPr>
        <w:t xml:space="preserve">ing obligation in section 47 of the AML/CTF Act.  </w:t>
      </w:r>
    </w:p>
    <w:p w14:paraId="4E4FFF2F" w14:textId="77777777" w:rsidR="00C039F5" w:rsidRPr="00C039F5" w:rsidRDefault="00C039F5" w:rsidP="00C039F5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</w:rPr>
      </w:pPr>
    </w:p>
    <w:p w14:paraId="6DFD8AC2" w14:textId="5D8FA463" w:rsidR="003F3B09" w:rsidRDefault="00C039F5" w:rsidP="003F3B09">
      <w:pPr>
        <w:numPr>
          <w:ilvl w:val="0"/>
          <w:numId w:val="2"/>
        </w:numPr>
        <w:autoSpaceDE w:val="0"/>
        <w:autoSpaceDN w:val="0"/>
        <w:adjustRightInd w:val="0"/>
        <w:ind w:hanging="720"/>
        <w:rPr>
          <w:rFonts w:ascii="Times New Roman" w:hAnsi="Times New Roman"/>
          <w:sz w:val="24"/>
        </w:rPr>
      </w:pPr>
      <w:r w:rsidRPr="00C039F5">
        <w:rPr>
          <w:rFonts w:ascii="Times New Roman" w:hAnsi="Times New Roman"/>
          <w:sz w:val="24"/>
        </w:rPr>
        <w:t xml:space="preserve">AUSTRAC provided an exemption for registered </w:t>
      </w:r>
      <w:r w:rsidR="00B36809">
        <w:rPr>
          <w:rFonts w:ascii="Times New Roman" w:hAnsi="Times New Roman"/>
          <w:sz w:val="24"/>
        </w:rPr>
        <w:t xml:space="preserve">remittance </w:t>
      </w:r>
      <w:r w:rsidRPr="00C039F5">
        <w:rPr>
          <w:rFonts w:ascii="Times New Roman" w:hAnsi="Times New Roman"/>
          <w:sz w:val="24"/>
        </w:rPr>
        <w:t>network providers (RNPs) and registered remittance affiliates providing designated services under items 31, 32 or 32A in order to alleviate the regulatory burden of registration on the Remittance Sect</w:t>
      </w:r>
      <w:r w:rsidR="0029686B">
        <w:rPr>
          <w:rFonts w:ascii="Times New Roman" w:hAnsi="Times New Roman"/>
          <w:sz w:val="24"/>
        </w:rPr>
        <w:t>or Register</w:t>
      </w:r>
      <w:r w:rsidR="002D682E">
        <w:rPr>
          <w:rFonts w:ascii="Times New Roman" w:hAnsi="Times New Roman"/>
          <w:sz w:val="24"/>
        </w:rPr>
        <w:t xml:space="preserve"> for </w:t>
      </w:r>
      <w:r w:rsidR="002D682E" w:rsidRPr="00C039F5">
        <w:rPr>
          <w:rFonts w:ascii="Times New Roman" w:hAnsi="Times New Roman"/>
          <w:sz w:val="24"/>
        </w:rPr>
        <w:t xml:space="preserve">the 2012 </w:t>
      </w:r>
      <w:r w:rsidR="00BD6978">
        <w:rPr>
          <w:rFonts w:ascii="Times New Roman" w:hAnsi="Times New Roman"/>
          <w:sz w:val="24"/>
        </w:rPr>
        <w:t xml:space="preserve">and 2013 </w:t>
      </w:r>
      <w:r w:rsidR="002D682E" w:rsidRPr="00C039F5">
        <w:rPr>
          <w:rFonts w:ascii="Times New Roman" w:hAnsi="Times New Roman"/>
          <w:sz w:val="24"/>
        </w:rPr>
        <w:t>compliance reporting period</w:t>
      </w:r>
      <w:r w:rsidR="00BD6978">
        <w:rPr>
          <w:rFonts w:ascii="Times New Roman" w:hAnsi="Times New Roman"/>
          <w:sz w:val="24"/>
        </w:rPr>
        <w:t>s</w:t>
      </w:r>
      <w:r w:rsidR="0029686B">
        <w:rPr>
          <w:rFonts w:ascii="Times New Roman" w:hAnsi="Times New Roman"/>
          <w:sz w:val="24"/>
        </w:rPr>
        <w:t xml:space="preserve">. </w:t>
      </w:r>
    </w:p>
    <w:p w14:paraId="32C128C4" w14:textId="77777777" w:rsidR="00C039F5" w:rsidRDefault="00C039F5" w:rsidP="00FD20C1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3745BD72" w14:textId="4C736FCA" w:rsidR="00C039F5" w:rsidRDefault="006D2459" w:rsidP="00FD20C1">
      <w:pPr>
        <w:numPr>
          <w:ilvl w:val="0"/>
          <w:numId w:val="2"/>
        </w:numPr>
        <w:autoSpaceDE w:val="0"/>
        <w:autoSpaceDN w:val="0"/>
        <w:adjustRightInd w:val="0"/>
        <w:ind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AUSTRAC </w:t>
      </w:r>
      <w:r w:rsidR="00BD6978">
        <w:rPr>
          <w:rFonts w:ascii="Times New Roman" w:hAnsi="Times New Roman"/>
          <w:sz w:val="24"/>
        </w:rPr>
        <w:t xml:space="preserve">is undertaking a review of its compliance reporting framework, in line with the </w:t>
      </w:r>
      <w:r w:rsidR="00BD6978" w:rsidRPr="005672C4">
        <w:rPr>
          <w:rFonts w:ascii="Times New Roman" w:hAnsi="Times New Roman"/>
          <w:i/>
          <w:sz w:val="24"/>
        </w:rPr>
        <w:t>AUSTRAC Supervision Strategy 2012-14</w:t>
      </w:r>
      <w:r w:rsidR="00BD6978">
        <w:rPr>
          <w:rFonts w:ascii="Times New Roman" w:hAnsi="Times New Roman"/>
          <w:sz w:val="24"/>
        </w:rPr>
        <w:t xml:space="preserve">.  Until this review is finalised, </w:t>
      </w:r>
      <w:r w:rsidR="00A47558" w:rsidRPr="00A47558">
        <w:rPr>
          <w:rFonts w:ascii="Times New Roman" w:hAnsi="Times New Roman"/>
          <w:sz w:val="24"/>
        </w:rPr>
        <w:t xml:space="preserve">AUSTRAC </w:t>
      </w:r>
      <w:r w:rsidR="00BD6978">
        <w:rPr>
          <w:rFonts w:ascii="Times New Roman" w:hAnsi="Times New Roman"/>
          <w:sz w:val="24"/>
        </w:rPr>
        <w:t xml:space="preserve">considers </w:t>
      </w:r>
      <w:r w:rsidR="00FD20C1" w:rsidRPr="00A47558">
        <w:rPr>
          <w:rFonts w:ascii="Times New Roman" w:hAnsi="Times New Roman"/>
          <w:sz w:val="24"/>
        </w:rPr>
        <w:t xml:space="preserve">that </w:t>
      </w:r>
      <w:r w:rsidR="00BD6978">
        <w:rPr>
          <w:rFonts w:ascii="Times New Roman" w:hAnsi="Times New Roman"/>
          <w:sz w:val="24"/>
        </w:rPr>
        <w:t xml:space="preserve">the </w:t>
      </w:r>
      <w:r w:rsidR="00FD20C1" w:rsidRPr="00A47558">
        <w:rPr>
          <w:rFonts w:ascii="Times New Roman" w:hAnsi="Times New Roman"/>
          <w:sz w:val="24"/>
        </w:rPr>
        <w:t>current arrangements</w:t>
      </w:r>
      <w:r w:rsidR="00A47558" w:rsidRPr="00A47558">
        <w:rPr>
          <w:rFonts w:ascii="Times New Roman" w:hAnsi="Times New Roman"/>
          <w:sz w:val="24"/>
        </w:rPr>
        <w:t xml:space="preserve"> </w:t>
      </w:r>
      <w:r w:rsidR="00BD6978">
        <w:rPr>
          <w:rFonts w:ascii="Times New Roman" w:hAnsi="Times New Roman"/>
          <w:sz w:val="24"/>
        </w:rPr>
        <w:t xml:space="preserve">for registered RNPs and their registered </w:t>
      </w:r>
      <w:r w:rsidR="00A62DFD">
        <w:rPr>
          <w:rFonts w:ascii="Times New Roman" w:hAnsi="Times New Roman"/>
          <w:sz w:val="24"/>
        </w:rPr>
        <w:t xml:space="preserve">remittance </w:t>
      </w:r>
      <w:r w:rsidR="00BD6978">
        <w:rPr>
          <w:rFonts w:ascii="Times New Roman" w:hAnsi="Times New Roman"/>
          <w:sz w:val="24"/>
        </w:rPr>
        <w:t xml:space="preserve">affiliates </w:t>
      </w:r>
      <w:r w:rsidR="00A47558" w:rsidRPr="00A47558">
        <w:rPr>
          <w:rFonts w:ascii="Times New Roman" w:hAnsi="Times New Roman"/>
          <w:sz w:val="24"/>
        </w:rPr>
        <w:t>should be maintained</w:t>
      </w:r>
      <w:r w:rsidR="00BD6978">
        <w:rPr>
          <w:rFonts w:ascii="Times New Roman" w:hAnsi="Times New Roman"/>
          <w:sz w:val="24"/>
        </w:rPr>
        <w:t xml:space="preserve">.  Accordingly, these amendments to Chapter 11 exempt </w:t>
      </w:r>
      <w:r w:rsidR="00B36809">
        <w:rPr>
          <w:rFonts w:ascii="Times New Roman" w:hAnsi="Times New Roman"/>
          <w:sz w:val="24"/>
        </w:rPr>
        <w:t>registered</w:t>
      </w:r>
      <w:r w:rsidR="00FD20C1" w:rsidRPr="00A47558">
        <w:rPr>
          <w:rFonts w:ascii="Times New Roman" w:hAnsi="Times New Roman"/>
          <w:sz w:val="24"/>
        </w:rPr>
        <w:t xml:space="preserve"> RNPs and their </w:t>
      </w:r>
      <w:r w:rsidR="00B36809">
        <w:rPr>
          <w:rFonts w:ascii="Times New Roman" w:hAnsi="Times New Roman"/>
          <w:sz w:val="24"/>
        </w:rPr>
        <w:t>registered</w:t>
      </w:r>
      <w:r w:rsidR="00A62DFD">
        <w:rPr>
          <w:rFonts w:ascii="Times New Roman" w:hAnsi="Times New Roman"/>
          <w:sz w:val="24"/>
        </w:rPr>
        <w:t xml:space="preserve"> remittance</w:t>
      </w:r>
      <w:r w:rsidR="00B36809" w:rsidRPr="00A47558">
        <w:rPr>
          <w:rFonts w:ascii="Times New Roman" w:hAnsi="Times New Roman"/>
          <w:sz w:val="24"/>
        </w:rPr>
        <w:t xml:space="preserve"> </w:t>
      </w:r>
      <w:r w:rsidR="00FD20C1" w:rsidRPr="00A47558">
        <w:rPr>
          <w:rFonts w:ascii="Times New Roman" w:hAnsi="Times New Roman"/>
          <w:sz w:val="24"/>
        </w:rPr>
        <w:t>affiliates from compliance reporting obligation</w:t>
      </w:r>
      <w:r w:rsidR="00BD6978">
        <w:rPr>
          <w:rFonts w:ascii="Times New Roman" w:hAnsi="Times New Roman"/>
          <w:sz w:val="24"/>
        </w:rPr>
        <w:t>s</w:t>
      </w:r>
      <w:r w:rsidR="00FD20C1" w:rsidRPr="00A47558">
        <w:rPr>
          <w:rFonts w:ascii="Times New Roman" w:hAnsi="Times New Roman"/>
          <w:sz w:val="24"/>
        </w:rPr>
        <w:t xml:space="preserve"> for </w:t>
      </w:r>
      <w:r w:rsidR="00A47558" w:rsidRPr="00A47558">
        <w:rPr>
          <w:rFonts w:ascii="Times New Roman" w:hAnsi="Times New Roman"/>
          <w:sz w:val="24"/>
        </w:rPr>
        <w:t>20</w:t>
      </w:r>
      <w:r w:rsidR="00A47558">
        <w:rPr>
          <w:rFonts w:ascii="Times New Roman" w:hAnsi="Times New Roman"/>
          <w:sz w:val="24"/>
        </w:rPr>
        <w:t>14.</w:t>
      </w:r>
    </w:p>
    <w:p w14:paraId="09819AE1" w14:textId="77777777" w:rsidR="00A47558" w:rsidRDefault="00A47558" w:rsidP="00A47558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4C1F62C2" w14:textId="74D3B8FA" w:rsidR="00C039F5" w:rsidRPr="00C039F5" w:rsidRDefault="00A62DFD" w:rsidP="00C039F5">
      <w:pPr>
        <w:numPr>
          <w:ilvl w:val="0"/>
          <w:numId w:val="2"/>
        </w:numPr>
        <w:autoSpaceDE w:val="0"/>
        <w:autoSpaceDN w:val="0"/>
        <w:adjustRightInd w:val="0"/>
        <w:ind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="00C039F5" w:rsidRPr="00C039F5">
        <w:rPr>
          <w:rFonts w:ascii="Times New Roman" w:hAnsi="Times New Roman"/>
          <w:sz w:val="24"/>
        </w:rPr>
        <w:t xml:space="preserve">f a registered remittance affiliate of a </w:t>
      </w:r>
      <w:r w:rsidR="00BD6978">
        <w:rPr>
          <w:rFonts w:ascii="Times New Roman" w:hAnsi="Times New Roman"/>
          <w:sz w:val="24"/>
        </w:rPr>
        <w:t xml:space="preserve">registered </w:t>
      </w:r>
      <w:r w:rsidR="00C039F5" w:rsidRPr="00C039F5">
        <w:rPr>
          <w:rFonts w:ascii="Times New Roman" w:hAnsi="Times New Roman"/>
          <w:sz w:val="24"/>
        </w:rPr>
        <w:t xml:space="preserve">RNP provides a designated service </w:t>
      </w:r>
      <w:r w:rsidR="00F85165">
        <w:rPr>
          <w:rFonts w:ascii="Times New Roman" w:hAnsi="Times New Roman"/>
          <w:sz w:val="24"/>
        </w:rPr>
        <w:t>in addition to</w:t>
      </w:r>
      <w:r w:rsidR="00C039F5" w:rsidRPr="00C039F5">
        <w:rPr>
          <w:rFonts w:ascii="Times New Roman" w:hAnsi="Times New Roman"/>
          <w:sz w:val="24"/>
        </w:rPr>
        <w:t xml:space="preserve"> items 31</w:t>
      </w:r>
      <w:r w:rsidR="003340DB">
        <w:rPr>
          <w:rFonts w:ascii="Times New Roman" w:hAnsi="Times New Roman"/>
          <w:sz w:val="24"/>
        </w:rPr>
        <w:t xml:space="preserve"> or</w:t>
      </w:r>
      <w:r w:rsidR="00C039F5" w:rsidRPr="00C039F5">
        <w:rPr>
          <w:rFonts w:ascii="Times New Roman" w:hAnsi="Times New Roman"/>
          <w:sz w:val="24"/>
        </w:rPr>
        <w:t xml:space="preserve"> 32</w:t>
      </w:r>
      <w:r w:rsidR="00F85165">
        <w:rPr>
          <w:rFonts w:ascii="Times New Roman" w:hAnsi="Times New Roman"/>
          <w:sz w:val="24"/>
        </w:rPr>
        <w:t>,</w:t>
      </w:r>
      <w:r w:rsidR="00C039F5" w:rsidRPr="00C039F5">
        <w:rPr>
          <w:rFonts w:ascii="Times New Roman" w:hAnsi="Times New Roman"/>
          <w:sz w:val="24"/>
        </w:rPr>
        <w:t xml:space="preserve"> </w:t>
      </w:r>
      <w:r w:rsidR="00F85165">
        <w:rPr>
          <w:rFonts w:ascii="Times New Roman" w:hAnsi="Times New Roman"/>
          <w:sz w:val="24"/>
        </w:rPr>
        <w:t xml:space="preserve">or a </w:t>
      </w:r>
      <w:r w:rsidR="00B36809">
        <w:rPr>
          <w:rFonts w:ascii="Times New Roman" w:hAnsi="Times New Roman"/>
          <w:sz w:val="24"/>
        </w:rPr>
        <w:t>registered</w:t>
      </w:r>
      <w:r w:rsidR="00B36809" w:rsidRPr="00F85165">
        <w:rPr>
          <w:rFonts w:ascii="Times New Roman" w:hAnsi="Times New Roman"/>
          <w:sz w:val="24"/>
        </w:rPr>
        <w:t xml:space="preserve"> </w:t>
      </w:r>
      <w:r w:rsidR="00F85165" w:rsidRPr="00F85165">
        <w:rPr>
          <w:rFonts w:ascii="Times New Roman" w:hAnsi="Times New Roman"/>
          <w:sz w:val="24"/>
        </w:rPr>
        <w:t xml:space="preserve">RNP </w:t>
      </w:r>
      <w:r w:rsidR="00F85165">
        <w:rPr>
          <w:rFonts w:ascii="Times New Roman" w:hAnsi="Times New Roman"/>
          <w:sz w:val="24"/>
        </w:rPr>
        <w:t>provides a designated service in addition to item</w:t>
      </w:r>
      <w:r w:rsidR="00C039F5" w:rsidRPr="00C039F5">
        <w:rPr>
          <w:rFonts w:ascii="Times New Roman" w:hAnsi="Times New Roman"/>
          <w:sz w:val="24"/>
        </w:rPr>
        <w:t xml:space="preserve"> 32A in 201</w:t>
      </w:r>
      <w:r w:rsidR="00C3148C">
        <w:rPr>
          <w:rFonts w:ascii="Times New Roman" w:hAnsi="Times New Roman"/>
          <w:sz w:val="24"/>
        </w:rPr>
        <w:t>4</w:t>
      </w:r>
      <w:r w:rsidR="00C039F5" w:rsidRPr="00C039F5">
        <w:rPr>
          <w:rFonts w:ascii="Times New Roman" w:hAnsi="Times New Roman"/>
          <w:sz w:val="24"/>
        </w:rPr>
        <w:t>, then they are required to submit a compliance report for that year</w:t>
      </w:r>
      <w:r w:rsidR="00F85165">
        <w:rPr>
          <w:rFonts w:ascii="Times New Roman" w:hAnsi="Times New Roman"/>
          <w:sz w:val="24"/>
        </w:rPr>
        <w:t xml:space="preserve"> </w:t>
      </w:r>
      <w:r w:rsidR="00BD6978">
        <w:rPr>
          <w:rFonts w:ascii="Times New Roman" w:hAnsi="Times New Roman"/>
          <w:sz w:val="24"/>
        </w:rPr>
        <w:t xml:space="preserve">with </w:t>
      </w:r>
      <w:r w:rsidR="00F85165">
        <w:rPr>
          <w:rFonts w:ascii="Times New Roman" w:hAnsi="Times New Roman"/>
          <w:sz w:val="24"/>
        </w:rPr>
        <w:t>respect to all</w:t>
      </w:r>
      <w:r w:rsidR="00C039F5" w:rsidRPr="00C039F5">
        <w:rPr>
          <w:rFonts w:ascii="Times New Roman" w:hAnsi="Times New Roman"/>
          <w:sz w:val="24"/>
        </w:rPr>
        <w:t xml:space="preserve"> designated service</w:t>
      </w:r>
      <w:r w:rsidR="00F85165">
        <w:rPr>
          <w:rFonts w:ascii="Times New Roman" w:hAnsi="Times New Roman"/>
          <w:sz w:val="24"/>
        </w:rPr>
        <w:t>s</w:t>
      </w:r>
      <w:r w:rsidR="00C039F5" w:rsidRPr="00C039F5">
        <w:rPr>
          <w:rFonts w:ascii="Times New Roman" w:hAnsi="Times New Roman"/>
          <w:sz w:val="24"/>
        </w:rPr>
        <w:t xml:space="preserve">.   </w:t>
      </w:r>
    </w:p>
    <w:p w14:paraId="6B1C8F14" w14:textId="77777777" w:rsidR="00C039F5" w:rsidRDefault="00C039F5" w:rsidP="00C039F5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</w:rPr>
      </w:pPr>
    </w:p>
    <w:p w14:paraId="3722BBA4" w14:textId="77777777" w:rsidR="00194B94" w:rsidRPr="00A62DFD" w:rsidRDefault="00194B94" w:rsidP="00194B94">
      <w:pPr>
        <w:numPr>
          <w:ilvl w:val="0"/>
          <w:numId w:val="2"/>
        </w:numPr>
        <w:autoSpaceDE w:val="0"/>
        <w:autoSpaceDN w:val="0"/>
        <w:adjustRightInd w:val="0"/>
        <w:ind w:hanging="720"/>
        <w:rPr>
          <w:rFonts w:ascii="Times New Roman" w:hAnsi="Times New Roman"/>
          <w:b/>
          <w:sz w:val="24"/>
        </w:rPr>
      </w:pPr>
      <w:r w:rsidRPr="00A62DFD">
        <w:rPr>
          <w:rFonts w:ascii="Times New Roman" w:hAnsi="Times New Roman"/>
          <w:sz w:val="24"/>
        </w:rPr>
        <w:t>Th</w:t>
      </w:r>
      <w:r>
        <w:rPr>
          <w:rFonts w:ascii="Times New Roman" w:hAnsi="Times New Roman"/>
          <w:sz w:val="24"/>
        </w:rPr>
        <w:t>is</w:t>
      </w:r>
      <w:r w:rsidRPr="00A62DF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legislative instrument also contains </w:t>
      </w:r>
      <w:r w:rsidRPr="00A62DFD">
        <w:rPr>
          <w:rFonts w:ascii="Times New Roman" w:hAnsi="Times New Roman"/>
          <w:sz w:val="24"/>
        </w:rPr>
        <w:t>amendments to repeal outdated provisions</w:t>
      </w:r>
      <w:r>
        <w:rPr>
          <w:rFonts w:ascii="Times New Roman" w:hAnsi="Times New Roman"/>
          <w:sz w:val="24"/>
        </w:rPr>
        <w:t xml:space="preserve"> in Chapter 11</w:t>
      </w:r>
      <w:r w:rsidRPr="00A62DFD">
        <w:rPr>
          <w:rFonts w:ascii="Times New Roman" w:hAnsi="Times New Roman"/>
          <w:sz w:val="24"/>
        </w:rPr>
        <w:t xml:space="preserve">. </w:t>
      </w:r>
    </w:p>
    <w:p w14:paraId="3116986D" w14:textId="77777777" w:rsidR="00A62DFD" w:rsidRPr="00A62DFD" w:rsidRDefault="00A62DFD" w:rsidP="00A62DFD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</w:p>
    <w:p w14:paraId="3951AAC7" w14:textId="77777777" w:rsidR="00F7392E" w:rsidRDefault="009C7626" w:rsidP="00F7392E">
      <w:pPr>
        <w:rPr>
          <w:rFonts w:ascii="Times New Roman" w:hAnsi="Times New Roman"/>
          <w:b/>
          <w:i/>
          <w:sz w:val="24"/>
          <w:lang w:eastAsia="en-AU"/>
        </w:rPr>
      </w:pPr>
      <w:r>
        <w:rPr>
          <w:rFonts w:ascii="Times New Roman" w:hAnsi="Times New Roman"/>
          <w:b/>
          <w:sz w:val="24"/>
          <w:lang w:eastAsia="en-AU"/>
        </w:rPr>
        <w:lastRenderedPageBreak/>
        <w:t>Statement</w:t>
      </w:r>
      <w:r w:rsidR="00F7392E" w:rsidRPr="00CA142A">
        <w:rPr>
          <w:rFonts w:ascii="Times New Roman" w:hAnsi="Times New Roman"/>
          <w:b/>
          <w:sz w:val="24"/>
          <w:lang w:eastAsia="en-AU"/>
        </w:rPr>
        <w:t xml:space="preserve"> of Compatibility with the </w:t>
      </w:r>
      <w:r w:rsidR="00F7392E" w:rsidRPr="00CA142A">
        <w:rPr>
          <w:rFonts w:ascii="Times New Roman" w:hAnsi="Times New Roman"/>
          <w:b/>
          <w:i/>
          <w:sz w:val="24"/>
          <w:lang w:eastAsia="en-AU"/>
        </w:rPr>
        <w:t>Human Rights (Parliamentary Scrutiny) Act 2011</w:t>
      </w:r>
    </w:p>
    <w:p w14:paraId="0D1165E5" w14:textId="77777777" w:rsidR="003340DB" w:rsidRPr="00CA142A" w:rsidRDefault="003340DB" w:rsidP="00F7392E">
      <w:pPr>
        <w:rPr>
          <w:rFonts w:ascii="Times New Roman" w:hAnsi="Times New Roman"/>
          <w:b/>
          <w:sz w:val="24"/>
          <w:lang w:eastAsia="en-AU"/>
        </w:rPr>
      </w:pPr>
    </w:p>
    <w:p w14:paraId="6F7EAE3F" w14:textId="1E91A11A" w:rsidR="00F7392E" w:rsidRPr="0029686B" w:rsidRDefault="00F7392E" w:rsidP="0029686B">
      <w:pPr>
        <w:numPr>
          <w:ilvl w:val="0"/>
          <w:numId w:val="2"/>
        </w:numPr>
        <w:autoSpaceDE w:val="0"/>
        <w:autoSpaceDN w:val="0"/>
        <w:adjustRightInd w:val="0"/>
        <w:ind w:hanging="720"/>
        <w:rPr>
          <w:rFonts w:ascii="Times New Roman" w:hAnsi="Times New Roman"/>
          <w:sz w:val="24"/>
        </w:rPr>
      </w:pPr>
      <w:r w:rsidRPr="0029686B">
        <w:rPr>
          <w:rFonts w:ascii="Times New Roman" w:hAnsi="Times New Roman"/>
          <w:sz w:val="24"/>
        </w:rPr>
        <w:t xml:space="preserve">The </w:t>
      </w:r>
      <w:r w:rsidRPr="0029686B">
        <w:rPr>
          <w:rFonts w:ascii="Times New Roman" w:hAnsi="Times New Roman"/>
          <w:i/>
          <w:sz w:val="24"/>
        </w:rPr>
        <w:t>Human Rights (Parliamentary Scrutiny) Act 2011</w:t>
      </w:r>
      <w:r w:rsidR="00A62DFD">
        <w:rPr>
          <w:rFonts w:ascii="Times New Roman" w:hAnsi="Times New Roman"/>
          <w:sz w:val="24"/>
        </w:rPr>
        <w:t xml:space="preserve"> was passed on 25 </w:t>
      </w:r>
      <w:r w:rsidRPr="0029686B">
        <w:rPr>
          <w:rFonts w:ascii="Times New Roman" w:hAnsi="Times New Roman"/>
          <w:sz w:val="24"/>
        </w:rPr>
        <w:t>November 2011 and came into effect o</w:t>
      </w:r>
      <w:r w:rsidR="006B2808" w:rsidRPr="0029686B">
        <w:rPr>
          <w:rFonts w:ascii="Times New Roman" w:hAnsi="Times New Roman"/>
          <w:sz w:val="24"/>
        </w:rPr>
        <w:t>n 4 January 2012.  It introduced</w:t>
      </w:r>
      <w:r w:rsidRPr="0029686B">
        <w:rPr>
          <w:rFonts w:ascii="Times New Roman" w:hAnsi="Times New Roman"/>
          <w:sz w:val="24"/>
        </w:rPr>
        <w:t xml:space="preserve"> a requirement for </w:t>
      </w:r>
      <w:r w:rsidR="000D143A" w:rsidRPr="0029686B">
        <w:rPr>
          <w:rFonts w:ascii="Times New Roman" w:hAnsi="Times New Roman"/>
          <w:sz w:val="24"/>
        </w:rPr>
        <w:t>a Statement</w:t>
      </w:r>
      <w:r w:rsidRPr="0029686B">
        <w:rPr>
          <w:rFonts w:ascii="Times New Roman" w:hAnsi="Times New Roman"/>
          <w:sz w:val="24"/>
        </w:rPr>
        <w:t xml:space="preserve"> of Compatibility to accompany all new Bills and disallowable legislative instruments. </w:t>
      </w:r>
    </w:p>
    <w:p w14:paraId="69EF9F98" w14:textId="77777777" w:rsidR="00F7392E" w:rsidRPr="0029686B" w:rsidRDefault="00F7392E" w:rsidP="0029686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28CA7C09" w14:textId="4B9C041B" w:rsidR="00F7392E" w:rsidRDefault="00F7392E" w:rsidP="0029686B">
      <w:pPr>
        <w:numPr>
          <w:ilvl w:val="0"/>
          <w:numId w:val="2"/>
        </w:numPr>
        <w:autoSpaceDE w:val="0"/>
        <w:autoSpaceDN w:val="0"/>
        <w:adjustRightInd w:val="0"/>
        <w:ind w:hanging="720"/>
        <w:rPr>
          <w:rFonts w:ascii="Times New Roman" w:hAnsi="Times New Roman"/>
          <w:sz w:val="24"/>
        </w:rPr>
      </w:pPr>
      <w:r w:rsidRPr="00CA142A">
        <w:rPr>
          <w:rFonts w:ascii="Times New Roman" w:hAnsi="Times New Roman"/>
          <w:sz w:val="24"/>
        </w:rPr>
        <w:t xml:space="preserve">The </w:t>
      </w:r>
      <w:r w:rsidR="000D143A">
        <w:rPr>
          <w:rFonts w:ascii="Times New Roman" w:hAnsi="Times New Roman"/>
          <w:sz w:val="24"/>
        </w:rPr>
        <w:t>Statement</w:t>
      </w:r>
      <w:r w:rsidRPr="00CA142A">
        <w:rPr>
          <w:rFonts w:ascii="Times New Roman" w:hAnsi="Times New Roman"/>
          <w:sz w:val="24"/>
        </w:rPr>
        <w:t xml:space="preserve"> of Compatibility for </w:t>
      </w:r>
      <w:r w:rsidRPr="0029686B">
        <w:rPr>
          <w:rFonts w:ascii="Times New Roman" w:hAnsi="Times New Roman"/>
          <w:i/>
          <w:sz w:val="24"/>
        </w:rPr>
        <w:t>Anti-Money Laundering and Counter-Terrorism Financing Rules Amendment Instrument 201</w:t>
      </w:r>
      <w:r w:rsidR="00271F3A">
        <w:rPr>
          <w:rFonts w:ascii="Times New Roman" w:hAnsi="Times New Roman"/>
          <w:i/>
          <w:sz w:val="24"/>
        </w:rPr>
        <w:t>4</w:t>
      </w:r>
      <w:r w:rsidRPr="0029686B">
        <w:rPr>
          <w:rFonts w:ascii="Times New Roman" w:hAnsi="Times New Roman"/>
          <w:i/>
          <w:sz w:val="24"/>
        </w:rPr>
        <w:t xml:space="preserve"> (N</w:t>
      </w:r>
      <w:r w:rsidR="00A35354" w:rsidRPr="0029686B">
        <w:rPr>
          <w:rFonts w:ascii="Times New Roman" w:hAnsi="Times New Roman"/>
          <w:i/>
          <w:sz w:val="24"/>
        </w:rPr>
        <w:t>o.</w:t>
      </w:r>
      <w:r w:rsidR="002250A5">
        <w:rPr>
          <w:rFonts w:ascii="Times New Roman" w:hAnsi="Times New Roman"/>
          <w:i/>
          <w:sz w:val="24"/>
        </w:rPr>
        <w:t xml:space="preserve"> </w:t>
      </w:r>
      <w:r w:rsidR="006A635B">
        <w:rPr>
          <w:rFonts w:ascii="Times New Roman" w:hAnsi="Times New Roman"/>
          <w:i/>
          <w:sz w:val="24"/>
        </w:rPr>
        <w:t>5</w:t>
      </w:r>
      <w:r w:rsidRPr="0029686B">
        <w:rPr>
          <w:rFonts w:ascii="Times New Roman" w:hAnsi="Times New Roman"/>
          <w:i/>
          <w:sz w:val="24"/>
        </w:rPr>
        <w:t>)</w:t>
      </w:r>
      <w:r w:rsidRPr="0029686B">
        <w:rPr>
          <w:rFonts w:ascii="Times New Roman" w:hAnsi="Times New Roman"/>
          <w:sz w:val="24"/>
        </w:rPr>
        <w:t xml:space="preserve"> </w:t>
      </w:r>
      <w:r w:rsidRPr="00CA142A">
        <w:rPr>
          <w:rFonts w:ascii="Times New Roman" w:hAnsi="Times New Roman"/>
          <w:sz w:val="24"/>
        </w:rPr>
        <w:t xml:space="preserve">is included in this Explanatory </w:t>
      </w:r>
      <w:r w:rsidR="009C7626" w:rsidRPr="008B0C22">
        <w:rPr>
          <w:rFonts w:ascii="Times New Roman" w:hAnsi="Times New Roman"/>
          <w:sz w:val="24"/>
        </w:rPr>
        <w:t>Statement</w:t>
      </w:r>
      <w:r w:rsidRPr="008B0C22">
        <w:rPr>
          <w:rFonts w:ascii="Times New Roman" w:hAnsi="Times New Roman"/>
          <w:sz w:val="24"/>
        </w:rPr>
        <w:t xml:space="preserve"> at page </w:t>
      </w:r>
      <w:r w:rsidR="009868BC">
        <w:rPr>
          <w:rFonts w:ascii="Times New Roman" w:hAnsi="Times New Roman"/>
          <w:sz w:val="24"/>
        </w:rPr>
        <w:t>4</w:t>
      </w:r>
      <w:r w:rsidRPr="008B0C22">
        <w:rPr>
          <w:rFonts w:ascii="Times New Roman" w:hAnsi="Times New Roman"/>
          <w:sz w:val="24"/>
        </w:rPr>
        <w:t xml:space="preserve">. </w:t>
      </w:r>
      <w:r w:rsidR="006B2808" w:rsidRPr="008B0C22">
        <w:rPr>
          <w:rFonts w:ascii="Times New Roman" w:hAnsi="Times New Roman"/>
          <w:sz w:val="24"/>
        </w:rPr>
        <w:t xml:space="preserve"> </w:t>
      </w:r>
      <w:r w:rsidRPr="008B0C22"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</w:rPr>
        <w:t xml:space="preserve"> AUSTRAC CEO</w:t>
      </w:r>
      <w:r w:rsidR="00FF100C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as the rule-maker of t</w:t>
      </w:r>
      <w:r w:rsidRPr="00CA142A">
        <w:rPr>
          <w:rFonts w:ascii="Times New Roman" w:hAnsi="Times New Roman"/>
          <w:sz w:val="24"/>
        </w:rPr>
        <w:t>his legislative instrument</w:t>
      </w:r>
      <w:r w:rsidR="00FF100C">
        <w:rPr>
          <w:rFonts w:ascii="Times New Roman" w:hAnsi="Times New Roman"/>
          <w:sz w:val="24"/>
        </w:rPr>
        <w:t>,</w:t>
      </w:r>
      <w:r w:rsidRPr="00CA142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has stated that it </w:t>
      </w:r>
      <w:r w:rsidRPr="00CA142A">
        <w:rPr>
          <w:rFonts w:ascii="Times New Roman" w:hAnsi="Times New Roman"/>
          <w:sz w:val="24"/>
        </w:rPr>
        <w:t>is compatible with the human rights and freedoms recognised or declared in the international instruments list</w:t>
      </w:r>
      <w:r w:rsidR="005B5D9A">
        <w:rPr>
          <w:rFonts w:ascii="Times New Roman" w:hAnsi="Times New Roman"/>
          <w:sz w:val="24"/>
        </w:rPr>
        <w:t>ed</w:t>
      </w:r>
      <w:r w:rsidRPr="00CA142A">
        <w:rPr>
          <w:rFonts w:ascii="Times New Roman" w:hAnsi="Times New Roman"/>
          <w:sz w:val="24"/>
        </w:rPr>
        <w:t xml:space="preserve"> in section 3 of the </w:t>
      </w:r>
      <w:r w:rsidRPr="0029686B">
        <w:rPr>
          <w:rFonts w:ascii="Times New Roman" w:hAnsi="Times New Roman"/>
          <w:i/>
          <w:sz w:val="24"/>
        </w:rPr>
        <w:t>Human Rights (Parliamentary Scrutiny) Act 2011</w:t>
      </w:r>
      <w:r w:rsidRPr="00CA142A">
        <w:rPr>
          <w:rFonts w:ascii="Times New Roman" w:hAnsi="Times New Roman"/>
          <w:sz w:val="24"/>
        </w:rPr>
        <w:t xml:space="preserve">.  </w:t>
      </w:r>
    </w:p>
    <w:p w14:paraId="12D18CAB" w14:textId="77777777" w:rsidR="003B7524" w:rsidRPr="00F0454D" w:rsidRDefault="003B7524" w:rsidP="00A33736">
      <w:pPr>
        <w:autoSpaceDE w:val="0"/>
        <w:autoSpaceDN w:val="0"/>
        <w:adjustRightInd w:val="0"/>
        <w:spacing w:before="240"/>
        <w:rPr>
          <w:rFonts w:ascii="Times New Roman" w:hAnsi="Times New Roman"/>
          <w:b/>
          <w:sz w:val="24"/>
        </w:rPr>
      </w:pPr>
      <w:r w:rsidRPr="0081438A">
        <w:rPr>
          <w:rFonts w:ascii="Times New Roman" w:hAnsi="Times New Roman"/>
          <w:b/>
          <w:sz w:val="24"/>
        </w:rPr>
        <w:t>2.</w:t>
      </w:r>
      <w:r w:rsidRPr="0081438A">
        <w:rPr>
          <w:rFonts w:ascii="Times New Roman" w:hAnsi="Times New Roman"/>
          <w:b/>
          <w:sz w:val="24"/>
        </w:rPr>
        <w:tab/>
        <w:t>Notes on sections</w:t>
      </w:r>
    </w:p>
    <w:p w14:paraId="0C0E28DB" w14:textId="77777777" w:rsidR="003B7524" w:rsidRPr="00326047" w:rsidRDefault="003B7524" w:rsidP="00326047">
      <w:pPr>
        <w:rPr>
          <w:rFonts w:ascii="Times New Roman" w:hAnsi="Times New Roman"/>
          <w:b/>
          <w:sz w:val="24"/>
        </w:rPr>
      </w:pPr>
    </w:p>
    <w:p w14:paraId="16421DE5" w14:textId="77777777" w:rsidR="003B7524" w:rsidRPr="00F0454D" w:rsidRDefault="003B7524" w:rsidP="003B7524">
      <w:pPr>
        <w:rPr>
          <w:rFonts w:ascii="Times New Roman" w:hAnsi="Times New Roman"/>
          <w:b/>
          <w:sz w:val="24"/>
        </w:rPr>
      </w:pPr>
      <w:r w:rsidRPr="00F0454D">
        <w:rPr>
          <w:rFonts w:ascii="Times New Roman" w:hAnsi="Times New Roman"/>
          <w:b/>
          <w:sz w:val="24"/>
        </w:rPr>
        <w:t>Section 1</w:t>
      </w:r>
    </w:p>
    <w:p w14:paraId="0181A6D9" w14:textId="77777777" w:rsidR="003B7524" w:rsidRPr="00326047" w:rsidRDefault="003B7524" w:rsidP="003B7524">
      <w:pPr>
        <w:rPr>
          <w:rFonts w:ascii="Times New Roman" w:hAnsi="Times New Roman"/>
          <w:b/>
          <w:sz w:val="24"/>
        </w:rPr>
      </w:pPr>
    </w:p>
    <w:p w14:paraId="65EA7F56" w14:textId="494E1D0A" w:rsidR="003B7524" w:rsidRPr="00F0454D" w:rsidRDefault="003B7524" w:rsidP="003B7524">
      <w:pPr>
        <w:rPr>
          <w:rFonts w:ascii="Times New Roman" w:hAnsi="Times New Roman"/>
          <w:i/>
          <w:sz w:val="24"/>
        </w:rPr>
      </w:pPr>
      <w:r w:rsidRPr="00F0454D">
        <w:rPr>
          <w:rFonts w:ascii="Times New Roman" w:hAnsi="Times New Roman"/>
          <w:sz w:val="24"/>
        </w:rPr>
        <w:t xml:space="preserve">This section sets out the name of the instrument, i.e. the </w:t>
      </w:r>
      <w:r w:rsidRPr="00F0454D">
        <w:rPr>
          <w:rFonts w:ascii="Times New Roman" w:hAnsi="Times New Roman"/>
          <w:i/>
          <w:sz w:val="24"/>
        </w:rPr>
        <w:t xml:space="preserve">Anti-Money Laundering and Counter-Terrorism Financing Rules Amendment Instrument </w:t>
      </w:r>
      <w:r w:rsidR="00A434EF" w:rsidRPr="00F0454D">
        <w:rPr>
          <w:rFonts w:ascii="Times New Roman" w:hAnsi="Times New Roman"/>
          <w:i/>
          <w:sz w:val="24"/>
        </w:rPr>
        <w:t>20</w:t>
      </w:r>
      <w:r w:rsidR="00A434EF">
        <w:rPr>
          <w:rFonts w:ascii="Times New Roman" w:hAnsi="Times New Roman"/>
          <w:i/>
          <w:sz w:val="24"/>
        </w:rPr>
        <w:t>1</w:t>
      </w:r>
      <w:r w:rsidR="001B78D8">
        <w:rPr>
          <w:rFonts w:ascii="Times New Roman" w:hAnsi="Times New Roman"/>
          <w:i/>
          <w:sz w:val="24"/>
        </w:rPr>
        <w:t>4</w:t>
      </w:r>
      <w:r w:rsidR="00A434EF" w:rsidRPr="00F0454D">
        <w:rPr>
          <w:rFonts w:ascii="Times New Roman" w:hAnsi="Times New Roman"/>
          <w:i/>
          <w:sz w:val="24"/>
        </w:rPr>
        <w:t xml:space="preserve"> </w:t>
      </w:r>
      <w:r w:rsidRPr="00F0454D">
        <w:rPr>
          <w:rFonts w:ascii="Times New Roman" w:hAnsi="Times New Roman"/>
          <w:i/>
          <w:sz w:val="24"/>
        </w:rPr>
        <w:t>(No.</w:t>
      </w:r>
      <w:r w:rsidR="009A3BC6">
        <w:rPr>
          <w:rFonts w:ascii="Times New Roman" w:hAnsi="Times New Roman"/>
          <w:i/>
          <w:sz w:val="24"/>
        </w:rPr>
        <w:t xml:space="preserve"> </w:t>
      </w:r>
      <w:r w:rsidR="006A635B">
        <w:rPr>
          <w:rFonts w:ascii="Times New Roman" w:hAnsi="Times New Roman"/>
          <w:i/>
          <w:sz w:val="24"/>
        </w:rPr>
        <w:t>5</w:t>
      </w:r>
      <w:r w:rsidRPr="00F0454D">
        <w:rPr>
          <w:rFonts w:ascii="Times New Roman" w:hAnsi="Times New Roman"/>
          <w:i/>
          <w:sz w:val="24"/>
        </w:rPr>
        <w:t>).</w:t>
      </w:r>
    </w:p>
    <w:p w14:paraId="70240266" w14:textId="77777777" w:rsidR="003B7524" w:rsidRPr="00326047" w:rsidRDefault="003B7524" w:rsidP="003B7524">
      <w:pPr>
        <w:rPr>
          <w:rFonts w:ascii="Times New Roman" w:hAnsi="Times New Roman"/>
          <w:b/>
          <w:sz w:val="24"/>
        </w:rPr>
      </w:pPr>
    </w:p>
    <w:p w14:paraId="307CE789" w14:textId="77777777" w:rsidR="003B7524" w:rsidRPr="00F0454D" w:rsidRDefault="003B7524" w:rsidP="003B7524">
      <w:pPr>
        <w:rPr>
          <w:rFonts w:ascii="Times New Roman" w:hAnsi="Times New Roman"/>
          <w:b/>
          <w:sz w:val="24"/>
        </w:rPr>
      </w:pPr>
      <w:r w:rsidRPr="00F0454D">
        <w:rPr>
          <w:rFonts w:ascii="Times New Roman" w:hAnsi="Times New Roman"/>
          <w:b/>
          <w:sz w:val="24"/>
        </w:rPr>
        <w:t>Section 2</w:t>
      </w:r>
    </w:p>
    <w:p w14:paraId="42CB3C93" w14:textId="77777777" w:rsidR="003B7524" w:rsidRPr="00326047" w:rsidRDefault="003B7524" w:rsidP="003B7524">
      <w:pPr>
        <w:rPr>
          <w:rFonts w:ascii="Times New Roman" w:hAnsi="Times New Roman"/>
          <w:b/>
          <w:sz w:val="24"/>
        </w:rPr>
      </w:pPr>
    </w:p>
    <w:p w14:paraId="09DFAA06" w14:textId="3E5F980A" w:rsidR="003B7524" w:rsidRDefault="003B7524" w:rsidP="003B7524">
      <w:pPr>
        <w:rPr>
          <w:rFonts w:ascii="Times New Roman" w:hAnsi="Times New Roman"/>
          <w:sz w:val="24"/>
        </w:rPr>
      </w:pPr>
      <w:r w:rsidRPr="00F0454D">
        <w:rPr>
          <w:rFonts w:ascii="Times New Roman" w:hAnsi="Times New Roman"/>
          <w:sz w:val="24"/>
        </w:rPr>
        <w:t xml:space="preserve">This section specifies that </w:t>
      </w:r>
      <w:r>
        <w:rPr>
          <w:rFonts w:ascii="Times New Roman" w:hAnsi="Times New Roman"/>
          <w:sz w:val="24"/>
        </w:rPr>
        <w:t>Schedule 1</w:t>
      </w:r>
      <w:r w:rsidR="0070277B">
        <w:rPr>
          <w:rFonts w:ascii="Times New Roman" w:hAnsi="Times New Roman"/>
          <w:sz w:val="24"/>
        </w:rPr>
        <w:t xml:space="preserve"> </w:t>
      </w:r>
      <w:r w:rsidRPr="00F0454D">
        <w:rPr>
          <w:rFonts w:ascii="Times New Roman" w:hAnsi="Times New Roman"/>
          <w:sz w:val="24"/>
        </w:rPr>
        <w:t>commence</w:t>
      </w:r>
      <w:r w:rsidR="001B78D8">
        <w:rPr>
          <w:rFonts w:ascii="Times New Roman" w:hAnsi="Times New Roman"/>
          <w:sz w:val="24"/>
        </w:rPr>
        <w:t>s</w:t>
      </w:r>
      <w:r w:rsidRPr="00F0454D">
        <w:rPr>
          <w:rFonts w:ascii="Times New Roman" w:hAnsi="Times New Roman"/>
          <w:sz w:val="24"/>
        </w:rPr>
        <w:t xml:space="preserve"> on the day after </w:t>
      </w:r>
      <w:r w:rsidR="00B85A4C">
        <w:rPr>
          <w:rFonts w:ascii="Times New Roman" w:hAnsi="Times New Roman"/>
          <w:sz w:val="24"/>
        </w:rPr>
        <w:t>the instrument is</w:t>
      </w:r>
      <w:r w:rsidRPr="00F0454D">
        <w:rPr>
          <w:rFonts w:ascii="Times New Roman" w:hAnsi="Times New Roman"/>
          <w:sz w:val="24"/>
        </w:rPr>
        <w:t xml:space="preserve"> registered. </w:t>
      </w:r>
    </w:p>
    <w:p w14:paraId="648A5AC1" w14:textId="77777777" w:rsidR="003B7524" w:rsidRDefault="003B7524" w:rsidP="003B7524">
      <w:pPr>
        <w:rPr>
          <w:rFonts w:ascii="Times New Roman" w:hAnsi="Times New Roman"/>
          <w:b/>
          <w:sz w:val="24"/>
        </w:rPr>
      </w:pPr>
    </w:p>
    <w:p w14:paraId="2AC88F42" w14:textId="77777777" w:rsidR="003B7524" w:rsidRDefault="003B7524" w:rsidP="003B7524">
      <w:pPr>
        <w:rPr>
          <w:rFonts w:ascii="Times New Roman" w:hAnsi="Times New Roman"/>
          <w:b/>
          <w:sz w:val="24"/>
        </w:rPr>
      </w:pPr>
      <w:r w:rsidRPr="00F0454D">
        <w:rPr>
          <w:rFonts w:ascii="Times New Roman" w:hAnsi="Times New Roman"/>
          <w:b/>
          <w:sz w:val="24"/>
        </w:rPr>
        <w:t>Section 3</w:t>
      </w:r>
    </w:p>
    <w:p w14:paraId="6B2C9517" w14:textId="77777777" w:rsidR="00F7392E" w:rsidRDefault="00F7392E" w:rsidP="003B7524">
      <w:pPr>
        <w:rPr>
          <w:rFonts w:ascii="Times New Roman" w:hAnsi="Times New Roman"/>
          <w:b/>
          <w:sz w:val="24"/>
        </w:rPr>
      </w:pPr>
    </w:p>
    <w:p w14:paraId="28608373" w14:textId="77777777" w:rsidR="00F7392E" w:rsidRDefault="00F7392E" w:rsidP="00F7392E">
      <w:pPr>
        <w:rPr>
          <w:rFonts w:ascii="Times New Roman" w:hAnsi="Times New Roman"/>
          <w:sz w:val="24"/>
        </w:rPr>
      </w:pPr>
      <w:r w:rsidRPr="00F0454D">
        <w:rPr>
          <w:rFonts w:ascii="Times New Roman" w:hAnsi="Times New Roman"/>
          <w:sz w:val="24"/>
        </w:rPr>
        <w:t xml:space="preserve">This section contains </w:t>
      </w:r>
      <w:r>
        <w:rPr>
          <w:rFonts w:ascii="Times New Roman" w:hAnsi="Times New Roman"/>
          <w:sz w:val="24"/>
        </w:rPr>
        <w:t>the details of the amendment:</w:t>
      </w:r>
    </w:p>
    <w:p w14:paraId="199FA26E" w14:textId="77777777" w:rsidR="00F7392E" w:rsidRPr="00326047" w:rsidRDefault="00F7392E" w:rsidP="00F7392E">
      <w:pPr>
        <w:rPr>
          <w:rFonts w:ascii="Times New Roman" w:hAnsi="Times New Roman"/>
          <w:b/>
          <w:sz w:val="24"/>
        </w:rPr>
      </w:pPr>
    </w:p>
    <w:p w14:paraId="1C270CA9" w14:textId="7BDAECB4" w:rsidR="00F7392E" w:rsidRPr="00F7392E" w:rsidRDefault="00F7392E" w:rsidP="00F7392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Schedule 1</w:t>
      </w:r>
      <w:r w:rsidR="0070277B">
        <w:rPr>
          <w:rFonts w:ascii="Times New Roman" w:hAnsi="Times New Roman"/>
          <w:sz w:val="24"/>
        </w:rPr>
        <w:t xml:space="preserve"> </w:t>
      </w:r>
      <w:r w:rsidR="00B85A4C">
        <w:rPr>
          <w:rFonts w:ascii="Times New Roman" w:hAnsi="Times New Roman"/>
          <w:sz w:val="24"/>
        </w:rPr>
        <w:t>amend</w:t>
      </w:r>
      <w:r w:rsidR="001B78D8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the </w:t>
      </w:r>
      <w:r w:rsidRPr="00021BFB">
        <w:rPr>
          <w:rFonts w:ascii="Times New Roman" w:hAnsi="Times New Roman"/>
          <w:i/>
          <w:sz w:val="24"/>
        </w:rPr>
        <w:t xml:space="preserve">Anti-Money Laundering and Counter-Terrorism Financing Rules </w:t>
      </w:r>
      <w:r w:rsidRPr="00F7392E">
        <w:rPr>
          <w:rFonts w:ascii="Times New Roman" w:hAnsi="Times New Roman"/>
          <w:i/>
          <w:sz w:val="24"/>
        </w:rPr>
        <w:t>Instrument 2007 (No.</w:t>
      </w:r>
      <w:r w:rsidR="00E37EC2">
        <w:rPr>
          <w:rFonts w:ascii="Times New Roman" w:hAnsi="Times New Roman"/>
          <w:i/>
          <w:sz w:val="24"/>
        </w:rPr>
        <w:t xml:space="preserve"> </w:t>
      </w:r>
      <w:r w:rsidRPr="00F7392E">
        <w:rPr>
          <w:rFonts w:ascii="Times New Roman" w:hAnsi="Times New Roman"/>
          <w:i/>
          <w:sz w:val="24"/>
        </w:rPr>
        <w:t>1)</w:t>
      </w:r>
      <w:r w:rsidRPr="00F7392E">
        <w:rPr>
          <w:rFonts w:ascii="Times New Roman" w:hAnsi="Times New Roman"/>
          <w:sz w:val="24"/>
        </w:rPr>
        <w:t>.</w:t>
      </w:r>
    </w:p>
    <w:p w14:paraId="211D79CD" w14:textId="77777777" w:rsidR="00F7392E" w:rsidRDefault="00F7392E" w:rsidP="00F7392E">
      <w:pPr>
        <w:rPr>
          <w:rFonts w:ascii="Times New Roman" w:hAnsi="Times New Roman"/>
          <w:b/>
          <w:sz w:val="24"/>
        </w:rPr>
      </w:pPr>
    </w:p>
    <w:p w14:paraId="02D66F1D" w14:textId="77777777" w:rsidR="00F7392E" w:rsidRDefault="00F7392E" w:rsidP="00F7392E">
      <w:pPr>
        <w:rPr>
          <w:rFonts w:ascii="Times New Roman" w:hAnsi="Times New Roman"/>
          <w:b/>
          <w:sz w:val="24"/>
        </w:rPr>
      </w:pPr>
      <w:r w:rsidRPr="00F7392E">
        <w:rPr>
          <w:rFonts w:ascii="Times New Roman" w:hAnsi="Times New Roman"/>
          <w:b/>
          <w:sz w:val="24"/>
        </w:rPr>
        <w:t>Schedule 1</w:t>
      </w:r>
    </w:p>
    <w:p w14:paraId="77716381" w14:textId="77777777" w:rsidR="003340DB" w:rsidRDefault="003340DB" w:rsidP="00F7392E">
      <w:pPr>
        <w:rPr>
          <w:rFonts w:ascii="Times New Roman" w:hAnsi="Times New Roman"/>
          <w:b/>
          <w:sz w:val="24"/>
        </w:rPr>
      </w:pPr>
    </w:p>
    <w:p w14:paraId="54034001" w14:textId="09FCF5C1" w:rsidR="005114F2" w:rsidRPr="0059487B" w:rsidRDefault="005114F2" w:rsidP="005114F2">
      <w:pPr>
        <w:rPr>
          <w:rFonts w:ascii="Times New Roman" w:hAnsi="Times New Roman"/>
          <w:sz w:val="24"/>
        </w:rPr>
      </w:pPr>
      <w:r w:rsidRPr="0059487B">
        <w:rPr>
          <w:rFonts w:ascii="Times New Roman" w:hAnsi="Times New Roman"/>
          <w:sz w:val="24"/>
        </w:rPr>
        <w:t>This schedule</w:t>
      </w:r>
      <w:r w:rsidR="008161AE">
        <w:rPr>
          <w:rFonts w:ascii="Times New Roman" w:hAnsi="Times New Roman"/>
          <w:sz w:val="24"/>
        </w:rPr>
        <w:t xml:space="preserve"> sets out amendments to </w:t>
      </w:r>
      <w:r w:rsidRPr="0059487B">
        <w:rPr>
          <w:rFonts w:ascii="Times New Roman" w:hAnsi="Times New Roman"/>
          <w:sz w:val="24"/>
        </w:rPr>
        <w:t>Chapter 11.</w:t>
      </w:r>
    </w:p>
    <w:p w14:paraId="1BBB459A" w14:textId="6B87DBCD" w:rsidR="003B7524" w:rsidRDefault="003B7524" w:rsidP="003B7524">
      <w:pPr>
        <w:spacing w:before="2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  <w:t xml:space="preserve">Notes on </w:t>
      </w:r>
      <w:r w:rsidR="00F7392E">
        <w:rPr>
          <w:rFonts w:ascii="Times New Roman" w:hAnsi="Times New Roman"/>
          <w:b/>
          <w:sz w:val="24"/>
        </w:rPr>
        <w:t>I</w:t>
      </w:r>
      <w:r w:rsidR="00430DA3">
        <w:rPr>
          <w:rFonts w:ascii="Times New Roman" w:hAnsi="Times New Roman"/>
          <w:b/>
          <w:sz w:val="24"/>
        </w:rPr>
        <w:t>tems</w:t>
      </w:r>
    </w:p>
    <w:p w14:paraId="7A69D33F" w14:textId="77777777" w:rsidR="007B0B01" w:rsidRPr="007B0B01" w:rsidRDefault="007B0B01" w:rsidP="007B0B01">
      <w:pPr>
        <w:spacing w:before="240"/>
        <w:rPr>
          <w:rFonts w:ascii="Times New Roman" w:hAnsi="Times New Roman"/>
          <w:b/>
          <w:sz w:val="24"/>
        </w:rPr>
      </w:pPr>
      <w:r w:rsidRPr="007B0B01">
        <w:rPr>
          <w:rFonts w:ascii="Times New Roman" w:hAnsi="Times New Roman"/>
          <w:b/>
          <w:sz w:val="24"/>
        </w:rPr>
        <w:t>Schedule 1</w:t>
      </w:r>
    </w:p>
    <w:p w14:paraId="48DA21D4" w14:textId="6D65CBDA" w:rsidR="007B0B01" w:rsidRPr="007B0B01" w:rsidRDefault="007B0B01" w:rsidP="005672C4">
      <w:pPr>
        <w:numPr>
          <w:ilvl w:val="0"/>
          <w:numId w:val="12"/>
        </w:numPr>
        <w:spacing w:before="240"/>
        <w:ind w:hanging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11</w:t>
      </w:r>
    </w:p>
    <w:p w14:paraId="7350AB49" w14:textId="77777777" w:rsidR="007B0B01" w:rsidRPr="007B0B01" w:rsidRDefault="007B0B01" w:rsidP="007B0B01">
      <w:pPr>
        <w:spacing w:before="240"/>
        <w:rPr>
          <w:rFonts w:ascii="Times New Roman" w:hAnsi="Times New Roman"/>
          <w:b/>
          <w:sz w:val="24"/>
        </w:rPr>
      </w:pPr>
      <w:r w:rsidRPr="007B0B01">
        <w:rPr>
          <w:rFonts w:ascii="Times New Roman" w:hAnsi="Times New Roman"/>
          <w:b/>
          <w:sz w:val="24"/>
        </w:rPr>
        <w:t>Item 1</w:t>
      </w:r>
    </w:p>
    <w:p w14:paraId="79D21849" w14:textId="36A1CE40" w:rsidR="00287E91" w:rsidRDefault="007B0B01" w:rsidP="00805341">
      <w:pPr>
        <w:spacing w:before="240"/>
        <w:rPr>
          <w:rFonts w:ascii="Times New Roman" w:hAnsi="Times New Roman"/>
          <w:sz w:val="24"/>
        </w:rPr>
      </w:pPr>
      <w:r w:rsidRPr="0059487B">
        <w:rPr>
          <w:rFonts w:ascii="Times New Roman" w:hAnsi="Times New Roman"/>
          <w:sz w:val="24"/>
        </w:rPr>
        <w:t>This item repeals the existing Chapter 11</w:t>
      </w:r>
      <w:r w:rsidR="00805341">
        <w:rPr>
          <w:rFonts w:ascii="Times New Roman" w:hAnsi="Times New Roman"/>
          <w:sz w:val="24"/>
        </w:rPr>
        <w:t xml:space="preserve"> and substitutes </w:t>
      </w:r>
      <w:r w:rsidRPr="0059487B">
        <w:rPr>
          <w:rFonts w:ascii="Times New Roman" w:hAnsi="Times New Roman"/>
          <w:sz w:val="24"/>
        </w:rPr>
        <w:t xml:space="preserve">a new </w:t>
      </w:r>
      <w:r w:rsidR="00746C4A" w:rsidRPr="0059487B">
        <w:rPr>
          <w:rFonts w:ascii="Times New Roman" w:hAnsi="Times New Roman"/>
          <w:sz w:val="24"/>
        </w:rPr>
        <w:t>Chapter 11</w:t>
      </w:r>
      <w:r w:rsidRPr="0059487B">
        <w:rPr>
          <w:rFonts w:ascii="Times New Roman" w:hAnsi="Times New Roman"/>
          <w:sz w:val="24"/>
        </w:rPr>
        <w:t xml:space="preserve"> which has been amended</w:t>
      </w:r>
      <w:r w:rsidR="008158AC" w:rsidRPr="0059487B">
        <w:rPr>
          <w:rFonts w:ascii="Times New Roman" w:hAnsi="Times New Roman"/>
          <w:sz w:val="24"/>
        </w:rPr>
        <w:t xml:space="preserve"> to extend the existing </w:t>
      </w:r>
      <w:r w:rsidR="008161AE">
        <w:rPr>
          <w:rFonts w:ascii="Times New Roman" w:hAnsi="Times New Roman"/>
          <w:sz w:val="24"/>
        </w:rPr>
        <w:t xml:space="preserve">exemption for </w:t>
      </w:r>
      <w:r w:rsidR="00C90EF7">
        <w:rPr>
          <w:rFonts w:ascii="Times New Roman" w:hAnsi="Times New Roman"/>
          <w:sz w:val="24"/>
        </w:rPr>
        <w:t xml:space="preserve">registered </w:t>
      </w:r>
      <w:r w:rsidR="008158AC" w:rsidRPr="0059487B">
        <w:rPr>
          <w:rFonts w:ascii="Times New Roman" w:hAnsi="Times New Roman"/>
          <w:sz w:val="24"/>
        </w:rPr>
        <w:t>RNP</w:t>
      </w:r>
      <w:r w:rsidR="008161AE">
        <w:rPr>
          <w:rFonts w:ascii="Times New Roman" w:hAnsi="Times New Roman"/>
          <w:sz w:val="24"/>
        </w:rPr>
        <w:t>s</w:t>
      </w:r>
      <w:r w:rsidR="008158AC" w:rsidRPr="0059487B">
        <w:rPr>
          <w:rFonts w:ascii="Times New Roman" w:hAnsi="Times New Roman"/>
          <w:sz w:val="24"/>
        </w:rPr>
        <w:t xml:space="preserve"> and registered remittance affiliate</w:t>
      </w:r>
      <w:r w:rsidR="008161AE">
        <w:rPr>
          <w:rFonts w:ascii="Times New Roman" w:hAnsi="Times New Roman"/>
          <w:sz w:val="24"/>
        </w:rPr>
        <w:t>s</w:t>
      </w:r>
      <w:r w:rsidR="008158AC" w:rsidRPr="0059487B">
        <w:rPr>
          <w:rFonts w:ascii="Times New Roman" w:hAnsi="Times New Roman"/>
          <w:sz w:val="24"/>
        </w:rPr>
        <w:t xml:space="preserve"> </w:t>
      </w:r>
      <w:r w:rsidR="008161AE">
        <w:rPr>
          <w:rFonts w:ascii="Times New Roman" w:hAnsi="Times New Roman"/>
          <w:sz w:val="24"/>
        </w:rPr>
        <w:t xml:space="preserve">to cover </w:t>
      </w:r>
      <w:r w:rsidR="00805341">
        <w:rPr>
          <w:rFonts w:ascii="Times New Roman" w:hAnsi="Times New Roman"/>
          <w:sz w:val="24"/>
        </w:rPr>
        <w:t>2014</w:t>
      </w:r>
      <w:r w:rsidR="008158AC" w:rsidRPr="0059487B">
        <w:rPr>
          <w:rFonts w:ascii="Times New Roman" w:hAnsi="Times New Roman"/>
          <w:sz w:val="24"/>
        </w:rPr>
        <w:t xml:space="preserve"> </w:t>
      </w:r>
      <w:r w:rsidR="008161AE">
        <w:rPr>
          <w:rFonts w:ascii="Times New Roman" w:hAnsi="Times New Roman"/>
          <w:sz w:val="24"/>
        </w:rPr>
        <w:t xml:space="preserve">AML/CTF </w:t>
      </w:r>
      <w:r w:rsidR="008158AC" w:rsidRPr="0059487B">
        <w:rPr>
          <w:rFonts w:ascii="Times New Roman" w:hAnsi="Times New Roman"/>
          <w:sz w:val="24"/>
        </w:rPr>
        <w:t>complianc</w:t>
      </w:r>
      <w:r w:rsidR="00D456F1" w:rsidRPr="0059487B">
        <w:rPr>
          <w:rFonts w:ascii="Times New Roman" w:hAnsi="Times New Roman"/>
          <w:sz w:val="24"/>
        </w:rPr>
        <w:t>e</w:t>
      </w:r>
      <w:r w:rsidR="008158AC" w:rsidRPr="0059487B">
        <w:rPr>
          <w:rFonts w:ascii="Times New Roman" w:hAnsi="Times New Roman"/>
          <w:sz w:val="24"/>
        </w:rPr>
        <w:t xml:space="preserve"> report</w:t>
      </w:r>
      <w:r w:rsidR="00A62DFD">
        <w:rPr>
          <w:rFonts w:ascii="Times New Roman" w:hAnsi="Times New Roman"/>
          <w:sz w:val="24"/>
        </w:rPr>
        <w:t>ing obligations</w:t>
      </w:r>
      <w:r w:rsidR="008158AC" w:rsidRPr="0059487B">
        <w:rPr>
          <w:rFonts w:ascii="Times New Roman" w:hAnsi="Times New Roman"/>
          <w:sz w:val="24"/>
        </w:rPr>
        <w:t>.</w:t>
      </w:r>
    </w:p>
    <w:p w14:paraId="36276374" w14:textId="6670E771" w:rsidR="00C90EF7" w:rsidRDefault="00805341" w:rsidP="00805341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amendments also</w:t>
      </w:r>
      <w:r w:rsidRPr="00C039F5">
        <w:rPr>
          <w:rFonts w:ascii="Times New Roman" w:hAnsi="Times New Roman"/>
          <w:sz w:val="24"/>
        </w:rPr>
        <w:t xml:space="preserve"> revise</w:t>
      </w:r>
      <w:r>
        <w:rPr>
          <w:rFonts w:ascii="Times New Roman" w:hAnsi="Times New Roman"/>
          <w:sz w:val="24"/>
        </w:rPr>
        <w:t xml:space="preserve"> Chapter 11</w:t>
      </w:r>
      <w:r w:rsidRPr="00C039F5">
        <w:rPr>
          <w:rFonts w:ascii="Times New Roman" w:hAnsi="Times New Roman"/>
          <w:sz w:val="24"/>
        </w:rPr>
        <w:t xml:space="preserve"> to </w:t>
      </w:r>
      <w:r>
        <w:rPr>
          <w:rFonts w:ascii="Times New Roman" w:hAnsi="Times New Roman"/>
          <w:sz w:val="24"/>
        </w:rPr>
        <w:t>repeal outdated</w:t>
      </w:r>
      <w:r w:rsidRPr="00C039F5">
        <w:rPr>
          <w:rFonts w:ascii="Times New Roman" w:hAnsi="Times New Roman"/>
          <w:sz w:val="24"/>
        </w:rPr>
        <w:t xml:space="preserve"> provisions</w:t>
      </w:r>
      <w:r w:rsidR="00A62DFD">
        <w:rPr>
          <w:rFonts w:ascii="Times New Roman" w:hAnsi="Times New Roman"/>
          <w:sz w:val="24"/>
        </w:rPr>
        <w:t>.</w:t>
      </w:r>
    </w:p>
    <w:p w14:paraId="0AA35497" w14:textId="36CDCFB8" w:rsidR="00805341" w:rsidRDefault="00C90EF7" w:rsidP="00805341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The detail</w:t>
      </w:r>
      <w:r w:rsidR="00084AD2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of the amendments to each paragraph are set out below:</w:t>
      </w:r>
    </w:p>
    <w:p w14:paraId="3753EEA4" w14:textId="3AFCC83E" w:rsidR="00E73253" w:rsidRPr="00E73253" w:rsidRDefault="00C90EF7" w:rsidP="00E73253">
      <w:pPr>
        <w:spacing w:before="2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Amendment to paragraph 11.2</w:t>
      </w:r>
    </w:p>
    <w:p w14:paraId="4B9CBF0A" w14:textId="12BCC7F1" w:rsidR="00E73253" w:rsidRDefault="00084AD2" w:rsidP="00805341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 o</w:t>
      </w:r>
      <w:r w:rsidR="00C90EF7">
        <w:rPr>
          <w:rFonts w:ascii="Times New Roman" w:hAnsi="Times New Roman"/>
          <w:sz w:val="24"/>
        </w:rPr>
        <w:t>utdated provision relat</w:t>
      </w:r>
      <w:r>
        <w:rPr>
          <w:rFonts w:ascii="Times New Roman" w:hAnsi="Times New Roman"/>
          <w:sz w:val="24"/>
        </w:rPr>
        <w:t>ing</w:t>
      </w:r>
      <w:r w:rsidR="00C90EF7">
        <w:rPr>
          <w:rFonts w:ascii="Times New Roman" w:hAnsi="Times New Roman"/>
          <w:sz w:val="24"/>
        </w:rPr>
        <w:t xml:space="preserve"> to </w:t>
      </w:r>
      <w:r>
        <w:rPr>
          <w:rFonts w:ascii="Times New Roman" w:hAnsi="Times New Roman"/>
          <w:sz w:val="24"/>
        </w:rPr>
        <w:t xml:space="preserve">a </w:t>
      </w:r>
      <w:r w:rsidR="00C90EF7">
        <w:rPr>
          <w:rFonts w:ascii="Times New Roman" w:hAnsi="Times New Roman"/>
          <w:sz w:val="24"/>
        </w:rPr>
        <w:t>past compliance reporting period has been repealed.</w:t>
      </w:r>
    </w:p>
    <w:p w14:paraId="6A01BE82" w14:textId="08660072" w:rsidR="00C90EF7" w:rsidRPr="00E73253" w:rsidRDefault="00C90EF7" w:rsidP="00C90EF7">
      <w:pPr>
        <w:spacing w:before="2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Amendment to paragraph 11.3</w:t>
      </w:r>
      <w:r w:rsidR="00011B87">
        <w:rPr>
          <w:rFonts w:ascii="Times New Roman" w:hAnsi="Times New Roman"/>
          <w:i/>
          <w:sz w:val="24"/>
        </w:rPr>
        <w:t xml:space="preserve"> </w:t>
      </w:r>
      <w:r w:rsidR="008F10F0">
        <w:rPr>
          <w:rFonts w:ascii="Times New Roman" w:hAnsi="Times New Roman"/>
          <w:i/>
          <w:sz w:val="24"/>
        </w:rPr>
        <w:t xml:space="preserve"> </w:t>
      </w:r>
    </w:p>
    <w:p w14:paraId="5FF67DE8" w14:textId="48942E7B" w:rsidR="00C90EF7" w:rsidRDefault="00084AD2" w:rsidP="00C90EF7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 o</w:t>
      </w:r>
      <w:r w:rsidR="00C90EF7">
        <w:rPr>
          <w:rFonts w:ascii="Times New Roman" w:hAnsi="Times New Roman"/>
          <w:sz w:val="24"/>
        </w:rPr>
        <w:t>utdated provision relat</w:t>
      </w:r>
      <w:r>
        <w:rPr>
          <w:rFonts w:ascii="Times New Roman" w:hAnsi="Times New Roman"/>
          <w:sz w:val="24"/>
        </w:rPr>
        <w:t>ing</w:t>
      </w:r>
      <w:r w:rsidR="00C90EF7">
        <w:rPr>
          <w:rFonts w:ascii="Times New Roman" w:hAnsi="Times New Roman"/>
          <w:sz w:val="24"/>
        </w:rPr>
        <w:t xml:space="preserve"> to </w:t>
      </w:r>
      <w:r>
        <w:rPr>
          <w:rFonts w:ascii="Times New Roman" w:hAnsi="Times New Roman"/>
          <w:sz w:val="24"/>
        </w:rPr>
        <w:t xml:space="preserve">a </w:t>
      </w:r>
      <w:r w:rsidR="00C90EF7">
        <w:rPr>
          <w:rFonts w:ascii="Times New Roman" w:hAnsi="Times New Roman"/>
          <w:sz w:val="24"/>
        </w:rPr>
        <w:t xml:space="preserve">past </w:t>
      </w:r>
      <w:proofErr w:type="spellStart"/>
      <w:r w:rsidR="00C90EF7">
        <w:rPr>
          <w:rFonts w:ascii="Times New Roman" w:hAnsi="Times New Roman"/>
          <w:sz w:val="24"/>
        </w:rPr>
        <w:t>lodgment</w:t>
      </w:r>
      <w:proofErr w:type="spellEnd"/>
      <w:r w:rsidR="00C90EF7">
        <w:rPr>
          <w:rFonts w:ascii="Times New Roman" w:hAnsi="Times New Roman"/>
          <w:sz w:val="24"/>
        </w:rPr>
        <w:t xml:space="preserve"> period has been repealed.</w:t>
      </w:r>
    </w:p>
    <w:p w14:paraId="579C473D" w14:textId="1983F786" w:rsidR="00C90EF7" w:rsidRPr="00E73253" w:rsidRDefault="00C90EF7" w:rsidP="00C90EF7">
      <w:pPr>
        <w:spacing w:before="2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Amendment to paragraph 11.4</w:t>
      </w:r>
    </w:p>
    <w:p w14:paraId="2165C4BB" w14:textId="4B96DB4D" w:rsidR="00C90EF7" w:rsidRDefault="00084AD2" w:rsidP="00C90EF7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amendment </w:t>
      </w:r>
      <w:r w:rsidR="00916CA8">
        <w:rPr>
          <w:rFonts w:ascii="Times New Roman" w:hAnsi="Times New Roman"/>
          <w:sz w:val="24"/>
        </w:rPr>
        <w:t>specifies that</w:t>
      </w:r>
      <w:r>
        <w:rPr>
          <w:rFonts w:ascii="Times New Roman" w:hAnsi="Times New Roman"/>
          <w:sz w:val="24"/>
        </w:rPr>
        <w:t xml:space="preserve"> </w:t>
      </w:r>
      <w:r w:rsidR="00C90EF7">
        <w:rPr>
          <w:rFonts w:ascii="Times New Roman" w:hAnsi="Times New Roman"/>
          <w:sz w:val="24"/>
        </w:rPr>
        <w:t>registered</w:t>
      </w:r>
      <w:r w:rsidR="00C90EF7" w:rsidRPr="0059487B">
        <w:rPr>
          <w:rFonts w:ascii="Times New Roman" w:hAnsi="Times New Roman"/>
          <w:sz w:val="24"/>
        </w:rPr>
        <w:t xml:space="preserve"> RNP</w:t>
      </w:r>
      <w:r w:rsidR="00916CA8">
        <w:rPr>
          <w:rFonts w:ascii="Times New Roman" w:hAnsi="Times New Roman"/>
          <w:sz w:val="24"/>
        </w:rPr>
        <w:t>s</w:t>
      </w:r>
      <w:r w:rsidR="00C90EF7" w:rsidRPr="0059487B">
        <w:rPr>
          <w:rFonts w:ascii="Times New Roman" w:hAnsi="Times New Roman"/>
          <w:sz w:val="24"/>
        </w:rPr>
        <w:t xml:space="preserve"> and registered remittance affiliate</w:t>
      </w:r>
      <w:r w:rsidR="00C90EF7">
        <w:rPr>
          <w:rFonts w:ascii="Times New Roman" w:hAnsi="Times New Roman"/>
          <w:sz w:val="24"/>
        </w:rPr>
        <w:t>s</w:t>
      </w:r>
      <w:r w:rsidR="00C90EF7" w:rsidRPr="0059487B">
        <w:rPr>
          <w:rFonts w:ascii="Times New Roman" w:hAnsi="Times New Roman"/>
          <w:sz w:val="24"/>
        </w:rPr>
        <w:t xml:space="preserve"> </w:t>
      </w:r>
      <w:r w:rsidR="00916CA8">
        <w:rPr>
          <w:rFonts w:ascii="Times New Roman" w:hAnsi="Times New Roman"/>
          <w:sz w:val="24"/>
        </w:rPr>
        <w:t xml:space="preserve">providing specified services are exempt from compliance reporting obligations in </w:t>
      </w:r>
      <w:r w:rsidR="00C90EF7">
        <w:rPr>
          <w:rFonts w:ascii="Times New Roman" w:hAnsi="Times New Roman"/>
          <w:sz w:val="24"/>
        </w:rPr>
        <w:t>2014</w:t>
      </w:r>
      <w:r w:rsidR="00C90EF7" w:rsidRPr="0059487B">
        <w:rPr>
          <w:rFonts w:ascii="Times New Roman" w:hAnsi="Times New Roman"/>
          <w:sz w:val="24"/>
        </w:rPr>
        <w:t>.</w:t>
      </w:r>
    </w:p>
    <w:p w14:paraId="171D0D89" w14:textId="77777777" w:rsidR="003B7524" w:rsidRPr="00DB317D" w:rsidRDefault="003B7524" w:rsidP="003B7524">
      <w:pPr>
        <w:autoSpaceDE w:val="0"/>
        <w:autoSpaceDN w:val="0"/>
        <w:adjustRightInd w:val="0"/>
        <w:spacing w:before="240"/>
        <w:rPr>
          <w:rFonts w:ascii="Times New Roman" w:hAnsi="Times New Roman"/>
          <w:b/>
          <w:sz w:val="24"/>
        </w:rPr>
      </w:pPr>
      <w:r w:rsidRPr="00DB317D">
        <w:rPr>
          <w:rFonts w:ascii="Times New Roman" w:hAnsi="Times New Roman"/>
          <w:b/>
          <w:sz w:val="24"/>
        </w:rPr>
        <w:t>4.</w:t>
      </w:r>
      <w:r w:rsidRPr="00DB317D">
        <w:rPr>
          <w:rFonts w:ascii="Times New Roman" w:hAnsi="Times New Roman"/>
          <w:b/>
          <w:sz w:val="24"/>
        </w:rPr>
        <w:tab/>
        <w:t>Legislative instruments</w:t>
      </w:r>
    </w:p>
    <w:p w14:paraId="509CEC01" w14:textId="77777777" w:rsidR="003B7524" w:rsidRDefault="003B7524" w:rsidP="003B7524">
      <w:pPr>
        <w:spacing w:before="240"/>
        <w:rPr>
          <w:rFonts w:ascii="Times New Roman" w:hAnsi="Times New Roman"/>
          <w:sz w:val="24"/>
        </w:rPr>
      </w:pPr>
      <w:r w:rsidRPr="00DB317D">
        <w:rPr>
          <w:rFonts w:ascii="Times New Roman" w:hAnsi="Times New Roman"/>
          <w:sz w:val="24"/>
        </w:rPr>
        <w:t xml:space="preserve">These AML/CTF Rules are legislative instruments as defined in section 5 of the </w:t>
      </w:r>
      <w:r w:rsidRPr="00DB317D">
        <w:rPr>
          <w:rFonts w:ascii="Times New Roman" w:hAnsi="Times New Roman"/>
          <w:i/>
          <w:sz w:val="24"/>
        </w:rPr>
        <w:t>Legislative Instruments Act 2003</w:t>
      </w:r>
      <w:r w:rsidRPr="00DB317D">
        <w:rPr>
          <w:rFonts w:ascii="Times New Roman" w:hAnsi="Times New Roman"/>
          <w:sz w:val="24"/>
        </w:rPr>
        <w:t>.</w:t>
      </w:r>
    </w:p>
    <w:p w14:paraId="2F16B4C9" w14:textId="77777777" w:rsidR="003B7524" w:rsidRDefault="003B7524" w:rsidP="003B7524">
      <w:pPr>
        <w:spacing w:before="2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F0454D">
        <w:rPr>
          <w:rFonts w:ascii="Times New Roman" w:hAnsi="Times New Roman"/>
          <w:b/>
          <w:sz w:val="24"/>
        </w:rPr>
        <w:t>.</w:t>
      </w:r>
      <w:r w:rsidRPr="00F0454D">
        <w:rPr>
          <w:rFonts w:ascii="Times New Roman" w:hAnsi="Times New Roman"/>
          <w:b/>
          <w:sz w:val="24"/>
        </w:rPr>
        <w:tab/>
        <w:t>Likely impact</w:t>
      </w:r>
    </w:p>
    <w:p w14:paraId="6131C286" w14:textId="753BC75B" w:rsidR="005B5AD3" w:rsidRDefault="00746C4A" w:rsidP="00A33736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amendments to Chapter 11</w:t>
      </w:r>
      <w:r w:rsidRPr="00746C4A">
        <w:rPr>
          <w:rFonts w:ascii="Times New Roman" w:hAnsi="Times New Roman"/>
          <w:sz w:val="24"/>
        </w:rPr>
        <w:t xml:space="preserve"> will</w:t>
      </w:r>
      <w:r w:rsidR="00A55140">
        <w:rPr>
          <w:rFonts w:ascii="Times New Roman" w:hAnsi="Times New Roman"/>
          <w:sz w:val="24"/>
        </w:rPr>
        <w:t xml:space="preserve"> not have an impact on</w:t>
      </w:r>
      <w:r>
        <w:rPr>
          <w:rFonts w:ascii="Times New Roman" w:hAnsi="Times New Roman"/>
          <w:sz w:val="24"/>
        </w:rPr>
        <w:t xml:space="preserve"> reporting entities</w:t>
      </w:r>
      <w:r w:rsidR="00A55140">
        <w:rPr>
          <w:rFonts w:ascii="Times New Roman" w:hAnsi="Times New Roman"/>
          <w:sz w:val="24"/>
        </w:rPr>
        <w:t xml:space="preserve"> which were exempt f</w:t>
      </w:r>
      <w:r w:rsidR="003C00F6">
        <w:rPr>
          <w:rFonts w:ascii="Times New Roman" w:hAnsi="Times New Roman"/>
          <w:sz w:val="24"/>
        </w:rPr>
        <w:t>rom compliance reporting in 2013</w:t>
      </w:r>
      <w:r w:rsidR="00A55140">
        <w:rPr>
          <w:rFonts w:ascii="Times New Roman" w:hAnsi="Times New Roman"/>
          <w:sz w:val="24"/>
        </w:rPr>
        <w:t xml:space="preserve"> as this exemption is continued </w:t>
      </w:r>
      <w:r w:rsidR="003C00F6">
        <w:rPr>
          <w:rFonts w:ascii="Times New Roman" w:hAnsi="Times New Roman"/>
          <w:sz w:val="24"/>
        </w:rPr>
        <w:t>for the 2014</w:t>
      </w:r>
      <w:r w:rsidR="003340DB">
        <w:rPr>
          <w:rFonts w:ascii="Times New Roman" w:hAnsi="Times New Roman"/>
          <w:sz w:val="24"/>
        </w:rPr>
        <w:t xml:space="preserve"> compliance reporting and </w:t>
      </w:r>
      <w:proofErr w:type="spellStart"/>
      <w:r w:rsidR="003340DB">
        <w:rPr>
          <w:rFonts w:ascii="Times New Roman" w:hAnsi="Times New Roman"/>
          <w:sz w:val="24"/>
        </w:rPr>
        <w:t>lodgment</w:t>
      </w:r>
      <w:proofErr w:type="spellEnd"/>
      <w:r w:rsidR="003340DB">
        <w:rPr>
          <w:rFonts w:ascii="Times New Roman" w:hAnsi="Times New Roman"/>
          <w:sz w:val="24"/>
        </w:rPr>
        <w:t xml:space="preserve"> period</w:t>
      </w:r>
      <w:r w:rsidR="00A55140">
        <w:rPr>
          <w:rFonts w:ascii="Times New Roman" w:hAnsi="Times New Roman"/>
          <w:sz w:val="24"/>
        </w:rPr>
        <w:t>.</w:t>
      </w:r>
      <w:r w:rsidR="005B5AD3" w:rsidRPr="00285882">
        <w:rPr>
          <w:rFonts w:ascii="Times New Roman" w:hAnsi="Times New Roman"/>
          <w:sz w:val="24"/>
        </w:rPr>
        <w:t xml:space="preserve"> </w:t>
      </w:r>
    </w:p>
    <w:p w14:paraId="4D00848B" w14:textId="77777777" w:rsidR="003B7524" w:rsidRDefault="003B7524" w:rsidP="003B7524">
      <w:pPr>
        <w:spacing w:before="2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Pr="00F0454D">
        <w:rPr>
          <w:rFonts w:ascii="Times New Roman" w:hAnsi="Times New Roman"/>
          <w:b/>
          <w:sz w:val="24"/>
        </w:rPr>
        <w:t>.</w:t>
      </w:r>
      <w:r w:rsidRPr="00F0454D">
        <w:rPr>
          <w:rFonts w:ascii="Times New Roman" w:hAnsi="Times New Roman"/>
          <w:b/>
          <w:sz w:val="24"/>
        </w:rPr>
        <w:tab/>
        <w:t>Assessment of benefits</w:t>
      </w:r>
    </w:p>
    <w:p w14:paraId="27E9979F" w14:textId="577FA530" w:rsidR="00A55140" w:rsidRDefault="00E37EC2" w:rsidP="00433C9D">
      <w:pPr>
        <w:autoSpaceDE w:val="0"/>
        <w:autoSpaceDN w:val="0"/>
        <w:adjustRightInd w:val="0"/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r</w:t>
      </w:r>
      <w:r w:rsidR="00A55140" w:rsidRPr="00A55140">
        <w:rPr>
          <w:rFonts w:ascii="Times New Roman" w:hAnsi="Times New Roman"/>
          <w:sz w:val="24"/>
        </w:rPr>
        <w:t xml:space="preserve">egulatory burden on </w:t>
      </w:r>
      <w:r w:rsidR="00B36809">
        <w:rPr>
          <w:rFonts w:ascii="Times New Roman" w:hAnsi="Times New Roman"/>
          <w:sz w:val="24"/>
        </w:rPr>
        <w:t>registered</w:t>
      </w:r>
      <w:r w:rsidR="00B36809" w:rsidRPr="00A55140">
        <w:rPr>
          <w:rFonts w:ascii="Times New Roman" w:hAnsi="Times New Roman"/>
          <w:sz w:val="24"/>
        </w:rPr>
        <w:t xml:space="preserve"> </w:t>
      </w:r>
      <w:r w:rsidR="00A55140" w:rsidRPr="00A55140">
        <w:rPr>
          <w:rFonts w:ascii="Times New Roman" w:hAnsi="Times New Roman"/>
          <w:sz w:val="24"/>
        </w:rPr>
        <w:t>RNPs and registered remittance affiliates</w:t>
      </w:r>
      <w:r w:rsidR="0042132D">
        <w:rPr>
          <w:rFonts w:ascii="Times New Roman" w:hAnsi="Times New Roman"/>
          <w:sz w:val="24"/>
        </w:rPr>
        <w:t xml:space="preserve"> will be reduced</w:t>
      </w:r>
      <w:r w:rsidR="00A55140" w:rsidRPr="00A55140">
        <w:rPr>
          <w:rFonts w:ascii="Times New Roman" w:hAnsi="Times New Roman"/>
          <w:sz w:val="24"/>
        </w:rPr>
        <w:t xml:space="preserve"> by </w:t>
      </w:r>
      <w:r w:rsidR="0042132D">
        <w:rPr>
          <w:rFonts w:ascii="Times New Roman" w:hAnsi="Times New Roman"/>
          <w:sz w:val="24"/>
        </w:rPr>
        <w:t xml:space="preserve">the continuance </w:t>
      </w:r>
      <w:r w:rsidR="003340DB">
        <w:rPr>
          <w:rFonts w:ascii="Times New Roman" w:hAnsi="Times New Roman"/>
          <w:sz w:val="24"/>
        </w:rPr>
        <w:t>in 201</w:t>
      </w:r>
      <w:r w:rsidR="003C00F6">
        <w:rPr>
          <w:rFonts w:ascii="Times New Roman" w:hAnsi="Times New Roman"/>
          <w:sz w:val="24"/>
        </w:rPr>
        <w:t>4</w:t>
      </w:r>
      <w:r w:rsidR="00A55140" w:rsidRPr="00A55140">
        <w:rPr>
          <w:rFonts w:ascii="Times New Roman" w:hAnsi="Times New Roman"/>
          <w:sz w:val="24"/>
        </w:rPr>
        <w:t xml:space="preserve"> </w:t>
      </w:r>
      <w:r w:rsidR="0042132D">
        <w:rPr>
          <w:rFonts w:ascii="Times New Roman" w:hAnsi="Times New Roman"/>
          <w:sz w:val="24"/>
        </w:rPr>
        <w:t xml:space="preserve">of the </w:t>
      </w:r>
      <w:r w:rsidR="00A55140" w:rsidRPr="00A55140">
        <w:rPr>
          <w:rFonts w:ascii="Times New Roman" w:hAnsi="Times New Roman"/>
          <w:sz w:val="24"/>
        </w:rPr>
        <w:t>exemption from</w:t>
      </w:r>
      <w:r>
        <w:rPr>
          <w:rFonts w:ascii="Times New Roman" w:hAnsi="Times New Roman"/>
          <w:sz w:val="24"/>
        </w:rPr>
        <w:t xml:space="preserve"> </w:t>
      </w:r>
      <w:r w:rsidR="00084AD2">
        <w:rPr>
          <w:rFonts w:ascii="Times New Roman" w:hAnsi="Times New Roman"/>
          <w:sz w:val="24"/>
        </w:rPr>
        <w:t xml:space="preserve">compliance reporting obligations which commenced in 2012 and continued in </w:t>
      </w:r>
      <w:r>
        <w:rPr>
          <w:rFonts w:ascii="Times New Roman" w:hAnsi="Times New Roman"/>
          <w:sz w:val="24"/>
        </w:rPr>
        <w:t>2013</w:t>
      </w:r>
      <w:r w:rsidR="00084AD2">
        <w:rPr>
          <w:rFonts w:ascii="Times New Roman" w:hAnsi="Times New Roman"/>
          <w:sz w:val="24"/>
        </w:rPr>
        <w:t>.</w:t>
      </w:r>
    </w:p>
    <w:p w14:paraId="084A2325" w14:textId="56082608" w:rsidR="003B7524" w:rsidRPr="007E0F49" w:rsidRDefault="003B7524" w:rsidP="003B7524">
      <w:pPr>
        <w:pStyle w:val="Paragraph"/>
        <w:rPr>
          <w:b/>
          <w:szCs w:val="24"/>
        </w:rPr>
      </w:pPr>
      <w:r>
        <w:rPr>
          <w:b/>
        </w:rPr>
        <w:t>7</w:t>
      </w:r>
      <w:r w:rsidRPr="007E0F49">
        <w:rPr>
          <w:b/>
        </w:rPr>
        <w:t>.</w:t>
      </w:r>
      <w:r w:rsidRPr="007E0F49">
        <w:rPr>
          <w:b/>
        </w:rPr>
        <w:tab/>
        <w:t>Consultation</w:t>
      </w:r>
    </w:p>
    <w:p w14:paraId="041A5568" w14:textId="429E9B0F" w:rsidR="00A62DFD" w:rsidRDefault="00084AD2" w:rsidP="003B7524">
      <w:pPr>
        <w:spacing w:before="240"/>
      </w:pPr>
      <w:r w:rsidRPr="005672C4">
        <w:rPr>
          <w:rFonts w:ascii="Times New Roman" w:hAnsi="Times New Roman"/>
          <w:sz w:val="24"/>
        </w:rPr>
        <w:t xml:space="preserve">AUSTRAC did not consult on the amendments to Chapter 11 as they were considered to be </w:t>
      </w:r>
      <w:r>
        <w:rPr>
          <w:rFonts w:ascii="Times New Roman" w:hAnsi="Times New Roman"/>
          <w:sz w:val="24"/>
        </w:rPr>
        <w:t>machinery</w:t>
      </w:r>
      <w:r w:rsidR="00A62DFD">
        <w:rPr>
          <w:rFonts w:ascii="Times New Roman" w:hAnsi="Times New Roman"/>
          <w:sz w:val="24"/>
        </w:rPr>
        <w:t xml:space="preserve"> in nature and continue</w:t>
      </w:r>
      <w:r w:rsidRPr="005672C4">
        <w:rPr>
          <w:rFonts w:ascii="Times New Roman" w:hAnsi="Times New Roman"/>
          <w:sz w:val="24"/>
        </w:rPr>
        <w:t xml:space="preserve"> existing regulatory arrangements for relevant reporting entities.</w:t>
      </w:r>
      <w:r>
        <w:t xml:space="preserve"> </w:t>
      </w:r>
    </w:p>
    <w:p w14:paraId="66F40F6B" w14:textId="014B34FA" w:rsidR="003B7524" w:rsidRPr="00F0454D" w:rsidRDefault="003B7524" w:rsidP="003B7524">
      <w:pPr>
        <w:spacing w:before="2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Pr="00F0454D">
        <w:rPr>
          <w:rFonts w:ascii="Times New Roman" w:hAnsi="Times New Roman"/>
          <w:b/>
          <w:sz w:val="24"/>
        </w:rPr>
        <w:t>.</w:t>
      </w:r>
      <w:r w:rsidRPr="00F0454D">
        <w:rPr>
          <w:rFonts w:ascii="Times New Roman" w:hAnsi="Times New Roman"/>
          <w:b/>
          <w:sz w:val="24"/>
        </w:rPr>
        <w:tab/>
        <w:t>Ongoing consultation</w:t>
      </w:r>
    </w:p>
    <w:p w14:paraId="3C0070AF" w14:textId="380CAFEC" w:rsidR="00D852BA" w:rsidRDefault="007929FC" w:rsidP="003B7524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AUSTRAC will conduct ongoing consultation with stakeholders on the operation of the AML/CTF Rules</w:t>
      </w:r>
      <w:r w:rsidR="003B7524" w:rsidRPr="00EE3DCD">
        <w:rPr>
          <w:rFonts w:ascii="Times New Roman" w:hAnsi="Times New Roman"/>
          <w:sz w:val="24"/>
        </w:rPr>
        <w:t>.</w:t>
      </w:r>
      <w:r w:rsidR="00084AD2">
        <w:rPr>
          <w:rFonts w:ascii="Times New Roman" w:hAnsi="Times New Roman"/>
          <w:sz w:val="24"/>
        </w:rPr>
        <w:t xml:space="preserve">  AUSTRAC has also undertaken public consultation on proposed changes to the compliance reporting framework, as part of </w:t>
      </w:r>
      <w:r w:rsidR="00194B94">
        <w:rPr>
          <w:rFonts w:ascii="Times New Roman" w:hAnsi="Times New Roman"/>
          <w:sz w:val="24"/>
        </w:rPr>
        <w:t>the review of compliance reporting</w:t>
      </w:r>
      <w:r w:rsidR="00084AD2">
        <w:rPr>
          <w:rFonts w:ascii="Times New Roman" w:hAnsi="Times New Roman"/>
          <w:sz w:val="24"/>
        </w:rPr>
        <w:t xml:space="preserve">. </w:t>
      </w:r>
    </w:p>
    <w:p w14:paraId="77EFCA3B" w14:textId="77777777" w:rsidR="00D852BA" w:rsidRPr="007600EF" w:rsidRDefault="00D852BA" w:rsidP="005B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7600EF">
        <w:rPr>
          <w:rFonts w:ascii="Times New Roman" w:hAnsi="Times New Roman"/>
          <w:b/>
          <w:sz w:val="28"/>
          <w:szCs w:val="28"/>
        </w:rPr>
        <w:lastRenderedPageBreak/>
        <w:t>Statement of Compa</w:t>
      </w:r>
      <w:r>
        <w:rPr>
          <w:rFonts w:ascii="Times New Roman" w:hAnsi="Times New Roman"/>
          <w:b/>
          <w:sz w:val="28"/>
          <w:szCs w:val="28"/>
        </w:rPr>
        <w:t>ti</w:t>
      </w:r>
      <w:r w:rsidRPr="007600EF">
        <w:rPr>
          <w:rFonts w:ascii="Times New Roman" w:hAnsi="Times New Roman"/>
          <w:b/>
          <w:sz w:val="28"/>
          <w:szCs w:val="28"/>
        </w:rPr>
        <w:t>bility with Human Rights</w:t>
      </w:r>
    </w:p>
    <w:p w14:paraId="452E1F69" w14:textId="77777777" w:rsidR="00D852BA" w:rsidRDefault="00D852BA" w:rsidP="005B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14:paraId="1577E13B" w14:textId="77777777" w:rsidR="00D852BA" w:rsidRPr="007600EF" w:rsidRDefault="00D852BA" w:rsidP="005B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i/>
          <w:szCs w:val="22"/>
        </w:rPr>
      </w:pPr>
      <w:r w:rsidRPr="007600EF">
        <w:rPr>
          <w:rFonts w:ascii="Times New Roman" w:hAnsi="Times New Roman"/>
          <w:i/>
          <w:szCs w:val="22"/>
        </w:rPr>
        <w:t>Prepared in accordance with Part 3 of the Human Rights (Parliamentary Scrutiny</w:t>
      </w:r>
      <w:r>
        <w:rPr>
          <w:rFonts w:ascii="Times New Roman" w:hAnsi="Times New Roman"/>
          <w:i/>
          <w:szCs w:val="22"/>
        </w:rPr>
        <w:t>)</w:t>
      </w:r>
      <w:r w:rsidRPr="007600EF">
        <w:rPr>
          <w:rFonts w:ascii="Times New Roman" w:hAnsi="Times New Roman"/>
          <w:i/>
          <w:szCs w:val="22"/>
        </w:rPr>
        <w:t xml:space="preserve"> Act 2011</w:t>
      </w:r>
    </w:p>
    <w:p w14:paraId="33083EFE" w14:textId="77777777" w:rsidR="00D852BA" w:rsidRDefault="00D852BA" w:rsidP="005B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14:paraId="5E6576B4" w14:textId="6B5D83BE" w:rsidR="00D852BA" w:rsidRPr="007600EF" w:rsidRDefault="00D852BA" w:rsidP="005B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i/>
          <w:sz w:val="24"/>
        </w:rPr>
      </w:pPr>
      <w:r w:rsidRPr="007600EF">
        <w:rPr>
          <w:rFonts w:ascii="Times New Roman" w:hAnsi="Times New Roman"/>
          <w:b/>
          <w:i/>
          <w:sz w:val="24"/>
        </w:rPr>
        <w:t>Anti-Money Laundering and Counter-Terrorism Financing Rules Amendment Instrument 201</w:t>
      </w:r>
      <w:r w:rsidR="009B159C">
        <w:rPr>
          <w:rFonts w:ascii="Times New Roman" w:hAnsi="Times New Roman"/>
          <w:b/>
          <w:i/>
          <w:sz w:val="24"/>
        </w:rPr>
        <w:t>4</w:t>
      </w:r>
      <w:r w:rsidRPr="007600EF">
        <w:rPr>
          <w:rFonts w:ascii="Times New Roman" w:hAnsi="Times New Roman"/>
          <w:b/>
          <w:i/>
          <w:sz w:val="24"/>
        </w:rPr>
        <w:t xml:space="preserve"> (No.</w:t>
      </w:r>
      <w:r w:rsidR="00745E6D">
        <w:rPr>
          <w:rFonts w:ascii="Times New Roman" w:hAnsi="Times New Roman"/>
          <w:b/>
          <w:i/>
          <w:sz w:val="24"/>
        </w:rPr>
        <w:t xml:space="preserve"> </w:t>
      </w:r>
      <w:r w:rsidR="006A635B">
        <w:rPr>
          <w:rFonts w:ascii="Times New Roman" w:hAnsi="Times New Roman"/>
          <w:b/>
          <w:i/>
          <w:sz w:val="24"/>
        </w:rPr>
        <w:t>5</w:t>
      </w:r>
      <w:r w:rsidRPr="007600EF">
        <w:rPr>
          <w:rFonts w:ascii="Times New Roman" w:hAnsi="Times New Roman"/>
          <w:b/>
          <w:i/>
          <w:sz w:val="24"/>
        </w:rPr>
        <w:t>)</w:t>
      </w:r>
    </w:p>
    <w:p w14:paraId="7587CED3" w14:textId="77777777" w:rsidR="00D852BA" w:rsidRPr="007600EF" w:rsidRDefault="00D852BA" w:rsidP="005B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i/>
        </w:rPr>
      </w:pPr>
    </w:p>
    <w:p w14:paraId="76166305" w14:textId="77777777" w:rsidR="00D852BA" w:rsidRPr="007600EF" w:rsidRDefault="00D852BA" w:rsidP="005B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7600EF">
        <w:rPr>
          <w:rFonts w:ascii="Times New Roman" w:hAnsi="Times New Roman"/>
          <w:sz w:val="24"/>
        </w:rPr>
        <w:t xml:space="preserve">This Instrument is compatible with the human rights and freedoms recognised or declared in the international instruments listed in section 3 of the </w:t>
      </w:r>
      <w:r w:rsidRPr="007600EF">
        <w:rPr>
          <w:rFonts w:ascii="Times New Roman" w:hAnsi="Times New Roman"/>
          <w:i/>
          <w:sz w:val="24"/>
        </w:rPr>
        <w:t>Human Rights (Parliamentary Scrutiny</w:t>
      </w:r>
      <w:r>
        <w:rPr>
          <w:rFonts w:ascii="Times New Roman" w:hAnsi="Times New Roman"/>
          <w:i/>
          <w:sz w:val="24"/>
        </w:rPr>
        <w:t>)</w:t>
      </w:r>
      <w:r w:rsidRPr="007600EF">
        <w:rPr>
          <w:rFonts w:ascii="Times New Roman" w:hAnsi="Times New Roman"/>
          <w:i/>
          <w:sz w:val="24"/>
        </w:rPr>
        <w:t xml:space="preserve"> Act 2011</w:t>
      </w:r>
      <w:r w:rsidRPr="007600EF">
        <w:rPr>
          <w:rFonts w:ascii="Times New Roman" w:hAnsi="Times New Roman"/>
          <w:sz w:val="24"/>
        </w:rPr>
        <w:t>.</w:t>
      </w:r>
    </w:p>
    <w:p w14:paraId="53E1A616" w14:textId="77777777" w:rsidR="00D852BA" w:rsidRDefault="00D852BA" w:rsidP="005B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14:paraId="12AD69CB" w14:textId="77777777" w:rsidR="00D852BA" w:rsidRPr="007600EF" w:rsidRDefault="00D852BA" w:rsidP="005B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  <w:r w:rsidRPr="007600EF">
        <w:rPr>
          <w:rFonts w:ascii="Times New Roman" w:hAnsi="Times New Roman"/>
          <w:b/>
          <w:sz w:val="24"/>
        </w:rPr>
        <w:t>Overview of the legislative instrument</w:t>
      </w:r>
    </w:p>
    <w:p w14:paraId="21C05562" w14:textId="77777777" w:rsidR="00D852BA" w:rsidRDefault="00D852BA" w:rsidP="005B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14:paraId="6A9852C3" w14:textId="5F457438" w:rsidR="002D18EA" w:rsidRPr="002D18EA" w:rsidRDefault="002D18EA" w:rsidP="005B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2D18EA"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</w:rPr>
        <w:t xml:space="preserve"> Instrument amends Chapter 11</w:t>
      </w:r>
      <w:r w:rsidRPr="002D18EA">
        <w:rPr>
          <w:rFonts w:ascii="Times New Roman" w:hAnsi="Times New Roman"/>
          <w:sz w:val="24"/>
        </w:rPr>
        <w:t xml:space="preserve"> of the Anti-Money Laundering/Counter-Terrorism Financing Rules (AML/CTF Rules)</w:t>
      </w:r>
      <w:r w:rsidR="00B7790F">
        <w:rPr>
          <w:rFonts w:ascii="Times New Roman" w:hAnsi="Times New Roman"/>
          <w:sz w:val="24"/>
        </w:rPr>
        <w:t xml:space="preserve"> </w:t>
      </w:r>
      <w:r w:rsidR="009B159C">
        <w:rPr>
          <w:rFonts w:ascii="Times New Roman" w:hAnsi="Times New Roman"/>
          <w:sz w:val="24"/>
        </w:rPr>
        <w:t xml:space="preserve">to </w:t>
      </w:r>
      <w:r w:rsidRPr="00B3042A">
        <w:rPr>
          <w:rFonts w:ascii="Times New Roman" w:hAnsi="Times New Roman"/>
          <w:sz w:val="24"/>
        </w:rPr>
        <w:t>extend</w:t>
      </w:r>
      <w:r w:rsidR="0042132D">
        <w:rPr>
          <w:rFonts w:ascii="Times New Roman" w:hAnsi="Times New Roman"/>
          <w:sz w:val="24"/>
        </w:rPr>
        <w:t xml:space="preserve"> </w:t>
      </w:r>
      <w:r w:rsidRPr="00B3042A">
        <w:rPr>
          <w:rFonts w:ascii="Times New Roman" w:hAnsi="Times New Roman"/>
          <w:sz w:val="24"/>
        </w:rPr>
        <w:t xml:space="preserve">the existing exemption for </w:t>
      </w:r>
      <w:r w:rsidR="00DB6EF1" w:rsidRPr="00DB6EF1">
        <w:rPr>
          <w:rFonts w:ascii="Times New Roman" w:hAnsi="Times New Roman"/>
          <w:sz w:val="24"/>
        </w:rPr>
        <w:t xml:space="preserve">registered </w:t>
      </w:r>
      <w:r w:rsidR="00B36809">
        <w:rPr>
          <w:rFonts w:ascii="Times New Roman" w:hAnsi="Times New Roman"/>
          <w:sz w:val="24"/>
        </w:rPr>
        <w:t xml:space="preserve">remittance </w:t>
      </w:r>
      <w:r w:rsidR="00DB6EF1" w:rsidRPr="00DB6EF1">
        <w:rPr>
          <w:rFonts w:ascii="Times New Roman" w:hAnsi="Times New Roman"/>
          <w:sz w:val="24"/>
        </w:rPr>
        <w:t xml:space="preserve">network providers </w:t>
      </w:r>
      <w:r w:rsidRPr="00B3042A">
        <w:rPr>
          <w:rFonts w:ascii="Times New Roman" w:hAnsi="Times New Roman"/>
          <w:sz w:val="24"/>
        </w:rPr>
        <w:t>and r</w:t>
      </w:r>
      <w:r w:rsidR="006C5198">
        <w:rPr>
          <w:rFonts w:ascii="Times New Roman" w:hAnsi="Times New Roman"/>
          <w:sz w:val="24"/>
        </w:rPr>
        <w:t xml:space="preserve">egistered remittance affiliates to </w:t>
      </w:r>
      <w:r w:rsidR="00084AD2">
        <w:rPr>
          <w:rFonts w:ascii="Times New Roman" w:hAnsi="Times New Roman"/>
          <w:sz w:val="24"/>
        </w:rPr>
        <w:t xml:space="preserve">cover </w:t>
      </w:r>
      <w:r w:rsidR="006C5198">
        <w:rPr>
          <w:rFonts w:ascii="Times New Roman" w:hAnsi="Times New Roman"/>
          <w:sz w:val="24"/>
        </w:rPr>
        <w:t>compliance report</w:t>
      </w:r>
      <w:r w:rsidR="00084AD2">
        <w:rPr>
          <w:rFonts w:ascii="Times New Roman" w:hAnsi="Times New Roman"/>
          <w:sz w:val="24"/>
        </w:rPr>
        <w:t>ing obligations</w:t>
      </w:r>
      <w:r w:rsidR="00A62DFD">
        <w:rPr>
          <w:rFonts w:ascii="Times New Roman" w:hAnsi="Times New Roman"/>
          <w:sz w:val="24"/>
        </w:rPr>
        <w:t xml:space="preserve"> for 2014 and, in addition, to repeal outdated provisions. </w:t>
      </w:r>
    </w:p>
    <w:p w14:paraId="0B536257" w14:textId="77777777" w:rsidR="00B7790F" w:rsidRDefault="00B7790F" w:rsidP="005B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14:paraId="59955CAC" w14:textId="77777777" w:rsidR="00D852BA" w:rsidRPr="007600EF" w:rsidRDefault="00D852BA" w:rsidP="005B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  <w:r w:rsidRPr="007600EF">
        <w:rPr>
          <w:rFonts w:ascii="Times New Roman" w:hAnsi="Times New Roman"/>
          <w:b/>
          <w:sz w:val="24"/>
        </w:rPr>
        <w:t>Human rights implications</w:t>
      </w:r>
    </w:p>
    <w:p w14:paraId="52112B58" w14:textId="77777777" w:rsidR="00D852BA" w:rsidRDefault="00D852BA" w:rsidP="005B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14:paraId="750F472E" w14:textId="626205B1" w:rsidR="003D7390" w:rsidRPr="008B09DD" w:rsidRDefault="008B09DD" w:rsidP="008B0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  <w:sz w:val="24"/>
          <w:lang w:eastAsia="en-AU"/>
        </w:rPr>
      </w:pPr>
      <w:r w:rsidRPr="008B09DD">
        <w:rPr>
          <w:rFonts w:ascii="TimesNewRomanPSMT" w:hAnsi="TimesNewRomanPSMT" w:cs="TimesNewRomanPSMT"/>
          <w:sz w:val="24"/>
          <w:lang w:eastAsia="en-AU"/>
        </w:rPr>
        <w:t>It is considered that this Instrument does not engage any of the applicable rights or freedoms.</w:t>
      </w:r>
      <w:r w:rsidR="002475AC">
        <w:rPr>
          <w:rFonts w:ascii="TimesNewRomanPSMT" w:hAnsi="TimesNewRomanPSMT" w:cs="TimesNewRomanPSMT"/>
          <w:sz w:val="24"/>
          <w:lang w:eastAsia="en-AU"/>
        </w:rPr>
        <w:t xml:space="preserve"> </w:t>
      </w:r>
    </w:p>
    <w:p w14:paraId="662A9E14" w14:textId="77777777" w:rsidR="00D852BA" w:rsidRDefault="007E6720" w:rsidP="0095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7C41FB1A" w14:textId="77777777" w:rsidR="008B09DD" w:rsidRPr="007600EF" w:rsidRDefault="008B09DD" w:rsidP="008B0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  <w:r w:rsidRPr="007600EF">
        <w:rPr>
          <w:rFonts w:ascii="Times New Roman" w:hAnsi="Times New Roman"/>
          <w:b/>
          <w:sz w:val="24"/>
        </w:rPr>
        <w:t>Conclusion</w:t>
      </w:r>
    </w:p>
    <w:p w14:paraId="0A4B07E0" w14:textId="77777777" w:rsidR="008B09DD" w:rsidRDefault="008B09DD" w:rsidP="008B0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14:paraId="7B79DBFC" w14:textId="77777777" w:rsidR="008B09DD" w:rsidRDefault="008B09DD" w:rsidP="008B0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Instrument is therefore compatible with human rights as it does not raise any human rights issues. </w:t>
      </w:r>
    </w:p>
    <w:p w14:paraId="0CF95AEB" w14:textId="77777777" w:rsidR="008B09DD" w:rsidRDefault="008B09DD" w:rsidP="008B0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14:paraId="5521B353" w14:textId="77777777" w:rsidR="008B09DD" w:rsidRDefault="008B09DD" w:rsidP="008B0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14:paraId="08E95BB6" w14:textId="77777777" w:rsidR="008B09DD" w:rsidRDefault="008B09DD" w:rsidP="008B0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14:paraId="7B6FFF73" w14:textId="77777777" w:rsidR="008B09DD" w:rsidRPr="008B09DD" w:rsidRDefault="008B09DD" w:rsidP="008B0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8B09DD">
        <w:rPr>
          <w:rFonts w:ascii="Times New Roman" w:hAnsi="Times New Roman"/>
          <w:sz w:val="24"/>
        </w:rPr>
        <w:t xml:space="preserve">Paul Jevtovic </w:t>
      </w:r>
      <w:r w:rsidRPr="00194B94">
        <w:rPr>
          <w:rFonts w:ascii="Times New Roman" w:hAnsi="Times New Roman"/>
          <w:sz w:val="20"/>
        </w:rPr>
        <w:t>APM</w:t>
      </w:r>
    </w:p>
    <w:p w14:paraId="12A7D0AC" w14:textId="77777777" w:rsidR="008B09DD" w:rsidRDefault="008B09DD" w:rsidP="008B0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Chief Executive Officer</w:t>
      </w:r>
    </w:p>
    <w:p w14:paraId="4AFD0D8E" w14:textId="77777777" w:rsidR="008B09DD" w:rsidRDefault="008B09DD" w:rsidP="008B0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Australian Transaction Reports and Analysis Centre</w:t>
      </w:r>
    </w:p>
    <w:p w14:paraId="009D1AD6" w14:textId="77777777" w:rsidR="008B09DD" w:rsidRDefault="008B09DD" w:rsidP="0095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14:paraId="261B3160" w14:textId="77777777" w:rsidR="008B09DD" w:rsidRDefault="008B09DD" w:rsidP="0095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14:paraId="2ADE4F80" w14:textId="721CEDAE" w:rsidR="00D65393" w:rsidRDefault="00D65393" w:rsidP="008B0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sectPr w:rsidR="00D65393" w:rsidSect="00AB3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00D2D" w14:textId="77777777" w:rsidR="007B1B95" w:rsidRDefault="007B1B95">
      <w:r>
        <w:separator/>
      </w:r>
    </w:p>
  </w:endnote>
  <w:endnote w:type="continuationSeparator" w:id="0">
    <w:p w14:paraId="0B4F6BCE" w14:textId="77777777" w:rsidR="007B1B95" w:rsidRDefault="007B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4480A" w14:textId="77777777" w:rsidR="00D808DA" w:rsidRDefault="00D808DA" w:rsidP="003F25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FC9421" w14:textId="77777777" w:rsidR="00D808DA" w:rsidRDefault="00D808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088A8" w14:textId="77777777" w:rsidR="00D808DA" w:rsidRDefault="00D808DA" w:rsidP="003F25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075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74D74" w14:textId="77777777" w:rsidR="00D808DA" w:rsidRDefault="00D808DA" w:rsidP="003B7524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A552F" w14:textId="77777777" w:rsidR="009A2960" w:rsidRDefault="009A29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8AA42" w14:textId="77777777" w:rsidR="007B1B95" w:rsidRDefault="007B1B95">
      <w:r>
        <w:separator/>
      </w:r>
    </w:p>
  </w:footnote>
  <w:footnote w:type="continuationSeparator" w:id="0">
    <w:p w14:paraId="6B187E85" w14:textId="77777777" w:rsidR="007B1B95" w:rsidRDefault="007B1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311A6" w14:textId="77777777" w:rsidR="009A2960" w:rsidRDefault="009A29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96D71" w14:textId="1005DAC7" w:rsidR="009A2960" w:rsidRDefault="009A29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9C1BA" w14:textId="77777777" w:rsidR="009A2960" w:rsidRDefault="009A29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6EF2"/>
    <w:multiLevelType w:val="hybridMultilevel"/>
    <w:tmpl w:val="8BE0A230"/>
    <w:lvl w:ilvl="0" w:tplc="5AF4C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06278F"/>
    <w:multiLevelType w:val="multilevel"/>
    <w:tmpl w:val="FF9C90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4A293B"/>
    <w:multiLevelType w:val="hybridMultilevel"/>
    <w:tmpl w:val="830A868E"/>
    <w:lvl w:ilvl="0" w:tplc="F6606D1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7670BA"/>
    <w:multiLevelType w:val="hybridMultilevel"/>
    <w:tmpl w:val="9C0CDF9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0C64AE"/>
    <w:multiLevelType w:val="hybridMultilevel"/>
    <w:tmpl w:val="A7C6D62A"/>
    <w:lvl w:ilvl="0" w:tplc="1FECFAA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C65A21"/>
    <w:multiLevelType w:val="hybridMultilevel"/>
    <w:tmpl w:val="EEF4C094"/>
    <w:lvl w:ilvl="0" w:tplc="5AF4C4DC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C13A1B"/>
    <w:multiLevelType w:val="hybridMultilevel"/>
    <w:tmpl w:val="4C8E725C"/>
    <w:lvl w:ilvl="0" w:tplc="F6606D1A">
      <w:start w:val="1"/>
      <w:numFmt w:val="bullet"/>
      <w:lvlText w:val=""/>
      <w:lvlJc w:val="left"/>
      <w:pPr>
        <w:tabs>
          <w:tab w:val="num" w:pos="1500"/>
        </w:tabs>
        <w:ind w:left="1670" w:hanging="17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7">
    <w:nsid w:val="5FE80D0D"/>
    <w:multiLevelType w:val="hybridMultilevel"/>
    <w:tmpl w:val="EFFAC93C"/>
    <w:lvl w:ilvl="0" w:tplc="875A2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F6606D1A">
      <w:start w:val="1"/>
      <w:numFmt w:val="bullet"/>
      <w:lvlText w:val=""/>
      <w:lvlJc w:val="left"/>
      <w:pPr>
        <w:tabs>
          <w:tab w:val="num" w:pos="1080"/>
        </w:tabs>
        <w:ind w:left="1250" w:hanging="170"/>
      </w:pPr>
      <w:rPr>
        <w:rFonts w:ascii="Symbol" w:hAnsi="Symbol" w:hint="default"/>
        <w:sz w:val="24"/>
        <w:szCs w:val="24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BF2A2F"/>
    <w:multiLevelType w:val="multilevel"/>
    <w:tmpl w:val="468CB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9A19DC"/>
    <w:multiLevelType w:val="multilevel"/>
    <w:tmpl w:val="5100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7E09C7"/>
    <w:multiLevelType w:val="hybridMultilevel"/>
    <w:tmpl w:val="7196F280"/>
    <w:lvl w:ilvl="0" w:tplc="04463F80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5493ED5"/>
    <w:multiLevelType w:val="hybridMultilevel"/>
    <w:tmpl w:val="041015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524"/>
    <w:rsid w:val="00002D59"/>
    <w:rsid w:val="00004237"/>
    <w:rsid w:val="00011B87"/>
    <w:rsid w:val="00013686"/>
    <w:rsid w:val="000215EF"/>
    <w:rsid w:val="00024C66"/>
    <w:rsid w:val="00027747"/>
    <w:rsid w:val="00035795"/>
    <w:rsid w:val="00042DF7"/>
    <w:rsid w:val="000430D4"/>
    <w:rsid w:val="000517D6"/>
    <w:rsid w:val="000568DD"/>
    <w:rsid w:val="00057C98"/>
    <w:rsid w:val="0006328D"/>
    <w:rsid w:val="00075472"/>
    <w:rsid w:val="0008191B"/>
    <w:rsid w:val="00084AD2"/>
    <w:rsid w:val="0009363E"/>
    <w:rsid w:val="000A448C"/>
    <w:rsid w:val="000A71FF"/>
    <w:rsid w:val="000B07C2"/>
    <w:rsid w:val="000B3D22"/>
    <w:rsid w:val="000C5E2A"/>
    <w:rsid w:val="000D143A"/>
    <w:rsid w:val="000D1DA2"/>
    <w:rsid w:val="00101CDF"/>
    <w:rsid w:val="0010649D"/>
    <w:rsid w:val="001138C2"/>
    <w:rsid w:val="001161BA"/>
    <w:rsid w:val="00122D9B"/>
    <w:rsid w:val="0013429C"/>
    <w:rsid w:val="00134CA6"/>
    <w:rsid w:val="00146C29"/>
    <w:rsid w:val="00151CE0"/>
    <w:rsid w:val="0015621A"/>
    <w:rsid w:val="001663D5"/>
    <w:rsid w:val="00193377"/>
    <w:rsid w:val="00194B94"/>
    <w:rsid w:val="00197E8A"/>
    <w:rsid w:val="001A58BA"/>
    <w:rsid w:val="001A63E8"/>
    <w:rsid w:val="001B005E"/>
    <w:rsid w:val="001B3A61"/>
    <w:rsid w:val="001B679A"/>
    <w:rsid w:val="001B78D8"/>
    <w:rsid w:val="001B7DCC"/>
    <w:rsid w:val="001C2371"/>
    <w:rsid w:val="001C37C9"/>
    <w:rsid w:val="001C5B36"/>
    <w:rsid w:val="001C6C6F"/>
    <w:rsid w:val="001D3034"/>
    <w:rsid w:val="001D3559"/>
    <w:rsid w:val="001D5E25"/>
    <w:rsid w:val="001D6003"/>
    <w:rsid w:val="001E23BF"/>
    <w:rsid w:val="001E2728"/>
    <w:rsid w:val="001E4D8A"/>
    <w:rsid w:val="0021452A"/>
    <w:rsid w:val="0021740C"/>
    <w:rsid w:val="002222BA"/>
    <w:rsid w:val="002250A5"/>
    <w:rsid w:val="00234EE9"/>
    <w:rsid w:val="00237735"/>
    <w:rsid w:val="00243298"/>
    <w:rsid w:val="00243C97"/>
    <w:rsid w:val="00244D95"/>
    <w:rsid w:val="00247043"/>
    <w:rsid w:val="002475AC"/>
    <w:rsid w:val="002526C4"/>
    <w:rsid w:val="00252A86"/>
    <w:rsid w:val="0025603C"/>
    <w:rsid w:val="002570AB"/>
    <w:rsid w:val="0026075D"/>
    <w:rsid w:val="00271F3A"/>
    <w:rsid w:val="00272368"/>
    <w:rsid w:val="00285882"/>
    <w:rsid w:val="00287E91"/>
    <w:rsid w:val="0029686B"/>
    <w:rsid w:val="002A5004"/>
    <w:rsid w:val="002A6852"/>
    <w:rsid w:val="002A6B5F"/>
    <w:rsid w:val="002B0655"/>
    <w:rsid w:val="002B0D2D"/>
    <w:rsid w:val="002B28CA"/>
    <w:rsid w:val="002C2936"/>
    <w:rsid w:val="002C76AE"/>
    <w:rsid w:val="002D18EA"/>
    <w:rsid w:val="002D67A4"/>
    <w:rsid w:val="002D682E"/>
    <w:rsid w:val="002E74AC"/>
    <w:rsid w:val="003017CC"/>
    <w:rsid w:val="003051CD"/>
    <w:rsid w:val="00306189"/>
    <w:rsid w:val="00325102"/>
    <w:rsid w:val="00326047"/>
    <w:rsid w:val="003340DB"/>
    <w:rsid w:val="00344E15"/>
    <w:rsid w:val="00345CA1"/>
    <w:rsid w:val="00363F21"/>
    <w:rsid w:val="00365FD7"/>
    <w:rsid w:val="003676D9"/>
    <w:rsid w:val="003747EE"/>
    <w:rsid w:val="003911F4"/>
    <w:rsid w:val="003912AD"/>
    <w:rsid w:val="003A1795"/>
    <w:rsid w:val="003A3B0B"/>
    <w:rsid w:val="003A73B8"/>
    <w:rsid w:val="003B1B3C"/>
    <w:rsid w:val="003B2DDD"/>
    <w:rsid w:val="003B7524"/>
    <w:rsid w:val="003C00F6"/>
    <w:rsid w:val="003C0500"/>
    <w:rsid w:val="003D7390"/>
    <w:rsid w:val="003E13D0"/>
    <w:rsid w:val="003E6AA6"/>
    <w:rsid w:val="003F250A"/>
    <w:rsid w:val="003F25D8"/>
    <w:rsid w:val="003F3B09"/>
    <w:rsid w:val="0040415D"/>
    <w:rsid w:val="0040525D"/>
    <w:rsid w:val="004065F6"/>
    <w:rsid w:val="004132BB"/>
    <w:rsid w:val="0042132D"/>
    <w:rsid w:val="00430DA3"/>
    <w:rsid w:val="004321FD"/>
    <w:rsid w:val="00433B24"/>
    <w:rsid w:val="00433C9D"/>
    <w:rsid w:val="0043626D"/>
    <w:rsid w:val="00437A14"/>
    <w:rsid w:val="00445B35"/>
    <w:rsid w:val="004521B8"/>
    <w:rsid w:val="00454E97"/>
    <w:rsid w:val="004571E2"/>
    <w:rsid w:val="00460BA8"/>
    <w:rsid w:val="00460E86"/>
    <w:rsid w:val="004619BB"/>
    <w:rsid w:val="004661D5"/>
    <w:rsid w:val="004760F8"/>
    <w:rsid w:val="00482B80"/>
    <w:rsid w:val="00486E49"/>
    <w:rsid w:val="0049443F"/>
    <w:rsid w:val="004A49A4"/>
    <w:rsid w:val="004C1454"/>
    <w:rsid w:val="004D1BEF"/>
    <w:rsid w:val="004D29B8"/>
    <w:rsid w:val="004D3937"/>
    <w:rsid w:val="004D6131"/>
    <w:rsid w:val="004F566E"/>
    <w:rsid w:val="005114F2"/>
    <w:rsid w:val="00512DE8"/>
    <w:rsid w:val="00514F91"/>
    <w:rsid w:val="00521F8E"/>
    <w:rsid w:val="0052299B"/>
    <w:rsid w:val="00527C66"/>
    <w:rsid w:val="005300D6"/>
    <w:rsid w:val="0054012A"/>
    <w:rsid w:val="00543C45"/>
    <w:rsid w:val="005472C1"/>
    <w:rsid w:val="005516F3"/>
    <w:rsid w:val="0055701C"/>
    <w:rsid w:val="00560220"/>
    <w:rsid w:val="00565748"/>
    <w:rsid w:val="005672C4"/>
    <w:rsid w:val="00570274"/>
    <w:rsid w:val="00586DDF"/>
    <w:rsid w:val="0059487B"/>
    <w:rsid w:val="00596868"/>
    <w:rsid w:val="005B548D"/>
    <w:rsid w:val="005B5AD3"/>
    <w:rsid w:val="005B5D9A"/>
    <w:rsid w:val="005B69DB"/>
    <w:rsid w:val="005C51C8"/>
    <w:rsid w:val="005D51C8"/>
    <w:rsid w:val="005D58B2"/>
    <w:rsid w:val="005D67E7"/>
    <w:rsid w:val="005E5E7F"/>
    <w:rsid w:val="005F2F3D"/>
    <w:rsid w:val="00603BC5"/>
    <w:rsid w:val="00613E6B"/>
    <w:rsid w:val="00625479"/>
    <w:rsid w:val="00626E80"/>
    <w:rsid w:val="006361B8"/>
    <w:rsid w:val="00637851"/>
    <w:rsid w:val="00640C28"/>
    <w:rsid w:val="006474D5"/>
    <w:rsid w:val="00650E63"/>
    <w:rsid w:val="00656B01"/>
    <w:rsid w:val="00657A4D"/>
    <w:rsid w:val="00663E74"/>
    <w:rsid w:val="00666385"/>
    <w:rsid w:val="006757A9"/>
    <w:rsid w:val="006760CB"/>
    <w:rsid w:val="00685FBE"/>
    <w:rsid w:val="00686BF3"/>
    <w:rsid w:val="006A0527"/>
    <w:rsid w:val="006A44F1"/>
    <w:rsid w:val="006A635B"/>
    <w:rsid w:val="006B1285"/>
    <w:rsid w:val="006B2808"/>
    <w:rsid w:val="006C5198"/>
    <w:rsid w:val="006D0503"/>
    <w:rsid w:val="006D1560"/>
    <w:rsid w:val="006D2459"/>
    <w:rsid w:val="006E438F"/>
    <w:rsid w:val="006F4E28"/>
    <w:rsid w:val="0070277B"/>
    <w:rsid w:val="007030C7"/>
    <w:rsid w:val="00704289"/>
    <w:rsid w:val="00722B4C"/>
    <w:rsid w:val="00731178"/>
    <w:rsid w:val="00731CAB"/>
    <w:rsid w:val="007350B4"/>
    <w:rsid w:val="00736E51"/>
    <w:rsid w:val="00743DDD"/>
    <w:rsid w:val="00745E6D"/>
    <w:rsid w:val="00746C4A"/>
    <w:rsid w:val="00784906"/>
    <w:rsid w:val="007929FC"/>
    <w:rsid w:val="007B0B01"/>
    <w:rsid w:val="007B1B95"/>
    <w:rsid w:val="007C52B3"/>
    <w:rsid w:val="007C6B20"/>
    <w:rsid w:val="007D4D85"/>
    <w:rsid w:val="007D52F8"/>
    <w:rsid w:val="007E08A2"/>
    <w:rsid w:val="007E6720"/>
    <w:rsid w:val="007F6303"/>
    <w:rsid w:val="00801D69"/>
    <w:rsid w:val="00803999"/>
    <w:rsid w:val="00805341"/>
    <w:rsid w:val="008158AC"/>
    <w:rsid w:val="008161AE"/>
    <w:rsid w:val="008169EF"/>
    <w:rsid w:val="0082090C"/>
    <w:rsid w:val="00822DF4"/>
    <w:rsid w:val="008275EE"/>
    <w:rsid w:val="00834E6A"/>
    <w:rsid w:val="00842441"/>
    <w:rsid w:val="00854FDF"/>
    <w:rsid w:val="00856FD6"/>
    <w:rsid w:val="008634E5"/>
    <w:rsid w:val="008759D0"/>
    <w:rsid w:val="008929D0"/>
    <w:rsid w:val="00893E97"/>
    <w:rsid w:val="00894444"/>
    <w:rsid w:val="008944A3"/>
    <w:rsid w:val="008A57E0"/>
    <w:rsid w:val="008A5AE5"/>
    <w:rsid w:val="008B09DD"/>
    <w:rsid w:val="008B0C22"/>
    <w:rsid w:val="008B5AA2"/>
    <w:rsid w:val="008D0E3B"/>
    <w:rsid w:val="008D3CE1"/>
    <w:rsid w:val="008E09CA"/>
    <w:rsid w:val="008E7F86"/>
    <w:rsid w:val="008F10F0"/>
    <w:rsid w:val="008F5EA5"/>
    <w:rsid w:val="008F6EB6"/>
    <w:rsid w:val="00916CA8"/>
    <w:rsid w:val="00920455"/>
    <w:rsid w:val="009413B8"/>
    <w:rsid w:val="009430AC"/>
    <w:rsid w:val="009451CB"/>
    <w:rsid w:val="00951A7D"/>
    <w:rsid w:val="009531E4"/>
    <w:rsid w:val="0097268A"/>
    <w:rsid w:val="0097373B"/>
    <w:rsid w:val="009808DB"/>
    <w:rsid w:val="00980BB2"/>
    <w:rsid w:val="00983976"/>
    <w:rsid w:val="009868BC"/>
    <w:rsid w:val="00986F88"/>
    <w:rsid w:val="00995FE6"/>
    <w:rsid w:val="009A2960"/>
    <w:rsid w:val="009A3BC6"/>
    <w:rsid w:val="009A70D8"/>
    <w:rsid w:val="009B159C"/>
    <w:rsid w:val="009C7626"/>
    <w:rsid w:val="009D20F2"/>
    <w:rsid w:val="009D7365"/>
    <w:rsid w:val="009E3ABB"/>
    <w:rsid w:val="009F55D4"/>
    <w:rsid w:val="009F7B8D"/>
    <w:rsid w:val="00A15D25"/>
    <w:rsid w:val="00A220EF"/>
    <w:rsid w:val="00A234E5"/>
    <w:rsid w:val="00A33486"/>
    <w:rsid w:val="00A33736"/>
    <w:rsid w:val="00A35354"/>
    <w:rsid w:val="00A364BC"/>
    <w:rsid w:val="00A434EF"/>
    <w:rsid w:val="00A44FB5"/>
    <w:rsid w:val="00A47558"/>
    <w:rsid w:val="00A52F00"/>
    <w:rsid w:val="00A55140"/>
    <w:rsid w:val="00A57F33"/>
    <w:rsid w:val="00A629AC"/>
    <w:rsid w:val="00A62DFD"/>
    <w:rsid w:val="00A66647"/>
    <w:rsid w:val="00A673EB"/>
    <w:rsid w:val="00A67B86"/>
    <w:rsid w:val="00A73A2F"/>
    <w:rsid w:val="00A76C79"/>
    <w:rsid w:val="00A82F52"/>
    <w:rsid w:val="00A91296"/>
    <w:rsid w:val="00A920E5"/>
    <w:rsid w:val="00AA28B4"/>
    <w:rsid w:val="00AB3147"/>
    <w:rsid w:val="00AD12F4"/>
    <w:rsid w:val="00AE23BF"/>
    <w:rsid w:val="00AF361F"/>
    <w:rsid w:val="00AF543F"/>
    <w:rsid w:val="00B06115"/>
    <w:rsid w:val="00B134A1"/>
    <w:rsid w:val="00B14DFD"/>
    <w:rsid w:val="00B20C44"/>
    <w:rsid w:val="00B3042A"/>
    <w:rsid w:val="00B36809"/>
    <w:rsid w:val="00B64E03"/>
    <w:rsid w:val="00B7008F"/>
    <w:rsid w:val="00B77480"/>
    <w:rsid w:val="00B7790F"/>
    <w:rsid w:val="00B77F86"/>
    <w:rsid w:val="00B804DA"/>
    <w:rsid w:val="00B85A4C"/>
    <w:rsid w:val="00B907A6"/>
    <w:rsid w:val="00B936F6"/>
    <w:rsid w:val="00BA0C4A"/>
    <w:rsid w:val="00BA2CFE"/>
    <w:rsid w:val="00BB186F"/>
    <w:rsid w:val="00BB454B"/>
    <w:rsid w:val="00BB59CE"/>
    <w:rsid w:val="00BB5AC6"/>
    <w:rsid w:val="00BC221B"/>
    <w:rsid w:val="00BD06AD"/>
    <w:rsid w:val="00BD07E8"/>
    <w:rsid w:val="00BD3813"/>
    <w:rsid w:val="00BD6978"/>
    <w:rsid w:val="00BE3D82"/>
    <w:rsid w:val="00BE509D"/>
    <w:rsid w:val="00BF4F6F"/>
    <w:rsid w:val="00BF7EAB"/>
    <w:rsid w:val="00C039F5"/>
    <w:rsid w:val="00C12422"/>
    <w:rsid w:val="00C15AD7"/>
    <w:rsid w:val="00C3148C"/>
    <w:rsid w:val="00C3257C"/>
    <w:rsid w:val="00C35547"/>
    <w:rsid w:val="00C40447"/>
    <w:rsid w:val="00C83B9B"/>
    <w:rsid w:val="00C87509"/>
    <w:rsid w:val="00C90EF7"/>
    <w:rsid w:val="00CA497D"/>
    <w:rsid w:val="00CA4E44"/>
    <w:rsid w:val="00CD5822"/>
    <w:rsid w:val="00CE3A3D"/>
    <w:rsid w:val="00CE3E37"/>
    <w:rsid w:val="00CF081A"/>
    <w:rsid w:val="00CF3A4F"/>
    <w:rsid w:val="00D071F3"/>
    <w:rsid w:val="00D13DE2"/>
    <w:rsid w:val="00D13F7F"/>
    <w:rsid w:val="00D25D42"/>
    <w:rsid w:val="00D26799"/>
    <w:rsid w:val="00D36795"/>
    <w:rsid w:val="00D37860"/>
    <w:rsid w:val="00D44977"/>
    <w:rsid w:val="00D44DEA"/>
    <w:rsid w:val="00D456F1"/>
    <w:rsid w:val="00D62BC3"/>
    <w:rsid w:val="00D65393"/>
    <w:rsid w:val="00D656CC"/>
    <w:rsid w:val="00D763EF"/>
    <w:rsid w:val="00D808DA"/>
    <w:rsid w:val="00D80A79"/>
    <w:rsid w:val="00D852BA"/>
    <w:rsid w:val="00D932DB"/>
    <w:rsid w:val="00DA141C"/>
    <w:rsid w:val="00DA7965"/>
    <w:rsid w:val="00DB317D"/>
    <w:rsid w:val="00DB46BA"/>
    <w:rsid w:val="00DB59B1"/>
    <w:rsid w:val="00DB6EF1"/>
    <w:rsid w:val="00DC3F5A"/>
    <w:rsid w:val="00DC5399"/>
    <w:rsid w:val="00DD17DD"/>
    <w:rsid w:val="00DE4563"/>
    <w:rsid w:val="00DE6A9B"/>
    <w:rsid w:val="00DE7AA1"/>
    <w:rsid w:val="00E00882"/>
    <w:rsid w:val="00E06A12"/>
    <w:rsid w:val="00E1765C"/>
    <w:rsid w:val="00E32833"/>
    <w:rsid w:val="00E37EC2"/>
    <w:rsid w:val="00E5533D"/>
    <w:rsid w:val="00E64F1D"/>
    <w:rsid w:val="00E73253"/>
    <w:rsid w:val="00E90EF9"/>
    <w:rsid w:val="00E943AE"/>
    <w:rsid w:val="00E961FB"/>
    <w:rsid w:val="00EA1048"/>
    <w:rsid w:val="00EA2572"/>
    <w:rsid w:val="00EB5C57"/>
    <w:rsid w:val="00EC51D6"/>
    <w:rsid w:val="00ED6C78"/>
    <w:rsid w:val="00EE245C"/>
    <w:rsid w:val="00EE3472"/>
    <w:rsid w:val="00F021D4"/>
    <w:rsid w:val="00F03C63"/>
    <w:rsid w:val="00F10923"/>
    <w:rsid w:val="00F15258"/>
    <w:rsid w:val="00F17295"/>
    <w:rsid w:val="00F53284"/>
    <w:rsid w:val="00F7392E"/>
    <w:rsid w:val="00F76DE0"/>
    <w:rsid w:val="00F8508D"/>
    <w:rsid w:val="00F85165"/>
    <w:rsid w:val="00F905A2"/>
    <w:rsid w:val="00F910C0"/>
    <w:rsid w:val="00FA17AB"/>
    <w:rsid w:val="00FA45DE"/>
    <w:rsid w:val="00FC3DE0"/>
    <w:rsid w:val="00FD20C1"/>
    <w:rsid w:val="00FD5727"/>
    <w:rsid w:val="00FD5819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27310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524"/>
    <w:rPr>
      <w:rFonts w:ascii="CG Omega" w:hAnsi="CG Omega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B7524"/>
    <w:pPr>
      <w:numPr>
        <w:ilvl w:val="12"/>
      </w:numPr>
      <w:spacing w:before="240"/>
    </w:pPr>
    <w:rPr>
      <w:rFonts w:ascii="Times New Roman" w:hAnsi="Times New Roman"/>
      <w:sz w:val="24"/>
      <w:szCs w:val="20"/>
      <w:lang w:eastAsia="en-AU"/>
    </w:rPr>
  </w:style>
  <w:style w:type="paragraph" w:customStyle="1" w:styleId="StyleLeft349cmRight-011cm">
    <w:name w:val="Style Left:  3.49 cm Right:  -0.11 cm"/>
    <w:basedOn w:val="Normal"/>
    <w:rsid w:val="003B7524"/>
    <w:pPr>
      <w:ind w:left="1979" w:right="1701"/>
    </w:pPr>
    <w:rPr>
      <w:rFonts w:ascii="Times New Roman" w:hAnsi="Times New Roman"/>
      <w:sz w:val="24"/>
      <w:szCs w:val="20"/>
      <w:lang w:eastAsia="en-AU"/>
    </w:rPr>
  </w:style>
  <w:style w:type="paragraph" w:styleId="Footer">
    <w:name w:val="footer"/>
    <w:basedOn w:val="Normal"/>
    <w:rsid w:val="003B75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524"/>
  </w:style>
  <w:style w:type="paragraph" w:customStyle="1" w:styleId="Default1">
    <w:name w:val="Default1"/>
    <w:basedOn w:val="Normal"/>
    <w:next w:val="Normal"/>
    <w:rsid w:val="003B7524"/>
    <w:pPr>
      <w:autoSpaceDE w:val="0"/>
      <w:autoSpaceDN w:val="0"/>
      <w:adjustRightInd w:val="0"/>
      <w:spacing w:after="240"/>
    </w:pPr>
    <w:rPr>
      <w:rFonts w:ascii="Times New Roman" w:hAnsi="Times New Roman"/>
      <w:sz w:val="24"/>
      <w:lang w:eastAsia="en-AU"/>
    </w:rPr>
  </w:style>
  <w:style w:type="paragraph" w:styleId="Header">
    <w:name w:val="header"/>
    <w:aliases w:val="h"/>
    <w:basedOn w:val="Normal"/>
    <w:rsid w:val="003B752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46C2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09363E"/>
    <w:rPr>
      <w:sz w:val="16"/>
      <w:szCs w:val="16"/>
    </w:rPr>
  </w:style>
  <w:style w:type="paragraph" w:styleId="CommentText">
    <w:name w:val="annotation text"/>
    <w:basedOn w:val="Normal"/>
    <w:semiHidden/>
    <w:rsid w:val="0009363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9363E"/>
    <w:rPr>
      <w:b/>
      <w:bCs/>
    </w:rPr>
  </w:style>
  <w:style w:type="paragraph" w:customStyle="1" w:styleId="Default">
    <w:name w:val="Default"/>
    <w:rsid w:val="00F739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4D1B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3B2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0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56002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23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31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6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1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61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single" w:sz="8" w:space="4" w:color="auto"/>
                                                        <w:bottom w:val="single" w:sz="8" w:space="1" w:color="auto"/>
                                                        <w:right w:val="single" w:sz="8" w:space="4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75925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4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6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31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33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333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single" w:sz="8" w:space="4" w:color="auto"/>
                                                        <w:bottom w:val="single" w:sz="8" w:space="1" w:color="auto"/>
                                                        <w:right w:val="single" w:sz="8" w:space="4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6E06C-CF67-4BB6-97FF-B0C11C0C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AUSTRAC</Company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pjohns</dc:creator>
  <cp:keywords/>
  <dc:description/>
  <cp:lastModifiedBy>Hugh Dixon</cp:lastModifiedBy>
  <cp:revision>2</cp:revision>
  <cp:lastPrinted>2014-12-17T22:41:00Z</cp:lastPrinted>
  <dcterms:created xsi:type="dcterms:W3CDTF">2014-12-19T03:32:00Z</dcterms:created>
  <dcterms:modified xsi:type="dcterms:W3CDTF">2014-12-19T03:32:00Z</dcterms:modified>
</cp:coreProperties>
</file>