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31" w:rsidRPr="008F072C" w:rsidRDefault="00AF0B31" w:rsidP="00AF0B31">
      <w:pPr>
        <w:pStyle w:val="Heading1"/>
        <w:jc w:val="center"/>
        <w:rPr>
          <w:color w:val="000000" w:themeColor="text1"/>
          <w:sz w:val="22"/>
          <w:szCs w:val="22"/>
        </w:rPr>
      </w:pPr>
      <w:bookmarkStart w:id="0" w:name="_GoBack"/>
      <w:bookmarkEnd w:id="0"/>
      <w:r w:rsidRPr="008F072C">
        <w:rPr>
          <w:color w:val="000000" w:themeColor="text1"/>
          <w:sz w:val="22"/>
          <w:szCs w:val="22"/>
        </w:rPr>
        <w:t>EXPLANATORY STATEMENT</w:t>
      </w:r>
    </w:p>
    <w:p w:rsidR="00AF0B31" w:rsidRPr="000520B6" w:rsidRDefault="00AF0B31" w:rsidP="00AC690A">
      <w:pPr>
        <w:pStyle w:val="Heading1"/>
        <w:spacing w:after="120"/>
        <w:jc w:val="center"/>
        <w:rPr>
          <w:b w:val="0"/>
          <w:color w:val="000000" w:themeColor="text1"/>
          <w:sz w:val="22"/>
          <w:szCs w:val="22"/>
        </w:rPr>
      </w:pPr>
      <w:r w:rsidRPr="008F072C">
        <w:rPr>
          <w:b w:val="0"/>
          <w:color w:val="000000" w:themeColor="text1"/>
          <w:sz w:val="22"/>
          <w:szCs w:val="22"/>
        </w:rPr>
        <w:t xml:space="preserve">Issued by the </w:t>
      </w:r>
      <w:r w:rsidRPr="000520B6">
        <w:rPr>
          <w:b w:val="0"/>
          <w:color w:val="000000" w:themeColor="text1"/>
          <w:sz w:val="22"/>
          <w:szCs w:val="22"/>
        </w:rPr>
        <w:t>Authority of the Australian Communications and Media Authority</w:t>
      </w:r>
    </w:p>
    <w:p w:rsidR="000E1A15" w:rsidRPr="000520B6" w:rsidRDefault="000E1A15" w:rsidP="00AF2F92">
      <w:pPr>
        <w:spacing w:after="120"/>
        <w:jc w:val="center"/>
        <w:rPr>
          <w:b/>
          <w:bCs/>
          <w:i/>
          <w:color w:val="000000" w:themeColor="text1"/>
          <w:sz w:val="22"/>
          <w:szCs w:val="22"/>
        </w:rPr>
      </w:pPr>
      <w:r w:rsidRPr="000520B6">
        <w:rPr>
          <w:b/>
          <w:bCs/>
          <w:i/>
          <w:iCs/>
          <w:color w:val="000000" w:themeColor="text1"/>
          <w:sz w:val="22"/>
          <w:szCs w:val="22"/>
        </w:rPr>
        <w:t>Telecommunications (Annual Charge) Determination 2014</w:t>
      </w:r>
    </w:p>
    <w:p w:rsidR="000520B6" w:rsidRPr="000520B6" w:rsidRDefault="000520B6" w:rsidP="00AC690A">
      <w:pPr>
        <w:spacing w:after="120"/>
        <w:jc w:val="center"/>
        <w:rPr>
          <w:i/>
          <w:color w:val="000000" w:themeColor="text1"/>
          <w:sz w:val="22"/>
          <w:szCs w:val="22"/>
        </w:rPr>
      </w:pPr>
      <w:r w:rsidRPr="000520B6">
        <w:rPr>
          <w:i/>
          <w:color w:val="000000" w:themeColor="text1"/>
          <w:sz w:val="22"/>
          <w:szCs w:val="22"/>
        </w:rPr>
        <w:t>Telecommunications (Numbering Charges) Act 1997</w:t>
      </w:r>
    </w:p>
    <w:p w:rsidR="002D24B7" w:rsidRDefault="002D24B7" w:rsidP="00AF0B31">
      <w:pPr>
        <w:pStyle w:val="Heading1"/>
        <w:rPr>
          <w:color w:val="000000" w:themeColor="text1"/>
          <w:sz w:val="20"/>
          <w:szCs w:val="20"/>
        </w:rPr>
      </w:pPr>
    </w:p>
    <w:p w:rsidR="002D24B7" w:rsidRPr="002D24B7" w:rsidRDefault="002D24B7" w:rsidP="00AF0B31">
      <w:pPr>
        <w:pStyle w:val="Heading1"/>
        <w:rPr>
          <w:b w:val="0"/>
          <w:color w:val="000000" w:themeColor="text1"/>
          <w:sz w:val="20"/>
          <w:szCs w:val="20"/>
        </w:rPr>
      </w:pPr>
      <w:r w:rsidRPr="002D24B7">
        <w:rPr>
          <w:b w:val="0"/>
          <w:color w:val="000000" w:themeColor="text1"/>
          <w:sz w:val="20"/>
          <w:szCs w:val="20"/>
        </w:rPr>
        <w:t xml:space="preserve">The </w:t>
      </w:r>
      <w:r w:rsidRPr="002D24B7">
        <w:rPr>
          <w:b w:val="0"/>
          <w:bCs/>
          <w:i/>
          <w:iCs/>
          <w:color w:val="000000" w:themeColor="text1"/>
          <w:sz w:val="20"/>
          <w:szCs w:val="20"/>
        </w:rPr>
        <w:t xml:space="preserve">Telecommunications (Annual Charge) Determination 2014 </w:t>
      </w:r>
      <w:r w:rsidRPr="002D24B7">
        <w:rPr>
          <w:b w:val="0"/>
          <w:color w:val="000000" w:themeColor="text1"/>
          <w:sz w:val="20"/>
          <w:szCs w:val="20"/>
        </w:rPr>
        <w:t>(</w:t>
      </w:r>
      <w:r w:rsidRPr="00C30A12">
        <w:rPr>
          <w:color w:val="000000" w:themeColor="text1"/>
          <w:sz w:val="20"/>
          <w:szCs w:val="20"/>
        </w:rPr>
        <w:t>the Determination</w:t>
      </w:r>
      <w:r w:rsidRPr="002D24B7">
        <w:rPr>
          <w:b w:val="0"/>
          <w:color w:val="000000" w:themeColor="text1"/>
          <w:sz w:val="20"/>
          <w:szCs w:val="20"/>
        </w:rPr>
        <w:t>), is made by the Australian Communications and Media Authority (</w:t>
      </w:r>
      <w:r w:rsidRPr="00C30A12">
        <w:rPr>
          <w:color w:val="000000" w:themeColor="text1"/>
          <w:sz w:val="20"/>
          <w:szCs w:val="20"/>
        </w:rPr>
        <w:t>the ACMA</w:t>
      </w:r>
      <w:r w:rsidRPr="002D24B7">
        <w:rPr>
          <w:b w:val="0"/>
          <w:color w:val="000000" w:themeColor="text1"/>
          <w:sz w:val="20"/>
          <w:szCs w:val="20"/>
        </w:rPr>
        <w:t>) under subsection</w:t>
      </w:r>
      <w:r>
        <w:rPr>
          <w:b w:val="0"/>
          <w:color w:val="000000" w:themeColor="text1"/>
          <w:sz w:val="20"/>
          <w:szCs w:val="20"/>
        </w:rPr>
        <w:t>s 20(1) and 22(2)</w:t>
      </w:r>
      <w:r w:rsidRPr="002D24B7">
        <w:rPr>
          <w:b w:val="0"/>
          <w:color w:val="000000" w:themeColor="text1"/>
          <w:sz w:val="20"/>
          <w:szCs w:val="20"/>
        </w:rPr>
        <w:t xml:space="preserve"> </w:t>
      </w:r>
      <w:r>
        <w:rPr>
          <w:b w:val="0"/>
          <w:color w:val="000000" w:themeColor="text1"/>
          <w:sz w:val="20"/>
          <w:szCs w:val="20"/>
        </w:rPr>
        <w:t xml:space="preserve">of </w:t>
      </w:r>
      <w:r w:rsidRPr="002D24B7">
        <w:rPr>
          <w:b w:val="0"/>
          <w:color w:val="000000" w:themeColor="text1"/>
          <w:sz w:val="20"/>
          <w:szCs w:val="20"/>
        </w:rPr>
        <w:t xml:space="preserve">the </w:t>
      </w:r>
      <w:r w:rsidRPr="002D24B7">
        <w:rPr>
          <w:b w:val="0"/>
          <w:i/>
          <w:color w:val="000000" w:themeColor="text1"/>
          <w:sz w:val="20"/>
          <w:szCs w:val="20"/>
        </w:rPr>
        <w:t xml:space="preserve">Telecommunications (Numbering Charges) Act 1997 </w:t>
      </w:r>
      <w:r w:rsidRPr="002D24B7">
        <w:rPr>
          <w:b w:val="0"/>
          <w:color w:val="000000" w:themeColor="text1"/>
          <w:sz w:val="20"/>
          <w:szCs w:val="20"/>
        </w:rPr>
        <w:t>(</w:t>
      </w:r>
      <w:r w:rsidRPr="00C30A12">
        <w:rPr>
          <w:color w:val="000000" w:themeColor="text1"/>
          <w:sz w:val="20"/>
          <w:szCs w:val="20"/>
        </w:rPr>
        <w:t>the Numbering Charges Act</w:t>
      </w:r>
      <w:r w:rsidRPr="002D24B7">
        <w:rPr>
          <w:b w:val="0"/>
          <w:color w:val="000000" w:themeColor="text1"/>
          <w:sz w:val="20"/>
          <w:szCs w:val="20"/>
        </w:rPr>
        <w:t>)</w:t>
      </w:r>
    </w:p>
    <w:p w:rsidR="00AF0B31" w:rsidRPr="0062455D" w:rsidRDefault="002D24B7" w:rsidP="00C30A12">
      <w:pPr>
        <w:rPr>
          <w:color w:val="000000" w:themeColor="text1"/>
          <w:sz w:val="20"/>
          <w:szCs w:val="20"/>
        </w:rPr>
      </w:pPr>
      <w:r w:rsidRPr="0062455D">
        <w:rPr>
          <w:b/>
          <w:color w:val="000000" w:themeColor="text1"/>
          <w:sz w:val="20"/>
          <w:szCs w:val="20"/>
        </w:rPr>
        <w:t>Background</w:t>
      </w:r>
    </w:p>
    <w:p w:rsidR="00616EC4" w:rsidRPr="00616EC4" w:rsidRDefault="00616EC4" w:rsidP="00616EC4">
      <w:pPr>
        <w:rPr>
          <w:rFonts w:eastAsia="Times New Roman"/>
          <w:iCs/>
          <w:color w:val="000000" w:themeColor="text1"/>
          <w:sz w:val="20"/>
          <w:szCs w:val="20"/>
          <w:lang w:eastAsia="en-AU"/>
        </w:rPr>
      </w:pPr>
      <w:r w:rsidRPr="00616EC4">
        <w:rPr>
          <w:rFonts w:eastAsia="Times New Roman"/>
          <w:iCs/>
          <w:color w:val="000000" w:themeColor="text1"/>
          <w:sz w:val="20"/>
          <w:szCs w:val="20"/>
          <w:lang w:eastAsia="en-AU"/>
        </w:rPr>
        <w:t>Part 3 of the</w:t>
      </w:r>
      <w:r w:rsidRPr="0062455D">
        <w:rPr>
          <w:rFonts w:eastAsia="Times New Roman"/>
          <w:iCs/>
          <w:color w:val="000000" w:themeColor="text1"/>
          <w:sz w:val="20"/>
          <w:szCs w:val="20"/>
          <w:lang w:eastAsia="en-AU"/>
        </w:rPr>
        <w:t xml:space="preserve"> </w:t>
      </w:r>
      <w:r w:rsidR="00E72120" w:rsidRPr="00C30A12">
        <w:rPr>
          <w:rFonts w:eastAsia="Times New Roman"/>
          <w:iCs/>
          <w:color w:val="000000" w:themeColor="text1"/>
          <w:sz w:val="20"/>
          <w:szCs w:val="20"/>
          <w:lang w:eastAsia="en-AU"/>
        </w:rPr>
        <w:t xml:space="preserve">Numbering </w:t>
      </w:r>
      <w:r w:rsidRPr="0062455D">
        <w:rPr>
          <w:rFonts w:eastAsia="Times New Roman"/>
          <w:iCs/>
          <w:color w:val="000000" w:themeColor="text1"/>
          <w:sz w:val="20"/>
          <w:szCs w:val="20"/>
          <w:lang w:eastAsia="en-AU"/>
        </w:rPr>
        <w:t>Charges Act</w:t>
      </w:r>
      <w:r w:rsidRPr="00616EC4">
        <w:rPr>
          <w:rFonts w:eastAsia="Times New Roman"/>
          <w:iCs/>
          <w:color w:val="000000" w:themeColor="text1"/>
          <w:sz w:val="20"/>
          <w:szCs w:val="20"/>
          <w:lang w:eastAsia="en-AU"/>
        </w:rPr>
        <w:t xml:space="preserve"> </w:t>
      </w:r>
      <w:r w:rsidR="00DD475C">
        <w:rPr>
          <w:rFonts w:eastAsia="Times New Roman"/>
          <w:iCs/>
          <w:color w:val="000000" w:themeColor="text1"/>
          <w:sz w:val="20"/>
          <w:szCs w:val="20"/>
          <w:lang w:eastAsia="en-AU"/>
        </w:rPr>
        <w:t>imposes an annual charge on</w:t>
      </w:r>
      <w:r w:rsidRPr="00616EC4">
        <w:rPr>
          <w:rFonts w:eastAsia="Times New Roman"/>
          <w:iCs/>
          <w:color w:val="000000" w:themeColor="text1"/>
          <w:sz w:val="20"/>
          <w:szCs w:val="20"/>
          <w:lang w:eastAsia="en-AU"/>
        </w:rPr>
        <w:t xml:space="preserve"> carriage service providers (</w:t>
      </w:r>
      <w:r w:rsidRPr="00C30A12">
        <w:rPr>
          <w:rFonts w:eastAsia="Times New Roman"/>
          <w:b/>
          <w:iCs/>
          <w:color w:val="000000" w:themeColor="text1"/>
          <w:sz w:val="20"/>
          <w:szCs w:val="20"/>
          <w:lang w:eastAsia="en-AU"/>
        </w:rPr>
        <w:t>CSPs</w:t>
      </w:r>
      <w:r w:rsidRPr="00616EC4">
        <w:rPr>
          <w:rFonts w:eastAsia="Times New Roman"/>
          <w:iCs/>
          <w:color w:val="000000" w:themeColor="text1"/>
          <w:sz w:val="20"/>
          <w:szCs w:val="20"/>
          <w:lang w:eastAsia="en-AU"/>
        </w:rPr>
        <w:t xml:space="preserve">) that hold telephone numbers. This </w:t>
      </w:r>
      <w:r w:rsidR="00DD475C">
        <w:rPr>
          <w:rFonts w:eastAsia="Times New Roman"/>
          <w:iCs/>
          <w:color w:val="000000" w:themeColor="text1"/>
          <w:sz w:val="20"/>
          <w:szCs w:val="20"/>
          <w:lang w:eastAsia="en-AU"/>
        </w:rPr>
        <w:t>charge</w:t>
      </w:r>
      <w:r w:rsidR="00DD475C" w:rsidRPr="00616EC4">
        <w:rPr>
          <w:rFonts w:eastAsia="Times New Roman"/>
          <w:iCs/>
          <w:color w:val="000000" w:themeColor="text1"/>
          <w:sz w:val="20"/>
          <w:szCs w:val="20"/>
          <w:lang w:eastAsia="en-AU"/>
        </w:rPr>
        <w:t xml:space="preserve"> </w:t>
      </w:r>
      <w:r w:rsidRPr="00616EC4">
        <w:rPr>
          <w:rFonts w:eastAsia="Times New Roman"/>
          <w:iCs/>
          <w:color w:val="000000" w:themeColor="text1"/>
          <w:sz w:val="20"/>
          <w:szCs w:val="20"/>
          <w:lang w:eastAsia="en-AU"/>
        </w:rPr>
        <w:t>is known as the annual numbering charge</w:t>
      </w:r>
      <w:r w:rsidR="004C6E46">
        <w:rPr>
          <w:rFonts w:eastAsia="Times New Roman"/>
          <w:iCs/>
          <w:color w:val="000000" w:themeColor="text1"/>
          <w:sz w:val="20"/>
          <w:szCs w:val="20"/>
          <w:lang w:eastAsia="en-AU"/>
        </w:rPr>
        <w:t xml:space="preserve"> (</w:t>
      </w:r>
      <w:r w:rsidR="004C6E46" w:rsidRPr="00C30A12">
        <w:rPr>
          <w:rFonts w:eastAsia="Times New Roman"/>
          <w:b/>
          <w:iCs/>
          <w:color w:val="000000" w:themeColor="text1"/>
          <w:sz w:val="20"/>
          <w:szCs w:val="20"/>
          <w:lang w:eastAsia="en-AU"/>
        </w:rPr>
        <w:t>ANC</w:t>
      </w:r>
      <w:r w:rsidR="004C6E46">
        <w:rPr>
          <w:rFonts w:eastAsia="Times New Roman"/>
          <w:iCs/>
          <w:color w:val="000000" w:themeColor="text1"/>
          <w:sz w:val="20"/>
          <w:szCs w:val="20"/>
          <w:lang w:eastAsia="en-AU"/>
        </w:rPr>
        <w:t>)</w:t>
      </w:r>
      <w:r w:rsidRPr="00616EC4">
        <w:rPr>
          <w:rFonts w:eastAsia="Times New Roman"/>
          <w:iCs/>
          <w:color w:val="000000" w:themeColor="text1"/>
          <w:sz w:val="20"/>
          <w:szCs w:val="20"/>
          <w:lang w:eastAsia="en-AU"/>
        </w:rPr>
        <w:t>.</w:t>
      </w:r>
    </w:p>
    <w:p w:rsidR="00336650" w:rsidRDefault="0062455D" w:rsidP="00616EC4">
      <w:pPr>
        <w:rPr>
          <w:color w:val="000000" w:themeColor="text1"/>
          <w:sz w:val="20"/>
          <w:szCs w:val="20"/>
        </w:rPr>
      </w:pPr>
      <w:r w:rsidRPr="00C30A12">
        <w:rPr>
          <w:color w:val="000000" w:themeColor="text1"/>
          <w:sz w:val="20"/>
          <w:szCs w:val="20"/>
        </w:rPr>
        <w:t>The Numbering Charges Act sets out the general framewo</w:t>
      </w:r>
      <w:r w:rsidR="00251AEE" w:rsidRPr="00812670">
        <w:rPr>
          <w:color w:val="000000" w:themeColor="text1"/>
          <w:sz w:val="20"/>
          <w:szCs w:val="20"/>
        </w:rPr>
        <w:t>rk under which the ANC</w:t>
      </w:r>
      <w:r w:rsidRPr="00C30A12">
        <w:rPr>
          <w:color w:val="000000" w:themeColor="text1"/>
          <w:sz w:val="20"/>
          <w:szCs w:val="20"/>
        </w:rPr>
        <w:t xml:space="preserve"> is imposed on CSPs that hold telephone numbers. </w:t>
      </w:r>
    </w:p>
    <w:p w:rsidR="0062455D" w:rsidRPr="00C30A12" w:rsidRDefault="0062455D" w:rsidP="00C30A12">
      <w:pPr>
        <w:pStyle w:val="ListParagraph"/>
        <w:numPr>
          <w:ilvl w:val="0"/>
          <w:numId w:val="12"/>
        </w:numPr>
        <w:rPr>
          <w:rFonts w:eastAsia="Times New Roman"/>
          <w:iCs/>
          <w:color w:val="000000" w:themeColor="text1"/>
          <w:sz w:val="20"/>
          <w:szCs w:val="20"/>
          <w:lang w:eastAsia="en-AU"/>
        </w:rPr>
      </w:pPr>
      <w:r w:rsidRPr="00C30A12">
        <w:rPr>
          <w:color w:val="000000" w:themeColor="text1"/>
          <w:sz w:val="20"/>
          <w:szCs w:val="20"/>
        </w:rPr>
        <w:t xml:space="preserve">Under subsection 18(1), if a CSP holds an allocated number on a date determined by the ACMA each year, a charge is imposed on the number. This date is referred to as the </w:t>
      </w:r>
      <w:r w:rsidR="006007C4">
        <w:rPr>
          <w:color w:val="000000" w:themeColor="text1"/>
          <w:sz w:val="20"/>
          <w:szCs w:val="20"/>
        </w:rPr>
        <w:t>“c</w:t>
      </w:r>
      <w:r w:rsidRPr="00C30A12">
        <w:rPr>
          <w:color w:val="000000" w:themeColor="text1"/>
          <w:sz w:val="20"/>
          <w:szCs w:val="20"/>
        </w:rPr>
        <w:t xml:space="preserve">ensus </w:t>
      </w:r>
      <w:r w:rsidR="006007C4">
        <w:rPr>
          <w:color w:val="000000" w:themeColor="text1"/>
          <w:sz w:val="20"/>
          <w:szCs w:val="20"/>
        </w:rPr>
        <w:t>d</w:t>
      </w:r>
      <w:r w:rsidRPr="00C30A12">
        <w:rPr>
          <w:color w:val="000000" w:themeColor="text1"/>
          <w:sz w:val="20"/>
          <w:szCs w:val="20"/>
        </w:rPr>
        <w:t>ate</w:t>
      </w:r>
      <w:r w:rsidR="006007C4">
        <w:rPr>
          <w:color w:val="000000" w:themeColor="text1"/>
          <w:sz w:val="20"/>
          <w:szCs w:val="20"/>
        </w:rPr>
        <w:t>”</w:t>
      </w:r>
      <w:r w:rsidRPr="00C30A12">
        <w:rPr>
          <w:color w:val="000000" w:themeColor="text1"/>
          <w:sz w:val="20"/>
          <w:szCs w:val="20"/>
        </w:rPr>
        <w:t>.</w:t>
      </w:r>
    </w:p>
    <w:p w:rsidR="00336650" w:rsidRDefault="00B37845" w:rsidP="00C30A12">
      <w:pPr>
        <w:pStyle w:val="ListParagraph"/>
        <w:numPr>
          <w:ilvl w:val="0"/>
          <w:numId w:val="12"/>
        </w:numPr>
        <w:rPr>
          <w:rFonts w:eastAsia="Times New Roman"/>
          <w:iCs/>
          <w:color w:val="000000" w:themeColor="text1"/>
          <w:sz w:val="20"/>
          <w:szCs w:val="20"/>
          <w:lang w:eastAsia="en-AU"/>
        </w:rPr>
      </w:pPr>
      <w:r w:rsidRPr="00C30A12">
        <w:rPr>
          <w:rFonts w:eastAsia="Times New Roman"/>
          <w:iCs/>
          <w:color w:val="000000" w:themeColor="text1"/>
          <w:sz w:val="20"/>
          <w:szCs w:val="20"/>
          <w:lang w:eastAsia="en-AU"/>
        </w:rPr>
        <w:t>S</w:t>
      </w:r>
      <w:r w:rsidR="00E82D8F" w:rsidRPr="00C30A12">
        <w:rPr>
          <w:rFonts w:eastAsia="Times New Roman"/>
          <w:iCs/>
          <w:color w:val="000000" w:themeColor="text1"/>
          <w:sz w:val="20"/>
          <w:szCs w:val="20"/>
          <w:lang w:eastAsia="en-AU"/>
        </w:rPr>
        <w:t xml:space="preserve">ubsection 20(1) </w:t>
      </w:r>
      <w:r w:rsidRPr="00C30A12">
        <w:rPr>
          <w:rFonts w:eastAsia="Times New Roman"/>
          <w:iCs/>
          <w:color w:val="000000" w:themeColor="text1"/>
          <w:sz w:val="20"/>
          <w:szCs w:val="20"/>
          <w:lang w:eastAsia="en-AU"/>
        </w:rPr>
        <w:t>provides that</w:t>
      </w:r>
      <w:r w:rsidR="00E82D8F" w:rsidRPr="00C30A12">
        <w:rPr>
          <w:rFonts w:eastAsia="Times New Roman"/>
          <w:iCs/>
          <w:color w:val="000000" w:themeColor="text1"/>
          <w:sz w:val="20"/>
          <w:szCs w:val="20"/>
          <w:lang w:eastAsia="en-AU"/>
        </w:rPr>
        <w:t xml:space="preserve"> the amount of charge imposed on a number held on the </w:t>
      </w:r>
      <w:r w:rsidR="006007C4">
        <w:rPr>
          <w:rFonts w:eastAsia="Times New Roman"/>
          <w:iCs/>
          <w:color w:val="000000" w:themeColor="text1"/>
          <w:sz w:val="20"/>
          <w:szCs w:val="20"/>
          <w:lang w:eastAsia="en-AU"/>
        </w:rPr>
        <w:t>c</w:t>
      </w:r>
      <w:r w:rsidR="00E82D8F" w:rsidRPr="00C30A12">
        <w:rPr>
          <w:rFonts w:eastAsia="Times New Roman"/>
          <w:iCs/>
          <w:color w:val="000000" w:themeColor="text1"/>
          <w:sz w:val="20"/>
          <w:szCs w:val="20"/>
          <w:lang w:eastAsia="en-AU"/>
        </w:rPr>
        <w:t xml:space="preserve">ensus </w:t>
      </w:r>
      <w:r w:rsidR="006007C4">
        <w:rPr>
          <w:rFonts w:eastAsia="Times New Roman"/>
          <w:iCs/>
          <w:color w:val="000000" w:themeColor="text1"/>
          <w:sz w:val="20"/>
          <w:szCs w:val="20"/>
          <w:lang w:eastAsia="en-AU"/>
        </w:rPr>
        <w:t>d</w:t>
      </w:r>
      <w:r w:rsidR="00E82D8F" w:rsidRPr="00C30A12">
        <w:rPr>
          <w:rFonts w:eastAsia="Times New Roman"/>
          <w:iCs/>
          <w:color w:val="000000" w:themeColor="text1"/>
          <w:sz w:val="20"/>
          <w:szCs w:val="20"/>
          <w:lang w:eastAsia="en-AU"/>
        </w:rPr>
        <w:t>ate is the amount ascertained in accordance with a written determination made by the ACMA.</w:t>
      </w:r>
    </w:p>
    <w:p w:rsidR="00E82D8F" w:rsidRPr="00C30A12" w:rsidRDefault="00B37845" w:rsidP="00C30A12">
      <w:pPr>
        <w:pStyle w:val="ListParagraph"/>
        <w:numPr>
          <w:ilvl w:val="0"/>
          <w:numId w:val="12"/>
        </w:numPr>
        <w:rPr>
          <w:rFonts w:eastAsia="Times New Roman"/>
          <w:iCs/>
          <w:color w:val="000000" w:themeColor="text1"/>
          <w:sz w:val="20"/>
          <w:szCs w:val="20"/>
          <w:lang w:eastAsia="en-AU"/>
        </w:rPr>
      </w:pPr>
      <w:r w:rsidRPr="00C30A12">
        <w:rPr>
          <w:rFonts w:eastAsia="Times New Roman"/>
          <w:iCs/>
          <w:color w:val="000000" w:themeColor="text1"/>
          <w:sz w:val="20"/>
          <w:szCs w:val="20"/>
          <w:lang w:eastAsia="en-AU"/>
        </w:rPr>
        <w:t xml:space="preserve">Subsection </w:t>
      </w:r>
      <w:r w:rsidR="00E82D8F" w:rsidRPr="00C30A12">
        <w:rPr>
          <w:rFonts w:eastAsia="Times New Roman"/>
          <w:iCs/>
          <w:color w:val="000000" w:themeColor="text1"/>
          <w:sz w:val="20"/>
          <w:szCs w:val="20"/>
          <w:lang w:eastAsia="en-AU"/>
        </w:rPr>
        <w:t xml:space="preserve">22(2) </w:t>
      </w:r>
      <w:r w:rsidRPr="00C30A12">
        <w:rPr>
          <w:rFonts w:eastAsia="Times New Roman"/>
          <w:iCs/>
          <w:color w:val="000000" w:themeColor="text1"/>
          <w:sz w:val="20"/>
          <w:szCs w:val="20"/>
          <w:lang w:eastAsia="en-AU"/>
        </w:rPr>
        <w:t>provides that</w:t>
      </w:r>
      <w:r w:rsidR="00E82D8F" w:rsidRPr="00C30A12">
        <w:rPr>
          <w:rFonts w:eastAsia="Times New Roman"/>
          <w:iCs/>
          <w:color w:val="000000" w:themeColor="text1"/>
          <w:sz w:val="20"/>
          <w:szCs w:val="20"/>
          <w:lang w:eastAsia="en-AU"/>
        </w:rPr>
        <w:t xml:space="preserve"> the ACMA may by written determination, exempt a specified number from the charge.</w:t>
      </w:r>
    </w:p>
    <w:p w:rsidR="0062455D" w:rsidRPr="009A6ACC" w:rsidRDefault="0062455D" w:rsidP="0062455D">
      <w:pPr>
        <w:rPr>
          <w:rFonts w:eastAsia="Times New Roman"/>
          <w:i/>
          <w:iCs/>
          <w:color w:val="000000" w:themeColor="text1"/>
          <w:sz w:val="20"/>
          <w:szCs w:val="20"/>
          <w:lang w:eastAsia="en-AU"/>
        </w:rPr>
      </w:pPr>
      <w:r w:rsidRPr="009A6ACC">
        <w:rPr>
          <w:rFonts w:eastAsia="Times New Roman"/>
          <w:color w:val="000000" w:themeColor="text1"/>
          <w:sz w:val="20"/>
          <w:szCs w:val="20"/>
          <w:lang w:eastAsia="en-AU"/>
        </w:rPr>
        <w:t xml:space="preserve">The </w:t>
      </w:r>
      <w:r w:rsidRPr="009A6ACC">
        <w:rPr>
          <w:bCs/>
          <w:i/>
          <w:iCs/>
          <w:color w:val="000000" w:themeColor="text1"/>
          <w:sz w:val="20"/>
          <w:szCs w:val="20"/>
        </w:rPr>
        <w:t xml:space="preserve">Telecommunications (Annual Charge) Determination 2007 (No. 2) </w:t>
      </w:r>
      <w:r w:rsidRPr="009A6ACC">
        <w:rPr>
          <w:color w:val="000000" w:themeColor="text1"/>
          <w:sz w:val="20"/>
          <w:szCs w:val="20"/>
        </w:rPr>
        <w:t>(</w:t>
      </w:r>
      <w:r w:rsidR="00336650" w:rsidRPr="00C30A12">
        <w:rPr>
          <w:b/>
          <w:color w:val="000000" w:themeColor="text1"/>
          <w:sz w:val="20"/>
          <w:szCs w:val="20"/>
        </w:rPr>
        <w:t>the</w:t>
      </w:r>
      <w:r w:rsidR="00336650">
        <w:rPr>
          <w:color w:val="000000" w:themeColor="text1"/>
          <w:sz w:val="20"/>
          <w:szCs w:val="20"/>
        </w:rPr>
        <w:t xml:space="preserve"> </w:t>
      </w:r>
      <w:r w:rsidRPr="009A6ACC">
        <w:rPr>
          <w:rFonts w:eastAsia="Times New Roman"/>
          <w:b/>
          <w:bCs/>
          <w:color w:val="000000" w:themeColor="text1"/>
          <w:sz w:val="20"/>
          <w:szCs w:val="20"/>
          <w:lang w:eastAsia="en-AU"/>
        </w:rPr>
        <w:t>old instrument</w:t>
      </w:r>
      <w:r w:rsidRPr="009A6ACC">
        <w:rPr>
          <w:color w:val="000000" w:themeColor="text1"/>
          <w:sz w:val="20"/>
          <w:szCs w:val="20"/>
        </w:rPr>
        <w:t>)</w:t>
      </w:r>
      <w:r>
        <w:rPr>
          <w:color w:val="000000" w:themeColor="text1"/>
          <w:sz w:val="20"/>
          <w:szCs w:val="20"/>
        </w:rPr>
        <w:t xml:space="preserve"> </w:t>
      </w:r>
      <w:r w:rsidRPr="00E82D8F">
        <w:rPr>
          <w:rFonts w:eastAsia="Times New Roman"/>
          <w:iCs/>
          <w:color w:val="000000" w:themeColor="text1"/>
          <w:sz w:val="20"/>
          <w:szCs w:val="20"/>
          <w:lang w:eastAsia="en-AU"/>
        </w:rPr>
        <w:t>specifies the ANC formula under subsection 20(1) of the Numbering Charges Act and allows for a reduced amount of charge for some numbers.</w:t>
      </w:r>
      <w:r>
        <w:rPr>
          <w:rFonts w:eastAsia="Times New Roman"/>
          <w:iCs/>
          <w:color w:val="000000" w:themeColor="text1"/>
          <w:sz w:val="20"/>
          <w:szCs w:val="20"/>
          <w:lang w:eastAsia="en-AU"/>
        </w:rPr>
        <w:t xml:space="preserve"> </w:t>
      </w:r>
      <w:r w:rsidRPr="00E82D8F">
        <w:rPr>
          <w:rFonts w:eastAsia="Times New Roman"/>
          <w:iCs/>
          <w:color w:val="000000" w:themeColor="text1"/>
          <w:sz w:val="20"/>
          <w:szCs w:val="20"/>
          <w:lang w:eastAsia="en-AU"/>
        </w:rPr>
        <w:t xml:space="preserve">The </w:t>
      </w:r>
      <w:r>
        <w:rPr>
          <w:rFonts w:eastAsia="Times New Roman"/>
          <w:iCs/>
          <w:color w:val="000000" w:themeColor="text1"/>
          <w:sz w:val="20"/>
          <w:szCs w:val="20"/>
          <w:lang w:eastAsia="en-AU"/>
        </w:rPr>
        <w:t>old i</w:t>
      </w:r>
      <w:r w:rsidRPr="00E82D8F">
        <w:rPr>
          <w:rFonts w:eastAsia="Times New Roman"/>
          <w:iCs/>
          <w:color w:val="000000" w:themeColor="text1"/>
          <w:sz w:val="20"/>
          <w:szCs w:val="20"/>
          <w:lang w:eastAsia="en-AU"/>
        </w:rPr>
        <w:t xml:space="preserve">nstrument also exempts </w:t>
      </w:r>
      <w:r w:rsidRPr="00B37845">
        <w:rPr>
          <w:rFonts w:eastAsia="Times New Roman"/>
          <w:iCs/>
          <w:color w:val="000000" w:themeColor="text1"/>
          <w:sz w:val="20"/>
          <w:szCs w:val="20"/>
          <w:lang w:eastAsia="en-AU"/>
        </w:rPr>
        <w:t>some numbers from the charge, as allowed by subsection 22(2) of the Numbering Charges Act.</w:t>
      </w:r>
      <w:r w:rsidRPr="009A6ACC">
        <w:rPr>
          <w:color w:val="000000" w:themeColor="text1"/>
          <w:sz w:val="20"/>
          <w:szCs w:val="20"/>
        </w:rPr>
        <w:t xml:space="preserve"> </w:t>
      </w:r>
      <w:r>
        <w:rPr>
          <w:color w:val="000000" w:themeColor="text1"/>
          <w:sz w:val="20"/>
          <w:szCs w:val="20"/>
        </w:rPr>
        <w:t xml:space="preserve">The old instrument </w:t>
      </w:r>
      <w:r w:rsidRPr="009A6ACC">
        <w:rPr>
          <w:color w:val="000000" w:themeColor="text1"/>
          <w:sz w:val="20"/>
          <w:szCs w:val="20"/>
        </w:rPr>
        <w:t>is</w:t>
      </w:r>
      <w:r w:rsidRPr="009A6ACC">
        <w:rPr>
          <w:rFonts w:eastAsia="Times New Roman"/>
          <w:color w:val="000000" w:themeColor="text1"/>
          <w:sz w:val="20"/>
          <w:szCs w:val="20"/>
          <w:lang w:eastAsia="en-AU"/>
        </w:rPr>
        <w:t xml:space="preserve"> due to “sunset” (i.e. be automatically repealed) on 1 April 2018, in accordance with Part 6 of the </w:t>
      </w:r>
      <w:r w:rsidRPr="009A6ACC">
        <w:rPr>
          <w:rFonts w:eastAsia="Times New Roman"/>
          <w:i/>
          <w:iCs/>
          <w:color w:val="000000" w:themeColor="text1"/>
          <w:sz w:val="20"/>
          <w:szCs w:val="20"/>
          <w:lang w:eastAsia="en-AU"/>
        </w:rPr>
        <w:t>Legislative Instruments Act 2003</w:t>
      </w:r>
      <w:r w:rsidRPr="009A6ACC">
        <w:rPr>
          <w:rFonts w:eastAsia="Times New Roman"/>
          <w:color w:val="000000" w:themeColor="text1"/>
          <w:sz w:val="20"/>
          <w:szCs w:val="20"/>
          <w:lang w:eastAsia="en-AU"/>
        </w:rPr>
        <w:t xml:space="preserve"> (the </w:t>
      </w:r>
      <w:r w:rsidRPr="009A6ACC">
        <w:rPr>
          <w:rFonts w:eastAsia="Times New Roman"/>
          <w:b/>
          <w:bCs/>
          <w:color w:val="000000" w:themeColor="text1"/>
          <w:sz w:val="20"/>
          <w:szCs w:val="20"/>
          <w:lang w:eastAsia="en-AU"/>
        </w:rPr>
        <w:t>LIA</w:t>
      </w:r>
      <w:r w:rsidRPr="009A6ACC">
        <w:rPr>
          <w:rFonts w:eastAsia="Times New Roman"/>
          <w:color w:val="000000" w:themeColor="text1"/>
          <w:sz w:val="20"/>
          <w:szCs w:val="20"/>
          <w:lang w:eastAsia="en-AU"/>
        </w:rPr>
        <w:t>).</w:t>
      </w:r>
      <w:r w:rsidRPr="009A6ACC">
        <w:rPr>
          <w:rFonts w:eastAsia="Times New Roman"/>
          <w:iCs/>
          <w:color w:val="000000" w:themeColor="text1"/>
          <w:sz w:val="20"/>
          <w:szCs w:val="20"/>
          <w:lang w:eastAsia="en-AU"/>
        </w:rPr>
        <w:t xml:space="preserve">  </w:t>
      </w:r>
    </w:p>
    <w:p w:rsidR="005E2D70" w:rsidRDefault="00B22FB1" w:rsidP="005E2D70">
      <w:pPr>
        <w:rPr>
          <w:rFonts w:eastAsia="Times New Roman"/>
          <w:color w:val="000000" w:themeColor="text1"/>
          <w:sz w:val="20"/>
          <w:szCs w:val="20"/>
          <w:lang w:eastAsia="en-AU"/>
        </w:rPr>
      </w:pPr>
      <w:r w:rsidRPr="00B37845">
        <w:rPr>
          <w:color w:val="000000" w:themeColor="text1"/>
          <w:sz w:val="20"/>
          <w:szCs w:val="20"/>
        </w:rPr>
        <w:t xml:space="preserve">Subsection 33(3) of the </w:t>
      </w:r>
      <w:r w:rsidRPr="00B37845">
        <w:rPr>
          <w:i/>
          <w:color w:val="000000" w:themeColor="text1"/>
          <w:sz w:val="20"/>
          <w:szCs w:val="20"/>
        </w:rPr>
        <w:t>Acts Interpretation Act 1901</w:t>
      </w:r>
      <w:r w:rsidRPr="00B37845">
        <w:rPr>
          <w:color w:val="000000" w:themeColor="text1"/>
          <w:sz w:val="20"/>
          <w:szCs w:val="20"/>
        </w:rPr>
        <w:t xml:space="preserve"> (</w:t>
      </w:r>
      <w:r w:rsidRPr="00C30A12">
        <w:rPr>
          <w:rFonts w:ascii="Calibri" w:eastAsia="Calibri" w:hAnsi="Calibri" w:cs="Times New Roman"/>
          <w:b/>
          <w:color w:val="000000" w:themeColor="text1"/>
          <w:sz w:val="20"/>
          <w:szCs w:val="20"/>
        </w:rPr>
        <w:t>the</w:t>
      </w:r>
      <w:r w:rsidRPr="00B37845">
        <w:rPr>
          <w:color w:val="000000" w:themeColor="text1"/>
          <w:sz w:val="20"/>
          <w:szCs w:val="20"/>
        </w:rPr>
        <w:t xml:space="preserve"> </w:t>
      </w:r>
      <w:r w:rsidRPr="00B37845">
        <w:rPr>
          <w:b/>
          <w:color w:val="000000" w:themeColor="text1"/>
          <w:sz w:val="20"/>
          <w:szCs w:val="20"/>
        </w:rPr>
        <w:t>AIA</w:t>
      </w:r>
      <w:r w:rsidRPr="00B37845">
        <w:rPr>
          <w:color w:val="000000" w:themeColor="text1"/>
          <w:sz w:val="20"/>
          <w:szCs w:val="20"/>
        </w:rPr>
        <w:t xml:space="preserve">) provides that where an Act confers a power to make a legislative instrument, </w:t>
      </w:r>
      <w:r w:rsidR="00E72120">
        <w:rPr>
          <w:color w:val="000000" w:themeColor="text1"/>
          <w:sz w:val="20"/>
          <w:szCs w:val="20"/>
        </w:rPr>
        <w:t xml:space="preserve">as the </w:t>
      </w:r>
      <w:r w:rsidR="002D24B7">
        <w:rPr>
          <w:color w:val="000000" w:themeColor="text1"/>
          <w:sz w:val="20"/>
          <w:szCs w:val="20"/>
        </w:rPr>
        <w:t>Numbering Charges A</w:t>
      </w:r>
      <w:r w:rsidR="00E72120">
        <w:rPr>
          <w:color w:val="000000" w:themeColor="text1"/>
          <w:sz w:val="20"/>
          <w:szCs w:val="20"/>
        </w:rPr>
        <w:t xml:space="preserve">ct does in this instance, </w:t>
      </w:r>
      <w:r w:rsidRPr="00B37845">
        <w:rPr>
          <w:color w:val="000000" w:themeColor="text1"/>
          <w:sz w:val="20"/>
          <w:szCs w:val="20"/>
        </w:rPr>
        <w:t>the power shall be construed to include a power exercisable in the like manner and subject to the like conditions (if any) to repeal, rescind, revoke, amend or vary any such instrument. The power to make a written determination under subsection</w:t>
      </w:r>
      <w:r w:rsidR="00B37845" w:rsidRPr="00B37845">
        <w:rPr>
          <w:color w:val="000000" w:themeColor="text1"/>
          <w:sz w:val="20"/>
          <w:szCs w:val="20"/>
        </w:rPr>
        <w:t>s 20(1) and 22(2)</w:t>
      </w:r>
      <w:r w:rsidRPr="00B37845">
        <w:rPr>
          <w:color w:val="000000" w:themeColor="text1"/>
          <w:sz w:val="20"/>
          <w:szCs w:val="20"/>
        </w:rPr>
        <w:t xml:space="preserve"> also includes the power to revoke the </w:t>
      </w:r>
      <w:r w:rsidR="00B37845" w:rsidRPr="00B37845">
        <w:rPr>
          <w:color w:val="000000" w:themeColor="text1"/>
          <w:sz w:val="20"/>
          <w:szCs w:val="20"/>
        </w:rPr>
        <w:t>old</w:t>
      </w:r>
      <w:r w:rsidRPr="00B37845">
        <w:rPr>
          <w:bCs/>
          <w:color w:val="000000" w:themeColor="text1"/>
          <w:sz w:val="20"/>
          <w:szCs w:val="20"/>
        </w:rPr>
        <w:t xml:space="preserve"> </w:t>
      </w:r>
      <w:r w:rsidR="002D24B7">
        <w:rPr>
          <w:bCs/>
          <w:color w:val="000000" w:themeColor="text1"/>
          <w:sz w:val="20"/>
          <w:szCs w:val="20"/>
        </w:rPr>
        <w:t>i</w:t>
      </w:r>
      <w:r w:rsidRPr="00B37845">
        <w:rPr>
          <w:bCs/>
          <w:color w:val="000000" w:themeColor="text1"/>
          <w:sz w:val="20"/>
          <w:szCs w:val="20"/>
        </w:rPr>
        <w:t>nstrument</w:t>
      </w:r>
      <w:r w:rsidRPr="00B37845">
        <w:rPr>
          <w:color w:val="000000" w:themeColor="text1"/>
          <w:sz w:val="20"/>
          <w:szCs w:val="20"/>
        </w:rPr>
        <w:t xml:space="preserve"> on the basis of subsection 33(3) of the AIA.</w:t>
      </w:r>
      <w:r w:rsidR="0062455D">
        <w:rPr>
          <w:color w:val="000000" w:themeColor="text1"/>
          <w:sz w:val="20"/>
          <w:szCs w:val="20"/>
        </w:rPr>
        <w:t xml:space="preserve"> </w:t>
      </w:r>
      <w:r w:rsidR="005E2D70" w:rsidRPr="00B37845">
        <w:rPr>
          <w:rFonts w:eastAsia="Times New Roman"/>
          <w:color w:val="000000" w:themeColor="text1"/>
          <w:sz w:val="20"/>
          <w:szCs w:val="20"/>
          <w:lang w:eastAsia="en-AU"/>
        </w:rPr>
        <w:t>The Determination is a legislative instrument for the purposes of the</w:t>
      </w:r>
      <w:r w:rsidR="006C5DAC" w:rsidRPr="00B37845">
        <w:rPr>
          <w:rFonts w:eastAsia="Times New Roman"/>
          <w:color w:val="000000" w:themeColor="text1"/>
          <w:sz w:val="20"/>
          <w:szCs w:val="20"/>
          <w:lang w:eastAsia="en-AU"/>
        </w:rPr>
        <w:t xml:space="preserve"> LIA.</w:t>
      </w:r>
    </w:p>
    <w:p w:rsidR="0062455D" w:rsidRPr="000520B6" w:rsidRDefault="0062455D" w:rsidP="0062455D">
      <w:pPr>
        <w:pStyle w:val="Heading1"/>
        <w:rPr>
          <w:color w:val="000000" w:themeColor="text1"/>
          <w:sz w:val="20"/>
          <w:szCs w:val="20"/>
        </w:rPr>
      </w:pPr>
      <w:r w:rsidRPr="000520B6">
        <w:rPr>
          <w:color w:val="000000" w:themeColor="text1"/>
          <w:sz w:val="20"/>
          <w:szCs w:val="20"/>
        </w:rPr>
        <w:t>Purpose</w:t>
      </w:r>
    </w:p>
    <w:p w:rsidR="0062455D" w:rsidRPr="00882F22" w:rsidRDefault="0062455D" w:rsidP="0062455D">
      <w:pPr>
        <w:rPr>
          <w:color w:val="000000" w:themeColor="text1"/>
          <w:sz w:val="20"/>
          <w:szCs w:val="20"/>
        </w:rPr>
      </w:pPr>
      <w:r w:rsidRPr="009A6ACC">
        <w:rPr>
          <w:color w:val="000000" w:themeColor="text1"/>
          <w:sz w:val="20"/>
          <w:szCs w:val="20"/>
        </w:rPr>
        <w:t xml:space="preserve">The </w:t>
      </w:r>
      <w:r w:rsidRPr="00EE452C">
        <w:rPr>
          <w:color w:val="000000" w:themeColor="text1"/>
          <w:sz w:val="20"/>
          <w:szCs w:val="20"/>
        </w:rPr>
        <w:t>Determination</w:t>
      </w:r>
      <w:r w:rsidRPr="009A6ACC">
        <w:rPr>
          <w:color w:val="000000" w:themeColor="text1"/>
          <w:sz w:val="20"/>
          <w:szCs w:val="20"/>
        </w:rPr>
        <w:t xml:space="preserve"> made under the </w:t>
      </w:r>
      <w:r>
        <w:rPr>
          <w:color w:val="000000" w:themeColor="text1"/>
          <w:sz w:val="20"/>
          <w:szCs w:val="20"/>
        </w:rPr>
        <w:t>Numbering Charges Act</w:t>
      </w:r>
      <w:r w:rsidRPr="00882F22">
        <w:rPr>
          <w:color w:val="000000" w:themeColor="text1"/>
          <w:sz w:val="20"/>
          <w:szCs w:val="20"/>
        </w:rPr>
        <w:t>:</w:t>
      </w:r>
    </w:p>
    <w:p w:rsidR="0062455D" w:rsidRPr="00882F22" w:rsidRDefault="006007C4" w:rsidP="0062455D">
      <w:pPr>
        <w:pStyle w:val="ListParagraph"/>
        <w:numPr>
          <w:ilvl w:val="0"/>
          <w:numId w:val="5"/>
        </w:numPr>
        <w:rPr>
          <w:color w:val="000000" w:themeColor="text1"/>
          <w:sz w:val="20"/>
          <w:szCs w:val="20"/>
        </w:rPr>
      </w:pPr>
      <w:r>
        <w:rPr>
          <w:color w:val="000000" w:themeColor="text1"/>
          <w:sz w:val="20"/>
          <w:szCs w:val="20"/>
        </w:rPr>
        <w:t>e</w:t>
      </w:r>
      <w:r w:rsidR="0062455D">
        <w:rPr>
          <w:color w:val="000000" w:themeColor="text1"/>
          <w:sz w:val="20"/>
          <w:szCs w:val="20"/>
        </w:rPr>
        <w:t>stablishes</w:t>
      </w:r>
      <w:r w:rsidR="0062455D" w:rsidRPr="00882F22">
        <w:rPr>
          <w:color w:val="000000" w:themeColor="text1"/>
          <w:sz w:val="20"/>
          <w:szCs w:val="20"/>
        </w:rPr>
        <w:t xml:space="preserve"> how the </w:t>
      </w:r>
      <w:r w:rsidR="0062455D">
        <w:rPr>
          <w:color w:val="000000" w:themeColor="text1"/>
          <w:sz w:val="20"/>
          <w:szCs w:val="20"/>
        </w:rPr>
        <w:t>ANC</w:t>
      </w:r>
      <w:r w:rsidR="0062455D" w:rsidRPr="00882F22">
        <w:rPr>
          <w:color w:val="000000" w:themeColor="text1"/>
          <w:sz w:val="20"/>
          <w:szCs w:val="20"/>
        </w:rPr>
        <w:t xml:space="preserve"> is calculated</w:t>
      </w:r>
      <w:r w:rsidR="0062455D" w:rsidRPr="00882F22">
        <w:rPr>
          <w:rFonts w:eastAsia="Times New Roman"/>
          <w:iCs/>
          <w:color w:val="000000" w:themeColor="text1"/>
          <w:sz w:val="20"/>
          <w:szCs w:val="20"/>
          <w:lang w:eastAsia="en-AU"/>
        </w:rPr>
        <w:t xml:space="preserve"> under </w:t>
      </w:r>
      <w:r w:rsidR="0062455D" w:rsidRPr="00882F22">
        <w:rPr>
          <w:noProof/>
          <w:color w:val="000000" w:themeColor="text1"/>
          <w:sz w:val="20"/>
          <w:szCs w:val="20"/>
        </w:rPr>
        <w:t xml:space="preserve">subsection 20(1) </w:t>
      </w:r>
      <w:r w:rsidR="0062455D" w:rsidRPr="00882F22">
        <w:rPr>
          <w:color w:val="000000" w:themeColor="text1"/>
          <w:sz w:val="20"/>
          <w:szCs w:val="20"/>
        </w:rPr>
        <w:t>of the Act;</w:t>
      </w:r>
    </w:p>
    <w:p w:rsidR="0062455D" w:rsidRPr="00882F22" w:rsidRDefault="006007C4" w:rsidP="0062455D">
      <w:pPr>
        <w:pStyle w:val="ListParagraph"/>
        <w:numPr>
          <w:ilvl w:val="0"/>
          <w:numId w:val="5"/>
        </w:numPr>
        <w:rPr>
          <w:color w:val="000000" w:themeColor="text1"/>
          <w:sz w:val="20"/>
          <w:szCs w:val="20"/>
        </w:rPr>
      </w:pPr>
      <w:r>
        <w:rPr>
          <w:color w:val="000000" w:themeColor="text1"/>
          <w:sz w:val="20"/>
          <w:szCs w:val="20"/>
        </w:rPr>
        <w:t>s</w:t>
      </w:r>
      <w:r w:rsidR="0062455D">
        <w:rPr>
          <w:color w:val="000000" w:themeColor="text1"/>
          <w:sz w:val="20"/>
          <w:szCs w:val="20"/>
        </w:rPr>
        <w:t>pecifies t</w:t>
      </w:r>
      <w:r w:rsidR="0062455D" w:rsidRPr="00882F22">
        <w:rPr>
          <w:color w:val="000000" w:themeColor="text1"/>
          <w:sz w:val="20"/>
          <w:szCs w:val="20"/>
        </w:rPr>
        <w:t>he revenue target to be achieved each year; and</w:t>
      </w:r>
    </w:p>
    <w:p w:rsidR="0062455D" w:rsidRPr="009A6ACC" w:rsidRDefault="006007C4" w:rsidP="0062455D">
      <w:pPr>
        <w:pStyle w:val="ListParagraph"/>
        <w:numPr>
          <w:ilvl w:val="0"/>
          <w:numId w:val="5"/>
        </w:numPr>
        <w:rPr>
          <w:color w:val="000000" w:themeColor="text1"/>
          <w:sz w:val="20"/>
          <w:szCs w:val="20"/>
        </w:rPr>
      </w:pPr>
      <w:r>
        <w:rPr>
          <w:bCs/>
          <w:color w:val="000000" w:themeColor="text1"/>
          <w:sz w:val="20"/>
          <w:szCs w:val="20"/>
        </w:rPr>
        <w:t>s</w:t>
      </w:r>
      <w:r w:rsidR="0062455D" w:rsidRPr="00882F22">
        <w:rPr>
          <w:bCs/>
          <w:color w:val="000000" w:themeColor="text1"/>
          <w:sz w:val="20"/>
          <w:szCs w:val="20"/>
        </w:rPr>
        <w:t xml:space="preserve">pecifies the </w:t>
      </w:r>
      <w:r w:rsidR="0062455D" w:rsidRPr="00882F22">
        <w:rPr>
          <w:color w:val="000000" w:themeColor="text1"/>
          <w:sz w:val="20"/>
          <w:szCs w:val="20"/>
        </w:rPr>
        <w:t xml:space="preserve">numbers exempt </w:t>
      </w:r>
      <w:r w:rsidR="0062455D" w:rsidRPr="009A6ACC">
        <w:rPr>
          <w:color w:val="000000" w:themeColor="text1"/>
          <w:sz w:val="20"/>
          <w:szCs w:val="20"/>
        </w:rPr>
        <w:t xml:space="preserve">from the </w:t>
      </w:r>
      <w:r w:rsidR="0011164F">
        <w:rPr>
          <w:color w:val="000000" w:themeColor="text1"/>
          <w:sz w:val="20"/>
          <w:szCs w:val="20"/>
        </w:rPr>
        <w:t>ANC</w:t>
      </w:r>
      <w:r w:rsidR="0062455D" w:rsidRPr="009A6ACC">
        <w:rPr>
          <w:color w:val="000000" w:themeColor="text1"/>
          <w:sz w:val="20"/>
          <w:szCs w:val="20"/>
        </w:rPr>
        <w:t xml:space="preserve"> </w:t>
      </w:r>
      <w:r w:rsidR="0062455D" w:rsidRPr="009A6ACC">
        <w:rPr>
          <w:bCs/>
          <w:color w:val="000000" w:themeColor="text1"/>
          <w:sz w:val="20"/>
          <w:szCs w:val="20"/>
        </w:rPr>
        <w:t xml:space="preserve">under subsection </w:t>
      </w:r>
      <w:r w:rsidR="0062455D" w:rsidRPr="009A6ACC">
        <w:rPr>
          <w:noProof/>
          <w:color w:val="000000" w:themeColor="text1"/>
          <w:sz w:val="20"/>
          <w:szCs w:val="20"/>
        </w:rPr>
        <w:t xml:space="preserve">22(2) </w:t>
      </w:r>
      <w:r w:rsidR="0062455D" w:rsidRPr="009A6ACC">
        <w:rPr>
          <w:bCs/>
          <w:color w:val="000000" w:themeColor="text1"/>
          <w:sz w:val="20"/>
          <w:szCs w:val="20"/>
        </w:rPr>
        <w:t>of the Act.</w:t>
      </w:r>
    </w:p>
    <w:p w:rsidR="00336650" w:rsidRDefault="0062455D" w:rsidP="0011164F">
      <w:pPr>
        <w:rPr>
          <w:rFonts w:eastAsia="Times New Roman"/>
          <w:color w:val="000000" w:themeColor="text1"/>
          <w:sz w:val="20"/>
          <w:szCs w:val="20"/>
          <w:lang w:eastAsia="en-AU"/>
        </w:rPr>
      </w:pPr>
      <w:r w:rsidRPr="0011164F">
        <w:rPr>
          <w:rFonts w:eastAsia="Times New Roman"/>
          <w:color w:val="000000" w:themeColor="text1"/>
          <w:sz w:val="20"/>
          <w:szCs w:val="20"/>
          <w:lang w:eastAsia="en-AU"/>
        </w:rPr>
        <w:t>Following review, and consultation with external stakeholders, the ACMA formed the view that the</w:t>
      </w:r>
      <w:r w:rsidRPr="00336650">
        <w:rPr>
          <w:rFonts w:eastAsia="Times New Roman"/>
          <w:color w:val="000000" w:themeColor="text1"/>
          <w:sz w:val="20"/>
          <w:szCs w:val="20"/>
          <w:lang w:eastAsia="en-AU"/>
        </w:rPr>
        <w:t xml:space="preserve"> old </w:t>
      </w:r>
      <w:r w:rsidRPr="00336650">
        <w:rPr>
          <w:rFonts w:eastAsia="Times New Roman"/>
          <w:bCs/>
          <w:color w:val="000000" w:themeColor="text1"/>
          <w:sz w:val="20"/>
          <w:szCs w:val="20"/>
          <w:lang w:eastAsia="en-AU"/>
        </w:rPr>
        <w:t xml:space="preserve">instrument is </w:t>
      </w:r>
      <w:r w:rsidRPr="00336650">
        <w:rPr>
          <w:rFonts w:eastAsia="Times New Roman"/>
          <w:color w:val="000000" w:themeColor="text1"/>
          <w:sz w:val="20"/>
          <w:szCs w:val="20"/>
          <w:lang w:eastAsia="en-AU"/>
        </w:rPr>
        <w:t xml:space="preserve">operating effectively and efficiently, and continues to form a necessary and useful part of the legislative framework. Accordingly, the ACMA has remade the old instrument by making the </w:t>
      </w:r>
      <w:r w:rsidRPr="00336650">
        <w:rPr>
          <w:rFonts w:eastAsia="Times New Roman"/>
          <w:color w:val="000000" w:themeColor="text1"/>
          <w:sz w:val="20"/>
          <w:szCs w:val="20"/>
          <w:lang w:eastAsia="en-AU"/>
        </w:rPr>
        <w:lastRenderedPageBreak/>
        <w:t>Determination, without any significant changes, in order to preserve the ongoing effect of the old instrument.</w:t>
      </w:r>
    </w:p>
    <w:p w:rsidR="00AF0B31" w:rsidRPr="00336650" w:rsidRDefault="002D24B7" w:rsidP="006117E5">
      <w:pPr>
        <w:pStyle w:val="Heading1"/>
        <w:keepNext/>
        <w:rPr>
          <w:color w:val="000000" w:themeColor="text1"/>
          <w:sz w:val="20"/>
          <w:szCs w:val="20"/>
        </w:rPr>
      </w:pPr>
      <w:r w:rsidRPr="00336650">
        <w:rPr>
          <w:color w:val="000000" w:themeColor="text1"/>
          <w:sz w:val="20"/>
          <w:szCs w:val="20"/>
        </w:rPr>
        <w:t>Operation</w:t>
      </w:r>
    </w:p>
    <w:p w:rsidR="00B66CF8" w:rsidRPr="00B66CF8" w:rsidRDefault="00B66CF8" w:rsidP="00B66CF8">
      <w:pPr>
        <w:pStyle w:val="ACMABodyText"/>
        <w:rPr>
          <w:color w:val="000000" w:themeColor="text1"/>
        </w:rPr>
      </w:pPr>
      <w:r w:rsidRPr="00B66CF8">
        <w:rPr>
          <w:color w:val="000000" w:themeColor="text1"/>
        </w:rPr>
        <w:t>The Determination sets the formula used to calculate the ANC and the revenue target to be achieved each year</w:t>
      </w:r>
      <w:r w:rsidR="00336650">
        <w:rPr>
          <w:color w:val="000000" w:themeColor="text1"/>
        </w:rPr>
        <w:t>. It also</w:t>
      </w:r>
      <w:r w:rsidRPr="00B66CF8">
        <w:rPr>
          <w:color w:val="000000" w:themeColor="text1"/>
        </w:rPr>
        <w:t xml:space="preserve"> lists the numbers that are exempt from the ANC or charged at a reduced rate.</w:t>
      </w:r>
    </w:p>
    <w:p w:rsidR="00B66CF8" w:rsidRPr="00D028B1" w:rsidRDefault="00B66CF8" w:rsidP="002B3205">
      <w:pPr>
        <w:pStyle w:val="ACMABodyText"/>
        <w:rPr>
          <w:color w:val="000000" w:themeColor="text1"/>
        </w:rPr>
      </w:pPr>
      <w:r w:rsidRPr="00B66CF8">
        <w:rPr>
          <w:color w:val="000000" w:themeColor="text1"/>
        </w:rPr>
        <w:t xml:space="preserve">The formula in the Determination is based on the length of the number, such that the shorter digit numbers attract higher charges. Under section 21 of the Numbering Charges Act the maximum allowable charge that may be imposed on any one number is $100,000. </w:t>
      </w:r>
    </w:p>
    <w:p w:rsidR="0051107A" w:rsidRDefault="00B137DC" w:rsidP="0051107A">
      <w:pPr>
        <w:pStyle w:val="ACMABodyText"/>
        <w:rPr>
          <w:color w:val="000000" w:themeColor="text1"/>
        </w:rPr>
      </w:pPr>
      <w:r w:rsidRPr="00D028B1">
        <w:rPr>
          <w:color w:val="000000" w:themeColor="text1"/>
        </w:rPr>
        <w:t xml:space="preserve">The Determination </w:t>
      </w:r>
      <w:r w:rsidRPr="00D028B1">
        <w:rPr>
          <w:color w:val="000000" w:themeColor="text1"/>
          <w:lang w:val="en-US"/>
        </w:rPr>
        <w:t xml:space="preserve">largely replicates the old </w:t>
      </w:r>
      <w:r w:rsidR="00591183" w:rsidRPr="00D028B1">
        <w:rPr>
          <w:bCs/>
          <w:color w:val="000000" w:themeColor="text1"/>
          <w:lang w:eastAsia="en-AU"/>
        </w:rPr>
        <w:t>instrument</w:t>
      </w:r>
      <w:r w:rsidRPr="00D028B1">
        <w:rPr>
          <w:color w:val="000000" w:themeColor="text1"/>
          <w:lang w:val="en-US"/>
        </w:rPr>
        <w:t xml:space="preserve">, </w:t>
      </w:r>
      <w:r w:rsidR="00E24618" w:rsidRPr="00D028B1">
        <w:rPr>
          <w:color w:val="000000" w:themeColor="text1"/>
          <w:lang w:val="en-US"/>
        </w:rPr>
        <w:t>with only</w:t>
      </w:r>
      <w:r w:rsidR="0051107A" w:rsidRPr="00D028B1">
        <w:rPr>
          <w:color w:val="000000" w:themeColor="text1"/>
          <w:lang w:val="en-US"/>
        </w:rPr>
        <w:t xml:space="preserve"> </w:t>
      </w:r>
      <w:r w:rsidR="0051107A" w:rsidRPr="00D028B1">
        <w:rPr>
          <w:color w:val="000000" w:themeColor="text1"/>
        </w:rPr>
        <w:t>minor stylistic and drafting changes that are administrative in nature, including the removal of redundant information.</w:t>
      </w:r>
    </w:p>
    <w:p w:rsidR="005128D2" w:rsidRPr="00D028B1" w:rsidRDefault="005128D2" w:rsidP="0051107A">
      <w:pPr>
        <w:pStyle w:val="ACMABodyText"/>
        <w:rPr>
          <w:color w:val="000000" w:themeColor="text1"/>
        </w:rPr>
      </w:pPr>
      <w:r w:rsidRPr="007D2794">
        <w:rPr>
          <w:color w:val="000000" w:themeColor="text1"/>
        </w:rPr>
        <w:t xml:space="preserve">Details pertaining to the Determination are set out in </w:t>
      </w:r>
      <w:r w:rsidRPr="007D2794">
        <w:rPr>
          <w:b/>
          <w:bCs/>
          <w:color w:val="000000" w:themeColor="text1"/>
        </w:rPr>
        <w:t>Attachment A.</w:t>
      </w:r>
    </w:p>
    <w:p w:rsidR="00AF0B31" w:rsidRPr="00552D62" w:rsidRDefault="00AF0B31" w:rsidP="006C5DAC">
      <w:pPr>
        <w:pStyle w:val="Heading1"/>
        <w:spacing w:before="240"/>
        <w:rPr>
          <w:color w:val="000000" w:themeColor="text1"/>
          <w:sz w:val="20"/>
          <w:szCs w:val="20"/>
        </w:rPr>
      </w:pPr>
      <w:r w:rsidRPr="00552D62">
        <w:rPr>
          <w:color w:val="000000" w:themeColor="text1"/>
          <w:sz w:val="20"/>
          <w:szCs w:val="20"/>
        </w:rPr>
        <w:t xml:space="preserve">Consultation </w:t>
      </w:r>
    </w:p>
    <w:p w:rsidR="00D32F03" w:rsidRPr="00552D62" w:rsidRDefault="00D32F03" w:rsidP="00B22FB1">
      <w:pPr>
        <w:spacing w:before="80" w:after="120" w:line="280" w:lineRule="atLeast"/>
        <w:rPr>
          <w:rFonts w:eastAsia="Times New Roman"/>
          <w:color w:val="000000" w:themeColor="text1"/>
          <w:sz w:val="20"/>
          <w:szCs w:val="20"/>
          <w:lang w:eastAsia="en-AU"/>
        </w:rPr>
      </w:pPr>
      <w:r w:rsidRPr="00552D62">
        <w:rPr>
          <w:rFonts w:eastAsia="Times New Roman"/>
          <w:snapToGrid w:val="0"/>
          <w:color w:val="000000" w:themeColor="text1"/>
          <w:sz w:val="20"/>
          <w:szCs w:val="20"/>
          <w:lang w:eastAsia="en-AU"/>
        </w:rPr>
        <w:t xml:space="preserve">Subsection 17(1) of the LIA requires that, before the ACMA makes a legislative instrument, it must be satisfied that </w:t>
      </w:r>
      <w:r w:rsidR="006007C4" w:rsidRPr="00515E1D">
        <w:rPr>
          <w:rFonts w:eastAsia="Times New Roman"/>
          <w:snapToGrid w:val="0"/>
          <w:color w:val="000000" w:themeColor="text1"/>
          <w:sz w:val="20"/>
          <w:szCs w:val="20"/>
          <w:lang w:eastAsia="en-AU"/>
        </w:rPr>
        <w:t>any consultation that the ACMA considers is appropriate and reasonably practicable to undertake, has been undertaken</w:t>
      </w:r>
      <w:r w:rsidRPr="00552D62">
        <w:rPr>
          <w:rFonts w:eastAsia="Times New Roman"/>
          <w:snapToGrid w:val="0"/>
          <w:color w:val="000000" w:themeColor="text1"/>
          <w:sz w:val="20"/>
          <w:szCs w:val="20"/>
          <w:lang w:eastAsia="en-AU"/>
        </w:rPr>
        <w:t>.</w:t>
      </w:r>
    </w:p>
    <w:p w:rsidR="00616EC4" w:rsidRPr="00616EC4" w:rsidRDefault="00336650" w:rsidP="00183555">
      <w:pPr>
        <w:pStyle w:val="ACMABodyText"/>
        <w:rPr>
          <w:snapToGrid w:val="0"/>
          <w:color w:val="000000" w:themeColor="text1"/>
          <w:lang w:eastAsia="en-AU"/>
        </w:rPr>
      </w:pPr>
      <w:r>
        <w:rPr>
          <w:snapToGrid w:val="0"/>
          <w:color w:val="000000" w:themeColor="text1"/>
          <w:lang w:eastAsia="en-AU"/>
        </w:rPr>
        <w:t>T</w:t>
      </w:r>
      <w:r w:rsidR="00D32F03" w:rsidRPr="00552D62">
        <w:rPr>
          <w:snapToGrid w:val="0"/>
          <w:color w:val="000000" w:themeColor="text1"/>
          <w:lang w:eastAsia="en-AU"/>
        </w:rPr>
        <w:t xml:space="preserve">he ACMA consulted publicly between </w:t>
      </w:r>
      <w:r w:rsidR="00360276" w:rsidRPr="00552D62">
        <w:rPr>
          <w:snapToGrid w:val="0"/>
          <w:color w:val="000000" w:themeColor="text1"/>
          <w:lang w:eastAsia="en-AU"/>
        </w:rPr>
        <w:t>20</w:t>
      </w:r>
      <w:r w:rsidR="007F30C1" w:rsidRPr="00552D62">
        <w:rPr>
          <w:snapToGrid w:val="0"/>
          <w:color w:val="000000" w:themeColor="text1"/>
          <w:lang w:eastAsia="en-AU"/>
        </w:rPr>
        <w:t xml:space="preserve"> May</w:t>
      </w:r>
      <w:r w:rsidR="000C4BD9" w:rsidRPr="00552D62">
        <w:rPr>
          <w:snapToGrid w:val="0"/>
          <w:color w:val="000000" w:themeColor="text1"/>
          <w:lang w:eastAsia="en-AU"/>
        </w:rPr>
        <w:t xml:space="preserve"> 2014 </w:t>
      </w:r>
      <w:r w:rsidR="00D32F03" w:rsidRPr="00552D62">
        <w:rPr>
          <w:snapToGrid w:val="0"/>
          <w:color w:val="000000" w:themeColor="text1"/>
          <w:lang w:eastAsia="en-AU"/>
        </w:rPr>
        <w:t xml:space="preserve">and </w:t>
      </w:r>
      <w:r w:rsidR="007F30C1" w:rsidRPr="00552D62">
        <w:rPr>
          <w:snapToGrid w:val="0"/>
          <w:color w:val="000000" w:themeColor="text1"/>
          <w:lang w:eastAsia="en-AU"/>
        </w:rPr>
        <w:t xml:space="preserve">2 July </w:t>
      </w:r>
      <w:r w:rsidR="000C4BD9" w:rsidRPr="00552D62">
        <w:rPr>
          <w:snapToGrid w:val="0"/>
          <w:color w:val="000000" w:themeColor="text1"/>
          <w:lang w:eastAsia="en-AU"/>
        </w:rPr>
        <w:t>2014</w:t>
      </w:r>
      <w:r w:rsidR="00D32F03" w:rsidRPr="00552D62">
        <w:rPr>
          <w:snapToGrid w:val="0"/>
          <w:color w:val="000000" w:themeColor="text1"/>
          <w:lang w:eastAsia="en-AU"/>
        </w:rPr>
        <w:t xml:space="preserve"> by means of a consultation paper published on its website. The ACMA also contacted affected stakeholders by email about the proposal on </w:t>
      </w:r>
      <w:r w:rsidR="00B85EAB" w:rsidRPr="00552D62">
        <w:rPr>
          <w:snapToGrid w:val="0"/>
          <w:color w:val="000000" w:themeColor="text1"/>
          <w:lang w:eastAsia="en-AU"/>
        </w:rPr>
        <w:t>20</w:t>
      </w:r>
      <w:r w:rsidR="007F30C1" w:rsidRPr="00552D62">
        <w:rPr>
          <w:snapToGrid w:val="0"/>
          <w:color w:val="000000" w:themeColor="text1"/>
          <w:lang w:eastAsia="en-AU"/>
        </w:rPr>
        <w:t xml:space="preserve"> May </w:t>
      </w:r>
      <w:r w:rsidR="00D32F03" w:rsidRPr="00552D62">
        <w:rPr>
          <w:snapToGrid w:val="0"/>
          <w:color w:val="000000" w:themeColor="text1"/>
          <w:lang w:eastAsia="en-AU"/>
        </w:rPr>
        <w:t>2014</w:t>
      </w:r>
      <w:r w:rsidR="00616EC4" w:rsidRPr="00616EC4">
        <w:rPr>
          <w:snapToGrid w:val="0"/>
          <w:color w:val="000000" w:themeColor="text1"/>
          <w:lang w:eastAsia="en-AU"/>
        </w:rPr>
        <w:t>.</w:t>
      </w:r>
    </w:p>
    <w:p w:rsidR="005E470C" w:rsidRPr="00251AEE" w:rsidRDefault="005E470C" w:rsidP="00C30A12">
      <w:pPr>
        <w:pStyle w:val="Heading1"/>
        <w:spacing w:before="240"/>
        <w:rPr>
          <w:color w:val="000000" w:themeColor="text1"/>
          <w:lang w:val="en-US"/>
        </w:rPr>
      </w:pPr>
      <w:r w:rsidRPr="00C30A12">
        <w:rPr>
          <w:b w:val="0"/>
          <w:color w:val="000000" w:themeColor="text1"/>
          <w:sz w:val="20"/>
          <w:szCs w:val="20"/>
          <w:lang w:val="en-US"/>
        </w:rPr>
        <w:t xml:space="preserve">The ACMA received </w:t>
      </w:r>
      <w:r w:rsidR="00AE0D2A" w:rsidRPr="00C30A12">
        <w:rPr>
          <w:b w:val="0"/>
          <w:color w:val="000000" w:themeColor="text1"/>
          <w:sz w:val="20"/>
          <w:szCs w:val="20"/>
          <w:lang w:val="en-US"/>
        </w:rPr>
        <w:t>two</w:t>
      </w:r>
      <w:r w:rsidRPr="00C30A12">
        <w:rPr>
          <w:b w:val="0"/>
          <w:color w:val="000000" w:themeColor="text1"/>
          <w:sz w:val="20"/>
          <w:szCs w:val="20"/>
          <w:lang w:val="en-US"/>
        </w:rPr>
        <w:t xml:space="preserve"> submission</w:t>
      </w:r>
      <w:r w:rsidR="00AE0D2A" w:rsidRPr="00C30A12">
        <w:rPr>
          <w:b w:val="0"/>
          <w:color w:val="000000" w:themeColor="text1"/>
          <w:sz w:val="20"/>
          <w:szCs w:val="20"/>
          <w:lang w:val="en-US"/>
        </w:rPr>
        <w:t>s</w:t>
      </w:r>
      <w:r w:rsidRPr="00C30A12">
        <w:rPr>
          <w:b w:val="0"/>
          <w:color w:val="000000" w:themeColor="text1"/>
          <w:sz w:val="20"/>
          <w:szCs w:val="20"/>
          <w:lang w:val="en-US"/>
        </w:rPr>
        <w:t xml:space="preserve"> </w:t>
      </w:r>
      <w:r w:rsidR="00CB74A2" w:rsidRPr="00C30A12">
        <w:rPr>
          <w:b w:val="0"/>
          <w:color w:val="000000" w:themeColor="text1"/>
          <w:sz w:val="20"/>
          <w:szCs w:val="20"/>
          <w:lang w:val="en-US"/>
        </w:rPr>
        <w:t>from Vodafone Hutchison Australia and Telstra</w:t>
      </w:r>
      <w:r w:rsidR="00AB53E5" w:rsidRPr="00C30A12">
        <w:rPr>
          <w:b w:val="0"/>
          <w:color w:val="000000" w:themeColor="text1"/>
          <w:sz w:val="20"/>
          <w:szCs w:val="20"/>
          <w:lang w:val="en-US"/>
        </w:rPr>
        <w:t xml:space="preserve">, </w:t>
      </w:r>
      <w:r w:rsidRPr="00C30A12">
        <w:rPr>
          <w:b w:val="0"/>
          <w:color w:val="000000" w:themeColor="text1"/>
          <w:sz w:val="20"/>
          <w:szCs w:val="20"/>
          <w:lang w:val="en-US"/>
        </w:rPr>
        <w:t>in response to the consultation</w:t>
      </w:r>
      <w:r w:rsidR="00616EC4" w:rsidRPr="00C30A12">
        <w:rPr>
          <w:b w:val="0"/>
          <w:color w:val="000000" w:themeColor="text1"/>
          <w:sz w:val="20"/>
          <w:szCs w:val="20"/>
          <w:lang w:val="en-US"/>
        </w:rPr>
        <w:t xml:space="preserve">. </w:t>
      </w:r>
      <w:r w:rsidR="00F41C9F" w:rsidRPr="00C30A12">
        <w:rPr>
          <w:b w:val="0"/>
          <w:sz w:val="20"/>
          <w:szCs w:val="20"/>
        </w:rPr>
        <w:t xml:space="preserve">The submissions have been made available on the ACMA’s website. </w:t>
      </w:r>
      <w:r w:rsidR="00616EC4" w:rsidRPr="00C30A12">
        <w:rPr>
          <w:b w:val="0"/>
          <w:color w:val="000000" w:themeColor="text1"/>
          <w:sz w:val="20"/>
          <w:szCs w:val="20"/>
        </w:rPr>
        <w:t>In finalising the Determination, the ACMA has considered the submissions it received.</w:t>
      </w:r>
    </w:p>
    <w:p w:rsidR="00AF0B31" w:rsidRPr="00552D62" w:rsidRDefault="00AF0B31" w:rsidP="006C5DAC">
      <w:pPr>
        <w:pStyle w:val="Heading1"/>
        <w:spacing w:before="240"/>
        <w:rPr>
          <w:color w:val="000000" w:themeColor="text1"/>
          <w:sz w:val="20"/>
          <w:szCs w:val="20"/>
        </w:rPr>
      </w:pPr>
      <w:r w:rsidRPr="00552D62">
        <w:rPr>
          <w:color w:val="000000" w:themeColor="text1"/>
          <w:sz w:val="20"/>
          <w:szCs w:val="20"/>
        </w:rPr>
        <w:t>Regulatory Impact</w:t>
      </w:r>
      <w:r w:rsidR="00C05A05" w:rsidRPr="00552D62">
        <w:rPr>
          <w:color w:val="000000" w:themeColor="text1"/>
          <w:sz w:val="20"/>
          <w:szCs w:val="20"/>
        </w:rPr>
        <w:t xml:space="preserve"> Statement</w:t>
      </w:r>
    </w:p>
    <w:p w:rsidR="00AF0B31" w:rsidRPr="00552D62" w:rsidRDefault="003B249A" w:rsidP="00AF0B31">
      <w:pPr>
        <w:rPr>
          <w:snapToGrid w:val="0"/>
          <w:color w:val="000000" w:themeColor="text1"/>
          <w:sz w:val="20"/>
          <w:szCs w:val="20"/>
        </w:rPr>
      </w:pPr>
      <w:r w:rsidRPr="00552D62">
        <w:rPr>
          <w:snapToGrid w:val="0"/>
          <w:color w:val="000000" w:themeColor="text1"/>
          <w:sz w:val="20"/>
          <w:szCs w:val="20"/>
        </w:rPr>
        <w:t>The</w:t>
      </w:r>
      <w:r w:rsidR="00D51A3E" w:rsidRPr="00552D62">
        <w:rPr>
          <w:snapToGrid w:val="0"/>
          <w:color w:val="000000" w:themeColor="text1"/>
          <w:sz w:val="20"/>
          <w:szCs w:val="20"/>
        </w:rPr>
        <w:t xml:space="preserve"> ACMA determined that the </w:t>
      </w:r>
      <w:r w:rsidR="00E24618" w:rsidRPr="00552D62">
        <w:rPr>
          <w:color w:val="000000" w:themeColor="text1"/>
          <w:sz w:val="20"/>
          <w:szCs w:val="20"/>
        </w:rPr>
        <w:t xml:space="preserve">existing </w:t>
      </w:r>
      <w:r w:rsidR="005E2D70" w:rsidRPr="00552D62">
        <w:rPr>
          <w:rFonts w:eastAsia="Times New Roman"/>
          <w:bCs/>
          <w:color w:val="000000" w:themeColor="text1"/>
          <w:sz w:val="20"/>
          <w:szCs w:val="20"/>
          <w:lang w:eastAsia="en-AU"/>
        </w:rPr>
        <w:t>instrument</w:t>
      </w:r>
      <w:r w:rsidR="00552D62">
        <w:rPr>
          <w:rFonts w:eastAsia="Times New Roman"/>
          <w:bCs/>
          <w:color w:val="000000" w:themeColor="text1"/>
          <w:sz w:val="20"/>
          <w:szCs w:val="20"/>
          <w:lang w:eastAsia="en-AU"/>
        </w:rPr>
        <w:t xml:space="preserve"> </w:t>
      </w:r>
      <w:r w:rsidR="006007C4" w:rsidRPr="007D2794">
        <w:rPr>
          <w:bCs/>
          <w:color w:val="000000" w:themeColor="text1"/>
          <w:sz w:val="20"/>
          <w:szCs w:val="20"/>
          <w:lang w:eastAsia="en-AU"/>
        </w:rPr>
        <w:t>were</w:t>
      </w:r>
      <w:r w:rsidR="006007C4" w:rsidRPr="007D2794">
        <w:rPr>
          <w:snapToGrid w:val="0"/>
          <w:color w:val="000000" w:themeColor="text1"/>
          <w:sz w:val="20"/>
          <w:szCs w:val="20"/>
        </w:rPr>
        <w:t xml:space="preserve"> </w:t>
      </w:r>
      <w:r w:rsidR="006007C4">
        <w:rPr>
          <w:snapToGrid w:val="0"/>
          <w:color w:val="000000" w:themeColor="text1"/>
          <w:sz w:val="20"/>
          <w:szCs w:val="20"/>
        </w:rPr>
        <w:t>operating efficiently and effectively</w:t>
      </w:r>
      <w:r w:rsidR="00D51A3E" w:rsidRPr="00552D62">
        <w:rPr>
          <w:snapToGrid w:val="0"/>
          <w:color w:val="000000" w:themeColor="text1"/>
          <w:sz w:val="20"/>
          <w:szCs w:val="20"/>
        </w:rPr>
        <w:t>, and should be remade without any significant changes</w:t>
      </w:r>
      <w:r w:rsidR="000127C4" w:rsidRPr="00552D62">
        <w:rPr>
          <w:snapToGrid w:val="0"/>
          <w:color w:val="000000" w:themeColor="text1"/>
          <w:sz w:val="20"/>
          <w:szCs w:val="20"/>
        </w:rPr>
        <w:t>.</w:t>
      </w:r>
      <w:r w:rsidRPr="00552D62">
        <w:rPr>
          <w:snapToGrid w:val="0"/>
          <w:color w:val="000000" w:themeColor="text1"/>
          <w:sz w:val="20"/>
          <w:szCs w:val="20"/>
        </w:rPr>
        <w:t xml:space="preserve"> Accordingly, the ACMA</w:t>
      </w:r>
      <w:r w:rsidR="00D51A3E" w:rsidRPr="00552D62">
        <w:rPr>
          <w:snapToGrid w:val="0"/>
          <w:color w:val="000000" w:themeColor="text1"/>
          <w:sz w:val="20"/>
          <w:szCs w:val="20"/>
        </w:rPr>
        <w:t xml:space="preserve"> has certified those matters to </w:t>
      </w:r>
      <w:r w:rsidR="008D7D40" w:rsidRPr="00552D62">
        <w:rPr>
          <w:snapToGrid w:val="0"/>
          <w:color w:val="000000" w:themeColor="text1"/>
          <w:sz w:val="20"/>
          <w:szCs w:val="20"/>
        </w:rPr>
        <w:t>the Office of Best Practice Regulation (</w:t>
      </w:r>
      <w:r w:rsidR="008D7D40" w:rsidRPr="00552D62">
        <w:rPr>
          <w:b/>
          <w:snapToGrid w:val="0"/>
          <w:color w:val="000000" w:themeColor="text1"/>
          <w:sz w:val="20"/>
          <w:szCs w:val="20"/>
        </w:rPr>
        <w:t>OBPR</w:t>
      </w:r>
      <w:r w:rsidR="008D7D40" w:rsidRPr="00552D62">
        <w:rPr>
          <w:snapToGrid w:val="0"/>
          <w:color w:val="000000" w:themeColor="text1"/>
          <w:sz w:val="20"/>
          <w:szCs w:val="20"/>
        </w:rPr>
        <w:t>)</w:t>
      </w:r>
      <w:r w:rsidR="00D51A3E" w:rsidRPr="00552D62">
        <w:rPr>
          <w:snapToGrid w:val="0"/>
          <w:color w:val="000000" w:themeColor="text1"/>
          <w:sz w:val="20"/>
          <w:szCs w:val="20"/>
        </w:rPr>
        <w:t xml:space="preserve">, </w:t>
      </w:r>
      <w:r w:rsidRPr="00552D62">
        <w:rPr>
          <w:snapToGrid w:val="0"/>
          <w:color w:val="000000" w:themeColor="text1"/>
          <w:sz w:val="20"/>
          <w:szCs w:val="20"/>
        </w:rPr>
        <w:t xml:space="preserve">and </w:t>
      </w:r>
      <w:r w:rsidR="00D51A3E" w:rsidRPr="00552D62">
        <w:rPr>
          <w:snapToGrid w:val="0"/>
          <w:color w:val="000000" w:themeColor="text1"/>
          <w:sz w:val="20"/>
          <w:szCs w:val="20"/>
        </w:rPr>
        <w:t>no Regulation Impact Statement (</w:t>
      </w:r>
      <w:r w:rsidR="00D51A3E" w:rsidRPr="00552D62">
        <w:rPr>
          <w:b/>
          <w:snapToGrid w:val="0"/>
          <w:color w:val="000000" w:themeColor="text1"/>
          <w:sz w:val="20"/>
          <w:szCs w:val="20"/>
        </w:rPr>
        <w:t>RIS</w:t>
      </w:r>
      <w:r w:rsidR="00D51A3E" w:rsidRPr="00552D62">
        <w:rPr>
          <w:snapToGrid w:val="0"/>
          <w:color w:val="000000" w:themeColor="text1"/>
          <w:sz w:val="20"/>
          <w:szCs w:val="20"/>
        </w:rPr>
        <w:t>) is required</w:t>
      </w:r>
      <w:r w:rsidRPr="00552D62">
        <w:rPr>
          <w:snapToGrid w:val="0"/>
          <w:color w:val="000000" w:themeColor="text1"/>
          <w:sz w:val="20"/>
          <w:szCs w:val="20"/>
        </w:rPr>
        <w:t>.</w:t>
      </w:r>
      <w:r w:rsidR="00D51A3E" w:rsidRPr="00552D62">
        <w:rPr>
          <w:snapToGrid w:val="0"/>
          <w:color w:val="000000" w:themeColor="text1"/>
          <w:sz w:val="20"/>
          <w:szCs w:val="20"/>
        </w:rPr>
        <w:t xml:space="preserve"> </w:t>
      </w:r>
      <w:r w:rsidR="00B22FB1" w:rsidRPr="00552D62">
        <w:rPr>
          <w:snapToGrid w:val="0"/>
          <w:color w:val="000000" w:themeColor="text1"/>
          <w:sz w:val="20"/>
          <w:szCs w:val="20"/>
        </w:rPr>
        <w:t>The</w:t>
      </w:r>
      <w:r w:rsidR="00D51A3E" w:rsidRPr="00552D62">
        <w:rPr>
          <w:snapToGrid w:val="0"/>
          <w:color w:val="000000" w:themeColor="text1"/>
          <w:sz w:val="20"/>
          <w:szCs w:val="20"/>
        </w:rPr>
        <w:t xml:space="preserve"> OBPR </w:t>
      </w:r>
      <w:r w:rsidR="00B22FB1" w:rsidRPr="00552D62">
        <w:rPr>
          <w:snapToGrid w:val="0"/>
          <w:color w:val="000000" w:themeColor="text1"/>
          <w:sz w:val="20"/>
          <w:szCs w:val="20"/>
        </w:rPr>
        <w:t>r</w:t>
      </w:r>
      <w:r w:rsidR="00D51A3E" w:rsidRPr="00552D62">
        <w:rPr>
          <w:snapToGrid w:val="0"/>
          <w:color w:val="000000" w:themeColor="text1"/>
          <w:sz w:val="20"/>
          <w:szCs w:val="20"/>
        </w:rPr>
        <w:t>eference</w:t>
      </w:r>
      <w:r w:rsidR="00B22FB1" w:rsidRPr="00552D62">
        <w:rPr>
          <w:snapToGrid w:val="0"/>
          <w:color w:val="000000" w:themeColor="text1"/>
          <w:sz w:val="20"/>
          <w:szCs w:val="20"/>
        </w:rPr>
        <w:t xml:space="preserve"> number is </w:t>
      </w:r>
      <w:r w:rsidR="001F05ED" w:rsidRPr="00552D62">
        <w:rPr>
          <w:snapToGrid w:val="0"/>
          <w:color w:val="000000" w:themeColor="text1"/>
          <w:sz w:val="20"/>
          <w:szCs w:val="20"/>
        </w:rPr>
        <w:t>16688</w:t>
      </w:r>
      <w:r w:rsidR="00D51A3E" w:rsidRPr="00552D62">
        <w:rPr>
          <w:snapToGrid w:val="0"/>
          <w:color w:val="000000" w:themeColor="text1"/>
          <w:sz w:val="20"/>
          <w:szCs w:val="20"/>
        </w:rPr>
        <w:t>.</w:t>
      </w:r>
    </w:p>
    <w:p w:rsidR="00222FEF" w:rsidRPr="00552D62" w:rsidRDefault="00222FEF" w:rsidP="006C5DAC">
      <w:pPr>
        <w:pStyle w:val="Heading1"/>
        <w:spacing w:before="240"/>
        <w:rPr>
          <w:color w:val="000000" w:themeColor="text1"/>
          <w:sz w:val="20"/>
          <w:szCs w:val="20"/>
        </w:rPr>
      </w:pPr>
      <w:r w:rsidRPr="00552D62">
        <w:rPr>
          <w:color w:val="000000" w:themeColor="text1"/>
          <w:sz w:val="20"/>
          <w:szCs w:val="20"/>
        </w:rPr>
        <w:t>Statement of Compatibility with Human Rights</w:t>
      </w:r>
    </w:p>
    <w:p w:rsidR="00B57D87" w:rsidRPr="00E55F32" w:rsidRDefault="00B57D87" w:rsidP="00B57D87">
      <w:pPr>
        <w:pStyle w:val="Heading1"/>
        <w:spacing w:before="240"/>
        <w:rPr>
          <w:rFonts w:eastAsia="Times New Roman"/>
          <w:b w:val="0"/>
          <w:color w:val="000000" w:themeColor="text1"/>
          <w:sz w:val="20"/>
          <w:szCs w:val="20"/>
          <w:lang w:eastAsia="en-AU"/>
        </w:rPr>
      </w:pPr>
      <w:r w:rsidRPr="00E55F32">
        <w:rPr>
          <w:rFonts w:eastAsia="Times New Roman"/>
          <w:b w:val="0"/>
          <w:color w:val="000000" w:themeColor="text1"/>
          <w:sz w:val="20"/>
          <w:szCs w:val="20"/>
          <w:lang w:eastAsia="en-AU"/>
        </w:rPr>
        <w:t xml:space="preserve">Subsection 9(1) of the </w:t>
      </w:r>
      <w:r w:rsidRPr="00E55F32">
        <w:rPr>
          <w:rFonts w:eastAsia="Times New Roman"/>
          <w:b w:val="0"/>
          <w:i/>
          <w:iCs/>
          <w:color w:val="000000" w:themeColor="text1"/>
          <w:sz w:val="20"/>
          <w:szCs w:val="20"/>
          <w:lang w:eastAsia="en-AU"/>
        </w:rPr>
        <w:t>Human Rights (Parliamentary Scrutiny) Act 2011</w:t>
      </w:r>
      <w:r w:rsidRPr="00E55F32">
        <w:rPr>
          <w:rFonts w:eastAsia="Times New Roman"/>
          <w:b w:val="0"/>
          <w:color w:val="000000" w:themeColor="text1"/>
          <w:sz w:val="20"/>
          <w:szCs w:val="20"/>
          <w:lang w:eastAsia="en-AU"/>
        </w:rPr>
        <w:t xml:space="preserve"> requires the rule maker in relation to a legislative instrument to which section 42 (disallowance) of the LIA</w:t>
      </w:r>
      <w:r w:rsidRPr="00E55F32">
        <w:rPr>
          <w:rFonts w:eastAsia="Times New Roman"/>
          <w:b w:val="0"/>
          <w:i/>
          <w:iCs/>
          <w:color w:val="000000" w:themeColor="text1"/>
          <w:sz w:val="20"/>
          <w:szCs w:val="20"/>
          <w:lang w:eastAsia="en-AU"/>
        </w:rPr>
        <w:t xml:space="preserve"> </w:t>
      </w:r>
      <w:r w:rsidRPr="00E55F32">
        <w:rPr>
          <w:rFonts w:eastAsia="Times New Roman"/>
          <w:b w:val="0"/>
          <w:color w:val="000000" w:themeColor="text1"/>
          <w:sz w:val="20"/>
          <w:szCs w:val="20"/>
          <w:lang w:eastAsia="en-AU"/>
        </w:rPr>
        <w:t xml:space="preserve">applies to cause a statement of compatibility to be prepared in respect of that legislative instrument. </w:t>
      </w:r>
    </w:p>
    <w:p w:rsidR="00B57D87" w:rsidRDefault="00B57D87" w:rsidP="00B57D87">
      <w:pPr>
        <w:pStyle w:val="Heading1"/>
        <w:spacing w:before="240"/>
        <w:rPr>
          <w:rFonts w:eastAsia="Times New Roman"/>
          <w:b w:val="0"/>
          <w:color w:val="000000" w:themeColor="text1"/>
          <w:sz w:val="20"/>
          <w:szCs w:val="20"/>
          <w:lang w:eastAsia="en-AU"/>
        </w:rPr>
      </w:pPr>
      <w:r w:rsidRPr="00E55F32">
        <w:rPr>
          <w:rFonts w:eastAsia="Times New Roman"/>
          <w:b w:val="0"/>
          <w:color w:val="000000" w:themeColor="text1"/>
          <w:sz w:val="20"/>
          <w:szCs w:val="20"/>
          <w:lang w:eastAsia="en-AU"/>
        </w:rPr>
        <w:t xml:space="preserve">This statement has been prepared in accordance with Part 3 of the </w:t>
      </w:r>
      <w:r w:rsidRPr="00E55F32">
        <w:rPr>
          <w:rFonts w:eastAsia="Times New Roman"/>
          <w:b w:val="0"/>
          <w:i/>
          <w:iCs/>
          <w:color w:val="000000" w:themeColor="text1"/>
          <w:sz w:val="20"/>
          <w:szCs w:val="20"/>
          <w:lang w:eastAsia="en-AU"/>
        </w:rPr>
        <w:t>Human Rights (Parliamentary Scrutiny) Act 2011</w:t>
      </w:r>
      <w:r w:rsidRPr="00E55F32">
        <w:rPr>
          <w:rFonts w:eastAsia="Times New Roman"/>
          <w:b w:val="0"/>
          <w:color w:val="000000" w:themeColor="text1"/>
          <w:sz w:val="20"/>
          <w:szCs w:val="20"/>
          <w:lang w:eastAsia="en-AU"/>
        </w:rPr>
        <w:t>.</w:t>
      </w:r>
    </w:p>
    <w:p w:rsidR="00B57D87" w:rsidRDefault="00B57D87" w:rsidP="00B57D87">
      <w:pPr>
        <w:pStyle w:val="ListParagraph"/>
        <w:ind w:left="0"/>
        <w:rPr>
          <w:rFonts w:eastAsia="Times New Roman"/>
          <w:color w:val="000000" w:themeColor="text1"/>
          <w:sz w:val="20"/>
          <w:szCs w:val="20"/>
          <w:lang w:eastAsia="en-AU"/>
        </w:rPr>
      </w:pPr>
      <w:r>
        <w:rPr>
          <w:rFonts w:eastAsia="Times New Roman"/>
          <w:color w:val="000000" w:themeColor="text1"/>
          <w:sz w:val="20"/>
          <w:szCs w:val="20"/>
          <w:lang w:eastAsia="en-AU"/>
        </w:rPr>
        <w:t xml:space="preserve">The Determination establishes how the ANC is calculated under subsection 20(1) of the Numbering Charges Act; specifies the revenue target to be achieved each year; and specifies </w:t>
      </w:r>
      <w:r w:rsidRPr="00882F22">
        <w:rPr>
          <w:bCs/>
          <w:color w:val="000000" w:themeColor="text1"/>
          <w:sz w:val="20"/>
          <w:szCs w:val="20"/>
        </w:rPr>
        <w:t xml:space="preserve">the </w:t>
      </w:r>
      <w:r w:rsidRPr="00882F22">
        <w:rPr>
          <w:color w:val="000000" w:themeColor="text1"/>
          <w:sz w:val="20"/>
          <w:szCs w:val="20"/>
        </w:rPr>
        <w:t xml:space="preserve">numbers exempt </w:t>
      </w:r>
      <w:r w:rsidRPr="009A6ACC">
        <w:rPr>
          <w:color w:val="000000" w:themeColor="text1"/>
          <w:sz w:val="20"/>
          <w:szCs w:val="20"/>
        </w:rPr>
        <w:t xml:space="preserve">from the </w:t>
      </w:r>
      <w:r>
        <w:rPr>
          <w:color w:val="000000" w:themeColor="text1"/>
          <w:sz w:val="20"/>
          <w:szCs w:val="20"/>
        </w:rPr>
        <w:t>ANC</w:t>
      </w:r>
      <w:r w:rsidRPr="009A6ACC">
        <w:rPr>
          <w:color w:val="000000" w:themeColor="text1"/>
          <w:sz w:val="20"/>
          <w:szCs w:val="20"/>
        </w:rPr>
        <w:t xml:space="preserve"> </w:t>
      </w:r>
      <w:r w:rsidRPr="009A6ACC">
        <w:rPr>
          <w:bCs/>
          <w:color w:val="000000" w:themeColor="text1"/>
          <w:sz w:val="20"/>
          <w:szCs w:val="20"/>
        </w:rPr>
        <w:t xml:space="preserve">under subsection </w:t>
      </w:r>
      <w:r w:rsidRPr="009A6ACC">
        <w:rPr>
          <w:noProof/>
          <w:color w:val="000000" w:themeColor="text1"/>
          <w:sz w:val="20"/>
          <w:szCs w:val="20"/>
        </w:rPr>
        <w:t xml:space="preserve">22(2) </w:t>
      </w:r>
      <w:r w:rsidRPr="009A6ACC">
        <w:rPr>
          <w:bCs/>
          <w:color w:val="000000" w:themeColor="text1"/>
          <w:sz w:val="20"/>
          <w:szCs w:val="20"/>
        </w:rPr>
        <w:t>of the Act</w:t>
      </w:r>
      <w:r>
        <w:rPr>
          <w:rFonts w:eastAsia="Times New Roman"/>
          <w:color w:val="000000" w:themeColor="text1"/>
          <w:sz w:val="20"/>
          <w:szCs w:val="20"/>
          <w:lang w:eastAsia="en-AU"/>
        </w:rPr>
        <w:t xml:space="preserve">.  </w:t>
      </w:r>
    </w:p>
    <w:p w:rsidR="00882F22" w:rsidRDefault="00B57D87" w:rsidP="00C30A12">
      <w:pPr>
        <w:pStyle w:val="Heading1"/>
        <w:spacing w:before="240"/>
        <w:rPr>
          <w:rFonts w:eastAsia="Times New Roman"/>
          <w:color w:val="000000" w:themeColor="text1"/>
          <w:sz w:val="20"/>
          <w:szCs w:val="20"/>
          <w:lang w:eastAsia="en-AU"/>
        </w:rPr>
      </w:pPr>
      <w:r w:rsidRPr="00E55F32">
        <w:rPr>
          <w:rFonts w:eastAsia="Times New Roman"/>
          <w:b w:val="0"/>
          <w:color w:val="000000" w:themeColor="text1"/>
          <w:sz w:val="20"/>
          <w:szCs w:val="20"/>
          <w:lang w:eastAsia="en-AU"/>
        </w:rPr>
        <w:t xml:space="preserve">The ACMA has considered whether the </w:t>
      </w:r>
      <w:r>
        <w:rPr>
          <w:rFonts w:eastAsia="Times New Roman"/>
          <w:b w:val="0"/>
          <w:color w:val="000000" w:themeColor="text1"/>
          <w:sz w:val="20"/>
          <w:szCs w:val="20"/>
          <w:lang w:eastAsia="en-AU"/>
        </w:rPr>
        <w:t>Determination</w:t>
      </w:r>
      <w:r w:rsidRPr="00E55F32">
        <w:rPr>
          <w:rFonts w:eastAsia="Times New Roman"/>
          <w:b w:val="0"/>
          <w:color w:val="000000" w:themeColor="text1"/>
          <w:sz w:val="20"/>
          <w:szCs w:val="20"/>
          <w:lang w:eastAsia="en-AU"/>
        </w:rPr>
        <w:t xml:space="preserve"> engages any applicable human rights or freedoms and has formed the view that </w:t>
      </w:r>
      <w:r>
        <w:rPr>
          <w:rFonts w:eastAsia="Times New Roman"/>
          <w:b w:val="0"/>
          <w:color w:val="000000" w:themeColor="text1"/>
          <w:sz w:val="20"/>
          <w:szCs w:val="20"/>
          <w:lang w:eastAsia="en-AU"/>
        </w:rPr>
        <w:t>it</w:t>
      </w:r>
      <w:r w:rsidRPr="00E55F32">
        <w:rPr>
          <w:rFonts w:eastAsia="Times New Roman"/>
          <w:b w:val="0"/>
          <w:color w:val="000000" w:themeColor="text1"/>
          <w:sz w:val="20"/>
          <w:szCs w:val="20"/>
          <w:lang w:eastAsia="en-AU"/>
        </w:rPr>
        <w:t xml:space="preserve"> do</w:t>
      </w:r>
      <w:r>
        <w:rPr>
          <w:rFonts w:eastAsia="Times New Roman"/>
          <w:b w:val="0"/>
          <w:color w:val="000000" w:themeColor="text1"/>
          <w:sz w:val="20"/>
          <w:szCs w:val="20"/>
          <w:lang w:eastAsia="en-AU"/>
        </w:rPr>
        <w:t>es</w:t>
      </w:r>
      <w:r w:rsidRPr="00E55F32">
        <w:rPr>
          <w:rFonts w:eastAsia="Times New Roman"/>
          <w:b w:val="0"/>
          <w:color w:val="000000" w:themeColor="text1"/>
          <w:sz w:val="20"/>
          <w:szCs w:val="20"/>
          <w:lang w:eastAsia="en-AU"/>
        </w:rPr>
        <w:t xml:space="preserve"> not. The </w:t>
      </w:r>
      <w:r>
        <w:rPr>
          <w:rFonts w:eastAsia="Times New Roman"/>
          <w:b w:val="0"/>
          <w:color w:val="000000" w:themeColor="text1"/>
          <w:sz w:val="20"/>
          <w:szCs w:val="20"/>
          <w:lang w:eastAsia="en-AU"/>
        </w:rPr>
        <w:t xml:space="preserve">Determination </w:t>
      </w:r>
      <w:r w:rsidRPr="00E55F32">
        <w:rPr>
          <w:rFonts w:eastAsia="Times New Roman"/>
          <w:b w:val="0"/>
          <w:color w:val="000000" w:themeColor="text1"/>
          <w:sz w:val="20"/>
          <w:szCs w:val="20"/>
          <w:lang w:eastAsia="en-AU"/>
        </w:rPr>
        <w:t>do</w:t>
      </w:r>
      <w:r>
        <w:rPr>
          <w:rFonts w:eastAsia="Times New Roman"/>
          <w:b w:val="0"/>
          <w:color w:val="000000" w:themeColor="text1"/>
          <w:sz w:val="20"/>
          <w:szCs w:val="20"/>
          <w:lang w:eastAsia="en-AU"/>
        </w:rPr>
        <w:t>es</w:t>
      </w:r>
      <w:r w:rsidRPr="00E55F32">
        <w:rPr>
          <w:rFonts w:eastAsia="Times New Roman"/>
          <w:b w:val="0"/>
          <w:color w:val="000000" w:themeColor="text1"/>
          <w:sz w:val="20"/>
          <w:szCs w:val="20"/>
          <w:lang w:eastAsia="en-AU"/>
        </w:rPr>
        <w:t xml:space="preserve"> not raise any human rights issues</w:t>
      </w:r>
      <w:r>
        <w:rPr>
          <w:rFonts w:eastAsia="Times New Roman"/>
          <w:b w:val="0"/>
          <w:color w:val="000000" w:themeColor="text1"/>
          <w:sz w:val="20"/>
          <w:szCs w:val="20"/>
          <w:lang w:eastAsia="en-AU"/>
        </w:rPr>
        <w:t xml:space="preserve"> and</w:t>
      </w:r>
      <w:r w:rsidRPr="00AD0E19">
        <w:rPr>
          <w:rFonts w:eastAsia="Times New Roman"/>
          <w:b w:val="0"/>
          <w:color w:val="000000" w:themeColor="text1"/>
          <w:sz w:val="20"/>
          <w:szCs w:val="20"/>
          <w:lang w:eastAsia="en-AU"/>
        </w:rPr>
        <w:t xml:space="preserve"> is compatible with the human rights and freedoms recognised or declared in the international instruments listed in section 3 of the </w:t>
      </w:r>
      <w:r w:rsidRPr="00AD0E19">
        <w:rPr>
          <w:rFonts w:eastAsia="Times New Roman"/>
          <w:b w:val="0"/>
          <w:i/>
          <w:iCs/>
          <w:color w:val="000000" w:themeColor="text1"/>
          <w:sz w:val="20"/>
          <w:szCs w:val="20"/>
          <w:lang w:eastAsia="en-AU"/>
        </w:rPr>
        <w:t>Human Rights (Parliamentary Scrutiny) Act 2011</w:t>
      </w:r>
      <w:r w:rsidRPr="00AD0E19">
        <w:rPr>
          <w:rFonts w:eastAsia="Times New Roman"/>
          <w:b w:val="0"/>
          <w:color w:val="000000" w:themeColor="text1"/>
          <w:sz w:val="20"/>
          <w:szCs w:val="20"/>
          <w:lang w:eastAsia="en-AU"/>
        </w:rPr>
        <w:t>.</w:t>
      </w:r>
    </w:p>
    <w:p w:rsidR="00882F22" w:rsidRDefault="00882F22">
      <w:pPr>
        <w:rPr>
          <w:rFonts w:eastAsia="Times New Roman"/>
          <w:color w:val="000000" w:themeColor="text1"/>
          <w:sz w:val="20"/>
          <w:szCs w:val="20"/>
          <w:lang w:eastAsia="en-AU"/>
        </w:rPr>
      </w:pPr>
      <w:r>
        <w:rPr>
          <w:rFonts w:eastAsia="Times New Roman"/>
          <w:color w:val="000000" w:themeColor="text1"/>
          <w:sz w:val="20"/>
          <w:szCs w:val="20"/>
          <w:lang w:eastAsia="en-AU"/>
        </w:rPr>
        <w:br w:type="page"/>
      </w:r>
    </w:p>
    <w:p w:rsidR="00D73B55" w:rsidRPr="00232708" w:rsidRDefault="00D73B55" w:rsidP="00E455B8">
      <w:pPr>
        <w:pStyle w:val="ACMABodyText"/>
        <w:ind w:left="720"/>
        <w:jc w:val="right"/>
        <w:rPr>
          <w:caps/>
          <w:color w:val="000000" w:themeColor="text1"/>
          <w:lang w:val="en-US"/>
        </w:rPr>
      </w:pPr>
      <w:r w:rsidRPr="00232708">
        <w:rPr>
          <w:b/>
          <w:bCs/>
          <w:caps/>
          <w:color w:val="000000" w:themeColor="text1"/>
        </w:rPr>
        <w:lastRenderedPageBreak/>
        <w:t>Attachment A</w:t>
      </w:r>
    </w:p>
    <w:p w:rsidR="001E2F33" w:rsidRPr="00232708" w:rsidRDefault="00D51A3E" w:rsidP="001E2F33">
      <w:pPr>
        <w:pStyle w:val="ACMAHeading3"/>
        <w:rPr>
          <w:bCs/>
          <w:i/>
          <w:iCs/>
          <w:caps/>
          <w:color w:val="000000" w:themeColor="text1"/>
          <w:lang w:val="en-AU"/>
        </w:rPr>
      </w:pPr>
      <w:r w:rsidRPr="00232708">
        <w:rPr>
          <w:bCs/>
          <w:color w:val="000000" w:themeColor="text1"/>
          <w:lang w:val="en-AU" w:eastAsia="en-AU"/>
        </w:rPr>
        <w:t xml:space="preserve">DETAILS OF </w:t>
      </w:r>
      <w:r w:rsidRPr="00232708">
        <w:rPr>
          <w:bCs/>
          <w:caps/>
          <w:color w:val="000000" w:themeColor="text1"/>
          <w:lang w:val="en-AU" w:eastAsia="en-AU"/>
        </w:rPr>
        <w:t xml:space="preserve">THE </w:t>
      </w:r>
      <w:r w:rsidR="00232708" w:rsidRPr="00232708">
        <w:rPr>
          <w:bCs/>
          <w:i/>
          <w:iCs/>
          <w:caps/>
          <w:color w:val="000000" w:themeColor="text1"/>
          <w:lang w:val="en-AU"/>
        </w:rPr>
        <w:t>Telecommunications (Annual Charge) Determination 2014</w:t>
      </w:r>
    </w:p>
    <w:p w:rsidR="00CA5604" w:rsidRPr="00CA5604" w:rsidRDefault="00CA5604" w:rsidP="00CA5604">
      <w:pPr>
        <w:pStyle w:val="Heading1"/>
        <w:spacing w:before="240"/>
        <w:rPr>
          <w:b w:val="0"/>
          <w:color w:val="000000" w:themeColor="text1"/>
          <w:sz w:val="20"/>
          <w:szCs w:val="20"/>
        </w:rPr>
      </w:pPr>
      <w:r w:rsidRPr="00CA5604">
        <w:rPr>
          <w:color w:val="000000" w:themeColor="text1"/>
          <w:sz w:val="20"/>
          <w:szCs w:val="20"/>
        </w:rPr>
        <w:t xml:space="preserve">Section 1 – Name of </w:t>
      </w:r>
      <w:r w:rsidRPr="00CA5604">
        <w:rPr>
          <w:bCs/>
          <w:color w:val="000000" w:themeColor="text1"/>
          <w:sz w:val="20"/>
          <w:szCs w:val="20"/>
        </w:rPr>
        <w:t>Determination</w:t>
      </w:r>
    </w:p>
    <w:p w:rsidR="00CA5604" w:rsidRPr="00CA5604" w:rsidRDefault="00CA5604" w:rsidP="00CA5604">
      <w:pPr>
        <w:rPr>
          <w:bCs/>
          <w:i/>
          <w:iCs/>
          <w:color w:val="000000" w:themeColor="text1"/>
          <w:sz w:val="20"/>
          <w:szCs w:val="20"/>
        </w:rPr>
      </w:pPr>
      <w:r w:rsidRPr="00CA5604">
        <w:rPr>
          <w:color w:val="000000" w:themeColor="text1"/>
          <w:sz w:val="20"/>
          <w:szCs w:val="20"/>
        </w:rPr>
        <w:t xml:space="preserve">Section 1 provides that the name of the Determination is the </w:t>
      </w:r>
      <w:r w:rsidRPr="00CA5604">
        <w:rPr>
          <w:bCs/>
          <w:i/>
          <w:iCs/>
          <w:color w:val="000000" w:themeColor="text1"/>
          <w:sz w:val="20"/>
          <w:szCs w:val="20"/>
        </w:rPr>
        <w:t>Telecommunications (Annual Charge) Determination 2014</w:t>
      </w:r>
      <w:r>
        <w:rPr>
          <w:bCs/>
          <w:i/>
          <w:iCs/>
          <w:color w:val="000000" w:themeColor="text1"/>
          <w:sz w:val="20"/>
          <w:szCs w:val="20"/>
        </w:rPr>
        <w:t>.</w:t>
      </w:r>
    </w:p>
    <w:p w:rsidR="00CA5604" w:rsidRPr="00CA5604" w:rsidRDefault="00CA5604" w:rsidP="00CA5604">
      <w:pPr>
        <w:rPr>
          <w:b/>
          <w:color w:val="000000" w:themeColor="text1"/>
          <w:sz w:val="20"/>
          <w:szCs w:val="20"/>
        </w:rPr>
      </w:pPr>
      <w:r w:rsidRPr="00CA5604">
        <w:rPr>
          <w:b/>
          <w:color w:val="000000" w:themeColor="text1"/>
          <w:sz w:val="20"/>
          <w:szCs w:val="20"/>
        </w:rPr>
        <w:t>Section 2 – Commencement</w:t>
      </w:r>
    </w:p>
    <w:p w:rsidR="00CA5604" w:rsidRPr="00CA5604" w:rsidRDefault="00CA5604" w:rsidP="00CA5604">
      <w:pPr>
        <w:rPr>
          <w:color w:val="000000" w:themeColor="text1"/>
          <w:sz w:val="20"/>
          <w:szCs w:val="20"/>
        </w:rPr>
      </w:pPr>
      <w:r w:rsidRPr="00CA5604">
        <w:rPr>
          <w:color w:val="000000" w:themeColor="text1"/>
          <w:sz w:val="20"/>
          <w:szCs w:val="20"/>
        </w:rPr>
        <w:t xml:space="preserve">Section 2 provides that the </w:t>
      </w:r>
      <w:r w:rsidRPr="00CA5604">
        <w:rPr>
          <w:bCs/>
          <w:color w:val="000000" w:themeColor="text1"/>
          <w:sz w:val="20"/>
          <w:szCs w:val="20"/>
        </w:rPr>
        <w:t>Determination</w:t>
      </w:r>
      <w:r w:rsidRPr="00CA5604">
        <w:rPr>
          <w:bCs/>
          <w:i/>
          <w:color w:val="000000" w:themeColor="text1"/>
          <w:sz w:val="20"/>
          <w:szCs w:val="20"/>
        </w:rPr>
        <w:t xml:space="preserve"> </w:t>
      </w:r>
      <w:r w:rsidRPr="00CA5604">
        <w:rPr>
          <w:color w:val="000000" w:themeColor="text1"/>
          <w:sz w:val="20"/>
          <w:szCs w:val="20"/>
        </w:rPr>
        <w:t>commences on 1 April 2015.</w:t>
      </w:r>
    </w:p>
    <w:p w:rsidR="00CA5604" w:rsidRPr="00CA5604" w:rsidRDefault="00CA5604" w:rsidP="00CA5604">
      <w:pPr>
        <w:rPr>
          <w:b/>
          <w:color w:val="000000" w:themeColor="text1"/>
          <w:sz w:val="20"/>
          <w:szCs w:val="20"/>
        </w:rPr>
      </w:pPr>
      <w:r w:rsidRPr="00CA5604">
        <w:rPr>
          <w:b/>
          <w:color w:val="000000" w:themeColor="text1"/>
          <w:sz w:val="20"/>
          <w:szCs w:val="20"/>
        </w:rPr>
        <w:t>Section 3 – Revocation</w:t>
      </w:r>
    </w:p>
    <w:p w:rsidR="00CA5604" w:rsidRPr="00CA5604" w:rsidRDefault="00CA5604" w:rsidP="00CA5604">
      <w:pPr>
        <w:rPr>
          <w:color w:val="000000" w:themeColor="text1"/>
          <w:sz w:val="20"/>
          <w:szCs w:val="20"/>
        </w:rPr>
      </w:pPr>
      <w:r w:rsidRPr="00CA5604">
        <w:rPr>
          <w:color w:val="000000" w:themeColor="text1"/>
          <w:sz w:val="20"/>
          <w:szCs w:val="20"/>
        </w:rPr>
        <w:t xml:space="preserve">Section 3 provides that the </w:t>
      </w:r>
      <w:r w:rsidRPr="00CA5604">
        <w:rPr>
          <w:i/>
          <w:color w:val="000000" w:themeColor="text1"/>
          <w:sz w:val="20"/>
          <w:szCs w:val="20"/>
        </w:rPr>
        <w:t xml:space="preserve">Telecommunications (Annual Charge) Determination 2007 (No. 2) </w:t>
      </w:r>
      <w:r w:rsidRPr="00CA5604">
        <w:rPr>
          <w:color w:val="000000" w:themeColor="text1"/>
          <w:sz w:val="20"/>
          <w:szCs w:val="20"/>
        </w:rPr>
        <w:t>is revoked.</w:t>
      </w:r>
    </w:p>
    <w:p w:rsidR="00CA5604" w:rsidRPr="00CA5604" w:rsidRDefault="00CA5604" w:rsidP="00CA5604">
      <w:pPr>
        <w:rPr>
          <w:b/>
          <w:color w:val="000000" w:themeColor="text1"/>
          <w:sz w:val="20"/>
          <w:szCs w:val="20"/>
        </w:rPr>
      </w:pPr>
      <w:r w:rsidRPr="00CA5604">
        <w:rPr>
          <w:b/>
          <w:color w:val="000000" w:themeColor="text1"/>
          <w:sz w:val="20"/>
          <w:szCs w:val="20"/>
        </w:rPr>
        <w:t>Section 4 – Definitions</w:t>
      </w:r>
    </w:p>
    <w:p w:rsidR="00CA5604" w:rsidRPr="00DC6216" w:rsidRDefault="00CA5604" w:rsidP="00DC6216">
      <w:pPr>
        <w:rPr>
          <w:color w:val="000000" w:themeColor="text1"/>
          <w:sz w:val="20"/>
          <w:szCs w:val="20"/>
        </w:rPr>
      </w:pPr>
      <w:r w:rsidRPr="00DC6216">
        <w:rPr>
          <w:color w:val="000000" w:themeColor="text1"/>
          <w:sz w:val="20"/>
          <w:szCs w:val="20"/>
        </w:rPr>
        <w:t>Section 4 defines various terms used in the Determination.</w:t>
      </w:r>
    </w:p>
    <w:p w:rsidR="00CA5604" w:rsidRPr="00DC6216" w:rsidRDefault="00CA5604" w:rsidP="00CA5604">
      <w:pPr>
        <w:rPr>
          <w:b/>
          <w:color w:val="000000" w:themeColor="text1"/>
          <w:sz w:val="20"/>
          <w:szCs w:val="20"/>
        </w:rPr>
      </w:pPr>
      <w:r w:rsidRPr="00CA5604">
        <w:rPr>
          <w:b/>
          <w:color w:val="000000" w:themeColor="text1"/>
          <w:sz w:val="20"/>
          <w:szCs w:val="20"/>
        </w:rPr>
        <w:t xml:space="preserve">Section 5 </w:t>
      </w:r>
      <w:r w:rsidRPr="00DC6216">
        <w:rPr>
          <w:b/>
          <w:color w:val="000000" w:themeColor="text1"/>
          <w:sz w:val="20"/>
          <w:szCs w:val="20"/>
        </w:rPr>
        <w:t xml:space="preserve">– </w:t>
      </w:r>
      <w:bookmarkStart w:id="1" w:name="_Toc102789552"/>
      <w:r w:rsidRPr="00DC6216">
        <w:rPr>
          <w:b/>
          <w:color w:val="000000" w:themeColor="text1"/>
          <w:sz w:val="20"/>
          <w:szCs w:val="20"/>
        </w:rPr>
        <w:t>Amount of charge</w:t>
      </w:r>
      <w:bookmarkEnd w:id="1"/>
    </w:p>
    <w:p w:rsidR="00DC6216" w:rsidRPr="00DC6216" w:rsidRDefault="00DC6216" w:rsidP="00DC6216">
      <w:pPr>
        <w:rPr>
          <w:color w:val="000000" w:themeColor="text1"/>
          <w:sz w:val="20"/>
          <w:szCs w:val="20"/>
        </w:rPr>
      </w:pPr>
      <w:r w:rsidRPr="00DC6216">
        <w:rPr>
          <w:color w:val="000000" w:themeColor="text1"/>
          <w:sz w:val="20"/>
          <w:szCs w:val="20"/>
        </w:rPr>
        <w:t>Section 5 specifies how the annual charge is calculated</w:t>
      </w:r>
      <w:r w:rsidR="00882F22">
        <w:rPr>
          <w:color w:val="000000" w:themeColor="text1"/>
          <w:sz w:val="20"/>
          <w:szCs w:val="20"/>
        </w:rPr>
        <w:t xml:space="preserve"> and t</w:t>
      </w:r>
      <w:r w:rsidR="00882F22" w:rsidRPr="00882F22">
        <w:rPr>
          <w:color w:val="000000" w:themeColor="text1"/>
          <w:sz w:val="20"/>
          <w:szCs w:val="20"/>
        </w:rPr>
        <w:t>he revenue target to be achieved each year (currently $60</w:t>
      </w:r>
      <w:r w:rsidR="005D649A">
        <w:rPr>
          <w:color w:val="000000" w:themeColor="text1"/>
          <w:sz w:val="20"/>
          <w:szCs w:val="20"/>
        </w:rPr>
        <w:t xml:space="preserve"> million</w:t>
      </w:r>
      <w:r w:rsidR="00882F22" w:rsidRPr="00882F22">
        <w:rPr>
          <w:color w:val="000000" w:themeColor="text1"/>
          <w:sz w:val="20"/>
          <w:szCs w:val="20"/>
        </w:rPr>
        <w:t>)</w:t>
      </w:r>
      <w:r w:rsidR="00882F22">
        <w:rPr>
          <w:color w:val="000000" w:themeColor="text1"/>
          <w:sz w:val="20"/>
          <w:szCs w:val="20"/>
        </w:rPr>
        <w:t>.</w:t>
      </w:r>
    </w:p>
    <w:p w:rsidR="00CA5604" w:rsidRPr="00DC6216" w:rsidRDefault="00CA5604" w:rsidP="00CA5604">
      <w:pPr>
        <w:rPr>
          <w:b/>
          <w:color w:val="000000" w:themeColor="text1"/>
          <w:sz w:val="20"/>
          <w:szCs w:val="20"/>
        </w:rPr>
      </w:pPr>
      <w:bookmarkStart w:id="2" w:name="_Toc102789554"/>
      <w:r w:rsidRPr="00CA5604">
        <w:rPr>
          <w:b/>
          <w:color w:val="000000" w:themeColor="text1"/>
          <w:sz w:val="20"/>
          <w:szCs w:val="20"/>
        </w:rPr>
        <w:t xml:space="preserve">Section 6 - </w:t>
      </w:r>
      <w:bookmarkEnd w:id="2"/>
      <w:r w:rsidRPr="00DC6216">
        <w:rPr>
          <w:b/>
          <w:color w:val="000000" w:themeColor="text1"/>
          <w:sz w:val="20"/>
          <w:szCs w:val="20"/>
        </w:rPr>
        <w:t>Numbers exempt from charge</w:t>
      </w:r>
    </w:p>
    <w:p w:rsidR="00C05A05" w:rsidRPr="009A6ACC" w:rsidRDefault="00CA5604" w:rsidP="00C05A05">
      <w:pPr>
        <w:rPr>
          <w:color w:val="000000" w:themeColor="text1"/>
          <w:sz w:val="20"/>
          <w:szCs w:val="20"/>
        </w:rPr>
      </w:pPr>
      <w:r w:rsidRPr="00DC6216">
        <w:rPr>
          <w:color w:val="000000" w:themeColor="text1"/>
          <w:sz w:val="20"/>
          <w:szCs w:val="20"/>
        </w:rPr>
        <w:t>Section 6 specifies the numbers exempt from the annual charge.</w:t>
      </w:r>
    </w:p>
    <w:sectPr w:rsidR="00C05A05" w:rsidRPr="009A6ACC" w:rsidSect="00BA369D">
      <w:footerReference w:type="default" r:id="rId13"/>
      <w:footerReference w:type="first" r:id="rId14"/>
      <w:pgSz w:w="11906" w:h="16838"/>
      <w:pgMar w:top="1134"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CAA" w:rsidRDefault="00287CAA" w:rsidP="0023578E">
      <w:pPr>
        <w:spacing w:after="0" w:line="240" w:lineRule="auto"/>
      </w:pPr>
      <w:r>
        <w:separator/>
      </w:r>
    </w:p>
  </w:endnote>
  <w:endnote w:type="continuationSeparator" w:id="0">
    <w:p w:rsidR="00287CAA" w:rsidRDefault="00287CAA" w:rsidP="0023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Lt">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966302"/>
      <w:docPartObj>
        <w:docPartGallery w:val="Page Numbers (Bottom of Page)"/>
        <w:docPartUnique/>
      </w:docPartObj>
    </w:sdtPr>
    <w:sdtEndPr>
      <w:rPr>
        <w:noProof/>
      </w:rPr>
    </w:sdtEndPr>
    <w:sdtContent>
      <w:p w:rsidR="008E1FCF" w:rsidRDefault="008E1FCF">
        <w:pPr>
          <w:pStyle w:val="Footer"/>
          <w:jc w:val="right"/>
        </w:pPr>
        <w:r>
          <w:fldChar w:fldCharType="begin"/>
        </w:r>
        <w:r>
          <w:instrText xml:space="preserve"> PAGE   \* MERGEFORMAT </w:instrText>
        </w:r>
        <w:r>
          <w:fldChar w:fldCharType="separate"/>
        </w:r>
        <w:r w:rsidR="00B62391">
          <w:rPr>
            <w:noProof/>
          </w:rPr>
          <w:t>3</w:t>
        </w:r>
        <w:r>
          <w:rPr>
            <w:noProof/>
          </w:rPr>
          <w:fldChar w:fldCharType="end"/>
        </w:r>
      </w:p>
    </w:sdtContent>
  </w:sdt>
  <w:p w:rsidR="008E1FCF" w:rsidRDefault="008E1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12516"/>
      <w:docPartObj>
        <w:docPartGallery w:val="Page Numbers (Bottom of Page)"/>
        <w:docPartUnique/>
      </w:docPartObj>
    </w:sdtPr>
    <w:sdtEndPr/>
    <w:sdtContent>
      <w:sdt>
        <w:sdtPr>
          <w:id w:val="-1769616900"/>
          <w:docPartObj>
            <w:docPartGallery w:val="Page Numbers (Top of Page)"/>
            <w:docPartUnique/>
          </w:docPartObj>
        </w:sdtPr>
        <w:sdtEndPr/>
        <w:sdtContent>
          <w:p w:rsidR="00BA369D" w:rsidRDefault="00BA369D">
            <w:pPr>
              <w:pStyle w:val="Footer"/>
              <w:jc w:val="right"/>
            </w:pPr>
            <w:r w:rsidRPr="00F22D00">
              <w:rPr>
                <w:bCs/>
                <w:sz w:val="24"/>
                <w:szCs w:val="24"/>
              </w:rPr>
              <w:fldChar w:fldCharType="begin"/>
            </w:r>
            <w:r w:rsidRPr="00F22D00">
              <w:rPr>
                <w:bCs/>
              </w:rPr>
              <w:instrText xml:space="preserve"> PAGE </w:instrText>
            </w:r>
            <w:r w:rsidRPr="00F22D00">
              <w:rPr>
                <w:bCs/>
                <w:sz w:val="24"/>
                <w:szCs w:val="24"/>
              </w:rPr>
              <w:fldChar w:fldCharType="separate"/>
            </w:r>
            <w:r w:rsidR="00B62391">
              <w:rPr>
                <w:bCs/>
                <w:noProof/>
              </w:rPr>
              <w:t>1</w:t>
            </w:r>
            <w:r w:rsidRPr="00F22D00">
              <w:rPr>
                <w:bCs/>
                <w:sz w:val="24"/>
                <w:szCs w:val="24"/>
              </w:rPr>
              <w:fldChar w:fldCharType="end"/>
            </w:r>
            <w:r>
              <w:t xml:space="preserve"> </w:t>
            </w:r>
          </w:p>
        </w:sdtContent>
      </w:sdt>
    </w:sdtContent>
  </w:sdt>
  <w:p w:rsidR="00D1291B" w:rsidRDefault="00D12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CAA" w:rsidRDefault="00287CAA" w:rsidP="0023578E">
      <w:pPr>
        <w:spacing w:after="0" w:line="240" w:lineRule="auto"/>
      </w:pPr>
      <w:r>
        <w:separator/>
      </w:r>
    </w:p>
  </w:footnote>
  <w:footnote w:type="continuationSeparator" w:id="0">
    <w:p w:rsidR="00287CAA" w:rsidRDefault="00287CAA" w:rsidP="00235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986"/>
    <w:multiLevelType w:val="hybridMultilevel"/>
    <w:tmpl w:val="01DA4284"/>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
    <w:nsid w:val="14536F0C"/>
    <w:multiLevelType w:val="hybridMultilevel"/>
    <w:tmpl w:val="C1A6A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627739"/>
    <w:multiLevelType w:val="hybridMultilevel"/>
    <w:tmpl w:val="306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A04CB7"/>
    <w:multiLevelType w:val="hybridMultilevel"/>
    <w:tmpl w:val="96908BCA"/>
    <w:lvl w:ilvl="0" w:tplc="22569604">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
    <w:nsid w:val="306D07A7"/>
    <w:multiLevelType w:val="hybridMultilevel"/>
    <w:tmpl w:val="A5F2B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B026F54"/>
    <w:multiLevelType w:val="hybridMultilevel"/>
    <w:tmpl w:val="E8466210"/>
    <w:lvl w:ilvl="0" w:tplc="C3AE62E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463656C0"/>
    <w:multiLevelType w:val="hybridMultilevel"/>
    <w:tmpl w:val="08CE2000"/>
    <w:lvl w:ilvl="0" w:tplc="C68EB0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89F3809"/>
    <w:multiLevelType w:val="hybridMultilevel"/>
    <w:tmpl w:val="C066828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nsid w:val="4CBA391F"/>
    <w:multiLevelType w:val="hybridMultilevel"/>
    <w:tmpl w:val="256C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5257C9"/>
    <w:multiLevelType w:val="hybridMultilevel"/>
    <w:tmpl w:val="C6F8B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A5438B"/>
    <w:multiLevelType w:val="hybridMultilevel"/>
    <w:tmpl w:val="FFA631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FB2083"/>
    <w:multiLevelType w:val="hybridMultilevel"/>
    <w:tmpl w:val="253860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7"/>
  </w:num>
  <w:num w:numId="5">
    <w:abstractNumId w:val="4"/>
  </w:num>
  <w:num w:numId="6">
    <w:abstractNumId w:val="6"/>
  </w:num>
  <w:num w:numId="7">
    <w:abstractNumId w:val="3"/>
  </w:num>
  <w:num w:numId="8">
    <w:abstractNumId w:val="1"/>
  </w:num>
  <w:num w:numId="9">
    <w:abstractNumId w:val="8"/>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9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31"/>
    <w:rsid w:val="00004130"/>
    <w:rsid w:val="000127C4"/>
    <w:rsid w:val="00031C2E"/>
    <w:rsid w:val="00047DB5"/>
    <w:rsid w:val="00050093"/>
    <w:rsid w:val="000520B6"/>
    <w:rsid w:val="00053ADB"/>
    <w:rsid w:val="0005501D"/>
    <w:rsid w:val="00056073"/>
    <w:rsid w:val="00056ACD"/>
    <w:rsid w:val="000579BA"/>
    <w:rsid w:val="00061B9B"/>
    <w:rsid w:val="00091636"/>
    <w:rsid w:val="000A2480"/>
    <w:rsid w:val="000A3D97"/>
    <w:rsid w:val="000C4BD9"/>
    <w:rsid w:val="000E0665"/>
    <w:rsid w:val="000E1A15"/>
    <w:rsid w:val="000E5075"/>
    <w:rsid w:val="000F68E5"/>
    <w:rsid w:val="00106229"/>
    <w:rsid w:val="0011164F"/>
    <w:rsid w:val="00116515"/>
    <w:rsid w:val="00120FBF"/>
    <w:rsid w:val="00130B50"/>
    <w:rsid w:val="00132226"/>
    <w:rsid w:val="001433DE"/>
    <w:rsid w:val="001538D4"/>
    <w:rsid w:val="001559F8"/>
    <w:rsid w:val="00183555"/>
    <w:rsid w:val="00185FF8"/>
    <w:rsid w:val="001A0645"/>
    <w:rsid w:val="001B42B2"/>
    <w:rsid w:val="001D5F4A"/>
    <w:rsid w:val="001E2F33"/>
    <w:rsid w:val="001F05ED"/>
    <w:rsid w:val="001F4D30"/>
    <w:rsid w:val="001F79E9"/>
    <w:rsid w:val="00207D50"/>
    <w:rsid w:val="00222FEF"/>
    <w:rsid w:val="0022688F"/>
    <w:rsid w:val="00232708"/>
    <w:rsid w:val="0023578E"/>
    <w:rsid w:val="00243F0E"/>
    <w:rsid w:val="0024498E"/>
    <w:rsid w:val="00251AEE"/>
    <w:rsid w:val="002625A0"/>
    <w:rsid w:val="00287CAA"/>
    <w:rsid w:val="002B2DD0"/>
    <w:rsid w:val="002B3205"/>
    <w:rsid w:val="002D24B7"/>
    <w:rsid w:val="002F4DF4"/>
    <w:rsid w:val="0030386A"/>
    <w:rsid w:val="00335241"/>
    <w:rsid w:val="00336650"/>
    <w:rsid w:val="00344E45"/>
    <w:rsid w:val="0035390F"/>
    <w:rsid w:val="0035794D"/>
    <w:rsid w:val="00360276"/>
    <w:rsid w:val="00391E83"/>
    <w:rsid w:val="003B249A"/>
    <w:rsid w:val="003B5AD2"/>
    <w:rsid w:val="003C2AB1"/>
    <w:rsid w:val="003C68EB"/>
    <w:rsid w:val="003E5536"/>
    <w:rsid w:val="003F6FFB"/>
    <w:rsid w:val="004054A9"/>
    <w:rsid w:val="0042021D"/>
    <w:rsid w:val="00442216"/>
    <w:rsid w:val="00445951"/>
    <w:rsid w:val="00454569"/>
    <w:rsid w:val="004A20D0"/>
    <w:rsid w:val="004B125C"/>
    <w:rsid w:val="004C6E46"/>
    <w:rsid w:val="0051107A"/>
    <w:rsid w:val="005128D2"/>
    <w:rsid w:val="00542029"/>
    <w:rsid w:val="005515AB"/>
    <w:rsid w:val="00552D62"/>
    <w:rsid w:val="0056310C"/>
    <w:rsid w:val="00574A49"/>
    <w:rsid w:val="00585437"/>
    <w:rsid w:val="00591183"/>
    <w:rsid w:val="005D17AB"/>
    <w:rsid w:val="005D58F8"/>
    <w:rsid w:val="005D649A"/>
    <w:rsid w:val="005E2D70"/>
    <w:rsid w:val="005E3166"/>
    <w:rsid w:val="005E470C"/>
    <w:rsid w:val="005F5F3D"/>
    <w:rsid w:val="006007C4"/>
    <w:rsid w:val="00600EA5"/>
    <w:rsid w:val="00604BE5"/>
    <w:rsid w:val="006117E5"/>
    <w:rsid w:val="00616EC4"/>
    <w:rsid w:val="0062455D"/>
    <w:rsid w:val="0068309E"/>
    <w:rsid w:val="00687092"/>
    <w:rsid w:val="00692A74"/>
    <w:rsid w:val="006964DA"/>
    <w:rsid w:val="006B420D"/>
    <w:rsid w:val="006B57FA"/>
    <w:rsid w:val="006C3FAC"/>
    <w:rsid w:val="006C5DAC"/>
    <w:rsid w:val="006C6EE9"/>
    <w:rsid w:val="006C76D9"/>
    <w:rsid w:val="006D0172"/>
    <w:rsid w:val="006E0211"/>
    <w:rsid w:val="006E613C"/>
    <w:rsid w:val="00700185"/>
    <w:rsid w:val="00702178"/>
    <w:rsid w:val="0072111A"/>
    <w:rsid w:val="007434CB"/>
    <w:rsid w:val="00752A93"/>
    <w:rsid w:val="00766587"/>
    <w:rsid w:val="00775628"/>
    <w:rsid w:val="0077597D"/>
    <w:rsid w:val="0079453E"/>
    <w:rsid w:val="007B1A34"/>
    <w:rsid w:val="007B6B6C"/>
    <w:rsid w:val="007C4CFD"/>
    <w:rsid w:val="007C5EB0"/>
    <w:rsid w:val="007D019C"/>
    <w:rsid w:val="007D2794"/>
    <w:rsid w:val="007D6524"/>
    <w:rsid w:val="007E19F0"/>
    <w:rsid w:val="007F1201"/>
    <w:rsid w:val="007F30C1"/>
    <w:rsid w:val="007F42BF"/>
    <w:rsid w:val="008120A7"/>
    <w:rsid w:val="00812670"/>
    <w:rsid w:val="00820FCB"/>
    <w:rsid w:val="008341D5"/>
    <w:rsid w:val="0083543D"/>
    <w:rsid w:val="00853805"/>
    <w:rsid w:val="00856498"/>
    <w:rsid w:val="00882F22"/>
    <w:rsid w:val="008975C6"/>
    <w:rsid w:val="008A4804"/>
    <w:rsid w:val="008B4016"/>
    <w:rsid w:val="008C431C"/>
    <w:rsid w:val="008D7B92"/>
    <w:rsid w:val="008D7D40"/>
    <w:rsid w:val="008E1FCF"/>
    <w:rsid w:val="008F072C"/>
    <w:rsid w:val="008F22C0"/>
    <w:rsid w:val="00916884"/>
    <w:rsid w:val="009176B5"/>
    <w:rsid w:val="009245BD"/>
    <w:rsid w:val="009311D3"/>
    <w:rsid w:val="00941FA8"/>
    <w:rsid w:val="00945A8B"/>
    <w:rsid w:val="00956ADB"/>
    <w:rsid w:val="0098227D"/>
    <w:rsid w:val="0098330D"/>
    <w:rsid w:val="00992607"/>
    <w:rsid w:val="00997ACE"/>
    <w:rsid w:val="009A6ACC"/>
    <w:rsid w:val="009B21DB"/>
    <w:rsid w:val="009C7445"/>
    <w:rsid w:val="009F0D02"/>
    <w:rsid w:val="009F16D1"/>
    <w:rsid w:val="009F3E5C"/>
    <w:rsid w:val="00A03244"/>
    <w:rsid w:val="00A27B49"/>
    <w:rsid w:val="00A3307E"/>
    <w:rsid w:val="00A37E2F"/>
    <w:rsid w:val="00A72BC1"/>
    <w:rsid w:val="00A83951"/>
    <w:rsid w:val="00AA7CA1"/>
    <w:rsid w:val="00AB05F2"/>
    <w:rsid w:val="00AB53E5"/>
    <w:rsid w:val="00AC690A"/>
    <w:rsid w:val="00AD6F8B"/>
    <w:rsid w:val="00AE0D2A"/>
    <w:rsid w:val="00AF0B31"/>
    <w:rsid w:val="00AF2F92"/>
    <w:rsid w:val="00AF6560"/>
    <w:rsid w:val="00AF7BCC"/>
    <w:rsid w:val="00B06955"/>
    <w:rsid w:val="00B137DC"/>
    <w:rsid w:val="00B22FB1"/>
    <w:rsid w:val="00B260D3"/>
    <w:rsid w:val="00B37845"/>
    <w:rsid w:val="00B40A6D"/>
    <w:rsid w:val="00B44F54"/>
    <w:rsid w:val="00B57D87"/>
    <w:rsid w:val="00B62391"/>
    <w:rsid w:val="00B65199"/>
    <w:rsid w:val="00B66CF8"/>
    <w:rsid w:val="00B77E9D"/>
    <w:rsid w:val="00B85EAB"/>
    <w:rsid w:val="00B91BAD"/>
    <w:rsid w:val="00BA369D"/>
    <w:rsid w:val="00BD25D1"/>
    <w:rsid w:val="00BD3223"/>
    <w:rsid w:val="00BE3967"/>
    <w:rsid w:val="00BE3D72"/>
    <w:rsid w:val="00BE7C26"/>
    <w:rsid w:val="00BF7653"/>
    <w:rsid w:val="00C05A05"/>
    <w:rsid w:val="00C233F7"/>
    <w:rsid w:val="00C30A12"/>
    <w:rsid w:val="00C363B0"/>
    <w:rsid w:val="00C467FD"/>
    <w:rsid w:val="00C903A7"/>
    <w:rsid w:val="00C977B5"/>
    <w:rsid w:val="00CA3F55"/>
    <w:rsid w:val="00CA5604"/>
    <w:rsid w:val="00CB74A2"/>
    <w:rsid w:val="00CC6247"/>
    <w:rsid w:val="00CD28E2"/>
    <w:rsid w:val="00CF2CFF"/>
    <w:rsid w:val="00D028B1"/>
    <w:rsid w:val="00D1291B"/>
    <w:rsid w:val="00D32F03"/>
    <w:rsid w:val="00D372E8"/>
    <w:rsid w:val="00D43521"/>
    <w:rsid w:val="00D46D14"/>
    <w:rsid w:val="00D478E5"/>
    <w:rsid w:val="00D51A3E"/>
    <w:rsid w:val="00D55271"/>
    <w:rsid w:val="00D576C4"/>
    <w:rsid w:val="00D647C4"/>
    <w:rsid w:val="00D67B34"/>
    <w:rsid w:val="00D73B55"/>
    <w:rsid w:val="00D77AE7"/>
    <w:rsid w:val="00D80FEC"/>
    <w:rsid w:val="00D8457C"/>
    <w:rsid w:val="00DA2B4C"/>
    <w:rsid w:val="00DC332F"/>
    <w:rsid w:val="00DC6216"/>
    <w:rsid w:val="00DD475C"/>
    <w:rsid w:val="00DE749B"/>
    <w:rsid w:val="00DF1DB4"/>
    <w:rsid w:val="00DF43DE"/>
    <w:rsid w:val="00E001D3"/>
    <w:rsid w:val="00E13ED2"/>
    <w:rsid w:val="00E24618"/>
    <w:rsid w:val="00E272E8"/>
    <w:rsid w:val="00E455B8"/>
    <w:rsid w:val="00E56B97"/>
    <w:rsid w:val="00E6792C"/>
    <w:rsid w:val="00E7082F"/>
    <w:rsid w:val="00E72120"/>
    <w:rsid w:val="00E721D2"/>
    <w:rsid w:val="00E82D8F"/>
    <w:rsid w:val="00E87C60"/>
    <w:rsid w:val="00EA2124"/>
    <w:rsid w:val="00EC2184"/>
    <w:rsid w:val="00EC42D7"/>
    <w:rsid w:val="00ED4BB3"/>
    <w:rsid w:val="00EE2F56"/>
    <w:rsid w:val="00EF2FA4"/>
    <w:rsid w:val="00F22D00"/>
    <w:rsid w:val="00F255FD"/>
    <w:rsid w:val="00F33881"/>
    <w:rsid w:val="00F41C9F"/>
    <w:rsid w:val="00F4376D"/>
    <w:rsid w:val="00F64AFB"/>
    <w:rsid w:val="00F652C6"/>
    <w:rsid w:val="00F71DF9"/>
    <w:rsid w:val="00F957C5"/>
    <w:rsid w:val="00F965A4"/>
    <w:rsid w:val="00FA4D74"/>
    <w:rsid w:val="00FB653E"/>
    <w:rsid w:val="00FB7069"/>
    <w:rsid w:val="00FC7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D4526AB-F738-4E80-8F1B-2196B4B7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31"/>
    <w:rPr>
      <w:rFonts w:ascii="Arial" w:hAnsi="Arial" w:cs="Arial"/>
      <w:sz w:val="19"/>
      <w:szCs w:val="19"/>
    </w:rPr>
  </w:style>
  <w:style w:type="paragraph" w:styleId="Heading1">
    <w:name w:val="heading 1"/>
    <w:basedOn w:val="Normal"/>
    <w:next w:val="Normal"/>
    <w:link w:val="Heading1Char"/>
    <w:uiPriority w:val="9"/>
    <w:qFormat/>
    <w:rsid w:val="00AF0B31"/>
    <w:pPr>
      <w:outlineLvl w:val="0"/>
    </w:pPr>
    <w:rPr>
      <w:b/>
    </w:rPr>
  </w:style>
  <w:style w:type="paragraph" w:styleId="Heading2">
    <w:name w:val="heading 2"/>
    <w:basedOn w:val="Normal"/>
    <w:next w:val="Normal"/>
    <w:link w:val="Heading2Char"/>
    <w:uiPriority w:val="9"/>
    <w:unhideWhenUsed/>
    <w:qFormat/>
    <w:rsid w:val="00AF0B31"/>
    <w:pPr>
      <w:outlineLvl w:val="1"/>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B31"/>
    <w:rPr>
      <w:rFonts w:ascii="Arial" w:hAnsi="Arial" w:cs="Arial"/>
      <w:b/>
      <w:sz w:val="19"/>
      <w:szCs w:val="19"/>
    </w:rPr>
  </w:style>
  <w:style w:type="character" w:customStyle="1" w:styleId="Heading2Char">
    <w:name w:val="Heading 2 Char"/>
    <w:basedOn w:val="DefaultParagraphFont"/>
    <w:link w:val="Heading2"/>
    <w:uiPriority w:val="9"/>
    <w:rsid w:val="00AF0B31"/>
    <w:rPr>
      <w:rFonts w:ascii="Arial" w:hAnsi="Arial" w:cs="Arial"/>
      <w:i/>
      <w:sz w:val="19"/>
      <w:szCs w:val="19"/>
      <w:u w:val="single"/>
    </w:rPr>
  </w:style>
  <w:style w:type="paragraph" w:styleId="Footer">
    <w:name w:val="footer"/>
    <w:basedOn w:val="Normal"/>
    <w:link w:val="FooterChar"/>
    <w:uiPriority w:val="99"/>
    <w:unhideWhenUsed/>
    <w:rsid w:val="00AF0B31"/>
    <w:pPr>
      <w:tabs>
        <w:tab w:val="center" w:pos="4513"/>
        <w:tab w:val="right" w:pos="9026"/>
      </w:tabs>
      <w:spacing w:after="0"/>
    </w:pPr>
  </w:style>
  <w:style w:type="character" w:customStyle="1" w:styleId="FooterChar">
    <w:name w:val="Footer Char"/>
    <w:basedOn w:val="DefaultParagraphFont"/>
    <w:link w:val="Footer"/>
    <w:uiPriority w:val="99"/>
    <w:rsid w:val="00AF0B31"/>
    <w:rPr>
      <w:rFonts w:ascii="Arial" w:hAnsi="Arial" w:cs="Arial"/>
      <w:sz w:val="19"/>
      <w:szCs w:val="19"/>
    </w:rPr>
  </w:style>
  <w:style w:type="paragraph" w:styleId="ListParagraph">
    <w:name w:val="List Paragraph"/>
    <w:basedOn w:val="Normal"/>
    <w:uiPriority w:val="34"/>
    <w:qFormat/>
    <w:rsid w:val="00AF0B31"/>
    <w:pPr>
      <w:ind w:left="720"/>
      <w:contextualSpacing/>
    </w:pPr>
  </w:style>
  <w:style w:type="character" w:styleId="FootnoteReference">
    <w:name w:val="footnote reference"/>
    <w:aliases w:val="(NECG) Footnote Reference,(NECG) Footnote Reference1,(NECG) Footnote Reference2,o,Footnote Reference 1,Appel note de bas de p,Appel note de bas de p + 11 pt,Italic,Footnote,Appel note de bas de p1,Appel note de bas de p2,Style 12"/>
    <w:basedOn w:val="DefaultParagraphFont"/>
    <w:uiPriority w:val="99"/>
    <w:unhideWhenUsed/>
    <w:rsid w:val="00AF0B31"/>
    <w:rPr>
      <w:vertAlign w:val="superscript"/>
    </w:rPr>
  </w:style>
  <w:style w:type="paragraph" w:styleId="BalloonText">
    <w:name w:val="Balloon Text"/>
    <w:basedOn w:val="Normal"/>
    <w:link w:val="BalloonTextChar"/>
    <w:uiPriority w:val="99"/>
    <w:semiHidden/>
    <w:unhideWhenUsed/>
    <w:rsid w:val="008C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31C"/>
    <w:rPr>
      <w:rFonts w:ascii="Tahoma" w:hAnsi="Tahoma" w:cs="Tahoma"/>
      <w:sz w:val="16"/>
      <w:szCs w:val="16"/>
    </w:rPr>
  </w:style>
  <w:style w:type="paragraph" w:styleId="Header">
    <w:name w:val="header"/>
    <w:basedOn w:val="Normal"/>
    <w:link w:val="HeaderChar"/>
    <w:uiPriority w:val="99"/>
    <w:unhideWhenUsed/>
    <w:rsid w:val="00687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092"/>
    <w:rPr>
      <w:rFonts w:ascii="Arial" w:hAnsi="Arial" w:cs="Arial"/>
      <w:sz w:val="19"/>
      <w:szCs w:val="19"/>
    </w:rPr>
  </w:style>
  <w:style w:type="character" w:styleId="CommentReference">
    <w:name w:val="annotation reference"/>
    <w:basedOn w:val="DefaultParagraphFont"/>
    <w:uiPriority w:val="99"/>
    <w:semiHidden/>
    <w:unhideWhenUsed/>
    <w:rsid w:val="0077597D"/>
    <w:rPr>
      <w:sz w:val="16"/>
      <w:szCs w:val="16"/>
    </w:rPr>
  </w:style>
  <w:style w:type="paragraph" w:styleId="CommentText">
    <w:name w:val="annotation text"/>
    <w:basedOn w:val="Normal"/>
    <w:link w:val="CommentTextChar"/>
    <w:uiPriority w:val="99"/>
    <w:semiHidden/>
    <w:unhideWhenUsed/>
    <w:rsid w:val="0077597D"/>
    <w:pPr>
      <w:spacing w:line="240" w:lineRule="auto"/>
    </w:pPr>
    <w:rPr>
      <w:sz w:val="20"/>
      <w:szCs w:val="20"/>
    </w:rPr>
  </w:style>
  <w:style w:type="character" w:customStyle="1" w:styleId="CommentTextChar">
    <w:name w:val="Comment Text Char"/>
    <w:basedOn w:val="DefaultParagraphFont"/>
    <w:link w:val="CommentText"/>
    <w:uiPriority w:val="99"/>
    <w:semiHidden/>
    <w:rsid w:val="0077597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97D"/>
    <w:rPr>
      <w:b/>
      <w:bCs/>
    </w:rPr>
  </w:style>
  <w:style w:type="character" w:customStyle="1" w:styleId="CommentSubjectChar">
    <w:name w:val="Comment Subject Char"/>
    <w:basedOn w:val="CommentTextChar"/>
    <w:link w:val="CommentSubject"/>
    <w:uiPriority w:val="99"/>
    <w:semiHidden/>
    <w:rsid w:val="0077597D"/>
    <w:rPr>
      <w:rFonts w:ascii="Arial" w:hAnsi="Arial" w:cs="Arial"/>
      <w:b/>
      <w:bCs/>
      <w:sz w:val="20"/>
      <w:szCs w:val="20"/>
    </w:rPr>
  </w:style>
  <w:style w:type="paragraph" w:customStyle="1" w:styleId="indenta">
    <w:name w:val="indent(a)"/>
    <w:aliases w:val="a,paragraph"/>
    <w:basedOn w:val="Normal"/>
    <w:rsid w:val="00D80FEC"/>
    <w:pPr>
      <w:tabs>
        <w:tab w:val="right" w:pos="1531"/>
      </w:tabs>
      <w:spacing w:before="40" w:after="0" w:line="260" w:lineRule="atLeast"/>
      <w:ind w:left="1644" w:hanging="1644"/>
    </w:pPr>
    <w:rPr>
      <w:rFonts w:ascii="Times" w:eastAsia="Times New Roman" w:hAnsi="Times" w:cs="Times New Roman"/>
      <w:sz w:val="22"/>
      <w:szCs w:val="20"/>
    </w:rPr>
  </w:style>
  <w:style w:type="paragraph" w:customStyle="1" w:styleId="ACMABodyText">
    <w:name w:val="ACMA Body Text"/>
    <w:link w:val="ACMABodyTextChar1"/>
    <w:uiPriority w:val="99"/>
    <w:rsid w:val="00B40A6D"/>
    <w:pPr>
      <w:suppressAutoHyphens/>
      <w:spacing w:before="80" w:after="120" w:line="280" w:lineRule="atLeast"/>
    </w:pPr>
    <w:rPr>
      <w:rFonts w:ascii="Arial" w:eastAsia="Times New Roman" w:hAnsi="Arial" w:cs="Arial"/>
      <w:sz w:val="20"/>
      <w:szCs w:val="20"/>
    </w:rPr>
  </w:style>
  <w:style w:type="paragraph" w:customStyle="1" w:styleId="ACMAHeading3">
    <w:name w:val="ACMA Heading 3"/>
    <w:next w:val="ACMABodyText"/>
    <w:uiPriority w:val="99"/>
    <w:rsid w:val="005E470C"/>
    <w:pPr>
      <w:keepNext/>
      <w:tabs>
        <w:tab w:val="left" w:pos="1701"/>
      </w:tabs>
      <w:suppressAutoHyphens/>
      <w:spacing w:before="240" w:after="0" w:line="240" w:lineRule="auto"/>
      <w:outlineLvl w:val="3"/>
    </w:pPr>
    <w:rPr>
      <w:rFonts w:ascii="Arial" w:eastAsia="Times New Roman" w:hAnsi="Arial" w:cs="Arial"/>
      <w:b/>
      <w:sz w:val="20"/>
      <w:szCs w:val="20"/>
      <w:lang w:val="en-US"/>
    </w:rPr>
  </w:style>
  <w:style w:type="character" w:customStyle="1" w:styleId="charsectno">
    <w:name w:val="charsectno"/>
    <w:basedOn w:val="DefaultParagraphFont"/>
    <w:rsid w:val="00D51A3E"/>
  </w:style>
  <w:style w:type="paragraph" w:customStyle="1" w:styleId="indenta0">
    <w:name w:val="indenta"/>
    <w:basedOn w:val="Normal"/>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A3E"/>
  </w:style>
  <w:style w:type="paragraph" w:styleId="BodyText">
    <w:name w:val="Body Text"/>
    <w:basedOn w:val="Normal"/>
    <w:link w:val="BodyTextChar"/>
    <w:uiPriority w:val="99"/>
    <w:semiHidden/>
    <w:unhideWhenUsed/>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D51A3E"/>
    <w:rPr>
      <w:rFonts w:ascii="Times New Roman" w:eastAsia="Times New Roman" w:hAnsi="Times New Roman" w:cs="Times New Roman"/>
      <w:sz w:val="24"/>
      <w:szCs w:val="24"/>
      <w:lang w:eastAsia="en-AU"/>
    </w:rPr>
  </w:style>
  <w:style w:type="paragraph" w:styleId="ListBullet">
    <w:name w:val="List Bullet"/>
    <w:basedOn w:val="Normal"/>
    <w:uiPriority w:val="99"/>
    <w:semiHidden/>
    <w:unhideWhenUsed/>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MABodyTextChar1">
    <w:name w:val="ACMA Body Text Char1"/>
    <w:basedOn w:val="DefaultParagraphFont"/>
    <w:link w:val="ACMABodyText"/>
    <w:uiPriority w:val="99"/>
    <w:rsid w:val="00D51A3E"/>
    <w:rPr>
      <w:rFonts w:ascii="Arial" w:eastAsia="Times New Roman" w:hAnsi="Arial" w:cs="Arial"/>
      <w:sz w:val="20"/>
      <w:szCs w:val="20"/>
    </w:rPr>
  </w:style>
  <w:style w:type="paragraph" w:customStyle="1" w:styleId="default">
    <w:name w:val="default"/>
    <w:basedOn w:val="Normal"/>
    <w:rsid w:val="00D73B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MABodyTextChar">
    <w:name w:val="ACMA Body Text Char"/>
    <w:basedOn w:val="DefaultParagraphFont"/>
    <w:locked/>
    <w:rsid w:val="009245BD"/>
    <w:rPr>
      <w:rFonts w:ascii="Arial" w:hAnsi="Arial" w:cs="Arial"/>
      <w:sz w:val="24"/>
      <w:szCs w:val="24"/>
      <w:lang w:eastAsia="en-US"/>
    </w:rPr>
  </w:style>
  <w:style w:type="paragraph" w:styleId="Title">
    <w:name w:val="Title"/>
    <w:basedOn w:val="Normal"/>
    <w:next w:val="Normal"/>
    <w:link w:val="TitleChar"/>
    <w:uiPriority w:val="10"/>
    <w:qFormat/>
    <w:rsid w:val="00E455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B8"/>
    <w:rPr>
      <w:rFonts w:asciiTheme="majorHAnsi" w:eastAsiaTheme="majorEastAsia" w:hAnsiTheme="majorHAnsi" w:cstheme="majorBidi"/>
      <w:spacing w:val="-10"/>
      <w:kern w:val="28"/>
      <w:sz w:val="56"/>
      <w:szCs w:val="56"/>
    </w:rPr>
  </w:style>
  <w:style w:type="character" w:styleId="PageNumber">
    <w:name w:val="page number"/>
    <w:rsid w:val="00E455B8"/>
    <w:rPr>
      <w:rFonts w:ascii="Arial" w:hAnsi="Arial"/>
      <w:sz w:val="22"/>
    </w:rPr>
  </w:style>
  <w:style w:type="character" w:styleId="Hyperlink">
    <w:name w:val="Hyperlink"/>
    <w:basedOn w:val="DefaultParagraphFont"/>
    <w:uiPriority w:val="99"/>
    <w:unhideWhenUsed/>
    <w:rsid w:val="00E455B8"/>
    <w:rPr>
      <w:color w:val="0000FF" w:themeColor="hyperlink"/>
      <w:u w:val="single"/>
    </w:rPr>
  </w:style>
  <w:style w:type="paragraph" w:customStyle="1" w:styleId="R1">
    <w:name w:val="R1"/>
    <w:aliases w:val="1. or 1.(1)"/>
    <w:basedOn w:val="Normal"/>
    <w:next w:val="Normal"/>
    <w:rsid w:val="00EC42D7"/>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rsid w:val="009176B5"/>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2">
    <w:name w:val="R2"/>
    <w:aliases w:val="(2)"/>
    <w:basedOn w:val="Normal"/>
    <w:rsid w:val="009176B5"/>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character" w:customStyle="1" w:styleId="CharPartText">
    <w:name w:val="CharPartText"/>
    <w:basedOn w:val="DefaultParagraphFont"/>
    <w:rsid w:val="00D647C4"/>
  </w:style>
  <w:style w:type="paragraph" w:customStyle="1" w:styleId="HP">
    <w:name w:val="HP"/>
    <w:aliases w:val="Part Heading"/>
    <w:basedOn w:val="Normal"/>
    <w:next w:val="Normal"/>
    <w:link w:val="HPChar"/>
    <w:rsid w:val="00D647C4"/>
    <w:pPr>
      <w:keepNext/>
      <w:spacing w:before="360" w:after="0" w:line="240" w:lineRule="auto"/>
      <w:ind w:left="2410" w:hanging="2410"/>
    </w:pPr>
    <w:rPr>
      <w:rFonts w:eastAsia="Times New Roman" w:cs="Times New Roman"/>
      <w:b/>
      <w:sz w:val="32"/>
      <w:szCs w:val="24"/>
    </w:rPr>
  </w:style>
  <w:style w:type="character" w:customStyle="1" w:styleId="HPChar">
    <w:name w:val="HP Char"/>
    <w:aliases w:val="Part Heading Char"/>
    <w:link w:val="HP"/>
    <w:rsid w:val="00D647C4"/>
    <w:rPr>
      <w:rFonts w:ascii="Arial" w:eastAsia="Times New Roman" w:hAnsi="Arial" w:cs="Times New Roman"/>
      <w:b/>
      <w:sz w:val="32"/>
      <w:szCs w:val="24"/>
    </w:rPr>
  </w:style>
  <w:style w:type="paragraph" w:customStyle="1" w:styleId="hr">
    <w:name w:val="hr"/>
    <w:basedOn w:val="Normal"/>
    <w:rsid w:val="00D647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22FB1"/>
    <w:pPr>
      <w:spacing w:after="0" w:line="240" w:lineRule="auto"/>
    </w:pPr>
    <w:rPr>
      <w:rFonts w:ascii="Calibri" w:eastAsia="Calibri" w:hAnsi="Calibri" w:cs="Times New Roman"/>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f,fn"/>
    <w:basedOn w:val="Normal"/>
    <w:link w:val="FootnoteTextChar"/>
    <w:rsid w:val="00616EC4"/>
    <w:pPr>
      <w:spacing w:after="0" w:line="240" w:lineRule="atLeast"/>
    </w:pPr>
    <w:rPr>
      <w:rFonts w:ascii="HelveticaNeueLT Std Lt" w:eastAsia="Times New Roman" w:hAnsi="HelveticaNeueLT Std Lt" w:cs="Times New Roman"/>
      <w:sz w:val="16"/>
      <w:szCs w:val="16"/>
      <w:lang w:eastAsia="en-AU"/>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rsid w:val="00616EC4"/>
    <w:rPr>
      <w:rFonts w:ascii="HelveticaNeueLT Std Lt" w:eastAsia="Times New Roman" w:hAnsi="HelveticaNeueLT Std Lt" w:cs="Times New Roman"/>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09478">
      <w:bodyDiv w:val="1"/>
      <w:marLeft w:val="0"/>
      <w:marRight w:val="0"/>
      <w:marTop w:val="0"/>
      <w:marBottom w:val="0"/>
      <w:divBdr>
        <w:top w:val="none" w:sz="0" w:space="0" w:color="auto"/>
        <w:left w:val="none" w:sz="0" w:space="0" w:color="auto"/>
        <w:bottom w:val="none" w:sz="0" w:space="0" w:color="auto"/>
        <w:right w:val="none" w:sz="0" w:space="0" w:color="auto"/>
      </w:divBdr>
      <w:divsChild>
        <w:div w:id="704407577">
          <w:marLeft w:val="0"/>
          <w:marRight w:val="0"/>
          <w:marTop w:val="0"/>
          <w:marBottom w:val="0"/>
          <w:divBdr>
            <w:top w:val="none" w:sz="0" w:space="0" w:color="auto"/>
            <w:left w:val="none" w:sz="0" w:space="0" w:color="auto"/>
            <w:bottom w:val="none" w:sz="0" w:space="0" w:color="auto"/>
            <w:right w:val="none" w:sz="0" w:space="0" w:color="auto"/>
          </w:divBdr>
          <w:divsChild>
            <w:div w:id="191964797">
              <w:marLeft w:val="0"/>
              <w:marRight w:val="0"/>
              <w:marTop w:val="0"/>
              <w:marBottom w:val="0"/>
              <w:divBdr>
                <w:top w:val="none" w:sz="0" w:space="0" w:color="auto"/>
                <w:left w:val="none" w:sz="0" w:space="0" w:color="auto"/>
                <w:bottom w:val="none" w:sz="0" w:space="0" w:color="auto"/>
                <w:right w:val="none" w:sz="0" w:space="0" w:color="auto"/>
              </w:divBdr>
              <w:divsChild>
                <w:div w:id="1305621508">
                  <w:marLeft w:val="0"/>
                  <w:marRight w:val="0"/>
                  <w:marTop w:val="0"/>
                  <w:marBottom w:val="0"/>
                  <w:divBdr>
                    <w:top w:val="none" w:sz="0" w:space="0" w:color="auto"/>
                    <w:left w:val="none" w:sz="0" w:space="0" w:color="auto"/>
                    <w:bottom w:val="none" w:sz="0" w:space="0" w:color="auto"/>
                    <w:right w:val="none" w:sz="0" w:space="0" w:color="auto"/>
                  </w:divBdr>
                  <w:divsChild>
                    <w:div w:id="388655500">
                      <w:marLeft w:val="0"/>
                      <w:marRight w:val="0"/>
                      <w:marTop w:val="0"/>
                      <w:marBottom w:val="0"/>
                      <w:divBdr>
                        <w:top w:val="none" w:sz="0" w:space="0" w:color="auto"/>
                        <w:left w:val="none" w:sz="0" w:space="0" w:color="auto"/>
                        <w:bottom w:val="none" w:sz="0" w:space="0" w:color="auto"/>
                        <w:right w:val="none" w:sz="0" w:space="0" w:color="auto"/>
                      </w:divBdr>
                      <w:divsChild>
                        <w:div w:id="554001245">
                          <w:marLeft w:val="0"/>
                          <w:marRight w:val="0"/>
                          <w:marTop w:val="0"/>
                          <w:marBottom w:val="0"/>
                          <w:divBdr>
                            <w:top w:val="single" w:sz="6" w:space="0" w:color="828282"/>
                            <w:left w:val="single" w:sz="6" w:space="0" w:color="828282"/>
                            <w:bottom w:val="single" w:sz="6" w:space="0" w:color="828282"/>
                            <w:right w:val="single" w:sz="6" w:space="0" w:color="828282"/>
                          </w:divBdr>
                          <w:divsChild>
                            <w:div w:id="417210838">
                              <w:marLeft w:val="0"/>
                              <w:marRight w:val="0"/>
                              <w:marTop w:val="0"/>
                              <w:marBottom w:val="0"/>
                              <w:divBdr>
                                <w:top w:val="none" w:sz="0" w:space="0" w:color="auto"/>
                                <w:left w:val="none" w:sz="0" w:space="0" w:color="auto"/>
                                <w:bottom w:val="none" w:sz="0" w:space="0" w:color="auto"/>
                                <w:right w:val="none" w:sz="0" w:space="0" w:color="auto"/>
                              </w:divBdr>
                              <w:divsChild>
                                <w:div w:id="699665172">
                                  <w:marLeft w:val="0"/>
                                  <w:marRight w:val="0"/>
                                  <w:marTop w:val="0"/>
                                  <w:marBottom w:val="0"/>
                                  <w:divBdr>
                                    <w:top w:val="none" w:sz="0" w:space="0" w:color="auto"/>
                                    <w:left w:val="none" w:sz="0" w:space="0" w:color="auto"/>
                                    <w:bottom w:val="none" w:sz="0" w:space="0" w:color="auto"/>
                                    <w:right w:val="none" w:sz="0" w:space="0" w:color="auto"/>
                                  </w:divBdr>
                                  <w:divsChild>
                                    <w:div w:id="1753309344">
                                      <w:marLeft w:val="0"/>
                                      <w:marRight w:val="0"/>
                                      <w:marTop w:val="0"/>
                                      <w:marBottom w:val="0"/>
                                      <w:divBdr>
                                        <w:top w:val="none" w:sz="0" w:space="0" w:color="auto"/>
                                        <w:left w:val="none" w:sz="0" w:space="0" w:color="auto"/>
                                        <w:bottom w:val="none" w:sz="0" w:space="0" w:color="auto"/>
                                        <w:right w:val="none" w:sz="0" w:space="0" w:color="auto"/>
                                      </w:divBdr>
                                      <w:divsChild>
                                        <w:div w:id="1805925970">
                                          <w:marLeft w:val="0"/>
                                          <w:marRight w:val="0"/>
                                          <w:marTop w:val="0"/>
                                          <w:marBottom w:val="0"/>
                                          <w:divBdr>
                                            <w:top w:val="none" w:sz="0" w:space="0" w:color="auto"/>
                                            <w:left w:val="none" w:sz="0" w:space="0" w:color="auto"/>
                                            <w:bottom w:val="none" w:sz="0" w:space="0" w:color="auto"/>
                                            <w:right w:val="none" w:sz="0" w:space="0" w:color="auto"/>
                                          </w:divBdr>
                                          <w:divsChild>
                                            <w:div w:id="873924935">
                                              <w:marLeft w:val="0"/>
                                              <w:marRight w:val="0"/>
                                              <w:marTop w:val="0"/>
                                              <w:marBottom w:val="0"/>
                                              <w:divBdr>
                                                <w:top w:val="none" w:sz="0" w:space="0" w:color="auto"/>
                                                <w:left w:val="none" w:sz="0" w:space="0" w:color="auto"/>
                                                <w:bottom w:val="none" w:sz="0" w:space="0" w:color="auto"/>
                                                <w:right w:val="none" w:sz="0" w:space="0" w:color="auto"/>
                                              </w:divBdr>
                                              <w:divsChild>
                                                <w:div w:id="4288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730116">
      <w:bodyDiv w:val="1"/>
      <w:marLeft w:val="0"/>
      <w:marRight w:val="0"/>
      <w:marTop w:val="0"/>
      <w:marBottom w:val="0"/>
      <w:divBdr>
        <w:top w:val="none" w:sz="0" w:space="0" w:color="auto"/>
        <w:left w:val="none" w:sz="0" w:space="0" w:color="auto"/>
        <w:bottom w:val="none" w:sz="0" w:space="0" w:color="auto"/>
        <w:right w:val="none" w:sz="0" w:space="0" w:color="auto"/>
      </w:divBdr>
      <w:divsChild>
        <w:div w:id="1823543125">
          <w:marLeft w:val="0"/>
          <w:marRight w:val="0"/>
          <w:marTop w:val="0"/>
          <w:marBottom w:val="0"/>
          <w:divBdr>
            <w:top w:val="none" w:sz="0" w:space="0" w:color="auto"/>
            <w:left w:val="none" w:sz="0" w:space="0" w:color="auto"/>
            <w:bottom w:val="none" w:sz="0" w:space="0" w:color="auto"/>
            <w:right w:val="none" w:sz="0" w:space="0" w:color="auto"/>
          </w:divBdr>
          <w:divsChild>
            <w:div w:id="1267543379">
              <w:marLeft w:val="0"/>
              <w:marRight w:val="0"/>
              <w:marTop w:val="0"/>
              <w:marBottom w:val="0"/>
              <w:divBdr>
                <w:top w:val="none" w:sz="0" w:space="0" w:color="auto"/>
                <w:left w:val="none" w:sz="0" w:space="0" w:color="auto"/>
                <w:bottom w:val="none" w:sz="0" w:space="0" w:color="auto"/>
                <w:right w:val="none" w:sz="0" w:space="0" w:color="auto"/>
              </w:divBdr>
              <w:divsChild>
                <w:div w:id="1648246373">
                  <w:marLeft w:val="0"/>
                  <w:marRight w:val="0"/>
                  <w:marTop w:val="0"/>
                  <w:marBottom w:val="0"/>
                  <w:divBdr>
                    <w:top w:val="none" w:sz="0" w:space="0" w:color="auto"/>
                    <w:left w:val="none" w:sz="0" w:space="0" w:color="auto"/>
                    <w:bottom w:val="none" w:sz="0" w:space="0" w:color="auto"/>
                    <w:right w:val="none" w:sz="0" w:space="0" w:color="auto"/>
                  </w:divBdr>
                  <w:divsChild>
                    <w:div w:id="1457597275">
                      <w:marLeft w:val="0"/>
                      <w:marRight w:val="0"/>
                      <w:marTop w:val="0"/>
                      <w:marBottom w:val="0"/>
                      <w:divBdr>
                        <w:top w:val="none" w:sz="0" w:space="0" w:color="auto"/>
                        <w:left w:val="none" w:sz="0" w:space="0" w:color="auto"/>
                        <w:bottom w:val="none" w:sz="0" w:space="0" w:color="auto"/>
                        <w:right w:val="none" w:sz="0" w:space="0" w:color="auto"/>
                      </w:divBdr>
                      <w:divsChild>
                        <w:div w:id="461265064">
                          <w:marLeft w:val="0"/>
                          <w:marRight w:val="0"/>
                          <w:marTop w:val="0"/>
                          <w:marBottom w:val="0"/>
                          <w:divBdr>
                            <w:top w:val="single" w:sz="6" w:space="0" w:color="828282"/>
                            <w:left w:val="single" w:sz="6" w:space="0" w:color="828282"/>
                            <w:bottom w:val="single" w:sz="6" w:space="0" w:color="828282"/>
                            <w:right w:val="single" w:sz="6" w:space="0" w:color="828282"/>
                          </w:divBdr>
                          <w:divsChild>
                            <w:div w:id="891964602">
                              <w:marLeft w:val="0"/>
                              <w:marRight w:val="0"/>
                              <w:marTop w:val="0"/>
                              <w:marBottom w:val="0"/>
                              <w:divBdr>
                                <w:top w:val="none" w:sz="0" w:space="0" w:color="auto"/>
                                <w:left w:val="none" w:sz="0" w:space="0" w:color="auto"/>
                                <w:bottom w:val="none" w:sz="0" w:space="0" w:color="auto"/>
                                <w:right w:val="none" w:sz="0" w:space="0" w:color="auto"/>
                              </w:divBdr>
                              <w:divsChild>
                                <w:div w:id="1541362842">
                                  <w:marLeft w:val="0"/>
                                  <w:marRight w:val="0"/>
                                  <w:marTop w:val="0"/>
                                  <w:marBottom w:val="0"/>
                                  <w:divBdr>
                                    <w:top w:val="none" w:sz="0" w:space="0" w:color="auto"/>
                                    <w:left w:val="none" w:sz="0" w:space="0" w:color="auto"/>
                                    <w:bottom w:val="none" w:sz="0" w:space="0" w:color="auto"/>
                                    <w:right w:val="none" w:sz="0" w:space="0" w:color="auto"/>
                                  </w:divBdr>
                                  <w:divsChild>
                                    <w:div w:id="5251531">
                                      <w:marLeft w:val="0"/>
                                      <w:marRight w:val="0"/>
                                      <w:marTop w:val="0"/>
                                      <w:marBottom w:val="0"/>
                                      <w:divBdr>
                                        <w:top w:val="none" w:sz="0" w:space="0" w:color="auto"/>
                                        <w:left w:val="none" w:sz="0" w:space="0" w:color="auto"/>
                                        <w:bottom w:val="none" w:sz="0" w:space="0" w:color="auto"/>
                                        <w:right w:val="none" w:sz="0" w:space="0" w:color="auto"/>
                                      </w:divBdr>
                                      <w:divsChild>
                                        <w:div w:id="22633318">
                                          <w:marLeft w:val="0"/>
                                          <w:marRight w:val="0"/>
                                          <w:marTop w:val="0"/>
                                          <w:marBottom w:val="0"/>
                                          <w:divBdr>
                                            <w:top w:val="none" w:sz="0" w:space="0" w:color="auto"/>
                                            <w:left w:val="none" w:sz="0" w:space="0" w:color="auto"/>
                                            <w:bottom w:val="none" w:sz="0" w:space="0" w:color="auto"/>
                                            <w:right w:val="none" w:sz="0" w:space="0" w:color="auto"/>
                                          </w:divBdr>
                                          <w:divsChild>
                                            <w:div w:id="387609978">
                                              <w:marLeft w:val="0"/>
                                              <w:marRight w:val="0"/>
                                              <w:marTop w:val="0"/>
                                              <w:marBottom w:val="0"/>
                                              <w:divBdr>
                                                <w:top w:val="none" w:sz="0" w:space="0" w:color="auto"/>
                                                <w:left w:val="none" w:sz="0" w:space="0" w:color="auto"/>
                                                <w:bottom w:val="none" w:sz="0" w:space="0" w:color="auto"/>
                                                <w:right w:val="none" w:sz="0" w:space="0" w:color="auto"/>
                                              </w:divBdr>
                                              <w:divsChild>
                                                <w:div w:id="14142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997509">
      <w:bodyDiv w:val="1"/>
      <w:marLeft w:val="0"/>
      <w:marRight w:val="0"/>
      <w:marTop w:val="0"/>
      <w:marBottom w:val="0"/>
      <w:divBdr>
        <w:top w:val="none" w:sz="0" w:space="0" w:color="auto"/>
        <w:left w:val="none" w:sz="0" w:space="0" w:color="auto"/>
        <w:bottom w:val="none" w:sz="0" w:space="0" w:color="auto"/>
        <w:right w:val="none" w:sz="0" w:space="0" w:color="auto"/>
      </w:divBdr>
      <w:divsChild>
        <w:div w:id="1075080778">
          <w:marLeft w:val="0"/>
          <w:marRight w:val="0"/>
          <w:marTop w:val="0"/>
          <w:marBottom w:val="0"/>
          <w:divBdr>
            <w:top w:val="none" w:sz="0" w:space="0" w:color="auto"/>
            <w:left w:val="none" w:sz="0" w:space="0" w:color="auto"/>
            <w:bottom w:val="none" w:sz="0" w:space="0" w:color="auto"/>
            <w:right w:val="none" w:sz="0" w:space="0" w:color="auto"/>
          </w:divBdr>
          <w:divsChild>
            <w:div w:id="2005670618">
              <w:marLeft w:val="0"/>
              <w:marRight w:val="0"/>
              <w:marTop w:val="0"/>
              <w:marBottom w:val="0"/>
              <w:divBdr>
                <w:top w:val="none" w:sz="0" w:space="0" w:color="auto"/>
                <w:left w:val="none" w:sz="0" w:space="0" w:color="auto"/>
                <w:bottom w:val="none" w:sz="0" w:space="0" w:color="auto"/>
                <w:right w:val="none" w:sz="0" w:space="0" w:color="auto"/>
              </w:divBdr>
              <w:divsChild>
                <w:div w:id="1654412303">
                  <w:marLeft w:val="0"/>
                  <w:marRight w:val="0"/>
                  <w:marTop w:val="0"/>
                  <w:marBottom w:val="0"/>
                  <w:divBdr>
                    <w:top w:val="none" w:sz="0" w:space="0" w:color="auto"/>
                    <w:left w:val="none" w:sz="0" w:space="0" w:color="auto"/>
                    <w:bottom w:val="none" w:sz="0" w:space="0" w:color="auto"/>
                    <w:right w:val="none" w:sz="0" w:space="0" w:color="auto"/>
                  </w:divBdr>
                  <w:divsChild>
                    <w:div w:id="1765958862">
                      <w:marLeft w:val="0"/>
                      <w:marRight w:val="0"/>
                      <w:marTop w:val="0"/>
                      <w:marBottom w:val="0"/>
                      <w:divBdr>
                        <w:top w:val="none" w:sz="0" w:space="0" w:color="auto"/>
                        <w:left w:val="none" w:sz="0" w:space="0" w:color="auto"/>
                        <w:bottom w:val="none" w:sz="0" w:space="0" w:color="auto"/>
                        <w:right w:val="none" w:sz="0" w:space="0" w:color="auto"/>
                      </w:divBdr>
                      <w:divsChild>
                        <w:div w:id="1806503589">
                          <w:marLeft w:val="0"/>
                          <w:marRight w:val="0"/>
                          <w:marTop w:val="0"/>
                          <w:marBottom w:val="0"/>
                          <w:divBdr>
                            <w:top w:val="single" w:sz="6" w:space="0" w:color="828282"/>
                            <w:left w:val="single" w:sz="6" w:space="0" w:color="828282"/>
                            <w:bottom w:val="single" w:sz="6" w:space="0" w:color="828282"/>
                            <w:right w:val="single" w:sz="6" w:space="0" w:color="828282"/>
                          </w:divBdr>
                          <w:divsChild>
                            <w:div w:id="731779069">
                              <w:marLeft w:val="0"/>
                              <w:marRight w:val="0"/>
                              <w:marTop w:val="0"/>
                              <w:marBottom w:val="0"/>
                              <w:divBdr>
                                <w:top w:val="none" w:sz="0" w:space="0" w:color="auto"/>
                                <w:left w:val="none" w:sz="0" w:space="0" w:color="auto"/>
                                <w:bottom w:val="none" w:sz="0" w:space="0" w:color="auto"/>
                                <w:right w:val="none" w:sz="0" w:space="0" w:color="auto"/>
                              </w:divBdr>
                              <w:divsChild>
                                <w:div w:id="741830872">
                                  <w:marLeft w:val="0"/>
                                  <w:marRight w:val="0"/>
                                  <w:marTop w:val="0"/>
                                  <w:marBottom w:val="0"/>
                                  <w:divBdr>
                                    <w:top w:val="none" w:sz="0" w:space="0" w:color="auto"/>
                                    <w:left w:val="none" w:sz="0" w:space="0" w:color="auto"/>
                                    <w:bottom w:val="none" w:sz="0" w:space="0" w:color="auto"/>
                                    <w:right w:val="none" w:sz="0" w:space="0" w:color="auto"/>
                                  </w:divBdr>
                                  <w:divsChild>
                                    <w:div w:id="622150542">
                                      <w:marLeft w:val="0"/>
                                      <w:marRight w:val="0"/>
                                      <w:marTop w:val="0"/>
                                      <w:marBottom w:val="0"/>
                                      <w:divBdr>
                                        <w:top w:val="none" w:sz="0" w:space="0" w:color="auto"/>
                                        <w:left w:val="none" w:sz="0" w:space="0" w:color="auto"/>
                                        <w:bottom w:val="none" w:sz="0" w:space="0" w:color="auto"/>
                                        <w:right w:val="none" w:sz="0" w:space="0" w:color="auto"/>
                                      </w:divBdr>
                                      <w:divsChild>
                                        <w:div w:id="891774177">
                                          <w:marLeft w:val="0"/>
                                          <w:marRight w:val="0"/>
                                          <w:marTop w:val="0"/>
                                          <w:marBottom w:val="0"/>
                                          <w:divBdr>
                                            <w:top w:val="none" w:sz="0" w:space="0" w:color="auto"/>
                                            <w:left w:val="none" w:sz="0" w:space="0" w:color="auto"/>
                                            <w:bottom w:val="none" w:sz="0" w:space="0" w:color="auto"/>
                                            <w:right w:val="none" w:sz="0" w:space="0" w:color="auto"/>
                                          </w:divBdr>
                                          <w:divsChild>
                                            <w:div w:id="1590851700">
                                              <w:marLeft w:val="0"/>
                                              <w:marRight w:val="0"/>
                                              <w:marTop w:val="0"/>
                                              <w:marBottom w:val="0"/>
                                              <w:divBdr>
                                                <w:top w:val="none" w:sz="0" w:space="0" w:color="auto"/>
                                                <w:left w:val="none" w:sz="0" w:space="0" w:color="auto"/>
                                                <w:bottom w:val="none" w:sz="0" w:space="0" w:color="auto"/>
                                                <w:right w:val="none" w:sz="0" w:space="0" w:color="auto"/>
                                              </w:divBdr>
                                              <w:divsChild>
                                                <w:div w:id="12946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4426764">
      <w:bodyDiv w:val="1"/>
      <w:marLeft w:val="0"/>
      <w:marRight w:val="0"/>
      <w:marTop w:val="0"/>
      <w:marBottom w:val="0"/>
      <w:divBdr>
        <w:top w:val="none" w:sz="0" w:space="0" w:color="auto"/>
        <w:left w:val="none" w:sz="0" w:space="0" w:color="auto"/>
        <w:bottom w:val="none" w:sz="0" w:space="0" w:color="auto"/>
        <w:right w:val="none" w:sz="0" w:space="0" w:color="auto"/>
      </w:divBdr>
      <w:divsChild>
        <w:div w:id="1101099568">
          <w:marLeft w:val="0"/>
          <w:marRight w:val="0"/>
          <w:marTop w:val="0"/>
          <w:marBottom w:val="0"/>
          <w:divBdr>
            <w:top w:val="none" w:sz="0" w:space="0" w:color="auto"/>
            <w:left w:val="none" w:sz="0" w:space="0" w:color="auto"/>
            <w:bottom w:val="none" w:sz="0" w:space="0" w:color="auto"/>
            <w:right w:val="none" w:sz="0" w:space="0" w:color="auto"/>
          </w:divBdr>
          <w:divsChild>
            <w:div w:id="1239562769">
              <w:marLeft w:val="0"/>
              <w:marRight w:val="0"/>
              <w:marTop w:val="0"/>
              <w:marBottom w:val="0"/>
              <w:divBdr>
                <w:top w:val="none" w:sz="0" w:space="0" w:color="auto"/>
                <w:left w:val="none" w:sz="0" w:space="0" w:color="auto"/>
                <w:bottom w:val="none" w:sz="0" w:space="0" w:color="auto"/>
                <w:right w:val="none" w:sz="0" w:space="0" w:color="auto"/>
              </w:divBdr>
              <w:divsChild>
                <w:div w:id="882667616">
                  <w:marLeft w:val="0"/>
                  <w:marRight w:val="0"/>
                  <w:marTop w:val="0"/>
                  <w:marBottom w:val="0"/>
                  <w:divBdr>
                    <w:top w:val="none" w:sz="0" w:space="0" w:color="auto"/>
                    <w:left w:val="none" w:sz="0" w:space="0" w:color="auto"/>
                    <w:bottom w:val="none" w:sz="0" w:space="0" w:color="auto"/>
                    <w:right w:val="none" w:sz="0" w:space="0" w:color="auto"/>
                  </w:divBdr>
                  <w:divsChild>
                    <w:div w:id="1734813900">
                      <w:marLeft w:val="0"/>
                      <w:marRight w:val="0"/>
                      <w:marTop w:val="0"/>
                      <w:marBottom w:val="0"/>
                      <w:divBdr>
                        <w:top w:val="none" w:sz="0" w:space="0" w:color="auto"/>
                        <w:left w:val="none" w:sz="0" w:space="0" w:color="auto"/>
                        <w:bottom w:val="none" w:sz="0" w:space="0" w:color="auto"/>
                        <w:right w:val="none" w:sz="0" w:space="0" w:color="auto"/>
                      </w:divBdr>
                      <w:divsChild>
                        <w:div w:id="332728196">
                          <w:marLeft w:val="0"/>
                          <w:marRight w:val="0"/>
                          <w:marTop w:val="0"/>
                          <w:marBottom w:val="0"/>
                          <w:divBdr>
                            <w:top w:val="single" w:sz="6" w:space="0" w:color="828282"/>
                            <w:left w:val="single" w:sz="6" w:space="0" w:color="828282"/>
                            <w:bottom w:val="single" w:sz="6" w:space="0" w:color="828282"/>
                            <w:right w:val="single" w:sz="6" w:space="0" w:color="828282"/>
                          </w:divBdr>
                          <w:divsChild>
                            <w:div w:id="1038049441">
                              <w:marLeft w:val="0"/>
                              <w:marRight w:val="0"/>
                              <w:marTop w:val="0"/>
                              <w:marBottom w:val="0"/>
                              <w:divBdr>
                                <w:top w:val="none" w:sz="0" w:space="0" w:color="auto"/>
                                <w:left w:val="none" w:sz="0" w:space="0" w:color="auto"/>
                                <w:bottom w:val="none" w:sz="0" w:space="0" w:color="auto"/>
                                <w:right w:val="none" w:sz="0" w:space="0" w:color="auto"/>
                              </w:divBdr>
                              <w:divsChild>
                                <w:div w:id="182525048">
                                  <w:marLeft w:val="0"/>
                                  <w:marRight w:val="0"/>
                                  <w:marTop w:val="0"/>
                                  <w:marBottom w:val="0"/>
                                  <w:divBdr>
                                    <w:top w:val="none" w:sz="0" w:space="0" w:color="auto"/>
                                    <w:left w:val="none" w:sz="0" w:space="0" w:color="auto"/>
                                    <w:bottom w:val="none" w:sz="0" w:space="0" w:color="auto"/>
                                    <w:right w:val="none" w:sz="0" w:space="0" w:color="auto"/>
                                  </w:divBdr>
                                  <w:divsChild>
                                    <w:div w:id="334265313">
                                      <w:marLeft w:val="0"/>
                                      <w:marRight w:val="0"/>
                                      <w:marTop w:val="0"/>
                                      <w:marBottom w:val="0"/>
                                      <w:divBdr>
                                        <w:top w:val="none" w:sz="0" w:space="0" w:color="auto"/>
                                        <w:left w:val="none" w:sz="0" w:space="0" w:color="auto"/>
                                        <w:bottom w:val="none" w:sz="0" w:space="0" w:color="auto"/>
                                        <w:right w:val="none" w:sz="0" w:space="0" w:color="auto"/>
                                      </w:divBdr>
                                      <w:divsChild>
                                        <w:div w:id="507452335">
                                          <w:marLeft w:val="0"/>
                                          <w:marRight w:val="0"/>
                                          <w:marTop w:val="0"/>
                                          <w:marBottom w:val="0"/>
                                          <w:divBdr>
                                            <w:top w:val="none" w:sz="0" w:space="0" w:color="auto"/>
                                            <w:left w:val="none" w:sz="0" w:space="0" w:color="auto"/>
                                            <w:bottom w:val="none" w:sz="0" w:space="0" w:color="auto"/>
                                            <w:right w:val="none" w:sz="0" w:space="0" w:color="auto"/>
                                          </w:divBdr>
                                          <w:divsChild>
                                            <w:div w:id="1865292062">
                                              <w:marLeft w:val="0"/>
                                              <w:marRight w:val="0"/>
                                              <w:marTop w:val="0"/>
                                              <w:marBottom w:val="0"/>
                                              <w:divBdr>
                                                <w:top w:val="none" w:sz="0" w:space="0" w:color="auto"/>
                                                <w:left w:val="none" w:sz="0" w:space="0" w:color="auto"/>
                                                <w:bottom w:val="none" w:sz="0" w:space="0" w:color="auto"/>
                                                <w:right w:val="none" w:sz="0" w:space="0" w:color="auto"/>
                                              </w:divBdr>
                                              <w:divsChild>
                                                <w:div w:id="1778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577752">
      <w:bodyDiv w:val="1"/>
      <w:marLeft w:val="0"/>
      <w:marRight w:val="0"/>
      <w:marTop w:val="0"/>
      <w:marBottom w:val="0"/>
      <w:divBdr>
        <w:top w:val="none" w:sz="0" w:space="0" w:color="auto"/>
        <w:left w:val="none" w:sz="0" w:space="0" w:color="auto"/>
        <w:bottom w:val="none" w:sz="0" w:space="0" w:color="auto"/>
        <w:right w:val="none" w:sz="0" w:space="0" w:color="auto"/>
      </w:divBdr>
      <w:divsChild>
        <w:div w:id="1592735089">
          <w:marLeft w:val="0"/>
          <w:marRight w:val="0"/>
          <w:marTop w:val="0"/>
          <w:marBottom w:val="0"/>
          <w:divBdr>
            <w:top w:val="none" w:sz="0" w:space="0" w:color="auto"/>
            <w:left w:val="none" w:sz="0" w:space="0" w:color="auto"/>
            <w:bottom w:val="none" w:sz="0" w:space="0" w:color="auto"/>
            <w:right w:val="none" w:sz="0" w:space="0" w:color="auto"/>
          </w:divBdr>
          <w:divsChild>
            <w:div w:id="1572689341">
              <w:marLeft w:val="0"/>
              <w:marRight w:val="0"/>
              <w:marTop w:val="0"/>
              <w:marBottom w:val="0"/>
              <w:divBdr>
                <w:top w:val="none" w:sz="0" w:space="0" w:color="auto"/>
                <w:left w:val="none" w:sz="0" w:space="0" w:color="auto"/>
                <w:bottom w:val="none" w:sz="0" w:space="0" w:color="auto"/>
                <w:right w:val="none" w:sz="0" w:space="0" w:color="auto"/>
              </w:divBdr>
              <w:divsChild>
                <w:div w:id="2052875540">
                  <w:marLeft w:val="0"/>
                  <w:marRight w:val="0"/>
                  <w:marTop w:val="0"/>
                  <w:marBottom w:val="0"/>
                  <w:divBdr>
                    <w:top w:val="none" w:sz="0" w:space="0" w:color="auto"/>
                    <w:left w:val="none" w:sz="0" w:space="0" w:color="auto"/>
                    <w:bottom w:val="none" w:sz="0" w:space="0" w:color="auto"/>
                    <w:right w:val="none" w:sz="0" w:space="0" w:color="auto"/>
                  </w:divBdr>
                  <w:divsChild>
                    <w:div w:id="1662468978">
                      <w:marLeft w:val="0"/>
                      <w:marRight w:val="0"/>
                      <w:marTop w:val="0"/>
                      <w:marBottom w:val="0"/>
                      <w:divBdr>
                        <w:top w:val="none" w:sz="0" w:space="0" w:color="auto"/>
                        <w:left w:val="none" w:sz="0" w:space="0" w:color="auto"/>
                        <w:bottom w:val="none" w:sz="0" w:space="0" w:color="auto"/>
                        <w:right w:val="none" w:sz="0" w:space="0" w:color="auto"/>
                      </w:divBdr>
                      <w:divsChild>
                        <w:div w:id="2108768743">
                          <w:marLeft w:val="0"/>
                          <w:marRight w:val="0"/>
                          <w:marTop w:val="0"/>
                          <w:marBottom w:val="0"/>
                          <w:divBdr>
                            <w:top w:val="single" w:sz="6" w:space="0" w:color="828282"/>
                            <w:left w:val="single" w:sz="6" w:space="0" w:color="828282"/>
                            <w:bottom w:val="single" w:sz="6" w:space="0" w:color="828282"/>
                            <w:right w:val="single" w:sz="6" w:space="0" w:color="828282"/>
                          </w:divBdr>
                          <w:divsChild>
                            <w:div w:id="665479906">
                              <w:marLeft w:val="0"/>
                              <w:marRight w:val="0"/>
                              <w:marTop w:val="0"/>
                              <w:marBottom w:val="0"/>
                              <w:divBdr>
                                <w:top w:val="none" w:sz="0" w:space="0" w:color="auto"/>
                                <w:left w:val="none" w:sz="0" w:space="0" w:color="auto"/>
                                <w:bottom w:val="none" w:sz="0" w:space="0" w:color="auto"/>
                                <w:right w:val="none" w:sz="0" w:space="0" w:color="auto"/>
                              </w:divBdr>
                              <w:divsChild>
                                <w:div w:id="1442455528">
                                  <w:marLeft w:val="0"/>
                                  <w:marRight w:val="0"/>
                                  <w:marTop w:val="0"/>
                                  <w:marBottom w:val="0"/>
                                  <w:divBdr>
                                    <w:top w:val="none" w:sz="0" w:space="0" w:color="auto"/>
                                    <w:left w:val="none" w:sz="0" w:space="0" w:color="auto"/>
                                    <w:bottom w:val="none" w:sz="0" w:space="0" w:color="auto"/>
                                    <w:right w:val="none" w:sz="0" w:space="0" w:color="auto"/>
                                  </w:divBdr>
                                  <w:divsChild>
                                    <w:div w:id="1375226596">
                                      <w:marLeft w:val="0"/>
                                      <w:marRight w:val="0"/>
                                      <w:marTop w:val="0"/>
                                      <w:marBottom w:val="0"/>
                                      <w:divBdr>
                                        <w:top w:val="none" w:sz="0" w:space="0" w:color="auto"/>
                                        <w:left w:val="none" w:sz="0" w:space="0" w:color="auto"/>
                                        <w:bottom w:val="none" w:sz="0" w:space="0" w:color="auto"/>
                                        <w:right w:val="none" w:sz="0" w:space="0" w:color="auto"/>
                                      </w:divBdr>
                                      <w:divsChild>
                                        <w:div w:id="45691309">
                                          <w:marLeft w:val="0"/>
                                          <w:marRight w:val="0"/>
                                          <w:marTop w:val="0"/>
                                          <w:marBottom w:val="0"/>
                                          <w:divBdr>
                                            <w:top w:val="none" w:sz="0" w:space="0" w:color="auto"/>
                                            <w:left w:val="none" w:sz="0" w:space="0" w:color="auto"/>
                                            <w:bottom w:val="none" w:sz="0" w:space="0" w:color="auto"/>
                                            <w:right w:val="none" w:sz="0" w:space="0" w:color="auto"/>
                                          </w:divBdr>
                                          <w:divsChild>
                                            <w:div w:id="2066247224">
                                              <w:marLeft w:val="0"/>
                                              <w:marRight w:val="0"/>
                                              <w:marTop w:val="0"/>
                                              <w:marBottom w:val="0"/>
                                              <w:divBdr>
                                                <w:top w:val="none" w:sz="0" w:space="0" w:color="auto"/>
                                                <w:left w:val="none" w:sz="0" w:space="0" w:color="auto"/>
                                                <w:bottom w:val="none" w:sz="0" w:space="0" w:color="auto"/>
                                                <w:right w:val="none" w:sz="0" w:space="0" w:color="auto"/>
                                              </w:divBdr>
                                              <w:divsChild>
                                                <w:div w:id="698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441704">
      <w:bodyDiv w:val="1"/>
      <w:marLeft w:val="0"/>
      <w:marRight w:val="0"/>
      <w:marTop w:val="0"/>
      <w:marBottom w:val="0"/>
      <w:divBdr>
        <w:top w:val="none" w:sz="0" w:space="0" w:color="auto"/>
        <w:left w:val="none" w:sz="0" w:space="0" w:color="auto"/>
        <w:bottom w:val="none" w:sz="0" w:space="0" w:color="auto"/>
        <w:right w:val="none" w:sz="0" w:space="0" w:color="auto"/>
      </w:divBdr>
      <w:divsChild>
        <w:div w:id="1340036798">
          <w:marLeft w:val="0"/>
          <w:marRight w:val="0"/>
          <w:marTop w:val="0"/>
          <w:marBottom w:val="0"/>
          <w:divBdr>
            <w:top w:val="none" w:sz="0" w:space="0" w:color="auto"/>
            <w:left w:val="none" w:sz="0" w:space="0" w:color="auto"/>
            <w:bottom w:val="none" w:sz="0" w:space="0" w:color="auto"/>
            <w:right w:val="none" w:sz="0" w:space="0" w:color="auto"/>
          </w:divBdr>
          <w:divsChild>
            <w:div w:id="1517767007">
              <w:marLeft w:val="0"/>
              <w:marRight w:val="0"/>
              <w:marTop w:val="0"/>
              <w:marBottom w:val="0"/>
              <w:divBdr>
                <w:top w:val="none" w:sz="0" w:space="0" w:color="auto"/>
                <w:left w:val="none" w:sz="0" w:space="0" w:color="auto"/>
                <w:bottom w:val="none" w:sz="0" w:space="0" w:color="auto"/>
                <w:right w:val="none" w:sz="0" w:space="0" w:color="auto"/>
              </w:divBdr>
              <w:divsChild>
                <w:div w:id="1648624716">
                  <w:marLeft w:val="0"/>
                  <w:marRight w:val="0"/>
                  <w:marTop w:val="0"/>
                  <w:marBottom w:val="0"/>
                  <w:divBdr>
                    <w:top w:val="none" w:sz="0" w:space="0" w:color="auto"/>
                    <w:left w:val="none" w:sz="0" w:space="0" w:color="auto"/>
                    <w:bottom w:val="none" w:sz="0" w:space="0" w:color="auto"/>
                    <w:right w:val="none" w:sz="0" w:space="0" w:color="auto"/>
                  </w:divBdr>
                  <w:divsChild>
                    <w:div w:id="2014455933">
                      <w:marLeft w:val="0"/>
                      <w:marRight w:val="0"/>
                      <w:marTop w:val="0"/>
                      <w:marBottom w:val="0"/>
                      <w:divBdr>
                        <w:top w:val="none" w:sz="0" w:space="0" w:color="auto"/>
                        <w:left w:val="none" w:sz="0" w:space="0" w:color="auto"/>
                        <w:bottom w:val="none" w:sz="0" w:space="0" w:color="auto"/>
                        <w:right w:val="none" w:sz="0" w:space="0" w:color="auto"/>
                      </w:divBdr>
                      <w:divsChild>
                        <w:div w:id="525368111">
                          <w:marLeft w:val="0"/>
                          <w:marRight w:val="0"/>
                          <w:marTop w:val="0"/>
                          <w:marBottom w:val="0"/>
                          <w:divBdr>
                            <w:top w:val="single" w:sz="6" w:space="0" w:color="828282"/>
                            <w:left w:val="single" w:sz="6" w:space="0" w:color="828282"/>
                            <w:bottom w:val="single" w:sz="6" w:space="0" w:color="828282"/>
                            <w:right w:val="single" w:sz="6" w:space="0" w:color="828282"/>
                          </w:divBdr>
                          <w:divsChild>
                            <w:div w:id="1607151713">
                              <w:marLeft w:val="0"/>
                              <w:marRight w:val="0"/>
                              <w:marTop w:val="0"/>
                              <w:marBottom w:val="0"/>
                              <w:divBdr>
                                <w:top w:val="none" w:sz="0" w:space="0" w:color="auto"/>
                                <w:left w:val="none" w:sz="0" w:space="0" w:color="auto"/>
                                <w:bottom w:val="none" w:sz="0" w:space="0" w:color="auto"/>
                                <w:right w:val="none" w:sz="0" w:space="0" w:color="auto"/>
                              </w:divBdr>
                              <w:divsChild>
                                <w:div w:id="156385827">
                                  <w:marLeft w:val="0"/>
                                  <w:marRight w:val="0"/>
                                  <w:marTop w:val="0"/>
                                  <w:marBottom w:val="0"/>
                                  <w:divBdr>
                                    <w:top w:val="none" w:sz="0" w:space="0" w:color="auto"/>
                                    <w:left w:val="none" w:sz="0" w:space="0" w:color="auto"/>
                                    <w:bottom w:val="none" w:sz="0" w:space="0" w:color="auto"/>
                                    <w:right w:val="none" w:sz="0" w:space="0" w:color="auto"/>
                                  </w:divBdr>
                                  <w:divsChild>
                                    <w:div w:id="969360067">
                                      <w:marLeft w:val="0"/>
                                      <w:marRight w:val="0"/>
                                      <w:marTop w:val="0"/>
                                      <w:marBottom w:val="0"/>
                                      <w:divBdr>
                                        <w:top w:val="none" w:sz="0" w:space="0" w:color="auto"/>
                                        <w:left w:val="none" w:sz="0" w:space="0" w:color="auto"/>
                                        <w:bottom w:val="none" w:sz="0" w:space="0" w:color="auto"/>
                                        <w:right w:val="none" w:sz="0" w:space="0" w:color="auto"/>
                                      </w:divBdr>
                                      <w:divsChild>
                                        <w:div w:id="1617173564">
                                          <w:marLeft w:val="0"/>
                                          <w:marRight w:val="0"/>
                                          <w:marTop w:val="0"/>
                                          <w:marBottom w:val="0"/>
                                          <w:divBdr>
                                            <w:top w:val="none" w:sz="0" w:space="0" w:color="auto"/>
                                            <w:left w:val="none" w:sz="0" w:space="0" w:color="auto"/>
                                            <w:bottom w:val="none" w:sz="0" w:space="0" w:color="auto"/>
                                            <w:right w:val="none" w:sz="0" w:space="0" w:color="auto"/>
                                          </w:divBdr>
                                          <w:divsChild>
                                            <w:div w:id="240720503">
                                              <w:marLeft w:val="0"/>
                                              <w:marRight w:val="0"/>
                                              <w:marTop w:val="0"/>
                                              <w:marBottom w:val="0"/>
                                              <w:divBdr>
                                                <w:top w:val="none" w:sz="0" w:space="0" w:color="auto"/>
                                                <w:left w:val="none" w:sz="0" w:space="0" w:color="auto"/>
                                                <w:bottom w:val="none" w:sz="0" w:space="0" w:color="auto"/>
                                                <w:right w:val="none" w:sz="0" w:space="0" w:color="auto"/>
                                              </w:divBdr>
                                              <w:divsChild>
                                                <w:div w:id="16199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88423">
      <w:bodyDiv w:val="1"/>
      <w:marLeft w:val="0"/>
      <w:marRight w:val="0"/>
      <w:marTop w:val="0"/>
      <w:marBottom w:val="0"/>
      <w:divBdr>
        <w:top w:val="none" w:sz="0" w:space="0" w:color="auto"/>
        <w:left w:val="none" w:sz="0" w:space="0" w:color="auto"/>
        <w:bottom w:val="none" w:sz="0" w:space="0" w:color="auto"/>
        <w:right w:val="none" w:sz="0" w:space="0" w:color="auto"/>
      </w:divBdr>
      <w:divsChild>
        <w:div w:id="1031805603">
          <w:marLeft w:val="0"/>
          <w:marRight w:val="0"/>
          <w:marTop w:val="0"/>
          <w:marBottom w:val="0"/>
          <w:divBdr>
            <w:top w:val="none" w:sz="0" w:space="0" w:color="auto"/>
            <w:left w:val="none" w:sz="0" w:space="0" w:color="auto"/>
            <w:bottom w:val="none" w:sz="0" w:space="0" w:color="auto"/>
            <w:right w:val="none" w:sz="0" w:space="0" w:color="auto"/>
          </w:divBdr>
          <w:divsChild>
            <w:div w:id="1845974597">
              <w:marLeft w:val="0"/>
              <w:marRight w:val="0"/>
              <w:marTop w:val="0"/>
              <w:marBottom w:val="0"/>
              <w:divBdr>
                <w:top w:val="none" w:sz="0" w:space="0" w:color="auto"/>
                <w:left w:val="none" w:sz="0" w:space="0" w:color="auto"/>
                <w:bottom w:val="none" w:sz="0" w:space="0" w:color="auto"/>
                <w:right w:val="none" w:sz="0" w:space="0" w:color="auto"/>
              </w:divBdr>
              <w:divsChild>
                <w:div w:id="1508211059">
                  <w:marLeft w:val="0"/>
                  <w:marRight w:val="0"/>
                  <w:marTop w:val="0"/>
                  <w:marBottom w:val="0"/>
                  <w:divBdr>
                    <w:top w:val="none" w:sz="0" w:space="0" w:color="auto"/>
                    <w:left w:val="none" w:sz="0" w:space="0" w:color="auto"/>
                    <w:bottom w:val="none" w:sz="0" w:space="0" w:color="auto"/>
                    <w:right w:val="none" w:sz="0" w:space="0" w:color="auto"/>
                  </w:divBdr>
                  <w:divsChild>
                    <w:div w:id="305859227">
                      <w:marLeft w:val="0"/>
                      <w:marRight w:val="0"/>
                      <w:marTop w:val="0"/>
                      <w:marBottom w:val="0"/>
                      <w:divBdr>
                        <w:top w:val="none" w:sz="0" w:space="0" w:color="auto"/>
                        <w:left w:val="none" w:sz="0" w:space="0" w:color="auto"/>
                        <w:bottom w:val="none" w:sz="0" w:space="0" w:color="auto"/>
                        <w:right w:val="none" w:sz="0" w:space="0" w:color="auto"/>
                      </w:divBdr>
                      <w:divsChild>
                        <w:div w:id="1081638261">
                          <w:marLeft w:val="0"/>
                          <w:marRight w:val="0"/>
                          <w:marTop w:val="0"/>
                          <w:marBottom w:val="0"/>
                          <w:divBdr>
                            <w:top w:val="single" w:sz="6" w:space="0" w:color="828282"/>
                            <w:left w:val="single" w:sz="6" w:space="0" w:color="828282"/>
                            <w:bottom w:val="single" w:sz="6" w:space="0" w:color="828282"/>
                            <w:right w:val="single" w:sz="6" w:space="0" w:color="828282"/>
                          </w:divBdr>
                          <w:divsChild>
                            <w:div w:id="461005038">
                              <w:marLeft w:val="0"/>
                              <w:marRight w:val="0"/>
                              <w:marTop w:val="0"/>
                              <w:marBottom w:val="0"/>
                              <w:divBdr>
                                <w:top w:val="none" w:sz="0" w:space="0" w:color="auto"/>
                                <w:left w:val="none" w:sz="0" w:space="0" w:color="auto"/>
                                <w:bottom w:val="none" w:sz="0" w:space="0" w:color="auto"/>
                                <w:right w:val="none" w:sz="0" w:space="0" w:color="auto"/>
                              </w:divBdr>
                              <w:divsChild>
                                <w:div w:id="708652466">
                                  <w:marLeft w:val="0"/>
                                  <w:marRight w:val="0"/>
                                  <w:marTop w:val="0"/>
                                  <w:marBottom w:val="0"/>
                                  <w:divBdr>
                                    <w:top w:val="none" w:sz="0" w:space="0" w:color="auto"/>
                                    <w:left w:val="none" w:sz="0" w:space="0" w:color="auto"/>
                                    <w:bottom w:val="none" w:sz="0" w:space="0" w:color="auto"/>
                                    <w:right w:val="none" w:sz="0" w:space="0" w:color="auto"/>
                                  </w:divBdr>
                                  <w:divsChild>
                                    <w:div w:id="1921285872">
                                      <w:marLeft w:val="0"/>
                                      <w:marRight w:val="0"/>
                                      <w:marTop w:val="0"/>
                                      <w:marBottom w:val="0"/>
                                      <w:divBdr>
                                        <w:top w:val="none" w:sz="0" w:space="0" w:color="auto"/>
                                        <w:left w:val="none" w:sz="0" w:space="0" w:color="auto"/>
                                        <w:bottom w:val="none" w:sz="0" w:space="0" w:color="auto"/>
                                        <w:right w:val="none" w:sz="0" w:space="0" w:color="auto"/>
                                      </w:divBdr>
                                      <w:divsChild>
                                        <w:div w:id="306593285">
                                          <w:marLeft w:val="0"/>
                                          <w:marRight w:val="0"/>
                                          <w:marTop w:val="0"/>
                                          <w:marBottom w:val="0"/>
                                          <w:divBdr>
                                            <w:top w:val="none" w:sz="0" w:space="0" w:color="auto"/>
                                            <w:left w:val="none" w:sz="0" w:space="0" w:color="auto"/>
                                            <w:bottom w:val="none" w:sz="0" w:space="0" w:color="auto"/>
                                            <w:right w:val="none" w:sz="0" w:space="0" w:color="auto"/>
                                          </w:divBdr>
                                          <w:divsChild>
                                            <w:div w:id="177349068">
                                              <w:marLeft w:val="0"/>
                                              <w:marRight w:val="0"/>
                                              <w:marTop w:val="0"/>
                                              <w:marBottom w:val="0"/>
                                              <w:divBdr>
                                                <w:top w:val="none" w:sz="0" w:space="0" w:color="auto"/>
                                                <w:left w:val="none" w:sz="0" w:space="0" w:color="auto"/>
                                                <w:bottom w:val="none" w:sz="0" w:space="0" w:color="auto"/>
                                                <w:right w:val="none" w:sz="0" w:space="0" w:color="auto"/>
                                              </w:divBdr>
                                              <w:divsChild>
                                                <w:div w:id="40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21232">
      <w:bodyDiv w:val="1"/>
      <w:marLeft w:val="0"/>
      <w:marRight w:val="0"/>
      <w:marTop w:val="0"/>
      <w:marBottom w:val="0"/>
      <w:divBdr>
        <w:top w:val="none" w:sz="0" w:space="0" w:color="auto"/>
        <w:left w:val="none" w:sz="0" w:space="0" w:color="auto"/>
        <w:bottom w:val="none" w:sz="0" w:space="0" w:color="auto"/>
        <w:right w:val="none" w:sz="0" w:space="0" w:color="auto"/>
      </w:divBdr>
      <w:divsChild>
        <w:div w:id="1897935078">
          <w:marLeft w:val="0"/>
          <w:marRight w:val="0"/>
          <w:marTop w:val="0"/>
          <w:marBottom w:val="0"/>
          <w:divBdr>
            <w:top w:val="none" w:sz="0" w:space="0" w:color="auto"/>
            <w:left w:val="none" w:sz="0" w:space="0" w:color="auto"/>
            <w:bottom w:val="none" w:sz="0" w:space="0" w:color="auto"/>
            <w:right w:val="none" w:sz="0" w:space="0" w:color="auto"/>
          </w:divBdr>
          <w:divsChild>
            <w:div w:id="98643153">
              <w:marLeft w:val="0"/>
              <w:marRight w:val="0"/>
              <w:marTop w:val="0"/>
              <w:marBottom w:val="0"/>
              <w:divBdr>
                <w:top w:val="none" w:sz="0" w:space="0" w:color="auto"/>
                <w:left w:val="none" w:sz="0" w:space="0" w:color="auto"/>
                <w:bottom w:val="none" w:sz="0" w:space="0" w:color="auto"/>
                <w:right w:val="none" w:sz="0" w:space="0" w:color="auto"/>
              </w:divBdr>
              <w:divsChild>
                <w:div w:id="555048646">
                  <w:marLeft w:val="0"/>
                  <w:marRight w:val="0"/>
                  <w:marTop w:val="0"/>
                  <w:marBottom w:val="0"/>
                  <w:divBdr>
                    <w:top w:val="none" w:sz="0" w:space="0" w:color="auto"/>
                    <w:left w:val="none" w:sz="0" w:space="0" w:color="auto"/>
                    <w:bottom w:val="none" w:sz="0" w:space="0" w:color="auto"/>
                    <w:right w:val="none" w:sz="0" w:space="0" w:color="auto"/>
                  </w:divBdr>
                  <w:divsChild>
                    <w:div w:id="217712865">
                      <w:marLeft w:val="0"/>
                      <w:marRight w:val="0"/>
                      <w:marTop w:val="0"/>
                      <w:marBottom w:val="0"/>
                      <w:divBdr>
                        <w:top w:val="none" w:sz="0" w:space="0" w:color="auto"/>
                        <w:left w:val="none" w:sz="0" w:space="0" w:color="auto"/>
                        <w:bottom w:val="none" w:sz="0" w:space="0" w:color="auto"/>
                        <w:right w:val="none" w:sz="0" w:space="0" w:color="auto"/>
                      </w:divBdr>
                      <w:divsChild>
                        <w:div w:id="2048215135">
                          <w:marLeft w:val="0"/>
                          <w:marRight w:val="0"/>
                          <w:marTop w:val="0"/>
                          <w:marBottom w:val="0"/>
                          <w:divBdr>
                            <w:top w:val="single" w:sz="6" w:space="0" w:color="828282"/>
                            <w:left w:val="single" w:sz="6" w:space="0" w:color="828282"/>
                            <w:bottom w:val="single" w:sz="6" w:space="0" w:color="828282"/>
                            <w:right w:val="single" w:sz="6" w:space="0" w:color="828282"/>
                          </w:divBdr>
                          <w:divsChild>
                            <w:div w:id="233398242">
                              <w:marLeft w:val="0"/>
                              <w:marRight w:val="0"/>
                              <w:marTop w:val="0"/>
                              <w:marBottom w:val="0"/>
                              <w:divBdr>
                                <w:top w:val="none" w:sz="0" w:space="0" w:color="auto"/>
                                <w:left w:val="none" w:sz="0" w:space="0" w:color="auto"/>
                                <w:bottom w:val="none" w:sz="0" w:space="0" w:color="auto"/>
                                <w:right w:val="none" w:sz="0" w:space="0" w:color="auto"/>
                              </w:divBdr>
                              <w:divsChild>
                                <w:div w:id="245697370">
                                  <w:marLeft w:val="0"/>
                                  <w:marRight w:val="0"/>
                                  <w:marTop w:val="0"/>
                                  <w:marBottom w:val="0"/>
                                  <w:divBdr>
                                    <w:top w:val="none" w:sz="0" w:space="0" w:color="auto"/>
                                    <w:left w:val="none" w:sz="0" w:space="0" w:color="auto"/>
                                    <w:bottom w:val="none" w:sz="0" w:space="0" w:color="auto"/>
                                    <w:right w:val="none" w:sz="0" w:space="0" w:color="auto"/>
                                  </w:divBdr>
                                  <w:divsChild>
                                    <w:div w:id="1497961935">
                                      <w:marLeft w:val="0"/>
                                      <w:marRight w:val="0"/>
                                      <w:marTop w:val="0"/>
                                      <w:marBottom w:val="0"/>
                                      <w:divBdr>
                                        <w:top w:val="none" w:sz="0" w:space="0" w:color="auto"/>
                                        <w:left w:val="none" w:sz="0" w:space="0" w:color="auto"/>
                                        <w:bottom w:val="none" w:sz="0" w:space="0" w:color="auto"/>
                                        <w:right w:val="none" w:sz="0" w:space="0" w:color="auto"/>
                                      </w:divBdr>
                                      <w:divsChild>
                                        <w:div w:id="2059159189">
                                          <w:marLeft w:val="0"/>
                                          <w:marRight w:val="0"/>
                                          <w:marTop w:val="0"/>
                                          <w:marBottom w:val="0"/>
                                          <w:divBdr>
                                            <w:top w:val="none" w:sz="0" w:space="0" w:color="auto"/>
                                            <w:left w:val="none" w:sz="0" w:space="0" w:color="auto"/>
                                            <w:bottom w:val="none" w:sz="0" w:space="0" w:color="auto"/>
                                            <w:right w:val="none" w:sz="0" w:space="0" w:color="auto"/>
                                          </w:divBdr>
                                          <w:divsChild>
                                            <w:div w:id="195118925">
                                              <w:marLeft w:val="0"/>
                                              <w:marRight w:val="0"/>
                                              <w:marTop w:val="0"/>
                                              <w:marBottom w:val="0"/>
                                              <w:divBdr>
                                                <w:top w:val="none" w:sz="0" w:space="0" w:color="auto"/>
                                                <w:left w:val="none" w:sz="0" w:space="0" w:color="auto"/>
                                                <w:bottom w:val="none" w:sz="0" w:space="0" w:color="auto"/>
                                                <w:right w:val="none" w:sz="0" w:space="0" w:color="auto"/>
                                              </w:divBdr>
                                              <w:divsChild>
                                                <w:div w:id="622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cord_x0020_Number xmlns="83630db1-6fc2-4dfd-b3fe-d61d34e1440c">ER2013/016396</Record_x0020_Number>
    <Legacy_x0020_Record_x0020_Number xmlns="83630db1-6fc2-4dfd-b3fe-d61d34e1440c" xsi:nil="true"/>
    <IconOverlay xmlns="http://schemas.microsoft.com/sharepoint/v4" xsi:nil="true"/>
    <Category xmlns="5e268b55-9e20-462b-aba6-694451a37717">(none)</Category>
    <_dlc_DocId xmlns="6db8f3c6-01a1-4322-b043-a3b2a190f7a8">KNAH4PPFC442-1945-127</_dlc_DocId>
    <_dlc_DocIdUrl xmlns="6db8f3c6-01a1-4322-b043-a3b2a190f7a8">
      <Url>http://collaboration/organisation/Auth/Chair/Auth/_layouts/DocIdRedir.aspx?ID=KNAH4PPFC442-1945-127</Url>
      <Description>KNAH4PPFC442-1945-127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033047a-93aa-421b-8aef-52cbfb63cf36" ContentTypeId="0x01010070E27D6A746B5B48ADF22C2128054D55" PreviousValue="false"/>
</file>

<file path=customXml/item5.xml><?xml version="1.0" encoding="utf-8"?>
<ct:contentTypeSchema xmlns:ct="http://schemas.microsoft.com/office/2006/metadata/contentType" xmlns:ma="http://schemas.microsoft.com/office/2006/metadata/properties/metaAttributes" ct:_="" ma:_="" ma:contentTypeName="Record" ma:contentTypeID="0x01010070E27D6A746B5B48ADF22C2128054D5500020C07817F1F68498B2166EE12B17A57" ma:contentTypeVersion="35" ma:contentTypeDescription="A document enhanced so that it is automatically captured by RecordPoint." ma:contentTypeScope="" ma:versionID="e7e4629d89fad1c8ff1348d29791285f">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d30610679a7f49b9b50f4c260411420f"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F4D3-6094-429D-928A-2CA5AC421078}">
  <ds:schemaRefs>
    <ds:schemaRef ds:uri="http://schemas.microsoft.com/office/2006/metadata/properties"/>
    <ds:schemaRef ds:uri="http://schemas.microsoft.com/office/infopath/2007/PartnerControls"/>
    <ds:schemaRef ds:uri="83630db1-6fc2-4dfd-b3fe-d61d34e1440c"/>
    <ds:schemaRef ds:uri="http://schemas.microsoft.com/sharepoint/v4"/>
    <ds:schemaRef ds:uri="5e268b55-9e20-462b-aba6-694451a37717"/>
    <ds:schemaRef ds:uri="6db8f3c6-01a1-4322-b043-a3b2a190f7a8"/>
  </ds:schemaRefs>
</ds:datastoreItem>
</file>

<file path=customXml/itemProps2.xml><?xml version="1.0" encoding="utf-8"?>
<ds:datastoreItem xmlns:ds="http://schemas.openxmlformats.org/officeDocument/2006/customXml" ds:itemID="{9C5E3C81-4F41-4988-B03C-BED93190B5F9}">
  <ds:schemaRefs>
    <ds:schemaRef ds:uri="http://schemas.microsoft.com/sharepoint/v3/contenttype/forms"/>
  </ds:schemaRefs>
</ds:datastoreItem>
</file>

<file path=customXml/itemProps3.xml><?xml version="1.0" encoding="utf-8"?>
<ds:datastoreItem xmlns:ds="http://schemas.openxmlformats.org/officeDocument/2006/customXml" ds:itemID="{E2C78297-2F7E-4865-880B-6282E874A5CD}">
  <ds:schemaRefs>
    <ds:schemaRef ds:uri="http://schemas.microsoft.com/sharepoint/events"/>
  </ds:schemaRefs>
</ds:datastoreItem>
</file>

<file path=customXml/itemProps4.xml><?xml version="1.0" encoding="utf-8"?>
<ds:datastoreItem xmlns:ds="http://schemas.openxmlformats.org/officeDocument/2006/customXml" ds:itemID="{579A3DD3-EB72-4431-BE50-CD3FC5EE3BB0}">
  <ds:schemaRefs>
    <ds:schemaRef ds:uri="Microsoft.SharePoint.Taxonomy.ContentTypeSync"/>
  </ds:schemaRefs>
</ds:datastoreItem>
</file>

<file path=customXml/itemProps5.xml><?xml version="1.0" encoding="utf-8"?>
<ds:datastoreItem xmlns:ds="http://schemas.openxmlformats.org/officeDocument/2006/customXml" ds:itemID="{4C6B5567-2139-4E4E-86EB-602D403E2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03A83E-5390-4F8B-9384-B2DE849D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jchua</dc:creator>
  <cp:lastModifiedBy>Marko Filipovic</cp:lastModifiedBy>
  <cp:revision>2</cp:revision>
  <cp:lastPrinted>2014-05-19T00:55:00Z</cp:lastPrinted>
  <dcterms:created xsi:type="dcterms:W3CDTF">2014-12-11T00:16:00Z</dcterms:created>
  <dcterms:modified xsi:type="dcterms:W3CDTF">2014-12-11T00:16:00Z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0x01010070E27D6A746B5B48ADF22C2128054D5500020C07817F1F68498B2166EE12B17A57</vt:lpwstr>
  </property>
  <property fmtid="{D5CDD505-2E9C-101B-9397-08002B2CF9AE}" pid="3" name="_dlc_DocIdItemGuid">
    <vt:lpwstr>e5a3f335-45e2-4c55-a83c-d78876b6e75b</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2013-02-13T14:09:10.6509204+11:00</vt:lpwstr>
  </property>
  <property fmtid="{D5CDD505-2E9C-101B-9397-08002B2CF9AE}" pid="9" name="RecordPoint_ActiveItemUniqueId">
    <vt:lpwstr>{e5a3f335-45e2-4c55-a83c-d78876b6e75b}</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