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BC" w:rsidRPr="003E7C56" w:rsidRDefault="007B07D8" w:rsidP="0085016A">
      <w:pPr>
        <w:spacing w:before="120" w:after="120"/>
        <w:jc w:val="center"/>
        <w:rPr>
          <w:rFonts w:ascii="Times New Roman" w:hAnsi="Times New Roman"/>
          <w:b/>
          <w:szCs w:val="22"/>
        </w:rPr>
      </w:pPr>
      <w:r>
        <w:rPr>
          <w:rFonts w:ascii="Times New Roman" w:hAnsi="Times New Roman"/>
          <w:b/>
          <w:szCs w:val="22"/>
        </w:rPr>
        <w:t>EXPLANATORY STATEMENT</w:t>
      </w:r>
    </w:p>
    <w:p w:rsidR="000F144E" w:rsidRPr="003E7C56" w:rsidRDefault="000F144E" w:rsidP="0085016A">
      <w:pPr>
        <w:jc w:val="center"/>
        <w:rPr>
          <w:rFonts w:ascii="Times New Roman" w:hAnsi="Times New Roman"/>
          <w:szCs w:val="22"/>
        </w:rPr>
      </w:pPr>
      <w:r w:rsidRPr="003E7C56">
        <w:rPr>
          <w:rFonts w:ascii="Times New Roman" w:hAnsi="Times New Roman"/>
          <w:szCs w:val="22"/>
        </w:rPr>
        <w:t>Issued by the authority of the Australian Public Service Commissioner</w:t>
      </w:r>
    </w:p>
    <w:p w:rsidR="000F144E" w:rsidRPr="0085016A" w:rsidRDefault="000F144E" w:rsidP="0085016A">
      <w:pPr>
        <w:jc w:val="center"/>
        <w:rPr>
          <w:rFonts w:ascii="Times New Roman" w:hAnsi="Times New Roman"/>
          <w:i/>
          <w:szCs w:val="22"/>
        </w:rPr>
      </w:pPr>
      <w:r w:rsidRPr="0085016A">
        <w:rPr>
          <w:rFonts w:ascii="Times New Roman" w:hAnsi="Times New Roman"/>
          <w:i/>
          <w:szCs w:val="22"/>
        </w:rPr>
        <w:t xml:space="preserve">Public </w:t>
      </w:r>
      <w:r w:rsidR="00225826" w:rsidRPr="0085016A">
        <w:rPr>
          <w:rFonts w:ascii="Times New Roman" w:hAnsi="Times New Roman"/>
          <w:i/>
          <w:szCs w:val="22"/>
        </w:rPr>
        <w:t>Service Act 1999</w:t>
      </w:r>
    </w:p>
    <w:p w:rsidR="00FA7310" w:rsidRPr="003E7C56" w:rsidRDefault="007B07D8" w:rsidP="0085016A">
      <w:pPr>
        <w:jc w:val="center"/>
        <w:rPr>
          <w:rFonts w:ascii="Times New Roman" w:hAnsi="Times New Roman"/>
          <w:szCs w:val="22"/>
        </w:rPr>
      </w:pPr>
      <w:r w:rsidRPr="007B07D8">
        <w:rPr>
          <w:rFonts w:ascii="Times New Roman" w:hAnsi="Times New Roman"/>
          <w:szCs w:val="22"/>
        </w:rPr>
        <w:t>Australian Public Service Commissioner’s Amendment (Performance Management) Direction 2014</w:t>
      </w:r>
    </w:p>
    <w:p w:rsidR="00FA7310" w:rsidRPr="003E7C56" w:rsidRDefault="00FA7310" w:rsidP="007B07D8">
      <w:pPr>
        <w:spacing w:before="120" w:after="120"/>
        <w:rPr>
          <w:rFonts w:ascii="Times New Roman" w:hAnsi="Times New Roman"/>
          <w:b/>
          <w:szCs w:val="22"/>
        </w:rPr>
      </w:pPr>
      <w:r w:rsidRPr="003E7C56">
        <w:rPr>
          <w:rFonts w:ascii="Times New Roman" w:hAnsi="Times New Roman"/>
          <w:b/>
          <w:szCs w:val="22"/>
        </w:rPr>
        <w:t>Authority</w:t>
      </w:r>
    </w:p>
    <w:p w:rsidR="009A0D51" w:rsidRPr="003E7C56" w:rsidRDefault="00FA7310" w:rsidP="007B07D8">
      <w:pPr>
        <w:spacing w:before="120" w:after="120"/>
        <w:rPr>
          <w:rFonts w:ascii="Times New Roman" w:hAnsi="Times New Roman"/>
          <w:szCs w:val="22"/>
          <w:lang w:eastAsia="en-AU"/>
        </w:rPr>
      </w:pPr>
      <w:r w:rsidRPr="003E7C56">
        <w:rPr>
          <w:rFonts w:ascii="Times New Roman" w:hAnsi="Times New Roman"/>
          <w:szCs w:val="22"/>
          <w:lang w:val="en-US" w:eastAsia="en-AU"/>
        </w:rPr>
        <w:t xml:space="preserve">Subsection </w:t>
      </w:r>
      <w:proofErr w:type="spellStart"/>
      <w:r w:rsidRPr="003E7C56">
        <w:rPr>
          <w:rFonts w:ascii="Times New Roman" w:hAnsi="Times New Roman"/>
          <w:szCs w:val="22"/>
          <w:lang w:val="en-US" w:eastAsia="en-AU"/>
        </w:rPr>
        <w:t>11A</w:t>
      </w:r>
      <w:proofErr w:type="spellEnd"/>
      <w:r w:rsidRPr="003E7C56">
        <w:rPr>
          <w:rFonts w:ascii="Times New Roman" w:hAnsi="Times New Roman"/>
          <w:szCs w:val="22"/>
          <w:lang w:val="en-US" w:eastAsia="en-AU"/>
        </w:rPr>
        <w:t xml:space="preserve">(1) of the </w:t>
      </w:r>
      <w:r w:rsidRPr="003E7C56">
        <w:rPr>
          <w:rFonts w:ascii="Times New Roman" w:hAnsi="Times New Roman"/>
          <w:i/>
          <w:iCs/>
          <w:szCs w:val="22"/>
          <w:lang w:val="en-US" w:eastAsia="en-AU"/>
        </w:rPr>
        <w:t>Public Service Act 1999</w:t>
      </w:r>
      <w:r w:rsidRPr="003E7C56">
        <w:rPr>
          <w:rFonts w:ascii="Times New Roman" w:hAnsi="Times New Roman"/>
          <w:szCs w:val="22"/>
          <w:lang w:val="en-US" w:eastAsia="en-AU"/>
        </w:rPr>
        <w:t xml:space="preserve"> (the Act) provides that the Australian Public Service Commissioner (the Commissioner) may issue directions in writing about employment matters relating to Australian Public Service (APS) employees. Subsection </w:t>
      </w:r>
      <w:proofErr w:type="spellStart"/>
      <w:proofErr w:type="gramStart"/>
      <w:r w:rsidRPr="003E7C56">
        <w:rPr>
          <w:rFonts w:ascii="Times New Roman" w:hAnsi="Times New Roman"/>
          <w:szCs w:val="22"/>
          <w:lang w:val="en-US" w:eastAsia="en-AU"/>
        </w:rPr>
        <w:t>11A</w:t>
      </w:r>
      <w:proofErr w:type="spellEnd"/>
      <w:r w:rsidRPr="003E7C56">
        <w:rPr>
          <w:rFonts w:ascii="Times New Roman" w:hAnsi="Times New Roman"/>
          <w:szCs w:val="22"/>
          <w:lang w:val="en-US" w:eastAsia="en-AU"/>
        </w:rPr>
        <w:t>(</w:t>
      </w:r>
      <w:proofErr w:type="gramEnd"/>
      <w:r w:rsidRPr="003E7C56">
        <w:rPr>
          <w:rFonts w:ascii="Times New Roman" w:hAnsi="Times New Roman"/>
          <w:szCs w:val="22"/>
          <w:lang w:val="en-US" w:eastAsia="en-AU"/>
        </w:rPr>
        <w:t xml:space="preserve">2) of the Act provides that the Commissioner may issue directions in writing in relation to any of the </w:t>
      </w:r>
      <w:r w:rsidR="00377DD3">
        <w:rPr>
          <w:rFonts w:ascii="Times New Roman" w:hAnsi="Times New Roman"/>
          <w:szCs w:val="22"/>
          <w:lang w:val="en-US" w:eastAsia="en-AU"/>
        </w:rPr>
        <w:t>APS</w:t>
      </w:r>
      <w:r w:rsidRPr="003E7C56">
        <w:rPr>
          <w:rFonts w:ascii="Times New Roman" w:hAnsi="Times New Roman"/>
          <w:szCs w:val="22"/>
          <w:lang w:val="en-US" w:eastAsia="en-AU"/>
        </w:rPr>
        <w:t xml:space="preserve"> Employment Principles </w:t>
      </w:r>
      <w:r w:rsidRPr="003E7C56">
        <w:rPr>
          <w:rFonts w:ascii="Times New Roman" w:hAnsi="Times New Roman"/>
          <w:szCs w:val="22"/>
          <w:lang w:eastAsia="en-AU"/>
        </w:rPr>
        <w:t>for the purpose of:</w:t>
      </w:r>
    </w:p>
    <w:p w:rsidR="00FA7310" w:rsidRPr="003E7C56" w:rsidRDefault="00FA7310" w:rsidP="007B07D8">
      <w:pPr>
        <w:pStyle w:val="ListParagraph"/>
        <w:numPr>
          <w:ilvl w:val="0"/>
          <w:numId w:val="3"/>
        </w:numPr>
        <w:spacing w:before="120" w:after="120"/>
        <w:rPr>
          <w:sz w:val="22"/>
          <w:szCs w:val="22"/>
        </w:rPr>
      </w:pPr>
      <w:r w:rsidRPr="003E7C56">
        <w:rPr>
          <w:sz w:val="22"/>
          <w:szCs w:val="22"/>
        </w:rPr>
        <w:t>ensuring that the APS incorporates and upholds the APS Employment Principles; and</w:t>
      </w:r>
    </w:p>
    <w:p w:rsidR="00FA7310" w:rsidRPr="003E7C56" w:rsidRDefault="00FA7310" w:rsidP="007B07D8">
      <w:pPr>
        <w:pStyle w:val="ListParagraph"/>
        <w:numPr>
          <w:ilvl w:val="0"/>
          <w:numId w:val="3"/>
        </w:numPr>
        <w:spacing w:before="120" w:after="120"/>
        <w:rPr>
          <w:sz w:val="22"/>
          <w:szCs w:val="22"/>
        </w:rPr>
      </w:pPr>
      <w:proofErr w:type="gramStart"/>
      <w:r w:rsidRPr="003E7C56">
        <w:rPr>
          <w:sz w:val="22"/>
          <w:szCs w:val="22"/>
        </w:rPr>
        <w:t>determining</w:t>
      </w:r>
      <w:proofErr w:type="gramEnd"/>
      <w:r w:rsidRPr="003E7C56">
        <w:rPr>
          <w:sz w:val="22"/>
          <w:szCs w:val="22"/>
        </w:rPr>
        <w:t>, where necessary, the scope or application of the APS Employment Principles.</w:t>
      </w:r>
    </w:p>
    <w:p w:rsidR="00FA7310" w:rsidRPr="003E7C56" w:rsidRDefault="00FA7310" w:rsidP="007B07D8">
      <w:pPr>
        <w:spacing w:before="120" w:after="120"/>
        <w:rPr>
          <w:rFonts w:ascii="Times New Roman" w:hAnsi="Times New Roman"/>
          <w:szCs w:val="22"/>
          <w:lang w:eastAsia="en-AU"/>
        </w:rPr>
      </w:pPr>
      <w:r w:rsidRPr="003E7C56">
        <w:rPr>
          <w:rFonts w:ascii="Times New Roman" w:hAnsi="Times New Roman"/>
          <w:szCs w:val="22"/>
          <w:lang w:eastAsia="en-AU"/>
        </w:rPr>
        <w:t xml:space="preserve">Subsection </w:t>
      </w:r>
      <w:proofErr w:type="spellStart"/>
      <w:proofErr w:type="gramStart"/>
      <w:r w:rsidRPr="003E7C56">
        <w:rPr>
          <w:rFonts w:ascii="Times New Roman" w:hAnsi="Times New Roman"/>
          <w:szCs w:val="22"/>
          <w:lang w:eastAsia="en-AU"/>
        </w:rPr>
        <w:t>11A</w:t>
      </w:r>
      <w:proofErr w:type="spellEnd"/>
      <w:r w:rsidRPr="003E7C56">
        <w:rPr>
          <w:rFonts w:ascii="Times New Roman" w:hAnsi="Times New Roman"/>
          <w:szCs w:val="22"/>
          <w:lang w:eastAsia="en-AU"/>
        </w:rPr>
        <w:t>(</w:t>
      </w:r>
      <w:proofErr w:type="gramEnd"/>
      <w:r w:rsidRPr="003E7C56">
        <w:rPr>
          <w:rFonts w:ascii="Times New Roman" w:hAnsi="Times New Roman"/>
          <w:szCs w:val="22"/>
          <w:lang w:eastAsia="en-AU"/>
        </w:rPr>
        <w:t xml:space="preserve">3) of the Act provides that the APS Employment Principles have effect subject to the restrictions (if any) in directions made under subsection </w:t>
      </w:r>
      <w:proofErr w:type="spellStart"/>
      <w:r w:rsidRPr="003E7C56">
        <w:rPr>
          <w:rFonts w:ascii="Times New Roman" w:hAnsi="Times New Roman"/>
          <w:szCs w:val="22"/>
          <w:lang w:eastAsia="en-AU"/>
        </w:rPr>
        <w:t>11A</w:t>
      </w:r>
      <w:proofErr w:type="spellEnd"/>
      <w:r w:rsidRPr="003E7C56">
        <w:rPr>
          <w:rFonts w:ascii="Times New Roman" w:hAnsi="Times New Roman"/>
          <w:szCs w:val="22"/>
          <w:lang w:eastAsia="en-AU"/>
        </w:rPr>
        <w:t>(2).</w:t>
      </w:r>
    </w:p>
    <w:p w:rsidR="00FA7310" w:rsidRPr="003E7C56" w:rsidRDefault="00FA7310" w:rsidP="007B07D8">
      <w:pPr>
        <w:spacing w:before="120" w:after="120"/>
        <w:ind w:right="91"/>
        <w:rPr>
          <w:rFonts w:ascii="Times New Roman" w:hAnsi="Times New Roman"/>
          <w:szCs w:val="22"/>
          <w:lang w:eastAsia="en-AU"/>
        </w:rPr>
      </w:pPr>
      <w:r w:rsidRPr="003E7C56">
        <w:rPr>
          <w:rFonts w:ascii="Times New Roman" w:hAnsi="Times New Roman"/>
          <w:szCs w:val="22"/>
          <w:lang w:eastAsia="en-AU"/>
        </w:rPr>
        <w:t xml:space="preserve">Directions </w:t>
      </w:r>
      <w:r w:rsidRPr="003E7C56">
        <w:rPr>
          <w:rFonts w:ascii="Times New Roman" w:hAnsi="Times New Roman"/>
          <w:szCs w:val="22"/>
          <w:lang w:val="en-US" w:eastAsia="en-AU"/>
        </w:rPr>
        <w:t xml:space="preserve">issued by the Commissioner </w:t>
      </w:r>
      <w:r w:rsidRPr="003E7C56">
        <w:rPr>
          <w:rFonts w:ascii="Times New Roman" w:hAnsi="Times New Roman"/>
          <w:szCs w:val="22"/>
          <w:lang w:eastAsia="en-AU"/>
        </w:rPr>
        <w:t xml:space="preserve">are a legislative instrument for the purposes of the </w:t>
      </w:r>
      <w:r w:rsidRPr="003E7C56">
        <w:rPr>
          <w:rFonts w:ascii="Times New Roman" w:hAnsi="Times New Roman"/>
          <w:i/>
          <w:iCs/>
          <w:szCs w:val="22"/>
          <w:lang w:eastAsia="en-AU"/>
        </w:rPr>
        <w:t>Legislative Instruments Act 2003</w:t>
      </w:r>
      <w:r w:rsidRPr="003E7C56">
        <w:rPr>
          <w:rFonts w:ascii="Times New Roman" w:hAnsi="Times New Roman"/>
          <w:szCs w:val="22"/>
          <w:lang w:eastAsia="en-AU"/>
        </w:rPr>
        <w:t>.</w:t>
      </w:r>
    </w:p>
    <w:p w:rsidR="00FA7310" w:rsidRPr="003E7C56" w:rsidRDefault="00FA7310" w:rsidP="007B07D8">
      <w:pPr>
        <w:spacing w:before="120" w:after="120"/>
        <w:rPr>
          <w:rFonts w:ascii="Times New Roman" w:hAnsi="Times New Roman"/>
          <w:b/>
          <w:szCs w:val="22"/>
        </w:rPr>
      </w:pPr>
      <w:r w:rsidRPr="003E7C56">
        <w:rPr>
          <w:rFonts w:ascii="Times New Roman" w:hAnsi="Times New Roman"/>
          <w:b/>
          <w:szCs w:val="22"/>
        </w:rPr>
        <w:t>Legislative framework</w:t>
      </w:r>
    </w:p>
    <w:p w:rsidR="00752BF9" w:rsidRPr="003E7C56" w:rsidRDefault="00752BF9" w:rsidP="007B07D8">
      <w:pPr>
        <w:spacing w:before="120" w:after="120"/>
        <w:rPr>
          <w:rFonts w:ascii="Times New Roman" w:hAnsi="Times New Roman"/>
          <w:szCs w:val="22"/>
        </w:rPr>
      </w:pPr>
      <w:r w:rsidRPr="003E7C56">
        <w:rPr>
          <w:rFonts w:ascii="Times New Roman" w:hAnsi="Times New Roman"/>
          <w:szCs w:val="22"/>
        </w:rPr>
        <w:t xml:space="preserve">Section </w:t>
      </w:r>
      <w:proofErr w:type="spellStart"/>
      <w:r w:rsidRPr="003E7C56">
        <w:rPr>
          <w:rFonts w:ascii="Times New Roman" w:hAnsi="Times New Roman"/>
          <w:szCs w:val="22"/>
        </w:rPr>
        <w:t>10A</w:t>
      </w:r>
      <w:proofErr w:type="spellEnd"/>
      <w:r w:rsidRPr="003E7C56">
        <w:rPr>
          <w:rFonts w:ascii="Times New Roman" w:hAnsi="Times New Roman"/>
          <w:szCs w:val="22"/>
        </w:rPr>
        <w:t xml:space="preserve"> of the Act sets out the APS Employment Principles, and includes at paragraph </w:t>
      </w:r>
      <w:proofErr w:type="spellStart"/>
      <w:proofErr w:type="gramStart"/>
      <w:r w:rsidRPr="003E7C56">
        <w:rPr>
          <w:rFonts w:ascii="Times New Roman" w:hAnsi="Times New Roman"/>
          <w:szCs w:val="22"/>
        </w:rPr>
        <w:t>10A</w:t>
      </w:r>
      <w:proofErr w:type="spellEnd"/>
      <w:r w:rsidRPr="003E7C56">
        <w:rPr>
          <w:rFonts w:ascii="Times New Roman" w:hAnsi="Times New Roman"/>
          <w:szCs w:val="22"/>
        </w:rPr>
        <w:t>(</w:t>
      </w:r>
      <w:proofErr w:type="gramEnd"/>
      <w:r w:rsidRPr="003E7C56">
        <w:rPr>
          <w:rFonts w:ascii="Times New Roman" w:hAnsi="Times New Roman"/>
          <w:szCs w:val="22"/>
        </w:rPr>
        <w:t>1)(d) that the APS “is a career-based public service that … requires effective performance from each employee” ( the effective performance Employment Principle).</w:t>
      </w:r>
    </w:p>
    <w:p w:rsidR="00752BF9" w:rsidRPr="003E7C56" w:rsidRDefault="00752BF9" w:rsidP="007B07D8">
      <w:pPr>
        <w:spacing w:before="120" w:after="120"/>
        <w:rPr>
          <w:rFonts w:ascii="Times New Roman" w:hAnsi="Times New Roman"/>
          <w:szCs w:val="22"/>
        </w:rPr>
      </w:pPr>
      <w:r w:rsidRPr="003E7C56">
        <w:rPr>
          <w:rFonts w:ascii="Times New Roman" w:hAnsi="Times New Roman"/>
          <w:szCs w:val="22"/>
        </w:rPr>
        <w:t xml:space="preserve">The </w:t>
      </w:r>
      <w:r w:rsidRPr="003E7C56">
        <w:rPr>
          <w:rFonts w:ascii="Times New Roman" w:hAnsi="Times New Roman"/>
          <w:i/>
          <w:iCs/>
          <w:szCs w:val="22"/>
        </w:rPr>
        <w:t>Australian Public Service Commissioner’s Directions 2013</w:t>
      </w:r>
      <w:r w:rsidRPr="003E7C56">
        <w:rPr>
          <w:rFonts w:ascii="Times New Roman" w:hAnsi="Times New Roman"/>
          <w:szCs w:val="22"/>
        </w:rPr>
        <w:t xml:space="preserve"> (Commissioner’s Directions) made under the Act elaborate on the standards required of</w:t>
      </w:r>
      <w:r w:rsidR="00377DD3">
        <w:rPr>
          <w:rFonts w:ascii="Times New Roman" w:hAnsi="Times New Roman"/>
          <w:szCs w:val="22"/>
        </w:rPr>
        <w:t xml:space="preserve"> </w:t>
      </w:r>
      <w:r w:rsidRPr="003E7C56">
        <w:rPr>
          <w:rFonts w:ascii="Times New Roman" w:hAnsi="Times New Roman"/>
          <w:szCs w:val="22"/>
        </w:rPr>
        <w:t>APS agency heads and APS employees</w:t>
      </w:r>
      <w:r w:rsidR="00377DD3">
        <w:rPr>
          <w:rFonts w:ascii="Times New Roman" w:hAnsi="Times New Roman"/>
          <w:szCs w:val="22"/>
        </w:rPr>
        <w:t xml:space="preserve"> </w:t>
      </w:r>
      <w:r w:rsidRPr="003E7C56">
        <w:rPr>
          <w:rFonts w:ascii="Times New Roman" w:hAnsi="Times New Roman"/>
          <w:szCs w:val="22"/>
        </w:rPr>
        <w:t>under the Act, and prescribe details in respect of matters underpinning the Act including the APS Values, the APS Employment Principles and conduct matters.</w:t>
      </w:r>
    </w:p>
    <w:p w:rsidR="00752BF9" w:rsidRPr="003E7C56" w:rsidRDefault="00752BF9" w:rsidP="007B07D8">
      <w:pPr>
        <w:spacing w:before="120" w:after="120"/>
        <w:rPr>
          <w:rFonts w:ascii="Times New Roman" w:hAnsi="Times New Roman"/>
          <w:szCs w:val="22"/>
        </w:rPr>
      </w:pPr>
      <w:r w:rsidRPr="003E7C56">
        <w:rPr>
          <w:rFonts w:ascii="Times New Roman" w:hAnsi="Times New Roman"/>
          <w:szCs w:val="22"/>
        </w:rPr>
        <w:t xml:space="preserve">Chapter 4 of the Commissioner’s Directions deals with performance management in the APS, with a view to ensuring the APS upholds the effective performance Employment Principle and elaborating on the requirements of </w:t>
      </w:r>
      <w:proofErr w:type="spellStart"/>
      <w:r w:rsidRPr="003E7C56">
        <w:rPr>
          <w:rFonts w:ascii="Times New Roman" w:hAnsi="Times New Roman"/>
          <w:szCs w:val="22"/>
        </w:rPr>
        <w:t>10A</w:t>
      </w:r>
      <w:proofErr w:type="spellEnd"/>
      <w:r w:rsidRPr="003E7C56">
        <w:rPr>
          <w:rFonts w:ascii="Times New Roman" w:hAnsi="Times New Roman"/>
          <w:szCs w:val="22"/>
        </w:rPr>
        <w:t>(1)(d).</w:t>
      </w:r>
    </w:p>
    <w:p w:rsidR="009A0D51" w:rsidRPr="003E7C56" w:rsidRDefault="009A0D51" w:rsidP="007B07D8">
      <w:pPr>
        <w:spacing w:before="120" w:after="120"/>
        <w:rPr>
          <w:rFonts w:ascii="Times New Roman" w:hAnsi="Times New Roman"/>
          <w:b/>
          <w:szCs w:val="22"/>
        </w:rPr>
      </w:pPr>
      <w:r w:rsidRPr="003E7C56">
        <w:rPr>
          <w:rFonts w:ascii="Times New Roman" w:hAnsi="Times New Roman"/>
          <w:b/>
          <w:szCs w:val="22"/>
        </w:rPr>
        <w:t>Purpose of the amendments</w:t>
      </w:r>
    </w:p>
    <w:p w:rsidR="00752BF9" w:rsidRPr="003E7C56" w:rsidRDefault="00752BF9" w:rsidP="007B07D8">
      <w:pPr>
        <w:spacing w:before="120" w:after="120"/>
        <w:rPr>
          <w:rFonts w:ascii="Times New Roman" w:hAnsi="Times New Roman"/>
          <w:szCs w:val="22"/>
        </w:rPr>
      </w:pPr>
      <w:r w:rsidRPr="003E7C56">
        <w:rPr>
          <w:rFonts w:ascii="Times New Roman" w:hAnsi="Times New Roman"/>
          <w:szCs w:val="22"/>
        </w:rPr>
        <w:t>The purpose of Australian Public Service Commissioner’s Amendment (Performance Management) Direction 2014 (the Amendment Direction) is to amend the Commissioner’s Directions to:</w:t>
      </w:r>
    </w:p>
    <w:p w:rsidR="00752BF9" w:rsidRPr="003E7C56" w:rsidRDefault="008157D9" w:rsidP="007B07D8">
      <w:pPr>
        <w:pStyle w:val="ListParagraph"/>
        <w:numPr>
          <w:ilvl w:val="0"/>
          <w:numId w:val="4"/>
        </w:numPr>
        <w:spacing w:before="120" w:after="120"/>
        <w:ind w:left="714" w:hanging="357"/>
        <w:rPr>
          <w:sz w:val="22"/>
          <w:szCs w:val="22"/>
          <w:lang w:val="en-US"/>
        </w:rPr>
      </w:pPr>
      <w:r>
        <w:rPr>
          <w:sz w:val="22"/>
          <w:szCs w:val="22"/>
          <w:lang w:val="en-US"/>
        </w:rPr>
        <w:t>s</w:t>
      </w:r>
      <w:r w:rsidR="0038465D" w:rsidRPr="003E7C56">
        <w:rPr>
          <w:sz w:val="22"/>
          <w:szCs w:val="22"/>
          <w:lang w:val="en-US"/>
        </w:rPr>
        <w:t>trengthen the</w:t>
      </w:r>
      <w:r w:rsidR="00752BF9" w:rsidRPr="003E7C56">
        <w:rPr>
          <w:sz w:val="22"/>
          <w:szCs w:val="22"/>
          <w:lang w:val="en-US"/>
        </w:rPr>
        <w:t xml:space="preserve"> obligations on agency heads with respect to the effective performance Employment Principle;</w:t>
      </w:r>
    </w:p>
    <w:p w:rsidR="00752BF9" w:rsidRPr="003E7C56" w:rsidRDefault="008157D9" w:rsidP="007B07D8">
      <w:pPr>
        <w:pStyle w:val="ListParagraph"/>
        <w:numPr>
          <w:ilvl w:val="0"/>
          <w:numId w:val="4"/>
        </w:numPr>
        <w:spacing w:before="120" w:after="120"/>
        <w:ind w:left="714" w:hanging="357"/>
        <w:rPr>
          <w:sz w:val="22"/>
          <w:szCs w:val="22"/>
          <w:lang w:val="en-US"/>
        </w:rPr>
      </w:pPr>
      <w:r>
        <w:rPr>
          <w:sz w:val="22"/>
          <w:szCs w:val="22"/>
          <w:lang w:val="en-US"/>
        </w:rPr>
        <w:t>m</w:t>
      </w:r>
      <w:r w:rsidR="00752BF9" w:rsidRPr="003E7C56">
        <w:rPr>
          <w:sz w:val="22"/>
          <w:szCs w:val="22"/>
          <w:lang w:val="en-US"/>
        </w:rPr>
        <w:t>ake provision for certain obligations on supervisors and employees relevant to the effective performance Employment Principle;</w:t>
      </w:r>
    </w:p>
    <w:p w:rsidR="00752BF9" w:rsidRPr="003E7C56" w:rsidRDefault="008157D9" w:rsidP="007B07D8">
      <w:pPr>
        <w:pStyle w:val="ListParagraph"/>
        <w:numPr>
          <w:ilvl w:val="0"/>
          <w:numId w:val="4"/>
        </w:numPr>
        <w:spacing w:before="120" w:after="120"/>
        <w:ind w:left="714" w:hanging="357"/>
        <w:rPr>
          <w:sz w:val="22"/>
          <w:szCs w:val="22"/>
        </w:rPr>
      </w:pPr>
      <w:proofErr w:type="gramStart"/>
      <w:r>
        <w:rPr>
          <w:sz w:val="22"/>
          <w:szCs w:val="22"/>
          <w:lang w:val="en-US"/>
        </w:rPr>
        <w:t>e</w:t>
      </w:r>
      <w:r w:rsidR="00752BF9" w:rsidRPr="003E7C56">
        <w:rPr>
          <w:sz w:val="22"/>
          <w:szCs w:val="22"/>
          <w:lang w:val="en-US"/>
        </w:rPr>
        <w:t>ncourage</w:t>
      </w:r>
      <w:proofErr w:type="gramEnd"/>
      <w:r w:rsidR="00752BF9" w:rsidRPr="003E7C56">
        <w:rPr>
          <w:sz w:val="22"/>
          <w:szCs w:val="22"/>
          <w:lang w:val="en-US"/>
        </w:rPr>
        <w:t xml:space="preserve"> APS </w:t>
      </w:r>
      <w:r w:rsidR="0038465D" w:rsidRPr="003E7C56">
        <w:rPr>
          <w:sz w:val="22"/>
          <w:szCs w:val="22"/>
          <w:lang w:val="en-US"/>
        </w:rPr>
        <w:t xml:space="preserve">best or </w:t>
      </w:r>
      <w:r w:rsidR="00752BF9" w:rsidRPr="003E7C56">
        <w:rPr>
          <w:sz w:val="22"/>
          <w:szCs w:val="22"/>
          <w:lang w:val="en-US"/>
        </w:rPr>
        <w:t>better practice by including a requirement to periodically assess and compare an agency’s performance management policy, and associated processes and practices</w:t>
      </w:r>
      <w:r w:rsidR="0038465D" w:rsidRPr="003E7C56">
        <w:rPr>
          <w:sz w:val="22"/>
          <w:szCs w:val="22"/>
          <w:lang w:val="en-US"/>
        </w:rPr>
        <w:t>.</w:t>
      </w:r>
    </w:p>
    <w:p w:rsidR="009A0D51" w:rsidRPr="003E7C56" w:rsidRDefault="00752BF9" w:rsidP="007B07D8">
      <w:pPr>
        <w:spacing w:before="120" w:after="120"/>
        <w:rPr>
          <w:rFonts w:ascii="Times New Roman" w:hAnsi="Times New Roman"/>
          <w:szCs w:val="22"/>
        </w:rPr>
      </w:pPr>
      <w:r w:rsidRPr="003E7C56">
        <w:rPr>
          <w:rFonts w:ascii="Times New Roman" w:hAnsi="Times New Roman"/>
          <w:szCs w:val="22"/>
        </w:rPr>
        <w:t xml:space="preserve">Further </w:t>
      </w:r>
      <w:proofErr w:type="gramStart"/>
      <w:r w:rsidRPr="003E7C56">
        <w:rPr>
          <w:rFonts w:ascii="Times New Roman" w:hAnsi="Times New Roman"/>
          <w:szCs w:val="22"/>
        </w:rPr>
        <w:t>detail about the provisions are</w:t>
      </w:r>
      <w:proofErr w:type="gramEnd"/>
      <w:r w:rsidRPr="003E7C56">
        <w:rPr>
          <w:rFonts w:ascii="Times New Roman" w:hAnsi="Times New Roman"/>
          <w:szCs w:val="22"/>
        </w:rPr>
        <w:t xml:space="preserve"> provided at Attachment A to this Explanatory Statement.</w:t>
      </w:r>
    </w:p>
    <w:p w:rsidR="000E0B71" w:rsidRPr="003E7C56" w:rsidRDefault="00A51276" w:rsidP="007B07D8">
      <w:pPr>
        <w:keepNext/>
        <w:spacing w:before="120" w:after="120"/>
        <w:rPr>
          <w:rFonts w:ascii="Times New Roman" w:hAnsi="Times New Roman"/>
          <w:b/>
          <w:szCs w:val="22"/>
        </w:rPr>
      </w:pPr>
      <w:r w:rsidRPr="003E7C56">
        <w:rPr>
          <w:rFonts w:ascii="Times New Roman" w:hAnsi="Times New Roman"/>
          <w:b/>
          <w:szCs w:val="22"/>
        </w:rPr>
        <w:t>Reasons</w:t>
      </w:r>
    </w:p>
    <w:p w:rsidR="00D61EDC" w:rsidRPr="003E7C56" w:rsidRDefault="00D61EDC" w:rsidP="007B07D8">
      <w:pPr>
        <w:spacing w:before="120" w:after="120"/>
        <w:rPr>
          <w:rFonts w:ascii="Times New Roman" w:hAnsi="Times New Roman"/>
          <w:szCs w:val="22"/>
        </w:rPr>
      </w:pPr>
      <w:r w:rsidRPr="003E7C56">
        <w:rPr>
          <w:rFonts w:ascii="Times New Roman" w:hAnsi="Times New Roman"/>
          <w:szCs w:val="22"/>
        </w:rPr>
        <w:t xml:space="preserve">Case studies of APS agencies, agency self-assessments, capability reviews and results of the APS employee census all indicate that the effective management of individual employee performance (both talented performers and underperformers) remains a serious challenge for the APS. </w:t>
      </w:r>
    </w:p>
    <w:p w:rsidR="00D61EDC" w:rsidRPr="003E7C56" w:rsidRDefault="00377DD3" w:rsidP="007B07D8">
      <w:pPr>
        <w:spacing w:before="120" w:after="120"/>
        <w:rPr>
          <w:rFonts w:ascii="Times New Roman" w:hAnsi="Times New Roman"/>
          <w:szCs w:val="22"/>
        </w:rPr>
      </w:pPr>
      <w:r>
        <w:rPr>
          <w:rFonts w:ascii="Times New Roman" w:hAnsi="Times New Roman"/>
          <w:szCs w:val="22"/>
        </w:rPr>
        <w:t>Australian Public Service Commission (APSC)</w:t>
      </w:r>
      <w:r w:rsidR="00D61EDC" w:rsidRPr="003E7C56">
        <w:rPr>
          <w:rFonts w:ascii="Times New Roman" w:hAnsi="Times New Roman"/>
          <w:szCs w:val="22"/>
        </w:rPr>
        <w:t xml:space="preserve"> </w:t>
      </w:r>
      <w:r w:rsidR="00E62902" w:rsidRPr="003E7C56">
        <w:rPr>
          <w:rFonts w:ascii="Times New Roman" w:hAnsi="Times New Roman"/>
          <w:szCs w:val="22"/>
        </w:rPr>
        <w:t>research</w:t>
      </w:r>
      <w:r w:rsidR="00D61EDC" w:rsidRPr="003E7C56">
        <w:rPr>
          <w:rFonts w:ascii="Times New Roman" w:hAnsi="Times New Roman"/>
          <w:szCs w:val="22"/>
        </w:rPr>
        <w:t xml:space="preserve"> indicate</w:t>
      </w:r>
      <w:r w:rsidR="00E62902" w:rsidRPr="003E7C56">
        <w:rPr>
          <w:rFonts w:ascii="Times New Roman" w:hAnsi="Times New Roman"/>
          <w:szCs w:val="22"/>
        </w:rPr>
        <w:t>s</w:t>
      </w:r>
      <w:r w:rsidR="00D61EDC" w:rsidRPr="003E7C56">
        <w:rPr>
          <w:rFonts w:ascii="Times New Roman" w:hAnsi="Times New Roman"/>
          <w:szCs w:val="22"/>
        </w:rPr>
        <w:t xml:space="preserve"> that the management of employees who are not performing effectively, in particular, was severely hampered by the absence of </w:t>
      </w:r>
      <w:r w:rsidR="00D61EDC" w:rsidRPr="002C36CE">
        <w:rPr>
          <w:rFonts w:ascii="Times New Roman" w:hAnsi="Times New Roman"/>
          <w:szCs w:val="22"/>
        </w:rPr>
        <w:t xml:space="preserve">a </w:t>
      </w:r>
      <w:r w:rsidR="002C36CE" w:rsidRPr="002C36CE">
        <w:rPr>
          <w:rFonts w:ascii="Times New Roman" w:hAnsi="Times New Roman"/>
        </w:rPr>
        <w:t>formal or relevant record setting out the performance expectations in relation to an employee’s duties</w:t>
      </w:r>
      <w:r w:rsidR="00D61EDC" w:rsidRPr="003E7C56">
        <w:rPr>
          <w:rFonts w:ascii="Times New Roman" w:hAnsi="Times New Roman"/>
          <w:szCs w:val="22"/>
        </w:rPr>
        <w:t xml:space="preserve">, the lack of timely feedback on employee performance, and the absence of clear measurable goals, the importance of </w:t>
      </w:r>
      <w:r w:rsidR="00D61EDC" w:rsidRPr="003E7C56">
        <w:rPr>
          <w:rFonts w:ascii="Times New Roman" w:hAnsi="Times New Roman"/>
          <w:szCs w:val="22"/>
        </w:rPr>
        <w:lastRenderedPageBreak/>
        <w:t>which had not been effectively communicated to employees. In addition</w:t>
      </w:r>
      <w:r w:rsidR="00CD476A" w:rsidRPr="003E7C56">
        <w:rPr>
          <w:rFonts w:ascii="Times New Roman" w:hAnsi="Times New Roman"/>
          <w:szCs w:val="22"/>
        </w:rPr>
        <w:t>,</w:t>
      </w:r>
      <w:r w:rsidR="00D61EDC" w:rsidRPr="003E7C56">
        <w:rPr>
          <w:rFonts w:ascii="Times New Roman" w:hAnsi="Times New Roman"/>
          <w:szCs w:val="22"/>
        </w:rPr>
        <w:t xml:space="preserve"> </w:t>
      </w:r>
      <w:r w:rsidR="00E62902" w:rsidRPr="003E7C56">
        <w:rPr>
          <w:rFonts w:ascii="Times New Roman" w:hAnsi="Times New Roman"/>
          <w:szCs w:val="22"/>
        </w:rPr>
        <w:t>employee</w:t>
      </w:r>
      <w:r w:rsidR="0038465D" w:rsidRPr="003E7C56">
        <w:rPr>
          <w:rFonts w:ascii="Times New Roman" w:hAnsi="Times New Roman"/>
          <w:szCs w:val="22"/>
        </w:rPr>
        <w:t>s</w:t>
      </w:r>
      <w:r w:rsidR="00D61EDC" w:rsidRPr="003E7C56">
        <w:rPr>
          <w:rFonts w:ascii="Times New Roman" w:hAnsi="Times New Roman"/>
          <w:szCs w:val="22"/>
        </w:rPr>
        <w:t xml:space="preserve"> have failed to engage co</w:t>
      </w:r>
      <w:r w:rsidR="00CD476A" w:rsidRPr="003E7C56">
        <w:rPr>
          <w:rFonts w:ascii="Times New Roman" w:hAnsi="Times New Roman"/>
          <w:szCs w:val="22"/>
        </w:rPr>
        <w:t>nstructively with management in</w:t>
      </w:r>
      <w:r w:rsidR="00D61EDC" w:rsidRPr="003E7C56">
        <w:rPr>
          <w:rFonts w:ascii="Times New Roman" w:hAnsi="Times New Roman"/>
          <w:szCs w:val="22"/>
        </w:rPr>
        <w:t xml:space="preserve"> remedying performance issues.</w:t>
      </w:r>
    </w:p>
    <w:p w:rsidR="00011A00" w:rsidRPr="003E7C56" w:rsidRDefault="0038465D" w:rsidP="007B07D8">
      <w:pPr>
        <w:spacing w:before="120" w:after="120"/>
        <w:rPr>
          <w:rFonts w:ascii="Times New Roman" w:hAnsi="Times New Roman"/>
          <w:szCs w:val="22"/>
        </w:rPr>
      </w:pPr>
      <w:r w:rsidRPr="003E7C56">
        <w:rPr>
          <w:rFonts w:ascii="Times New Roman" w:hAnsi="Times New Roman"/>
          <w:szCs w:val="22"/>
        </w:rPr>
        <w:t xml:space="preserve">Further, performance management </w:t>
      </w:r>
      <w:r w:rsidR="004F4E6B" w:rsidRPr="003E7C56">
        <w:rPr>
          <w:rFonts w:ascii="Times New Roman" w:hAnsi="Times New Roman"/>
          <w:szCs w:val="22"/>
        </w:rPr>
        <w:t xml:space="preserve">has tended to focus on managing underperformance to the exclusion of nurturing talent. </w:t>
      </w:r>
      <w:r w:rsidR="009960E5">
        <w:rPr>
          <w:rFonts w:ascii="Times New Roman" w:hAnsi="Times New Roman"/>
          <w:szCs w:val="22"/>
        </w:rPr>
        <w:t xml:space="preserve">Studies </w:t>
      </w:r>
      <w:r w:rsidR="009960E5" w:rsidRPr="003E7C56">
        <w:rPr>
          <w:rFonts w:ascii="Times New Roman" w:hAnsi="Times New Roman"/>
          <w:szCs w:val="22"/>
        </w:rPr>
        <w:t xml:space="preserve">suggest </w:t>
      </w:r>
      <w:r w:rsidR="009960E5">
        <w:rPr>
          <w:rFonts w:ascii="Times New Roman" w:hAnsi="Times New Roman"/>
          <w:szCs w:val="22"/>
        </w:rPr>
        <w:t xml:space="preserve">the APS </w:t>
      </w:r>
      <w:r w:rsidR="009960E5" w:rsidRPr="003E7C56">
        <w:rPr>
          <w:rFonts w:ascii="Times New Roman" w:hAnsi="Times New Roman"/>
          <w:szCs w:val="22"/>
        </w:rPr>
        <w:t xml:space="preserve">should be focusing attention on “high performance” and lifting the bar on what </w:t>
      </w:r>
      <w:r w:rsidR="009960E5">
        <w:rPr>
          <w:rFonts w:ascii="Times New Roman" w:hAnsi="Times New Roman"/>
          <w:szCs w:val="22"/>
        </w:rPr>
        <w:t xml:space="preserve">is expected </w:t>
      </w:r>
      <w:r w:rsidR="009960E5" w:rsidRPr="003E7C56">
        <w:rPr>
          <w:rFonts w:ascii="Times New Roman" w:hAnsi="Times New Roman"/>
          <w:szCs w:val="22"/>
        </w:rPr>
        <w:t>of the performance management system.</w:t>
      </w:r>
    </w:p>
    <w:p w:rsidR="00DA70F4" w:rsidRPr="003E7C56" w:rsidRDefault="00DA70F4" w:rsidP="007B07D8">
      <w:pPr>
        <w:spacing w:before="120" w:after="120"/>
        <w:rPr>
          <w:rFonts w:ascii="Times New Roman" w:hAnsi="Times New Roman"/>
          <w:szCs w:val="22"/>
        </w:rPr>
      </w:pPr>
      <w:r w:rsidRPr="003E7C56">
        <w:rPr>
          <w:rFonts w:ascii="Times New Roman" w:hAnsi="Times New Roman"/>
          <w:szCs w:val="22"/>
        </w:rPr>
        <w:t>Improving the skills and authority of supervisors to support more effective performance management is likely to lead not just to the better management of poor performers</w:t>
      </w:r>
      <w:r w:rsidR="00C53CAE" w:rsidRPr="003E7C56">
        <w:rPr>
          <w:rFonts w:ascii="Times New Roman" w:hAnsi="Times New Roman"/>
          <w:szCs w:val="22"/>
        </w:rPr>
        <w:t>,</w:t>
      </w:r>
      <w:r w:rsidRPr="003E7C56">
        <w:rPr>
          <w:rFonts w:ascii="Times New Roman" w:hAnsi="Times New Roman"/>
          <w:szCs w:val="22"/>
        </w:rPr>
        <w:t xml:space="preserve"> but also better talent identification and development, and more systematic identification and development of appropriate skills and capabilities in the </w:t>
      </w:r>
      <w:r w:rsidR="00431B4D" w:rsidRPr="003E7C56">
        <w:rPr>
          <w:rFonts w:ascii="Times New Roman" w:hAnsi="Times New Roman"/>
          <w:szCs w:val="22"/>
        </w:rPr>
        <w:t xml:space="preserve">APS </w:t>
      </w:r>
      <w:r w:rsidRPr="003E7C56">
        <w:rPr>
          <w:rFonts w:ascii="Times New Roman" w:hAnsi="Times New Roman"/>
          <w:szCs w:val="22"/>
        </w:rPr>
        <w:t>workforce.</w:t>
      </w:r>
    </w:p>
    <w:p w:rsidR="00734212" w:rsidRPr="003E7C56" w:rsidRDefault="008B3D33" w:rsidP="007B07D8">
      <w:pPr>
        <w:spacing w:before="120" w:after="120"/>
        <w:rPr>
          <w:rFonts w:ascii="Times New Roman" w:hAnsi="Times New Roman"/>
          <w:szCs w:val="22"/>
        </w:rPr>
      </w:pPr>
      <w:r>
        <w:rPr>
          <w:rFonts w:ascii="Times New Roman" w:hAnsi="Times New Roman"/>
          <w:szCs w:val="22"/>
        </w:rPr>
        <w:t xml:space="preserve">Reform of the legal framework for employee performance management is part of a broader drive for </w:t>
      </w:r>
      <w:r w:rsidR="00F00291">
        <w:rPr>
          <w:rFonts w:ascii="Times New Roman" w:hAnsi="Times New Roman"/>
          <w:szCs w:val="22"/>
        </w:rPr>
        <w:t>improvement</w:t>
      </w:r>
      <w:r>
        <w:rPr>
          <w:rFonts w:ascii="Times New Roman" w:hAnsi="Times New Roman"/>
          <w:szCs w:val="22"/>
        </w:rPr>
        <w:t xml:space="preserve"> of APS performance systems. </w:t>
      </w:r>
      <w:r w:rsidR="00802F6F" w:rsidRPr="003E7C56">
        <w:rPr>
          <w:rFonts w:ascii="Times New Roman" w:hAnsi="Times New Roman"/>
          <w:szCs w:val="22"/>
        </w:rPr>
        <w:t>The</w:t>
      </w:r>
      <w:r w:rsidR="00734212" w:rsidRPr="003E7C56">
        <w:rPr>
          <w:rFonts w:ascii="Times New Roman" w:hAnsi="Times New Roman"/>
          <w:szCs w:val="22"/>
        </w:rPr>
        <w:t xml:space="preserve"> implementation of the </w:t>
      </w:r>
      <w:r w:rsidR="00734212" w:rsidRPr="003E7C56">
        <w:rPr>
          <w:rFonts w:ascii="Times New Roman" w:hAnsi="Times New Roman"/>
          <w:i/>
          <w:szCs w:val="22"/>
        </w:rPr>
        <w:t>Public Governance, Performance &amp; Accountability</w:t>
      </w:r>
      <w:r w:rsidR="00734212" w:rsidRPr="003E7C56">
        <w:rPr>
          <w:rFonts w:ascii="Times New Roman" w:hAnsi="Times New Roman"/>
          <w:szCs w:val="22"/>
        </w:rPr>
        <w:t xml:space="preserve"> </w:t>
      </w:r>
      <w:r w:rsidR="00734212" w:rsidRPr="003E7C56">
        <w:rPr>
          <w:rFonts w:ascii="Times New Roman" w:hAnsi="Times New Roman"/>
          <w:i/>
          <w:szCs w:val="22"/>
        </w:rPr>
        <w:t>Act 2013</w:t>
      </w:r>
      <w:r w:rsidR="00734212" w:rsidRPr="003E7C56">
        <w:rPr>
          <w:rFonts w:ascii="Times New Roman" w:hAnsi="Times New Roman"/>
          <w:szCs w:val="22"/>
        </w:rPr>
        <w:t xml:space="preserve"> </w:t>
      </w:r>
      <w:r w:rsidR="00802F6F" w:rsidRPr="003E7C56">
        <w:rPr>
          <w:rFonts w:ascii="Times New Roman" w:hAnsi="Times New Roman"/>
          <w:szCs w:val="22"/>
        </w:rPr>
        <w:t>(</w:t>
      </w:r>
      <w:proofErr w:type="spellStart"/>
      <w:r w:rsidR="00802F6F" w:rsidRPr="003E7C56">
        <w:rPr>
          <w:rFonts w:ascii="Times New Roman" w:hAnsi="Times New Roman"/>
          <w:szCs w:val="22"/>
        </w:rPr>
        <w:t>PGPA</w:t>
      </w:r>
      <w:proofErr w:type="spellEnd"/>
      <w:r w:rsidR="00802F6F" w:rsidRPr="003E7C56">
        <w:rPr>
          <w:rFonts w:ascii="Times New Roman" w:hAnsi="Times New Roman"/>
          <w:szCs w:val="22"/>
        </w:rPr>
        <w:t xml:space="preserve"> Act) </w:t>
      </w:r>
      <w:r w:rsidR="00734212" w:rsidRPr="003E7C56">
        <w:rPr>
          <w:rFonts w:ascii="Times New Roman" w:hAnsi="Times New Roman"/>
          <w:szCs w:val="22"/>
        </w:rPr>
        <w:t>has strengthened the requirements around institutional performance</w:t>
      </w:r>
      <w:r w:rsidR="00045E5D">
        <w:rPr>
          <w:rFonts w:ascii="Times New Roman" w:hAnsi="Times New Roman"/>
          <w:szCs w:val="22"/>
        </w:rPr>
        <w:t xml:space="preserve">. </w:t>
      </w:r>
    </w:p>
    <w:p w:rsidR="00FF383D" w:rsidRPr="003E7C56" w:rsidRDefault="00FF383D" w:rsidP="007B07D8">
      <w:pPr>
        <w:spacing w:before="120" w:after="120"/>
        <w:rPr>
          <w:rFonts w:ascii="Times New Roman" w:hAnsi="Times New Roman"/>
          <w:b/>
          <w:szCs w:val="22"/>
        </w:rPr>
      </w:pPr>
      <w:r w:rsidRPr="003E7C56">
        <w:rPr>
          <w:rFonts w:ascii="Times New Roman" w:hAnsi="Times New Roman"/>
          <w:b/>
          <w:szCs w:val="22"/>
        </w:rPr>
        <w:t>Impact and effect</w:t>
      </w:r>
    </w:p>
    <w:p w:rsidR="00391470" w:rsidRPr="003E7C56" w:rsidRDefault="00391470" w:rsidP="00391470">
      <w:pPr>
        <w:spacing w:before="120" w:after="120"/>
        <w:rPr>
          <w:rFonts w:ascii="Times New Roman" w:hAnsi="Times New Roman"/>
          <w:szCs w:val="22"/>
        </w:rPr>
      </w:pPr>
      <w:r w:rsidRPr="003E7C56">
        <w:rPr>
          <w:rFonts w:ascii="Times New Roman" w:hAnsi="Times New Roman"/>
          <w:szCs w:val="22"/>
        </w:rPr>
        <w:t xml:space="preserve">Prior to the </w:t>
      </w:r>
      <w:r w:rsidR="006825EC">
        <w:rPr>
          <w:rFonts w:ascii="Times New Roman" w:hAnsi="Times New Roman"/>
          <w:szCs w:val="22"/>
        </w:rPr>
        <w:t>Amendment</w:t>
      </w:r>
      <w:r w:rsidRPr="003E7C56">
        <w:rPr>
          <w:rFonts w:ascii="Times New Roman" w:hAnsi="Times New Roman"/>
          <w:szCs w:val="22"/>
        </w:rPr>
        <w:t xml:space="preserve"> Direction, the focus of clause 4.1 of the </w:t>
      </w:r>
      <w:r w:rsidR="0087471B">
        <w:rPr>
          <w:rFonts w:ascii="Times New Roman" w:hAnsi="Times New Roman"/>
          <w:szCs w:val="22"/>
        </w:rPr>
        <w:t xml:space="preserve">Commissioner’s </w:t>
      </w:r>
      <w:r w:rsidRPr="003E7C56">
        <w:rPr>
          <w:rFonts w:ascii="Times New Roman" w:hAnsi="Times New Roman"/>
          <w:szCs w:val="22"/>
        </w:rPr>
        <w:t>Directions was on the obligations of agency heads in supporting employees to</w:t>
      </w:r>
      <w:r w:rsidR="0087471B">
        <w:rPr>
          <w:rFonts w:ascii="Times New Roman" w:hAnsi="Times New Roman"/>
          <w:szCs w:val="22"/>
        </w:rPr>
        <w:t xml:space="preserve"> achieve effective performance.</w:t>
      </w:r>
      <w:r w:rsidRPr="003E7C56">
        <w:rPr>
          <w:rFonts w:ascii="Times New Roman" w:hAnsi="Times New Roman"/>
          <w:szCs w:val="22"/>
        </w:rPr>
        <w:t xml:space="preserve"> </w:t>
      </w:r>
      <w:proofErr w:type="gramStart"/>
      <w:r w:rsidRPr="003E7C56">
        <w:rPr>
          <w:rFonts w:ascii="Times New Roman" w:hAnsi="Times New Roman"/>
          <w:szCs w:val="22"/>
        </w:rPr>
        <w:t>Expectations of the role of supervisors and individual employees was</w:t>
      </w:r>
      <w:proofErr w:type="gramEnd"/>
      <w:r w:rsidRPr="003E7C56">
        <w:rPr>
          <w:rFonts w:ascii="Times New Roman" w:hAnsi="Times New Roman"/>
          <w:szCs w:val="22"/>
        </w:rPr>
        <w:t xml:space="preserve"> expressed in agency policies and procedures as well as enterprise agreements. Recognising that effective performance is primarily an employee obligation under the Act, and in reality a shared responsibility of the agency head, supervisors and individual employees, the revised </w:t>
      </w:r>
      <w:r>
        <w:rPr>
          <w:rFonts w:ascii="Times New Roman" w:hAnsi="Times New Roman"/>
          <w:szCs w:val="22"/>
        </w:rPr>
        <w:t>clause</w:t>
      </w:r>
      <w:r w:rsidRPr="003E7C56">
        <w:rPr>
          <w:rFonts w:ascii="Times New Roman" w:hAnsi="Times New Roman"/>
          <w:szCs w:val="22"/>
        </w:rPr>
        <w:t xml:space="preserve"> </w:t>
      </w:r>
      <w:proofErr w:type="spellStart"/>
      <w:r w:rsidRPr="003E7C56">
        <w:rPr>
          <w:rFonts w:ascii="Times New Roman" w:hAnsi="Times New Roman"/>
          <w:szCs w:val="22"/>
        </w:rPr>
        <w:t>4.1</w:t>
      </w:r>
      <w:r w:rsidR="00A91CB1">
        <w:rPr>
          <w:rFonts w:ascii="Times New Roman" w:hAnsi="Times New Roman"/>
          <w:szCs w:val="22"/>
        </w:rPr>
        <w:t>A</w:t>
      </w:r>
      <w:proofErr w:type="spellEnd"/>
      <w:r w:rsidRPr="003E7C56">
        <w:rPr>
          <w:rFonts w:ascii="Times New Roman" w:hAnsi="Times New Roman"/>
          <w:szCs w:val="22"/>
        </w:rPr>
        <w:t xml:space="preserve"> provides a minimum set of obligations that agency heads, supervisors and employees need to fulfil. The imposition of obligations in the </w:t>
      </w:r>
      <w:r w:rsidR="0087471B">
        <w:rPr>
          <w:rFonts w:ascii="Times New Roman" w:hAnsi="Times New Roman"/>
          <w:szCs w:val="22"/>
        </w:rPr>
        <w:t xml:space="preserve">Commissioner’s </w:t>
      </w:r>
      <w:r w:rsidR="0087471B" w:rsidRPr="003E7C56">
        <w:rPr>
          <w:rFonts w:ascii="Times New Roman" w:hAnsi="Times New Roman"/>
          <w:szCs w:val="22"/>
        </w:rPr>
        <w:t xml:space="preserve">Directions </w:t>
      </w:r>
      <w:r w:rsidRPr="003E7C56">
        <w:rPr>
          <w:rFonts w:ascii="Times New Roman" w:hAnsi="Times New Roman"/>
          <w:szCs w:val="22"/>
        </w:rPr>
        <w:t>provides clarity for supervisors and employees around what is expected of them.</w:t>
      </w:r>
    </w:p>
    <w:p w:rsidR="00391470" w:rsidRPr="003E7C56" w:rsidRDefault="00391470" w:rsidP="00391470">
      <w:pPr>
        <w:spacing w:before="120" w:after="120"/>
        <w:rPr>
          <w:rFonts w:ascii="Times New Roman" w:hAnsi="Times New Roman"/>
          <w:szCs w:val="22"/>
        </w:rPr>
      </w:pPr>
      <w:r>
        <w:rPr>
          <w:rFonts w:ascii="Times New Roman" w:hAnsi="Times New Roman"/>
          <w:szCs w:val="22"/>
        </w:rPr>
        <w:t xml:space="preserve">The </w:t>
      </w:r>
      <w:r w:rsidR="006825EC">
        <w:rPr>
          <w:rFonts w:ascii="Times New Roman" w:hAnsi="Times New Roman"/>
          <w:szCs w:val="22"/>
        </w:rPr>
        <w:t>Amendment Direction</w:t>
      </w:r>
      <w:r w:rsidR="0087471B" w:rsidRPr="003E7C56">
        <w:rPr>
          <w:rFonts w:ascii="Times New Roman" w:hAnsi="Times New Roman"/>
          <w:szCs w:val="22"/>
        </w:rPr>
        <w:t xml:space="preserve"> </w:t>
      </w:r>
      <w:r w:rsidRPr="003E7C56">
        <w:rPr>
          <w:rFonts w:ascii="Times New Roman" w:hAnsi="Times New Roman"/>
          <w:szCs w:val="22"/>
        </w:rPr>
        <w:t>oblige</w:t>
      </w:r>
      <w:r w:rsidR="006825EC">
        <w:rPr>
          <w:rFonts w:ascii="Times New Roman" w:hAnsi="Times New Roman"/>
          <w:szCs w:val="22"/>
        </w:rPr>
        <w:t>s</w:t>
      </w:r>
      <w:r w:rsidRPr="003E7C56">
        <w:rPr>
          <w:rFonts w:ascii="Times New Roman" w:hAnsi="Times New Roman"/>
          <w:szCs w:val="22"/>
        </w:rPr>
        <w:t xml:space="preserve"> agency heads, supervisors and employees to engage the full range of activity encompassed within performance management. This includes managing for high performance</w:t>
      </w:r>
      <w:r w:rsidR="008157D9">
        <w:rPr>
          <w:rFonts w:ascii="Times New Roman" w:hAnsi="Times New Roman"/>
          <w:szCs w:val="22"/>
        </w:rPr>
        <w:t>,</w:t>
      </w:r>
      <w:r>
        <w:rPr>
          <w:rFonts w:ascii="Times New Roman" w:hAnsi="Times New Roman"/>
          <w:szCs w:val="22"/>
        </w:rPr>
        <w:t xml:space="preserve"> as well as</w:t>
      </w:r>
      <w:r w:rsidRPr="003E7C56">
        <w:rPr>
          <w:rFonts w:ascii="Times New Roman" w:hAnsi="Times New Roman"/>
          <w:szCs w:val="22"/>
        </w:rPr>
        <w:t xml:space="preserve"> dealing with unsatisfactory performance</w:t>
      </w:r>
      <w:r w:rsidR="008157D9">
        <w:rPr>
          <w:rFonts w:ascii="Times New Roman" w:hAnsi="Times New Roman"/>
          <w:szCs w:val="22"/>
        </w:rPr>
        <w:t>.</w:t>
      </w:r>
      <w:r w:rsidRPr="003E7C56">
        <w:rPr>
          <w:rFonts w:ascii="Times New Roman" w:hAnsi="Times New Roman"/>
          <w:szCs w:val="22"/>
        </w:rPr>
        <w:t xml:space="preserve"> </w:t>
      </w:r>
    </w:p>
    <w:p w:rsidR="00391470" w:rsidRDefault="00391470" w:rsidP="00391470">
      <w:pPr>
        <w:spacing w:before="120" w:after="120"/>
        <w:rPr>
          <w:rFonts w:ascii="Times New Roman" w:hAnsi="Times New Roman"/>
          <w:szCs w:val="22"/>
        </w:rPr>
      </w:pPr>
      <w:r w:rsidRPr="003E7C56">
        <w:rPr>
          <w:rFonts w:ascii="Times New Roman" w:hAnsi="Times New Roman"/>
          <w:szCs w:val="22"/>
        </w:rPr>
        <w:t xml:space="preserve">The new </w:t>
      </w:r>
      <w:r w:rsidR="006825EC">
        <w:rPr>
          <w:rFonts w:ascii="Times New Roman" w:hAnsi="Times New Roman"/>
          <w:szCs w:val="22"/>
        </w:rPr>
        <w:t>Amendment Direction</w:t>
      </w:r>
      <w:r w:rsidR="006825EC" w:rsidRPr="003E7C56">
        <w:rPr>
          <w:rFonts w:ascii="Times New Roman" w:hAnsi="Times New Roman"/>
          <w:szCs w:val="22"/>
        </w:rPr>
        <w:t xml:space="preserve"> </w:t>
      </w:r>
      <w:r w:rsidRPr="003E7C56">
        <w:rPr>
          <w:rFonts w:ascii="Times New Roman" w:hAnsi="Times New Roman"/>
          <w:szCs w:val="22"/>
        </w:rPr>
        <w:t xml:space="preserve">will </w:t>
      </w:r>
      <w:r>
        <w:rPr>
          <w:rFonts w:ascii="Times New Roman" w:hAnsi="Times New Roman"/>
          <w:szCs w:val="22"/>
        </w:rPr>
        <w:t xml:space="preserve">also </w:t>
      </w:r>
      <w:r w:rsidRPr="003E7C56">
        <w:rPr>
          <w:rFonts w:ascii="Times New Roman" w:hAnsi="Times New Roman"/>
          <w:szCs w:val="22"/>
        </w:rPr>
        <w:t>oblige agency heads to look beyond their organisation to inform periodic reviews of agency policies, processes and practices</w:t>
      </w:r>
      <w:r>
        <w:rPr>
          <w:rFonts w:ascii="Times New Roman" w:hAnsi="Times New Roman"/>
          <w:szCs w:val="22"/>
        </w:rPr>
        <w:t>.</w:t>
      </w:r>
    </w:p>
    <w:p w:rsidR="00391470" w:rsidRDefault="00391470" w:rsidP="00391470">
      <w:pPr>
        <w:spacing w:before="120" w:after="120"/>
        <w:rPr>
          <w:rFonts w:ascii="Times New Roman" w:hAnsi="Times New Roman"/>
          <w:szCs w:val="22"/>
        </w:rPr>
      </w:pPr>
      <w:r w:rsidRPr="003E7C56">
        <w:rPr>
          <w:rFonts w:ascii="Times New Roman" w:hAnsi="Times New Roman"/>
          <w:szCs w:val="22"/>
        </w:rPr>
        <w:t>The aggregate effect will be to encourage all actors to be mindful of the APS-wide context in which performance is managed.</w:t>
      </w:r>
    </w:p>
    <w:p w:rsidR="00255588" w:rsidRPr="003E7C56" w:rsidRDefault="00255588" w:rsidP="00391470">
      <w:pPr>
        <w:spacing w:before="120" w:after="120"/>
        <w:rPr>
          <w:rFonts w:ascii="Times New Roman" w:hAnsi="Times New Roman"/>
          <w:szCs w:val="22"/>
        </w:rPr>
      </w:pPr>
      <w:r>
        <w:rPr>
          <w:rFonts w:ascii="Times New Roman" w:hAnsi="Times New Roman"/>
          <w:szCs w:val="22"/>
          <w:lang w:eastAsia="en-AU"/>
        </w:rPr>
        <w:t>T</w:t>
      </w:r>
      <w:r w:rsidRPr="003E7C56">
        <w:rPr>
          <w:rFonts w:ascii="Times New Roman" w:hAnsi="Times New Roman"/>
          <w:szCs w:val="22"/>
          <w:lang w:eastAsia="en-AU"/>
        </w:rPr>
        <w:t xml:space="preserve">he Amendment Direction </w:t>
      </w:r>
      <w:r w:rsidR="000A3790">
        <w:rPr>
          <w:rFonts w:ascii="Times New Roman" w:hAnsi="Times New Roman"/>
          <w:szCs w:val="22"/>
          <w:lang w:eastAsia="en-AU"/>
        </w:rPr>
        <w:t>has a delayed commencement date (</w:t>
      </w:r>
      <w:r>
        <w:rPr>
          <w:rFonts w:ascii="Times New Roman" w:hAnsi="Times New Roman"/>
          <w:szCs w:val="22"/>
          <w:lang w:eastAsia="en-AU"/>
        </w:rPr>
        <w:t>1 July 2015</w:t>
      </w:r>
      <w:r w:rsidR="000A3790">
        <w:rPr>
          <w:rFonts w:ascii="Times New Roman" w:hAnsi="Times New Roman"/>
          <w:szCs w:val="22"/>
          <w:lang w:eastAsia="en-AU"/>
        </w:rPr>
        <w:t>)</w:t>
      </w:r>
      <w:r w:rsidR="00F229E3">
        <w:rPr>
          <w:rFonts w:ascii="Times New Roman" w:hAnsi="Times New Roman"/>
          <w:szCs w:val="22"/>
          <w:lang w:eastAsia="en-AU"/>
        </w:rPr>
        <w:t xml:space="preserve"> to allow time for agencies to make any necessary adjustment</w:t>
      </w:r>
      <w:r w:rsidR="000A3790">
        <w:rPr>
          <w:rFonts w:ascii="Times New Roman" w:hAnsi="Times New Roman"/>
          <w:szCs w:val="22"/>
          <w:lang w:eastAsia="en-AU"/>
        </w:rPr>
        <w:t>s</w:t>
      </w:r>
      <w:r w:rsidR="00025AC0">
        <w:rPr>
          <w:rFonts w:ascii="Times New Roman" w:hAnsi="Times New Roman"/>
          <w:szCs w:val="22"/>
          <w:lang w:eastAsia="en-AU"/>
        </w:rPr>
        <w:t>.</w:t>
      </w:r>
    </w:p>
    <w:p w:rsidR="00431B4D" w:rsidRPr="003E7C56" w:rsidRDefault="00431B4D" w:rsidP="007B07D8">
      <w:pPr>
        <w:spacing w:before="120" w:after="120"/>
        <w:rPr>
          <w:rFonts w:ascii="Times New Roman" w:hAnsi="Times New Roman"/>
          <w:b/>
          <w:szCs w:val="22"/>
        </w:rPr>
      </w:pPr>
      <w:r w:rsidRPr="003E7C56">
        <w:rPr>
          <w:rFonts w:ascii="Times New Roman" w:hAnsi="Times New Roman"/>
          <w:b/>
          <w:szCs w:val="22"/>
        </w:rPr>
        <w:t>Consultation</w:t>
      </w:r>
    </w:p>
    <w:p w:rsidR="00377DD3" w:rsidRPr="004B7468" w:rsidRDefault="00377DD3" w:rsidP="007B07D8">
      <w:pPr>
        <w:spacing w:before="120" w:after="120"/>
        <w:rPr>
          <w:rFonts w:ascii="Times New Roman" w:hAnsi="Times New Roman"/>
          <w:szCs w:val="22"/>
        </w:rPr>
      </w:pPr>
      <w:r w:rsidRPr="004B7468">
        <w:rPr>
          <w:rFonts w:ascii="Times New Roman" w:hAnsi="Times New Roman"/>
          <w:szCs w:val="22"/>
          <w:lang w:eastAsia="en-AU"/>
        </w:rPr>
        <w:t>The APSC has consulted a representative sample of APS agencies about the Amendment Direction. In addition, the Secretaries Board and Deputy Secretaries Reference Group have been consulted about particular aspects of the Amendment Direction.</w:t>
      </w:r>
    </w:p>
    <w:p w:rsidR="003C6DD2" w:rsidRPr="003E7C56" w:rsidRDefault="003C6DD2" w:rsidP="007B07D8">
      <w:pPr>
        <w:keepNext/>
        <w:spacing w:before="120" w:after="120"/>
        <w:rPr>
          <w:rFonts w:ascii="Times New Roman" w:hAnsi="Times New Roman"/>
          <w:b/>
          <w:szCs w:val="22"/>
        </w:rPr>
      </w:pPr>
      <w:r w:rsidRPr="003E7C56">
        <w:rPr>
          <w:rFonts w:ascii="Times New Roman" w:hAnsi="Times New Roman"/>
          <w:b/>
          <w:szCs w:val="22"/>
        </w:rPr>
        <w:t xml:space="preserve">Statement of </w:t>
      </w:r>
      <w:r w:rsidR="008157D9">
        <w:rPr>
          <w:rFonts w:ascii="Times New Roman" w:hAnsi="Times New Roman"/>
          <w:b/>
          <w:szCs w:val="22"/>
        </w:rPr>
        <w:t>C</w:t>
      </w:r>
      <w:r w:rsidRPr="003E7C56">
        <w:rPr>
          <w:rFonts w:ascii="Times New Roman" w:hAnsi="Times New Roman"/>
          <w:b/>
          <w:szCs w:val="22"/>
        </w:rPr>
        <w:t xml:space="preserve">ompatibility with </w:t>
      </w:r>
      <w:r w:rsidR="008157D9">
        <w:rPr>
          <w:rFonts w:ascii="Times New Roman" w:hAnsi="Times New Roman"/>
          <w:b/>
          <w:szCs w:val="22"/>
        </w:rPr>
        <w:t>H</w:t>
      </w:r>
      <w:r w:rsidRPr="003E7C56">
        <w:rPr>
          <w:rFonts w:ascii="Times New Roman" w:hAnsi="Times New Roman"/>
          <w:b/>
          <w:szCs w:val="22"/>
        </w:rPr>
        <w:t xml:space="preserve">uman </w:t>
      </w:r>
      <w:r w:rsidR="008157D9">
        <w:rPr>
          <w:rFonts w:ascii="Times New Roman" w:hAnsi="Times New Roman"/>
          <w:b/>
          <w:szCs w:val="22"/>
        </w:rPr>
        <w:t>R</w:t>
      </w:r>
      <w:r w:rsidRPr="003E7C56">
        <w:rPr>
          <w:rFonts w:ascii="Times New Roman" w:hAnsi="Times New Roman"/>
          <w:b/>
          <w:szCs w:val="22"/>
        </w:rPr>
        <w:t>ights</w:t>
      </w:r>
    </w:p>
    <w:p w:rsidR="00FF3D04" w:rsidRPr="003E7C56" w:rsidRDefault="003C6DD2" w:rsidP="007B07D8">
      <w:pPr>
        <w:spacing w:before="120" w:after="120"/>
        <w:rPr>
          <w:rFonts w:ascii="Times New Roman" w:hAnsi="Times New Roman"/>
          <w:szCs w:val="22"/>
        </w:rPr>
      </w:pPr>
      <w:r w:rsidRPr="003E7C56">
        <w:rPr>
          <w:rFonts w:ascii="Times New Roman" w:hAnsi="Times New Roman"/>
          <w:szCs w:val="22"/>
        </w:rPr>
        <w:t>A Statement of Compatibility</w:t>
      </w:r>
      <w:r w:rsidR="00C14563" w:rsidRPr="003E7C56">
        <w:rPr>
          <w:rFonts w:ascii="Times New Roman" w:hAnsi="Times New Roman"/>
          <w:szCs w:val="22"/>
        </w:rPr>
        <w:t xml:space="preserve"> with Human Rights</w:t>
      </w:r>
      <w:r w:rsidRPr="003E7C56">
        <w:rPr>
          <w:rFonts w:ascii="Times New Roman" w:hAnsi="Times New Roman"/>
          <w:szCs w:val="22"/>
        </w:rPr>
        <w:t xml:space="preserve"> is included at </w:t>
      </w:r>
      <w:r w:rsidRPr="008157D9">
        <w:rPr>
          <w:rFonts w:ascii="Times New Roman" w:hAnsi="Times New Roman"/>
          <w:szCs w:val="22"/>
          <w:u w:val="single"/>
        </w:rPr>
        <w:t>Attachment B</w:t>
      </w:r>
      <w:r w:rsidRPr="003E7C56">
        <w:rPr>
          <w:rFonts w:ascii="Times New Roman" w:hAnsi="Times New Roman"/>
          <w:szCs w:val="22"/>
        </w:rPr>
        <w:t xml:space="preserve"> to this Explanatory Statement.</w:t>
      </w:r>
    </w:p>
    <w:p w:rsidR="005A00EB" w:rsidRDefault="005A00EB">
      <w:pPr>
        <w:rPr>
          <w:rFonts w:ascii="Times New Roman" w:hAnsi="Times New Roman"/>
          <w:b/>
          <w:szCs w:val="22"/>
        </w:rPr>
        <w:sectPr w:rsidR="005A00EB" w:rsidSect="00B4410E">
          <w:headerReference w:type="first" r:id="rId9"/>
          <w:pgSz w:w="11906" w:h="16838" w:code="9"/>
          <w:pgMar w:top="1418" w:right="1134" w:bottom="1418" w:left="1418" w:header="567" w:footer="567" w:gutter="0"/>
          <w:cols w:space="720"/>
          <w:docGrid w:linePitch="272"/>
        </w:sectPr>
      </w:pPr>
    </w:p>
    <w:p w:rsidR="002E726E" w:rsidRPr="003E7C56" w:rsidRDefault="002E726E" w:rsidP="002E726E">
      <w:pPr>
        <w:spacing w:after="120"/>
        <w:rPr>
          <w:rFonts w:ascii="Times New Roman" w:hAnsi="Times New Roman"/>
          <w:b/>
          <w:szCs w:val="22"/>
        </w:rPr>
      </w:pPr>
      <w:r>
        <w:rPr>
          <w:rFonts w:ascii="Times New Roman" w:hAnsi="Times New Roman"/>
          <w:b/>
          <w:szCs w:val="22"/>
        </w:rPr>
        <w:lastRenderedPageBreak/>
        <w:t>NOTES ON CLAUSES</w:t>
      </w:r>
    </w:p>
    <w:p w:rsidR="002E726E" w:rsidRPr="003E7C56" w:rsidRDefault="002E726E" w:rsidP="002E726E">
      <w:pPr>
        <w:spacing w:before="120" w:after="120"/>
        <w:rPr>
          <w:rFonts w:ascii="Times New Roman" w:hAnsi="Times New Roman"/>
          <w:szCs w:val="22"/>
          <w:lang w:eastAsia="en-AU"/>
        </w:rPr>
      </w:pPr>
      <w:r w:rsidRPr="003E7C56">
        <w:rPr>
          <w:rFonts w:ascii="Times New Roman" w:hAnsi="Times New Roman"/>
          <w:b/>
          <w:bCs/>
          <w:szCs w:val="22"/>
          <w:lang w:eastAsia="en-AU"/>
        </w:rPr>
        <w:t>Operative clauses</w:t>
      </w:r>
    </w:p>
    <w:p w:rsidR="002E726E" w:rsidRPr="003E7C56" w:rsidRDefault="002E726E" w:rsidP="002E726E">
      <w:pPr>
        <w:rPr>
          <w:rFonts w:ascii="Times New Roman" w:hAnsi="Times New Roman"/>
          <w:szCs w:val="22"/>
          <w:lang w:eastAsia="en-AU"/>
        </w:rPr>
      </w:pPr>
      <w:r w:rsidRPr="00FF61BF">
        <w:rPr>
          <w:rFonts w:ascii="Times New Roman" w:hAnsi="Times New Roman"/>
          <w:b/>
          <w:bCs/>
          <w:szCs w:val="22"/>
          <w:lang w:eastAsia="en-AU"/>
        </w:rPr>
        <w:t>Clause 1</w:t>
      </w:r>
      <w:r w:rsidRPr="003E7C56">
        <w:rPr>
          <w:rFonts w:ascii="Times New Roman" w:hAnsi="Times New Roman"/>
          <w:szCs w:val="22"/>
          <w:lang w:eastAsia="en-AU"/>
        </w:rPr>
        <w:t xml:space="preserve"> sets out the name of the Direction.</w:t>
      </w:r>
    </w:p>
    <w:p w:rsidR="002E726E" w:rsidRPr="003E7C56" w:rsidRDefault="002E726E" w:rsidP="002E726E">
      <w:pPr>
        <w:rPr>
          <w:rFonts w:ascii="Times New Roman" w:hAnsi="Times New Roman"/>
          <w:szCs w:val="22"/>
          <w:lang w:eastAsia="en-AU"/>
        </w:rPr>
      </w:pPr>
      <w:r w:rsidRPr="00FF61BF">
        <w:rPr>
          <w:rFonts w:ascii="Times New Roman" w:hAnsi="Times New Roman"/>
          <w:b/>
          <w:bCs/>
          <w:szCs w:val="22"/>
          <w:lang w:eastAsia="en-AU"/>
        </w:rPr>
        <w:t>Clause 2</w:t>
      </w:r>
      <w:r w:rsidRPr="003E7C56">
        <w:rPr>
          <w:rFonts w:ascii="Times New Roman" w:hAnsi="Times New Roman"/>
          <w:i/>
          <w:iCs/>
          <w:szCs w:val="22"/>
          <w:lang w:eastAsia="en-AU"/>
        </w:rPr>
        <w:t xml:space="preserve"> </w:t>
      </w:r>
      <w:r w:rsidRPr="003E7C56">
        <w:rPr>
          <w:rFonts w:ascii="Times New Roman" w:hAnsi="Times New Roman"/>
          <w:szCs w:val="22"/>
          <w:lang w:eastAsia="en-AU"/>
        </w:rPr>
        <w:t xml:space="preserve">provides that the Amendment Direction commences </w:t>
      </w:r>
      <w:r w:rsidR="00255588">
        <w:rPr>
          <w:rFonts w:ascii="Times New Roman" w:hAnsi="Times New Roman"/>
          <w:szCs w:val="22"/>
          <w:lang w:eastAsia="en-AU"/>
        </w:rPr>
        <w:t>on 1 July 2015</w:t>
      </w:r>
      <w:r w:rsidR="008157D9">
        <w:rPr>
          <w:rFonts w:ascii="Times New Roman" w:hAnsi="Times New Roman"/>
          <w:szCs w:val="22"/>
          <w:lang w:eastAsia="en-AU"/>
        </w:rPr>
        <w:t>.</w:t>
      </w:r>
    </w:p>
    <w:p w:rsidR="002E726E" w:rsidRPr="003E7C56" w:rsidRDefault="002E726E" w:rsidP="002E726E">
      <w:pPr>
        <w:rPr>
          <w:rFonts w:ascii="Times New Roman" w:hAnsi="Times New Roman"/>
          <w:szCs w:val="22"/>
          <w:lang w:eastAsia="en-AU"/>
        </w:rPr>
      </w:pPr>
      <w:r w:rsidRPr="00FF61BF">
        <w:rPr>
          <w:rFonts w:ascii="Times New Roman" w:hAnsi="Times New Roman"/>
          <w:b/>
          <w:bCs/>
          <w:szCs w:val="22"/>
          <w:lang w:eastAsia="en-AU"/>
        </w:rPr>
        <w:t>Clause 3</w:t>
      </w:r>
      <w:r w:rsidRPr="003E7C56">
        <w:rPr>
          <w:rFonts w:ascii="Times New Roman" w:hAnsi="Times New Roman"/>
          <w:bCs/>
          <w:i/>
          <w:iCs/>
          <w:szCs w:val="22"/>
          <w:lang w:eastAsia="en-AU"/>
        </w:rPr>
        <w:t xml:space="preserve"> </w:t>
      </w:r>
      <w:r w:rsidRPr="003E7C56">
        <w:rPr>
          <w:rFonts w:ascii="Times New Roman" w:hAnsi="Times New Roman"/>
          <w:szCs w:val="22"/>
          <w:lang w:eastAsia="en-AU"/>
        </w:rPr>
        <w:t>specifies the authority for making the Amendment Direction.</w:t>
      </w:r>
    </w:p>
    <w:p w:rsidR="002E726E" w:rsidRPr="003E7C56" w:rsidRDefault="002E726E" w:rsidP="002E726E">
      <w:pPr>
        <w:rPr>
          <w:rFonts w:ascii="Times New Roman" w:hAnsi="Times New Roman"/>
          <w:szCs w:val="22"/>
          <w:lang w:eastAsia="en-AU"/>
        </w:rPr>
      </w:pPr>
      <w:r w:rsidRPr="00FF61BF">
        <w:rPr>
          <w:rFonts w:ascii="Times New Roman" w:hAnsi="Times New Roman"/>
          <w:b/>
          <w:bCs/>
          <w:szCs w:val="22"/>
          <w:lang w:eastAsia="en-AU"/>
        </w:rPr>
        <w:t>Clause 4</w:t>
      </w:r>
      <w:r w:rsidRPr="003E7C56">
        <w:rPr>
          <w:rFonts w:ascii="Times New Roman" w:hAnsi="Times New Roman"/>
          <w:bCs/>
          <w:i/>
          <w:iCs/>
          <w:szCs w:val="22"/>
          <w:lang w:eastAsia="en-AU"/>
        </w:rPr>
        <w:t xml:space="preserve"> </w:t>
      </w:r>
      <w:r w:rsidRPr="003E7C56">
        <w:rPr>
          <w:rFonts w:ascii="Times New Roman" w:hAnsi="Times New Roman"/>
          <w:szCs w:val="22"/>
          <w:lang w:eastAsia="en-AU"/>
        </w:rPr>
        <w:t>provides that Schedule 1 amends the Commissioner’s Directions.</w:t>
      </w:r>
    </w:p>
    <w:p w:rsidR="002E726E" w:rsidRPr="003E7C56" w:rsidRDefault="002E726E" w:rsidP="002E726E">
      <w:pPr>
        <w:spacing w:before="120" w:after="120"/>
        <w:rPr>
          <w:rFonts w:ascii="Times New Roman" w:hAnsi="Times New Roman"/>
          <w:b/>
          <w:szCs w:val="22"/>
        </w:rPr>
      </w:pPr>
      <w:r w:rsidRPr="003E7C56">
        <w:rPr>
          <w:rFonts w:ascii="Times New Roman" w:hAnsi="Times New Roman"/>
          <w:b/>
          <w:szCs w:val="22"/>
        </w:rPr>
        <w:t>Schedule 1</w:t>
      </w:r>
    </w:p>
    <w:p w:rsidR="002E726E" w:rsidRPr="003E7C56" w:rsidRDefault="002E726E" w:rsidP="002E726E">
      <w:pPr>
        <w:spacing w:before="120" w:after="120"/>
        <w:rPr>
          <w:rFonts w:ascii="Times New Roman" w:hAnsi="Times New Roman"/>
          <w:szCs w:val="22"/>
        </w:rPr>
      </w:pPr>
      <w:r w:rsidRPr="003E7C56">
        <w:rPr>
          <w:rFonts w:ascii="Times New Roman" w:hAnsi="Times New Roman"/>
          <w:b/>
          <w:szCs w:val="22"/>
        </w:rPr>
        <w:t>Item 1</w:t>
      </w:r>
      <w:r>
        <w:rPr>
          <w:rFonts w:ascii="Times New Roman" w:hAnsi="Times New Roman"/>
          <w:b/>
          <w:szCs w:val="22"/>
        </w:rPr>
        <w:t xml:space="preserve"> of Schedule 1 </w:t>
      </w:r>
      <w:r w:rsidRPr="003E7C56">
        <w:rPr>
          <w:rFonts w:ascii="Times New Roman" w:hAnsi="Times New Roman"/>
          <w:szCs w:val="22"/>
        </w:rPr>
        <w:t xml:space="preserve">repeals </w:t>
      </w:r>
      <w:r>
        <w:rPr>
          <w:rFonts w:ascii="Times New Roman" w:hAnsi="Times New Roman"/>
          <w:szCs w:val="22"/>
        </w:rPr>
        <w:t>s</w:t>
      </w:r>
      <w:r w:rsidRPr="003E7C56">
        <w:rPr>
          <w:rFonts w:ascii="Times New Roman" w:hAnsi="Times New Roman"/>
          <w:szCs w:val="22"/>
        </w:rPr>
        <w:t>ubclause 4.1</w:t>
      </w:r>
      <w:r>
        <w:rPr>
          <w:rFonts w:ascii="Times New Roman" w:hAnsi="Times New Roman"/>
          <w:szCs w:val="22"/>
        </w:rPr>
        <w:t xml:space="preserve"> of the Commissioner’s Directions</w:t>
      </w:r>
      <w:r w:rsidRPr="003E7C56">
        <w:rPr>
          <w:rFonts w:ascii="Times New Roman" w:hAnsi="Times New Roman"/>
          <w:szCs w:val="22"/>
        </w:rPr>
        <w:t xml:space="preserve"> and replaces it with </w:t>
      </w:r>
      <w:r>
        <w:rPr>
          <w:rFonts w:ascii="Times New Roman" w:hAnsi="Times New Roman"/>
          <w:szCs w:val="22"/>
        </w:rPr>
        <w:t>a new s</w:t>
      </w:r>
      <w:r w:rsidRPr="003E7C56">
        <w:rPr>
          <w:rFonts w:ascii="Times New Roman" w:hAnsi="Times New Roman"/>
          <w:szCs w:val="22"/>
        </w:rPr>
        <w:t xml:space="preserve">ubclause 4.1 </w:t>
      </w:r>
      <w:r>
        <w:rPr>
          <w:rFonts w:ascii="Times New Roman" w:hAnsi="Times New Roman"/>
          <w:szCs w:val="22"/>
        </w:rPr>
        <w:t xml:space="preserve">which </w:t>
      </w:r>
      <w:r w:rsidRPr="003E7C56">
        <w:rPr>
          <w:rFonts w:ascii="Times New Roman" w:hAnsi="Times New Roman"/>
          <w:szCs w:val="22"/>
        </w:rPr>
        <w:t xml:space="preserve">outlines the purpose of </w:t>
      </w:r>
      <w:r>
        <w:rPr>
          <w:rFonts w:ascii="Times New Roman" w:hAnsi="Times New Roman"/>
          <w:szCs w:val="22"/>
        </w:rPr>
        <w:t>C</w:t>
      </w:r>
      <w:r w:rsidRPr="003E7C56">
        <w:rPr>
          <w:rFonts w:ascii="Times New Roman" w:hAnsi="Times New Roman"/>
          <w:szCs w:val="22"/>
        </w:rPr>
        <w:t>hapter</w:t>
      </w:r>
      <w:r>
        <w:rPr>
          <w:rFonts w:ascii="Times New Roman" w:hAnsi="Times New Roman"/>
          <w:szCs w:val="22"/>
        </w:rPr>
        <w:t xml:space="preserve"> 4 of the Directions relating to performance management</w:t>
      </w:r>
      <w:r w:rsidRPr="003E7C56">
        <w:rPr>
          <w:rFonts w:ascii="Times New Roman" w:hAnsi="Times New Roman"/>
          <w:szCs w:val="22"/>
        </w:rPr>
        <w:t xml:space="preserve">. The amendment occurs in the context of a broader agenda for reform of performance management across the APS. Research conducted by the Australian </w:t>
      </w:r>
      <w:r w:rsidR="009C71B4">
        <w:rPr>
          <w:rFonts w:ascii="Times New Roman" w:hAnsi="Times New Roman"/>
          <w:szCs w:val="22"/>
        </w:rPr>
        <w:t>Public Service Commission</w:t>
      </w:r>
      <w:r w:rsidRPr="003E7C56">
        <w:rPr>
          <w:rFonts w:ascii="Times New Roman" w:hAnsi="Times New Roman"/>
          <w:szCs w:val="22"/>
        </w:rPr>
        <w:t xml:space="preserve">, including the APS employee census, has affirmed that the effective management of performance is a continuing challenge for many APS supervisors and agencies. Strengthening the legal framework pertaining to performance management is a critical success factor for improvement in this area. </w:t>
      </w:r>
    </w:p>
    <w:p w:rsidR="002E726E" w:rsidRDefault="002E726E" w:rsidP="002E726E">
      <w:pPr>
        <w:spacing w:before="120" w:after="120"/>
        <w:rPr>
          <w:rFonts w:ascii="Times New Roman" w:hAnsi="Times New Roman"/>
          <w:szCs w:val="22"/>
        </w:rPr>
      </w:pPr>
      <w:r w:rsidRPr="003E7C56">
        <w:rPr>
          <w:rFonts w:ascii="Times New Roman" w:hAnsi="Times New Roman"/>
          <w:szCs w:val="22"/>
        </w:rPr>
        <w:t xml:space="preserve">The subclause details the three key purposes </w:t>
      </w:r>
      <w:r>
        <w:rPr>
          <w:rFonts w:ascii="Times New Roman" w:hAnsi="Times New Roman"/>
          <w:szCs w:val="22"/>
        </w:rPr>
        <w:t>of Chapter 4 of the Directions</w:t>
      </w:r>
      <w:r w:rsidRPr="003E7C56">
        <w:rPr>
          <w:rFonts w:ascii="Times New Roman" w:hAnsi="Times New Roman"/>
          <w:szCs w:val="22"/>
        </w:rPr>
        <w:t>:</w:t>
      </w:r>
    </w:p>
    <w:p w:rsidR="002E726E" w:rsidRPr="003E7C56" w:rsidRDefault="002556C9" w:rsidP="002E726E">
      <w:pPr>
        <w:pStyle w:val="ListParagraph"/>
        <w:numPr>
          <w:ilvl w:val="0"/>
          <w:numId w:val="16"/>
        </w:numPr>
        <w:spacing w:before="120" w:after="120"/>
        <w:rPr>
          <w:sz w:val="22"/>
          <w:szCs w:val="22"/>
          <w:lang w:val="en-US"/>
        </w:rPr>
      </w:pPr>
      <w:r>
        <w:rPr>
          <w:sz w:val="22"/>
          <w:szCs w:val="22"/>
          <w:lang w:val="en-US"/>
        </w:rPr>
        <w:t>To s</w:t>
      </w:r>
      <w:r w:rsidR="002E726E" w:rsidRPr="003E7C56">
        <w:rPr>
          <w:sz w:val="22"/>
          <w:szCs w:val="22"/>
          <w:lang w:val="en-US"/>
        </w:rPr>
        <w:t>trengthen the obligations on agency heads with respect to the effective performance Employment Principle</w:t>
      </w:r>
      <w:r w:rsidR="002E726E" w:rsidRPr="003E7C56">
        <w:rPr>
          <w:sz w:val="22"/>
          <w:szCs w:val="22"/>
        </w:rPr>
        <w:t xml:space="preserve"> – the amendment seeks to build on, and expand the previous provisions;</w:t>
      </w:r>
    </w:p>
    <w:p w:rsidR="002E726E" w:rsidRPr="003E7C56" w:rsidRDefault="002556C9" w:rsidP="002E726E">
      <w:pPr>
        <w:pStyle w:val="ListParagraph"/>
        <w:numPr>
          <w:ilvl w:val="0"/>
          <w:numId w:val="16"/>
        </w:numPr>
        <w:spacing w:before="120" w:after="120"/>
        <w:rPr>
          <w:sz w:val="22"/>
          <w:szCs w:val="22"/>
          <w:lang w:val="en-US"/>
        </w:rPr>
      </w:pPr>
      <w:r>
        <w:rPr>
          <w:sz w:val="22"/>
          <w:szCs w:val="22"/>
          <w:lang w:val="en-US"/>
        </w:rPr>
        <w:t>To m</w:t>
      </w:r>
      <w:r w:rsidR="002E726E" w:rsidRPr="003E7C56">
        <w:rPr>
          <w:sz w:val="22"/>
          <w:szCs w:val="22"/>
          <w:lang w:val="en-US"/>
        </w:rPr>
        <w:t>ake provision for certain obligations on supervisors and employees relevant to the effective performance Employment Principle</w:t>
      </w:r>
      <w:r w:rsidR="002E726E">
        <w:rPr>
          <w:sz w:val="22"/>
          <w:szCs w:val="22"/>
          <w:lang w:val="en-US"/>
        </w:rPr>
        <w:t xml:space="preserve"> </w:t>
      </w:r>
      <w:r w:rsidR="002E726E" w:rsidRPr="003E7C56">
        <w:rPr>
          <w:sz w:val="22"/>
          <w:szCs w:val="22"/>
        </w:rPr>
        <w:t>– the amendment includes obligations for two new actors, supervisors and APS employees, bringing the Directions for performance management closer in line with how responsibilities and authority are attributed in practice within APS agencies;</w:t>
      </w:r>
    </w:p>
    <w:p w:rsidR="002E726E" w:rsidRPr="003E7C56" w:rsidRDefault="008157D9" w:rsidP="002E726E">
      <w:pPr>
        <w:pStyle w:val="ListParagraph"/>
        <w:numPr>
          <w:ilvl w:val="0"/>
          <w:numId w:val="16"/>
        </w:numPr>
        <w:spacing w:before="120" w:after="120"/>
        <w:rPr>
          <w:sz w:val="22"/>
          <w:szCs w:val="22"/>
        </w:rPr>
      </w:pPr>
      <w:r>
        <w:rPr>
          <w:sz w:val="22"/>
          <w:szCs w:val="22"/>
        </w:rPr>
        <w:t>To e</w:t>
      </w:r>
      <w:r w:rsidR="00CC1EEE" w:rsidRPr="00CC1EEE">
        <w:rPr>
          <w:sz w:val="22"/>
          <w:szCs w:val="22"/>
        </w:rPr>
        <w:t>ncourage APS best or better practice by requiring Agency Heads to ensure that his or her Agency’s performance management policy and associated policies and practices are periodically reviewed and benchmarked against APS best practice</w:t>
      </w:r>
      <w:r w:rsidR="00CC1EEE">
        <w:rPr>
          <w:sz w:val="22"/>
          <w:szCs w:val="22"/>
          <w:lang w:val="en-US"/>
        </w:rPr>
        <w:t xml:space="preserve"> </w:t>
      </w:r>
      <w:r w:rsidR="002E726E" w:rsidRPr="003E7C56">
        <w:rPr>
          <w:sz w:val="22"/>
          <w:szCs w:val="22"/>
        </w:rPr>
        <w:t>– the amendment seeks to encourage and support agencies in the task of raising the bar on performance management.</w:t>
      </w:r>
    </w:p>
    <w:p w:rsidR="002E726E" w:rsidRPr="003E7C56" w:rsidRDefault="00B27637" w:rsidP="002E726E">
      <w:pPr>
        <w:spacing w:before="120" w:after="120"/>
        <w:rPr>
          <w:rFonts w:ascii="Times New Roman" w:hAnsi="Times New Roman"/>
          <w:szCs w:val="22"/>
        </w:rPr>
      </w:pPr>
      <w:r>
        <w:rPr>
          <w:rFonts w:ascii="Times New Roman" w:hAnsi="Times New Roman"/>
          <w:szCs w:val="22"/>
        </w:rPr>
        <w:t>S</w:t>
      </w:r>
      <w:r w:rsidR="002E726E" w:rsidRPr="003E7C56">
        <w:rPr>
          <w:rFonts w:ascii="Times New Roman" w:hAnsi="Times New Roman"/>
          <w:szCs w:val="22"/>
        </w:rPr>
        <w:t>ubclause</w:t>
      </w:r>
      <w:r w:rsidR="002E726E">
        <w:rPr>
          <w:rFonts w:ascii="Times New Roman" w:hAnsi="Times New Roman"/>
          <w:szCs w:val="22"/>
        </w:rPr>
        <w:t xml:space="preserve"> 4.1</w:t>
      </w:r>
      <w:r w:rsidR="002E726E" w:rsidRPr="003E7C56">
        <w:rPr>
          <w:rFonts w:ascii="Times New Roman" w:hAnsi="Times New Roman"/>
          <w:szCs w:val="22"/>
        </w:rPr>
        <w:t xml:space="preserve"> also notes “the spectrum of management issues associated with effective performance management across the APS, from encouraging high performance to managing unsatisfactory performance”</w:t>
      </w:r>
      <w:r w:rsidR="008157D9">
        <w:rPr>
          <w:rFonts w:ascii="Times New Roman" w:hAnsi="Times New Roman"/>
          <w:szCs w:val="22"/>
        </w:rPr>
        <w:t xml:space="preserve">. </w:t>
      </w:r>
      <w:r w:rsidR="002E726E">
        <w:rPr>
          <w:rFonts w:ascii="Times New Roman" w:hAnsi="Times New Roman"/>
          <w:szCs w:val="22"/>
        </w:rPr>
        <w:t>Inclusion of this statement</w:t>
      </w:r>
      <w:r w:rsidR="002E726E" w:rsidRPr="003E7C56">
        <w:rPr>
          <w:rFonts w:ascii="Times New Roman" w:hAnsi="Times New Roman"/>
          <w:szCs w:val="22"/>
        </w:rPr>
        <w:t xml:space="preserve"> seeks to give fuller meaning to the practice of managing for effective performance. In practice, managing for effective performance means dealing with a range of activity: excellent or “high” performance, acceptable or “satisfactory” performance, and where expectations are</w:t>
      </w:r>
      <w:r w:rsidR="008157D9">
        <w:rPr>
          <w:rFonts w:ascii="Times New Roman" w:hAnsi="Times New Roman"/>
          <w:szCs w:val="22"/>
        </w:rPr>
        <w:t xml:space="preserve"> </w:t>
      </w:r>
      <w:r w:rsidR="002E726E" w:rsidRPr="003E7C56">
        <w:rPr>
          <w:rFonts w:ascii="Times New Roman" w:hAnsi="Times New Roman"/>
          <w:szCs w:val="22"/>
        </w:rPr>
        <w:t>n</w:t>
      </w:r>
      <w:r w:rsidR="008157D9">
        <w:rPr>
          <w:rFonts w:ascii="Times New Roman" w:hAnsi="Times New Roman"/>
          <w:szCs w:val="22"/>
        </w:rPr>
        <w:t>ot</w:t>
      </w:r>
      <w:r w:rsidR="002E726E" w:rsidRPr="003E7C56">
        <w:rPr>
          <w:rFonts w:ascii="Times New Roman" w:hAnsi="Times New Roman"/>
          <w:szCs w:val="22"/>
        </w:rPr>
        <w:t xml:space="preserve"> successfully met, “unsatisfactory” performance.</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1) sets out the basic obligations of an Agency Head</w:t>
      </w:r>
      <w:r>
        <w:rPr>
          <w:rFonts w:ascii="Times New Roman" w:hAnsi="Times New Roman"/>
          <w:szCs w:val="22"/>
        </w:rPr>
        <w:t xml:space="preserve"> in upholding and promoting the effective performance Employment Principle.</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r w:rsidRPr="003E7C56">
        <w:rPr>
          <w:rFonts w:ascii="Times New Roman" w:hAnsi="Times New Roman"/>
          <w:szCs w:val="22"/>
        </w:rPr>
        <w:t>4.1A</w:t>
      </w:r>
      <w:proofErr w:type="spellEnd"/>
      <w:r w:rsidRPr="003E7C56">
        <w:rPr>
          <w:rFonts w:ascii="Times New Roman" w:hAnsi="Times New Roman"/>
          <w:szCs w:val="22"/>
        </w:rPr>
        <w:t>(1)(a)(</w:t>
      </w:r>
      <w:proofErr w:type="spellStart"/>
      <w:r w:rsidRPr="003E7C56">
        <w:rPr>
          <w:rFonts w:ascii="Times New Roman" w:hAnsi="Times New Roman"/>
          <w:szCs w:val="22"/>
        </w:rPr>
        <w:t>i</w:t>
      </w:r>
      <w:proofErr w:type="spellEnd"/>
      <w:r w:rsidRPr="003E7C56">
        <w:rPr>
          <w:rFonts w:ascii="Times New Roman" w:hAnsi="Times New Roman"/>
          <w:szCs w:val="22"/>
        </w:rPr>
        <w:t xml:space="preserve">-v) </w:t>
      </w:r>
      <w:r>
        <w:rPr>
          <w:rFonts w:ascii="Times New Roman" w:hAnsi="Times New Roman"/>
          <w:szCs w:val="22"/>
        </w:rPr>
        <w:t xml:space="preserve">provides </w:t>
      </w:r>
      <w:r w:rsidRPr="003E7C56">
        <w:rPr>
          <w:rFonts w:ascii="Times New Roman" w:hAnsi="Times New Roman"/>
          <w:szCs w:val="22"/>
        </w:rPr>
        <w:t>that an Agency Head must ensure that his or her agency has a performance management policy, and associated processes and practices, that includes several features</w:t>
      </w:r>
      <w:r>
        <w:rPr>
          <w:rFonts w:ascii="Times New Roman" w:hAnsi="Times New Roman"/>
          <w:szCs w:val="22"/>
        </w:rPr>
        <w:t>, some of which warrant further explanation</w:t>
      </w:r>
      <w:r w:rsidRPr="003E7C56">
        <w:rPr>
          <w:rFonts w:ascii="Times New Roman" w:hAnsi="Times New Roman"/>
          <w:szCs w:val="22"/>
        </w:rPr>
        <w:t xml:space="preserve">. </w:t>
      </w:r>
    </w:p>
    <w:p w:rsidR="002E726E" w:rsidRPr="003E7C56" w:rsidRDefault="002E726E" w:rsidP="002E726E">
      <w:pPr>
        <w:pStyle w:val="ListParagraph"/>
        <w:numPr>
          <w:ilvl w:val="0"/>
          <w:numId w:val="6"/>
        </w:numPr>
        <w:spacing w:before="120" w:after="120"/>
        <w:rPr>
          <w:sz w:val="22"/>
          <w:szCs w:val="22"/>
        </w:rPr>
      </w:pPr>
      <w:r w:rsidRPr="003E7C56">
        <w:rPr>
          <w:sz w:val="22"/>
          <w:szCs w:val="22"/>
        </w:rPr>
        <w:t xml:space="preserve">Subclause </w:t>
      </w:r>
      <w:proofErr w:type="spellStart"/>
      <w:r w:rsidRPr="003E7C56">
        <w:rPr>
          <w:sz w:val="22"/>
          <w:szCs w:val="22"/>
        </w:rPr>
        <w:t>4.1A</w:t>
      </w:r>
      <w:proofErr w:type="spellEnd"/>
      <w:r w:rsidRPr="003E7C56">
        <w:rPr>
          <w:sz w:val="22"/>
          <w:szCs w:val="22"/>
        </w:rPr>
        <w:t>(1)(a)(</w:t>
      </w:r>
      <w:proofErr w:type="spellStart"/>
      <w:r w:rsidRPr="003E7C56">
        <w:rPr>
          <w:sz w:val="22"/>
          <w:szCs w:val="22"/>
        </w:rPr>
        <w:t>i</w:t>
      </w:r>
      <w:proofErr w:type="spellEnd"/>
      <w:r w:rsidRPr="003E7C56">
        <w:rPr>
          <w:sz w:val="22"/>
          <w:szCs w:val="22"/>
        </w:rPr>
        <w:t>) re</w:t>
      </w:r>
      <w:r>
        <w:rPr>
          <w:sz w:val="22"/>
          <w:szCs w:val="22"/>
        </w:rPr>
        <w:t xml:space="preserve">quires that agency policy, processes and practices support </w:t>
      </w:r>
      <w:r w:rsidRPr="003E7C56">
        <w:rPr>
          <w:sz w:val="22"/>
          <w:szCs w:val="22"/>
        </w:rPr>
        <w:t xml:space="preserve">  a “culture of high performance” – A culture of high performance may be understood to mean a working environment in which people are encouraged or empowered to produce or conduct excellent work;</w:t>
      </w:r>
    </w:p>
    <w:p w:rsidR="002E726E" w:rsidRPr="003E7C56" w:rsidRDefault="002E726E" w:rsidP="002E726E">
      <w:pPr>
        <w:pStyle w:val="ListParagraph"/>
        <w:numPr>
          <w:ilvl w:val="0"/>
          <w:numId w:val="6"/>
        </w:numPr>
        <w:spacing w:before="120" w:after="120"/>
        <w:rPr>
          <w:sz w:val="22"/>
          <w:szCs w:val="22"/>
        </w:rPr>
      </w:pPr>
      <w:r w:rsidRPr="003E7C56">
        <w:rPr>
          <w:sz w:val="22"/>
          <w:szCs w:val="22"/>
        </w:rPr>
        <w:t xml:space="preserve">Subclause </w:t>
      </w:r>
      <w:proofErr w:type="spellStart"/>
      <w:proofErr w:type="gramStart"/>
      <w:r w:rsidRPr="003E7C56">
        <w:rPr>
          <w:sz w:val="22"/>
          <w:szCs w:val="22"/>
        </w:rPr>
        <w:t>4.1A</w:t>
      </w:r>
      <w:proofErr w:type="spellEnd"/>
      <w:r w:rsidRPr="003E7C56">
        <w:rPr>
          <w:sz w:val="22"/>
          <w:szCs w:val="22"/>
        </w:rPr>
        <w:t>(</w:t>
      </w:r>
      <w:proofErr w:type="gramEnd"/>
      <w:r w:rsidRPr="003E7C56">
        <w:rPr>
          <w:sz w:val="22"/>
          <w:szCs w:val="22"/>
        </w:rPr>
        <w:t xml:space="preserve">1)(a)(v) requires that the </w:t>
      </w:r>
      <w:r>
        <w:rPr>
          <w:sz w:val="22"/>
          <w:szCs w:val="22"/>
        </w:rPr>
        <w:t xml:space="preserve">agency </w:t>
      </w:r>
      <w:r w:rsidRPr="003E7C56">
        <w:rPr>
          <w:sz w:val="22"/>
          <w:szCs w:val="22"/>
        </w:rPr>
        <w:t>polic</w:t>
      </w:r>
      <w:r w:rsidR="00EC636D">
        <w:rPr>
          <w:sz w:val="22"/>
          <w:szCs w:val="22"/>
        </w:rPr>
        <w:t xml:space="preserve">y, processes and practices are </w:t>
      </w:r>
      <w:r w:rsidRPr="003E7C56">
        <w:rPr>
          <w:sz w:val="22"/>
          <w:szCs w:val="22"/>
        </w:rPr>
        <w:t>periodically reviewed and benchma</w:t>
      </w:r>
      <w:r w:rsidR="00EC636D">
        <w:rPr>
          <w:sz w:val="22"/>
          <w:szCs w:val="22"/>
        </w:rPr>
        <w:t>rked against APS best practice.</w:t>
      </w:r>
      <w:r w:rsidRPr="003E7C56">
        <w:rPr>
          <w:sz w:val="22"/>
          <w:szCs w:val="22"/>
        </w:rPr>
        <w:t xml:space="preserve"> The intention here is to encourage an outward orientation in the development and ongoing maintenance of an agency’s performance management systems – to avoid self-referential systems, and the poor quality they can generate. Review and benchmarking could occur at the same time through the one procedure or system, but not necessarily so.</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1)(b) </w:t>
      </w:r>
      <w:r>
        <w:rPr>
          <w:rFonts w:ascii="Times New Roman" w:hAnsi="Times New Roman"/>
          <w:szCs w:val="22"/>
        </w:rPr>
        <w:t>requires that an agency head ensure</w:t>
      </w:r>
      <w:r w:rsidR="002068AF">
        <w:rPr>
          <w:rFonts w:ascii="Times New Roman" w:hAnsi="Times New Roman"/>
          <w:szCs w:val="22"/>
        </w:rPr>
        <w:t>s</w:t>
      </w:r>
      <w:r>
        <w:rPr>
          <w:rFonts w:ascii="Times New Roman" w:hAnsi="Times New Roman"/>
          <w:szCs w:val="22"/>
        </w:rPr>
        <w:t xml:space="preserve"> that his or her agency builds </w:t>
      </w:r>
      <w:r w:rsidR="002068AF">
        <w:rPr>
          <w:rFonts w:ascii="Times New Roman" w:hAnsi="Times New Roman"/>
          <w:szCs w:val="22"/>
        </w:rPr>
        <w:t>organisational capability.</w:t>
      </w:r>
      <w:r w:rsidRPr="003E7C56">
        <w:rPr>
          <w:rFonts w:ascii="Times New Roman" w:hAnsi="Times New Roman"/>
          <w:szCs w:val="22"/>
        </w:rPr>
        <w:t xml:space="preserve"> In the context of </w:t>
      </w:r>
      <w:r w:rsidR="00847CAC">
        <w:rPr>
          <w:rFonts w:ascii="Times New Roman" w:hAnsi="Times New Roman"/>
          <w:szCs w:val="22"/>
        </w:rPr>
        <w:t xml:space="preserve">the </w:t>
      </w:r>
      <w:r>
        <w:rPr>
          <w:rFonts w:ascii="Times New Roman" w:hAnsi="Times New Roman"/>
          <w:szCs w:val="22"/>
        </w:rPr>
        <w:t xml:space="preserve">effective </w:t>
      </w:r>
      <w:r w:rsidRPr="003E7C56">
        <w:rPr>
          <w:rFonts w:ascii="Times New Roman" w:hAnsi="Times New Roman"/>
          <w:szCs w:val="22"/>
        </w:rPr>
        <w:t xml:space="preserve">performance </w:t>
      </w:r>
      <w:r>
        <w:rPr>
          <w:rFonts w:ascii="Times New Roman" w:hAnsi="Times New Roman"/>
          <w:szCs w:val="22"/>
        </w:rPr>
        <w:t>Employment Principle</w:t>
      </w:r>
      <w:r w:rsidRPr="003E7C56">
        <w:rPr>
          <w:rFonts w:ascii="Times New Roman" w:hAnsi="Times New Roman"/>
          <w:szCs w:val="22"/>
        </w:rPr>
        <w:t xml:space="preserve">, organisational capability </w:t>
      </w:r>
      <w:r w:rsidRPr="003E7C56">
        <w:rPr>
          <w:rFonts w:ascii="Times New Roman" w:hAnsi="Times New Roman"/>
          <w:szCs w:val="22"/>
        </w:rPr>
        <w:lastRenderedPageBreak/>
        <w:t>may refer primarily, but not exclusively, to the totality of individual employee capability within an agency. It is an obligation on an Agency Head to invest in, and develop</w:t>
      </w:r>
      <w:r w:rsidR="00847CAC">
        <w:rPr>
          <w:rFonts w:ascii="Times New Roman" w:hAnsi="Times New Roman"/>
          <w:szCs w:val="22"/>
        </w:rPr>
        <w:t>,</w:t>
      </w:r>
      <w:r w:rsidRPr="003E7C56">
        <w:rPr>
          <w:rFonts w:ascii="Times New Roman" w:hAnsi="Times New Roman"/>
          <w:szCs w:val="22"/>
        </w:rPr>
        <w:t xml:space="preserve"> </w:t>
      </w:r>
      <w:r>
        <w:rPr>
          <w:rFonts w:ascii="Times New Roman" w:hAnsi="Times New Roman"/>
          <w:szCs w:val="22"/>
        </w:rPr>
        <w:t>employees in the agency</w:t>
      </w:r>
      <w:r w:rsidRPr="003E7C56">
        <w:rPr>
          <w:rFonts w:ascii="Times New Roman" w:hAnsi="Times New Roman"/>
          <w:szCs w:val="22"/>
        </w:rPr>
        <w:t xml:space="preserve"> so that they can perform the tasks required of them.</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1)(c) </w:t>
      </w:r>
      <w:r>
        <w:rPr>
          <w:rFonts w:ascii="Times New Roman" w:hAnsi="Times New Roman"/>
          <w:szCs w:val="22"/>
        </w:rPr>
        <w:t xml:space="preserve">requires that employees be given a clear statement of the performance and behaviour expected of them and an </w:t>
      </w:r>
      <w:r w:rsidR="00186715">
        <w:rPr>
          <w:rFonts w:ascii="Times New Roman" w:hAnsi="Times New Roman"/>
          <w:szCs w:val="22"/>
        </w:rPr>
        <w:t xml:space="preserve">opportunity to discuss duties. </w:t>
      </w:r>
      <w:r>
        <w:rPr>
          <w:rFonts w:ascii="Times New Roman" w:hAnsi="Times New Roman"/>
          <w:szCs w:val="22"/>
        </w:rPr>
        <w:t xml:space="preserve">The subclause </w:t>
      </w:r>
      <w:r w:rsidRPr="003E7C56">
        <w:rPr>
          <w:rFonts w:ascii="Times New Roman" w:hAnsi="Times New Roman"/>
          <w:szCs w:val="22"/>
        </w:rPr>
        <w:t>refers to</w:t>
      </w:r>
      <w:r>
        <w:rPr>
          <w:rFonts w:ascii="Times New Roman" w:hAnsi="Times New Roman"/>
          <w:szCs w:val="22"/>
        </w:rPr>
        <w:t xml:space="preserve"> a</w:t>
      </w:r>
      <w:r w:rsidRPr="003E7C56">
        <w:rPr>
          <w:rFonts w:ascii="Times New Roman" w:hAnsi="Times New Roman"/>
          <w:szCs w:val="22"/>
        </w:rPr>
        <w:t xml:space="preserve"> </w:t>
      </w:r>
      <w:r w:rsidRPr="00FF61BF">
        <w:rPr>
          <w:rFonts w:ascii="Times New Roman" w:hAnsi="Times New Roman"/>
          <w:i/>
          <w:szCs w:val="22"/>
        </w:rPr>
        <w:t>performance agreement</w:t>
      </w:r>
      <w:r w:rsidRPr="003E7C56">
        <w:rPr>
          <w:rFonts w:ascii="Times New Roman" w:hAnsi="Times New Roman"/>
          <w:szCs w:val="22"/>
        </w:rPr>
        <w:t xml:space="preserve"> </w:t>
      </w:r>
      <w:r>
        <w:rPr>
          <w:rFonts w:ascii="Times New Roman" w:hAnsi="Times New Roman"/>
          <w:szCs w:val="22"/>
        </w:rPr>
        <w:t xml:space="preserve">which is </w:t>
      </w:r>
      <w:r w:rsidRPr="003E7C56">
        <w:rPr>
          <w:rFonts w:ascii="Times New Roman" w:hAnsi="Times New Roman"/>
          <w:szCs w:val="22"/>
        </w:rPr>
        <w:t xml:space="preserve">defined at 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4). The intention here is to encompass a range of APS documentary systems and artefacts, most of which are, in</w:t>
      </w:r>
      <w:r>
        <w:rPr>
          <w:rFonts w:ascii="Times New Roman" w:hAnsi="Times New Roman"/>
          <w:szCs w:val="22"/>
        </w:rPr>
        <w:t xml:space="preserve"> practice</w:t>
      </w:r>
      <w:r w:rsidRPr="003E7C56">
        <w:rPr>
          <w:rFonts w:ascii="Times New Roman" w:hAnsi="Times New Roman"/>
          <w:szCs w:val="22"/>
        </w:rPr>
        <w:t>, referred to as “performance agreements”</w:t>
      </w:r>
      <w:r w:rsidR="00847CAC">
        <w:rPr>
          <w:rFonts w:ascii="Times New Roman" w:hAnsi="Times New Roman"/>
          <w:szCs w:val="22"/>
        </w:rPr>
        <w:t xml:space="preserve">. </w:t>
      </w:r>
      <w:r w:rsidRPr="003E7C56">
        <w:rPr>
          <w:rFonts w:ascii="Times New Roman" w:hAnsi="Times New Roman"/>
          <w:szCs w:val="22"/>
        </w:rPr>
        <w:t xml:space="preserve">Functionally they should serve a common purpose: to set out </w:t>
      </w:r>
      <w:r>
        <w:rPr>
          <w:rFonts w:ascii="Times New Roman" w:hAnsi="Times New Roman"/>
          <w:szCs w:val="22"/>
        </w:rPr>
        <w:t xml:space="preserve">what is expected of </w:t>
      </w:r>
      <w:r w:rsidRPr="003E7C56">
        <w:rPr>
          <w:rFonts w:ascii="Times New Roman" w:hAnsi="Times New Roman"/>
          <w:szCs w:val="22"/>
        </w:rPr>
        <w:t>an employee, so there is common and prior understanding regarding what an employee’s performance will be measured against over a particular reporting period.</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1)(d) </w:t>
      </w:r>
      <w:r>
        <w:rPr>
          <w:rFonts w:ascii="Times New Roman" w:hAnsi="Times New Roman"/>
          <w:szCs w:val="22"/>
        </w:rPr>
        <w:t xml:space="preserve">requires an agency head to ensure that each APS employee receives </w:t>
      </w:r>
      <w:r w:rsidRPr="003E7C56">
        <w:rPr>
          <w:rFonts w:ascii="Times New Roman" w:hAnsi="Times New Roman"/>
          <w:szCs w:val="22"/>
        </w:rPr>
        <w:t>feedback</w:t>
      </w:r>
      <w:r>
        <w:rPr>
          <w:rFonts w:ascii="Times New Roman" w:hAnsi="Times New Roman"/>
          <w:szCs w:val="22"/>
        </w:rPr>
        <w:t xml:space="preserve"> about their performance</w:t>
      </w:r>
      <w:r w:rsidRPr="003E7C56">
        <w:rPr>
          <w:rFonts w:ascii="Times New Roman" w:hAnsi="Times New Roman"/>
          <w:szCs w:val="22"/>
        </w:rPr>
        <w:t>. In this context, feedback may be understood to mean an indication of a supervisor’s reaction to their empl</w:t>
      </w:r>
      <w:r w:rsidR="004A0D38">
        <w:rPr>
          <w:rFonts w:ascii="Times New Roman" w:hAnsi="Times New Roman"/>
          <w:szCs w:val="22"/>
        </w:rPr>
        <w:t>oyee’s work</w:t>
      </w:r>
      <w:r w:rsidRPr="003E7C56">
        <w:rPr>
          <w:rFonts w:ascii="Times New Roman" w:hAnsi="Times New Roman"/>
          <w:szCs w:val="22"/>
        </w:rPr>
        <w:t xml:space="preserve">. It is expected that feedback would normally include both formal (e.g. during an annual performance assessment) as well as informal communication.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1)(e) </w:t>
      </w:r>
      <w:r>
        <w:rPr>
          <w:rFonts w:ascii="Times New Roman" w:hAnsi="Times New Roman"/>
          <w:szCs w:val="22"/>
        </w:rPr>
        <w:t>requires an agency head to support supervisors</w:t>
      </w:r>
      <w:r w:rsidR="00847CAC">
        <w:rPr>
          <w:rFonts w:ascii="Times New Roman" w:hAnsi="Times New Roman"/>
          <w:szCs w:val="22"/>
        </w:rPr>
        <w:t>,</w:t>
      </w:r>
      <w:r>
        <w:rPr>
          <w:rFonts w:ascii="Times New Roman" w:hAnsi="Times New Roman"/>
          <w:szCs w:val="22"/>
        </w:rPr>
        <w:t xml:space="preserve"> including by</w:t>
      </w:r>
      <w:r w:rsidRPr="003E7C56">
        <w:rPr>
          <w:rFonts w:ascii="Times New Roman" w:hAnsi="Times New Roman"/>
          <w:szCs w:val="22"/>
        </w:rPr>
        <w:t xml:space="preserve"> training and coaching. It is intended here that training or coaching would normally include formal arrangements for the tuition or instruction of supervisors. This would extend beyond informal workplace arrangements (e.g. “learning on the job”).</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1)(f) refers to the role of performance assessment in determining salary movement and performance payments.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1)(g)(</w:t>
      </w:r>
      <w:proofErr w:type="spellStart"/>
      <w:r w:rsidRPr="003E7C56">
        <w:rPr>
          <w:rFonts w:ascii="Times New Roman" w:hAnsi="Times New Roman"/>
          <w:szCs w:val="22"/>
        </w:rPr>
        <w:t>i</w:t>
      </w:r>
      <w:proofErr w:type="spellEnd"/>
      <w:r w:rsidRPr="003E7C56">
        <w:rPr>
          <w:rFonts w:ascii="Times New Roman" w:hAnsi="Times New Roman"/>
          <w:szCs w:val="22"/>
        </w:rPr>
        <w:t xml:space="preserve">-iii) </w:t>
      </w:r>
      <w:r>
        <w:rPr>
          <w:rFonts w:ascii="Times New Roman" w:hAnsi="Times New Roman"/>
          <w:szCs w:val="22"/>
        </w:rPr>
        <w:t>provides for</w:t>
      </w:r>
      <w:r w:rsidRPr="003E7C56">
        <w:rPr>
          <w:rFonts w:ascii="Times New Roman" w:hAnsi="Times New Roman"/>
          <w:szCs w:val="22"/>
        </w:rPr>
        <w:t xml:space="preserve"> Agency Head obligations specific to the management of unsatisfactory performance (often referred to as “underperformance” across the Service). </w:t>
      </w:r>
      <w:r>
        <w:rPr>
          <w:rFonts w:ascii="Times New Roman" w:hAnsi="Times New Roman"/>
          <w:szCs w:val="22"/>
        </w:rPr>
        <w:t>It requires that agency processes are fair</w:t>
      </w:r>
      <w:r w:rsidR="00847CAC">
        <w:rPr>
          <w:rFonts w:ascii="Times New Roman" w:hAnsi="Times New Roman"/>
          <w:szCs w:val="22"/>
        </w:rPr>
        <w:t>,</w:t>
      </w:r>
      <w:r>
        <w:rPr>
          <w:rFonts w:ascii="Times New Roman" w:hAnsi="Times New Roman"/>
          <w:szCs w:val="22"/>
        </w:rPr>
        <w:t xml:space="preserve"> open and effective</w:t>
      </w:r>
      <w:r w:rsidR="00847CAC">
        <w:rPr>
          <w:rFonts w:ascii="Times New Roman" w:hAnsi="Times New Roman"/>
          <w:szCs w:val="22"/>
        </w:rPr>
        <w:t>,</w:t>
      </w:r>
      <w:r>
        <w:rPr>
          <w:rFonts w:ascii="Times New Roman" w:hAnsi="Times New Roman"/>
          <w:szCs w:val="22"/>
        </w:rPr>
        <w:t xml:space="preserve"> and that information about key aspects of the management of unsatisfactory performance is available. </w:t>
      </w:r>
      <w:r w:rsidRPr="003E7C56">
        <w:rPr>
          <w:rFonts w:ascii="Times New Roman" w:hAnsi="Times New Roman"/>
          <w:szCs w:val="22"/>
        </w:rPr>
        <w:t xml:space="preserve">Subclause </w:t>
      </w:r>
      <w:proofErr w:type="spellStart"/>
      <w:r w:rsidRPr="003E7C56">
        <w:rPr>
          <w:rFonts w:ascii="Times New Roman" w:hAnsi="Times New Roman"/>
          <w:szCs w:val="22"/>
        </w:rPr>
        <w:t>4.1A</w:t>
      </w:r>
      <w:proofErr w:type="spellEnd"/>
      <w:r w:rsidRPr="003E7C56">
        <w:rPr>
          <w:rFonts w:ascii="Times New Roman" w:hAnsi="Times New Roman"/>
          <w:szCs w:val="22"/>
        </w:rPr>
        <w:t>(1)(h) re</w:t>
      </w:r>
      <w:r>
        <w:rPr>
          <w:rFonts w:ascii="Times New Roman" w:hAnsi="Times New Roman"/>
          <w:szCs w:val="22"/>
        </w:rPr>
        <w:t xml:space="preserve">quires an agency head to ensure agency processes and practices for dealing with unsatisfactory performance are applied in a </w:t>
      </w:r>
      <w:r w:rsidRPr="003E7C56">
        <w:rPr>
          <w:rFonts w:ascii="Times New Roman" w:hAnsi="Times New Roman"/>
          <w:szCs w:val="22"/>
        </w:rPr>
        <w:t>timel</w:t>
      </w:r>
      <w:r>
        <w:rPr>
          <w:rFonts w:ascii="Times New Roman" w:hAnsi="Times New Roman"/>
          <w:szCs w:val="22"/>
        </w:rPr>
        <w:t xml:space="preserve">y manner </w:t>
      </w:r>
      <w:r w:rsidRPr="003E7C56">
        <w:rPr>
          <w:rFonts w:ascii="Times New Roman" w:hAnsi="Times New Roman"/>
          <w:szCs w:val="22"/>
        </w:rPr>
        <w:t>. The expectation is that unsatisfactory performance will be identified and addressed at the earliest practical opportunity.</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2) sets out the basic obligations of supervisors in APS agencies in respect of </w:t>
      </w:r>
      <w:r>
        <w:rPr>
          <w:rFonts w:ascii="Times New Roman" w:hAnsi="Times New Roman"/>
          <w:szCs w:val="22"/>
        </w:rPr>
        <w:t xml:space="preserve">the effective performance </w:t>
      </w:r>
      <w:r w:rsidRPr="003E7C56">
        <w:rPr>
          <w:rFonts w:ascii="Times New Roman" w:hAnsi="Times New Roman"/>
          <w:szCs w:val="22"/>
        </w:rPr>
        <w:t>Employment Principle. Many of the obligations correspond to those applying to Agency Heads</w:t>
      </w:r>
      <w:r>
        <w:rPr>
          <w:rFonts w:ascii="Times New Roman" w:hAnsi="Times New Roman"/>
          <w:szCs w:val="22"/>
        </w:rPr>
        <w:t xml:space="preserve"> under subclause </w:t>
      </w:r>
      <w:proofErr w:type="spellStart"/>
      <w:proofErr w:type="gramStart"/>
      <w:r>
        <w:rPr>
          <w:rFonts w:ascii="Times New Roman" w:hAnsi="Times New Roman"/>
          <w:szCs w:val="22"/>
        </w:rPr>
        <w:t>4.1</w:t>
      </w:r>
      <w:r w:rsidR="00934C15">
        <w:rPr>
          <w:rFonts w:ascii="Times New Roman" w:hAnsi="Times New Roman"/>
          <w:szCs w:val="22"/>
        </w:rPr>
        <w:t>A</w:t>
      </w:r>
      <w:proofErr w:type="spellEnd"/>
      <w:r w:rsidR="00934C15">
        <w:rPr>
          <w:rFonts w:ascii="Times New Roman" w:hAnsi="Times New Roman"/>
          <w:szCs w:val="22"/>
        </w:rPr>
        <w:t>(</w:t>
      </w:r>
      <w:proofErr w:type="gramEnd"/>
      <w:r w:rsidR="00934C15">
        <w:rPr>
          <w:rFonts w:ascii="Times New Roman" w:hAnsi="Times New Roman"/>
          <w:szCs w:val="22"/>
        </w:rPr>
        <w:t>1)</w:t>
      </w:r>
      <w:r w:rsidRPr="003E7C56">
        <w:rPr>
          <w:rFonts w:ascii="Times New Roman" w:hAnsi="Times New Roman"/>
          <w:szCs w:val="22"/>
        </w:rPr>
        <w:t>, creating a cascading line of responsibilities. Correspondence is noted in the points below.</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2)(a) sti</w:t>
      </w:r>
      <w:r w:rsidR="00EC636D">
        <w:rPr>
          <w:rFonts w:ascii="Times New Roman" w:hAnsi="Times New Roman"/>
          <w:szCs w:val="22"/>
        </w:rPr>
        <w:t xml:space="preserve">pulates that a supervisor must </w:t>
      </w:r>
      <w:r w:rsidRPr="003E7C56">
        <w:rPr>
          <w:rFonts w:ascii="Times New Roman" w:hAnsi="Times New Roman"/>
          <w:szCs w:val="22"/>
        </w:rPr>
        <w:t>promote and fo</w:t>
      </w:r>
      <w:r w:rsidR="00EC636D">
        <w:rPr>
          <w:rFonts w:ascii="Times New Roman" w:hAnsi="Times New Roman"/>
          <w:szCs w:val="22"/>
        </w:rPr>
        <w:t>ster high performance of duties</w:t>
      </w:r>
      <w:r w:rsidRPr="003E7C56">
        <w:rPr>
          <w:rFonts w:ascii="Times New Roman" w:hAnsi="Times New Roman"/>
          <w:szCs w:val="22"/>
        </w:rPr>
        <w:t xml:space="preserve"> of the employees under his or her supervision. This obligation corresponds to that of </w:t>
      </w:r>
      <w:r>
        <w:rPr>
          <w:rFonts w:ascii="Times New Roman" w:hAnsi="Times New Roman"/>
          <w:szCs w:val="22"/>
        </w:rPr>
        <w:t>s</w:t>
      </w:r>
      <w:r w:rsidRPr="003E7C56">
        <w:rPr>
          <w:rFonts w:ascii="Times New Roman" w:hAnsi="Times New Roman"/>
          <w:szCs w:val="22"/>
        </w:rPr>
        <w:t xml:space="preserve">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1)(a)(</w:t>
      </w:r>
      <w:proofErr w:type="spellStart"/>
      <w:r w:rsidRPr="003E7C56">
        <w:rPr>
          <w:rFonts w:ascii="Times New Roman" w:hAnsi="Times New Roman"/>
          <w:szCs w:val="22"/>
        </w:rPr>
        <w:t>i</w:t>
      </w:r>
      <w:proofErr w:type="spellEnd"/>
      <w:r w:rsidRPr="003E7C56">
        <w:rPr>
          <w:rFonts w:ascii="Times New Roman" w:hAnsi="Times New Roman"/>
          <w:szCs w:val="22"/>
        </w:rPr>
        <w:t xml:space="preserve">).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2)(b) re</w:t>
      </w:r>
      <w:r>
        <w:rPr>
          <w:rFonts w:ascii="Times New Roman" w:hAnsi="Times New Roman"/>
          <w:szCs w:val="22"/>
        </w:rPr>
        <w:t>quires that a supervisor ensure each employee has</w:t>
      </w:r>
      <w:r w:rsidRPr="003E7C56">
        <w:rPr>
          <w:rFonts w:ascii="Times New Roman" w:hAnsi="Times New Roman"/>
          <w:szCs w:val="22"/>
        </w:rPr>
        <w:t xml:space="preserve"> </w:t>
      </w:r>
      <w:r>
        <w:rPr>
          <w:rFonts w:ascii="Times New Roman" w:hAnsi="Times New Roman"/>
          <w:szCs w:val="22"/>
        </w:rPr>
        <w:t>a</w:t>
      </w:r>
      <w:r w:rsidRPr="003E7C56">
        <w:rPr>
          <w:rFonts w:ascii="Times New Roman" w:hAnsi="Times New Roman"/>
          <w:szCs w:val="22"/>
        </w:rPr>
        <w:t xml:space="preserve"> performance agreement and corresponds to </w:t>
      </w:r>
      <w:r>
        <w:rPr>
          <w:rFonts w:ascii="Times New Roman" w:hAnsi="Times New Roman"/>
          <w:szCs w:val="22"/>
        </w:rPr>
        <w:t>s</w:t>
      </w:r>
      <w:r w:rsidRPr="003E7C56">
        <w:rPr>
          <w:rFonts w:ascii="Times New Roman" w:hAnsi="Times New Roman"/>
          <w:szCs w:val="22"/>
        </w:rPr>
        <w:t xml:space="preserve">ubclause </w:t>
      </w:r>
      <w:proofErr w:type="spellStart"/>
      <w:r w:rsidRPr="003E7C56">
        <w:rPr>
          <w:rFonts w:ascii="Times New Roman" w:hAnsi="Times New Roman"/>
          <w:szCs w:val="22"/>
        </w:rPr>
        <w:t>4.1</w:t>
      </w:r>
      <w:r w:rsidR="00934C15">
        <w:rPr>
          <w:rFonts w:ascii="Times New Roman" w:hAnsi="Times New Roman"/>
          <w:szCs w:val="22"/>
        </w:rPr>
        <w:t>A</w:t>
      </w:r>
      <w:proofErr w:type="spellEnd"/>
      <w:r w:rsidRPr="003E7C56">
        <w:rPr>
          <w:rFonts w:ascii="Times New Roman" w:hAnsi="Times New Roman"/>
          <w:szCs w:val="22"/>
        </w:rPr>
        <w:t xml:space="preserve">(1)(c). The requirement for consistency with </w:t>
      </w:r>
      <w:r>
        <w:rPr>
          <w:rFonts w:ascii="Times New Roman" w:hAnsi="Times New Roman"/>
          <w:szCs w:val="22"/>
        </w:rPr>
        <w:t>w</w:t>
      </w:r>
      <w:r w:rsidRPr="003E7C56">
        <w:rPr>
          <w:rFonts w:ascii="Times New Roman" w:hAnsi="Times New Roman"/>
          <w:szCs w:val="22"/>
        </w:rPr>
        <w:t xml:space="preserve">ork </w:t>
      </w:r>
      <w:r>
        <w:rPr>
          <w:rFonts w:ascii="Times New Roman" w:hAnsi="Times New Roman"/>
          <w:szCs w:val="22"/>
        </w:rPr>
        <w:t>l</w:t>
      </w:r>
      <w:r w:rsidRPr="003E7C56">
        <w:rPr>
          <w:rFonts w:ascii="Times New Roman" w:hAnsi="Times New Roman"/>
          <w:szCs w:val="22"/>
        </w:rPr>
        <w:t xml:space="preserve">evel </w:t>
      </w:r>
      <w:r>
        <w:rPr>
          <w:rFonts w:ascii="Times New Roman" w:hAnsi="Times New Roman"/>
          <w:szCs w:val="22"/>
        </w:rPr>
        <w:t>s</w:t>
      </w:r>
      <w:r w:rsidRPr="003E7C56">
        <w:rPr>
          <w:rFonts w:ascii="Times New Roman" w:hAnsi="Times New Roman"/>
          <w:szCs w:val="22"/>
        </w:rPr>
        <w:t xml:space="preserve">tandards and Agency corporate plans is </w:t>
      </w:r>
      <w:r w:rsidR="00E361BF">
        <w:rPr>
          <w:rFonts w:ascii="Times New Roman" w:hAnsi="Times New Roman"/>
          <w:szCs w:val="22"/>
        </w:rPr>
        <w:t>included to ensure an employee’s</w:t>
      </w:r>
      <w:r w:rsidRPr="003E7C56">
        <w:rPr>
          <w:rFonts w:ascii="Times New Roman" w:hAnsi="Times New Roman"/>
          <w:szCs w:val="22"/>
        </w:rPr>
        <w:t xml:space="preserve"> performance aligns both with broader APS expectations and the strategic priorities of their agency.</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2)(c) re</w:t>
      </w:r>
      <w:r>
        <w:rPr>
          <w:rFonts w:ascii="Times New Roman" w:hAnsi="Times New Roman"/>
          <w:szCs w:val="22"/>
        </w:rPr>
        <w:t xml:space="preserve">quires that a supervisor provides </w:t>
      </w:r>
      <w:r w:rsidRPr="003E7C56">
        <w:rPr>
          <w:rFonts w:ascii="Times New Roman" w:hAnsi="Times New Roman"/>
          <w:szCs w:val="22"/>
        </w:rPr>
        <w:t xml:space="preserve">feedback. This obligation corresponds to that of </w:t>
      </w:r>
      <w:r>
        <w:rPr>
          <w:rFonts w:ascii="Times New Roman" w:hAnsi="Times New Roman"/>
          <w:szCs w:val="22"/>
        </w:rPr>
        <w:t>s</w:t>
      </w:r>
      <w:r w:rsidRPr="003E7C56">
        <w:rPr>
          <w:rFonts w:ascii="Times New Roman" w:hAnsi="Times New Roman"/>
          <w:szCs w:val="22"/>
        </w:rPr>
        <w:t xml:space="preserve">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1)(d).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2)(d) refers to a</w:t>
      </w:r>
      <w:r w:rsidR="00EC636D">
        <w:rPr>
          <w:rFonts w:ascii="Times New Roman" w:hAnsi="Times New Roman"/>
          <w:szCs w:val="22"/>
        </w:rPr>
        <w:t xml:space="preserve">n obligation on supervisors to </w:t>
      </w:r>
      <w:r w:rsidRPr="003E7C56">
        <w:rPr>
          <w:rFonts w:ascii="Times New Roman" w:hAnsi="Times New Roman"/>
          <w:szCs w:val="22"/>
        </w:rPr>
        <w:t>ma</w:t>
      </w:r>
      <w:r w:rsidR="00EC636D">
        <w:rPr>
          <w:rFonts w:ascii="Times New Roman" w:hAnsi="Times New Roman"/>
          <w:szCs w:val="22"/>
        </w:rPr>
        <w:t>nage and assess</w:t>
      </w:r>
      <w:r w:rsidRPr="003E7C56">
        <w:rPr>
          <w:rFonts w:ascii="Times New Roman" w:hAnsi="Times New Roman"/>
          <w:szCs w:val="22"/>
        </w:rPr>
        <w:t xml:space="preserve"> performance. This obligation arises from the fact that supervisors have a lynchpin role to play in performance management – they are typically the primary actor responsible for judging whether an employee is performing</w:t>
      </w:r>
      <w:r>
        <w:rPr>
          <w:rFonts w:ascii="Times New Roman" w:hAnsi="Times New Roman"/>
          <w:szCs w:val="22"/>
        </w:rPr>
        <w:t xml:space="preserve"> effectively</w:t>
      </w:r>
      <w:r w:rsidRPr="003E7C56">
        <w:rPr>
          <w:rFonts w:ascii="Times New Roman" w:hAnsi="Times New Roman"/>
          <w:szCs w:val="22"/>
        </w:rPr>
        <w:t xml:space="preserve"> or not.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2)(e) refers to the responsibility of supervisors to build their own capability in performance management. This obligation corresponds to that of </w:t>
      </w:r>
      <w:r>
        <w:rPr>
          <w:rFonts w:ascii="Times New Roman" w:hAnsi="Times New Roman"/>
          <w:szCs w:val="22"/>
        </w:rPr>
        <w:t>s</w:t>
      </w:r>
      <w:r w:rsidR="00D03AF3">
        <w:rPr>
          <w:rFonts w:ascii="Times New Roman" w:hAnsi="Times New Roman"/>
          <w:szCs w:val="22"/>
        </w:rPr>
        <w:t xml:space="preserve">ubclause </w:t>
      </w:r>
      <w:proofErr w:type="spellStart"/>
      <w:proofErr w:type="gramStart"/>
      <w:r w:rsidR="00D03AF3">
        <w:rPr>
          <w:rFonts w:ascii="Times New Roman" w:hAnsi="Times New Roman"/>
          <w:szCs w:val="22"/>
        </w:rPr>
        <w:t>4.1A</w:t>
      </w:r>
      <w:proofErr w:type="spellEnd"/>
      <w:r w:rsidR="00D03AF3">
        <w:rPr>
          <w:rFonts w:ascii="Times New Roman" w:hAnsi="Times New Roman"/>
          <w:szCs w:val="22"/>
        </w:rPr>
        <w:t>(</w:t>
      </w:r>
      <w:proofErr w:type="gramEnd"/>
      <w:r w:rsidR="00D03AF3">
        <w:rPr>
          <w:rFonts w:ascii="Times New Roman" w:hAnsi="Times New Roman"/>
          <w:szCs w:val="22"/>
        </w:rPr>
        <w:t>1)(e).</w:t>
      </w:r>
    </w:p>
    <w:p w:rsidR="002E726E" w:rsidRPr="003E7C56" w:rsidRDefault="002E726E" w:rsidP="002E726E">
      <w:pPr>
        <w:spacing w:before="120" w:after="120"/>
        <w:rPr>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2)(f)(</w:t>
      </w:r>
      <w:proofErr w:type="spellStart"/>
      <w:r w:rsidRPr="003E7C56">
        <w:rPr>
          <w:rFonts w:ascii="Times New Roman" w:hAnsi="Times New Roman"/>
          <w:szCs w:val="22"/>
        </w:rPr>
        <w:t>i</w:t>
      </w:r>
      <w:proofErr w:type="spellEnd"/>
      <w:r w:rsidRPr="003E7C56">
        <w:rPr>
          <w:rFonts w:ascii="Times New Roman" w:hAnsi="Times New Roman"/>
          <w:szCs w:val="22"/>
        </w:rPr>
        <w:t>-iii) includes supervisor obligations specific to the management of unsatisfactory performance. The</w:t>
      </w:r>
      <w:r w:rsidR="00847CAC">
        <w:rPr>
          <w:rFonts w:ascii="Times New Roman" w:hAnsi="Times New Roman"/>
          <w:szCs w:val="22"/>
        </w:rPr>
        <w:t>se</w:t>
      </w:r>
      <w:r w:rsidRPr="003E7C56">
        <w:rPr>
          <w:rFonts w:ascii="Times New Roman" w:hAnsi="Times New Roman"/>
          <w:szCs w:val="22"/>
        </w:rPr>
        <w:t xml:space="preserve"> obligations correspond to </w:t>
      </w:r>
      <w:r w:rsidR="00D03AF3">
        <w:rPr>
          <w:rFonts w:ascii="Times New Roman" w:hAnsi="Times New Roman"/>
          <w:szCs w:val="22"/>
        </w:rPr>
        <w:t>the obligations on agency heads in</w:t>
      </w:r>
      <w:r w:rsidRPr="003E7C56">
        <w:rPr>
          <w:rFonts w:ascii="Times New Roman" w:hAnsi="Times New Roman"/>
          <w:szCs w:val="22"/>
        </w:rPr>
        <w:t xml:space="preserve"> </w:t>
      </w:r>
      <w:r>
        <w:rPr>
          <w:rFonts w:ascii="Times New Roman" w:hAnsi="Times New Roman"/>
          <w:szCs w:val="22"/>
        </w:rPr>
        <w:t>s</w:t>
      </w:r>
      <w:r w:rsidRPr="003E7C56">
        <w:rPr>
          <w:rFonts w:ascii="Times New Roman" w:hAnsi="Times New Roman"/>
          <w:szCs w:val="22"/>
        </w:rPr>
        <w:t xml:space="preserve">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1)(g)(</w:t>
      </w:r>
      <w:proofErr w:type="spellStart"/>
      <w:r w:rsidRPr="003E7C56">
        <w:rPr>
          <w:rFonts w:ascii="Times New Roman" w:hAnsi="Times New Roman"/>
          <w:szCs w:val="22"/>
        </w:rPr>
        <w:t>i</w:t>
      </w:r>
      <w:proofErr w:type="spellEnd"/>
      <w:r w:rsidRPr="003E7C56">
        <w:rPr>
          <w:rFonts w:ascii="Times New Roman" w:hAnsi="Times New Roman"/>
          <w:szCs w:val="22"/>
        </w:rPr>
        <w:t xml:space="preserve">-iii). As the key person responsible for managing and </w:t>
      </w:r>
      <w:proofErr w:type="spellStart"/>
      <w:r w:rsidRPr="003E7C56">
        <w:rPr>
          <w:rFonts w:ascii="Times New Roman" w:hAnsi="Times New Roman"/>
          <w:szCs w:val="22"/>
        </w:rPr>
        <w:t>assessing</w:t>
      </w:r>
      <w:proofErr w:type="spellEnd"/>
      <w:r w:rsidRPr="003E7C56">
        <w:rPr>
          <w:rFonts w:ascii="Times New Roman" w:hAnsi="Times New Roman"/>
          <w:szCs w:val="22"/>
        </w:rPr>
        <w:t xml:space="preserve"> the performance of employees, supervisors have front-line responsibility for managing unsatisfactory performance.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lastRenderedPageBreak/>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3) sets out the basic obligations of </w:t>
      </w:r>
      <w:r w:rsidR="00D03AF3">
        <w:rPr>
          <w:rFonts w:ascii="Times New Roman" w:hAnsi="Times New Roman"/>
          <w:szCs w:val="22"/>
        </w:rPr>
        <w:t xml:space="preserve">APS </w:t>
      </w:r>
      <w:r w:rsidRPr="003E7C56">
        <w:rPr>
          <w:rFonts w:ascii="Times New Roman" w:hAnsi="Times New Roman"/>
          <w:szCs w:val="22"/>
        </w:rPr>
        <w:t xml:space="preserve">employees in respect of </w:t>
      </w:r>
      <w:r>
        <w:rPr>
          <w:rFonts w:ascii="Times New Roman" w:hAnsi="Times New Roman"/>
          <w:szCs w:val="22"/>
        </w:rPr>
        <w:t xml:space="preserve">the effective performance </w:t>
      </w:r>
      <w:r w:rsidRPr="003E7C56">
        <w:rPr>
          <w:rFonts w:ascii="Times New Roman" w:hAnsi="Times New Roman"/>
          <w:szCs w:val="22"/>
        </w:rPr>
        <w:t xml:space="preserve"> Employment</w:t>
      </w:r>
      <w:r>
        <w:rPr>
          <w:rFonts w:ascii="Times New Roman" w:hAnsi="Times New Roman"/>
          <w:szCs w:val="22"/>
        </w:rPr>
        <w:t xml:space="preserve"> Principle</w:t>
      </w:r>
      <w:r w:rsidRPr="003E7C56">
        <w:rPr>
          <w:rFonts w:ascii="Times New Roman" w:hAnsi="Times New Roman"/>
          <w:szCs w:val="22"/>
        </w:rPr>
        <w:t>. Many of the obligations correspond to those applying to both Agency Heads and supervisors, creating a cascading line of responsibilities. Correspondence is noted below.</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3)(a) refers to an obligation on employees to strive to perform to the best of their ability in </w:t>
      </w:r>
      <w:r w:rsidR="00C25921">
        <w:rPr>
          <w:rFonts w:ascii="Times New Roman" w:hAnsi="Times New Roman"/>
          <w:szCs w:val="22"/>
        </w:rPr>
        <w:t>performing their</w:t>
      </w:r>
      <w:r w:rsidRPr="003E7C56">
        <w:rPr>
          <w:rFonts w:ascii="Times New Roman" w:hAnsi="Times New Roman"/>
          <w:szCs w:val="22"/>
        </w:rPr>
        <w:t xml:space="preserve"> duties. It encompasses an acknowledgement that capabilities will differ between individuals, but also the notion that to “make an effort”</w:t>
      </w:r>
      <w:r w:rsidR="00D05439">
        <w:rPr>
          <w:rFonts w:ascii="Times New Roman" w:hAnsi="Times New Roman"/>
          <w:szCs w:val="22"/>
        </w:rPr>
        <w:t>,</w:t>
      </w:r>
      <w:r w:rsidRPr="003E7C56">
        <w:rPr>
          <w:rFonts w:ascii="Times New Roman" w:hAnsi="Times New Roman"/>
          <w:szCs w:val="22"/>
        </w:rPr>
        <w:t xml:space="preserve"> to genuinely “try” in </w:t>
      </w:r>
      <w:r w:rsidR="00BD35F2">
        <w:rPr>
          <w:rFonts w:ascii="Times New Roman" w:hAnsi="Times New Roman"/>
          <w:szCs w:val="22"/>
        </w:rPr>
        <w:t>performing their</w:t>
      </w:r>
      <w:r w:rsidRPr="003E7C56">
        <w:rPr>
          <w:rFonts w:ascii="Times New Roman" w:hAnsi="Times New Roman"/>
          <w:szCs w:val="22"/>
        </w:rPr>
        <w:t xml:space="preserve"> duties is a necessary part of the job. In part, this obligation corresponds to</w:t>
      </w:r>
      <w:r>
        <w:rPr>
          <w:rFonts w:ascii="Times New Roman" w:hAnsi="Times New Roman"/>
          <w:szCs w:val="22"/>
        </w:rPr>
        <w:t xml:space="preserve"> obligations expressed in</w:t>
      </w:r>
      <w:r w:rsidRPr="003E7C56">
        <w:rPr>
          <w:rFonts w:ascii="Times New Roman" w:hAnsi="Times New Roman"/>
          <w:szCs w:val="22"/>
        </w:rPr>
        <w:t xml:space="preserve"> </w:t>
      </w:r>
      <w:r>
        <w:rPr>
          <w:rFonts w:ascii="Times New Roman" w:hAnsi="Times New Roman"/>
          <w:szCs w:val="22"/>
        </w:rPr>
        <w:t>s</w:t>
      </w:r>
      <w:r w:rsidRPr="003E7C56">
        <w:rPr>
          <w:rFonts w:ascii="Times New Roman" w:hAnsi="Times New Roman"/>
          <w:szCs w:val="22"/>
        </w:rPr>
        <w:t xml:space="preserve">ubclauses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1)(a)(</w:t>
      </w:r>
      <w:proofErr w:type="spellStart"/>
      <w:r w:rsidRPr="003E7C56">
        <w:rPr>
          <w:rFonts w:ascii="Times New Roman" w:hAnsi="Times New Roman"/>
          <w:szCs w:val="22"/>
        </w:rPr>
        <w:t>i</w:t>
      </w:r>
      <w:proofErr w:type="spellEnd"/>
      <w:r w:rsidRPr="003E7C56">
        <w:rPr>
          <w:rFonts w:ascii="Times New Roman" w:hAnsi="Times New Roman"/>
          <w:szCs w:val="22"/>
        </w:rPr>
        <w:t xml:space="preserve">) and </w:t>
      </w:r>
      <w:proofErr w:type="spellStart"/>
      <w:r w:rsidRPr="003E7C56">
        <w:rPr>
          <w:rFonts w:ascii="Times New Roman" w:hAnsi="Times New Roman"/>
          <w:szCs w:val="22"/>
        </w:rPr>
        <w:t>4.1A</w:t>
      </w:r>
      <w:proofErr w:type="spellEnd"/>
      <w:r w:rsidRPr="003E7C56">
        <w:rPr>
          <w:rFonts w:ascii="Times New Roman" w:hAnsi="Times New Roman"/>
          <w:szCs w:val="22"/>
        </w:rPr>
        <w:t xml:space="preserve">(2)(a). </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3)(b)</w:t>
      </w:r>
      <w:r>
        <w:rPr>
          <w:rFonts w:ascii="Times New Roman" w:hAnsi="Times New Roman"/>
          <w:szCs w:val="22"/>
        </w:rPr>
        <w:t xml:space="preserve"> and (c)</w:t>
      </w:r>
      <w:r w:rsidRPr="003E7C56">
        <w:rPr>
          <w:rFonts w:ascii="Times New Roman" w:hAnsi="Times New Roman"/>
          <w:szCs w:val="22"/>
        </w:rPr>
        <w:t xml:space="preserve"> refer to an obligation on employees to engage constructively in clarifying work expectations</w:t>
      </w:r>
      <w:r>
        <w:rPr>
          <w:rFonts w:ascii="Times New Roman" w:hAnsi="Times New Roman"/>
          <w:szCs w:val="22"/>
        </w:rPr>
        <w:t xml:space="preserve"> and in performance management processes, more generally</w:t>
      </w:r>
      <w:r w:rsidRPr="003E7C56">
        <w:rPr>
          <w:rFonts w:ascii="Times New Roman" w:hAnsi="Times New Roman"/>
          <w:szCs w:val="22"/>
        </w:rPr>
        <w:t xml:space="preserve">. </w:t>
      </w:r>
      <w:r w:rsidR="00144D24">
        <w:rPr>
          <w:rFonts w:ascii="Times New Roman" w:hAnsi="Times New Roman"/>
          <w:szCs w:val="22"/>
        </w:rPr>
        <w:t>This includes</w:t>
      </w:r>
      <w:r w:rsidRPr="003E7C56">
        <w:rPr>
          <w:rFonts w:ascii="Times New Roman" w:hAnsi="Times New Roman"/>
          <w:szCs w:val="22"/>
        </w:rPr>
        <w:t xml:space="preserve"> an onus on employees to cooperate with their supervisor in the definition and communication of duties. It stems from the reality that in the public sector, task definition and communication can be difficult and it is not exclusively the supervisor’s responsibility to get these activities right. </w:t>
      </w:r>
      <w:r>
        <w:rPr>
          <w:rFonts w:ascii="Times New Roman" w:hAnsi="Times New Roman"/>
          <w:szCs w:val="22"/>
        </w:rPr>
        <w:t>In part, these</w:t>
      </w:r>
      <w:r w:rsidRPr="003E7C56">
        <w:rPr>
          <w:rFonts w:ascii="Times New Roman" w:hAnsi="Times New Roman"/>
          <w:szCs w:val="22"/>
        </w:rPr>
        <w:t xml:space="preserve"> obligation</w:t>
      </w:r>
      <w:r>
        <w:rPr>
          <w:rFonts w:ascii="Times New Roman" w:hAnsi="Times New Roman"/>
          <w:szCs w:val="22"/>
        </w:rPr>
        <w:t>s</w:t>
      </w:r>
      <w:r w:rsidRPr="003E7C56">
        <w:rPr>
          <w:rFonts w:ascii="Times New Roman" w:hAnsi="Times New Roman"/>
          <w:szCs w:val="22"/>
        </w:rPr>
        <w:t xml:space="preserve"> correspond</w:t>
      </w:r>
      <w:r>
        <w:rPr>
          <w:rFonts w:ascii="Times New Roman" w:hAnsi="Times New Roman"/>
          <w:szCs w:val="22"/>
        </w:rPr>
        <w:t xml:space="preserve"> to obligations expressed in</w:t>
      </w:r>
      <w:r w:rsidR="00144D24">
        <w:rPr>
          <w:rFonts w:ascii="Times New Roman" w:hAnsi="Times New Roman"/>
          <w:szCs w:val="22"/>
        </w:rPr>
        <w:t xml:space="preserve"> </w:t>
      </w:r>
      <w:r>
        <w:rPr>
          <w:rFonts w:ascii="Times New Roman" w:hAnsi="Times New Roman"/>
          <w:szCs w:val="22"/>
        </w:rPr>
        <w:t>s</w:t>
      </w:r>
      <w:r w:rsidRPr="003E7C56">
        <w:rPr>
          <w:rFonts w:ascii="Times New Roman" w:hAnsi="Times New Roman"/>
          <w:szCs w:val="22"/>
        </w:rPr>
        <w:t xml:space="preserve">ubclauses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1)(c) and </w:t>
      </w:r>
      <w:proofErr w:type="spellStart"/>
      <w:r w:rsidRPr="003E7C56">
        <w:rPr>
          <w:rFonts w:ascii="Times New Roman" w:hAnsi="Times New Roman"/>
          <w:szCs w:val="22"/>
        </w:rPr>
        <w:t>4.1A</w:t>
      </w:r>
      <w:proofErr w:type="spellEnd"/>
      <w:r w:rsidRPr="003E7C56">
        <w:rPr>
          <w:rFonts w:ascii="Times New Roman" w:hAnsi="Times New Roman"/>
          <w:szCs w:val="22"/>
        </w:rPr>
        <w:t>(2)(b).</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3)(d)</w:t>
      </w:r>
      <w:r>
        <w:rPr>
          <w:rFonts w:ascii="Times New Roman" w:hAnsi="Times New Roman"/>
          <w:szCs w:val="22"/>
        </w:rPr>
        <w:t xml:space="preserve"> requires an employee to be open to and respond to feedback and </w:t>
      </w:r>
      <w:r w:rsidRPr="003E7C56">
        <w:rPr>
          <w:rFonts w:ascii="Times New Roman" w:hAnsi="Times New Roman"/>
          <w:szCs w:val="22"/>
        </w:rPr>
        <w:t xml:space="preserve">corresponds to </w:t>
      </w:r>
      <w:r>
        <w:rPr>
          <w:rFonts w:ascii="Times New Roman" w:hAnsi="Times New Roman"/>
          <w:szCs w:val="22"/>
        </w:rPr>
        <w:t xml:space="preserve">subclauses </w:t>
      </w:r>
      <w:proofErr w:type="spellStart"/>
      <w:r w:rsidRPr="003E7C56">
        <w:rPr>
          <w:rFonts w:ascii="Times New Roman" w:hAnsi="Times New Roman"/>
          <w:szCs w:val="22"/>
        </w:rPr>
        <w:t>4.1A</w:t>
      </w:r>
      <w:proofErr w:type="spellEnd"/>
      <w:r w:rsidRPr="003E7C56">
        <w:rPr>
          <w:rFonts w:ascii="Times New Roman" w:hAnsi="Times New Roman"/>
          <w:szCs w:val="22"/>
        </w:rPr>
        <w:t xml:space="preserve">(1)(d) and </w:t>
      </w:r>
      <w:proofErr w:type="spellStart"/>
      <w:r w:rsidRPr="003E7C56">
        <w:rPr>
          <w:rFonts w:ascii="Times New Roman" w:hAnsi="Times New Roman"/>
          <w:szCs w:val="22"/>
        </w:rPr>
        <w:t>4.1A</w:t>
      </w:r>
      <w:proofErr w:type="spellEnd"/>
      <w:r w:rsidRPr="003E7C56">
        <w:rPr>
          <w:rFonts w:ascii="Times New Roman" w:hAnsi="Times New Roman"/>
          <w:szCs w:val="22"/>
        </w:rPr>
        <w:t>(2)(c).</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3)(e) refers to an employee obligation to seek opportunities to improve individual and team performance. This could include training and coaching. This obligation in part corresponds to </w:t>
      </w:r>
      <w:r>
        <w:rPr>
          <w:rFonts w:ascii="Times New Roman" w:hAnsi="Times New Roman"/>
          <w:szCs w:val="22"/>
        </w:rPr>
        <w:t>obligations set out in s</w:t>
      </w:r>
      <w:r w:rsidRPr="003E7C56">
        <w:rPr>
          <w:rFonts w:ascii="Times New Roman" w:hAnsi="Times New Roman"/>
          <w:szCs w:val="22"/>
        </w:rPr>
        <w:t xml:space="preserve">ubclauses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 xml:space="preserve">1)(e) and </w:t>
      </w:r>
      <w:proofErr w:type="spellStart"/>
      <w:r w:rsidRPr="003E7C56">
        <w:rPr>
          <w:rFonts w:ascii="Times New Roman" w:hAnsi="Times New Roman"/>
          <w:szCs w:val="22"/>
        </w:rPr>
        <w:t>4.1A</w:t>
      </w:r>
      <w:proofErr w:type="spellEnd"/>
      <w:r w:rsidRPr="003E7C56">
        <w:rPr>
          <w:rFonts w:ascii="Times New Roman" w:hAnsi="Times New Roman"/>
          <w:szCs w:val="22"/>
        </w:rPr>
        <w:t>(2)(e).</w:t>
      </w:r>
    </w:p>
    <w:p w:rsidR="002E726E" w:rsidRPr="003E7C56" w:rsidRDefault="002E726E" w:rsidP="002E726E">
      <w:pPr>
        <w:spacing w:before="120" w:after="120"/>
        <w:rPr>
          <w:rFonts w:ascii="Times New Roman" w:hAnsi="Times New Roman"/>
          <w:szCs w:val="22"/>
        </w:rPr>
      </w:pPr>
      <w:r w:rsidRPr="003E7C56">
        <w:rPr>
          <w:rFonts w:ascii="Times New Roman" w:hAnsi="Times New Roman"/>
          <w:szCs w:val="22"/>
        </w:rPr>
        <w:t xml:space="preserve">Subclause </w:t>
      </w:r>
      <w:proofErr w:type="spellStart"/>
      <w:proofErr w:type="gramStart"/>
      <w:r w:rsidRPr="003E7C56">
        <w:rPr>
          <w:rFonts w:ascii="Times New Roman" w:hAnsi="Times New Roman"/>
          <w:szCs w:val="22"/>
        </w:rPr>
        <w:t>4.1A</w:t>
      </w:r>
      <w:proofErr w:type="spellEnd"/>
      <w:r w:rsidRPr="003E7C56">
        <w:rPr>
          <w:rFonts w:ascii="Times New Roman" w:hAnsi="Times New Roman"/>
          <w:szCs w:val="22"/>
        </w:rPr>
        <w:t>(</w:t>
      </w:r>
      <w:proofErr w:type="gramEnd"/>
      <w:r w:rsidRPr="003E7C56">
        <w:rPr>
          <w:rFonts w:ascii="Times New Roman" w:hAnsi="Times New Roman"/>
          <w:szCs w:val="22"/>
        </w:rPr>
        <w:t>3)(f)(</w:t>
      </w:r>
      <w:proofErr w:type="spellStart"/>
      <w:r w:rsidRPr="003E7C56">
        <w:rPr>
          <w:rFonts w:ascii="Times New Roman" w:hAnsi="Times New Roman"/>
          <w:szCs w:val="22"/>
        </w:rPr>
        <w:t>i</w:t>
      </w:r>
      <w:proofErr w:type="spellEnd"/>
      <w:r w:rsidRPr="003E7C56">
        <w:rPr>
          <w:rFonts w:ascii="Times New Roman" w:hAnsi="Times New Roman"/>
          <w:szCs w:val="22"/>
        </w:rPr>
        <w:t xml:space="preserve">-ii) includes employee obligations specific to the management of unsatisfactory performance. The obligations correspond to </w:t>
      </w:r>
      <w:r>
        <w:rPr>
          <w:rFonts w:ascii="Times New Roman" w:hAnsi="Times New Roman"/>
          <w:szCs w:val="22"/>
        </w:rPr>
        <w:t xml:space="preserve">the obligations on agency heads and </w:t>
      </w:r>
      <w:proofErr w:type="gramStart"/>
      <w:r>
        <w:rPr>
          <w:rFonts w:ascii="Times New Roman" w:hAnsi="Times New Roman"/>
          <w:szCs w:val="22"/>
        </w:rPr>
        <w:t>supervisors  in</w:t>
      </w:r>
      <w:proofErr w:type="gramEnd"/>
      <w:r w:rsidRPr="003E7C56">
        <w:rPr>
          <w:rFonts w:ascii="Times New Roman" w:hAnsi="Times New Roman"/>
          <w:szCs w:val="22"/>
        </w:rPr>
        <w:t xml:space="preserve"> </w:t>
      </w:r>
      <w:r>
        <w:rPr>
          <w:rFonts w:ascii="Times New Roman" w:hAnsi="Times New Roman"/>
          <w:szCs w:val="22"/>
        </w:rPr>
        <w:t>s</w:t>
      </w:r>
      <w:r w:rsidRPr="003E7C56">
        <w:rPr>
          <w:rFonts w:ascii="Times New Roman" w:hAnsi="Times New Roman"/>
          <w:szCs w:val="22"/>
        </w:rPr>
        <w:t>ubclause</w:t>
      </w:r>
      <w:r>
        <w:rPr>
          <w:rFonts w:ascii="Times New Roman" w:hAnsi="Times New Roman"/>
          <w:szCs w:val="22"/>
        </w:rPr>
        <w:t>s</w:t>
      </w:r>
      <w:r w:rsidRPr="003E7C56">
        <w:rPr>
          <w:rFonts w:ascii="Times New Roman" w:hAnsi="Times New Roman"/>
          <w:szCs w:val="22"/>
        </w:rPr>
        <w:t xml:space="preserve"> </w:t>
      </w:r>
      <w:proofErr w:type="spellStart"/>
      <w:r w:rsidRPr="003E7C56">
        <w:rPr>
          <w:rFonts w:ascii="Times New Roman" w:hAnsi="Times New Roman"/>
          <w:szCs w:val="22"/>
        </w:rPr>
        <w:t>4.1A</w:t>
      </w:r>
      <w:proofErr w:type="spellEnd"/>
      <w:r w:rsidRPr="003E7C56">
        <w:rPr>
          <w:rFonts w:ascii="Times New Roman" w:hAnsi="Times New Roman"/>
          <w:szCs w:val="22"/>
        </w:rPr>
        <w:t>(1)(g)(</w:t>
      </w:r>
      <w:proofErr w:type="spellStart"/>
      <w:r w:rsidRPr="003E7C56">
        <w:rPr>
          <w:rFonts w:ascii="Times New Roman" w:hAnsi="Times New Roman"/>
          <w:szCs w:val="22"/>
        </w:rPr>
        <w:t>i</w:t>
      </w:r>
      <w:proofErr w:type="spellEnd"/>
      <w:r w:rsidRPr="003E7C56">
        <w:rPr>
          <w:rFonts w:ascii="Times New Roman" w:hAnsi="Times New Roman"/>
          <w:szCs w:val="22"/>
        </w:rPr>
        <w:t xml:space="preserve">-iii) and </w:t>
      </w:r>
      <w:proofErr w:type="spellStart"/>
      <w:r w:rsidRPr="003E7C56">
        <w:rPr>
          <w:rFonts w:ascii="Times New Roman" w:hAnsi="Times New Roman"/>
          <w:szCs w:val="22"/>
        </w:rPr>
        <w:t>4.1A</w:t>
      </w:r>
      <w:proofErr w:type="spellEnd"/>
      <w:r w:rsidRPr="003E7C56">
        <w:rPr>
          <w:rFonts w:ascii="Times New Roman" w:hAnsi="Times New Roman"/>
          <w:szCs w:val="22"/>
        </w:rPr>
        <w:t>(2)(f)(</w:t>
      </w:r>
      <w:proofErr w:type="spellStart"/>
      <w:r w:rsidRPr="003E7C56">
        <w:rPr>
          <w:rFonts w:ascii="Times New Roman" w:hAnsi="Times New Roman"/>
          <w:szCs w:val="22"/>
        </w:rPr>
        <w:t>i</w:t>
      </w:r>
      <w:proofErr w:type="spellEnd"/>
      <w:r w:rsidRPr="003E7C56">
        <w:rPr>
          <w:rFonts w:ascii="Times New Roman" w:hAnsi="Times New Roman"/>
          <w:szCs w:val="22"/>
        </w:rPr>
        <w:t>-iii).</w:t>
      </w:r>
    </w:p>
    <w:p w:rsidR="009B194B" w:rsidRDefault="009B194B" w:rsidP="009B194B">
      <w:pPr>
        <w:spacing w:before="120" w:after="120"/>
        <w:rPr>
          <w:rFonts w:ascii="Times New Roman" w:hAnsi="Times New Roman"/>
        </w:rPr>
      </w:pPr>
      <w:r>
        <w:rPr>
          <w:rFonts w:ascii="Times New Roman" w:hAnsi="Times New Roman"/>
        </w:rPr>
        <w:t xml:space="preserve">Subclause </w:t>
      </w:r>
      <w:proofErr w:type="spellStart"/>
      <w:r>
        <w:rPr>
          <w:rFonts w:ascii="Times New Roman" w:hAnsi="Times New Roman"/>
        </w:rPr>
        <w:t>4.1A</w:t>
      </w:r>
      <w:proofErr w:type="spellEnd"/>
      <w:r>
        <w:rPr>
          <w:rFonts w:ascii="Times New Roman" w:hAnsi="Times New Roman"/>
        </w:rPr>
        <w:t>(4) defines the term “performance agreement” to mean a documentary record that sets out the performance expectations in relation to the duties that have been assigned to an employee.</w:t>
      </w:r>
    </w:p>
    <w:p w:rsidR="009B194B" w:rsidRDefault="009B194B" w:rsidP="009B194B">
      <w:pPr>
        <w:spacing w:before="120" w:after="120"/>
        <w:rPr>
          <w:rFonts w:ascii="Times New Roman" w:hAnsi="Times New Roman"/>
        </w:rPr>
      </w:pPr>
      <w:r>
        <w:rPr>
          <w:rFonts w:ascii="Times New Roman" w:hAnsi="Times New Roman"/>
          <w:b/>
          <w:bCs/>
        </w:rPr>
        <w:t>Item 2 of Schedule 1</w:t>
      </w:r>
      <w:r>
        <w:rPr>
          <w:rFonts w:ascii="Times New Roman" w:hAnsi="Times New Roman"/>
        </w:rPr>
        <w:t xml:space="preserve"> makes a technical amendment to an existing definition of ‘broadband’ in the Dictionary</w:t>
      </w:r>
      <w:proofErr w:type="gramStart"/>
      <w:r>
        <w:rPr>
          <w:rFonts w:ascii="Times New Roman" w:hAnsi="Times New Roman"/>
        </w:rPr>
        <w:t>  to</w:t>
      </w:r>
      <w:proofErr w:type="gramEnd"/>
      <w:r>
        <w:rPr>
          <w:rFonts w:ascii="Times New Roman" w:hAnsi="Times New Roman"/>
        </w:rPr>
        <w:t xml:space="preserve"> clarify a link with the </w:t>
      </w:r>
      <w:r>
        <w:rPr>
          <w:rFonts w:ascii="Times New Roman" w:hAnsi="Times New Roman"/>
          <w:i/>
          <w:iCs/>
        </w:rPr>
        <w:t>Public Service Classification Rules 2000.</w:t>
      </w:r>
    </w:p>
    <w:p w:rsidR="009B194B" w:rsidRDefault="009B194B" w:rsidP="009B194B">
      <w:pPr>
        <w:rPr>
          <w:rFonts w:ascii="Times New Roman" w:hAnsi="Times New Roman"/>
        </w:rPr>
      </w:pPr>
      <w:r>
        <w:rPr>
          <w:rFonts w:ascii="Times New Roman" w:hAnsi="Times New Roman"/>
          <w:b/>
          <w:bCs/>
        </w:rPr>
        <w:t>Item 3 of Schedule 1</w:t>
      </w:r>
      <w:r>
        <w:rPr>
          <w:rFonts w:ascii="Times New Roman" w:hAnsi="Times New Roman"/>
        </w:rPr>
        <w:t xml:space="preserve"> inserts new definitions in the Dictionary to the Directions relev</w:t>
      </w:r>
      <w:r w:rsidR="00A462FB">
        <w:rPr>
          <w:rFonts w:ascii="Times New Roman" w:hAnsi="Times New Roman"/>
        </w:rPr>
        <w:t>ant to the amending Directions.</w:t>
      </w:r>
      <w:r>
        <w:rPr>
          <w:rFonts w:ascii="Times New Roman" w:hAnsi="Times New Roman"/>
        </w:rPr>
        <w:t xml:space="preserve"> </w:t>
      </w:r>
    </w:p>
    <w:p w:rsidR="002E726E" w:rsidRPr="002E726E" w:rsidRDefault="002E726E">
      <w:pPr>
        <w:rPr>
          <w:rFonts w:ascii="Times New Roman" w:hAnsi="Times New Roman"/>
          <w:szCs w:val="22"/>
        </w:rPr>
      </w:pPr>
    </w:p>
    <w:p w:rsidR="002E726E" w:rsidRPr="002E726E" w:rsidRDefault="002E726E">
      <w:pPr>
        <w:rPr>
          <w:rFonts w:ascii="Times New Roman" w:hAnsi="Times New Roman"/>
          <w:szCs w:val="22"/>
        </w:rPr>
      </w:pPr>
    </w:p>
    <w:p w:rsidR="002E726E" w:rsidRPr="002E726E" w:rsidRDefault="002E726E">
      <w:pPr>
        <w:rPr>
          <w:rFonts w:ascii="Times New Roman" w:hAnsi="Times New Roman"/>
          <w:szCs w:val="22"/>
        </w:rPr>
      </w:pPr>
    </w:p>
    <w:p w:rsidR="005A00EB" w:rsidRDefault="005A00EB">
      <w:pPr>
        <w:rPr>
          <w:rFonts w:ascii="Times New Roman" w:hAnsi="Times New Roman"/>
          <w:szCs w:val="22"/>
        </w:rPr>
        <w:sectPr w:rsidR="005A00EB" w:rsidSect="005A00EB">
          <w:pgSz w:w="11906" w:h="16838" w:code="9"/>
          <w:pgMar w:top="1418" w:right="1134" w:bottom="1418" w:left="1418" w:header="567" w:footer="567" w:gutter="0"/>
          <w:cols w:space="720"/>
          <w:titlePg/>
          <w:docGrid w:linePitch="299"/>
        </w:sectPr>
      </w:pPr>
    </w:p>
    <w:p w:rsidR="002E77BB" w:rsidRPr="003E7C56" w:rsidRDefault="002E77BB" w:rsidP="002E77BB">
      <w:pPr>
        <w:keepNext/>
        <w:spacing w:before="120" w:after="120"/>
        <w:rPr>
          <w:rFonts w:ascii="Times New Roman" w:hAnsi="Times New Roman"/>
          <w:szCs w:val="22"/>
          <w:lang w:eastAsia="en-AU"/>
        </w:rPr>
      </w:pPr>
      <w:r w:rsidRPr="003E7C56">
        <w:rPr>
          <w:rFonts w:ascii="Times New Roman" w:hAnsi="Times New Roman"/>
          <w:b/>
          <w:bCs/>
          <w:szCs w:val="22"/>
          <w:lang w:eastAsia="en-AU"/>
        </w:rPr>
        <w:lastRenderedPageBreak/>
        <w:t>STATEMENT OF COMPATIBILITY</w:t>
      </w:r>
      <w:bookmarkStart w:id="0" w:name="_GoBack"/>
      <w:bookmarkEnd w:id="0"/>
      <w:r w:rsidRPr="003E7C56">
        <w:rPr>
          <w:rFonts w:ascii="Times New Roman" w:hAnsi="Times New Roman"/>
          <w:b/>
          <w:bCs/>
          <w:szCs w:val="22"/>
          <w:lang w:eastAsia="en-AU"/>
        </w:rPr>
        <w:t xml:space="preserve"> WITH HUMAN RIGHTS</w:t>
      </w:r>
    </w:p>
    <w:p w:rsidR="002E77BB" w:rsidRPr="003E7C56" w:rsidRDefault="002E77BB" w:rsidP="002E77BB">
      <w:pPr>
        <w:spacing w:before="120" w:after="120"/>
        <w:rPr>
          <w:rFonts w:ascii="Times New Roman" w:hAnsi="Times New Roman"/>
          <w:bCs/>
          <w:szCs w:val="22"/>
          <w:lang w:eastAsia="en-AU"/>
        </w:rPr>
      </w:pPr>
      <w:r w:rsidRPr="003E7C56">
        <w:rPr>
          <w:rFonts w:ascii="Times New Roman" w:hAnsi="Times New Roman"/>
          <w:bCs/>
          <w:i/>
          <w:szCs w:val="22"/>
          <w:lang w:eastAsia="en-AU"/>
        </w:rPr>
        <w:t xml:space="preserve">Australian Public Service Commissioner’s Amendment (Performance Management) Direction 2014 </w:t>
      </w:r>
      <w:r w:rsidRPr="003E7C56">
        <w:rPr>
          <w:rFonts w:ascii="Times New Roman" w:hAnsi="Times New Roman"/>
          <w:bCs/>
          <w:szCs w:val="22"/>
          <w:lang w:eastAsia="en-AU"/>
        </w:rPr>
        <w:t xml:space="preserve">is compatible with the human rights and freedoms recognised or declared in the international instruments listed in section 3 of the </w:t>
      </w:r>
      <w:r w:rsidRPr="003E7C56">
        <w:rPr>
          <w:rFonts w:ascii="Times New Roman" w:hAnsi="Times New Roman"/>
          <w:bCs/>
          <w:i/>
          <w:szCs w:val="22"/>
          <w:lang w:eastAsia="en-AU"/>
        </w:rPr>
        <w:t xml:space="preserve">Human Rights (Parliamentary Scrutiny) Act 2011. </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b/>
          <w:bCs/>
          <w:szCs w:val="22"/>
          <w:lang w:eastAsia="en-AU"/>
        </w:rPr>
        <w:t>Overview of the Legislative Instrument</w:t>
      </w:r>
    </w:p>
    <w:p w:rsidR="002E77BB" w:rsidRPr="003E7C56" w:rsidRDefault="002E77BB" w:rsidP="002E77BB">
      <w:pPr>
        <w:spacing w:before="120" w:after="120"/>
        <w:rPr>
          <w:rFonts w:ascii="Times New Roman" w:hAnsi="Times New Roman"/>
          <w:bCs/>
          <w:szCs w:val="22"/>
          <w:lang w:eastAsia="en-AU"/>
        </w:rPr>
      </w:pPr>
      <w:r w:rsidRPr="003E7C56">
        <w:rPr>
          <w:rFonts w:ascii="Times New Roman" w:hAnsi="Times New Roman"/>
          <w:szCs w:val="22"/>
          <w:lang w:eastAsia="en-AU"/>
        </w:rPr>
        <w:t xml:space="preserve">The </w:t>
      </w:r>
      <w:r w:rsidRPr="003E7C56">
        <w:rPr>
          <w:rFonts w:ascii="Times New Roman" w:hAnsi="Times New Roman"/>
          <w:i/>
          <w:szCs w:val="22"/>
          <w:lang w:eastAsia="en-AU"/>
        </w:rPr>
        <w:t xml:space="preserve">Australian Public Service Commissioner’s Directions </w:t>
      </w:r>
      <w:r w:rsidRPr="00FF61BF">
        <w:rPr>
          <w:rFonts w:ascii="Times New Roman" w:hAnsi="Times New Roman"/>
          <w:szCs w:val="22"/>
          <w:lang w:eastAsia="en-AU"/>
        </w:rPr>
        <w:t>(the Directions)</w:t>
      </w:r>
      <w:r>
        <w:rPr>
          <w:rFonts w:ascii="Times New Roman" w:hAnsi="Times New Roman"/>
          <w:i/>
          <w:szCs w:val="22"/>
          <w:lang w:eastAsia="en-AU"/>
        </w:rPr>
        <w:t xml:space="preserve"> </w:t>
      </w:r>
      <w:r w:rsidRPr="003E7C56">
        <w:rPr>
          <w:rFonts w:ascii="Times New Roman" w:hAnsi="Times New Roman"/>
          <w:szCs w:val="22"/>
          <w:lang w:eastAsia="en-AU"/>
        </w:rPr>
        <w:t xml:space="preserve">are a subordinate instrument </w:t>
      </w:r>
      <w:r>
        <w:rPr>
          <w:rFonts w:ascii="Times New Roman" w:hAnsi="Times New Roman"/>
          <w:szCs w:val="22"/>
          <w:lang w:eastAsia="en-AU"/>
        </w:rPr>
        <w:t>under</w:t>
      </w:r>
      <w:r w:rsidRPr="003E7C56">
        <w:rPr>
          <w:rFonts w:ascii="Times New Roman" w:hAnsi="Times New Roman"/>
          <w:szCs w:val="22"/>
          <w:lang w:eastAsia="en-AU"/>
        </w:rPr>
        <w:t xml:space="preserve"> the </w:t>
      </w:r>
      <w:r w:rsidRPr="003E7C56">
        <w:rPr>
          <w:rFonts w:ascii="Times New Roman" w:hAnsi="Times New Roman"/>
          <w:i/>
          <w:iCs/>
          <w:szCs w:val="22"/>
          <w:lang w:eastAsia="en-AU"/>
        </w:rPr>
        <w:t>Public Service Act 1999</w:t>
      </w:r>
      <w:r w:rsidR="00695C39">
        <w:rPr>
          <w:rFonts w:ascii="Times New Roman" w:hAnsi="Times New Roman"/>
          <w:szCs w:val="22"/>
          <w:lang w:eastAsia="en-AU"/>
        </w:rPr>
        <w:t xml:space="preserve"> (the Act</w:t>
      </w:r>
      <w:r w:rsidRPr="003E7C56">
        <w:rPr>
          <w:rFonts w:ascii="Times New Roman" w:hAnsi="Times New Roman"/>
          <w:szCs w:val="22"/>
          <w:lang w:eastAsia="en-AU"/>
        </w:rPr>
        <w:t xml:space="preserve">). </w:t>
      </w:r>
      <w:r w:rsidRPr="003E7C56">
        <w:rPr>
          <w:rFonts w:ascii="Times New Roman" w:hAnsi="Times New Roman"/>
          <w:bCs/>
          <w:szCs w:val="22"/>
          <w:lang w:eastAsia="en-AU"/>
        </w:rPr>
        <w:t xml:space="preserve">Among other things, the Act sets out the APS Employment Principles, which include the principle that the APS is a career based public </w:t>
      </w:r>
      <w:r>
        <w:rPr>
          <w:rFonts w:ascii="Times New Roman" w:hAnsi="Times New Roman"/>
          <w:bCs/>
          <w:szCs w:val="22"/>
          <w:lang w:eastAsia="en-AU"/>
        </w:rPr>
        <w:t>service that “</w:t>
      </w:r>
      <w:r w:rsidRPr="003E7C56">
        <w:rPr>
          <w:rFonts w:ascii="Times New Roman" w:hAnsi="Times New Roman"/>
          <w:bCs/>
          <w:szCs w:val="22"/>
          <w:lang w:eastAsia="en-AU"/>
        </w:rPr>
        <w:t>requires effective</w:t>
      </w:r>
      <w:r>
        <w:rPr>
          <w:rFonts w:ascii="Times New Roman" w:hAnsi="Times New Roman"/>
          <w:bCs/>
          <w:szCs w:val="22"/>
          <w:lang w:eastAsia="en-AU"/>
        </w:rPr>
        <w:t xml:space="preserve"> performance from each employee”</w:t>
      </w:r>
      <w:r w:rsidRPr="003E7C56">
        <w:rPr>
          <w:rFonts w:ascii="Times New Roman" w:hAnsi="Times New Roman"/>
          <w:bCs/>
          <w:szCs w:val="22"/>
          <w:lang w:eastAsia="en-AU"/>
        </w:rPr>
        <w:t xml:space="preserve"> (paragraph </w:t>
      </w:r>
      <w:proofErr w:type="spellStart"/>
      <w:r w:rsidRPr="003E7C56">
        <w:rPr>
          <w:rFonts w:ascii="Times New Roman" w:hAnsi="Times New Roman"/>
          <w:bCs/>
          <w:szCs w:val="22"/>
          <w:lang w:eastAsia="en-AU"/>
        </w:rPr>
        <w:t>10A</w:t>
      </w:r>
      <w:proofErr w:type="spellEnd"/>
      <w:r w:rsidRPr="003E7C56">
        <w:rPr>
          <w:rFonts w:ascii="Times New Roman" w:hAnsi="Times New Roman"/>
          <w:bCs/>
          <w:szCs w:val="22"/>
          <w:lang w:eastAsia="en-AU"/>
        </w:rPr>
        <w:t xml:space="preserve">(1)(d)). Section </w:t>
      </w:r>
      <w:proofErr w:type="spellStart"/>
      <w:r w:rsidRPr="003E7C56">
        <w:rPr>
          <w:rFonts w:ascii="Times New Roman" w:hAnsi="Times New Roman"/>
          <w:bCs/>
          <w:szCs w:val="22"/>
          <w:lang w:eastAsia="en-AU"/>
        </w:rPr>
        <w:t>11A</w:t>
      </w:r>
      <w:proofErr w:type="spellEnd"/>
      <w:r w:rsidRPr="003E7C56">
        <w:rPr>
          <w:rFonts w:ascii="Times New Roman" w:hAnsi="Times New Roman"/>
          <w:bCs/>
          <w:szCs w:val="22"/>
          <w:lang w:eastAsia="en-AU"/>
        </w:rPr>
        <w:t xml:space="preserve"> of the Act provides for the Australia</w:t>
      </w:r>
      <w:r w:rsidR="00695C39">
        <w:rPr>
          <w:rFonts w:ascii="Times New Roman" w:hAnsi="Times New Roman"/>
          <w:bCs/>
          <w:szCs w:val="22"/>
          <w:lang w:eastAsia="en-AU"/>
        </w:rPr>
        <w:t>n Public Service Commissioner (the Commissioner</w:t>
      </w:r>
      <w:r w:rsidRPr="003E7C56">
        <w:rPr>
          <w:rFonts w:ascii="Times New Roman" w:hAnsi="Times New Roman"/>
          <w:bCs/>
          <w:szCs w:val="22"/>
          <w:lang w:eastAsia="en-AU"/>
        </w:rPr>
        <w:t>) to issue directions in writing in relation to the APS Employment Principles for the purposes of ensuring that the APS incorporates and upholds the APS Employment Principles, and to determine, where necessary, the scope or application of the Employment Principles.</w:t>
      </w:r>
    </w:p>
    <w:p w:rsidR="002E77BB" w:rsidRPr="003E7C56" w:rsidRDefault="002E77BB" w:rsidP="002E77BB">
      <w:pPr>
        <w:spacing w:before="120" w:after="120"/>
        <w:rPr>
          <w:rFonts w:ascii="Times New Roman" w:hAnsi="Times New Roman"/>
          <w:bCs/>
          <w:szCs w:val="22"/>
          <w:lang w:eastAsia="en-AU"/>
        </w:rPr>
      </w:pPr>
      <w:r>
        <w:rPr>
          <w:rFonts w:ascii="Times New Roman" w:hAnsi="Times New Roman"/>
          <w:bCs/>
          <w:szCs w:val="22"/>
          <w:lang w:eastAsia="en-AU"/>
        </w:rPr>
        <w:t>Chapter 4</w:t>
      </w:r>
      <w:r w:rsidRPr="003E7C56">
        <w:rPr>
          <w:rFonts w:ascii="Times New Roman" w:hAnsi="Times New Roman"/>
          <w:bCs/>
          <w:szCs w:val="22"/>
          <w:lang w:eastAsia="en-AU"/>
        </w:rPr>
        <w:t xml:space="preserve"> of the Commissioner’s Directions sets out directions that </w:t>
      </w:r>
      <w:r>
        <w:rPr>
          <w:rFonts w:ascii="Times New Roman" w:hAnsi="Times New Roman"/>
          <w:bCs/>
          <w:szCs w:val="22"/>
          <w:lang w:eastAsia="en-AU"/>
        </w:rPr>
        <w:t xml:space="preserve">elaborate on </w:t>
      </w:r>
      <w:r w:rsidRPr="003E7C56">
        <w:rPr>
          <w:rFonts w:ascii="Times New Roman" w:hAnsi="Times New Roman"/>
          <w:bCs/>
          <w:szCs w:val="22"/>
          <w:lang w:eastAsia="en-AU"/>
        </w:rPr>
        <w:t xml:space="preserve">the APS Employment Principle contained in paragraph </w:t>
      </w:r>
      <w:proofErr w:type="spellStart"/>
      <w:proofErr w:type="gramStart"/>
      <w:r w:rsidRPr="003E7C56">
        <w:rPr>
          <w:rFonts w:ascii="Times New Roman" w:hAnsi="Times New Roman"/>
          <w:bCs/>
          <w:szCs w:val="22"/>
          <w:lang w:eastAsia="en-AU"/>
        </w:rPr>
        <w:t>10A</w:t>
      </w:r>
      <w:proofErr w:type="spellEnd"/>
      <w:r w:rsidRPr="003E7C56">
        <w:rPr>
          <w:rFonts w:ascii="Times New Roman" w:hAnsi="Times New Roman"/>
          <w:bCs/>
          <w:szCs w:val="22"/>
          <w:lang w:eastAsia="en-AU"/>
        </w:rPr>
        <w:t>(</w:t>
      </w:r>
      <w:proofErr w:type="gramEnd"/>
      <w:r w:rsidRPr="003E7C56">
        <w:rPr>
          <w:rFonts w:ascii="Times New Roman" w:hAnsi="Times New Roman"/>
          <w:bCs/>
          <w:szCs w:val="22"/>
          <w:lang w:eastAsia="en-AU"/>
        </w:rPr>
        <w:t>1)(d) of the Act</w:t>
      </w:r>
      <w:r w:rsidR="00695C39">
        <w:rPr>
          <w:rFonts w:ascii="Times New Roman" w:hAnsi="Times New Roman"/>
          <w:bCs/>
          <w:szCs w:val="22"/>
          <w:lang w:eastAsia="en-AU"/>
        </w:rPr>
        <w:t>, relating to effective performance</w:t>
      </w:r>
      <w:r w:rsidRPr="003E7C56">
        <w:rPr>
          <w:rFonts w:ascii="Times New Roman" w:hAnsi="Times New Roman"/>
          <w:bCs/>
          <w:szCs w:val="22"/>
          <w:lang w:eastAsia="en-AU"/>
        </w:rPr>
        <w:t xml:space="preserve">. </w:t>
      </w:r>
    </w:p>
    <w:p w:rsidR="002E77BB" w:rsidRPr="003E7C56" w:rsidRDefault="002E77BB" w:rsidP="002E77BB">
      <w:pPr>
        <w:spacing w:before="120" w:after="120"/>
        <w:rPr>
          <w:rFonts w:ascii="Times New Roman" w:hAnsi="Times New Roman"/>
          <w:bCs/>
          <w:szCs w:val="22"/>
          <w:lang w:eastAsia="en-AU"/>
        </w:rPr>
      </w:pPr>
      <w:r w:rsidRPr="003E7C56">
        <w:rPr>
          <w:rFonts w:ascii="Times New Roman" w:hAnsi="Times New Roman"/>
          <w:szCs w:val="22"/>
          <w:lang w:eastAsia="en-AU"/>
        </w:rPr>
        <w:t xml:space="preserve">The purpose of the </w:t>
      </w:r>
      <w:r w:rsidRPr="003E7C56">
        <w:rPr>
          <w:rFonts w:ascii="Times New Roman" w:hAnsi="Times New Roman"/>
          <w:bCs/>
          <w:i/>
          <w:szCs w:val="22"/>
          <w:lang w:eastAsia="en-AU"/>
        </w:rPr>
        <w:t xml:space="preserve">Australian Public Service Commissioner’s Amendment (Performance Management) Direction 2014 </w:t>
      </w:r>
      <w:r w:rsidR="00022F00">
        <w:rPr>
          <w:rFonts w:ascii="Times New Roman" w:hAnsi="Times New Roman"/>
          <w:bCs/>
          <w:szCs w:val="22"/>
          <w:lang w:eastAsia="en-AU"/>
        </w:rPr>
        <w:t>(the Amendment Direction</w:t>
      </w:r>
      <w:r w:rsidRPr="003E7C56">
        <w:rPr>
          <w:rFonts w:ascii="Times New Roman" w:hAnsi="Times New Roman"/>
          <w:bCs/>
          <w:szCs w:val="22"/>
          <w:lang w:eastAsia="en-AU"/>
        </w:rPr>
        <w:t>) is to amend clause 4.1 of the Commissioner’s Directions to:</w:t>
      </w:r>
    </w:p>
    <w:p w:rsidR="002E77BB" w:rsidRPr="003E7C56" w:rsidRDefault="00D05439" w:rsidP="002E77BB">
      <w:pPr>
        <w:pStyle w:val="ListParagraph"/>
        <w:numPr>
          <w:ilvl w:val="0"/>
          <w:numId w:val="18"/>
        </w:numPr>
        <w:spacing w:after="120"/>
        <w:rPr>
          <w:sz w:val="22"/>
          <w:szCs w:val="22"/>
          <w:lang w:val="en-US"/>
        </w:rPr>
      </w:pPr>
      <w:r>
        <w:rPr>
          <w:sz w:val="22"/>
          <w:szCs w:val="22"/>
          <w:lang w:val="en-US"/>
        </w:rPr>
        <w:t>s</w:t>
      </w:r>
      <w:r w:rsidR="002E77BB" w:rsidRPr="003E7C56">
        <w:rPr>
          <w:sz w:val="22"/>
          <w:szCs w:val="22"/>
          <w:lang w:val="en-US"/>
        </w:rPr>
        <w:t>trengthen the obligations on agency heads with respect to the effective performance Employment Principle;</w:t>
      </w:r>
    </w:p>
    <w:p w:rsidR="002E77BB" w:rsidRPr="003E7C56" w:rsidRDefault="00D05439" w:rsidP="002E77BB">
      <w:pPr>
        <w:pStyle w:val="ListParagraph"/>
        <w:numPr>
          <w:ilvl w:val="0"/>
          <w:numId w:val="18"/>
        </w:numPr>
        <w:spacing w:after="120"/>
        <w:ind w:left="714" w:hanging="357"/>
        <w:rPr>
          <w:sz w:val="22"/>
          <w:szCs w:val="22"/>
          <w:lang w:val="en-US"/>
        </w:rPr>
      </w:pPr>
      <w:r>
        <w:rPr>
          <w:sz w:val="22"/>
          <w:szCs w:val="22"/>
          <w:lang w:val="en-US"/>
        </w:rPr>
        <w:t>m</w:t>
      </w:r>
      <w:r w:rsidR="002E77BB" w:rsidRPr="003E7C56">
        <w:rPr>
          <w:sz w:val="22"/>
          <w:szCs w:val="22"/>
          <w:lang w:val="en-US"/>
        </w:rPr>
        <w:t>ake provision for certain obligations on supervisors and employees relevant to the effective performance Employment Principle;</w:t>
      </w:r>
    </w:p>
    <w:p w:rsidR="002E77BB" w:rsidRPr="003E7C56" w:rsidRDefault="00D05439" w:rsidP="002E77BB">
      <w:pPr>
        <w:pStyle w:val="ListParagraph"/>
        <w:numPr>
          <w:ilvl w:val="0"/>
          <w:numId w:val="18"/>
        </w:numPr>
        <w:spacing w:after="120"/>
        <w:ind w:left="714" w:hanging="357"/>
        <w:rPr>
          <w:sz w:val="22"/>
          <w:szCs w:val="22"/>
        </w:rPr>
      </w:pPr>
      <w:proofErr w:type="gramStart"/>
      <w:r>
        <w:rPr>
          <w:sz w:val="22"/>
          <w:szCs w:val="22"/>
          <w:lang w:val="en-US"/>
        </w:rPr>
        <w:t>e</w:t>
      </w:r>
      <w:r w:rsidR="002E77BB" w:rsidRPr="003E7C56">
        <w:rPr>
          <w:sz w:val="22"/>
          <w:szCs w:val="22"/>
          <w:lang w:val="en-US"/>
        </w:rPr>
        <w:t>ncourage</w:t>
      </w:r>
      <w:proofErr w:type="gramEnd"/>
      <w:r w:rsidR="002E77BB" w:rsidRPr="003E7C56">
        <w:rPr>
          <w:sz w:val="22"/>
          <w:szCs w:val="22"/>
          <w:lang w:val="en-US"/>
        </w:rPr>
        <w:t xml:space="preserve"> APS best or better practice by including a requirement to periodically assess and compare an agency’s performance management policy, and associated processes and practices.</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b/>
          <w:bCs/>
          <w:szCs w:val="22"/>
          <w:lang w:eastAsia="en-AU"/>
        </w:rPr>
        <w:t>Human rights implications</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 xml:space="preserve">The Amendment Direction engages the </w:t>
      </w:r>
      <w:r w:rsidRPr="003E7C56">
        <w:rPr>
          <w:rFonts w:ascii="Times New Roman" w:hAnsi="Times New Roman"/>
          <w:bCs/>
          <w:iCs/>
          <w:szCs w:val="22"/>
          <w:lang w:eastAsia="en-AU"/>
        </w:rPr>
        <w:t>right to work and rights in work.</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The right to work and rights in work are contained in articles 6(1) and 7 of the International Covenant on Economic, Social and Cultural Rights (</w:t>
      </w:r>
      <w:proofErr w:type="spellStart"/>
      <w:r w:rsidRPr="003E7C56">
        <w:rPr>
          <w:rFonts w:ascii="Times New Roman" w:hAnsi="Times New Roman"/>
          <w:szCs w:val="22"/>
          <w:lang w:eastAsia="en-AU"/>
        </w:rPr>
        <w:t>ICESCR</w:t>
      </w:r>
      <w:proofErr w:type="spellEnd"/>
      <w:r w:rsidRPr="003E7C56">
        <w:rPr>
          <w:rFonts w:ascii="Times New Roman" w:hAnsi="Times New Roman"/>
          <w:szCs w:val="22"/>
          <w:lang w:eastAsia="en-AU"/>
        </w:rPr>
        <w:t xml:space="preserve">). Article 6(1) provides that everyone should have the opportunity to gain their living by work which they choose or accept. Article 7 of the </w:t>
      </w:r>
      <w:proofErr w:type="spellStart"/>
      <w:r w:rsidRPr="003E7C56">
        <w:rPr>
          <w:rFonts w:ascii="Times New Roman" w:hAnsi="Times New Roman"/>
          <w:szCs w:val="22"/>
          <w:lang w:eastAsia="en-AU"/>
        </w:rPr>
        <w:t>ICESCR</w:t>
      </w:r>
      <w:proofErr w:type="spellEnd"/>
      <w:r w:rsidRPr="003E7C56">
        <w:rPr>
          <w:rFonts w:ascii="Times New Roman" w:hAnsi="Times New Roman"/>
          <w:szCs w:val="22"/>
          <w:lang w:eastAsia="en-AU"/>
        </w:rPr>
        <w:t xml:space="preserve"> recognises the right of everyone to just and favourable conditions of work which ensure equal opportunity for everyone to be promoted in employment to an appropriate higher level</w:t>
      </w:r>
      <w:r>
        <w:rPr>
          <w:rFonts w:ascii="Times New Roman" w:hAnsi="Times New Roman"/>
          <w:szCs w:val="22"/>
          <w:lang w:eastAsia="en-AU"/>
        </w:rPr>
        <w:t>,</w:t>
      </w:r>
      <w:r w:rsidRPr="003E7C56">
        <w:rPr>
          <w:rFonts w:ascii="Times New Roman" w:hAnsi="Times New Roman"/>
          <w:szCs w:val="22"/>
          <w:lang w:eastAsia="en-AU"/>
        </w:rPr>
        <w:t xml:space="preserve"> subject to no considerations other than seniority and competence. Furthermore, Article 6(2) of the </w:t>
      </w:r>
      <w:proofErr w:type="spellStart"/>
      <w:r w:rsidRPr="003E7C56">
        <w:rPr>
          <w:rFonts w:ascii="Times New Roman" w:hAnsi="Times New Roman"/>
          <w:szCs w:val="22"/>
          <w:lang w:eastAsia="en-AU"/>
        </w:rPr>
        <w:t>ICESCR</w:t>
      </w:r>
      <w:proofErr w:type="spellEnd"/>
      <w:r w:rsidRPr="003E7C56">
        <w:rPr>
          <w:rFonts w:ascii="Times New Roman" w:hAnsi="Times New Roman"/>
          <w:szCs w:val="22"/>
          <w:lang w:eastAsia="en-AU"/>
        </w:rPr>
        <w:t xml:space="preserve"> provides that a party to the convention should take steps to provide guidance and training to assist with the right to work. </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The Amendment Direction supports these rights by</w:t>
      </w:r>
      <w:r w:rsidR="00FC6C3E">
        <w:rPr>
          <w:rFonts w:ascii="Times New Roman" w:hAnsi="Times New Roman"/>
          <w:szCs w:val="22"/>
          <w:lang w:eastAsia="en-AU"/>
        </w:rPr>
        <w:t xml:space="preserve"> requiring agencies</w:t>
      </w:r>
      <w:r w:rsidR="00E43A09">
        <w:rPr>
          <w:rFonts w:ascii="Times New Roman" w:hAnsi="Times New Roman"/>
          <w:szCs w:val="22"/>
          <w:lang w:eastAsia="en-AU"/>
        </w:rPr>
        <w:t xml:space="preserve"> to provide</w:t>
      </w:r>
      <w:r w:rsidRPr="003E7C56">
        <w:rPr>
          <w:rFonts w:ascii="Times New Roman" w:hAnsi="Times New Roman"/>
          <w:szCs w:val="22"/>
          <w:lang w:eastAsia="en-AU"/>
        </w:rPr>
        <w:t xml:space="preserve"> for fair, open, and effective management of employees’ performance in accordance with policies and practices that are clearly communicated to employees and periodically reviewed and benchmarked against best practice. The Amendment Direction </w:t>
      </w:r>
      <w:r>
        <w:rPr>
          <w:rFonts w:ascii="Times New Roman" w:hAnsi="Times New Roman"/>
          <w:szCs w:val="22"/>
          <w:lang w:eastAsia="en-AU"/>
        </w:rPr>
        <w:t>includes requirements for</w:t>
      </w:r>
      <w:r w:rsidRPr="003E7C56">
        <w:rPr>
          <w:rFonts w:ascii="Times New Roman" w:hAnsi="Times New Roman"/>
          <w:szCs w:val="22"/>
          <w:lang w:eastAsia="en-AU"/>
        </w:rPr>
        <w:t xml:space="preserve"> supervisors to promote and foster high performance by employees and to engage with underperforming employees to understand the nature of any underlying problem, and for employees to engage productively in the performance management process. </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 xml:space="preserve">As such, the Amendment Direction provides for just and favourable conditions in work by providing for a process in which the performance of employees is assessed fairly and promptly within a best-practice framework, with the cooperation of all parties, and by providing for APS employees (including supervisors and managers) and agency heads to pursue and support training and development to improve capability. </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The a</w:t>
      </w:r>
      <w:r>
        <w:rPr>
          <w:rFonts w:ascii="Times New Roman" w:hAnsi="Times New Roman"/>
          <w:szCs w:val="22"/>
          <w:lang w:eastAsia="en-AU"/>
        </w:rPr>
        <w:t xml:space="preserve">mended </w:t>
      </w:r>
      <w:r w:rsidRPr="003E7C56">
        <w:rPr>
          <w:rFonts w:ascii="Times New Roman" w:hAnsi="Times New Roman"/>
          <w:szCs w:val="22"/>
          <w:lang w:eastAsia="en-AU"/>
        </w:rPr>
        <w:t>Direction</w:t>
      </w:r>
      <w:r>
        <w:rPr>
          <w:rFonts w:ascii="Times New Roman" w:hAnsi="Times New Roman"/>
          <w:szCs w:val="22"/>
          <w:lang w:eastAsia="en-AU"/>
        </w:rPr>
        <w:t>s</w:t>
      </w:r>
      <w:r w:rsidRPr="003E7C56">
        <w:rPr>
          <w:rFonts w:ascii="Times New Roman" w:hAnsi="Times New Roman"/>
          <w:szCs w:val="22"/>
          <w:lang w:eastAsia="en-AU"/>
        </w:rPr>
        <w:t xml:space="preserve"> </w:t>
      </w:r>
      <w:r>
        <w:rPr>
          <w:rFonts w:ascii="Times New Roman" w:hAnsi="Times New Roman"/>
          <w:szCs w:val="22"/>
          <w:lang w:eastAsia="en-AU"/>
        </w:rPr>
        <w:t>are</w:t>
      </w:r>
      <w:r w:rsidRPr="003E7C56">
        <w:rPr>
          <w:rFonts w:ascii="Times New Roman" w:hAnsi="Times New Roman"/>
          <w:szCs w:val="22"/>
          <w:lang w:eastAsia="en-AU"/>
        </w:rPr>
        <w:t xml:space="preserve"> supported by other provisions of the Commissioner’s Directions, and the broader APS legislative framework, in a way that advances the protection of human rights. </w:t>
      </w:r>
      <w:r>
        <w:rPr>
          <w:rFonts w:ascii="Times New Roman" w:hAnsi="Times New Roman"/>
          <w:szCs w:val="22"/>
          <w:lang w:eastAsia="en-AU"/>
        </w:rPr>
        <w:t xml:space="preserve">The </w:t>
      </w:r>
      <w:r w:rsidRPr="003E7C56">
        <w:rPr>
          <w:rFonts w:ascii="Times New Roman" w:hAnsi="Times New Roman"/>
          <w:szCs w:val="22"/>
          <w:lang w:eastAsia="en-AU"/>
        </w:rPr>
        <w:t xml:space="preserve">APS Values </w:t>
      </w:r>
      <w:r>
        <w:rPr>
          <w:rFonts w:ascii="Times New Roman" w:hAnsi="Times New Roman"/>
          <w:szCs w:val="22"/>
          <w:lang w:eastAsia="en-AU"/>
        </w:rPr>
        <w:t xml:space="preserve">include the </w:t>
      </w:r>
      <w:r w:rsidR="00F15BE9">
        <w:rPr>
          <w:rFonts w:ascii="Times New Roman" w:hAnsi="Times New Roman"/>
          <w:szCs w:val="22"/>
          <w:lang w:eastAsia="en-AU"/>
        </w:rPr>
        <w:t>Value of “Respectful”</w:t>
      </w:r>
      <w:r w:rsidR="00D05439">
        <w:rPr>
          <w:rFonts w:ascii="Times New Roman" w:hAnsi="Times New Roman"/>
          <w:szCs w:val="22"/>
          <w:lang w:eastAsia="en-AU"/>
        </w:rPr>
        <w:t>,</w:t>
      </w:r>
      <w:r w:rsidRPr="003E7C56">
        <w:rPr>
          <w:rFonts w:ascii="Times New Roman" w:hAnsi="Times New Roman"/>
          <w:szCs w:val="22"/>
          <w:lang w:eastAsia="en-AU"/>
        </w:rPr>
        <w:t xml:space="preserve"> at subsection 10(3) of the Act, </w:t>
      </w:r>
      <w:r>
        <w:rPr>
          <w:rFonts w:ascii="Times New Roman" w:hAnsi="Times New Roman"/>
          <w:szCs w:val="22"/>
          <w:lang w:eastAsia="en-AU"/>
        </w:rPr>
        <w:t xml:space="preserve">which </w:t>
      </w:r>
      <w:r w:rsidR="00F15BE9">
        <w:rPr>
          <w:rFonts w:ascii="Times New Roman" w:hAnsi="Times New Roman"/>
          <w:szCs w:val="22"/>
          <w:lang w:eastAsia="en-AU"/>
        </w:rPr>
        <w:t>provides that the APS “</w:t>
      </w:r>
      <w:r w:rsidRPr="003E7C56">
        <w:rPr>
          <w:rFonts w:ascii="Times New Roman" w:hAnsi="Times New Roman"/>
          <w:szCs w:val="22"/>
          <w:lang w:eastAsia="en-AU"/>
        </w:rPr>
        <w:t>respects all people, their r</w:t>
      </w:r>
      <w:r w:rsidR="00F15BE9">
        <w:rPr>
          <w:rFonts w:ascii="Times New Roman" w:hAnsi="Times New Roman"/>
          <w:szCs w:val="22"/>
          <w:lang w:eastAsia="en-AU"/>
        </w:rPr>
        <w:t>ights and their heritage”</w:t>
      </w:r>
      <w:r w:rsidR="00D05439">
        <w:rPr>
          <w:rFonts w:ascii="Times New Roman" w:hAnsi="Times New Roman"/>
          <w:szCs w:val="22"/>
          <w:lang w:eastAsia="en-AU"/>
        </w:rPr>
        <w:t>.</w:t>
      </w:r>
      <w:r>
        <w:rPr>
          <w:rFonts w:ascii="Times New Roman" w:hAnsi="Times New Roman"/>
          <w:szCs w:val="22"/>
          <w:lang w:eastAsia="en-AU"/>
        </w:rPr>
        <w:t xml:space="preserve"> T</w:t>
      </w:r>
      <w:r w:rsidRPr="003E7C56">
        <w:rPr>
          <w:rFonts w:ascii="Times New Roman" w:hAnsi="Times New Roman"/>
          <w:szCs w:val="22"/>
          <w:lang w:eastAsia="en-AU"/>
        </w:rPr>
        <w:t xml:space="preserve">he </w:t>
      </w:r>
      <w:r>
        <w:rPr>
          <w:rFonts w:ascii="Times New Roman" w:hAnsi="Times New Roman"/>
          <w:szCs w:val="22"/>
          <w:lang w:eastAsia="en-AU"/>
        </w:rPr>
        <w:t xml:space="preserve">APS </w:t>
      </w:r>
      <w:r w:rsidRPr="003E7C56">
        <w:rPr>
          <w:rFonts w:ascii="Times New Roman" w:hAnsi="Times New Roman"/>
          <w:szCs w:val="22"/>
          <w:lang w:eastAsia="en-AU"/>
        </w:rPr>
        <w:t xml:space="preserve">Employment Principle at paragraph </w:t>
      </w:r>
      <w:proofErr w:type="spellStart"/>
      <w:proofErr w:type="gramStart"/>
      <w:r w:rsidRPr="003E7C56">
        <w:rPr>
          <w:rFonts w:ascii="Times New Roman" w:hAnsi="Times New Roman"/>
          <w:szCs w:val="22"/>
          <w:lang w:eastAsia="en-AU"/>
        </w:rPr>
        <w:lastRenderedPageBreak/>
        <w:t>10A</w:t>
      </w:r>
      <w:proofErr w:type="spellEnd"/>
      <w:r w:rsidRPr="003E7C56">
        <w:rPr>
          <w:rFonts w:ascii="Times New Roman" w:hAnsi="Times New Roman"/>
          <w:szCs w:val="22"/>
          <w:lang w:eastAsia="en-AU"/>
        </w:rPr>
        <w:t>(</w:t>
      </w:r>
      <w:proofErr w:type="gramEnd"/>
      <w:r w:rsidRPr="003E7C56">
        <w:rPr>
          <w:rFonts w:ascii="Times New Roman" w:hAnsi="Times New Roman"/>
          <w:szCs w:val="22"/>
          <w:lang w:eastAsia="en-AU"/>
        </w:rPr>
        <w:t>1)(f) of the Act provides that the APS is a ca</w:t>
      </w:r>
      <w:r w:rsidR="00022F00">
        <w:rPr>
          <w:rFonts w:ascii="Times New Roman" w:hAnsi="Times New Roman"/>
          <w:szCs w:val="22"/>
          <w:lang w:eastAsia="en-AU"/>
        </w:rPr>
        <w:t>reer based public service that “</w:t>
      </w:r>
      <w:r w:rsidRPr="003E7C56">
        <w:rPr>
          <w:rFonts w:ascii="Times New Roman" w:hAnsi="Times New Roman"/>
          <w:szCs w:val="22"/>
          <w:lang w:eastAsia="en-AU"/>
        </w:rPr>
        <w:t>provides workplaces that are free from discrimination, patronage, and favouri</w:t>
      </w:r>
      <w:r w:rsidR="00022F00">
        <w:rPr>
          <w:rFonts w:ascii="Times New Roman" w:hAnsi="Times New Roman"/>
          <w:szCs w:val="22"/>
          <w:lang w:eastAsia="en-AU"/>
        </w:rPr>
        <w:t>tism”</w:t>
      </w:r>
      <w:r w:rsidR="00D05439">
        <w:rPr>
          <w:rFonts w:ascii="Times New Roman" w:hAnsi="Times New Roman"/>
          <w:szCs w:val="22"/>
          <w:lang w:eastAsia="en-AU"/>
        </w:rPr>
        <w:t>.</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The performance management</w:t>
      </w:r>
      <w:r w:rsidR="008623C5">
        <w:rPr>
          <w:rFonts w:ascii="Times New Roman" w:hAnsi="Times New Roman"/>
          <w:szCs w:val="22"/>
          <w:lang w:eastAsia="en-AU"/>
        </w:rPr>
        <w:t xml:space="preserve"> policies,</w:t>
      </w:r>
      <w:r w:rsidRPr="003E7C56">
        <w:rPr>
          <w:rFonts w:ascii="Times New Roman" w:hAnsi="Times New Roman"/>
          <w:szCs w:val="22"/>
          <w:lang w:eastAsia="en-AU"/>
        </w:rPr>
        <w:t xml:space="preserve"> process</w:t>
      </w:r>
      <w:r>
        <w:rPr>
          <w:rFonts w:ascii="Times New Roman" w:hAnsi="Times New Roman"/>
          <w:szCs w:val="22"/>
          <w:lang w:eastAsia="en-AU"/>
        </w:rPr>
        <w:t>es and practices referred to</w:t>
      </w:r>
      <w:r w:rsidR="00D05439">
        <w:rPr>
          <w:rFonts w:ascii="Times New Roman" w:hAnsi="Times New Roman"/>
          <w:szCs w:val="22"/>
          <w:lang w:eastAsia="en-AU"/>
        </w:rPr>
        <w:t xml:space="preserve"> </w:t>
      </w:r>
      <w:r>
        <w:rPr>
          <w:rFonts w:ascii="Times New Roman" w:hAnsi="Times New Roman"/>
          <w:szCs w:val="22"/>
          <w:lang w:eastAsia="en-AU"/>
        </w:rPr>
        <w:t>in</w:t>
      </w:r>
      <w:r w:rsidRPr="003E7C56">
        <w:rPr>
          <w:rFonts w:ascii="Times New Roman" w:hAnsi="Times New Roman"/>
          <w:szCs w:val="22"/>
          <w:lang w:eastAsia="en-AU"/>
        </w:rPr>
        <w:t xml:space="preserve"> the Amendment Direction </w:t>
      </w:r>
      <w:r>
        <w:rPr>
          <w:rFonts w:ascii="Times New Roman" w:hAnsi="Times New Roman"/>
          <w:szCs w:val="22"/>
          <w:lang w:eastAsia="en-AU"/>
        </w:rPr>
        <w:t>must be applied in agencies</w:t>
      </w:r>
      <w:r w:rsidR="00D05439">
        <w:rPr>
          <w:rFonts w:ascii="Times New Roman" w:hAnsi="Times New Roman"/>
          <w:szCs w:val="22"/>
          <w:lang w:eastAsia="en-AU"/>
        </w:rPr>
        <w:t>,</w:t>
      </w:r>
      <w:r>
        <w:rPr>
          <w:rFonts w:ascii="Times New Roman" w:hAnsi="Times New Roman"/>
          <w:szCs w:val="22"/>
          <w:lang w:eastAsia="en-AU"/>
        </w:rPr>
        <w:t xml:space="preserve"> consistent with the APS Values and Employment Principles. These are</w:t>
      </w:r>
      <w:r w:rsidR="00F15BE9">
        <w:rPr>
          <w:rFonts w:ascii="Times New Roman" w:hAnsi="Times New Roman"/>
          <w:szCs w:val="22"/>
          <w:lang w:eastAsia="en-AU"/>
        </w:rPr>
        <w:t xml:space="preserve"> </w:t>
      </w:r>
      <w:r w:rsidRPr="003E7C56">
        <w:rPr>
          <w:rFonts w:ascii="Times New Roman" w:hAnsi="Times New Roman"/>
          <w:szCs w:val="22"/>
          <w:lang w:eastAsia="en-AU"/>
        </w:rPr>
        <w:t>consistent with the rights of equality and non-discrimination set out in Article 26 of the International Covenant on Civil and Political Rights (</w:t>
      </w:r>
      <w:proofErr w:type="spellStart"/>
      <w:r w:rsidRPr="003E7C56">
        <w:rPr>
          <w:rFonts w:ascii="Times New Roman" w:hAnsi="Times New Roman"/>
          <w:szCs w:val="22"/>
          <w:lang w:eastAsia="en-AU"/>
        </w:rPr>
        <w:t>ICCPR</w:t>
      </w:r>
      <w:proofErr w:type="spellEnd"/>
      <w:r w:rsidRPr="003E7C56">
        <w:rPr>
          <w:rFonts w:ascii="Times New Roman" w:hAnsi="Times New Roman"/>
          <w:szCs w:val="22"/>
          <w:lang w:eastAsia="en-AU"/>
        </w:rPr>
        <w:t xml:space="preserve">) and Article 2(2) of the </w:t>
      </w:r>
      <w:proofErr w:type="spellStart"/>
      <w:r w:rsidRPr="003E7C56">
        <w:rPr>
          <w:rFonts w:ascii="Times New Roman" w:hAnsi="Times New Roman"/>
          <w:szCs w:val="22"/>
          <w:lang w:eastAsia="en-AU"/>
        </w:rPr>
        <w:t>ICESCR</w:t>
      </w:r>
      <w:proofErr w:type="spellEnd"/>
      <w:proofErr w:type="gramStart"/>
      <w:r w:rsidRPr="003E7C56">
        <w:rPr>
          <w:rFonts w:ascii="Times New Roman" w:hAnsi="Times New Roman"/>
          <w:szCs w:val="22"/>
          <w:lang w:eastAsia="en-AU"/>
        </w:rPr>
        <w:t>,.</w:t>
      </w:r>
      <w:proofErr w:type="gramEnd"/>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szCs w:val="22"/>
          <w:lang w:eastAsia="en-AU"/>
        </w:rPr>
        <w:t xml:space="preserve">Employees who are not satisfied with the management of their performance under the </w:t>
      </w:r>
      <w:r>
        <w:rPr>
          <w:rFonts w:ascii="Times New Roman" w:hAnsi="Times New Roman"/>
          <w:szCs w:val="22"/>
          <w:lang w:eastAsia="en-AU"/>
        </w:rPr>
        <w:t>agency processes and practices</w:t>
      </w:r>
      <w:r w:rsidR="00D05439">
        <w:rPr>
          <w:rFonts w:ascii="Times New Roman" w:hAnsi="Times New Roman"/>
          <w:szCs w:val="22"/>
          <w:lang w:eastAsia="en-AU"/>
        </w:rPr>
        <w:t>,</w:t>
      </w:r>
      <w:r>
        <w:rPr>
          <w:rFonts w:ascii="Times New Roman" w:hAnsi="Times New Roman"/>
          <w:szCs w:val="22"/>
          <w:lang w:eastAsia="en-AU"/>
        </w:rPr>
        <w:t xml:space="preserve"> referred to in the </w:t>
      </w:r>
      <w:r w:rsidR="0041029B">
        <w:rPr>
          <w:rFonts w:ascii="Times New Roman" w:hAnsi="Times New Roman"/>
          <w:szCs w:val="22"/>
          <w:lang w:eastAsia="en-AU"/>
        </w:rPr>
        <w:t>Amendment Direction</w:t>
      </w:r>
      <w:r w:rsidR="00D05439">
        <w:rPr>
          <w:rFonts w:ascii="Times New Roman" w:hAnsi="Times New Roman"/>
          <w:szCs w:val="22"/>
          <w:lang w:eastAsia="en-AU"/>
        </w:rPr>
        <w:t>,</w:t>
      </w:r>
      <w:r w:rsidRPr="003E7C56">
        <w:rPr>
          <w:rFonts w:ascii="Times New Roman" w:hAnsi="Times New Roman"/>
          <w:szCs w:val="22"/>
          <w:lang w:eastAsia="en-AU"/>
        </w:rPr>
        <w:t xml:space="preserve"> may seek review within their agency or by the Merit Protection Commissioner in accordance with section 33 of the Act, which provides </w:t>
      </w:r>
      <w:r>
        <w:rPr>
          <w:rFonts w:ascii="Times New Roman" w:hAnsi="Times New Roman"/>
          <w:szCs w:val="22"/>
          <w:lang w:eastAsia="en-AU"/>
        </w:rPr>
        <w:t xml:space="preserve">APS </w:t>
      </w:r>
      <w:r w:rsidRPr="003E7C56">
        <w:rPr>
          <w:rFonts w:ascii="Times New Roman" w:hAnsi="Times New Roman"/>
          <w:szCs w:val="22"/>
          <w:lang w:eastAsia="en-AU"/>
        </w:rPr>
        <w:t xml:space="preserve">employees with </w:t>
      </w:r>
      <w:r>
        <w:rPr>
          <w:rFonts w:ascii="Times New Roman" w:hAnsi="Times New Roman"/>
          <w:szCs w:val="22"/>
          <w:lang w:eastAsia="en-AU"/>
        </w:rPr>
        <w:t>a</w:t>
      </w:r>
      <w:r w:rsidR="001319DF">
        <w:rPr>
          <w:rFonts w:ascii="Times New Roman" w:hAnsi="Times New Roman"/>
          <w:szCs w:val="22"/>
          <w:lang w:eastAsia="en-AU"/>
        </w:rPr>
        <w:t xml:space="preserve"> right of review of “</w:t>
      </w:r>
      <w:r w:rsidRPr="003E7C56">
        <w:rPr>
          <w:rFonts w:ascii="Times New Roman" w:hAnsi="Times New Roman"/>
          <w:szCs w:val="22"/>
          <w:lang w:eastAsia="en-AU"/>
        </w:rPr>
        <w:t>any APS action that relat</w:t>
      </w:r>
      <w:r w:rsidR="001319DF">
        <w:rPr>
          <w:rFonts w:ascii="Times New Roman" w:hAnsi="Times New Roman"/>
          <w:szCs w:val="22"/>
          <w:lang w:eastAsia="en-AU"/>
        </w:rPr>
        <w:t>es to his or her APS employment”</w:t>
      </w:r>
      <w:r w:rsidR="00EA6998">
        <w:rPr>
          <w:rFonts w:ascii="Times New Roman" w:hAnsi="Times New Roman"/>
          <w:szCs w:val="22"/>
          <w:lang w:eastAsia="en-AU"/>
        </w:rPr>
        <w:t>.</w:t>
      </w:r>
      <w:r w:rsidRPr="003E7C56">
        <w:rPr>
          <w:rFonts w:ascii="Times New Roman" w:hAnsi="Times New Roman"/>
          <w:szCs w:val="22"/>
          <w:lang w:eastAsia="en-AU"/>
        </w:rPr>
        <w:t xml:space="preserve"> This provision supports the right to an effective remedy contained in article 2(3) of the </w:t>
      </w:r>
      <w:proofErr w:type="spellStart"/>
      <w:r w:rsidRPr="003E7C56">
        <w:rPr>
          <w:rFonts w:ascii="Times New Roman" w:hAnsi="Times New Roman"/>
          <w:szCs w:val="22"/>
          <w:lang w:eastAsia="en-AU"/>
        </w:rPr>
        <w:t>ICCPR</w:t>
      </w:r>
      <w:proofErr w:type="spellEnd"/>
      <w:r w:rsidRPr="003E7C56">
        <w:rPr>
          <w:rFonts w:ascii="Times New Roman" w:hAnsi="Times New Roman"/>
          <w:szCs w:val="22"/>
          <w:lang w:eastAsia="en-AU"/>
        </w:rPr>
        <w:t xml:space="preserve">. </w:t>
      </w:r>
    </w:p>
    <w:p w:rsidR="002E77BB" w:rsidRPr="003E7C56" w:rsidRDefault="002E77BB" w:rsidP="002E77BB">
      <w:pPr>
        <w:spacing w:before="120" w:after="120"/>
        <w:rPr>
          <w:rFonts w:ascii="Times New Roman" w:hAnsi="Times New Roman"/>
          <w:szCs w:val="22"/>
          <w:lang w:eastAsia="en-AU"/>
        </w:rPr>
      </w:pPr>
      <w:r w:rsidRPr="003E7C56">
        <w:rPr>
          <w:rFonts w:ascii="Times New Roman" w:hAnsi="Times New Roman"/>
          <w:b/>
          <w:bCs/>
          <w:i/>
          <w:iCs/>
          <w:szCs w:val="22"/>
          <w:lang w:eastAsia="en-AU"/>
        </w:rPr>
        <w:t>Conclusion</w:t>
      </w:r>
    </w:p>
    <w:p w:rsidR="00364DFC" w:rsidRPr="003E7C56" w:rsidRDefault="002E77BB" w:rsidP="002E77BB">
      <w:pPr>
        <w:spacing w:after="120"/>
        <w:rPr>
          <w:rFonts w:ascii="Times New Roman" w:hAnsi="Times New Roman"/>
          <w:szCs w:val="22"/>
        </w:rPr>
      </w:pPr>
      <w:r w:rsidRPr="003E7C56">
        <w:rPr>
          <w:rFonts w:ascii="Times New Roman" w:hAnsi="Times New Roman"/>
          <w:szCs w:val="22"/>
          <w:lang w:eastAsia="en-AU"/>
        </w:rPr>
        <w:t>The Amendment Direction is compatible with human rights and freedoms because it advances the protection of human rights.</w:t>
      </w:r>
    </w:p>
    <w:p w:rsidR="00FF3D04" w:rsidRPr="003E7C56" w:rsidRDefault="00FF3D04">
      <w:pPr>
        <w:spacing w:after="120"/>
        <w:rPr>
          <w:rFonts w:ascii="Times New Roman" w:hAnsi="Times New Roman"/>
          <w:szCs w:val="22"/>
        </w:rPr>
      </w:pPr>
    </w:p>
    <w:sectPr w:rsidR="00FF3D04" w:rsidRPr="003E7C56" w:rsidSect="005A00EB">
      <w:headerReference w:type="first" r:id="rId10"/>
      <w:pgSz w:w="11906" w:h="16838" w:code="9"/>
      <w:pgMar w:top="1418" w:right="1134" w:bottom="1418"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EB" w:rsidRDefault="005A00EB" w:rsidP="005A00EB">
      <w:r>
        <w:separator/>
      </w:r>
    </w:p>
  </w:endnote>
  <w:endnote w:type="continuationSeparator" w:id="0">
    <w:p w:rsidR="005A00EB" w:rsidRDefault="005A00EB" w:rsidP="005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EB" w:rsidRDefault="005A00EB" w:rsidP="005A00EB">
      <w:r>
        <w:separator/>
      </w:r>
    </w:p>
  </w:footnote>
  <w:footnote w:type="continuationSeparator" w:id="0">
    <w:p w:rsidR="005A00EB" w:rsidRDefault="005A00EB" w:rsidP="005A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B" w:rsidRDefault="005A00EB" w:rsidP="005A00EB">
    <w:pPr>
      <w:pStyle w:val="Header"/>
      <w:jc w:val="right"/>
    </w:pPr>
    <w:r>
      <w:rPr>
        <w:rFonts w:ascii="Times New Roman" w:hAnsi="Times New Roman"/>
        <w:b/>
        <w:bCs/>
        <w:szCs w:val="22"/>
        <w:lang w:eastAsia="en-AU"/>
      </w:rPr>
      <w:t xml:space="preserve">ATTACHMENT </w:t>
    </w:r>
    <w:r>
      <w:rPr>
        <w:rFonts w:ascii="Times New Roman" w:hAnsi="Times New Roman"/>
        <w:b/>
        <w:bCs/>
        <w:szCs w:val="22"/>
        <w:lang w:eastAsia="en-AU"/>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B" w:rsidRDefault="005A00EB" w:rsidP="005A00EB">
    <w:pPr>
      <w:pStyle w:val="Header"/>
      <w:jc w:val="right"/>
    </w:pPr>
    <w:r>
      <w:rPr>
        <w:rFonts w:ascii="Times New Roman" w:hAnsi="Times New Roman"/>
        <w:b/>
        <w:bCs/>
        <w:szCs w:val="22"/>
        <w:lang w:eastAsia="en-AU"/>
      </w:rPr>
      <w:t xml:space="preserve">ATTACHMENT </w:t>
    </w:r>
    <w:r>
      <w:rPr>
        <w:rFonts w:ascii="Times New Roman" w:hAnsi="Times New Roman"/>
        <w:b/>
        <w:bCs/>
        <w:szCs w:val="22"/>
        <w:lang w:eastAsia="en-AU"/>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C18"/>
    <w:multiLevelType w:val="hybridMultilevel"/>
    <w:tmpl w:val="511896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BB76DE"/>
    <w:multiLevelType w:val="hybridMultilevel"/>
    <w:tmpl w:val="C5222F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89089E"/>
    <w:multiLevelType w:val="hybridMultilevel"/>
    <w:tmpl w:val="94EA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B76080"/>
    <w:multiLevelType w:val="hybridMultilevel"/>
    <w:tmpl w:val="CD9C5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C4742B"/>
    <w:multiLevelType w:val="hybridMultilevel"/>
    <w:tmpl w:val="CCD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FF01C2"/>
    <w:multiLevelType w:val="hybridMultilevel"/>
    <w:tmpl w:val="19D21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405A9F"/>
    <w:multiLevelType w:val="hybridMultilevel"/>
    <w:tmpl w:val="7EAC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6564CE"/>
    <w:multiLevelType w:val="hybridMultilevel"/>
    <w:tmpl w:val="F99A2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512D98"/>
    <w:multiLevelType w:val="hybridMultilevel"/>
    <w:tmpl w:val="C5222F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5AB7A21"/>
    <w:multiLevelType w:val="hybridMultilevel"/>
    <w:tmpl w:val="4DDA3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F878CF"/>
    <w:multiLevelType w:val="hybridMultilevel"/>
    <w:tmpl w:val="CDD2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9F5CFA"/>
    <w:multiLevelType w:val="hybridMultilevel"/>
    <w:tmpl w:val="3FC2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606D1C"/>
    <w:multiLevelType w:val="multilevel"/>
    <w:tmpl w:val="454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304E52"/>
    <w:multiLevelType w:val="hybridMultilevel"/>
    <w:tmpl w:val="DAB25F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2ED2F0E"/>
    <w:multiLevelType w:val="hybridMultilevel"/>
    <w:tmpl w:val="C5222F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44840C3"/>
    <w:multiLevelType w:val="hybridMultilevel"/>
    <w:tmpl w:val="77A46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A34018D"/>
    <w:multiLevelType w:val="multilevel"/>
    <w:tmpl w:val="5AC2557E"/>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8"/>
  </w:num>
  <w:num w:numId="5">
    <w:abstractNumId w:val="16"/>
  </w:num>
  <w:num w:numId="6">
    <w:abstractNumId w:val="6"/>
  </w:num>
  <w:num w:numId="7">
    <w:abstractNumId w:val="12"/>
  </w:num>
  <w:num w:numId="8">
    <w:abstractNumId w:val="15"/>
  </w:num>
  <w:num w:numId="9">
    <w:abstractNumId w:val="5"/>
  </w:num>
  <w:num w:numId="10">
    <w:abstractNumId w:val="9"/>
  </w:num>
  <w:num w:numId="11">
    <w:abstractNumId w:val="2"/>
  </w:num>
  <w:num w:numId="12">
    <w:abstractNumId w:val="10"/>
  </w:num>
  <w:num w:numId="13">
    <w:abstractNumId w:val="7"/>
  </w:num>
  <w:num w:numId="14">
    <w:abstractNumId w:val="4"/>
  </w:num>
  <w:num w:numId="15">
    <w:abstractNumId w:val="14"/>
  </w:num>
  <w:num w:numId="16">
    <w:abstractNumId w:val="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4E"/>
    <w:rsid w:val="00007402"/>
    <w:rsid w:val="00010E67"/>
    <w:rsid w:val="00011A00"/>
    <w:rsid w:val="00022F00"/>
    <w:rsid w:val="00025AC0"/>
    <w:rsid w:val="00045E5D"/>
    <w:rsid w:val="00084D16"/>
    <w:rsid w:val="00094031"/>
    <w:rsid w:val="00095E49"/>
    <w:rsid w:val="000A0C06"/>
    <w:rsid w:val="000A3790"/>
    <w:rsid w:val="000A664F"/>
    <w:rsid w:val="000E0B71"/>
    <w:rsid w:val="000F03F0"/>
    <w:rsid w:val="000F144E"/>
    <w:rsid w:val="000F1C24"/>
    <w:rsid w:val="001049CE"/>
    <w:rsid w:val="00107E44"/>
    <w:rsid w:val="00113472"/>
    <w:rsid w:val="00117436"/>
    <w:rsid w:val="001319DF"/>
    <w:rsid w:val="00144D24"/>
    <w:rsid w:val="0015609B"/>
    <w:rsid w:val="001560D8"/>
    <w:rsid w:val="00160A21"/>
    <w:rsid w:val="001632E9"/>
    <w:rsid w:val="001720D0"/>
    <w:rsid w:val="00173D44"/>
    <w:rsid w:val="001846D4"/>
    <w:rsid w:val="00186715"/>
    <w:rsid w:val="00195C28"/>
    <w:rsid w:val="001A6C1E"/>
    <w:rsid w:val="001B402D"/>
    <w:rsid w:val="001C186A"/>
    <w:rsid w:val="001C773D"/>
    <w:rsid w:val="001D0FE5"/>
    <w:rsid w:val="001D31A0"/>
    <w:rsid w:val="001E5F8F"/>
    <w:rsid w:val="001E6478"/>
    <w:rsid w:val="001F6B85"/>
    <w:rsid w:val="002068AF"/>
    <w:rsid w:val="00214F43"/>
    <w:rsid w:val="00225826"/>
    <w:rsid w:val="002358B1"/>
    <w:rsid w:val="00251852"/>
    <w:rsid w:val="00251A3E"/>
    <w:rsid w:val="00255588"/>
    <w:rsid w:val="002556C9"/>
    <w:rsid w:val="00263AF1"/>
    <w:rsid w:val="002728CE"/>
    <w:rsid w:val="00274C58"/>
    <w:rsid w:val="0028032F"/>
    <w:rsid w:val="00282C1A"/>
    <w:rsid w:val="00290B1F"/>
    <w:rsid w:val="002B7407"/>
    <w:rsid w:val="002C3309"/>
    <w:rsid w:val="002C36CE"/>
    <w:rsid w:val="002C4A38"/>
    <w:rsid w:val="002C4AC4"/>
    <w:rsid w:val="002E0188"/>
    <w:rsid w:val="002E15C4"/>
    <w:rsid w:val="002E726E"/>
    <w:rsid w:val="002E77BB"/>
    <w:rsid w:val="00301E9E"/>
    <w:rsid w:val="00323E60"/>
    <w:rsid w:val="00337901"/>
    <w:rsid w:val="003614A6"/>
    <w:rsid w:val="00364DFC"/>
    <w:rsid w:val="00377905"/>
    <w:rsid w:val="00377DD3"/>
    <w:rsid w:val="00377ECF"/>
    <w:rsid w:val="00383470"/>
    <w:rsid w:val="0038465D"/>
    <w:rsid w:val="00391470"/>
    <w:rsid w:val="003A762C"/>
    <w:rsid w:val="003B1403"/>
    <w:rsid w:val="003C4DB0"/>
    <w:rsid w:val="003C6DD2"/>
    <w:rsid w:val="003E0D4B"/>
    <w:rsid w:val="003E7C56"/>
    <w:rsid w:val="003F0B16"/>
    <w:rsid w:val="003F45C0"/>
    <w:rsid w:val="00404031"/>
    <w:rsid w:val="0040489F"/>
    <w:rsid w:val="0041029B"/>
    <w:rsid w:val="004162DC"/>
    <w:rsid w:val="00430008"/>
    <w:rsid w:val="00431B4D"/>
    <w:rsid w:val="00433E1A"/>
    <w:rsid w:val="00437868"/>
    <w:rsid w:val="00437B1C"/>
    <w:rsid w:val="00453282"/>
    <w:rsid w:val="00463008"/>
    <w:rsid w:val="004652EC"/>
    <w:rsid w:val="00470E0A"/>
    <w:rsid w:val="00475A37"/>
    <w:rsid w:val="0049018E"/>
    <w:rsid w:val="004A02C4"/>
    <w:rsid w:val="004A0D38"/>
    <w:rsid w:val="004B1910"/>
    <w:rsid w:val="004B1F78"/>
    <w:rsid w:val="004B39C5"/>
    <w:rsid w:val="004B4CD1"/>
    <w:rsid w:val="004B7468"/>
    <w:rsid w:val="004B7B43"/>
    <w:rsid w:val="004C3A9F"/>
    <w:rsid w:val="004D77C7"/>
    <w:rsid w:val="004E04F6"/>
    <w:rsid w:val="004E2570"/>
    <w:rsid w:val="004E7564"/>
    <w:rsid w:val="004F4E6B"/>
    <w:rsid w:val="005100DC"/>
    <w:rsid w:val="005118C6"/>
    <w:rsid w:val="00521D4C"/>
    <w:rsid w:val="00540891"/>
    <w:rsid w:val="005424FA"/>
    <w:rsid w:val="0054539C"/>
    <w:rsid w:val="0055158D"/>
    <w:rsid w:val="00563DF9"/>
    <w:rsid w:val="00570820"/>
    <w:rsid w:val="00570B7B"/>
    <w:rsid w:val="005803F7"/>
    <w:rsid w:val="00585BA3"/>
    <w:rsid w:val="005A00EB"/>
    <w:rsid w:val="005A6957"/>
    <w:rsid w:val="005B3E89"/>
    <w:rsid w:val="005C3580"/>
    <w:rsid w:val="005D236C"/>
    <w:rsid w:val="005E0536"/>
    <w:rsid w:val="005E668D"/>
    <w:rsid w:val="006216C1"/>
    <w:rsid w:val="006227F8"/>
    <w:rsid w:val="00624C31"/>
    <w:rsid w:val="00635D83"/>
    <w:rsid w:val="006375A7"/>
    <w:rsid w:val="00645322"/>
    <w:rsid w:val="0067649D"/>
    <w:rsid w:val="00681099"/>
    <w:rsid w:val="006825EC"/>
    <w:rsid w:val="006844EA"/>
    <w:rsid w:val="006904F9"/>
    <w:rsid w:val="00695C39"/>
    <w:rsid w:val="006A499B"/>
    <w:rsid w:val="006D2765"/>
    <w:rsid w:val="006E04F3"/>
    <w:rsid w:val="006F12FE"/>
    <w:rsid w:val="00714D7E"/>
    <w:rsid w:val="007163BE"/>
    <w:rsid w:val="0071798E"/>
    <w:rsid w:val="00732C19"/>
    <w:rsid w:val="00734212"/>
    <w:rsid w:val="00736792"/>
    <w:rsid w:val="00737AB0"/>
    <w:rsid w:val="00745D50"/>
    <w:rsid w:val="00746F62"/>
    <w:rsid w:val="00752BF9"/>
    <w:rsid w:val="0075350E"/>
    <w:rsid w:val="007539F0"/>
    <w:rsid w:val="00763E33"/>
    <w:rsid w:val="007719B9"/>
    <w:rsid w:val="007879DE"/>
    <w:rsid w:val="007A5F35"/>
    <w:rsid w:val="007A70A6"/>
    <w:rsid w:val="007B07D8"/>
    <w:rsid w:val="007D617A"/>
    <w:rsid w:val="007E32C6"/>
    <w:rsid w:val="007E7FED"/>
    <w:rsid w:val="007F5BDC"/>
    <w:rsid w:val="00802F6F"/>
    <w:rsid w:val="00807B25"/>
    <w:rsid w:val="00811363"/>
    <w:rsid w:val="00814FE7"/>
    <w:rsid w:val="008157D9"/>
    <w:rsid w:val="00817322"/>
    <w:rsid w:val="00823A00"/>
    <w:rsid w:val="00835AA9"/>
    <w:rsid w:val="00847CAC"/>
    <w:rsid w:val="0085016A"/>
    <w:rsid w:val="00854504"/>
    <w:rsid w:val="00857EA4"/>
    <w:rsid w:val="008623C5"/>
    <w:rsid w:val="00871C49"/>
    <w:rsid w:val="0087388D"/>
    <w:rsid w:val="0087471B"/>
    <w:rsid w:val="008933E4"/>
    <w:rsid w:val="008A3799"/>
    <w:rsid w:val="008A6D36"/>
    <w:rsid w:val="008B2600"/>
    <w:rsid w:val="008B3D33"/>
    <w:rsid w:val="008D0530"/>
    <w:rsid w:val="008D2D6E"/>
    <w:rsid w:val="008E1B04"/>
    <w:rsid w:val="008E281E"/>
    <w:rsid w:val="008F1B60"/>
    <w:rsid w:val="008F2D8D"/>
    <w:rsid w:val="008F7399"/>
    <w:rsid w:val="008F74AC"/>
    <w:rsid w:val="008F77DB"/>
    <w:rsid w:val="00910D53"/>
    <w:rsid w:val="0091710E"/>
    <w:rsid w:val="009173C6"/>
    <w:rsid w:val="00920457"/>
    <w:rsid w:val="00934C15"/>
    <w:rsid w:val="00934D12"/>
    <w:rsid w:val="009536E2"/>
    <w:rsid w:val="009647DD"/>
    <w:rsid w:val="009745C9"/>
    <w:rsid w:val="00983D87"/>
    <w:rsid w:val="009849D7"/>
    <w:rsid w:val="0098797F"/>
    <w:rsid w:val="009947A2"/>
    <w:rsid w:val="009960E5"/>
    <w:rsid w:val="009A0D51"/>
    <w:rsid w:val="009B194B"/>
    <w:rsid w:val="009C1731"/>
    <w:rsid w:val="009C71B4"/>
    <w:rsid w:val="009D02DC"/>
    <w:rsid w:val="009D0A1D"/>
    <w:rsid w:val="009E0665"/>
    <w:rsid w:val="009E376F"/>
    <w:rsid w:val="009F619D"/>
    <w:rsid w:val="009F6E88"/>
    <w:rsid w:val="009F718E"/>
    <w:rsid w:val="00A079CA"/>
    <w:rsid w:val="00A1381D"/>
    <w:rsid w:val="00A14894"/>
    <w:rsid w:val="00A35BAC"/>
    <w:rsid w:val="00A4209D"/>
    <w:rsid w:val="00A427C2"/>
    <w:rsid w:val="00A462FB"/>
    <w:rsid w:val="00A51276"/>
    <w:rsid w:val="00A53BFD"/>
    <w:rsid w:val="00A563B9"/>
    <w:rsid w:val="00A80C04"/>
    <w:rsid w:val="00A91CB1"/>
    <w:rsid w:val="00A92AB8"/>
    <w:rsid w:val="00A97726"/>
    <w:rsid w:val="00AA1F69"/>
    <w:rsid w:val="00AA7B04"/>
    <w:rsid w:val="00AB0A9B"/>
    <w:rsid w:val="00AB2998"/>
    <w:rsid w:val="00AB3552"/>
    <w:rsid w:val="00AB6063"/>
    <w:rsid w:val="00AC3D87"/>
    <w:rsid w:val="00AC77A3"/>
    <w:rsid w:val="00AC797F"/>
    <w:rsid w:val="00AF1A11"/>
    <w:rsid w:val="00AF69E3"/>
    <w:rsid w:val="00B0628F"/>
    <w:rsid w:val="00B12E0C"/>
    <w:rsid w:val="00B138CC"/>
    <w:rsid w:val="00B13F41"/>
    <w:rsid w:val="00B16626"/>
    <w:rsid w:val="00B27637"/>
    <w:rsid w:val="00B42D12"/>
    <w:rsid w:val="00B4410E"/>
    <w:rsid w:val="00B57C59"/>
    <w:rsid w:val="00B6377B"/>
    <w:rsid w:val="00B74FE2"/>
    <w:rsid w:val="00B81E0B"/>
    <w:rsid w:val="00B862E5"/>
    <w:rsid w:val="00B97534"/>
    <w:rsid w:val="00BA11CB"/>
    <w:rsid w:val="00BB2793"/>
    <w:rsid w:val="00BB409E"/>
    <w:rsid w:val="00BC6F9C"/>
    <w:rsid w:val="00BD35F2"/>
    <w:rsid w:val="00BF62FD"/>
    <w:rsid w:val="00C01E7A"/>
    <w:rsid w:val="00C14563"/>
    <w:rsid w:val="00C159D9"/>
    <w:rsid w:val="00C2561E"/>
    <w:rsid w:val="00C25921"/>
    <w:rsid w:val="00C34EEF"/>
    <w:rsid w:val="00C426AF"/>
    <w:rsid w:val="00C44834"/>
    <w:rsid w:val="00C53CAE"/>
    <w:rsid w:val="00C54715"/>
    <w:rsid w:val="00C5781D"/>
    <w:rsid w:val="00C61DE6"/>
    <w:rsid w:val="00C62B6D"/>
    <w:rsid w:val="00C70C21"/>
    <w:rsid w:val="00C768CC"/>
    <w:rsid w:val="00C816A3"/>
    <w:rsid w:val="00C94DBE"/>
    <w:rsid w:val="00CA0141"/>
    <w:rsid w:val="00CB5721"/>
    <w:rsid w:val="00CC1565"/>
    <w:rsid w:val="00CC1EEE"/>
    <w:rsid w:val="00CC42E9"/>
    <w:rsid w:val="00CC5168"/>
    <w:rsid w:val="00CD476A"/>
    <w:rsid w:val="00D00035"/>
    <w:rsid w:val="00D03AF3"/>
    <w:rsid w:val="00D05439"/>
    <w:rsid w:val="00D231DF"/>
    <w:rsid w:val="00D27686"/>
    <w:rsid w:val="00D33D99"/>
    <w:rsid w:val="00D346AB"/>
    <w:rsid w:val="00D61EDC"/>
    <w:rsid w:val="00D657EE"/>
    <w:rsid w:val="00D76011"/>
    <w:rsid w:val="00D923F6"/>
    <w:rsid w:val="00D951C7"/>
    <w:rsid w:val="00DA395D"/>
    <w:rsid w:val="00DA70F4"/>
    <w:rsid w:val="00DB5CA0"/>
    <w:rsid w:val="00DC54B1"/>
    <w:rsid w:val="00DD1DDC"/>
    <w:rsid w:val="00DF1282"/>
    <w:rsid w:val="00E10C9F"/>
    <w:rsid w:val="00E14327"/>
    <w:rsid w:val="00E15DBD"/>
    <w:rsid w:val="00E15F39"/>
    <w:rsid w:val="00E21F86"/>
    <w:rsid w:val="00E30C44"/>
    <w:rsid w:val="00E361BF"/>
    <w:rsid w:val="00E37574"/>
    <w:rsid w:val="00E43A09"/>
    <w:rsid w:val="00E44299"/>
    <w:rsid w:val="00E461E4"/>
    <w:rsid w:val="00E54DB7"/>
    <w:rsid w:val="00E62902"/>
    <w:rsid w:val="00E65DE5"/>
    <w:rsid w:val="00E748C1"/>
    <w:rsid w:val="00E83FCD"/>
    <w:rsid w:val="00E97248"/>
    <w:rsid w:val="00EA6998"/>
    <w:rsid w:val="00EB1FE0"/>
    <w:rsid w:val="00EC636D"/>
    <w:rsid w:val="00EC64F4"/>
    <w:rsid w:val="00ED7973"/>
    <w:rsid w:val="00EE7FCA"/>
    <w:rsid w:val="00EF51E8"/>
    <w:rsid w:val="00F00291"/>
    <w:rsid w:val="00F040A2"/>
    <w:rsid w:val="00F10259"/>
    <w:rsid w:val="00F15BE9"/>
    <w:rsid w:val="00F229E3"/>
    <w:rsid w:val="00F243DA"/>
    <w:rsid w:val="00F258FA"/>
    <w:rsid w:val="00F4019C"/>
    <w:rsid w:val="00F52FBA"/>
    <w:rsid w:val="00F739A9"/>
    <w:rsid w:val="00F9116E"/>
    <w:rsid w:val="00F97B80"/>
    <w:rsid w:val="00FA1D1B"/>
    <w:rsid w:val="00FA7310"/>
    <w:rsid w:val="00FC6C3E"/>
    <w:rsid w:val="00FD16BC"/>
    <w:rsid w:val="00FD3943"/>
    <w:rsid w:val="00FD785E"/>
    <w:rsid w:val="00FF0BAA"/>
    <w:rsid w:val="00FF1237"/>
    <w:rsid w:val="00FF383D"/>
    <w:rsid w:val="00FF3D04"/>
    <w:rsid w:val="00FF3F3A"/>
    <w:rsid w:val="00FF5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section">
    <w:name w:val="subsection"/>
    <w:aliases w:val="ss"/>
    <w:basedOn w:val="Normal"/>
    <w:rsid w:val="005118C6"/>
    <w:pPr>
      <w:spacing w:before="100" w:beforeAutospacing="1" w:after="100" w:afterAutospacing="1"/>
    </w:pPr>
    <w:rPr>
      <w:rFonts w:ascii="Times New Roman" w:hAnsi="Times New Roman"/>
      <w:sz w:val="24"/>
      <w:szCs w:val="24"/>
      <w:lang w:eastAsia="en-AU"/>
    </w:rPr>
  </w:style>
  <w:style w:type="paragraph" w:customStyle="1" w:styleId="paragraph">
    <w:name w:val="paragraph"/>
    <w:aliases w:val="a"/>
    <w:basedOn w:val="Normal"/>
    <w:rsid w:val="005118C6"/>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9A0D51"/>
    <w:pPr>
      <w:spacing w:line="240" w:lineRule="atLeast"/>
      <w:ind w:left="720"/>
    </w:pPr>
    <w:rPr>
      <w:rFonts w:ascii="Times New Roman" w:eastAsiaTheme="minorHAnsi" w:hAnsi="Times New Roman"/>
      <w:sz w:val="24"/>
      <w:szCs w:val="24"/>
      <w:lang w:eastAsia="en-AU"/>
    </w:rPr>
  </w:style>
  <w:style w:type="character" w:customStyle="1" w:styleId="charsectno">
    <w:name w:val="charsectno"/>
    <w:basedOn w:val="DefaultParagraphFont"/>
    <w:rsid w:val="00CC5168"/>
  </w:style>
  <w:style w:type="paragraph" w:customStyle="1" w:styleId="paragraphsub">
    <w:name w:val="paragraph(sub)"/>
    <w:aliases w:val="aa"/>
    <w:basedOn w:val="Normal"/>
    <w:rsid w:val="006216C1"/>
    <w:pPr>
      <w:tabs>
        <w:tab w:val="right" w:pos="1985"/>
      </w:tabs>
      <w:spacing w:before="40"/>
      <w:ind w:left="2098" w:hanging="2098"/>
    </w:pPr>
    <w:rPr>
      <w:rFonts w:ascii="Times New Roman" w:hAnsi="Times New Roman"/>
      <w:lang w:eastAsia="en-AU"/>
    </w:rPr>
  </w:style>
  <w:style w:type="paragraph" w:customStyle="1" w:styleId="ActHead5">
    <w:name w:val="ActHead 5"/>
    <w:aliases w:val="s"/>
    <w:basedOn w:val="Normal"/>
    <w:next w:val="subsection"/>
    <w:qFormat/>
    <w:rsid w:val="00095E49"/>
    <w:pPr>
      <w:keepNext/>
      <w:keepLines/>
      <w:spacing w:before="280"/>
      <w:ind w:left="1134" w:hanging="1134"/>
      <w:outlineLvl w:val="4"/>
    </w:pPr>
    <w:rPr>
      <w:rFonts w:ascii="Times New Roman" w:hAnsi="Times New Roman"/>
      <w:b/>
      <w:kern w:val="28"/>
      <w:sz w:val="24"/>
      <w:lang w:eastAsia="en-AU"/>
    </w:rPr>
  </w:style>
  <w:style w:type="character" w:customStyle="1" w:styleId="CharSectno0">
    <w:name w:val="CharSectno"/>
    <w:basedOn w:val="DefaultParagraphFont"/>
    <w:qFormat/>
    <w:rsid w:val="00095E49"/>
  </w:style>
  <w:style w:type="paragraph" w:customStyle="1" w:styleId="SubsectionHead">
    <w:name w:val="SubsectionHead"/>
    <w:aliases w:val="ssh"/>
    <w:basedOn w:val="Normal"/>
    <w:next w:val="subsection"/>
    <w:rsid w:val="00095E49"/>
    <w:pPr>
      <w:keepNext/>
      <w:keepLines/>
      <w:spacing w:before="240"/>
      <w:ind w:left="1134"/>
    </w:pPr>
    <w:rPr>
      <w:rFonts w:ascii="Times New Roman" w:hAnsi="Times New Roman"/>
      <w:i/>
      <w:lang w:eastAsia="en-AU"/>
    </w:rPr>
  </w:style>
  <w:style w:type="paragraph" w:customStyle="1" w:styleId="Definition">
    <w:name w:val="Definition"/>
    <w:aliases w:val="dd"/>
    <w:basedOn w:val="Normal"/>
    <w:rsid w:val="003614A6"/>
    <w:pPr>
      <w:spacing w:before="180"/>
      <w:ind w:left="1134"/>
    </w:pPr>
    <w:rPr>
      <w:rFonts w:ascii="Times New Roman" w:hAnsi="Times New Roman"/>
      <w:lang w:eastAsia="en-AU"/>
    </w:rPr>
  </w:style>
  <w:style w:type="character" w:styleId="CommentReference">
    <w:name w:val="annotation reference"/>
    <w:basedOn w:val="DefaultParagraphFont"/>
    <w:uiPriority w:val="99"/>
    <w:semiHidden/>
    <w:unhideWhenUsed/>
    <w:rsid w:val="00752BF9"/>
    <w:rPr>
      <w:sz w:val="16"/>
      <w:szCs w:val="16"/>
    </w:rPr>
  </w:style>
  <w:style w:type="paragraph" w:styleId="CommentText">
    <w:name w:val="annotation text"/>
    <w:basedOn w:val="Normal"/>
    <w:link w:val="CommentTextChar"/>
    <w:uiPriority w:val="99"/>
    <w:semiHidden/>
    <w:unhideWhenUsed/>
    <w:rsid w:val="00752BF9"/>
    <w:rPr>
      <w:sz w:val="20"/>
    </w:rPr>
  </w:style>
  <w:style w:type="character" w:customStyle="1" w:styleId="CommentTextChar">
    <w:name w:val="Comment Text Char"/>
    <w:basedOn w:val="DefaultParagraphFont"/>
    <w:link w:val="CommentText"/>
    <w:uiPriority w:val="99"/>
    <w:semiHidden/>
    <w:rsid w:val="00752BF9"/>
    <w:rPr>
      <w:rFonts w:ascii="Arial" w:hAnsi="Arial"/>
      <w:lang w:eastAsia="en-US"/>
    </w:rPr>
  </w:style>
  <w:style w:type="paragraph" w:styleId="BalloonText">
    <w:name w:val="Balloon Text"/>
    <w:basedOn w:val="Normal"/>
    <w:link w:val="BalloonTextChar"/>
    <w:uiPriority w:val="99"/>
    <w:semiHidden/>
    <w:unhideWhenUsed/>
    <w:rsid w:val="00752BF9"/>
    <w:rPr>
      <w:rFonts w:ascii="Tahoma" w:hAnsi="Tahoma" w:cs="Tahoma"/>
      <w:sz w:val="16"/>
      <w:szCs w:val="16"/>
    </w:rPr>
  </w:style>
  <w:style w:type="character" w:customStyle="1" w:styleId="BalloonTextChar">
    <w:name w:val="Balloon Text Char"/>
    <w:basedOn w:val="DefaultParagraphFont"/>
    <w:link w:val="BalloonText"/>
    <w:uiPriority w:val="99"/>
    <w:semiHidden/>
    <w:rsid w:val="00752BF9"/>
    <w:rPr>
      <w:rFonts w:ascii="Tahoma" w:hAnsi="Tahoma" w:cs="Tahoma"/>
      <w:sz w:val="16"/>
      <w:szCs w:val="16"/>
      <w:lang w:eastAsia="en-US"/>
    </w:rPr>
  </w:style>
  <w:style w:type="paragraph" w:styleId="Header">
    <w:name w:val="header"/>
    <w:basedOn w:val="Normal"/>
    <w:link w:val="HeaderChar"/>
    <w:uiPriority w:val="99"/>
    <w:unhideWhenUsed/>
    <w:rsid w:val="005A00EB"/>
    <w:pPr>
      <w:tabs>
        <w:tab w:val="center" w:pos="4513"/>
        <w:tab w:val="right" w:pos="9026"/>
      </w:tabs>
    </w:pPr>
  </w:style>
  <w:style w:type="character" w:customStyle="1" w:styleId="HeaderChar">
    <w:name w:val="Header Char"/>
    <w:basedOn w:val="DefaultParagraphFont"/>
    <w:link w:val="Header"/>
    <w:uiPriority w:val="99"/>
    <w:rsid w:val="005A00EB"/>
    <w:rPr>
      <w:rFonts w:ascii="Arial" w:hAnsi="Arial"/>
      <w:sz w:val="22"/>
      <w:lang w:eastAsia="en-US"/>
    </w:rPr>
  </w:style>
  <w:style w:type="paragraph" w:styleId="Footer">
    <w:name w:val="footer"/>
    <w:basedOn w:val="Normal"/>
    <w:link w:val="FooterChar"/>
    <w:uiPriority w:val="99"/>
    <w:unhideWhenUsed/>
    <w:rsid w:val="005A00EB"/>
    <w:pPr>
      <w:tabs>
        <w:tab w:val="center" w:pos="4513"/>
        <w:tab w:val="right" w:pos="9026"/>
      </w:tabs>
    </w:pPr>
  </w:style>
  <w:style w:type="character" w:customStyle="1" w:styleId="FooterChar">
    <w:name w:val="Footer Char"/>
    <w:basedOn w:val="DefaultParagraphFont"/>
    <w:link w:val="Footer"/>
    <w:uiPriority w:val="99"/>
    <w:rsid w:val="005A00EB"/>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section">
    <w:name w:val="subsection"/>
    <w:aliases w:val="ss"/>
    <w:basedOn w:val="Normal"/>
    <w:rsid w:val="005118C6"/>
    <w:pPr>
      <w:spacing w:before="100" w:beforeAutospacing="1" w:after="100" w:afterAutospacing="1"/>
    </w:pPr>
    <w:rPr>
      <w:rFonts w:ascii="Times New Roman" w:hAnsi="Times New Roman"/>
      <w:sz w:val="24"/>
      <w:szCs w:val="24"/>
      <w:lang w:eastAsia="en-AU"/>
    </w:rPr>
  </w:style>
  <w:style w:type="paragraph" w:customStyle="1" w:styleId="paragraph">
    <w:name w:val="paragraph"/>
    <w:aliases w:val="a"/>
    <w:basedOn w:val="Normal"/>
    <w:rsid w:val="005118C6"/>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9A0D51"/>
    <w:pPr>
      <w:spacing w:line="240" w:lineRule="atLeast"/>
      <w:ind w:left="720"/>
    </w:pPr>
    <w:rPr>
      <w:rFonts w:ascii="Times New Roman" w:eastAsiaTheme="minorHAnsi" w:hAnsi="Times New Roman"/>
      <w:sz w:val="24"/>
      <w:szCs w:val="24"/>
      <w:lang w:eastAsia="en-AU"/>
    </w:rPr>
  </w:style>
  <w:style w:type="character" w:customStyle="1" w:styleId="charsectno">
    <w:name w:val="charsectno"/>
    <w:basedOn w:val="DefaultParagraphFont"/>
    <w:rsid w:val="00CC5168"/>
  </w:style>
  <w:style w:type="paragraph" w:customStyle="1" w:styleId="paragraphsub">
    <w:name w:val="paragraph(sub)"/>
    <w:aliases w:val="aa"/>
    <w:basedOn w:val="Normal"/>
    <w:rsid w:val="006216C1"/>
    <w:pPr>
      <w:tabs>
        <w:tab w:val="right" w:pos="1985"/>
      </w:tabs>
      <w:spacing w:before="40"/>
      <w:ind w:left="2098" w:hanging="2098"/>
    </w:pPr>
    <w:rPr>
      <w:rFonts w:ascii="Times New Roman" w:hAnsi="Times New Roman"/>
      <w:lang w:eastAsia="en-AU"/>
    </w:rPr>
  </w:style>
  <w:style w:type="paragraph" w:customStyle="1" w:styleId="ActHead5">
    <w:name w:val="ActHead 5"/>
    <w:aliases w:val="s"/>
    <w:basedOn w:val="Normal"/>
    <w:next w:val="subsection"/>
    <w:qFormat/>
    <w:rsid w:val="00095E49"/>
    <w:pPr>
      <w:keepNext/>
      <w:keepLines/>
      <w:spacing w:before="280"/>
      <w:ind w:left="1134" w:hanging="1134"/>
      <w:outlineLvl w:val="4"/>
    </w:pPr>
    <w:rPr>
      <w:rFonts w:ascii="Times New Roman" w:hAnsi="Times New Roman"/>
      <w:b/>
      <w:kern w:val="28"/>
      <w:sz w:val="24"/>
      <w:lang w:eastAsia="en-AU"/>
    </w:rPr>
  </w:style>
  <w:style w:type="character" w:customStyle="1" w:styleId="CharSectno0">
    <w:name w:val="CharSectno"/>
    <w:basedOn w:val="DefaultParagraphFont"/>
    <w:qFormat/>
    <w:rsid w:val="00095E49"/>
  </w:style>
  <w:style w:type="paragraph" w:customStyle="1" w:styleId="SubsectionHead">
    <w:name w:val="SubsectionHead"/>
    <w:aliases w:val="ssh"/>
    <w:basedOn w:val="Normal"/>
    <w:next w:val="subsection"/>
    <w:rsid w:val="00095E49"/>
    <w:pPr>
      <w:keepNext/>
      <w:keepLines/>
      <w:spacing w:before="240"/>
      <w:ind w:left="1134"/>
    </w:pPr>
    <w:rPr>
      <w:rFonts w:ascii="Times New Roman" w:hAnsi="Times New Roman"/>
      <w:i/>
      <w:lang w:eastAsia="en-AU"/>
    </w:rPr>
  </w:style>
  <w:style w:type="paragraph" w:customStyle="1" w:styleId="Definition">
    <w:name w:val="Definition"/>
    <w:aliases w:val="dd"/>
    <w:basedOn w:val="Normal"/>
    <w:rsid w:val="003614A6"/>
    <w:pPr>
      <w:spacing w:before="180"/>
      <w:ind w:left="1134"/>
    </w:pPr>
    <w:rPr>
      <w:rFonts w:ascii="Times New Roman" w:hAnsi="Times New Roman"/>
      <w:lang w:eastAsia="en-AU"/>
    </w:rPr>
  </w:style>
  <w:style w:type="character" w:styleId="CommentReference">
    <w:name w:val="annotation reference"/>
    <w:basedOn w:val="DefaultParagraphFont"/>
    <w:uiPriority w:val="99"/>
    <w:semiHidden/>
    <w:unhideWhenUsed/>
    <w:rsid w:val="00752BF9"/>
    <w:rPr>
      <w:sz w:val="16"/>
      <w:szCs w:val="16"/>
    </w:rPr>
  </w:style>
  <w:style w:type="paragraph" w:styleId="CommentText">
    <w:name w:val="annotation text"/>
    <w:basedOn w:val="Normal"/>
    <w:link w:val="CommentTextChar"/>
    <w:uiPriority w:val="99"/>
    <w:semiHidden/>
    <w:unhideWhenUsed/>
    <w:rsid w:val="00752BF9"/>
    <w:rPr>
      <w:sz w:val="20"/>
    </w:rPr>
  </w:style>
  <w:style w:type="character" w:customStyle="1" w:styleId="CommentTextChar">
    <w:name w:val="Comment Text Char"/>
    <w:basedOn w:val="DefaultParagraphFont"/>
    <w:link w:val="CommentText"/>
    <w:uiPriority w:val="99"/>
    <w:semiHidden/>
    <w:rsid w:val="00752BF9"/>
    <w:rPr>
      <w:rFonts w:ascii="Arial" w:hAnsi="Arial"/>
      <w:lang w:eastAsia="en-US"/>
    </w:rPr>
  </w:style>
  <w:style w:type="paragraph" w:styleId="BalloonText">
    <w:name w:val="Balloon Text"/>
    <w:basedOn w:val="Normal"/>
    <w:link w:val="BalloonTextChar"/>
    <w:uiPriority w:val="99"/>
    <w:semiHidden/>
    <w:unhideWhenUsed/>
    <w:rsid w:val="00752BF9"/>
    <w:rPr>
      <w:rFonts w:ascii="Tahoma" w:hAnsi="Tahoma" w:cs="Tahoma"/>
      <w:sz w:val="16"/>
      <w:szCs w:val="16"/>
    </w:rPr>
  </w:style>
  <w:style w:type="character" w:customStyle="1" w:styleId="BalloonTextChar">
    <w:name w:val="Balloon Text Char"/>
    <w:basedOn w:val="DefaultParagraphFont"/>
    <w:link w:val="BalloonText"/>
    <w:uiPriority w:val="99"/>
    <w:semiHidden/>
    <w:rsid w:val="00752BF9"/>
    <w:rPr>
      <w:rFonts w:ascii="Tahoma" w:hAnsi="Tahoma" w:cs="Tahoma"/>
      <w:sz w:val="16"/>
      <w:szCs w:val="16"/>
      <w:lang w:eastAsia="en-US"/>
    </w:rPr>
  </w:style>
  <w:style w:type="paragraph" w:styleId="Header">
    <w:name w:val="header"/>
    <w:basedOn w:val="Normal"/>
    <w:link w:val="HeaderChar"/>
    <w:uiPriority w:val="99"/>
    <w:unhideWhenUsed/>
    <w:rsid w:val="005A00EB"/>
    <w:pPr>
      <w:tabs>
        <w:tab w:val="center" w:pos="4513"/>
        <w:tab w:val="right" w:pos="9026"/>
      </w:tabs>
    </w:pPr>
  </w:style>
  <w:style w:type="character" w:customStyle="1" w:styleId="HeaderChar">
    <w:name w:val="Header Char"/>
    <w:basedOn w:val="DefaultParagraphFont"/>
    <w:link w:val="Header"/>
    <w:uiPriority w:val="99"/>
    <w:rsid w:val="005A00EB"/>
    <w:rPr>
      <w:rFonts w:ascii="Arial" w:hAnsi="Arial"/>
      <w:sz w:val="22"/>
      <w:lang w:eastAsia="en-US"/>
    </w:rPr>
  </w:style>
  <w:style w:type="paragraph" w:styleId="Footer">
    <w:name w:val="footer"/>
    <w:basedOn w:val="Normal"/>
    <w:link w:val="FooterChar"/>
    <w:uiPriority w:val="99"/>
    <w:unhideWhenUsed/>
    <w:rsid w:val="005A00EB"/>
    <w:pPr>
      <w:tabs>
        <w:tab w:val="center" w:pos="4513"/>
        <w:tab w:val="right" w:pos="9026"/>
      </w:tabs>
    </w:pPr>
  </w:style>
  <w:style w:type="character" w:customStyle="1" w:styleId="FooterChar">
    <w:name w:val="Footer Char"/>
    <w:basedOn w:val="DefaultParagraphFont"/>
    <w:link w:val="Footer"/>
    <w:uiPriority w:val="99"/>
    <w:rsid w:val="005A00E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7415">
      <w:bodyDiv w:val="1"/>
      <w:marLeft w:val="0"/>
      <w:marRight w:val="0"/>
      <w:marTop w:val="0"/>
      <w:marBottom w:val="0"/>
      <w:divBdr>
        <w:top w:val="none" w:sz="0" w:space="0" w:color="auto"/>
        <w:left w:val="none" w:sz="0" w:space="0" w:color="auto"/>
        <w:bottom w:val="none" w:sz="0" w:space="0" w:color="auto"/>
        <w:right w:val="none" w:sz="0" w:space="0" w:color="auto"/>
      </w:divBdr>
    </w:div>
    <w:div w:id="463043296">
      <w:bodyDiv w:val="1"/>
      <w:marLeft w:val="0"/>
      <w:marRight w:val="0"/>
      <w:marTop w:val="0"/>
      <w:marBottom w:val="0"/>
      <w:divBdr>
        <w:top w:val="none" w:sz="0" w:space="0" w:color="auto"/>
        <w:left w:val="none" w:sz="0" w:space="0" w:color="auto"/>
        <w:bottom w:val="none" w:sz="0" w:space="0" w:color="auto"/>
        <w:right w:val="none" w:sz="0" w:space="0" w:color="auto"/>
      </w:divBdr>
      <w:divsChild>
        <w:div w:id="1721712612">
          <w:marLeft w:val="0"/>
          <w:marRight w:val="0"/>
          <w:marTop w:val="0"/>
          <w:marBottom w:val="0"/>
          <w:divBdr>
            <w:top w:val="none" w:sz="0" w:space="0" w:color="auto"/>
            <w:left w:val="none" w:sz="0" w:space="0" w:color="auto"/>
            <w:bottom w:val="none" w:sz="0" w:space="0" w:color="auto"/>
            <w:right w:val="none" w:sz="0" w:space="0" w:color="auto"/>
          </w:divBdr>
          <w:divsChild>
            <w:div w:id="1375497606">
              <w:marLeft w:val="0"/>
              <w:marRight w:val="0"/>
              <w:marTop w:val="0"/>
              <w:marBottom w:val="0"/>
              <w:divBdr>
                <w:top w:val="none" w:sz="0" w:space="0" w:color="auto"/>
                <w:left w:val="none" w:sz="0" w:space="0" w:color="auto"/>
                <w:bottom w:val="none" w:sz="0" w:space="0" w:color="auto"/>
                <w:right w:val="none" w:sz="0" w:space="0" w:color="auto"/>
              </w:divBdr>
              <w:divsChild>
                <w:div w:id="993412029">
                  <w:marLeft w:val="0"/>
                  <w:marRight w:val="0"/>
                  <w:marTop w:val="0"/>
                  <w:marBottom w:val="0"/>
                  <w:divBdr>
                    <w:top w:val="none" w:sz="0" w:space="0" w:color="auto"/>
                    <w:left w:val="none" w:sz="0" w:space="0" w:color="auto"/>
                    <w:bottom w:val="none" w:sz="0" w:space="0" w:color="auto"/>
                    <w:right w:val="none" w:sz="0" w:space="0" w:color="auto"/>
                  </w:divBdr>
                  <w:divsChild>
                    <w:div w:id="1201623170">
                      <w:marLeft w:val="0"/>
                      <w:marRight w:val="0"/>
                      <w:marTop w:val="0"/>
                      <w:marBottom w:val="0"/>
                      <w:divBdr>
                        <w:top w:val="none" w:sz="0" w:space="0" w:color="auto"/>
                        <w:left w:val="none" w:sz="0" w:space="0" w:color="auto"/>
                        <w:bottom w:val="none" w:sz="0" w:space="0" w:color="auto"/>
                        <w:right w:val="none" w:sz="0" w:space="0" w:color="auto"/>
                      </w:divBdr>
                      <w:divsChild>
                        <w:div w:id="1206214201">
                          <w:marLeft w:val="0"/>
                          <w:marRight w:val="0"/>
                          <w:marTop w:val="0"/>
                          <w:marBottom w:val="0"/>
                          <w:divBdr>
                            <w:top w:val="single" w:sz="6" w:space="0" w:color="828282"/>
                            <w:left w:val="single" w:sz="6" w:space="0" w:color="828282"/>
                            <w:bottom w:val="single" w:sz="6" w:space="0" w:color="828282"/>
                            <w:right w:val="single" w:sz="6" w:space="0" w:color="828282"/>
                          </w:divBdr>
                          <w:divsChild>
                            <w:div w:id="832795484">
                              <w:marLeft w:val="0"/>
                              <w:marRight w:val="0"/>
                              <w:marTop w:val="0"/>
                              <w:marBottom w:val="0"/>
                              <w:divBdr>
                                <w:top w:val="none" w:sz="0" w:space="0" w:color="auto"/>
                                <w:left w:val="none" w:sz="0" w:space="0" w:color="auto"/>
                                <w:bottom w:val="none" w:sz="0" w:space="0" w:color="auto"/>
                                <w:right w:val="none" w:sz="0" w:space="0" w:color="auto"/>
                              </w:divBdr>
                              <w:divsChild>
                                <w:div w:id="269045970">
                                  <w:marLeft w:val="0"/>
                                  <w:marRight w:val="0"/>
                                  <w:marTop w:val="0"/>
                                  <w:marBottom w:val="0"/>
                                  <w:divBdr>
                                    <w:top w:val="none" w:sz="0" w:space="0" w:color="auto"/>
                                    <w:left w:val="none" w:sz="0" w:space="0" w:color="auto"/>
                                    <w:bottom w:val="none" w:sz="0" w:space="0" w:color="auto"/>
                                    <w:right w:val="none" w:sz="0" w:space="0" w:color="auto"/>
                                  </w:divBdr>
                                  <w:divsChild>
                                    <w:div w:id="574512625">
                                      <w:marLeft w:val="0"/>
                                      <w:marRight w:val="0"/>
                                      <w:marTop w:val="0"/>
                                      <w:marBottom w:val="0"/>
                                      <w:divBdr>
                                        <w:top w:val="none" w:sz="0" w:space="0" w:color="auto"/>
                                        <w:left w:val="none" w:sz="0" w:space="0" w:color="auto"/>
                                        <w:bottom w:val="none" w:sz="0" w:space="0" w:color="auto"/>
                                        <w:right w:val="none" w:sz="0" w:space="0" w:color="auto"/>
                                      </w:divBdr>
                                      <w:divsChild>
                                        <w:div w:id="486094189">
                                          <w:marLeft w:val="0"/>
                                          <w:marRight w:val="0"/>
                                          <w:marTop w:val="0"/>
                                          <w:marBottom w:val="0"/>
                                          <w:divBdr>
                                            <w:top w:val="none" w:sz="0" w:space="0" w:color="auto"/>
                                            <w:left w:val="none" w:sz="0" w:space="0" w:color="auto"/>
                                            <w:bottom w:val="none" w:sz="0" w:space="0" w:color="auto"/>
                                            <w:right w:val="none" w:sz="0" w:space="0" w:color="auto"/>
                                          </w:divBdr>
                                          <w:divsChild>
                                            <w:div w:id="723062686">
                                              <w:marLeft w:val="0"/>
                                              <w:marRight w:val="0"/>
                                              <w:marTop w:val="0"/>
                                              <w:marBottom w:val="0"/>
                                              <w:divBdr>
                                                <w:top w:val="none" w:sz="0" w:space="0" w:color="auto"/>
                                                <w:left w:val="none" w:sz="0" w:space="0" w:color="auto"/>
                                                <w:bottom w:val="none" w:sz="0" w:space="0" w:color="auto"/>
                                                <w:right w:val="none" w:sz="0" w:space="0" w:color="auto"/>
                                              </w:divBdr>
                                              <w:divsChild>
                                                <w:div w:id="1167477333">
                                                  <w:marLeft w:val="0"/>
                                                  <w:marRight w:val="0"/>
                                                  <w:marTop w:val="0"/>
                                                  <w:marBottom w:val="0"/>
                                                  <w:divBdr>
                                                    <w:top w:val="none" w:sz="0" w:space="0" w:color="auto"/>
                                                    <w:left w:val="none" w:sz="0" w:space="0" w:color="auto"/>
                                                    <w:bottom w:val="none" w:sz="0" w:space="0" w:color="auto"/>
                                                    <w:right w:val="none" w:sz="0" w:space="0" w:color="auto"/>
                                                  </w:divBdr>
                                                  <w:divsChild>
                                                    <w:div w:id="309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849817">
      <w:bodyDiv w:val="1"/>
      <w:marLeft w:val="0"/>
      <w:marRight w:val="0"/>
      <w:marTop w:val="0"/>
      <w:marBottom w:val="0"/>
      <w:divBdr>
        <w:top w:val="none" w:sz="0" w:space="0" w:color="auto"/>
        <w:left w:val="none" w:sz="0" w:space="0" w:color="auto"/>
        <w:bottom w:val="none" w:sz="0" w:space="0" w:color="auto"/>
        <w:right w:val="none" w:sz="0" w:space="0" w:color="auto"/>
      </w:divBdr>
      <w:divsChild>
        <w:div w:id="2143112809">
          <w:marLeft w:val="0"/>
          <w:marRight w:val="0"/>
          <w:marTop w:val="0"/>
          <w:marBottom w:val="0"/>
          <w:divBdr>
            <w:top w:val="none" w:sz="0" w:space="0" w:color="auto"/>
            <w:left w:val="none" w:sz="0" w:space="0" w:color="auto"/>
            <w:bottom w:val="none" w:sz="0" w:space="0" w:color="auto"/>
            <w:right w:val="none" w:sz="0" w:space="0" w:color="auto"/>
          </w:divBdr>
          <w:divsChild>
            <w:div w:id="1947418795">
              <w:marLeft w:val="0"/>
              <w:marRight w:val="0"/>
              <w:marTop w:val="0"/>
              <w:marBottom w:val="0"/>
              <w:divBdr>
                <w:top w:val="none" w:sz="0" w:space="0" w:color="auto"/>
                <w:left w:val="none" w:sz="0" w:space="0" w:color="auto"/>
                <w:bottom w:val="none" w:sz="0" w:space="0" w:color="auto"/>
                <w:right w:val="none" w:sz="0" w:space="0" w:color="auto"/>
              </w:divBdr>
              <w:divsChild>
                <w:div w:id="468743296">
                  <w:marLeft w:val="0"/>
                  <w:marRight w:val="0"/>
                  <w:marTop w:val="0"/>
                  <w:marBottom w:val="0"/>
                  <w:divBdr>
                    <w:top w:val="none" w:sz="0" w:space="0" w:color="auto"/>
                    <w:left w:val="none" w:sz="0" w:space="0" w:color="auto"/>
                    <w:bottom w:val="none" w:sz="0" w:space="0" w:color="auto"/>
                    <w:right w:val="none" w:sz="0" w:space="0" w:color="auto"/>
                  </w:divBdr>
                  <w:divsChild>
                    <w:div w:id="1377313992">
                      <w:marLeft w:val="0"/>
                      <w:marRight w:val="0"/>
                      <w:marTop w:val="0"/>
                      <w:marBottom w:val="0"/>
                      <w:divBdr>
                        <w:top w:val="none" w:sz="0" w:space="0" w:color="auto"/>
                        <w:left w:val="none" w:sz="0" w:space="0" w:color="auto"/>
                        <w:bottom w:val="none" w:sz="0" w:space="0" w:color="auto"/>
                        <w:right w:val="none" w:sz="0" w:space="0" w:color="auto"/>
                      </w:divBdr>
                      <w:divsChild>
                        <w:div w:id="1014842061">
                          <w:marLeft w:val="0"/>
                          <w:marRight w:val="0"/>
                          <w:marTop w:val="0"/>
                          <w:marBottom w:val="0"/>
                          <w:divBdr>
                            <w:top w:val="single" w:sz="6" w:space="0" w:color="828282"/>
                            <w:left w:val="single" w:sz="6" w:space="0" w:color="828282"/>
                            <w:bottom w:val="single" w:sz="6" w:space="0" w:color="828282"/>
                            <w:right w:val="single" w:sz="6" w:space="0" w:color="828282"/>
                          </w:divBdr>
                          <w:divsChild>
                            <w:div w:id="637995264">
                              <w:marLeft w:val="0"/>
                              <w:marRight w:val="0"/>
                              <w:marTop w:val="0"/>
                              <w:marBottom w:val="0"/>
                              <w:divBdr>
                                <w:top w:val="none" w:sz="0" w:space="0" w:color="auto"/>
                                <w:left w:val="none" w:sz="0" w:space="0" w:color="auto"/>
                                <w:bottom w:val="none" w:sz="0" w:space="0" w:color="auto"/>
                                <w:right w:val="none" w:sz="0" w:space="0" w:color="auto"/>
                              </w:divBdr>
                              <w:divsChild>
                                <w:div w:id="1842505339">
                                  <w:marLeft w:val="0"/>
                                  <w:marRight w:val="0"/>
                                  <w:marTop w:val="0"/>
                                  <w:marBottom w:val="0"/>
                                  <w:divBdr>
                                    <w:top w:val="none" w:sz="0" w:space="0" w:color="auto"/>
                                    <w:left w:val="none" w:sz="0" w:space="0" w:color="auto"/>
                                    <w:bottom w:val="none" w:sz="0" w:space="0" w:color="auto"/>
                                    <w:right w:val="none" w:sz="0" w:space="0" w:color="auto"/>
                                  </w:divBdr>
                                  <w:divsChild>
                                    <w:div w:id="2014867523">
                                      <w:marLeft w:val="0"/>
                                      <w:marRight w:val="0"/>
                                      <w:marTop w:val="0"/>
                                      <w:marBottom w:val="0"/>
                                      <w:divBdr>
                                        <w:top w:val="none" w:sz="0" w:space="0" w:color="auto"/>
                                        <w:left w:val="none" w:sz="0" w:space="0" w:color="auto"/>
                                        <w:bottom w:val="none" w:sz="0" w:space="0" w:color="auto"/>
                                        <w:right w:val="none" w:sz="0" w:space="0" w:color="auto"/>
                                      </w:divBdr>
                                      <w:divsChild>
                                        <w:div w:id="1348480063">
                                          <w:marLeft w:val="0"/>
                                          <w:marRight w:val="0"/>
                                          <w:marTop w:val="0"/>
                                          <w:marBottom w:val="0"/>
                                          <w:divBdr>
                                            <w:top w:val="none" w:sz="0" w:space="0" w:color="auto"/>
                                            <w:left w:val="none" w:sz="0" w:space="0" w:color="auto"/>
                                            <w:bottom w:val="none" w:sz="0" w:space="0" w:color="auto"/>
                                            <w:right w:val="none" w:sz="0" w:space="0" w:color="auto"/>
                                          </w:divBdr>
                                          <w:divsChild>
                                            <w:div w:id="1526753413">
                                              <w:marLeft w:val="0"/>
                                              <w:marRight w:val="0"/>
                                              <w:marTop w:val="0"/>
                                              <w:marBottom w:val="0"/>
                                              <w:divBdr>
                                                <w:top w:val="none" w:sz="0" w:space="0" w:color="auto"/>
                                                <w:left w:val="none" w:sz="0" w:space="0" w:color="auto"/>
                                                <w:bottom w:val="none" w:sz="0" w:space="0" w:color="auto"/>
                                                <w:right w:val="none" w:sz="0" w:space="0" w:color="auto"/>
                                              </w:divBdr>
                                              <w:divsChild>
                                                <w:div w:id="1749158665">
                                                  <w:marLeft w:val="0"/>
                                                  <w:marRight w:val="0"/>
                                                  <w:marTop w:val="0"/>
                                                  <w:marBottom w:val="0"/>
                                                  <w:divBdr>
                                                    <w:top w:val="none" w:sz="0" w:space="0" w:color="auto"/>
                                                    <w:left w:val="none" w:sz="0" w:space="0" w:color="auto"/>
                                                    <w:bottom w:val="none" w:sz="0" w:space="0" w:color="auto"/>
                                                    <w:right w:val="none" w:sz="0" w:space="0" w:color="auto"/>
                                                  </w:divBdr>
                                                  <w:divsChild>
                                                    <w:div w:id="10289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44683">
      <w:bodyDiv w:val="1"/>
      <w:marLeft w:val="0"/>
      <w:marRight w:val="0"/>
      <w:marTop w:val="0"/>
      <w:marBottom w:val="0"/>
      <w:divBdr>
        <w:top w:val="none" w:sz="0" w:space="0" w:color="auto"/>
        <w:left w:val="none" w:sz="0" w:space="0" w:color="auto"/>
        <w:bottom w:val="none" w:sz="0" w:space="0" w:color="auto"/>
        <w:right w:val="none" w:sz="0" w:space="0" w:color="auto"/>
      </w:divBdr>
    </w:div>
    <w:div w:id="1267541721">
      <w:bodyDiv w:val="1"/>
      <w:marLeft w:val="0"/>
      <w:marRight w:val="0"/>
      <w:marTop w:val="0"/>
      <w:marBottom w:val="0"/>
      <w:divBdr>
        <w:top w:val="none" w:sz="0" w:space="0" w:color="auto"/>
        <w:left w:val="none" w:sz="0" w:space="0" w:color="auto"/>
        <w:bottom w:val="none" w:sz="0" w:space="0" w:color="auto"/>
        <w:right w:val="none" w:sz="0" w:space="0" w:color="auto"/>
      </w:divBdr>
    </w:div>
    <w:div w:id="1694921277">
      <w:bodyDiv w:val="1"/>
      <w:marLeft w:val="0"/>
      <w:marRight w:val="0"/>
      <w:marTop w:val="0"/>
      <w:marBottom w:val="0"/>
      <w:divBdr>
        <w:top w:val="none" w:sz="0" w:space="0" w:color="auto"/>
        <w:left w:val="none" w:sz="0" w:space="0" w:color="auto"/>
        <w:bottom w:val="none" w:sz="0" w:space="0" w:color="auto"/>
        <w:right w:val="none" w:sz="0" w:space="0" w:color="auto"/>
      </w:divBdr>
      <w:divsChild>
        <w:div w:id="1484463862">
          <w:marLeft w:val="0"/>
          <w:marRight w:val="0"/>
          <w:marTop w:val="0"/>
          <w:marBottom w:val="0"/>
          <w:divBdr>
            <w:top w:val="none" w:sz="0" w:space="0" w:color="auto"/>
            <w:left w:val="none" w:sz="0" w:space="0" w:color="auto"/>
            <w:bottom w:val="none" w:sz="0" w:space="0" w:color="auto"/>
            <w:right w:val="none" w:sz="0" w:space="0" w:color="auto"/>
          </w:divBdr>
          <w:divsChild>
            <w:div w:id="1257441957">
              <w:marLeft w:val="0"/>
              <w:marRight w:val="0"/>
              <w:marTop w:val="0"/>
              <w:marBottom w:val="0"/>
              <w:divBdr>
                <w:top w:val="none" w:sz="0" w:space="0" w:color="auto"/>
                <w:left w:val="none" w:sz="0" w:space="0" w:color="auto"/>
                <w:bottom w:val="none" w:sz="0" w:space="0" w:color="auto"/>
                <w:right w:val="none" w:sz="0" w:space="0" w:color="auto"/>
              </w:divBdr>
              <w:divsChild>
                <w:div w:id="11262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4471">
      <w:bodyDiv w:val="1"/>
      <w:marLeft w:val="0"/>
      <w:marRight w:val="0"/>
      <w:marTop w:val="0"/>
      <w:marBottom w:val="0"/>
      <w:divBdr>
        <w:top w:val="none" w:sz="0" w:space="0" w:color="auto"/>
        <w:left w:val="none" w:sz="0" w:space="0" w:color="auto"/>
        <w:bottom w:val="none" w:sz="0" w:space="0" w:color="auto"/>
        <w:right w:val="none" w:sz="0" w:space="0" w:color="auto"/>
      </w:divBdr>
      <w:divsChild>
        <w:div w:id="1192231555">
          <w:marLeft w:val="0"/>
          <w:marRight w:val="0"/>
          <w:marTop w:val="0"/>
          <w:marBottom w:val="0"/>
          <w:divBdr>
            <w:top w:val="none" w:sz="0" w:space="0" w:color="auto"/>
            <w:left w:val="none" w:sz="0" w:space="0" w:color="auto"/>
            <w:bottom w:val="none" w:sz="0" w:space="0" w:color="auto"/>
            <w:right w:val="none" w:sz="0" w:space="0" w:color="auto"/>
          </w:divBdr>
          <w:divsChild>
            <w:div w:id="2079093309">
              <w:marLeft w:val="0"/>
              <w:marRight w:val="0"/>
              <w:marTop w:val="0"/>
              <w:marBottom w:val="0"/>
              <w:divBdr>
                <w:top w:val="none" w:sz="0" w:space="0" w:color="auto"/>
                <w:left w:val="none" w:sz="0" w:space="0" w:color="auto"/>
                <w:bottom w:val="none" w:sz="0" w:space="0" w:color="auto"/>
                <w:right w:val="none" w:sz="0" w:space="0" w:color="auto"/>
              </w:divBdr>
              <w:divsChild>
                <w:div w:id="1381242007">
                  <w:marLeft w:val="0"/>
                  <w:marRight w:val="0"/>
                  <w:marTop w:val="0"/>
                  <w:marBottom w:val="0"/>
                  <w:divBdr>
                    <w:top w:val="none" w:sz="0" w:space="0" w:color="auto"/>
                    <w:left w:val="none" w:sz="0" w:space="0" w:color="auto"/>
                    <w:bottom w:val="none" w:sz="0" w:space="0" w:color="auto"/>
                    <w:right w:val="none" w:sz="0" w:space="0" w:color="auto"/>
                  </w:divBdr>
                  <w:divsChild>
                    <w:div w:id="1977175871">
                      <w:marLeft w:val="0"/>
                      <w:marRight w:val="0"/>
                      <w:marTop w:val="0"/>
                      <w:marBottom w:val="0"/>
                      <w:divBdr>
                        <w:top w:val="none" w:sz="0" w:space="0" w:color="auto"/>
                        <w:left w:val="none" w:sz="0" w:space="0" w:color="auto"/>
                        <w:bottom w:val="none" w:sz="0" w:space="0" w:color="auto"/>
                        <w:right w:val="none" w:sz="0" w:space="0" w:color="auto"/>
                      </w:divBdr>
                      <w:divsChild>
                        <w:div w:id="1455323264">
                          <w:marLeft w:val="0"/>
                          <w:marRight w:val="0"/>
                          <w:marTop w:val="0"/>
                          <w:marBottom w:val="0"/>
                          <w:divBdr>
                            <w:top w:val="single" w:sz="6" w:space="0" w:color="828282"/>
                            <w:left w:val="single" w:sz="6" w:space="0" w:color="828282"/>
                            <w:bottom w:val="single" w:sz="6" w:space="0" w:color="828282"/>
                            <w:right w:val="single" w:sz="6" w:space="0" w:color="828282"/>
                          </w:divBdr>
                          <w:divsChild>
                            <w:div w:id="2058508033">
                              <w:marLeft w:val="0"/>
                              <w:marRight w:val="0"/>
                              <w:marTop w:val="0"/>
                              <w:marBottom w:val="0"/>
                              <w:divBdr>
                                <w:top w:val="none" w:sz="0" w:space="0" w:color="auto"/>
                                <w:left w:val="none" w:sz="0" w:space="0" w:color="auto"/>
                                <w:bottom w:val="none" w:sz="0" w:space="0" w:color="auto"/>
                                <w:right w:val="none" w:sz="0" w:space="0" w:color="auto"/>
                              </w:divBdr>
                              <w:divsChild>
                                <w:div w:id="1754742645">
                                  <w:marLeft w:val="0"/>
                                  <w:marRight w:val="0"/>
                                  <w:marTop w:val="0"/>
                                  <w:marBottom w:val="0"/>
                                  <w:divBdr>
                                    <w:top w:val="none" w:sz="0" w:space="0" w:color="auto"/>
                                    <w:left w:val="none" w:sz="0" w:space="0" w:color="auto"/>
                                    <w:bottom w:val="none" w:sz="0" w:space="0" w:color="auto"/>
                                    <w:right w:val="none" w:sz="0" w:space="0" w:color="auto"/>
                                  </w:divBdr>
                                  <w:divsChild>
                                    <w:div w:id="597099363">
                                      <w:marLeft w:val="0"/>
                                      <w:marRight w:val="0"/>
                                      <w:marTop w:val="0"/>
                                      <w:marBottom w:val="0"/>
                                      <w:divBdr>
                                        <w:top w:val="none" w:sz="0" w:space="0" w:color="auto"/>
                                        <w:left w:val="none" w:sz="0" w:space="0" w:color="auto"/>
                                        <w:bottom w:val="none" w:sz="0" w:space="0" w:color="auto"/>
                                        <w:right w:val="none" w:sz="0" w:space="0" w:color="auto"/>
                                      </w:divBdr>
                                      <w:divsChild>
                                        <w:div w:id="1214387034">
                                          <w:marLeft w:val="0"/>
                                          <w:marRight w:val="0"/>
                                          <w:marTop w:val="0"/>
                                          <w:marBottom w:val="0"/>
                                          <w:divBdr>
                                            <w:top w:val="none" w:sz="0" w:space="0" w:color="auto"/>
                                            <w:left w:val="none" w:sz="0" w:space="0" w:color="auto"/>
                                            <w:bottom w:val="none" w:sz="0" w:space="0" w:color="auto"/>
                                            <w:right w:val="none" w:sz="0" w:space="0" w:color="auto"/>
                                          </w:divBdr>
                                          <w:divsChild>
                                            <w:div w:id="1239176063">
                                              <w:marLeft w:val="0"/>
                                              <w:marRight w:val="0"/>
                                              <w:marTop w:val="0"/>
                                              <w:marBottom w:val="0"/>
                                              <w:divBdr>
                                                <w:top w:val="none" w:sz="0" w:space="0" w:color="auto"/>
                                                <w:left w:val="none" w:sz="0" w:space="0" w:color="auto"/>
                                                <w:bottom w:val="none" w:sz="0" w:space="0" w:color="auto"/>
                                                <w:right w:val="none" w:sz="0" w:space="0" w:color="auto"/>
                                              </w:divBdr>
                                              <w:divsChild>
                                                <w:div w:id="148637908">
                                                  <w:marLeft w:val="0"/>
                                                  <w:marRight w:val="0"/>
                                                  <w:marTop w:val="0"/>
                                                  <w:marBottom w:val="0"/>
                                                  <w:divBdr>
                                                    <w:top w:val="none" w:sz="0" w:space="0" w:color="auto"/>
                                                    <w:left w:val="none" w:sz="0" w:space="0" w:color="auto"/>
                                                    <w:bottom w:val="none" w:sz="0" w:space="0" w:color="auto"/>
                                                    <w:right w:val="none" w:sz="0" w:space="0" w:color="auto"/>
                                                  </w:divBdr>
                                                  <w:divsChild>
                                                    <w:div w:id="17198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021584">
      <w:bodyDiv w:val="1"/>
      <w:marLeft w:val="0"/>
      <w:marRight w:val="0"/>
      <w:marTop w:val="0"/>
      <w:marBottom w:val="0"/>
      <w:divBdr>
        <w:top w:val="none" w:sz="0" w:space="0" w:color="auto"/>
        <w:left w:val="none" w:sz="0" w:space="0" w:color="auto"/>
        <w:bottom w:val="none" w:sz="0" w:space="0" w:color="auto"/>
        <w:right w:val="none" w:sz="0" w:space="0" w:color="auto"/>
      </w:divBdr>
      <w:divsChild>
        <w:div w:id="1269971081">
          <w:marLeft w:val="0"/>
          <w:marRight w:val="0"/>
          <w:marTop w:val="0"/>
          <w:marBottom w:val="0"/>
          <w:divBdr>
            <w:top w:val="none" w:sz="0" w:space="0" w:color="auto"/>
            <w:left w:val="none" w:sz="0" w:space="0" w:color="auto"/>
            <w:bottom w:val="none" w:sz="0" w:space="0" w:color="auto"/>
            <w:right w:val="none" w:sz="0" w:space="0" w:color="auto"/>
          </w:divBdr>
          <w:divsChild>
            <w:div w:id="427390239">
              <w:marLeft w:val="0"/>
              <w:marRight w:val="0"/>
              <w:marTop w:val="0"/>
              <w:marBottom w:val="0"/>
              <w:divBdr>
                <w:top w:val="none" w:sz="0" w:space="0" w:color="auto"/>
                <w:left w:val="none" w:sz="0" w:space="0" w:color="auto"/>
                <w:bottom w:val="none" w:sz="0" w:space="0" w:color="auto"/>
                <w:right w:val="none" w:sz="0" w:space="0" w:color="auto"/>
              </w:divBdr>
              <w:divsChild>
                <w:div w:id="396826079">
                  <w:marLeft w:val="0"/>
                  <w:marRight w:val="0"/>
                  <w:marTop w:val="0"/>
                  <w:marBottom w:val="0"/>
                  <w:divBdr>
                    <w:top w:val="none" w:sz="0" w:space="0" w:color="auto"/>
                    <w:left w:val="none" w:sz="0" w:space="0" w:color="auto"/>
                    <w:bottom w:val="none" w:sz="0" w:space="0" w:color="auto"/>
                    <w:right w:val="none" w:sz="0" w:space="0" w:color="auto"/>
                  </w:divBdr>
                  <w:divsChild>
                    <w:div w:id="964699709">
                      <w:marLeft w:val="0"/>
                      <w:marRight w:val="0"/>
                      <w:marTop w:val="0"/>
                      <w:marBottom w:val="0"/>
                      <w:divBdr>
                        <w:top w:val="none" w:sz="0" w:space="0" w:color="auto"/>
                        <w:left w:val="none" w:sz="0" w:space="0" w:color="auto"/>
                        <w:bottom w:val="none" w:sz="0" w:space="0" w:color="auto"/>
                        <w:right w:val="none" w:sz="0" w:space="0" w:color="auto"/>
                      </w:divBdr>
                      <w:divsChild>
                        <w:div w:id="1280448578">
                          <w:marLeft w:val="0"/>
                          <w:marRight w:val="0"/>
                          <w:marTop w:val="0"/>
                          <w:marBottom w:val="0"/>
                          <w:divBdr>
                            <w:top w:val="single" w:sz="6" w:space="0" w:color="828282"/>
                            <w:left w:val="single" w:sz="6" w:space="0" w:color="828282"/>
                            <w:bottom w:val="single" w:sz="6" w:space="0" w:color="828282"/>
                            <w:right w:val="single" w:sz="6" w:space="0" w:color="828282"/>
                          </w:divBdr>
                          <w:divsChild>
                            <w:div w:id="859703815">
                              <w:marLeft w:val="0"/>
                              <w:marRight w:val="0"/>
                              <w:marTop w:val="0"/>
                              <w:marBottom w:val="0"/>
                              <w:divBdr>
                                <w:top w:val="none" w:sz="0" w:space="0" w:color="auto"/>
                                <w:left w:val="none" w:sz="0" w:space="0" w:color="auto"/>
                                <w:bottom w:val="none" w:sz="0" w:space="0" w:color="auto"/>
                                <w:right w:val="none" w:sz="0" w:space="0" w:color="auto"/>
                              </w:divBdr>
                              <w:divsChild>
                                <w:div w:id="1269309987">
                                  <w:marLeft w:val="0"/>
                                  <w:marRight w:val="0"/>
                                  <w:marTop w:val="0"/>
                                  <w:marBottom w:val="0"/>
                                  <w:divBdr>
                                    <w:top w:val="none" w:sz="0" w:space="0" w:color="auto"/>
                                    <w:left w:val="none" w:sz="0" w:space="0" w:color="auto"/>
                                    <w:bottom w:val="none" w:sz="0" w:space="0" w:color="auto"/>
                                    <w:right w:val="none" w:sz="0" w:space="0" w:color="auto"/>
                                  </w:divBdr>
                                  <w:divsChild>
                                    <w:div w:id="1163011417">
                                      <w:marLeft w:val="0"/>
                                      <w:marRight w:val="0"/>
                                      <w:marTop w:val="0"/>
                                      <w:marBottom w:val="0"/>
                                      <w:divBdr>
                                        <w:top w:val="none" w:sz="0" w:space="0" w:color="auto"/>
                                        <w:left w:val="none" w:sz="0" w:space="0" w:color="auto"/>
                                        <w:bottom w:val="none" w:sz="0" w:space="0" w:color="auto"/>
                                        <w:right w:val="none" w:sz="0" w:space="0" w:color="auto"/>
                                      </w:divBdr>
                                      <w:divsChild>
                                        <w:div w:id="189495433">
                                          <w:marLeft w:val="0"/>
                                          <w:marRight w:val="0"/>
                                          <w:marTop w:val="0"/>
                                          <w:marBottom w:val="0"/>
                                          <w:divBdr>
                                            <w:top w:val="none" w:sz="0" w:space="0" w:color="auto"/>
                                            <w:left w:val="none" w:sz="0" w:space="0" w:color="auto"/>
                                            <w:bottom w:val="none" w:sz="0" w:space="0" w:color="auto"/>
                                            <w:right w:val="none" w:sz="0" w:space="0" w:color="auto"/>
                                          </w:divBdr>
                                          <w:divsChild>
                                            <w:div w:id="1206914359">
                                              <w:marLeft w:val="0"/>
                                              <w:marRight w:val="0"/>
                                              <w:marTop w:val="0"/>
                                              <w:marBottom w:val="0"/>
                                              <w:divBdr>
                                                <w:top w:val="none" w:sz="0" w:space="0" w:color="auto"/>
                                                <w:left w:val="none" w:sz="0" w:space="0" w:color="auto"/>
                                                <w:bottom w:val="none" w:sz="0" w:space="0" w:color="auto"/>
                                                <w:right w:val="none" w:sz="0" w:space="0" w:color="auto"/>
                                              </w:divBdr>
                                              <w:divsChild>
                                                <w:div w:id="917978475">
                                                  <w:marLeft w:val="0"/>
                                                  <w:marRight w:val="0"/>
                                                  <w:marTop w:val="0"/>
                                                  <w:marBottom w:val="0"/>
                                                  <w:divBdr>
                                                    <w:top w:val="none" w:sz="0" w:space="0" w:color="auto"/>
                                                    <w:left w:val="none" w:sz="0" w:space="0" w:color="auto"/>
                                                    <w:bottom w:val="none" w:sz="0" w:space="0" w:color="auto"/>
                                                    <w:right w:val="none" w:sz="0" w:space="0" w:color="auto"/>
                                                  </w:divBdr>
                                                  <w:divsChild>
                                                    <w:div w:id="16666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66CE-C8DA-41CC-AC69-2D862E18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D88B52B5.dotm</Template>
  <TotalTime>190</TotalTime>
  <Pages>7</Pages>
  <Words>3197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Meer</dc:creator>
  <cp:lastModifiedBy>Chris Luton</cp:lastModifiedBy>
  <cp:revision>89</cp:revision>
  <cp:lastPrinted>2014-12-11T23:28:00Z</cp:lastPrinted>
  <dcterms:created xsi:type="dcterms:W3CDTF">2014-12-10T07:19:00Z</dcterms:created>
  <dcterms:modified xsi:type="dcterms:W3CDTF">2014-12-16T05:31:00Z</dcterms:modified>
</cp:coreProperties>
</file>