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FEF" w:rsidRPr="00CE2D43" w:rsidRDefault="003157E0" w:rsidP="006A4FEF">
      <w:pPr>
        <w:spacing w:after="0"/>
        <w:jc w:val="center"/>
        <w:rPr>
          <w:sz w:val="24"/>
          <w:szCs w:val="24"/>
        </w:rPr>
      </w:pPr>
      <w:r w:rsidRPr="00951C89">
        <w:rPr>
          <w:noProof/>
          <w:sz w:val="24"/>
          <w:szCs w:val="24"/>
        </w:rPr>
        <w:drawing>
          <wp:inline distT="0" distB="0" distL="0" distR="0" wp14:anchorId="7CB0B608" wp14:editId="224442E0">
            <wp:extent cx="4032000" cy="992212"/>
            <wp:effectExtent l="0" t="0" r="0" b="0"/>
            <wp:docPr id="2" name="Picture 2" descr="C:\Users\chani\Desktop\rba-logo-horizontal-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ni\Desktop\rba-logo-horizontal-blac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32000" cy="992212"/>
                    </a:xfrm>
                    <a:prstGeom prst="rect">
                      <a:avLst/>
                    </a:prstGeom>
                    <a:noFill/>
                    <a:ln>
                      <a:noFill/>
                    </a:ln>
                  </pic:spPr>
                </pic:pic>
              </a:graphicData>
            </a:graphic>
          </wp:inline>
        </w:drawing>
      </w:r>
      <w:bookmarkStart w:id="0" w:name="_GoBack"/>
      <w:bookmarkEnd w:id="0"/>
    </w:p>
    <w:p w:rsidR="007335D0" w:rsidRPr="00643DE8" w:rsidRDefault="007335D0" w:rsidP="007335D0">
      <w:pPr>
        <w:pStyle w:val="Heading2"/>
        <w:spacing w:after="120"/>
        <w:jc w:val="center"/>
        <w:rPr>
          <w:i/>
          <w:sz w:val="24"/>
          <w:szCs w:val="24"/>
        </w:rPr>
      </w:pPr>
      <w:r w:rsidRPr="00643DE8">
        <w:rPr>
          <w:i/>
          <w:sz w:val="24"/>
          <w:szCs w:val="24"/>
        </w:rPr>
        <w:t>Payment Systems (Regulation) Act 1998</w:t>
      </w:r>
    </w:p>
    <w:p w:rsidR="007335D0" w:rsidRPr="00756A01" w:rsidRDefault="00BA171F" w:rsidP="007335D0">
      <w:pPr>
        <w:pStyle w:val="Heading2"/>
        <w:jc w:val="center"/>
        <w:rPr>
          <w:sz w:val="24"/>
          <w:szCs w:val="24"/>
        </w:rPr>
      </w:pPr>
      <w:r>
        <w:rPr>
          <w:sz w:val="24"/>
          <w:szCs w:val="24"/>
        </w:rPr>
        <w:t xml:space="preserve">Explanatory Statement - </w:t>
      </w:r>
      <w:r w:rsidR="007335D0" w:rsidRPr="00756A01">
        <w:rPr>
          <w:sz w:val="24"/>
          <w:szCs w:val="24"/>
        </w:rPr>
        <w:t>Variation to the Access Regimes for MasterCard and Visa Credit Card Systems</w:t>
      </w:r>
    </w:p>
    <w:p w:rsidR="004E6611" w:rsidRPr="004E6611" w:rsidRDefault="004E6611" w:rsidP="007335D0">
      <w:pPr>
        <w:spacing w:after="120"/>
        <w:rPr>
          <w:b/>
          <w:sz w:val="24"/>
          <w:szCs w:val="24"/>
        </w:rPr>
      </w:pPr>
      <w:r w:rsidRPr="004E6611">
        <w:rPr>
          <w:b/>
          <w:sz w:val="24"/>
          <w:szCs w:val="24"/>
        </w:rPr>
        <w:t>Purpose and Effect</w:t>
      </w:r>
    </w:p>
    <w:p w:rsidR="007335D0" w:rsidRPr="00CC6533" w:rsidRDefault="007335D0" w:rsidP="007335D0">
      <w:pPr>
        <w:spacing w:after="120"/>
        <w:rPr>
          <w:sz w:val="24"/>
          <w:szCs w:val="24"/>
        </w:rPr>
      </w:pPr>
      <w:r w:rsidRPr="00CC6533">
        <w:rPr>
          <w:sz w:val="24"/>
          <w:szCs w:val="24"/>
        </w:rPr>
        <w:t xml:space="preserve">The purpose of this variation to the </w:t>
      </w:r>
      <w:r w:rsidR="00F425F1" w:rsidRPr="00F425F1">
        <w:rPr>
          <w:i/>
          <w:sz w:val="24"/>
          <w:szCs w:val="24"/>
        </w:rPr>
        <w:t>Access Regime for the</w:t>
      </w:r>
      <w:r w:rsidR="00F425F1">
        <w:rPr>
          <w:sz w:val="24"/>
          <w:szCs w:val="24"/>
        </w:rPr>
        <w:t xml:space="preserve"> </w:t>
      </w:r>
      <w:r w:rsidRPr="00F425F1">
        <w:rPr>
          <w:i/>
          <w:sz w:val="24"/>
          <w:szCs w:val="24"/>
        </w:rPr>
        <w:t>MasterCard</w:t>
      </w:r>
      <w:r w:rsidR="00F425F1">
        <w:rPr>
          <w:i/>
          <w:sz w:val="24"/>
          <w:szCs w:val="24"/>
        </w:rPr>
        <w:t xml:space="preserve"> credit card system</w:t>
      </w:r>
      <w:r w:rsidRPr="00F425F1">
        <w:rPr>
          <w:i/>
          <w:sz w:val="24"/>
          <w:szCs w:val="24"/>
        </w:rPr>
        <w:t xml:space="preserve"> </w:t>
      </w:r>
      <w:r w:rsidRPr="00CC6533">
        <w:rPr>
          <w:sz w:val="24"/>
          <w:szCs w:val="24"/>
        </w:rPr>
        <w:t xml:space="preserve">and the </w:t>
      </w:r>
      <w:r w:rsidR="00F425F1" w:rsidRPr="00F425F1">
        <w:rPr>
          <w:i/>
          <w:sz w:val="24"/>
          <w:szCs w:val="24"/>
        </w:rPr>
        <w:t>Access Regime for the</w:t>
      </w:r>
      <w:r w:rsidR="00F425F1">
        <w:rPr>
          <w:sz w:val="24"/>
          <w:szCs w:val="24"/>
        </w:rPr>
        <w:t xml:space="preserve"> </w:t>
      </w:r>
      <w:r w:rsidR="00F425F1">
        <w:rPr>
          <w:i/>
          <w:sz w:val="24"/>
          <w:szCs w:val="24"/>
        </w:rPr>
        <w:t>Visa credit card system</w:t>
      </w:r>
      <w:r w:rsidRPr="00CC6533">
        <w:rPr>
          <w:sz w:val="24"/>
          <w:szCs w:val="24"/>
        </w:rPr>
        <w:t xml:space="preserve"> (together, the Access Regimes) is to provide MasterCard and Visa with greater flexibility to expand the membership of their respective schemes beyond existing participants. The existing access framework, implemented in 2004 and 2005, allowed new entrants that would otherwise have been ineligible for membership to participate in the card schemes without compromising the financial safety of the schemes. This coincided with the establishment of the specialist credit card institution (SCCI) as a new class of authorised deposit-taking institution (ADI). However, recent developments suggest that the Access Regimes in their current form may no longer be fulfilling their original objective and may be preventing some prospective scheme participants from entry.</w:t>
      </w:r>
    </w:p>
    <w:p w:rsidR="004E6611" w:rsidRPr="00425CEA" w:rsidRDefault="007335D0" w:rsidP="00302F81">
      <w:pPr>
        <w:spacing w:after="120"/>
        <w:rPr>
          <w:sz w:val="24"/>
          <w:szCs w:val="24"/>
        </w:rPr>
      </w:pPr>
      <w:r w:rsidRPr="00CC6533">
        <w:rPr>
          <w:sz w:val="24"/>
          <w:szCs w:val="24"/>
        </w:rPr>
        <w:t xml:space="preserve">The main effect of the variation to the Access Regimes is to provide MasterCard and Visa with the </w:t>
      </w:r>
      <w:r w:rsidRPr="00425CEA">
        <w:rPr>
          <w:sz w:val="24"/>
          <w:szCs w:val="24"/>
        </w:rPr>
        <w:t>ability to make entities other than ADIs eligible to participate in their respective schemes. Each of the varied Access Regimes specifies that ADIs and entities that were SCCIs as at 31 December 2014 (‘former SCCIs’) will be eligible to participate in the relevant scheme. Under the varied Access Regimes, each scheme will have the ability to establish eligibility criteria for entities other than ADIs and former SCCIs and any of those entities will be eligible to participate in the relevant scheme provided they meet any eligibility criteria established by the scheme. MasterCard and Visa must establish and apply criteria to assess applications from eligible applicants for participation in their respective systems. Each scheme must also publish its eligibility and assessment criteria on its website.</w:t>
      </w:r>
    </w:p>
    <w:p w:rsidR="007335D0" w:rsidRPr="00425CEA" w:rsidRDefault="004E6611" w:rsidP="00302F81">
      <w:pPr>
        <w:spacing w:after="120"/>
        <w:rPr>
          <w:b/>
          <w:sz w:val="24"/>
          <w:szCs w:val="24"/>
        </w:rPr>
      </w:pPr>
      <w:r w:rsidRPr="00425CEA">
        <w:rPr>
          <w:b/>
          <w:sz w:val="24"/>
          <w:szCs w:val="24"/>
        </w:rPr>
        <w:t>Consultation</w:t>
      </w:r>
    </w:p>
    <w:p w:rsidR="004E6611" w:rsidRPr="00425CEA" w:rsidRDefault="004E6611" w:rsidP="00302F81">
      <w:pPr>
        <w:pStyle w:val="NormalWeb"/>
        <w:spacing w:before="0" w:beforeAutospacing="0"/>
        <w:jc w:val="both"/>
      </w:pPr>
      <w:r w:rsidRPr="00425CEA">
        <w:t>The Reserve Bank</w:t>
      </w:r>
      <w:r w:rsidR="00FA79F2">
        <w:t xml:space="preserve"> of Australia</w:t>
      </w:r>
      <w:r w:rsidRPr="00425CEA">
        <w:t xml:space="preserve"> (the Bank) initiated a public consultation on the Access Regimes applying to the MasterCard credit and the Visa credit and Visa Debit systems in May 2013, releasing </w:t>
      </w:r>
      <w:r w:rsidRPr="00425CEA">
        <w:rPr>
          <w:rStyle w:val="Emphasis"/>
        </w:rPr>
        <w:t>Review of Card System Access Regimes: A Consultation Document</w:t>
      </w:r>
      <w:r w:rsidRPr="00425CEA">
        <w:t xml:space="preserve">. The Bank sought the views of interested parties on three policy options: varying the Access Regimes to expand eligibility to a wider range of entities, revoking the Access Regimes and maintaining the status quo. The Bank also sought views on a number of questions related to the risks faced by card schemes and their members, how they should be addressed and the shape and potential effect of possible revised access arrangements. </w:t>
      </w:r>
    </w:p>
    <w:p w:rsidR="004E6611" w:rsidRPr="00425CEA" w:rsidRDefault="004E6611" w:rsidP="00302F81">
      <w:pPr>
        <w:pStyle w:val="NormalWeb"/>
        <w:spacing w:before="0" w:beforeAutospacing="0"/>
        <w:jc w:val="both"/>
      </w:pPr>
      <w:r w:rsidRPr="00425CEA">
        <w:t xml:space="preserve">Taking into account views expressed by stakeholders, the Bank released </w:t>
      </w:r>
      <w:r w:rsidRPr="00425CEA">
        <w:rPr>
          <w:rStyle w:val="Emphasis"/>
        </w:rPr>
        <w:t>Proposed Variation to the MasterCard and Visa Access Regimes: Consultation Document</w:t>
      </w:r>
      <w:r w:rsidR="004B7F19" w:rsidRPr="00425CEA">
        <w:t xml:space="preserve"> in December </w:t>
      </w:r>
      <w:r w:rsidRPr="00425CEA">
        <w:t>2013 and began a second round of consultation. The December 2013 document refined the three options outlined in the May 2013 paper, with more detailed consideration of how each option could be implemented</w:t>
      </w:r>
      <w:r w:rsidR="002E3BDD" w:rsidRPr="00425CEA">
        <w:t xml:space="preserve">. The document also </w:t>
      </w:r>
      <w:r w:rsidRPr="00425CEA">
        <w:t xml:space="preserve">included draft variations to the Access Regimes </w:t>
      </w:r>
      <w:r w:rsidR="002E3BDD" w:rsidRPr="00425CEA">
        <w:t>for</w:t>
      </w:r>
      <w:r w:rsidRPr="00425CEA">
        <w:t xml:space="preserve"> </w:t>
      </w:r>
      <w:r w:rsidR="002E3BDD" w:rsidRPr="00425CEA">
        <w:t xml:space="preserve">the option </w:t>
      </w:r>
      <w:r w:rsidR="00B20D6E" w:rsidRPr="00425CEA">
        <w:t>viewed by</w:t>
      </w:r>
      <w:r w:rsidR="002E3BDD" w:rsidRPr="00425CEA">
        <w:t xml:space="preserve"> </w:t>
      </w:r>
      <w:r w:rsidRPr="00425CEA">
        <w:t>the</w:t>
      </w:r>
      <w:r w:rsidR="002E3BDD" w:rsidRPr="00425CEA">
        <w:t xml:space="preserve"> </w:t>
      </w:r>
      <w:r w:rsidR="00FA79F2">
        <w:t xml:space="preserve">Bank’s </w:t>
      </w:r>
      <w:r w:rsidR="002E3BDD" w:rsidRPr="00425CEA">
        <w:t>Payment</w:t>
      </w:r>
      <w:r w:rsidR="004B7F19" w:rsidRPr="00425CEA">
        <w:t>s</w:t>
      </w:r>
      <w:r w:rsidR="002E3BDD" w:rsidRPr="00425CEA">
        <w:t xml:space="preserve"> System Board (the PSB) </w:t>
      </w:r>
      <w:r w:rsidR="00B20D6E" w:rsidRPr="00425CEA">
        <w:t>as</w:t>
      </w:r>
      <w:r w:rsidRPr="00425CEA">
        <w:t xml:space="preserve"> best </w:t>
      </w:r>
      <w:r w:rsidR="00B20D6E" w:rsidRPr="00425CEA">
        <w:t>serving</w:t>
      </w:r>
      <w:r w:rsidRPr="00425CEA">
        <w:t xml:space="preserve"> the public interest. </w:t>
      </w:r>
      <w:r w:rsidR="00B52F43">
        <w:t xml:space="preserve">In accordance with its obligations under section 28 of the </w:t>
      </w:r>
      <w:r w:rsidR="00B52F43">
        <w:rPr>
          <w:i/>
        </w:rPr>
        <w:t xml:space="preserve">Payment Systems </w:t>
      </w:r>
      <w:r w:rsidR="00B52F43">
        <w:rPr>
          <w:i/>
        </w:rPr>
        <w:lastRenderedPageBreak/>
        <w:t xml:space="preserve">(Regulation) Act </w:t>
      </w:r>
      <w:r w:rsidR="00B52F43" w:rsidRPr="00254B83">
        <w:rPr>
          <w:i/>
        </w:rPr>
        <w:t>1998</w:t>
      </w:r>
      <w:r w:rsidR="00B52F43">
        <w:t>, t</w:t>
      </w:r>
      <w:r w:rsidR="00B52F43" w:rsidRPr="00B52F43">
        <w:t>he</w:t>
      </w:r>
      <w:r w:rsidR="00B52F43">
        <w:t xml:space="preserve"> Bank published the draft variations to the Access Regimes in the Gazette on</w:t>
      </w:r>
      <w:r w:rsidR="006C74A5">
        <w:t xml:space="preserve"> 9 December 2013</w:t>
      </w:r>
      <w:r w:rsidR="00B52F43">
        <w:t xml:space="preserve"> and considered all submissions received in response. </w:t>
      </w:r>
      <w:r w:rsidR="002E3BDD" w:rsidRPr="00425CEA">
        <w:t xml:space="preserve">The </w:t>
      </w:r>
      <w:r w:rsidR="004B7F19" w:rsidRPr="00425CEA">
        <w:t>PSB’s</w:t>
      </w:r>
      <w:r w:rsidR="002E3BDD" w:rsidRPr="00425CEA">
        <w:t xml:space="preserve"> in-principle decision to vary the Access Regimes applying to the designated MasterCard and Visa </w:t>
      </w:r>
      <w:r w:rsidR="004B7F19" w:rsidRPr="00425CEA">
        <w:t xml:space="preserve">credit card </w:t>
      </w:r>
      <w:r w:rsidR="002E3BDD" w:rsidRPr="00425CEA">
        <w:t>systems in Australia was published on 7 March 2014.</w:t>
      </w:r>
    </w:p>
    <w:p w:rsidR="004E6611" w:rsidRDefault="008D3BD6" w:rsidP="004E6611">
      <w:pPr>
        <w:rPr>
          <w:b/>
          <w:sz w:val="24"/>
          <w:szCs w:val="24"/>
        </w:rPr>
      </w:pPr>
      <w:r>
        <w:rPr>
          <w:b/>
          <w:sz w:val="24"/>
          <w:szCs w:val="24"/>
        </w:rPr>
        <w:t xml:space="preserve">Consultation </w:t>
      </w:r>
      <w:r w:rsidR="004E6611" w:rsidRPr="00425CEA">
        <w:rPr>
          <w:b/>
          <w:sz w:val="24"/>
          <w:szCs w:val="24"/>
        </w:rPr>
        <w:t>Documents</w:t>
      </w:r>
    </w:p>
    <w:p w:rsidR="008D3BD6" w:rsidRPr="00F82B44" w:rsidRDefault="008D3BD6" w:rsidP="004E6611">
      <w:pPr>
        <w:rPr>
          <w:sz w:val="24"/>
          <w:szCs w:val="24"/>
        </w:rPr>
      </w:pPr>
      <w:r>
        <w:rPr>
          <w:sz w:val="24"/>
          <w:szCs w:val="24"/>
        </w:rPr>
        <w:t>Further information regarding the consultation process undertaken by the Bank may be found</w:t>
      </w:r>
      <w:r w:rsidR="00F665F1">
        <w:rPr>
          <w:sz w:val="24"/>
          <w:szCs w:val="24"/>
        </w:rPr>
        <w:t xml:space="preserve"> in the following documents:</w:t>
      </w:r>
    </w:p>
    <w:p w:rsidR="00302F81" w:rsidRPr="00425CEA" w:rsidRDefault="00302F81" w:rsidP="00302F81">
      <w:pPr>
        <w:pStyle w:val="ListParagraph"/>
        <w:numPr>
          <w:ilvl w:val="0"/>
          <w:numId w:val="6"/>
        </w:numPr>
        <w:jc w:val="left"/>
        <w:rPr>
          <w:sz w:val="24"/>
          <w:szCs w:val="24"/>
        </w:rPr>
      </w:pPr>
      <w:r w:rsidRPr="00425CEA">
        <w:rPr>
          <w:sz w:val="24"/>
          <w:szCs w:val="24"/>
        </w:rPr>
        <w:t xml:space="preserve">RBA (2014), </w:t>
      </w:r>
      <w:r w:rsidRPr="00425CEA">
        <w:rPr>
          <w:i/>
          <w:sz w:val="24"/>
          <w:szCs w:val="24"/>
        </w:rPr>
        <w:t>Variation to the MasterCard and Visa Access Regimes: Details-stage Regulation Impact Statement</w:t>
      </w:r>
      <w:r w:rsidRPr="00425CEA">
        <w:rPr>
          <w:sz w:val="24"/>
          <w:szCs w:val="24"/>
        </w:rPr>
        <w:t xml:space="preserve">, March. </w:t>
      </w:r>
    </w:p>
    <w:p w:rsidR="00302F81" w:rsidRPr="00425CEA" w:rsidRDefault="00302F81" w:rsidP="00302F81">
      <w:pPr>
        <w:pStyle w:val="ListParagraph"/>
        <w:jc w:val="left"/>
        <w:rPr>
          <w:sz w:val="24"/>
          <w:szCs w:val="24"/>
        </w:rPr>
      </w:pPr>
      <w:r w:rsidRPr="00425CEA">
        <w:rPr>
          <w:sz w:val="24"/>
          <w:szCs w:val="24"/>
        </w:rPr>
        <w:t>Available at &lt; http://www.rba.gov.au/payments-system/reforms/cc-schemes/201403-impact-stmt/index.html&gt;</w:t>
      </w:r>
    </w:p>
    <w:p w:rsidR="00302F81" w:rsidRPr="00425CEA" w:rsidRDefault="00302F81" w:rsidP="00302F81">
      <w:pPr>
        <w:pStyle w:val="ListParagraph"/>
        <w:jc w:val="left"/>
        <w:rPr>
          <w:b/>
          <w:sz w:val="24"/>
          <w:szCs w:val="24"/>
        </w:rPr>
      </w:pPr>
    </w:p>
    <w:p w:rsidR="002E3BDD" w:rsidRPr="00425CEA" w:rsidRDefault="00302F81" w:rsidP="00302F81">
      <w:pPr>
        <w:pStyle w:val="ListParagraph"/>
        <w:numPr>
          <w:ilvl w:val="0"/>
          <w:numId w:val="6"/>
        </w:numPr>
        <w:jc w:val="left"/>
        <w:rPr>
          <w:sz w:val="24"/>
          <w:szCs w:val="24"/>
        </w:rPr>
      </w:pPr>
      <w:r w:rsidRPr="00425CEA">
        <w:rPr>
          <w:sz w:val="24"/>
          <w:szCs w:val="24"/>
        </w:rPr>
        <w:t xml:space="preserve">RBA (2014), </w:t>
      </w:r>
      <w:r w:rsidRPr="00425CEA">
        <w:rPr>
          <w:i/>
          <w:sz w:val="24"/>
          <w:szCs w:val="24"/>
        </w:rPr>
        <w:t>Payment Card Access Regimes: Conclusions</w:t>
      </w:r>
      <w:r w:rsidRPr="00425CEA">
        <w:rPr>
          <w:sz w:val="24"/>
          <w:szCs w:val="24"/>
        </w:rPr>
        <w:t xml:space="preserve">, March. </w:t>
      </w:r>
    </w:p>
    <w:p w:rsidR="00302F81" w:rsidRPr="00425CEA" w:rsidRDefault="00302F81" w:rsidP="00302F81">
      <w:pPr>
        <w:pStyle w:val="ListParagraph"/>
        <w:jc w:val="left"/>
        <w:rPr>
          <w:sz w:val="24"/>
          <w:szCs w:val="24"/>
        </w:rPr>
      </w:pPr>
      <w:r w:rsidRPr="00425CEA">
        <w:rPr>
          <w:sz w:val="24"/>
          <w:szCs w:val="24"/>
        </w:rPr>
        <w:t>Available at &lt;http://www.rba.gov.au/payments-system/reforms/cc-schemes/201403-impact-stmt/conclusions/index.html&gt;</w:t>
      </w:r>
    </w:p>
    <w:p w:rsidR="00302F81" w:rsidRPr="00425CEA" w:rsidRDefault="00302F81" w:rsidP="00302F81">
      <w:pPr>
        <w:pStyle w:val="ListParagraph"/>
        <w:jc w:val="left"/>
        <w:rPr>
          <w:sz w:val="24"/>
          <w:szCs w:val="24"/>
        </w:rPr>
      </w:pPr>
    </w:p>
    <w:p w:rsidR="00302F81" w:rsidRPr="00425CEA" w:rsidRDefault="00302F81" w:rsidP="00302F81">
      <w:pPr>
        <w:pStyle w:val="ListParagraph"/>
        <w:numPr>
          <w:ilvl w:val="0"/>
          <w:numId w:val="6"/>
        </w:numPr>
        <w:jc w:val="left"/>
        <w:rPr>
          <w:sz w:val="24"/>
          <w:szCs w:val="24"/>
        </w:rPr>
      </w:pPr>
      <w:r w:rsidRPr="00425CEA">
        <w:rPr>
          <w:sz w:val="24"/>
          <w:szCs w:val="24"/>
        </w:rPr>
        <w:t xml:space="preserve">RBA (2013), </w:t>
      </w:r>
      <w:r w:rsidRPr="00425CEA">
        <w:rPr>
          <w:i/>
          <w:sz w:val="24"/>
          <w:szCs w:val="24"/>
        </w:rPr>
        <w:t>Proposed Variations to the MasterCard and Visa Access Regimes: Consultation Document</w:t>
      </w:r>
      <w:r w:rsidRPr="00425CEA">
        <w:rPr>
          <w:sz w:val="24"/>
          <w:szCs w:val="24"/>
        </w:rPr>
        <w:t xml:space="preserve">, December. </w:t>
      </w:r>
    </w:p>
    <w:p w:rsidR="00302F81" w:rsidRPr="00425CEA" w:rsidRDefault="00302F81" w:rsidP="00302F81">
      <w:pPr>
        <w:pStyle w:val="ListParagraph"/>
        <w:jc w:val="left"/>
        <w:rPr>
          <w:sz w:val="24"/>
          <w:szCs w:val="24"/>
        </w:rPr>
      </w:pPr>
      <w:r w:rsidRPr="00425CEA">
        <w:rPr>
          <w:sz w:val="24"/>
          <w:szCs w:val="24"/>
        </w:rPr>
        <w:t>Available at &lt; http://www.rba.gov.au/publications/consultations/20131206-prop-variations-to-mc-visa-access-regimes/index.html&gt;</w:t>
      </w:r>
    </w:p>
    <w:p w:rsidR="00302F81" w:rsidRPr="00425CEA" w:rsidRDefault="00302F81" w:rsidP="00302F81">
      <w:pPr>
        <w:pStyle w:val="ListParagraph"/>
        <w:jc w:val="left"/>
        <w:rPr>
          <w:sz w:val="24"/>
          <w:szCs w:val="24"/>
        </w:rPr>
      </w:pPr>
    </w:p>
    <w:p w:rsidR="00302F81" w:rsidRPr="00425CEA" w:rsidRDefault="00302F81" w:rsidP="00302F81">
      <w:pPr>
        <w:pStyle w:val="ListParagraph"/>
        <w:numPr>
          <w:ilvl w:val="0"/>
          <w:numId w:val="6"/>
        </w:numPr>
        <w:jc w:val="left"/>
        <w:rPr>
          <w:sz w:val="24"/>
          <w:szCs w:val="24"/>
        </w:rPr>
      </w:pPr>
      <w:r w:rsidRPr="00425CEA">
        <w:rPr>
          <w:sz w:val="24"/>
          <w:szCs w:val="24"/>
        </w:rPr>
        <w:t xml:space="preserve">RBA (2013), </w:t>
      </w:r>
      <w:r w:rsidRPr="00425CEA">
        <w:rPr>
          <w:i/>
          <w:sz w:val="24"/>
          <w:szCs w:val="24"/>
        </w:rPr>
        <w:t>Review of Card System Access Regimes: A Consultation Document</w:t>
      </w:r>
      <w:r w:rsidRPr="00425CEA">
        <w:rPr>
          <w:sz w:val="24"/>
          <w:szCs w:val="24"/>
        </w:rPr>
        <w:t xml:space="preserve">, March. </w:t>
      </w:r>
    </w:p>
    <w:p w:rsidR="00302F81" w:rsidRPr="00425CEA" w:rsidRDefault="00302F81" w:rsidP="00302F81">
      <w:pPr>
        <w:pStyle w:val="ListParagraph"/>
        <w:jc w:val="left"/>
        <w:rPr>
          <w:sz w:val="24"/>
          <w:szCs w:val="24"/>
        </w:rPr>
      </w:pPr>
      <w:r w:rsidRPr="00425CEA">
        <w:rPr>
          <w:sz w:val="24"/>
          <w:szCs w:val="24"/>
        </w:rPr>
        <w:t>Available at &lt; http://www.rba.gov.au/publications/consultations/201305-review-card-sys-access-regimes/index.html&gt;</w:t>
      </w:r>
    </w:p>
    <w:p w:rsidR="004E6611" w:rsidRPr="00425CEA" w:rsidRDefault="004E6611" w:rsidP="004E6611">
      <w:pPr>
        <w:rPr>
          <w:b/>
          <w:sz w:val="24"/>
          <w:szCs w:val="24"/>
        </w:rPr>
      </w:pPr>
    </w:p>
    <w:p w:rsidR="004E6611" w:rsidRPr="004E6611" w:rsidRDefault="004E6611" w:rsidP="004E6611">
      <w:pPr>
        <w:rPr>
          <w:b/>
        </w:rPr>
      </w:pPr>
    </w:p>
    <w:p w:rsidR="006A4FEF" w:rsidRPr="00F425F1" w:rsidRDefault="006A4FEF" w:rsidP="006A4FEF">
      <w:pPr>
        <w:spacing w:after="0"/>
        <w:rPr>
          <w:sz w:val="24"/>
          <w:szCs w:val="24"/>
        </w:rPr>
      </w:pPr>
      <w:r w:rsidRPr="00F425F1">
        <w:rPr>
          <w:sz w:val="24"/>
          <w:szCs w:val="24"/>
        </w:rPr>
        <w:t>Reserve Bank of Australia</w:t>
      </w:r>
    </w:p>
    <w:p w:rsidR="006A4FEF" w:rsidRPr="00F425F1" w:rsidRDefault="006A4FEF" w:rsidP="006A4FEF">
      <w:pPr>
        <w:rPr>
          <w:sz w:val="24"/>
          <w:szCs w:val="24"/>
        </w:rPr>
      </w:pPr>
      <w:r w:rsidRPr="00F425F1">
        <w:rPr>
          <w:sz w:val="24"/>
          <w:szCs w:val="24"/>
        </w:rPr>
        <w:t>SYDNEY</w:t>
      </w:r>
    </w:p>
    <w:p w:rsidR="00722CF0" w:rsidRDefault="00DC02B9" w:rsidP="00643615">
      <w:r w:rsidRPr="00C25D0E">
        <w:rPr>
          <w:sz w:val="24"/>
          <w:szCs w:val="24"/>
        </w:rPr>
        <w:t>15</w:t>
      </w:r>
      <w:r w:rsidR="009C5F96" w:rsidRPr="00C25D0E">
        <w:rPr>
          <w:sz w:val="24"/>
          <w:szCs w:val="24"/>
        </w:rPr>
        <w:t xml:space="preserve"> December 2014</w:t>
      </w:r>
    </w:p>
    <w:p w:rsidR="00234676" w:rsidRDefault="00234676"/>
    <w:sectPr w:rsidR="00234676" w:rsidSect="00234676">
      <w:headerReference w:type="even" r:id="rId9"/>
      <w:headerReference w:type="default" r:id="rId10"/>
      <w:footerReference w:type="even" r:id="rId11"/>
      <w:footerReference w:type="default" r:id="rId12"/>
      <w:headerReference w:type="first" r:id="rId13"/>
      <w:footerReference w:type="first" r:id="rId14"/>
      <w:pgSz w:w="11907" w:h="16840" w:code="9"/>
      <w:pgMar w:top="1134" w:right="1418"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38C" w:rsidRDefault="008A238C" w:rsidP="004A5202">
      <w:pPr>
        <w:spacing w:after="0"/>
      </w:pPr>
      <w:r>
        <w:separator/>
      </w:r>
    </w:p>
  </w:endnote>
  <w:endnote w:type="continuationSeparator" w:id="0">
    <w:p w:rsidR="008A238C" w:rsidRDefault="008A238C" w:rsidP="004A52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E04" w:rsidRDefault="00F00E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E04" w:rsidRDefault="00F00E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E04" w:rsidRDefault="00F00E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38C" w:rsidRDefault="008A238C" w:rsidP="004A5202">
      <w:pPr>
        <w:spacing w:after="0"/>
      </w:pPr>
      <w:r>
        <w:separator/>
      </w:r>
    </w:p>
  </w:footnote>
  <w:footnote w:type="continuationSeparator" w:id="0">
    <w:p w:rsidR="008A238C" w:rsidRDefault="008A238C" w:rsidP="004A520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E04" w:rsidRDefault="00F00E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E04" w:rsidRDefault="00F00E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E04" w:rsidRDefault="00F00E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D75A0"/>
    <w:multiLevelType w:val="hybridMultilevel"/>
    <w:tmpl w:val="8CEE1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E1C6FCB"/>
    <w:multiLevelType w:val="hybridMultilevel"/>
    <w:tmpl w:val="219A6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58C4D86"/>
    <w:multiLevelType w:val="hybridMultilevel"/>
    <w:tmpl w:val="A0D80064"/>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3">
    <w:nsid w:val="469B6FEB"/>
    <w:multiLevelType w:val="hybridMultilevel"/>
    <w:tmpl w:val="9F761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432283A"/>
    <w:multiLevelType w:val="hybridMultilevel"/>
    <w:tmpl w:val="0B9EF6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86922A9"/>
    <w:multiLevelType w:val="hybridMultilevel"/>
    <w:tmpl w:val="DF2A0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FEF"/>
    <w:rsid w:val="000F42C9"/>
    <w:rsid w:val="00155277"/>
    <w:rsid w:val="001F5419"/>
    <w:rsid w:val="00201783"/>
    <w:rsid w:val="002051EB"/>
    <w:rsid w:val="00221EF0"/>
    <w:rsid w:val="00234676"/>
    <w:rsid w:val="00254B83"/>
    <w:rsid w:val="00260B49"/>
    <w:rsid w:val="00262184"/>
    <w:rsid w:val="002B7476"/>
    <w:rsid w:val="002E3BDD"/>
    <w:rsid w:val="00302F81"/>
    <w:rsid w:val="003157E0"/>
    <w:rsid w:val="0032372A"/>
    <w:rsid w:val="003515AD"/>
    <w:rsid w:val="00362B36"/>
    <w:rsid w:val="00376AF1"/>
    <w:rsid w:val="003B0D50"/>
    <w:rsid w:val="003C49D6"/>
    <w:rsid w:val="00425CEA"/>
    <w:rsid w:val="004459F9"/>
    <w:rsid w:val="00474860"/>
    <w:rsid w:val="004A5202"/>
    <w:rsid w:val="004B7F19"/>
    <w:rsid w:val="004D748A"/>
    <w:rsid w:val="004E2DC8"/>
    <w:rsid w:val="004E6611"/>
    <w:rsid w:val="004F0BD4"/>
    <w:rsid w:val="004F454D"/>
    <w:rsid w:val="00536601"/>
    <w:rsid w:val="005515D6"/>
    <w:rsid w:val="00580C67"/>
    <w:rsid w:val="00600543"/>
    <w:rsid w:val="006048E8"/>
    <w:rsid w:val="00625E80"/>
    <w:rsid w:val="00643615"/>
    <w:rsid w:val="00646A35"/>
    <w:rsid w:val="00670CF3"/>
    <w:rsid w:val="00675EC9"/>
    <w:rsid w:val="006A4FEF"/>
    <w:rsid w:val="006C74A5"/>
    <w:rsid w:val="00722CF0"/>
    <w:rsid w:val="007335D0"/>
    <w:rsid w:val="007424AB"/>
    <w:rsid w:val="00750E8C"/>
    <w:rsid w:val="007603EB"/>
    <w:rsid w:val="007C4BC2"/>
    <w:rsid w:val="007C4F40"/>
    <w:rsid w:val="00806398"/>
    <w:rsid w:val="00835BA6"/>
    <w:rsid w:val="008644A2"/>
    <w:rsid w:val="008A238C"/>
    <w:rsid w:val="008A5C81"/>
    <w:rsid w:val="008C61DC"/>
    <w:rsid w:val="008D3BD6"/>
    <w:rsid w:val="009143B2"/>
    <w:rsid w:val="00986713"/>
    <w:rsid w:val="00990883"/>
    <w:rsid w:val="00995E0D"/>
    <w:rsid w:val="009B2C9D"/>
    <w:rsid w:val="009B55FC"/>
    <w:rsid w:val="009C5F96"/>
    <w:rsid w:val="009D1590"/>
    <w:rsid w:val="009E6B0E"/>
    <w:rsid w:val="00A63CAA"/>
    <w:rsid w:val="00A8274C"/>
    <w:rsid w:val="00A845DB"/>
    <w:rsid w:val="00AB0ADF"/>
    <w:rsid w:val="00AC00FD"/>
    <w:rsid w:val="00AC0B31"/>
    <w:rsid w:val="00AF1C23"/>
    <w:rsid w:val="00B03C51"/>
    <w:rsid w:val="00B11A69"/>
    <w:rsid w:val="00B20D6E"/>
    <w:rsid w:val="00B22240"/>
    <w:rsid w:val="00B3057E"/>
    <w:rsid w:val="00B52F43"/>
    <w:rsid w:val="00BA171F"/>
    <w:rsid w:val="00BB1BE5"/>
    <w:rsid w:val="00C019C0"/>
    <w:rsid w:val="00C16BAF"/>
    <w:rsid w:val="00C25D0E"/>
    <w:rsid w:val="00C51917"/>
    <w:rsid w:val="00CC4D5E"/>
    <w:rsid w:val="00D11CAB"/>
    <w:rsid w:val="00D24529"/>
    <w:rsid w:val="00D8628D"/>
    <w:rsid w:val="00DA243E"/>
    <w:rsid w:val="00DC02B9"/>
    <w:rsid w:val="00DC72AA"/>
    <w:rsid w:val="00DE7E1B"/>
    <w:rsid w:val="00E24EAC"/>
    <w:rsid w:val="00E53178"/>
    <w:rsid w:val="00E625B3"/>
    <w:rsid w:val="00E86A67"/>
    <w:rsid w:val="00E94823"/>
    <w:rsid w:val="00EB6D84"/>
    <w:rsid w:val="00EE39F6"/>
    <w:rsid w:val="00EF6B91"/>
    <w:rsid w:val="00F00E04"/>
    <w:rsid w:val="00F11597"/>
    <w:rsid w:val="00F425F1"/>
    <w:rsid w:val="00F50C6C"/>
    <w:rsid w:val="00F665F1"/>
    <w:rsid w:val="00F82B44"/>
    <w:rsid w:val="00FA79F2"/>
    <w:rsid w:val="00FC7F5A"/>
    <w:rsid w:val="00FD51FA"/>
    <w:rsid w:val="00FE68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FEF"/>
    <w:pPr>
      <w:spacing w:after="240"/>
      <w:jc w:val="both"/>
    </w:pPr>
    <w:rPr>
      <w:sz w:val="26"/>
    </w:rPr>
  </w:style>
  <w:style w:type="paragraph" w:styleId="Heading1">
    <w:name w:val="heading 1"/>
    <w:basedOn w:val="BaseHeading"/>
    <w:next w:val="Normal"/>
    <w:qFormat/>
    <w:rsid w:val="00234676"/>
    <w:pPr>
      <w:outlineLvl w:val="0"/>
    </w:pPr>
    <w:rPr>
      <w:caps/>
    </w:rPr>
  </w:style>
  <w:style w:type="paragraph" w:styleId="Heading2">
    <w:name w:val="heading 2"/>
    <w:basedOn w:val="BaseHeading"/>
    <w:next w:val="Normal"/>
    <w:qFormat/>
    <w:rsid w:val="00234676"/>
    <w:pPr>
      <w:outlineLvl w:val="1"/>
    </w:pPr>
  </w:style>
  <w:style w:type="paragraph" w:styleId="Heading3">
    <w:name w:val="heading 3"/>
    <w:basedOn w:val="BaseHeading"/>
    <w:next w:val="Normal"/>
    <w:link w:val="Heading3Char"/>
    <w:qFormat/>
    <w:rsid w:val="00234676"/>
    <w:pPr>
      <w:outlineLvl w:val="2"/>
    </w:pPr>
  </w:style>
  <w:style w:type="paragraph" w:styleId="Heading4">
    <w:name w:val="heading 4"/>
    <w:basedOn w:val="BaseHeading"/>
    <w:next w:val="Normal"/>
    <w:qFormat/>
    <w:rsid w:val="00234676"/>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HangIndent">
    <w:name w:val="BaseHangIndent"/>
    <w:basedOn w:val="Normal"/>
    <w:rsid w:val="00234676"/>
  </w:style>
  <w:style w:type="paragraph" w:customStyle="1" w:styleId="BaseHeading">
    <w:name w:val="BaseHeading"/>
    <w:basedOn w:val="Normal"/>
    <w:rsid w:val="00234676"/>
    <w:pPr>
      <w:keepNext/>
    </w:pPr>
    <w:rPr>
      <w:b/>
    </w:rPr>
  </w:style>
  <w:style w:type="paragraph" w:customStyle="1" w:styleId="BaseIndent">
    <w:name w:val="BaseIndent"/>
    <w:basedOn w:val="Normal"/>
    <w:rsid w:val="00234676"/>
  </w:style>
  <w:style w:type="paragraph" w:customStyle="1" w:styleId="BaseTable">
    <w:name w:val="BaseTable"/>
    <w:basedOn w:val="Normal"/>
    <w:rsid w:val="00234676"/>
  </w:style>
  <w:style w:type="paragraph" w:customStyle="1" w:styleId="Draft">
    <w:name w:val="Draft"/>
    <w:basedOn w:val="Normal"/>
    <w:rsid w:val="00234676"/>
    <w:rPr>
      <w:b/>
    </w:rPr>
  </w:style>
  <w:style w:type="paragraph" w:customStyle="1" w:styleId="FileName">
    <w:name w:val="FileName"/>
    <w:basedOn w:val="Normal"/>
    <w:rsid w:val="00234676"/>
    <w:pPr>
      <w:framePr w:hSpace="181" w:wrap="around" w:hAnchor="text" w:yAlign="bottom"/>
    </w:pPr>
    <w:rPr>
      <w:sz w:val="18"/>
    </w:rPr>
  </w:style>
  <w:style w:type="paragraph" w:styleId="Footer">
    <w:name w:val="footer"/>
    <w:basedOn w:val="Normal"/>
    <w:semiHidden/>
    <w:rsid w:val="00234676"/>
    <w:pPr>
      <w:tabs>
        <w:tab w:val="right" w:pos="9072"/>
      </w:tabs>
      <w:spacing w:before="240"/>
    </w:pPr>
  </w:style>
  <w:style w:type="paragraph" w:customStyle="1" w:styleId="HangIndent0">
    <w:name w:val="HangIndent_0"/>
    <w:basedOn w:val="BaseHangIndent"/>
    <w:rsid w:val="00234676"/>
    <w:pPr>
      <w:ind w:left="567" w:hanging="567"/>
    </w:pPr>
  </w:style>
  <w:style w:type="paragraph" w:customStyle="1" w:styleId="HangIndent1">
    <w:name w:val="HangIndent_1"/>
    <w:basedOn w:val="BaseHangIndent"/>
    <w:rsid w:val="00234676"/>
    <w:pPr>
      <w:ind w:left="1134" w:hanging="567"/>
    </w:pPr>
  </w:style>
  <w:style w:type="paragraph" w:customStyle="1" w:styleId="HangIndent2">
    <w:name w:val="HangIndent_2"/>
    <w:basedOn w:val="BaseHangIndent"/>
    <w:rsid w:val="00234676"/>
    <w:pPr>
      <w:ind w:left="1701" w:hanging="567"/>
    </w:pPr>
  </w:style>
  <w:style w:type="paragraph" w:customStyle="1" w:styleId="HangIndent3">
    <w:name w:val="HangIndent_3"/>
    <w:basedOn w:val="BaseHangIndent"/>
    <w:rsid w:val="00234676"/>
    <w:pPr>
      <w:ind w:left="2268" w:hanging="567"/>
    </w:pPr>
  </w:style>
  <w:style w:type="paragraph" w:customStyle="1" w:styleId="HangIndent325">
    <w:name w:val="HangIndent_3.25"/>
    <w:basedOn w:val="BaseHangIndent"/>
    <w:rsid w:val="00234676"/>
    <w:pPr>
      <w:ind w:left="2410" w:hanging="567"/>
    </w:pPr>
  </w:style>
  <w:style w:type="paragraph" w:styleId="Header">
    <w:name w:val="header"/>
    <w:basedOn w:val="Normal"/>
    <w:semiHidden/>
    <w:rsid w:val="00234676"/>
    <w:pPr>
      <w:tabs>
        <w:tab w:val="right" w:pos="9072"/>
      </w:tabs>
    </w:pPr>
  </w:style>
  <w:style w:type="paragraph" w:customStyle="1" w:styleId="Heading">
    <w:name w:val="Heading"/>
    <w:basedOn w:val="BaseHeading"/>
    <w:next w:val="Normal"/>
    <w:rsid w:val="00234676"/>
  </w:style>
  <w:style w:type="paragraph" w:customStyle="1" w:styleId="Indent0">
    <w:name w:val="Indent_0"/>
    <w:basedOn w:val="BaseIndent"/>
    <w:rsid w:val="00234676"/>
  </w:style>
  <w:style w:type="paragraph" w:customStyle="1" w:styleId="Indent1">
    <w:name w:val="Indent_1"/>
    <w:basedOn w:val="BaseIndent"/>
    <w:rsid w:val="00234676"/>
    <w:pPr>
      <w:ind w:left="567"/>
    </w:pPr>
  </w:style>
  <w:style w:type="paragraph" w:customStyle="1" w:styleId="Indent2">
    <w:name w:val="Indent_2"/>
    <w:basedOn w:val="BaseIndent"/>
    <w:rsid w:val="00234676"/>
    <w:pPr>
      <w:ind w:left="1134"/>
    </w:pPr>
  </w:style>
  <w:style w:type="paragraph" w:customStyle="1" w:styleId="Indent3">
    <w:name w:val="Indent_3"/>
    <w:basedOn w:val="BaseIndent"/>
    <w:rsid w:val="00234676"/>
    <w:pPr>
      <w:ind w:left="1701"/>
    </w:pPr>
  </w:style>
  <w:style w:type="paragraph" w:customStyle="1" w:styleId="Indent325">
    <w:name w:val="Indent_3.25"/>
    <w:basedOn w:val="BaseIndent"/>
    <w:rsid w:val="00234676"/>
    <w:pPr>
      <w:ind w:left="1843"/>
    </w:pPr>
  </w:style>
  <w:style w:type="paragraph" w:styleId="MacroText">
    <w:name w:val="macro"/>
    <w:semiHidden/>
    <w:rsid w:val="00234676"/>
    <w:pPr>
      <w:tabs>
        <w:tab w:val="left" w:pos="567"/>
        <w:tab w:val="left" w:pos="1134"/>
        <w:tab w:val="left" w:pos="1701"/>
        <w:tab w:val="left" w:pos="2268"/>
        <w:tab w:val="left" w:pos="2835"/>
        <w:tab w:val="left" w:pos="3402"/>
        <w:tab w:val="left" w:pos="3969"/>
        <w:tab w:val="left" w:pos="4536"/>
      </w:tabs>
    </w:pPr>
    <w:rPr>
      <w:sz w:val="22"/>
    </w:rPr>
  </w:style>
  <w:style w:type="paragraph" w:customStyle="1" w:styleId="Messages">
    <w:name w:val="Messages"/>
    <w:basedOn w:val="Normal"/>
    <w:rsid w:val="00234676"/>
    <w:rPr>
      <w:vanish/>
      <w:color w:val="FF0000"/>
      <w:sz w:val="48"/>
    </w:rPr>
  </w:style>
  <w:style w:type="paragraph" w:customStyle="1" w:styleId="Signatory">
    <w:name w:val="Signatory"/>
    <w:basedOn w:val="Normal"/>
    <w:next w:val="Indent0"/>
    <w:rsid w:val="00234676"/>
    <w:pPr>
      <w:spacing w:before="1200"/>
    </w:pPr>
  </w:style>
  <w:style w:type="paragraph" w:customStyle="1" w:styleId="Table">
    <w:name w:val="Table"/>
    <w:basedOn w:val="BaseTable"/>
    <w:rsid w:val="00234676"/>
    <w:pPr>
      <w:spacing w:before="60" w:after="60"/>
    </w:pPr>
  </w:style>
  <w:style w:type="paragraph" w:styleId="TOC1">
    <w:name w:val="toc 1"/>
    <w:basedOn w:val="Normal"/>
    <w:next w:val="Normal"/>
    <w:autoRedefine/>
    <w:semiHidden/>
    <w:rsid w:val="00234676"/>
    <w:pPr>
      <w:tabs>
        <w:tab w:val="right" w:pos="9071"/>
      </w:tabs>
      <w:spacing w:before="360" w:after="0"/>
      <w:ind w:left="567" w:hanging="567"/>
    </w:pPr>
    <w:rPr>
      <w:b/>
      <w:caps/>
    </w:rPr>
  </w:style>
  <w:style w:type="paragraph" w:styleId="TOC2">
    <w:name w:val="toc 2"/>
    <w:basedOn w:val="Normal"/>
    <w:next w:val="Normal"/>
    <w:autoRedefine/>
    <w:semiHidden/>
    <w:rsid w:val="00234676"/>
    <w:pPr>
      <w:tabs>
        <w:tab w:val="right" w:leader="dot" w:pos="9071"/>
      </w:tabs>
      <w:spacing w:after="0"/>
      <w:ind w:left="851" w:hanging="851"/>
    </w:pPr>
  </w:style>
  <w:style w:type="paragraph" w:styleId="TOC3">
    <w:name w:val="toc 3"/>
    <w:basedOn w:val="Normal"/>
    <w:next w:val="Normal"/>
    <w:autoRedefine/>
    <w:semiHidden/>
    <w:rsid w:val="00234676"/>
    <w:pPr>
      <w:tabs>
        <w:tab w:val="right" w:leader="dot" w:pos="9071"/>
      </w:tabs>
      <w:spacing w:after="0"/>
      <w:ind w:left="851" w:hanging="851"/>
    </w:pPr>
    <w:rPr>
      <w:sz w:val="20"/>
    </w:rPr>
  </w:style>
  <w:style w:type="paragraph" w:styleId="TOC4">
    <w:name w:val="toc 4"/>
    <w:basedOn w:val="Normal"/>
    <w:next w:val="Normal"/>
    <w:autoRedefine/>
    <w:semiHidden/>
    <w:rsid w:val="00234676"/>
    <w:pPr>
      <w:tabs>
        <w:tab w:val="right" w:leader="dot" w:pos="9071"/>
      </w:tabs>
      <w:spacing w:after="0"/>
      <w:ind w:left="520"/>
    </w:pPr>
    <w:rPr>
      <w:sz w:val="18"/>
    </w:rPr>
  </w:style>
  <w:style w:type="character" w:customStyle="1" w:styleId="Heading3Char">
    <w:name w:val="Heading 3 Char"/>
    <w:basedOn w:val="DefaultParagraphFont"/>
    <w:link w:val="Heading3"/>
    <w:rsid w:val="006A4FEF"/>
    <w:rPr>
      <w:b/>
      <w:sz w:val="26"/>
    </w:rPr>
  </w:style>
  <w:style w:type="paragraph" w:styleId="ListParagraph">
    <w:name w:val="List Paragraph"/>
    <w:basedOn w:val="Normal"/>
    <w:uiPriority w:val="34"/>
    <w:qFormat/>
    <w:rsid w:val="006A4FEF"/>
    <w:pPr>
      <w:ind w:left="720"/>
      <w:contextualSpacing/>
    </w:pPr>
  </w:style>
  <w:style w:type="paragraph" w:styleId="BalloonText">
    <w:name w:val="Balloon Text"/>
    <w:basedOn w:val="Normal"/>
    <w:link w:val="BalloonTextChar"/>
    <w:uiPriority w:val="99"/>
    <w:semiHidden/>
    <w:unhideWhenUsed/>
    <w:rsid w:val="006A4FE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FEF"/>
    <w:rPr>
      <w:rFonts w:ascii="Tahoma" w:hAnsi="Tahoma" w:cs="Tahoma"/>
      <w:sz w:val="16"/>
      <w:szCs w:val="16"/>
    </w:rPr>
  </w:style>
  <w:style w:type="character" w:styleId="Hyperlink">
    <w:name w:val="Hyperlink"/>
    <w:basedOn w:val="DefaultParagraphFont"/>
    <w:uiPriority w:val="99"/>
    <w:unhideWhenUsed/>
    <w:rsid w:val="006A4FEF"/>
    <w:rPr>
      <w:color w:val="0000FF" w:themeColor="hyperlink"/>
      <w:u w:val="single"/>
    </w:rPr>
  </w:style>
  <w:style w:type="paragraph" w:styleId="FootnoteText">
    <w:name w:val="footnote text"/>
    <w:basedOn w:val="Normal"/>
    <w:link w:val="FootnoteTextChar"/>
    <w:uiPriority w:val="99"/>
    <w:unhideWhenUsed/>
    <w:rsid w:val="004A5202"/>
    <w:pPr>
      <w:spacing w:after="0"/>
    </w:pPr>
    <w:rPr>
      <w:sz w:val="20"/>
    </w:rPr>
  </w:style>
  <w:style w:type="character" w:customStyle="1" w:styleId="FootnoteTextChar">
    <w:name w:val="Footnote Text Char"/>
    <w:basedOn w:val="DefaultParagraphFont"/>
    <w:link w:val="FootnoteText"/>
    <w:uiPriority w:val="99"/>
    <w:rsid w:val="004A5202"/>
  </w:style>
  <w:style w:type="character" w:styleId="FootnoteReference">
    <w:name w:val="footnote reference"/>
    <w:basedOn w:val="DefaultParagraphFont"/>
    <w:uiPriority w:val="99"/>
    <w:semiHidden/>
    <w:unhideWhenUsed/>
    <w:rsid w:val="004A5202"/>
    <w:rPr>
      <w:vertAlign w:val="superscript"/>
    </w:rPr>
  </w:style>
  <w:style w:type="paragraph" w:styleId="NormalWeb">
    <w:name w:val="Normal (Web)"/>
    <w:basedOn w:val="Normal"/>
    <w:uiPriority w:val="99"/>
    <w:semiHidden/>
    <w:unhideWhenUsed/>
    <w:rsid w:val="004E6611"/>
    <w:pPr>
      <w:spacing w:before="100" w:beforeAutospacing="1" w:after="100" w:afterAutospacing="1"/>
      <w:jc w:val="left"/>
    </w:pPr>
    <w:rPr>
      <w:sz w:val="24"/>
      <w:szCs w:val="24"/>
    </w:rPr>
  </w:style>
  <w:style w:type="character" w:styleId="Emphasis">
    <w:name w:val="Emphasis"/>
    <w:basedOn w:val="DefaultParagraphFont"/>
    <w:uiPriority w:val="20"/>
    <w:qFormat/>
    <w:rsid w:val="004E6611"/>
    <w:rPr>
      <w:i/>
      <w:iCs/>
    </w:rPr>
  </w:style>
  <w:style w:type="character" w:styleId="CommentReference">
    <w:name w:val="annotation reference"/>
    <w:basedOn w:val="DefaultParagraphFont"/>
    <w:uiPriority w:val="99"/>
    <w:semiHidden/>
    <w:unhideWhenUsed/>
    <w:rsid w:val="008D3BD6"/>
    <w:rPr>
      <w:sz w:val="16"/>
      <w:szCs w:val="16"/>
    </w:rPr>
  </w:style>
  <w:style w:type="paragraph" w:styleId="CommentText">
    <w:name w:val="annotation text"/>
    <w:basedOn w:val="Normal"/>
    <w:link w:val="CommentTextChar"/>
    <w:uiPriority w:val="99"/>
    <w:semiHidden/>
    <w:unhideWhenUsed/>
    <w:rsid w:val="008D3BD6"/>
    <w:rPr>
      <w:sz w:val="20"/>
    </w:rPr>
  </w:style>
  <w:style w:type="character" w:customStyle="1" w:styleId="CommentTextChar">
    <w:name w:val="Comment Text Char"/>
    <w:basedOn w:val="DefaultParagraphFont"/>
    <w:link w:val="CommentText"/>
    <w:uiPriority w:val="99"/>
    <w:semiHidden/>
    <w:rsid w:val="008D3BD6"/>
  </w:style>
  <w:style w:type="paragraph" w:styleId="CommentSubject">
    <w:name w:val="annotation subject"/>
    <w:basedOn w:val="CommentText"/>
    <w:next w:val="CommentText"/>
    <w:link w:val="CommentSubjectChar"/>
    <w:uiPriority w:val="99"/>
    <w:semiHidden/>
    <w:unhideWhenUsed/>
    <w:rsid w:val="008D3BD6"/>
    <w:rPr>
      <w:b/>
      <w:bCs/>
    </w:rPr>
  </w:style>
  <w:style w:type="character" w:customStyle="1" w:styleId="CommentSubjectChar">
    <w:name w:val="Comment Subject Char"/>
    <w:basedOn w:val="CommentTextChar"/>
    <w:link w:val="CommentSubject"/>
    <w:uiPriority w:val="99"/>
    <w:semiHidden/>
    <w:rsid w:val="008D3BD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FEF"/>
    <w:pPr>
      <w:spacing w:after="240"/>
      <w:jc w:val="both"/>
    </w:pPr>
    <w:rPr>
      <w:sz w:val="26"/>
    </w:rPr>
  </w:style>
  <w:style w:type="paragraph" w:styleId="Heading1">
    <w:name w:val="heading 1"/>
    <w:basedOn w:val="BaseHeading"/>
    <w:next w:val="Normal"/>
    <w:qFormat/>
    <w:rsid w:val="00234676"/>
    <w:pPr>
      <w:outlineLvl w:val="0"/>
    </w:pPr>
    <w:rPr>
      <w:caps/>
    </w:rPr>
  </w:style>
  <w:style w:type="paragraph" w:styleId="Heading2">
    <w:name w:val="heading 2"/>
    <w:basedOn w:val="BaseHeading"/>
    <w:next w:val="Normal"/>
    <w:qFormat/>
    <w:rsid w:val="00234676"/>
    <w:pPr>
      <w:outlineLvl w:val="1"/>
    </w:pPr>
  </w:style>
  <w:style w:type="paragraph" w:styleId="Heading3">
    <w:name w:val="heading 3"/>
    <w:basedOn w:val="BaseHeading"/>
    <w:next w:val="Normal"/>
    <w:link w:val="Heading3Char"/>
    <w:qFormat/>
    <w:rsid w:val="00234676"/>
    <w:pPr>
      <w:outlineLvl w:val="2"/>
    </w:pPr>
  </w:style>
  <w:style w:type="paragraph" w:styleId="Heading4">
    <w:name w:val="heading 4"/>
    <w:basedOn w:val="BaseHeading"/>
    <w:next w:val="Normal"/>
    <w:qFormat/>
    <w:rsid w:val="00234676"/>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HangIndent">
    <w:name w:val="BaseHangIndent"/>
    <w:basedOn w:val="Normal"/>
    <w:rsid w:val="00234676"/>
  </w:style>
  <w:style w:type="paragraph" w:customStyle="1" w:styleId="BaseHeading">
    <w:name w:val="BaseHeading"/>
    <w:basedOn w:val="Normal"/>
    <w:rsid w:val="00234676"/>
    <w:pPr>
      <w:keepNext/>
    </w:pPr>
    <w:rPr>
      <w:b/>
    </w:rPr>
  </w:style>
  <w:style w:type="paragraph" w:customStyle="1" w:styleId="BaseIndent">
    <w:name w:val="BaseIndent"/>
    <w:basedOn w:val="Normal"/>
    <w:rsid w:val="00234676"/>
  </w:style>
  <w:style w:type="paragraph" w:customStyle="1" w:styleId="BaseTable">
    <w:name w:val="BaseTable"/>
    <w:basedOn w:val="Normal"/>
    <w:rsid w:val="00234676"/>
  </w:style>
  <w:style w:type="paragraph" w:customStyle="1" w:styleId="Draft">
    <w:name w:val="Draft"/>
    <w:basedOn w:val="Normal"/>
    <w:rsid w:val="00234676"/>
    <w:rPr>
      <w:b/>
    </w:rPr>
  </w:style>
  <w:style w:type="paragraph" w:customStyle="1" w:styleId="FileName">
    <w:name w:val="FileName"/>
    <w:basedOn w:val="Normal"/>
    <w:rsid w:val="00234676"/>
    <w:pPr>
      <w:framePr w:hSpace="181" w:wrap="around" w:hAnchor="text" w:yAlign="bottom"/>
    </w:pPr>
    <w:rPr>
      <w:sz w:val="18"/>
    </w:rPr>
  </w:style>
  <w:style w:type="paragraph" w:styleId="Footer">
    <w:name w:val="footer"/>
    <w:basedOn w:val="Normal"/>
    <w:semiHidden/>
    <w:rsid w:val="00234676"/>
    <w:pPr>
      <w:tabs>
        <w:tab w:val="right" w:pos="9072"/>
      </w:tabs>
      <w:spacing w:before="240"/>
    </w:pPr>
  </w:style>
  <w:style w:type="paragraph" w:customStyle="1" w:styleId="HangIndent0">
    <w:name w:val="HangIndent_0"/>
    <w:basedOn w:val="BaseHangIndent"/>
    <w:rsid w:val="00234676"/>
    <w:pPr>
      <w:ind w:left="567" w:hanging="567"/>
    </w:pPr>
  </w:style>
  <w:style w:type="paragraph" w:customStyle="1" w:styleId="HangIndent1">
    <w:name w:val="HangIndent_1"/>
    <w:basedOn w:val="BaseHangIndent"/>
    <w:rsid w:val="00234676"/>
    <w:pPr>
      <w:ind w:left="1134" w:hanging="567"/>
    </w:pPr>
  </w:style>
  <w:style w:type="paragraph" w:customStyle="1" w:styleId="HangIndent2">
    <w:name w:val="HangIndent_2"/>
    <w:basedOn w:val="BaseHangIndent"/>
    <w:rsid w:val="00234676"/>
    <w:pPr>
      <w:ind w:left="1701" w:hanging="567"/>
    </w:pPr>
  </w:style>
  <w:style w:type="paragraph" w:customStyle="1" w:styleId="HangIndent3">
    <w:name w:val="HangIndent_3"/>
    <w:basedOn w:val="BaseHangIndent"/>
    <w:rsid w:val="00234676"/>
    <w:pPr>
      <w:ind w:left="2268" w:hanging="567"/>
    </w:pPr>
  </w:style>
  <w:style w:type="paragraph" w:customStyle="1" w:styleId="HangIndent325">
    <w:name w:val="HangIndent_3.25"/>
    <w:basedOn w:val="BaseHangIndent"/>
    <w:rsid w:val="00234676"/>
    <w:pPr>
      <w:ind w:left="2410" w:hanging="567"/>
    </w:pPr>
  </w:style>
  <w:style w:type="paragraph" w:styleId="Header">
    <w:name w:val="header"/>
    <w:basedOn w:val="Normal"/>
    <w:semiHidden/>
    <w:rsid w:val="00234676"/>
    <w:pPr>
      <w:tabs>
        <w:tab w:val="right" w:pos="9072"/>
      </w:tabs>
    </w:pPr>
  </w:style>
  <w:style w:type="paragraph" w:customStyle="1" w:styleId="Heading">
    <w:name w:val="Heading"/>
    <w:basedOn w:val="BaseHeading"/>
    <w:next w:val="Normal"/>
    <w:rsid w:val="00234676"/>
  </w:style>
  <w:style w:type="paragraph" w:customStyle="1" w:styleId="Indent0">
    <w:name w:val="Indent_0"/>
    <w:basedOn w:val="BaseIndent"/>
    <w:rsid w:val="00234676"/>
  </w:style>
  <w:style w:type="paragraph" w:customStyle="1" w:styleId="Indent1">
    <w:name w:val="Indent_1"/>
    <w:basedOn w:val="BaseIndent"/>
    <w:rsid w:val="00234676"/>
    <w:pPr>
      <w:ind w:left="567"/>
    </w:pPr>
  </w:style>
  <w:style w:type="paragraph" w:customStyle="1" w:styleId="Indent2">
    <w:name w:val="Indent_2"/>
    <w:basedOn w:val="BaseIndent"/>
    <w:rsid w:val="00234676"/>
    <w:pPr>
      <w:ind w:left="1134"/>
    </w:pPr>
  </w:style>
  <w:style w:type="paragraph" w:customStyle="1" w:styleId="Indent3">
    <w:name w:val="Indent_3"/>
    <w:basedOn w:val="BaseIndent"/>
    <w:rsid w:val="00234676"/>
    <w:pPr>
      <w:ind w:left="1701"/>
    </w:pPr>
  </w:style>
  <w:style w:type="paragraph" w:customStyle="1" w:styleId="Indent325">
    <w:name w:val="Indent_3.25"/>
    <w:basedOn w:val="BaseIndent"/>
    <w:rsid w:val="00234676"/>
    <w:pPr>
      <w:ind w:left="1843"/>
    </w:pPr>
  </w:style>
  <w:style w:type="paragraph" w:styleId="MacroText">
    <w:name w:val="macro"/>
    <w:semiHidden/>
    <w:rsid w:val="00234676"/>
    <w:pPr>
      <w:tabs>
        <w:tab w:val="left" w:pos="567"/>
        <w:tab w:val="left" w:pos="1134"/>
        <w:tab w:val="left" w:pos="1701"/>
        <w:tab w:val="left" w:pos="2268"/>
        <w:tab w:val="left" w:pos="2835"/>
        <w:tab w:val="left" w:pos="3402"/>
        <w:tab w:val="left" w:pos="3969"/>
        <w:tab w:val="left" w:pos="4536"/>
      </w:tabs>
    </w:pPr>
    <w:rPr>
      <w:sz w:val="22"/>
    </w:rPr>
  </w:style>
  <w:style w:type="paragraph" w:customStyle="1" w:styleId="Messages">
    <w:name w:val="Messages"/>
    <w:basedOn w:val="Normal"/>
    <w:rsid w:val="00234676"/>
    <w:rPr>
      <w:vanish/>
      <w:color w:val="FF0000"/>
      <w:sz w:val="48"/>
    </w:rPr>
  </w:style>
  <w:style w:type="paragraph" w:customStyle="1" w:styleId="Signatory">
    <w:name w:val="Signatory"/>
    <w:basedOn w:val="Normal"/>
    <w:next w:val="Indent0"/>
    <w:rsid w:val="00234676"/>
    <w:pPr>
      <w:spacing w:before="1200"/>
    </w:pPr>
  </w:style>
  <w:style w:type="paragraph" w:customStyle="1" w:styleId="Table">
    <w:name w:val="Table"/>
    <w:basedOn w:val="BaseTable"/>
    <w:rsid w:val="00234676"/>
    <w:pPr>
      <w:spacing w:before="60" w:after="60"/>
    </w:pPr>
  </w:style>
  <w:style w:type="paragraph" w:styleId="TOC1">
    <w:name w:val="toc 1"/>
    <w:basedOn w:val="Normal"/>
    <w:next w:val="Normal"/>
    <w:autoRedefine/>
    <w:semiHidden/>
    <w:rsid w:val="00234676"/>
    <w:pPr>
      <w:tabs>
        <w:tab w:val="right" w:pos="9071"/>
      </w:tabs>
      <w:spacing w:before="360" w:after="0"/>
      <w:ind w:left="567" w:hanging="567"/>
    </w:pPr>
    <w:rPr>
      <w:b/>
      <w:caps/>
    </w:rPr>
  </w:style>
  <w:style w:type="paragraph" w:styleId="TOC2">
    <w:name w:val="toc 2"/>
    <w:basedOn w:val="Normal"/>
    <w:next w:val="Normal"/>
    <w:autoRedefine/>
    <w:semiHidden/>
    <w:rsid w:val="00234676"/>
    <w:pPr>
      <w:tabs>
        <w:tab w:val="right" w:leader="dot" w:pos="9071"/>
      </w:tabs>
      <w:spacing w:after="0"/>
      <w:ind w:left="851" w:hanging="851"/>
    </w:pPr>
  </w:style>
  <w:style w:type="paragraph" w:styleId="TOC3">
    <w:name w:val="toc 3"/>
    <w:basedOn w:val="Normal"/>
    <w:next w:val="Normal"/>
    <w:autoRedefine/>
    <w:semiHidden/>
    <w:rsid w:val="00234676"/>
    <w:pPr>
      <w:tabs>
        <w:tab w:val="right" w:leader="dot" w:pos="9071"/>
      </w:tabs>
      <w:spacing w:after="0"/>
      <w:ind w:left="851" w:hanging="851"/>
    </w:pPr>
    <w:rPr>
      <w:sz w:val="20"/>
    </w:rPr>
  </w:style>
  <w:style w:type="paragraph" w:styleId="TOC4">
    <w:name w:val="toc 4"/>
    <w:basedOn w:val="Normal"/>
    <w:next w:val="Normal"/>
    <w:autoRedefine/>
    <w:semiHidden/>
    <w:rsid w:val="00234676"/>
    <w:pPr>
      <w:tabs>
        <w:tab w:val="right" w:leader="dot" w:pos="9071"/>
      </w:tabs>
      <w:spacing w:after="0"/>
      <w:ind w:left="520"/>
    </w:pPr>
    <w:rPr>
      <w:sz w:val="18"/>
    </w:rPr>
  </w:style>
  <w:style w:type="character" w:customStyle="1" w:styleId="Heading3Char">
    <w:name w:val="Heading 3 Char"/>
    <w:basedOn w:val="DefaultParagraphFont"/>
    <w:link w:val="Heading3"/>
    <w:rsid w:val="006A4FEF"/>
    <w:rPr>
      <w:b/>
      <w:sz w:val="26"/>
    </w:rPr>
  </w:style>
  <w:style w:type="paragraph" w:styleId="ListParagraph">
    <w:name w:val="List Paragraph"/>
    <w:basedOn w:val="Normal"/>
    <w:uiPriority w:val="34"/>
    <w:qFormat/>
    <w:rsid w:val="006A4FEF"/>
    <w:pPr>
      <w:ind w:left="720"/>
      <w:contextualSpacing/>
    </w:pPr>
  </w:style>
  <w:style w:type="paragraph" w:styleId="BalloonText">
    <w:name w:val="Balloon Text"/>
    <w:basedOn w:val="Normal"/>
    <w:link w:val="BalloonTextChar"/>
    <w:uiPriority w:val="99"/>
    <w:semiHidden/>
    <w:unhideWhenUsed/>
    <w:rsid w:val="006A4FE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FEF"/>
    <w:rPr>
      <w:rFonts w:ascii="Tahoma" w:hAnsi="Tahoma" w:cs="Tahoma"/>
      <w:sz w:val="16"/>
      <w:szCs w:val="16"/>
    </w:rPr>
  </w:style>
  <w:style w:type="character" w:styleId="Hyperlink">
    <w:name w:val="Hyperlink"/>
    <w:basedOn w:val="DefaultParagraphFont"/>
    <w:uiPriority w:val="99"/>
    <w:unhideWhenUsed/>
    <w:rsid w:val="006A4FEF"/>
    <w:rPr>
      <w:color w:val="0000FF" w:themeColor="hyperlink"/>
      <w:u w:val="single"/>
    </w:rPr>
  </w:style>
  <w:style w:type="paragraph" w:styleId="FootnoteText">
    <w:name w:val="footnote text"/>
    <w:basedOn w:val="Normal"/>
    <w:link w:val="FootnoteTextChar"/>
    <w:uiPriority w:val="99"/>
    <w:unhideWhenUsed/>
    <w:rsid w:val="004A5202"/>
    <w:pPr>
      <w:spacing w:after="0"/>
    </w:pPr>
    <w:rPr>
      <w:sz w:val="20"/>
    </w:rPr>
  </w:style>
  <w:style w:type="character" w:customStyle="1" w:styleId="FootnoteTextChar">
    <w:name w:val="Footnote Text Char"/>
    <w:basedOn w:val="DefaultParagraphFont"/>
    <w:link w:val="FootnoteText"/>
    <w:uiPriority w:val="99"/>
    <w:rsid w:val="004A5202"/>
  </w:style>
  <w:style w:type="character" w:styleId="FootnoteReference">
    <w:name w:val="footnote reference"/>
    <w:basedOn w:val="DefaultParagraphFont"/>
    <w:uiPriority w:val="99"/>
    <w:semiHidden/>
    <w:unhideWhenUsed/>
    <w:rsid w:val="004A5202"/>
    <w:rPr>
      <w:vertAlign w:val="superscript"/>
    </w:rPr>
  </w:style>
  <w:style w:type="paragraph" w:styleId="NormalWeb">
    <w:name w:val="Normal (Web)"/>
    <w:basedOn w:val="Normal"/>
    <w:uiPriority w:val="99"/>
    <w:semiHidden/>
    <w:unhideWhenUsed/>
    <w:rsid w:val="004E6611"/>
    <w:pPr>
      <w:spacing w:before="100" w:beforeAutospacing="1" w:after="100" w:afterAutospacing="1"/>
      <w:jc w:val="left"/>
    </w:pPr>
    <w:rPr>
      <w:sz w:val="24"/>
      <w:szCs w:val="24"/>
    </w:rPr>
  </w:style>
  <w:style w:type="character" w:styleId="Emphasis">
    <w:name w:val="Emphasis"/>
    <w:basedOn w:val="DefaultParagraphFont"/>
    <w:uiPriority w:val="20"/>
    <w:qFormat/>
    <w:rsid w:val="004E6611"/>
    <w:rPr>
      <w:i/>
      <w:iCs/>
    </w:rPr>
  </w:style>
  <w:style w:type="character" w:styleId="CommentReference">
    <w:name w:val="annotation reference"/>
    <w:basedOn w:val="DefaultParagraphFont"/>
    <w:uiPriority w:val="99"/>
    <w:semiHidden/>
    <w:unhideWhenUsed/>
    <w:rsid w:val="008D3BD6"/>
    <w:rPr>
      <w:sz w:val="16"/>
      <w:szCs w:val="16"/>
    </w:rPr>
  </w:style>
  <w:style w:type="paragraph" w:styleId="CommentText">
    <w:name w:val="annotation text"/>
    <w:basedOn w:val="Normal"/>
    <w:link w:val="CommentTextChar"/>
    <w:uiPriority w:val="99"/>
    <w:semiHidden/>
    <w:unhideWhenUsed/>
    <w:rsid w:val="008D3BD6"/>
    <w:rPr>
      <w:sz w:val="20"/>
    </w:rPr>
  </w:style>
  <w:style w:type="character" w:customStyle="1" w:styleId="CommentTextChar">
    <w:name w:val="Comment Text Char"/>
    <w:basedOn w:val="DefaultParagraphFont"/>
    <w:link w:val="CommentText"/>
    <w:uiPriority w:val="99"/>
    <w:semiHidden/>
    <w:rsid w:val="008D3BD6"/>
  </w:style>
  <w:style w:type="paragraph" w:styleId="CommentSubject">
    <w:name w:val="annotation subject"/>
    <w:basedOn w:val="CommentText"/>
    <w:next w:val="CommentText"/>
    <w:link w:val="CommentSubjectChar"/>
    <w:uiPriority w:val="99"/>
    <w:semiHidden/>
    <w:unhideWhenUsed/>
    <w:rsid w:val="008D3BD6"/>
    <w:rPr>
      <w:b/>
      <w:bCs/>
    </w:rPr>
  </w:style>
  <w:style w:type="character" w:customStyle="1" w:styleId="CommentSubjectChar">
    <w:name w:val="Comment Subject Char"/>
    <w:basedOn w:val="CommentTextChar"/>
    <w:link w:val="CommentSubject"/>
    <w:uiPriority w:val="99"/>
    <w:semiHidden/>
    <w:rsid w:val="008D3B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835401">
      <w:bodyDiv w:val="1"/>
      <w:marLeft w:val="0"/>
      <w:marRight w:val="0"/>
      <w:marTop w:val="0"/>
      <w:marBottom w:val="0"/>
      <w:divBdr>
        <w:top w:val="none" w:sz="0" w:space="0" w:color="auto"/>
        <w:left w:val="none" w:sz="0" w:space="0" w:color="auto"/>
        <w:bottom w:val="none" w:sz="0" w:space="0" w:color="auto"/>
        <w:right w:val="none" w:sz="0" w:space="0" w:color="auto"/>
      </w:divBdr>
      <w:divsChild>
        <w:div w:id="1751387062">
          <w:marLeft w:val="0"/>
          <w:marRight w:val="0"/>
          <w:marTop w:val="0"/>
          <w:marBottom w:val="0"/>
          <w:divBdr>
            <w:top w:val="none" w:sz="0" w:space="0" w:color="auto"/>
            <w:left w:val="none" w:sz="0" w:space="0" w:color="auto"/>
            <w:bottom w:val="none" w:sz="0" w:space="0" w:color="auto"/>
            <w:right w:val="none" w:sz="0" w:space="0" w:color="auto"/>
          </w:divBdr>
          <w:divsChild>
            <w:div w:id="2081098932">
              <w:marLeft w:val="0"/>
              <w:marRight w:val="0"/>
              <w:marTop w:val="0"/>
              <w:marBottom w:val="0"/>
              <w:divBdr>
                <w:top w:val="none" w:sz="0" w:space="0" w:color="auto"/>
                <w:left w:val="none" w:sz="0" w:space="0" w:color="auto"/>
                <w:bottom w:val="none" w:sz="0" w:space="0" w:color="auto"/>
                <w:right w:val="none" w:sz="0" w:space="0" w:color="auto"/>
              </w:divBdr>
              <w:divsChild>
                <w:div w:id="672562368">
                  <w:marLeft w:val="0"/>
                  <w:marRight w:val="0"/>
                  <w:marTop w:val="0"/>
                  <w:marBottom w:val="0"/>
                  <w:divBdr>
                    <w:top w:val="none" w:sz="0" w:space="0" w:color="auto"/>
                    <w:left w:val="none" w:sz="0" w:space="0" w:color="auto"/>
                    <w:bottom w:val="none" w:sz="0" w:space="0" w:color="auto"/>
                    <w:right w:val="none" w:sz="0" w:space="0" w:color="auto"/>
                  </w:divBdr>
                  <w:divsChild>
                    <w:div w:id="1652055588">
                      <w:marLeft w:val="0"/>
                      <w:marRight w:val="0"/>
                      <w:marTop w:val="0"/>
                      <w:marBottom w:val="0"/>
                      <w:divBdr>
                        <w:top w:val="none" w:sz="0" w:space="0" w:color="auto"/>
                        <w:left w:val="none" w:sz="0" w:space="0" w:color="auto"/>
                        <w:bottom w:val="none" w:sz="0" w:space="0" w:color="auto"/>
                        <w:right w:val="none" w:sz="0" w:space="0" w:color="auto"/>
                      </w:divBdr>
                      <w:divsChild>
                        <w:div w:id="1086683604">
                          <w:marLeft w:val="0"/>
                          <w:marRight w:val="0"/>
                          <w:marTop w:val="0"/>
                          <w:marBottom w:val="0"/>
                          <w:divBdr>
                            <w:top w:val="none" w:sz="0" w:space="0" w:color="auto"/>
                            <w:left w:val="none" w:sz="0" w:space="0" w:color="auto"/>
                            <w:bottom w:val="none" w:sz="0" w:space="0" w:color="auto"/>
                            <w:right w:val="none" w:sz="0" w:space="0" w:color="auto"/>
                          </w:divBdr>
                          <w:divsChild>
                            <w:div w:id="817461221">
                              <w:marLeft w:val="0"/>
                              <w:marRight w:val="0"/>
                              <w:marTop w:val="0"/>
                              <w:marBottom w:val="0"/>
                              <w:divBdr>
                                <w:top w:val="none" w:sz="0" w:space="0" w:color="auto"/>
                                <w:left w:val="none" w:sz="0" w:space="0" w:color="auto"/>
                                <w:bottom w:val="none" w:sz="0" w:space="0" w:color="auto"/>
                                <w:right w:val="none" w:sz="0" w:space="0" w:color="auto"/>
                              </w:divBdr>
                              <w:divsChild>
                                <w:div w:id="129533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618625">
      <w:bodyDiv w:val="1"/>
      <w:marLeft w:val="0"/>
      <w:marRight w:val="0"/>
      <w:marTop w:val="0"/>
      <w:marBottom w:val="0"/>
      <w:divBdr>
        <w:top w:val="none" w:sz="0" w:space="0" w:color="auto"/>
        <w:left w:val="none" w:sz="0" w:space="0" w:color="auto"/>
        <w:bottom w:val="none" w:sz="0" w:space="0" w:color="auto"/>
        <w:right w:val="none" w:sz="0" w:space="0" w:color="auto"/>
      </w:divBdr>
      <w:divsChild>
        <w:div w:id="1245337541">
          <w:marLeft w:val="0"/>
          <w:marRight w:val="0"/>
          <w:marTop w:val="0"/>
          <w:marBottom w:val="0"/>
          <w:divBdr>
            <w:top w:val="none" w:sz="0" w:space="0" w:color="auto"/>
            <w:left w:val="none" w:sz="0" w:space="0" w:color="auto"/>
            <w:bottom w:val="none" w:sz="0" w:space="0" w:color="auto"/>
            <w:right w:val="none" w:sz="0" w:space="0" w:color="auto"/>
          </w:divBdr>
          <w:divsChild>
            <w:div w:id="1635521829">
              <w:marLeft w:val="0"/>
              <w:marRight w:val="0"/>
              <w:marTop w:val="0"/>
              <w:marBottom w:val="0"/>
              <w:divBdr>
                <w:top w:val="none" w:sz="0" w:space="0" w:color="auto"/>
                <w:left w:val="none" w:sz="0" w:space="0" w:color="auto"/>
                <w:bottom w:val="none" w:sz="0" w:space="0" w:color="auto"/>
                <w:right w:val="none" w:sz="0" w:space="0" w:color="auto"/>
              </w:divBdr>
              <w:divsChild>
                <w:div w:id="1246379021">
                  <w:marLeft w:val="0"/>
                  <w:marRight w:val="0"/>
                  <w:marTop w:val="0"/>
                  <w:marBottom w:val="0"/>
                  <w:divBdr>
                    <w:top w:val="none" w:sz="0" w:space="0" w:color="auto"/>
                    <w:left w:val="none" w:sz="0" w:space="0" w:color="auto"/>
                    <w:bottom w:val="none" w:sz="0" w:space="0" w:color="auto"/>
                    <w:right w:val="none" w:sz="0" w:space="0" w:color="auto"/>
                  </w:divBdr>
                  <w:divsChild>
                    <w:div w:id="1669211474">
                      <w:marLeft w:val="0"/>
                      <w:marRight w:val="0"/>
                      <w:marTop w:val="0"/>
                      <w:marBottom w:val="0"/>
                      <w:divBdr>
                        <w:top w:val="none" w:sz="0" w:space="0" w:color="auto"/>
                        <w:left w:val="none" w:sz="0" w:space="0" w:color="auto"/>
                        <w:bottom w:val="none" w:sz="0" w:space="0" w:color="auto"/>
                        <w:right w:val="none" w:sz="0" w:space="0" w:color="auto"/>
                      </w:divBdr>
                      <w:divsChild>
                        <w:div w:id="1584953872">
                          <w:marLeft w:val="0"/>
                          <w:marRight w:val="0"/>
                          <w:marTop w:val="0"/>
                          <w:marBottom w:val="0"/>
                          <w:divBdr>
                            <w:top w:val="none" w:sz="0" w:space="0" w:color="auto"/>
                            <w:left w:val="none" w:sz="0" w:space="0" w:color="auto"/>
                            <w:bottom w:val="none" w:sz="0" w:space="0" w:color="auto"/>
                            <w:right w:val="none" w:sz="0" w:space="0" w:color="auto"/>
                          </w:divBdr>
                          <w:divsChild>
                            <w:div w:id="849371422">
                              <w:marLeft w:val="0"/>
                              <w:marRight w:val="0"/>
                              <w:marTop w:val="0"/>
                              <w:marBottom w:val="0"/>
                              <w:divBdr>
                                <w:top w:val="none" w:sz="0" w:space="0" w:color="auto"/>
                                <w:left w:val="none" w:sz="0" w:space="0" w:color="auto"/>
                                <w:bottom w:val="none" w:sz="0" w:space="0" w:color="auto"/>
                                <w:right w:val="none" w:sz="0" w:space="0" w:color="auto"/>
                              </w:divBdr>
                              <w:divsChild>
                                <w:div w:id="11489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2895856">
      <w:bodyDiv w:val="1"/>
      <w:marLeft w:val="0"/>
      <w:marRight w:val="0"/>
      <w:marTop w:val="0"/>
      <w:marBottom w:val="0"/>
      <w:divBdr>
        <w:top w:val="none" w:sz="0" w:space="0" w:color="auto"/>
        <w:left w:val="none" w:sz="0" w:space="0" w:color="auto"/>
        <w:bottom w:val="none" w:sz="0" w:space="0" w:color="auto"/>
        <w:right w:val="none" w:sz="0" w:space="0" w:color="auto"/>
      </w:divBdr>
    </w:div>
    <w:div w:id="1924335461">
      <w:bodyDiv w:val="1"/>
      <w:marLeft w:val="0"/>
      <w:marRight w:val="0"/>
      <w:marTop w:val="0"/>
      <w:marBottom w:val="0"/>
      <w:divBdr>
        <w:top w:val="none" w:sz="0" w:space="0" w:color="auto"/>
        <w:left w:val="none" w:sz="0" w:space="0" w:color="auto"/>
        <w:bottom w:val="none" w:sz="0" w:space="0" w:color="auto"/>
        <w:right w:val="none" w:sz="0" w:space="0" w:color="auto"/>
      </w:divBdr>
    </w:div>
    <w:div w:id="205477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913D872E.dotm</Template>
  <TotalTime>1</TotalTime>
  <Pages>2</Pages>
  <Words>653</Words>
  <Characters>4006</Characters>
  <Application>Microsoft Office Word</Application>
  <DocSecurity>0</DocSecurity>
  <Lines>72</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Reserve Bank of Australia</dc:creator>
  <cp:lastModifiedBy>Reserve Bank of Australia</cp:lastModifiedBy>
  <cp:revision>2</cp:revision>
  <dcterms:created xsi:type="dcterms:W3CDTF">2014-12-18T23:10:00Z</dcterms:created>
  <dcterms:modified xsi:type="dcterms:W3CDTF">2014-12-18T23:11:00Z</dcterms:modified>
</cp:coreProperties>
</file>