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48" w:rsidRPr="00192C48" w:rsidRDefault="00192C48" w:rsidP="00192C48">
      <w:pPr>
        <w:ind w:right="91"/>
        <w:jc w:val="center"/>
        <w:rPr>
          <w:rFonts w:ascii="Times New Roman" w:hAnsi="Times New Roman" w:cs="Times New Roman"/>
        </w:rPr>
      </w:pPr>
      <w:r w:rsidRPr="00192C48">
        <w:rPr>
          <w:rFonts w:ascii="Times New Roman" w:hAnsi="Times New Roman" w:cs="Times New Roman"/>
          <w:b/>
          <w:u w:val="single"/>
        </w:rPr>
        <w:t>EXPLANATORY STATEMENT</w:t>
      </w:r>
    </w:p>
    <w:p w:rsidR="0084449C" w:rsidRPr="00A2643A" w:rsidRDefault="00A2643A" w:rsidP="00A2643A">
      <w:pPr>
        <w:ind w:right="91"/>
        <w:jc w:val="center"/>
        <w:rPr>
          <w:rFonts w:ascii="Times New Roman" w:hAnsi="Times New Roman" w:cs="Times New Roman"/>
          <w:b/>
          <w:u w:val="single"/>
        </w:rPr>
      </w:pPr>
      <w:r w:rsidRPr="00A2643A">
        <w:rPr>
          <w:rFonts w:ascii="Times New Roman" w:hAnsi="Times New Roman" w:cs="Times New Roman"/>
          <w:b/>
          <w:u w:val="single"/>
        </w:rPr>
        <w:t>SELEC</w:t>
      </w:r>
      <w:r w:rsidR="003A145D">
        <w:rPr>
          <w:rFonts w:ascii="Times New Roman" w:hAnsi="Times New Roman" w:cs="Times New Roman"/>
          <w:b/>
          <w:u w:val="single"/>
        </w:rPr>
        <w:t>T LEGISLATIVE INSTRUMENT NO. 201</w:t>
      </w:r>
      <w:bookmarkStart w:id="0" w:name="_GoBack"/>
      <w:bookmarkEnd w:id="0"/>
      <w:r w:rsidRPr="00A2643A">
        <w:rPr>
          <w:rFonts w:ascii="Times New Roman" w:hAnsi="Times New Roman" w:cs="Times New Roman"/>
          <w:b/>
          <w:u w:val="single"/>
        </w:rPr>
        <w:t>, 2014</w:t>
      </w:r>
    </w:p>
    <w:p w:rsidR="0084449C" w:rsidRPr="00156E32" w:rsidRDefault="0084449C" w:rsidP="0084449C">
      <w:pPr>
        <w:rPr>
          <w:rFonts w:ascii="Times New Roman" w:hAnsi="Times New Roman" w:cs="Times New Roman"/>
          <w:i/>
          <w:sz w:val="24"/>
          <w:szCs w:val="24"/>
        </w:rPr>
      </w:pPr>
      <w:r w:rsidRPr="00156E32">
        <w:rPr>
          <w:rFonts w:ascii="Times New Roman" w:hAnsi="Times New Roman" w:cs="Times New Roman"/>
          <w:sz w:val="24"/>
          <w:szCs w:val="24"/>
        </w:rPr>
        <w:t xml:space="preserve">Subject: </w:t>
      </w:r>
      <w:r w:rsidRPr="00156E32">
        <w:rPr>
          <w:rFonts w:ascii="Times New Roman" w:hAnsi="Times New Roman" w:cs="Times New Roman"/>
          <w:i/>
          <w:sz w:val="24"/>
          <w:szCs w:val="24"/>
        </w:rPr>
        <w:t>Offshore Petroleum and Greenhouse Gas Storage Act 2006</w:t>
      </w:r>
    </w:p>
    <w:p w:rsidR="0084449C" w:rsidRPr="00156E32" w:rsidRDefault="0084449C" w:rsidP="0084449C">
      <w:pPr>
        <w:ind w:left="720"/>
        <w:rPr>
          <w:rFonts w:ascii="Times New Roman" w:hAnsi="Times New Roman" w:cs="Times New Roman"/>
          <w:i/>
          <w:sz w:val="24"/>
          <w:szCs w:val="24"/>
        </w:rPr>
      </w:pPr>
      <w:r w:rsidRPr="00156E32">
        <w:rPr>
          <w:rFonts w:ascii="Times New Roman" w:hAnsi="Times New Roman" w:cs="Times New Roman"/>
          <w:i/>
          <w:sz w:val="24"/>
          <w:szCs w:val="24"/>
        </w:rPr>
        <w:t>Offshore Petroleum and Greenhouse Gas Storage (Environment) Amendment (Financial Assurance) Regulation 2014</w:t>
      </w:r>
    </w:p>
    <w:p w:rsidR="00C45E3A" w:rsidRDefault="00E16A86">
      <w:pPr>
        <w:rPr>
          <w:rFonts w:ascii="Times New Roman" w:hAnsi="Times New Roman" w:cs="Times New Roman"/>
        </w:rPr>
      </w:pPr>
      <w:r w:rsidRPr="00C45E3A">
        <w:rPr>
          <w:rFonts w:ascii="Times New Roman" w:hAnsi="Times New Roman" w:cs="Times New Roman"/>
        </w:rPr>
        <w:t xml:space="preserve">The </w:t>
      </w:r>
      <w:r w:rsidRPr="00C45E3A">
        <w:rPr>
          <w:rFonts w:ascii="Times New Roman" w:hAnsi="Times New Roman" w:cs="Times New Roman"/>
          <w:i/>
        </w:rPr>
        <w:t xml:space="preserve">Offshore Petroleum and Greenhouse Gas Storage Act 2006 </w:t>
      </w:r>
      <w:r w:rsidRPr="00C45E3A">
        <w:rPr>
          <w:rFonts w:ascii="Times New Roman" w:hAnsi="Times New Roman" w:cs="Times New Roman"/>
        </w:rPr>
        <w:t>(OPGGS Act) provides the legal framework for the exploration for and recovery of petroleum, and for the injection and storage of greenhouse gas substances, in offshore areas</w:t>
      </w:r>
      <w:r w:rsidR="00E216BE" w:rsidRPr="00C45E3A">
        <w:rPr>
          <w:rFonts w:ascii="Times New Roman" w:hAnsi="Times New Roman" w:cs="Times New Roman"/>
        </w:rPr>
        <w:t xml:space="preserve"> (Commonwealth waters)</w:t>
      </w:r>
      <w:r w:rsidRPr="00C45E3A">
        <w:rPr>
          <w:rFonts w:ascii="Times New Roman" w:hAnsi="Times New Roman" w:cs="Times New Roman"/>
        </w:rPr>
        <w:t xml:space="preserve">. </w:t>
      </w:r>
    </w:p>
    <w:p w:rsidR="00E16A86" w:rsidRPr="00C45E3A" w:rsidRDefault="00EA37BB">
      <w:pPr>
        <w:rPr>
          <w:rFonts w:ascii="Times New Roman" w:hAnsi="Times New Roman" w:cs="Times New Roman"/>
        </w:rPr>
      </w:pPr>
      <w:r w:rsidRPr="00C45E3A">
        <w:rPr>
          <w:rFonts w:ascii="Times New Roman" w:hAnsi="Times New Roman" w:cs="Times New Roman"/>
        </w:rPr>
        <w:t xml:space="preserve">Section 781 of the OPGGS Act provides that the Governor-General may make regulations prescribing matters required or permitted by the </w:t>
      </w:r>
      <w:r w:rsidR="00045930" w:rsidRPr="00C45E3A">
        <w:rPr>
          <w:rFonts w:ascii="Times New Roman" w:hAnsi="Times New Roman" w:cs="Times New Roman"/>
        </w:rPr>
        <w:t xml:space="preserve">OPGGS </w:t>
      </w:r>
      <w:r w:rsidRPr="00C45E3A">
        <w:rPr>
          <w:rFonts w:ascii="Times New Roman" w:hAnsi="Times New Roman" w:cs="Times New Roman"/>
        </w:rPr>
        <w:t>Act to be prescribed, or necessary or convenient to be prescribed for carrying out or giving effect to the OPGGS Act.</w:t>
      </w:r>
    </w:p>
    <w:p w:rsidR="00EA37BB" w:rsidRPr="00C45E3A" w:rsidRDefault="00EA37BB">
      <w:pPr>
        <w:rPr>
          <w:rFonts w:ascii="Times New Roman" w:hAnsi="Times New Roman" w:cs="Times New Roman"/>
        </w:rPr>
      </w:pPr>
      <w:r w:rsidRPr="00C45E3A">
        <w:rPr>
          <w:rFonts w:ascii="Times New Roman" w:hAnsi="Times New Roman" w:cs="Times New Roman"/>
        </w:rPr>
        <w:t>The</w:t>
      </w:r>
      <w:r w:rsidR="001E1225" w:rsidRPr="00C45E3A">
        <w:rPr>
          <w:rFonts w:ascii="Times New Roman" w:hAnsi="Times New Roman" w:cs="Times New Roman"/>
        </w:rPr>
        <w:t xml:space="preserve"> </w:t>
      </w:r>
      <w:r w:rsidR="001E1225" w:rsidRPr="00C45E3A">
        <w:rPr>
          <w:rFonts w:ascii="Times New Roman" w:hAnsi="Times New Roman" w:cs="Times New Roman"/>
          <w:i/>
        </w:rPr>
        <w:t>Offshore Petroleum and Greenhouse Gas Storage (Environment) Regulations 2009</w:t>
      </w:r>
      <w:r w:rsidRPr="00C45E3A">
        <w:rPr>
          <w:rFonts w:ascii="Times New Roman" w:hAnsi="Times New Roman" w:cs="Times New Roman"/>
        </w:rPr>
        <w:t xml:space="preserve"> </w:t>
      </w:r>
      <w:r w:rsidR="001E1225" w:rsidRPr="00C45E3A">
        <w:rPr>
          <w:rFonts w:ascii="Times New Roman" w:hAnsi="Times New Roman" w:cs="Times New Roman"/>
        </w:rPr>
        <w:t xml:space="preserve">(the </w:t>
      </w:r>
      <w:r w:rsidRPr="00C45E3A">
        <w:rPr>
          <w:rFonts w:ascii="Times New Roman" w:hAnsi="Times New Roman" w:cs="Times New Roman"/>
        </w:rPr>
        <w:t>Principal Regulations</w:t>
      </w:r>
      <w:r w:rsidR="001E1225" w:rsidRPr="00C45E3A">
        <w:rPr>
          <w:rFonts w:ascii="Times New Roman" w:hAnsi="Times New Roman" w:cs="Times New Roman"/>
        </w:rPr>
        <w:t>)</w:t>
      </w:r>
      <w:r w:rsidRPr="00C45E3A">
        <w:rPr>
          <w:rFonts w:ascii="Times New Roman" w:hAnsi="Times New Roman" w:cs="Times New Roman"/>
        </w:rPr>
        <w:t xml:space="preserve"> provide for the regulation of environmental management of upstream petroleum and greenhouse gas activities in offshore areas. Under the Principal Regulations, persons who want to conduct a petroleum or greenhouse gas activity are required to prepare and implement an environment plan for t</w:t>
      </w:r>
      <w:r w:rsidR="00672892" w:rsidRPr="00C45E3A">
        <w:rPr>
          <w:rFonts w:ascii="Times New Roman" w:hAnsi="Times New Roman" w:cs="Times New Roman"/>
        </w:rPr>
        <w:t>he activity. The r</w:t>
      </w:r>
      <w:r w:rsidRPr="00C45E3A">
        <w:rPr>
          <w:rFonts w:ascii="Times New Roman" w:hAnsi="Times New Roman" w:cs="Times New Roman"/>
        </w:rPr>
        <w:t>egulator (the National Offshore Petroleum Safety and Environmental Management Authority (NOPSEMA)</w:t>
      </w:r>
      <w:r w:rsidR="00672892" w:rsidRPr="00C45E3A">
        <w:rPr>
          <w:rFonts w:ascii="Times New Roman" w:hAnsi="Times New Roman" w:cs="Times New Roman"/>
        </w:rPr>
        <w:t xml:space="preserve"> for petroleum activities)</w:t>
      </w:r>
      <w:r w:rsidRPr="00C45E3A">
        <w:rPr>
          <w:rFonts w:ascii="Times New Roman" w:hAnsi="Times New Roman" w:cs="Times New Roman"/>
        </w:rPr>
        <w:t xml:space="preserve"> must assess the environment plan and decide whether to accept it.</w:t>
      </w:r>
    </w:p>
    <w:p w:rsidR="00EA37BB" w:rsidRPr="00C45E3A" w:rsidRDefault="009F1979">
      <w:pPr>
        <w:rPr>
          <w:rFonts w:ascii="Times New Roman" w:hAnsi="Times New Roman" w:cs="Times New Roman"/>
        </w:rPr>
      </w:pPr>
      <w:r w:rsidRPr="00C45E3A">
        <w:rPr>
          <w:rFonts w:ascii="Times New Roman" w:hAnsi="Times New Roman" w:cs="Times New Roman"/>
        </w:rPr>
        <w:t xml:space="preserve">The </w:t>
      </w:r>
      <w:r w:rsidR="00793E1E">
        <w:rPr>
          <w:rFonts w:ascii="Times New Roman" w:hAnsi="Times New Roman" w:cs="Times New Roman"/>
          <w:i/>
        </w:rPr>
        <w:t>Offshore Petroleum and Greenhouse Gas Storage (Environment) Amendment (Financial Assurance) Regulation 2014</w:t>
      </w:r>
      <w:r w:rsidRPr="00C45E3A">
        <w:rPr>
          <w:rFonts w:ascii="Times New Roman" w:hAnsi="Times New Roman" w:cs="Times New Roman"/>
        </w:rPr>
        <w:t xml:space="preserve"> </w:t>
      </w:r>
      <w:r w:rsidR="00793E1E">
        <w:rPr>
          <w:rFonts w:ascii="Times New Roman" w:hAnsi="Times New Roman" w:cs="Times New Roman"/>
        </w:rPr>
        <w:t xml:space="preserve">(the Regulation) </w:t>
      </w:r>
      <w:r w:rsidRPr="00C45E3A">
        <w:rPr>
          <w:rFonts w:ascii="Times New Roman" w:hAnsi="Times New Roman" w:cs="Times New Roman"/>
        </w:rPr>
        <w:t>amend</w:t>
      </w:r>
      <w:r w:rsidR="00793E1E">
        <w:rPr>
          <w:rFonts w:ascii="Times New Roman" w:hAnsi="Times New Roman" w:cs="Times New Roman"/>
        </w:rPr>
        <w:t>s</w:t>
      </w:r>
      <w:r w:rsidRPr="00C45E3A">
        <w:rPr>
          <w:rFonts w:ascii="Times New Roman" w:hAnsi="Times New Roman" w:cs="Times New Roman"/>
        </w:rPr>
        <w:t xml:space="preserve"> the Principal Regulations to support recent amendments to the OPGGS Act in relation to financial assurance requirements for the offshore petroleum industry</w:t>
      </w:r>
      <w:r w:rsidR="00672892" w:rsidRPr="00C45E3A">
        <w:rPr>
          <w:rFonts w:ascii="Times New Roman" w:hAnsi="Times New Roman" w:cs="Times New Roman"/>
        </w:rPr>
        <w:t xml:space="preserve">, by </w:t>
      </w:r>
      <w:r w:rsidRPr="00C45E3A">
        <w:rPr>
          <w:rFonts w:ascii="Times New Roman" w:hAnsi="Times New Roman" w:cs="Times New Roman"/>
        </w:rPr>
        <w:t>provid</w:t>
      </w:r>
      <w:r w:rsidR="00672892" w:rsidRPr="00C45E3A">
        <w:rPr>
          <w:rFonts w:ascii="Times New Roman" w:hAnsi="Times New Roman" w:cs="Times New Roman"/>
        </w:rPr>
        <w:t>ing</w:t>
      </w:r>
      <w:r w:rsidRPr="00C45E3A">
        <w:rPr>
          <w:rFonts w:ascii="Times New Roman" w:hAnsi="Times New Roman" w:cs="Times New Roman"/>
        </w:rPr>
        <w:t xml:space="preserve"> a mechanism for </w:t>
      </w:r>
      <w:r w:rsidR="00672892" w:rsidRPr="00C45E3A">
        <w:rPr>
          <w:rFonts w:ascii="Times New Roman" w:hAnsi="Times New Roman" w:cs="Times New Roman"/>
        </w:rPr>
        <w:t>NOPSEMA</w:t>
      </w:r>
      <w:r w:rsidRPr="00C45E3A">
        <w:rPr>
          <w:rFonts w:ascii="Times New Roman" w:hAnsi="Times New Roman" w:cs="Times New Roman"/>
        </w:rPr>
        <w:t xml:space="preserve"> to </w:t>
      </w:r>
      <w:r w:rsidR="00672892" w:rsidRPr="00C45E3A">
        <w:rPr>
          <w:rFonts w:ascii="Times New Roman" w:hAnsi="Times New Roman" w:cs="Times New Roman"/>
        </w:rPr>
        <w:t>assess</w:t>
      </w:r>
      <w:r w:rsidRPr="00C45E3A">
        <w:rPr>
          <w:rFonts w:ascii="Times New Roman" w:hAnsi="Times New Roman" w:cs="Times New Roman"/>
        </w:rPr>
        <w:t xml:space="preserve"> compliance with</w:t>
      </w:r>
      <w:r w:rsidR="00672892" w:rsidRPr="00C45E3A">
        <w:rPr>
          <w:rFonts w:ascii="Times New Roman" w:hAnsi="Times New Roman" w:cs="Times New Roman"/>
        </w:rPr>
        <w:t xml:space="preserve"> those</w:t>
      </w:r>
      <w:r w:rsidRPr="00C45E3A">
        <w:rPr>
          <w:rFonts w:ascii="Times New Roman" w:hAnsi="Times New Roman" w:cs="Times New Roman"/>
        </w:rPr>
        <w:t xml:space="preserve"> requirements</w:t>
      </w:r>
      <w:r w:rsidR="00672892" w:rsidRPr="00C45E3A">
        <w:rPr>
          <w:rFonts w:ascii="Times New Roman" w:hAnsi="Times New Roman" w:cs="Times New Roman"/>
        </w:rPr>
        <w:t xml:space="preserve"> as a condition precedent to acceptance of an environment plan</w:t>
      </w:r>
      <w:r w:rsidRPr="00C45E3A">
        <w:rPr>
          <w:rFonts w:ascii="Times New Roman" w:hAnsi="Times New Roman" w:cs="Times New Roman"/>
        </w:rPr>
        <w:t xml:space="preserve">.  </w:t>
      </w:r>
    </w:p>
    <w:p w:rsidR="009F1979" w:rsidRPr="00C45E3A" w:rsidRDefault="00C76E5B">
      <w:pPr>
        <w:rPr>
          <w:rFonts w:ascii="Times New Roman" w:hAnsi="Times New Roman" w:cs="Times New Roman"/>
        </w:rPr>
      </w:pPr>
      <w:r w:rsidRPr="00C45E3A">
        <w:rPr>
          <w:rFonts w:ascii="Times New Roman" w:hAnsi="Times New Roman" w:cs="Times New Roman"/>
        </w:rPr>
        <w:t>Amendments to the OPGGS Ac</w:t>
      </w:r>
      <w:r w:rsidR="00DA7A83" w:rsidRPr="00C45E3A">
        <w:rPr>
          <w:rFonts w:ascii="Times New Roman" w:hAnsi="Times New Roman" w:cs="Times New Roman"/>
        </w:rPr>
        <w:t xml:space="preserve">t </w:t>
      </w:r>
      <w:r w:rsidR="00DF2ABC" w:rsidRPr="00C45E3A">
        <w:rPr>
          <w:rFonts w:ascii="Times New Roman" w:hAnsi="Times New Roman" w:cs="Times New Roman"/>
        </w:rPr>
        <w:t xml:space="preserve">which </w:t>
      </w:r>
      <w:r w:rsidR="00DA7A83" w:rsidRPr="00C45E3A">
        <w:rPr>
          <w:rFonts w:ascii="Times New Roman" w:hAnsi="Times New Roman" w:cs="Times New Roman"/>
        </w:rPr>
        <w:t xml:space="preserve">commenced on 29 November 2013 </w:t>
      </w:r>
      <w:r w:rsidRPr="00C45E3A">
        <w:rPr>
          <w:rFonts w:ascii="Times New Roman" w:hAnsi="Times New Roman" w:cs="Times New Roman"/>
        </w:rPr>
        <w:t>includ</w:t>
      </w:r>
      <w:r w:rsidR="00DA7A83" w:rsidRPr="00C45E3A">
        <w:rPr>
          <w:rFonts w:ascii="Times New Roman" w:hAnsi="Times New Roman" w:cs="Times New Roman"/>
        </w:rPr>
        <w:t>ed</w:t>
      </w:r>
      <w:r w:rsidRPr="00C45E3A">
        <w:rPr>
          <w:rFonts w:ascii="Times New Roman" w:hAnsi="Times New Roman" w:cs="Times New Roman"/>
        </w:rPr>
        <w:t xml:space="preserve"> a clarified and broadened financial assurance requirement in section 571, which replaced the previous requirement in section 571 to maintain insurance. The amendments clarified and confirmed the compulsory nature of the requirement for a petroleum titleholder to maintain sufficient financial assurance to ensure it can deal with extraordinary costs, expenses o</w:t>
      </w:r>
      <w:r w:rsidR="00DF2ABC" w:rsidRPr="00C45E3A">
        <w:rPr>
          <w:rFonts w:ascii="Times New Roman" w:hAnsi="Times New Roman" w:cs="Times New Roman"/>
        </w:rPr>
        <w:t>r</w:t>
      </w:r>
      <w:r w:rsidRPr="00C45E3A">
        <w:rPr>
          <w:rFonts w:ascii="Times New Roman" w:hAnsi="Times New Roman" w:cs="Times New Roman"/>
        </w:rPr>
        <w:t xml:space="preserve"> liabilities arising in connection with the carrying out of a petroleum activity undertaken under the title, including expenses relating to the clean-up or other remediation of the effects of an escape of petroleum.</w:t>
      </w:r>
      <w:r w:rsidR="00DA7A83" w:rsidRPr="00C45E3A">
        <w:rPr>
          <w:rFonts w:ascii="Times New Roman" w:hAnsi="Times New Roman" w:cs="Times New Roman"/>
        </w:rPr>
        <w:t xml:space="preserve"> In addition, the revised section 571 broadened the ability of the titleholder to comply with the requirement by extending the previous narrow concept of insurance to instead include and recognise a variety of forms of financial assurance by which the titleholder may demonstrate compliance, including</w:t>
      </w:r>
      <w:r w:rsidR="00CD0397" w:rsidRPr="00C45E3A">
        <w:rPr>
          <w:rFonts w:ascii="Times New Roman" w:hAnsi="Times New Roman" w:cs="Times New Roman"/>
        </w:rPr>
        <w:t>, but not limited to,</w:t>
      </w:r>
      <w:r w:rsidR="00DA7A83" w:rsidRPr="00C45E3A">
        <w:rPr>
          <w:rFonts w:ascii="Times New Roman" w:hAnsi="Times New Roman" w:cs="Times New Roman"/>
        </w:rPr>
        <w:t xml:space="preserve"> self-insurance</w:t>
      </w:r>
      <w:r w:rsidR="00AC2EDC" w:rsidRPr="00C45E3A">
        <w:rPr>
          <w:rFonts w:ascii="Times New Roman" w:hAnsi="Times New Roman" w:cs="Times New Roman"/>
        </w:rPr>
        <w:t xml:space="preserve"> (as defined)</w:t>
      </w:r>
      <w:r w:rsidR="00DA7A83" w:rsidRPr="00C45E3A">
        <w:rPr>
          <w:rFonts w:ascii="Times New Roman" w:hAnsi="Times New Roman" w:cs="Times New Roman"/>
        </w:rPr>
        <w:t>, bank guarantees, and indemnities, in addition to traditional insurance products.</w:t>
      </w:r>
      <w:r w:rsidRPr="00C45E3A">
        <w:rPr>
          <w:rFonts w:ascii="Times New Roman" w:hAnsi="Times New Roman" w:cs="Times New Roman"/>
        </w:rPr>
        <w:t xml:space="preserve"> </w:t>
      </w:r>
    </w:p>
    <w:p w:rsidR="009D5F1B" w:rsidRPr="00C45E3A" w:rsidRDefault="009D5F1B">
      <w:pPr>
        <w:rPr>
          <w:rFonts w:ascii="Times New Roman" w:hAnsi="Times New Roman" w:cs="Times New Roman"/>
        </w:rPr>
      </w:pPr>
      <w:r w:rsidRPr="00C45E3A">
        <w:rPr>
          <w:rFonts w:ascii="Times New Roman" w:hAnsi="Times New Roman" w:cs="Times New Roman"/>
        </w:rPr>
        <w:t>The amendments also included a new subsection 571(3), which provides that regulations may be made to require compliance with the revised financial assurance requirement</w:t>
      </w:r>
      <w:r w:rsidR="00DD5475" w:rsidRPr="00C45E3A">
        <w:rPr>
          <w:rFonts w:ascii="Times New Roman" w:hAnsi="Times New Roman" w:cs="Times New Roman"/>
        </w:rPr>
        <w:t>, in a form acceptable to NOPSEMA,</w:t>
      </w:r>
      <w:r w:rsidRPr="00C45E3A">
        <w:rPr>
          <w:rFonts w:ascii="Times New Roman" w:hAnsi="Times New Roman" w:cs="Times New Roman"/>
        </w:rPr>
        <w:t xml:space="preserve"> to be demonstrated as a prior condition of acceptance of an environment plan for a petroleum activity. Regulations may also be made </w:t>
      </w:r>
      <w:r w:rsidR="00DD5475" w:rsidRPr="00C45E3A">
        <w:rPr>
          <w:rFonts w:ascii="Times New Roman" w:hAnsi="Times New Roman" w:cs="Times New Roman"/>
        </w:rPr>
        <w:t>to provide</w:t>
      </w:r>
      <w:r w:rsidRPr="00C45E3A">
        <w:rPr>
          <w:rFonts w:ascii="Times New Roman" w:hAnsi="Times New Roman" w:cs="Times New Roman"/>
        </w:rPr>
        <w:t xml:space="preserve"> that a failure to maintain such compliance, in a form acceptable to NOPSEMA, is grounds for the withdrawal of acceptance of an environment plan for the activity.</w:t>
      </w:r>
      <w:r w:rsidR="00672892" w:rsidRPr="00C45E3A">
        <w:rPr>
          <w:rFonts w:ascii="Times New Roman" w:hAnsi="Times New Roman" w:cs="Times New Roman"/>
        </w:rPr>
        <w:t xml:space="preserve">    </w:t>
      </w:r>
    </w:p>
    <w:p w:rsidR="009D7173" w:rsidRPr="00C45E3A" w:rsidRDefault="009D7173" w:rsidP="009D7173">
      <w:pPr>
        <w:rPr>
          <w:rFonts w:ascii="Times New Roman" w:hAnsi="Times New Roman" w:cs="Times New Roman"/>
        </w:rPr>
      </w:pPr>
      <w:r w:rsidRPr="00C45E3A">
        <w:rPr>
          <w:rFonts w:ascii="Times New Roman" w:hAnsi="Times New Roman" w:cs="Times New Roman"/>
        </w:rPr>
        <w:lastRenderedPageBreak/>
        <w:t>The kinds of costs, expenses and liabilities in respect of which section 571 requires financial assurance to be maintained are expressed comprehensively, and could be taken to include all costs incurred by a titleholder in carrying out operations in the title area.  This does not mean, however, that ordinary operating costs, such as costs of operating a production platform, drilling wells or meeting work program commitments require financial assurance cover under section 571.  An applicant for an exploration permit (s</w:t>
      </w:r>
      <w:r w:rsidR="00C74CC0" w:rsidRPr="00C45E3A">
        <w:rPr>
          <w:rFonts w:ascii="Times New Roman" w:hAnsi="Times New Roman" w:cs="Times New Roman"/>
        </w:rPr>
        <w:t>ubsection</w:t>
      </w:r>
      <w:r w:rsidRPr="00C45E3A">
        <w:rPr>
          <w:rFonts w:ascii="Times New Roman" w:hAnsi="Times New Roman" w:cs="Times New Roman"/>
        </w:rPr>
        <w:t> 104(3)) or an applicant for approval of a transfer of a title (s</w:t>
      </w:r>
      <w:r w:rsidR="00C74CC0" w:rsidRPr="00C45E3A">
        <w:rPr>
          <w:rFonts w:ascii="Times New Roman" w:hAnsi="Times New Roman" w:cs="Times New Roman"/>
        </w:rPr>
        <w:t>ection</w:t>
      </w:r>
      <w:r w:rsidRPr="00C45E3A">
        <w:rPr>
          <w:rFonts w:ascii="Times New Roman" w:hAnsi="Times New Roman" w:cs="Times New Roman"/>
        </w:rPr>
        <w:t> </w:t>
      </w:r>
      <w:r w:rsidR="00C74CC0" w:rsidRPr="00C45E3A">
        <w:rPr>
          <w:rFonts w:ascii="Times New Roman" w:hAnsi="Times New Roman" w:cs="Times New Roman"/>
        </w:rPr>
        <w:t>474</w:t>
      </w:r>
      <w:r w:rsidRPr="00C45E3A">
        <w:rPr>
          <w:rFonts w:ascii="Times New Roman" w:hAnsi="Times New Roman" w:cs="Times New Roman"/>
        </w:rPr>
        <w:t>) must provide details of the financial resources available to the applicant</w:t>
      </w:r>
      <w:r w:rsidR="00E33DB7" w:rsidRPr="00C45E3A">
        <w:rPr>
          <w:rFonts w:ascii="Times New Roman" w:hAnsi="Times New Roman" w:cs="Times New Roman"/>
        </w:rPr>
        <w:t xml:space="preserve"> to the</w:t>
      </w:r>
      <w:r w:rsidR="00296DC1" w:rsidRPr="00C45E3A">
        <w:rPr>
          <w:rFonts w:ascii="Times New Roman" w:hAnsi="Times New Roman" w:cs="Times New Roman"/>
        </w:rPr>
        <w:t xml:space="preserve"> Joint Authority</w:t>
      </w:r>
      <w:r w:rsidR="00E33DB7" w:rsidRPr="00C45E3A">
        <w:rPr>
          <w:rFonts w:ascii="Times New Roman" w:hAnsi="Times New Roman" w:cs="Times New Roman"/>
        </w:rPr>
        <w:t xml:space="preserve"> </w:t>
      </w:r>
      <w:r w:rsidR="00296DC1" w:rsidRPr="00C45E3A">
        <w:rPr>
          <w:rFonts w:ascii="Times New Roman" w:hAnsi="Times New Roman" w:cs="Times New Roman"/>
        </w:rPr>
        <w:t xml:space="preserve">or the </w:t>
      </w:r>
      <w:r w:rsidR="00E33DB7" w:rsidRPr="00C45E3A">
        <w:rPr>
          <w:rFonts w:ascii="Times New Roman" w:hAnsi="Times New Roman" w:cs="Times New Roman"/>
        </w:rPr>
        <w:t>National Offshore Petroleum Titles Administrator</w:t>
      </w:r>
      <w:r w:rsidR="00296DC1" w:rsidRPr="00C45E3A">
        <w:rPr>
          <w:rFonts w:ascii="Times New Roman" w:hAnsi="Times New Roman" w:cs="Times New Roman"/>
        </w:rPr>
        <w:t xml:space="preserve"> respectively</w:t>
      </w:r>
      <w:r w:rsidRPr="00C45E3A">
        <w:rPr>
          <w:rFonts w:ascii="Times New Roman" w:hAnsi="Times New Roman" w:cs="Times New Roman"/>
        </w:rPr>
        <w:t xml:space="preserve">.  No additional regulatory oversight is envisaged to ensure that a titleholder will have sufficient financial capacity to cover its own operating costs, including the normal range of compliance costs.  Similarly, commercial commitments entered into by the titleholder in relation to its resource, such as liabilities under contracts for supply, do not require financial assurance cover. These are ordinary commercial matters that </w:t>
      </w:r>
      <w:r w:rsidR="00E33DB7" w:rsidRPr="00C45E3A">
        <w:rPr>
          <w:rFonts w:ascii="Times New Roman" w:hAnsi="Times New Roman" w:cs="Times New Roman"/>
        </w:rPr>
        <w:t>are</w:t>
      </w:r>
      <w:r w:rsidRPr="00C45E3A">
        <w:rPr>
          <w:rFonts w:ascii="Times New Roman" w:hAnsi="Times New Roman" w:cs="Times New Roman"/>
        </w:rPr>
        <w:t xml:space="preserve"> </w:t>
      </w:r>
      <w:r w:rsidR="00C77BF4" w:rsidRPr="00C45E3A">
        <w:rPr>
          <w:rFonts w:ascii="Times New Roman" w:hAnsi="Times New Roman" w:cs="Times New Roman"/>
        </w:rPr>
        <w:t xml:space="preserve">for </w:t>
      </w:r>
      <w:r w:rsidRPr="00C45E3A">
        <w:rPr>
          <w:rFonts w:ascii="Times New Roman" w:hAnsi="Times New Roman" w:cs="Times New Roman"/>
        </w:rPr>
        <w:t xml:space="preserve">the titleholder to manage.  </w:t>
      </w:r>
    </w:p>
    <w:p w:rsidR="00BF3F88" w:rsidRPr="00C45E3A" w:rsidRDefault="009D7173" w:rsidP="009D7173">
      <w:pPr>
        <w:rPr>
          <w:rFonts w:ascii="Times New Roman" w:hAnsi="Times New Roman" w:cs="Times New Roman"/>
        </w:rPr>
      </w:pPr>
      <w:r w:rsidRPr="00C45E3A">
        <w:rPr>
          <w:rFonts w:ascii="Times New Roman" w:hAnsi="Times New Roman" w:cs="Times New Roman"/>
        </w:rPr>
        <w:t xml:space="preserve">As indicated by the Explanatory Memorandum and the Second Reading speech to the Bill that introduced section 571, the section is intended to ensure that the titleholder will have the capacity to meet extraordinary costs, expenses and liabilities that go beyond the normal operational and commercial costs of engaging in the offshore resources industry.  The amount of financial assurance </w:t>
      </w:r>
      <w:r w:rsidR="00E33DB7" w:rsidRPr="00C45E3A">
        <w:rPr>
          <w:rFonts w:ascii="Times New Roman" w:hAnsi="Times New Roman" w:cs="Times New Roman"/>
        </w:rPr>
        <w:t>titleholders require should consider</w:t>
      </w:r>
      <w:r w:rsidRPr="00C45E3A">
        <w:rPr>
          <w:rFonts w:ascii="Times New Roman" w:hAnsi="Times New Roman" w:cs="Times New Roman"/>
        </w:rPr>
        <w:t xml:space="preserve"> the most potentially ‘costly’ </w:t>
      </w:r>
      <w:r w:rsidR="00972BC2" w:rsidRPr="00C45E3A">
        <w:rPr>
          <w:rFonts w:ascii="Times New Roman" w:hAnsi="Times New Roman" w:cs="Times New Roman"/>
        </w:rPr>
        <w:t xml:space="preserve">unplanned incident or </w:t>
      </w:r>
      <w:r w:rsidRPr="00C45E3A">
        <w:rPr>
          <w:rFonts w:ascii="Times New Roman" w:hAnsi="Times New Roman" w:cs="Times New Roman"/>
        </w:rPr>
        <w:t xml:space="preserve">event that could occur in connection with the activity, and the worst realistically predictable consequences of that </w:t>
      </w:r>
      <w:r w:rsidR="00370992" w:rsidRPr="00C45E3A">
        <w:rPr>
          <w:rFonts w:ascii="Times New Roman" w:hAnsi="Times New Roman" w:cs="Times New Roman"/>
        </w:rPr>
        <w:t xml:space="preserve">incident or </w:t>
      </w:r>
      <w:r w:rsidRPr="00C45E3A">
        <w:rPr>
          <w:rFonts w:ascii="Times New Roman" w:hAnsi="Times New Roman" w:cs="Times New Roman"/>
        </w:rPr>
        <w:t xml:space="preserve">event, having regard to the relevant circumstances in which the activity is to be carried out. </w:t>
      </w:r>
      <w:r w:rsidR="00613426" w:rsidRPr="00C45E3A">
        <w:rPr>
          <w:rFonts w:ascii="Times New Roman" w:hAnsi="Times New Roman" w:cs="Times New Roman"/>
        </w:rPr>
        <w:t>The</w:t>
      </w:r>
      <w:r w:rsidRPr="00C45E3A">
        <w:rPr>
          <w:rFonts w:ascii="Times New Roman" w:hAnsi="Times New Roman" w:cs="Times New Roman"/>
        </w:rPr>
        <w:t xml:space="preserve"> titleholder is to be required to demonstrate that it has</w:t>
      </w:r>
      <w:r w:rsidR="00E33DB7" w:rsidRPr="00C45E3A">
        <w:rPr>
          <w:rFonts w:ascii="Times New Roman" w:hAnsi="Times New Roman" w:cs="Times New Roman"/>
        </w:rPr>
        <w:t xml:space="preserve"> complied with the financial assurance obligations </w:t>
      </w:r>
      <w:r w:rsidR="00C77BF4" w:rsidRPr="00C45E3A">
        <w:rPr>
          <w:rFonts w:ascii="Times New Roman" w:hAnsi="Times New Roman" w:cs="Times New Roman"/>
        </w:rPr>
        <w:t>along with</w:t>
      </w:r>
      <w:r w:rsidR="00746E82" w:rsidRPr="00C45E3A">
        <w:rPr>
          <w:rFonts w:ascii="Times New Roman" w:hAnsi="Times New Roman" w:cs="Times New Roman"/>
        </w:rPr>
        <w:t xml:space="preserve"> the submission of the environment plan for </w:t>
      </w:r>
      <w:r w:rsidR="00214DEA">
        <w:rPr>
          <w:rFonts w:ascii="Times New Roman" w:hAnsi="Times New Roman" w:cs="Times New Roman"/>
        </w:rPr>
        <w:t xml:space="preserve">the </w:t>
      </w:r>
      <w:r w:rsidRPr="00C45E3A">
        <w:rPr>
          <w:rFonts w:ascii="Times New Roman" w:hAnsi="Times New Roman" w:cs="Times New Roman"/>
        </w:rPr>
        <w:t>relevant petroleum activity.</w:t>
      </w:r>
    </w:p>
    <w:p w:rsidR="009D7173" w:rsidRPr="00C45E3A" w:rsidRDefault="00BF3F88" w:rsidP="009D7173">
      <w:pPr>
        <w:rPr>
          <w:rFonts w:ascii="Times New Roman" w:hAnsi="Times New Roman" w:cs="Times New Roman"/>
        </w:rPr>
      </w:pPr>
      <w:r w:rsidRPr="00C45E3A">
        <w:rPr>
          <w:rFonts w:ascii="Times New Roman" w:hAnsi="Times New Roman" w:cs="Times New Roman"/>
        </w:rPr>
        <w:t>I</w:t>
      </w:r>
      <w:r w:rsidR="00185E6A" w:rsidRPr="00C45E3A">
        <w:rPr>
          <w:rFonts w:ascii="Times New Roman" w:hAnsi="Times New Roman" w:cs="Times New Roman"/>
        </w:rPr>
        <w:t xml:space="preserve">t is a matter for NOPSEMA to </w:t>
      </w:r>
      <w:r w:rsidR="00474ED2" w:rsidRPr="00C45E3A">
        <w:rPr>
          <w:rFonts w:ascii="Times New Roman" w:hAnsi="Times New Roman" w:cs="Times New Roman"/>
        </w:rPr>
        <w:t>make an assessment</w:t>
      </w:r>
      <w:r w:rsidRPr="00C45E3A">
        <w:rPr>
          <w:rFonts w:ascii="Times New Roman" w:hAnsi="Times New Roman" w:cs="Times New Roman"/>
        </w:rPr>
        <w:t xml:space="preserve">, on reasonable grounds, as to </w:t>
      </w:r>
      <w:r w:rsidR="00746E82" w:rsidRPr="00C45E3A">
        <w:rPr>
          <w:rFonts w:ascii="Times New Roman" w:hAnsi="Times New Roman" w:cs="Times New Roman"/>
        </w:rPr>
        <w:t>whether the financial assurance obligations have been met</w:t>
      </w:r>
      <w:r w:rsidRPr="00C45E3A">
        <w:rPr>
          <w:rFonts w:ascii="Times New Roman" w:hAnsi="Times New Roman" w:cs="Times New Roman"/>
        </w:rPr>
        <w:t>, including the scope of costs, expenses and liabilities that may arise in relation to an activity,</w:t>
      </w:r>
      <w:r w:rsidR="00185E6A" w:rsidRPr="00C45E3A">
        <w:rPr>
          <w:rFonts w:ascii="Times New Roman" w:hAnsi="Times New Roman" w:cs="Times New Roman"/>
        </w:rPr>
        <w:t xml:space="preserve"> </w:t>
      </w:r>
      <w:r w:rsidR="00613426" w:rsidRPr="00C45E3A">
        <w:rPr>
          <w:rFonts w:ascii="Times New Roman" w:hAnsi="Times New Roman" w:cs="Times New Roman"/>
        </w:rPr>
        <w:t xml:space="preserve">and </w:t>
      </w:r>
      <w:r w:rsidR="00E54404" w:rsidRPr="00C45E3A">
        <w:rPr>
          <w:rFonts w:ascii="Times New Roman" w:hAnsi="Times New Roman" w:cs="Times New Roman"/>
        </w:rPr>
        <w:t>the extent to which the titleholder should be required to have financial assurance to cover those potential costs, expenses and liabilities</w:t>
      </w:r>
      <w:r w:rsidR="00185E6A" w:rsidRPr="00C45E3A">
        <w:rPr>
          <w:rFonts w:ascii="Times New Roman" w:hAnsi="Times New Roman" w:cs="Times New Roman"/>
        </w:rPr>
        <w:t xml:space="preserve">. </w:t>
      </w:r>
    </w:p>
    <w:p w:rsidR="009D5F1B" w:rsidRPr="00C45E3A" w:rsidRDefault="009D5F1B">
      <w:pPr>
        <w:rPr>
          <w:rFonts w:ascii="Times New Roman" w:hAnsi="Times New Roman" w:cs="Times New Roman"/>
        </w:rPr>
      </w:pPr>
      <w:r w:rsidRPr="00C45E3A">
        <w:rPr>
          <w:rFonts w:ascii="Times New Roman" w:hAnsi="Times New Roman" w:cs="Times New Roman"/>
        </w:rPr>
        <w:t>The Regulation amend</w:t>
      </w:r>
      <w:r w:rsidR="00AD5910">
        <w:rPr>
          <w:rFonts w:ascii="Times New Roman" w:hAnsi="Times New Roman" w:cs="Times New Roman"/>
        </w:rPr>
        <w:t>s</w:t>
      </w:r>
      <w:r w:rsidRPr="00C45E3A">
        <w:rPr>
          <w:rFonts w:ascii="Times New Roman" w:hAnsi="Times New Roman" w:cs="Times New Roman"/>
        </w:rPr>
        <w:t xml:space="preserve"> the Principal Regulations to </w:t>
      </w:r>
      <w:r w:rsidR="00653ECC" w:rsidRPr="00C45E3A">
        <w:rPr>
          <w:rFonts w:ascii="Times New Roman" w:hAnsi="Times New Roman" w:cs="Times New Roman"/>
        </w:rPr>
        <w:t>implement</w:t>
      </w:r>
      <w:r w:rsidRPr="00C45E3A">
        <w:rPr>
          <w:rFonts w:ascii="Times New Roman" w:hAnsi="Times New Roman" w:cs="Times New Roman"/>
        </w:rPr>
        <w:t xml:space="preserve"> the matters permitted to be provided for in subsection</w:t>
      </w:r>
      <w:r w:rsidR="00672892" w:rsidRPr="00C45E3A">
        <w:rPr>
          <w:rFonts w:ascii="Times New Roman" w:hAnsi="Times New Roman" w:cs="Times New Roman"/>
        </w:rPr>
        <w:t xml:space="preserve"> 571(3) of the OPGGS Act, and thereby </w:t>
      </w:r>
      <w:r w:rsidR="00653ECC" w:rsidRPr="00C45E3A">
        <w:rPr>
          <w:rFonts w:ascii="Times New Roman" w:hAnsi="Times New Roman" w:cs="Times New Roman"/>
        </w:rPr>
        <w:t>put</w:t>
      </w:r>
      <w:r w:rsidR="00214DEA">
        <w:rPr>
          <w:rFonts w:ascii="Times New Roman" w:hAnsi="Times New Roman" w:cs="Times New Roman"/>
        </w:rPr>
        <w:t>s</w:t>
      </w:r>
      <w:r w:rsidR="00653ECC" w:rsidRPr="00C45E3A">
        <w:rPr>
          <w:rFonts w:ascii="Times New Roman" w:hAnsi="Times New Roman" w:cs="Times New Roman"/>
        </w:rPr>
        <w:t xml:space="preserve"> in place</w:t>
      </w:r>
      <w:r w:rsidR="00672892" w:rsidRPr="00C45E3A">
        <w:rPr>
          <w:rFonts w:ascii="Times New Roman" w:hAnsi="Times New Roman" w:cs="Times New Roman"/>
        </w:rPr>
        <w:t xml:space="preserve"> a mechanism for NOPSEMA to oversee </w:t>
      </w:r>
      <w:r w:rsidR="00E84474" w:rsidRPr="00C45E3A">
        <w:rPr>
          <w:rFonts w:ascii="Times New Roman" w:hAnsi="Times New Roman" w:cs="Times New Roman"/>
        </w:rPr>
        <w:t xml:space="preserve">and ensure </w:t>
      </w:r>
      <w:r w:rsidR="00672892" w:rsidRPr="00C45E3A">
        <w:rPr>
          <w:rFonts w:ascii="Times New Roman" w:hAnsi="Times New Roman" w:cs="Times New Roman"/>
        </w:rPr>
        <w:t>compliance by titleholders with their financial assurance obligations</w:t>
      </w:r>
      <w:r w:rsidR="00653ECC" w:rsidRPr="00C45E3A">
        <w:rPr>
          <w:rFonts w:ascii="Times New Roman" w:hAnsi="Times New Roman" w:cs="Times New Roman"/>
        </w:rPr>
        <w:t xml:space="preserve"> in section 571 of the OPGGS Act</w:t>
      </w:r>
      <w:r w:rsidR="00672892" w:rsidRPr="00C45E3A">
        <w:rPr>
          <w:rFonts w:ascii="Times New Roman" w:hAnsi="Times New Roman" w:cs="Times New Roman"/>
        </w:rPr>
        <w:t>. In effect, the amendments</w:t>
      </w:r>
      <w:r w:rsidRPr="00C45E3A">
        <w:rPr>
          <w:rFonts w:ascii="Times New Roman" w:hAnsi="Times New Roman" w:cs="Times New Roman"/>
        </w:rPr>
        <w:t xml:space="preserve"> </w:t>
      </w:r>
      <w:r w:rsidR="00672892" w:rsidRPr="00C45E3A">
        <w:rPr>
          <w:rFonts w:ascii="Times New Roman" w:hAnsi="Times New Roman" w:cs="Times New Roman"/>
        </w:rPr>
        <w:t>ensure</w:t>
      </w:r>
      <w:r w:rsidRPr="00C45E3A">
        <w:rPr>
          <w:rFonts w:ascii="Times New Roman" w:hAnsi="Times New Roman" w:cs="Times New Roman"/>
        </w:rPr>
        <w:t xml:space="preserve"> that, while NOPSEMA may assess an environment plan for a petroleum activity, it </w:t>
      </w:r>
      <w:r w:rsidR="00746E82" w:rsidRPr="00C45E3A">
        <w:rPr>
          <w:rFonts w:ascii="Times New Roman" w:hAnsi="Times New Roman" w:cs="Times New Roman"/>
        </w:rPr>
        <w:t xml:space="preserve">must </w:t>
      </w:r>
      <w:r w:rsidRPr="00C45E3A">
        <w:rPr>
          <w:rFonts w:ascii="Times New Roman" w:hAnsi="Times New Roman" w:cs="Times New Roman"/>
        </w:rPr>
        <w:t xml:space="preserve">not accept the plan unless it is reasonably satisfied that financial assurance in relation to the activity </w:t>
      </w:r>
      <w:r w:rsidR="00E84474" w:rsidRPr="00C45E3A">
        <w:rPr>
          <w:rFonts w:ascii="Times New Roman" w:hAnsi="Times New Roman" w:cs="Times New Roman"/>
        </w:rPr>
        <w:t xml:space="preserve">(or activities) </w:t>
      </w:r>
      <w:r w:rsidRPr="00C45E3A">
        <w:rPr>
          <w:rFonts w:ascii="Times New Roman" w:hAnsi="Times New Roman" w:cs="Times New Roman"/>
        </w:rPr>
        <w:t>is sufficient, and in an acceptable form. It is an offence for a titleholder to carry out a petroleum activity without an accepted environment plan.</w:t>
      </w:r>
      <w:r w:rsidR="00672892" w:rsidRPr="00C45E3A">
        <w:rPr>
          <w:rFonts w:ascii="Times New Roman" w:hAnsi="Times New Roman" w:cs="Times New Roman"/>
        </w:rPr>
        <w:t xml:space="preserve"> </w:t>
      </w:r>
    </w:p>
    <w:p w:rsidR="009910B9" w:rsidRPr="00C45E3A" w:rsidRDefault="00AD5910">
      <w:pPr>
        <w:rPr>
          <w:rFonts w:ascii="Times New Roman" w:hAnsi="Times New Roman" w:cs="Times New Roman"/>
        </w:rPr>
      </w:pPr>
      <w:r>
        <w:rPr>
          <w:rFonts w:ascii="Times New Roman" w:hAnsi="Times New Roman" w:cs="Times New Roman"/>
        </w:rPr>
        <w:t>T</w:t>
      </w:r>
      <w:r w:rsidR="009D5F1B" w:rsidRPr="00C45E3A">
        <w:rPr>
          <w:rFonts w:ascii="Times New Roman" w:hAnsi="Times New Roman" w:cs="Times New Roman"/>
        </w:rPr>
        <w:t xml:space="preserve">he new provisions </w:t>
      </w:r>
      <w:r w:rsidR="00062450" w:rsidRPr="00C45E3A">
        <w:rPr>
          <w:rFonts w:ascii="Times New Roman" w:hAnsi="Times New Roman" w:cs="Times New Roman"/>
        </w:rPr>
        <w:t xml:space="preserve">in the Principal Regulations </w:t>
      </w:r>
      <w:r w:rsidR="001D0ABD">
        <w:rPr>
          <w:rFonts w:ascii="Times New Roman" w:hAnsi="Times New Roman" w:cs="Times New Roman"/>
        </w:rPr>
        <w:t>will be</w:t>
      </w:r>
      <w:r w:rsidR="009D5F1B" w:rsidRPr="00C45E3A">
        <w:rPr>
          <w:rFonts w:ascii="Times New Roman" w:hAnsi="Times New Roman" w:cs="Times New Roman"/>
        </w:rPr>
        <w:t xml:space="preserve"> supported by</w:t>
      </w:r>
      <w:r w:rsidR="00062450" w:rsidRPr="00C45E3A">
        <w:rPr>
          <w:rFonts w:ascii="Times New Roman" w:hAnsi="Times New Roman" w:cs="Times New Roman"/>
        </w:rPr>
        <w:t xml:space="preserve">: (a) a methodology for </w:t>
      </w:r>
      <w:r w:rsidR="00913C12" w:rsidRPr="00C45E3A">
        <w:rPr>
          <w:rFonts w:ascii="Times New Roman" w:hAnsi="Times New Roman" w:cs="Times New Roman"/>
        </w:rPr>
        <w:t xml:space="preserve">assessing </w:t>
      </w:r>
      <w:r w:rsidR="00062450" w:rsidRPr="00C45E3A">
        <w:rPr>
          <w:rFonts w:ascii="Times New Roman" w:hAnsi="Times New Roman" w:cs="Times New Roman"/>
        </w:rPr>
        <w:t xml:space="preserve">the monetary value of sufficient financial assurance, with flexibility for titleholders to use the methodology or </w:t>
      </w:r>
      <w:r w:rsidR="002F4CD0" w:rsidRPr="00C45E3A">
        <w:rPr>
          <w:rFonts w:ascii="Times New Roman" w:hAnsi="Times New Roman" w:cs="Times New Roman"/>
        </w:rPr>
        <w:t>propose other mechanisms</w:t>
      </w:r>
      <w:r w:rsidR="00062450" w:rsidRPr="00C45E3A">
        <w:rPr>
          <w:rFonts w:ascii="Times New Roman" w:hAnsi="Times New Roman" w:cs="Times New Roman"/>
        </w:rPr>
        <w:t xml:space="preserve"> when </w:t>
      </w:r>
      <w:r w:rsidR="008E3FA3" w:rsidRPr="00C45E3A">
        <w:rPr>
          <w:rFonts w:ascii="Times New Roman" w:hAnsi="Times New Roman" w:cs="Times New Roman"/>
        </w:rPr>
        <w:t xml:space="preserve">either </w:t>
      </w:r>
      <w:r w:rsidR="00062450" w:rsidRPr="00C45E3A">
        <w:rPr>
          <w:rFonts w:ascii="Times New Roman" w:hAnsi="Times New Roman" w:cs="Times New Roman"/>
        </w:rPr>
        <w:t xml:space="preserve">the titleholder </w:t>
      </w:r>
      <w:r w:rsidR="008E3FA3" w:rsidRPr="00C45E3A">
        <w:rPr>
          <w:rFonts w:ascii="Times New Roman" w:hAnsi="Times New Roman" w:cs="Times New Roman"/>
        </w:rPr>
        <w:t xml:space="preserve">or regulator </w:t>
      </w:r>
      <w:r w:rsidR="00913C12" w:rsidRPr="00C45E3A">
        <w:rPr>
          <w:rFonts w:ascii="Times New Roman" w:hAnsi="Times New Roman" w:cs="Times New Roman"/>
        </w:rPr>
        <w:t xml:space="preserve">considers </w:t>
      </w:r>
      <w:r w:rsidR="00062450" w:rsidRPr="00C45E3A">
        <w:rPr>
          <w:rFonts w:ascii="Times New Roman" w:hAnsi="Times New Roman" w:cs="Times New Roman"/>
        </w:rPr>
        <w:t xml:space="preserve">that the methodology is not </w:t>
      </w:r>
      <w:r w:rsidR="00913C12" w:rsidRPr="00C45E3A">
        <w:rPr>
          <w:rFonts w:ascii="Times New Roman" w:hAnsi="Times New Roman" w:cs="Times New Roman"/>
        </w:rPr>
        <w:t>appropriate to be applied in the particular</w:t>
      </w:r>
      <w:r w:rsidR="00062450" w:rsidRPr="00C45E3A">
        <w:rPr>
          <w:rFonts w:ascii="Times New Roman" w:hAnsi="Times New Roman" w:cs="Times New Roman"/>
        </w:rPr>
        <w:t xml:space="preserve"> circumstances; and (b) a guideline outlining</w:t>
      </w:r>
      <w:r w:rsidR="009D5F1B" w:rsidRPr="00C45E3A">
        <w:rPr>
          <w:rFonts w:ascii="Times New Roman" w:hAnsi="Times New Roman" w:cs="Times New Roman"/>
        </w:rPr>
        <w:t xml:space="preserve"> acceptable forms of financial assurance.</w:t>
      </w:r>
    </w:p>
    <w:p w:rsidR="00EA37BB" w:rsidRPr="00C45E3A" w:rsidRDefault="00836FB1">
      <w:pPr>
        <w:rPr>
          <w:rFonts w:ascii="Times New Roman" w:hAnsi="Times New Roman" w:cs="Times New Roman"/>
        </w:rPr>
      </w:pPr>
      <w:r w:rsidRPr="00C45E3A">
        <w:rPr>
          <w:rFonts w:ascii="Times New Roman" w:hAnsi="Times New Roman" w:cs="Times New Roman"/>
        </w:rPr>
        <w:t>NOPSEMA operates on a fully cost-recovered basis, through fees and levies pa</w:t>
      </w:r>
      <w:r w:rsidR="006848A4" w:rsidRPr="00C45E3A">
        <w:rPr>
          <w:rFonts w:ascii="Times New Roman" w:hAnsi="Times New Roman" w:cs="Times New Roman"/>
        </w:rPr>
        <w:t>yable</w:t>
      </w:r>
      <w:r w:rsidRPr="00C45E3A">
        <w:rPr>
          <w:rFonts w:ascii="Times New Roman" w:hAnsi="Times New Roman" w:cs="Times New Roman"/>
        </w:rPr>
        <w:t xml:space="preserve"> by the offshore petroleum industry. There is no existing mechanism whereby NOPSEMA </w:t>
      </w:r>
      <w:r w:rsidR="006848A4" w:rsidRPr="00C45E3A">
        <w:rPr>
          <w:rFonts w:ascii="Times New Roman" w:hAnsi="Times New Roman" w:cs="Times New Roman"/>
        </w:rPr>
        <w:t>can</w:t>
      </w:r>
      <w:r w:rsidRPr="00C45E3A">
        <w:rPr>
          <w:rFonts w:ascii="Times New Roman" w:hAnsi="Times New Roman" w:cs="Times New Roman"/>
        </w:rPr>
        <w:t xml:space="preserve"> recover its costs of assessment of </w:t>
      </w:r>
      <w:r w:rsidR="00311E04" w:rsidRPr="00C45E3A">
        <w:rPr>
          <w:rFonts w:ascii="Times New Roman" w:hAnsi="Times New Roman" w:cs="Times New Roman"/>
        </w:rPr>
        <w:t xml:space="preserve">proposed </w:t>
      </w:r>
      <w:r w:rsidRPr="00C45E3A">
        <w:rPr>
          <w:rFonts w:ascii="Times New Roman" w:hAnsi="Times New Roman" w:cs="Times New Roman"/>
        </w:rPr>
        <w:t xml:space="preserve">financial assurance arrangements submitted by titleholders. </w:t>
      </w:r>
      <w:r w:rsidR="009910B9" w:rsidRPr="00C45E3A">
        <w:rPr>
          <w:rFonts w:ascii="Times New Roman" w:hAnsi="Times New Roman" w:cs="Times New Roman"/>
        </w:rPr>
        <w:t>Subsection</w:t>
      </w:r>
      <w:r w:rsidRPr="00C45E3A">
        <w:rPr>
          <w:rFonts w:ascii="Times New Roman" w:hAnsi="Times New Roman" w:cs="Times New Roman"/>
        </w:rPr>
        <w:t xml:space="preserve"> 685(1)</w:t>
      </w:r>
      <w:r w:rsidR="009910B9" w:rsidRPr="00C45E3A">
        <w:rPr>
          <w:rFonts w:ascii="Times New Roman" w:hAnsi="Times New Roman" w:cs="Times New Roman"/>
        </w:rPr>
        <w:t xml:space="preserve"> </w:t>
      </w:r>
      <w:r w:rsidRPr="00C45E3A">
        <w:rPr>
          <w:rFonts w:ascii="Times New Roman" w:hAnsi="Times New Roman" w:cs="Times New Roman"/>
        </w:rPr>
        <w:t xml:space="preserve">of the OPGGS Act states that regulations may be made to provide for the payment of fees to NOPSEMA in respect of matters in relation to which expenses are incurred by NOPSEMA under the </w:t>
      </w:r>
      <w:r w:rsidRPr="00C45E3A">
        <w:rPr>
          <w:rFonts w:ascii="Times New Roman" w:hAnsi="Times New Roman" w:cs="Times New Roman"/>
        </w:rPr>
        <w:lastRenderedPageBreak/>
        <w:t xml:space="preserve">Act or regulations. </w:t>
      </w:r>
      <w:r w:rsidR="009910B9" w:rsidRPr="00C45E3A">
        <w:rPr>
          <w:rFonts w:ascii="Times New Roman" w:hAnsi="Times New Roman" w:cs="Times New Roman"/>
        </w:rPr>
        <w:t xml:space="preserve">The Regulation </w:t>
      </w:r>
      <w:r w:rsidRPr="00C45E3A">
        <w:rPr>
          <w:rFonts w:ascii="Times New Roman" w:hAnsi="Times New Roman" w:cs="Times New Roman"/>
        </w:rPr>
        <w:t xml:space="preserve">therefore </w:t>
      </w:r>
      <w:r w:rsidR="009910B9" w:rsidRPr="00C45E3A">
        <w:rPr>
          <w:rFonts w:ascii="Times New Roman" w:hAnsi="Times New Roman" w:cs="Times New Roman"/>
        </w:rPr>
        <w:t>also provide</w:t>
      </w:r>
      <w:r w:rsidR="00AD5910">
        <w:rPr>
          <w:rFonts w:ascii="Times New Roman" w:hAnsi="Times New Roman" w:cs="Times New Roman"/>
        </w:rPr>
        <w:t>s</w:t>
      </w:r>
      <w:r w:rsidR="009910B9" w:rsidRPr="00C45E3A">
        <w:rPr>
          <w:rFonts w:ascii="Times New Roman" w:hAnsi="Times New Roman" w:cs="Times New Roman"/>
        </w:rPr>
        <w:t xml:space="preserve"> for a fee to be payable to NOPSEMA</w:t>
      </w:r>
      <w:r w:rsidRPr="00C45E3A">
        <w:rPr>
          <w:rFonts w:ascii="Times New Roman" w:hAnsi="Times New Roman" w:cs="Times New Roman"/>
        </w:rPr>
        <w:t xml:space="preserve"> for assessment of financial assurance arrangements in relation to a petroleum activity.</w:t>
      </w:r>
      <w:r w:rsidR="009D5F1B" w:rsidRPr="00C45E3A">
        <w:rPr>
          <w:rFonts w:ascii="Times New Roman" w:hAnsi="Times New Roman" w:cs="Times New Roman"/>
        </w:rPr>
        <w:t xml:space="preserve"> </w:t>
      </w:r>
    </w:p>
    <w:p w:rsidR="00062450" w:rsidRPr="00C45E3A" w:rsidRDefault="00836FB1">
      <w:pPr>
        <w:rPr>
          <w:rFonts w:ascii="Times New Roman" w:hAnsi="Times New Roman" w:cs="Times New Roman"/>
        </w:rPr>
      </w:pPr>
      <w:r w:rsidRPr="00C45E3A">
        <w:rPr>
          <w:rFonts w:ascii="Times New Roman" w:hAnsi="Times New Roman" w:cs="Times New Roman"/>
        </w:rPr>
        <w:t>The Regulation commence</w:t>
      </w:r>
      <w:r w:rsidR="008744E8">
        <w:rPr>
          <w:rFonts w:ascii="Times New Roman" w:hAnsi="Times New Roman" w:cs="Times New Roman"/>
        </w:rPr>
        <w:t>s</w:t>
      </w:r>
      <w:r w:rsidRPr="00C45E3A">
        <w:rPr>
          <w:rFonts w:ascii="Times New Roman" w:hAnsi="Times New Roman" w:cs="Times New Roman"/>
        </w:rPr>
        <w:t xml:space="preserve"> on 1 January 2015, to allow </w:t>
      </w:r>
      <w:r w:rsidR="00E84474" w:rsidRPr="00C45E3A">
        <w:rPr>
          <w:rFonts w:ascii="Times New Roman" w:hAnsi="Times New Roman" w:cs="Times New Roman"/>
        </w:rPr>
        <w:t xml:space="preserve">sufficient </w:t>
      </w:r>
      <w:r w:rsidRPr="00C45E3A">
        <w:rPr>
          <w:rFonts w:ascii="Times New Roman" w:hAnsi="Times New Roman" w:cs="Times New Roman"/>
        </w:rPr>
        <w:t xml:space="preserve">time for industry to understand and prepare to comply with the new regulatory </w:t>
      </w:r>
      <w:r w:rsidR="006848A4" w:rsidRPr="00C45E3A">
        <w:rPr>
          <w:rFonts w:ascii="Times New Roman" w:hAnsi="Times New Roman" w:cs="Times New Roman"/>
        </w:rPr>
        <w:t>arrangements</w:t>
      </w:r>
      <w:r w:rsidR="004A4C96" w:rsidRPr="00C45E3A">
        <w:rPr>
          <w:rFonts w:ascii="Times New Roman" w:hAnsi="Times New Roman" w:cs="Times New Roman"/>
        </w:rPr>
        <w:t xml:space="preserve">, </w:t>
      </w:r>
      <w:r w:rsidR="00E84474" w:rsidRPr="00C45E3A">
        <w:rPr>
          <w:rFonts w:ascii="Times New Roman" w:hAnsi="Times New Roman" w:cs="Times New Roman"/>
        </w:rPr>
        <w:t>including</w:t>
      </w:r>
      <w:r w:rsidR="004A4C96" w:rsidRPr="00C45E3A">
        <w:rPr>
          <w:rFonts w:ascii="Times New Roman" w:hAnsi="Times New Roman" w:cs="Times New Roman"/>
        </w:rPr>
        <w:t xml:space="preserve"> finalisation and publication of the supporting methodology and guideline</w:t>
      </w:r>
      <w:r w:rsidRPr="00C45E3A">
        <w:rPr>
          <w:rFonts w:ascii="Times New Roman" w:hAnsi="Times New Roman" w:cs="Times New Roman"/>
        </w:rPr>
        <w:t xml:space="preserve">. </w:t>
      </w:r>
      <w:r w:rsidR="00E84474" w:rsidRPr="00C45E3A">
        <w:rPr>
          <w:rFonts w:ascii="Times New Roman" w:hAnsi="Times New Roman" w:cs="Times New Roman"/>
        </w:rPr>
        <w:t>However, it should be noted that</w:t>
      </w:r>
      <w:r w:rsidR="00311E04" w:rsidRPr="00C45E3A">
        <w:rPr>
          <w:rFonts w:ascii="Times New Roman" w:hAnsi="Times New Roman" w:cs="Times New Roman"/>
        </w:rPr>
        <w:t xml:space="preserve"> t</w:t>
      </w:r>
      <w:r w:rsidRPr="00C45E3A">
        <w:rPr>
          <w:rFonts w:ascii="Times New Roman" w:hAnsi="Times New Roman" w:cs="Times New Roman"/>
        </w:rPr>
        <w:t xml:space="preserve">itleholders are already required </w:t>
      </w:r>
      <w:r w:rsidR="00E84474" w:rsidRPr="00C45E3A">
        <w:rPr>
          <w:rFonts w:ascii="Times New Roman" w:hAnsi="Times New Roman" w:cs="Times New Roman"/>
        </w:rPr>
        <w:t xml:space="preserve">by operation of the OPGGS Act </w:t>
      </w:r>
      <w:r w:rsidRPr="00C45E3A">
        <w:rPr>
          <w:rFonts w:ascii="Times New Roman" w:hAnsi="Times New Roman" w:cs="Times New Roman"/>
        </w:rPr>
        <w:t xml:space="preserve">to hold sufficient financial assurance in relation to petroleum activities in accordance with the requirements of </w:t>
      </w:r>
      <w:r w:rsidR="00E84474" w:rsidRPr="00C45E3A">
        <w:rPr>
          <w:rFonts w:ascii="Times New Roman" w:hAnsi="Times New Roman" w:cs="Times New Roman"/>
        </w:rPr>
        <w:t>section 571</w:t>
      </w:r>
      <w:r w:rsidRPr="00C45E3A">
        <w:rPr>
          <w:rFonts w:ascii="Times New Roman" w:hAnsi="Times New Roman" w:cs="Times New Roman"/>
        </w:rPr>
        <w:t>.</w:t>
      </w:r>
    </w:p>
    <w:p w:rsidR="009910B9" w:rsidRDefault="009910B9" w:rsidP="009910B9">
      <w:pPr>
        <w:tabs>
          <w:tab w:val="left" w:pos="6521"/>
        </w:tabs>
        <w:ind w:right="91"/>
        <w:rPr>
          <w:rFonts w:ascii="Times New Roman" w:hAnsi="Times New Roman" w:cs="Times New Roman"/>
        </w:rPr>
      </w:pPr>
      <w:r w:rsidRPr="00C45E3A">
        <w:rPr>
          <w:rFonts w:ascii="Times New Roman" w:hAnsi="Times New Roman" w:cs="Times New Roman"/>
        </w:rPr>
        <w:t xml:space="preserve">Details of the Regulation are set out in </w:t>
      </w:r>
      <w:r w:rsidRPr="00C45E3A">
        <w:rPr>
          <w:rFonts w:ascii="Times New Roman" w:hAnsi="Times New Roman" w:cs="Times New Roman"/>
          <w:u w:val="single"/>
        </w:rPr>
        <w:t>Attachment</w:t>
      </w:r>
      <w:r w:rsidR="00140AC7">
        <w:rPr>
          <w:rFonts w:ascii="Times New Roman" w:hAnsi="Times New Roman" w:cs="Times New Roman"/>
          <w:u w:val="single"/>
        </w:rPr>
        <w:t xml:space="preserve"> 1</w:t>
      </w:r>
      <w:r w:rsidRPr="00C45E3A">
        <w:rPr>
          <w:rFonts w:ascii="Times New Roman" w:hAnsi="Times New Roman" w:cs="Times New Roman"/>
        </w:rPr>
        <w:t xml:space="preserve">. The Regulation </w:t>
      </w:r>
      <w:r w:rsidR="008744E8">
        <w:rPr>
          <w:rFonts w:ascii="Times New Roman" w:hAnsi="Times New Roman" w:cs="Times New Roman"/>
        </w:rPr>
        <w:t>is</w:t>
      </w:r>
      <w:r w:rsidRPr="00C45E3A">
        <w:rPr>
          <w:rFonts w:ascii="Times New Roman" w:hAnsi="Times New Roman" w:cs="Times New Roman"/>
        </w:rPr>
        <w:t xml:space="preserve"> a legislative instrument for the purposes of the </w:t>
      </w:r>
      <w:r w:rsidRPr="00C45E3A">
        <w:rPr>
          <w:rFonts w:ascii="Times New Roman" w:hAnsi="Times New Roman" w:cs="Times New Roman"/>
          <w:i/>
        </w:rPr>
        <w:t>Legislative Instruments Act 2003</w:t>
      </w:r>
      <w:r w:rsidRPr="00C45E3A">
        <w:rPr>
          <w:rFonts w:ascii="Times New Roman" w:hAnsi="Times New Roman" w:cs="Times New Roman"/>
        </w:rPr>
        <w:t>.</w:t>
      </w:r>
    </w:p>
    <w:p w:rsidR="00140AC7" w:rsidRDefault="00140AC7" w:rsidP="00140AC7">
      <w:pPr>
        <w:ind w:right="91"/>
        <w:rPr>
          <w:rFonts w:ascii="Times New Roman" w:hAnsi="Times New Roman" w:cs="Times New Roman"/>
        </w:rPr>
      </w:pPr>
      <w:r w:rsidRPr="00140AC7">
        <w:rPr>
          <w:rFonts w:ascii="Times New Roman" w:hAnsi="Times New Roman" w:cs="Times New Roman"/>
        </w:rPr>
        <w:t xml:space="preserve">The Regulation is compatible with the human rights and freedoms recognised or declared under section 3 of the </w:t>
      </w:r>
      <w:r w:rsidRPr="00140AC7">
        <w:rPr>
          <w:rFonts w:ascii="Times New Roman" w:hAnsi="Times New Roman" w:cs="Times New Roman"/>
          <w:i/>
        </w:rPr>
        <w:t>Human Rights (Parliamentary Scrutiny) Act 2011</w:t>
      </w:r>
      <w:r w:rsidRPr="00140AC7">
        <w:rPr>
          <w:rFonts w:ascii="Times New Roman" w:hAnsi="Times New Roman" w:cs="Times New Roman"/>
        </w:rPr>
        <w:t xml:space="preserve">. A full Statement of Compatibility is set out in </w:t>
      </w:r>
      <w:r w:rsidRPr="00140AC7">
        <w:rPr>
          <w:rFonts w:ascii="Times New Roman" w:hAnsi="Times New Roman" w:cs="Times New Roman"/>
          <w:u w:val="single"/>
        </w:rPr>
        <w:t>Attachment 2</w:t>
      </w:r>
      <w:r w:rsidRPr="00140AC7">
        <w:rPr>
          <w:rFonts w:ascii="Times New Roman" w:hAnsi="Times New Roman" w:cs="Times New Roman"/>
        </w:rPr>
        <w:t>.</w:t>
      </w:r>
    </w:p>
    <w:p w:rsidR="00140AC7" w:rsidRPr="007F2524" w:rsidRDefault="004B4ADB" w:rsidP="004B4ADB">
      <w:pPr>
        <w:ind w:right="91"/>
        <w:rPr>
          <w:rFonts w:ascii="Times New Roman" w:hAnsi="Times New Roman" w:cs="Times New Roman"/>
        </w:rPr>
      </w:pPr>
      <w:r w:rsidRPr="007F2524">
        <w:rPr>
          <w:rFonts w:ascii="Times New Roman" w:hAnsi="Times New Roman" w:cs="Times New Roman"/>
          <w:i/>
          <w:u w:val="single"/>
        </w:rPr>
        <w:t>Consultation</w:t>
      </w:r>
    </w:p>
    <w:p w:rsidR="00FC7BCC" w:rsidRPr="007F2524" w:rsidRDefault="00FC7BCC" w:rsidP="009910B9">
      <w:pPr>
        <w:tabs>
          <w:tab w:val="left" w:pos="6521"/>
        </w:tabs>
        <w:ind w:right="91"/>
        <w:rPr>
          <w:rFonts w:ascii="Times New Roman" w:hAnsi="Times New Roman" w:cs="Times New Roman"/>
        </w:rPr>
      </w:pPr>
      <w:r w:rsidRPr="007F2524">
        <w:rPr>
          <w:rFonts w:ascii="Times New Roman" w:hAnsi="Times New Roman" w:cs="Times New Roman"/>
        </w:rPr>
        <w:t>The Department</w:t>
      </w:r>
      <w:r w:rsidR="007F2524">
        <w:rPr>
          <w:rFonts w:ascii="Times New Roman" w:hAnsi="Times New Roman" w:cs="Times New Roman"/>
        </w:rPr>
        <w:t xml:space="preserve"> of Industry</w:t>
      </w:r>
      <w:r w:rsidRPr="007F2524">
        <w:rPr>
          <w:rFonts w:ascii="Times New Roman" w:hAnsi="Times New Roman" w:cs="Times New Roman"/>
        </w:rPr>
        <w:t xml:space="preserve"> hosted information sessions</w:t>
      </w:r>
      <w:r w:rsidR="007F2524">
        <w:rPr>
          <w:rFonts w:ascii="Times New Roman" w:hAnsi="Times New Roman" w:cs="Times New Roman"/>
        </w:rPr>
        <w:t xml:space="preserve"> for offshore petroleum titleholders, to whom the amendments made by the Regulation will apply,</w:t>
      </w:r>
      <w:r w:rsidRPr="007F2524">
        <w:rPr>
          <w:rFonts w:ascii="Times New Roman" w:hAnsi="Times New Roman" w:cs="Times New Roman"/>
        </w:rPr>
        <w:t xml:space="preserve"> in Perth and Melbourne in October 2013 to outline the policy intention of the amendments, consult on a draft of </w:t>
      </w:r>
      <w:r w:rsidR="007F2524">
        <w:rPr>
          <w:rFonts w:ascii="Times New Roman" w:hAnsi="Times New Roman" w:cs="Times New Roman"/>
        </w:rPr>
        <w:t>the R</w:t>
      </w:r>
      <w:r w:rsidRPr="007F2524">
        <w:rPr>
          <w:rFonts w:ascii="Times New Roman" w:hAnsi="Times New Roman" w:cs="Times New Roman"/>
        </w:rPr>
        <w:t>egulation</w:t>
      </w:r>
      <w:r w:rsidR="007F2524">
        <w:rPr>
          <w:rFonts w:ascii="Times New Roman" w:hAnsi="Times New Roman" w:cs="Times New Roman"/>
        </w:rPr>
        <w:t>,</w:t>
      </w:r>
      <w:r w:rsidRPr="007F2524">
        <w:rPr>
          <w:rFonts w:ascii="Times New Roman" w:hAnsi="Times New Roman" w:cs="Times New Roman"/>
        </w:rPr>
        <w:t xml:space="preserve"> and discuss</w:t>
      </w:r>
      <w:r w:rsidR="007F2524">
        <w:rPr>
          <w:rFonts w:ascii="Times New Roman" w:hAnsi="Times New Roman" w:cs="Times New Roman"/>
        </w:rPr>
        <w:t xml:space="preserve"> practical</w:t>
      </w:r>
      <w:r w:rsidRPr="007F2524">
        <w:rPr>
          <w:rFonts w:ascii="Times New Roman" w:hAnsi="Times New Roman" w:cs="Times New Roman"/>
        </w:rPr>
        <w:t xml:space="preserve"> implementation of the financial assurance assessment process.</w:t>
      </w:r>
    </w:p>
    <w:p w:rsidR="00FC7BCC" w:rsidRPr="007F2524" w:rsidRDefault="00FC7BCC" w:rsidP="009910B9">
      <w:pPr>
        <w:tabs>
          <w:tab w:val="left" w:pos="6521"/>
        </w:tabs>
        <w:ind w:right="91"/>
        <w:rPr>
          <w:rFonts w:ascii="Times New Roman" w:hAnsi="Times New Roman" w:cs="Times New Roman"/>
        </w:rPr>
      </w:pPr>
      <w:r w:rsidRPr="007F2524">
        <w:rPr>
          <w:rFonts w:ascii="Times New Roman" w:hAnsi="Times New Roman" w:cs="Times New Roman"/>
        </w:rPr>
        <w:t xml:space="preserve">Following consideration of comments received </w:t>
      </w:r>
      <w:r w:rsidR="007F2524">
        <w:rPr>
          <w:rFonts w:ascii="Times New Roman" w:hAnsi="Times New Roman" w:cs="Times New Roman"/>
        </w:rPr>
        <w:t>from titleholders in relation to the draft Re</w:t>
      </w:r>
      <w:r w:rsidRPr="007F2524">
        <w:rPr>
          <w:rFonts w:ascii="Times New Roman" w:hAnsi="Times New Roman" w:cs="Times New Roman"/>
        </w:rPr>
        <w:t>gulation,</w:t>
      </w:r>
      <w:r w:rsidR="007F2524">
        <w:rPr>
          <w:rFonts w:ascii="Times New Roman" w:hAnsi="Times New Roman" w:cs="Times New Roman"/>
        </w:rPr>
        <w:t xml:space="preserve"> including concerns in relation to the complexity and practical application of the draft Regulation,</w:t>
      </w:r>
      <w:r w:rsidRPr="007F2524">
        <w:rPr>
          <w:rFonts w:ascii="Times New Roman" w:hAnsi="Times New Roman" w:cs="Times New Roman"/>
        </w:rPr>
        <w:t xml:space="preserve"> a further intensive workshop with a select group of </w:t>
      </w:r>
      <w:r w:rsidR="007F2524">
        <w:rPr>
          <w:rFonts w:ascii="Times New Roman" w:hAnsi="Times New Roman" w:cs="Times New Roman"/>
        </w:rPr>
        <w:t xml:space="preserve">industry </w:t>
      </w:r>
      <w:r w:rsidRPr="007F2524">
        <w:rPr>
          <w:rFonts w:ascii="Times New Roman" w:hAnsi="Times New Roman" w:cs="Times New Roman"/>
        </w:rPr>
        <w:t xml:space="preserve">stakeholders </w:t>
      </w:r>
      <w:r w:rsidR="007F2524">
        <w:rPr>
          <w:rFonts w:ascii="Times New Roman" w:hAnsi="Times New Roman" w:cs="Times New Roman"/>
        </w:rPr>
        <w:t xml:space="preserve">and NOPSEMA </w:t>
      </w:r>
      <w:r w:rsidRPr="007F2524">
        <w:rPr>
          <w:rFonts w:ascii="Times New Roman" w:hAnsi="Times New Roman" w:cs="Times New Roman"/>
        </w:rPr>
        <w:t>was held in</w:t>
      </w:r>
      <w:r w:rsidR="007F2524">
        <w:rPr>
          <w:rFonts w:ascii="Times New Roman" w:hAnsi="Times New Roman" w:cs="Times New Roman"/>
        </w:rPr>
        <w:t xml:space="preserve"> Canberra in</w:t>
      </w:r>
      <w:r w:rsidRPr="007F2524">
        <w:rPr>
          <w:rFonts w:ascii="Times New Roman" w:hAnsi="Times New Roman" w:cs="Times New Roman"/>
        </w:rPr>
        <w:t xml:space="preserve"> February 2014 to discuss alternative options to implement the regulatory compliance mechanism for the financial assurance obligations in the OPGGS Act. As an outcome of the comments and stakeholder workshop, the implementation approach</w:t>
      </w:r>
      <w:r w:rsidR="007F2524">
        <w:rPr>
          <w:rFonts w:ascii="Times New Roman" w:hAnsi="Times New Roman" w:cs="Times New Roman"/>
        </w:rPr>
        <w:t xml:space="preserve"> was revised</w:t>
      </w:r>
      <w:r w:rsidRPr="007F2524">
        <w:rPr>
          <w:rFonts w:ascii="Times New Roman" w:hAnsi="Times New Roman" w:cs="Times New Roman"/>
        </w:rPr>
        <w:t xml:space="preserve"> to include the making and application of basic regulations under subsection 571(3) of the OPGGS Act, together with the development and application of guidelines in relation to the decision by NOPSEMA.   </w:t>
      </w:r>
    </w:p>
    <w:p w:rsidR="00FC7BCC" w:rsidRPr="00FC7BCC" w:rsidRDefault="00FC7BCC" w:rsidP="009910B9">
      <w:pPr>
        <w:tabs>
          <w:tab w:val="left" w:pos="6521"/>
        </w:tabs>
        <w:ind w:right="91"/>
        <w:rPr>
          <w:rFonts w:ascii="Times New Roman" w:hAnsi="Times New Roman" w:cs="Times New Roman"/>
        </w:rPr>
      </w:pPr>
      <w:r w:rsidRPr="007F2524">
        <w:rPr>
          <w:rFonts w:ascii="Times New Roman" w:hAnsi="Times New Roman" w:cs="Times New Roman"/>
        </w:rPr>
        <w:t xml:space="preserve">A further revised draft </w:t>
      </w:r>
      <w:r w:rsidR="007F2524">
        <w:rPr>
          <w:rFonts w:ascii="Times New Roman" w:hAnsi="Times New Roman" w:cs="Times New Roman"/>
        </w:rPr>
        <w:t>R</w:t>
      </w:r>
      <w:r w:rsidRPr="007F2524">
        <w:rPr>
          <w:rFonts w:ascii="Times New Roman" w:hAnsi="Times New Roman" w:cs="Times New Roman"/>
        </w:rPr>
        <w:t xml:space="preserve">egulation was subsequently released on the Department’s website, and provided specifically to industry stakeholders </w:t>
      </w:r>
      <w:r w:rsidR="007F2524">
        <w:rPr>
          <w:rFonts w:ascii="Times New Roman" w:hAnsi="Times New Roman" w:cs="Times New Roman"/>
        </w:rPr>
        <w:t xml:space="preserve">for comment </w:t>
      </w:r>
      <w:r w:rsidRPr="007F2524">
        <w:rPr>
          <w:rFonts w:ascii="Times New Roman" w:hAnsi="Times New Roman" w:cs="Times New Roman"/>
        </w:rPr>
        <w:t>through the Australian Petroleum News, on 27 October 2014.</w:t>
      </w:r>
      <w:r w:rsidR="007F2524">
        <w:rPr>
          <w:rFonts w:ascii="Times New Roman" w:hAnsi="Times New Roman" w:cs="Times New Roman"/>
        </w:rPr>
        <w:t xml:space="preserve"> No comments were received in relation to the revised Regulation.</w:t>
      </w:r>
    </w:p>
    <w:p w:rsidR="006C2C0F" w:rsidRPr="00FC7BCC" w:rsidRDefault="006C2C0F" w:rsidP="00FC7BCC">
      <w:pPr>
        <w:tabs>
          <w:tab w:val="left" w:pos="6521"/>
        </w:tabs>
        <w:ind w:right="91"/>
        <w:rPr>
          <w:rFonts w:ascii="Times New Roman" w:hAnsi="Times New Roman" w:cs="Times New Roman"/>
          <w:highlight w:val="yellow"/>
        </w:rPr>
      </w:pPr>
    </w:p>
    <w:p w:rsidR="00B870F9" w:rsidRPr="006B7814" w:rsidRDefault="00B870F9" w:rsidP="006B7814">
      <w:pPr>
        <w:tabs>
          <w:tab w:val="left" w:pos="6521"/>
        </w:tabs>
        <w:ind w:left="360" w:right="91"/>
        <w:rPr>
          <w:rFonts w:ascii="Times New Roman" w:hAnsi="Times New Roman" w:cs="Times New Roman"/>
          <w:highlight w:val="yellow"/>
        </w:rPr>
      </w:pPr>
    </w:p>
    <w:p w:rsidR="009910B9" w:rsidRPr="00C45E3A" w:rsidRDefault="009910B9">
      <w:pPr>
        <w:rPr>
          <w:rFonts w:ascii="Times New Roman" w:hAnsi="Times New Roman" w:cs="Times New Roman"/>
        </w:rPr>
      </w:pPr>
      <w:r w:rsidRPr="00C45E3A">
        <w:rPr>
          <w:rFonts w:ascii="Times New Roman" w:hAnsi="Times New Roman" w:cs="Times New Roman"/>
        </w:rPr>
        <w:br w:type="page"/>
      </w:r>
    </w:p>
    <w:p w:rsidR="009910B9" w:rsidRPr="00C45E3A" w:rsidRDefault="009910B9" w:rsidP="001D1FF6">
      <w:pPr>
        <w:tabs>
          <w:tab w:val="left" w:pos="4500"/>
          <w:tab w:val="left" w:pos="6120"/>
        </w:tabs>
        <w:jc w:val="right"/>
        <w:rPr>
          <w:rFonts w:ascii="Times New Roman" w:hAnsi="Times New Roman" w:cs="Times New Roman"/>
          <w:b/>
          <w:caps/>
          <w:u w:val="single"/>
        </w:rPr>
      </w:pPr>
      <w:r w:rsidRPr="00C45E3A">
        <w:rPr>
          <w:rFonts w:ascii="Times New Roman" w:hAnsi="Times New Roman" w:cs="Times New Roman"/>
          <w:b/>
          <w:caps/>
          <w:u w:val="single"/>
        </w:rPr>
        <w:lastRenderedPageBreak/>
        <w:t>Attachment</w:t>
      </w:r>
      <w:r w:rsidR="00140AC7">
        <w:rPr>
          <w:rFonts w:ascii="Times New Roman" w:hAnsi="Times New Roman" w:cs="Times New Roman"/>
          <w:b/>
          <w:caps/>
          <w:u w:val="single"/>
        </w:rPr>
        <w:t xml:space="preserve"> 1</w:t>
      </w:r>
    </w:p>
    <w:p w:rsidR="009910B9" w:rsidRPr="00C45E3A" w:rsidRDefault="001D1FF6" w:rsidP="009910B9">
      <w:pPr>
        <w:tabs>
          <w:tab w:val="left" w:pos="4500"/>
          <w:tab w:val="left" w:pos="6120"/>
        </w:tabs>
        <w:rPr>
          <w:rFonts w:ascii="Times New Roman" w:hAnsi="Times New Roman" w:cs="Times New Roman"/>
          <w:b/>
          <w:i/>
          <w:u w:val="single"/>
        </w:rPr>
      </w:pPr>
      <w:r w:rsidRPr="00C45E3A">
        <w:rPr>
          <w:rFonts w:ascii="Times New Roman" w:hAnsi="Times New Roman" w:cs="Times New Roman"/>
          <w:b/>
          <w:u w:val="single"/>
        </w:rPr>
        <w:t xml:space="preserve">Details of the </w:t>
      </w:r>
      <w:r w:rsidRPr="00C45E3A">
        <w:rPr>
          <w:rFonts w:ascii="Times New Roman" w:hAnsi="Times New Roman" w:cs="Times New Roman"/>
          <w:b/>
          <w:i/>
          <w:u w:val="single"/>
        </w:rPr>
        <w:t>Offshore Petroleum and Greenhouse Gas Storage (Environment) Amendment (Financial Assurance) Regulation 2014</w:t>
      </w:r>
    </w:p>
    <w:p w:rsidR="001D1FF6" w:rsidRPr="00C45E3A" w:rsidRDefault="00D5502F" w:rsidP="009910B9">
      <w:pPr>
        <w:tabs>
          <w:tab w:val="left" w:pos="4500"/>
          <w:tab w:val="left" w:pos="6120"/>
        </w:tabs>
        <w:rPr>
          <w:rFonts w:ascii="Times New Roman" w:hAnsi="Times New Roman" w:cs="Times New Roman"/>
        </w:rPr>
      </w:pPr>
      <w:r w:rsidRPr="00C45E3A">
        <w:rPr>
          <w:rFonts w:ascii="Times New Roman" w:hAnsi="Times New Roman" w:cs="Times New Roman"/>
          <w:u w:val="single"/>
        </w:rPr>
        <w:t>Section 1 – Name</w:t>
      </w:r>
    </w:p>
    <w:p w:rsidR="00D5502F" w:rsidRPr="00C45E3A" w:rsidRDefault="00D5502F" w:rsidP="00D5502F">
      <w:pPr>
        <w:ind w:right="91"/>
        <w:rPr>
          <w:rFonts w:ascii="Times New Roman" w:hAnsi="Times New Roman" w:cs="Times New Roman"/>
        </w:rPr>
      </w:pPr>
      <w:r w:rsidRPr="00C45E3A">
        <w:rPr>
          <w:rFonts w:ascii="Times New Roman" w:hAnsi="Times New Roman" w:cs="Times New Roman"/>
        </w:rPr>
        <w:t>This section provide</w:t>
      </w:r>
      <w:r w:rsidR="00C865A6">
        <w:rPr>
          <w:rFonts w:ascii="Times New Roman" w:hAnsi="Times New Roman" w:cs="Times New Roman"/>
        </w:rPr>
        <w:t>s</w:t>
      </w:r>
      <w:r w:rsidRPr="00C45E3A">
        <w:rPr>
          <w:rFonts w:ascii="Times New Roman" w:hAnsi="Times New Roman" w:cs="Times New Roman"/>
        </w:rPr>
        <w:t xml:space="preserve"> that the title of the Regulation is the </w:t>
      </w:r>
      <w:r w:rsidRPr="00C45E3A">
        <w:rPr>
          <w:rFonts w:ascii="Times New Roman" w:hAnsi="Times New Roman" w:cs="Times New Roman"/>
          <w:i/>
        </w:rPr>
        <w:t>Offshore Petroleum and Greenhouse Gas Storage (Environment) Amendment (Financial Assurance) Regulation 2014</w:t>
      </w:r>
      <w:r w:rsidRPr="00C45E3A">
        <w:rPr>
          <w:rFonts w:ascii="Times New Roman" w:hAnsi="Times New Roman" w:cs="Times New Roman"/>
        </w:rPr>
        <w:t>.</w:t>
      </w:r>
    </w:p>
    <w:p w:rsidR="00D5502F" w:rsidRPr="00C45E3A" w:rsidRDefault="00D5502F" w:rsidP="00D5502F">
      <w:pPr>
        <w:ind w:right="91"/>
        <w:rPr>
          <w:rFonts w:ascii="Times New Roman" w:hAnsi="Times New Roman" w:cs="Times New Roman"/>
        </w:rPr>
      </w:pPr>
      <w:r w:rsidRPr="00C45E3A">
        <w:rPr>
          <w:rFonts w:ascii="Times New Roman" w:hAnsi="Times New Roman" w:cs="Times New Roman"/>
          <w:u w:val="single"/>
        </w:rPr>
        <w:t xml:space="preserve">Section 2 – Commencement </w:t>
      </w:r>
    </w:p>
    <w:p w:rsidR="00D5502F" w:rsidRPr="00C45E3A" w:rsidRDefault="00D5502F" w:rsidP="00D5502F">
      <w:pPr>
        <w:ind w:right="91"/>
        <w:rPr>
          <w:rFonts w:ascii="Times New Roman" w:hAnsi="Times New Roman" w:cs="Times New Roman"/>
        </w:rPr>
      </w:pPr>
      <w:r w:rsidRPr="00C45E3A">
        <w:rPr>
          <w:rFonts w:ascii="Times New Roman" w:hAnsi="Times New Roman" w:cs="Times New Roman"/>
        </w:rPr>
        <w:t>This section provide</w:t>
      </w:r>
      <w:r w:rsidR="00C865A6">
        <w:rPr>
          <w:rFonts w:ascii="Times New Roman" w:hAnsi="Times New Roman" w:cs="Times New Roman"/>
        </w:rPr>
        <w:t>s</w:t>
      </w:r>
      <w:r w:rsidRPr="00C45E3A">
        <w:rPr>
          <w:rFonts w:ascii="Times New Roman" w:hAnsi="Times New Roman" w:cs="Times New Roman"/>
        </w:rPr>
        <w:t xml:space="preserve"> </w:t>
      </w:r>
      <w:r w:rsidR="00C865A6">
        <w:rPr>
          <w:rFonts w:ascii="Times New Roman" w:hAnsi="Times New Roman" w:cs="Times New Roman"/>
        </w:rPr>
        <w:t>that</w:t>
      </w:r>
      <w:r w:rsidRPr="00C45E3A">
        <w:rPr>
          <w:rFonts w:ascii="Times New Roman" w:hAnsi="Times New Roman" w:cs="Times New Roman"/>
        </w:rPr>
        <w:t xml:space="preserve"> the Regulation commence</w:t>
      </w:r>
      <w:r w:rsidR="004B4ADB">
        <w:rPr>
          <w:rFonts w:ascii="Times New Roman" w:hAnsi="Times New Roman" w:cs="Times New Roman"/>
        </w:rPr>
        <w:t>s</w:t>
      </w:r>
      <w:r w:rsidRPr="00C45E3A">
        <w:rPr>
          <w:rFonts w:ascii="Times New Roman" w:hAnsi="Times New Roman" w:cs="Times New Roman"/>
        </w:rPr>
        <w:t xml:space="preserve"> on 1 January 2015. The delayed commencement </w:t>
      </w:r>
      <w:r w:rsidR="00C865A6">
        <w:rPr>
          <w:rFonts w:ascii="Times New Roman" w:hAnsi="Times New Roman" w:cs="Times New Roman"/>
        </w:rPr>
        <w:t>will</w:t>
      </w:r>
      <w:r w:rsidRPr="00C45E3A">
        <w:rPr>
          <w:rFonts w:ascii="Times New Roman" w:hAnsi="Times New Roman" w:cs="Times New Roman"/>
        </w:rPr>
        <w:t xml:space="preserve"> provide time for industry to understand and prepare to comply with the regulatory arrangements put in place by the Regulation</w:t>
      </w:r>
      <w:r w:rsidR="004A4C96" w:rsidRPr="00C45E3A">
        <w:rPr>
          <w:rFonts w:ascii="Times New Roman" w:hAnsi="Times New Roman" w:cs="Times New Roman"/>
        </w:rPr>
        <w:t>, and for the finalisation and publication of supporting guidelines relating to sufficiency of financial assurance and acceptable forms of assurance</w:t>
      </w:r>
      <w:r w:rsidRPr="00C45E3A">
        <w:rPr>
          <w:rFonts w:ascii="Times New Roman" w:hAnsi="Times New Roman" w:cs="Times New Roman"/>
        </w:rPr>
        <w:t xml:space="preserve">. </w:t>
      </w:r>
    </w:p>
    <w:p w:rsidR="00607F8D" w:rsidRPr="00C45E3A" w:rsidRDefault="00607F8D" w:rsidP="00D5502F">
      <w:pPr>
        <w:ind w:right="91"/>
        <w:rPr>
          <w:rFonts w:ascii="Times New Roman" w:hAnsi="Times New Roman" w:cs="Times New Roman"/>
        </w:rPr>
      </w:pPr>
      <w:r w:rsidRPr="00C45E3A">
        <w:rPr>
          <w:rFonts w:ascii="Times New Roman" w:hAnsi="Times New Roman" w:cs="Times New Roman"/>
          <w:u w:val="single"/>
        </w:rPr>
        <w:t>Section 3 – Authority</w:t>
      </w:r>
    </w:p>
    <w:p w:rsidR="00607F8D" w:rsidRPr="00C45E3A" w:rsidRDefault="00607F8D" w:rsidP="00607F8D">
      <w:pPr>
        <w:ind w:right="91"/>
        <w:rPr>
          <w:rFonts w:ascii="Times New Roman" w:hAnsi="Times New Roman" w:cs="Times New Roman"/>
        </w:rPr>
      </w:pPr>
      <w:r w:rsidRPr="00C45E3A">
        <w:rPr>
          <w:rFonts w:ascii="Times New Roman" w:hAnsi="Times New Roman" w:cs="Times New Roman"/>
        </w:rPr>
        <w:t>This section provide</w:t>
      </w:r>
      <w:r w:rsidR="00C865A6">
        <w:rPr>
          <w:rFonts w:ascii="Times New Roman" w:hAnsi="Times New Roman" w:cs="Times New Roman"/>
        </w:rPr>
        <w:t>s</w:t>
      </w:r>
      <w:r w:rsidRPr="00C45E3A">
        <w:rPr>
          <w:rFonts w:ascii="Times New Roman" w:hAnsi="Times New Roman" w:cs="Times New Roman"/>
        </w:rPr>
        <w:t xml:space="preserve"> that the Regulation is made under the </w:t>
      </w:r>
      <w:r w:rsidRPr="00C45E3A">
        <w:rPr>
          <w:rFonts w:ascii="Times New Roman" w:hAnsi="Times New Roman" w:cs="Times New Roman"/>
          <w:i/>
        </w:rPr>
        <w:t>Offshore Petroleum and Greenhouse Gas Storage Act 2006</w:t>
      </w:r>
      <w:r w:rsidRPr="00C45E3A">
        <w:rPr>
          <w:rFonts w:ascii="Times New Roman" w:hAnsi="Times New Roman" w:cs="Times New Roman"/>
        </w:rPr>
        <w:t xml:space="preserve"> (OPGGS Act).</w:t>
      </w:r>
    </w:p>
    <w:p w:rsidR="00607F8D" w:rsidRPr="00C45E3A" w:rsidRDefault="00607F8D" w:rsidP="00607F8D">
      <w:pPr>
        <w:ind w:right="91"/>
        <w:rPr>
          <w:rFonts w:ascii="Times New Roman" w:hAnsi="Times New Roman" w:cs="Times New Roman"/>
        </w:rPr>
      </w:pPr>
      <w:r w:rsidRPr="00C45E3A">
        <w:rPr>
          <w:rFonts w:ascii="Times New Roman" w:hAnsi="Times New Roman" w:cs="Times New Roman"/>
          <w:u w:val="single"/>
        </w:rPr>
        <w:t>Section 4 – Schedule(s)</w:t>
      </w:r>
    </w:p>
    <w:p w:rsidR="00607F8D" w:rsidRPr="00C45E3A" w:rsidRDefault="00607F8D" w:rsidP="00607F8D">
      <w:pPr>
        <w:ind w:right="91"/>
        <w:rPr>
          <w:rFonts w:ascii="Times New Roman" w:hAnsi="Times New Roman" w:cs="Times New Roman"/>
          <w:szCs w:val="24"/>
        </w:rPr>
      </w:pPr>
      <w:r w:rsidRPr="00C45E3A">
        <w:rPr>
          <w:rFonts w:ascii="Times New Roman" w:hAnsi="Times New Roman" w:cs="Times New Roman"/>
        </w:rPr>
        <w:t>This section provide</w:t>
      </w:r>
      <w:r w:rsidR="00C865A6">
        <w:rPr>
          <w:rFonts w:ascii="Times New Roman" w:hAnsi="Times New Roman" w:cs="Times New Roman"/>
        </w:rPr>
        <w:t>s</w:t>
      </w:r>
      <w:r w:rsidRPr="00C45E3A">
        <w:rPr>
          <w:rFonts w:ascii="Times New Roman" w:hAnsi="Times New Roman" w:cs="Times New Roman"/>
        </w:rPr>
        <w:t xml:space="preserve"> that </w:t>
      </w:r>
      <w:r w:rsidRPr="00C45E3A">
        <w:rPr>
          <w:rFonts w:ascii="Times New Roman" w:hAnsi="Times New Roman" w:cs="Times New Roman"/>
          <w:szCs w:val="24"/>
        </w:rPr>
        <w:t>existing named instruments are amended or repealed as per the terms of the Schedules contained in the Regulation. Any other item in a Schedule ha</w:t>
      </w:r>
      <w:r w:rsidR="00C865A6">
        <w:rPr>
          <w:rFonts w:ascii="Times New Roman" w:hAnsi="Times New Roman" w:cs="Times New Roman"/>
          <w:szCs w:val="24"/>
        </w:rPr>
        <w:t>s</w:t>
      </w:r>
      <w:r w:rsidRPr="00C45E3A">
        <w:rPr>
          <w:rFonts w:ascii="Times New Roman" w:hAnsi="Times New Roman" w:cs="Times New Roman"/>
          <w:szCs w:val="24"/>
        </w:rPr>
        <w:t xml:space="preserve"> effect according to its terms.</w:t>
      </w:r>
    </w:p>
    <w:p w:rsidR="001D3BBC" w:rsidRPr="00C45E3A" w:rsidRDefault="001D3BBC" w:rsidP="00E01DCB">
      <w:pPr>
        <w:keepNext/>
        <w:ind w:right="91"/>
        <w:rPr>
          <w:rFonts w:ascii="Times New Roman" w:hAnsi="Times New Roman" w:cs="Times New Roman"/>
          <w:szCs w:val="24"/>
        </w:rPr>
      </w:pPr>
      <w:r w:rsidRPr="00C45E3A">
        <w:rPr>
          <w:rFonts w:ascii="Times New Roman" w:hAnsi="Times New Roman" w:cs="Times New Roman"/>
          <w:b/>
          <w:szCs w:val="24"/>
          <w:u w:val="single"/>
        </w:rPr>
        <w:t xml:space="preserve">Schedule 1 – Amendments </w:t>
      </w:r>
    </w:p>
    <w:p w:rsidR="001D3BBC" w:rsidRPr="00C45E3A" w:rsidRDefault="001D3BBC" w:rsidP="00E01DCB">
      <w:pPr>
        <w:keepNext/>
        <w:ind w:right="91"/>
        <w:rPr>
          <w:rFonts w:ascii="Times New Roman" w:hAnsi="Times New Roman" w:cs="Times New Roman"/>
          <w:szCs w:val="24"/>
        </w:rPr>
      </w:pPr>
      <w:r w:rsidRPr="00C45E3A">
        <w:rPr>
          <w:rFonts w:ascii="Times New Roman" w:hAnsi="Times New Roman" w:cs="Times New Roman"/>
          <w:b/>
          <w:i/>
          <w:szCs w:val="24"/>
        </w:rPr>
        <w:t>Offshore Petroleum and Greenhouse Gas Storage (Environment) Regulations 2009</w:t>
      </w:r>
    </w:p>
    <w:p w:rsidR="001D3BBC" w:rsidRPr="00C45E3A" w:rsidRDefault="001D3BBC" w:rsidP="00E01DCB">
      <w:pPr>
        <w:keepNext/>
        <w:ind w:right="91"/>
        <w:rPr>
          <w:rFonts w:ascii="Times New Roman" w:hAnsi="Times New Roman" w:cs="Times New Roman"/>
          <w:szCs w:val="24"/>
        </w:rPr>
      </w:pPr>
      <w:r w:rsidRPr="00C45E3A">
        <w:rPr>
          <w:rFonts w:ascii="Times New Roman" w:hAnsi="Times New Roman" w:cs="Times New Roman"/>
          <w:b/>
          <w:szCs w:val="24"/>
        </w:rPr>
        <w:t>Item [1] – After Part 1A</w:t>
      </w:r>
    </w:p>
    <w:p w:rsidR="001D3BBC" w:rsidRPr="00C45E3A" w:rsidRDefault="00877193" w:rsidP="00607F8D">
      <w:pPr>
        <w:ind w:right="91"/>
        <w:rPr>
          <w:rFonts w:ascii="Times New Roman" w:hAnsi="Times New Roman" w:cs="Times New Roman"/>
          <w:szCs w:val="24"/>
        </w:rPr>
      </w:pPr>
      <w:r w:rsidRPr="00C45E3A">
        <w:rPr>
          <w:rFonts w:ascii="Times New Roman" w:hAnsi="Times New Roman" w:cs="Times New Roman"/>
          <w:szCs w:val="24"/>
        </w:rPr>
        <w:t>This item insert</w:t>
      </w:r>
      <w:r w:rsidR="00140450">
        <w:rPr>
          <w:rFonts w:ascii="Times New Roman" w:hAnsi="Times New Roman" w:cs="Times New Roman"/>
          <w:szCs w:val="24"/>
        </w:rPr>
        <w:t>s</w:t>
      </w:r>
      <w:r w:rsidRPr="00C45E3A">
        <w:rPr>
          <w:rFonts w:ascii="Times New Roman" w:hAnsi="Times New Roman" w:cs="Times New Roman"/>
          <w:szCs w:val="24"/>
        </w:rPr>
        <w:t xml:space="preserve"> a new Part 1B (regulation 5G) </w:t>
      </w:r>
      <w:r w:rsidR="00C912F4" w:rsidRPr="00C45E3A">
        <w:rPr>
          <w:rFonts w:ascii="Times New Roman" w:hAnsi="Times New Roman" w:cs="Times New Roman"/>
          <w:szCs w:val="24"/>
        </w:rPr>
        <w:t xml:space="preserve">in the Principal Regulations </w:t>
      </w:r>
      <w:r w:rsidRPr="00C45E3A">
        <w:rPr>
          <w:rFonts w:ascii="Times New Roman" w:hAnsi="Times New Roman" w:cs="Times New Roman"/>
          <w:szCs w:val="24"/>
        </w:rPr>
        <w:t xml:space="preserve">to provide a mechanism for NOPSEMA to oversee </w:t>
      </w:r>
      <w:r w:rsidR="00746E82" w:rsidRPr="00C45E3A">
        <w:rPr>
          <w:rFonts w:ascii="Times New Roman" w:hAnsi="Times New Roman" w:cs="Times New Roman"/>
          <w:szCs w:val="24"/>
        </w:rPr>
        <w:t xml:space="preserve">and ensure </w:t>
      </w:r>
      <w:r w:rsidRPr="00C45E3A">
        <w:rPr>
          <w:rFonts w:ascii="Times New Roman" w:hAnsi="Times New Roman" w:cs="Times New Roman"/>
          <w:szCs w:val="24"/>
        </w:rPr>
        <w:t>compliance by titleholders with their financial assurance obligations in section 571 of the OPGGS Act.</w:t>
      </w:r>
    </w:p>
    <w:p w:rsidR="006B2376" w:rsidRPr="00C45E3A" w:rsidRDefault="00877193" w:rsidP="00607F8D">
      <w:pPr>
        <w:ind w:right="91"/>
        <w:rPr>
          <w:rFonts w:ascii="Times New Roman" w:hAnsi="Times New Roman" w:cs="Times New Roman"/>
          <w:szCs w:val="24"/>
        </w:rPr>
      </w:pPr>
      <w:r w:rsidRPr="00C45E3A">
        <w:rPr>
          <w:rFonts w:ascii="Times New Roman" w:hAnsi="Times New Roman" w:cs="Times New Roman"/>
          <w:szCs w:val="24"/>
        </w:rPr>
        <w:t>Regulation 5G appl</w:t>
      </w:r>
      <w:r w:rsidR="00140450">
        <w:rPr>
          <w:rFonts w:ascii="Times New Roman" w:hAnsi="Times New Roman" w:cs="Times New Roman"/>
          <w:szCs w:val="24"/>
        </w:rPr>
        <w:t>ies</w:t>
      </w:r>
      <w:r w:rsidRPr="00C45E3A">
        <w:rPr>
          <w:rFonts w:ascii="Times New Roman" w:hAnsi="Times New Roman" w:cs="Times New Roman"/>
          <w:szCs w:val="24"/>
        </w:rPr>
        <w:t xml:space="preserve"> if an environment plan for a petroleum activity is submitted to NOPSEMA under regulation 9, or a proposed revision of an environment plan for a petroleum activity is submitted under regulation 17, 18 or 19, of the Principal Regulations.</w:t>
      </w:r>
    </w:p>
    <w:p w:rsidR="006B2376" w:rsidRPr="00C45E3A" w:rsidRDefault="006078AB" w:rsidP="00E81B3A">
      <w:pPr>
        <w:ind w:right="91"/>
        <w:rPr>
          <w:rFonts w:ascii="Times New Roman" w:hAnsi="Times New Roman" w:cs="Times New Roman"/>
        </w:rPr>
      </w:pPr>
      <w:r w:rsidRPr="00C45E3A">
        <w:rPr>
          <w:rFonts w:ascii="Times New Roman" w:hAnsi="Times New Roman" w:cs="Times New Roman"/>
        </w:rPr>
        <w:t>Under regulation 10 of the Principal Regulations, NOPSEMA must accept an environment plan or proposed revision of an environment plan if NOPSEMA is reasonably satisfied that the plan or proposed revision meets the criteria set out in regulation 10A, whether on first submission or after the titleholder has been given one or more reasonable opportunities to modify and resubmit the plan. However, regulation 5G ensure</w:t>
      </w:r>
      <w:r w:rsidR="00140450">
        <w:rPr>
          <w:rFonts w:ascii="Times New Roman" w:hAnsi="Times New Roman" w:cs="Times New Roman"/>
        </w:rPr>
        <w:t>s</w:t>
      </w:r>
      <w:r w:rsidRPr="00C45E3A">
        <w:rPr>
          <w:rFonts w:ascii="Times New Roman" w:hAnsi="Times New Roman" w:cs="Times New Roman"/>
        </w:rPr>
        <w:t xml:space="preserve"> that NOPSEMA must not accept the plan or proposed revision, even if it meets the acceptance criteria in regulation 10A, unless NOPSEMA is reasonably satisfied that the titleholder for the petroleum activity</w:t>
      </w:r>
      <w:r w:rsidR="00F43322" w:rsidRPr="00C45E3A">
        <w:rPr>
          <w:rFonts w:ascii="Times New Roman" w:hAnsi="Times New Roman" w:cs="Times New Roman"/>
        </w:rPr>
        <w:t xml:space="preserve"> to which the plan relates</w:t>
      </w:r>
      <w:r w:rsidRPr="00C45E3A">
        <w:rPr>
          <w:rFonts w:ascii="Times New Roman" w:hAnsi="Times New Roman" w:cs="Times New Roman"/>
        </w:rPr>
        <w:t xml:space="preserve"> is compliant with its financial assurance obligations in section 571 of the OPGGS Act in relation to the activity</w:t>
      </w:r>
      <w:r w:rsidR="00F43322" w:rsidRPr="00C45E3A">
        <w:rPr>
          <w:rFonts w:ascii="Times New Roman" w:hAnsi="Times New Roman" w:cs="Times New Roman"/>
        </w:rPr>
        <w:t>, in a form that is acceptable to NOPSEMA.</w:t>
      </w:r>
      <w:r w:rsidR="00CB4630" w:rsidRPr="00C45E3A">
        <w:rPr>
          <w:rFonts w:ascii="Times New Roman" w:hAnsi="Times New Roman" w:cs="Times New Roman"/>
        </w:rPr>
        <w:t xml:space="preserve"> That is, the titleholder must demonstrate that it has financial assurance </w:t>
      </w:r>
      <w:r w:rsidR="00CB4630" w:rsidRPr="00C45E3A">
        <w:rPr>
          <w:rFonts w:ascii="Times New Roman" w:hAnsi="Times New Roman" w:cs="Times New Roman"/>
        </w:rPr>
        <w:lastRenderedPageBreak/>
        <w:t xml:space="preserve">sufficient to give the titleholder the capacity to meet costs, expenses and liabilities arising in connection with, or as a result of, the carrying out of the petroleum activity, the doing of any other thing for the purposes of the petroleum activity, or complying (or failing to comply) with a requirement under the Act or regulation in relation to the petroleum activity, as a condition precedent to the acceptance of an environment plan for the activity by NOPSEMA. </w:t>
      </w:r>
      <w:r w:rsidR="00352D4E" w:rsidRPr="00C45E3A">
        <w:rPr>
          <w:rFonts w:ascii="Times New Roman" w:hAnsi="Times New Roman" w:cs="Times New Roman"/>
        </w:rPr>
        <w:t xml:space="preserve"> In requiring that NOPSEMA be ‘reasonably satisfied’ that the titleholder is compliant with section 571, </w:t>
      </w:r>
      <w:r w:rsidR="006B2376" w:rsidRPr="00C45E3A">
        <w:rPr>
          <w:rFonts w:ascii="Times New Roman" w:hAnsi="Times New Roman" w:cs="Times New Roman"/>
        </w:rPr>
        <w:t>r</w:t>
      </w:r>
      <w:r w:rsidR="00352D4E" w:rsidRPr="00C45E3A">
        <w:rPr>
          <w:rFonts w:ascii="Times New Roman" w:hAnsi="Times New Roman" w:cs="Times New Roman"/>
        </w:rPr>
        <w:t>egulation 5G(2) requires: (i) that NOPSEMA be satisfied; and (ii) that NOPSEMA’s satisfaction be on reasonable grounds.</w:t>
      </w:r>
      <w:r w:rsidR="00B30CE4" w:rsidRPr="00C45E3A">
        <w:rPr>
          <w:rFonts w:ascii="Times New Roman" w:hAnsi="Times New Roman" w:cs="Times New Roman"/>
        </w:rPr>
        <w:t xml:space="preserve"> The expression ‘reasonably satisfied’ does not require the application of any particular ‘burden of proof’ or standard of evidence.  Broadly, it is a matter for NOPSEMA to decide the point </w:t>
      </w:r>
      <w:r w:rsidR="00A27890" w:rsidRPr="00C45E3A">
        <w:rPr>
          <w:rFonts w:ascii="Times New Roman" w:hAnsi="Times New Roman" w:cs="Times New Roman"/>
        </w:rPr>
        <w:t xml:space="preserve">at which </w:t>
      </w:r>
      <w:r w:rsidR="00BA0948" w:rsidRPr="00C45E3A">
        <w:rPr>
          <w:rFonts w:ascii="Times New Roman" w:hAnsi="Times New Roman" w:cs="Times New Roman"/>
        </w:rPr>
        <w:t xml:space="preserve">and on what reasonable grounds </w:t>
      </w:r>
      <w:r w:rsidR="00B30CE4" w:rsidRPr="00C45E3A">
        <w:rPr>
          <w:rFonts w:ascii="Times New Roman" w:hAnsi="Times New Roman" w:cs="Times New Roman"/>
        </w:rPr>
        <w:t>it considers itself satisfied that something is the case. However, there must be some evidentiary basis for NOPSEMA’s conclusions.</w:t>
      </w:r>
      <w:r w:rsidR="00BA0948" w:rsidRPr="00C45E3A">
        <w:rPr>
          <w:rFonts w:ascii="Times New Roman" w:hAnsi="Times New Roman" w:cs="Times New Roman"/>
        </w:rPr>
        <w:t xml:space="preserve"> </w:t>
      </w:r>
      <w:r w:rsidR="00A27890" w:rsidRPr="00C45E3A">
        <w:rPr>
          <w:rFonts w:ascii="Times New Roman" w:hAnsi="Times New Roman" w:cs="Times New Roman"/>
        </w:rPr>
        <w:t xml:space="preserve">This </w:t>
      </w:r>
      <w:r w:rsidR="006B2376" w:rsidRPr="00C45E3A">
        <w:rPr>
          <w:rFonts w:ascii="Times New Roman" w:hAnsi="Times New Roman" w:cs="Times New Roman"/>
        </w:rPr>
        <w:t xml:space="preserve">does not require any particular kind of evidence or that NOPSEMA must be persuaded up to a certain standard before it can consider itself to be satisfied.  Rather, NOPSEMA must be able </w:t>
      </w:r>
      <w:r w:rsidR="0026714A" w:rsidRPr="00C45E3A">
        <w:rPr>
          <w:rFonts w:ascii="Times New Roman" w:hAnsi="Times New Roman" w:cs="Times New Roman"/>
        </w:rPr>
        <w:t xml:space="preserve">to </w:t>
      </w:r>
      <w:r w:rsidR="006B2376" w:rsidRPr="00C45E3A">
        <w:rPr>
          <w:rFonts w:ascii="Times New Roman" w:hAnsi="Times New Roman" w:cs="Times New Roman"/>
        </w:rPr>
        <w:t>point to some evidence on the basis of which it could rationally have reached its conclusions.</w:t>
      </w:r>
    </w:p>
    <w:p w:rsidR="00CB4630" w:rsidRPr="00C45E3A" w:rsidRDefault="00CB4630" w:rsidP="00607F8D">
      <w:pPr>
        <w:ind w:right="91"/>
        <w:rPr>
          <w:rFonts w:ascii="Times New Roman" w:hAnsi="Times New Roman" w:cs="Times New Roman"/>
          <w:szCs w:val="24"/>
        </w:rPr>
      </w:pPr>
      <w:r w:rsidRPr="00C45E3A">
        <w:rPr>
          <w:rFonts w:ascii="Times New Roman" w:hAnsi="Times New Roman" w:cs="Times New Roman"/>
          <w:szCs w:val="24"/>
        </w:rPr>
        <w:t>Regulation 6 of the Principal Regulations makes it an offence for a titleholder to undertake an activity without an accepted environment plan. Therefore, a titleholder cannot legally undertake a proposed petroleum activity until NOPSEMA has accepted an environment plan for the activity.</w:t>
      </w:r>
    </w:p>
    <w:p w:rsidR="0024301D" w:rsidRDefault="002F4CD0" w:rsidP="00607F8D">
      <w:pPr>
        <w:ind w:right="91"/>
        <w:rPr>
          <w:rFonts w:ascii="Times New Roman" w:hAnsi="Times New Roman" w:cs="Times New Roman"/>
        </w:rPr>
      </w:pPr>
      <w:r w:rsidRPr="00C45E3A">
        <w:rPr>
          <w:rFonts w:ascii="Times New Roman" w:hAnsi="Times New Roman" w:cs="Times New Roman"/>
        </w:rPr>
        <w:t xml:space="preserve">A methodology could be developed to assist titleholders with a standard approach for calculating sufficient financial assurance.  </w:t>
      </w:r>
      <w:r w:rsidR="0024301D" w:rsidRPr="00C45E3A">
        <w:rPr>
          <w:rFonts w:ascii="Times New Roman" w:hAnsi="Times New Roman" w:cs="Times New Roman"/>
          <w:szCs w:val="24"/>
        </w:rPr>
        <w:t xml:space="preserve">NOPSEMA may have regard to </w:t>
      </w:r>
      <w:r w:rsidRPr="00C45E3A">
        <w:rPr>
          <w:rFonts w:ascii="Times New Roman" w:hAnsi="Times New Roman" w:cs="Times New Roman"/>
          <w:szCs w:val="24"/>
        </w:rPr>
        <w:t xml:space="preserve">this methodology </w:t>
      </w:r>
      <w:r w:rsidR="0024301D" w:rsidRPr="00C45E3A">
        <w:rPr>
          <w:rFonts w:ascii="Times New Roman" w:hAnsi="Times New Roman" w:cs="Times New Roman"/>
          <w:szCs w:val="24"/>
        </w:rPr>
        <w:t xml:space="preserve">when determining whether financial assurance </w:t>
      </w:r>
      <w:r w:rsidR="00C456A0" w:rsidRPr="00C45E3A">
        <w:rPr>
          <w:rFonts w:ascii="Times New Roman" w:hAnsi="Times New Roman" w:cs="Times New Roman"/>
          <w:szCs w:val="24"/>
        </w:rPr>
        <w:t>arrangements proposed</w:t>
      </w:r>
      <w:r w:rsidR="0024301D" w:rsidRPr="00C45E3A">
        <w:rPr>
          <w:rFonts w:ascii="Times New Roman" w:hAnsi="Times New Roman" w:cs="Times New Roman"/>
          <w:szCs w:val="24"/>
        </w:rPr>
        <w:t xml:space="preserve"> by a titleholder </w:t>
      </w:r>
      <w:r w:rsidR="00C456A0" w:rsidRPr="00C45E3A">
        <w:rPr>
          <w:rFonts w:ascii="Times New Roman" w:hAnsi="Times New Roman" w:cs="Times New Roman"/>
          <w:szCs w:val="24"/>
        </w:rPr>
        <w:t>are</w:t>
      </w:r>
      <w:r w:rsidR="0024301D" w:rsidRPr="00C45E3A">
        <w:rPr>
          <w:rFonts w:ascii="Times New Roman" w:hAnsi="Times New Roman" w:cs="Times New Roman"/>
          <w:szCs w:val="24"/>
        </w:rPr>
        <w:t xml:space="preserve"> sufficient in a particular case. It may also be appropriate in some cases for</w:t>
      </w:r>
      <w:r w:rsidR="0024301D" w:rsidRPr="00C45E3A">
        <w:rPr>
          <w:rFonts w:ascii="Times New Roman" w:hAnsi="Times New Roman" w:cs="Times New Roman"/>
        </w:rPr>
        <w:t xml:space="preserve"> other </w:t>
      </w:r>
      <w:r w:rsidRPr="00C45E3A">
        <w:rPr>
          <w:rFonts w:ascii="Times New Roman" w:hAnsi="Times New Roman" w:cs="Times New Roman"/>
        </w:rPr>
        <w:t xml:space="preserve">mechanisms </w:t>
      </w:r>
      <w:r w:rsidR="0024301D" w:rsidRPr="00C45E3A">
        <w:rPr>
          <w:rFonts w:ascii="Times New Roman" w:hAnsi="Times New Roman" w:cs="Times New Roman"/>
        </w:rPr>
        <w:t xml:space="preserve">to be </w:t>
      </w:r>
      <w:r w:rsidR="00EF7211" w:rsidRPr="00C45E3A">
        <w:rPr>
          <w:rFonts w:ascii="Times New Roman" w:hAnsi="Times New Roman" w:cs="Times New Roman"/>
        </w:rPr>
        <w:t>used when</w:t>
      </w:r>
      <w:r w:rsidR="0024301D" w:rsidRPr="00C45E3A">
        <w:rPr>
          <w:rFonts w:ascii="Times New Roman" w:hAnsi="Times New Roman" w:cs="Times New Roman"/>
        </w:rPr>
        <w:t xml:space="preserve"> </w:t>
      </w:r>
      <w:r w:rsidRPr="00C45E3A">
        <w:rPr>
          <w:rFonts w:ascii="Times New Roman" w:hAnsi="Times New Roman" w:cs="Times New Roman"/>
        </w:rPr>
        <w:t xml:space="preserve">the titleholder </w:t>
      </w:r>
      <w:r w:rsidR="00EF7211" w:rsidRPr="00C45E3A">
        <w:rPr>
          <w:rFonts w:ascii="Times New Roman" w:hAnsi="Times New Roman" w:cs="Times New Roman"/>
        </w:rPr>
        <w:t xml:space="preserve">or regulator </w:t>
      </w:r>
      <w:r w:rsidR="00352D4E" w:rsidRPr="00C45E3A">
        <w:rPr>
          <w:rFonts w:ascii="Times New Roman" w:hAnsi="Times New Roman" w:cs="Times New Roman"/>
        </w:rPr>
        <w:t xml:space="preserve">considers </w:t>
      </w:r>
      <w:r w:rsidR="0024301D" w:rsidRPr="00C45E3A">
        <w:rPr>
          <w:rFonts w:ascii="Times New Roman" w:hAnsi="Times New Roman" w:cs="Times New Roman"/>
        </w:rPr>
        <w:t xml:space="preserve">that the methodology is not </w:t>
      </w:r>
      <w:r w:rsidR="00352D4E" w:rsidRPr="00C45E3A">
        <w:rPr>
          <w:rFonts w:ascii="Times New Roman" w:hAnsi="Times New Roman" w:cs="Times New Roman"/>
        </w:rPr>
        <w:t>appropriate to be applied in particular circumstances</w:t>
      </w:r>
      <w:r w:rsidR="0024301D" w:rsidRPr="00C45E3A">
        <w:rPr>
          <w:rFonts w:ascii="Times New Roman" w:hAnsi="Times New Roman" w:cs="Times New Roman"/>
        </w:rPr>
        <w:t>.</w:t>
      </w:r>
    </w:p>
    <w:p w:rsidR="00643933" w:rsidRPr="00C45E3A" w:rsidRDefault="00643933" w:rsidP="00643933">
      <w:pPr>
        <w:spacing w:line="264" w:lineRule="auto"/>
        <w:rPr>
          <w:rFonts w:ascii="Times New Roman" w:hAnsi="Times New Roman" w:cs="Times New Roman"/>
        </w:rPr>
      </w:pPr>
      <w:r w:rsidRPr="00C45E3A">
        <w:rPr>
          <w:rFonts w:ascii="Times New Roman" w:hAnsi="Times New Roman" w:cs="Times New Roman"/>
        </w:rPr>
        <w:t xml:space="preserve">It is important to emphasise that </w:t>
      </w:r>
      <w:r w:rsidR="00723553" w:rsidRPr="00C45E3A">
        <w:rPr>
          <w:rFonts w:ascii="Times New Roman" w:hAnsi="Times New Roman" w:cs="Times New Roman"/>
        </w:rPr>
        <w:t xml:space="preserve">a decision made under </w:t>
      </w:r>
      <w:r w:rsidRPr="00C45E3A">
        <w:rPr>
          <w:rFonts w:ascii="Times New Roman" w:hAnsi="Times New Roman" w:cs="Times New Roman"/>
        </w:rPr>
        <w:t xml:space="preserve">new regulation 5G </w:t>
      </w:r>
      <w:r w:rsidR="00B84A28">
        <w:rPr>
          <w:rFonts w:ascii="Times New Roman" w:hAnsi="Times New Roman" w:cs="Times New Roman"/>
        </w:rPr>
        <w:t>does</w:t>
      </w:r>
      <w:r w:rsidRPr="00C45E3A">
        <w:rPr>
          <w:rFonts w:ascii="Times New Roman" w:hAnsi="Times New Roman" w:cs="Times New Roman"/>
        </w:rPr>
        <w:t xml:space="preserve"> not </w:t>
      </w:r>
      <w:r w:rsidR="0013090F" w:rsidRPr="00C45E3A">
        <w:rPr>
          <w:rFonts w:ascii="Times New Roman" w:hAnsi="Times New Roman" w:cs="Times New Roman"/>
        </w:rPr>
        <w:t xml:space="preserve">modify </w:t>
      </w:r>
      <w:r w:rsidRPr="00C45E3A">
        <w:rPr>
          <w:rFonts w:ascii="Times New Roman" w:hAnsi="Times New Roman" w:cs="Times New Roman"/>
        </w:rPr>
        <w:t xml:space="preserve">or cap liability </w:t>
      </w:r>
      <w:r w:rsidR="00723553" w:rsidRPr="00C45E3A">
        <w:rPr>
          <w:rFonts w:ascii="Times New Roman" w:hAnsi="Times New Roman" w:cs="Times New Roman"/>
        </w:rPr>
        <w:t xml:space="preserve">as determined in a court of law, or </w:t>
      </w:r>
      <w:r w:rsidRPr="00C45E3A">
        <w:rPr>
          <w:rFonts w:ascii="Times New Roman" w:hAnsi="Times New Roman" w:cs="Times New Roman"/>
        </w:rPr>
        <w:t xml:space="preserve">under the ‘polluter pays’ statutory duty currently in force under section 572C of the OPGGS Act or the duties to reimburse NOPSEMA, the Commonwealth or a State or Territory in sections 572D, 572E and 572F. The titleholder will be, in the event of an escape of petroleum, liable for all the costs </w:t>
      </w:r>
      <w:r w:rsidR="00723553" w:rsidRPr="00C45E3A">
        <w:rPr>
          <w:rFonts w:ascii="Times New Roman" w:hAnsi="Times New Roman" w:cs="Times New Roman"/>
        </w:rPr>
        <w:t xml:space="preserve">and expenses </w:t>
      </w:r>
      <w:r w:rsidRPr="00C45E3A">
        <w:rPr>
          <w:rFonts w:ascii="Times New Roman" w:hAnsi="Times New Roman" w:cs="Times New Roman"/>
        </w:rPr>
        <w:t xml:space="preserve">associated with the duties as cited in those sections, regardless of the level of financial assurance </w:t>
      </w:r>
      <w:r w:rsidR="0013090F" w:rsidRPr="00C45E3A">
        <w:rPr>
          <w:rFonts w:ascii="Times New Roman" w:hAnsi="Times New Roman" w:cs="Times New Roman"/>
        </w:rPr>
        <w:t>that the titleholder</w:t>
      </w:r>
      <w:r w:rsidR="00746E82" w:rsidRPr="00C45E3A">
        <w:rPr>
          <w:rFonts w:ascii="Times New Roman" w:hAnsi="Times New Roman" w:cs="Times New Roman"/>
        </w:rPr>
        <w:t xml:space="preserve"> held to demonstrate to NOPSEMA compliance with </w:t>
      </w:r>
      <w:r w:rsidR="009C40A3" w:rsidRPr="00C45E3A">
        <w:rPr>
          <w:rFonts w:ascii="Times New Roman" w:hAnsi="Times New Roman" w:cs="Times New Roman"/>
        </w:rPr>
        <w:t xml:space="preserve">the </w:t>
      </w:r>
      <w:r w:rsidR="00746E82" w:rsidRPr="00C45E3A">
        <w:rPr>
          <w:rFonts w:ascii="Times New Roman" w:hAnsi="Times New Roman" w:cs="Times New Roman"/>
        </w:rPr>
        <w:t>s</w:t>
      </w:r>
      <w:r w:rsidR="00296DC1" w:rsidRPr="00C45E3A">
        <w:rPr>
          <w:rFonts w:ascii="Times New Roman" w:hAnsi="Times New Roman" w:cs="Times New Roman"/>
        </w:rPr>
        <w:t xml:space="preserve">ection </w:t>
      </w:r>
      <w:r w:rsidR="00746E82" w:rsidRPr="00C45E3A">
        <w:rPr>
          <w:rFonts w:ascii="Times New Roman" w:hAnsi="Times New Roman" w:cs="Times New Roman"/>
        </w:rPr>
        <w:t>571 obligation</w:t>
      </w:r>
      <w:r w:rsidR="00296DC1" w:rsidRPr="00C45E3A">
        <w:rPr>
          <w:rFonts w:ascii="Times New Roman" w:hAnsi="Times New Roman" w:cs="Times New Roman"/>
        </w:rPr>
        <w:t>.</w:t>
      </w:r>
      <w:r w:rsidRPr="00C45E3A">
        <w:rPr>
          <w:rFonts w:ascii="Times New Roman" w:hAnsi="Times New Roman" w:cs="Times New Roman"/>
        </w:rPr>
        <w:t xml:space="preserve">  </w:t>
      </w:r>
    </w:p>
    <w:p w:rsidR="00877193" w:rsidRPr="00C45E3A" w:rsidRDefault="00AD7AE3" w:rsidP="00AB765B">
      <w:pPr>
        <w:ind w:right="91"/>
        <w:rPr>
          <w:rFonts w:ascii="Times New Roman" w:hAnsi="Times New Roman" w:cs="Times New Roman"/>
          <w:szCs w:val="24"/>
        </w:rPr>
      </w:pPr>
      <w:r w:rsidRPr="00C45E3A">
        <w:rPr>
          <w:rFonts w:ascii="Times New Roman" w:hAnsi="Times New Roman" w:cs="Times New Roman"/>
          <w:szCs w:val="24"/>
        </w:rPr>
        <w:t>Generally</w:t>
      </w:r>
      <w:r w:rsidR="004E61E5" w:rsidRPr="00C45E3A">
        <w:rPr>
          <w:rFonts w:ascii="Times New Roman" w:hAnsi="Times New Roman" w:cs="Times New Roman"/>
          <w:szCs w:val="24"/>
        </w:rPr>
        <w:t>, an environment plan must be submitted to NOPSEMA under regulation 9 by a titleholder. However, with respect to certain petroleum titles (a petroleum access authority, petroleum special prospecting authority, or pipeline licence), an applicant for the title may submit an environment plan for an activity under the title</w:t>
      </w:r>
      <w:r w:rsidR="002F4CD0" w:rsidRPr="00C45E3A">
        <w:rPr>
          <w:rFonts w:ascii="Times New Roman" w:hAnsi="Times New Roman" w:cs="Times New Roman"/>
          <w:szCs w:val="24"/>
        </w:rPr>
        <w:t xml:space="preserve"> </w:t>
      </w:r>
      <w:r w:rsidR="004E61E5" w:rsidRPr="00C45E3A">
        <w:rPr>
          <w:rFonts w:ascii="Times New Roman" w:hAnsi="Times New Roman" w:cs="Times New Roman"/>
          <w:szCs w:val="24"/>
        </w:rPr>
        <w:t xml:space="preserve">to NOPSEMA. The financial assurance obligation in section 571 of the OPGGS Act </w:t>
      </w:r>
      <w:r w:rsidR="00746E82" w:rsidRPr="00C45E3A">
        <w:rPr>
          <w:rFonts w:ascii="Times New Roman" w:hAnsi="Times New Roman" w:cs="Times New Roman"/>
          <w:szCs w:val="24"/>
        </w:rPr>
        <w:t xml:space="preserve">only </w:t>
      </w:r>
      <w:r w:rsidR="004E61E5" w:rsidRPr="00C45E3A">
        <w:rPr>
          <w:rFonts w:ascii="Times New Roman" w:hAnsi="Times New Roman" w:cs="Times New Roman"/>
          <w:szCs w:val="24"/>
        </w:rPr>
        <w:t xml:space="preserve">applies in relation to a titleholder. Therefore, regulation 5G </w:t>
      </w:r>
      <w:r w:rsidR="006302DE" w:rsidRPr="00C45E3A">
        <w:rPr>
          <w:rFonts w:ascii="Times New Roman" w:hAnsi="Times New Roman" w:cs="Times New Roman"/>
          <w:szCs w:val="24"/>
        </w:rPr>
        <w:t>only</w:t>
      </w:r>
      <w:r w:rsidR="004E61E5" w:rsidRPr="00C45E3A">
        <w:rPr>
          <w:rFonts w:ascii="Times New Roman" w:hAnsi="Times New Roman" w:cs="Times New Roman"/>
          <w:szCs w:val="24"/>
        </w:rPr>
        <w:t xml:space="preserve"> appl</w:t>
      </w:r>
      <w:r w:rsidR="00B84A28">
        <w:rPr>
          <w:rFonts w:ascii="Times New Roman" w:hAnsi="Times New Roman" w:cs="Times New Roman"/>
          <w:szCs w:val="24"/>
        </w:rPr>
        <w:t>ies</w:t>
      </w:r>
      <w:r w:rsidR="006302DE" w:rsidRPr="00C45E3A">
        <w:rPr>
          <w:rFonts w:ascii="Times New Roman" w:hAnsi="Times New Roman" w:cs="Times New Roman"/>
          <w:szCs w:val="24"/>
        </w:rPr>
        <w:t xml:space="preserve"> if there is a titleholder in relation to the activity immediately before NOPSEMA decides whether or not to accept an environment plan under regulation 10</w:t>
      </w:r>
      <w:r w:rsidRPr="00C45E3A">
        <w:rPr>
          <w:rFonts w:ascii="Times New Roman" w:hAnsi="Times New Roman" w:cs="Times New Roman"/>
          <w:szCs w:val="24"/>
        </w:rPr>
        <w:t>; that is, if the title has been granted prior to NOPSEMA making a decision in relation to the environment plan</w:t>
      </w:r>
      <w:r w:rsidR="006302DE" w:rsidRPr="00C45E3A">
        <w:rPr>
          <w:rFonts w:ascii="Times New Roman" w:hAnsi="Times New Roman" w:cs="Times New Roman"/>
          <w:szCs w:val="24"/>
        </w:rPr>
        <w:t>.</w:t>
      </w:r>
      <w:r w:rsidR="00746E82" w:rsidRPr="00C45E3A">
        <w:rPr>
          <w:rFonts w:ascii="Times New Roman" w:hAnsi="Times New Roman" w:cs="Times New Roman"/>
          <w:szCs w:val="24"/>
        </w:rPr>
        <w:t xml:space="preserve"> </w:t>
      </w:r>
      <w:r w:rsidR="009C40A3" w:rsidRPr="00C45E3A">
        <w:rPr>
          <w:rFonts w:ascii="Times New Roman" w:hAnsi="Times New Roman" w:cs="Times New Roman"/>
          <w:szCs w:val="24"/>
        </w:rPr>
        <w:t xml:space="preserve"> If the relevant title is granted after NOPSEMA accepts the environment plan, the </w:t>
      </w:r>
      <w:r w:rsidR="00A66EA9" w:rsidRPr="00C45E3A">
        <w:rPr>
          <w:rFonts w:ascii="Times New Roman" w:hAnsi="Times New Roman" w:cs="Times New Roman"/>
          <w:szCs w:val="24"/>
        </w:rPr>
        <w:t xml:space="preserve">new </w:t>
      </w:r>
      <w:r w:rsidR="009C40A3" w:rsidRPr="00C45E3A">
        <w:rPr>
          <w:rFonts w:ascii="Times New Roman" w:hAnsi="Times New Roman" w:cs="Times New Roman"/>
          <w:szCs w:val="24"/>
        </w:rPr>
        <w:t>titleholder will immediately become subject to the obligation in section 571 upon grant of the title.  T</w:t>
      </w:r>
      <w:r w:rsidR="00A66EA9" w:rsidRPr="00C45E3A">
        <w:rPr>
          <w:rFonts w:ascii="Times New Roman" w:hAnsi="Times New Roman" w:cs="Times New Roman"/>
          <w:szCs w:val="24"/>
        </w:rPr>
        <w:t>he titleholder will then have to make their own financial assurance arrangements in order to avoid contravening the Act.</w:t>
      </w:r>
    </w:p>
    <w:p w:rsidR="00401954" w:rsidRDefault="00401954" w:rsidP="00607F8D">
      <w:pPr>
        <w:ind w:right="91"/>
        <w:rPr>
          <w:rFonts w:ascii="Times New Roman" w:hAnsi="Times New Roman" w:cs="Times New Roman"/>
          <w:szCs w:val="24"/>
        </w:rPr>
      </w:pPr>
      <w:r w:rsidRPr="00C45E3A">
        <w:rPr>
          <w:rFonts w:ascii="Times New Roman" w:hAnsi="Times New Roman" w:cs="Times New Roman"/>
          <w:szCs w:val="24"/>
        </w:rPr>
        <w:t xml:space="preserve">In addition to the upfront compliance mechanism that </w:t>
      </w:r>
      <w:r w:rsidR="00B84A28">
        <w:rPr>
          <w:rFonts w:ascii="Times New Roman" w:hAnsi="Times New Roman" w:cs="Times New Roman"/>
          <w:szCs w:val="24"/>
        </w:rPr>
        <w:t>is</w:t>
      </w:r>
      <w:r w:rsidRPr="00C45E3A">
        <w:rPr>
          <w:rFonts w:ascii="Times New Roman" w:hAnsi="Times New Roman" w:cs="Times New Roman"/>
          <w:szCs w:val="24"/>
        </w:rPr>
        <w:t xml:space="preserve"> put in place by new regulation 5G, ongoing compliance with the requirements of section 571 of the OPGGS Act is, and will continue to be, subject to inspection by NOPSEMA in accordance with its inspection policies</w:t>
      </w:r>
      <w:r w:rsidR="003745A7" w:rsidRPr="00C45E3A">
        <w:rPr>
          <w:rFonts w:ascii="Times New Roman" w:hAnsi="Times New Roman" w:cs="Times New Roman"/>
          <w:szCs w:val="24"/>
        </w:rPr>
        <w:t xml:space="preserve"> and procedures</w:t>
      </w:r>
      <w:r w:rsidRPr="00C45E3A">
        <w:rPr>
          <w:rFonts w:ascii="Times New Roman" w:hAnsi="Times New Roman" w:cs="Times New Roman"/>
          <w:szCs w:val="24"/>
        </w:rPr>
        <w:t>.</w:t>
      </w:r>
      <w:r w:rsidR="00723553" w:rsidRPr="00C45E3A">
        <w:rPr>
          <w:rFonts w:ascii="Times New Roman" w:hAnsi="Times New Roman" w:cs="Times New Roman"/>
          <w:szCs w:val="24"/>
        </w:rPr>
        <w:t xml:space="preserve"> As outlined in item [3] below, should financial assurance held by a titleholder be found to be </w:t>
      </w:r>
      <w:r w:rsidR="00723553" w:rsidRPr="00C45E3A">
        <w:rPr>
          <w:rFonts w:ascii="Times New Roman" w:hAnsi="Times New Roman" w:cs="Times New Roman"/>
          <w:szCs w:val="24"/>
        </w:rPr>
        <w:lastRenderedPageBreak/>
        <w:t>insufficient</w:t>
      </w:r>
      <w:r w:rsidR="00867E6B" w:rsidRPr="00C45E3A">
        <w:rPr>
          <w:rFonts w:ascii="Times New Roman" w:hAnsi="Times New Roman" w:cs="Times New Roman"/>
          <w:szCs w:val="24"/>
        </w:rPr>
        <w:t>, or the form to be unsatisfactory to NOPSEMA,</w:t>
      </w:r>
      <w:r w:rsidR="00723553" w:rsidRPr="00C45E3A">
        <w:rPr>
          <w:rFonts w:ascii="Times New Roman" w:hAnsi="Times New Roman" w:cs="Times New Roman"/>
          <w:szCs w:val="24"/>
        </w:rPr>
        <w:t xml:space="preserve"> during such inspections for </w:t>
      </w:r>
      <w:r w:rsidR="00723553" w:rsidRPr="00C45E3A">
        <w:rPr>
          <w:rFonts w:ascii="Times New Roman" w:hAnsi="Times New Roman" w:cs="Times New Roman"/>
          <w:i/>
          <w:szCs w:val="24"/>
        </w:rPr>
        <w:t>any</w:t>
      </w:r>
      <w:r w:rsidR="00723553" w:rsidRPr="00C45E3A">
        <w:rPr>
          <w:rFonts w:ascii="Times New Roman" w:hAnsi="Times New Roman" w:cs="Times New Roman"/>
          <w:szCs w:val="24"/>
        </w:rPr>
        <w:t xml:space="preserve"> environment plan, i.e. not just those subjected to the prior condition of acceptance compliance test, this constitutes a ground for withdrawal of acceptance of the environment plan.  </w:t>
      </w:r>
    </w:p>
    <w:p w:rsidR="000720E2" w:rsidRPr="00C45E3A" w:rsidRDefault="000720E2" w:rsidP="00607F8D">
      <w:pPr>
        <w:ind w:right="91"/>
        <w:rPr>
          <w:rFonts w:ascii="Times New Roman" w:hAnsi="Times New Roman" w:cs="Times New Roman"/>
          <w:szCs w:val="24"/>
        </w:rPr>
      </w:pPr>
      <w:r w:rsidRPr="00371397">
        <w:rPr>
          <w:rFonts w:ascii="Times New Roman" w:hAnsi="Times New Roman" w:cs="Times New Roman"/>
          <w:szCs w:val="24"/>
        </w:rPr>
        <w:t xml:space="preserve">The Regulation does not provide for merits review of a decision by NOPSEMA in relation to the sufficiency and form of financial assurance. The decision requires an understanding of the environmental risks associated with offshore petroleum activities in order to be </w:t>
      </w:r>
      <w:r w:rsidR="00501A28" w:rsidRPr="00371397">
        <w:rPr>
          <w:rFonts w:ascii="Times New Roman" w:hAnsi="Times New Roman" w:cs="Times New Roman"/>
          <w:szCs w:val="24"/>
        </w:rPr>
        <w:t xml:space="preserve">reasonably </w:t>
      </w:r>
      <w:r w:rsidRPr="00371397">
        <w:rPr>
          <w:rFonts w:ascii="Times New Roman" w:hAnsi="Times New Roman" w:cs="Times New Roman"/>
          <w:szCs w:val="24"/>
        </w:rPr>
        <w:t>satisfied as to the sufficiency of financial assurance, and there appears to be no tribunal established under Commonwealth legislation that would have the necessary environmental credentials, or that combines expertise in environmental regulation and offshore petroleum operations. Even if it were possible to put together a group of appropriately-qualified persons who were members of the Administrative Appeals Tribunal, they would be unlikely to have a flow of work that would enable them to build and maintain their expertise. Added to that is the difficulty of assembling such a group of persons within the very short timeframe necessary to review a decision, given the very high cost of delaying offshore operations even for a short time.</w:t>
      </w:r>
    </w:p>
    <w:p w:rsidR="00AB765B" w:rsidRPr="00C45E3A" w:rsidRDefault="00AB765B" w:rsidP="00E01DCB">
      <w:pPr>
        <w:keepNext/>
        <w:ind w:right="91"/>
        <w:rPr>
          <w:rFonts w:ascii="Times New Roman" w:hAnsi="Times New Roman" w:cs="Times New Roman"/>
          <w:szCs w:val="24"/>
        </w:rPr>
      </w:pPr>
      <w:r w:rsidRPr="00C45E3A">
        <w:rPr>
          <w:rFonts w:ascii="Times New Roman" w:hAnsi="Times New Roman" w:cs="Times New Roman"/>
          <w:b/>
          <w:szCs w:val="24"/>
        </w:rPr>
        <w:t>Item [2] – At the end of subregulation 11(1)</w:t>
      </w:r>
    </w:p>
    <w:p w:rsidR="00AB765B" w:rsidRPr="00C45E3A" w:rsidRDefault="00AB765B" w:rsidP="00607F8D">
      <w:pPr>
        <w:ind w:right="91"/>
        <w:rPr>
          <w:rFonts w:ascii="Times New Roman" w:hAnsi="Times New Roman" w:cs="Times New Roman"/>
          <w:szCs w:val="24"/>
        </w:rPr>
      </w:pPr>
      <w:r w:rsidRPr="00C45E3A">
        <w:rPr>
          <w:rFonts w:ascii="Times New Roman" w:hAnsi="Times New Roman" w:cs="Times New Roman"/>
          <w:szCs w:val="24"/>
        </w:rPr>
        <w:t>This item insert</w:t>
      </w:r>
      <w:r w:rsidR="00B84A28">
        <w:rPr>
          <w:rFonts w:ascii="Times New Roman" w:hAnsi="Times New Roman" w:cs="Times New Roman"/>
          <w:szCs w:val="24"/>
        </w:rPr>
        <w:t>s</w:t>
      </w:r>
      <w:r w:rsidRPr="00C45E3A">
        <w:rPr>
          <w:rFonts w:ascii="Times New Roman" w:hAnsi="Times New Roman" w:cs="Times New Roman"/>
          <w:szCs w:val="24"/>
        </w:rPr>
        <w:t xml:space="preserve"> a note to advise the reader of the effect of new regulation 5G; i.e. that NOPSEMA must not accept an environment plan for a petroleum activity unless NOPSEMA is reasonably satisfied that the titleholder is compliant with its financial assurance obligations in section 571 of the OPGGS Act, and the compliance is in a form that is acceptable to NOPSEMA.</w:t>
      </w:r>
    </w:p>
    <w:p w:rsidR="00AB765B" w:rsidRPr="00C45E3A" w:rsidRDefault="001E12AA" w:rsidP="00E01DCB">
      <w:pPr>
        <w:keepNext/>
        <w:ind w:right="91"/>
        <w:rPr>
          <w:rFonts w:ascii="Times New Roman" w:hAnsi="Times New Roman" w:cs="Times New Roman"/>
          <w:szCs w:val="24"/>
        </w:rPr>
      </w:pPr>
      <w:r w:rsidRPr="00C45E3A">
        <w:rPr>
          <w:rFonts w:ascii="Times New Roman" w:hAnsi="Times New Roman" w:cs="Times New Roman"/>
          <w:b/>
          <w:szCs w:val="24"/>
        </w:rPr>
        <w:t>Item [3] – At the end of subregulation 23(3)</w:t>
      </w:r>
    </w:p>
    <w:p w:rsidR="001E12AA" w:rsidRPr="00C45E3A" w:rsidRDefault="001E12AA" w:rsidP="00607F8D">
      <w:pPr>
        <w:ind w:right="91"/>
        <w:rPr>
          <w:rFonts w:ascii="Times New Roman" w:hAnsi="Times New Roman" w:cs="Times New Roman"/>
          <w:szCs w:val="24"/>
        </w:rPr>
      </w:pPr>
      <w:r w:rsidRPr="00C45E3A">
        <w:rPr>
          <w:rFonts w:ascii="Times New Roman" w:hAnsi="Times New Roman" w:cs="Times New Roman"/>
          <w:szCs w:val="24"/>
        </w:rPr>
        <w:t>This item make</w:t>
      </w:r>
      <w:r w:rsidR="00B84A28">
        <w:rPr>
          <w:rFonts w:ascii="Times New Roman" w:hAnsi="Times New Roman" w:cs="Times New Roman"/>
          <w:szCs w:val="24"/>
        </w:rPr>
        <w:t>s</w:t>
      </w:r>
      <w:r w:rsidRPr="00C45E3A">
        <w:rPr>
          <w:rFonts w:ascii="Times New Roman" w:hAnsi="Times New Roman" w:cs="Times New Roman"/>
          <w:szCs w:val="24"/>
        </w:rPr>
        <w:t xml:space="preserve"> failure by a titleholder to maintain compliance with its financial assurance obligations in section 571 of the OPGGS Act in relation to a petroleum activity, in a form that is acceptable to NOPSEMA, a ground for NOPSEMA to withdraw acceptance of the environment plan in force for the activity.</w:t>
      </w:r>
    </w:p>
    <w:p w:rsidR="009F6B77" w:rsidRPr="00C45E3A" w:rsidRDefault="001E12AA" w:rsidP="00607F8D">
      <w:pPr>
        <w:ind w:right="91"/>
        <w:rPr>
          <w:rFonts w:ascii="Times New Roman" w:hAnsi="Times New Roman" w:cs="Times New Roman"/>
          <w:szCs w:val="24"/>
        </w:rPr>
      </w:pPr>
      <w:r w:rsidRPr="00C45E3A">
        <w:rPr>
          <w:rFonts w:ascii="Times New Roman" w:hAnsi="Times New Roman" w:cs="Times New Roman"/>
          <w:szCs w:val="24"/>
        </w:rPr>
        <w:t>It is an offence for a titleholder to undertake a petroleum activity without an accepted environment plan. The effect of withdrawal of acceptance of a plan, therefore, would be that the titleholder commits an offence if it commences or continues to undertake the relevant petroleum activity.</w:t>
      </w:r>
    </w:p>
    <w:p w:rsidR="009F6B77" w:rsidRPr="00C45E3A" w:rsidRDefault="009F6B77" w:rsidP="009F6B77">
      <w:pPr>
        <w:ind w:right="91"/>
        <w:rPr>
          <w:rFonts w:ascii="Times New Roman" w:hAnsi="Times New Roman" w:cs="Times New Roman"/>
          <w:szCs w:val="24"/>
        </w:rPr>
      </w:pPr>
      <w:r w:rsidRPr="00C45E3A">
        <w:rPr>
          <w:rFonts w:ascii="Times New Roman" w:hAnsi="Times New Roman" w:cs="Times New Roman"/>
          <w:szCs w:val="24"/>
        </w:rPr>
        <w:t>NOPSEMA has a range of graduated enforcement mechanisms available to it, and therefore a decision to take the step of withdrawing the acceptance of an environment plan would depend on all the relevant circumstances. The Regulator is required to give at least 30 days’ notice of an intention to withdraw the acceptance of an environment plan, and give the titleholder or any other person to whom a copy of the notice has been given an opportunity to submit any matters for NOPSEMA to take into account in finally deciding whether or not to withdraw the acceptance of the plan.</w:t>
      </w:r>
    </w:p>
    <w:p w:rsidR="009F6B77" w:rsidRDefault="009F6B77" w:rsidP="009F6B77">
      <w:pPr>
        <w:ind w:right="91"/>
        <w:rPr>
          <w:rFonts w:ascii="Times New Roman" w:hAnsi="Times New Roman" w:cs="Times New Roman"/>
          <w:szCs w:val="24"/>
        </w:rPr>
      </w:pPr>
      <w:r w:rsidRPr="00C45E3A">
        <w:rPr>
          <w:rFonts w:ascii="Times New Roman" w:hAnsi="Times New Roman" w:cs="Times New Roman"/>
          <w:szCs w:val="24"/>
        </w:rPr>
        <w:t xml:space="preserve">The OPGGS Act </w:t>
      </w:r>
      <w:r w:rsidR="00F6771F" w:rsidRPr="00C45E3A">
        <w:rPr>
          <w:rFonts w:ascii="Times New Roman" w:hAnsi="Times New Roman" w:cs="Times New Roman"/>
          <w:szCs w:val="24"/>
        </w:rPr>
        <w:t xml:space="preserve">also </w:t>
      </w:r>
      <w:r w:rsidRPr="00C45E3A">
        <w:rPr>
          <w:rFonts w:ascii="Times New Roman" w:hAnsi="Times New Roman" w:cs="Times New Roman"/>
          <w:szCs w:val="24"/>
        </w:rPr>
        <w:t>provides other potential consequences for failure to maintain compliance with financial assurance obligations</w:t>
      </w:r>
      <w:r w:rsidR="00F6771F" w:rsidRPr="00C45E3A">
        <w:rPr>
          <w:rFonts w:ascii="Times New Roman" w:hAnsi="Times New Roman" w:cs="Times New Roman"/>
          <w:szCs w:val="24"/>
        </w:rPr>
        <w:t>.</w:t>
      </w:r>
      <w:r w:rsidR="002B4C35" w:rsidRPr="00C45E3A">
        <w:rPr>
          <w:rFonts w:ascii="Times New Roman" w:hAnsi="Times New Roman" w:cs="Times New Roman"/>
          <w:szCs w:val="24"/>
        </w:rPr>
        <w:t xml:space="preserve"> These include, as a last resort, </w:t>
      </w:r>
      <w:r w:rsidR="002B4C35" w:rsidRPr="00C45E3A">
        <w:rPr>
          <w:rFonts w:ascii="Times New Roman" w:hAnsi="Times New Roman" w:cs="Times New Roman"/>
        </w:rPr>
        <w:t>the ability for the Joint Authority to cancel a title on the ground of non-compliance.</w:t>
      </w:r>
      <w:r w:rsidR="002B4C35" w:rsidRPr="00C45E3A">
        <w:rPr>
          <w:rFonts w:ascii="Times New Roman" w:hAnsi="Times New Roman" w:cs="Times New Roman"/>
          <w:szCs w:val="24"/>
        </w:rPr>
        <w:t xml:space="preserve"> </w:t>
      </w:r>
    </w:p>
    <w:p w:rsidR="00B84A28" w:rsidRPr="00B84A28" w:rsidRDefault="00B84A28" w:rsidP="00B84A28">
      <w:pPr>
        <w:ind w:right="91"/>
        <w:rPr>
          <w:rFonts w:ascii="Times New Roman" w:hAnsi="Times New Roman" w:cs="Times New Roman"/>
        </w:rPr>
      </w:pPr>
      <w:r w:rsidRPr="00B84A28">
        <w:rPr>
          <w:rFonts w:ascii="Times New Roman" w:hAnsi="Times New Roman" w:cs="Times New Roman"/>
          <w:b/>
        </w:rPr>
        <w:t>Item [4] – Subregulation 32(1)</w:t>
      </w:r>
    </w:p>
    <w:p w:rsidR="00B84A28" w:rsidRPr="00B84A28" w:rsidRDefault="00B84A28" w:rsidP="00B84A28">
      <w:pPr>
        <w:ind w:right="91"/>
        <w:rPr>
          <w:rFonts w:ascii="Times New Roman" w:hAnsi="Times New Roman" w:cs="Times New Roman"/>
        </w:rPr>
      </w:pPr>
      <w:r w:rsidRPr="00B84A28">
        <w:rPr>
          <w:rFonts w:ascii="Times New Roman" w:hAnsi="Times New Roman" w:cs="Times New Roman"/>
        </w:rPr>
        <w:t>This item amend</w:t>
      </w:r>
      <w:r>
        <w:rPr>
          <w:rFonts w:ascii="Times New Roman" w:hAnsi="Times New Roman" w:cs="Times New Roman"/>
        </w:rPr>
        <w:t>s</w:t>
      </w:r>
      <w:r w:rsidRPr="00B84A28">
        <w:rPr>
          <w:rFonts w:ascii="Times New Roman" w:hAnsi="Times New Roman" w:cs="Times New Roman"/>
        </w:rPr>
        <w:t xml:space="preserve"> subregulation 32(1) of the Principal Regulations as a consequence of the commencement of the </w:t>
      </w:r>
      <w:r w:rsidRPr="00B84A28">
        <w:rPr>
          <w:rFonts w:ascii="Times New Roman" w:hAnsi="Times New Roman" w:cs="Times New Roman"/>
          <w:i/>
        </w:rPr>
        <w:t>Public Governance, Performance and Accountability (Consequential and Transitional Provisions) Act 2014</w:t>
      </w:r>
      <w:r w:rsidRPr="00B84A28">
        <w:rPr>
          <w:rFonts w:ascii="Times New Roman" w:hAnsi="Times New Roman" w:cs="Times New Roman"/>
        </w:rPr>
        <w:t xml:space="preserve"> (the Consequential Provisions Act). The Consequential Provisions Act made a number of consequential amendments to the OPGGS Act, including an amendment to </w:t>
      </w:r>
      <w:r w:rsidRPr="00B84A28">
        <w:rPr>
          <w:rFonts w:ascii="Times New Roman" w:hAnsi="Times New Roman" w:cs="Times New Roman"/>
        </w:rPr>
        <w:lastRenderedPageBreak/>
        <w:t xml:space="preserve">subsection 685(1) of that Act. Subsection 685(1) of the OPGGS Act had previously stated that the regulations may provide for the payment to NOPSEMA, </w:t>
      </w:r>
      <w:r w:rsidRPr="00B84A28">
        <w:rPr>
          <w:rFonts w:ascii="Times New Roman" w:hAnsi="Times New Roman" w:cs="Times New Roman"/>
          <w:u w:val="single"/>
        </w:rPr>
        <w:t>on behalf of the Commonwealth</w:t>
      </w:r>
      <w:r w:rsidRPr="00B84A28">
        <w:rPr>
          <w:rFonts w:ascii="Times New Roman" w:hAnsi="Times New Roman" w:cs="Times New Roman"/>
        </w:rPr>
        <w:t xml:space="preserve">, of fees in respect of matters in relation to which expenses are incurred by NOPSEMA under the Act or the regulations. A consequential amendment made by the Consequential Provisions Act has removed the words ‘on behalf of the Commonwealth’ in this subsection. </w:t>
      </w:r>
    </w:p>
    <w:p w:rsidR="00B84A28" w:rsidRPr="00B84A28" w:rsidRDefault="00B84A28" w:rsidP="00B84A28">
      <w:pPr>
        <w:ind w:right="91"/>
        <w:rPr>
          <w:rFonts w:ascii="Times New Roman" w:hAnsi="Times New Roman" w:cs="Times New Roman"/>
        </w:rPr>
      </w:pPr>
      <w:r w:rsidRPr="00B84A28">
        <w:rPr>
          <w:rFonts w:ascii="Times New Roman" w:hAnsi="Times New Roman" w:cs="Times New Roman"/>
        </w:rPr>
        <w:t>Regulation 32 of the Principal Regulations is made under subsection 685(1), and include</w:t>
      </w:r>
      <w:r>
        <w:rPr>
          <w:rFonts w:ascii="Times New Roman" w:hAnsi="Times New Roman" w:cs="Times New Roman"/>
        </w:rPr>
        <w:t>d</w:t>
      </w:r>
      <w:r w:rsidRPr="00B84A28">
        <w:rPr>
          <w:rFonts w:ascii="Times New Roman" w:hAnsi="Times New Roman" w:cs="Times New Roman"/>
        </w:rPr>
        <w:t xml:space="preserve"> a reference to a fee being payable to NOPSEMA ‘on behalf of the Commonwealth’ (reflecting the original form of subsection 685(1)). The amendment in item 4 of the Regulation remove</w:t>
      </w:r>
      <w:r>
        <w:rPr>
          <w:rFonts w:ascii="Times New Roman" w:hAnsi="Times New Roman" w:cs="Times New Roman"/>
        </w:rPr>
        <w:t>s</w:t>
      </w:r>
      <w:r w:rsidRPr="00B84A28">
        <w:rPr>
          <w:rFonts w:ascii="Times New Roman" w:hAnsi="Times New Roman" w:cs="Times New Roman"/>
        </w:rPr>
        <w:t xml:space="preserve"> the words ‘on behalf of the Commonwealth’ in subregulation 32(1), for correctness and consistency with the amended OPGGS Act.</w:t>
      </w:r>
    </w:p>
    <w:p w:rsidR="00956030" w:rsidRPr="00C45E3A" w:rsidRDefault="00956030" w:rsidP="00E01DCB">
      <w:pPr>
        <w:keepNext/>
        <w:ind w:right="91"/>
        <w:rPr>
          <w:rFonts w:ascii="Times New Roman" w:hAnsi="Times New Roman" w:cs="Times New Roman"/>
          <w:szCs w:val="24"/>
        </w:rPr>
      </w:pPr>
      <w:r w:rsidRPr="00C45E3A">
        <w:rPr>
          <w:rFonts w:ascii="Times New Roman" w:hAnsi="Times New Roman" w:cs="Times New Roman"/>
          <w:b/>
          <w:szCs w:val="24"/>
        </w:rPr>
        <w:t>Item [</w:t>
      </w:r>
      <w:r w:rsidR="00775B53">
        <w:rPr>
          <w:rFonts w:ascii="Times New Roman" w:hAnsi="Times New Roman" w:cs="Times New Roman"/>
          <w:b/>
          <w:szCs w:val="24"/>
        </w:rPr>
        <w:t>5</w:t>
      </w:r>
      <w:r w:rsidRPr="00C45E3A">
        <w:rPr>
          <w:rFonts w:ascii="Times New Roman" w:hAnsi="Times New Roman" w:cs="Times New Roman"/>
          <w:b/>
          <w:szCs w:val="24"/>
        </w:rPr>
        <w:t>] – At the end of Division 4.2</w:t>
      </w:r>
    </w:p>
    <w:p w:rsidR="00956030" w:rsidRPr="00C45E3A" w:rsidRDefault="00315A86" w:rsidP="009F6B77">
      <w:pPr>
        <w:ind w:right="91"/>
        <w:rPr>
          <w:rFonts w:ascii="Times New Roman" w:hAnsi="Times New Roman" w:cs="Times New Roman"/>
          <w:szCs w:val="24"/>
        </w:rPr>
      </w:pPr>
      <w:r w:rsidRPr="00C45E3A">
        <w:rPr>
          <w:rFonts w:ascii="Times New Roman" w:hAnsi="Times New Roman" w:cs="Times New Roman"/>
          <w:szCs w:val="24"/>
        </w:rPr>
        <w:t>This item insert</w:t>
      </w:r>
      <w:r w:rsidR="00775B53">
        <w:rPr>
          <w:rFonts w:ascii="Times New Roman" w:hAnsi="Times New Roman" w:cs="Times New Roman"/>
          <w:szCs w:val="24"/>
        </w:rPr>
        <w:t>s</w:t>
      </w:r>
      <w:r w:rsidRPr="00C45E3A">
        <w:rPr>
          <w:rFonts w:ascii="Times New Roman" w:hAnsi="Times New Roman" w:cs="Times New Roman"/>
          <w:szCs w:val="24"/>
        </w:rPr>
        <w:t xml:space="preserve"> a new regulation 33 to require payment of a fee to NOPSEMA for the expenses incurred by NOPSEMA in assessing financial assurance arrangements proposed by a titleholder in relation to a petroleum activity.</w:t>
      </w:r>
    </w:p>
    <w:p w:rsidR="00315A86" w:rsidRPr="00C45E3A" w:rsidRDefault="00315A86" w:rsidP="009F6B77">
      <w:pPr>
        <w:ind w:right="91"/>
        <w:rPr>
          <w:rFonts w:ascii="Times New Roman" w:hAnsi="Times New Roman" w:cs="Times New Roman"/>
          <w:szCs w:val="24"/>
        </w:rPr>
      </w:pPr>
      <w:r w:rsidRPr="00C45E3A">
        <w:rPr>
          <w:rFonts w:ascii="Times New Roman" w:hAnsi="Times New Roman" w:cs="Times New Roman"/>
          <w:szCs w:val="24"/>
        </w:rPr>
        <w:t>NOPSEMA’s functions under the OPGGS Act and regulations are fully cost-recovered through fees and levies payable by the offshore petroleum industry. There is currently no levy or fee payable that would recover NOPSEMA’s costs of administering new regulation 5G regarding financial assurance. Under subsection 685(1) of the OPGGS Act, the regulations may provide for the payment to NOPSEMA of fees in respect of matters in relation to which expenses are incurred by NOPSEMA under the OPGGS Act or regulations.</w:t>
      </w:r>
    </w:p>
    <w:p w:rsidR="00401954" w:rsidRDefault="00315A86" w:rsidP="00607F8D">
      <w:pPr>
        <w:ind w:right="91"/>
        <w:rPr>
          <w:rFonts w:ascii="Times New Roman" w:hAnsi="Times New Roman" w:cs="Times New Roman"/>
          <w:szCs w:val="24"/>
        </w:rPr>
      </w:pPr>
      <w:r w:rsidRPr="00C45E3A">
        <w:rPr>
          <w:rFonts w:ascii="Times New Roman" w:hAnsi="Times New Roman" w:cs="Times New Roman"/>
          <w:szCs w:val="24"/>
        </w:rPr>
        <w:t xml:space="preserve">The fee </w:t>
      </w:r>
      <w:r w:rsidR="00775B53">
        <w:rPr>
          <w:rFonts w:ascii="Times New Roman" w:hAnsi="Times New Roman" w:cs="Times New Roman"/>
          <w:szCs w:val="24"/>
        </w:rPr>
        <w:t>is</w:t>
      </w:r>
      <w:r w:rsidRPr="00C45E3A">
        <w:rPr>
          <w:rFonts w:ascii="Times New Roman" w:hAnsi="Times New Roman" w:cs="Times New Roman"/>
          <w:szCs w:val="24"/>
        </w:rPr>
        <w:t xml:space="preserve"> payable at the time or times agreed in writing between the CEO of NOPSEMA and the titleholder.</w:t>
      </w:r>
      <w:r w:rsidR="006024B4" w:rsidRPr="00C45E3A">
        <w:rPr>
          <w:rFonts w:ascii="Times New Roman" w:hAnsi="Times New Roman" w:cs="Times New Roman"/>
          <w:szCs w:val="24"/>
        </w:rPr>
        <w:t xml:space="preserve"> The total amount of the fee </w:t>
      </w:r>
      <w:r w:rsidR="00775B53">
        <w:rPr>
          <w:rFonts w:ascii="Times New Roman" w:hAnsi="Times New Roman" w:cs="Times New Roman"/>
          <w:szCs w:val="24"/>
        </w:rPr>
        <w:t>is</w:t>
      </w:r>
      <w:r w:rsidR="006024B4" w:rsidRPr="00C45E3A">
        <w:rPr>
          <w:rFonts w:ascii="Times New Roman" w:hAnsi="Times New Roman" w:cs="Times New Roman"/>
          <w:szCs w:val="24"/>
        </w:rPr>
        <w:t xml:space="preserve"> an amount or rate determined by the CEO of NOPSEMA, and </w:t>
      </w:r>
      <w:r w:rsidR="00DE6FB9">
        <w:rPr>
          <w:rFonts w:ascii="Times New Roman" w:hAnsi="Times New Roman" w:cs="Times New Roman"/>
          <w:szCs w:val="24"/>
        </w:rPr>
        <w:t xml:space="preserve">must </w:t>
      </w:r>
      <w:r w:rsidR="006024B4" w:rsidRPr="00C45E3A">
        <w:rPr>
          <w:rFonts w:ascii="Times New Roman" w:hAnsi="Times New Roman" w:cs="Times New Roman"/>
          <w:szCs w:val="24"/>
        </w:rPr>
        <w:t>not exceed the total of the expenses incurred by NOPSEMA in assessing the proposed financial assurance arrangements.</w:t>
      </w:r>
    </w:p>
    <w:p w:rsidR="00775B53" w:rsidRPr="00775B53" w:rsidRDefault="00775B53" w:rsidP="00775B53">
      <w:pPr>
        <w:ind w:right="91"/>
        <w:rPr>
          <w:rFonts w:ascii="Times New Roman" w:hAnsi="Times New Roman" w:cs="Times New Roman"/>
        </w:rPr>
      </w:pPr>
      <w:r w:rsidRPr="00775B53">
        <w:rPr>
          <w:rFonts w:ascii="Times New Roman" w:hAnsi="Times New Roman" w:cs="Times New Roman"/>
          <w:b/>
        </w:rPr>
        <w:t>Item [6] – At the end of Part 5</w:t>
      </w:r>
    </w:p>
    <w:p w:rsidR="00775B53" w:rsidRPr="00775B53" w:rsidRDefault="00775B53" w:rsidP="00775B53">
      <w:pPr>
        <w:ind w:right="91"/>
        <w:rPr>
          <w:rFonts w:ascii="Times New Roman" w:hAnsi="Times New Roman" w:cs="Times New Roman"/>
        </w:rPr>
      </w:pPr>
      <w:r w:rsidRPr="00775B53">
        <w:rPr>
          <w:rFonts w:ascii="Times New Roman" w:hAnsi="Times New Roman" w:cs="Times New Roman"/>
        </w:rPr>
        <w:t>This item insert</w:t>
      </w:r>
      <w:r>
        <w:rPr>
          <w:rFonts w:ascii="Times New Roman" w:hAnsi="Times New Roman" w:cs="Times New Roman"/>
        </w:rPr>
        <w:t>s</w:t>
      </w:r>
      <w:r w:rsidRPr="00775B53">
        <w:rPr>
          <w:rFonts w:ascii="Times New Roman" w:hAnsi="Times New Roman" w:cs="Times New Roman"/>
        </w:rPr>
        <w:t xml:space="preserve"> a new Division 5.3 (regulation 49) at the end of Part 5, to provide for transitional arrangements relating to the Regulation. </w:t>
      </w:r>
    </w:p>
    <w:p w:rsidR="00775B53" w:rsidRPr="00775B53" w:rsidRDefault="00775B53" w:rsidP="00775B53">
      <w:pPr>
        <w:ind w:right="91"/>
        <w:rPr>
          <w:rFonts w:ascii="Times New Roman" w:hAnsi="Times New Roman" w:cs="Times New Roman"/>
        </w:rPr>
      </w:pPr>
      <w:r w:rsidRPr="00775B53">
        <w:rPr>
          <w:rFonts w:ascii="Times New Roman" w:hAnsi="Times New Roman" w:cs="Times New Roman"/>
        </w:rPr>
        <w:t>The new regulation 49 ensure</w:t>
      </w:r>
      <w:r>
        <w:rPr>
          <w:rFonts w:ascii="Times New Roman" w:hAnsi="Times New Roman" w:cs="Times New Roman"/>
        </w:rPr>
        <w:t>s</w:t>
      </w:r>
      <w:r w:rsidRPr="00775B53">
        <w:rPr>
          <w:rFonts w:ascii="Times New Roman" w:hAnsi="Times New Roman" w:cs="Times New Roman"/>
        </w:rPr>
        <w:t xml:space="preserve"> that the amendments made by the Regulation that provide for (a) NOPSEMA to be satisfied of compliance by a titleholder with its financial assurance obligations under the OPGGS Act, in a form acceptable to NOPSEMA, in order to accept an environment plan or proposed revision of an environment plan, and (b) payment of a fee for assessment of financial assurance arrangements by NOPSEMA, only apply in relation to environment plans, or proposed revisions of environment plans, submitted on or after 1 January 2015 (i.e. on or after commencement of the Regulation). If a titleholder submitted an environment plan or proposed revision of an environment plan prior to 1 January 2015, and a decision ha</w:t>
      </w:r>
      <w:r>
        <w:rPr>
          <w:rFonts w:ascii="Times New Roman" w:hAnsi="Times New Roman" w:cs="Times New Roman"/>
        </w:rPr>
        <w:t>d</w:t>
      </w:r>
      <w:r w:rsidRPr="00775B53">
        <w:rPr>
          <w:rFonts w:ascii="Times New Roman" w:hAnsi="Times New Roman" w:cs="Times New Roman"/>
        </w:rPr>
        <w:t xml:space="preserve"> not yet been made by NOPSEMA in relation to the plan, the titleholder </w:t>
      </w:r>
      <w:r>
        <w:rPr>
          <w:rFonts w:ascii="Times New Roman" w:hAnsi="Times New Roman" w:cs="Times New Roman"/>
        </w:rPr>
        <w:t>is</w:t>
      </w:r>
      <w:r w:rsidRPr="00775B53">
        <w:rPr>
          <w:rFonts w:ascii="Times New Roman" w:hAnsi="Times New Roman" w:cs="Times New Roman"/>
        </w:rPr>
        <w:t xml:space="preserve"> not required to demonstrate compliance with financial assurance obligations in order for NOPSEMA to accept the plan or proposed revision.</w:t>
      </w:r>
    </w:p>
    <w:p w:rsidR="00140AC7" w:rsidRDefault="00775B53" w:rsidP="00775B53">
      <w:pPr>
        <w:ind w:right="91"/>
        <w:rPr>
          <w:rFonts w:ascii="Times New Roman" w:hAnsi="Times New Roman" w:cs="Times New Roman"/>
        </w:rPr>
      </w:pPr>
      <w:r w:rsidRPr="00775B53">
        <w:rPr>
          <w:rFonts w:ascii="Times New Roman" w:hAnsi="Times New Roman" w:cs="Times New Roman"/>
        </w:rPr>
        <w:t xml:space="preserve">Notwithstanding this, the clarified legislative requirement for titleholders to maintain sufficient financial assurance to give the titleholder the capacity to meet costs, expenses and liabilities arising in connection with, or as a result of, the carrying out of a petroleum activity has been in place since 28 November 2013. Titleholders should therefore already be compliant with their financial assurance </w:t>
      </w:r>
      <w:r w:rsidRPr="00775B53">
        <w:rPr>
          <w:rFonts w:ascii="Times New Roman" w:hAnsi="Times New Roman" w:cs="Times New Roman"/>
        </w:rPr>
        <w:lastRenderedPageBreak/>
        <w:t>obligations under the OPGGS Act. The amendment in item 3 of the Regulation, which make</w:t>
      </w:r>
      <w:r>
        <w:rPr>
          <w:rFonts w:ascii="Times New Roman" w:hAnsi="Times New Roman" w:cs="Times New Roman"/>
        </w:rPr>
        <w:t>s</w:t>
      </w:r>
      <w:r w:rsidRPr="00775B53">
        <w:rPr>
          <w:rFonts w:ascii="Times New Roman" w:hAnsi="Times New Roman" w:cs="Times New Roman"/>
        </w:rPr>
        <w:t xml:space="preserve"> failure by a titleholder to comply with its financial assurance obligations, in a form acceptable to NOPSEMA, a ground for withdrawal of acceptance of an environment plan, </w:t>
      </w:r>
      <w:r>
        <w:rPr>
          <w:rFonts w:ascii="Times New Roman" w:hAnsi="Times New Roman" w:cs="Times New Roman"/>
        </w:rPr>
        <w:t>applies</w:t>
      </w:r>
      <w:r w:rsidRPr="00775B53">
        <w:rPr>
          <w:rFonts w:ascii="Times New Roman" w:hAnsi="Times New Roman" w:cs="Times New Roman"/>
        </w:rPr>
        <w:t xml:space="preserve"> immediately on commencement of the Regulation on 1 January 2015.</w:t>
      </w:r>
    </w:p>
    <w:p w:rsidR="00140AC7" w:rsidRDefault="00140AC7">
      <w:pPr>
        <w:rPr>
          <w:rFonts w:ascii="Times New Roman" w:hAnsi="Times New Roman" w:cs="Times New Roman"/>
        </w:rPr>
      </w:pPr>
      <w:r>
        <w:rPr>
          <w:rFonts w:ascii="Times New Roman" w:hAnsi="Times New Roman" w:cs="Times New Roman"/>
        </w:rPr>
        <w:br w:type="page"/>
      </w:r>
    </w:p>
    <w:p w:rsidR="00775B53" w:rsidRDefault="00140AC7" w:rsidP="00140AC7">
      <w:pPr>
        <w:ind w:right="91"/>
        <w:jc w:val="right"/>
        <w:rPr>
          <w:rFonts w:ascii="Times New Roman" w:hAnsi="Times New Roman" w:cs="Times New Roman"/>
        </w:rPr>
      </w:pPr>
      <w:r>
        <w:rPr>
          <w:rFonts w:ascii="Times New Roman" w:hAnsi="Times New Roman" w:cs="Times New Roman"/>
          <w:b/>
          <w:u w:val="single"/>
        </w:rPr>
        <w:lastRenderedPageBreak/>
        <w:t>ATTACHMENT 2</w:t>
      </w:r>
    </w:p>
    <w:p w:rsidR="00140AC7" w:rsidRPr="00E4135E" w:rsidRDefault="00140AC7" w:rsidP="00140AC7">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140AC7" w:rsidRPr="00E4135E" w:rsidRDefault="00140AC7" w:rsidP="00140AC7">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140AC7" w:rsidRPr="00E4135E" w:rsidRDefault="00140AC7" w:rsidP="00140AC7">
      <w:pPr>
        <w:spacing w:before="120" w:after="120"/>
        <w:jc w:val="center"/>
        <w:rPr>
          <w:rFonts w:ascii="Times New Roman" w:hAnsi="Times New Roman"/>
          <w:sz w:val="24"/>
          <w:szCs w:val="24"/>
        </w:rPr>
      </w:pPr>
    </w:p>
    <w:p w:rsidR="00140AC7" w:rsidRPr="00E4135E" w:rsidRDefault="00140AC7" w:rsidP="00140AC7">
      <w:pPr>
        <w:spacing w:before="120" w:after="120"/>
        <w:jc w:val="center"/>
        <w:rPr>
          <w:rFonts w:ascii="Times New Roman" w:hAnsi="Times New Roman"/>
          <w:b/>
          <w:sz w:val="24"/>
          <w:szCs w:val="24"/>
        </w:rPr>
      </w:pPr>
      <w:r>
        <w:rPr>
          <w:rFonts w:ascii="Times New Roman" w:hAnsi="Times New Roman"/>
          <w:b/>
          <w:sz w:val="24"/>
          <w:szCs w:val="24"/>
        </w:rPr>
        <w:t>Offshore Petroleum and Greenhouse Gas Storage (Environment) Amendment (Financial Assurance) Regulation 2014</w:t>
      </w:r>
    </w:p>
    <w:p w:rsidR="00561A47" w:rsidRDefault="00561A47" w:rsidP="00140AC7">
      <w:pPr>
        <w:spacing w:before="120" w:after="120"/>
        <w:jc w:val="center"/>
        <w:rPr>
          <w:rFonts w:ascii="Times New Roman" w:hAnsi="Times New Roman"/>
          <w:sz w:val="24"/>
          <w:szCs w:val="24"/>
        </w:rPr>
      </w:pPr>
    </w:p>
    <w:p w:rsidR="00140AC7" w:rsidRDefault="00140AC7" w:rsidP="00140AC7">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561A47" w:rsidRPr="00E4135E" w:rsidRDefault="00561A47" w:rsidP="00140AC7">
      <w:pPr>
        <w:spacing w:before="120" w:after="120"/>
        <w:jc w:val="center"/>
        <w:rPr>
          <w:rFonts w:ascii="Times New Roman" w:hAnsi="Times New Roman"/>
          <w:sz w:val="24"/>
          <w:szCs w:val="24"/>
        </w:rPr>
      </w:pPr>
    </w:p>
    <w:p w:rsidR="00140AC7" w:rsidRPr="00E4135E" w:rsidRDefault="00140AC7" w:rsidP="00140AC7">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2405B8" w:rsidRDefault="00140AC7" w:rsidP="002405B8">
      <w:pPr>
        <w:rPr>
          <w:rFonts w:ascii="Times New Roman" w:hAnsi="Times New Roman" w:cs="Times New Roman"/>
          <w:sz w:val="24"/>
          <w:szCs w:val="24"/>
        </w:rPr>
      </w:pPr>
      <w:r>
        <w:rPr>
          <w:rFonts w:ascii="Times New Roman" w:hAnsi="Times New Roman"/>
          <w:sz w:val="24"/>
          <w:szCs w:val="24"/>
        </w:rPr>
        <w:t>Th</w:t>
      </w:r>
      <w:r w:rsidR="002405B8">
        <w:rPr>
          <w:rFonts w:ascii="Times New Roman" w:hAnsi="Times New Roman"/>
          <w:sz w:val="24"/>
          <w:szCs w:val="24"/>
        </w:rPr>
        <w:t>is</w:t>
      </w:r>
      <w:r>
        <w:rPr>
          <w:rFonts w:ascii="Times New Roman" w:hAnsi="Times New Roman"/>
          <w:sz w:val="24"/>
          <w:szCs w:val="24"/>
        </w:rPr>
        <w:t xml:space="preserve"> Legislative Instrument </w:t>
      </w:r>
      <w:r w:rsidR="002405B8" w:rsidRPr="00156E32">
        <w:rPr>
          <w:rFonts w:ascii="Times New Roman" w:hAnsi="Times New Roman" w:cs="Times New Roman"/>
          <w:sz w:val="24"/>
          <w:szCs w:val="24"/>
        </w:rPr>
        <w:t>amend</w:t>
      </w:r>
      <w:r w:rsidR="00970DEA">
        <w:rPr>
          <w:rFonts w:ascii="Times New Roman" w:hAnsi="Times New Roman" w:cs="Times New Roman"/>
          <w:sz w:val="24"/>
          <w:szCs w:val="24"/>
        </w:rPr>
        <w:t>s</w:t>
      </w:r>
      <w:r w:rsidR="002405B8" w:rsidRPr="00156E32">
        <w:rPr>
          <w:rFonts w:ascii="Times New Roman" w:hAnsi="Times New Roman" w:cs="Times New Roman"/>
          <w:sz w:val="24"/>
          <w:szCs w:val="24"/>
        </w:rPr>
        <w:t xml:space="preserve"> the </w:t>
      </w:r>
      <w:r w:rsidR="002405B8">
        <w:rPr>
          <w:rFonts w:ascii="Times New Roman" w:hAnsi="Times New Roman" w:cs="Times New Roman"/>
          <w:i/>
          <w:sz w:val="24"/>
          <w:szCs w:val="24"/>
        </w:rPr>
        <w:t>Offshore Petroleum and Greenhouse Gas Storage (Environment) Regulations 2009</w:t>
      </w:r>
      <w:r w:rsidR="002405B8" w:rsidRPr="00156E32">
        <w:rPr>
          <w:rFonts w:ascii="Times New Roman" w:hAnsi="Times New Roman" w:cs="Times New Roman"/>
          <w:sz w:val="24"/>
          <w:szCs w:val="24"/>
        </w:rPr>
        <w:t xml:space="preserve"> to support recent amendments to the</w:t>
      </w:r>
      <w:r w:rsidR="002405B8">
        <w:rPr>
          <w:rFonts w:ascii="Times New Roman" w:hAnsi="Times New Roman" w:cs="Times New Roman"/>
          <w:sz w:val="24"/>
          <w:szCs w:val="24"/>
        </w:rPr>
        <w:t xml:space="preserve"> </w:t>
      </w:r>
      <w:r w:rsidR="002405B8">
        <w:rPr>
          <w:rFonts w:ascii="Times New Roman" w:hAnsi="Times New Roman" w:cs="Times New Roman"/>
          <w:i/>
          <w:sz w:val="24"/>
          <w:szCs w:val="24"/>
        </w:rPr>
        <w:t>Offshore Petroleum and Greenhouse Gas Storage Act 2006</w:t>
      </w:r>
      <w:r w:rsidR="002405B8" w:rsidRPr="00156E32">
        <w:rPr>
          <w:rFonts w:ascii="Times New Roman" w:hAnsi="Times New Roman" w:cs="Times New Roman"/>
          <w:sz w:val="24"/>
          <w:szCs w:val="24"/>
        </w:rPr>
        <w:t xml:space="preserve"> </w:t>
      </w:r>
      <w:r w:rsidR="00F542B8">
        <w:rPr>
          <w:rFonts w:ascii="Times New Roman" w:hAnsi="Times New Roman" w:cs="Times New Roman"/>
          <w:sz w:val="24"/>
          <w:szCs w:val="24"/>
        </w:rPr>
        <w:t xml:space="preserve">(OPGGS Act) </w:t>
      </w:r>
      <w:r w:rsidR="002405B8" w:rsidRPr="00156E32">
        <w:rPr>
          <w:rFonts w:ascii="Times New Roman" w:hAnsi="Times New Roman" w:cs="Times New Roman"/>
          <w:sz w:val="24"/>
          <w:szCs w:val="24"/>
        </w:rPr>
        <w:t xml:space="preserve">in relation to financial assurance requirements for the offshore petroleum industry, by providing a mechanism for </w:t>
      </w:r>
      <w:r w:rsidR="00F542B8">
        <w:rPr>
          <w:rFonts w:ascii="Times New Roman" w:hAnsi="Times New Roman" w:cs="Times New Roman"/>
          <w:sz w:val="24"/>
          <w:szCs w:val="24"/>
        </w:rPr>
        <w:t>the National Offshore Petroleum Safety and Environmental Management Authority (</w:t>
      </w:r>
      <w:r w:rsidR="002405B8" w:rsidRPr="00156E32">
        <w:rPr>
          <w:rFonts w:ascii="Times New Roman" w:hAnsi="Times New Roman" w:cs="Times New Roman"/>
          <w:sz w:val="24"/>
          <w:szCs w:val="24"/>
        </w:rPr>
        <w:t>NOPSEMA</w:t>
      </w:r>
      <w:r w:rsidR="00F542B8">
        <w:rPr>
          <w:rFonts w:ascii="Times New Roman" w:hAnsi="Times New Roman" w:cs="Times New Roman"/>
          <w:sz w:val="24"/>
          <w:szCs w:val="24"/>
        </w:rPr>
        <w:t>)</w:t>
      </w:r>
      <w:r w:rsidR="002405B8" w:rsidRPr="00156E32">
        <w:rPr>
          <w:rFonts w:ascii="Times New Roman" w:hAnsi="Times New Roman" w:cs="Times New Roman"/>
          <w:sz w:val="24"/>
          <w:szCs w:val="24"/>
        </w:rPr>
        <w:t xml:space="preserve"> to assess compliance with those requirements as a condition precedent to acceptance of an environment plan.</w:t>
      </w:r>
      <w:r w:rsidR="002405B8">
        <w:rPr>
          <w:rFonts w:ascii="Times New Roman" w:hAnsi="Times New Roman" w:cs="Times New Roman"/>
          <w:sz w:val="24"/>
          <w:szCs w:val="24"/>
        </w:rPr>
        <w:t xml:space="preserve">  T</w:t>
      </w:r>
      <w:r w:rsidR="002405B8" w:rsidRPr="00156E32">
        <w:rPr>
          <w:rFonts w:ascii="Times New Roman" w:hAnsi="Times New Roman" w:cs="Times New Roman"/>
          <w:sz w:val="24"/>
          <w:szCs w:val="24"/>
        </w:rPr>
        <w:t xml:space="preserve">he amendments ensure that, while NOPSEMA may assess an environment plan for a petroleum activity, it must not accept the plan unless it is reasonably satisfied that financial assurance in relation to the activity (or activities) is sufficient, and in an acceptable form. </w:t>
      </w:r>
    </w:p>
    <w:p w:rsidR="002405B8" w:rsidRPr="00156E32" w:rsidRDefault="002405B8" w:rsidP="002405B8">
      <w:pPr>
        <w:rPr>
          <w:rFonts w:ascii="Times New Roman" w:hAnsi="Times New Roman" w:cs="Times New Roman"/>
          <w:sz w:val="24"/>
          <w:szCs w:val="24"/>
        </w:rPr>
      </w:pPr>
      <w:r>
        <w:rPr>
          <w:rFonts w:ascii="Times New Roman" w:hAnsi="Times New Roman" w:cs="Times New Roman"/>
          <w:sz w:val="24"/>
          <w:szCs w:val="24"/>
        </w:rPr>
        <w:t xml:space="preserve">This Legislative Instrument also makes failure to maintain compliance by a titleholder with its financial assurance obligations under the OPGGS Act, in a form acceptable to NOPSEMA, a ground for the withdrawal of the acceptance of an environment plan by NOPSEMA, and </w:t>
      </w:r>
      <w:r w:rsidRPr="00156E32">
        <w:rPr>
          <w:rFonts w:ascii="Times New Roman" w:hAnsi="Times New Roman" w:cs="Times New Roman"/>
          <w:sz w:val="24"/>
          <w:szCs w:val="24"/>
        </w:rPr>
        <w:t>provide</w:t>
      </w:r>
      <w:r>
        <w:rPr>
          <w:rFonts w:ascii="Times New Roman" w:hAnsi="Times New Roman" w:cs="Times New Roman"/>
          <w:sz w:val="24"/>
          <w:szCs w:val="24"/>
        </w:rPr>
        <w:t>s</w:t>
      </w:r>
      <w:r w:rsidRPr="00156E32">
        <w:rPr>
          <w:rFonts w:ascii="Times New Roman" w:hAnsi="Times New Roman" w:cs="Times New Roman"/>
          <w:sz w:val="24"/>
          <w:szCs w:val="24"/>
        </w:rPr>
        <w:t xml:space="preserve"> for a fee to be payable to NOPSEMA for assessment of financial assurance arrangements in relation to a petroleum activity</w:t>
      </w:r>
      <w:r>
        <w:rPr>
          <w:rFonts w:ascii="Times New Roman" w:hAnsi="Times New Roman" w:cs="Times New Roman"/>
          <w:sz w:val="24"/>
          <w:szCs w:val="24"/>
        </w:rPr>
        <w:t>.</w:t>
      </w:r>
    </w:p>
    <w:p w:rsidR="00140AC7" w:rsidRPr="00E4135E" w:rsidRDefault="00140AC7" w:rsidP="00140AC7">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140AC7" w:rsidRDefault="00140AC7" w:rsidP="00140AC7">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140AC7" w:rsidRPr="00E4135E" w:rsidRDefault="00140AC7" w:rsidP="00140AC7">
      <w:pPr>
        <w:spacing w:before="120" w:after="120"/>
        <w:rPr>
          <w:rFonts w:ascii="Times New Roman" w:hAnsi="Times New Roman"/>
          <w:b/>
          <w:sz w:val="24"/>
          <w:szCs w:val="24"/>
        </w:rPr>
      </w:pPr>
      <w:r w:rsidRPr="00E4135E">
        <w:rPr>
          <w:rFonts w:ascii="Times New Roman" w:hAnsi="Times New Roman"/>
          <w:b/>
          <w:sz w:val="24"/>
          <w:szCs w:val="24"/>
        </w:rPr>
        <w:t>Conclusion</w:t>
      </w:r>
    </w:p>
    <w:p w:rsidR="00140AC7" w:rsidRPr="00E4135E" w:rsidRDefault="00140AC7" w:rsidP="00757728">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00140AC7" w:rsidRPr="00140AC7" w:rsidRDefault="00140AC7" w:rsidP="00140AC7">
      <w:pPr>
        <w:ind w:right="91"/>
        <w:rPr>
          <w:rFonts w:ascii="Times New Roman" w:hAnsi="Times New Roman" w:cs="Times New Roman"/>
        </w:rPr>
      </w:pPr>
    </w:p>
    <w:p w:rsidR="00775B53" w:rsidRPr="00C45E3A" w:rsidRDefault="00775B53" w:rsidP="00607F8D">
      <w:pPr>
        <w:ind w:right="91"/>
        <w:rPr>
          <w:rFonts w:ascii="Times New Roman" w:hAnsi="Times New Roman" w:cs="Times New Roman"/>
          <w:szCs w:val="24"/>
        </w:rPr>
      </w:pPr>
    </w:p>
    <w:p w:rsidR="008140CC" w:rsidRPr="00C45E3A" w:rsidRDefault="008140CC">
      <w:pPr>
        <w:rPr>
          <w:rFonts w:ascii="Times New Roman" w:hAnsi="Times New Roman" w:cs="Times New Roman"/>
        </w:rPr>
      </w:pPr>
    </w:p>
    <w:sectPr w:rsidR="008140CC" w:rsidRPr="00C45E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1F" w:rsidRDefault="00C13F1F" w:rsidP="0019098D">
      <w:pPr>
        <w:spacing w:after="0" w:line="240" w:lineRule="auto"/>
      </w:pPr>
      <w:r>
        <w:separator/>
      </w:r>
    </w:p>
  </w:endnote>
  <w:endnote w:type="continuationSeparator" w:id="0">
    <w:p w:rsidR="00C13F1F" w:rsidRDefault="00C13F1F" w:rsidP="0019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1F" w:rsidRDefault="00C13F1F" w:rsidP="0019098D">
      <w:pPr>
        <w:spacing w:after="0" w:line="240" w:lineRule="auto"/>
      </w:pPr>
      <w:r>
        <w:separator/>
      </w:r>
    </w:p>
  </w:footnote>
  <w:footnote w:type="continuationSeparator" w:id="0">
    <w:p w:rsidR="00C13F1F" w:rsidRDefault="00C13F1F" w:rsidP="00190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8D" w:rsidRDefault="00190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47F"/>
    <w:multiLevelType w:val="hybridMultilevel"/>
    <w:tmpl w:val="3418F3AE"/>
    <w:lvl w:ilvl="0" w:tplc="54549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
    <w:nsid w:val="3F876ECF"/>
    <w:multiLevelType w:val="hybridMultilevel"/>
    <w:tmpl w:val="BC44177A"/>
    <w:lvl w:ilvl="0" w:tplc="5D7E45EC">
      <w:start w:val="4"/>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C99527F"/>
    <w:multiLevelType w:val="hybridMultilevel"/>
    <w:tmpl w:val="422AB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4D"/>
    <w:rsid w:val="00010213"/>
    <w:rsid w:val="00042D5A"/>
    <w:rsid w:val="00045930"/>
    <w:rsid w:val="00062450"/>
    <w:rsid w:val="000720E2"/>
    <w:rsid w:val="000A1BBA"/>
    <w:rsid w:val="000B5F3C"/>
    <w:rsid w:val="00101453"/>
    <w:rsid w:val="00105A7E"/>
    <w:rsid w:val="001127EE"/>
    <w:rsid w:val="0013090F"/>
    <w:rsid w:val="00140450"/>
    <w:rsid w:val="00140AC7"/>
    <w:rsid w:val="00185E6A"/>
    <w:rsid w:val="0019098D"/>
    <w:rsid w:val="00192C48"/>
    <w:rsid w:val="001D0ABD"/>
    <w:rsid w:val="001D1FF6"/>
    <w:rsid w:val="001D2BCC"/>
    <w:rsid w:val="001D3BBC"/>
    <w:rsid w:val="001E1225"/>
    <w:rsid w:val="001E12AA"/>
    <w:rsid w:val="00202BC0"/>
    <w:rsid w:val="00214DEA"/>
    <w:rsid w:val="00235E2A"/>
    <w:rsid w:val="002405B8"/>
    <w:rsid w:val="0024301D"/>
    <w:rsid w:val="002669A7"/>
    <w:rsid w:val="0026714A"/>
    <w:rsid w:val="002848DC"/>
    <w:rsid w:val="00286B6D"/>
    <w:rsid w:val="00287FD7"/>
    <w:rsid w:val="00296DC1"/>
    <w:rsid w:val="002B03EC"/>
    <w:rsid w:val="002B4C35"/>
    <w:rsid w:val="002F4CD0"/>
    <w:rsid w:val="00311E04"/>
    <w:rsid w:val="00315A86"/>
    <w:rsid w:val="003413E9"/>
    <w:rsid w:val="00352D4E"/>
    <w:rsid w:val="003629FD"/>
    <w:rsid w:val="003666F3"/>
    <w:rsid w:val="00367806"/>
    <w:rsid w:val="00370992"/>
    <w:rsid w:val="00371397"/>
    <w:rsid w:val="003745A7"/>
    <w:rsid w:val="0038140E"/>
    <w:rsid w:val="00391EB4"/>
    <w:rsid w:val="003A145D"/>
    <w:rsid w:val="00401954"/>
    <w:rsid w:val="004073D6"/>
    <w:rsid w:val="004466EA"/>
    <w:rsid w:val="00451D55"/>
    <w:rsid w:val="00453774"/>
    <w:rsid w:val="00474ED2"/>
    <w:rsid w:val="004A4C96"/>
    <w:rsid w:val="004B4ADB"/>
    <w:rsid w:val="004E61E5"/>
    <w:rsid w:val="004F6D93"/>
    <w:rsid w:val="00501A28"/>
    <w:rsid w:val="0050343D"/>
    <w:rsid w:val="00527CD5"/>
    <w:rsid w:val="00546B96"/>
    <w:rsid w:val="00561A47"/>
    <w:rsid w:val="00580001"/>
    <w:rsid w:val="0058670A"/>
    <w:rsid w:val="005874DB"/>
    <w:rsid w:val="005B2223"/>
    <w:rsid w:val="005E00B0"/>
    <w:rsid w:val="005E67E3"/>
    <w:rsid w:val="006024B4"/>
    <w:rsid w:val="006078AB"/>
    <w:rsid w:val="00607F8D"/>
    <w:rsid w:val="00613426"/>
    <w:rsid w:val="00617E4D"/>
    <w:rsid w:val="006302DE"/>
    <w:rsid w:val="00643933"/>
    <w:rsid w:val="00653ECC"/>
    <w:rsid w:val="00672892"/>
    <w:rsid w:val="0067450C"/>
    <w:rsid w:val="006848A4"/>
    <w:rsid w:val="006B2376"/>
    <w:rsid w:val="006B7814"/>
    <w:rsid w:val="006C2C0F"/>
    <w:rsid w:val="007206A5"/>
    <w:rsid w:val="00723553"/>
    <w:rsid w:val="00746E82"/>
    <w:rsid w:val="00757728"/>
    <w:rsid w:val="00775B53"/>
    <w:rsid w:val="00793E1E"/>
    <w:rsid w:val="007A49BC"/>
    <w:rsid w:val="007F2524"/>
    <w:rsid w:val="008054B5"/>
    <w:rsid w:val="00806421"/>
    <w:rsid w:val="008140CC"/>
    <w:rsid w:val="00822E4D"/>
    <w:rsid w:val="0083426A"/>
    <w:rsid w:val="00836FB1"/>
    <w:rsid w:val="00844234"/>
    <w:rsid w:val="0084449C"/>
    <w:rsid w:val="00867E6B"/>
    <w:rsid w:val="008744E8"/>
    <w:rsid w:val="00877193"/>
    <w:rsid w:val="008A45F4"/>
    <w:rsid w:val="008E3FA3"/>
    <w:rsid w:val="00911AFB"/>
    <w:rsid w:val="00913C12"/>
    <w:rsid w:val="00956030"/>
    <w:rsid w:val="00970DEA"/>
    <w:rsid w:val="00972BC2"/>
    <w:rsid w:val="00986A08"/>
    <w:rsid w:val="009910B9"/>
    <w:rsid w:val="009C40A3"/>
    <w:rsid w:val="009C4726"/>
    <w:rsid w:val="009D5F1B"/>
    <w:rsid w:val="009D7173"/>
    <w:rsid w:val="009F1979"/>
    <w:rsid w:val="009F6B77"/>
    <w:rsid w:val="00A2643A"/>
    <w:rsid w:val="00A27890"/>
    <w:rsid w:val="00A66EA9"/>
    <w:rsid w:val="00A70029"/>
    <w:rsid w:val="00AA03C3"/>
    <w:rsid w:val="00AB765B"/>
    <w:rsid w:val="00AC2EDC"/>
    <w:rsid w:val="00AC489F"/>
    <w:rsid w:val="00AD5437"/>
    <w:rsid w:val="00AD5910"/>
    <w:rsid w:val="00AD7AE3"/>
    <w:rsid w:val="00B30CE4"/>
    <w:rsid w:val="00B82F76"/>
    <w:rsid w:val="00B84A28"/>
    <w:rsid w:val="00B870F9"/>
    <w:rsid w:val="00BA0948"/>
    <w:rsid w:val="00BF3F88"/>
    <w:rsid w:val="00C13F1F"/>
    <w:rsid w:val="00C456A0"/>
    <w:rsid w:val="00C45E3A"/>
    <w:rsid w:val="00C50B36"/>
    <w:rsid w:val="00C74CC0"/>
    <w:rsid w:val="00C76E5B"/>
    <w:rsid w:val="00C77BF4"/>
    <w:rsid w:val="00C82CCC"/>
    <w:rsid w:val="00C865A6"/>
    <w:rsid w:val="00C912F4"/>
    <w:rsid w:val="00CA05F6"/>
    <w:rsid w:val="00CA3DD9"/>
    <w:rsid w:val="00CB4630"/>
    <w:rsid w:val="00CD0397"/>
    <w:rsid w:val="00D023C6"/>
    <w:rsid w:val="00D328BC"/>
    <w:rsid w:val="00D47014"/>
    <w:rsid w:val="00D5502F"/>
    <w:rsid w:val="00DA7A83"/>
    <w:rsid w:val="00DB08F5"/>
    <w:rsid w:val="00DD5475"/>
    <w:rsid w:val="00DE6FB9"/>
    <w:rsid w:val="00DF2ABC"/>
    <w:rsid w:val="00E01DCB"/>
    <w:rsid w:val="00E143EF"/>
    <w:rsid w:val="00E16A86"/>
    <w:rsid w:val="00E216BE"/>
    <w:rsid w:val="00E279A5"/>
    <w:rsid w:val="00E33DB7"/>
    <w:rsid w:val="00E360AF"/>
    <w:rsid w:val="00E54404"/>
    <w:rsid w:val="00E81B3A"/>
    <w:rsid w:val="00E84474"/>
    <w:rsid w:val="00E97BC7"/>
    <w:rsid w:val="00EA30BE"/>
    <w:rsid w:val="00EA37BB"/>
    <w:rsid w:val="00EF7211"/>
    <w:rsid w:val="00F23B8B"/>
    <w:rsid w:val="00F43322"/>
    <w:rsid w:val="00F542B8"/>
    <w:rsid w:val="00F6771F"/>
    <w:rsid w:val="00F84609"/>
    <w:rsid w:val="00F9630E"/>
    <w:rsid w:val="00FA3E23"/>
    <w:rsid w:val="00FC7BCC"/>
    <w:rsid w:val="00FF6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Normal"/>
    <w:link w:val="subsectionChar"/>
    <w:rsid w:val="009D5F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9D5F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62450"/>
    <w:pPr>
      <w:ind w:left="720"/>
      <w:contextualSpacing/>
    </w:pPr>
  </w:style>
  <w:style w:type="character" w:customStyle="1" w:styleId="subsectionChar">
    <w:name w:val="subsection Char"/>
    <w:aliases w:val="ss Char"/>
    <w:link w:val="subsection"/>
    <w:locked/>
    <w:rsid w:val="006078AB"/>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locked/>
    <w:rsid w:val="006078AB"/>
    <w:rPr>
      <w:rFonts w:ascii="Times New Roman" w:eastAsia="Times New Roman" w:hAnsi="Times New Roman" w:cs="Times New Roman"/>
      <w:sz w:val="24"/>
      <w:szCs w:val="24"/>
      <w:lang w:eastAsia="en-AU"/>
    </w:rPr>
  </w:style>
  <w:style w:type="paragraph" w:customStyle="1" w:styleId="notetext">
    <w:name w:val="note(text)"/>
    <w:aliases w:val="n"/>
    <w:basedOn w:val="Normal"/>
    <w:rsid w:val="00AB765B"/>
    <w:pPr>
      <w:spacing w:before="122" w:after="0" w:line="240" w:lineRule="auto"/>
      <w:ind w:left="1985" w:hanging="851"/>
    </w:pPr>
    <w:rPr>
      <w:rFonts w:ascii="Times New Roman" w:eastAsia="Times New Roman" w:hAnsi="Times New Roman" w:cs="Times New Roman"/>
      <w:sz w:val="18"/>
      <w:szCs w:val="20"/>
      <w:lang w:eastAsia="en-AU"/>
    </w:rPr>
  </w:style>
  <w:style w:type="paragraph" w:styleId="BalloonText">
    <w:name w:val="Balloon Text"/>
    <w:basedOn w:val="Normal"/>
    <w:link w:val="BalloonTextChar"/>
    <w:uiPriority w:val="99"/>
    <w:semiHidden/>
    <w:unhideWhenUsed/>
    <w:rsid w:val="00E2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BE"/>
    <w:rPr>
      <w:rFonts w:ascii="Tahoma" w:hAnsi="Tahoma" w:cs="Tahoma"/>
      <w:sz w:val="16"/>
      <w:szCs w:val="16"/>
    </w:rPr>
  </w:style>
  <w:style w:type="character" w:styleId="CommentReference">
    <w:name w:val="annotation reference"/>
    <w:basedOn w:val="DefaultParagraphFont"/>
    <w:uiPriority w:val="99"/>
    <w:semiHidden/>
    <w:unhideWhenUsed/>
    <w:rsid w:val="00F84609"/>
    <w:rPr>
      <w:sz w:val="16"/>
      <w:szCs w:val="16"/>
    </w:rPr>
  </w:style>
  <w:style w:type="paragraph" w:styleId="CommentText">
    <w:name w:val="annotation text"/>
    <w:basedOn w:val="Normal"/>
    <w:link w:val="CommentTextChar"/>
    <w:uiPriority w:val="99"/>
    <w:semiHidden/>
    <w:unhideWhenUsed/>
    <w:rsid w:val="00F84609"/>
    <w:pPr>
      <w:spacing w:line="240" w:lineRule="auto"/>
    </w:pPr>
    <w:rPr>
      <w:sz w:val="20"/>
      <w:szCs w:val="20"/>
    </w:rPr>
  </w:style>
  <w:style w:type="character" w:customStyle="1" w:styleId="CommentTextChar">
    <w:name w:val="Comment Text Char"/>
    <w:basedOn w:val="DefaultParagraphFont"/>
    <w:link w:val="CommentText"/>
    <w:uiPriority w:val="99"/>
    <w:semiHidden/>
    <w:rsid w:val="00F84609"/>
    <w:rPr>
      <w:sz w:val="20"/>
      <w:szCs w:val="20"/>
    </w:rPr>
  </w:style>
  <w:style w:type="paragraph" w:styleId="CommentSubject">
    <w:name w:val="annotation subject"/>
    <w:basedOn w:val="CommentText"/>
    <w:next w:val="CommentText"/>
    <w:link w:val="CommentSubjectChar"/>
    <w:uiPriority w:val="99"/>
    <w:semiHidden/>
    <w:unhideWhenUsed/>
    <w:rsid w:val="00F84609"/>
    <w:rPr>
      <w:b/>
      <w:bCs/>
    </w:rPr>
  </w:style>
  <w:style w:type="character" w:customStyle="1" w:styleId="CommentSubjectChar">
    <w:name w:val="Comment Subject Char"/>
    <w:basedOn w:val="CommentTextChar"/>
    <w:link w:val="CommentSubject"/>
    <w:uiPriority w:val="99"/>
    <w:semiHidden/>
    <w:rsid w:val="00F84609"/>
    <w:rPr>
      <w:b/>
      <w:bCs/>
      <w:sz w:val="20"/>
      <w:szCs w:val="20"/>
    </w:rPr>
  </w:style>
  <w:style w:type="paragraph" w:customStyle="1" w:styleId="Answer">
    <w:name w:val="Answer"/>
    <w:aliases w:val="?A"/>
    <w:basedOn w:val="Normal"/>
    <w:next w:val="Normal"/>
    <w:uiPriority w:val="7"/>
    <w:qFormat/>
    <w:rsid w:val="00B30CE4"/>
    <w:pPr>
      <w:tabs>
        <w:tab w:val="left" w:pos="425"/>
        <w:tab w:val="left" w:pos="850"/>
      </w:tabs>
      <w:spacing w:after="140" w:line="280" w:lineRule="atLeast"/>
      <w:ind w:left="850" w:hanging="850"/>
    </w:pPr>
    <w:rPr>
      <w:rFonts w:ascii="Arial" w:eastAsia="Times New Roman" w:hAnsi="Arial" w:cs="Arial"/>
      <w:lang w:eastAsia="en-AU"/>
    </w:rPr>
  </w:style>
  <w:style w:type="paragraph" w:customStyle="1" w:styleId="NumberLevel1">
    <w:name w:val="Number Level 1"/>
    <w:aliases w:val="N1"/>
    <w:basedOn w:val="Normal"/>
    <w:link w:val="NumberLevel1Char"/>
    <w:uiPriority w:val="1"/>
    <w:qFormat/>
    <w:rsid w:val="006B2376"/>
    <w:pPr>
      <w:numPr>
        <w:numId w:val="3"/>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6B2376"/>
    <w:pPr>
      <w:numPr>
        <w:ilvl w:val="1"/>
        <w:numId w:val="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6B2376"/>
    <w:pPr>
      <w:numPr>
        <w:ilvl w:val="2"/>
        <w:numId w:val="3"/>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6B2376"/>
    <w:pPr>
      <w:numPr>
        <w:ilvl w:val="3"/>
        <w:numId w:val="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6B2376"/>
    <w:pPr>
      <w:numPr>
        <w:ilvl w:val="4"/>
        <w:numId w:val="3"/>
      </w:numPr>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rsid w:val="006B2376"/>
    <w:pPr>
      <w:numPr>
        <w:ilvl w:val="5"/>
      </w:numPr>
    </w:pPr>
  </w:style>
  <w:style w:type="paragraph" w:customStyle="1" w:styleId="NumberLevel7">
    <w:name w:val="Number Level 7"/>
    <w:basedOn w:val="NumberLevel6"/>
    <w:uiPriority w:val="1"/>
    <w:rsid w:val="006B2376"/>
    <w:pPr>
      <w:numPr>
        <w:ilvl w:val="6"/>
      </w:numPr>
    </w:pPr>
  </w:style>
  <w:style w:type="paragraph" w:customStyle="1" w:styleId="NumberLevel8">
    <w:name w:val="Number Level 8"/>
    <w:basedOn w:val="NumberLevel7"/>
    <w:uiPriority w:val="1"/>
    <w:rsid w:val="006B2376"/>
    <w:pPr>
      <w:numPr>
        <w:ilvl w:val="7"/>
      </w:numPr>
    </w:pPr>
  </w:style>
  <w:style w:type="paragraph" w:customStyle="1" w:styleId="NumberLevel9">
    <w:name w:val="Number Level 9"/>
    <w:basedOn w:val="NumberLevel8"/>
    <w:uiPriority w:val="1"/>
    <w:rsid w:val="006B2376"/>
    <w:pPr>
      <w:numPr>
        <w:ilvl w:val="8"/>
      </w:numPr>
    </w:pPr>
  </w:style>
  <w:style w:type="character" w:customStyle="1" w:styleId="NumberLevel1Char">
    <w:name w:val="Number Level 1 Char"/>
    <w:basedOn w:val="DefaultParagraphFont"/>
    <w:link w:val="NumberLevel1"/>
    <w:uiPriority w:val="1"/>
    <w:locked/>
    <w:rsid w:val="006B2376"/>
    <w:rPr>
      <w:rFonts w:ascii="Arial" w:eastAsia="Times New Roman" w:hAnsi="Arial" w:cs="Arial"/>
      <w:lang w:eastAsia="en-AU"/>
    </w:rPr>
  </w:style>
  <w:style w:type="paragraph" w:styleId="Header">
    <w:name w:val="header"/>
    <w:basedOn w:val="Normal"/>
    <w:link w:val="HeaderChar"/>
    <w:uiPriority w:val="99"/>
    <w:unhideWhenUsed/>
    <w:rsid w:val="00190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98D"/>
  </w:style>
  <w:style w:type="paragraph" w:styleId="Footer">
    <w:name w:val="footer"/>
    <w:basedOn w:val="Normal"/>
    <w:link w:val="FooterChar"/>
    <w:uiPriority w:val="99"/>
    <w:unhideWhenUsed/>
    <w:rsid w:val="00190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Normal"/>
    <w:link w:val="subsectionChar"/>
    <w:rsid w:val="009D5F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9D5F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62450"/>
    <w:pPr>
      <w:ind w:left="720"/>
      <w:contextualSpacing/>
    </w:pPr>
  </w:style>
  <w:style w:type="character" w:customStyle="1" w:styleId="subsectionChar">
    <w:name w:val="subsection Char"/>
    <w:aliases w:val="ss Char"/>
    <w:link w:val="subsection"/>
    <w:locked/>
    <w:rsid w:val="006078AB"/>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locked/>
    <w:rsid w:val="006078AB"/>
    <w:rPr>
      <w:rFonts w:ascii="Times New Roman" w:eastAsia="Times New Roman" w:hAnsi="Times New Roman" w:cs="Times New Roman"/>
      <w:sz w:val="24"/>
      <w:szCs w:val="24"/>
      <w:lang w:eastAsia="en-AU"/>
    </w:rPr>
  </w:style>
  <w:style w:type="paragraph" w:customStyle="1" w:styleId="notetext">
    <w:name w:val="note(text)"/>
    <w:aliases w:val="n"/>
    <w:basedOn w:val="Normal"/>
    <w:rsid w:val="00AB765B"/>
    <w:pPr>
      <w:spacing w:before="122" w:after="0" w:line="240" w:lineRule="auto"/>
      <w:ind w:left="1985" w:hanging="851"/>
    </w:pPr>
    <w:rPr>
      <w:rFonts w:ascii="Times New Roman" w:eastAsia="Times New Roman" w:hAnsi="Times New Roman" w:cs="Times New Roman"/>
      <w:sz w:val="18"/>
      <w:szCs w:val="20"/>
      <w:lang w:eastAsia="en-AU"/>
    </w:rPr>
  </w:style>
  <w:style w:type="paragraph" w:styleId="BalloonText">
    <w:name w:val="Balloon Text"/>
    <w:basedOn w:val="Normal"/>
    <w:link w:val="BalloonTextChar"/>
    <w:uiPriority w:val="99"/>
    <w:semiHidden/>
    <w:unhideWhenUsed/>
    <w:rsid w:val="00E2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BE"/>
    <w:rPr>
      <w:rFonts w:ascii="Tahoma" w:hAnsi="Tahoma" w:cs="Tahoma"/>
      <w:sz w:val="16"/>
      <w:szCs w:val="16"/>
    </w:rPr>
  </w:style>
  <w:style w:type="character" w:styleId="CommentReference">
    <w:name w:val="annotation reference"/>
    <w:basedOn w:val="DefaultParagraphFont"/>
    <w:uiPriority w:val="99"/>
    <w:semiHidden/>
    <w:unhideWhenUsed/>
    <w:rsid w:val="00F84609"/>
    <w:rPr>
      <w:sz w:val="16"/>
      <w:szCs w:val="16"/>
    </w:rPr>
  </w:style>
  <w:style w:type="paragraph" w:styleId="CommentText">
    <w:name w:val="annotation text"/>
    <w:basedOn w:val="Normal"/>
    <w:link w:val="CommentTextChar"/>
    <w:uiPriority w:val="99"/>
    <w:semiHidden/>
    <w:unhideWhenUsed/>
    <w:rsid w:val="00F84609"/>
    <w:pPr>
      <w:spacing w:line="240" w:lineRule="auto"/>
    </w:pPr>
    <w:rPr>
      <w:sz w:val="20"/>
      <w:szCs w:val="20"/>
    </w:rPr>
  </w:style>
  <w:style w:type="character" w:customStyle="1" w:styleId="CommentTextChar">
    <w:name w:val="Comment Text Char"/>
    <w:basedOn w:val="DefaultParagraphFont"/>
    <w:link w:val="CommentText"/>
    <w:uiPriority w:val="99"/>
    <w:semiHidden/>
    <w:rsid w:val="00F84609"/>
    <w:rPr>
      <w:sz w:val="20"/>
      <w:szCs w:val="20"/>
    </w:rPr>
  </w:style>
  <w:style w:type="paragraph" w:styleId="CommentSubject">
    <w:name w:val="annotation subject"/>
    <w:basedOn w:val="CommentText"/>
    <w:next w:val="CommentText"/>
    <w:link w:val="CommentSubjectChar"/>
    <w:uiPriority w:val="99"/>
    <w:semiHidden/>
    <w:unhideWhenUsed/>
    <w:rsid w:val="00F84609"/>
    <w:rPr>
      <w:b/>
      <w:bCs/>
    </w:rPr>
  </w:style>
  <w:style w:type="character" w:customStyle="1" w:styleId="CommentSubjectChar">
    <w:name w:val="Comment Subject Char"/>
    <w:basedOn w:val="CommentTextChar"/>
    <w:link w:val="CommentSubject"/>
    <w:uiPriority w:val="99"/>
    <w:semiHidden/>
    <w:rsid w:val="00F84609"/>
    <w:rPr>
      <w:b/>
      <w:bCs/>
      <w:sz w:val="20"/>
      <w:szCs w:val="20"/>
    </w:rPr>
  </w:style>
  <w:style w:type="paragraph" w:customStyle="1" w:styleId="Answer">
    <w:name w:val="Answer"/>
    <w:aliases w:val="?A"/>
    <w:basedOn w:val="Normal"/>
    <w:next w:val="Normal"/>
    <w:uiPriority w:val="7"/>
    <w:qFormat/>
    <w:rsid w:val="00B30CE4"/>
    <w:pPr>
      <w:tabs>
        <w:tab w:val="left" w:pos="425"/>
        <w:tab w:val="left" w:pos="850"/>
      </w:tabs>
      <w:spacing w:after="140" w:line="280" w:lineRule="atLeast"/>
      <w:ind w:left="850" w:hanging="850"/>
    </w:pPr>
    <w:rPr>
      <w:rFonts w:ascii="Arial" w:eastAsia="Times New Roman" w:hAnsi="Arial" w:cs="Arial"/>
      <w:lang w:eastAsia="en-AU"/>
    </w:rPr>
  </w:style>
  <w:style w:type="paragraph" w:customStyle="1" w:styleId="NumberLevel1">
    <w:name w:val="Number Level 1"/>
    <w:aliases w:val="N1"/>
    <w:basedOn w:val="Normal"/>
    <w:link w:val="NumberLevel1Char"/>
    <w:uiPriority w:val="1"/>
    <w:qFormat/>
    <w:rsid w:val="006B2376"/>
    <w:pPr>
      <w:numPr>
        <w:numId w:val="3"/>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6B2376"/>
    <w:pPr>
      <w:numPr>
        <w:ilvl w:val="1"/>
        <w:numId w:val="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6B2376"/>
    <w:pPr>
      <w:numPr>
        <w:ilvl w:val="2"/>
        <w:numId w:val="3"/>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6B2376"/>
    <w:pPr>
      <w:numPr>
        <w:ilvl w:val="3"/>
        <w:numId w:val="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6B2376"/>
    <w:pPr>
      <w:numPr>
        <w:ilvl w:val="4"/>
        <w:numId w:val="3"/>
      </w:numPr>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rsid w:val="006B2376"/>
    <w:pPr>
      <w:numPr>
        <w:ilvl w:val="5"/>
      </w:numPr>
    </w:pPr>
  </w:style>
  <w:style w:type="paragraph" w:customStyle="1" w:styleId="NumberLevel7">
    <w:name w:val="Number Level 7"/>
    <w:basedOn w:val="NumberLevel6"/>
    <w:uiPriority w:val="1"/>
    <w:rsid w:val="006B2376"/>
    <w:pPr>
      <w:numPr>
        <w:ilvl w:val="6"/>
      </w:numPr>
    </w:pPr>
  </w:style>
  <w:style w:type="paragraph" w:customStyle="1" w:styleId="NumberLevel8">
    <w:name w:val="Number Level 8"/>
    <w:basedOn w:val="NumberLevel7"/>
    <w:uiPriority w:val="1"/>
    <w:rsid w:val="006B2376"/>
    <w:pPr>
      <w:numPr>
        <w:ilvl w:val="7"/>
      </w:numPr>
    </w:pPr>
  </w:style>
  <w:style w:type="paragraph" w:customStyle="1" w:styleId="NumberLevel9">
    <w:name w:val="Number Level 9"/>
    <w:basedOn w:val="NumberLevel8"/>
    <w:uiPriority w:val="1"/>
    <w:rsid w:val="006B2376"/>
    <w:pPr>
      <w:numPr>
        <w:ilvl w:val="8"/>
      </w:numPr>
    </w:pPr>
  </w:style>
  <w:style w:type="character" w:customStyle="1" w:styleId="NumberLevel1Char">
    <w:name w:val="Number Level 1 Char"/>
    <w:basedOn w:val="DefaultParagraphFont"/>
    <w:link w:val="NumberLevel1"/>
    <w:uiPriority w:val="1"/>
    <w:locked/>
    <w:rsid w:val="006B2376"/>
    <w:rPr>
      <w:rFonts w:ascii="Arial" w:eastAsia="Times New Roman" w:hAnsi="Arial" w:cs="Arial"/>
      <w:lang w:eastAsia="en-AU"/>
    </w:rPr>
  </w:style>
  <w:style w:type="paragraph" w:styleId="Header">
    <w:name w:val="header"/>
    <w:basedOn w:val="Normal"/>
    <w:link w:val="HeaderChar"/>
    <w:uiPriority w:val="99"/>
    <w:unhideWhenUsed/>
    <w:rsid w:val="00190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98D"/>
  </w:style>
  <w:style w:type="paragraph" w:styleId="Footer">
    <w:name w:val="footer"/>
    <w:basedOn w:val="Normal"/>
    <w:link w:val="FooterChar"/>
    <w:uiPriority w:val="99"/>
    <w:unhideWhenUsed/>
    <w:rsid w:val="00190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604">
      <w:bodyDiv w:val="1"/>
      <w:marLeft w:val="0"/>
      <w:marRight w:val="0"/>
      <w:marTop w:val="0"/>
      <w:marBottom w:val="0"/>
      <w:divBdr>
        <w:top w:val="none" w:sz="0" w:space="0" w:color="auto"/>
        <w:left w:val="none" w:sz="0" w:space="0" w:color="auto"/>
        <w:bottom w:val="none" w:sz="0" w:space="0" w:color="auto"/>
        <w:right w:val="none" w:sz="0" w:space="0" w:color="auto"/>
      </w:divBdr>
      <w:divsChild>
        <w:div w:id="358626578">
          <w:marLeft w:val="0"/>
          <w:marRight w:val="0"/>
          <w:marTop w:val="0"/>
          <w:marBottom w:val="0"/>
          <w:divBdr>
            <w:top w:val="none" w:sz="0" w:space="0" w:color="auto"/>
            <w:left w:val="none" w:sz="0" w:space="0" w:color="auto"/>
            <w:bottom w:val="none" w:sz="0" w:space="0" w:color="auto"/>
            <w:right w:val="none" w:sz="0" w:space="0" w:color="auto"/>
          </w:divBdr>
          <w:divsChild>
            <w:div w:id="1013459578">
              <w:marLeft w:val="0"/>
              <w:marRight w:val="0"/>
              <w:marTop w:val="0"/>
              <w:marBottom w:val="0"/>
              <w:divBdr>
                <w:top w:val="none" w:sz="0" w:space="0" w:color="auto"/>
                <w:left w:val="none" w:sz="0" w:space="0" w:color="auto"/>
                <w:bottom w:val="none" w:sz="0" w:space="0" w:color="auto"/>
                <w:right w:val="none" w:sz="0" w:space="0" w:color="auto"/>
              </w:divBdr>
              <w:divsChild>
                <w:div w:id="230163738">
                  <w:marLeft w:val="0"/>
                  <w:marRight w:val="0"/>
                  <w:marTop w:val="0"/>
                  <w:marBottom w:val="0"/>
                  <w:divBdr>
                    <w:top w:val="none" w:sz="0" w:space="0" w:color="auto"/>
                    <w:left w:val="none" w:sz="0" w:space="0" w:color="auto"/>
                    <w:bottom w:val="none" w:sz="0" w:space="0" w:color="auto"/>
                    <w:right w:val="none" w:sz="0" w:space="0" w:color="auto"/>
                  </w:divBdr>
                  <w:divsChild>
                    <w:div w:id="1103108168">
                      <w:marLeft w:val="0"/>
                      <w:marRight w:val="0"/>
                      <w:marTop w:val="0"/>
                      <w:marBottom w:val="0"/>
                      <w:divBdr>
                        <w:top w:val="none" w:sz="0" w:space="0" w:color="auto"/>
                        <w:left w:val="none" w:sz="0" w:space="0" w:color="auto"/>
                        <w:bottom w:val="none" w:sz="0" w:space="0" w:color="auto"/>
                        <w:right w:val="none" w:sz="0" w:space="0" w:color="auto"/>
                      </w:divBdr>
                      <w:divsChild>
                        <w:div w:id="1250966947">
                          <w:marLeft w:val="0"/>
                          <w:marRight w:val="0"/>
                          <w:marTop w:val="0"/>
                          <w:marBottom w:val="0"/>
                          <w:divBdr>
                            <w:top w:val="single" w:sz="6" w:space="0" w:color="828282"/>
                            <w:left w:val="single" w:sz="6" w:space="0" w:color="828282"/>
                            <w:bottom w:val="single" w:sz="6" w:space="0" w:color="828282"/>
                            <w:right w:val="single" w:sz="6" w:space="0" w:color="828282"/>
                          </w:divBdr>
                          <w:divsChild>
                            <w:div w:id="58863838">
                              <w:marLeft w:val="0"/>
                              <w:marRight w:val="0"/>
                              <w:marTop w:val="0"/>
                              <w:marBottom w:val="0"/>
                              <w:divBdr>
                                <w:top w:val="none" w:sz="0" w:space="0" w:color="auto"/>
                                <w:left w:val="none" w:sz="0" w:space="0" w:color="auto"/>
                                <w:bottom w:val="none" w:sz="0" w:space="0" w:color="auto"/>
                                <w:right w:val="none" w:sz="0" w:space="0" w:color="auto"/>
                              </w:divBdr>
                              <w:divsChild>
                                <w:div w:id="1636443969">
                                  <w:marLeft w:val="0"/>
                                  <w:marRight w:val="0"/>
                                  <w:marTop w:val="0"/>
                                  <w:marBottom w:val="0"/>
                                  <w:divBdr>
                                    <w:top w:val="none" w:sz="0" w:space="0" w:color="auto"/>
                                    <w:left w:val="none" w:sz="0" w:space="0" w:color="auto"/>
                                    <w:bottom w:val="none" w:sz="0" w:space="0" w:color="auto"/>
                                    <w:right w:val="none" w:sz="0" w:space="0" w:color="auto"/>
                                  </w:divBdr>
                                  <w:divsChild>
                                    <w:div w:id="1122848950">
                                      <w:marLeft w:val="0"/>
                                      <w:marRight w:val="0"/>
                                      <w:marTop w:val="0"/>
                                      <w:marBottom w:val="0"/>
                                      <w:divBdr>
                                        <w:top w:val="none" w:sz="0" w:space="0" w:color="auto"/>
                                        <w:left w:val="none" w:sz="0" w:space="0" w:color="auto"/>
                                        <w:bottom w:val="none" w:sz="0" w:space="0" w:color="auto"/>
                                        <w:right w:val="none" w:sz="0" w:space="0" w:color="auto"/>
                                      </w:divBdr>
                                      <w:divsChild>
                                        <w:div w:id="750928429">
                                          <w:marLeft w:val="0"/>
                                          <w:marRight w:val="0"/>
                                          <w:marTop w:val="0"/>
                                          <w:marBottom w:val="0"/>
                                          <w:divBdr>
                                            <w:top w:val="none" w:sz="0" w:space="0" w:color="auto"/>
                                            <w:left w:val="none" w:sz="0" w:space="0" w:color="auto"/>
                                            <w:bottom w:val="none" w:sz="0" w:space="0" w:color="auto"/>
                                            <w:right w:val="none" w:sz="0" w:space="0" w:color="auto"/>
                                          </w:divBdr>
                                          <w:divsChild>
                                            <w:div w:id="2113813563">
                                              <w:marLeft w:val="0"/>
                                              <w:marRight w:val="0"/>
                                              <w:marTop w:val="0"/>
                                              <w:marBottom w:val="0"/>
                                              <w:divBdr>
                                                <w:top w:val="none" w:sz="0" w:space="0" w:color="auto"/>
                                                <w:left w:val="none" w:sz="0" w:space="0" w:color="auto"/>
                                                <w:bottom w:val="none" w:sz="0" w:space="0" w:color="auto"/>
                                                <w:right w:val="none" w:sz="0" w:space="0" w:color="auto"/>
                                              </w:divBdr>
                                              <w:divsChild>
                                                <w:div w:id="1289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10760">
      <w:bodyDiv w:val="1"/>
      <w:marLeft w:val="0"/>
      <w:marRight w:val="0"/>
      <w:marTop w:val="0"/>
      <w:marBottom w:val="0"/>
      <w:divBdr>
        <w:top w:val="none" w:sz="0" w:space="0" w:color="auto"/>
        <w:left w:val="none" w:sz="0" w:space="0" w:color="auto"/>
        <w:bottom w:val="none" w:sz="0" w:space="0" w:color="auto"/>
        <w:right w:val="none" w:sz="0" w:space="0" w:color="auto"/>
      </w:divBdr>
      <w:divsChild>
        <w:div w:id="685182197">
          <w:marLeft w:val="0"/>
          <w:marRight w:val="0"/>
          <w:marTop w:val="0"/>
          <w:marBottom w:val="0"/>
          <w:divBdr>
            <w:top w:val="none" w:sz="0" w:space="0" w:color="auto"/>
            <w:left w:val="none" w:sz="0" w:space="0" w:color="auto"/>
            <w:bottom w:val="none" w:sz="0" w:space="0" w:color="auto"/>
            <w:right w:val="none" w:sz="0" w:space="0" w:color="auto"/>
          </w:divBdr>
          <w:divsChild>
            <w:div w:id="643389577">
              <w:marLeft w:val="0"/>
              <w:marRight w:val="0"/>
              <w:marTop w:val="0"/>
              <w:marBottom w:val="0"/>
              <w:divBdr>
                <w:top w:val="none" w:sz="0" w:space="0" w:color="auto"/>
                <w:left w:val="none" w:sz="0" w:space="0" w:color="auto"/>
                <w:bottom w:val="none" w:sz="0" w:space="0" w:color="auto"/>
                <w:right w:val="none" w:sz="0" w:space="0" w:color="auto"/>
              </w:divBdr>
              <w:divsChild>
                <w:div w:id="132260981">
                  <w:marLeft w:val="0"/>
                  <w:marRight w:val="0"/>
                  <w:marTop w:val="0"/>
                  <w:marBottom w:val="0"/>
                  <w:divBdr>
                    <w:top w:val="none" w:sz="0" w:space="0" w:color="auto"/>
                    <w:left w:val="none" w:sz="0" w:space="0" w:color="auto"/>
                    <w:bottom w:val="none" w:sz="0" w:space="0" w:color="auto"/>
                    <w:right w:val="none" w:sz="0" w:space="0" w:color="auto"/>
                  </w:divBdr>
                  <w:divsChild>
                    <w:div w:id="616645410">
                      <w:marLeft w:val="0"/>
                      <w:marRight w:val="0"/>
                      <w:marTop w:val="0"/>
                      <w:marBottom w:val="0"/>
                      <w:divBdr>
                        <w:top w:val="none" w:sz="0" w:space="0" w:color="auto"/>
                        <w:left w:val="none" w:sz="0" w:space="0" w:color="auto"/>
                        <w:bottom w:val="none" w:sz="0" w:space="0" w:color="auto"/>
                        <w:right w:val="none" w:sz="0" w:space="0" w:color="auto"/>
                      </w:divBdr>
                      <w:divsChild>
                        <w:div w:id="790980199">
                          <w:marLeft w:val="0"/>
                          <w:marRight w:val="0"/>
                          <w:marTop w:val="0"/>
                          <w:marBottom w:val="0"/>
                          <w:divBdr>
                            <w:top w:val="single" w:sz="6" w:space="0" w:color="828282"/>
                            <w:left w:val="single" w:sz="6" w:space="0" w:color="828282"/>
                            <w:bottom w:val="single" w:sz="6" w:space="0" w:color="828282"/>
                            <w:right w:val="single" w:sz="6" w:space="0" w:color="828282"/>
                          </w:divBdr>
                          <w:divsChild>
                            <w:div w:id="815143565">
                              <w:marLeft w:val="0"/>
                              <w:marRight w:val="0"/>
                              <w:marTop w:val="0"/>
                              <w:marBottom w:val="0"/>
                              <w:divBdr>
                                <w:top w:val="none" w:sz="0" w:space="0" w:color="auto"/>
                                <w:left w:val="none" w:sz="0" w:space="0" w:color="auto"/>
                                <w:bottom w:val="none" w:sz="0" w:space="0" w:color="auto"/>
                                <w:right w:val="none" w:sz="0" w:space="0" w:color="auto"/>
                              </w:divBdr>
                              <w:divsChild>
                                <w:div w:id="1706784641">
                                  <w:marLeft w:val="0"/>
                                  <w:marRight w:val="0"/>
                                  <w:marTop w:val="0"/>
                                  <w:marBottom w:val="0"/>
                                  <w:divBdr>
                                    <w:top w:val="none" w:sz="0" w:space="0" w:color="auto"/>
                                    <w:left w:val="none" w:sz="0" w:space="0" w:color="auto"/>
                                    <w:bottom w:val="none" w:sz="0" w:space="0" w:color="auto"/>
                                    <w:right w:val="none" w:sz="0" w:space="0" w:color="auto"/>
                                  </w:divBdr>
                                  <w:divsChild>
                                    <w:div w:id="1391538373">
                                      <w:marLeft w:val="0"/>
                                      <w:marRight w:val="0"/>
                                      <w:marTop w:val="0"/>
                                      <w:marBottom w:val="0"/>
                                      <w:divBdr>
                                        <w:top w:val="none" w:sz="0" w:space="0" w:color="auto"/>
                                        <w:left w:val="none" w:sz="0" w:space="0" w:color="auto"/>
                                        <w:bottom w:val="none" w:sz="0" w:space="0" w:color="auto"/>
                                        <w:right w:val="none" w:sz="0" w:space="0" w:color="auto"/>
                                      </w:divBdr>
                                      <w:divsChild>
                                        <w:div w:id="1316496939">
                                          <w:marLeft w:val="0"/>
                                          <w:marRight w:val="0"/>
                                          <w:marTop w:val="0"/>
                                          <w:marBottom w:val="0"/>
                                          <w:divBdr>
                                            <w:top w:val="none" w:sz="0" w:space="0" w:color="auto"/>
                                            <w:left w:val="none" w:sz="0" w:space="0" w:color="auto"/>
                                            <w:bottom w:val="none" w:sz="0" w:space="0" w:color="auto"/>
                                            <w:right w:val="none" w:sz="0" w:space="0" w:color="auto"/>
                                          </w:divBdr>
                                          <w:divsChild>
                                            <w:div w:id="715005546">
                                              <w:marLeft w:val="0"/>
                                              <w:marRight w:val="0"/>
                                              <w:marTop w:val="0"/>
                                              <w:marBottom w:val="0"/>
                                              <w:divBdr>
                                                <w:top w:val="none" w:sz="0" w:space="0" w:color="auto"/>
                                                <w:left w:val="none" w:sz="0" w:space="0" w:color="auto"/>
                                                <w:bottom w:val="none" w:sz="0" w:space="0" w:color="auto"/>
                                                <w:right w:val="none" w:sz="0" w:space="0" w:color="auto"/>
                                              </w:divBdr>
                                              <w:divsChild>
                                                <w:div w:id="955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643425">
      <w:bodyDiv w:val="1"/>
      <w:marLeft w:val="0"/>
      <w:marRight w:val="0"/>
      <w:marTop w:val="0"/>
      <w:marBottom w:val="0"/>
      <w:divBdr>
        <w:top w:val="none" w:sz="0" w:space="0" w:color="auto"/>
        <w:left w:val="none" w:sz="0" w:space="0" w:color="auto"/>
        <w:bottom w:val="none" w:sz="0" w:space="0" w:color="auto"/>
        <w:right w:val="none" w:sz="0" w:space="0" w:color="auto"/>
      </w:divBdr>
      <w:divsChild>
        <w:div w:id="1563517413">
          <w:marLeft w:val="0"/>
          <w:marRight w:val="0"/>
          <w:marTop w:val="0"/>
          <w:marBottom w:val="0"/>
          <w:divBdr>
            <w:top w:val="none" w:sz="0" w:space="0" w:color="auto"/>
            <w:left w:val="none" w:sz="0" w:space="0" w:color="auto"/>
            <w:bottom w:val="none" w:sz="0" w:space="0" w:color="auto"/>
            <w:right w:val="none" w:sz="0" w:space="0" w:color="auto"/>
          </w:divBdr>
          <w:divsChild>
            <w:div w:id="2095205624">
              <w:marLeft w:val="0"/>
              <w:marRight w:val="0"/>
              <w:marTop w:val="0"/>
              <w:marBottom w:val="0"/>
              <w:divBdr>
                <w:top w:val="none" w:sz="0" w:space="0" w:color="auto"/>
                <w:left w:val="none" w:sz="0" w:space="0" w:color="auto"/>
                <w:bottom w:val="none" w:sz="0" w:space="0" w:color="auto"/>
                <w:right w:val="none" w:sz="0" w:space="0" w:color="auto"/>
              </w:divBdr>
              <w:divsChild>
                <w:div w:id="1022585126">
                  <w:marLeft w:val="0"/>
                  <w:marRight w:val="0"/>
                  <w:marTop w:val="0"/>
                  <w:marBottom w:val="0"/>
                  <w:divBdr>
                    <w:top w:val="none" w:sz="0" w:space="0" w:color="auto"/>
                    <w:left w:val="none" w:sz="0" w:space="0" w:color="auto"/>
                    <w:bottom w:val="none" w:sz="0" w:space="0" w:color="auto"/>
                    <w:right w:val="none" w:sz="0" w:space="0" w:color="auto"/>
                  </w:divBdr>
                  <w:divsChild>
                    <w:div w:id="1917740104">
                      <w:marLeft w:val="0"/>
                      <w:marRight w:val="0"/>
                      <w:marTop w:val="0"/>
                      <w:marBottom w:val="0"/>
                      <w:divBdr>
                        <w:top w:val="none" w:sz="0" w:space="0" w:color="auto"/>
                        <w:left w:val="none" w:sz="0" w:space="0" w:color="auto"/>
                        <w:bottom w:val="none" w:sz="0" w:space="0" w:color="auto"/>
                        <w:right w:val="none" w:sz="0" w:space="0" w:color="auto"/>
                      </w:divBdr>
                      <w:divsChild>
                        <w:div w:id="1464275555">
                          <w:marLeft w:val="0"/>
                          <w:marRight w:val="0"/>
                          <w:marTop w:val="0"/>
                          <w:marBottom w:val="0"/>
                          <w:divBdr>
                            <w:top w:val="single" w:sz="6" w:space="0" w:color="828282"/>
                            <w:left w:val="single" w:sz="6" w:space="0" w:color="828282"/>
                            <w:bottom w:val="single" w:sz="6" w:space="0" w:color="828282"/>
                            <w:right w:val="single" w:sz="6" w:space="0" w:color="828282"/>
                          </w:divBdr>
                          <w:divsChild>
                            <w:div w:id="1179352532">
                              <w:marLeft w:val="0"/>
                              <w:marRight w:val="0"/>
                              <w:marTop w:val="0"/>
                              <w:marBottom w:val="0"/>
                              <w:divBdr>
                                <w:top w:val="none" w:sz="0" w:space="0" w:color="auto"/>
                                <w:left w:val="none" w:sz="0" w:space="0" w:color="auto"/>
                                <w:bottom w:val="none" w:sz="0" w:space="0" w:color="auto"/>
                                <w:right w:val="none" w:sz="0" w:space="0" w:color="auto"/>
                              </w:divBdr>
                              <w:divsChild>
                                <w:div w:id="1673753019">
                                  <w:marLeft w:val="0"/>
                                  <w:marRight w:val="0"/>
                                  <w:marTop w:val="0"/>
                                  <w:marBottom w:val="0"/>
                                  <w:divBdr>
                                    <w:top w:val="none" w:sz="0" w:space="0" w:color="auto"/>
                                    <w:left w:val="none" w:sz="0" w:space="0" w:color="auto"/>
                                    <w:bottom w:val="none" w:sz="0" w:space="0" w:color="auto"/>
                                    <w:right w:val="none" w:sz="0" w:space="0" w:color="auto"/>
                                  </w:divBdr>
                                  <w:divsChild>
                                    <w:div w:id="1812596700">
                                      <w:marLeft w:val="0"/>
                                      <w:marRight w:val="0"/>
                                      <w:marTop w:val="0"/>
                                      <w:marBottom w:val="0"/>
                                      <w:divBdr>
                                        <w:top w:val="none" w:sz="0" w:space="0" w:color="auto"/>
                                        <w:left w:val="none" w:sz="0" w:space="0" w:color="auto"/>
                                        <w:bottom w:val="none" w:sz="0" w:space="0" w:color="auto"/>
                                        <w:right w:val="none" w:sz="0" w:space="0" w:color="auto"/>
                                      </w:divBdr>
                                      <w:divsChild>
                                        <w:div w:id="310837584">
                                          <w:marLeft w:val="0"/>
                                          <w:marRight w:val="0"/>
                                          <w:marTop w:val="0"/>
                                          <w:marBottom w:val="0"/>
                                          <w:divBdr>
                                            <w:top w:val="none" w:sz="0" w:space="0" w:color="auto"/>
                                            <w:left w:val="none" w:sz="0" w:space="0" w:color="auto"/>
                                            <w:bottom w:val="none" w:sz="0" w:space="0" w:color="auto"/>
                                            <w:right w:val="none" w:sz="0" w:space="0" w:color="auto"/>
                                          </w:divBdr>
                                          <w:divsChild>
                                            <w:div w:id="1876431710">
                                              <w:marLeft w:val="0"/>
                                              <w:marRight w:val="0"/>
                                              <w:marTop w:val="0"/>
                                              <w:marBottom w:val="0"/>
                                              <w:divBdr>
                                                <w:top w:val="none" w:sz="0" w:space="0" w:color="auto"/>
                                                <w:left w:val="none" w:sz="0" w:space="0" w:color="auto"/>
                                                <w:bottom w:val="none" w:sz="0" w:space="0" w:color="auto"/>
                                                <w:right w:val="none" w:sz="0" w:space="0" w:color="auto"/>
                                              </w:divBdr>
                                              <w:divsChild>
                                                <w:div w:id="8285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084014">
      <w:bodyDiv w:val="1"/>
      <w:marLeft w:val="0"/>
      <w:marRight w:val="0"/>
      <w:marTop w:val="0"/>
      <w:marBottom w:val="0"/>
      <w:divBdr>
        <w:top w:val="none" w:sz="0" w:space="0" w:color="auto"/>
        <w:left w:val="none" w:sz="0" w:space="0" w:color="auto"/>
        <w:bottom w:val="none" w:sz="0" w:space="0" w:color="auto"/>
        <w:right w:val="none" w:sz="0" w:space="0" w:color="auto"/>
      </w:divBdr>
      <w:divsChild>
        <w:div w:id="1322730819">
          <w:marLeft w:val="0"/>
          <w:marRight w:val="0"/>
          <w:marTop w:val="0"/>
          <w:marBottom w:val="0"/>
          <w:divBdr>
            <w:top w:val="none" w:sz="0" w:space="0" w:color="auto"/>
            <w:left w:val="none" w:sz="0" w:space="0" w:color="auto"/>
            <w:bottom w:val="none" w:sz="0" w:space="0" w:color="auto"/>
            <w:right w:val="none" w:sz="0" w:space="0" w:color="auto"/>
          </w:divBdr>
          <w:divsChild>
            <w:div w:id="1977224502">
              <w:marLeft w:val="0"/>
              <w:marRight w:val="0"/>
              <w:marTop w:val="0"/>
              <w:marBottom w:val="0"/>
              <w:divBdr>
                <w:top w:val="none" w:sz="0" w:space="0" w:color="auto"/>
                <w:left w:val="none" w:sz="0" w:space="0" w:color="auto"/>
                <w:bottom w:val="none" w:sz="0" w:space="0" w:color="auto"/>
                <w:right w:val="none" w:sz="0" w:space="0" w:color="auto"/>
              </w:divBdr>
              <w:divsChild>
                <w:div w:id="1041782216">
                  <w:marLeft w:val="0"/>
                  <w:marRight w:val="0"/>
                  <w:marTop w:val="0"/>
                  <w:marBottom w:val="0"/>
                  <w:divBdr>
                    <w:top w:val="none" w:sz="0" w:space="0" w:color="auto"/>
                    <w:left w:val="none" w:sz="0" w:space="0" w:color="auto"/>
                    <w:bottom w:val="none" w:sz="0" w:space="0" w:color="auto"/>
                    <w:right w:val="none" w:sz="0" w:space="0" w:color="auto"/>
                  </w:divBdr>
                  <w:divsChild>
                    <w:div w:id="1653294543">
                      <w:marLeft w:val="0"/>
                      <w:marRight w:val="0"/>
                      <w:marTop w:val="0"/>
                      <w:marBottom w:val="0"/>
                      <w:divBdr>
                        <w:top w:val="none" w:sz="0" w:space="0" w:color="auto"/>
                        <w:left w:val="none" w:sz="0" w:space="0" w:color="auto"/>
                        <w:bottom w:val="none" w:sz="0" w:space="0" w:color="auto"/>
                        <w:right w:val="none" w:sz="0" w:space="0" w:color="auto"/>
                      </w:divBdr>
                      <w:divsChild>
                        <w:div w:id="461576163">
                          <w:marLeft w:val="0"/>
                          <w:marRight w:val="0"/>
                          <w:marTop w:val="0"/>
                          <w:marBottom w:val="0"/>
                          <w:divBdr>
                            <w:top w:val="single" w:sz="6" w:space="0" w:color="828282"/>
                            <w:left w:val="single" w:sz="6" w:space="0" w:color="828282"/>
                            <w:bottom w:val="single" w:sz="6" w:space="0" w:color="828282"/>
                            <w:right w:val="single" w:sz="6" w:space="0" w:color="828282"/>
                          </w:divBdr>
                          <w:divsChild>
                            <w:div w:id="1962414228">
                              <w:marLeft w:val="0"/>
                              <w:marRight w:val="0"/>
                              <w:marTop w:val="0"/>
                              <w:marBottom w:val="0"/>
                              <w:divBdr>
                                <w:top w:val="none" w:sz="0" w:space="0" w:color="auto"/>
                                <w:left w:val="none" w:sz="0" w:space="0" w:color="auto"/>
                                <w:bottom w:val="none" w:sz="0" w:space="0" w:color="auto"/>
                                <w:right w:val="none" w:sz="0" w:space="0" w:color="auto"/>
                              </w:divBdr>
                              <w:divsChild>
                                <w:div w:id="171726407">
                                  <w:marLeft w:val="0"/>
                                  <w:marRight w:val="0"/>
                                  <w:marTop w:val="0"/>
                                  <w:marBottom w:val="0"/>
                                  <w:divBdr>
                                    <w:top w:val="none" w:sz="0" w:space="0" w:color="auto"/>
                                    <w:left w:val="none" w:sz="0" w:space="0" w:color="auto"/>
                                    <w:bottom w:val="none" w:sz="0" w:space="0" w:color="auto"/>
                                    <w:right w:val="none" w:sz="0" w:space="0" w:color="auto"/>
                                  </w:divBdr>
                                  <w:divsChild>
                                    <w:div w:id="362287099">
                                      <w:marLeft w:val="0"/>
                                      <w:marRight w:val="0"/>
                                      <w:marTop w:val="0"/>
                                      <w:marBottom w:val="0"/>
                                      <w:divBdr>
                                        <w:top w:val="none" w:sz="0" w:space="0" w:color="auto"/>
                                        <w:left w:val="none" w:sz="0" w:space="0" w:color="auto"/>
                                        <w:bottom w:val="none" w:sz="0" w:space="0" w:color="auto"/>
                                        <w:right w:val="none" w:sz="0" w:space="0" w:color="auto"/>
                                      </w:divBdr>
                                      <w:divsChild>
                                        <w:div w:id="52969433">
                                          <w:marLeft w:val="0"/>
                                          <w:marRight w:val="0"/>
                                          <w:marTop w:val="0"/>
                                          <w:marBottom w:val="0"/>
                                          <w:divBdr>
                                            <w:top w:val="none" w:sz="0" w:space="0" w:color="auto"/>
                                            <w:left w:val="none" w:sz="0" w:space="0" w:color="auto"/>
                                            <w:bottom w:val="none" w:sz="0" w:space="0" w:color="auto"/>
                                            <w:right w:val="none" w:sz="0" w:space="0" w:color="auto"/>
                                          </w:divBdr>
                                          <w:divsChild>
                                            <w:div w:id="1095635806">
                                              <w:marLeft w:val="0"/>
                                              <w:marRight w:val="0"/>
                                              <w:marTop w:val="0"/>
                                              <w:marBottom w:val="0"/>
                                              <w:divBdr>
                                                <w:top w:val="none" w:sz="0" w:space="0" w:color="auto"/>
                                                <w:left w:val="none" w:sz="0" w:space="0" w:color="auto"/>
                                                <w:bottom w:val="none" w:sz="0" w:space="0" w:color="auto"/>
                                                <w:right w:val="none" w:sz="0" w:space="0" w:color="auto"/>
                                              </w:divBdr>
                                              <w:divsChild>
                                                <w:div w:id="4748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388534">
      <w:bodyDiv w:val="1"/>
      <w:marLeft w:val="0"/>
      <w:marRight w:val="0"/>
      <w:marTop w:val="0"/>
      <w:marBottom w:val="0"/>
      <w:divBdr>
        <w:top w:val="none" w:sz="0" w:space="0" w:color="auto"/>
        <w:left w:val="none" w:sz="0" w:space="0" w:color="auto"/>
        <w:bottom w:val="none" w:sz="0" w:space="0" w:color="auto"/>
        <w:right w:val="none" w:sz="0" w:space="0" w:color="auto"/>
      </w:divBdr>
      <w:divsChild>
        <w:div w:id="1005672723">
          <w:marLeft w:val="0"/>
          <w:marRight w:val="0"/>
          <w:marTop w:val="0"/>
          <w:marBottom w:val="0"/>
          <w:divBdr>
            <w:top w:val="none" w:sz="0" w:space="0" w:color="auto"/>
            <w:left w:val="none" w:sz="0" w:space="0" w:color="auto"/>
            <w:bottom w:val="none" w:sz="0" w:space="0" w:color="auto"/>
            <w:right w:val="none" w:sz="0" w:space="0" w:color="auto"/>
          </w:divBdr>
          <w:divsChild>
            <w:div w:id="1156919564">
              <w:marLeft w:val="0"/>
              <w:marRight w:val="0"/>
              <w:marTop w:val="0"/>
              <w:marBottom w:val="0"/>
              <w:divBdr>
                <w:top w:val="none" w:sz="0" w:space="0" w:color="auto"/>
                <w:left w:val="none" w:sz="0" w:space="0" w:color="auto"/>
                <w:bottom w:val="none" w:sz="0" w:space="0" w:color="auto"/>
                <w:right w:val="none" w:sz="0" w:space="0" w:color="auto"/>
              </w:divBdr>
              <w:divsChild>
                <w:div w:id="42533496">
                  <w:marLeft w:val="0"/>
                  <w:marRight w:val="0"/>
                  <w:marTop w:val="0"/>
                  <w:marBottom w:val="0"/>
                  <w:divBdr>
                    <w:top w:val="none" w:sz="0" w:space="0" w:color="auto"/>
                    <w:left w:val="none" w:sz="0" w:space="0" w:color="auto"/>
                    <w:bottom w:val="none" w:sz="0" w:space="0" w:color="auto"/>
                    <w:right w:val="none" w:sz="0" w:space="0" w:color="auto"/>
                  </w:divBdr>
                  <w:divsChild>
                    <w:div w:id="1376849471">
                      <w:marLeft w:val="0"/>
                      <w:marRight w:val="0"/>
                      <w:marTop w:val="0"/>
                      <w:marBottom w:val="0"/>
                      <w:divBdr>
                        <w:top w:val="none" w:sz="0" w:space="0" w:color="auto"/>
                        <w:left w:val="none" w:sz="0" w:space="0" w:color="auto"/>
                        <w:bottom w:val="none" w:sz="0" w:space="0" w:color="auto"/>
                        <w:right w:val="none" w:sz="0" w:space="0" w:color="auto"/>
                      </w:divBdr>
                      <w:divsChild>
                        <w:div w:id="1016661201">
                          <w:marLeft w:val="0"/>
                          <w:marRight w:val="0"/>
                          <w:marTop w:val="0"/>
                          <w:marBottom w:val="0"/>
                          <w:divBdr>
                            <w:top w:val="single" w:sz="6" w:space="0" w:color="828282"/>
                            <w:left w:val="single" w:sz="6" w:space="0" w:color="828282"/>
                            <w:bottom w:val="single" w:sz="6" w:space="0" w:color="828282"/>
                            <w:right w:val="single" w:sz="6" w:space="0" w:color="828282"/>
                          </w:divBdr>
                          <w:divsChild>
                            <w:div w:id="2050569138">
                              <w:marLeft w:val="0"/>
                              <w:marRight w:val="0"/>
                              <w:marTop w:val="0"/>
                              <w:marBottom w:val="0"/>
                              <w:divBdr>
                                <w:top w:val="none" w:sz="0" w:space="0" w:color="auto"/>
                                <w:left w:val="none" w:sz="0" w:space="0" w:color="auto"/>
                                <w:bottom w:val="none" w:sz="0" w:space="0" w:color="auto"/>
                                <w:right w:val="none" w:sz="0" w:space="0" w:color="auto"/>
                              </w:divBdr>
                              <w:divsChild>
                                <w:div w:id="1469274982">
                                  <w:marLeft w:val="0"/>
                                  <w:marRight w:val="0"/>
                                  <w:marTop w:val="0"/>
                                  <w:marBottom w:val="0"/>
                                  <w:divBdr>
                                    <w:top w:val="none" w:sz="0" w:space="0" w:color="auto"/>
                                    <w:left w:val="none" w:sz="0" w:space="0" w:color="auto"/>
                                    <w:bottom w:val="none" w:sz="0" w:space="0" w:color="auto"/>
                                    <w:right w:val="none" w:sz="0" w:space="0" w:color="auto"/>
                                  </w:divBdr>
                                  <w:divsChild>
                                    <w:div w:id="187180147">
                                      <w:marLeft w:val="0"/>
                                      <w:marRight w:val="0"/>
                                      <w:marTop w:val="0"/>
                                      <w:marBottom w:val="0"/>
                                      <w:divBdr>
                                        <w:top w:val="none" w:sz="0" w:space="0" w:color="auto"/>
                                        <w:left w:val="none" w:sz="0" w:space="0" w:color="auto"/>
                                        <w:bottom w:val="none" w:sz="0" w:space="0" w:color="auto"/>
                                        <w:right w:val="none" w:sz="0" w:space="0" w:color="auto"/>
                                      </w:divBdr>
                                      <w:divsChild>
                                        <w:div w:id="1932544145">
                                          <w:marLeft w:val="0"/>
                                          <w:marRight w:val="0"/>
                                          <w:marTop w:val="0"/>
                                          <w:marBottom w:val="0"/>
                                          <w:divBdr>
                                            <w:top w:val="none" w:sz="0" w:space="0" w:color="auto"/>
                                            <w:left w:val="none" w:sz="0" w:space="0" w:color="auto"/>
                                            <w:bottom w:val="none" w:sz="0" w:space="0" w:color="auto"/>
                                            <w:right w:val="none" w:sz="0" w:space="0" w:color="auto"/>
                                          </w:divBdr>
                                          <w:divsChild>
                                            <w:div w:id="1676881432">
                                              <w:marLeft w:val="0"/>
                                              <w:marRight w:val="0"/>
                                              <w:marTop w:val="0"/>
                                              <w:marBottom w:val="0"/>
                                              <w:divBdr>
                                                <w:top w:val="none" w:sz="0" w:space="0" w:color="auto"/>
                                                <w:left w:val="none" w:sz="0" w:space="0" w:color="auto"/>
                                                <w:bottom w:val="none" w:sz="0" w:space="0" w:color="auto"/>
                                                <w:right w:val="none" w:sz="0" w:space="0" w:color="auto"/>
                                              </w:divBdr>
                                              <w:divsChild>
                                                <w:div w:id="2028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887C-D53A-4BB5-AA52-212CB325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 Jacqui</dc:creator>
  <cp:lastModifiedBy>Gibson, Vikki</cp:lastModifiedBy>
  <cp:revision>4</cp:revision>
  <cp:lastPrinted>2014-08-21T23:05:00Z</cp:lastPrinted>
  <dcterms:created xsi:type="dcterms:W3CDTF">2014-12-09T01:46:00Z</dcterms:created>
  <dcterms:modified xsi:type="dcterms:W3CDTF">2014-12-12T04:14:00Z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Objective-Id">
    <vt:lpwstr>A379360</vt:lpwstr>
  </property>
  <property fmtid="{D5CDD505-2E9C-101B-9397-08002B2CF9AE}" pid="7" name="Objective-Title">
    <vt:lpwstr>EM - financial assurance Sept 2014 NOPSEMA comments 2 September 2014</vt:lpwstr>
  </property>
  <property fmtid="{D5CDD505-2E9C-101B-9397-08002B2CF9AE}" pid="8" name="Objective-Comment">
    <vt:lpwstr/>
  </property>
  <property fmtid="{D5CDD505-2E9C-101B-9397-08002B2CF9AE}" pid="9" name="Objective-CreationStamp">
    <vt:filetime>2014-09-02T03:24:42Z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2014-09-02T03:24:42Z</vt:filetime>
  </property>
  <property fmtid="{D5CDD505-2E9C-101B-9397-08002B2CF9AE}" pid="13" name="Objective-ModificationStamp">
    <vt:filetime>2014-09-02T03:24:43Z</vt:filetime>
  </property>
  <property fmtid="{D5CDD505-2E9C-101B-9397-08002B2CF9AE}" pid="14" name="Objective-Owner">
    <vt:lpwstr>Martin Squire</vt:lpwstr>
  </property>
  <property fmtid="{D5CDD505-2E9C-101B-9397-08002B2CF9AE}" pid="15" name="Objective-Path">
    <vt:lpwstr>Objective Global Folder:File Plan:Interagency Co-ordination and Relations:Legislation:Development of Legislative Changes:Financial Assurance Regulations Legislation Development:</vt:lpwstr>
  </property>
  <property fmtid="{D5CDD505-2E9C-101B-9397-08002B2CF9AE}" pid="16" name="Objective-Parent">
    <vt:lpwstr>Financial Assurance Regulations Legislation Development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
  </property>
  <property fmtid="{D5CDD505-2E9C-101B-9397-08002B2CF9AE}" pid="22" name="Objective-Classification">
    <vt:lpwstr>[Inherited - DLM-ONLY]</vt:lpwstr>
  </property>
  <property fmtid="{D5CDD505-2E9C-101B-9397-08002B2CF9AE}" pid="23" name="Objective-Caveats">
    <vt:lpwstr/>
  </property>
  <property fmtid="{D5CDD505-2E9C-101B-9397-08002B2CF9AE}" pid="24" name="Objective-DLM [system]">
    <vt:lpwstr>For Official Use Only</vt:lpwstr>
  </property>
  <property fmtid="{D5CDD505-2E9C-101B-9397-08002B2CF9AE}" pid="25" name="Objective-Internal Author [system]">
    <vt:lpwstr>Martin Squire</vt:lpwstr>
  </property>
  <property fmtid="{D5CDD505-2E9C-101B-9397-08002B2CF9AE}" pid="26" name="Objective-Date of Document [system]">
    <vt:lpwstr/>
  </property>
  <property fmtid="{D5CDD505-2E9C-101B-9397-08002B2CF9AE}" pid="27" name="Objective-Duty Holders and Organisations [system]">
    <vt:lpwstr/>
  </property>
  <property fmtid="{D5CDD505-2E9C-101B-9397-08002B2CF9AE}" pid="28" name="Objective-Facility [system]">
    <vt:lpwstr/>
  </property>
  <property fmtid="{D5CDD505-2E9C-101B-9397-08002B2CF9AE}" pid="29" name="Objective-RMS ID [system]">
    <vt:lpwstr/>
  </property>
  <property fmtid="{D5CDD505-2E9C-101B-9397-08002B2CF9AE}" pid="30" name="Objective-Organisation [system]">
    <vt:lpwstr/>
  </property>
</Properties>
</file>