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sidR="0026643B">
        <w:rPr>
          <w:b/>
          <w:color w:val="000000"/>
          <w:sz w:val="28"/>
        </w:rPr>
        <w:t xml:space="preserve"> </w:t>
      </w:r>
      <w:r>
        <w:rPr>
          <w:b/>
          <w:color w:val="000000"/>
          <w:spacing w:val="-1"/>
          <w:sz w:val="28"/>
        </w:rPr>
        <w:t xml:space="preserve">STATEMENT for </w:t>
      </w:r>
      <w:r>
        <w:rPr>
          <w:b/>
          <w:color w:val="000000"/>
          <w:spacing w:val="-1"/>
          <w:sz w:val="28"/>
        </w:rPr>
        <w:br/>
      </w:r>
      <w:r w:rsidR="00211524">
        <w:rPr>
          <w:b/>
          <w:color w:val="000000"/>
          <w:spacing w:val="-1"/>
          <w:sz w:val="28"/>
        </w:rPr>
        <w:t xml:space="preserve">ASIC CLASS ORDER </w:t>
      </w:r>
      <w:r w:rsidR="00D84C27">
        <w:rPr>
          <w:b/>
          <w:color w:val="000000"/>
          <w:spacing w:val="-1"/>
          <w:sz w:val="28"/>
        </w:rPr>
        <w:t>[</w:t>
      </w:r>
      <w:r w:rsidR="00211524">
        <w:rPr>
          <w:b/>
          <w:color w:val="000000"/>
          <w:spacing w:val="-1"/>
          <w:sz w:val="28"/>
        </w:rPr>
        <w:t>CO 14/</w:t>
      </w:r>
      <w:r w:rsidR="00415563">
        <w:rPr>
          <w:b/>
          <w:color w:val="000000"/>
          <w:spacing w:val="-1"/>
          <w:sz w:val="28"/>
        </w:rPr>
        <w:t>1276</w:t>
      </w:r>
      <w:r w:rsidR="00D84C27">
        <w:rPr>
          <w:b/>
          <w:color w:val="000000"/>
          <w:spacing w:val="-1"/>
          <w:sz w:val="28"/>
        </w:rPr>
        <w:t>]</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AF62B4" w:rsidRDefault="005B0E3A" w:rsidP="00AF62B4">
      <w:pPr>
        <w:pStyle w:val="BodyText"/>
        <w:spacing w:line="261" w:lineRule="auto"/>
        <w:rPr>
          <w:color w:val="000000"/>
          <w:spacing w:val="-1"/>
        </w:rPr>
      </w:pPr>
      <w:r>
        <w:t xml:space="preserve">The Australian Securities and </w:t>
      </w:r>
      <w:r>
        <w:rPr>
          <w:spacing w:val="-1"/>
        </w:rPr>
        <w:t>Investments</w:t>
      </w:r>
      <w:r w:rsidR="00D9138C">
        <w:rPr>
          <w:spacing w:val="-1"/>
        </w:rPr>
        <w:t xml:space="preserve"> </w:t>
      </w:r>
      <w:r>
        <w:rPr>
          <w:spacing w:val="-1"/>
        </w:rPr>
        <w:t>Commission</w:t>
      </w:r>
      <w:r>
        <w:t xml:space="preserve"> (</w:t>
      </w:r>
      <w:r w:rsidRPr="00D84C27">
        <w:rPr>
          <w:b/>
          <w:i/>
        </w:rPr>
        <w:t>ASIC</w:t>
      </w:r>
      <w:r>
        <w:t xml:space="preserve">) </w:t>
      </w:r>
      <w:r>
        <w:rPr>
          <w:spacing w:val="-1"/>
        </w:rPr>
        <w:t>makes</w:t>
      </w:r>
      <w:r w:rsidR="00D84C27">
        <w:rPr>
          <w:spacing w:val="-1"/>
        </w:rPr>
        <w:t xml:space="preserve"> ASIC Class Order [CO</w:t>
      </w:r>
      <w:r w:rsidR="00DB6FA3">
        <w:rPr>
          <w:spacing w:val="-1"/>
        </w:rPr>
        <w:t> </w:t>
      </w:r>
      <w:r w:rsidR="00D84C27">
        <w:rPr>
          <w:spacing w:val="-1"/>
        </w:rPr>
        <w:t>14/</w:t>
      </w:r>
      <w:r w:rsidR="00415563" w:rsidRPr="00415563">
        <w:rPr>
          <w:spacing w:val="-1"/>
        </w:rPr>
        <w:t>1276</w:t>
      </w:r>
      <w:r w:rsidR="00D84C27">
        <w:rPr>
          <w:spacing w:val="-1"/>
        </w:rPr>
        <w:t>]</w:t>
      </w:r>
      <w:r w:rsidR="00D9138C">
        <w:rPr>
          <w:spacing w:val="-1"/>
        </w:rPr>
        <w:t xml:space="preserve"> </w:t>
      </w:r>
      <w:r>
        <w:rPr>
          <w:color w:val="000000"/>
          <w:spacing w:val="-1"/>
        </w:rPr>
        <w:t>under</w:t>
      </w:r>
      <w:r w:rsidR="00D84C27">
        <w:rPr>
          <w:color w:val="000000"/>
          <w:spacing w:val="-1"/>
        </w:rPr>
        <w:t xml:space="preserve"> subsections 283GA(1) and 741(1) of the </w:t>
      </w:r>
      <w:r w:rsidR="00D84C27" w:rsidRPr="00D84C27">
        <w:rPr>
          <w:i/>
          <w:color w:val="000000"/>
          <w:spacing w:val="-1"/>
        </w:rPr>
        <w:t>Corporations Act 2001</w:t>
      </w:r>
      <w:r w:rsidR="00D84C27">
        <w:rPr>
          <w:color w:val="000000"/>
          <w:spacing w:val="-1"/>
        </w:rPr>
        <w:t xml:space="preserve"> (the </w:t>
      </w:r>
      <w:r w:rsidR="00D84C27" w:rsidRPr="00D84C27">
        <w:rPr>
          <w:b/>
          <w:i/>
          <w:color w:val="000000"/>
          <w:spacing w:val="-1"/>
        </w:rPr>
        <w:t>Act</w:t>
      </w:r>
      <w:r w:rsidR="00D84C27">
        <w:rPr>
          <w:color w:val="000000"/>
          <w:spacing w:val="-1"/>
        </w:rPr>
        <w:t>)</w:t>
      </w:r>
      <w:r>
        <w:rPr>
          <w:color w:val="000000"/>
          <w:spacing w:val="-1"/>
        </w:rPr>
        <w:t xml:space="preserve">. </w:t>
      </w:r>
    </w:p>
    <w:p w:rsidR="00AF62B4" w:rsidRDefault="00DB6FA3" w:rsidP="00AF62B4">
      <w:pPr>
        <w:pStyle w:val="BodyText"/>
        <w:spacing w:line="261" w:lineRule="auto"/>
        <w:rPr>
          <w:szCs w:val="24"/>
          <w:lang w:val="en-US"/>
        </w:rPr>
      </w:pPr>
      <w:r>
        <w:rPr>
          <w:szCs w:val="24"/>
          <w:lang w:val="en-US"/>
        </w:rPr>
        <w:t>Chapter 2L of the Act imposes requirements in relation to trust deeds and quarterly reporting in relation to an offer of debentures</w:t>
      </w:r>
      <w:r w:rsidR="00485DB9">
        <w:rPr>
          <w:szCs w:val="24"/>
          <w:lang w:val="en-US"/>
        </w:rPr>
        <w:t xml:space="preserve"> (also known as bonds)</w:t>
      </w:r>
      <w:r>
        <w:rPr>
          <w:szCs w:val="24"/>
          <w:lang w:val="en-US"/>
        </w:rPr>
        <w:t xml:space="preserve">. </w:t>
      </w:r>
      <w:r w:rsidR="00D84C27" w:rsidRPr="00D84C27">
        <w:rPr>
          <w:szCs w:val="24"/>
          <w:lang w:val="en-US"/>
        </w:rPr>
        <w:t>Subsection 283GA(1) of the Act provides that ASIC may exempt a person from a provision of Chapter 2L of the Act or declare that Chapter 2L applies to a person as if specified provisions were omitted, modified or varied as specified in the declaration.</w:t>
      </w:r>
    </w:p>
    <w:p w:rsidR="00AF62B4" w:rsidRDefault="00DB6FA3" w:rsidP="00AF62B4">
      <w:pPr>
        <w:pStyle w:val="BodyText"/>
        <w:spacing w:line="261" w:lineRule="auto"/>
        <w:rPr>
          <w:rFonts w:eastAsiaTheme="minorEastAsia"/>
          <w:szCs w:val="24"/>
          <w:lang w:val="en-US"/>
        </w:rPr>
      </w:pPr>
      <w:r>
        <w:rPr>
          <w:rFonts w:eastAsiaTheme="minorEastAsia"/>
          <w:szCs w:val="24"/>
          <w:lang w:val="en-US"/>
        </w:rPr>
        <w:t xml:space="preserve">Chapter 6D regulates offers of securities such as debentures (also known as bonds). </w:t>
      </w:r>
      <w:r w:rsidR="00D84C27">
        <w:rPr>
          <w:rFonts w:eastAsiaTheme="minorEastAsia"/>
          <w:szCs w:val="24"/>
          <w:lang w:val="en-US"/>
        </w:rPr>
        <w:t xml:space="preserve">Subsection 741(1) of the Act provides that ASIC may exempt a person from a provision of Chapter 6D of the Act or declare that the Chapter applies to a person as if specified provisions </w:t>
      </w:r>
      <w:proofErr w:type="gramStart"/>
      <w:r w:rsidR="00D84C27">
        <w:rPr>
          <w:rFonts w:eastAsiaTheme="minorEastAsia"/>
          <w:szCs w:val="24"/>
          <w:lang w:val="en-US"/>
        </w:rPr>
        <w:t>were</w:t>
      </w:r>
      <w:proofErr w:type="gramEnd"/>
      <w:r w:rsidR="00D84C27">
        <w:rPr>
          <w:rFonts w:eastAsiaTheme="minorEastAsia"/>
          <w:szCs w:val="24"/>
          <w:lang w:val="en-US"/>
        </w:rPr>
        <w:t xml:space="preserve"> omitted, modified or varied as specified in the declaration.</w:t>
      </w:r>
    </w:p>
    <w:p w:rsidR="00D84C27" w:rsidRDefault="00D84C27" w:rsidP="00AF62B4">
      <w:pPr>
        <w:pStyle w:val="BodyText"/>
        <w:spacing w:line="261" w:lineRule="auto"/>
        <w:rPr>
          <w:rFonts w:eastAsiaTheme="minorEastAsia"/>
          <w:szCs w:val="24"/>
          <w:lang w:val="en-US"/>
        </w:rPr>
      </w:pPr>
      <w:r>
        <w:rPr>
          <w:rFonts w:eastAsiaTheme="minorEastAsia"/>
          <w:szCs w:val="24"/>
          <w:lang w:val="en-US"/>
        </w:rPr>
        <w:t>Class Order [CO 14/</w:t>
      </w:r>
      <w:r w:rsidR="00415563" w:rsidRPr="00415563">
        <w:rPr>
          <w:rFonts w:eastAsiaTheme="minorEastAsia"/>
          <w:szCs w:val="24"/>
          <w:lang w:val="en-US"/>
        </w:rPr>
        <w:t>1276</w:t>
      </w:r>
      <w:r>
        <w:rPr>
          <w:rFonts w:eastAsiaTheme="minorEastAsia"/>
          <w:szCs w:val="24"/>
          <w:lang w:val="en-US"/>
        </w:rPr>
        <w:t xml:space="preserve">] </w:t>
      </w:r>
      <w:r w:rsidR="001A3BEC">
        <w:rPr>
          <w:rFonts w:eastAsiaTheme="minorEastAsia"/>
          <w:szCs w:val="24"/>
          <w:lang w:val="en-US"/>
        </w:rPr>
        <w:t xml:space="preserve">repeals </w:t>
      </w:r>
      <w:r>
        <w:rPr>
          <w:rFonts w:eastAsiaTheme="minorEastAsia"/>
          <w:szCs w:val="24"/>
          <w:lang w:val="en-US"/>
        </w:rPr>
        <w:t>Class Order [CO</w:t>
      </w:r>
      <w:r w:rsidR="00DB6FA3">
        <w:rPr>
          <w:rFonts w:eastAsiaTheme="minorEastAsia"/>
          <w:szCs w:val="24"/>
          <w:lang w:val="en-US"/>
        </w:rPr>
        <w:t xml:space="preserve"> </w:t>
      </w:r>
      <w:r>
        <w:rPr>
          <w:rFonts w:eastAsiaTheme="minorEastAsia"/>
          <w:szCs w:val="24"/>
          <w:lang w:val="en-US"/>
        </w:rPr>
        <w:t xml:space="preserve">10/321] </w:t>
      </w:r>
      <w:r w:rsidRPr="00D84C27">
        <w:rPr>
          <w:rFonts w:eastAsiaTheme="minorEastAsia"/>
          <w:i/>
          <w:szCs w:val="24"/>
          <w:lang w:val="en-US"/>
        </w:rPr>
        <w:t>Offers of vanilla bonds</w:t>
      </w:r>
      <w:r>
        <w:rPr>
          <w:rFonts w:eastAsiaTheme="minorEastAsia"/>
          <w:szCs w:val="24"/>
          <w:lang w:val="en-US"/>
        </w:rPr>
        <w:t>. Under subsection 33</w:t>
      </w:r>
      <w:r w:rsidRPr="00FB334F">
        <w:rPr>
          <w:rFonts w:eastAsiaTheme="minorEastAsia"/>
          <w:szCs w:val="24"/>
          <w:lang w:val="en-US"/>
        </w:rPr>
        <w:t xml:space="preserve">(3) of the </w:t>
      </w:r>
      <w:r w:rsidRPr="00D84C27">
        <w:rPr>
          <w:rFonts w:eastAsiaTheme="minorEastAsia"/>
          <w:i/>
          <w:szCs w:val="24"/>
          <w:lang w:val="en-US"/>
        </w:rPr>
        <w:t xml:space="preserve">Acts Interpretation Act 1901 </w:t>
      </w:r>
      <w:r>
        <w:rPr>
          <w:rFonts w:eastAsiaTheme="minorEastAsia"/>
          <w:szCs w:val="24"/>
          <w:lang w:val="en-US"/>
        </w:rPr>
        <w:t>(as in force as at 1 January 2005 and as applicable to the relevant powers because of section 5C of the Act)</w:t>
      </w:r>
      <w:r w:rsidRPr="00FB334F">
        <w:rPr>
          <w:rFonts w:eastAsiaTheme="minorEastAsia"/>
          <w:szCs w:val="24"/>
          <w:lang w:val="en-US"/>
        </w:rPr>
        <w:t>, where an Act confers a power to make</w:t>
      </w:r>
      <w:r w:rsidR="00DB6FA3">
        <w:rPr>
          <w:rFonts w:eastAsiaTheme="minorEastAsia"/>
          <w:szCs w:val="24"/>
          <w:lang w:val="en-US"/>
        </w:rPr>
        <w:t xml:space="preserve"> an</w:t>
      </w:r>
      <w:r w:rsidRPr="00FB334F">
        <w:rPr>
          <w:rFonts w:eastAsiaTheme="minorEastAsia"/>
          <w:szCs w:val="24"/>
          <w:lang w:val="en-US"/>
        </w:rPr>
        <w:t xml:space="preserve"> instrument, the power </w:t>
      </w:r>
      <w:r w:rsidR="00DB6FA3">
        <w:rPr>
          <w:rFonts w:eastAsiaTheme="minorEastAsia"/>
          <w:szCs w:val="24"/>
          <w:lang w:val="en-US"/>
        </w:rPr>
        <w:t>includes</w:t>
      </w:r>
      <w:r w:rsidRPr="00FB334F">
        <w:rPr>
          <w:rFonts w:eastAsiaTheme="minorEastAsia"/>
          <w:szCs w:val="24"/>
          <w:lang w:val="en-US"/>
        </w:rPr>
        <w:t xml:space="preserve"> a power exercisable in the like manner and subject to the like conditions (if any) to repeal </w:t>
      </w:r>
      <w:r w:rsidR="007272FB">
        <w:rPr>
          <w:rFonts w:eastAsiaTheme="minorEastAsia"/>
          <w:szCs w:val="24"/>
          <w:lang w:val="en-US"/>
        </w:rPr>
        <w:t>the</w:t>
      </w:r>
      <w:r w:rsidRPr="00FB334F">
        <w:rPr>
          <w:rFonts w:eastAsiaTheme="minorEastAsia"/>
          <w:szCs w:val="24"/>
          <w:lang w:val="en-US"/>
        </w:rPr>
        <w:t xml:space="preserve"> instrument.</w:t>
      </w:r>
    </w:p>
    <w:p w:rsidR="00F447E2" w:rsidRPr="00F441FB" w:rsidRDefault="00F447E2" w:rsidP="00AF62B4">
      <w:pPr>
        <w:pStyle w:val="BodyText"/>
        <w:spacing w:line="261" w:lineRule="auto"/>
        <w:rPr>
          <w:rFonts w:eastAsiaTheme="minorEastAsia"/>
          <w:szCs w:val="24"/>
          <w:lang w:val="en-US"/>
        </w:rPr>
      </w:pPr>
    </w:p>
    <w:p w:rsidR="005B0E3A" w:rsidRDefault="005B0E3A" w:rsidP="00A45C0C">
      <w:pPr>
        <w:widowControl w:val="0"/>
        <w:numPr>
          <w:ilvl w:val="0"/>
          <w:numId w:val="7"/>
        </w:numPr>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rsidR="00D84C27" w:rsidRPr="005D2184" w:rsidRDefault="005D2184" w:rsidP="005B0E3A">
      <w:pPr>
        <w:pStyle w:val="BodyText"/>
        <w:spacing w:before="199"/>
        <w:rPr>
          <w:i/>
        </w:rPr>
      </w:pPr>
      <w:r w:rsidRPr="005D2184">
        <w:rPr>
          <w:i/>
        </w:rPr>
        <w:t>Corporate bonds</w:t>
      </w:r>
      <w:r>
        <w:rPr>
          <w:i/>
        </w:rPr>
        <w:t xml:space="preserve"> in Australia</w:t>
      </w:r>
    </w:p>
    <w:p w:rsidR="005D2184" w:rsidRDefault="005D2184" w:rsidP="005B0E3A">
      <w:pPr>
        <w:pStyle w:val="BodyText"/>
        <w:spacing w:before="199"/>
      </w:pPr>
      <w:r>
        <w:t>The Act requires that an offer of quoted corporate bonds to retail investors must generally comply with a number of regulatory obligations, including:</w:t>
      </w:r>
    </w:p>
    <w:p w:rsidR="0026643B" w:rsidRDefault="0026643B" w:rsidP="00D44436">
      <w:pPr>
        <w:pStyle w:val="BodyText"/>
        <w:numPr>
          <w:ilvl w:val="0"/>
          <w:numId w:val="15"/>
        </w:numPr>
        <w:tabs>
          <w:tab w:val="clear" w:pos="567"/>
          <w:tab w:val="clear" w:pos="680"/>
          <w:tab w:val="left" w:pos="709"/>
        </w:tabs>
        <w:spacing w:before="199"/>
      </w:pPr>
      <w:r>
        <w:t>the requirements relating to offers of debentures in Chapter 2L of the Act;</w:t>
      </w:r>
    </w:p>
    <w:p w:rsidR="005D2184" w:rsidRDefault="0026643B" w:rsidP="00D44436">
      <w:pPr>
        <w:pStyle w:val="BodyText"/>
        <w:numPr>
          <w:ilvl w:val="0"/>
          <w:numId w:val="15"/>
        </w:numPr>
        <w:tabs>
          <w:tab w:val="clear" w:pos="567"/>
          <w:tab w:val="clear" w:pos="680"/>
          <w:tab w:val="left" w:pos="709"/>
        </w:tabs>
        <w:spacing w:before="199"/>
      </w:pPr>
      <w:r>
        <w:t xml:space="preserve"> </w:t>
      </w:r>
      <w:r w:rsidR="005D2184">
        <w:t>the fundraising provisions in Chapter 6D of the Act which includes full prospectus disclosure under section 710;</w:t>
      </w:r>
      <w:r>
        <w:t xml:space="preserve"> and</w:t>
      </w:r>
    </w:p>
    <w:p w:rsidR="005D2184" w:rsidRDefault="005D2184" w:rsidP="00D44436">
      <w:pPr>
        <w:pStyle w:val="BodyText"/>
        <w:numPr>
          <w:ilvl w:val="0"/>
          <w:numId w:val="15"/>
        </w:numPr>
        <w:tabs>
          <w:tab w:val="clear" w:pos="567"/>
          <w:tab w:val="clear" w:pos="680"/>
          <w:tab w:val="left" w:pos="709"/>
        </w:tabs>
        <w:spacing w:before="199"/>
      </w:pPr>
      <w:proofErr w:type="gramStart"/>
      <w:r>
        <w:lastRenderedPageBreak/>
        <w:t>the</w:t>
      </w:r>
      <w:proofErr w:type="gramEnd"/>
      <w:r>
        <w:t xml:space="preserve"> listing rules of the relevant market operator.</w:t>
      </w:r>
    </w:p>
    <w:p w:rsidR="00D84C27" w:rsidRDefault="00AF62B4" w:rsidP="005B0E3A">
      <w:pPr>
        <w:pStyle w:val="BodyText"/>
        <w:spacing w:before="199"/>
      </w:pPr>
      <w:r>
        <w:t xml:space="preserve">The time and expense involved with </w:t>
      </w:r>
      <w:r w:rsidR="007272FB">
        <w:t>complying with</w:t>
      </w:r>
      <w:r>
        <w:t xml:space="preserve"> the full prospectus disclosure requirements in the Act may deter issuer</w:t>
      </w:r>
      <w:r w:rsidR="007272FB">
        <w:t>s</w:t>
      </w:r>
      <w:r>
        <w:t xml:space="preserve"> from offering corporate bonds to retail investors and limit the development of a retail corporate bond market. As a result, retail investors may not have sufficient opportunity to invest in corporate bonds.</w:t>
      </w:r>
    </w:p>
    <w:p w:rsidR="00AF62B4" w:rsidRPr="00AF62B4" w:rsidRDefault="00AF62B4" w:rsidP="005B0E3A">
      <w:pPr>
        <w:pStyle w:val="BodyText"/>
        <w:spacing w:before="199"/>
        <w:rPr>
          <w:i/>
        </w:rPr>
      </w:pPr>
      <w:r w:rsidRPr="00AF62B4">
        <w:rPr>
          <w:i/>
        </w:rPr>
        <w:t>Class Order [CO 10/321]</w:t>
      </w:r>
    </w:p>
    <w:p w:rsidR="00AC50D4" w:rsidRDefault="0026643B" w:rsidP="0026643B">
      <w:pPr>
        <w:pStyle w:val="BodyText"/>
        <w:spacing w:before="199"/>
      </w:pPr>
      <w:r>
        <w:t xml:space="preserve">Chapter 2L of the Act provides the legislative framework for debentures. </w:t>
      </w:r>
      <w:r w:rsidR="007272FB">
        <w:t xml:space="preserve">A </w:t>
      </w:r>
      <w:r>
        <w:t>corporate bond is considered a debenture</w:t>
      </w:r>
      <w:r w:rsidR="0032561D">
        <w:t>.</w:t>
      </w:r>
      <w:r>
        <w:t xml:space="preserve"> </w:t>
      </w:r>
      <w:r w:rsidR="007272FB">
        <w:t xml:space="preserve">The Chapter imposes, among other things, </w:t>
      </w:r>
      <w:r w:rsidR="00AC50D4">
        <w:t xml:space="preserve">an obligation on the issuer of the bond to enter into a trust deed and also imposes </w:t>
      </w:r>
      <w:r w:rsidR="007272FB">
        <w:t xml:space="preserve">quarterly reporting requirements. </w:t>
      </w:r>
    </w:p>
    <w:p w:rsidR="0026643B" w:rsidRDefault="00AC50D4" w:rsidP="0026643B">
      <w:pPr>
        <w:pStyle w:val="BodyText"/>
        <w:spacing w:before="199"/>
      </w:pPr>
      <w:r>
        <w:t xml:space="preserve">ASIC </w:t>
      </w:r>
      <w:r w:rsidR="00540A04">
        <w:t xml:space="preserve">Class Order </w:t>
      </w:r>
      <w:r w:rsidR="0026643B">
        <w:t xml:space="preserve">[CO 10/321] </w:t>
      </w:r>
      <w:r>
        <w:t xml:space="preserve">imposes on issuers of simple bonds (referred to as vanilla bonds) some additional requirements in relation to the trust deed and also </w:t>
      </w:r>
      <w:r w:rsidR="0026643B">
        <w:t xml:space="preserve">provides relief from some of the </w:t>
      </w:r>
      <w:r w:rsidR="007272FB">
        <w:t xml:space="preserve">quarterly </w:t>
      </w:r>
      <w:r w:rsidR="0026643B">
        <w:t>reporting requirements</w:t>
      </w:r>
      <w:r>
        <w:t>.</w:t>
      </w:r>
    </w:p>
    <w:p w:rsidR="00AF62B4" w:rsidRDefault="00AC50D4" w:rsidP="005B0E3A">
      <w:pPr>
        <w:pStyle w:val="BodyText"/>
        <w:spacing w:before="199"/>
      </w:pPr>
      <w:r>
        <w:t xml:space="preserve">Chapter 6D </w:t>
      </w:r>
      <w:r w:rsidR="00AF62B4">
        <w:t xml:space="preserve">of the Act requires that an offer of </w:t>
      </w:r>
      <w:r w:rsidR="007272FB">
        <w:t>bonds</w:t>
      </w:r>
      <w:r w:rsidR="00AF62B4">
        <w:t xml:space="preserve"> for issue to investors </w:t>
      </w:r>
      <w:r w:rsidR="00242D8F">
        <w:t xml:space="preserve">requires disclosure. </w:t>
      </w:r>
      <w:r w:rsidR="007272FB">
        <w:t xml:space="preserve">This </w:t>
      </w:r>
      <w:r w:rsidR="00242D8F">
        <w:t xml:space="preserve">disclosure must be to the standard stipulated under section 710 of the Act where the prospectus must contain all the information that investors and their professional </w:t>
      </w:r>
      <w:r w:rsidR="00176D17">
        <w:t>advise</w:t>
      </w:r>
      <w:r w:rsidR="00242D8F">
        <w:t>rs would reasonably require to</w:t>
      </w:r>
      <w:r w:rsidR="00176D17">
        <w:t xml:space="preserve"> make an informed assessment of:</w:t>
      </w:r>
    </w:p>
    <w:p w:rsidR="00265D1E" w:rsidRDefault="00265D1E" w:rsidP="00D44436">
      <w:pPr>
        <w:pStyle w:val="BodyText"/>
        <w:numPr>
          <w:ilvl w:val="0"/>
          <w:numId w:val="16"/>
        </w:numPr>
        <w:tabs>
          <w:tab w:val="clear" w:pos="567"/>
          <w:tab w:val="left" w:pos="709"/>
        </w:tabs>
        <w:spacing w:before="199"/>
      </w:pPr>
      <w:r>
        <w:t xml:space="preserve">the rights and liabilities attaching to the </w:t>
      </w:r>
      <w:r w:rsidR="007272FB">
        <w:t>bonds</w:t>
      </w:r>
      <w:r>
        <w:t xml:space="preserve"> offered; and</w:t>
      </w:r>
    </w:p>
    <w:p w:rsidR="00265D1E" w:rsidRDefault="00265D1E" w:rsidP="00D44436">
      <w:pPr>
        <w:pStyle w:val="BodyText"/>
        <w:numPr>
          <w:ilvl w:val="0"/>
          <w:numId w:val="16"/>
        </w:numPr>
        <w:tabs>
          <w:tab w:val="clear" w:pos="567"/>
          <w:tab w:val="clear" w:pos="680"/>
          <w:tab w:val="left" w:pos="709"/>
        </w:tabs>
        <w:spacing w:before="199"/>
      </w:pPr>
      <w:proofErr w:type="gramStart"/>
      <w:r>
        <w:t>the</w:t>
      </w:r>
      <w:proofErr w:type="gramEnd"/>
      <w:r>
        <w:t xml:space="preserve"> assets and liabilities, financial position and performance, profits and losses and prospects of the body that is to issue the </w:t>
      </w:r>
      <w:r w:rsidR="007272FB">
        <w:t>bonds</w:t>
      </w:r>
      <w:r>
        <w:t xml:space="preserve">. </w:t>
      </w:r>
    </w:p>
    <w:p w:rsidR="00477C69" w:rsidRDefault="00265D1E" w:rsidP="005B0E3A">
      <w:pPr>
        <w:pStyle w:val="BodyText"/>
        <w:spacing w:before="199"/>
      </w:pPr>
      <w:r>
        <w:t xml:space="preserve">Subject to certain conditions </w:t>
      </w:r>
      <w:r w:rsidR="005B20A5">
        <w:t xml:space="preserve">relating to the issuer and the bonds, </w:t>
      </w:r>
      <w:r>
        <w:t xml:space="preserve">[CO 10/321] </w:t>
      </w:r>
      <w:r w:rsidR="0026643B">
        <w:t xml:space="preserve">gives </w:t>
      </w:r>
      <w:r>
        <w:t>relief to allow issuers to use a simplified prospectus regime with similar requirements to a transaction-specific prospectus as prov</w:t>
      </w:r>
      <w:r w:rsidR="00477C69">
        <w:t xml:space="preserve">ided in section 713 of the Act for the offer of </w:t>
      </w:r>
      <w:bookmarkStart w:id="1" w:name="_GoBack"/>
      <w:r w:rsidR="00477C69">
        <w:t>vanilla bonds</w:t>
      </w:r>
      <w:bookmarkEnd w:id="1"/>
      <w:r w:rsidR="005B20A5">
        <w:t>.</w:t>
      </w:r>
    </w:p>
    <w:p w:rsidR="00AF62B4" w:rsidRDefault="00265D1E" w:rsidP="005B0E3A">
      <w:pPr>
        <w:pStyle w:val="BodyText"/>
        <w:spacing w:before="199"/>
      </w:pPr>
      <w:r>
        <w:t>A two-part prospectus regime was introduced whereby an issuer is able to offer vanilla bonds under a base prospectus which could be used for a number of different offers and a second prospectus which related to the particular offer. When read together, these two prospectuses need</w:t>
      </w:r>
      <w:r w:rsidR="0026643B">
        <w:t xml:space="preserve"> </w:t>
      </w:r>
      <w:r>
        <w:t>to satisfy the content requirements of [CO 10/321].</w:t>
      </w:r>
    </w:p>
    <w:p w:rsidR="00D778CD" w:rsidRPr="00D778CD" w:rsidRDefault="00D778CD" w:rsidP="005B0E3A">
      <w:pPr>
        <w:pStyle w:val="BodyText"/>
        <w:spacing w:before="199"/>
        <w:rPr>
          <w:i/>
        </w:rPr>
      </w:pPr>
      <w:r w:rsidRPr="00D778CD">
        <w:rPr>
          <w:i/>
        </w:rPr>
        <w:t>Offers under [CO 10/321]</w:t>
      </w:r>
    </w:p>
    <w:p w:rsidR="00D778CD" w:rsidRDefault="00D778CD" w:rsidP="005B0E3A">
      <w:pPr>
        <w:pStyle w:val="BodyText"/>
        <w:spacing w:before="199"/>
      </w:pPr>
      <w:r>
        <w:t xml:space="preserve">Since its commencement, there have been three offers of vanilla bonds to retail investors under [CO 10/321]. </w:t>
      </w:r>
      <w:r w:rsidRPr="001D4320">
        <w:t xml:space="preserve">The </w:t>
      </w:r>
      <w:r w:rsidR="001D4320">
        <w:t xml:space="preserve">maturity date for the </w:t>
      </w:r>
      <w:r w:rsidRPr="001D4320">
        <w:t xml:space="preserve">final offer </w:t>
      </w:r>
      <w:r w:rsidR="001D4320">
        <w:t xml:space="preserve">made under </w:t>
      </w:r>
      <w:r w:rsidR="007F2F6E">
        <w:t>[</w:t>
      </w:r>
      <w:r w:rsidR="001D4320">
        <w:t>CO 10/321</w:t>
      </w:r>
      <w:r w:rsidR="007F2F6E">
        <w:t>]</w:t>
      </w:r>
      <w:r w:rsidR="001D4320">
        <w:t xml:space="preserve"> will be </w:t>
      </w:r>
      <w:r w:rsidRPr="001D4320">
        <w:t xml:space="preserve">on </w:t>
      </w:r>
      <w:r w:rsidR="001D4320">
        <w:t>30 June 2019</w:t>
      </w:r>
      <w:r w:rsidRPr="001D4320">
        <w:t>.</w:t>
      </w:r>
      <w:r w:rsidR="0026643B">
        <w:t xml:space="preserve"> </w:t>
      </w:r>
    </w:p>
    <w:p w:rsidR="00AF62B4" w:rsidRPr="007C2D2C" w:rsidRDefault="00AF62B4" w:rsidP="005B0E3A">
      <w:pPr>
        <w:pStyle w:val="BodyText"/>
        <w:spacing w:before="199"/>
      </w:pPr>
      <w:r w:rsidRPr="007C2D2C">
        <w:rPr>
          <w:i/>
        </w:rPr>
        <w:t xml:space="preserve">Corporations Amendment (Simple Corporate Bonds and Other Measures) Act </w:t>
      </w:r>
      <w:r w:rsidRPr="006C1FA7">
        <w:rPr>
          <w:i/>
        </w:rPr>
        <w:t xml:space="preserve">2014 </w:t>
      </w:r>
    </w:p>
    <w:p w:rsidR="00AF62B4" w:rsidRDefault="00A17DB0" w:rsidP="00A17DB0">
      <w:pPr>
        <w:pStyle w:val="BodyText"/>
        <w:spacing w:before="199"/>
      </w:pPr>
      <w:r>
        <w:t xml:space="preserve">The </w:t>
      </w:r>
      <w:r w:rsidR="007C2D2C" w:rsidRPr="007C2D2C">
        <w:rPr>
          <w:i/>
        </w:rPr>
        <w:t>Corporations Amendment (Simple Corporate Bonds and Other Measures) Act 2014</w:t>
      </w:r>
      <w:r w:rsidR="007C2D2C" w:rsidRPr="007C2D2C">
        <w:t xml:space="preserve"> </w:t>
      </w:r>
      <w:r w:rsidR="007C2D2C">
        <w:t>(</w:t>
      </w:r>
      <w:r w:rsidR="00540A04">
        <w:t>the </w:t>
      </w:r>
      <w:r w:rsidR="007C2D2C" w:rsidRPr="007C2D2C">
        <w:rPr>
          <w:b/>
          <w:i/>
        </w:rPr>
        <w:t xml:space="preserve">SCB </w:t>
      </w:r>
      <w:r w:rsidR="007C2D2C">
        <w:rPr>
          <w:b/>
          <w:i/>
        </w:rPr>
        <w:t>Act</w:t>
      </w:r>
      <w:r w:rsidR="007C2D2C">
        <w:t>)</w:t>
      </w:r>
      <w:r w:rsidR="00A6023E">
        <w:t xml:space="preserve"> </w:t>
      </w:r>
      <w:r w:rsidR="00540A04">
        <w:t>introduces a</w:t>
      </w:r>
      <w:r>
        <w:t xml:space="preserve"> streamlined disclosure regime for </w:t>
      </w:r>
      <w:r w:rsidR="00A6023E">
        <w:t xml:space="preserve">simple (vanilla) corporate bonds </w:t>
      </w:r>
      <w:r>
        <w:t>which is largely similar to that contained within [CO 10/321]</w:t>
      </w:r>
      <w:r w:rsidR="00195BBC">
        <w:t xml:space="preserve">. The SCB Act also makes </w:t>
      </w:r>
      <w:r w:rsidR="00A6023E">
        <w:t xml:space="preserve">changes to the civil liability provisions that apply to offers of vanilla bonds. </w:t>
      </w:r>
    </w:p>
    <w:p w:rsidR="00AF62B4" w:rsidRPr="00A17DB0" w:rsidRDefault="00AF62B4" w:rsidP="00D44436">
      <w:pPr>
        <w:pStyle w:val="BodyText"/>
        <w:keepNext/>
        <w:keepLines/>
        <w:spacing w:before="199"/>
      </w:pPr>
      <w:r w:rsidRPr="00A17DB0">
        <w:rPr>
          <w:i/>
          <w:iCs/>
        </w:rPr>
        <w:lastRenderedPageBreak/>
        <w:t>Corporations Amendment (Simple Corporate Bonds and Other Measures) Regulation</w:t>
      </w:r>
      <w:r w:rsidR="005816FA">
        <w:rPr>
          <w:i/>
          <w:iCs/>
        </w:rPr>
        <w:t>s</w:t>
      </w:r>
      <w:r w:rsidRPr="00A17DB0">
        <w:rPr>
          <w:i/>
          <w:iCs/>
        </w:rPr>
        <w:t xml:space="preserve"> 2014</w:t>
      </w:r>
    </w:p>
    <w:p w:rsidR="00362C5B" w:rsidRPr="00A17DB0" w:rsidRDefault="00A17DB0" w:rsidP="007272FB">
      <w:pPr>
        <w:pStyle w:val="BodyText"/>
        <w:keepNext/>
        <w:keepLines/>
        <w:spacing w:before="199"/>
      </w:pPr>
      <w:r>
        <w:t xml:space="preserve">The SCB Act provides that the content requirements for the two-part disclosure regime are to be set by regulations. The </w:t>
      </w:r>
      <w:r w:rsidRPr="00A45C0C">
        <w:rPr>
          <w:i/>
          <w:iCs/>
        </w:rPr>
        <w:t>Corporations Amendment (Simple Corporate Bonds and Other Measures) Regulation</w:t>
      </w:r>
      <w:r w:rsidR="005816FA">
        <w:rPr>
          <w:i/>
          <w:iCs/>
        </w:rPr>
        <w:t>s</w:t>
      </w:r>
      <w:r w:rsidRPr="00A45C0C">
        <w:rPr>
          <w:i/>
          <w:iCs/>
        </w:rPr>
        <w:t xml:space="preserve"> 2014</w:t>
      </w:r>
      <w:r>
        <w:rPr>
          <w:iCs/>
        </w:rPr>
        <w:t xml:space="preserve"> (</w:t>
      </w:r>
      <w:r w:rsidRPr="00A17DB0">
        <w:rPr>
          <w:b/>
          <w:i/>
          <w:iCs/>
        </w:rPr>
        <w:t>SCB Regulations</w:t>
      </w:r>
      <w:r>
        <w:rPr>
          <w:iCs/>
        </w:rPr>
        <w:t xml:space="preserve">) </w:t>
      </w:r>
      <w:r w:rsidR="00540A04">
        <w:rPr>
          <w:iCs/>
        </w:rPr>
        <w:t xml:space="preserve">are the regulations that will contain the content </w:t>
      </w:r>
      <w:r w:rsidR="00540A04">
        <w:t>requirements for the two-part disclosure regime.</w:t>
      </w:r>
      <w:r w:rsidR="00540A04" w:rsidDel="00540A04">
        <w:rPr>
          <w:iCs/>
        </w:rPr>
        <w:t xml:space="preserve"> </w:t>
      </w:r>
    </w:p>
    <w:p w:rsidR="005B0E3A" w:rsidRDefault="005B0E3A" w:rsidP="005B0E3A">
      <w:pPr>
        <w:spacing w:line="240" w:lineRule="exact"/>
        <w:rPr>
          <w:sz w:val="24"/>
          <w:szCs w:val="24"/>
        </w:rPr>
      </w:pPr>
    </w:p>
    <w:p w:rsidR="005B0E3A" w:rsidRPr="00610E79" w:rsidRDefault="005B0E3A" w:rsidP="00A45C0C">
      <w:pPr>
        <w:widowControl w:val="0"/>
        <w:numPr>
          <w:ilvl w:val="0"/>
          <w:numId w:val="7"/>
        </w:numPr>
        <w:spacing w:before="145" w:after="0"/>
        <w:ind w:left="0" w:firstLine="0"/>
        <w:rPr>
          <w:rFonts w:ascii="Arial"/>
          <w:b/>
          <w:spacing w:val="-1"/>
          <w:sz w:val="24"/>
        </w:rPr>
      </w:pPr>
      <w:bookmarkStart w:id="2" w:name="2._Purpose_of_the_class_order_"/>
      <w:bookmarkEnd w:id="2"/>
      <w:r w:rsidRPr="00610E79">
        <w:rPr>
          <w:rFonts w:ascii="Arial"/>
          <w:b/>
          <w:spacing w:val="-1"/>
          <w:sz w:val="24"/>
        </w:rPr>
        <w:t>Purpose of the instrument</w:t>
      </w:r>
    </w:p>
    <w:p w:rsidR="005B0E3A" w:rsidRDefault="005B0E3A" w:rsidP="005B0E3A">
      <w:pPr>
        <w:spacing w:before="4" w:line="220" w:lineRule="exact"/>
      </w:pPr>
    </w:p>
    <w:p w:rsidR="00540A04" w:rsidRDefault="00362C5B" w:rsidP="00362C5B">
      <w:pPr>
        <w:pStyle w:val="BodyText"/>
        <w:spacing w:before="199"/>
      </w:pPr>
      <w:r>
        <w:t xml:space="preserve">The </w:t>
      </w:r>
      <w:r w:rsidR="009E3017">
        <w:t xml:space="preserve">primary </w:t>
      </w:r>
      <w:r>
        <w:t xml:space="preserve">purpose of this class order is to </w:t>
      </w:r>
      <w:r w:rsidR="00195BBC">
        <w:t xml:space="preserve">repeal </w:t>
      </w:r>
      <w:r>
        <w:t>[CO 10/321] following the legislative reform to simple corporate bonds disclosure</w:t>
      </w:r>
      <w:r w:rsidR="00540A04">
        <w:t xml:space="preserve">. </w:t>
      </w:r>
      <w:r w:rsidR="0006558E">
        <w:t>The repeal is necessary to remove unnecessary </w:t>
      </w:r>
      <w:r w:rsidR="00004558">
        <w:t xml:space="preserve">regulatory </w:t>
      </w:r>
      <w:r w:rsidR="0006558E">
        <w:t xml:space="preserve">duplication </w:t>
      </w:r>
      <w:r w:rsidR="00004558">
        <w:t>that would otherwise follow once the legislative reforms come into operation.</w:t>
      </w:r>
      <w:r w:rsidR="0006558E">
        <w:t xml:space="preserve"> </w:t>
      </w:r>
      <w:r w:rsidR="00540A04">
        <w:t xml:space="preserve">The timing of the repeal </w:t>
      </w:r>
      <w:r w:rsidR="00E608B0">
        <w:t xml:space="preserve">of [CO 10/321] </w:t>
      </w:r>
      <w:r w:rsidR="00540A04">
        <w:t xml:space="preserve">coincides with the operative commencement date of the </w:t>
      </w:r>
      <w:r w:rsidR="009E3017">
        <w:t xml:space="preserve">legislative </w:t>
      </w:r>
      <w:r w:rsidR="00540A04">
        <w:t xml:space="preserve">reforms. </w:t>
      </w:r>
      <w:r w:rsidR="0047593F">
        <w:t xml:space="preserve">The operative commencement date is expected to be 19 December 2014. This is intended to ensure an orderly and seamless transition from the class order regime to the legislative regime. </w:t>
      </w:r>
      <w:r w:rsidR="00540A04">
        <w:t xml:space="preserve">   </w:t>
      </w:r>
    </w:p>
    <w:p w:rsidR="0006558E" w:rsidRDefault="00540A04" w:rsidP="00362C5B">
      <w:pPr>
        <w:pStyle w:val="BodyText"/>
        <w:spacing w:before="199"/>
      </w:pPr>
      <w:r>
        <w:t>Th</w:t>
      </w:r>
      <w:r w:rsidR="009E3017">
        <w:t>e</w:t>
      </w:r>
      <w:r>
        <w:t xml:space="preserve"> </w:t>
      </w:r>
      <w:r w:rsidR="009E3017">
        <w:t xml:space="preserve">other purpose of this </w:t>
      </w:r>
      <w:r>
        <w:t xml:space="preserve">class order </w:t>
      </w:r>
      <w:r w:rsidR="009E3017">
        <w:t>is to ensure that</w:t>
      </w:r>
      <w:r w:rsidR="00A13E19" w:rsidRPr="00A13E19">
        <w:t xml:space="preserve"> </w:t>
      </w:r>
      <w:r w:rsidR="00A13E19">
        <w:t>the ongoing exemptions and requirements</w:t>
      </w:r>
      <w:r w:rsidR="009E3017">
        <w:t xml:space="preserve"> </w:t>
      </w:r>
      <w:r w:rsidR="00A13E19">
        <w:t xml:space="preserve">of [CO 10/321] </w:t>
      </w:r>
      <w:r w:rsidR="009E3017">
        <w:t xml:space="preserve">continue to apply in relation to vanilla bonds that were issued in reliance on </w:t>
      </w:r>
      <w:r w:rsidR="00A13E19">
        <w:t xml:space="preserve">that class order </w:t>
      </w:r>
      <w:r w:rsidR="00E608B0">
        <w:t xml:space="preserve">before its </w:t>
      </w:r>
      <w:r w:rsidR="00A13E19">
        <w:t>repeal.</w:t>
      </w:r>
      <w:r w:rsidR="0047593F">
        <w:t xml:space="preserve"> This is intended to ensure to minimise disruption to bodies who had issued vanilla bonds </w:t>
      </w:r>
      <w:r w:rsidR="0006558E">
        <w:t>in reliance on the class order.</w:t>
      </w:r>
    </w:p>
    <w:p w:rsidR="001A3BEC" w:rsidRPr="00FF6057" w:rsidRDefault="001A3BEC" w:rsidP="00FF6057">
      <w:pPr>
        <w:pStyle w:val="BodyText"/>
        <w:tabs>
          <w:tab w:val="clear" w:pos="567"/>
          <w:tab w:val="clear" w:pos="680"/>
          <w:tab w:val="left" w:pos="709"/>
        </w:tabs>
        <w:spacing w:before="199"/>
      </w:pPr>
    </w:p>
    <w:p w:rsidR="005B0E3A" w:rsidRPr="00610E79" w:rsidRDefault="005B0E3A" w:rsidP="00A45C0C">
      <w:pPr>
        <w:widowControl w:val="0"/>
        <w:numPr>
          <w:ilvl w:val="0"/>
          <w:numId w:val="7"/>
        </w:numPr>
        <w:spacing w:before="145" w:after="0"/>
        <w:ind w:left="0" w:firstLine="0"/>
        <w:rPr>
          <w:rFonts w:ascii="Arial"/>
          <w:b/>
          <w:spacing w:val="-1"/>
          <w:sz w:val="24"/>
        </w:rPr>
      </w:pPr>
      <w:bookmarkStart w:id="3" w:name="3._Operation_of_the_class_order_"/>
      <w:bookmarkEnd w:id="3"/>
      <w:r w:rsidRPr="00610E79">
        <w:rPr>
          <w:rFonts w:ascii="Arial"/>
          <w:b/>
          <w:spacing w:val="-1"/>
          <w:sz w:val="24"/>
        </w:rPr>
        <w:t>Operation of the instrument</w:t>
      </w:r>
    </w:p>
    <w:p w:rsidR="005B0E3A" w:rsidRPr="00A45C0C" w:rsidRDefault="005B0E3A" w:rsidP="005B0E3A">
      <w:pPr>
        <w:spacing w:before="4" w:line="220" w:lineRule="exact"/>
        <w:rPr>
          <w:sz w:val="24"/>
          <w:szCs w:val="24"/>
        </w:rPr>
      </w:pPr>
    </w:p>
    <w:p w:rsidR="00E608B0" w:rsidRDefault="00E608B0" w:rsidP="00E608B0">
      <w:pPr>
        <w:pStyle w:val="BodyText"/>
        <w:spacing w:before="199"/>
      </w:pPr>
      <w:r w:rsidRPr="00605A73">
        <w:t xml:space="preserve">This </w:t>
      </w:r>
      <w:r w:rsidR="0006558E">
        <w:t xml:space="preserve">class order </w:t>
      </w:r>
      <w:r w:rsidRPr="00605A73">
        <w:t>repeals ASIC Class Order [CO 10/321]</w:t>
      </w:r>
      <w:r w:rsidR="0047593F">
        <w:t>. T</w:t>
      </w:r>
      <w:r w:rsidRPr="00605A73">
        <w:t xml:space="preserve">he </w:t>
      </w:r>
      <w:r w:rsidR="0047593F">
        <w:t xml:space="preserve">effect of the </w:t>
      </w:r>
      <w:r w:rsidRPr="00605A73">
        <w:t xml:space="preserve">repeal </w:t>
      </w:r>
      <w:r w:rsidR="0047593F">
        <w:t xml:space="preserve">is </w:t>
      </w:r>
      <w:r w:rsidRPr="00605A73">
        <w:t xml:space="preserve">that no offers of vanilla bonds can be made in reliance on the class order after the date of repeal. </w:t>
      </w:r>
    </w:p>
    <w:p w:rsidR="00E608B0" w:rsidRDefault="00E608B0" w:rsidP="00E608B0">
      <w:pPr>
        <w:pStyle w:val="BodyText"/>
        <w:spacing w:before="199"/>
      </w:pPr>
      <w:r w:rsidRPr="00605A73">
        <w:t xml:space="preserve">This </w:t>
      </w:r>
      <w:r w:rsidR="0006558E">
        <w:t xml:space="preserve">class order </w:t>
      </w:r>
      <w:r w:rsidRPr="00605A73">
        <w:t>also contains a transitional provision</w:t>
      </w:r>
      <w:r>
        <w:t>. The effect of the transitional provision is to ensure that bodies</w:t>
      </w:r>
      <w:r w:rsidR="0047593F">
        <w:t xml:space="preserve"> who issued </w:t>
      </w:r>
      <w:r>
        <w:t xml:space="preserve">vanilla bonds in reliance on [CO 10/321] before its repeal: </w:t>
      </w:r>
    </w:p>
    <w:p w:rsidR="00E608B0" w:rsidRDefault="00E608B0" w:rsidP="00E608B0">
      <w:pPr>
        <w:pStyle w:val="BodyText"/>
        <w:tabs>
          <w:tab w:val="clear" w:pos="680"/>
        </w:tabs>
        <w:spacing w:before="199"/>
        <w:ind w:left="567" w:hanging="567"/>
      </w:pPr>
      <w:r>
        <w:t>(a)</w:t>
      </w:r>
      <w:r>
        <w:tab/>
      </w:r>
      <w:proofErr w:type="gramStart"/>
      <w:r>
        <w:t>will</w:t>
      </w:r>
      <w:proofErr w:type="gramEnd"/>
      <w:r>
        <w:t xml:space="preserve"> continue to be able to rely on the relief in relation to quarterly reporting for the remaining term of the issued vanilla bonds; and</w:t>
      </w:r>
    </w:p>
    <w:p w:rsidR="00E608B0" w:rsidRDefault="00E608B0" w:rsidP="00E608B0">
      <w:pPr>
        <w:pStyle w:val="BodyText"/>
        <w:tabs>
          <w:tab w:val="clear" w:pos="567"/>
          <w:tab w:val="clear" w:pos="680"/>
        </w:tabs>
        <w:spacing w:before="199"/>
        <w:ind w:left="567" w:hanging="567"/>
      </w:pPr>
      <w:r>
        <w:t>(b)</w:t>
      </w:r>
      <w:r>
        <w:tab/>
      </w:r>
      <w:proofErr w:type="gramStart"/>
      <w:r>
        <w:t>will</w:t>
      </w:r>
      <w:proofErr w:type="gramEnd"/>
      <w:r>
        <w:t xml:space="preserve"> continue to be subject to requirements under the trust deed that the body was required to enter into in relation to the issued vanilla  bonds (eg requirements to update key financial disclosures in respect of each financial year and half</w:t>
      </w:r>
      <w:r w:rsidR="0047593F">
        <w:t>-</w:t>
      </w:r>
      <w:r>
        <w:t>year</w:t>
      </w:r>
      <w:r w:rsidR="0047593F">
        <w:t xml:space="preserve"> during the term of the vanilla bonds</w:t>
      </w:r>
      <w:r>
        <w:t>)</w:t>
      </w:r>
      <w:r w:rsidR="0047593F">
        <w:t>.</w:t>
      </w:r>
    </w:p>
    <w:p w:rsidR="00E608B0" w:rsidRDefault="00E608B0" w:rsidP="005B0E3A">
      <w:pPr>
        <w:spacing w:line="240" w:lineRule="exact"/>
        <w:rPr>
          <w:sz w:val="24"/>
          <w:szCs w:val="24"/>
        </w:rPr>
      </w:pPr>
    </w:p>
    <w:p w:rsidR="005B0E3A" w:rsidRDefault="005B0E3A" w:rsidP="00AC50D4">
      <w:pPr>
        <w:keepNext/>
        <w:keepLines/>
        <w:widowControl w:val="0"/>
        <w:numPr>
          <w:ilvl w:val="0"/>
          <w:numId w:val="7"/>
        </w:numPr>
        <w:spacing w:before="199" w:after="0"/>
        <w:ind w:left="0" w:firstLine="0"/>
      </w:pPr>
      <w:bookmarkStart w:id="4" w:name="4._Documents_incorporated_by_reference"/>
      <w:bookmarkStart w:id="5" w:name="5._Consultation"/>
      <w:bookmarkEnd w:id="4"/>
      <w:bookmarkEnd w:id="5"/>
      <w:r w:rsidRPr="00FF6057">
        <w:rPr>
          <w:rFonts w:ascii="Arial"/>
          <w:b/>
          <w:spacing w:val="-1"/>
          <w:sz w:val="24"/>
        </w:rPr>
        <w:t>Consultation</w:t>
      </w:r>
    </w:p>
    <w:p w:rsidR="00F26391" w:rsidRDefault="0006558E" w:rsidP="00FF6057">
      <w:pPr>
        <w:pStyle w:val="BodyText"/>
        <w:spacing w:before="199"/>
      </w:pPr>
      <w:r>
        <w:t xml:space="preserve">The </w:t>
      </w:r>
      <w:r w:rsidR="00F26391">
        <w:t xml:space="preserve">Australian Government undertook extensive public consultation for both the SCB </w:t>
      </w:r>
      <w:r w:rsidR="0047593F">
        <w:t>Act</w:t>
      </w:r>
      <w:r w:rsidR="00F26391">
        <w:t xml:space="preserve"> and the SCB Regulations. As </w:t>
      </w:r>
      <w:r w:rsidR="00004558">
        <w:t>those legislative reforms will supersede the class order regime for vanilla bonds</w:t>
      </w:r>
      <w:r w:rsidR="00F26391">
        <w:t xml:space="preserve">, </w:t>
      </w:r>
      <w:r w:rsidR="00004558">
        <w:t xml:space="preserve">ASIC did not consider it necessary to engage in further </w:t>
      </w:r>
      <w:r w:rsidR="001E3E73">
        <w:t xml:space="preserve">consultation </w:t>
      </w:r>
      <w:r w:rsidR="00004558">
        <w:t>before making this class order which will repeal the superseded regime</w:t>
      </w:r>
      <w:r w:rsidR="001E3E73">
        <w:t>.</w:t>
      </w:r>
    </w:p>
    <w:p w:rsidR="005B0E3A" w:rsidRDefault="005B0E3A" w:rsidP="00FF6057">
      <w:pPr>
        <w:pStyle w:val="BodyText"/>
        <w:spacing w:before="199"/>
        <w:sectPr w:rsidR="005B0E3A" w:rsidSect="00A33EB8">
          <w:headerReference w:type="even" r:id="rId9"/>
          <w:footerReference w:type="even" r:id="rId10"/>
          <w:footerReference w:type="default" r:id="rId11"/>
          <w:headerReference w:type="first" r:id="rId12"/>
          <w:pgSz w:w="11906" w:h="16838" w:code="9"/>
          <w:pgMar w:top="1644" w:right="1418" w:bottom="1418" w:left="1418" w:header="567" w:footer="567" w:gutter="0"/>
          <w:cols w:space="720"/>
          <w:docGrid w:linePitch="299"/>
        </w:sectPr>
      </w:pPr>
    </w:p>
    <w:p w:rsidR="00FF6057" w:rsidRPr="00FF6057" w:rsidRDefault="00FF6057" w:rsidP="00FF6057">
      <w:pPr>
        <w:pStyle w:val="BodyText"/>
        <w:spacing w:before="199"/>
        <w:jc w:val="center"/>
        <w:rPr>
          <w:b/>
        </w:rPr>
      </w:pPr>
      <w:r w:rsidRPr="00FF6057">
        <w:rPr>
          <w:b/>
        </w:rPr>
        <w:lastRenderedPageBreak/>
        <w:t>Statement of Compatibility with Human Rights</w:t>
      </w:r>
    </w:p>
    <w:p w:rsidR="00FF6057" w:rsidRPr="00FF6057" w:rsidRDefault="00FF6057" w:rsidP="00FF6057">
      <w:pPr>
        <w:pStyle w:val="BodyText"/>
        <w:spacing w:before="199"/>
        <w:jc w:val="center"/>
        <w:rPr>
          <w:i/>
        </w:rPr>
      </w:pPr>
      <w:r w:rsidRPr="00FF6057">
        <w:rPr>
          <w:i/>
        </w:rPr>
        <w:t>Prepared in accordance with Part 3 of the Human Rights (Parliamentary Scrutiny) Act 2011</w:t>
      </w:r>
    </w:p>
    <w:p w:rsidR="00FF6057" w:rsidRPr="00FF6057" w:rsidRDefault="00FF6057" w:rsidP="00FF6057">
      <w:pPr>
        <w:pStyle w:val="BodyText"/>
        <w:spacing w:before="199"/>
        <w:rPr>
          <w:b/>
        </w:rPr>
      </w:pPr>
      <w:r w:rsidRPr="00FF6057">
        <w:rPr>
          <w:b/>
        </w:rPr>
        <w:t xml:space="preserve">ASIC </w:t>
      </w:r>
      <w:r w:rsidR="00B6296E" w:rsidRPr="00FF6057">
        <w:rPr>
          <w:b/>
        </w:rPr>
        <w:t xml:space="preserve">Class Order </w:t>
      </w:r>
      <w:r w:rsidRPr="00FF6057">
        <w:rPr>
          <w:b/>
        </w:rPr>
        <w:t>[CO 14/</w:t>
      </w:r>
      <w:r w:rsidR="00415563" w:rsidRPr="00415563">
        <w:rPr>
          <w:b/>
        </w:rPr>
        <w:t>1276</w:t>
      </w:r>
      <w:r w:rsidRPr="00FF6057">
        <w:rPr>
          <w:b/>
        </w:rPr>
        <w:t>]</w:t>
      </w:r>
    </w:p>
    <w:p w:rsidR="00FF6057" w:rsidRPr="00247F54" w:rsidRDefault="00FF6057" w:rsidP="00FF6057">
      <w:pPr>
        <w:pStyle w:val="BodyText"/>
        <w:spacing w:before="199"/>
      </w:pPr>
      <w:r>
        <w:t xml:space="preserve">This class order </w:t>
      </w:r>
      <w:r w:rsidRPr="00247F54">
        <w:t xml:space="preserve">is compatible with the human rights and freedoms recognised or declared in the international instruments listed in section 3 of </w:t>
      </w:r>
      <w:r w:rsidRPr="00FF6057">
        <w:rPr>
          <w:i/>
        </w:rPr>
        <w:t>the Human Rights (Parliamentary Scrutiny) Act 2011</w:t>
      </w:r>
      <w:r w:rsidRPr="00247F54">
        <w:t>.</w:t>
      </w:r>
    </w:p>
    <w:p w:rsidR="00FF6057" w:rsidRPr="00FF6057" w:rsidRDefault="00FF6057" w:rsidP="00FF6057">
      <w:pPr>
        <w:pStyle w:val="BodyText"/>
        <w:spacing w:before="199"/>
        <w:rPr>
          <w:b/>
        </w:rPr>
      </w:pPr>
      <w:r w:rsidRPr="00FF6057">
        <w:rPr>
          <w:b/>
        </w:rPr>
        <w:t>Overview</w:t>
      </w:r>
    </w:p>
    <w:p w:rsidR="007E6A32" w:rsidRDefault="007E6A32" w:rsidP="00004558">
      <w:pPr>
        <w:pStyle w:val="BodyText"/>
        <w:keepNext/>
        <w:keepLines/>
        <w:spacing w:before="199"/>
      </w:pPr>
      <w:r>
        <w:t xml:space="preserve">In 2010, ASIC </w:t>
      </w:r>
      <w:r w:rsidR="00004558">
        <w:t>establish</w:t>
      </w:r>
      <w:r>
        <w:t>ed</w:t>
      </w:r>
      <w:r w:rsidR="00004558">
        <w:t xml:space="preserve"> a </w:t>
      </w:r>
      <w:r>
        <w:t xml:space="preserve">simplified disclosure </w:t>
      </w:r>
      <w:r w:rsidR="00004558">
        <w:t>regime to facilitate offers of simple</w:t>
      </w:r>
      <w:r>
        <w:t> </w:t>
      </w:r>
      <w:r w:rsidR="00004558">
        <w:t>corporate bonds</w:t>
      </w:r>
      <w:r>
        <w:t xml:space="preserve"> (also known as vanilla bonds), which is reflected in ASIC Class Order [CO 10/321]</w:t>
      </w:r>
      <w:r w:rsidR="00004558">
        <w:t xml:space="preserve">. </w:t>
      </w:r>
    </w:p>
    <w:p w:rsidR="00004558" w:rsidRDefault="007E6A32" w:rsidP="00004558">
      <w:pPr>
        <w:pStyle w:val="BodyText"/>
        <w:keepNext/>
        <w:keepLines/>
        <w:spacing w:before="199"/>
        <w:rPr>
          <w:iCs/>
        </w:rPr>
      </w:pPr>
      <w:r>
        <w:t xml:space="preserve">In 2014, the Australian Government subsequently enacted a simplified disclosure regime to facilitate the offers of simple corporate bonds, which is reflected in the </w:t>
      </w:r>
      <w:r>
        <w:rPr>
          <w:i/>
        </w:rPr>
        <w:t xml:space="preserve">Corporations Amendment (Simple Corporate Bonds and Other Measures) Act 2014 </w:t>
      </w:r>
      <w:r>
        <w:t xml:space="preserve">and </w:t>
      </w:r>
      <w:r w:rsidR="00AC50D4">
        <w:t>accompanying regulations to support that amending Act</w:t>
      </w:r>
      <w:r>
        <w:rPr>
          <w:iCs/>
        </w:rPr>
        <w:t>.</w:t>
      </w:r>
    </w:p>
    <w:p w:rsidR="007E6A32" w:rsidRDefault="007E6A32" w:rsidP="00004558">
      <w:pPr>
        <w:pStyle w:val="BodyText"/>
        <w:keepNext/>
        <w:keepLines/>
        <w:spacing w:before="199"/>
      </w:pPr>
      <w:r>
        <w:rPr>
          <w:iCs/>
        </w:rPr>
        <w:t>The legislative reforms</w:t>
      </w:r>
      <w:r w:rsidR="00AC50D4">
        <w:rPr>
          <w:iCs/>
        </w:rPr>
        <w:t xml:space="preserve"> which</w:t>
      </w:r>
      <w:r>
        <w:rPr>
          <w:iCs/>
        </w:rPr>
        <w:t xml:space="preserve"> are intended to supersede the class order regime.  </w:t>
      </w:r>
    </w:p>
    <w:p w:rsidR="00004558" w:rsidRDefault="006C1FA7" w:rsidP="006C1FA7">
      <w:pPr>
        <w:pStyle w:val="BodyText"/>
        <w:keepNext/>
        <w:keepLines/>
        <w:spacing w:before="199"/>
      </w:pPr>
      <w:r>
        <w:t xml:space="preserve">The purpose of this legislative instrument is to </w:t>
      </w:r>
      <w:r w:rsidR="00175E44">
        <w:t xml:space="preserve">repeal </w:t>
      </w:r>
      <w:r>
        <w:t>ASIC Class Order [CO 10/321]</w:t>
      </w:r>
      <w:r w:rsidR="00AC50D4">
        <w:t xml:space="preserve"> so as to remove unnecessary regulatory </w:t>
      </w:r>
      <w:proofErr w:type="gramStart"/>
      <w:r w:rsidR="00AC50D4">
        <w:t xml:space="preserve">duplication </w:t>
      </w:r>
      <w:r w:rsidR="00004558">
        <w:t>.</w:t>
      </w:r>
      <w:proofErr w:type="gramEnd"/>
      <w:r w:rsidR="00004558">
        <w:t xml:space="preserve"> </w:t>
      </w:r>
    </w:p>
    <w:p w:rsidR="00FF6057" w:rsidRPr="00FF6057" w:rsidRDefault="00FF6057" w:rsidP="00FF6057">
      <w:pPr>
        <w:pStyle w:val="BodyText"/>
        <w:spacing w:before="199"/>
        <w:rPr>
          <w:b/>
        </w:rPr>
      </w:pPr>
      <w:r w:rsidRPr="00FF6057">
        <w:rPr>
          <w:b/>
        </w:rPr>
        <w:t>Human rights implications</w:t>
      </w:r>
    </w:p>
    <w:p w:rsidR="00FF6057" w:rsidRPr="00247F54" w:rsidRDefault="00FF6057" w:rsidP="00FF6057">
      <w:pPr>
        <w:pStyle w:val="BodyText"/>
        <w:spacing w:before="199"/>
      </w:pPr>
      <w:r w:rsidRPr="00247F54">
        <w:t xml:space="preserve">This </w:t>
      </w:r>
      <w:r>
        <w:t>l</w:t>
      </w:r>
      <w:r w:rsidRPr="00247F54">
        <w:t xml:space="preserve">egislative </w:t>
      </w:r>
      <w:r>
        <w:t>i</w:t>
      </w:r>
      <w:r w:rsidRPr="00247F54">
        <w:t>nstrument does not engage any of the applicable rights or freedoms.</w:t>
      </w:r>
    </w:p>
    <w:p w:rsidR="00FF6057" w:rsidRPr="00FF6057" w:rsidRDefault="00FF6057" w:rsidP="00FF6057">
      <w:pPr>
        <w:pStyle w:val="BodyText"/>
        <w:spacing w:before="199"/>
        <w:rPr>
          <w:b/>
        </w:rPr>
      </w:pPr>
      <w:r w:rsidRPr="00FF6057">
        <w:rPr>
          <w:b/>
        </w:rPr>
        <w:t>Conclusion</w:t>
      </w:r>
    </w:p>
    <w:p w:rsidR="00FF6057" w:rsidRPr="00247F54" w:rsidRDefault="00FF6057" w:rsidP="00FF6057">
      <w:pPr>
        <w:pStyle w:val="BodyText"/>
        <w:spacing w:before="199"/>
      </w:pPr>
      <w:r w:rsidRPr="00247F54">
        <w:t xml:space="preserve">This </w:t>
      </w:r>
      <w:r>
        <w:t>l</w:t>
      </w:r>
      <w:r w:rsidRPr="00247F54">
        <w:t xml:space="preserve">egislative </w:t>
      </w:r>
      <w:r>
        <w:t>i</w:t>
      </w:r>
      <w:r w:rsidRPr="00247F54">
        <w:t>nstrument is compatible with human rights as it does not raise any human rights issues.</w:t>
      </w:r>
    </w:p>
    <w:p w:rsidR="00FF6057" w:rsidRPr="00E4135E" w:rsidRDefault="00FF6057" w:rsidP="00FF6057">
      <w:pPr>
        <w:pStyle w:val="BodyText"/>
        <w:spacing w:before="199"/>
      </w:pPr>
    </w:p>
    <w:p w:rsidR="000076D6" w:rsidRDefault="000076D6" w:rsidP="00FF6057">
      <w:pPr>
        <w:pStyle w:val="BodyText"/>
        <w:spacing w:before="199"/>
      </w:pPr>
    </w:p>
    <w:sectPr w:rsidR="000076D6" w:rsidSect="007862E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971" w:rsidRDefault="000C2971">
      <w:pPr>
        <w:spacing w:after="0"/>
      </w:pPr>
      <w:r>
        <w:separator/>
      </w:r>
    </w:p>
  </w:endnote>
  <w:endnote w:type="continuationSeparator" w:id="0">
    <w:p w:rsidR="000C2971" w:rsidRDefault="000C2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7862EF">
    <w:pPr>
      <w:pStyle w:val="Footer"/>
      <w:framePr w:wrap="around" w:vAnchor="text" w:hAnchor="margin" w:xAlign="right" w:y="1"/>
      <w:rPr>
        <w:rStyle w:val="PageNumber"/>
      </w:rPr>
    </w:pPr>
    <w:r>
      <w:rPr>
        <w:rStyle w:val="PageNumber"/>
      </w:rPr>
      <w:fldChar w:fldCharType="begin"/>
    </w:r>
    <w:r w:rsidR="005B0E3A">
      <w:rPr>
        <w:rStyle w:val="PageNumber"/>
      </w:rPr>
      <w:instrText xml:space="preserve">PAGE  </w:instrText>
    </w:r>
    <w:r>
      <w:rPr>
        <w:rStyle w:val="PageNumber"/>
      </w:rPr>
      <w:fldChar w:fldCharType="separate"/>
    </w:r>
    <w:r w:rsidR="005B0E3A">
      <w:rPr>
        <w:rStyle w:val="PageNumber"/>
        <w:noProof/>
      </w:rPr>
      <w:t>i</w:t>
    </w:r>
    <w:r>
      <w:rPr>
        <w:rStyle w:val="PageNumber"/>
      </w:rPr>
      <w:fldChar w:fldCharType="end"/>
    </w:r>
  </w:p>
  <w:p w:rsidR="00C27A4B" w:rsidRDefault="005816FA">
    <w:pPr>
      <w:pStyle w:val="Footer"/>
      <w:ind w:right="360"/>
    </w:pPr>
  </w:p>
  <w:p w:rsidR="00C27A4B" w:rsidRDefault="005816FA"/>
  <w:p w:rsidR="00C27A4B" w:rsidRDefault="005816FA"/>
  <w:p w:rsidR="00C27A4B" w:rsidRDefault="005816FA"/>
  <w:p w:rsidR="00C27A4B" w:rsidRDefault="005816FA"/>
  <w:p w:rsidR="00C27A4B" w:rsidRDefault="005816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639025"/>
      <w:docPartObj>
        <w:docPartGallery w:val="Page Numbers (Bottom of Page)"/>
        <w:docPartUnique/>
      </w:docPartObj>
    </w:sdtPr>
    <w:sdtEndPr>
      <w:rPr>
        <w:noProof/>
      </w:rPr>
    </w:sdtEndPr>
    <w:sdtContent>
      <w:p w:rsidR="00B6296E" w:rsidRDefault="00B6296E">
        <w:pPr>
          <w:pStyle w:val="Footer"/>
          <w:jc w:val="center"/>
        </w:pPr>
        <w:r>
          <w:fldChar w:fldCharType="begin"/>
        </w:r>
        <w:r>
          <w:instrText xml:space="preserve"> PAGE   \* MERGEFORMAT </w:instrText>
        </w:r>
        <w:r>
          <w:fldChar w:fldCharType="separate"/>
        </w:r>
        <w:r w:rsidR="005816FA">
          <w:rPr>
            <w:noProof/>
          </w:rPr>
          <w:t>1</w:t>
        </w:r>
        <w:r>
          <w:rPr>
            <w:noProof/>
          </w:rPr>
          <w:fldChar w:fldCharType="end"/>
        </w:r>
      </w:p>
    </w:sdtContent>
  </w:sdt>
  <w:p w:rsidR="00B6296E" w:rsidRDefault="00B62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971" w:rsidRDefault="000C2971">
      <w:pPr>
        <w:spacing w:after="0"/>
      </w:pPr>
      <w:r>
        <w:separator/>
      </w:r>
    </w:p>
  </w:footnote>
  <w:footnote w:type="continuationSeparator" w:id="0">
    <w:p w:rsidR="000C2971" w:rsidRDefault="000C29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816FA"/>
  <w:p w:rsidR="00C27A4B" w:rsidRDefault="005816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8200B3"/>
    <w:multiLevelType w:val="hybridMultilevel"/>
    <w:tmpl w:val="533CA1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09D21D0"/>
    <w:multiLevelType w:val="hybridMultilevel"/>
    <w:tmpl w:val="D312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2BE6DAC"/>
    <w:multiLevelType w:val="hybridMultilevel"/>
    <w:tmpl w:val="4B8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3FA3648"/>
    <w:multiLevelType w:val="hybridMultilevel"/>
    <w:tmpl w:val="0F801F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B8C1A40"/>
    <w:multiLevelType w:val="hybridMultilevel"/>
    <w:tmpl w:val="5AE68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99051FF"/>
    <w:multiLevelType w:val="hybridMultilevel"/>
    <w:tmpl w:val="D00CF8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703117"/>
    <w:multiLevelType w:val="hybridMultilevel"/>
    <w:tmpl w:val="0F801F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8"/>
  </w:num>
  <w:num w:numId="3">
    <w:abstractNumId w:val="11"/>
  </w:num>
  <w:num w:numId="4">
    <w:abstractNumId w:val="17"/>
  </w:num>
  <w:num w:numId="5">
    <w:abstractNumId w:val="6"/>
  </w:num>
  <w:num w:numId="6">
    <w:abstractNumId w:val="5"/>
  </w:num>
  <w:num w:numId="7">
    <w:abstractNumId w:val="10"/>
  </w:num>
  <w:num w:numId="8">
    <w:abstractNumId w:val="3"/>
  </w:num>
  <w:num w:numId="9">
    <w:abstractNumId w:val="1"/>
  </w:num>
  <w:num w:numId="10">
    <w:abstractNumId w:val="0"/>
  </w:num>
  <w:num w:numId="11">
    <w:abstractNumId w:val="9"/>
  </w:num>
  <w:num w:numId="12">
    <w:abstractNumId w:val="16"/>
  </w:num>
  <w:num w:numId="13">
    <w:abstractNumId w:val="12"/>
  </w:num>
  <w:num w:numId="14">
    <w:abstractNumId w:val="7"/>
  </w:num>
  <w:num w:numId="15">
    <w:abstractNumId w:val="15"/>
  </w:num>
  <w:num w:numId="16">
    <w:abstractNumId w:val="13"/>
  </w:num>
  <w:num w:numId="17">
    <w:abstractNumId w:val="8"/>
  </w:num>
  <w:num w:numId="18">
    <w:abstractNumId w:val="2"/>
  </w:num>
  <w:num w:numId="19">
    <w:abstractNumId w:val="20"/>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4558"/>
    <w:rsid w:val="000076D6"/>
    <w:rsid w:val="00021127"/>
    <w:rsid w:val="0006558E"/>
    <w:rsid w:val="000735FA"/>
    <w:rsid w:val="000C2971"/>
    <w:rsid w:val="00102D7B"/>
    <w:rsid w:val="00175E44"/>
    <w:rsid w:val="00176D17"/>
    <w:rsid w:val="00195BBC"/>
    <w:rsid w:val="001A3BEC"/>
    <w:rsid w:val="001C2F0D"/>
    <w:rsid w:val="001D4320"/>
    <w:rsid w:val="001D6FE4"/>
    <w:rsid w:val="001E3E73"/>
    <w:rsid w:val="00211524"/>
    <w:rsid w:val="00242D8F"/>
    <w:rsid w:val="00265D1E"/>
    <w:rsid w:val="0026643B"/>
    <w:rsid w:val="0032561D"/>
    <w:rsid w:val="00362C5B"/>
    <w:rsid w:val="00415563"/>
    <w:rsid w:val="00425614"/>
    <w:rsid w:val="00434ED9"/>
    <w:rsid w:val="0047593F"/>
    <w:rsid w:val="00477C69"/>
    <w:rsid w:val="00485DB9"/>
    <w:rsid w:val="004D3516"/>
    <w:rsid w:val="00540A04"/>
    <w:rsid w:val="005816FA"/>
    <w:rsid w:val="005B0E3A"/>
    <w:rsid w:val="005B20A5"/>
    <w:rsid w:val="005D2184"/>
    <w:rsid w:val="00605A73"/>
    <w:rsid w:val="00610E79"/>
    <w:rsid w:val="006C1FA7"/>
    <w:rsid w:val="007272FB"/>
    <w:rsid w:val="00727610"/>
    <w:rsid w:val="007862EF"/>
    <w:rsid w:val="007C2D2C"/>
    <w:rsid w:val="007C43D7"/>
    <w:rsid w:val="007E6A32"/>
    <w:rsid w:val="007F2F6E"/>
    <w:rsid w:val="008123B1"/>
    <w:rsid w:val="00853AF9"/>
    <w:rsid w:val="008619E8"/>
    <w:rsid w:val="00994E91"/>
    <w:rsid w:val="009E3017"/>
    <w:rsid w:val="00A13E19"/>
    <w:rsid w:val="00A17DB0"/>
    <w:rsid w:val="00A45C0C"/>
    <w:rsid w:val="00A6023E"/>
    <w:rsid w:val="00AC02C2"/>
    <w:rsid w:val="00AC50D4"/>
    <w:rsid w:val="00AF62B4"/>
    <w:rsid w:val="00B23521"/>
    <w:rsid w:val="00B6296E"/>
    <w:rsid w:val="00D44436"/>
    <w:rsid w:val="00D778CD"/>
    <w:rsid w:val="00D84384"/>
    <w:rsid w:val="00D84C27"/>
    <w:rsid w:val="00D9138C"/>
    <w:rsid w:val="00D92DFD"/>
    <w:rsid w:val="00DB6FA3"/>
    <w:rsid w:val="00E5105B"/>
    <w:rsid w:val="00E608B0"/>
    <w:rsid w:val="00F26391"/>
    <w:rsid w:val="00F447E2"/>
    <w:rsid w:val="00F8685C"/>
    <w:rsid w:val="00FC6D46"/>
    <w:rsid w:val="00FF60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7C2D2C"/>
    <w:rPr>
      <w:sz w:val="24"/>
      <w:lang w:eastAsia="en-US"/>
    </w:rPr>
  </w:style>
  <w:style w:type="paragraph" w:styleId="BalloonText">
    <w:name w:val="Balloon Text"/>
    <w:basedOn w:val="Normal"/>
    <w:link w:val="BalloonTextChar"/>
    <w:uiPriority w:val="99"/>
    <w:semiHidden/>
    <w:unhideWhenUsed/>
    <w:rsid w:val="002664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7C2D2C"/>
    <w:rPr>
      <w:sz w:val="24"/>
      <w:lang w:eastAsia="en-US"/>
    </w:rPr>
  </w:style>
  <w:style w:type="paragraph" w:styleId="BalloonText">
    <w:name w:val="Balloon Text"/>
    <w:basedOn w:val="Normal"/>
    <w:link w:val="BalloonTextChar"/>
    <w:uiPriority w:val="99"/>
    <w:semiHidden/>
    <w:unhideWhenUsed/>
    <w:rsid w:val="002664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2179">
      <w:bodyDiv w:val="1"/>
      <w:marLeft w:val="0"/>
      <w:marRight w:val="0"/>
      <w:marTop w:val="0"/>
      <w:marBottom w:val="0"/>
      <w:divBdr>
        <w:top w:val="none" w:sz="0" w:space="0" w:color="auto"/>
        <w:left w:val="none" w:sz="0" w:space="0" w:color="auto"/>
        <w:bottom w:val="none" w:sz="0" w:space="0" w:color="auto"/>
        <w:right w:val="none" w:sz="0" w:space="0" w:color="auto"/>
      </w:divBdr>
    </w:div>
    <w:div w:id="683022353">
      <w:bodyDiv w:val="1"/>
      <w:marLeft w:val="0"/>
      <w:marRight w:val="0"/>
      <w:marTop w:val="0"/>
      <w:marBottom w:val="0"/>
      <w:divBdr>
        <w:top w:val="none" w:sz="0" w:space="0" w:color="auto"/>
        <w:left w:val="none" w:sz="0" w:space="0" w:color="auto"/>
        <w:bottom w:val="none" w:sz="0" w:space="0" w:color="auto"/>
        <w:right w:val="none" w:sz="0" w:space="0" w:color="auto"/>
      </w:divBdr>
    </w:div>
    <w:div w:id="1297644198">
      <w:bodyDiv w:val="1"/>
      <w:marLeft w:val="0"/>
      <w:marRight w:val="0"/>
      <w:marTop w:val="0"/>
      <w:marBottom w:val="0"/>
      <w:divBdr>
        <w:top w:val="none" w:sz="0" w:space="0" w:color="auto"/>
        <w:left w:val="none" w:sz="0" w:space="0" w:color="auto"/>
        <w:bottom w:val="none" w:sz="0" w:space="0" w:color="auto"/>
        <w:right w:val="none" w:sz="0" w:space="0" w:color="auto"/>
      </w:divBdr>
    </w:div>
    <w:div w:id="1953392702">
      <w:bodyDiv w:val="1"/>
      <w:marLeft w:val="0"/>
      <w:marRight w:val="0"/>
      <w:marTop w:val="0"/>
      <w:marBottom w:val="0"/>
      <w:divBdr>
        <w:top w:val="none" w:sz="0" w:space="0" w:color="auto"/>
        <w:left w:val="none" w:sz="0" w:space="0" w:color="auto"/>
        <w:bottom w:val="none" w:sz="0" w:space="0" w:color="auto"/>
        <w:right w:val="none" w:sz="0" w:space="0" w:color="auto"/>
      </w:divBdr>
    </w:div>
    <w:div w:id="20297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ACB5-86BA-4C91-BA6D-772686BA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1339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nayanisha.samarakoon</cp:lastModifiedBy>
  <cp:revision>3</cp:revision>
  <dcterms:created xsi:type="dcterms:W3CDTF">2014-12-14T21:47:00Z</dcterms:created>
  <dcterms:modified xsi:type="dcterms:W3CDTF">2014-12-14T22:00:00Z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A4332383</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2014-11-20T22:09:27Z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2014-11-20T22:12:17Z</vt:filetime>
  </property>
  <property fmtid="{D5CDD505-2E9C-101B-9397-08002B2CF9AE}" pid="10" name="Objective-ModificationStamp">
    <vt:filetime>2014-11-21T02:12:38Z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 materials:Explanatory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