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51" w:rsidRDefault="005A798F" w:rsidP="005A798F">
      <w:pPr>
        <w:pStyle w:val="Heading3"/>
        <w:jc w:val="center"/>
        <w:rPr>
          <w:sz w:val="32"/>
          <w:szCs w:val="32"/>
          <w:u w:val="single"/>
          <w:lang w:val="en-AU"/>
        </w:rPr>
      </w:pPr>
      <w:bookmarkStart w:id="0" w:name="_GoBack"/>
      <w:bookmarkEnd w:id="0"/>
      <w:r w:rsidRPr="005A798F">
        <w:rPr>
          <w:sz w:val="32"/>
          <w:szCs w:val="32"/>
          <w:u w:val="single"/>
          <w:lang w:val="en-AU"/>
        </w:rPr>
        <w:t>EXPLANATORY STATEMENT</w:t>
      </w:r>
    </w:p>
    <w:p w:rsidR="005A798F" w:rsidRDefault="005A798F" w:rsidP="005A798F">
      <w:pPr>
        <w:rPr>
          <w:lang w:val="en-AU"/>
        </w:rPr>
      </w:pPr>
    </w:p>
    <w:p w:rsidR="005A798F" w:rsidRDefault="005A798F" w:rsidP="005A798F">
      <w:pPr>
        <w:jc w:val="center"/>
        <w:rPr>
          <w:lang w:val="en-AU"/>
        </w:rPr>
      </w:pPr>
      <w:r>
        <w:rPr>
          <w:lang w:val="en-AU"/>
        </w:rPr>
        <w:t xml:space="preserve">Issued by the Authority of the Minister for </w:t>
      </w:r>
      <w:r w:rsidR="00F147AD">
        <w:rPr>
          <w:lang w:val="en-AU"/>
        </w:rPr>
        <w:t>Health</w:t>
      </w:r>
    </w:p>
    <w:p w:rsidR="005A798F" w:rsidRDefault="005A798F" w:rsidP="005A798F">
      <w:pPr>
        <w:jc w:val="center"/>
        <w:rPr>
          <w:lang w:val="en-AU"/>
        </w:rPr>
      </w:pPr>
    </w:p>
    <w:p w:rsidR="005A798F" w:rsidRDefault="005A798F" w:rsidP="005A798F">
      <w:pPr>
        <w:jc w:val="center"/>
        <w:rPr>
          <w:i/>
          <w:lang w:val="en-AU"/>
        </w:rPr>
      </w:pPr>
      <w:r w:rsidRPr="005A798F">
        <w:rPr>
          <w:i/>
          <w:lang w:val="en-AU"/>
        </w:rPr>
        <w:t>Major Sporting Events (Indicia and Images) Protection Act 2014</w:t>
      </w:r>
    </w:p>
    <w:p w:rsidR="005A798F" w:rsidRDefault="005A798F" w:rsidP="005A798F">
      <w:pPr>
        <w:jc w:val="center"/>
        <w:rPr>
          <w:i/>
          <w:lang w:val="en-AU"/>
        </w:rPr>
      </w:pPr>
    </w:p>
    <w:p w:rsidR="005A798F" w:rsidRPr="009F169B" w:rsidRDefault="005A798F" w:rsidP="009F169B">
      <w:pPr>
        <w:ind w:right="-58"/>
        <w:jc w:val="center"/>
        <w:rPr>
          <w:i/>
          <w:lang w:val="en-AU"/>
        </w:rPr>
      </w:pPr>
      <w:r w:rsidRPr="009F169B">
        <w:rPr>
          <w:i/>
          <w:lang w:val="en-AU"/>
        </w:rPr>
        <w:t xml:space="preserve">Major Sporting Events (Indicia and Images) Protection </w:t>
      </w:r>
      <w:r w:rsidR="009F169B" w:rsidRPr="009F169B">
        <w:rPr>
          <w:i/>
          <w:lang w:val="en-AU"/>
        </w:rPr>
        <w:t xml:space="preserve">Amendment </w:t>
      </w:r>
      <w:r w:rsidRPr="009F169B">
        <w:rPr>
          <w:i/>
          <w:lang w:val="en-AU"/>
        </w:rPr>
        <w:t>Rules 2014</w:t>
      </w:r>
      <w:r w:rsidR="009F169B">
        <w:rPr>
          <w:i/>
          <w:lang w:val="en-AU"/>
        </w:rPr>
        <w:t xml:space="preserve"> (No.</w:t>
      </w:r>
      <w:r w:rsidR="009F169B" w:rsidRPr="009F169B">
        <w:rPr>
          <w:i/>
          <w:lang w:val="en-AU"/>
        </w:rPr>
        <w:t>1)</w:t>
      </w:r>
    </w:p>
    <w:p w:rsidR="005A798F" w:rsidRDefault="005A798F" w:rsidP="005A798F">
      <w:pPr>
        <w:jc w:val="center"/>
        <w:rPr>
          <w:i/>
          <w:lang w:val="en-AU"/>
        </w:rPr>
      </w:pPr>
    </w:p>
    <w:p w:rsidR="005A798F" w:rsidRPr="00292E4C" w:rsidRDefault="005A798F" w:rsidP="005A798F">
      <w:pPr>
        <w:rPr>
          <w:lang w:val="en-AU"/>
        </w:rPr>
      </w:pPr>
      <w:r w:rsidRPr="00292E4C">
        <w:rPr>
          <w:lang w:val="en-AU"/>
        </w:rPr>
        <w:t xml:space="preserve">Section 58 of the </w:t>
      </w:r>
      <w:r w:rsidRPr="00292E4C">
        <w:rPr>
          <w:i/>
          <w:lang w:val="en-AU"/>
        </w:rPr>
        <w:t>Major Sporting Events (Indicia and Images) Protection Act 2014</w:t>
      </w:r>
      <w:r w:rsidR="00530822">
        <w:rPr>
          <w:lang w:val="en-AU"/>
        </w:rPr>
        <w:t xml:space="preserve"> (the Act) </w:t>
      </w:r>
      <w:r w:rsidRPr="00292E4C">
        <w:rPr>
          <w:lang w:val="en-AU"/>
        </w:rPr>
        <w:t>provides that the Minister may, by legislative instrument, make rules prescribing matters required or permitted by this Act to be prescribed by the rules or necessary or convenient to be prescribed for carrying out or giving effect to this Act.</w:t>
      </w:r>
    </w:p>
    <w:p w:rsidR="005A798F" w:rsidRPr="00292E4C" w:rsidRDefault="005A798F" w:rsidP="005A798F">
      <w:pPr>
        <w:rPr>
          <w:lang w:val="en-AU"/>
        </w:rPr>
      </w:pPr>
    </w:p>
    <w:p w:rsidR="00604406" w:rsidRPr="00292E4C" w:rsidRDefault="00604406" w:rsidP="005A798F">
      <w:pPr>
        <w:rPr>
          <w:lang w:val="en-AU"/>
        </w:rPr>
      </w:pPr>
      <w:r w:rsidRPr="00292E4C">
        <w:rPr>
          <w:lang w:val="en-AU"/>
        </w:rPr>
        <w:t xml:space="preserve">The Act </w:t>
      </w:r>
      <w:r w:rsidR="00292E4C" w:rsidRPr="00292E4C">
        <w:t xml:space="preserve">commenced on 1 July 2014 and </w:t>
      </w:r>
      <w:r w:rsidRPr="00292E4C">
        <w:rPr>
          <w:lang w:val="en-AU"/>
        </w:rPr>
        <w:t xml:space="preserve">provides protection </w:t>
      </w:r>
      <w:r w:rsidR="00530822">
        <w:rPr>
          <w:lang w:val="en-AU"/>
        </w:rPr>
        <w:t xml:space="preserve">in relation to the use </w:t>
      </w:r>
      <w:r w:rsidR="00C53B86">
        <w:rPr>
          <w:lang w:val="en-AU"/>
        </w:rPr>
        <w:t xml:space="preserve">of protected indicia and images </w:t>
      </w:r>
      <w:r w:rsidR="00530822">
        <w:rPr>
          <w:lang w:val="en-AU"/>
        </w:rPr>
        <w:t xml:space="preserve">for </w:t>
      </w:r>
      <w:r w:rsidRPr="00292E4C">
        <w:rPr>
          <w:lang w:val="en-AU"/>
        </w:rPr>
        <w:t>commercial</w:t>
      </w:r>
      <w:r w:rsidR="00530822">
        <w:rPr>
          <w:lang w:val="en-AU"/>
        </w:rPr>
        <w:t xml:space="preserve"> purposes</w:t>
      </w:r>
      <w:r w:rsidRPr="00292E4C">
        <w:rPr>
          <w:lang w:val="en-AU"/>
        </w:rPr>
        <w:t xml:space="preserve"> </w:t>
      </w:r>
      <w:r w:rsidR="00555C8F">
        <w:rPr>
          <w:lang w:val="en-AU"/>
        </w:rPr>
        <w:t xml:space="preserve">in </w:t>
      </w:r>
      <w:r w:rsidR="00530822">
        <w:rPr>
          <w:lang w:val="en-AU"/>
        </w:rPr>
        <w:t>connect</w:t>
      </w:r>
      <w:r w:rsidR="00555C8F">
        <w:rPr>
          <w:lang w:val="en-AU"/>
        </w:rPr>
        <w:t>ion</w:t>
      </w:r>
      <w:r w:rsidR="00530822">
        <w:rPr>
          <w:lang w:val="en-AU"/>
        </w:rPr>
        <w:t xml:space="preserve"> with </w:t>
      </w:r>
      <w:r w:rsidRPr="00292E4C">
        <w:rPr>
          <w:lang w:val="en-AU"/>
        </w:rPr>
        <w:t>the Asian Football Confederation (AFC) Asian Cup 2015</w:t>
      </w:r>
      <w:r w:rsidR="00530822">
        <w:rPr>
          <w:lang w:val="en-AU"/>
        </w:rPr>
        <w:t>;</w:t>
      </w:r>
      <w:r w:rsidRPr="00292E4C">
        <w:rPr>
          <w:lang w:val="en-AU"/>
        </w:rPr>
        <w:t xml:space="preserve"> the International Cricket Council (ICC) Cricket World Cup 2015</w:t>
      </w:r>
      <w:r w:rsidR="00530822">
        <w:rPr>
          <w:lang w:val="en-AU"/>
        </w:rPr>
        <w:t>;</w:t>
      </w:r>
      <w:r w:rsidRPr="00292E4C">
        <w:rPr>
          <w:lang w:val="en-AU"/>
        </w:rPr>
        <w:t xml:space="preserve"> and the Gold Coast 2018 Commonwealth Games. </w:t>
      </w:r>
    </w:p>
    <w:p w:rsidR="00604406" w:rsidRPr="00292E4C" w:rsidRDefault="00604406" w:rsidP="005A798F">
      <w:pPr>
        <w:rPr>
          <w:lang w:val="en-AU"/>
        </w:rPr>
      </w:pPr>
    </w:p>
    <w:p w:rsidR="00292E4C" w:rsidRPr="00292E4C" w:rsidRDefault="00C53B86" w:rsidP="00292E4C">
      <w:r>
        <w:t>T</w:t>
      </w:r>
      <w:r w:rsidR="009A6E07">
        <w:t xml:space="preserve">he </w:t>
      </w:r>
      <w:r w:rsidR="009A6E07">
        <w:rPr>
          <w:i/>
        </w:rPr>
        <w:t>Major Sporting Events (Indicia and Images) Protection Rules 2014</w:t>
      </w:r>
      <w:r w:rsidR="009A6E07">
        <w:t xml:space="preserve"> </w:t>
      </w:r>
      <w:r w:rsidR="00F7647E">
        <w:t xml:space="preserve">(the </w:t>
      </w:r>
      <w:r>
        <w:t xml:space="preserve">Principal </w:t>
      </w:r>
      <w:r w:rsidR="00F7647E">
        <w:t xml:space="preserve">Rules) </w:t>
      </w:r>
      <w:r w:rsidR="00033949">
        <w:t xml:space="preserve">commenced on 1 July 2014 to </w:t>
      </w:r>
      <w:r>
        <w:t xml:space="preserve">support </w:t>
      </w:r>
      <w:r w:rsidR="00033949">
        <w:t>the commencement of the Act.</w:t>
      </w:r>
      <w:r w:rsidR="00292E4C" w:rsidRPr="00292E4C">
        <w:t xml:space="preserve">  </w:t>
      </w:r>
      <w:r>
        <w:t xml:space="preserve">The </w:t>
      </w:r>
      <w:r>
        <w:rPr>
          <w:i/>
        </w:rPr>
        <w:t xml:space="preserve">Major Sporting Events (Indicia and Images) Protection Amendment Rules 2014 </w:t>
      </w:r>
      <w:r w:rsidR="00984C60">
        <w:rPr>
          <w:i/>
        </w:rPr>
        <w:br/>
      </w:r>
      <w:r>
        <w:rPr>
          <w:i/>
        </w:rPr>
        <w:t>(No. 1)</w:t>
      </w:r>
      <w:r w:rsidR="008873E1">
        <w:rPr>
          <w:i/>
        </w:rPr>
        <w:t xml:space="preserve"> </w:t>
      </w:r>
      <w:r>
        <w:t>(the Amendment Rules) amend the Principal Rules to</w:t>
      </w:r>
      <w:r w:rsidR="00292E4C" w:rsidRPr="00292E4C">
        <w:t>:</w:t>
      </w:r>
    </w:p>
    <w:p w:rsidR="00292E4C" w:rsidRPr="00292E4C" w:rsidRDefault="00D21265" w:rsidP="00292E4C">
      <w:pPr>
        <w:pStyle w:val="ListParagraph"/>
        <w:numPr>
          <w:ilvl w:val="0"/>
          <w:numId w:val="5"/>
        </w:numPr>
      </w:pPr>
      <w:r>
        <w:t>P</w:t>
      </w:r>
      <w:r w:rsidR="006977E5">
        <w:t xml:space="preserve">rescribe </w:t>
      </w:r>
      <w:r w:rsidR="00F7647E">
        <w:t>provisions</w:t>
      </w:r>
      <w:r w:rsidR="00555C8F">
        <w:t xml:space="preserve"> </w:t>
      </w:r>
      <w:r w:rsidR="00F7647E">
        <w:t>of</w:t>
      </w:r>
      <w:r w:rsidR="00292E4C" w:rsidRPr="00292E4C">
        <w:t xml:space="preserve"> State and Territory major events legislation</w:t>
      </w:r>
      <w:r w:rsidR="00F7647E">
        <w:t xml:space="preserve"> for the purposes of subsection 48(6) of the Act</w:t>
      </w:r>
      <w:r w:rsidR="00555C8F">
        <w:t xml:space="preserve">.  </w:t>
      </w:r>
      <w:r w:rsidR="006977E5">
        <w:t xml:space="preserve">Sections 48(6),(7)&amp;(8) of the Act are intended </w:t>
      </w:r>
      <w:r w:rsidR="00555C8F">
        <w:t xml:space="preserve">to reduce the likelihood of a plaintiff double dipping by seeking damages or an account of profits under both the </w:t>
      </w:r>
      <w:r w:rsidR="00C53B86">
        <w:t xml:space="preserve">Commonwealth and </w:t>
      </w:r>
      <w:r w:rsidR="00555C8F">
        <w:t xml:space="preserve">any </w:t>
      </w:r>
      <w:r w:rsidR="00C53B86">
        <w:t>State and Territory legislation</w:t>
      </w:r>
      <w:r w:rsidR="000B6035">
        <w:t>;</w:t>
      </w:r>
      <w:r w:rsidR="00555C8F">
        <w:t xml:space="preserve"> </w:t>
      </w:r>
    </w:p>
    <w:p w:rsidR="00292E4C" w:rsidRPr="00292E4C" w:rsidRDefault="00D21265" w:rsidP="00292E4C">
      <w:pPr>
        <w:pStyle w:val="ListParagraph"/>
        <w:numPr>
          <w:ilvl w:val="0"/>
          <w:numId w:val="5"/>
        </w:numPr>
      </w:pPr>
      <w:r>
        <w:t>P</w:t>
      </w:r>
      <w:r w:rsidR="006977E5">
        <w:t xml:space="preserve">rescribe </w:t>
      </w:r>
      <w:r w:rsidR="00033949">
        <w:t xml:space="preserve">a document </w:t>
      </w:r>
      <w:r w:rsidR="006977E5">
        <w:t>for the purposes of subsection 23(3) of the Act</w:t>
      </w:r>
      <w:r w:rsidR="00292E4C" w:rsidRPr="00292E4C">
        <w:t xml:space="preserve"> </w:t>
      </w:r>
      <w:r w:rsidR="00DD3DF8">
        <w:t>that must</w:t>
      </w:r>
      <w:r w:rsidR="00033949">
        <w:t xml:space="preserve"> </w:t>
      </w:r>
      <w:r w:rsidR="00DD3DF8">
        <w:t xml:space="preserve">accompany a notice </w:t>
      </w:r>
      <w:r w:rsidR="00C53B86">
        <w:t xml:space="preserve">of </w:t>
      </w:r>
      <w:r w:rsidR="00292E4C" w:rsidRPr="00292E4C">
        <w:t>objecti</w:t>
      </w:r>
      <w:r w:rsidR="00C53B86">
        <w:t>on to the importation of goods that use protected indicia and images.  The document prescribed is a Deed of Undertaking</w:t>
      </w:r>
      <w:r w:rsidR="006977E5">
        <w:t xml:space="preserve"> that must be provided that the Undertaker Giver undertakes to pay the Commonwealth the expenses of seizing any goods</w:t>
      </w:r>
      <w:r w:rsidR="00C53B86">
        <w:t>;</w:t>
      </w:r>
      <w:r w:rsidR="00292E4C" w:rsidRPr="00292E4C">
        <w:t xml:space="preserve"> and</w:t>
      </w:r>
    </w:p>
    <w:p w:rsidR="00292E4C" w:rsidRDefault="00D21265" w:rsidP="00292E4C">
      <w:pPr>
        <w:pStyle w:val="ListParagraph"/>
        <w:numPr>
          <w:ilvl w:val="0"/>
          <w:numId w:val="5"/>
        </w:numPr>
      </w:pPr>
      <w:r>
        <w:t>P</w:t>
      </w:r>
      <w:r w:rsidR="006977E5">
        <w:t xml:space="preserve">rescribe </w:t>
      </w:r>
      <w:r w:rsidR="00C53B86">
        <w:t xml:space="preserve">additional </w:t>
      </w:r>
      <w:r w:rsidR="00292E4C">
        <w:t>protected in</w:t>
      </w:r>
      <w:r w:rsidR="001231FA">
        <w:t>dic</w:t>
      </w:r>
      <w:r w:rsidR="00292E4C">
        <w:t xml:space="preserve">ia </w:t>
      </w:r>
      <w:r w:rsidR="00555C8F">
        <w:t xml:space="preserve">for the purposes of </w:t>
      </w:r>
      <w:r w:rsidR="00033949">
        <w:t>Schedule 1</w:t>
      </w:r>
      <w:r w:rsidR="00555C8F">
        <w:t xml:space="preserve"> of the Act which relates to the</w:t>
      </w:r>
      <w:r w:rsidR="00033949">
        <w:t xml:space="preserve"> AFC Asian Cup 2015</w:t>
      </w:r>
      <w:r w:rsidR="00555C8F">
        <w:t xml:space="preserve">.  The additional protected indicia are </w:t>
      </w:r>
      <w:r w:rsidR="00033949">
        <w:t xml:space="preserve">a result of </w:t>
      </w:r>
      <w:r>
        <w:t>finalising</w:t>
      </w:r>
      <w:r w:rsidR="00292E4C">
        <w:t xml:space="preserve"> event marketing campaigns.  </w:t>
      </w:r>
    </w:p>
    <w:p w:rsidR="00555C8F" w:rsidRDefault="00555C8F" w:rsidP="000B6035"/>
    <w:p w:rsidR="004C588F" w:rsidRPr="00292E4C" w:rsidRDefault="00292E4C" w:rsidP="005A798F">
      <w:pPr>
        <w:rPr>
          <w:lang w:val="en-AU"/>
        </w:rPr>
      </w:pPr>
      <w:r w:rsidRPr="00292E4C">
        <w:rPr>
          <w:lang w:val="en-AU"/>
        </w:rPr>
        <w:t xml:space="preserve">The </w:t>
      </w:r>
      <w:r w:rsidR="00C53B86">
        <w:rPr>
          <w:lang w:val="en-AU"/>
        </w:rPr>
        <w:t xml:space="preserve">Amendment </w:t>
      </w:r>
      <w:r w:rsidRPr="00292E4C">
        <w:rPr>
          <w:lang w:val="en-AU"/>
        </w:rPr>
        <w:t>Rules commence on 1 January 2015</w:t>
      </w:r>
      <w:r w:rsidRPr="00292E4C">
        <w:t>.</w:t>
      </w:r>
    </w:p>
    <w:p w:rsidR="00BC272A" w:rsidRPr="00292E4C" w:rsidRDefault="00BC272A" w:rsidP="005A798F">
      <w:pPr>
        <w:rPr>
          <w:lang w:val="en-AU"/>
        </w:rPr>
      </w:pPr>
    </w:p>
    <w:p w:rsidR="00A56EFE" w:rsidRDefault="00A56EFE" w:rsidP="005A798F">
      <w:pPr>
        <w:rPr>
          <w:b/>
          <w:lang w:val="en-AU"/>
        </w:rPr>
      </w:pPr>
      <w:r>
        <w:rPr>
          <w:b/>
          <w:lang w:val="en-AU"/>
        </w:rPr>
        <w:t>Consultation</w:t>
      </w:r>
    </w:p>
    <w:p w:rsidR="00A56EFE" w:rsidRDefault="00A56EFE" w:rsidP="005A798F">
      <w:pPr>
        <w:rPr>
          <w:b/>
          <w:lang w:val="en-AU"/>
        </w:rPr>
      </w:pPr>
    </w:p>
    <w:p w:rsidR="00A56EFE" w:rsidRPr="00456EB6" w:rsidRDefault="00A56EFE" w:rsidP="000B6035">
      <w:pPr>
        <w:ind w:right="-58"/>
        <w:rPr>
          <w:lang w:val="en-AU"/>
        </w:rPr>
      </w:pPr>
      <w:r w:rsidRPr="00456EB6">
        <w:rPr>
          <w:lang w:val="en-AU"/>
        </w:rPr>
        <w:t xml:space="preserve">The </w:t>
      </w:r>
      <w:r w:rsidR="00775A5E" w:rsidRPr="00456EB6">
        <w:rPr>
          <w:lang w:val="en-AU"/>
        </w:rPr>
        <w:t>M</w:t>
      </w:r>
      <w:r w:rsidRPr="00456EB6">
        <w:rPr>
          <w:lang w:val="en-AU"/>
        </w:rPr>
        <w:t xml:space="preserve">ajor Events Taskforce in the </w:t>
      </w:r>
      <w:r w:rsidR="00775A5E" w:rsidRPr="00456EB6">
        <w:rPr>
          <w:lang w:val="en-AU"/>
        </w:rPr>
        <w:t>Office for Sport</w:t>
      </w:r>
      <w:r w:rsidR="000B6035">
        <w:rPr>
          <w:lang w:val="en-AU"/>
        </w:rPr>
        <w:t>,</w:t>
      </w:r>
      <w:r w:rsidR="00775A5E" w:rsidRPr="00456EB6">
        <w:rPr>
          <w:lang w:val="en-AU"/>
        </w:rPr>
        <w:t xml:space="preserve"> </w:t>
      </w:r>
      <w:r w:rsidRPr="00456EB6">
        <w:rPr>
          <w:lang w:val="en-AU"/>
        </w:rPr>
        <w:t>Department of Health</w:t>
      </w:r>
      <w:r w:rsidR="00D21265">
        <w:rPr>
          <w:lang w:val="en-AU"/>
        </w:rPr>
        <w:t>,</w:t>
      </w:r>
      <w:r w:rsidR="00775A5E" w:rsidRPr="00456EB6">
        <w:rPr>
          <w:lang w:val="en-AU"/>
        </w:rPr>
        <w:t xml:space="preserve"> has consulted with Australian Government agencies and state and territory governments to develop the</w:t>
      </w:r>
      <w:r w:rsidR="008873E1">
        <w:rPr>
          <w:lang w:val="en-AU"/>
        </w:rPr>
        <w:t xml:space="preserve"> </w:t>
      </w:r>
      <w:r w:rsidR="00DF54E1">
        <w:rPr>
          <w:lang w:val="en-AU"/>
        </w:rPr>
        <w:t>Amendment Rules</w:t>
      </w:r>
      <w:r w:rsidR="008873E1">
        <w:rPr>
          <w:lang w:val="en-AU"/>
        </w:rPr>
        <w:t xml:space="preserve">:  </w:t>
      </w:r>
    </w:p>
    <w:p w:rsidR="00775A5E" w:rsidRPr="00456EB6" w:rsidRDefault="00775A5E" w:rsidP="005A798F">
      <w:pPr>
        <w:rPr>
          <w:lang w:val="en-AU"/>
        </w:rPr>
      </w:pP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t xml:space="preserve">Attorney-General’s Department; </w:t>
      </w: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t xml:space="preserve">IP Australia; </w:t>
      </w: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t>Australian Customs and Border Protection Service</w:t>
      </w:r>
      <w:r w:rsidR="001231FA">
        <w:rPr>
          <w:lang w:val="en-AU"/>
        </w:rPr>
        <w:t xml:space="preserve"> (ACBPS)</w:t>
      </w:r>
      <w:r w:rsidRPr="00456EB6">
        <w:rPr>
          <w:lang w:val="en-AU"/>
        </w:rPr>
        <w:t xml:space="preserve">; </w:t>
      </w: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t xml:space="preserve">Australian Federal Police; </w:t>
      </w: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lastRenderedPageBreak/>
        <w:t xml:space="preserve">State and Territory Governments; and </w:t>
      </w:r>
    </w:p>
    <w:p w:rsidR="00292E4C" w:rsidRPr="00456EB6" w:rsidRDefault="00292E4C" w:rsidP="00292E4C">
      <w:pPr>
        <w:numPr>
          <w:ilvl w:val="0"/>
          <w:numId w:val="4"/>
        </w:numPr>
        <w:tabs>
          <w:tab w:val="left" w:pos="709"/>
        </w:tabs>
        <w:spacing w:after="120"/>
        <w:contextualSpacing/>
        <w:outlineLvl w:val="0"/>
        <w:rPr>
          <w:lang w:val="en-AU"/>
        </w:rPr>
      </w:pPr>
      <w:r w:rsidRPr="00456EB6">
        <w:rPr>
          <w:lang w:val="en-AU"/>
        </w:rPr>
        <w:t>Event Organising Committees.</w:t>
      </w:r>
    </w:p>
    <w:p w:rsidR="00456EB6" w:rsidRDefault="00456EB6" w:rsidP="00775A5E">
      <w:pPr>
        <w:rPr>
          <w:highlight w:val="yellow"/>
          <w:lang w:val="en-AU"/>
        </w:rPr>
      </w:pPr>
    </w:p>
    <w:p w:rsidR="00C86BC1" w:rsidRPr="00456EB6" w:rsidRDefault="00775A5E" w:rsidP="00775A5E">
      <w:pPr>
        <w:rPr>
          <w:lang w:val="en-AU"/>
        </w:rPr>
      </w:pPr>
      <w:r w:rsidRPr="00456EB6">
        <w:rPr>
          <w:lang w:val="en-AU"/>
        </w:rPr>
        <w:t xml:space="preserve">All parties were supportive of the </w:t>
      </w:r>
      <w:r w:rsidR="00DF54E1">
        <w:rPr>
          <w:lang w:val="en-AU"/>
        </w:rPr>
        <w:t>Amendment</w:t>
      </w:r>
      <w:r w:rsidRPr="00456EB6">
        <w:rPr>
          <w:lang w:val="en-AU"/>
        </w:rPr>
        <w:t xml:space="preserve"> Rules</w:t>
      </w:r>
      <w:r w:rsidR="008873E1">
        <w:rPr>
          <w:lang w:val="en-AU"/>
        </w:rPr>
        <w:t xml:space="preserve">. </w:t>
      </w:r>
      <w:r w:rsidRPr="00456EB6">
        <w:rPr>
          <w:lang w:val="en-AU"/>
        </w:rPr>
        <w:t xml:space="preserve"> </w:t>
      </w:r>
    </w:p>
    <w:p w:rsidR="00775A5E" w:rsidRPr="009060D1" w:rsidRDefault="00775A5E" w:rsidP="009060D1">
      <w:pPr>
        <w:rPr>
          <w:lang w:val="en-AU"/>
        </w:rPr>
      </w:pPr>
    </w:p>
    <w:p w:rsidR="00D21265" w:rsidRDefault="00D21265">
      <w:pPr>
        <w:rPr>
          <w:b/>
          <w:sz w:val="28"/>
          <w:szCs w:val="28"/>
        </w:rPr>
      </w:pPr>
      <w:r>
        <w:rPr>
          <w:b/>
          <w:sz w:val="28"/>
          <w:szCs w:val="28"/>
        </w:rPr>
        <w:br w:type="page"/>
      </w:r>
    </w:p>
    <w:p w:rsidR="008A32CE" w:rsidRPr="008A32CE" w:rsidRDefault="008A32CE" w:rsidP="008A32CE">
      <w:pPr>
        <w:spacing w:before="360" w:after="120"/>
        <w:jc w:val="center"/>
        <w:rPr>
          <w:b/>
          <w:sz w:val="28"/>
          <w:szCs w:val="28"/>
        </w:rPr>
      </w:pPr>
      <w:r w:rsidRPr="008A32CE">
        <w:rPr>
          <w:b/>
          <w:sz w:val="28"/>
          <w:szCs w:val="28"/>
        </w:rPr>
        <w:lastRenderedPageBreak/>
        <w:t>Statement of Compatibility with Human Rights</w:t>
      </w:r>
    </w:p>
    <w:p w:rsidR="008A32CE" w:rsidRPr="008A32CE" w:rsidRDefault="008A32CE" w:rsidP="008A32CE">
      <w:pPr>
        <w:spacing w:before="120" w:after="120"/>
        <w:jc w:val="center"/>
      </w:pPr>
      <w:r w:rsidRPr="008A32CE">
        <w:rPr>
          <w:i/>
        </w:rPr>
        <w:t>Prepared in accordance with Part 3 of the Human Rights (Parliamentary Scrutiny) Act 2011</w:t>
      </w:r>
    </w:p>
    <w:p w:rsidR="008A32CE" w:rsidRPr="008A32CE" w:rsidRDefault="008A32CE" w:rsidP="008A32CE">
      <w:pPr>
        <w:spacing w:before="120" w:after="120"/>
        <w:jc w:val="center"/>
      </w:pPr>
    </w:p>
    <w:p w:rsidR="008A32CE" w:rsidRPr="008A32CE" w:rsidRDefault="008A32CE" w:rsidP="008A32CE">
      <w:pPr>
        <w:spacing w:before="120" w:after="120"/>
        <w:jc w:val="center"/>
        <w:rPr>
          <w:b/>
        </w:rPr>
      </w:pPr>
      <w:r w:rsidRPr="008A32CE">
        <w:rPr>
          <w:b/>
        </w:rPr>
        <w:t>Major Sporting Events (Indicia and Images) Protection Amendment Rules 2014 (No.1)</w:t>
      </w:r>
    </w:p>
    <w:p w:rsidR="008A32CE" w:rsidRDefault="008A32CE" w:rsidP="008A32CE">
      <w:pPr>
        <w:spacing w:before="120" w:after="120"/>
      </w:pPr>
      <w:r w:rsidRPr="008A32CE">
        <w:t xml:space="preserve">The </w:t>
      </w:r>
      <w:r w:rsidRPr="008A32CE">
        <w:rPr>
          <w:i/>
        </w:rPr>
        <w:t>Major Sporting Events (Indicia and Images) Protection Amendment Rules 2014 (No.1)</w:t>
      </w:r>
      <w:r w:rsidRPr="008A32CE">
        <w:t xml:space="preserve"> is compatible with the human rights and freedoms recognised or declared in the international instruments listed in section 3 of the </w:t>
      </w:r>
      <w:r w:rsidRPr="008A32CE">
        <w:rPr>
          <w:i/>
        </w:rPr>
        <w:t>Human Rights (Parliamentary Scrutiny) Act 2011</w:t>
      </w:r>
      <w:r w:rsidRPr="008A32CE">
        <w:t>.</w:t>
      </w:r>
    </w:p>
    <w:p w:rsidR="00D21265" w:rsidRPr="008A32CE" w:rsidRDefault="00D21265" w:rsidP="008A32CE">
      <w:pPr>
        <w:spacing w:before="120" w:after="120"/>
      </w:pPr>
    </w:p>
    <w:p w:rsidR="008A32CE" w:rsidRPr="008A32CE" w:rsidRDefault="008A32CE" w:rsidP="008A32CE">
      <w:pPr>
        <w:spacing w:before="120" w:after="120"/>
        <w:jc w:val="both"/>
        <w:rPr>
          <w:b/>
        </w:rPr>
      </w:pPr>
      <w:r w:rsidRPr="008A32CE">
        <w:rPr>
          <w:b/>
        </w:rPr>
        <w:t>Overview of the Major Sporting Events (Indicia and Images) Protection Amendment Rules 2014 (No.1)</w:t>
      </w:r>
    </w:p>
    <w:p w:rsidR="008A32CE" w:rsidRPr="008A32CE" w:rsidRDefault="008A32CE" w:rsidP="008A32CE">
      <w:pPr>
        <w:spacing w:before="120" w:after="120"/>
      </w:pPr>
      <w:r w:rsidRPr="008A32CE">
        <w:t xml:space="preserve">The </w:t>
      </w:r>
      <w:r w:rsidRPr="008A32CE">
        <w:rPr>
          <w:i/>
        </w:rPr>
        <w:t>Major Sporting Events (Indicia and Images) Protection Amendment Rules 2014</w:t>
      </w:r>
      <w:r w:rsidRPr="008A32CE">
        <w:t xml:space="preserve"> (No.1) (the </w:t>
      </w:r>
      <w:r w:rsidR="002C6379">
        <w:t xml:space="preserve">Amendment </w:t>
      </w:r>
      <w:r w:rsidRPr="008A32CE">
        <w:t>Rules) operationali</w:t>
      </w:r>
      <w:r w:rsidR="00D21265">
        <w:t>s</w:t>
      </w:r>
      <w:r w:rsidRPr="008A32CE">
        <w:t xml:space="preserve">e the processes to reflect the existing arrangements of the </w:t>
      </w:r>
      <w:r w:rsidRPr="008A32CE">
        <w:rPr>
          <w:i/>
        </w:rPr>
        <w:t xml:space="preserve">Major Sporting Events (Indicia and Images) Protection Act 2014 </w:t>
      </w:r>
      <w:r w:rsidRPr="008A32CE">
        <w:t xml:space="preserve">(the Act) to ensure there is consistency between the Act and relevant </w:t>
      </w:r>
      <w:r w:rsidR="00D21265">
        <w:t>S</w:t>
      </w:r>
      <w:r w:rsidRPr="008A32CE">
        <w:t xml:space="preserve">tate and </w:t>
      </w:r>
      <w:r w:rsidR="00D21265">
        <w:t>T</w:t>
      </w:r>
      <w:r w:rsidRPr="008A32CE">
        <w:t xml:space="preserve">erritory Acts, give effect to technical requirements of the Act and append the </w:t>
      </w:r>
      <w:r w:rsidR="00D52ECB">
        <w:t xml:space="preserve">AFC </w:t>
      </w:r>
      <w:r w:rsidRPr="008A32CE">
        <w:t>Asian Cup expressions to the list of protected indicia.</w:t>
      </w:r>
    </w:p>
    <w:p w:rsidR="008A32CE" w:rsidRPr="008A32CE" w:rsidRDefault="008A32CE" w:rsidP="008A32CE">
      <w:pPr>
        <w:spacing w:before="120" w:after="120"/>
        <w:rPr>
          <w:color w:val="0070C0"/>
        </w:rPr>
      </w:pPr>
    </w:p>
    <w:p w:rsidR="008A32CE" w:rsidRPr="008A32CE" w:rsidRDefault="008A32CE" w:rsidP="008A32CE">
      <w:pPr>
        <w:spacing w:before="120" w:after="120"/>
        <w:rPr>
          <w:b/>
        </w:rPr>
      </w:pPr>
      <w:r w:rsidRPr="008A32CE">
        <w:rPr>
          <w:b/>
        </w:rPr>
        <w:t>Human rights implications</w:t>
      </w:r>
    </w:p>
    <w:p w:rsidR="008A32CE" w:rsidRPr="008A32CE" w:rsidRDefault="008A32CE" w:rsidP="008A32CE">
      <w:pPr>
        <w:spacing w:before="240" w:after="120"/>
        <w:rPr>
          <w:i/>
        </w:rPr>
      </w:pPr>
      <w:r w:rsidRPr="008A32CE">
        <w:rPr>
          <w:i/>
        </w:rPr>
        <w:t xml:space="preserve">Fair trial and fair hearing rights </w:t>
      </w:r>
    </w:p>
    <w:p w:rsidR="008A32CE" w:rsidRPr="008A32CE" w:rsidRDefault="008A32CE" w:rsidP="008A32CE">
      <w:pPr>
        <w:spacing w:before="240" w:after="120"/>
      </w:pPr>
      <w:r w:rsidRPr="008A32CE">
        <w:t xml:space="preserve">The </w:t>
      </w:r>
      <w:r w:rsidR="004A102D">
        <w:t xml:space="preserve">Amendment </w:t>
      </w:r>
      <w:r w:rsidRPr="008A32CE">
        <w:t>Rules</w:t>
      </w:r>
      <w:r w:rsidR="00483CC2">
        <w:t>, Part 5 Remedies,</w:t>
      </w:r>
      <w:r w:rsidRPr="008A32CE">
        <w:t xml:space="preserve"> engage the fair trial and fair hearing rights </w:t>
      </w:r>
      <w:r w:rsidR="00483CC2">
        <w:t xml:space="preserve">in </w:t>
      </w:r>
      <w:r w:rsidRPr="008A32CE">
        <w:t xml:space="preserve">Article 14(1) of </w:t>
      </w:r>
      <w:r w:rsidR="00483CC2">
        <w:t xml:space="preserve">the </w:t>
      </w:r>
      <w:r w:rsidRPr="008A32CE">
        <w:t>I</w:t>
      </w:r>
      <w:r w:rsidR="007723D2">
        <w:t xml:space="preserve">nternational </w:t>
      </w:r>
      <w:r w:rsidRPr="008A32CE">
        <w:t>C</w:t>
      </w:r>
      <w:r w:rsidR="007723D2">
        <w:t xml:space="preserve">ovenant on </w:t>
      </w:r>
      <w:r w:rsidRPr="008A32CE">
        <w:t>C</w:t>
      </w:r>
      <w:r w:rsidR="007723D2">
        <w:t xml:space="preserve">ivil and </w:t>
      </w:r>
      <w:r w:rsidRPr="008A32CE">
        <w:t>P</w:t>
      </w:r>
      <w:r w:rsidR="007723D2">
        <w:t xml:space="preserve">olitical </w:t>
      </w:r>
      <w:r w:rsidRPr="008A32CE">
        <w:t>R</w:t>
      </w:r>
      <w:r w:rsidR="007723D2">
        <w:t>ights</w:t>
      </w:r>
      <w:r w:rsidR="00483CC2">
        <w:t>.</w:t>
      </w:r>
      <w:r w:rsidR="007723D2">
        <w:t xml:space="preserve"> The Amendment Rules prescribe provisions of </w:t>
      </w:r>
      <w:r w:rsidR="00483CC2">
        <w:t>S</w:t>
      </w:r>
      <w:r w:rsidR="007723D2">
        <w:t xml:space="preserve">tate and </w:t>
      </w:r>
      <w:r w:rsidR="00483CC2">
        <w:t>T</w:t>
      </w:r>
      <w:r w:rsidR="007723D2">
        <w:t>erritory l</w:t>
      </w:r>
      <w:r w:rsidR="00483CC2">
        <w:t xml:space="preserve">egislation </w:t>
      </w:r>
      <w:r w:rsidR="007723D2">
        <w:t>for the purposes of paragraph 48(6)(b) of the Act</w:t>
      </w:r>
      <w:r w:rsidR="00B960FF">
        <w:t>:</w:t>
      </w:r>
      <w:r w:rsidRPr="008A32CE">
        <w:t xml:space="preserve"> section 63 of the </w:t>
      </w:r>
      <w:r w:rsidRPr="008A32CE">
        <w:rPr>
          <w:i/>
        </w:rPr>
        <w:t xml:space="preserve">Major Events Act 2009 (NSW) </w:t>
      </w:r>
      <w:r w:rsidRPr="008A32CE">
        <w:t xml:space="preserve">(‘the NSW Act’) in relation to the Asian Football Confederation Asian Cup 2015 (AC2015), and the International Cricket Council Cricket World Cup 2015 (CWC2015) section 48 of the </w:t>
      </w:r>
      <w:r w:rsidRPr="008A32CE">
        <w:rPr>
          <w:i/>
        </w:rPr>
        <w:t>Major Sporting Events Act 2009 (Vic)</w:t>
      </w:r>
      <w:r w:rsidRPr="008A32CE">
        <w:t xml:space="preserve"> in relation to AC2015 and CWC2015, </w:t>
      </w:r>
      <w:r w:rsidR="000B6035">
        <w:t xml:space="preserve">and section 14 of the </w:t>
      </w:r>
      <w:r w:rsidR="000B6035" w:rsidRPr="00264D17">
        <w:rPr>
          <w:i/>
        </w:rPr>
        <w:t>Major Events (Aerial Advertising) Act 2009</w:t>
      </w:r>
      <w:r w:rsidR="000B6035">
        <w:t xml:space="preserve"> (‘the WA Act’) in relation to the </w:t>
      </w:r>
      <w:r w:rsidR="000B6035" w:rsidRPr="008A32CE">
        <w:t xml:space="preserve">International Cricket Council Cricket World Cup 2015 (CWC2015) </w:t>
      </w:r>
      <w:r w:rsidRPr="008A32CE">
        <w:t>(</w:t>
      </w:r>
      <w:r w:rsidR="000B6035">
        <w:t xml:space="preserve">collectively referred to as </w:t>
      </w:r>
      <w:r w:rsidRPr="008A32CE">
        <w:t xml:space="preserve">‘the State Acts’).  </w:t>
      </w:r>
      <w:r w:rsidR="00B960FF">
        <w:t>Section 46(6) of the Act</w:t>
      </w:r>
      <w:r w:rsidR="000B6035">
        <w:t xml:space="preserve"> </w:t>
      </w:r>
      <w:r w:rsidR="00483CC2">
        <w:t xml:space="preserve">has the effect of </w:t>
      </w:r>
      <w:r w:rsidR="004A102D">
        <w:t>prevent</w:t>
      </w:r>
      <w:r w:rsidR="00483CC2">
        <w:t>ing</w:t>
      </w:r>
      <w:r w:rsidRPr="008A32CE">
        <w:t xml:space="preserve"> </w:t>
      </w:r>
      <w:r w:rsidR="004A102D">
        <w:t>an official user for a major sporting event</w:t>
      </w:r>
      <w:r w:rsidRPr="008A32CE">
        <w:t xml:space="preserve"> from seeking to recover an amount for loss or damage as a result of unauthori</w:t>
      </w:r>
      <w:r w:rsidR="004A102D">
        <w:t>s</w:t>
      </w:r>
      <w:r w:rsidRPr="008A32CE">
        <w:t xml:space="preserve">ed use of event indicia and images by an individual or organisation </w:t>
      </w:r>
      <w:r w:rsidR="00CB0ECE">
        <w:t>under</w:t>
      </w:r>
      <w:r w:rsidRPr="008A32CE">
        <w:t xml:space="preserve"> both the Act and </w:t>
      </w:r>
      <w:r w:rsidR="00CB0ECE">
        <w:t>a</w:t>
      </w:r>
      <w:r w:rsidR="004A102D">
        <w:t xml:space="preserve"> provision of </w:t>
      </w:r>
      <w:r w:rsidR="00CB0ECE">
        <w:t xml:space="preserve">a </w:t>
      </w:r>
      <w:r w:rsidRPr="008A32CE">
        <w:t>State</w:t>
      </w:r>
      <w:r w:rsidR="00B960FF">
        <w:t xml:space="preserve"> or Territory </w:t>
      </w:r>
      <w:r w:rsidR="000B6035">
        <w:t>A</w:t>
      </w:r>
      <w:r w:rsidR="000B6035" w:rsidRPr="008A32CE">
        <w:t>ct</w:t>
      </w:r>
      <w:r w:rsidR="000B6035">
        <w:t xml:space="preserve"> </w:t>
      </w:r>
      <w:r w:rsidR="00CB0ECE">
        <w:t xml:space="preserve">as </w:t>
      </w:r>
      <w:r w:rsidR="004A102D">
        <w:t>specified in the Amendment Rules</w:t>
      </w:r>
      <w:r w:rsidRPr="008A32CE">
        <w:t>.  This</w:t>
      </w:r>
      <w:r w:rsidR="000B6035">
        <w:t xml:space="preserve"> </w:t>
      </w:r>
      <w:r w:rsidRPr="008A32CE">
        <w:t>engages but does not limit or promote the right to a fair trial or fair hearing.</w:t>
      </w:r>
    </w:p>
    <w:p w:rsidR="008A32CE" w:rsidRPr="008A32CE" w:rsidRDefault="008A32CE" w:rsidP="008A32CE">
      <w:pPr>
        <w:spacing w:before="240" w:after="120"/>
        <w:rPr>
          <w:i/>
        </w:rPr>
      </w:pPr>
      <w:r w:rsidRPr="008A32CE">
        <w:rPr>
          <w:i/>
        </w:rPr>
        <w:t>The right to enjoy and benefit from culture</w:t>
      </w:r>
    </w:p>
    <w:p w:rsidR="008A32CE" w:rsidRPr="008A32CE" w:rsidRDefault="008A32CE" w:rsidP="008A32CE">
      <w:pPr>
        <w:spacing w:before="240" w:after="120"/>
      </w:pPr>
      <w:r w:rsidRPr="008A32CE">
        <w:t>Article 15(1)(a) of the International Covenant on Economic, Social and Cultural Rights (ICESR) recogni</w:t>
      </w:r>
      <w:r w:rsidR="00742AAA">
        <w:t>s</w:t>
      </w:r>
      <w:r w:rsidRPr="008A32CE">
        <w:t xml:space="preserve">es the right of everyone to take part in cultural life. According to the United Nations Committee on Economic, Social and Cultural Rights (UNCESCR), the right to culture includes sports and games. This right encompasses access to culture, which includes the availability of a cultural infrastructure, such as places for recreation and sports. </w:t>
      </w:r>
    </w:p>
    <w:p w:rsidR="008A32CE" w:rsidRPr="008A32CE" w:rsidRDefault="008A32CE" w:rsidP="008A32CE">
      <w:pPr>
        <w:spacing w:before="240" w:after="120"/>
      </w:pPr>
      <w:r w:rsidRPr="008A32CE">
        <w:t xml:space="preserve">The </w:t>
      </w:r>
      <w:r w:rsidR="00742AAA">
        <w:t>Amendment Rules</w:t>
      </w:r>
      <w:r w:rsidRPr="008A32CE">
        <w:t xml:space="preserve"> benefit the Australian public, as it will provide them with greater access to such events as well as provide opportunities for Australian sportspeople to compete in top-level international tournaments in front of their home crowds.</w:t>
      </w:r>
    </w:p>
    <w:p w:rsidR="008A32CE" w:rsidRPr="008A32CE" w:rsidRDefault="008A32CE" w:rsidP="008A32CE">
      <w:pPr>
        <w:spacing w:before="240" w:after="120"/>
      </w:pPr>
      <w:r w:rsidRPr="008A32CE">
        <w:t>The list of protected indicia provides clarity around what indicia may or may not be used by non-authorised users and will act as a deterrent and guide for potential infringers. Clarity around the authori</w:t>
      </w:r>
      <w:r w:rsidR="00742AAA">
        <w:t>s</w:t>
      </w:r>
      <w:r w:rsidRPr="008A32CE">
        <w:t>ed usage of the protected indicia and images will in turn help to ensure that sufficient revenue can be raised to stage the events.</w:t>
      </w:r>
    </w:p>
    <w:p w:rsidR="008A32CE" w:rsidRPr="008A32CE" w:rsidRDefault="008A32CE" w:rsidP="008A32CE">
      <w:pPr>
        <w:spacing w:before="240" w:after="120"/>
      </w:pPr>
      <w:r w:rsidRPr="008A32CE">
        <w:t>By operationali</w:t>
      </w:r>
      <w:r w:rsidR="00742AAA">
        <w:t>s</w:t>
      </w:r>
      <w:r w:rsidRPr="008A32CE">
        <w:t xml:space="preserve">ing the processes to reflect the existing arrangements of the Act to ensure there is consistency between the Act and enforcement processes at the border under the </w:t>
      </w:r>
      <w:r w:rsidRPr="008A32CE">
        <w:rPr>
          <w:i/>
        </w:rPr>
        <w:t>Trade Marks Act 1995</w:t>
      </w:r>
      <w:r w:rsidRPr="008A32CE">
        <w:t xml:space="preserve"> and the </w:t>
      </w:r>
      <w:r w:rsidRPr="008A32CE">
        <w:rPr>
          <w:i/>
        </w:rPr>
        <w:t>Copyright Act 1968</w:t>
      </w:r>
      <w:r w:rsidRPr="008A32CE">
        <w:t xml:space="preserve">, the </w:t>
      </w:r>
      <w:r w:rsidR="00742AAA">
        <w:t>Amendment Rules</w:t>
      </w:r>
      <w:r w:rsidRPr="008A32CE">
        <w:t xml:space="preserve"> advance the protection of human rights through promoting the right of individuals to enjoy and benefit from participating in cultural life.</w:t>
      </w:r>
    </w:p>
    <w:p w:rsidR="008A32CE" w:rsidRPr="008A32CE" w:rsidRDefault="008A32CE" w:rsidP="008A32CE">
      <w:pPr>
        <w:spacing w:before="120" w:after="120"/>
        <w:rPr>
          <w:b/>
        </w:rPr>
      </w:pPr>
      <w:r w:rsidRPr="008A32CE">
        <w:rPr>
          <w:b/>
        </w:rPr>
        <w:t>Conclusion</w:t>
      </w:r>
    </w:p>
    <w:p w:rsidR="008A32CE" w:rsidRPr="008A32CE" w:rsidRDefault="008A32CE" w:rsidP="008A32CE">
      <w:pPr>
        <w:rPr>
          <w:color w:val="0070C0"/>
        </w:rPr>
      </w:pPr>
      <w:r w:rsidRPr="008A32CE">
        <w:t xml:space="preserve">The </w:t>
      </w:r>
      <w:r w:rsidR="00742AAA">
        <w:t>Amendment Rules</w:t>
      </w:r>
      <w:r w:rsidRPr="008A32CE">
        <w:t xml:space="preserve"> </w:t>
      </w:r>
      <w:r w:rsidR="00742AAA">
        <w:t>are</w:t>
      </w:r>
      <w:r w:rsidRPr="008A32CE">
        <w:t xml:space="preserve"> compatible with human rights because it advances the protection of human rights through promoting the right of individuals to enjoy and benefit from participating in cultural life, and to the extent that it limits human rights, those limitations are reasonable, necessary and proportionate.</w:t>
      </w:r>
    </w:p>
    <w:p w:rsidR="008A32CE" w:rsidRPr="008A32CE" w:rsidRDefault="008A32CE" w:rsidP="008A32CE">
      <w:pPr>
        <w:spacing w:before="120" w:after="120"/>
      </w:pPr>
    </w:p>
    <w:p w:rsidR="008A32CE" w:rsidRPr="008A32CE" w:rsidRDefault="008A32CE" w:rsidP="008A32CE">
      <w:pPr>
        <w:spacing w:before="120" w:after="120" w:line="276" w:lineRule="auto"/>
        <w:rPr>
          <w:rFonts w:eastAsia="Calibri"/>
          <w:lang w:val="en-AU"/>
        </w:rPr>
      </w:pPr>
    </w:p>
    <w:p w:rsidR="008A32CE" w:rsidRPr="008A32CE" w:rsidRDefault="008A32CE" w:rsidP="008A32CE">
      <w:pPr>
        <w:spacing w:before="120" w:after="120" w:line="276" w:lineRule="auto"/>
        <w:jc w:val="center"/>
        <w:rPr>
          <w:rFonts w:eastAsia="Calibri"/>
          <w:lang w:val="en-AU"/>
        </w:rPr>
      </w:pPr>
    </w:p>
    <w:p w:rsidR="008A32CE" w:rsidRPr="008A32CE" w:rsidRDefault="008A32CE" w:rsidP="008A32CE">
      <w:pPr>
        <w:spacing w:before="120" w:after="120" w:line="276" w:lineRule="auto"/>
        <w:jc w:val="center"/>
        <w:rPr>
          <w:rFonts w:eastAsia="Calibri"/>
          <w:b/>
          <w:lang w:val="en-AU"/>
        </w:rPr>
      </w:pPr>
      <w:r w:rsidRPr="008A32CE">
        <w:rPr>
          <w:rFonts w:eastAsia="Calibri"/>
          <w:b/>
          <w:lang w:val="en-AU"/>
        </w:rPr>
        <w:t>The Hon Peter Dutton MP</w:t>
      </w:r>
    </w:p>
    <w:p w:rsidR="008A32CE" w:rsidRPr="008A32CE" w:rsidRDefault="008A32CE" w:rsidP="008A32CE">
      <w:pPr>
        <w:spacing w:before="120" w:after="120" w:line="276" w:lineRule="auto"/>
        <w:jc w:val="center"/>
        <w:rPr>
          <w:rFonts w:eastAsia="Calibri"/>
          <w:b/>
          <w:lang w:val="en-AU"/>
        </w:rPr>
      </w:pPr>
      <w:r w:rsidRPr="008A32CE">
        <w:rPr>
          <w:rFonts w:eastAsia="Calibri"/>
          <w:b/>
          <w:lang w:val="en-AU"/>
        </w:rPr>
        <w:t xml:space="preserve">Minister for </w:t>
      </w:r>
      <w:r w:rsidR="00F147AD">
        <w:rPr>
          <w:rFonts w:eastAsia="Calibri"/>
          <w:b/>
          <w:lang w:val="en-AU"/>
        </w:rPr>
        <w:t>Health</w:t>
      </w:r>
    </w:p>
    <w:p w:rsidR="00C86BC1" w:rsidRPr="005A1754" w:rsidRDefault="00C86BC1" w:rsidP="008A32CE">
      <w:pPr>
        <w:spacing w:before="360" w:after="120"/>
        <w:jc w:val="center"/>
      </w:pPr>
    </w:p>
    <w:sectPr w:rsidR="00C86BC1" w:rsidRPr="005A17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D2B"/>
    <w:multiLevelType w:val="hybridMultilevel"/>
    <w:tmpl w:val="EB84E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C3414A"/>
    <w:multiLevelType w:val="hybridMultilevel"/>
    <w:tmpl w:val="DB945D0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nsid w:val="3DBB695D"/>
    <w:multiLevelType w:val="hybridMultilevel"/>
    <w:tmpl w:val="8CA0760C"/>
    <w:lvl w:ilvl="0" w:tplc="0E26200A">
      <w:start w:val="1"/>
      <w:numFmt w:val="lowerLetter"/>
      <w:lvlText w:val="(%1)"/>
      <w:lvlJc w:val="left"/>
      <w:pPr>
        <w:ind w:left="1170" w:hanging="360"/>
      </w:pPr>
    </w:lvl>
    <w:lvl w:ilvl="1" w:tplc="0C090019">
      <w:start w:val="1"/>
      <w:numFmt w:val="lowerLetter"/>
      <w:lvlText w:val="%2."/>
      <w:lvlJc w:val="left"/>
      <w:pPr>
        <w:ind w:left="1890" w:hanging="360"/>
      </w:pPr>
    </w:lvl>
    <w:lvl w:ilvl="2" w:tplc="0C09001B">
      <w:start w:val="1"/>
      <w:numFmt w:val="lowerRoman"/>
      <w:lvlText w:val="%3."/>
      <w:lvlJc w:val="right"/>
      <w:pPr>
        <w:ind w:left="2610" w:hanging="180"/>
      </w:pPr>
    </w:lvl>
    <w:lvl w:ilvl="3" w:tplc="0C09000F">
      <w:start w:val="1"/>
      <w:numFmt w:val="decimal"/>
      <w:lvlText w:val="%4."/>
      <w:lvlJc w:val="left"/>
      <w:pPr>
        <w:ind w:left="3330" w:hanging="360"/>
      </w:pPr>
    </w:lvl>
    <w:lvl w:ilvl="4" w:tplc="0C090019">
      <w:start w:val="1"/>
      <w:numFmt w:val="lowerLetter"/>
      <w:lvlText w:val="%5."/>
      <w:lvlJc w:val="left"/>
      <w:pPr>
        <w:ind w:left="4050" w:hanging="360"/>
      </w:pPr>
    </w:lvl>
    <w:lvl w:ilvl="5" w:tplc="0C09001B">
      <w:start w:val="1"/>
      <w:numFmt w:val="lowerRoman"/>
      <w:lvlText w:val="%6."/>
      <w:lvlJc w:val="right"/>
      <w:pPr>
        <w:ind w:left="4770" w:hanging="180"/>
      </w:pPr>
    </w:lvl>
    <w:lvl w:ilvl="6" w:tplc="0C09000F">
      <w:start w:val="1"/>
      <w:numFmt w:val="decimal"/>
      <w:lvlText w:val="%7."/>
      <w:lvlJc w:val="left"/>
      <w:pPr>
        <w:ind w:left="5490" w:hanging="360"/>
      </w:pPr>
    </w:lvl>
    <w:lvl w:ilvl="7" w:tplc="0C090019">
      <w:start w:val="1"/>
      <w:numFmt w:val="lowerLetter"/>
      <w:lvlText w:val="%8."/>
      <w:lvlJc w:val="left"/>
      <w:pPr>
        <w:ind w:left="6210" w:hanging="360"/>
      </w:pPr>
    </w:lvl>
    <w:lvl w:ilvl="8" w:tplc="0C09001B">
      <w:start w:val="1"/>
      <w:numFmt w:val="lowerRoman"/>
      <w:lvlText w:val="%9."/>
      <w:lvlJc w:val="right"/>
      <w:pPr>
        <w:ind w:left="6930" w:hanging="180"/>
      </w:pPr>
    </w:lvl>
  </w:abstractNum>
  <w:abstractNum w:abstractNumId="3">
    <w:nsid w:val="4CB6181B"/>
    <w:multiLevelType w:val="hybridMultilevel"/>
    <w:tmpl w:val="4E44E988"/>
    <w:lvl w:ilvl="0" w:tplc="7EAAA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8144413"/>
    <w:multiLevelType w:val="multilevel"/>
    <w:tmpl w:val="EBD875EC"/>
    <w:lvl w:ilvl="0">
      <w:start w:val="1"/>
      <w:numFmt w:val="decimal"/>
      <w:lvlText w:val="%1"/>
      <w:lvlJc w:val="left"/>
      <w:pPr>
        <w:tabs>
          <w:tab w:val="num" w:pos="850"/>
        </w:tabs>
        <w:ind w:left="850" w:hanging="850"/>
      </w:pPr>
      <w:rPr>
        <w:sz w:val="24"/>
        <w:szCs w:val="24"/>
      </w:rPr>
    </w:lvl>
    <w:lvl w:ilvl="1">
      <w:start w:val="1"/>
      <w:numFmt w:val="upperLetter"/>
      <w:lvlText w:val="%1%2"/>
      <w:lvlJc w:val="left"/>
      <w:pPr>
        <w:tabs>
          <w:tab w:val="num" w:pos="850"/>
        </w:tabs>
        <w:ind w:left="850" w:hanging="850"/>
      </w:pPr>
    </w:lvl>
    <w:lvl w:ilvl="2">
      <w:start w:val="1"/>
      <w:numFmt w:val="lowerLetter"/>
      <w:lvlRestart w:val="0"/>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abstractNum w:abstractNumId="5">
    <w:nsid w:val="5AC62208"/>
    <w:multiLevelType w:val="hybridMultilevel"/>
    <w:tmpl w:val="66506B10"/>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651F107F"/>
    <w:multiLevelType w:val="hybridMultilevel"/>
    <w:tmpl w:val="23D63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0C68F9"/>
    <w:multiLevelType w:val="hybridMultilevel"/>
    <w:tmpl w:val="B54A7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8F"/>
    <w:rsid w:val="00010997"/>
    <w:rsid w:val="00033949"/>
    <w:rsid w:val="000B6035"/>
    <w:rsid w:val="001231FA"/>
    <w:rsid w:val="00162A08"/>
    <w:rsid w:val="001B3443"/>
    <w:rsid w:val="001F34A4"/>
    <w:rsid w:val="001F38FE"/>
    <w:rsid w:val="00242214"/>
    <w:rsid w:val="00264D17"/>
    <w:rsid w:val="00292E4C"/>
    <w:rsid w:val="002B5649"/>
    <w:rsid w:val="002C6379"/>
    <w:rsid w:val="0030786C"/>
    <w:rsid w:val="003C055D"/>
    <w:rsid w:val="00456EB6"/>
    <w:rsid w:val="0046247D"/>
    <w:rsid w:val="00483CC2"/>
    <w:rsid w:val="004867E2"/>
    <w:rsid w:val="004A102D"/>
    <w:rsid w:val="004B6E65"/>
    <w:rsid w:val="004C588F"/>
    <w:rsid w:val="0051396F"/>
    <w:rsid w:val="00530822"/>
    <w:rsid w:val="0053702C"/>
    <w:rsid w:val="00555C8F"/>
    <w:rsid w:val="005A1754"/>
    <w:rsid w:val="005A798F"/>
    <w:rsid w:val="00604406"/>
    <w:rsid w:val="006977E5"/>
    <w:rsid w:val="00742AAA"/>
    <w:rsid w:val="007723D2"/>
    <w:rsid w:val="00775A5E"/>
    <w:rsid w:val="00794AD7"/>
    <w:rsid w:val="008264EB"/>
    <w:rsid w:val="0086294A"/>
    <w:rsid w:val="008873E1"/>
    <w:rsid w:val="008A32CE"/>
    <w:rsid w:val="008B5B5F"/>
    <w:rsid w:val="009060D1"/>
    <w:rsid w:val="00945C21"/>
    <w:rsid w:val="00984C60"/>
    <w:rsid w:val="009A6E07"/>
    <w:rsid w:val="009F169B"/>
    <w:rsid w:val="00A164D5"/>
    <w:rsid w:val="00A3621B"/>
    <w:rsid w:val="00A41FA1"/>
    <w:rsid w:val="00A56EFE"/>
    <w:rsid w:val="00A8370F"/>
    <w:rsid w:val="00AC081F"/>
    <w:rsid w:val="00B14776"/>
    <w:rsid w:val="00B42851"/>
    <w:rsid w:val="00B960FF"/>
    <w:rsid w:val="00BC10D3"/>
    <w:rsid w:val="00BC272A"/>
    <w:rsid w:val="00BC414E"/>
    <w:rsid w:val="00C52CDA"/>
    <w:rsid w:val="00C53B86"/>
    <w:rsid w:val="00C741CB"/>
    <w:rsid w:val="00C86BC1"/>
    <w:rsid w:val="00CB0ECE"/>
    <w:rsid w:val="00CB5B1A"/>
    <w:rsid w:val="00D21265"/>
    <w:rsid w:val="00D21304"/>
    <w:rsid w:val="00D272AB"/>
    <w:rsid w:val="00D52ECB"/>
    <w:rsid w:val="00D53A01"/>
    <w:rsid w:val="00DD3DF8"/>
    <w:rsid w:val="00DF54E1"/>
    <w:rsid w:val="00E04281"/>
    <w:rsid w:val="00E36836"/>
    <w:rsid w:val="00E965ED"/>
    <w:rsid w:val="00F147AD"/>
    <w:rsid w:val="00F7647E"/>
    <w:rsid w:val="00FB43FA"/>
    <w:rsid w:val="00FE09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aliases w:val="h1,c"/>
    <w:basedOn w:val="Normal"/>
    <w:next w:val="Normal"/>
    <w:qFormat/>
    <w:rsid w:val="008264EB"/>
    <w:pPr>
      <w:keepNext/>
      <w:spacing w:before="240" w:after="60"/>
      <w:outlineLvl w:val="0"/>
    </w:pPr>
    <w:rPr>
      <w:rFonts w:cs="Arial"/>
      <w:b/>
      <w:bCs/>
      <w:kern w:val="32"/>
      <w:sz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72A"/>
    <w:pPr>
      <w:ind w:left="720"/>
      <w:contextualSpacing/>
    </w:pPr>
  </w:style>
  <w:style w:type="character" w:styleId="CommentReference">
    <w:name w:val="annotation reference"/>
    <w:basedOn w:val="DefaultParagraphFont"/>
    <w:uiPriority w:val="99"/>
    <w:rsid w:val="00D53A01"/>
    <w:rPr>
      <w:sz w:val="16"/>
      <w:szCs w:val="16"/>
    </w:rPr>
  </w:style>
  <w:style w:type="paragraph" w:styleId="CommentText">
    <w:name w:val="annotation text"/>
    <w:basedOn w:val="Normal"/>
    <w:link w:val="CommentTextChar"/>
    <w:uiPriority w:val="99"/>
    <w:rsid w:val="00D53A01"/>
    <w:rPr>
      <w:sz w:val="20"/>
      <w:szCs w:val="20"/>
    </w:rPr>
  </w:style>
  <w:style w:type="character" w:customStyle="1" w:styleId="CommentTextChar">
    <w:name w:val="Comment Text Char"/>
    <w:basedOn w:val="DefaultParagraphFont"/>
    <w:link w:val="CommentText"/>
    <w:uiPriority w:val="99"/>
    <w:rsid w:val="00D53A01"/>
    <w:rPr>
      <w:lang w:val="en-US" w:eastAsia="en-US"/>
    </w:rPr>
  </w:style>
  <w:style w:type="paragraph" w:styleId="CommentSubject">
    <w:name w:val="annotation subject"/>
    <w:basedOn w:val="CommentText"/>
    <w:next w:val="CommentText"/>
    <w:link w:val="CommentSubjectChar"/>
    <w:rsid w:val="00D53A01"/>
    <w:rPr>
      <w:b/>
      <w:bCs/>
    </w:rPr>
  </w:style>
  <w:style w:type="character" w:customStyle="1" w:styleId="CommentSubjectChar">
    <w:name w:val="Comment Subject Char"/>
    <w:basedOn w:val="CommentTextChar"/>
    <w:link w:val="CommentSubject"/>
    <w:rsid w:val="00D53A01"/>
    <w:rPr>
      <w:b/>
      <w:bCs/>
      <w:lang w:val="en-US" w:eastAsia="en-US"/>
    </w:rPr>
  </w:style>
  <w:style w:type="paragraph" w:styleId="BalloonText">
    <w:name w:val="Balloon Text"/>
    <w:basedOn w:val="Normal"/>
    <w:link w:val="BalloonTextChar"/>
    <w:rsid w:val="00D53A01"/>
    <w:rPr>
      <w:rFonts w:ascii="Tahoma" w:hAnsi="Tahoma" w:cs="Tahoma"/>
      <w:sz w:val="16"/>
      <w:szCs w:val="16"/>
    </w:rPr>
  </w:style>
  <w:style w:type="character" w:customStyle="1" w:styleId="BalloonTextChar">
    <w:name w:val="Balloon Text Char"/>
    <w:basedOn w:val="DefaultParagraphFont"/>
    <w:link w:val="BalloonText"/>
    <w:rsid w:val="00D53A01"/>
    <w:rPr>
      <w:rFonts w:ascii="Tahoma" w:hAnsi="Tahoma" w:cs="Tahoma"/>
      <w:sz w:val="16"/>
      <w:szCs w:val="16"/>
      <w:lang w:val="en-US" w:eastAsia="en-US"/>
    </w:rPr>
  </w:style>
  <w:style w:type="character" w:customStyle="1" w:styleId="HealthLevel1Char">
    <w:name w:val="Health Level 1 Char"/>
    <w:link w:val="HealthLevel1"/>
    <w:locked/>
    <w:rsid w:val="00456EB6"/>
    <w:rPr>
      <w:color w:val="000000"/>
      <w:sz w:val="24"/>
      <w:szCs w:val="24"/>
      <w:lang w:eastAsia="en-US"/>
    </w:rPr>
  </w:style>
  <w:style w:type="paragraph" w:customStyle="1" w:styleId="HealthLevel1">
    <w:name w:val="Health Level 1"/>
    <w:basedOn w:val="Normal"/>
    <w:link w:val="HealthLevel1Char"/>
    <w:rsid w:val="00456EB6"/>
    <w:pPr>
      <w:tabs>
        <w:tab w:val="left" w:pos="851"/>
      </w:tabs>
      <w:autoSpaceDE w:val="0"/>
      <w:autoSpaceDN w:val="0"/>
      <w:spacing w:before="120" w:line="260" w:lineRule="exact"/>
      <w:ind w:left="851"/>
    </w:pPr>
    <w:rPr>
      <w:color w:val="000000"/>
      <w:lang w:val="en-AU"/>
    </w:rPr>
  </w:style>
  <w:style w:type="character" w:customStyle="1" w:styleId="Healthnumlevel2Char">
    <w:name w:val="Health (num) level 2 Char"/>
    <w:link w:val="Healthnumlevel2"/>
    <w:locked/>
    <w:rsid w:val="00456EB6"/>
    <w:rPr>
      <w:color w:val="000000"/>
      <w:sz w:val="24"/>
      <w:szCs w:val="24"/>
      <w:lang w:eastAsia="en-US"/>
    </w:rPr>
  </w:style>
  <w:style w:type="paragraph" w:customStyle="1" w:styleId="Healthnumlevel2">
    <w:name w:val="Health (num) level 2"/>
    <w:basedOn w:val="Normal"/>
    <w:link w:val="Healthnumlevel2Char"/>
    <w:rsid w:val="00456EB6"/>
    <w:pPr>
      <w:tabs>
        <w:tab w:val="num" w:pos="1701"/>
      </w:tabs>
      <w:autoSpaceDE w:val="0"/>
      <w:autoSpaceDN w:val="0"/>
      <w:spacing w:before="60"/>
      <w:ind w:left="1701" w:hanging="851"/>
    </w:pPr>
    <w:rPr>
      <w:color w:val="000000"/>
      <w:lang w:val="en-AU"/>
    </w:rPr>
  </w:style>
  <w:style w:type="paragraph" w:customStyle="1" w:styleId="HealthnumLevel3">
    <w:name w:val="Health (num) Level 3"/>
    <w:basedOn w:val="Normal"/>
    <w:rsid w:val="00456EB6"/>
    <w:pPr>
      <w:tabs>
        <w:tab w:val="num" w:pos="2551"/>
      </w:tabs>
      <w:autoSpaceDE w:val="0"/>
      <w:autoSpaceDN w:val="0"/>
      <w:spacing w:before="60" w:line="260" w:lineRule="exact"/>
      <w:ind w:left="2551" w:hanging="850"/>
      <w:jc w:val="both"/>
    </w:pPr>
    <w:rPr>
      <w:color w:val="000000"/>
      <w:lang w:val="en-AU"/>
    </w:rPr>
  </w:style>
  <w:style w:type="paragraph" w:customStyle="1" w:styleId="HealthnumLevel4">
    <w:name w:val="Health (num) Level 4"/>
    <w:basedOn w:val="Normal"/>
    <w:rsid w:val="00456EB6"/>
    <w:pPr>
      <w:tabs>
        <w:tab w:val="num" w:pos="3402"/>
      </w:tabs>
      <w:autoSpaceDE w:val="0"/>
      <w:autoSpaceDN w:val="0"/>
      <w:spacing w:before="60" w:line="260" w:lineRule="exact"/>
      <w:ind w:left="3402" w:hanging="851"/>
    </w:pPr>
    <w:rPr>
      <w:lang w:val="en-AU"/>
    </w:rPr>
  </w:style>
  <w:style w:type="paragraph" w:customStyle="1" w:styleId="HealthnumLevel5">
    <w:name w:val="Health (num) Level 5"/>
    <w:basedOn w:val="Normal"/>
    <w:rsid w:val="00456EB6"/>
    <w:pPr>
      <w:tabs>
        <w:tab w:val="num" w:pos="936"/>
      </w:tabs>
      <w:autoSpaceDE w:val="0"/>
      <w:autoSpaceDN w:val="0"/>
      <w:spacing w:before="180" w:line="260" w:lineRule="exact"/>
      <w:ind w:left="936" w:hanging="510"/>
    </w:pPr>
    <w:rPr>
      <w:lang w:val="en-AU"/>
    </w:rPr>
  </w:style>
  <w:style w:type="paragraph" w:customStyle="1" w:styleId="HealthnumLevel6">
    <w:name w:val="Health (num) Level 6"/>
    <w:basedOn w:val="Normal"/>
    <w:rsid w:val="00456EB6"/>
    <w:pPr>
      <w:tabs>
        <w:tab w:val="num" w:pos="850"/>
      </w:tabs>
      <w:autoSpaceDE w:val="0"/>
      <w:autoSpaceDN w:val="0"/>
      <w:spacing w:before="180" w:line="260" w:lineRule="exact"/>
      <w:ind w:left="850" w:hanging="510"/>
    </w:pPr>
    <w:rPr>
      <w:lang w:val="en-AU"/>
    </w:rPr>
  </w:style>
  <w:style w:type="paragraph" w:customStyle="1" w:styleId="Heading1NoNum">
    <w:name w:val="Heading 1 No Num"/>
    <w:basedOn w:val="Normal"/>
    <w:rsid w:val="00456EB6"/>
    <w:pPr>
      <w:keepNext/>
      <w:keepLines/>
      <w:pageBreakBefore/>
      <w:tabs>
        <w:tab w:val="left" w:pos="1559"/>
      </w:tabs>
      <w:autoSpaceDE w:val="0"/>
      <w:autoSpaceDN w:val="0"/>
      <w:spacing w:before="120" w:line="240" w:lineRule="atLeast"/>
    </w:pPr>
    <w:rPr>
      <w:rFonts w:ascii="Arial" w:hAnsi="Arial" w:cs="Arial"/>
      <w:b/>
      <w:bCs/>
      <w:sz w:val="32"/>
      <w:szCs w:val="32"/>
      <w:lang w:val="en-AU"/>
    </w:rPr>
  </w:style>
  <w:style w:type="paragraph" w:customStyle="1" w:styleId="Tabletext">
    <w:name w:val="Tabletext"/>
    <w:aliases w:val="tt"/>
    <w:basedOn w:val="Normal"/>
    <w:rsid w:val="00456EB6"/>
    <w:pPr>
      <w:spacing w:before="60" w:line="240" w:lineRule="atLeast"/>
    </w:pPr>
    <w:rPr>
      <w:sz w:val="20"/>
      <w:szCs w:val="20"/>
      <w:lang w:val="en-AU" w:eastAsia="en-AU"/>
    </w:rPr>
  </w:style>
  <w:style w:type="paragraph" w:customStyle="1" w:styleId="TableHeading">
    <w:name w:val="TableHeading"/>
    <w:aliases w:val="th"/>
    <w:basedOn w:val="Normal"/>
    <w:next w:val="Tabletext"/>
    <w:rsid w:val="00456EB6"/>
    <w:pPr>
      <w:keepNext/>
      <w:spacing w:before="60" w:line="240" w:lineRule="atLeast"/>
    </w:pPr>
    <w:rPr>
      <w:b/>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aliases w:val="h1,c"/>
    <w:basedOn w:val="Normal"/>
    <w:next w:val="Normal"/>
    <w:qFormat/>
    <w:rsid w:val="008264EB"/>
    <w:pPr>
      <w:keepNext/>
      <w:spacing w:before="240" w:after="60"/>
      <w:outlineLvl w:val="0"/>
    </w:pPr>
    <w:rPr>
      <w:rFonts w:cs="Arial"/>
      <w:b/>
      <w:bCs/>
      <w:kern w:val="32"/>
      <w:sz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72A"/>
    <w:pPr>
      <w:ind w:left="720"/>
      <w:contextualSpacing/>
    </w:pPr>
  </w:style>
  <w:style w:type="character" w:styleId="CommentReference">
    <w:name w:val="annotation reference"/>
    <w:basedOn w:val="DefaultParagraphFont"/>
    <w:uiPriority w:val="99"/>
    <w:rsid w:val="00D53A01"/>
    <w:rPr>
      <w:sz w:val="16"/>
      <w:szCs w:val="16"/>
    </w:rPr>
  </w:style>
  <w:style w:type="paragraph" w:styleId="CommentText">
    <w:name w:val="annotation text"/>
    <w:basedOn w:val="Normal"/>
    <w:link w:val="CommentTextChar"/>
    <w:uiPriority w:val="99"/>
    <w:rsid w:val="00D53A01"/>
    <w:rPr>
      <w:sz w:val="20"/>
      <w:szCs w:val="20"/>
    </w:rPr>
  </w:style>
  <w:style w:type="character" w:customStyle="1" w:styleId="CommentTextChar">
    <w:name w:val="Comment Text Char"/>
    <w:basedOn w:val="DefaultParagraphFont"/>
    <w:link w:val="CommentText"/>
    <w:uiPriority w:val="99"/>
    <w:rsid w:val="00D53A01"/>
    <w:rPr>
      <w:lang w:val="en-US" w:eastAsia="en-US"/>
    </w:rPr>
  </w:style>
  <w:style w:type="paragraph" w:styleId="CommentSubject">
    <w:name w:val="annotation subject"/>
    <w:basedOn w:val="CommentText"/>
    <w:next w:val="CommentText"/>
    <w:link w:val="CommentSubjectChar"/>
    <w:rsid w:val="00D53A01"/>
    <w:rPr>
      <w:b/>
      <w:bCs/>
    </w:rPr>
  </w:style>
  <w:style w:type="character" w:customStyle="1" w:styleId="CommentSubjectChar">
    <w:name w:val="Comment Subject Char"/>
    <w:basedOn w:val="CommentTextChar"/>
    <w:link w:val="CommentSubject"/>
    <w:rsid w:val="00D53A01"/>
    <w:rPr>
      <w:b/>
      <w:bCs/>
      <w:lang w:val="en-US" w:eastAsia="en-US"/>
    </w:rPr>
  </w:style>
  <w:style w:type="paragraph" w:styleId="BalloonText">
    <w:name w:val="Balloon Text"/>
    <w:basedOn w:val="Normal"/>
    <w:link w:val="BalloonTextChar"/>
    <w:rsid w:val="00D53A01"/>
    <w:rPr>
      <w:rFonts w:ascii="Tahoma" w:hAnsi="Tahoma" w:cs="Tahoma"/>
      <w:sz w:val="16"/>
      <w:szCs w:val="16"/>
    </w:rPr>
  </w:style>
  <w:style w:type="character" w:customStyle="1" w:styleId="BalloonTextChar">
    <w:name w:val="Balloon Text Char"/>
    <w:basedOn w:val="DefaultParagraphFont"/>
    <w:link w:val="BalloonText"/>
    <w:rsid w:val="00D53A01"/>
    <w:rPr>
      <w:rFonts w:ascii="Tahoma" w:hAnsi="Tahoma" w:cs="Tahoma"/>
      <w:sz w:val="16"/>
      <w:szCs w:val="16"/>
      <w:lang w:val="en-US" w:eastAsia="en-US"/>
    </w:rPr>
  </w:style>
  <w:style w:type="character" w:customStyle="1" w:styleId="HealthLevel1Char">
    <w:name w:val="Health Level 1 Char"/>
    <w:link w:val="HealthLevel1"/>
    <w:locked/>
    <w:rsid w:val="00456EB6"/>
    <w:rPr>
      <w:color w:val="000000"/>
      <w:sz w:val="24"/>
      <w:szCs w:val="24"/>
      <w:lang w:eastAsia="en-US"/>
    </w:rPr>
  </w:style>
  <w:style w:type="paragraph" w:customStyle="1" w:styleId="HealthLevel1">
    <w:name w:val="Health Level 1"/>
    <w:basedOn w:val="Normal"/>
    <w:link w:val="HealthLevel1Char"/>
    <w:rsid w:val="00456EB6"/>
    <w:pPr>
      <w:tabs>
        <w:tab w:val="left" w:pos="851"/>
      </w:tabs>
      <w:autoSpaceDE w:val="0"/>
      <w:autoSpaceDN w:val="0"/>
      <w:spacing w:before="120" w:line="260" w:lineRule="exact"/>
      <w:ind w:left="851"/>
    </w:pPr>
    <w:rPr>
      <w:color w:val="000000"/>
      <w:lang w:val="en-AU"/>
    </w:rPr>
  </w:style>
  <w:style w:type="character" w:customStyle="1" w:styleId="Healthnumlevel2Char">
    <w:name w:val="Health (num) level 2 Char"/>
    <w:link w:val="Healthnumlevel2"/>
    <w:locked/>
    <w:rsid w:val="00456EB6"/>
    <w:rPr>
      <w:color w:val="000000"/>
      <w:sz w:val="24"/>
      <w:szCs w:val="24"/>
      <w:lang w:eastAsia="en-US"/>
    </w:rPr>
  </w:style>
  <w:style w:type="paragraph" w:customStyle="1" w:styleId="Healthnumlevel2">
    <w:name w:val="Health (num) level 2"/>
    <w:basedOn w:val="Normal"/>
    <w:link w:val="Healthnumlevel2Char"/>
    <w:rsid w:val="00456EB6"/>
    <w:pPr>
      <w:tabs>
        <w:tab w:val="num" w:pos="1701"/>
      </w:tabs>
      <w:autoSpaceDE w:val="0"/>
      <w:autoSpaceDN w:val="0"/>
      <w:spacing w:before="60"/>
      <w:ind w:left="1701" w:hanging="851"/>
    </w:pPr>
    <w:rPr>
      <w:color w:val="000000"/>
      <w:lang w:val="en-AU"/>
    </w:rPr>
  </w:style>
  <w:style w:type="paragraph" w:customStyle="1" w:styleId="HealthnumLevel3">
    <w:name w:val="Health (num) Level 3"/>
    <w:basedOn w:val="Normal"/>
    <w:rsid w:val="00456EB6"/>
    <w:pPr>
      <w:tabs>
        <w:tab w:val="num" w:pos="2551"/>
      </w:tabs>
      <w:autoSpaceDE w:val="0"/>
      <w:autoSpaceDN w:val="0"/>
      <w:spacing w:before="60" w:line="260" w:lineRule="exact"/>
      <w:ind w:left="2551" w:hanging="850"/>
      <w:jc w:val="both"/>
    </w:pPr>
    <w:rPr>
      <w:color w:val="000000"/>
      <w:lang w:val="en-AU"/>
    </w:rPr>
  </w:style>
  <w:style w:type="paragraph" w:customStyle="1" w:styleId="HealthnumLevel4">
    <w:name w:val="Health (num) Level 4"/>
    <w:basedOn w:val="Normal"/>
    <w:rsid w:val="00456EB6"/>
    <w:pPr>
      <w:tabs>
        <w:tab w:val="num" w:pos="3402"/>
      </w:tabs>
      <w:autoSpaceDE w:val="0"/>
      <w:autoSpaceDN w:val="0"/>
      <w:spacing w:before="60" w:line="260" w:lineRule="exact"/>
      <w:ind w:left="3402" w:hanging="851"/>
    </w:pPr>
    <w:rPr>
      <w:lang w:val="en-AU"/>
    </w:rPr>
  </w:style>
  <w:style w:type="paragraph" w:customStyle="1" w:styleId="HealthnumLevel5">
    <w:name w:val="Health (num) Level 5"/>
    <w:basedOn w:val="Normal"/>
    <w:rsid w:val="00456EB6"/>
    <w:pPr>
      <w:tabs>
        <w:tab w:val="num" w:pos="936"/>
      </w:tabs>
      <w:autoSpaceDE w:val="0"/>
      <w:autoSpaceDN w:val="0"/>
      <w:spacing w:before="180" w:line="260" w:lineRule="exact"/>
      <w:ind w:left="936" w:hanging="510"/>
    </w:pPr>
    <w:rPr>
      <w:lang w:val="en-AU"/>
    </w:rPr>
  </w:style>
  <w:style w:type="paragraph" w:customStyle="1" w:styleId="HealthnumLevel6">
    <w:name w:val="Health (num) Level 6"/>
    <w:basedOn w:val="Normal"/>
    <w:rsid w:val="00456EB6"/>
    <w:pPr>
      <w:tabs>
        <w:tab w:val="num" w:pos="850"/>
      </w:tabs>
      <w:autoSpaceDE w:val="0"/>
      <w:autoSpaceDN w:val="0"/>
      <w:spacing w:before="180" w:line="260" w:lineRule="exact"/>
      <w:ind w:left="850" w:hanging="510"/>
    </w:pPr>
    <w:rPr>
      <w:lang w:val="en-AU"/>
    </w:rPr>
  </w:style>
  <w:style w:type="paragraph" w:customStyle="1" w:styleId="Heading1NoNum">
    <w:name w:val="Heading 1 No Num"/>
    <w:basedOn w:val="Normal"/>
    <w:rsid w:val="00456EB6"/>
    <w:pPr>
      <w:keepNext/>
      <w:keepLines/>
      <w:pageBreakBefore/>
      <w:tabs>
        <w:tab w:val="left" w:pos="1559"/>
      </w:tabs>
      <w:autoSpaceDE w:val="0"/>
      <w:autoSpaceDN w:val="0"/>
      <w:spacing w:before="120" w:line="240" w:lineRule="atLeast"/>
    </w:pPr>
    <w:rPr>
      <w:rFonts w:ascii="Arial" w:hAnsi="Arial" w:cs="Arial"/>
      <w:b/>
      <w:bCs/>
      <w:sz w:val="32"/>
      <w:szCs w:val="32"/>
      <w:lang w:val="en-AU"/>
    </w:rPr>
  </w:style>
  <w:style w:type="paragraph" w:customStyle="1" w:styleId="Tabletext">
    <w:name w:val="Tabletext"/>
    <w:aliases w:val="tt"/>
    <w:basedOn w:val="Normal"/>
    <w:rsid w:val="00456EB6"/>
    <w:pPr>
      <w:spacing w:before="60" w:line="240" w:lineRule="atLeast"/>
    </w:pPr>
    <w:rPr>
      <w:sz w:val="20"/>
      <w:szCs w:val="20"/>
      <w:lang w:val="en-AU" w:eastAsia="en-AU"/>
    </w:rPr>
  </w:style>
  <w:style w:type="paragraph" w:customStyle="1" w:styleId="TableHeading">
    <w:name w:val="TableHeading"/>
    <w:aliases w:val="th"/>
    <w:basedOn w:val="Normal"/>
    <w:next w:val="Tabletext"/>
    <w:rsid w:val="00456EB6"/>
    <w:pPr>
      <w:keepNext/>
      <w:spacing w:before="60" w:line="240" w:lineRule="atLeast"/>
    </w:pPr>
    <w:rPr>
      <w:b/>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0061">
      <w:bodyDiv w:val="1"/>
      <w:marLeft w:val="0"/>
      <w:marRight w:val="0"/>
      <w:marTop w:val="0"/>
      <w:marBottom w:val="0"/>
      <w:divBdr>
        <w:top w:val="none" w:sz="0" w:space="0" w:color="auto"/>
        <w:left w:val="none" w:sz="0" w:space="0" w:color="auto"/>
        <w:bottom w:val="none" w:sz="0" w:space="0" w:color="auto"/>
        <w:right w:val="none" w:sz="0" w:space="0" w:color="auto"/>
      </w:divBdr>
      <w:divsChild>
        <w:div w:id="1848523707">
          <w:marLeft w:val="0"/>
          <w:marRight w:val="0"/>
          <w:marTop w:val="0"/>
          <w:marBottom w:val="0"/>
          <w:divBdr>
            <w:top w:val="none" w:sz="0" w:space="0" w:color="auto"/>
            <w:left w:val="none" w:sz="0" w:space="0" w:color="auto"/>
            <w:bottom w:val="none" w:sz="0" w:space="0" w:color="auto"/>
            <w:right w:val="none" w:sz="0" w:space="0" w:color="auto"/>
          </w:divBdr>
          <w:divsChild>
            <w:div w:id="884833598">
              <w:marLeft w:val="0"/>
              <w:marRight w:val="0"/>
              <w:marTop w:val="0"/>
              <w:marBottom w:val="0"/>
              <w:divBdr>
                <w:top w:val="none" w:sz="0" w:space="0" w:color="auto"/>
                <w:left w:val="none" w:sz="0" w:space="0" w:color="auto"/>
                <w:bottom w:val="none" w:sz="0" w:space="0" w:color="auto"/>
                <w:right w:val="none" w:sz="0" w:space="0" w:color="auto"/>
              </w:divBdr>
              <w:divsChild>
                <w:div w:id="962082311">
                  <w:marLeft w:val="0"/>
                  <w:marRight w:val="0"/>
                  <w:marTop w:val="0"/>
                  <w:marBottom w:val="0"/>
                  <w:divBdr>
                    <w:top w:val="none" w:sz="0" w:space="0" w:color="auto"/>
                    <w:left w:val="none" w:sz="0" w:space="0" w:color="auto"/>
                    <w:bottom w:val="none" w:sz="0" w:space="0" w:color="auto"/>
                    <w:right w:val="none" w:sz="0" w:space="0" w:color="auto"/>
                  </w:divBdr>
                  <w:divsChild>
                    <w:div w:id="1890993962">
                      <w:marLeft w:val="0"/>
                      <w:marRight w:val="0"/>
                      <w:marTop w:val="0"/>
                      <w:marBottom w:val="0"/>
                      <w:divBdr>
                        <w:top w:val="none" w:sz="0" w:space="0" w:color="auto"/>
                        <w:left w:val="none" w:sz="0" w:space="0" w:color="auto"/>
                        <w:bottom w:val="none" w:sz="0" w:space="0" w:color="auto"/>
                        <w:right w:val="none" w:sz="0" w:space="0" w:color="auto"/>
                      </w:divBdr>
                      <w:divsChild>
                        <w:div w:id="597099279">
                          <w:marLeft w:val="0"/>
                          <w:marRight w:val="0"/>
                          <w:marTop w:val="0"/>
                          <w:marBottom w:val="0"/>
                          <w:divBdr>
                            <w:top w:val="single" w:sz="6" w:space="0" w:color="828282"/>
                            <w:left w:val="single" w:sz="6" w:space="0" w:color="828282"/>
                            <w:bottom w:val="single" w:sz="6" w:space="0" w:color="828282"/>
                            <w:right w:val="single" w:sz="6" w:space="0" w:color="828282"/>
                          </w:divBdr>
                          <w:divsChild>
                            <w:div w:id="1388381058">
                              <w:marLeft w:val="0"/>
                              <w:marRight w:val="0"/>
                              <w:marTop w:val="0"/>
                              <w:marBottom w:val="0"/>
                              <w:divBdr>
                                <w:top w:val="none" w:sz="0" w:space="0" w:color="auto"/>
                                <w:left w:val="none" w:sz="0" w:space="0" w:color="auto"/>
                                <w:bottom w:val="none" w:sz="0" w:space="0" w:color="auto"/>
                                <w:right w:val="none" w:sz="0" w:space="0" w:color="auto"/>
                              </w:divBdr>
                              <w:divsChild>
                                <w:div w:id="2022276617">
                                  <w:marLeft w:val="0"/>
                                  <w:marRight w:val="0"/>
                                  <w:marTop w:val="0"/>
                                  <w:marBottom w:val="0"/>
                                  <w:divBdr>
                                    <w:top w:val="none" w:sz="0" w:space="0" w:color="auto"/>
                                    <w:left w:val="none" w:sz="0" w:space="0" w:color="auto"/>
                                    <w:bottom w:val="none" w:sz="0" w:space="0" w:color="auto"/>
                                    <w:right w:val="none" w:sz="0" w:space="0" w:color="auto"/>
                                  </w:divBdr>
                                  <w:divsChild>
                                    <w:div w:id="1099325993">
                                      <w:marLeft w:val="0"/>
                                      <w:marRight w:val="0"/>
                                      <w:marTop w:val="0"/>
                                      <w:marBottom w:val="0"/>
                                      <w:divBdr>
                                        <w:top w:val="none" w:sz="0" w:space="0" w:color="auto"/>
                                        <w:left w:val="none" w:sz="0" w:space="0" w:color="auto"/>
                                        <w:bottom w:val="none" w:sz="0" w:space="0" w:color="auto"/>
                                        <w:right w:val="none" w:sz="0" w:space="0" w:color="auto"/>
                                      </w:divBdr>
                                      <w:divsChild>
                                        <w:div w:id="1670643900">
                                          <w:marLeft w:val="0"/>
                                          <w:marRight w:val="0"/>
                                          <w:marTop w:val="0"/>
                                          <w:marBottom w:val="0"/>
                                          <w:divBdr>
                                            <w:top w:val="none" w:sz="0" w:space="0" w:color="auto"/>
                                            <w:left w:val="none" w:sz="0" w:space="0" w:color="auto"/>
                                            <w:bottom w:val="none" w:sz="0" w:space="0" w:color="auto"/>
                                            <w:right w:val="none" w:sz="0" w:space="0" w:color="auto"/>
                                          </w:divBdr>
                                          <w:divsChild>
                                            <w:div w:id="252209085">
                                              <w:marLeft w:val="0"/>
                                              <w:marRight w:val="0"/>
                                              <w:marTop w:val="0"/>
                                              <w:marBottom w:val="0"/>
                                              <w:divBdr>
                                                <w:top w:val="none" w:sz="0" w:space="0" w:color="auto"/>
                                                <w:left w:val="none" w:sz="0" w:space="0" w:color="auto"/>
                                                <w:bottom w:val="none" w:sz="0" w:space="0" w:color="auto"/>
                                                <w:right w:val="none" w:sz="0" w:space="0" w:color="auto"/>
                                              </w:divBdr>
                                              <w:divsChild>
                                                <w:div w:id="476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8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4898-29E6-452F-94E5-583673C8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Waddy Jan</dc:creator>
  <cp:lastModifiedBy>Lewis Eleanor</cp:lastModifiedBy>
  <cp:revision>2</cp:revision>
  <cp:lastPrinted>2014-12-02T03:59:00Z</cp:lastPrinted>
  <dcterms:created xsi:type="dcterms:W3CDTF">2014-12-11T08:23:00Z</dcterms:created>
  <dcterms:modified xsi:type="dcterms:W3CDTF">2014-12-11T08:23:00Z</dcterms:modified>
</cp:coreProperties>
</file>