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03D" w:rsidRPr="00B95A6C" w:rsidRDefault="0075603D" w:rsidP="0075603D">
      <w:pPr>
        <w:tabs>
          <w:tab w:val="left" w:pos="6480"/>
        </w:tabs>
        <w:autoSpaceDE w:val="0"/>
        <w:autoSpaceDN w:val="0"/>
        <w:adjustRightInd w:val="0"/>
        <w:spacing w:line="240" w:lineRule="atLeast"/>
        <w:jc w:val="center"/>
        <w:rPr>
          <w:b/>
          <w:bCs/>
          <w:color w:val="000000"/>
          <w:u w:val="single"/>
        </w:rPr>
      </w:pPr>
      <w:r w:rsidRPr="00B95A6C">
        <w:rPr>
          <w:b/>
          <w:bCs/>
          <w:color w:val="000000"/>
          <w:u w:val="single"/>
        </w:rPr>
        <w:t>EXPLANATORY STATEMENT</w:t>
      </w:r>
    </w:p>
    <w:p w:rsidR="008E4336" w:rsidRPr="00B95A6C" w:rsidRDefault="008E4336" w:rsidP="008E4336">
      <w:pPr>
        <w:autoSpaceDE w:val="0"/>
        <w:autoSpaceDN w:val="0"/>
        <w:adjustRightInd w:val="0"/>
        <w:spacing w:line="240" w:lineRule="atLeast"/>
        <w:jc w:val="center"/>
        <w:rPr>
          <w:b/>
          <w:bCs/>
          <w:color w:val="000000"/>
          <w:u w:val="single"/>
        </w:rPr>
      </w:pPr>
    </w:p>
    <w:p w:rsidR="008E4336" w:rsidRPr="00B95A6C" w:rsidRDefault="008E4336" w:rsidP="008E4336">
      <w:pPr>
        <w:autoSpaceDE w:val="0"/>
        <w:autoSpaceDN w:val="0"/>
        <w:adjustRightInd w:val="0"/>
        <w:spacing w:line="240" w:lineRule="atLeast"/>
        <w:jc w:val="center"/>
        <w:rPr>
          <w:b/>
          <w:color w:val="000000"/>
          <w:u w:val="single"/>
        </w:rPr>
      </w:pPr>
      <w:r w:rsidRPr="00E25403">
        <w:rPr>
          <w:b/>
          <w:color w:val="000000"/>
          <w:u w:val="single"/>
        </w:rPr>
        <w:t xml:space="preserve">Select Legislative Instrument No. </w:t>
      </w:r>
      <w:r w:rsidR="007C2F33">
        <w:rPr>
          <w:b/>
          <w:color w:val="000000"/>
          <w:u w:val="single"/>
        </w:rPr>
        <w:t>192,</w:t>
      </w:r>
      <w:r>
        <w:rPr>
          <w:b/>
          <w:color w:val="000000"/>
          <w:u w:val="single"/>
        </w:rPr>
        <w:t>_</w:t>
      </w:r>
      <w:bookmarkStart w:id="0" w:name="_GoBack"/>
      <w:bookmarkEnd w:id="0"/>
      <w:r w:rsidRPr="00E25403">
        <w:rPr>
          <w:b/>
          <w:color w:val="000000"/>
          <w:u w:val="single"/>
        </w:rPr>
        <w:t>2014</w:t>
      </w:r>
    </w:p>
    <w:p w:rsidR="008E4336" w:rsidRPr="00B95A6C" w:rsidRDefault="008E4336" w:rsidP="008E4336">
      <w:pPr>
        <w:autoSpaceDE w:val="0"/>
        <w:autoSpaceDN w:val="0"/>
        <w:adjustRightInd w:val="0"/>
        <w:spacing w:line="240" w:lineRule="atLeast"/>
        <w:jc w:val="center"/>
        <w:rPr>
          <w:color w:val="000000"/>
          <w:u w:val="single"/>
        </w:rPr>
      </w:pPr>
    </w:p>
    <w:p w:rsidR="008E4336" w:rsidRDefault="008E4336" w:rsidP="008E4336">
      <w:pPr>
        <w:autoSpaceDE w:val="0"/>
        <w:autoSpaceDN w:val="0"/>
        <w:adjustRightInd w:val="0"/>
        <w:spacing w:line="240" w:lineRule="atLeast"/>
        <w:jc w:val="center"/>
        <w:rPr>
          <w:color w:val="000000"/>
        </w:rPr>
      </w:pPr>
      <w:r>
        <w:rPr>
          <w:color w:val="000000"/>
        </w:rPr>
        <w:t>Issued by the Authority of the Minister for Foreign Affairs</w:t>
      </w:r>
    </w:p>
    <w:p w:rsidR="008E4336" w:rsidRDefault="008E4336" w:rsidP="008E4336">
      <w:pPr>
        <w:keepNext/>
        <w:autoSpaceDE w:val="0"/>
        <w:autoSpaceDN w:val="0"/>
        <w:adjustRightInd w:val="0"/>
        <w:spacing w:line="240" w:lineRule="atLeast"/>
        <w:jc w:val="center"/>
        <w:rPr>
          <w:i/>
          <w:iCs/>
          <w:color w:val="000000"/>
        </w:rPr>
      </w:pPr>
    </w:p>
    <w:p w:rsidR="00300FB7" w:rsidRPr="00B95A6C" w:rsidRDefault="00300FB7" w:rsidP="00300FB7">
      <w:pPr>
        <w:keepNext/>
        <w:autoSpaceDE w:val="0"/>
        <w:autoSpaceDN w:val="0"/>
        <w:adjustRightInd w:val="0"/>
        <w:spacing w:line="240" w:lineRule="atLeast"/>
        <w:ind w:left="720"/>
        <w:rPr>
          <w:i/>
          <w:iCs/>
          <w:color w:val="000000"/>
        </w:rPr>
      </w:pPr>
      <w:r w:rsidRPr="00B95A6C">
        <w:rPr>
          <w:i/>
          <w:iCs/>
          <w:color w:val="000000"/>
        </w:rPr>
        <w:t>Charter of the United Nations Act 1945</w:t>
      </w:r>
    </w:p>
    <w:p w:rsidR="00300FB7" w:rsidRDefault="00300FB7" w:rsidP="00300FB7">
      <w:pPr>
        <w:autoSpaceDE w:val="0"/>
        <w:autoSpaceDN w:val="0"/>
        <w:adjustRightInd w:val="0"/>
        <w:spacing w:line="240" w:lineRule="atLeast"/>
        <w:ind w:left="720"/>
        <w:rPr>
          <w:rFonts w:ascii="Times" w:hAnsi="Times" w:cs="Times"/>
          <w:i/>
          <w:iCs/>
          <w:color w:val="000000"/>
        </w:rPr>
      </w:pPr>
    </w:p>
    <w:p w:rsidR="00300FB7" w:rsidRDefault="00300FB7" w:rsidP="00300FB7">
      <w:pPr>
        <w:autoSpaceDE w:val="0"/>
        <w:autoSpaceDN w:val="0"/>
        <w:adjustRightInd w:val="0"/>
        <w:spacing w:line="240" w:lineRule="atLeast"/>
        <w:ind w:left="720"/>
        <w:rPr>
          <w:rFonts w:ascii="Times" w:hAnsi="Times" w:cs="Times"/>
          <w:i/>
          <w:iCs/>
          <w:color w:val="000000"/>
        </w:rPr>
      </w:pPr>
      <w:r w:rsidRPr="00B95A6C">
        <w:rPr>
          <w:rFonts w:ascii="Times" w:hAnsi="Times" w:cs="Times"/>
          <w:i/>
          <w:iCs/>
          <w:color w:val="000000"/>
        </w:rPr>
        <w:t xml:space="preserve">Charter of the United Nations Legislation Amendment </w:t>
      </w:r>
      <w:r>
        <w:rPr>
          <w:rFonts w:ascii="Times" w:hAnsi="Times" w:cs="Times"/>
          <w:i/>
          <w:iCs/>
          <w:color w:val="000000"/>
        </w:rPr>
        <w:t xml:space="preserve">(Sanctions – 2014 Measures No. 2) </w:t>
      </w:r>
      <w:r w:rsidRPr="00B95A6C">
        <w:rPr>
          <w:rFonts w:ascii="Times" w:hAnsi="Times" w:cs="Times"/>
          <w:i/>
          <w:iCs/>
          <w:color w:val="000000"/>
        </w:rPr>
        <w:t>Regulation 201</w:t>
      </w:r>
      <w:r>
        <w:rPr>
          <w:rFonts w:ascii="Times" w:hAnsi="Times" w:cs="Times"/>
          <w:i/>
          <w:iCs/>
          <w:color w:val="000000"/>
        </w:rPr>
        <w:t>4</w:t>
      </w:r>
    </w:p>
    <w:p w:rsidR="00300FB7" w:rsidRDefault="00300FB7" w:rsidP="00300FB7">
      <w:pPr>
        <w:autoSpaceDE w:val="0"/>
        <w:autoSpaceDN w:val="0"/>
        <w:adjustRightInd w:val="0"/>
        <w:spacing w:line="240" w:lineRule="atLeast"/>
        <w:rPr>
          <w:rFonts w:ascii="Times" w:hAnsi="Times" w:cs="Times"/>
          <w:i/>
          <w:iCs/>
          <w:color w:val="000000"/>
        </w:rPr>
      </w:pPr>
    </w:p>
    <w:p w:rsidR="003B7EED" w:rsidRPr="00B95A6C" w:rsidRDefault="003B7EED" w:rsidP="00300FB7">
      <w:pPr>
        <w:autoSpaceDE w:val="0"/>
        <w:autoSpaceDN w:val="0"/>
        <w:adjustRightInd w:val="0"/>
        <w:spacing w:line="240" w:lineRule="atLeast"/>
        <w:rPr>
          <w:rFonts w:ascii="Times" w:hAnsi="Times" w:cs="Times"/>
          <w:i/>
          <w:iCs/>
          <w:color w:val="000000"/>
        </w:rPr>
      </w:pPr>
    </w:p>
    <w:p w:rsidR="00300FB7" w:rsidRDefault="00300FB7" w:rsidP="00300FB7">
      <w:pPr>
        <w:autoSpaceDE w:val="0"/>
        <w:autoSpaceDN w:val="0"/>
        <w:adjustRightInd w:val="0"/>
        <w:rPr>
          <w:color w:val="000000"/>
        </w:rPr>
      </w:pPr>
      <w:r w:rsidRPr="00B95A6C">
        <w:rPr>
          <w:rFonts w:ascii="Times" w:hAnsi="Times" w:cs="Times"/>
          <w:color w:val="000000"/>
        </w:rPr>
        <w:t>Section</w:t>
      </w:r>
      <w:r w:rsidRPr="00B95A6C">
        <w:rPr>
          <w:color w:val="000000"/>
        </w:rPr>
        <w:t xml:space="preserve"> 6 of the </w:t>
      </w:r>
      <w:r w:rsidRPr="00B95A6C">
        <w:rPr>
          <w:i/>
          <w:iCs/>
          <w:color w:val="000000"/>
        </w:rPr>
        <w:t>Charter of the United Nations Act 1945</w:t>
      </w:r>
      <w:r w:rsidRPr="00B95A6C">
        <w:rPr>
          <w:color w:val="000000"/>
        </w:rPr>
        <w:t xml:space="preserve"> (</w:t>
      </w:r>
      <w:r w:rsidRPr="00FF715A">
        <w:rPr>
          <w:color w:val="000000"/>
        </w:rPr>
        <w:t>the Act)</w:t>
      </w:r>
      <w:r w:rsidRPr="00B95A6C">
        <w:rPr>
          <w:color w:val="000000"/>
        </w:rPr>
        <w:t xml:space="preserve"> provides that the Governor-General may make regulations </w:t>
      </w:r>
      <w:r>
        <w:rPr>
          <w:color w:val="000000"/>
        </w:rPr>
        <w:t>to give effect to decisions of</w:t>
      </w:r>
      <w:r w:rsidRPr="00B95A6C">
        <w:rPr>
          <w:color w:val="000000"/>
        </w:rPr>
        <w:t xml:space="preserve"> the </w:t>
      </w:r>
      <w:r>
        <w:rPr>
          <w:color w:val="000000"/>
        </w:rPr>
        <w:t>United Nations Security Council (UNSC)</w:t>
      </w:r>
      <w:r w:rsidRPr="00B95A6C">
        <w:rPr>
          <w:color w:val="000000"/>
        </w:rPr>
        <w:t xml:space="preserve"> under Chapter VII of the Charter of the United Nations</w:t>
      </w:r>
      <w:r>
        <w:rPr>
          <w:color w:val="000000"/>
        </w:rPr>
        <w:t xml:space="preserve"> (</w:t>
      </w:r>
      <w:r w:rsidRPr="00FF253A">
        <w:rPr>
          <w:color w:val="000000"/>
        </w:rPr>
        <w:t>the Charter</w:t>
      </w:r>
      <w:r>
        <w:rPr>
          <w:color w:val="000000"/>
        </w:rPr>
        <w:t>) that Australia is required to carry out under</w:t>
      </w:r>
      <w:r w:rsidRPr="00B95A6C">
        <w:rPr>
          <w:color w:val="000000"/>
        </w:rPr>
        <w:t xml:space="preserve"> Article 25 of the Charter </w:t>
      </w:r>
      <w:r>
        <w:rPr>
          <w:color w:val="000000"/>
        </w:rPr>
        <w:t>and</w:t>
      </w:r>
      <w:r w:rsidRPr="00B95A6C">
        <w:rPr>
          <w:color w:val="000000"/>
        </w:rPr>
        <w:t xml:space="preserve"> in so far as those decisions require Australia to apply measures not involving the use of armed force.</w:t>
      </w:r>
    </w:p>
    <w:p w:rsidR="00300FB7" w:rsidRDefault="00300FB7" w:rsidP="00300FB7">
      <w:pPr>
        <w:autoSpaceDE w:val="0"/>
        <w:autoSpaceDN w:val="0"/>
        <w:adjustRightInd w:val="0"/>
        <w:rPr>
          <w:color w:val="000000"/>
        </w:rPr>
      </w:pPr>
    </w:p>
    <w:p w:rsidR="004117BB" w:rsidRPr="0048083B" w:rsidRDefault="004117BB" w:rsidP="004117BB">
      <w:pPr>
        <w:autoSpaceDE w:val="0"/>
        <w:autoSpaceDN w:val="0"/>
        <w:adjustRightInd w:val="0"/>
        <w:rPr>
          <w:color w:val="000000"/>
        </w:rPr>
      </w:pPr>
      <w:r w:rsidRPr="0048083B">
        <w:rPr>
          <w:color w:val="000000"/>
        </w:rPr>
        <w:t xml:space="preserve">The purpose of the </w:t>
      </w:r>
      <w:r w:rsidRPr="0048083B">
        <w:rPr>
          <w:i/>
          <w:iCs/>
        </w:rPr>
        <w:t>Charter of the United Nations Legislation Amendment (Sanctions—2014 Measures No. 2) Regulation 2014</w:t>
      </w:r>
      <w:r w:rsidRPr="0048083B">
        <w:t xml:space="preserve"> </w:t>
      </w:r>
      <w:r w:rsidRPr="0048083B">
        <w:rPr>
          <w:color w:val="000000"/>
        </w:rPr>
        <w:t xml:space="preserve">(the Amendment Regulation) is to amend </w:t>
      </w:r>
      <w:r w:rsidRPr="0048083B">
        <w:rPr>
          <w:iCs/>
          <w:color w:val="000000"/>
        </w:rPr>
        <w:t xml:space="preserve">the </w:t>
      </w:r>
      <w:r w:rsidRPr="0048083B">
        <w:rPr>
          <w:i/>
          <w:iCs/>
          <w:color w:val="000000"/>
        </w:rPr>
        <w:t xml:space="preserve">Charter of the United Nations (Sanctions – Central African Republic) Regulation 2014 </w:t>
      </w:r>
      <w:r w:rsidRPr="0048083B">
        <w:rPr>
          <w:iCs/>
          <w:color w:val="000000"/>
        </w:rPr>
        <w:t xml:space="preserve">(the CAR Regulation); the </w:t>
      </w:r>
      <w:r w:rsidRPr="0048083B">
        <w:rPr>
          <w:i/>
          <w:iCs/>
          <w:color w:val="000000"/>
        </w:rPr>
        <w:t xml:space="preserve">Charter of the United Nations (Sanctions – Libya) Regulations 2011 </w:t>
      </w:r>
      <w:r w:rsidRPr="0048083B">
        <w:rPr>
          <w:iCs/>
          <w:color w:val="000000"/>
        </w:rPr>
        <w:t xml:space="preserve">(the Libya Regulations); </w:t>
      </w:r>
      <w:r w:rsidRPr="0048083B">
        <w:rPr>
          <w:iCs/>
        </w:rPr>
        <w:t xml:space="preserve">and </w:t>
      </w:r>
      <w:r w:rsidRPr="0048083B">
        <w:rPr>
          <w:iCs/>
          <w:color w:val="000000"/>
        </w:rPr>
        <w:t xml:space="preserve">the </w:t>
      </w:r>
      <w:r w:rsidRPr="0048083B">
        <w:rPr>
          <w:i/>
          <w:iCs/>
          <w:color w:val="000000"/>
        </w:rPr>
        <w:t>Charter of the United Nations (Sanctions – Yemen) Regulation 20</w:t>
      </w:r>
      <w:r w:rsidR="00BA221A" w:rsidRPr="0048083B">
        <w:rPr>
          <w:i/>
          <w:iCs/>
          <w:color w:val="000000"/>
        </w:rPr>
        <w:t>14</w:t>
      </w:r>
      <w:r w:rsidRPr="0048083B">
        <w:rPr>
          <w:i/>
          <w:iCs/>
          <w:color w:val="000000"/>
        </w:rPr>
        <w:t xml:space="preserve"> </w:t>
      </w:r>
      <w:r w:rsidRPr="0048083B">
        <w:rPr>
          <w:iCs/>
          <w:color w:val="000000"/>
        </w:rPr>
        <w:t xml:space="preserve">(the Yemen Regulation) to </w:t>
      </w:r>
      <w:r w:rsidRPr="0048083B">
        <w:rPr>
          <w:color w:val="000000"/>
        </w:rPr>
        <w:t>implement recent decisions of the United Nations Security Council (UNSC) modifying existing sanctions in relation to the Central African Republic (CAR), Libya and Yemen</w:t>
      </w:r>
      <w:r w:rsidR="00AD1B03" w:rsidRPr="0048083B">
        <w:rPr>
          <w:color w:val="000000"/>
        </w:rPr>
        <w:t>, in accordance with Australia’s international obligations</w:t>
      </w:r>
      <w:r w:rsidRPr="0048083B">
        <w:rPr>
          <w:color w:val="000000"/>
        </w:rPr>
        <w:t xml:space="preserve">.  </w:t>
      </w:r>
    </w:p>
    <w:p w:rsidR="004117BB" w:rsidRPr="0048083B" w:rsidRDefault="004117BB" w:rsidP="004117BB">
      <w:pPr>
        <w:autoSpaceDE w:val="0"/>
        <w:autoSpaceDN w:val="0"/>
        <w:adjustRightInd w:val="0"/>
        <w:rPr>
          <w:color w:val="000000"/>
        </w:rPr>
      </w:pPr>
    </w:p>
    <w:p w:rsidR="004117BB" w:rsidRPr="0048083B" w:rsidRDefault="004117BB" w:rsidP="004117BB">
      <w:pPr>
        <w:autoSpaceDE w:val="0"/>
        <w:autoSpaceDN w:val="0"/>
        <w:adjustRightInd w:val="0"/>
        <w:spacing w:line="240" w:lineRule="atLeast"/>
        <w:rPr>
          <w:color w:val="000000"/>
        </w:rPr>
      </w:pPr>
      <w:r w:rsidRPr="0048083B">
        <w:rPr>
          <w:color w:val="000000"/>
        </w:rPr>
        <w:t xml:space="preserve">The </w:t>
      </w:r>
      <w:r w:rsidRPr="0048083B">
        <w:rPr>
          <w:iCs/>
          <w:color w:val="000000"/>
        </w:rPr>
        <w:t>CAR Regulation</w:t>
      </w:r>
      <w:r w:rsidRPr="0048083B">
        <w:rPr>
          <w:color w:val="000000"/>
        </w:rPr>
        <w:t xml:space="preserve"> give</w:t>
      </w:r>
      <w:r w:rsidR="00BA221A" w:rsidRPr="0048083B">
        <w:rPr>
          <w:color w:val="000000"/>
        </w:rPr>
        <w:t>s</w:t>
      </w:r>
      <w:r w:rsidRPr="0048083B">
        <w:rPr>
          <w:color w:val="000000"/>
        </w:rPr>
        <w:t xml:space="preserve"> effect in Australia to sanctions obligations arising from UNSC resolution 2127 (2013) and its successors.  </w:t>
      </w:r>
      <w:r w:rsidRPr="0048083B">
        <w:t xml:space="preserve">UNSC resolution 2134, adopted on 28 January 2014, imposed targeted financial sanctions in relation to persons or entities designated by the CAR Sanctions Committee.  This decision was implemented by the </w:t>
      </w:r>
      <w:r w:rsidRPr="0048083B">
        <w:rPr>
          <w:i/>
        </w:rPr>
        <w:t>Charter of the United Nations Legislation Amendment (Central African Republic and Yemen) Regulation 2014</w:t>
      </w:r>
      <w:r w:rsidRPr="0048083B">
        <w:t>, which amended the CAR Regulation.  The Amendment Regulation amends the definition of ‘controlled asset’ in the CAR Regulation to provide for the freezing of assets by persons or entities acting on behalf of or at the direction of a designated person or entity; or an entity owned or controlled by a designated person or entity, as mandated by resolution 2134.   The Amendment Regulation updates the definition of ‘controlled asset’ in the CAR Regulation to reflect current UNSC practice.</w:t>
      </w:r>
    </w:p>
    <w:p w:rsidR="004117BB" w:rsidRPr="0048083B" w:rsidRDefault="004117BB" w:rsidP="004117BB">
      <w:pPr>
        <w:autoSpaceDE w:val="0"/>
        <w:autoSpaceDN w:val="0"/>
        <w:adjustRightInd w:val="0"/>
        <w:spacing w:line="240" w:lineRule="atLeast"/>
        <w:rPr>
          <w:color w:val="000000"/>
        </w:rPr>
      </w:pPr>
    </w:p>
    <w:p w:rsidR="004117BB" w:rsidRPr="0048083B" w:rsidRDefault="004117BB" w:rsidP="004117BB">
      <w:pPr>
        <w:autoSpaceDE w:val="0"/>
        <w:autoSpaceDN w:val="0"/>
        <w:adjustRightInd w:val="0"/>
        <w:spacing w:line="240" w:lineRule="atLeast"/>
      </w:pPr>
      <w:r w:rsidRPr="0048083B">
        <w:t xml:space="preserve">The Libya Regulations </w:t>
      </w:r>
      <w:r w:rsidRPr="0048083B">
        <w:rPr>
          <w:color w:val="000000"/>
        </w:rPr>
        <w:t xml:space="preserve">give effect in Australia to sanctions obligations arising from UNSC resolution </w:t>
      </w:r>
      <w:r w:rsidRPr="0048083B">
        <w:t>1970 (2011)</w:t>
      </w:r>
      <w:r w:rsidRPr="0048083B">
        <w:rPr>
          <w:color w:val="000000"/>
        </w:rPr>
        <w:t xml:space="preserve"> and its successors</w:t>
      </w:r>
      <w:r w:rsidRPr="0048083B">
        <w:t>.  Resolution 2174 (2014), adopted on 27 August 2014, strengthens the arms embargo in relation to Libya by requiring that a sanctioned supply to Libya</w:t>
      </w:r>
      <w:r w:rsidR="00BA221A" w:rsidRPr="0048083B">
        <w:t xml:space="preserve">, other than for non-lethal military equipment, </w:t>
      </w:r>
      <w:r w:rsidRPr="0048083B">
        <w:t xml:space="preserve"> must be approved in advance by the Libya Sanctions Committee. The Amendment Regulation amends the Libya Regulations to require that the Libya Committee approve in advance the issue of a permit allowing a supply of arms or related materiel intended solely for security or disarmament assistance to the Libyan government.</w:t>
      </w:r>
    </w:p>
    <w:p w:rsidR="004117BB" w:rsidRPr="0048083B" w:rsidRDefault="004117BB" w:rsidP="004117BB">
      <w:pPr>
        <w:autoSpaceDE w:val="0"/>
        <w:autoSpaceDN w:val="0"/>
        <w:adjustRightInd w:val="0"/>
        <w:spacing w:line="240" w:lineRule="atLeast"/>
      </w:pPr>
    </w:p>
    <w:p w:rsidR="004117BB" w:rsidRPr="0048083B" w:rsidRDefault="004117BB" w:rsidP="004117BB">
      <w:pPr>
        <w:autoSpaceDE w:val="0"/>
        <w:autoSpaceDN w:val="0"/>
        <w:adjustRightInd w:val="0"/>
        <w:spacing w:line="240" w:lineRule="atLeast"/>
        <w:rPr>
          <w:color w:val="000000"/>
        </w:rPr>
      </w:pPr>
      <w:r w:rsidRPr="0048083B">
        <w:rPr>
          <w:color w:val="000000"/>
        </w:rPr>
        <w:t xml:space="preserve">The Yemen </w:t>
      </w:r>
      <w:r w:rsidRPr="0048083B">
        <w:rPr>
          <w:iCs/>
          <w:color w:val="000000"/>
        </w:rPr>
        <w:t>Regulation</w:t>
      </w:r>
      <w:r w:rsidRPr="0048083B">
        <w:rPr>
          <w:color w:val="000000"/>
        </w:rPr>
        <w:t xml:space="preserve"> give</w:t>
      </w:r>
      <w:r w:rsidR="00BA221A" w:rsidRPr="0048083B">
        <w:rPr>
          <w:color w:val="000000"/>
        </w:rPr>
        <w:t>s</w:t>
      </w:r>
      <w:r w:rsidRPr="0048083B">
        <w:rPr>
          <w:color w:val="000000"/>
        </w:rPr>
        <w:t xml:space="preserve"> effect in Australia to sanctions obligations arising from UNSC resolution </w:t>
      </w:r>
      <w:r w:rsidRPr="0048083B">
        <w:t xml:space="preserve">2140 (2014), which imposed targeted financial sanctions in relation to persons or entities designated by the Yemen Sanctions Committee.  This decision was implemented by the </w:t>
      </w:r>
      <w:r w:rsidRPr="0048083B">
        <w:rPr>
          <w:i/>
        </w:rPr>
        <w:t>Charter of the United Nations Legislation Amendment (Central African Republic and Yemen) Regulation 2014</w:t>
      </w:r>
      <w:r w:rsidRPr="0048083B">
        <w:t>, which ame</w:t>
      </w:r>
      <w:r w:rsidR="00BA221A" w:rsidRPr="0048083B">
        <w:t>nded the Yemen Regulation</w:t>
      </w:r>
      <w:r w:rsidRPr="0048083B">
        <w:t>.  The Amendment Regulation amends the definition of ‘controlled</w:t>
      </w:r>
      <w:r w:rsidR="00BA221A" w:rsidRPr="0048083B">
        <w:t xml:space="preserve"> asset’ in the Yemen Regulation</w:t>
      </w:r>
      <w:r w:rsidRPr="0048083B">
        <w:t xml:space="preserve"> to provide for the freezing of assets by persons or entities acting on behalf of or at the direction of a designated person or entity; or an entity owned or controlled by a designated person or entity, as mandated by resolution 2140.   The Amendment Regulation updates the definition of ‘controlled asset’ in the Yemen Regulation to reflect current UNSC practice.</w:t>
      </w:r>
    </w:p>
    <w:p w:rsidR="00300FB7" w:rsidRPr="00296351" w:rsidRDefault="00300FB7" w:rsidP="00300FB7">
      <w:pPr>
        <w:autoSpaceDE w:val="0"/>
        <w:autoSpaceDN w:val="0"/>
        <w:adjustRightInd w:val="0"/>
      </w:pPr>
    </w:p>
    <w:p w:rsidR="00300FB7" w:rsidRPr="007913A9" w:rsidRDefault="00300FB7" w:rsidP="00300FB7">
      <w:pPr>
        <w:autoSpaceDE w:val="0"/>
        <w:autoSpaceDN w:val="0"/>
        <w:adjustRightInd w:val="0"/>
      </w:pPr>
      <w:r w:rsidRPr="00296351">
        <w:rPr>
          <w:color w:val="000000"/>
        </w:rPr>
        <w:t xml:space="preserve">No public consultation was undertaken in relation to the Amendment Regulation, as it implements Australia’s international legal obligations arising from decisions of the UNSC. </w:t>
      </w:r>
      <w:r w:rsidRPr="00296351">
        <w:rPr>
          <w:color w:val="000000"/>
          <w:lang w:val="en-US"/>
        </w:rPr>
        <w:t>The Department of Foreign Affairs and Trade conducts regular outreach to the Australian business community to explain Australian sanctions laws implementing UNSC sanctions.</w:t>
      </w:r>
    </w:p>
    <w:p w:rsidR="00300FB7" w:rsidRPr="00B95A6C" w:rsidRDefault="00300FB7" w:rsidP="00300FB7">
      <w:pPr>
        <w:autoSpaceDE w:val="0"/>
        <w:autoSpaceDN w:val="0"/>
        <w:adjustRightInd w:val="0"/>
        <w:spacing w:line="240" w:lineRule="atLeast"/>
        <w:rPr>
          <w:color w:val="000000"/>
        </w:rPr>
      </w:pPr>
    </w:p>
    <w:p w:rsidR="00300FB7" w:rsidRPr="00B95A6C" w:rsidRDefault="00300FB7" w:rsidP="00300FB7">
      <w:pPr>
        <w:autoSpaceDE w:val="0"/>
        <w:autoSpaceDN w:val="0"/>
        <w:adjustRightInd w:val="0"/>
        <w:spacing w:line="240" w:lineRule="atLeast"/>
        <w:rPr>
          <w:color w:val="000000"/>
        </w:rPr>
      </w:pPr>
      <w:r w:rsidRPr="00367D1C">
        <w:rPr>
          <w:color w:val="000000"/>
        </w:rPr>
        <w:t xml:space="preserve">Resolutions </w:t>
      </w:r>
      <w:r>
        <w:rPr>
          <w:color w:val="000000"/>
        </w:rPr>
        <w:t>1970, 2127, 2134, 2140 and 2174</w:t>
      </w:r>
      <w:r w:rsidRPr="00367D1C">
        <w:rPr>
          <w:color w:val="000000"/>
        </w:rPr>
        <w:t xml:space="preserve"> </w:t>
      </w:r>
      <w:r w:rsidRPr="00367D1C">
        <w:t>were</w:t>
      </w:r>
      <w:r w:rsidRPr="00B95A6C">
        <w:t xml:space="preserve"> adopted under Article 41 of Chapter VII of the Charter and the measures are binding on Australia pursuant to Article 25 of that Charter. </w:t>
      </w:r>
      <w:r w:rsidRPr="00B95A6C">
        <w:rPr>
          <w:iCs/>
          <w:color w:val="000000"/>
        </w:rPr>
        <w:t xml:space="preserve">The relevant UNSC resolutions can be found on the UN website (www.un.org). </w:t>
      </w:r>
    </w:p>
    <w:p w:rsidR="00300FB7" w:rsidRPr="00B95A6C" w:rsidRDefault="00300FB7" w:rsidP="00300FB7">
      <w:pPr>
        <w:autoSpaceDE w:val="0"/>
        <w:autoSpaceDN w:val="0"/>
        <w:adjustRightInd w:val="0"/>
        <w:spacing w:line="240" w:lineRule="atLeast"/>
        <w:rPr>
          <w:color w:val="000000"/>
        </w:rPr>
      </w:pPr>
    </w:p>
    <w:p w:rsidR="00300FB7" w:rsidRPr="004068F5" w:rsidRDefault="00300FB7" w:rsidP="004068F5">
      <w:pPr>
        <w:autoSpaceDE w:val="0"/>
        <w:autoSpaceDN w:val="0"/>
        <w:adjustRightInd w:val="0"/>
      </w:pPr>
      <w:r>
        <w:t xml:space="preserve">Details of the Amendment Regulation are set out in the </w:t>
      </w:r>
      <w:r>
        <w:rPr>
          <w:u w:val="single"/>
        </w:rPr>
        <w:t>Attachment</w:t>
      </w:r>
      <w:r>
        <w:t>.</w:t>
      </w:r>
    </w:p>
    <w:p w:rsidR="00300FB7" w:rsidRDefault="00300FB7" w:rsidP="00775700">
      <w:pPr>
        <w:autoSpaceDE w:val="0"/>
        <w:autoSpaceDN w:val="0"/>
        <w:adjustRightInd w:val="0"/>
        <w:spacing w:line="240" w:lineRule="atLeast"/>
        <w:jc w:val="center"/>
        <w:rPr>
          <w:b/>
          <w:color w:val="000000"/>
        </w:rPr>
      </w:pPr>
    </w:p>
    <w:p w:rsidR="00300FB7" w:rsidRDefault="00300FB7" w:rsidP="00775700">
      <w:pPr>
        <w:autoSpaceDE w:val="0"/>
        <w:autoSpaceDN w:val="0"/>
        <w:adjustRightInd w:val="0"/>
        <w:spacing w:line="240" w:lineRule="atLeast"/>
        <w:jc w:val="center"/>
        <w:rPr>
          <w:b/>
          <w:color w:val="000000"/>
        </w:rPr>
      </w:pPr>
    </w:p>
    <w:p w:rsidR="003B7EED" w:rsidRDefault="003B7EED">
      <w:pPr>
        <w:rPr>
          <w:b/>
          <w:color w:val="000000"/>
        </w:rPr>
      </w:pPr>
      <w:r>
        <w:rPr>
          <w:b/>
          <w:color w:val="000000"/>
        </w:rPr>
        <w:br w:type="page"/>
      </w:r>
    </w:p>
    <w:p w:rsidR="00775700" w:rsidRPr="00B95A6C" w:rsidRDefault="00775700" w:rsidP="00775700">
      <w:pPr>
        <w:autoSpaceDE w:val="0"/>
        <w:autoSpaceDN w:val="0"/>
        <w:adjustRightInd w:val="0"/>
        <w:spacing w:line="240" w:lineRule="atLeast"/>
        <w:jc w:val="center"/>
        <w:rPr>
          <w:b/>
          <w:color w:val="000000"/>
        </w:rPr>
      </w:pPr>
      <w:r w:rsidRPr="00B95A6C">
        <w:rPr>
          <w:b/>
          <w:color w:val="000000"/>
        </w:rPr>
        <w:lastRenderedPageBreak/>
        <w:t>Statement of Compatibility with Human Rights</w:t>
      </w:r>
    </w:p>
    <w:p w:rsidR="00775700" w:rsidRPr="00B95A6C" w:rsidRDefault="00775700" w:rsidP="00775700">
      <w:pPr>
        <w:autoSpaceDE w:val="0"/>
        <w:autoSpaceDN w:val="0"/>
        <w:adjustRightInd w:val="0"/>
        <w:spacing w:line="240" w:lineRule="atLeast"/>
        <w:jc w:val="center"/>
        <w:rPr>
          <w:b/>
          <w:color w:val="000000"/>
        </w:rPr>
      </w:pPr>
    </w:p>
    <w:p w:rsidR="00775700" w:rsidRPr="00B95A6C" w:rsidRDefault="00775700" w:rsidP="00775700">
      <w:pPr>
        <w:autoSpaceDE w:val="0"/>
        <w:autoSpaceDN w:val="0"/>
        <w:adjustRightInd w:val="0"/>
        <w:spacing w:line="240" w:lineRule="atLeast"/>
        <w:jc w:val="center"/>
        <w:rPr>
          <w:i/>
          <w:color w:val="000000"/>
        </w:rPr>
      </w:pPr>
      <w:r w:rsidRPr="00B95A6C">
        <w:rPr>
          <w:i/>
          <w:color w:val="000000"/>
        </w:rPr>
        <w:t>Prepared in accordance with Part 3 of the Human Rights (Parliamentary Scrutiny) Act 2011</w:t>
      </w:r>
    </w:p>
    <w:p w:rsidR="00775700" w:rsidRPr="00B95A6C" w:rsidRDefault="00775700" w:rsidP="00775700">
      <w:pPr>
        <w:autoSpaceDE w:val="0"/>
        <w:autoSpaceDN w:val="0"/>
        <w:adjustRightInd w:val="0"/>
        <w:spacing w:line="240" w:lineRule="atLeast"/>
        <w:jc w:val="center"/>
        <w:rPr>
          <w:i/>
          <w:color w:val="000000"/>
        </w:rPr>
      </w:pPr>
    </w:p>
    <w:p w:rsidR="00775700" w:rsidRDefault="00775700" w:rsidP="00775700">
      <w:pPr>
        <w:autoSpaceDE w:val="0"/>
        <w:autoSpaceDN w:val="0"/>
        <w:adjustRightInd w:val="0"/>
        <w:spacing w:line="276" w:lineRule="auto"/>
        <w:jc w:val="center"/>
        <w:rPr>
          <w:rFonts w:ascii="Times" w:hAnsi="Times" w:cs="Times"/>
          <w:i/>
          <w:iCs/>
          <w:color w:val="000000"/>
        </w:rPr>
      </w:pPr>
      <w:r w:rsidRPr="00B95A6C">
        <w:rPr>
          <w:rFonts w:ascii="Times" w:hAnsi="Times" w:cs="Times"/>
          <w:i/>
          <w:iCs/>
          <w:color w:val="000000"/>
        </w:rPr>
        <w:t xml:space="preserve">Charter of the United Nations Legislation Amendment </w:t>
      </w:r>
      <w:r w:rsidR="00FC68D3">
        <w:rPr>
          <w:rFonts w:ascii="Times" w:hAnsi="Times" w:cs="Times"/>
          <w:i/>
          <w:iCs/>
          <w:color w:val="000000"/>
        </w:rPr>
        <w:t>(Sanctions – 2014 Measures No. 2</w:t>
      </w:r>
      <w:r>
        <w:rPr>
          <w:rFonts w:ascii="Times" w:hAnsi="Times" w:cs="Times"/>
          <w:i/>
          <w:iCs/>
          <w:color w:val="000000"/>
        </w:rPr>
        <w:t xml:space="preserve">) </w:t>
      </w:r>
      <w:r w:rsidRPr="00B95A6C">
        <w:rPr>
          <w:rFonts w:ascii="Times" w:hAnsi="Times" w:cs="Times"/>
          <w:i/>
          <w:iCs/>
          <w:color w:val="000000"/>
        </w:rPr>
        <w:t>Regulation 201</w:t>
      </w:r>
      <w:r>
        <w:rPr>
          <w:rFonts w:ascii="Times" w:hAnsi="Times" w:cs="Times"/>
          <w:i/>
          <w:iCs/>
          <w:color w:val="000000"/>
        </w:rPr>
        <w:t>4</w:t>
      </w:r>
    </w:p>
    <w:p w:rsidR="00FC68D3" w:rsidRDefault="00FC68D3" w:rsidP="00775700">
      <w:pPr>
        <w:autoSpaceDE w:val="0"/>
        <w:autoSpaceDN w:val="0"/>
        <w:adjustRightInd w:val="0"/>
        <w:spacing w:line="276" w:lineRule="auto"/>
      </w:pPr>
    </w:p>
    <w:p w:rsidR="00775700" w:rsidRDefault="00775700" w:rsidP="00775700">
      <w:pPr>
        <w:autoSpaceDE w:val="0"/>
        <w:autoSpaceDN w:val="0"/>
        <w:adjustRightInd w:val="0"/>
        <w:spacing w:line="276" w:lineRule="auto"/>
      </w:pPr>
      <w:r w:rsidRPr="00B95A6C">
        <w:t xml:space="preserve">The </w:t>
      </w:r>
      <w:r w:rsidRPr="00B95A6C">
        <w:rPr>
          <w:rFonts w:ascii="Times" w:hAnsi="Times" w:cs="Times"/>
          <w:i/>
          <w:iCs/>
          <w:color w:val="000000"/>
        </w:rPr>
        <w:t xml:space="preserve">Charter of the United Nations Legislation Amendment </w:t>
      </w:r>
      <w:r w:rsidR="00FC68D3">
        <w:rPr>
          <w:rFonts w:ascii="Times" w:hAnsi="Times" w:cs="Times"/>
          <w:i/>
          <w:iCs/>
          <w:color w:val="000000"/>
        </w:rPr>
        <w:t>(Sanctions – 2014 Measures No. 2</w:t>
      </w:r>
      <w:r>
        <w:rPr>
          <w:rFonts w:ascii="Times" w:hAnsi="Times" w:cs="Times"/>
          <w:i/>
          <w:iCs/>
          <w:color w:val="000000"/>
        </w:rPr>
        <w:t xml:space="preserve">) </w:t>
      </w:r>
      <w:r w:rsidRPr="00B95A6C">
        <w:rPr>
          <w:rFonts w:ascii="Times" w:hAnsi="Times" w:cs="Times"/>
          <w:i/>
          <w:iCs/>
          <w:color w:val="000000"/>
        </w:rPr>
        <w:t>Regulation 201</w:t>
      </w:r>
      <w:r>
        <w:rPr>
          <w:rFonts w:ascii="Times" w:hAnsi="Times" w:cs="Times"/>
          <w:i/>
          <w:iCs/>
          <w:color w:val="000000"/>
        </w:rPr>
        <w:t>4</w:t>
      </w:r>
      <w:r w:rsidRPr="00012B15">
        <w:t xml:space="preserve"> </w:t>
      </w:r>
      <w:r w:rsidRPr="00B95A6C">
        <w:t xml:space="preserve">(the Amendment Regulation) is compatible with the human rights and freedoms recognised or declared in the international instruments listed in section 3 of the </w:t>
      </w:r>
      <w:r w:rsidRPr="00B95A6C">
        <w:rPr>
          <w:i/>
        </w:rPr>
        <w:t>Human Rights (Parliamentary Scrutiny) Act 2011</w:t>
      </w:r>
      <w:r w:rsidRPr="00B95A6C">
        <w:t>.</w:t>
      </w:r>
    </w:p>
    <w:p w:rsidR="00775700" w:rsidRPr="00106750" w:rsidRDefault="00775700" w:rsidP="00775700">
      <w:pPr>
        <w:autoSpaceDE w:val="0"/>
        <w:autoSpaceDN w:val="0"/>
        <w:adjustRightInd w:val="0"/>
        <w:spacing w:line="276" w:lineRule="auto"/>
        <w:rPr>
          <w:rFonts w:ascii="Times" w:hAnsi="Times" w:cs="Times"/>
          <w:i/>
          <w:iCs/>
          <w:color w:val="000000"/>
        </w:rPr>
      </w:pPr>
    </w:p>
    <w:p w:rsidR="00775700" w:rsidRDefault="00775700" w:rsidP="00775700">
      <w:pPr>
        <w:autoSpaceDE w:val="0"/>
        <w:autoSpaceDN w:val="0"/>
        <w:adjustRightInd w:val="0"/>
        <w:spacing w:line="276" w:lineRule="auto"/>
        <w:rPr>
          <w:color w:val="000000"/>
        </w:rPr>
      </w:pPr>
      <w:r w:rsidRPr="00B95A6C">
        <w:rPr>
          <w:color w:val="000000"/>
        </w:rPr>
        <w:t xml:space="preserve">The </w:t>
      </w:r>
      <w:r w:rsidRPr="0048083B">
        <w:rPr>
          <w:color w:val="000000"/>
        </w:rPr>
        <w:t>purpose of the Amendment Regulation is to amend the</w:t>
      </w:r>
      <w:r w:rsidRPr="0048083B">
        <w:rPr>
          <w:iCs/>
          <w:color w:val="000000"/>
        </w:rPr>
        <w:t xml:space="preserve"> </w:t>
      </w:r>
      <w:r w:rsidRPr="0048083B">
        <w:rPr>
          <w:i/>
          <w:iCs/>
          <w:color w:val="000000"/>
        </w:rPr>
        <w:t xml:space="preserve">Charter of the United Nations (Sanctions – </w:t>
      </w:r>
      <w:r w:rsidR="00FC68D3" w:rsidRPr="0048083B">
        <w:rPr>
          <w:i/>
          <w:iCs/>
          <w:color w:val="000000"/>
        </w:rPr>
        <w:t>Central African Republic</w:t>
      </w:r>
      <w:r w:rsidRPr="0048083B">
        <w:rPr>
          <w:i/>
          <w:iCs/>
          <w:color w:val="000000"/>
        </w:rPr>
        <w:t>) Regulation 20</w:t>
      </w:r>
      <w:r w:rsidR="00BA221A" w:rsidRPr="0048083B">
        <w:rPr>
          <w:i/>
          <w:iCs/>
          <w:color w:val="000000"/>
        </w:rPr>
        <w:t>14</w:t>
      </w:r>
      <w:r w:rsidRPr="0048083B">
        <w:rPr>
          <w:i/>
          <w:iCs/>
          <w:color w:val="000000"/>
        </w:rPr>
        <w:t xml:space="preserve"> </w:t>
      </w:r>
      <w:r w:rsidRPr="0048083B">
        <w:rPr>
          <w:iCs/>
          <w:color w:val="000000"/>
        </w:rPr>
        <w:t xml:space="preserve">(the </w:t>
      </w:r>
      <w:r w:rsidR="00FC68D3" w:rsidRPr="0048083B">
        <w:rPr>
          <w:iCs/>
          <w:color w:val="000000"/>
        </w:rPr>
        <w:t>CAR</w:t>
      </w:r>
      <w:r w:rsidRPr="0048083B">
        <w:rPr>
          <w:iCs/>
          <w:color w:val="000000"/>
        </w:rPr>
        <w:t xml:space="preserve"> Regulation); the </w:t>
      </w:r>
      <w:r w:rsidRPr="0048083B">
        <w:rPr>
          <w:i/>
          <w:iCs/>
          <w:color w:val="000000"/>
        </w:rPr>
        <w:t xml:space="preserve">Charter of the United Nations (Sanctions – </w:t>
      </w:r>
      <w:r w:rsidR="00FC68D3" w:rsidRPr="0048083B">
        <w:rPr>
          <w:i/>
          <w:iCs/>
          <w:color w:val="000000"/>
        </w:rPr>
        <w:t>Libya</w:t>
      </w:r>
      <w:r w:rsidR="00BA221A" w:rsidRPr="0048083B">
        <w:rPr>
          <w:i/>
          <w:iCs/>
          <w:color w:val="000000"/>
        </w:rPr>
        <w:t>) Regulations 2011</w:t>
      </w:r>
      <w:r w:rsidRPr="0048083B">
        <w:rPr>
          <w:i/>
          <w:iCs/>
          <w:color w:val="000000"/>
        </w:rPr>
        <w:t xml:space="preserve"> </w:t>
      </w:r>
      <w:r w:rsidRPr="0048083B">
        <w:rPr>
          <w:iCs/>
          <w:color w:val="000000"/>
        </w:rPr>
        <w:t xml:space="preserve">(the </w:t>
      </w:r>
      <w:r w:rsidR="00FC68D3" w:rsidRPr="0048083B">
        <w:rPr>
          <w:iCs/>
          <w:color w:val="000000"/>
        </w:rPr>
        <w:t>Libya</w:t>
      </w:r>
      <w:r w:rsidRPr="0048083B">
        <w:rPr>
          <w:iCs/>
          <w:color w:val="000000"/>
        </w:rPr>
        <w:t xml:space="preserve"> Regulations); </w:t>
      </w:r>
      <w:r w:rsidR="00FC68D3" w:rsidRPr="0048083B">
        <w:rPr>
          <w:iCs/>
          <w:color w:val="000000"/>
        </w:rPr>
        <w:t xml:space="preserve">and </w:t>
      </w:r>
      <w:r w:rsidRPr="0048083B">
        <w:rPr>
          <w:iCs/>
          <w:color w:val="000000"/>
        </w:rPr>
        <w:t xml:space="preserve">the </w:t>
      </w:r>
      <w:r w:rsidRPr="0048083B">
        <w:rPr>
          <w:i/>
          <w:iCs/>
          <w:color w:val="000000"/>
        </w:rPr>
        <w:t xml:space="preserve">Charter of the United Nations (Sanctions – </w:t>
      </w:r>
      <w:r w:rsidR="00FC68D3" w:rsidRPr="0048083B">
        <w:rPr>
          <w:i/>
          <w:iCs/>
          <w:color w:val="000000"/>
        </w:rPr>
        <w:t>Yemen</w:t>
      </w:r>
      <w:r w:rsidRPr="0048083B">
        <w:rPr>
          <w:i/>
          <w:iCs/>
          <w:color w:val="000000"/>
        </w:rPr>
        <w:t>) Regulation 20</w:t>
      </w:r>
      <w:r w:rsidR="00BA221A" w:rsidRPr="0048083B">
        <w:rPr>
          <w:i/>
          <w:iCs/>
          <w:color w:val="000000"/>
        </w:rPr>
        <w:t>14</w:t>
      </w:r>
      <w:r w:rsidRPr="0048083B">
        <w:rPr>
          <w:i/>
          <w:iCs/>
          <w:color w:val="000000"/>
        </w:rPr>
        <w:t xml:space="preserve"> </w:t>
      </w:r>
      <w:r w:rsidRPr="0048083B">
        <w:rPr>
          <w:iCs/>
          <w:color w:val="000000"/>
        </w:rPr>
        <w:t xml:space="preserve">(the </w:t>
      </w:r>
      <w:r w:rsidR="00FC68D3" w:rsidRPr="0048083B">
        <w:rPr>
          <w:iCs/>
          <w:color w:val="000000"/>
        </w:rPr>
        <w:t>Yemen</w:t>
      </w:r>
      <w:r w:rsidRPr="0048083B">
        <w:rPr>
          <w:iCs/>
          <w:color w:val="000000"/>
        </w:rPr>
        <w:t xml:space="preserve"> Regulation</w:t>
      </w:r>
      <w:r w:rsidR="00FC68D3" w:rsidRPr="0048083B">
        <w:rPr>
          <w:iCs/>
          <w:color w:val="000000"/>
        </w:rPr>
        <w:t>)</w:t>
      </w:r>
      <w:r w:rsidRPr="0048083B">
        <w:rPr>
          <w:iCs/>
          <w:color w:val="000000"/>
        </w:rPr>
        <w:t xml:space="preserve"> </w:t>
      </w:r>
      <w:r w:rsidRPr="0048083B">
        <w:rPr>
          <w:color w:val="000000"/>
        </w:rPr>
        <w:t xml:space="preserve">to </w:t>
      </w:r>
      <w:r w:rsidR="00FC68D3" w:rsidRPr="0048083B">
        <w:rPr>
          <w:color w:val="000000"/>
        </w:rPr>
        <w:t>modify existing sanctions</w:t>
      </w:r>
      <w:r w:rsidR="00BA221A" w:rsidRPr="0048083B">
        <w:rPr>
          <w:color w:val="000000"/>
        </w:rPr>
        <w:t xml:space="preserve"> in accordance with Australia’s international obligations</w:t>
      </w:r>
      <w:r w:rsidRPr="0048083B">
        <w:rPr>
          <w:color w:val="000000"/>
        </w:rPr>
        <w:t>.</w:t>
      </w:r>
      <w:r w:rsidRPr="009C1E39">
        <w:rPr>
          <w:color w:val="000000"/>
        </w:rPr>
        <w:t xml:space="preserve">  </w:t>
      </w:r>
    </w:p>
    <w:p w:rsidR="00775700" w:rsidRPr="00F8126B" w:rsidRDefault="00775700" w:rsidP="00775700">
      <w:pPr>
        <w:autoSpaceDE w:val="0"/>
        <w:autoSpaceDN w:val="0"/>
        <w:adjustRightInd w:val="0"/>
        <w:spacing w:line="276" w:lineRule="auto"/>
        <w:rPr>
          <w:color w:val="000000"/>
        </w:rPr>
      </w:pPr>
    </w:p>
    <w:p w:rsidR="002810AB" w:rsidRDefault="002810AB" w:rsidP="002810AB">
      <w:pPr>
        <w:autoSpaceDE w:val="0"/>
        <w:autoSpaceDN w:val="0"/>
        <w:adjustRightInd w:val="0"/>
        <w:spacing w:line="276" w:lineRule="auto"/>
      </w:pPr>
      <w:r>
        <w:t>The Amendment Regulation protects human rights by ensuring that persons and entities that violate measures imposed by UNSC resolutions will be subject to the UNSC sanctions measures.</w:t>
      </w:r>
    </w:p>
    <w:p w:rsidR="00775700" w:rsidRDefault="00775700" w:rsidP="00775700">
      <w:pPr>
        <w:autoSpaceDE w:val="0"/>
        <w:autoSpaceDN w:val="0"/>
        <w:adjustRightInd w:val="0"/>
      </w:pPr>
    </w:p>
    <w:p w:rsidR="00E23CFB" w:rsidRDefault="00E23CFB" w:rsidP="00775700">
      <w:pPr>
        <w:autoSpaceDE w:val="0"/>
        <w:autoSpaceDN w:val="0"/>
        <w:adjustRightInd w:val="0"/>
      </w:pPr>
    </w:p>
    <w:p w:rsidR="00E23CFB" w:rsidRDefault="00E23CFB" w:rsidP="00775700">
      <w:pPr>
        <w:autoSpaceDE w:val="0"/>
        <w:autoSpaceDN w:val="0"/>
        <w:adjustRightInd w:val="0"/>
      </w:pPr>
    </w:p>
    <w:p w:rsidR="00E23CFB" w:rsidRDefault="00E23CFB" w:rsidP="00775700">
      <w:pPr>
        <w:autoSpaceDE w:val="0"/>
        <w:autoSpaceDN w:val="0"/>
        <w:adjustRightInd w:val="0"/>
      </w:pPr>
    </w:p>
    <w:p w:rsidR="00E23CFB" w:rsidRDefault="00E23CFB" w:rsidP="00775700">
      <w:pPr>
        <w:autoSpaceDE w:val="0"/>
        <w:autoSpaceDN w:val="0"/>
        <w:adjustRightInd w:val="0"/>
      </w:pPr>
    </w:p>
    <w:p w:rsidR="00E23CFB" w:rsidRDefault="00E23CFB" w:rsidP="00775700">
      <w:pPr>
        <w:autoSpaceDE w:val="0"/>
        <w:autoSpaceDN w:val="0"/>
        <w:adjustRightInd w:val="0"/>
      </w:pPr>
    </w:p>
    <w:p w:rsidR="00B11C12" w:rsidRPr="006608EB" w:rsidRDefault="00B11C12" w:rsidP="00B11C12">
      <w:pPr>
        <w:rPr>
          <w:b/>
          <w:color w:val="000000"/>
        </w:rPr>
      </w:pPr>
    </w:p>
    <w:p w:rsidR="00B11C12" w:rsidRDefault="00B11C12" w:rsidP="00B11C12">
      <w:pPr>
        <w:autoSpaceDE w:val="0"/>
        <w:autoSpaceDN w:val="0"/>
        <w:adjustRightInd w:val="0"/>
      </w:pPr>
    </w:p>
    <w:p w:rsidR="00E23CFB" w:rsidRDefault="00E23CFB">
      <w:pPr>
        <w:rPr>
          <w:b/>
          <w:u w:val="single"/>
        </w:rPr>
      </w:pPr>
      <w:r>
        <w:rPr>
          <w:b/>
          <w:u w:val="single"/>
        </w:rPr>
        <w:br w:type="page"/>
      </w:r>
    </w:p>
    <w:p w:rsidR="00B11C12" w:rsidRPr="00F6239F" w:rsidRDefault="00B11C12" w:rsidP="00B11C12">
      <w:pPr>
        <w:jc w:val="right"/>
        <w:rPr>
          <w:b/>
          <w:u w:val="single"/>
        </w:rPr>
      </w:pPr>
      <w:r w:rsidRPr="00F6239F">
        <w:rPr>
          <w:b/>
          <w:u w:val="single"/>
        </w:rPr>
        <w:lastRenderedPageBreak/>
        <w:t>ATTACHMENT</w:t>
      </w:r>
    </w:p>
    <w:p w:rsidR="00B11C12" w:rsidRPr="00F6239F" w:rsidRDefault="00B11C12" w:rsidP="00B11C12">
      <w:pPr>
        <w:jc w:val="right"/>
        <w:rPr>
          <w:u w:val="single"/>
        </w:rPr>
      </w:pPr>
    </w:p>
    <w:p w:rsidR="00B11C12" w:rsidRDefault="00B11C12" w:rsidP="00B11C12">
      <w:pPr>
        <w:autoSpaceDE w:val="0"/>
        <w:autoSpaceDN w:val="0"/>
        <w:adjustRightInd w:val="0"/>
        <w:spacing w:line="240" w:lineRule="atLeast"/>
        <w:rPr>
          <w:rFonts w:ascii="Times" w:hAnsi="Times" w:cs="Times"/>
          <w:i/>
          <w:iCs/>
          <w:color w:val="000000"/>
        </w:rPr>
      </w:pPr>
      <w:r w:rsidRPr="00F6239F">
        <w:rPr>
          <w:b/>
          <w:u w:val="single"/>
        </w:rPr>
        <w:t xml:space="preserve">Details of the </w:t>
      </w:r>
      <w:r w:rsidRPr="00813F46">
        <w:rPr>
          <w:rFonts w:ascii="Times" w:hAnsi="Times" w:cs="Times"/>
          <w:b/>
          <w:i/>
          <w:iCs/>
          <w:color w:val="000000"/>
          <w:u w:val="single"/>
        </w:rPr>
        <w:t xml:space="preserve">Charter of the United Nations Legislation Amendment (Sanctions – 2014 Measures No. </w:t>
      </w:r>
      <w:r w:rsidR="00300FB7">
        <w:rPr>
          <w:rFonts w:ascii="Times" w:hAnsi="Times" w:cs="Times"/>
          <w:b/>
          <w:i/>
          <w:iCs/>
          <w:color w:val="000000"/>
          <w:u w:val="single"/>
        </w:rPr>
        <w:t>2</w:t>
      </w:r>
      <w:r w:rsidRPr="00813F46">
        <w:rPr>
          <w:rFonts w:ascii="Times" w:hAnsi="Times" w:cs="Times"/>
          <w:b/>
          <w:i/>
          <w:iCs/>
          <w:color w:val="000000"/>
          <w:u w:val="single"/>
        </w:rPr>
        <w:t>) Regulation 2014</w:t>
      </w:r>
    </w:p>
    <w:p w:rsidR="00913F38" w:rsidRDefault="00913F38" w:rsidP="00B11C12">
      <w:pPr>
        <w:autoSpaceDE w:val="0"/>
        <w:autoSpaceDN w:val="0"/>
        <w:adjustRightInd w:val="0"/>
      </w:pPr>
    </w:p>
    <w:p w:rsidR="00FC68D3" w:rsidRPr="00F6239F" w:rsidRDefault="00FC68D3" w:rsidP="00FC68D3"/>
    <w:p w:rsidR="00FC68D3" w:rsidRPr="00F6239F" w:rsidRDefault="00FC68D3" w:rsidP="00FC68D3">
      <w:pPr>
        <w:rPr>
          <w:u w:val="single"/>
        </w:rPr>
      </w:pPr>
      <w:r w:rsidRPr="00F6239F">
        <w:rPr>
          <w:u w:val="single"/>
        </w:rPr>
        <w:t>Section 1 – Name of Regulation</w:t>
      </w:r>
    </w:p>
    <w:p w:rsidR="00FC68D3" w:rsidRPr="00F6239F" w:rsidRDefault="00FC68D3" w:rsidP="00FC68D3">
      <w:pPr>
        <w:rPr>
          <w:i/>
        </w:rPr>
      </w:pPr>
      <w:r w:rsidRPr="00F6239F">
        <w:t xml:space="preserve">Section 1 </w:t>
      </w:r>
      <w:r>
        <w:t>would provide</w:t>
      </w:r>
      <w:r w:rsidRPr="00F6239F">
        <w:t xml:space="preserve"> that the name of the regulation is the </w:t>
      </w:r>
      <w:r w:rsidRPr="0061214D">
        <w:rPr>
          <w:i/>
        </w:rPr>
        <w:t>Charter of the United Nations Legislation Amendment (Sanctions – 2014</w:t>
      </w:r>
      <w:r>
        <w:rPr>
          <w:i/>
        </w:rPr>
        <w:t xml:space="preserve"> Measures No. 2) Regulation 2014.</w:t>
      </w:r>
    </w:p>
    <w:p w:rsidR="00FC68D3" w:rsidRPr="00F6239F" w:rsidRDefault="00FC68D3" w:rsidP="00FC68D3">
      <w:pPr>
        <w:rPr>
          <w:i/>
        </w:rPr>
      </w:pPr>
    </w:p>
    <w:p w:rsidR="00FC68D3" w:rsidRPr="00F6239F" w:rsidRDefault="00FC68D3" w:rsidP="00FC68D3">
      <w:pPr>
        <w:rPr>
          <w:u w:val="single"/>
        </w:rPr>
      </w:pPr>
      <w:r w:rsidRPr="00F6239F">
        <w:rPr>
          <w:u w:val="single"/>
        </w:rPr>
        <w:t>Section 2 – Commencement</w:t>
      </w:r>
    </w:p>
    <w:p w:rsidR="00FC68D3" w:rsidRPr="00F6239F" w:rsidRDefault="00FC68D3" w:rsidP="00FC68D3">
      <w:r>
        <w:t>Section 2 would provide</w:t>
      </w:r>
      <w:r w:rsidRPr="00F6239F">
        <w:t xml:space="preserve"> that the regulation commences on the day after it is registered.</w:t>
      </w:r>
    </w:p>
    <w:p w:rsidR="00FC68D3" w:rsidRPr="00F6239F" w:rsidRDefault="00FC68D3" w:rsidP="00FC68D3"/>
    <w:p w:rsidR="00FC68D3" w:rsidRPr="00F6239F" w:rsidRDefault="00FC68D3" w:rsidP="00FC68D3">
      <w:pPr>
        <w:rPr>
          <w:u w:val="single"/>
        </w:rPr>
      </w:pPr>
      <w:r w:rsidRPr="00F6239F">
        <w:rPr>
          <w:u w:val="single"/>
        </w:rPr>
        <w:t>Section 3 – Authority</w:t>
      </w:r>
    </w:p>
    <w:p w:rsidR="00FC68D3" w:rsidRPr="00F6239F" w:rsidRDefault="00FC68D3" w:rsidP="00FC68D3">
      <w:r>
        <w:t>Section 3 would provide</w:t>
      </w:r>
      <w:r w:rsidRPr="00F6239F">
        <w:t xml:space="preserve"> that the regulation is made under the </w:t>
      </w:r>
      <w:r w:rsidRPr="00F6239F">
        <w:rPr>
          <w:i/>
        </w:rPr>
        <w:t>Charter of the United Nations Act 1945</w:t>
      </w:r>
      <w:r w:rsidRPr="00F6239F">
        <w:t>.</w:t>
      </w:r>
    </w:p>
    <w:p w:rsidR="00FC68D3" w:rsidRPr="00F6239F" w:rsidRDefault="00FC68D3" w:rsidP="00FC68D3"/>
    <w:p w:rsidR="00FC68D3" w:rsidRPr="00F6239F" w:rsidRDefault="00FC68D3" w:rsidP="00FC68D3">
      <w:pPr>
        <w:rPr>
          <w:u w:val="single"/>
        </w:rPr>
      </w:pPr>
      <w:r w:rsidRPr="00F6239F">
        <w:rPr>
          <w:u w:val="single"/>
        </w:rPr>
        <w:t>Section 4 – Schedule(s)</w:t>
      </w:r>
    </w:p>
    <w:p w:rsidR="00FC68D3" w:rsidRPr="00F6239F" w:rsidRDefault="00FC68D3" w:rsidP="00FC68D3">
      <w:r w:rsidRPr="00F6239F">
        <w:t xml:space="preserve">Section 4 </w:t>
      </w:r>
      <w:r>
        <w:t>would provide</w:t>
      </w:r>
      <w:r w:rsidRPr="00F6239F">
        <w:t xml:space="preserve"> that each instrument that is specified in a Schedule to the regulation is amended or repealed as set out in the Schedule.</w:t>
      </w:r>
    </w:p>
    <w:p w:rsidR="00FC68D3" w:rsidRPr="00F6239F" w:rsidRDefault="00FC68D3" w:rsidP="00FC68D3">
      <w:pPr>
        <w:rPr>
          <w:u w:val="single"/>
        </w:rPr>
      </w:pPr>
    </w:p>
    <w:p w:rsidR="00FC68D3" w:rsidRPr="00F6239F" w:rsidRDefault="00FC68D3" w:rsidP="00FC68D3">
      <w:pPr>
        <w:rPr>
          <w:u w:val="single"/>
        </w:rPr>
      </w:pPr>
      <w:r w:rsidRPr="00F6239F">
        <w:rPr>
          <w:u w:val="single"/>
        </w:rPr>
        <w:t xml:space="preserve">Schedule 1 – Amendments </w:t>
      </w:r>
    </w:p>
    <w:p w:rsidR="00FC68D3" w:rsidRPr="00F6239F" w:rsidRDefault="00FC68D3" w:rsidP="00FC68D3">
      <w:pPr>
        <w:rPr>
          <w:u w:val="single"/>
        </w:rPr>
      </w:pPr>
    </w:p>
    <w:p w:rsidR="00FC68D3" w:rsidRPr="00F6239F" w:rsidRDefault="00FC68D3" w:rsidP="00FC68D3">
      <w:pPr>
        <w:rPr>
          <w:u w:val="single"/>
        </w:rPr>
      </w:pPr>
      <w:r w:rsidRPr="00F6239F">
        <w:rPr>
          <w:i/>
          <w:iCs/>
          <w:color w:val="000000"/>
          <w:u w:val="single"/>
        </w:rPr>
        <w:t>Charter of the United Nations (</w:t>
      </w:r>
      <w:r>
        <w:rPr>
          <w:i/>
          <w:iCs/>
          <w:color w:val="000000"/>
          <w:u w:val="single"/>
        </w:rPr>
        <w:t>Sanctions – Central African Republic) Regulation 2014</w:t>
      </w:r>
    </w:p>
    <w:p w:rsidR="00FC68D3" w:rsidRDefault="00FC68D3" w:rsidP="00FC68D3">
      <w:pPr>
        <w:rPr>
          <w:i/>
          <w:iCs/>
          <w:color w:val="000000"/>
          <w:u w:val="single"/>
        </w:rPr>
      </w:pPr>
    </w:p>
    <w:p w:rsidR="00FC68D3" w:rsidRDefault="00FC68D3" w:rsidP="00FC68D3">
      <w:pPr>
        <w:rPr>
          <w:b/>
          <w:i/>
        </w:rPr>
      </w:pPr>
      <w:r w:rsidRPr="00F6239F">
        <w:rPr>
          <w:b/>
        </w:rPr>
        <w:t xml:space="preserve">Item [1] </w:t>
      </w:r>
      <w:r>
        <w:rPr>
          <w:b/>
        </w:rPr>
        <w:t>– Section 4</w:t>
      </w:r>
      <w:r w:rsidRPr="00F6239F">
        <w:rPr>
          <w:b/>
        </w:rPr>
        <w:t xml:space="preserve">, </w:t>
      </w:r>
      <w:r>
        <w:rPr>
          <w:b/>
        </w:rPr>
        <w:t>amended definition of ‘controlled asset’</w:t>
      </w:r>
      <w:r w:rsidRPr="00F6239F">
        <w:rPr>
          <w:b/>
          <w:i/>
        </w:rPr>
        <w:t xml:space="preserve"> </w:t>
      </w:r>
    </w:p>
    <w:p w:rsidR="00FC68D3" w:rsidRPr="00F6239F" w:rsidRDefault="00FC68D3" w:rsidP="00FC68D3">
      <w:pPr>
        <w:rPr>
          <w:b/>
          <w:i/>
        </w:rPr>
      </w:pPr>
    </w:p>
    <w:p w:rsidR="00FC68D3" w:rsidRDefault="00FC68D3" w:rsidP="00FC68D3">
      <w:r w:rsidRPr="00F6239F">
        <w:t xml:space="preserve">Item [1] </w:t>
      </w:r>
      <w:r>
        <w:t>would amend the definition of ‘controlled asset’ to reflect current UNSC practice.</w:t>
      </w:r>
    </w:p>
    <w:p w:rsidR="00FC68D3" w:rsidRDefault="00FC68D3" w:rsidP="00FC68D3"/>
    <w:p w:rsidR="00FC68D3" w:rsidRPr="00F6239F" w:rsidRDefault="00FC68D3" w:rsidP="00FC68D3">
      <w:pPr>
        <w:rPr>
          <w:u w:val="single"/>
        </w:rPr>
      </w:pPr>
      <w:r w:rsidRPr="00F6239F">
        <w:rPr>
          <w:i/>
          <w:iCs/>
          <w:color w:val="000000"/>
          <w:u w:val="single"/>
        </w:rPr>
        <w:t>Charter of the United Nations (</w:t>
      </w:r>
      <w:r>
        <w:rPr>
          <w:i/>
          <w:iCs/>
          <w:color w:val="000000"/>
          <w:u w:val="single"/>
        </w:rPr>
        <w:t>Sanctions – Libya) Regulations 201</w:t>
      </w:r>
      <w:r w:rsidR="00BA221A">
        <w:rPr>
          <w:i/>
          <w:iCs/>
          <w:color w:val="000000"/>
          <w:u w:val="single"/>
        </w:rPr>
        <w:t>1</w:t>
      </w:r>
    </w:p>
    <w:p w:rsidR="00FC68D3" w:rsidRDefault="00FC68D3" w:rsidP="00FC68D3">
      <w:pPr>
        <w:rPr>
          <w:i/>
          <w:iCs/>
          <w:color w:val="000000"/>
          <w:u w:val="single"/>
        </w:rPr>
      </w:pPr>
    </w:p>
    <w:p w:rsidR="00FC68D3" w:rsidRDefault="00FC68D3" w:rsidP="00FC68D3">
      <w:pPr>
        <w:rPr>
          <w:b/>
          <w:i/>
        </w:rPr>
      </w:pPr>
      <w:r w:rsidRPr="00F6239F">
        <w:rPr>
          <w:b/>
        </w:rPr>
        <w:t>Item [</w:t>
      </w:r>
      <w:r>
        <w:rPr>
          <w:b/>
        </w:rPr>
        <w:t>2</w:t>
      </w:r>
      <w:r w:rsidRPr="00F6239F">
        <w:rPr>
          <w:b/>
        </w:rPr>
        <w:t xml:space="preserve">] </w:t>
      </w:r>
      <w:r>
        <w:rPr>
          <w:b/>
        </w:rPr>
        <w:t xml:space="preserve">– Paragraph 7(2)(e) </w:t>
      </w:r>
    </w:p>
    <w:p w:rsidR="00FC68D3" w:rsidRPr="00F6239F" w:rsidRDefault="00FC68D3" w:rsidP="00FC68D3">
      <w:pPr>
        <w:rPr>
          <w:b/>
          <w:i/>
        </w:rPr>
      </w:pPr>
    </w:p>
    <w:p w:rsidR="00FC68D3" w:rsidRDefault="00FC68D3" w:rsidP="00FC68D3">
      <w:r>
        <w:t>Item [2</w:t>
      </w:r>
      <w:r w:rsidRPr="00F6239F">
        <w:t xml:space="preserve">] </w:t>
      </w:r>
      <w:r>
        <w:t>would amend the notification requirements for a sanctioned supply intended solely for security or disarmament assistance to the Libyan government.</w:t>
      </w:r>
    </w:p>
    <w:p w:rsidR="00FC68D3" w:rsidRDefault="00FC68D3" w:rsidP="00FC68D3"/>
    <w:p w:rsidR="00FC68D3" w:rsidRPr="00F6239F" w:rsidRDefault="00FC68D3" w:rsidP="00FC68D3">
      <w:pPr>
        <w:rPr>
          <w:u w:val="single"/>
        </w:rPr>
      </w:pPr>
      <w:r w:rsidRPr="00F6239F">
        <w:rPr>
          <w:i/>
          <w:iCs/>
          <w:color w:val="000000"/>
          <w:u w:val="single"/>
        </w:rPr>
        <w:t>Charter of the United Nations (</w:t>
      </w:r>
      <w:r>
        <w:rPr>
          <w:i/>
          <w:iCs/>
          <w:color w:val="000000"/>
          <w:u w:val="single"/>
        </w:rPr>
        <w:t>Sanctions – Yemen) Regulation 2014</w:t>
      </w:r>
    </w:p>
    <w:p w:rsidR="00FC68D3" w:rsidRDefault="00FC68D3" w:rsidP="00FC68D3">
      <w:pPr>
        <w:rPr>
          <w:i/>
          <w:iCs/>
          <w:color w:val="000000"/>
          <w:u w:val="single"/>
        </w:rPr>
      </w:pPr>
    </w:p>
    <w:p w:rsidR="00FC68D3" w:rsidRDefault="00FC68D3" w:rsidP="00FC68D3">
      <w:pPr>
        <w:rPr>
          <w:b/>
          <w:i/>
        </w:rPr>
      </w:pPr>
      <w:r w:rsidRPr="00F6239F">
        <w:rPr>
          <w:b/>
        </w:rPr>
        <w:t>Item [</w:t>
      </w:r>
      <w:r>
        <w:rPr>
          <w:b/>
        </w:rPr>
        <w:t>3</w:t>
      </w:r>
      <w:r w:rsidRPr="00F6239F">
        <w:rPr>
          <w:b/>
        </w:rPr>
        <w:t xml:space="preserve">] </w:t>
      </w:r>
      <w:r>
        <w:rPr>
          <w:b/>
        </w:rPr>
        <w:t>– Section 4</w:t>
      </w:r>
      <w:r w:rsidRPr="00F6239F">
        <w:rPr>
          <w:b/>
        </w:rPr>
        <w:t xml:space="preserve">, </w:t>
      </w:r>
      <w:r>
        <w:rPr>
          <w:b/>
        </w:rPr>
        <w:t>amended definition of ‘controlled asset’</w:t>
      </w:r>
      <w:r w:rsidRPr="00F6239F">
        <w:rPr>
          <w:b/>
          <w:i/>
        </w:rPr>
        <w:t xml:space="preserve"> </w:t>
      </w:r>
    </w:p>
    <w:p w:rsidR="00FC68D3" w:rsidRPr="00F6239F" w:rsidRDefault="00FC68D3" w:rsidP="00FC68D3">
      <w:pPr>
        <w:rPr>
          <w:b/>
          <w:i/>
        </w:rPr>
      </w:pPr>
    </w:p>
    <w:p w:rsidR="00FC68D3" w:rsidRDefault="00FC68D3" w:rsidP="00FC68D3">
      <w:r>
        <w:t>Item [3</w:t>
      </w:r>
      <w:r w:rsidRPr="00F6239F">
        <w:t xml:space="preserve">] </w:t>
      </w:r>
      <w:r>
        <w:t>would amend the definition of ‘controlled asset’ to reflect current UNSC practice.</w:t>
      </w:r>
    </w:p>
    <w:p w:rsidR="00FC68D3" w:rsidRPr="003F3EE4" w:rsidRDefault="00FC68D3" w:rsidP="00FC68D3"/>
    <w:p w:rsidR="00FC68D3" w:rsidRDefault="00FC68D3" w:rsidP="00B11C12">
      <w:pPr>
        <w:autoSpaceDE w:val="0"/>
        <w:autoSpaceDN w:val="0"/>
        <w:adjustRightInd w:val="0"/>
      </w:pPr>
    </w:p>
    <w:sectPr w:rsidR="00FC68D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5633"/>
    <w:multiLevelType w:val="multilevel"/>
    <w:tmpl w:val="06DEC5FC"/>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
    <w:nsid w:val="05D57D91"/>
    <w:multiLevelType w:val="hybridMultilevel"/>
    <w:tmpl w:val="E27C6764"/>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2">
    <w:nsid w:val="10AB277D"/>
    <w:multiLevelType w:val="hybridMultilevel"/>
    <w:tmpl w:val="555AB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7B708BB"/>
    <w:multiLevelType w:val="hybridMultilevel"/>
    <w:tmpl w:val="18CA5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9AD434E"/>
    <w:multiLevelType w:val="multilevel"/>
    <w:tmpl w:val="3B42E718"/>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5">
    <w:nsid w:val="1B676776"/>
    <w:multiLevelType w:val="hybridMultilevel"/>
    <w:tmpl w:val="9540303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2C216F1"/>
    <w:multiLevelType w:val="hybridMultilevel"/>
    <w:tmpl w:val="9C421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3CE542D"/>
    <w:multiLevelType w:val="hybridMultilevel"/>
    <w:tmpl w:val="102EF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7844424"/>
    <w:multiLevelType w:val="hybridMultilevel"/>
    <w:tmpl w:val="B4A83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F4A63A4"/>
    <w:multiLevelType w:val="multilevel"/>
    <w:tmpl w:val="6040FD1C"/>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0">
    <w:nsid w:val="62D97B4E"/>
    <w:multiLevelType w:val="hybridMultilevel"/>
    <w:tmpl w:val="EBBC25E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6CAA0910"/>
    <w:multiLevelType w:val="hybridMultilevel"/>
    <w:tmpl w:val="B52C0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E2778DC"/>
    <w:multiLevelType w:val="hybridMultilevel"/>
    <w:tmpl w:val="A7563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0"/>
  </w:num>
  <w:num w:numId="5">
    <w:abstractNumId w:val="11"/>
  </w:num>
  <w:num w:numId="6">
    <w:abstractNumId w:val="8"/>
  </w:num>
  <w:num w:numId="7">
    <w:abstractNumId w:val="5"/>
  </w:num>
  <w:num w:numId="8">
    <w:abstractNumId w:val="2"/>
  </w:num>
  <w:num w:numId="9">
    <w:abstractNumId w:val="9"/>
  </w:num>
  <w:num w:numId="10">
    <w:abstractNumId w:val="7"/>
  </w:num>
  <w:num w:numId="11">
    <w:abstractNumId w:val="1"/>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336"/>
    <w:rsid w:val="0006767D"/>
    <w:rsid w:val="000E7AD0"/>
    <w:rsid w:val="00143A3D"/>
    <w:rsid w:val="002810AB"/>
    <w:rsid w:val="00300FB7"/>
    <w:rsid w:val="00344A74"/>
    <w:rsid w:val="003B7EED"/>
    <w:rsid w:val="004068F5"/>
    <w:rsid w:val="004117BB"/>
    <w:rsid w:val="004213DA"/>
    <w:rsid w:val="00421A9B"/>
    <w:rsid w:val="0048083B"/>
    <w:rsid w:val="004F121D"/>
    <w:rsid w:val="00536998"/>
    <w:rsid w:val="005C3D38"/>
    <w:rsid w:val="00614E2E"/>
    <w:rsid w:val="00643519"/>
    <w:rsid w:val="006F5CDF"/>
    <w:rsid w:val="0075603D"/>
    <w:rsid w:val="00775700"/>
    <w:rsid w:val="007C2F33"/>
    <w:rsid w:val="007F5ADA"/>
    <w:rsid w:val="00824BFB"/>
    <w:rsid w:val="00867168"/>
    <w:rsid w:val="008E4336"/>
    <w:rsid w:val="00911D03"/>
    <w:rsid w:val="00913F38"/>
    <w:rsid w:val="00952ED4"/>
    <w:rsid w:val="00983E53"/>
    <w:rsid w:val="009B06E7"/>
    <w:rsid w:val="009C3389"/>
    <w:rsid w:val="00A14383"/>
    <w:rsid w:val="00A63BFB"/>
    <w:rsid w:val="00A97EE1"/>
    <w:rsid w:val="00AD1B03"/>
    <w:rsid w:val="00B11C12"/>
    <w:rsid w:val="00B20917"/>
    <w:rsid w:val="00B62778"/>
    <w:rsid w:val="00B765FD"/>
    <w:rsid w:val="00BA221A"/>
    <w:rsid w:val="00BF1CA1"/>
    <w:rsid w:val="00C17DEB"/>
    <w:rsid w:val="00C5592D"/>
    <w:rsid w:val="00C63A5F"/>
    <w:rsid w:val="00D03DA8"/>
    <w:rsid w:val="00D64185"/>
    <w:rsid w:val="00D95D31"/>
    <w:rsid w:val="00DA4849"/>
    <w:rsid w:val="00E23CFB"/>
    <w:rsid w:val="00E52208"/>
    <w:rsid w:val="00EA15D6"/>
    <w:rsid w:val="00EC7B79"/>
    <w:rsid w:val="00FB42CA"/>
    <w:rsid w:val="00FC68D3"/>
    <w:rsid w:val="00FF56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33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336"/>
    <w:rPr>
      <w:color w:val="0000FF"/>
      <w:u w:val="single"/>
    </w:rPr>
  </w:style>
  <w:style w:type="paragraph" w:styleId="ListParagraph">
    <w:name w:val="List Paragraph"/>
    <w:basedOn w:val="Normal"/>
    <w:uiPriority w:val="34"/>
    <w:qFormat/>
    <w:rsid w:val="00775700"/>
    <w:pPr>
      <w:ind w:left="720"/>
      <w:contextualSpacing/>
    </w:pPr>
  </w:style>
  <w:style w:type="paragraph" w:styleId="BalloonText">
    <w:name w:val="Balloon Text"/>
    <w:basedOn w:val="Normal"/>
    <w:link w:val="BalloonTextChar"/>
    <w:rsid w:val="00775700"/>
    <w:rPr>
      <w:rFonts w:ascii="Tahoma" w:hAnsi="Tahoma" w:cs="Tahoma"/>
      <w:sz w:val="16"/>
      <w:szCs w:val="16"/>
    </w:rPr>
  </w:style>
  <w:style w:type="character" w:customStyle="1" w:styleId="BalloonTextChar">
    <w:name w:val="Balloon Text Char"/>
    <w:basedOn w:val="DefaultParagraphFont"/>
    <w:link w:val="BalloonText"/>
    <w:rsid w:val="00775700"/>
    <w:rPr>
      <w:rFonts w:ascii="Tahoma" w:hAnsi="Tahoma" w:cs="Tahoma"/>
      <w:sz w:val="16"/>
      <w:szCs w:val="16"/>
    </w:rPr>
  </w:style>
  <w:style w:type="character" w:styleId="CommentReference">
    <w:name w:val="annotation reference"/>
    <w:basedOn w:val="DefaultParagraphFont"/>
    <w:rsid w:val="00775700"/>
    <w:rPr>
      <w:sz w:val="16"/>
      <w:szCs w:val="16"/>
    </w:rPr>
  </w:style>
  <w:style w:type="paragraph" w:styleId="CommentText">
    <w:name w:val="annotation text"/>
    <w:basedOn w:val="Normal"/>
    <w:link w:val="CommentTextChar"/>
    <w:rsid w:val="00775700"/>
    <w:rPr>
      <w:sz w:val="20"/>
      <w:szCs w:val="20"/>
    </w:rPr>
  </w:style>
  <w:style w:type="character" w:customStyle="1" w:styleId="CommentTextChar">
    <w:name w:val="Comment Text Char"/>
    <w:basedOn w:val="DefaultParagraphFont"/>
    <w:link w:val="CommentText"/>
    <w:rsid w:val="00775700"/>
  </w:style>
  <w:style w:type="paragraph" w:styleId="CommentSubject">
    <w:name w:val="annotation subject"/>
    <w:basedOn w:val="CommentText"/>
    <w:next w:val="CommentText"/>
    <w:link w:val="CommentSubjectChar"/>
    <w:rsid w:val="00775700"/>
    <w:rPr>
      <w:b/>
      <w:bCs/>
    </w:rPr>
  </w:style>
  <w:style w:type="character" w:customStyle="1" w:styleId="CommentSubjectChar">
    <w:name w:val="Comment Subject Char"/>
    <w:basedOn w:val="CommentTextChar"/>
    <w:link w:val="CommentSubject"/>
    <w:rsid w:val="0077570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33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336"/>
    <w:rPr>
      <w:color w:val="0000FF"/>
      <w:u w:val="single"/>
    </w:rPr>
  </w:style>
  <w:style w:type="paragraph" w:styleId="ListParagraph">
    <w:name w:val="List Paragraph"/>
    <w:basedOn w:val="Normal"/>
    <w:uiPriority w:val="34"/>
    <w:qFormat/>
    <w:rsid w:val="00775700"/>
    <w:pPr>
      <w:ind w:left="720"/>
      <w:contextualSpacing/>
    </w:pPr>
  </w:style>
  <w:style w:type="paragraph" w:styleId="BalloonText">
    <w:name w:val="Balloon Text"/>
    <w:basedOn w:val="Normal"/>
    <w:link w:val="BalloonTextChar"/>
    <w:rsid w:val="00775700"/>
    <w:rPr>
      <w:rFonts w:ascii="Tahoma" w:hAnsi="Tahoma" w:cs="Tahoma"/>
      <w:sz w:val="16"/>
      <w:szCs w:val="16"/>
    </w:rPr>
  </w:style>
  <w:style w:type="character" w:customStyle="1" w:styleId="BalloonTextChar">
    <w:name w:val="Balloon Text Char"/>
    <w:basedOn w:val="DefaultParagraphFont"/>
    <w:link w:val="BalloonText"/>
    <w:rsid w:val="00775700"/>
    <w:rPr>
      <w:rFonts w:ascii="Tahoma" w:hAnsi="Tahoma" w:cs="Tahoma"/>
      <w:sz w:val="16"/>
      <w:szCs w:val="16"/>
    </w:rPr>
  </w:style>
  <w:style w:type="character" w:styleId="CommentReference">
    <w:name w:val="annotation reference"/>
    <w:basedOn w:val="DefaultParagraphFont"/>
    <w:rsid w:val="00775700"/>
    <w:rPr>
      <w:sz w:val="16"/>
      <w:szCs w:val="16"/>
    </w:rPr>
  </w:style>
  <w:style w:type="paragraph" w:styleId="CommentText">
    <w:name w:val="annotation text"/>
    <w:basedOn w:val="Normal"/>
    <w:link w:val="CommentTextChar"/>
    <w:rsid w:val="00775700"/>
    <w:rPr>
      <w:sz w:val="20"/>
      <w:szCs w:val="20"/>
    </w:rPr>
  </w:style>
  <w:style w:type="character" w:customStyle="1" w:styleId="CommentTextChar">
    <w:name w:val="Comment Text Char"/>
    <w:basedOn w:val="DefaultParagraphFont"/>
    <w:link w:val="CommentText"/>
    <w:rsid w:val="00775700"/>
  </w:style>
  <w:style w:type="paragraph" w:styleId="CommentSubject">
    <w:name w:val="annotation subject"/>
    <w:basedOn w:val="CommentText"/>
    <w:next w:val="CommentText"/>
    <w:link w:val="CommentSubjectChar"/>
    <w:rsid w:val="00775700"/>
    <w:rPr>
      <w:b/>
      <w:bCs/>
    </w:rPr>
  </w:style>
  <w:style w:type="character" w:customStyle="1" w:styleId="CommentSubjectChar">
    <w:name w:val="Comment Subject Char"/>
    <w:basedOn w:val="CommentTextChar"/>
    <w:link w:val="CommentSubject"/>
    <w:rsid w:val="007757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1072</Words>
  <Characters>6167</Characters>
  <Application>Microsoft Office Word</Application>
  <DocSecurity>0</DocSecurity>
  <Lines>474</Lines>
  <Paragraphs>268</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6971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Staude, Rosie</dc:creator>
  <cp:lastModifiedBy>Gibson, Vikki</cp:lastModifiedBy>
  <cp:revision>3</cp:revision>
  <dcterms:created xsi:type="dcterms:W3CDTF">2014-12-09T00:01:00Z</dcterms:created>
  <dcterms:modified xsi:type="dcterms:W3CDTF">2014-12-09T00:01:00Z</dcterms:modified>
</cp:coreProperties>
</file>