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49DA" w14:textId="77777777" w:rsidR="00717530" w:rsidRDefault="00717530">
      <w:pPr>
        <w:pStyle w:val="atitle"/>
        <w:rPr>
          <w:sz w:val="24"/>
          <w:szCs w:val="24"/>
        </w:rPr>
      </w:pPr>
      <w:bookmarkStart w:id="0" w:name="CO_98_51"/>
      <w:bookmarkEnd w:id="0"/>
      <w:r>
        <w:t>ASIC Class Order [</w:t>
      </w:r>
      <w:r w:rsidRPr="00E9465F">
        <w:rPr>
          <w:iCs/>
        </w:rPr>
        <w:t xml:space="preserve">CO </w:t>
      </w:r>
      <w:r w:rsidR="00E9465F">
        <w:rPr>
          <w:iCs/>
        </w:rPr>
        <w:t>14/1252</w:t>
      </w:r>
      <w:r>
        <w:t>]</w:t>
      </w:r>
    </w:p>
    <w:p w14:paraId="70BD0E74" w14:textId="77777777" w:rsidR="001F624E" w:rsidRPr="00452D8D" w:rsidRDefault="001F624E" w:rsidP="001F624E">
      <w:pPr>
        <w:spacing w:after="0" w:line="260" w:lineRule="atLeast"/>
        <w:rPr>
          <w:rFonts w:ascii="Times New Roman" w:eastAsia="Calibri" w:hAnsi="Times New Roman" w:cs="Times New Roman"/>
          <w:b/>
          <w:bCs/>
          <w:sz w:val="28"/>
          <w:szCs w:val="28"/>
        </w:rPr>
      </w:pPr>
      <w:r w:rsidRPr="00452D8D">
        <w:rPr>
          <w:rFonts w:ascii="Times New Roman" w:eastAsia="Calibri" w:hAnsi="Times New Roman" w:cs="Times New Roman"/>
          <w:b/>
          <w:bCs/>
          <w:sz w:val="28"/>
          <w:szCs w:val="28"/>
        </w:rPr>
        <w:t>About this compilation</w:t>
      </w:r>
    </w:p>
    <w:p w14:paraId="1FE06550" w14:textId="77777777" w:rsidR="001F624E" w:rsidRPr="00452D8D" w:rsidRDefault="001F624E" w:rsidP="001F624E">
      <w:pPr>
        <w:spacing w:after="0" w:line="260" w:lineRule="atLeast"/>
        <w:rPr>
          <w:rFonts w:ascii="Times New Roman" w:eastAsia="Calibri" w:hAnsi="Times New Roman" w:cs="Times New Roman"/>
          <w:b/>
          <w:bCs/>
          <w:szCs w:val="24"/>
        </w:rPr>
      </w:pPr>
    </w:p>
    <w:p w14:paraId="7E9B7A90" w14:textId="5B38B021" w:rsidR="001F624E" w:rsidRPr="00452D8D" w:rsidRDefault="001F624E" w:rsidP="001F624E">
      <w:pPr>
        <w:spacing w:after="0" w:line="260" w:lineRule="atLeast"/>
        <w:rPr>
          <w:rFonts w:ascii="Times New Roman" w:eastAsia="Calibri" w:hAnsi="Times New Roman" w:cs="Times New Roman"/>
          <w:b/>
          <w:sz w:val="24"/>
          <w:szCs w:val="24"/>
        </w:rPr>
      </w:pPr>
      <w:r w:rsidRPr="00452D8D">
        <w:rPr>
          <w:rFonts w:ascii="Times New Roman" w:eastAsia="Calibri" w:hAnsi="Times New Roman" w:cs="Times New Roman"/>
          <w:b/>
          <w:sz w:val="24"/>
          <w:szCs w:val="24"/>
        </w:rPr>
        <w:t xml:space="preserve">Compilation No. </w:t>
      </w:r>
      <w:r w:rsidR="00793457">
        <w:rPr>
          <w:rFonts w:ascii="Times New Roman" w:eastAsia="Calibri" w:hAnsi="Times New Roman" w:cs="Times New Roman"/>
          <w:b/>
          <w:sz w:val="24"/>
          <w:szCs w:val="24"/>
        </w:rPr>
        <w:t>1</w:t>
      </w:r>
      <w:r w:rsidR="005E1063">
        <w:rPr>
          <w:rFonts w:ascii="Times New Roman" w:eastAsia="Calibri" w:hAnsi="Times New Roman" w:cs="Times New Roman"/>
          <w:b/>
          <w:sz w:val="24"/>
          <w:szCs w:val="24"/>
        </w:rPr>
        <w:t>1</w:t>
      </w:r>
    </w:p>
    <w:p w14:paraId="2DB9D19C" w14:textId="77777777" w:rsidR="001F624E" w:rsidRPr="00452D8D" w:rsidRDefault="001F624E" w:rsidP="001F624E">
      <w:pPr>
        <w:spacing w:after="0" w:line="260" w:lineRule="atLeast"/>
        <w:rPr>
          <w:rFonts w:ascii="Times New Roman" w:eastAsia="Calibri" w:hAnsi="Times New Roman" w:cs="Times New Roman"/>
          <w:sz w:val="24"/>
          <w:szCs w:val="24"/>
        </w:rPr>
      </w:pPr>
    </w:p>
    <w:p w14:paraId="4CAB2BB5" w14:textId="66FE68AD" w:rsidR="001F624E" w:rsidRPr="00452D8D" w:rsidRDefault="001F624E" w:rsidP="001F624E">
      <w:pPr>
        <w:spacing w:after="0" w:line="260" w:lineRule="atLeast"/>
        <w:rPr>
          <w:rFonts w:ascii="Times New Roman" w:eastAsia="Calibri" w:hAnsi="Times New Roman" w:cs="Times New Roman"/>
          <w:sz w:val="24"/>
          <w:szCs w:val="24"/>
        </w:rPr>
      </w:pPr>
      <w:r w:rsidRPr="00452D8D">
        <w:rPr>
          <w:rFonts w:ascii="Times New Roman" w:eastAsia="Calibri" w:hAnsi="Times New Roman" w:cs="Times New Roman"/>
          <w:sz w:val="24"/>
          <w:szCs w:val="24"/>
        </w:rPr>
        <w:t xml:space="preserve">This is a compilation of ASIC Class Order [CO </w:t>
      </w:r>
      <w:r w:rsidR="00E9465F" w:rsidRPr="00452D8D">
        <w:rPr>
          <w:rFonts w:ascii="Times New Roman" w:eastAsia="Calibri" w:hAnsi="Times New Roman" w:cs="Times New Roman"/>
          <w:sz w:val="24"/>
          <w:szCs w:val="24"/>
        </w:rPr>
        <w:t>14/1252</w:t>
      </w:r>
      <w:r w:rsidRPr="00452D8D">
        <w:rPr>
          <w:rFonts w:ascii="Times New Roman" w:eastAsia="Calibri" w:hAnsi="Times New Roman" w:cs="Times New Roman"/>
          <w:sz w:val="24"/>
          <w:szCs w:val="24"/>
        </w:rPr>
        <w:t xml:space="preserve">] as in force on </w:t>
      </w:r>
      <w:r w:rsidR="005E1063">
        <w:rPr>
          <w:rFonts w:ascii="Times New Roman" w:eastAsia="Calibri" w:hAnsi="Times New Roman" w:cs="Times New Roman"/>
          <w:sz w:val="24"/>
          <w:szCs w:val="24"/>
        </w:rPr>
        <w:t>12 December</w:t>
      </w:r>
      <w:r w:rsidR="00793457">
        <w:rPr>
          <w:rFonts w:ascii="Times New Roman" w:eastAsia="Calibri" w:hAnsi="Times New Roman" w:cs="Times New Roman"/>
          <w:sz w:val="24"/>
          <w:szCs w:val="24"/>
        </w:rPr>
        <w:t xml:space="preserve"> 2020</w:t>
      </w:r>
      <w:r w:rsidR="00012173" w:rsidRPr="00012173">
        <w:rPr>
          <w:rFonts w:ascii="Times New Roman" w:eastAsia="Calibri" w:hAnsi="Times New Roman" w:cs="Times New Roman"/>
          <w:sz w:val="24"/>
          <w:szCs w:val="24"/>
        </w:rPr>
        <w:t>.</w:t>
      </w:r>
      <w:r w:rsidRPr="00452D8D">
        <w:rPr>
          <w:rFonts w:ascii="Times New Roman" w:eastAsia="Calibri" w:hAnsi="Times New Roman" w:cs="Times New Roman"/>
          <w:sz w:val="24"/>
          <w:szCs w:val="24"/>
        </w:rPr>
        <w:t xml:space="preserve"> It includes any commenced amendment affecting the legislative instrument to that date. </w:t>
      </w:r>
    </w:p>
    <w:p w14:paraId="5DB89705" w14:textId="77777777" w:rsidR="001F624E" w:rsidRPr="00452D8D" w:rsidRDefault="001F624E" w:rsidP="001F624E">
      <w:pPr>
        <w:spacing w:after="0" w:line="260" w:lineRule="atLeast"/>
        <w:rPr>
          <w:rFonts w:ascii="Times New Roman" w:eastAsia="Calibri" w:hAnsi="Times New Roman" w:cs="Times New Roman"/>
          <w:sz w:val="24"/>
          <w:szCs w:val="24"/>
        </w:rPr>
      </w:pPr>
    </w:p>
    <w:p w14:paraId="0D86739C" w14:textId="77777777" w:rsidR="001F624E" w:rsidRPr="00452D8D" w:rsidRDefault="001F624E" w:rsidP="001F624E">
      <w:pPr>
        <w:spacing w:after="0" w:line="260" w:lineRule="atLeast"/>
        <w:rPr>
          <w:rFonts w:ascii="Times New Roman" w:eastAsia="Calibri" w:hAnsi="Times New Roman" w:cs="Times New Roman"/>
          <w:sz w:val="24"/>
          <w:szCs w:val="24"/>
        </w:rPr>
      </w:pPr>
      <w:r w:rsidRPr="00452D8D">
        <w:rPr>
          <w:rFonts w:ascii="Times New Roman" w:eastAsia="Calibri" w:hAnsi="Times New Roman" w:cs="Times New Roman"/>
          <w:sz w:val="24"/>
          <w:szCs w:val="24"/>
        </w:rPr>
        <w:t>This compilation was prepared by the Australian Securities and Investments Commission.</w:t>
      </w:r>
    </w:p>
    <w:p w14:paraId="7A0DE483" w14:textId="77777777" w:rsidR="001F624E" w:rsidRPr="00452D8D" w:rsidRDefault="001F624E" w:rsidP="001F624E">
      <w:pPr>
        <w:spacing w:after="0" w:line="260" w:lineRule="atLeast"/>
        <w:rPr>
          <w:rFonts w:ascii="Times New Roman" w:eastAsia="Calibri" w:hAnsi="Times New Roman" w:cs="Times New Roman"/>
          <w:sz w:val="24"/>
          <w:szCs w:val="24"/>
        </w:rPr>
      </w:pPr>
    </w:p>
    <w:p w14:paraId="02046251" w14:textId="77777777" w:rsidR="001F624E" w:rsidRPr="00452D8D" w:rsidRDefault="001F624E" w:rsidP="001F624E">
      <w:pPr>
        <w:spacing w:after="0" w:line="260" w:lineRule="atLeast"/>
        <w:rPr>
          <w:rFonts w:ascii="Times New Roman" w:eastAsia="Calibri" w:hAnsi="Times New Roman" w:cs="Times New Roman"/>
          <w:sz w:val="24"/>
          <w:szCs w:val="24"/>
        </w:rPr>
      </w:pPr>
      <w:r w:rsidRPr="00452D8D">
        <w:rPr>
          <w:rFonts w:ascii="Times New Roman" w:eastAsia="Calibri" w:hAnsi="Times New Roman" w:cs="Times New Roman"/>
          <w:sz w:val="24"/>
          <w:szCs w:val="24"/>
        </w:rPr>
        <w:t xml:space="preserve">The notes at the end of this compilation (the </w:t>
      </w:r>
      <w:r w:rsidRPr="00452D8D">
        <w:rPr>
          <w:rFonts w:ascii="Times New Roman" w:eastAsia="Calibri" w:hAnsi="Times New Roman" w:cs="Times New Roman"/>
          <w:b/>
          <w:bCs/>
          <w:i/>
          <w:iCs/>
          <w:sz w:val="24"/>
          <w:szCs w:val="24"/>
        </w:rPr>
        <w:t>endnotes</w:t>
      </w:r>
      <w:r w:rsidRPr="00452D8D">
        <w:rPr>
          <w:rFonts w:ascii="Times New Roman" w:eastAsia="Calibri" w:hAnsi="Times New Roman" w:cs="Times New Roman"/>
          <w:sz w:val="24"/>
          <w:szCs w:val="24"/>
        </w:rPr>
        <w:t>) include information</w:t>
      </w:r>
    </w:p>
    <w:p w14:paraId="7D3C601D" w14:textId="77777777" w:rsidR="001F624E" w:rsidRPr="00452D8D" w:rsidRDefault="001F624E" w:rsidP="001F624E">
      <w:pPr>
        <w:spacing w:after="0" w:line="260" w:lineRule="atLeast"/>
        <w:rPr>
          <w:rFonts w:ascii="Times New Roman" w:eastAsia="Calibri" w:hAnsi="Times New Roman" w:cs="Times New Roman"/>
          <w:sz w:val="24"/>
          <w:szCs w:val="24"/>
        </w:rPr>
      </w:pPr>
      <w:r w:rsidRPr="00452D8D">
        <w:rPr>
          <w:rFonts w:ascii="Times New Roman" w:eastAsia="Calibri" w:hAnsi="Times New Roman" w:cs="Times New Roman"/>
          <w:sz w:val="24"/>
          <w:szCs w:val="24"/>
        </w:rPr>
        <w:t>about amending instruments and the amendment history of each amended provision.</w:t>
      </w:r>
    </w:p>
    <w:p w14:paraId="10403C90" w14:textId="77777777" w:rsidR="00717530" w:rsidRPr="002720F3" w:rsidRDefault="00717530">
      <w:pPr>
        <w:pStyle w:val="abody"/>
        <w:pBdr>
          <w:bottom w:val="single" w:sz="4" w:space="1" w:color="auto"/>
        </w:pBdr>
      </w:pPr>
    </w:p>
    <w:p w14:paraId="0B602CAB" w14:textId="77777777" w:rsidR="001A30D0" w:rsidRPr="00452D8D" w:rsidRDefault="001A30D0" w:rsidP="001A30D0">
      <w:pPr>
        <w:spacing w:after="0" w:line="300" w:lineRule="atLeast"/>
        <w:jc w:val="center"/>
        <w:rPr>
          <w:rFonts w:ascii="Times New Roman" w:hAnsi="Times New Roman" w:cs="Times New Roman"/>
          <w:b/>
          <w:bCs/>
          <w:sz w:val="24"/>
        </w:rPr>
      </w:pPr>
      <w:r w:rsidRPr="00452D8D">
        <w:rPr>
          <w:rFonts w:ascii="Times New Roman" w:hAnsi="Times New Roman" w:cs="Times New Roman"/>
          <w:b/>
          <w:bCs/>
          <w:sz w:val="24"/>
        </w:rPr>
        <w:t>Australian Securities and Investments Commission</w:t>
      </w:r>
      <w:r w:rsidRPr="00452D8D">
        <w:rPr>
          <w:rFonts w:ascii="Times New Roman" w:hAnsi="Times New Roman" w:cs="Times New Roman"/>
          <w:b/>
          <w:bCs/>
          <w:sz w:val="24"/>
        </w:rPr>
        <w:br/>
        <w:t>Corporations Act 2001—Subsection 1020</w:t>
      </w:r>
      <w:proofErr w:type="gramStart"/>
      <w:r w:rsidRPr="00452D8D">
        <w:rPr>
          <w:rFonts w:ascii="Times New Roman" w:hAnsi="Times New Roman" w:cs="Times New Roman"/>
          <w:b/>
          <w:bCs/>
          <w:sz w:val="24"/>
        </w:rPr>
        <w:t>F(</w:t>
      </w:r>
      <w:proofErr w:type="gramEnd"/>
      <w:r w:rsidRPr="00452D8D">
        <w:rPr>
          <w:rFonts w:ascii="Times New Roman" w:hAnsi="Times New Roman" w:cs="Times New Roman"/>
          <w:b/>
          <w:bCs/>
          <w:sz w:val="24"/>
        </w:rPr>
        <w:t>1)—Declaration</w:t>
      </w:r>
    </w:p>
    <w:p w14:paraId="039E531F" w14:textId="77777777" w:rsidR="001A30D0" w:rsidRPr="00452D8D" w:rsidRDefault="001A30D0" w:rsidP="001A30D0">
      <w:pPr>
        <w:spacing w:after="0"/>
        <w:rPr>
          <w:rFonts w:ascii="Times New Roman" w:hAnsi="Times New Roman" w:cs="Times New Roman"/>
          <w:b/>
          <w:bCs/>
          <w:sz w:val="24"/>
          <w:szCs w:val="18"/>
          <w:lang w:val="en-US"/>
        </w:rPr>
      </w:pPr>
    </w:p>
    <w:p w14:paraId="6BE78C2C" w14:textId="77777777" w:rsidR="001A30D0" w:rsidRPr="00452D8D" w:rsidRDefault="001A30D0" w:rsidP="001A30D0">
      <w:pPr>
        <w:spacing w:after="0"/>
        <w:rPr>
          <w:rFonts w:ascii="Times New Roman" w:hAnsi="Times New Roman" w:cs="Times New Roman"/>
          <w:b/>
          <w:bCs/>
          <w:sz w:val="24"/>
          <w:szCs w:val="18"/>
          <w:lang w:val="en-US"/>
        </w:rPr>
      </w:pPr>
      <w:r w:rsidRPr="00452D8D">
        <w:rPr>
          <w:rFonts w:ascii="Times New Roman" w:hAnsi="Times New Roman" w:cs="Times New Roman"/>
          <w:b/>
          <w:bCs/>
          <w:sz w:val="24"/>
          <w:szCs w:val="18"/>
          <w:lang w:val="en-US"/>
        </w:rPr>
        <w:t>Enabling legislation</w:t>
      </w:r>
    </w:p>
    <w:p w14:paraId="2CF971DE" w14:textId="77777777" w:rsidR="001A30D0" w:rsidRPr="00452D8D" w:rsidRDefault="001A30D0" w:rsidP="001A30D0">
      <w:pPr>
        <w:tabs>
          <w:tab w:val="left" w:pos="720"/>
        </w:tabs>
        <w:spacing w:after="0"/>
        <w:ind w:left="720" w:hanging="720"/>
        <w:rPr>
          <w:rFonts w:ascii="Times New Roman" w:hAnsi="Times New Roman" w:cs="Times New Roman"/>
          <w:sz w:val="24"/>
          <w:szCs w:val="18"/>
          <w:lang w:val="en-US"/>
        </w:rPr>
      </w:pPr>
    </w:p>
    <w:p w14:paraId="78920B1E" w14:textId="77777777" w:rsidR="001A30D0" w:rsidRPr="00452D8D" w:rsidRDefault="001A30D0" w:rsidP="001A30D0">
      <w:pPr>
        <w:spacing w:after="0"/>
        <w:ind w:left="567" w:hanging="567"/>
        <w:rPr>
          <w:rFonts w:ascii="Times New Roman" w:hAnsi="Times New Roman" w:cs="Times New Roman"/>
          <w:sz w:val="24"/>
          <w:szCs w:val="18"/>
          <w:lang w:val="en-US"/>
        </w:rPr>
      </w:pPr>
      <w:r w:rsidRPr="00452D8D">
        <w:rPr>
          <w:rFonts w:ascii="Times New Roman" w:hAnsi="Times New Roman" w:cs="Times New Roman"/>
          <w:sz w:val="24"/>
          <w:szCs w:val="18"/>
          <w:lang w:val="en-US"/>
        </w:rPr>
        <w:t>1.</w:t>
      </w:r>
      <w:r w:rsidRPr="00452D8D">
        <w:rPr>
          <w:rFonts w:ascii="Times New Roman" w:hAnsi="Times New Roman" w:cs="Times New Roman"/>
          <w:sz w:val="24"/>
          <w:szCs w:val="18"/>
          <w:lang w:val="en-US"/>
        </w:rPr>
        <w:tab/>
        <w:t>The Australian Securities and Investments Commission makes this instrument under subsection 1020</w:t>
      </w:r>
      <w:proofErr w:type="gramStart"/>
      <w:r w:rsidRPr="00452D8D">
        <w:rPr>
          <w:rFonts w:ascii="Times New Roman" w:hAnsi="Times New Roman" w:cs="Times New Roman"/>
          <w:sz w:val="24"/>
          <w:szCs w:val="18"/>
          <w:lang w:val="en-US"/>
        </w:rPr>
        <w:t>F(</w:t>
      </w:r>
      <w:proofErr w:type="gramEnd"/>
      <w:r w:rsidRPr="00452D8D">
        <w:rPr>
          <w:rFonts w:ascii="Times New Roman" w:hAnsi="Times New Roman" w:cs="Times New Roman"/>
          <w:sz w:val="24"/>
          <w:szCs w:val="18"/>
          <w:lang w:val="en-US"/>
        </w:rPr>
        <w:t xml:space="preserve">1) of the </w:t>
      </w:r>
      <w:r w:rsidRPr="00452D8D">
        <w:rPr>
          <w:rFonts w:ascii="Times New Roman" w:hAnsi="Times New Roman" w:cs="Times New Roman"/>
          <w:i/>
          <w:sz w:val="24"/>
          <w:szCs w:val="18"/>
          <w:lang w:val="en-US"/>
        </w:rPr>
        <w:t xml:space="preserve">Corporations Act 2001 </w:t>
      </w:r>
      <w:r w:rsidRPr="00452D8D">
        <w:rPr>
          <w:rFonts w:ascii="Times New Roman" w:hAnsi="Times New Roman" w:cs="Times New Roman"/>
          <w:sz w:val="24"/>
          <w:szCs w:val="18"/>
          <w:lang w:val="en-US"/>
        </w:rPr>
        <w:t xml:space="preserve">(the </w:t>
      </w:r>
      <w:r w:rsidRPr="00452D8D">
        <w:rPr>
          <w:rFonts w:ascii="Times New Roman" w:hAnsi="Times New Roman" w:cs="Times New Roman"/>
          <w:b/>
          <w:i/>
          <w:sz w:val="24"/>
          <w:szCs w:val="18"/>
          <w:lang w:val="en-US"/>
        </w:rPr>
        <w:t>Act</w:t>
      </w:r>
      <w:r w:rsidRPr="00452D8D">
        <w:rPr>
          <w:rFonts w:ascii="Times New Roman" w:hAnsi="Times New Roman" w:cs="Times New Roman"/>
          <w:sz w:val="24"/>
          <w:szCs w:val="18"/>
          <w:lang w:val="en-US"/>
        </w:rPr>
        <w:t>).</w:t>
      </w:r>
    </w:p>
    <w:p w14:paraId="15C163F4" w14:textId="77777777" w:rsidR="001A30D0" w:rsidRPr="00452D8D" w:rsidRDefault="001A30D0" w:rsidP="001A30D0">
      <w:pPr>
        <w:spacing w:beforeAutospacing="1" w:after="0" w:afterAutospacing="1"/>
        <w:outlineLvl w:val="0"/>
        <w:rPr>
          <w:rFonts w:ascii="Times New Roman" w:eastAsia="Arial Unicode MS" w:hAnsi="Times New Roman" w:cs="Times New Roman"/>
          <w:b/>
          <w:bCs/>
          <w:kern w:val="36"/>
          <w:sz w:val="24"/>
          <w:szCs w:val="48"/>
        </w:rPr>
      </w:pPr>
      <w:r w:rsidRPr="00452D8D">
        <w:rPr>
          <w:rFonts w:ascii="Times New Roman" w:eastAsia="Arial Unicode MS" w:hAnsi="Times New Roman" w:cs="Times New Roman"/>
          <w:b/>
          <w:bCs/>
          <w:kern w:val="36"/>
          <w:sz w:val="24"/>
          <w:szCs w:val="48"/>
        </w:rPr>
        <w:t>Title</w:t>
      </w:r>
    </w:p>
    <w:p w14:paraId="37244A41" w14:textId="77777777" w:rsidR="001A30D0" w:rsidRPr="00452D8D" w:rsidRDefault="001A30D0" w:rsidP="001A30D0">
      <w:pPr>
        <w:spacing w:after="0"/>
        <w:ind w:left="567" w:hanging="567"/>
        <w:rPr>
          <w:rFonts w:ascii="Times New Roman" w:hAnsi="Times New Roman" w:cs="Times New Roman"/>
          <w:sz w:val="24"/>
          <w:szCs w:val="18"/>
          <w:lang w:val="en-US"/>
        </w:rPr>
      </w:pPr>
      <w:r w:rsidRPr="00452D8D">
        <w:rPr>
          <w:rFonts w:ascii="Times New Roman" w:hAnsi="Times New Roman" w:cs="Times New Roman"/>
          <w:sz w:val="24"/>
          <w:szCs w:val="18"/>
          <w:lang w:val="en-US"/>
        </w:rPr>
        <w:t>2.</w:t>
      </w:r>
      <w:r w:rsidRPr="00452D8D">
        <w:rPr>
          <w:rFonts w:ascii="Times New Roman" w:hAnsi="Times New Roman" w:cs="Times New Roman"/>
          <w:sz w:val="24"/>
          <w:szCs w:val="18"/>
          <w:lang w:val="en-US"/>
        </w:rPr>
        <w:tab/>
        <w:t>This instrument is ASIC Class Order [CO 14/1252].</w:t>
      </w:r>
    </w:p>
    <w:p w14:paraId="06416573" w14:textId="77777777" w:rsidR="001A30D0" w:rsidRPr="00452D8D" w:rsidRDefault="001A30D0" w:rsidP="001A30D0">
      <w:pPr>
        <w:spacing w:after="0"/>
        <w:rPr>
          <w:rFonts w:ascii="Times New Roman" w:hAnsi="Times New Roman" w:cs="Times New Roman"/>
          <w:b/>
          <w:bCs/>
          <w:sz w:val="24"/>
          <w:szCs w:val="18"/>
          <w:lang w:val="en-US"/>
        </w:rPr>
      </w:pPr>
    </w:p>
    <w:p w14:paraId="15DDAB58" w14:textId="77777777" w:rsidR="001A30D0" w:rsidRPr="00452D8D" w:rsidRDefault="001A30D0" w:rsidP="001A30D0">
      <w:pPr>
        <w:keepNext/>
        <w:spacing w:after="0"/>
        <w:ind w:left="720" w:hanging="720"/>
        <w:outlineLvl w:val="4"/>
        <w:rPr>
          <w:rFonts w:ascii="Times New Roman" w:hAnsi="Times New Roman" w:cs="Times New Roman"/>
          <w:b/>
          <w:bCs/>
          <w:sz w:val="24"/>
          <w:szCs w:val="18"/>
        </w:rPr>
      </w:pPr>
      <w:r w:rsidRPr="00452D8D">
        <w:rPr>
          <w:rFonts w:ascii="Times New Roman" w:hAnsi="Times New Roman" w:cs="Times New Roman"/>
          <w:b/>
          <w:bCs/>
          <w:sz w:val="24"/>
          <w:szCs w:val="18"/>
        </w:rPr>
        <w:t>Declaration</w:t>
      </w:r>
    </w:p>
    <w:p w14:paraId="74031C24" w14:textId="77777777" w:rsidR="001A30D0" w:rsidRPr="00452D8D" w:rsidRDefault="001A30D0" w:rsidP="001A30D0">
      <w:pPr>
        <w:spacing w:after="0"/>
        <w:ind w:left="567" w:hanging="720"/>
        <w:rPr>
          <w:rFonts w:ascii="Times New Roman" w:hAnsi="Times New Roman" w:cs="Times New Roman"/>
          <w:sz w:val="24"/>
          <w:szCs w:val="18"/>
        </w:rPr>
      </w:pPr>
    </w:p>
    <w:p w14:paraId="365B94BA" w14:textId="009213F0" w:rsidR="001A30D0" w:rsidRPr="00452D8D" w:rsidRDefault="001A30D0" w:rsidP="001A30D0">
      <w:pPr>
        <w:spacing w:after="0"/>
        <w:ind w:left="567" w:hanging="567"/>
        <w:contextualSpacing/>
        <w:rPr>
          <w:rFonts w:ascii="Times New Roman" w:hAnsi="Times New Roman" w:cs="Times New Roman"/>
          <w:sz w:val="24"/>
          <w:szCs w:val="18"/>
        </w:rPr>
      </w:pPr>
      <w:r w:rsidRPr="00452D8D">
        <w:rPr>
          <w:rFonts w:ascii="Times New Roman" w:hAnsi="Times New Roman" w:cs="Times New Roman"/>
          <w:sz w:val="24"/>
          <w:szCs w:val="18"/>
        </w:rPr>
        <w:t>4.</w:t>
      </w:r>
      <w:r w:rsidRPr="00452D8D">
        <w:rPr>
          <w:rFonts w:ascii="Times New Roman" w:hAnsi="Times New Roman" w:cs="Times New Roman"/>
          <w:sz w:val="24"/>
          <w:szCs w:val="18"/>
        </w:rPr>
        <w:tab/>
        <w:t xml:space="preserve">Part 7.9 of the Act applies in relation </w:t>
      </w:r>
      <w:r w:rsidRPr="008A0AFB">
        <w:rPr>
          <w:rFonts w:ascii="Times New Roman" w:hAnsi="Times New Roman" w:cs="Times New Roman"/>
          <w:sz w:val="24"/>
          <w:szCs w:val="18"/>
        </w:rPr>
        <w:t xml:space="preserve">to </w:t>
      </w:r>
      <w:r w:rsidR="006A01DB" w:rsidRPr="008A0AFB">
        <w:rPr>
          <w:rFonts w:ascii="Times New Roman" w:hAnsi="Times New Roman" w:cs="Times New Roman"/>
          <w:sz w:val="24"/>
          <w:szCs w:val="18"/>
        </w:rPr>
        <w:t>managed investment products, foreign passport fund products and superannuation products</w:t>
      </w:r>
      <w:r w:rsidRPr="008A0AFB">
        <w:rPr>
          <w:rFonts w:ascii="Times New Roman" w:hAnsi="Times New Roman" w:cs="Times New Roman"/>
          <w:sz w:val="24"/>
          <w:szCs w:val="18"/>
        </w:rPr>
        <w:t xml:space="preserve"> as if provisions</w:t>
      </w:r>
      <w:r w:rsidRPr="00452D8D">
        <w:rPr>
          <w:rFonts w:ascii="Times New Roman" w:hAnsi="Times New Roman" w:cs="Times New Roman"/>
          <w:sz w:val="24"/>
          <w:szCs w:val="18"/>
        </w:rPr>
        <w:t xml:space="preserve"> of that Part were modified or varied as set out in paragraphs 5 to 7.</w:t>
      </w:r>
    </w:p>
    <w:p w14:paraId="726582F4" w14:textId="77777777" w:rsidR="001A30D0" w:rsidRPr="00452D8D" w:rsidRDefault="001A30D0" w:rsidP="001A30D0">
      <w:pPr>
        <w:spacing w:after="0"/>
        <w:ind w:left="567" w:hanging="567"/>
        <w:contextualSpacing/>
        <w:rPr>
          <w:rFonts w:ascii="Times New Roman" w:hAnsi="Times New Roman" w:cs="Times New Roman"/>
          <w:szCs w:val="18"/>
        </w:rPr>
      </w:pPr>
    </w:p>
    <w:p w14:paraId="3B5DAD3F" w14:textId="77777777" w:rsidR="001A30D0" w:rsidRPr="00452D8D" w:rsidRDefault="001A30D0" w:rsidP="001A30D0">
      <w:pPr>
        <w:spacing w:after="0"/>
        <w:ind w:left="1134" w:hanging="567"/>
        <w:contextualSpacing/>
        <w:rPr>
          <w:rFonts w:ascii="Times New Roman" w:hAnsi="Times New Roman" w:cs="Times New Roman"/>
          <w:szCs w:val="18"/>
        </w:rPr>
      </w:pPr>
      <w:r w:rsidRPr="00452D8D">
        <w:rPr>
          <w:rFonts w:ascii="Times New Roman" w:hAnsi="Times New Roman" w:cs="Times New Roman"/>
          <w:sz w:val="18"/>
          <w:szCs w:val="18"/>
          <w:lang w:val="en-US"/>
        </w:rPr>
        <w:t>Note:</w:t>
      </w:r>
      <w:r w:rsidRPr="00452D8D">
        <w:rPr>
          <w:rFonts w:ascii="Times New Roman" w:hAnsi="Times New Roman" w:cs="Times New Roman"/>
          <w:sz w:val="18"/>
          <w:szCs w:val="18"/>
          <w:lang w:val="en-US"/>
        </w:rPr>
        <w:tab/>
        <w:t>The provisions of Part 7.9 include the regulations made for the purposes of that Part: see section 761H.</w:t>
      </w:r>
    </w:p>
    <w:p w14:paraId="13CC253A" w14:textId="77777777" w:rsidR="001A30D0" w:rsidRPr="00452D8D" w:rsidRDefault="001A30D0" w:rsidP="001A30D0">
      <w:pPr>
        <w:pStyle w:val="LI-BodyTextNumbered"/>
        <w:ind w:left="567"/>
        <w:rPr>
          <w:rFonts w:ascii="Times New Roman" w:hAnsi="Times New Roman" w:cs="Times New Roman"/>
          <w:sz w:val="24"/>
        </w:rPr>
      </w:pPr>
      <w:r w:rsidRPr="00452D8D">
        <w:rPr>
          <w:rFonts w:ascii="Times New Roman" w:hAnsi="Times New Roman" w:cs="Times New Roman"/>
          <w:sz w:val="24"/>
          <w:szCs w:val="18"/>
        </w:rPr>
        <w:t>5.</w:t>
      </w:r>
      <w:r w:rsidRPr="00452D8D">
        <w:rPr>
          <w:rFonts w:ascii="Times New Roman" w:hAnsi="Times New Roman" w:cs="Times New Roman"/>
          <w:sz w:val="24"/>
          <w:szCs w:val="18"/>
        </w:rPr>
        <w:tab/>
      </w:r>
      <w:r w:rsidRPr="00452D8D">
        <w:rPr>
          <w:rFonts w:ascii="Times New Roman" w:hAnsi="Times New Roman" w:cs="Times New Roman"/>
          <w:sz w:val="24"/>
        </w:rPr>
        <w:t>In section 1011B of the Act, insert in the following definition in the appropriate alphabetical order:</w:t>
      </w:r>
    </w:p>
    <w:p w14:paraId="19BCE5A9" w14:textId="77777777" w:rsidR="001A30D0" w:rsidRPr="00452D8D" w:rsidRDefault="001A30D0" w:rsidP="001A30D0">
      <w:pPr>
        <w:pStyle w:val="LI-BodyTextNumbered"/>
        <w:ind w:left="567" w:firstLine="0"/>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investment option</w:t>
      </w:r>
      <w:r w:rsidRPr="00452D8D">
        <w:rPr>
          <w:rFonts w:ascii="Times New Roman" w:hAnsi="Times New Roman" w:cs="Times New Roman"/>
          <w:sz w:val="24"/>
        </w:rPr>
        <w:t>, in relation to a managed investment scheme or superannuation entity, includes the managed investment scheme or superannuation entity where there is no choice of investment options within the managed investment scheme or superannuation entity.”.</w:t>
      </w:r>
    </w:p>
    <w:p w14:paraId="7EC331B9" w14:textId="77777777" w:rsidR="001A30D0" w:rsidRPr="00452D8D" w:rsidRDefault="001A30D0" w:rsidP="001A30D0">
      <w:pPr>
        <w:pStyle w:val="LI-BodyTextNumbered"/>
        <w:ind w:left="567"/>
        <w:rPr>
          <w:rFonts w:ascii="Times New Roman" w:hAnsi="Times New Roman" w:cs="Times New Roman"/>
          <w:sz w:val="24"/>
        </w:rPr>
      </w:pPr>
      <w:r w:rsidRPr="00452D8D">
        <w:rPr>
          <w:rFonts w:ascii="Times New Roman" w:hAnsi="Times New Roman" w:cs="Times New Roman"/>
          <w:sz w:val="24"/>
        </w:rPr>
        <w:t>5A.</w:t>
      </w:r>
      <w:r w:rsidRPr="00452D8D">
        <w:rPr>
          <w:rFonts w:ascii="Times New Roman" w:hAnsi="Times New Roman" w:cs="Times New Roman"/>
          <w:sz w:val="24"/>
        </w:rPr>
        <w:tab/>
        <w:t>In subsection 1013</w:t>
      </w:r>
      <w:proofErr w:type="gramStart"/>
      <w:r w:rsidRPr="00452D8D">
        <w:rPr>
          <w:rFonts w:ascii="Times New Roman" w:hAnsi="Times New Roman" w:cs="Times New Roman"/>
          <w:sz w:val="24"/>
        </w:rPr>
        <w:t>C(</w:t>
      </w:r>
      <w:proofErr w:type="gramEnd"/>
      <w:r w:rsidRPr="00452D8D">
        <w:rPr>
          <w:rFonts w:ascii="Times New Roman" w:hAnsi="Times New Roman" w:cs="Times New Roman"/>
          <w:sz w:val="24"/>
        </w:rPr>
        <w:t>2) of the Act, omit “The”, substitute “Unless otherwise provided in the regulations, the”.</w:t>
      </w:r>
    </w:p>
    <w:p w14:paraId="2157824A" w14:textId="77777777" w:rsidR="001A30D0" w:rsidRPr="00452D8D" w:rsidRDefault="001A30D0" w:rsidP="001A30D0">
      <w:pPr>
        <w:pStyle w:val="LI-BodyTextNumbered"/>
        <w:ind w:left="567"/>
        <w:rPr>
          <w:rFonts w:ascii="Times New Roman" w:hAnsi="Times New Roman" w:cs="Times New Roman"/>
          <w:sz w:val="24"/>
        </w:rPr>
      </w:pPr>
      <w:r w:rsidRPr="00452D8D">
        <w:rPr>
          <w:rFonts w:ascii="Times New Roman" w:hAnsi="Times New Roman" w:cs="Times New Roman"/>
          <w:sz w:val="24"/>
        </w:rPr>
        <w:lastRenderedPageBreak/>
        <w:t>5B.</w:t>
      </w:r>
      <w:r w:rsidRPr="00452D8D">
        <w:rPr>
          <w:rFonts w:ascii="Times New Roman" w:hAnsi="Times New Roman" w:cs="Times New Roman"/>
          <w:sz w:val="24"/>
        </w:rPr>
        <w:tab/>
        <w:t>In subsection 1017</w:t>
      </w:r>
      <w:proofErr w:type="gramStart"/>
      <w:r w:rsidRPr="00452D8D">
        <w:rPr>
          <w:rFonts w:ascii="Times New Roman" w:hAnsi="Times New Roman" w:cs="Times New Roman"/>
          <w:sz w:val="24"/>
        </w:rPr>
        <w:t>B(</w:t>
      </w:r>
      <w:proofErr w:type="gramEnd"/>
      <w:r w:rsidRPr="00452D8D">
        <w:rPr>
          <w:rFonts w:ascii="Times New Roman" w:hAnsi="Times New Roman" w:cs="Times New Roman"/>
          <w:sz w:val="24"/>
        </w:rPr>
        <w:t>5) of the Act, after “charges” (wherever occurring), insert “other than an increase in a fee for a superannuation product that results from an increase in costs relating to that superannuation product”.</w:t>
      </w:r>
    </w:p>
    <w:p w14:paraId="352E22EE" w14:textId="77777777" w:rsidR="001A30D0" w:rsidRPr="00452D8D" w:rsidRDefault="001A30D0" w:rsidP="001A30D0">
      <w:pPr>
        <w:spacing w:after="0"/>
        <w:ind w:left="567" w:hanging="567"/>
        <w:contextualSpacing/>
        <w:rPr>
          <w:rFonts w:ascii="Times New Roman" w:hAnsi="Times New Roman" w:cs="Times New Roman"/>
        </w:rPr>
      </w:pPr>
    </w:p>
    <w:p w14:paraId="45FEDA54" w14:textId="77777777" w:rsidR="001A30D0" w:rsidRPr="00452D8D" w:rsidRDefault="001A30D0" w:rsidP="001A30D0">
      <w:pPr>
        <w:spacing w:after="0"/>
        <w:ind w:left="567" w:hanging="567"/>
        <w:contextualSpacing/>
        <w:rPr>
          <w:rFonts w:ascii="Times New Roman" w:hAnsi="Times New Roman" w:cs="Times New Roman"/>
          <w:sz w:val="24"/>
        </w:rPr>
      </w:pPr>
      <w:r w:rsidRPr="00452D8D">
        <w:rPr>
          <w:rFonts w:ascii="Times New Roman" w:hAnsi="Times New Roman" w:cs="Times New Roman"/>
          <w:sz w:val="24"/>
        </w:rPr>
        <w:t>5C.</w:t>
      </w:r>
      <w:r w:rsidRPr="00452D8D">
        <w:rPr>
          <w:rFonts w:ascii="Times New Roman" w:hAnsi="Times New Roman" w:cs="Times New Roman"/>
          <w:sz w:val="24"/>
        </w:rPr>
        <w:tab/>
        <w:t>In subsection 1017</w:t>
      </w:r>
      <w:proofErr w:type="gramStart"/>
      <w:r w:rsidRPr="00452D8D">
        <w:rPr>
          <w:rFonts w:ascii="Times New Roman" w:hAnsi="Times New Roman" w:cs="Times New Roman"/>
          <w:sz w:val="24"/>
        </w:rPr>
        <w:t>B(</w:t>
      </w:r>
      <w:proofErr w:type="gramEnd"/>
      <w:r w:rsidRPr="00452D8D">
        <w:rPr>
          <w:rFonts w:ascii="Times New Roman" w:hAnsi="Times New Roman" w:cs="Times New Roman"/>
          <w:sz w:val="24"/>
        </w:rPr>
        <w:t>6) of the Act, after “charges,”, insert “other than an increase in a fee for a superannuation product that results from an increase in costs relating to that superannuation product,”.</w:t>
      </w:r>
    </w:p>
    <w:p w14:paraId="5D0AA87F" w14:textId="77777777" w:rsidR="001A30D0" w:rsidRPr="00452D8D" w:rsidRDefault="001A30D0" w:rsidP="001A30D0">
      <w:pPr>
        <w:pStyle w:val="LI-BodyTextNumbered"/>
        <w:ind w:left="567"/>
        <w:rPr>
          <w:rFonts w:ascii="Times New Roman" w:hAnsi="Times New Roman" w:cs="Times New Roman"/>
          <w:color w:val="000000"/>
          <w:sz w:val="24"/>
          <w:szCs w:val="20"/>
          <w:lang w:eastAsia="en-US"/>
        </w:rPr>
      </w:pPr>
      <w:r w:rsidRPr="00452D8D">
        <w:rPr>
          <w:rFonts w:ascii="Times New Roman" w:hAnsi="Times New Roman" w:cs="Times New Roman"/>
          <w:sz w:val="24"/>
        </w:rPr>
        <w:t>5C</w:t>
      </w:r>
      <w:r w:rsidRPr="00452D8D">
        <w:rPr>
          <w:rFonts w:ascii="Times New Roman" w:hAnsi="Times New Roman" w:cs="Times New Roman"/>
          <w:color w:val="000000"/>
          <w:sz w:val="24"/>
          <w:szCs w:val="20"/>
          <w:lang w:eastAsia="en-US"/>
        </w:rPr>
        <w:t>A.</w:t>
      </w:r>
      <w:r w:rsidRPr="00452D8D">
        <w:rPr>
          <w:rFonts w:ascii="Times New Roman" w:hAnsi="Times New Roman" w:cs="Times New Roman"/>
          <w:color w:val="000000"/>
          <w:sz w:val="24"/>
          <w:szCs w:val="20"/>
          <w:lang w:eastAsia="en-US"/>
        </w:rPr>
        <w:tab/>
        <w:t>In paragraph 1017B(6)(a) of the Act, after “the” (second occurring), insert “change or”.</w:t>
      </w:r>
    </w:p>
    <w:p w14:paraId="7CEF041F" w14:textId="77777777" w:rsidR="009071E2" w:rsidRPr="00452D8D" w:rsidRDefault="009071E2" w:rsidP="00452D8D">
      <w:pPr>
        <w:pStyle w:val="LI-BodyTextNumbered"/>
        <w:ind w:left="567"/>
        <w:rPr>
          <w:rFonts w:ascii="Times New Roman" w:hAnsi="Times New Roman" w:cs="Times New Roman"/>
          <w:color w:val="000000"/>
          <w:sz w:val="24"/>
          <w:szCs w:val="20"/>
          <w:lang w:eastAsia="en-US"/>
        </w:rPr>
      </w:pPr>
      <w:r w:rsidRPr="00452D8D">
        <w:rPr>
          <w:rFonts w:ascii="Times New Roman" w:hAnsi="Times New Roman" w:cs="Times New Roman"/>
          <w:sz w:val="24"/>
        </w:rPr>
        <w:t>5C</w:t>
      </w:r>
      <w:r w:rsidRPr="00452D8D">
        <w:rPr>
          <w:rFonts w:ascii="Times New Roman" w:hAnsi="Times New Roman" w:cs="Times New Roman"/>
          <w:color w:val="000000"/>
          <w:sz w:val="24"/>
          <w:szCs w:val="20"/>
          <w:lang w:eastAsia="en-US"/>
        </w:rPr>
        <w:t>B.</w:t>
      </w:r>
      <w:r w:rsidRPr="00452D8D">
        <w:rPr>
          <w:rFonts w:ascii="Times New Roman" w:hAnsi="Times New Roman" w:cs="Times New Roman"/>
          <w:color w:val="000000"/>
          <w:sz w:val="24"/>
          <w:szCs w:val="20"/>
          <w:lang w:eastAsia="en-US"/>
        </w:rPr>
        <w:tab/>
      </w:r>
      <w:r w:rsidRPr="00452D8D">
        <w:rPr>
          <w:rFonts w:ascii="Times New Roman" w:hAnsi="Times New Roman" w:cs="Times New Roman"/>
          <w:sz w:val="24"/>
        </w:rPr>
        <w:t>After subsection 1017</w:t>
      </w:r>
      <w:proofErr w:type="gramStart"/>
      <w:r w:rsidRPr="00452D8D">
        <w:rPr>
          <w:rFonts w:ascii="Times New Roman" w:hAnsi="Times New Roman" w:cs="Times New Roman"/>
          <w:sz w:val="24"/>
        </w:rPr>
        <w:t>D(</w:t>
      </w:r>
      <w:proofErr w:type="gramEnd"/>
      <w:r w:rsidRPr="00452D8D">
        <w:rPr>
          <w:rFonts w:ascii="Times New Roman" w:hAnsi="Times New Roman" w:cs="Times New Roman"/>
          <w:sz w:val="24"/>
        </w:rPr>
        <w:t>3) of the Act insert:</w:t>
      </w:r>
    </w:p>
    <w:p w14:paraId="787E205B" w14:textId="2ECD6127" w:rsidR="009071E2" w:rsidRPr="00452D8D" w:rsidRDefault="009071E2" w:rsidP="00452D8D">
      <w:pPr>
        <w:pStyle w:val="LI-BodyTextNumbered"/>
        <w:ind w:left="1475"/>
        <w:rPr>
          <w:rFonts w:ascii="Times New Roman" w:hAnsi="Times New Roman" w:cs="Times New Roman"/>
          <w:sz w:val="24"/>
        </w:rPr>
      </w:pPr>
      <w:r w:rsidRPr="00452D8D">
        <w:rPr>
          <w:rFonts w:ascii="Times New Roman" w:hAnsi="Times New Roman" w:cs="Times New Roman"/>
          <w:sz w:val="24"/>
        </w:rPr>
        <w:t xml:space="preserve">“(3AA) For a </w:t>
      </w:r>
      <w:r w:rsidR="00381717" w:rsidRPr="008A0AFB">
        <w:rPr>
          <w:rFonts w:ascii="Times New Roman" w:hAnsi="Times New Roman" w:cs="Times New Roman"/>
          <w:sz w:val="24"/>
        </w:rPr>
        <w:t>managed investment product or a foreign passport fund product</w:t>
      </w:r>
      <w:r w:rsidR="00556329" w:rsidRPr="008A0AFB">
        <w:rPr>
          <w:rFonts w:ascii="Times New Roman" w:hAnsi="Times New Roman" w:cs="Times New Roman"/>
          <w:sz w:val="24"/>
        </w:rPr>
        <w:t>,</w:t>
      </w:r>
      <w:r w:rsidRPr="00452D8D">
        <w:rPr>
          <w:rFonts w:ascii="Times New Roman" w:hAnsi="Times New Roman" w:cs="Times New Roman"/>
          <w:sz w:val="24"/>
        </w:rPr>
        <w:t xml:space="preserve"> the periodic statement in relation to the reporting period mentioned in paragraph 1017D(2)(d) must be given as soon as practicable after the issuer becomes aware that the holder has ceased to hold the product, and, in any event must be given:</w:t>
      </w:r>
    </w:p>
    <w:p w14:paraId="19AC3015" w14:textId="77777777" w:rsidR="009071E2" w:rsidRPr="00452D8D" w:rsidRDefault="009071E2" w:rsidP="00452D8D">
      <w:pPr>
        <w:pStyle w:val="LI-BodyTextNumbered"/>
        <w:ind w:left="2042"/>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 xml:space="preserve">within six months after the end of the reporting period; or </w:t>
      </w:r>
    </w:p>
    <w:p w14:paraId="7DBD5431" w14:textId="27C3EC59" w:rsidR="009071E2" w:rsidRPr="00452D8D" w:rsidRDefault="00381717" w:rsidP="00452D8D">
      <w:pPr>
        <w:pStyle w:val="LI-BodyTextNumbered"/>
        <w:ind w:left="2042"/>
        <w:rPr>
          <w:rFonts w:ascii="Times New Roman" w:hAnsi="Times New Roman" w:cs="Times New Roman"/>
          <w:sz w:val="24"/>
        </w:rPr>
      </w:pPr>
      <w:r w:rsidRPr="008A0AFB">
        <w:rPr>
          <w:rFonts w:ascii="Times New Roman" w:hAnsi="Times New Roman" w:cs="Times New Roman"/>
          <w:sz w:val="24"/>
        </w:rPr>
        <w:t>(b)</w:t>
      </w:r>
      <w:r w:rsidRPr="008A0AFB">
        <w:rPr>
          <w:rFonts w:ascii="Times New Roman" w:hAnsi="Times New Roman" w:cs="Times New Roman"/>
          <w:sz w:val="24"/>
        </w:rPr>
        <w:tab/>
        <w:t>if the issuer has published a notice on its website that, in respect of the scheme or fund to which the product relates, it will provide the relevant periodic statement within a specified period ending at least one month and less than six months after the end of the reporting period—within that specified period</w:t>
      </w:r>
      <w:r w:rsidR="009071E2" w:rsidRPr="008A0AFB">
        <w:rPr>
          <w:rFonts w:ascii="Times New Roman" w:hAnsi="Times New Roman" w:cs="Times New Roman"/>
          <w:sz w:val="24"/>
        </w:rPr>
        <w:t>.</w:t>
      </w:r>
    </w:p>
    <w:p w14:paraId="6353CF57" w14:textId="77777777" w:rsidR="009071E2" w:rsidRPr="00452D8D" w:rsidRDefault="009071E2" w:rsidP="00452D8D">
      <w:pPr>
        <w:pStyle w:val="LI-BodyTextNumbered"/>
        <w:ind w:left="1475"/>
        <w:rPr>
          <w:rFonts w:ascii="Times New Roman" w:hAnsi="Times New Roman" w:cs="Times New Roman"/>
          <w:sz w:val="24"/>
        </w:rPr>
      </w:pPr>
      <w:r w:rsidRPr="00452D8D">
        <w:rPr>
          <w:rFonts w:ascii="Times New Roman" w:hAnsi="Times New Roman" w:cs="Times New Roman"/>
          <w:sz w:val="24"/>
        </w:rPr>
        <w:t>(3</w:t>
      </w:r>
      <w:proofErr w:type="gramStart"/>
      <w:r w:rsidRPr="00452D8D">
        <w:rPr>
          <w:rFonts w:ascii="Times New Roman" w:hAnsi="Times New Roman" w:cs="Times New Roman"/>
          <w:sz w:val="24"/>
        </w:rPr>
        <w:t>AB)  A</w:t>
      </w:r>
      <w:proofErr w:type="gramEnd"/>
      <w:r w:rsidRPr="00452D8D">
        <w:rPr>
          <w:rFonts w:ascii="Times New Roman" w:hAnsi="Times New Roman" w:cs="Times New Roman"/>
          <w:sz w:val="24"/>
        </w:rPr>
        <w:t xml:space="preserve"> notice referred to in paragraph (3AA)(b): </w:t>
      </w:r>
    </w:p>
    <w:p w14:paraId="214619E5" w14:textId="77777777" w:rsidR="009071E2" w:rsidRPr="00452D8D" w:rsidRDefault="009071E2" w:rsidP="00452D8D">
      <w:pPr>
        <w:pStyle w:val="LI-BodyTextNumbered"/>
        <w:ind w:left="2042"/>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r>
      <w:r w:rsidR="00F349E4">
        <w:rPr>
          <w:rFonts w:ascii="Times New Roman" w:hAnsi="Times New Roman" w:cs="Times New Roman"/>
          <w:sz w:val="24"/>
        </w:rPr>
        <w:t xml:space="preserve">may be </w:t>
      </w:r>
      <w:r w:rsidR="00F349E4" w:rsidRPr="00F349E4">
        <w:rPr>
          <w:rFonts w:ascii="Times New Roman" w:hAnsi="Times New Roman" w:cs="Times New Roman"/>
          <w:sz w:val="24"/>
        </w:rPr>
        <w:t>published before the commencement date</w:t>
      </w:r>
      <w:r w:rsidRPr="00452D8D">
        <w:rPr>
          <w:rFonts w:ascii="Times New Roman" w:hAnsi="Times New Roman" w:cs="Times New Roman"/>
          <w:sz w:val="24"/>
        </w:rPr>
        <w:t xml:space="preserve">; and </w:t>
      </w:r>
    </w:p>
    <w:p w14:paraId="195C1F24" w14:textId="77777777" w:rsidR="009071E2" w:rsidRPr="00452D8D" w:rsidRDefault="009071E2" w:rsidP="00452D8D">
      <w:pPr>
        <w:pStyle w:val="LI-BodyTextNumbered"/>
        <w:ind w:left="2042"/>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after the commencement date, may not be revoked and may not be amended to increase the period specified; and</w:t>
      </w:r>
    </w:p>
    <w:p w14:paraId="7E235D59" w14:textId="77777777" w:rsidR="009071E2" w:rsidRPr="00452D8D" w:rsidRDefault="009071E2" w:rsidP="00452D8D">
      <w:pPr>
        <w:pStyle w:val="LI-BodyTextNumbered"/>
        <w:ind w:left="2042"/>
        <w:rPr>
          <w:rFonts w:ascii="Times New Roman" w:hAnsi="Times New Roman" w:cs="Times New Roman"/>
          <w:sz w:val="24"/>
        </w:rPr>
      </w:pPr>
      <w:r w:rsidRPr="00452D8D" w:rsidDel="005B4D42">
        <w:rPr>
          <w:rFonts w:ascii="Times New Roman" w:hAnsi="Times New Roman" w:cs="Times New Roman"/>
          <w:sz w:val="24"/>
        </w:rPr>
        <w:t xml:space="preserve"> </w:t>
      </w:r>
      <w:r w:rsidRPr="00452D8D">
        <w:rPr>
          <w:rFonts w:ascii="Times New Roman" w:hAnsi="Times New Roman" w:cs="Times New Roman"/>
          <w:sz w:val="24"/>
        </w:rPr>
        <w:t>(c)</w:t>
      </w:r>
      <w:r w:rsidRPr="00452D8D">
        <w:rPr>
          <w:rFonts w:ascii="Times New Roman" w:hAnsi="Times New Roman" w:cs="Times New Roman"/>
          <w:sz w:val="24"/>
        </w:rPr>
        <w:tab/>
      </w:r>
      <w:r w:rsidR="00F349E4" w:rsidRPr="00F349E4">
        <w:rPr>
          <w:rFonts w:ascii="Times New Roman" w:hAnsi="Times New Roman" w:cs="Times New Roman"/>
          <w:sz w:val="24"/>
        </w:rPr>
        <w:t>if published on or before the date that is one month after the commencement date, is taken to have effect in relation to reporting periods ending on or after</w:t>
      </w:r>
      <w:r w:rsidRPr="00452D8D">
        <w:rPr>
          <w:rFonts w:ascii="Times New Roman" w:hAnsi="Times New Roman" w:cs="Times New Roman"/>
          <w:sz w:val="24"/>
        </w:rPr>
        <w:t xml:space="preserve">: </w:t>
      </w:r>
    </w:p>
    <w:p w14:paraId="2DC12528" w14:textId="77777777" w:rsidR="009071E2" w:rsidRPr="00452D8D" w:rsidRDefault="009071E2" w:rsidP="00452D8D">
      <w:pPr>
        <w:pStyle w:val="LI-BodyTextNumbered"/>
        <w:ind w:left="2609"/>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1 July 2017; or</w:t>
      </w:r>
    </w:p>
    <w:p w14:paraId="65BB32BD" w14:textId="77777777" w:rsidR="009071E2" w:rsidRPr="00452D8D" w:rsidRDefault="009071E2" w:rsidP="00452D8D">
      <w:pPr>
        <w:pStyle w:val="LI-BodyTextNumbered"/>
        <w:ind w:left="2609"/>
        <w:rPr>
          <w:rFonts w:ascii="Times New Roman" w:hAnsi="Times New Roman" w:cs="Times New Roman"/>
          <w:sz w:val="24"/>
        </w:rPr>
      </w:pPr>
      <w:r w:rsidRPr="00452D8D">
        <w:rPr>
          <w:rFonts w:ascii="Times New Roman" w:hAnsi="Times New Roman" w:cs="Times New Roman"/>
          <w:sz w:val="24"/>
        </w:rPr>
        <w:t xml:space="preserve">(ii) </w:t>
      </w:r>
      <w:r w:rsidRPr="00452D8D">
        <w:rPr>
          <w:rFonts w:ascii="Times New Roman" w:hAnsi="Times New Roman" w:cs="Times New Roman"/>
          <w:sz w:val="24"/>
        </w:rPr>
        <w:tab/>
        <w:t>if the notice specifies a later date, that later date.”.</w:t>
      </w:r>
    </w:p>
    <w:p w14:paraId="59967A3D" w14:textId="77777777" w:rsidR="001A30D0" w:rsidRPr="00452D8D" w:rsidRDefault="001A30D0" w:rsidP="001A30D0">
      <w:pPr>
        <w:pStyle w:val="LI-BodyTextNumbered"/>
        <w:ind w:left="567"/>
        <w:rPr>
          <w:rFonts w:ascii="Times New Roman" w:hAnsi="Times New Roman" w:cs="Times New Roman"/>
          <w:sz w:val="24"/>
        </w:rPr>
      </w:pPr>
      <w:r w:rsidRPr="00452D8D">
        <w:rPr>
          <w:rFonts w:ascii="Times New Roman" w:hAnsi="Times New Roman" w:cs="Times New Roman"/>
          <w:sz w:val="24"/>
        </w:rPr>
        <w:t xml:space="preserve">5D. </w:t>
      </w:r>
      <w:r w:rsidRPr="00452D8D">
        <w:rPr>
          <w:rFonts w:ascii="Times New Roman" w:hAnsi="Times New Roman" w:cs="Times New Roman"/>
          <w:sz w:val="24"/>
        </w:rPr>
        <w:tab/>
        <w:t xml:space="preserve">After subparagraph 7.9.16J(a)(iv) of the </w:t>
      </w:r>
      <w:r w:rsidRPr="00452D8D">
        <w:rPr>
          <w:rFonts w:ascii="Times New Roman" w:hAnsi="Times New Roman" w:cs="Times New Roman"/>
          <w:i/>
          <w:sz w:val="24"/>
        </w:rPr>
        <w:t>Corporations Regulations 2001</w:t>
      </w:r>
      <w:r w:rsidRPr="00452D8D">
        <w:rPr>
          <w:rFonts w:ascii="Times New Roman" w:hAnsi="Times New Roman" w:cs="Times New Roman"/>
          <w:sz w:val="24"/>
        </w:rPr>
        <w:t xml:space="preserve"> (the </w:t>
      </w:r>
      <w:r w:rsidRPr="00452D8D">
        <w:rPr>
          <w:rFonts w:ascii="Times New Roman" w:hAnsi="Times New Roman" w:cs="Times New Roman"/>
          <w:b/>
          <w:i/>
          <w:sz w:val="24"/>
        </w:rPr>
        <w:t>Regulations</w:t>
      </w:r>
      <w:r w:rsidRPr="00452D8D">
        <w:rPr>
          <w:rFonts w:ascii="Times New Roman" w:hAnsi="Times New Roman" w:cs="Times New Roman"/>
          <w:sz w:val="24"/>
        </w:rPr>
        <w:t>) insert:</w:t>
      </w:r>
    </w:p>
    <w:p w14:paraId="7CDC607B" w14:textId="77777777" w:rsidR="001A30D0" w:rsidRPr="00452D8D" w:rsidRDefault="001A30D0" w:rsidP="001A30D0">
      <w:pPr>
        <w:pStyle w:val="LI-BodyTextNumbered"/>
        <w:ind w:left="1701"/>
        <w:rPr>
          <w:rFonts w:ascii="Times New Roman" w:hAnsi="Times New Roman" w:cs="Times New Roman"/>
          <w:sz w:val="24"/>
          <w:szCs w:val="18"/>
        </w:rPr>
      </w:pPr>
      <w:r w:rsidRPr="00452D8D">
        <w:rPr>
          <w:rFonts w:ascii="Times New Roman" w:hAnsi="Times New Roman" w:cs="Times New Roman"/>
          <w:sz w:val="24"/>
        </w:rPr>
        <w:t>“(v)</w:t>
      </w:r>
      <w:r w:rsidRPr="00452D8D">
        <w:rPr>
          <w:rFonts w:ascii="Times New Roman" w:hAnsi="Times New Roman" w:cs="Times New Roman"/>
          <w:sz w:val="24"/>
        </w:rPr>
        <w:tab/>
        <w:t xml:space="preserve">pensions provided under the rules of a superannuation fund that meet the standards of </w:t>
      </w:r>
      <w:proofErr w:type="spellStart"/>
      <w:r w:rsidRPr="00452D8D">
        <w:rPr>
          <w:rFonts w:ascii="Times New Roman" w:hAnsi="Times New Roman" w:cs="Times New Roman"/>
          <w:sz w:val="24"/>
        </w:rPr>
        <w:t>subregulations</w:t>
      </w:r>
      <w:proofErr w:type="spellEnd"/>
      <w:r w:rsidRPr="00452D8D">
        <w:rPr>
          <w:rFonts w:ascii="Times New Roman" w:hAnsi="Times New Roman" w:cs="Times New Roman"/>
          <w:sz w:val="24"/>
        </w:rPr>
        <w:t xml:space="preserve"> 1.06(2), 1.06(6) or 1.06(7) of the SIS Regulations; and”.</w:t>
      </w:r>
      <w:r w:rsidRPr="00452D8D">
        <w:rPr>
          <w:rFonts w:ascii="Times New Roman" w:hAnsi="Times New Roman" w:cs="Times New Roman"/>
          <w:sz w:val="24"/>
          <w:szCs w:val="18"/>
        </w:rPr>
        <w:t xml:space="preserve"> </w:t>
      </w:r>
      <w:r w:rsidRPr="00452D8D">
        <w:rPr>
          <w:rFonts w:ascii="Times New Roman" w:hAnsi="Times New Roman" w:cs="Times New Roman"/>
          <w:sz w:val="24"/>
          <w:szCs w:val="18"/>
        </w:rPr>
        <w:tab/>
      </w:r>
    </w:p>
    <w:p w14:paraId="2D6E4539" w14:textId="77777777" w:rsidR="009071E2" w:rsidRPr="00452D8D" w:rsidRDefault="009071E2" w:rsidP="009071E2">
      <w:pPr>
        <w:pStyle w:val="LI-BodyTextNumbered"/>
        <w:ind w:left="567"/>
        <w:rPr>
          <w:rFonts w:ascii="Times New Roman" w:hAnsi="Times New Roman" w:cs="Times New Roman"/>
          <w:sz w:val="24"/>
        </w:rPr>
      </w:pPr>
      <w:r w:rsidRPr="00452D8D">
        <w:rPr>
          <w:rFonts w:ascii="Times New Roman" w:hAnsi="Times New Roman" w:cs="Times New Roman"/>
          <w:sz w:val="24"/>
        </w:rPr>
        <w:lastRenderedPageBreak/>
        <w:t xml:space="preserve">5E. </w:t>
      </w:r>
      <w:r w:rsidRPr="00452D8D">
        <w:rPr>
          <w:rFonts w:ascii="Times New Roman" w:hAnsi="Times New Roman" w:cs="Times New Roman"/>
          <w:sz w:val="24"/>
        </w:rPr>
        <w:tab/>
        <w:t>Omit paragraph 7.9.75(1)(b) of the Regulations.</w:t>
      </w:r>
    </w:p>
    <w:p w14:paraId="7A625CD1" w14:textId="77777777" w:rsidR="001A30D0" w:rsidRPr="00452D8D" w:rsidRDefault="001A30D0" w:rsidP="001A30D0">
      <w:pPr>
        <w:spacing w:after="0"/>
        <w:ind w:left="567" w:hanging="567"/>
        <w:contextualSpacing/>
        <w:rPr>
          <w:rFonts w:ascii="Times New Roman" w:hAnsi="Times New Roman" w:cs="Times New Roman"/>
          <w:sz w:val="24"/>
          <w:szCs w:val="18"/>
        </w:rPr>
      </w:pPr>
    </w:p>
    <w:p w14:paraId="2A8FB836" w14:textId="77777777" w:rsidR="001A30D0" w:rsidRPr="00452D8D" w:rsidRDefault="001A30D0" w:rsidP="001A30D0">
      <w:pPr>
        <w:spacing w:after="0"/>
        <w:ind w:left="567" w:hanging="567"/>
        <w:contextualSpacing/>
        <w:rPr>
          <w:rFonts w:ascii="Times New Roman" w:hAnsi="Times New Roman" w:cs="Times New Roman"/>
          <w:sz w:val="24"/>
          <w:szCs w:val="18"/>
        </w:rPr>
      </w:pPr>
      <w:r w:rsidRPr="00452D8D">
        <w:rPr>
          <w:rFonts w:ascii="Times New Roman" w:hAnsi="Times New Roman" w:cs="Times New Roman"/>
          <w:sz w:val="24"/>
          <w:szCs w:val="18"/>
        </w:rPr>
        <w:t xml:space="preserve">6.     </w:t>
      </w:r>
      <w:r w:rsidR="00653A8D" w:rsidRPr="00452D8D">
        <w:rPr>
          <w:rFonts w:ascii="Times New Roman" w:hAnsi="Times New Roman" w:cs="Times New Roman"/>
          <w:sz w:val="24"/>
          <w:szCs w:val="18"/>
        </w:rPr>
        <w:t xml:space="preserve"> </w:t>
      </w:r>
      <w:r w:rsidRPr="00452D8D">
        <w:rPr>
          <w:rFonts w:ascii="Times New Roman" w:hAnsi="Times New Roman" w:cs="Times New Roman"/>
          <w:sz w:val="24"/>
          <w:szCs w:val="18"/>
        </w:rPr>
        <w:t xml:space="preserve">In Schedule 10 to </w:t>
      </w:r>
      <w:r w:rsidRPr="00452D8D">
        <w:rPr>
          <w:rFonts w:ascii="Times New Roman" w:hAnsi="Times New Roman" w:cs="Times New Roman"/>
          <w:sz w:val="24"/>
        </w:rPr>
        <w:t>the Regulations</w:t>
      </w:r>
      <w:r w:rsidRPr="00452D8D">
        <w:rPr>
          <w:rFonts w:ascii="Times New Roman" w:hAnsi="Times New Roman" w:cs="Times New Roman"/>
          <w:sz w:val="24"/>
          <w:szCs w:val="18"/>
        </w:rPr>
        <w:t xml:space="preserve">: </w:t>
      </w:r>
    </w:p>
    <w:p w14:paraId="669AB3E0" w14:textId="77777777" w:rsidR="001A30D0" w:rsidRPr="00452D8D" w:rsidRDefault="001A30D0" w:rsidP="001A30D0">
      <w:pPr>
        <w:spacing w:after="0"/>
        <w:ind w:left="567" w:hanging="567"/>
        <w:contextualSpacing/>
        <w:rPr>
          <w:rFonts w:ascii="Times New Roman" w:hAnsi="Times New Roman" w:cs="Times New Roman"/>
          <w:sz w:val="24"/>
          <w:szCs w:val="18"/>
        </w:rPr>
      </w:pPr>
    </w:p>
    <w:p w14:paraId="57F3846C" w14:textId="77777777" w:rsidR="001A30D0" w:rsidRPr="00452D8D"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(a)</w:t>
      </w:r>
      <w:r w:rsidRPr="00452D8D">
        <w:rPr>
          <w:rFonts w:ascii="Times New Roman" w:hAnsi="Times New Roman" w:cs="Times New Roman"/>
          <w:sz w:val="24"/>
          <w:szCs w:val="18"/>
        </w:rPr>
        <w:tab/>
        <w:t>in clause 101:</w:t>
      </w:r>
    </w:p>
    <w:p w14:paraId="342BFA3A"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omit the definition of </w:t>
      </w:r>
      <w:r w:rsidRPr="00452D8D">
        <w:rPr>
          <w:rFonts w:ascii="Times New Roman" w:hAnsi="Times New Roman" w:cs="Times New Roman"/>
          <w:b/>
          <w:i/>
          <w:sz w:val="24"/>
        </w:rPr>
        <w:t>administration fee</w:t>
      </w:r>
      <w:r w:rsidRPr="00452D8D">
        <w:rPr>
          <w:rFonts w:ascii="Times New Roman" w:hAnsi="Times New Roman" w:cs="Times New Roman"/>
          <w:sz w:val="24"/>
        </w:rPr>
        <w:t>, substitute:</w:t>
      </w:r>
    </w:p>
    <w:p w14:paraId="162B587E" w14:textId="77777777" w:rsidR="001A30D0" w:rsidRPr="00452D8D" w:rsidRDefault="001A30D0" w:rsidP="001A30D0">
      <w:pPr>
        <w:pStyle w:val="LI-BodyTextNumbered"/>
        <w:ind w:left="2268" w:firstLine="0"/>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administration fee</w:t>
      </w:r>
      <w:r w:rsidRPr="00452D8D">
        <w:rPr>
          <w:rFonts w:ascii="Times New Roman" w:hAnsi="Times New Roman" w:cs="Times New Roman"/>
          <w:sz w:val="24"/>
        </w:rPr>
        <w:t xml:space="preserve"> has the meaning given by clause 209A.”;</w:t>
      </w:r>
    </w:p>
    <w:p w14:paraId="17EE8FF3" w14:textId="77777777" w:rsidR="001A30D0" w:rsidRPr="00452D8D" w:rsidRDefault="001A30D0" w:rsidP="001A30D0">
      <w:pPr>
        <w:pStyle w:val="LI-BodyTextParaa"/>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iaa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after the definition of </w:t>
      </w:r>
      <w:r w:rsidRPr="00452D8D">
        <w:rPr>
          <w:rFonts w:ascii="Times New Roman" w:hAnsi="Times New Roman" w:cs="Times New Roman"/>
          <w:b/>
          <w:bCs/>
          <w:i/>
          <w:iCs/>
          <w:sz w:val="24"/>
        </w:rPr>
        <w:t>balanced investment option,</w:t>
      </w:r>
      <w:r w:rsidRPr="00452D8D">
        <w:rPr>
          <w:rFonts w:ascii="Times New Roman" w:hAnsi="Times New Roman" w:cs="Times New Roman"/>
          <w:sz w:val="24"/>
        </w:rPr>
        <w:t xml:space="preserve"> insert</w:t>
      </w:r>
    </w:p>
    <w:p w14:paraId="36151D44" w14:textId="77777777" w:rsidR="001A30D0" w:rsidRPr="00452D8D" w:rsidRDefault="001A30D0" w:rsidP="001A30D0">
      <w:pPr>
        <w:pStyle w:val="LI-BodyTextUnnumbered"/>
        <w:ind w:left="1701"/>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borrowing costs</w:t>
      </w:r>
      <w:r w:rsidRPr="00452D8D">
        <w:rPr>
          <w:rFonts w:ascii="Times New Roman" w:hAnsi="Times New Roman" w:cs="Times New Roman"/>
          <w:sz w:val="24"/>
        </w:rPr>
        <w:t xml:space="preserve"> means costs, including costs in an interposed vehicle, relating to a credit facility </w:t>
      </w:r>
      <w:r w:rsidR="009071E2" w:rsidRPr="00452D8D">
        <w:rPr>
          <w:rFonts w:ascii="Times New Roman" w:hAnsi="Times New Roman" w:cs="Times New Roman"/>
          <w:sz w:val="24"/>
        </w:rPr>
        <w:t xml:space="preserve">within the meaning of regulation 7.1.06 relating to the provision of credit within the meaning of </w:t>
      </w:r>
      <w:proofErr w:type="spellStart"/>
      <w:r w:rsidR="009071E2" w:rsidRPr="00452D8D">
        <w:rPr>
          <w:rFonts w:ascii="Times New Roman" w:hAnsi="Times New Roman" w:cs="Times New Roman"/>
          <w:sz w:val="24"/>
        </w:rPr>
        <w:t>subregulation</w:t>
      </w:r>
      <w:proofErr w:type="spellEnd"/>
      <w:r w:rsidR="009071E2" w:rsidRPr="00452D8D">
        <w:rPr>
          <w:rFonts w:ascii="Times New Roman" w:hAnsi="Times New Roman" w:cs="Times New Roman"/>
          <w:sz w:val="24"/>
        </w:rPr>
        <w:t xml:space="preserve"> 7.1.06(3) </w:t>
      </w:r>
      <w:r w:rsidRPr="00452D8D">
        <w:rPr>
          <w:rFonts w:ascii="Times New Roman" w:hAnsi="Times New Roman" w:cs="Times New Roman"/>
          <w:sz w:val="24"/>
        </w:rPr>
        <w:t>to:</w:t>
      </w:r>
    </w:p>
    <w:p w14:paraId="63109830"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a trustee of a superannuation entity; or</w:t>
      </w:r>
    </w:p>
    <w:p w14:paraId="0EAB4527"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an interposed vehicle, or a trustee of an interposed vehicle, in or through which the property of a superannuation fund is invested</w:t>
      </w:r>
      <w:r w:rsidR="00F349E4" w:rsidRPr="00452D8D">
        <w:rPr>
          <w:rFonts w:ascii="Times New Roman" w:hAnsi="Times New Roman" w:cs="Times New Roman"/>
          <w:sz w:val="24"/>
        </w:rPr>
        <w:t>.”</w:t>
      </w:r>
      <w:r w:rsidR="00F349E4">
        <w:rPr>
          <w:rFonts w:ascii="Times New Roman" w:hAnsi="Times New Roman" w:cs="Times New Roman"/>
          <w:sz w:val="24"/>
        </w:rPr>
        <w:t>;</w:t>
      </w:r>
    </w:p>
    <w:p w14:paraId="5B88A93B"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ib</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after the definition of </w:t>
      </w:r>
      <w:r w:rsidRPr="00452D8D">
        <w:rPr>
          <w:rFonts w:ascii="Times New Roman" w:hAnsi="Times New Roman" w:cs="Times New Roman"/>
          <w:b/>
          <w:i/>
          <w:sz w:val="24"/>
        </w:rPr>
        <w:t>exit fee</w:t>
      </w:r>
      <w:r w:rsidRPr="00452D8D">
        <w:rPr>
          <w:rFonts w:ascii="Times New Roman" w:hAnsi="Times New Roman" w:cs="Times New Roman"/>
          <w:sz w:val="24"/>
        </w:rPr>
        <w:t>, insert:</w:t>
      </w:r>
    </w:p>
    <w:p w14:paraId="24D121E3" w14:textId="77777777" w:rsidR="001A30D0" w:rsidRPr="00452D8D" w:rsidRDefault="001A30D0" w:rsidP="001A30D0">
      <w:pPr>
        <w:pStyle w:val="LI-BodyTextNumbered"/>
        <w:ind w:left="2268" w:firstLine="0"/>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 xml:space="preserve">financial year </w:t>
      </w:r>
      <w:r w:rsidRPr="00452D8D">
        <w:rPr>
          <w:rFonts w:ascii="Times New Roman" w:hAnsi="Times New Roman" w:cs="Times New Roman"/>
          <w:sz w:val="24"/>
        </w:rPr>
        <w:t>means:</w:t>
      </w:r>
    </w:p>
    <w:p w14:paraId="060DD90F" w14:textId="199207C9" w:rsidR="001A30D0" w:rsidRPr="008A0AFB" w:rsidRDefault="005B042A" w:rsidP="00320A9F">
      <w:pPr>
        <w:pStyle w:val="LI-BodyTextNumbered"/>
        <w:numPr>
          <w:ilvl w:val="0"/>
          <w:numId w:val="27"/>
        </w:numPr>
        <w:ind w:left="2835" w:hanging="567"/>
        <w:rPr>
          <w:rFonts w:ascii="Times New Roman" w:hAnsi="Times New Roman" w:cs="Times New Roman"/>
          <w:sz w:val="24"/>
        </w:rPr>
      </w:pPr>
      <w:r w:rsidRPr="008A0AFB">
        <w:rPr>
          <w:rFonts w:ascii="Times New Roman" w:hAnsi="Times New Roman" w:cs="Times New Roman"/>
          <w:sz w:val="24"/>
        </w:rPr>
        <w:t xml:space="preserve">in relation to a collective investment product—a financial year of the registered scheme or notified foreign passport fund to which the product relates; and </w:t>
      </w:r>
    </w:p>
    <w:p w14:paraId="5C4CD4E3" w14:textId="77777777" w:rsidR="001A30D0" w:rsidRPr="00452D8D" w:rsidRDefault="001A30D0" w:rsidP="001A30D0">
      <w:pPr>
        <w:pStyle w:val="LI-BodyTextNumbered"/>
        <w:numPr>
          <w:ilvl w:val="0"/>
          <w:numId w:val="27"/>
        </w:numPr>
        <w:ind w:left="2835" w:hanging="567"/>
        <w:rPr>
          <w:rFonts w:ascii="Times New Roman" w:hAnsi="Times New Roman" w:cs="Times New Roman"/>
          <w:sz w:val="24"/>
        </w:rPr>
      </w:pPr>
      <w:r w:rsidRPr="00452D8D">
        <w:rPr>
          <w:rFonts w:ascii="Times New Roman" w:hAnsi="Times New Roman" w:cs="Times New Roman"/>
          <w:sz w:val="24"/>
        </w:rPr>
        <w:t>in relation to a superannuation product—a period of 12 months ending at the end of a fund reporting period determined under regulation 7.9.32 for holders of the superannuation product.”;</w:t>
      </w:r>
    </w:p>
    <w:p w14:paraId="0A8FEA66" w14:textId="77777777" w:rsidR="001A30D0" w:rsidRPr="00452D8D" w:rsidRDefault="001A30D0" w:rsidP="001A30D0">
      <w:pPr>
        <w:spacing w:after="0"/>
        <w:ind w:left="1134"/>
        <w:contextualSpacing/>
        <w:rPr>
          <w:rFonts w:ascii="Times New Roman" w:hAnsi="Times New Roman" w:cs="Times New Roman"/>
          <w:sz w:val="24"/>
          <w:szCs w:val="18"/>
        </w:rPr>
      </w:pPr>
    </w:p>
    <w:p w14:paraId="4E200E0A"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w:t>
      </w:r>
      <w:proofErr w:type="spellStart"/>
      <w:r w:rsidRPr="00452D8D">
        <w:rPr>
          <w:rFonts w:ascii="Times New Roman" w:hAnsi="Times New Roman" w:cs="Times New Roman"/>
          <w:sz w:val="24"/>
          <w:szCs w:val="18"/>
        </w:rPr>
        <w:t>i</w:t>
      </w:r>
      <w:proofErr w:type="spellEnd"/>
      <w:r w:rsidRPr="00452D8D">
        <w:rPr>
          <w:rFonts w:ascii="Times New Roman" w:hAnsi="Times New Roman" w:cs="Times New Roman"/>
          <w:sz w:val="24"/>
          <w:szCs w:val="18"/>
        </w:rPr>
        <w:t>)</w:t>
      </w:r>
      <w:r w:rsidRPr="00452D8D">
        <w:rPr>
          <w:rFonts w:ascii="Times New Roman" w:hAnsi="Times New Roman" w:cs="Times New Roman"/>
          <w:sz w:val="24"/>
          <w:szCs w:val="18"/>
        </w:rPr>
        <w:tab/>
        <w:t xml:space="preserve">omit the definition of </w:t>
      </w:r>
      <w:r w:rsidRPr="00452D8D">
        <w:rPr>
          <w:rFonts w:ascii="Times New Roman" w:hAnsi="Times New Roman" w:cs="Times New Roman"/>
          <w:b/>
          <w:i/>
          <w:sz w:val="24"/>
          <w:szCs w:val="18"/>
        </w:rPr>
        <w:t>indirect cost</w:t>
      </w:r>
      <w:r w:rsidRPr="00452D8D">
        <w:rPr>
          <w:rFonts w:ascii="Times New Roman" w:hAnsi="Times New Roman" w:cs="Times New Roman"/>
          <w:sz w:val="24"/>
          <w:szCs w:val="18"/>
        </w:rPr>
        <w:t>, substitute:</w:t>
      </w:r>
    </w:p>
    <w:p w14:paraId="3EC77E4F" w14:textId="77777777" w:rsidR="001A30D0" w:rsidRPr="00452D8D" w:rsidRDefault="001A30D0" w:rsidP="001A30D0">
      <w:pPr>
        <w:spacing w:after="0"/>
        <w:ind w:left="1134"/>
        <w:contextualSpacing/>
        <w:rPr>
          <w:rFonts w:ascii="Times New Roman" w:hAnsi="Times New Roman" w:cs="Times New Roman"/>
          <w:sz w:val="24"/>
          <w:szCs w:val="18"/>
        </w:rPr>
      </w:pPr>
    </w:p>
    <w:p w14:paraId="06456D07" w14:textId="77777777" w:rsidR="001A30D0" w:rsidRPr="00452D8D" w:rsidRDefault="001A30D0" w:rsidP="001A30D0">
      <w:pPr>
        <w:spacing w:after="0"/>
        <w:ind w:left="2160"/>
        <w:contextualSpacing/>
        <w:rPr>
          <w:rFonts w:ascii="Times New Roman" w:hAnsi="Times New Roman" w:cs="Times New Roman"/>
          <w:sz w:val="24"/>
          <w:szCs w:val="18"/>
        </w:rPr>
      </w:pPr>
      <w:r w:rsidRPr="00452D8D">
        <w:rPr>
          <w:rFonts w:ascii="Times New Roman" w:hAnsi="Times New Roman" w:cs="Times New Roman"/>
          <w:sz w:val="24"/>
          <w:szCs w:val="18"/>
        </w:rPr>
        <w:t>“</w:t>
      </w:r>
      <w:r w:rsidRPr="00452D8D">
        <w:rPr>
          <w:rFonts w:ascii="Times New Roman" w:hAnsi="Times New Roman" w:cs="Times New Roman"/>
          <w:b/>
          <w:i/>
          <w:sz w:val="24"/>
          <w:szCs w:val="18"/>
        </w:rPr>
        <w:t>indirect cost</w:t>
      </w:r>
      <w:r w:rsidRPr="00452D8D">
        <w:rPr>
          <w:rFonts w:ascii="Times New Roman" w:hAnsi="Times New Roman" w:cs="Times New Roman"/>
          <w:b/>
          <w:sz w:val="24"/>
          <w:szCs w:val="18"/>
        </w:rPr>
        <w:t xml:space="preserve"> </w:t>
      </w:r>
      <w:r w:rsidRPr="00452D8D">
        <w:rPr>
          <w:rFonts w:ascii="Times New Roman" w:hAnsi="Times New Roman" w:cs="Times New Roman"/>
          <w:sz w:val="24"/>
          <w:szCs w:val="18"/>
        </w:rPr>
        <w:t>has the meaning given by clause 101A.”;</w:t>
      </w:r>
    </w:p>
    <w:p w14:paraId="30744E3B" w14:textId="77777777" w:rsidR="001A30D0" w:rsidRPr="00452D8D" w:rsidRDefault="001A30D0" w:rsidP="001A30D0">
      <w:pPr>
        <w:spacing w:after="0"/>
        <w:ind w:left="1134"/>
        <w:contextualSpacing/>
        <w:rPr>
          <w:rFonts w:ascii="Times New Roman" w:hAnsi="Times New Roman" w:cs="Times New Roman"/>
          <w:sz w:val="24"/>
          <w:szCs w:val="18"/>
        </w:rPr>
      </w:pPr>
    </w:p>
    <w:p w14:paraId="78E9F91C"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(ii)</w:t>
      </w:r>
      <w:r w:rsidRPr="00452D8D">
        <w:rPr>
          <w:rFonts w:ascii="Times New Roman" w:hAnsi="Times New Roman" w:cs="Times New Roman"/>
          <w:sz w:val="24"/>
          <w:szCs w:val="18"/>
        </w:rPr>
        <w:tab/>
        <w:t xml:space="preserve">after the definition of </w:t>
      </w:r>
      <w:r w:rsidRPr="00452D8D">
        <w:rPr>
          <w:rFonts w:ascii="Times New Roman" w:hAnsi="Times New Roman" w:cs="Times New Roman"/>
          <w:b/>
          <w:i/>
          <w:sz w:val="24"/>
          <w:szCs w:val="18"/>
        </w:rPr>
        <w:t>insurance fee</w:t>
      </w:r>
      <w:r w:rsidRPr="00452D8D">
        <w:rPr>
          <w:rFonts w:ascii="Times New Roman" w:hAnsi="Times New Roman" w:cs="Times New Roman"/>
          <w:sz w:val="24"/>
          <w:szCs w:val="18"/>
        </w:rPr>
        <w:t xml:space="preserve"> insert:</w:t>
      </w:r>
    </w:p>
    <w:p w14:paraId="4306928B" w14:textId="77777777" w:rsidR="001A30D0" w:rsidRPr="00452D8D" w:rsidRDefault="001A30D0" w:rsidP="001A30D0">
      <w:pPr>
        <w:spacing w:after="0"/>
        <w:ind w:left="1134"/>
        <w:contextualSpacing/>
        <w:rPr>
          <w:rFonts w:ascii="Times New Roman" w:hAnsi="Times New Roman" w:cs="Times New Roman"/>
          <w:sz w:val="24"/>
          <w:szCs w:val="18"/>
        </w:rPr>
      </w:pPr>
    </w:p>
    <w:p w14:paraId="6E30C392" w14:textId="77777777" w:rsidR="001A30D0" w:rsidRPr="00452D8D" w:rsidRDefault="001A30D0" w:rsidP="001A30D0">
      <w:pPr>
        <w:spacing w:after="0"/>
        <w:ind w:left="2160"/>
        <w:contextualSpacing/>
        <w:rPr>
          <w:rFonts w:ascii="Times New Roman" w:hAnsi="Times New Roman" w:cs="Times New Roman"/>
          <w:sz w:val="24"/>
        </w:rPr>
      </w:pPr>
      <w:r w:rsidRPr="00452D8D">
        <w:rPr>
          <w:rFonts w:ascii="Times New Roman" w:hAnsi="Times New Roman" w:cs="Times New Roman"/>
          <w:sz w:val="24"/>
          <w:szCs w:val="18"/>
        </w:rPr>
        <w:t>“</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has the meaning given by clause 101B.”;</w:t>
      </w:r>
    </w:p>
    <w:p w14:paraId="5FCBB983"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iia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omit the definition of </w:t>
      </w:r>
      <w:r w:rsidRPr="00452D8D">
        <w:rPr>
          <w:rFonts w:ascii="Times New Roman" w:hAnsi="Times New Roman" w:cs="Times New Roman"/>
          <w:b/>
          <w:i/>
          <w:sz w:val="24"/>
        </w:rPr>
        <w:t>investment fee</w:t>
      </w:r>
      <w:r w:rsidRPr="00452D8D">
        <w:rPr>
          <w:rFonts w:ascii="Times New Roman" w:hAnsi="Times New Roman" w:cs="Times New Roman"/>
          <w:sz w:val="24"/>
        </w:rPr>
        <w:t>, substitute:</w:t>
      </w:r>
    </w:p>
    <w:p w14:paraId="2598D200" w14:textId="77777777" w:rsidR="001A30D0" w:rsidRPr="00452D8D" w:rsidRDefault="001A30D0" w:rsidP="001A30D0">
      <w:pPr>
        <w:spacing w:after="0"/>
        <w:ind w:left="2160"/>
        <w:contextualSpacing/>
        <w:rPr>
          <w:rFonts w:ascii="Times New Roman" w:hAnsi="Times New Roman" w:cs="Times New Roman"/>
          <w:sz w:val="24"/>
        </w:rPr>
      </w:pPr>
    </w:p>
    <w:p w14:paraId="72BD03B1" w14:textId="77777777" w:rsidR="001A30D0" w:rsidRDefault="001A30D0" w:rsidP="001A30D0">
      <w:pPr>
        <w:spacing w:after="0"/>
        <w:ind w:left="2160"/>
        <w:contextualSpacing/>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investment fee</w:t>
      </w:r>
      <w:r w:rsidRPr="00452D8D">
        <w:rPr>
          <w:rFonts w:ascii="Times New Roman" w:hAnsi="Times New Roman" w:cs="Times New Roman"/>
          <w:sz w:val="24"/>
        </w:rPr>
        <w:t xml:space="preserve"> has the meaning given by clause 209A.”;</w:t>
      </w:r>
    </w:p>
    <w:p w14:paraId="58439842" w14:textId="77777777" w:rsidR="00F349E4" w:rsidRPr="003419D0" w:rsidRDefault="00F349E4" w:rsidP="00F349E4">
      <w:pPr>
        <w:pStyle w:val="LI-BodyTextNumbered"/>
        <w:ind w:left="1701"/>
        <w:rPr>
          <w:rFonts w:ascii="Times New Roman" w:hAnsi="Times New Roman" w:cs="Times New Roman"/>
          <w:sz w:val="24"/>
        </w:rPr>
      </w:pPr>
      <w:r w:rsidRPr="003419D0">
        <w:rPr>
          <w:rFonts w:ascii="Times New Roman" w:hAnsi="Times New Roman" w:cs="Times New Roman"/>
          <w:sz w:val="24"/>
        </w:rPr>
        <w:t>(</w:t>
      </w:r>
      <w:proofErr w:type="spellStart"/>
      <w:r w:rsidRPr="003419D0">
        <w:rPr>
          <w:rFonts w:ascii="Times New Roman" w:hAnsi="Times New Roman" w:cs="Times New Roman"/>
          <w:sz w:val="24"/>
        </w:rPr>
        <w:t>iib</w:t>
      </w:r>
      <w:proofErr w:type="spellEnd"/>
      <w:r w:rsidRPr="003419D0">
        <w:rPr>
          <w:rFonts w:ascii="Times New Roman" w:hAnsi="Times New Roman" w:cs="Times New Roman"/>
          <w:sz w:val="24"/>
        </w:rPr>
        <w:t>)</w:t>
      </w:r>
      <w:r w:rsidRPr="003419D0">
        <w:rPr>
          <w:rFonts w:ascii="Times New Roman" w:hAnsi="Times New Roman" w:cs="Times New Roman"/>
          <w:sz w:val="24"/>
        </w:rPr>
        <w:tab/>
        <w:t>after the definition of</w:t>
      </w:r>
      <w:r w:rsidRPr="003419D0">
        <w:rPr>
          <w:rFonts w:ascii="Times New Roman" w:hAnsi="Times New Roman" w:cs="Times New Roman"/>
          <w:b/>
          <w:sz w:val="24"/>
        </w:rPr>
        <w:t xml:space="preserve"> </w:t>
      </w:r>
      <w:r w:rsidRPr="003419D0">
        <w:rPr>
          <w:rFonts w:ascii="Times New Roman" w:hAnsi="Times New Roman" w:cs="Times New Roman"/>
          <w:b/>
          <w:i/>
          <w:sz w:val="24"/>
        </w:rPr>
        <w:t>performance fee</w:t>
      </w:r>
      <w:r>
        <w:rPr>
          <w:rFonts w:ascii="Times New Roman" w:hAnsi="Times New Roman" w:cs="Times New Roman"/>
          <w:sz w:val="24"/>
        </w:rPr>
        <w:t>,</w:t>
      </w:r>
      <w:r w:rsidRPr="003419D0">
        <w:rPr>
          <w:rFonts w:ascii="Times New Roman" w:hAnsi="Times New Roman" w:cs="Times New Roman"/>
          <w:b/>
          <w:i/>
          <w:sz w:val="24"/>
        </w:rPr>
        <w:t xml:space="preserve"> </w:t>
      </w:r>
      <w:r w:rsidRPr="003419D0">
        <w:rPr>
          <w:rFonts w:ascii="Times New Roman" w:hAnsi="Times New Roman" w:cs="Times New Roman"/>
          <w:sz w:val="24"/>
        </w:rPr>
        <w:t>insert</w:t>
      </w:r>
      <w:r w:rsidRPr="003419D0">
        <w:rPr>
          <w:rFonts w:ascii="Times New Roman" w:hAnsi="Times New Roman" w:cs="Times New Roman"/>
          <w:i/>
          <w:sz w:val="24"/>
        </w:rPr>
        <w:t>:</w:t>
      </w:r>
    </w:p>
    <w:p w14:paraId="3434F8AA" w14:textId="77777777" w:rsidR="00F349E4" w:rsidRPr="003419D0" w:rsidRDefault="00F349E4" w:rsidP="00F349E4">
      <w:pPr>
        <w:pStyle w:val="LI-BodyTextNumbered"/>
        <w:ind w:left="2270" w:firstLine="0"/>
        <w:rPr>
          <w:rFonts w:ascii="Times New Roman" w:hAnsi="Times New Roman" w:cs="Times New Roman"/>
          <w:sz w:val="24"/>
        </w:rPr>
      </w:pPr>
      <w:r w:rsidRPr="003419D0">
        <w:rPr>
          <w:rFonts w:ascii="Times New Roman" w:hAnsi="Times New Roman" w:cs="Times New Roman"/>
          <w:i/>
          <w:sz w:val="24"/>
        </w:rPr>
        <w:lastRenderedPageBreak/>
        <w:t>“</w:t>
      </w:r>
      <w:r w:rsidRPr="003419D0">
        <w:rPr>
          <w:rFonts w:ascii="Times New Roman" w:hAnsi="Times New Roman" w:cs="Times New Roman"/>
          <w:b/>
          <w:i/>
          <w:sz w:val="24"/>
        </w:rPr>
        <w:t xml:space="preserve">property operating costs </w:t>
      </w:r>
      <w:r w:rsidRPr="003419D0">
        <w:rPr>
          <w:rFonts w:ascii="Times New Roman" w:hAnsi="Times New Roman" w:cs="Times New Roman"/>
          <w:sz w:val="24"/>
        </w:rPr>
        <w:t xml:space="preserve">means amounts that are paid or payable in relation to the holding of real property or an interest in real property, but do not include any of the following:  </w:t>
      </w:r>
    </w:p>
    <w:p w14:paraId="6F345FAE" w14:textId="77777777" w:rsidR="00F349E4" w:rsidRPr="003419D0" w:rsidRDefault="00F349E4" w:rsidP="00F349E4">
      <w:pPr>
        <w:pStyle w:val="LI-BodyTextNumbered"/>
        <w:ind w:left="2837"/>
        <w:rPr>
          <w:rFonts w:ascii="Times New Roman" w:hAnsi="Times New Roman" w:cs="Times New Roman"/>
          <w:sz w:val="24"/>
        </w:rPr>
      </w:pPr>
      <w:r w:rsidRPr="003419D0">
        <w:rPr>
          <w:rFonts w:ascii="Times New Roman" w:hAnsi="Times New Roman" w:cs="Times New Roman"/>
          <w:sz w:val="24"/>
        </w:rPr>
        <w:t>(a)</w:t>
      </w:r>
      <w:r w:rsidRPr="003419D0">
        <w:rPr>
          <w:rFonts w:ascii="Times New Roman" w:hAnsi="Times New Roman" w:cs="Times New Roman"/>
          <w:sz w:val="24"/>
        </w:rPr>
        <w:tab/>
        <w:t xml:space="preserve">borrowing costs; </w:t>
      </w:r>
    </w:p>
    <w:p w14:paraId="474792D1" w14:textId="77777777" w:rsidR="00F349E4" w:rsidRPr="003419D0" w:rsidRDefault="00F349E4" w:rsidP="00F349E4">
      <w:pPr>
        <w:pStyle w:val="LI-BodyTextNumbered"/>
        <w:ind w:left="2837"/>
        <w:rPr>
          <w:rFonts w:ascii="Times New Roman" w:hAnsi="Times New Roman" w:cs="Times New Roman"/>
          <w:sz w:val="24"/>
        </w:rPr>
      </w:pPr>
      <w:r w:rsidRPr="003419D0">
        <w:rPr>
          <w:rFonts w:ascii="Times New Roman" w:hAnsi="Times New Roman" w:cs="Times New Roman"/>
          <w:sz w:val="24"/>
        </w:rPr>
        <w:t>(b)</w:t>
      </w:r>
      <w:r w:rsidRPr="003419D0">
        <w:rPr>
          <w:rFonts w:ascii="Times New Roman" w:hAnsi="Times New Roman" w:cs="Times New Roman"/>
          <w:sz w:val="24"/>
        </w:rPr>
        <w:tab/>
        <w:t xml:space="preserve">amounts that are paid or payable relating to the acquisition or disposal of real property or an interest in real property; </w:t>
      </w:r>
    </w:p>
    <w:p w14:paraId="1FD83877" w14:textId="77777777" w:rsidR="00F349E4" w:rsidRPr="003419D0" w:rsidRDefault="00F349E4" w:rsidP="00F349E4">
      <w:pPr>
        <w:pStyle w:val="LI-BodyTextNumbered"/>
        <w:ind w:left="2837"/>
        <w:rPr>
          <w:rFonts w:ascii="Times New Roman" w:hAnsi="Times New Roman" w:cs="Times New Roman"/>
          <w:sz w:val="24"/>
        </w:rPr>
      </w:pPr>
      <w:r w:rsidRPr="003419D0">
        <w:rPr>
          <w:rFonts w:ascii="Times New Roman" w:hAnsi="Times New Roman" w:cs="Times New Roman"/>
          <w:sz w:val="24"/>
        </w:rPr>
        <w:t>(c)</w:t>
      </w:r>
      <w:r w:rsidRPr="003419D0">
        <w:rPr>
          <w:rFonts w:ascii="Times New Roman" w:hAnsi="Times New Roman" w:cs="Times New Roman"/>
          <w:sz w:val="24"/>
        </w:rPr>
        <w:tab/>
        <w:t xml:space="preserve">an amount that is otherwise charged as any of the following: </w:t>
      </w:r>
    </w:p>
    <w:p w14:paraId="44FAED38"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w:t>
      </w:r>
      <w:proofErr w:type="spellStart"/>
      <w:r w:rsidRPr="003419D0">
        <w:rPr>
          <w:rFonts w:ascii="Times New Roman" w:hAnsi="Times New Roman" w:cs="Times New Roman"/>
          <w:sz w:val="24"/>
        </w:rPr>
        <w:t>i</w:t>
      </w:r>
      <w:proofErr w:type="spellEnd"/>
      <w:r w:rsidRPr="003419D0">
        <w:rPr>
          <w:rFonts w:ascii="Times New Roman" w:hAnsi="Times New Roman" w:cs="Times New Roman"/>
          <w:sz w:val="24"/>
        </w:rPr>
        <w:t>)</w:t>
      </w:r>
      <w:r w:rsidRPr="003419D0">
        <w:rPr>
          <w:rFonts w:ascii="Times New Roman" w:hAnsi="Times New Roman" w:cs="Times New Roman"/>
          <w:sz w:val="24"/>
        </w:rPr>
        <w:tab/>
        <w:t xml:space="preserve">an administration fee; </w:t>
      </w:r>
    </w:p>
    <w:p w14:paraId="696B5BD3"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(ii)</w:t>
      </w:r>
      <w:r w:rsidRPr="003419D0">
        <w:rPr>
          <w:rFonts w:ascii="Times New Roman" w:hAnsi="Times New Roman" w:cs="Times New Roman"/>
          <w:sz w:val="24"/>
        </w:rPr>
        <w:tab/>
        <w:t xml:space="preserve">a buy-sell spread; </w:t>
      </w:r>
    </w:p>
    <w:p w14:paraId="56AEAFBA"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(iii)</w:t>
      </w:r>
      <w:r w:rsidRPr="003419D0">
        <w:rPr>
          <w:rFonts w:ascii="Times New Roman" w:hAnsi="Times New Roman" w:cs="Times New Roman"/>
          <w:sz w:val="24"/>
        </w:rPr>
        <w:tab/>
        <w:t xml:space="preserve">a switching fee; </w:t>
      </w:r>
    </w:p>
    <w:p w14:paraId="06985900"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(iv)</w:t>
      </w:r>
      <w:r w:rsidRPr="003419D0">
        <w:rPr>
          <w:rFonts w:ascii="Times New Roman" w:hAnsi="Times New Roman" w:cs="Times New Roman"/>
          <w:sz w:val="24"/>
        </w:rPr>
        <w:tab/>
        <w:t xml:space="preserve">an exit fee; </w:t>
      </w:r>
    </w:p>
    <w:p w14:paraId="1D9B1418"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(v)</w:t>
      </w:r>
      <w:r w:rsidRPr="003419D0">
        <w:rPr>
          <w:rFonts w:ascii="Times New Roman" w:hAnsi="Times New Roman" w:cs="Times New Roman"/>
          <w:sz w:val="24"/>
        </w:rPr>
        <w:tab/>
        <w:t xml:space="preserve">an activity fee; </w:t>
      </w:r>
    </w:p>
    <w:p w14:paraId="615E8DF2"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(vi)</w:t>
      </w:r>
      <w:r w:rsidRPr="003419D0">
        <w:rPr>
          <w:rFonts w:ascii="Times New Roman" w:hAnsi="Times New Roman" w:cs="Times New Roman"/>
          <w:sz w:val="24"/>
        </w:rPr>
        <w:tab/>
        <w:t xml:space="preserve"> an advice fee;  </w:t>
      </w:r>
    </w:p>
    <w:p w14:paraId="037863B8" w14:textId="77777777" w:rsidR="00F349E4" w:rsidRPr="003419D0" w:rsidRDefault="00F349E4" w:rsidP="00F349E4">
      <w:pPr>
        <w:pStyle w:val="LI-BodyTextNumbered"/>
        <w:ind w:left="3404"/>
        <w:rPr>
          <w:rFonts w:ascii="Times New Roman" w:hAnsi="Times New Roman" w:cs="Times New Roman"/>
          <w:sz w:val="24"/>
        </w:rPr>
      </w:pPr>
      <w:r w:rsidRPr="003419D0">
        <w:rPr>
          <w:rFonts w:ascii="Times New Roman" w:hAnsi="Times New Roman" w:cs="Times New Roman"/>
          <w:sz w:val="24"/>
        </w:rPr>
        <w:t>(vii)</w:t>
      </w:r>
      <w:r w:rsidRPr="003419D0">
        <w:rPr>
          <w:rFonts w:ascii="Times New Roman" w:hAnsi="Times New Roman" w:cs="Times New Roman"/>
          <w:sz w:val="24"/>
        </w:rPr>
        <w:tab/>
        <w:t xml:space="preserve">an insurance </w:t>
      </w:r>
      <w:proofErr w:type="gramStart"/>
      <w:r w:rsidRPr="003419D0">
        <w:rPr>
          <w:rFonts w:ascii="Times New Roman" w:hAnsi="Times New Roman" w:cs="Times New Roman"/>
          <w:sz w:val="24"/>
        </w:rPr>
        <w:t>fee</w:t>
      </w:r>
      <w:proofErr w:type="gramEnd"/>
      <w:r w:rsidRPr="003419D0">
        <w:rPr>
          <w:rFonts w:ascii="Times New Roman" w:hAnsi="Times New Roman" w:cs="Times New Roman"/>
          <w:sz w:val="24"/>
        </w:rPr>
        <w:t>.”;</w:t>
      </w:r>
    </w:p>
    <w:p w14:paraId="3C96456A" w14:textId="77777777" w:rsidR="001A30D0" w:rsidRPr="00452D8D" w:rsidRDefault="001A30D0" w:rsidP="001A30D0">
      <w:pPr>
        <w:spacing w:after="0"/>
        <w:ind w:left="2160"/>
        <w:contextualSpacing/>
        <w:rPr>
          <w:rFonts w:ascii="Times New Roman" w:hAnsi="Times New Roman" w:cs="Times New Roman"/>
          <w:bCs/>
          <w:sz w:val="24"/>
          <w:szCs w:val="24"/>
          <w:lang w:eastAsia="en-AU"/>
        </w:rPr>
      </w:pPr>
    </w:p>
    <w:p w14:paraId="6BF1B67E"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(iii)</w:t>
      </w:r>
      <w:r w:rsidRPr="00452D8D">
        <w:rPr>
          <w:rFonts w:ascii="Times New Roman" w:hAnsi="Times New Roman" w:cs="Times New Roman"/>
          <w:sz w:val="24"/>
          <w:szCs w:val="18"/>
        </w:rPr>
        <w:tab/>
        <w:t xml:space="preserve">omit the definition of </w:t>
      </w:r>
      <w:r w:rsidRPr="00452D8D">
        <w:rPr>
          <w:rFonts w:ascii="Times New Roman" w:hAnsi="Times New Roman" w:cs="Times New Roman"/>
          <w:b/>
          <w:i/>
          <w:sz w:val="24"/>
          <w:szCs w:val="18"/>
        </w:rPr>
        <w:t>switching fee</w:t>
      </w:r>
      <w:r w:rsidRPr="00452D8D">
        <w:rPr>
          <w:rFonts w:ascii="Times New Roman" w:hAnsi="Times New Roman" w:cs="Times New Roman"/>
          <w:sz w:val="24"/>
          <w:szCs w:val="18"/>
        </w:rPr>
        <w:t>, substitute:</w:t>
      </w:r>
    </w:p>
    <w:p w14:paraId="32F2E873" w14:textId="77777777" w:rsidR="001A30D0" w:rsidRPr="00452D8D" w:rsidRDefault="001A30D0" w:rsidP="001A30D0">
      <w:pPr>
        <w:spacing w:after="0"/>
        <w:ind w:left="1134"/>
        <w:contextualSpacing/>
        <w:rPr>
          <w:rFonts w:ascii="Times New Roman" w:hAnsi="Times New Roman" w:cs="Times New Roman"/>
          <w:sz w:val="24"/>
          <w:szCs w:val="18"/>
        </w:rPr>
      </w:pPr>
    </w:p>
    <w:p w14:paraId="2BCC542D" w14:textId="77777777" w:rsidR="001A30D0" w:rsidRPr="00452D8D" w:rsidRDefault="001A30D0" w:rsidP="001A30D0">
      <w:pPr>
        <w:spacing w:after="0"/>
        <w:ind w:left="2160"/>
        <w:contextualSpacing/>
        <w:rPr>
          <w:rFonts w:ascii="Times New Roman" w:hAnsi="Times New Roman" w:cs="Times New Roman"/>
          <w:sz w:val="24"/>
        </w:rPr>
      </w:pPr>
      <w:r w:rsidRPr="00452D8D">
        <w:rPr>
          <w:rFonts w:ascii="Times New Roman" w:hAnsi="Times New Roman" w:cs="Times New Roman"/>
          <w:sz w:val="24"/>
        </w:rPr>
        <w:t>“</w:t>
      </w:r>
      <w:r w:rsidRPr="00452D8D">
        <w:rPr>
          <w:rFonts w:ascii="Times New Roman" w:hAnsi="Times New Roman" w:cs="Times New Roman"/>
          <w:b/>
          <w:i/>
          <w:sz w:val="24"/>
        </w:rPr>
        <w:t>switching fee</w:t>
      </w:r>
      <w:r w:rsidRPr="00452D8D">
        <w:rPr>
          <w:rFonts w:ascii="Times New Roman" w:hAnsi="Times New Roman" w:cs="Times New Roman"/>
          <w:sz w:val="24"/>
        </w:rPr>
        <w:t>:</w:t>
      </w:r>
    </w:p>
    <w:p w14:paraId="58C6185D" w14:textId="77777777" w:rsidR="001A30D0" w:rsidRPr="00452D8D" w:rsidRDefault="001A30D0" w:rsidP="001A30D0">
      <w:pPr>
        <w:spacing w:after="0"/>
        <w:ind w:left="2160"/>
        <w:contextualSpacing/>
        <w:rPr>
          <w:rFonts w:ascii="Times New Roman" w:hAnsi="Times New Roman" w:cs="Times New Roman"/>
          <w:sz w:val="24"/>
        </w:rPr>
      </w:pPr>
    </w:p>
    <w:p w14:paraId="42A195B5" w14:textId="77777777" w:rsidR="001A30D0" w:rsidRPr="00452D8D" w:rsidRDefault="001A30D0" w:rsidP="001A30D0">
      <w:pPr>
        <w:spacing w:after="0"/>
        <w:ind w:left="2727" w:hanging="567"/>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 xml:space="preserve">for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product—has the meaning given by subsection 29</w:t>
      </w:r>
      <w:proofErr w:type="gramStart"/>
      <w:r w:rsidRPr="00452D8D">
        <w:rPr>
          <w:rFonts w:ascii="Times New Roman" w:hAnsi="Times New Roman" w:cs="Times New Roman"/>
          <w:sz w:val="24"/>
        </w:rPr>
        <w:t>V(</w:t>
      </w:r>
      <w:proofErr w:type="gramEnd"/>
      <w:r w:rsidRPr="00452D8D">
        <w:rPr>
          <w:rFonts w:ascii="Times New Roman" w:hAnsi="Times New Roman" w:cs="Times New Roman"/>
          <w:sz w:val="24"/>
        </w:rPr>
        <w:t>5) of the SIS Act; or</w:t>
      </w:r>
    </w:p>
    <w:p w14:paraId="4BF90623" w14:textId="77777777" w:rsidR="001A30D0" w:rsidRPr="00452D8D" w:rsidRDefault="001A30D0" w:rsidP="001A30D0">
      <w:pPr>
        <w:spacing w:after="0"/>
        <w:ind w:left="2727" w:hanging="567"/>
        <w:rPr>
          <w:rFonts w:ascii="Times New Roman" w:hAnsi="Times New Roman" w:cs="Times New Roman"/>
          <w:sz w:val="24"/>
        </w:rPr>
      </w:pPr>
    </w:p>
    <w:p w14:paraId="2B6D4E33" w14:textId="77777777" w:rsidR="001A30D0" w:rsidRPr="00452D8D" w:rsidRDefault="001A30D0" w:rsidP="001A30D0">
      <w:pPr>
        <w:spacing w:after="0"/>
        <w:ind w:left="2727" w:hanging="567"/>
        <w:rPr>
          <w:rFonts w:ascii="Times New Roman" w:hAnsi="Times New Roman" w:cs="Times New Roman"/>
          <w:sz w:val="24"/>
          <w:szCs w:val="18"/>
        </w:rPr>
      </w:pPr>
      <w:r w:rsidRPr="00452D8D">
        <w:rPr>
          <w:rFonts w:ascii="Times New Roman" w:hAnsi="Times New Roman" w:cs="Times New Roman"/>
          <w:sz w:val="24"/>
        </w:rPr>
        <w:t>(b)</w:t>
      </w:r>
      <w:r w:rsidRPr="00452D8D">
        <w:rPr>
          <w:rFonts w:ascii="Times New Roman" w:hAnsi="Times New Roman" w:cs="Times New Roman"/>
          <w:sz w:val="24"/>
        </w:rPr>
        <w:tab/>
        <w:t xml:space="preserve">for a superannuation product other than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product—means </w:t>
      </w:r>
      <w:r w:rsidRPr="00452D8D">
        <w:rPr>
          <w:rFonts w:ascii="Times New Roman" w:hAnsi="Times New Roman" w:cs="Times New Roman"/>
          <w:sz w:val="24"/>
          <w:szCs w:val="18"/>
        </w:rPr>
        <w:t>a fee to recover the costs of switching all or part of a member’s interest in the superannuation entity from one investment option or product in the entity to another; or</w:t>
      </w:r>
    </w:p>
    <w:p w14:paraId="1B5DBA12" w14:textId="77777777" w:rsidR="001A30D0" w:rsidRPr="00452D8D" w:rsidRDefault="001A30D0" w:rsidP="001A30D0">
      <w:pPr>
        <w:spacing w:after="0"/>
        <w:ind w:left="2727" w:hanging="567"/>
        <w:rPr>
          <w:rFonts w:ascii="Times New Roman" w:hAnsi="Times New Roman" w:cs="Times New Roman"/>
          <w:sz w:val="24"/>
        </w:rPr>
      </w:pPr>
    </w:p>
    <w:p w14:paraId="75B7F936" w14:textId="11878D70" w:rsidR="001A30D0" w:rsidRPr="00452D8D" w:rsidRDefault="001A30D0" w:rsidP="001A30D0">
      <w:pPr>
        <w:spacing w:after="0"/>
        <w:ind w:left="2727" w:hanging="567"/>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 xml:space="preserve">for a </w:t>
      </w:r>
      <w:r w:rsidR="00D0010E" w:rsidRPr="008A0AFB">
        <w:rPr>
          <w:rFonts w:ascii="Times New Roman" w:hAnsi="Times New Roman" w:cs="Times New Roman"/>
          <w:sz w:val="24"/>
        </w:rPr>
        <w:t>collective investment product</w:t>
      </w:r>
      <w:r w:rsidRPr="008A0AFB">
        <w:rPr>
          <w:rFonts w:ascii="Times New Roman" w:hAnsi="Times New Roman" w:cs="Times New Roman"/>
          <w:sz w:val="24"/>
        </w:rPr>
        <w:t xml:space="preserve">—means an amount paid or payable when a product holder transfers all or part of the product holder’s interest in the </w:t>
      </w:r>
      <w:r w:rsidR="00D0010E" w:rsidRPr="008A0AFB">
        <w:rPr>
          <w:rFonts w:ascii="Times New Roman" w:hAnsi="Times New Roman" w:cs="Times New Roman"/>
          <w:sz w:val="24"/>
        </w:rPr>
        <w:t xml:space="preserve">collective investment </w:t>
      </w:r>
      <w:proofErr w:type="spellStart"/>
      <w:r w:rsidR="00D0010E" w:rsidRPr="008A0AFB">
        <w:rPr>
          <w:rFonts w:ascii="Times New Roman" w:hAnsi="Times New Roman" w:cs="Times New Roman"/>
          <w:sz w:val="24"/>
        </w:rPr>
        <w:t>product</w:t>
      </w:r>
      <w:r w:rsidRPr="008A0AFB">
        <w:rPr>
          <w:rFonts w:ascii="Times New Roman" w:hAnsi="Times New Roman" w:cs="Times New Roman"/>
          <w:sz w:val="24"/>
        </w:rPr>
        <w:t>from</w:t>
      </w:r>
      <w:proofErr w:type="spellEnd"/>
      <w:r w:rsidRPr="008A0AFB">
        <w:rPr>
          <w:rFonts w:ascii="Times New Roman" w:hAnsi="Times New Roman" w:cs="Times New Roman"/>
          <w:sz w:val="24"/>
        </w:rPr>
        <w:t xml:space="preserve"> one investment option to another.”;</w:t>
      </w:r>
    </w:p>
    <w:p w14:paraId="2DE0810F" w14:textId="77777777" w:rsidR="001A30D0" w:rsidRPr="00452D8D" w:rsidRDefault="001A30D0" w:rsidP="001A30D0">
      <w:pPr>
        <w:spacing w:after="0"/>
        <w:ind w:left="1701" w:hanging="567"/>
        <w:rPr>
          <w:rFonts w:ascii="Times New Roman" w:hAnsi="Times New Roman" w:cs="Times New Roman"/>
          <w:sz w:val="24"/>
        </w:rPr>
      </w:pPr>
    </w:p>
    <w:p w14:paraId="18C3DA45"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(iv)</w:t>
      </w:r>
      <w:r w:rsidRPr="00452D8D">
        <w:rPr>
          <w:rFonts w:ascii="Times New Roman" w:hAnsi="Times New Roman" w:cs="Times New Roman"/>
          <w:sz w:val="24"/>
          <w:szCs w:val="18"/>
        </w:rPr>
        <w:tab/>
        <w:t xml:space="preserve">after the definition of </w:t>
      </w:r>
      <w:r w:rsidRPr="00452D8D">
        <w:rPr>
          <w:rFonts w:ascii="Times New Roman" w:hAnsi="Times New Roman" w:cs="Times New Roman"/>
          <w:b/>
          <w:i/>
          <w:sz w:val="24"/>
          <w:szCs w:val="18"/>
        </w:rPr>
        <w:t>withdrawal fee</w:t>
      </w:r>
      <w:r w:rsidR="00F349E4">
        <w:rPr>
          <w:rFonts w:ascii="Times New Roman" w:hAnsi="Times New Roman" w:cs="Times New Roman"/>
          <w:sz w:val="24"/>
          <w:szCs w:val="18"/>
        </w:rPr>
        <w:t>, insert</w:t>
      </w:r>
      <w:r w:rsidRPr="00452D8D">
        <w:rPr>
          <w:rFonts w:ascii="Times New Roman" w:hAnsi="Times New Roman" w:cs="Times New Roman"/>
          <w:sz w:val="24"/>
          <w:szCs w:val="18"/>
        </w:rPr>
        <w:t>:</w:t>
      </w:r>
    </w:p>
    <w:p w14:paraId="2C9936ED" w14:textId="77777777" w:rsidR="001A30D0" w:rsidRPr="00452D8D" w:rsidRDefault="001A30D0" w:rsidP="001A30D0">
      <w:pPr>
        <w:spacing w:after="0"/>
        <w:ind w:left="1134"/>
        <w:contextualSpacing/>
        <w:rPr>
          <w:rFonts w:ascii="Times New Roman" w:hAnsi="Times New Roman" w:cs="Times New Roman"/>
          <w:sz w:val="24"/>
        </w:rPr>
      </w:pPr>
    </w:p>
    <w:p w14:paraId="0CDCDBDF" w14:textId="77777777" w:rsidR="001A30D0" w:rsidRPr="00452D8D" w:rsidRDefault="001A30D0" w:rsidP="001A30D0">
      <w:pPr>
        <w:spacing w:after="0"/>
        <w:ind w:left="2727" w:hanging="567"/>
        <w:rPr>
          <w:rFonts w:ascii="Times New Roman" w:hAnsi="Times New Roman" w:cs="Times New Roman"/>
          <w:b/>
          <w:sz w:val="24"/>
        </w:rPr>
      </w:pPr>
      <w:r w:rsidRPr="00452D8D">
        <w:rPr>
          <w:rFonts w:ascii="Times New Roman" w:hAnsi="Times New Roman" w:cs="Times New Roman"/>
          <w:sz w:val="24"/>
        </w:rPr>
        <w:t>“</w:t>
      </w:r>
      <w:r w:rsidRPr="00452D8D">
        <w:rPr>
          <w:rFonts w:ascii="Times New Roman" w:hAnsi="Times New Roman" w:cs="Times New Roman"/>
          <w:b/>
          <w:sz w:val="24"/>
        </w:rPr>
        <w:t>101A Indirect costs</w:t>
      </w:r>
    </w:p>
    <w:p w14:paraId="0FEBAF37" w14:textId="77777777" w:rsidR="001A30D0" w:rsidRPr="00452D8D" w:rsidRDefault="001A30D0" w:rsidP="001A30D0">
      <w:pPr>
        <w:spacing w:after="0"/>
        <w:ind w:left="2727" w:hanging="567"/>
        <w:rPr>
          <w:rFonts w:ascii="Times New Roman" w:hAnsi="Times New Roman" w:cs="Times New Roman"/>
          <w:sz w:val="24"/>
        </w:rPr>
      </w:pPr>
    </w:p>
    <w:p w14:paraId="5FAD831B" w14:textId="39618BB9" w:rsidR="001A30D0" w:rsidRPr="00452D8D" w:rsidRDefault="001A30D0" w:rsidP="001A30D0">
      <w:pPr>
        <w:spacing w:after="0"/>
        <w:ind w:left="2694" w:hanging="534"/>
        <w:rPr>
          <w:rFonts w:ascii="Times New Roman" w:hAnsi="Times New Roman" w:cs="Times New Roman"/>
          <w:sz w:val="24"/>
        </w:rPr>
      </w:pPr>
      <w:r w:rsidRPr="00452D8D">
        <w:rPr>
          <w:rFonts w:ascii="Times New Roman" w:hAnsi="Times New Roman" w:cs="Times New Roman"/>
          <w:sz w:val="24"/>
        </w:rPr>
        <w:t>(1)</w:t>
      </w:r>
      <w:r w:rsidRPr="00452D8D">
        <w:rPr>
          <w:rFonts w:ascii="Times New Roman" w:hAnsi="Times New Roman" w:cs="Times New Roman"/>
          <w:sz w:val="24"/>
        </w:rPr>
        <w:tab/>
        <w:t>Despite subsection 1013</w:t>
      </w:r>
      <w:proofErr w:type="gramStart"/>
      <w:r w:rsidRPr="00452D8D">
        <w:rPr>
          <w:rFonts w:ascii="Times New Roman" w:hAnsi="Times New Roman" w:cs="Times New Roman"/>
          <w:sz w:val="24"/>
        </w:rPr>
        <w:t>C(</w:t>
      </w:r>
      <w:proofErr w:type="gramEnd"/>
      <w:r w:rsidRPr="00452D8D">
        <w:rPr>
          <w:rFonts w:ascii="Times New Roman" w:hAnsi="Times New Roman" w:cs="Times New Roman"/>
          <w:sz w:val="24"/>
        </w:rPr>
        <w:t xml:space="preserve">2) of the Act, the indirect cost of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an investment option offered within a </w:t>
      </w:r>
      <w:r w:rsidRPr="00452D8D">
        <w:rPr>
          <w:rFonts w:ascii="Times New Roman" w:hAnsi="Times New Roman" w:cs="Times New Roman"/>
          <w:sz w:val="24"/>
        </w:rPr>
        <w:lastRenderedPageBreak/>
        <w:t xml:space="preserve">superannuation product other than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w:t>
      </w:r>
      <w:r w:rsidR="00C46402" w:rsidRPr="008A0AFB">
        <w:rPr>
          <w:rFonts w:ascii="Times New Roman" w:hAnsi="Times New Roman" w:cs="Times New Roman"/>
          <w:sz w:val="24"/>
        </w:rPr>
        <w:t>collective investment product</w:t>
      </w:r>
      <w:r w:rsidR="00C46402" w:rsidRPr="008A0AFB" w:rsidDel="00C46402">
        <w:rPr>
          <w:rFonts w:ascii="Times New Roman" w:hAnsi="Times New Roman" w:cs="Times New Roman"/>
          <w:sz w:val="24"/>
        </w:rPr>
        <w:t xml:space="preserve"> </w:t>
      </w:r>
      <w:r w:rsidRPr="00452D8D">
        <w:rPr>
          <w:rFonts w:ascii="Times New Roman" w:hAnsi="Times New Roman" w:cs="Times New Roman"/>
          <w:sz w:val="24"/>
        </w:rPr>
        <w:t>or investment option offered by a managed investment scheme means any amount that:</w:t>
      </w:r>
    </w:p>
    <w:p w14:paraId="1E8B9082" w14:textId="77777777" w:rsidR="001A30D0" w:rsidRPr="00452D8D" w:rsidRDefault="001A30D0" w:rsidP="001A30D0">
      <w:pPr>
        <w:spacing w:after="0"/>
        <w:ind w:left="2727"/>
        <w:rPr>
          <w:rFonts w:ascii="Times New Roman" w:hAnsi="Times New Roman" w:cs="Times New Roman"/>
          <w:sz w:val="24"/>
        </w:rPr>
      </w:pPr>
    </w:p>
    <w:p w14:paraId="6B337BB4" w14:textId="77777777" w:rsidR="001A30D0" w:rsidRPr="00452D8D" w:rsidRDefault="001A30D0" w:rsidP="001A30D0">
      <w:pPr>
        <w:spacing w:after="0"/>
        <w:ind w:left="3261" w:hanging="534"/>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r>
      <w:r w:rsidR="00A833CC" w:rsidRPr="00452D8D">
        <w:rPr>
          <w:rFonts w:ascii="Times New Roman" w:hAnsi="Times New Roman" w:cs="Times New Roman"/>
          <w:sz w:val="24"/>
          <w:szCs w:val="24"/>
          <w:lang w:eastAsia="en-AU"/>
        </w:rPr>
        <w:t xml:space="preserve">either: </w:t>
      </w:r>
    </w:p>
    <w:p w14:paraId="311D963D" w14:textId="77777777" w:rsidR="001A30D0" w:rsidRPr="00452D8D" w:rsidRDefault="001A30D0" w:rsidP="001A30D0">
      <w:pPr>
        <w:spacing w:after="0"/>
        <w:ind w:left="1026"/>
        <w:rPr>
          <w:rFonts w:ascii="Times New Roman" w:hAnsi="Times New Roman" w:cs="Times New Roman"/>
          <w:sz w:val="24"/>
        </w:rPr>
      </w:pPr>
    </w:p>
    <w:p w14:paraId="57196093" w14:textId="77777777" w:rsidR="001A30D0" w:rsidRPr="00452D8D" w:rsidRDefault="001A30D0" w:rsidP="001A30D0">
      <w:pPr>
        <w:spacing w:after="0"/>
        <w:ind w:left="3828" w:hanging="534"/>
        <w:contextualSpacing/>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r>
      <w:r w:rsidR="00A833CC" w:rsidRPr="00452D8D">
        <w:rPr>
          <w:rFonts w:ascii="Times New Roman" w:hAnsi="Times New Roman" w:cs="Times New Roman"/>
          <w:sz w:val="24"/>
          <w:szCs w:val="24"/>
          <w:lang w:eastAsia="en-AU"/>
        </w:rPr>
        <w:t>a responsible person knows, or reasonably ought to know or, where this is not the case, may reasonably estimate has reduced or will reduce (as applicable) whether directly or indirectly the return on the product or option that is paid from or reduces the amount or value of:</w:t>
      </w:r>
    </w:p>
    <w:p w14:paraId="039ACD02" w14:textId="77777777" w:rsidR="00A833CC" w:rsidRPr="00452D8D" w:rsidRDefault="00A833CC" w:rsidP="001A30D0">
      <w:pPr>
        <w:spacing w:after="0"/>
        <w:ind w:left="3828" w:hanging="534"/>
        <w:contextualSpacing/>
        <w:rPr>
          <w:rFonts w:ascii="Times New Roman" w:hAnsi="Times New Roman" w:cs="Times New Roman"/>
          <w:sz w:val="24"/>
        </w:rPr>
      </w:pPr>
    </w:p>
    <w:p w14:paraId="64B784E4" w14:textId="77777777" w:rsidR="00A833CC" w:rsidRPr="00452D8D" w:rsidRDefault="00A833CC" w:rsidP="00452D8D">
      <w:pPr>
        <w:shd w:val="clear" w:color="auto" w:fill="FFFFFF"/>
        <w:ind w:left="4395" w:hanging="567"/>
        <w:rPr>
          <w:rFonts w:ascii="Times New Roman" w:hAnsi="Times New Roman" w:cs="Times New Roman"/>
          <w:sz w:val="24"/>
          <w:szCs w:val="24"/>
          <w:lang w:val="en-US" w:eastAsia="en-AU"/>
        </w:rPr>
      </w:pPr>
      <w:r w:rsidRPr="00452D8D">
        <w:rPr>
          <w:rFonts w:ascii="Times New Roman" w:hAnsi="Times New Roman" w:cs="Times New Roman"/>
          <w:sz w:val="24"/>
          <w:szCs w:val="24"/>
          <w:lang w:eastAsia="en-AU"/>
        </w:rPr>
        <w:t>(A)    the income of or the property attributable to the product or option; or</w:t>
      </w:r>
    </w:p>
    <w:p w14:paraId="6F71FD63" w14:textId="77777777" w:rsidR="00A833CC" w:rsidRPr="00452D8D" w:rsidRDefault="00476591" w:rsidP="00452D8D">
      <w:pPr>
        <w:spacing w:after="0"/>
        <w:ind w:left="4362" w:hanging="534"/>
        <w:contextualSpacing/>
        <w:rPr>
          <w:rFonts w:ascii="Times New Roman" w:hAnsi="Times New Roman" w:cs="Times New Roman"/>
          <w:sz w:val="24"/>
        </w:rPr>
      </w:pPr>
      <w:r w:rsidRPr="00452D8D">
        <w:rPr>
          <w:rFonts w:ascii="Times New Roman" w:hAnsi="Times New Roman" w:cs="Times New Roman"/>
          <w:sz w:val="24"/>
          <w:szCs w:val="24"/>
          <w:lang w:eastAsia="en-AU"/>
        </w:rPr>
        <w:t xml:space="preserve"> </w:t>
      </w:r>
      <w:r w:rsidR="00A833CC" w:rsidRPr="00452D8D">
        <w:rPr>
          <w:rFonts w:ascii="Times New Roman" w:hAnsi="Times New Roman" w:cs="Times New Roman"/>
          <w:sz w:val="24"/>
          <w:szCs w:val="24"/>
          <w:lang w:eastAsia="en-AU"/>
        </w:rPr>
        <w:t xml:space="preserve">(B)    the income of or </w:t>
      </w:r>
      <w:r w:rsidR="00F349E4">
        <w:rPr>
          <w:rFonts w:ascii="Times New Roman" w:hAnsi="Times New Roman" w:cs="Times New Roman"/>
          <w:sz w:val="24"/>
          <w:szCs w:val="24"/>
          <w:lang w:eastAsia="en-AU"/>
        </w:rPr>
        <w:t xml:space="preserve">the </w:t>
      </w:r>
      <w:r w:rsidR="00A833CC" w:rsidRPr="00452D8D">
        <w:rPr>
          <w:rFonts w:ascii="Times New Roman" w:hAnsi="Times New Roman" w:cs="Times New Roman"/>
          <w:sz w:val="24"/>
          <w:szCs w:val="24"/>
          <w:lang w:eastAsia="en-AU"/>
        </w:rPr>
        <w:t>property attributable to an interposed vehicle in or through which the property attributable to the product or option is invested; or</w:t>
      </w:r>
    </w:p>
    <w:p w14:paraId="0312A1A6" w14:textId="77777777" w:rsidR="001A30D0" w:rsidRPr="00452D8D" w:rsidRDefault="001A30D0" w:rsidP="001A30D0">
      <w:pPr>
        <w:spacing w:after="0"/>
        <w:ind w:left="3720" w:hanging="426"/>
        <w:contextualSpacing/>
        <w:rPr>
          <w:rFonts w:ascii="Times New Roman" w:hAnsi="Times New Roman" w:cs="Times New Roman"/>
          <w:sz w:val="24"/>
        </w:rPr>
      </w:pPr>
    </w:p>
    <w:p w14:paraId="7CD01952" w14:textId="77777777" w:rsidR="00A833CC" w:rsidRPr="00452D8D" w:rsidRDefault="001A30D0" w:rsidP="001A30D0">
      <w:pPr>
        <w:spacing w:after="0"/>
        <w:ind w:left="3828" w:hanging="534"/>
        <w:contextualSpacing/>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r>
      <w:r w:rsidR="00A833CC" w:rsidRPr="00452D8D">
        <w:rPr>
          <w:rFonts w:ascii="Times New Roman" w:hAnsi="Times New Roman" w:cs="Times New Roman"/>
          <w:sz w:val="24"/>
          <w:szCs w:val="24"/>
        </w:rPr>
        <w:t>satisfies both the following</w:t>
      </w:r>
      <w:r w:rsidR="00A833CC" w:rsidRPr="00452D8D">
        <w:rPr>
          <w:rFonts w:ascii="Times New Roman" w:hAnsi="Times New Roman" w:cs="Times New Roman"/>
          <w:sz w:val="24"/>
        </w:rPr>
        <w:t>:</w:t>
      </w:r>
    </w:p>
    <w:p w14:paraId="56684B96" w14:textId="77777777" w:rsidR="00A833CC" w:rsidRPr="00452D8D" w:rsidRDefault="00A833CC" w:rsidP="001A30D0">
      <w:pPr>
        <w:spacing w:after="0"/>
        <w:ind w:left="3828" w:hanging="534"/>
        <w:contextualSpacing/>
        <w:rPr>
          <w:rFonts w:ascii="Times New Roman" w:hAnsi="Times New Roman" w:cs="Times New Roman"/>
          <w:sz w:val="24"/>
        </w:rPr>
      </w:pPr>
    </w:p>
    <w:p w14:paraId="7A28A05E" w14:textId="77777777" w:rsidR="00A833CC" w:rsidRPr="00452D8D" w:rsidRDefault="00A833CC" w:rsidP="00452D8D">
      <w:pPr>
        <w:shd w:val="clear" w:color="auto" w:fill="FFFFFF"/>
        <w:ind w:left="4395" w:hanging="567"/>
        <w:rPr>
          <w:rFonts w:ascii="Times New Roman" w:hAnsi="Times New Roman" w:cs="Times New Roman"/>
          <w:sz w:val="24"/>
          <w:szCs w:val="24"/>
        </w:rPr>
      </w:pPr>
      <w:r w:rsidRPr="00452D8D">
        <w:rPr>
          <w:rFonts w:ascii="Times New Roman" w:hAnsi="Times New Roman" w:cs="Times New Roman"/>
          <w:sz w:val="24"/>
          <w:szCs w:val="24"/>
        </w:rPr>
        <w:t>(A)</w:t>
      </w:r>
      <w:r w:rsidRPr="00452D8D">
        <w:rPr>
          <w:rFonts w:ascii="Times New Roman" w:hAnsi="Times New Roman" w:cs="Times New Roman"/>
          <w:sz w:val="24"/>
          <w:szCs w:val="24"/>
        </w:rPr>
        <w:tab/>
        <w:t xml:space="preserve">the amount is paid or payable by or on behalf of a person who may make payments that form part of the return on, or the value of, the product or option whether directly or through an interposed vehicle; </w:t>
      </w:r>
    </w:p>
    <w:p w14:paraId="039D1F0D" w14:textId="77777777" w:rsidR="00A833CC" w:rsidRPr="00452D8D" w:rsidRDefault="00A833CC" w:rsidP="00452D8D">
      <w:pPr>
        <w:pStyle w:val="LI-BodyTextNumbered"/>
        <w:ind w:left="4395"/>
        <w:rPr>
          <w:rFonts w:ascii="Times New Roman" w:hAnsi="Times New Roman" w:cs="Times New Roman"/>
          <w:color w:val="000000"/>
          <w:sz w:val="24"/>
        </w:rPr>
      </w:pPr>
      <w:r w:rsidRPr="00452D8D">
        <w:rPr>
          <w:rFonts w:ascii="Times New Roman" w:hAnsi="Times New Roman" w:cs="Times New Roman"/>
          <w:color w:val="000000"/>
          <w:sz w:val="24"/>
        </w:rPr>
        <w:t>(B)</w:t>
      </w:r>
      <w:r w:rsidRPr="00452D8D">
        <w:rPr>
          <w:rFonts w:ascii="Times New Roman" w:hAnsi="Times New Roman" w:cs="Times New Roman"/>
          <w:color w:val="000000"/>
          <w:sz w:val="24"/>
        </w:rPr>
        <w:tab/>
        <w:t xml:space="preserve">payment of the amount is a benefit that increases the returns or value of the product or option or provides a benefit to the issuer in relation to the product or option that is retained by the issuer; and </w:t>
      </w:r>
    </w:p>
    <w:p w14:paraId="3DBCF497" w14:textId="77777777" w:rsidR="001A30D0" w:rsidRPr="00452D8D" w:rsidRDefault="001A30D0" w:rsidP="001A30D0">
      <w:pPr>
        <w:spacing w:after="0"/>
        <w:ind w:left="1746"/>
        <w:contextualSpacing/>
        <w:rPr>
          <w:rFonts w:ascii="Times New Roman" w:hAnsi="Times New Roman" w:cs="Times New Roman"/>
          <w:sz w:val="24"/>
        </w:rPr>
      </w:pPr>
    </w:p>
    <w:p w14:paraId="1500078B" w14:textId="77777777" w:rsidR="001A30D0" w:rsidRPr="00452D8D" w:rsidRDefault="001A30D0" w:rsidP="00452D8D">
      <w:pPr>
        <w:spacing w:after="0"/>
        <w:ind w:left="3261" w:hanging="489"/>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r>
      <w:r w:rsidR="00A833CC" w:rsidRPr="00452D8D">
        <w:rPr>
          <w:rFonts w:ascii="Times New Roman" w:hAnsi="Times New Roman" w:cs="Times New Roman"/>
          <w:sz w:val="24"/>
        </w:rPr>
        <w:t xml:space="preserve">for a </w:t>
      </w:r>
      <w:proofErr w:type="spellStart"/>
      <w:r w:rsidR="00A833CC" w:rsidRPr="00452D8D">
        <w:rPr>
          <w:rFonts w:ascii="Times New Roman" w:hAnsi="Times New Roman" w:cs="Times New Roman"/>
          <w:sz w:val="24"/>
        </w:rPr>
        <w:t>MySuper</w:t>
      </w:r>
      <w:proofErr w:type="spellEnd"/>
      <w:r w:rsidR="00A833CC" w:rsidRPr="00452D8D">
        <w:rPr>
          <w:rFonts w:ascii="Times New Roman" w:hAnsi="Times New Roman" w:cs="Times New Roman"/>
          <w:sz w:val="24"/>
        </w:rPr>
        <w:t xml:space="preserve"> product or an investment option offered within a superannuation product other than a </w:t>
      </w:r>
      <w:proofErr w:type="spellStart"/>
      <w:r w:rsidR="00A833CC" w:rsidRPr="00452D8D">
        <w:rPr>
          <w:rFonts w:ascii="Times New Roman" w:hAnsi="Times New Roman" w:cs="Times New Roman"/>
          <w:sz w:val="24"/>
        </w:rPr>
        <w:t>MySuper</w:t>
      </w:r>
      <w:proofErr w:type="spellEnd"/>
      <w:r w:rsidR="00A833CC" w:rsidRPr="00452D8D">
        <w:rPr>
          <w:rFonts w:ascii="Times New Roman" w:hAnsi="Times New Roman" w:cs="Times New Roman"/>
          <w:sz w:val="24"/>
        </w:rPr>
        <w:t xml:space="preserve"> product </w:t>
      </w:r>
      <w:r w:rsidRPr="00452D8D">
        <w:rPr>
          <w:rFonts w:ascii="Times New Roman" w:hAnsi="Times New Roman" w:cs="Times New Roman"/>
          <w:sz w:val="24"/>
        </w:rPr>
        <w:t>is not charged to a member as a fee; and</w:t>
      </w:r>
    </w:p>
    <w:p w14:paraId="3D2E2C4C" w14:textId="77777777" w:rsidR="001A30D0" w:rsidRPr="00452D8D" w:rsidRDefault="001A30D0" w:rsidP="00476591">
      <w:pPr>
        <w:spacing w:after="0"/>
        <w:ind w:left="3261" w:hanging="489"/>
        <w:rPr>
          <w:rFonts w:ascii="Times New Roman" w:hAnsi="Times New Roman" w:cs="Times New Roman"/>
          <w:sz w:val="24"/>
        </w:rPr>
      </w:pPr>
    </w:p>
    <w:p w14:paraId="2F66406B" w14:textId="77777777" w:rsidR="001A30D0" w:rsidRPr="00452D8D" w:rsidRDefault="001A30D0" w:rsidP="00476591">
      <w:pPr>
        <w:numPr>
          <w:ilvl w:val="0"/>
          <w:numId w:val="27"/>
        </w:numPr>
        <w:spacing w:after="0"/>
        <w:ind w:left="3261" w:hanging="489"/>
        <w:rPr>
          <w:rFonts w:ascii="Times New Roman" w:hAnsi="Times New Roman" w:cs="Times New Roman"/>
          <w:sz w:val="24"/>
        </w:rPr>
      </w:pPr>
      <w:r w:rsidRPr="00452D8D">
        <w:rPr>
          <w:rFonts w:ascii="Times New Roman" w:hAnsi="Times New Roman" w:cs="Times New Roman"/>
          <w:sz w:val="24"/>
        </w:rPr>
        <w:t>is not a fee as defined in clause 209A or an insurance fee; and</w:t>
      </w:r>
    </w:p>
    <w:p w14:paraId="00C2166D" w14:textId="73D68C32" w:rsidR="001A30D0" w:rsidRPr="008A0AFB" w:rsidRDefault="001A30D0" w:rsidP="00320A9F">
      <w:pPr>
        <w:pStyle w:val="LI-BodyTextNumbered"/>
        <w:numPr>
          <w:ilvl w:val="0"/>
          <w:numId w:val="27"/>
        </w:numPr>
        <w:ind w:left="3261" w:hanging="426"/>
        <w:rPr>
          <w:rFonts w:ascii="Times New Roman" w:hAnsi="Times New Roman" w:cs="Times New Roman"/>
          <w:sz w:val="24"/>
        </w:rPr>
      </w:pPr>
      <w:r w:rsidRPr="00452D8D">
        <w:rPr>
          <w:rFonts w:ascii="Times New Roman" w:hAnsi="Times New Roman" w:cs="Times New Roman"/>
          <w:sz w:val="24"/>
        </w:rPr>
        <w:t>subject to subsection (3), would, if the amount had been paid as a cost out of a superannuation entity, be an investment fee or administration fee for the superannuation prod</w:t>
      </w:r>
      <w:r w:rsidRPr="00E826D5">
        <w:rPr>
          <w:rFonts w:ascii="Times New Roman" w:hAnsi="Times New Roman" w:cs="Times New Roman"/>
          <w:sz w:val="24"/>
        </w:rPr>
        <w:t>uct or, if the amount had been paid out of the</w:t>
      </w:r>
      <w:r w:rsidR="007A5F31" w:rsidRPr="007A5F31">
        <w:rPr>
          <w:rFonts w:ascii="Times New Roman" w:eastAsia="Calibri" w:hAnsi="Times New Roman" w:cs="Times New Roman"/>
          <w:szCs w:val="20"/>
          <w:lang w:eastAsia="en-US"/>
        </w:rPr>
        <w:t xml:space="preserve"> </w:t>
      </w:r>
      <w:r w:rsidR="007A5F31" w:rsidRPr="008A0AFB">
        <w:rPr>
          <w:rFonts w:ascii="Times New Roman" w:hAnsi="Times New Roman" w:cs="Times New Roman"/>
          <w:sz w:val="24"/>
        </w:rPr>
        <w:t xml:space="preserve">scheme property of a registered scheme or the </w:t>
      </w:r>
      <w:r w:rsidR="007A5F31" w:rsidRPr="008A0AFB">
        <w:rPr>
          <w:rFonts w:ascii="Times New Roman" w:hAnsi="Times New Roman" w:cs="Times New Roman"/>
          <w:sz w:val="24"/>
        </w:rPr>
        <w:lastRenderedPageBreak/>
        <w:t>assets of a notified foreign passport fund,</w:t>
      </w:r>
      <w:r w:rsidRPr="008A0AFB">
        <w:rPr>
          <w:rFonts w:ascii="Times New Roman" w:hAnsi="Times New Roman" w:cs="Times New Roman"/>
          <w:sz w:val="24"/>
        </w:rPr>
        <w:t xml:space="preserve"> be a management cost of the </w:t>
      </w:r>
      <w:r w:rsidR="00E826D5" w:rsidRPr="008A0AFB">
        <w:rPr>
          <w:rFonts w:ascii="Times New Roman" w:hAnsi="Times New Roman" w:cs="Times New Roman"/>
          <w:sz w:val="24"/>
        </w:rPr>
        <w:t>collective investment product</w:t>
      </w:r>
      <w:r w:rsidR="004962B7" w:rsidRPr="008A0AFB">
        <w:rPr>
          <w:rFonts w:ascii="Times New Roman" w:hAnsi="Times New Roman" w:cs="Times New Roman"/>
          <w:sz w:val="24"/>
        </w:rPr>
        <w:t>.</w:t>
      </w:r>
      <w:r w:rsidRPr="008A0AFB">
        <w:rPr>
          <w:rFonts w:ascii="Times New Roman" w:hAnsi="Times New Roman" w:cs="Times New Roman"/>
          <w:sz w:val="24"/>
        </w:rPr>
        <w:t>”;</w:t>
      </w:r>
    </w:p>
    <w:p w14:paraId="30E30700" w14:textId="77777777" w:rsidR="001A30D0" w:rsidRPr="00452D8D" w:rsidRDefault="001A30D0" w:rsidP="001A30D0">
      <w:pPr>
        <w:spacing w:after="0"/>
        <w:ind w:left="2727" w:hanging="567"/>
        <w:rPr>
          <w:rFonts w:ascii="Times New Roman" w:hAnsi="Times New Roman" w:cs="Times New Roman"/>
          <w:sz w:val="24"/>
        </w:rPr>
      </w:pPr>
    </w:p>
    <w:p w14:paraId="109055B5" w14:textId="77777777" w:rsidR="001A30D0" w:rsidRPr="00452D8D" w:rsidRDefault="001A30D0" w:rsidP="001A30D0">
      <w:pPr>
        <w:keepNext/>
        <w:spacing w:after="0"/>
        <w:ind w:left="2694" w:hanging="534"/>
        <w:rPr>
          <w:rFonts w:ascii="Times New Roman" w:hAnsi="Times New Roman" w:cs="Times New Roman"/>
          <w:sz w:val="24"/>
        </w:rPr>
      </w:pPr>
      <w:r w:rsidRPr="00452D8D">
        <w:rPr>
          <w:rFonts w:ascii="Times New Roman" w:hAnsi="Times New Roman" w:cs="Times New Roman"/>
          <w:sz w:val="24"/>
        </w:rPr>
        <w:t>(2)</w:t>
      </w:r>
      <w:r w:rsidRPr="00452D8D">
        <w:rPr>
          <w:rFonts w:ascii="Times New Roman" w:hAnsi="Times New Roman" w:cs="Times New Roman"/>
          <w:sz w:val="24"/>
        </w:rPr>
        <w:tab/>
        <w:t>For the purposes of subclause (1):</w:t>
      </w:r>
    </w:p>
    <w:p w14:paraId="0C34C368" w14:textId="77777777" w:rsidR="001A30D0" w:rsidRPr="00452D8D" w:rsidRDefault="001A30D0" w:rsidP="001A30D0">
      <w:pPr>
        <w:keepNext/>
        <w:tabs>
          <w:tab w:val="left" w:pos="1134"/>
        </w:tabs>
        <w:spacing w:after="0"/>
        <w:ind w:left="2160"/>
        <w:rPr>
          <w:rFonts w:ascii="Times New Roman" w:hAnsi="Times New Roman" w:cs="Times New Roman"/>
          <w:sz w:val="24"/>
        </w:rPr>
      </w:pPr>
    </w:p>
    <w:p w14:paraId="5F3922EA" w14:textId="77777777" w:rsidR="001A30D0" w:rsidRPr="00452D8D" w:rsidRDefault="001A30D0" w:rsidP="001A30D0">
      <w:pPr>
        <w:spacing w:after="0"/>
        <w:ind w:left="3261" w:hanging="534"/>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property is invested in or through an interposed vehicle even if:</w:t>
      </w:r>
    </w:p>
    <w:p w14:paraId="2DFD610F" w14:textId="77777777" w:rsidR="001A30D0" w:rsidRPr="00452D8D" w:rsidRDefault="001A30D0" w:rsidP="001A30D0">
      <w:pPr>
        <w:spacing w:after="0"/>
        <w:ind w:left="3087"/>
        <w:rPr>
          <w:rFonts w:ascii="Times New Roman" w:hAnsi="Times New Roman" w:cs="Times New Roman"/>
          <w:sz w:val="24"/>
        </w:rPr>
      </w:pPr>
    </w:p>
    <w:p w14:paraId="6C8149D9" w14:textId="77777777" w:rsidR="001A30D0" w:rsidRPr="00452D8D" w:rsidRDefault="001A30D0" w:rsidP="001A30D0">
      <w:pPr>
        <w:spacing w:after="0"/>
        <w:ind w:left="3828" w:hanging="567"/>
        <w:contextualSpacing/>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the property is in turn invested in or through one or more other interposed vehicles; or</w:t>
      </w:r>
    </w:p>
    <w:p w14:paraId="36FAFC06" w14:textId="77777777" w:rsidR="001A30D0" w:rsidRPr="00452D8D" w:rsidRDefault="001A30D0" w:rsidP="001A30D0">
      <w:pPr>
        <w:spacing w:after="0"/>
        <w:ind w:left="3828" w:hanging="567"/>
        <w:contextualSpacing/>
        <w:rPr>
          <w:rFonts w:ascii="Times New Roman" w:hAnsi="Times New Roman" w:cs="Times New Roman"/>
          <w:sz w:val="24"/>
        </w:rPr>
      </w:pPr>
    </w:p>
    <w:p w14:paraId="55A34520" w14:textId="77777777" w:rsidR="001A30D0" w:rsidRPr="00452D8D" w:rsidRDefault="001A30D0" w:rsidP="001A30D0">
      <w:pPr>
        <w:spacing w:after="0"/>
        <w:ind w:left="3828" w:hanging="567"/>
        <w:contextualSpacing/>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the property was invested in the first mentioned interposed vehicle through or by another interposed vehicle; and</w:t>
      </w:r>
    </w:p>
    <w:p w14:paraId="739FB962" w14:textId="77777777" w:rsidR="001A30D0" w:rsidRPr="00452D8D" w:rsidRDefault="001A30D0" w:rsidP="001A30D0">
      <w:pPr>
        <w:spacing w:after="0"/>
        <w:ind w:left="720"/>
        <w:contextualSpacing/>
        <w:rPr>
          <w:rFonts w:ascii="Times New Roman" w:hAnsi="Times New Roman" w:cs="Times New Roman"/>
          <w:sz w:val="24"/>
        </w:rPr>
      </w:pPr>
    </w:p>
    <w:p w14:paraId="5197DFDC" w14:textId="77777777" w:rsidR="001A30D0" w:rsidRPr="00452D8D" w:rsidRDefault="001A30D0" w:rsidP="001A30D0">
      <w:pPr>
        <w:spacing w:after="0"/>
        <w:ind w:left="3261" w:hanging="534"/>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property is not invested in or through an interposed vehicle if the property is invested in the vehicle by a body, trust or partnership that:</w:t>
      </w:r>
    </w:p>
    <w:p w14:paraId="4A73CD1E" w14:textId="77777777" w:rsidR="001A30D0" w:rsidRPr="00452D8D" w:rsidRDefault="001A30D0" w:rsidP="001A30D0">
      <w:pPr>
        <w:spacing w:after="0"/>
        <w:ind w:left="3087"/>
        <w:rPr>
          <w:rFonts w:ascii="Times New Roman" w:hAnsi="Times New Roman" w:cs="Times New Roman"/>
          <w:sz w:val="24"/>
        </w:rPr>
      </w:pPr>
    </w:p>
    <w:p w14:paraId="5790DBB4" w14:textId="77777777" w:rsidR="001A30D0" w:rsidRPr="00452D8D" w:rsidRDefault="001A30D0" w:rsidP="001A30D0">
      <w:pPr>
        <w:spacing w:after="0"/>
        <w:ind w:left="3828" w:hanging="567"/>
        <w:contextualSpacing/>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is not an interposed vehicle; and</w:t>
      </w:r>
    </w:p>
    <w:p w14:paraId="6B496021" w14:textId="77777777" w:rsidR="001A30D0" w:rsidRPr="00452D8D" w:rsidRDefault="001A30D0" w:rsidP="001A30D0">
      <w:pPr>
        <w:spacing w:after="0"/>
        <w:ind w:left="3828" w:hanging="567"/>
        <w:contextualSpacing/>
        <w:rPr>
          <w:rFonts w:ascii="Times New Roman" w:hAnsi="Times New Roman" w:cs="Times New Roman"/>
          <w:sz w:val="24"/>
        </w:rPr>
      </w:pPr>
    </w:p>
    <w:p w14:paraId="78F9C6B9" w14:textId="77777777" w:rsidR="001A30D0" w:rsidRPr="00452D8D" w:rsidRDefault="001A30D0" w:rsidP="001A30D0">
      <w:pPr>
        <w:spacing w:after="0"/>
        <w:ind w:left="3828" w:hanging="567"/>
        <w:contextualSpacing/>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is not the trustee or responsible entity.</w:t>
      </w:r>
    </w:p>
    <w:p w14:paraId="2149A743" w14:textId="77777777" w:rsidR="001A30D0" w:rsidRPr="00452D8D" w:rsidRDefault="001A30D0" w:rsidP="001A30D0">
      <w:pPr>
        <w:pStyle w:val="LI-BodyTextNumbered"/>
        <w:ind w:left="2694"/>
        <w:rPr>
          <w:rFonts w:ascii="Times New Roman" w:hAnsi="Times New Roman" w:cs="Times New Roman"/>
          <w:sz w:val="24"/>
        </w:rPr>
      </w:pPr>
      <w:r w:rsidRPr="00452D8D">
        <w:rPr>
          <w:rFonts w:ascii="Times New Roman" w:hAnsi="Times New Roman" w:cs="Times New Roman"/>
          <w:sz w:val="24"/>
        </w:rPr>
        <w:t>(3)</w:t>
      </w:r>
      <w:r w:rsidRPr="00452D8D">
        <w:rPr>
          <w:rFonts w:ascii="Times New Roman" w:hAnsi="Times New Roman" w:cs="Times New Roman"/>
          <w:sz w:val="24"/>
        </w:rPr>
        <w:tab/>
        <w:t>Without limiting subclause (1), the indirect costs of a product or investment option referred to in subclause (1) include:</w:t>
      </w:r>
    </w:p>
    <w:p w14:paraId="21A27927" w14:textId="77777777" w:rsidR="001A30D0" w:rsidRPr="00452D8D" w:rsidRDefault="001A30D0" w:rsidP="001A30D0">
      <w:pPr>
        <w:pStyle w:val="LI-BodyTextParaa"/>
        <w:ind w:left="3261"/>
        <w:rPr>
          <w:rFonts w:ascii="Times New Roman" w:hAnsi="Times New Roman" w:cs="Times New Roman"/>
          <w:bCs/>
          <w:sz w:val="24"/>
        </w:rPr>
      </w:pPr>
      <w:r w:rsidRPr="00452D8D">
        <w:rPr>
          <w:rFonts w:ascii="Times New Roman" w:hAnsi="Times New Roman" w:cs="Times New Roman"/>
          <w:sz w:val="24"/>
        </w:rPr>
        <w:t>(a)</w:t>
      </w:r>
      <w:r w:rsidRPr="00452D8D">
        <w:rPr>
          <w:rFonts w:ascii="Times New Roman" w:hAnsi="Times New Roman" w:cs="Times New Roman"/>
          <w:sz w:val="24"/>
        </w:rPr>
        <w:tab/>
        <w:t>the following amounts where the responsible person knows, or reasonably ought to know</w:t>
      </w:r>
      <w:r w:rsidRPr="00452D8D">
        <w:rPr>
          <w:rFonts w:ascii="Times New Roman" w:hAnsi="Times New Roman" w:cs="Times New Roman"/>
          <w:bCs/>
          <w:sz w:val="24"/>
        </w:rPr>
        <w:t xml:space="preserve"> or, where this is not the case, may reasonably estimate those amounts:</w:t>
      </w:r>
    </w:p>
    <w:p w14:paraId="710E8F67"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in relation to a derivative financial product that is not an option to acquire or dispose of a financial product—the amount that is the difference between the underlying return and the actual return for the derivative financial product, where the actual return on the product or option is less than the underlying return on the derivative financial product over the relevant financial year; or</w:t>
      </w:r>
    </w:p>
    <w:p w14:paraId="56A05223"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in relation to a derivative financial product that is an option to acquire or dispose of a financial product—any amount by which the cost incurred to acquire the derivative financial product exceeds the amount that would be obtained on its disposal at that time; or</w:t>
      </w:r>
    </w:p>
    <w:p w14:paraId="5F7BDBF5"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lastRenderedPageBreak/>
        <w:t>(b)</w:t>
      </w:r>
      <w:r w:rsidRPr="00452D8D">
        <w:rPr>
          <w:rFonts w:ascii="Times New Roman" w:hAnsi="Times New Roman" w:cs="Times New Roman"/>
          <w:sz w:val="24"/>
        </w:rPr>
        <w:tab/>
        <w:t>where the responsible person does not know, does not believe they reasonably ought to know, and is not able to reasonably estimate without taking steps that the responsible person considers unreasonable, the amount in paragraph (a) (as applicable) in relation to a derivative financial product—the following amounts in relation to the derivative financial product:</w:t>
      </w:r>
    </w:p>
    <w:p w14:paraId="2DB23EA4"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in relation to a derivative financial product that is not an option to acquire or dispose of a financial product—the greater of:</w:t>
      </w:r>
    </w:p>
    <w:p w14:paraId="2A19DDFD" w14:textId="77777777" w:rsidR="001A30D0" w:rsidRPr="00452D8D" w:rsidRDefault="001A30D0" w:rsidP="001A30D0">
      <w:pPr>
        <w:pStyle w:val="LI-BodyTextSubparai"/>
        <w:ind w:left="439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the amount calculated using the following formula:</w:t>
      </w:r>
    </w:p>
    <w:p w14:paraId="3D660688" w14:textId="77777777" w:rsidR="001A30D0" w:rsidRPr="00452D8D" w:rsidRDefault="001A30D0" w:rsidP="001A30D0">
      <w:pPr>
        <w:pStyle w:val="LI-BodyTextSubparai"/>
        <w:ind w:left="4395" w:firstLine="0"/>
        <w:rPr>
          <w:rFonts w:ascii="Times New Roman" w:hAnsi="Times New Roman" w:cs="Times New Roman"/>
          <w:i/>
          <w:sz w:val="24"/>
        </w:rPr>
      </w:pPr>
      <w:r w:rsidRPr="00452D8D">
        <w:rPr>
          <w:rFonts w:ascii="Times New Roman" w:hAnsi="Times New Roman" w:cs="Times New Roman"/>
          <w:i/>
          <w:sz w:val="24"/>
        </w:rPr>
        <w:t xml:space="preserve">relevant percentage </w:t>
      </w:r>
      <w:r w:rsidRPr="00452D8D">
        <w:rPr>
          <w:rFonts w:ascii="Times New Roman" w:hAnsi="Times New Roman" w:cs="Times New Roman"/>
          <w:sz w:val="24"/>
        </w:rPr>
        <w:t>x</w:t>
      </w:r>
      <w:r w:rsidRPr="00452D8D">
        <w:rPr>
          <w:rFonts w:ascii="Times New Roman" w:hAnsi="Times New Roman" w:cs="Times New Roman"/>
          <w:i/>
          <w:sz w:val="24"/>
        </w:rPr>
        <w:t xml:space="preserve"> value </w:t>
      </w:r>
      <w:r w:rsidRPr="00452D8D">
        <w:rPr>
          <w:rFonts w:ascii="Times New Roman" w:hAnsi="Times New Roman" w:cs="Times New Roman"/>
          <w:sz w:val="24"/>
        </w:rPr>
        <w:t>x</w:t>
      </w:r>
      <w:r w:rsidRPr="00452D8D">
        <w:rPr>
          <w:rFonts w:ascii="Times New Roman" w:hAnsi="Times New Roman" w:cs="Times New Roman"/>
          <w:i/>
          <w:sz w:val="24"/>
        </w:rPr>
        <w:t xml:space="preserve"> (n/365)</w:t>
      </w:r>
    </w:p>
    <w:p w14:paraId="0E155E29" w14:textId="77777777" w:rsidR="001A30D0" w:rsidRPr="00452D8D" w:rsidRDefault="001A30D0" w:rsidP="001A30D0">
      <w:pPr>
        <w:pStyle w:val="LI-BodyTextSubparai"/>
        <w:ind w:left="4395" w:firstLine="0"/>
        <w:rPr>
          <w:rFonts w:ascii="Times New Roman" w:hAnsi="Times New Roman" w:cs="Times New Roman"/>
          <w:sz w:val="24"/>
        </w:rPr>
      </w:pPr>
      <w:r w:rsidRPr="00452D8D">
        <w:rPr>
          <w:rFonts w:ascii="Times New Roman" w:hAnsi="Times New Roman" w:cs="Times New Roman"/>
          <w:sz w:val="24"/>
        </w:rPr>
        <w:t>where:</w:t>
      </w:r>
    </w:p>
    <w:p w14:paraId="64C9FAB2" w14:textId="77777777" w:rsidR="001A30D0" w:rsidRPr="00452D8D" w:rsidRDefault="001A30D0" w:rsidP="001A30D0">
      <w:pPr>
        <w:pStyle w:val="LI-BodyTextSubparai"/>
        <w:ind w:left="4395" w:firstLine="0"/>
        <w:rPr>
          <w:rFonts w:ascii="Times New Roman" w:hAnsi="Times New Roman" w:cs="Times New Roman"/>
          <w:sz w:val="24"/>
        </w:rPr>
      </w:pPr>
      <w:proofErr w:type="gramStart"/>
      <w:r w:rsidRPr="00452D8D">
        <w:rPr>
          <w:rFonts w:ascii="Times New Roman" w:hAnsi="Times New Roman" w:cs="Times New Roman"/>
          <w:b/>
          <w:i/>
          <w:sz w:val="24"/>
        </w:rPr>
        <w:t xml:space="preserve">n </w:t>
      </w:r>
      <w:r w:rsidRPr="00452D8D">
        <w:rPr>
          <w:rFonts w:ascii="Times New Roman" w:hAnsi="Times New Roman" w:cs="Times New Roman"/>
          <w:sz w:val="24"/>
        </w:rPr>
        <w:t xml:space="preserve"> means</w:t>
      </w:r>
      <w:proofErr w:type="gramEnd"/>
      <w:r w:rsidRPr="00452D8D">
        <w:rPr>
          <w:rFonts w:ascii="Times New Roman" w:hAnsi="Times New Roman" w:cs="Times New Roman"/>
          <w:sz w:val="24"/>
        </w:rPr>
        <w:t xml:space="preserve"> the number of days that the derivative financial product was held by the responsible person or interposed vehicle during the relevant financial year.</w:t>
      </w:r>
    </w:p>
    <w:p w14:paraId="33A37A86" w14:textId="77777777" w:rsidR="001A30D0" w:rsidRPr="00452D8D" w:rsidRDefault="001A30D0" w:rsidP="001A30D0">
      <w:pPr>
        <w:pStyle w:val="LI-BodyTextSubparai"/>
        <w:ind w:left="4395" w:firstLine="0"/>
        <w:rPr>
          <w:rFonts w:ascii="Times New Roman" w:hAnsi="Times New Roman" w:cs="Times New Roman"/>
          <w:sz w:val="24"/>
        </w:rPr>
      </w:pPr>
      <w:r w:rsidRPr="00452D8D">
        <w:rPr>
          <w:rFonts w:ascii="Times New Roman" w:hAnsi="Times New Roman" w:cs="Times New Roman"/>
          <w:b/>
          <w:i/>
          <w:sz w:val="24"/>
        </w:rPr>
        <w:t xml:space="preserve">relevant percentage </w:t>
      </w:r>
      <w:r w:rsidRPr="00452D8D">
        <w:rPr>
          <w:rFonts w:ascii="Times New Roman" w:hAnsi="Times New Roman" w:cs="Times New Roman"/>
          <w:sz w:val="24"/>
        </w:rPr>
        <w:t>means 0.1%.</w:t>
      </w:r>
    </w:p>
    <w:p w14:paraId="21A023D3" w14:textId="77777777" w:rsidR="001A30D0" w:rsidRPr="00452D8D" w:rsidRDefault="001A30D0" w:rsidP="001A30D0">
      <w:pPr>
        <w:pStyle w:val="LI-BodyTextNumbered"/>
        <w:ind w:left="4395" w:firstLine="0"/>
        <w:rPr>
          <w:rFonts w:ascii="Times New Roman" w:hAnsi="Times New Roman" w:cs="Times New Roman"/>
          <w:sz w:val="24"/>
        </w:rPr>
      </w:pPr>
      <w:r w:rsidRPr="00452D8D">
        <w:rPr>
          <w:rFonts w:ascii="Times New Roman" w:hAnsi="Times New Roman" w:cs="Times New Roman"/>
          <w:b/>
          <w:i/>
          <w:sz w:val="24"/>
        </w:rPr>
        <w:t>value</w:t>
      </w:r>
      <w:r w:rsidRPr="00452D8D">
        <w:rPr>
          <w:rFonts w:ascii="Times New Roman" w:hAnsi="Times New Roman" w:cs="Times New Roman"/>
          <w:sz w:val="24"/>
        </w:rPr>
        <w:t xml:space="preserve">, in relation to a derivative financial product, means the value of the ultimate reference assets, in each case </w:t>
      </w:r>
      <w:proofErr w:type="gramStart"/>
      <w:r w:rsidRPr="00452D8D">
        <w:rPr>
          <w:rFonts w:ascii="Times New Roman" w:hAnsi="Times New Roman" w:cs="Times New Roman"/>
          <w:sz w:val="24"/>
        </w:rPr>
        <w:t>taking into account</w:t>
      </w:r>
      <w:proofErr w:type="gramEnd"/>
      <w:r w:rsidRPr="00452D8D">
        <w:rPr>
          <w:rFonts w:ascii="Times New Roman" w:hAnsi="Times New Roman" w:cs="Times New Roman"/>
          <w:sz w:val="24"/>
        </w:rPr>
        <w:t xml:space="preserve"> any leverage, offsets or similar adjustments applied to or between the ultimate reference assets under the terms of the derivative financial product; and</w:t>
      </w:r>
    </w:p>
    <w:p w14:paraId="178B1186" w14:textId="77777777" w:rsidR="001A30D0" w:rsidRPr="00452D8D" w:rsidRDefault="001A30D0" w:rsidP="001A30D0">
      <w:pPr>
        <w:pStyle w:val="LI-BodyTextSubparai"/>
        <w:ind w:left="439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the minimum amount that the responsible person believes or has reasonable grounds to believe would apply under paragraph (a);</w:t>
      </w:r>
    </w:p>
    <w:p w14:paraId="4D2BFA2D"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in relation to a derivative financial product that is an option to acquire or dispose of a financial product—the lesser of:</w:t>
      </w:r>
    </w:p>
    <w:p w14:paraId="2B29688A" w14:textId="77777777" w:rsidR="001A30D0" w:rsidRPr="00452D8D" w:rsidRDefault="001A30D0" w:rsidP="001A30D0">
      <w:pPr>
        <w:pStyle w:val="LI-BodyTextSubparai"/>
        <w:ind w:left="439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the amount that would apply under subparagraph (</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if the exclusion from that subparagraph (</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of options did not apply; and</w:t>
      </w:r>
    </w:p>
    <w:p w14:paraId="6E9C47F4" w14:textId="77777777" w:rsidR="001A30D0" w:rsidRPr="00452D8D" w:rsidRDefault="001A30D0" w:rsidP="001A30D0">
      <w:pPr>
        <w:pStyle w:val="LI-BodyTextSubparai"/>
        <w:ind w:left="4395"/>
        <w:rPr>
          <w:rFonts w:ascii="Times New Roman" w:hAnsi="Times New Roman" w:cs="Times New Roman"/>
          <w:sz w:val="24"/>
        </w:rPr>
      </w:pPr>
      <w:r w:rsidRPr="00452D8D">
        <w:rPr>
          <w:rFonts w:ascii="Times New Roman" w:hAnsi="Times New Roman" w:cs="Times New Roman"/>
          <w:sz w:val="24"/>
        </w:rPr>
        <w:lastRenderedPageBreak/>
        <w:t>(B)</w:t>
      </w:r>
      <w:r w:rsidRPr="00452D8D">
        <w:rPr>
          <w:rFonts w:ascii="Times New Roman" w:hAnsi="Times New Roman" w:cs="Times New Roman"/>
          <w:sz w:val="24"/>
        </w:rPr>
        <w:tab/>
        <w:t>the premium paid by the responsible person or interposed vehicle for the option,</w:t>
      </w:r>
    </w:p>
    <w:p w14:paraId="7C8142F7"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sz w:val="24"/>
        </w:rPr>
        <w:t>where the amount referred to in paragraph (a) or (b) is attributable to:</w:t>
      </w:r>
    </w:p>
    <w:p w14:paraId="05F2EA28"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the product or investment option; or</w:t>
      </w:r>
    </w:p>
    <w:p w14:paraId="530DADB6"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(d)</w:t>
      </w:r>
      <w:r w:rsidRPr="00452D8D">
        <w:rPr>
          <w:rFonts w:ascii="Times New Roman" w:hAnsi="Times New Roman" w:cs="Times New Roman"/>
          <w:sz w:val="24"/>
        </w:rPr>
        <w:tab/>
        <w:t>an interposed vehicle through which the property attributable to the product or investment option is invested.</w:t>
      </w:r>
    </w:p>
    <w:p w14:paraId="4ECE0D43" w14:textId="77777777" w:rsidR="001A30D0" w:rsidRPr="00452D8D" w:rsidRDefault="001A30D0" w:rsidP="001A30D0">
      <w:pPr>
        <w:pStyle w:val="LI-BodyTextNumbered"/>
        <w:ind w:left="2694"/>
        <w:rPr>
          <w:rFonts w:ascii="Times New Roman" w:hAnsi="Times New Roman" w:cs="Times New Roman"/>
          <w:sz w:val="24"/>
        </w:rPr>
      </w:pPr>
      <w:r w:rsidRPr="00452D8D">
        <w:rPr>
          <w:rFonts w:ascii="Times New Roman" w:hAnsi="Times New Roman" w:cs="Times New Roman"/>
          <w:sz w:val="24"/>
        </w:rPr>
        <w:t>(3A)</w:t>
      </w:r>
      <w:r w:rsidRPr="00452D8D">
        <w:rPr>
          <w:rFonts w:ascii="Times New Roman" w:hAnsi="Times New Roman" w:cs="Times New Roman"/>
          <w:sz w:val="24"/>
        </w:rPr>
        <w:tab/>
        <w:t>In subclause (3):</w:t>
      </w:r>
    </w:p>
    <w:p w14:paraId="51DF9DA1"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actual return</w:t>
      </w:r>
      <w:r w:rsidRPr="00452D8D">
        <w:rPr>
          <w:rFonts w:ascii="Times New Roman" w:hAnsi="Times New Roman" w:cs="Times New Roman"/>
          <w:sz w:val="24"/>
        </w:rPr>
        <w:t xml:space="preserve"> means the return that has been or would be received (as applicable), or loss that would be payable, by the responsible entity, trustee or interposed vehicle in relation to the derivative financial product over the relevant financial year if the derivative financial product was:</w:t>
      </w:r>
    </w:p>
    <w:p w14:paraId="0AAEFE9C"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acquired at the time the derivative financial product was acquired, or, if the derivative financial product was not acquired during the relevant financial year, acquired at the commencement of the relevant financial year for the same price at which it would have been disposed at the end of the preceding financial year; and</w:t>
      </w:r>
    </w:p>
    <w:p w14:paraId="766A6755"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disposed of at the time the derivative financial product was disposed of, or, if the derivative financial product was not disposed of during the relevant financial year, disposed of at the end of the relevant financial year for the price at which it would have been disposed of at that time.</w:t>
      </w:r>
    </w:p>
    <w:p w14:paraId="6B0B1EB6"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derivative financial product</w:t>
      </w:r>
      <w:r w:rsidRPr="00452D8D">
        <w:rPr>
          <w:rFonts w:ascii="Times New Roman" w:hAnsi="Times New Roman" w:cs="Times New Roman"/>
          <w:sz w:val="24"/>
        </w:rPr>
        <w:t xml:space="preserve"> means a financial product that:</w:t>
      </w:r>
    </w:p>
    <w:p w14:paraId="24A62F78"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is:</w:t>
      </w:r>
    </w:p>
    <w:p w14:paraId="1677D21B" w14:textId="77777777" w:rsidR="001A30D0" w:rsidRPr="00452D8D" w:rsidRDefault="001A30D0" w:rsidP="001A30D0">
      <w:pPr>
        <w:pStyle w:val="LI-BodyTextNumbered"/>
        <w:ind w:left="3828"/>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a derivative; or</w:t>
      </w:r>
    </w:p>
    <w:p w14:paraId="0DC4228A" w14:textId="77777777" w:rsidR="001A30D0" w:rsidRPr="00452D8D" w:rsidRDefault="001A30D0" w:rsidP="001A30D0">
      <w:pPr>
        <w:pStyle w:val="LI-BodyTextNumbered"/>
        <w:ind w:left="3828"/>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either:</w:t>
      </w:r>
    </w:p>
    <w:p w14:paraId="386DBB9C" w14:textId="77777777" w:rsidR="001A30D0" w:rsidRPr="00452D8D" w:rsidRDefault="001A30D0" w:rsidP="001A30D0">
      <w:pPr>
        <w:pStyle w:val="LI-BodyTextNumbered"/>
        <w:numPr>
          <w:ilvl w:val="0"/>
          <w:numId w:val="28"/>
        </w:numPr>
        <w:ind w:left="4395" w:hanging="567"/>
        <w:rPr>
          <w:rFonts w:ascii="Times New Roman" w:hAnsi="Times New Roman" w:cs="Times New Roman"/>
          <w:sz w:val="24"/>
        </w:rPr>
      </w:pPr>
      <w:r w:rsidRPr="00452D8D">
        <w:rPr>
          <w:rFonts w:ascii="Times New Roman" w:hAnsi="Times New Roman" w:cs="Times New Roman"/>
          <w:sz w:val="24"/>
        </w:rPr>
        <w:t>a security other than a share in a body or a debenture of a body; or</w:t>
      </w:r>
    </w:p>
    <w:p w14:paraId="64C32157" w14:textId="08CD5F8A" w:rsidR="001A30D0" w:rsidRPr="00452D8D" w:rsidRDefault="001A30D0" w:rsidP="001A30D0">
      <w:pPr>
        <w:pStyle w:val="LI-BodyTextNumbered"/>
        <w:numPr>
          <w:ilvl w:val="0"/>
          <w:numId w:val="28"/>
        </w:numPr>
        <w:ind w:left="4395" w:hanging="567"/>
        <w:rPr>
          <w:rFonts w:ascii="Times New Roman" w:hAnsi="Times New Roman" w:cs="Times New Roman"/>
          <w:sz w:val="24"/>
        </w:rPr>
      </w:pPr>
      <w:r w:rsidRPr="00452D8D">
        <w:rPr>
          <w:rFonts w:ascii="Times New Roman" w:hAnsi="Times New Roman" w:cs="Times New Roman"/>
          <w:sz w:val="24"/>
        </w:rPr>
        <w:t xml:space="preserve">a </w:t>
      </w:r>
      <w:r w:rsidR="00F57BEC" w:rsidRPr="008A0AFB">
        <w:rPr>
          <w:rFonts w:ascii="Times New Roman" w:hAnsi="Times New Roman" w:cs="Times New Roman"/>
          <w:sz w:val="24"/>
        </w:rPr>
        <w:t>collective investment product</w:t>
      </w:r>
      <w:r w:rsidRPr="008A0AFB">
        <w:rPr>
          <w:rFonts w:ascii="Times New Roman" w:hAnsi="Times New Roman" w:cs="Times New Roman"/>
          <w:sz w:val="24"/>
        </w:rPr>
        <w:t xml:space="preserve"> or</w:t>
      </w:r>
      <w:r w:rsidRPr="00452D8D">
        <w:rPr>
          <w:rFonts w:ascii="Times New Roman" w:hAnsi="Times New Roman" w:cs="Times New Roman"/>
          <w:sz w:val="24"/>
        </w:rPr>
        <w:t xml:space="preserve"> financial product referred to in paragraph </w:t>
      </w:r>
      <w:r w:rsidRPr="00452D8D">
        <w:rPr>
          <w:rFonts w:ascii="Times New Roman" w:hAnsi="Times New Roman" w:cs="Times New Roman"/>
          <w:sz w:val="24"/>
        </w:rPr>
        <w:lastRenderedPageBreak/>
        <w:t>764A(</w:t>
      </w:r>
      <w:proofErr w:type="gramStart"/>
      <w:r w:rsidRPr="00452D8D">
        <w:rPr>
          <w:rFonts w:ascii="Times New Roman" w:hAnsi="Times New Roman" w:cs="Times New Roman"/>
          <w:sz w:val="24"/>
        </w:rPr>
        <w:t>1)(</w:t>
      </w:r>
      <w:proofErr w:type="spellStart"/>
      <w:proofErr w:type="gramEnd"/>
      <w:r w:rsidRPr="00452D8D">
        <w:rPr>
          <w:rFonts w:ascii="Times New Roman" w:hAnsi="Times New Roman" w:cs="Times New Roman"/>
          <w:sz w:val="24"/>
        </w:rPr>
        <w:t>ba</w:t>
      </w:r>
      <w:proofErr w:type="spellEnd"/>
      <w:r w:rsidRPr="00452D8D">
        <w:rPr>
          <w:rFonts w:ascii="Times New Roman" w:hAnsi="Times New Roman" w:cs="Times New Roman"/>
          <w:sz w:val="24"/>
        </w:rPr>
        <w:t>) of the Act other than an interest in a managed investment scheme,</w:t>
      </w:r>
    </w:p>
    <w:p w14:paraId="2CE3065C" w14:textId="77777777" w:rsidR="001A30D0" w:rsidRPr="00452D8D" w:rsidRDefault="001A30D0" w:rsidP="001A30D0">
      <w:pPr>
        <w:pStyle w:val="LI-BodyTextNumbered"/>
        <w:ind w:left="3828" w:firstLine="0"/>
        <w:rPr>
          <w:rFonts w:ascii="Times New Roman" w:hAnsi="Times New Roman" w:cs="Times New Roman"/>
          <w:sz w:val="24"/>
        </w:rPr>
      </w:pPr>
      <w:r w:rsidRPr="00452D8D">
        <w:rPr>
          <w:rFonts w:ascii="Times New Roman" w:hAnsi="Times New Roman" w:cs="Times New Roman"/>
          <w:sz w:val="24"/>
        </w:rPr>
        <w:t>under which:</w:t>
      </w:r>
    </w:p>
    <w:p w14:paraId="1C77C5A6" w14:textId="77777777" w:rsidR="001A30D0" w:rsidRPr="00452D8D" w:rsidRDefault="001A30D0" w:rsidP="001A30D0">
      <w:pPr>
        <w:pStyle w:val="LI-BodyTextNumbered"/>
        <w:ind w:left="4395"/>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financial products (</w:t>
      </w:r>
      <w:r w:rsidRPr="00452D8D">
        <w:rPr>
          <w:rFonts w:ascii="Times New Roman" w:hAnsi="Times New Roman" w:cs="Times New Roman"/>
          <w:b/>
          <w:i/>
          <w:sz w:val="24"/>
        </w:rPr>
        <w:t>delivery products</w:t>
      </w:r>
      <w:r w:rsidRPr="00452D8D">
        <w:rPr>
          <w:rFonts w:ascii="Times New Roman" w:hAnsi="Times New Roman" w:cs="Times New Roman"/>
          <w:sz w:val="24"/>
        </w:rPr>
        <w:t>) will be delivered or an amount paid at a specified time (</w:t>
      </w:r>
      <w:r w:rsidRPr="00452D8D">
        <w:rPr>
          <w:rFonts w:ascii="Times New Roman" w:hAnsi="Times New Roman" w:cs="Times New Roman"/>
          <w:b/>
          <w:i/>
          <w:sz w:val="24"/>
        </w:rPr>
        <w:t>maturity</w:t>
      </w:r>
      <w:r w:rsidRPr="00452D8D">
        <w:rPr>
          <w:rFonts w:ascii="Times New Roman" w:hAnsi="Times New Roman" w:cs="Times New Roman"/>
          <w:sz w:val="24"/>
        </w:rPr>
        <w:t>) in the future; and</w:t>
      </w:r>
    </w:p>
    <w:p w14:paraId="39E63D0F" w14:textId="77777777" w:rsidR="001A30D0" w:rsidRPr="00452D8D" w:rsidRDefault="001A30D0" w:rsidP="001A30D0">
      <w:pPr>
        <w:pStyle w:val="LI-BodyTextNumbered"/>
        <w:ind w:left="4395"/>
        <w:rPr>
          <w:rFonts w:ascii="Times New Roman" w:hAnsi="Times New Roman" w:cs="Times New Roman"/>
          <w:sz w:val="24"/>
        </w:rPr>
      </w:pPr>
      <w:r w:rsidRPr="00452D8D">
        <w:rPr>
          <w:rFonts w:ascii="Times New Roman" w:hAnsi="Times New Roman" w:cs="Times New Roman"/>
          <w:sz w:val="24"/>
        </w:rPr>
        <w:t>(D)</w:t>
      </w:r>
      <w:r w:rsidRPr="00452D8D">
        <w:rPr>
          <w:rFonts w:ascii="Times New Roman" w:hAnsi="Times New Roman" w:cs="Times New Roman"/>
          <w:sz w:val="24"/>
        </w:rPr>
        <w:tab/>
        <w:t>the value of the delivery products to be delivered at maturity or the amount to be paid is ultimately determined, derived from or varies by reference to the value or amount of one or more of the following (each, a </w:t>
      </w:r>
      <w:r w:rsidRPr="00452D8D">
        <w:rPr>
          <w:rFonts w:ascii="Times New Roman" w:hAnsi="Times New Roman" w:cs="Times New Roman"/>
          <w:b/>
          <w:i/>
          <w:sz w:val="24"/>
        </w:rPr>
        <w:t>reference asset</w:t>
      </w:r>
      <w:r w:rsidRPr="00452D8D">
        <w:rPr>
          <w:rFonts w:ascii="Times New Roman" w:hAnsi="Times New Roman" w:cs="Times New Roman"/>
          <w:sz w:val="24"/>
        </w:rPr>
        <w:t>):</w:t>
      </w:r>
    </w:p>
    <w:p w14:paraId="50C1346D"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(I)</w:t>
      </w:r>
      <w:r w:rsidRPr="00452D8D">
        <w:rPr>
          <w:rFonts w:ascii="Times New Roman" w:hAnsi="Times New Roman" w:cs="Times New Roman"/>
          <w:sz w:val="24"/>
        </w:rPr>
        <w:tab/>
        <w:t>financial products other than the delivery products;</w:t>
      </w:r>
    </w:p>
    <w:p w14:paraId="1F051A7B"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an asset other than a financial product;</w:t>
      </w:r>
    </w:p>
    <w:p w14:paraId="21D5B534"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(III)</w:t>
      </w:r>
      <w:r w:rsidRPr="00452D8D">
        <w:rPr>
          <w:rFonts w:ascii="Times New Roman" w:hAnsi="Times New Roman" w:cs="Times New Roman"/>
          <w:sz w:val="24"/>
        </w:rPr>
        <w:tab/>
        <w:t>a rate (including an interest rate or exchange rate);</w:t>
      </w:r>
    </w:p>
    <w:p w14:paraId="1E956189"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(IV)</w:t>
      </w:r>
      <w:r w:rsidRPr="00452D8D">
        <w:rPr>
          <w:rFonts w:ascii="Times New Roman" w:hAnsi="Times New Roman" w:cs="Times New Roman"/>
          <w:sz w:val="24"/>
        </w:rPr>
        <w:tab/>
        <w:t>an index;</w:t>
      </w:r>
    </w:p>
    <w:p w14:paraId="63CB8FD9" w14:textId="77777777" w:rsidR="001A30D0" w:rsidRPr="00452D8D" w:rsidRDefault="001A30D0" w:rsidP="001A30D0">
      <w:pPr>
        <w:pStyle w:val="LI-BodyTextNumbered"/>
        <w:ind w:left="4395" w:firstLine="0"/>
        <w:rPr>
          <w:rFonts w:ascii="Times New Roman" w:hAnsi="Times New Roman" w:cs="Times New Roman"/>
          <w:sz w:val="24"/>
        </w:rPr>
      </w:pPr>
      <w:r w:rsidRPr="00452D8D">
        <w:rPr>
          <w:rFonts w:ascii="Times New Roman" w:hAnsi="Times New Roman" w:cs="Times New Roman"/>
          <w:sz w:val="24"/>
        </w:rPr>
        <w:t>provided that the reference asset is not related to the value of:</w:t>
      </w:r>
    </w:p>
    <w:p w14:paraId="135A51D3"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(V)</w:t>
      </w:r>
      <w:r w:rsidRPr="00452D8D">
        <w:rPr>
          <w:rFonts w:ascii="Times New Roman" w:hAnsi="Times New Roman" w:cs="Times New Roman"/>
          <w:sz w:val="24"/>
        </w:rPr>
        <w:tab/>
        <w:t>a share in a body or debenture of a body to which the delivery products relate; or</w:t>
      </w:r>
    </w:p>
    <w:p w14:paraId="0B01C4E7"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(VI)</w:t>
      </w:r>
      <w:r w:rsidRPr="00452D8D">
        <w:rPr>
          <w:rFonts w:ascii="Times New Roman" w:hAnsi="Times New Roman" w:cs="Times New Roman"/>
          <w:sz w:val="24"/>
        </w:rPr>
        <w:tab/>
        <w:t>the assets of the managed investment scheme to which the delivery products relate; or</w:t>
      </w:r>
    </w:p>
    <w:p w14:paraId="5DEB7CB3" w14:textId="77777777" w:rsidR="001A30D0" w:rsidRPr="00452D8D" w:rsidRDefault="001A30D0" w:rsidP="001A30D0">
      <w:pPr>
        <w:pStyle w:val="LI-BodyTextNumbered"/>
        <w:ind w:left="4962"/>
        <w:rPr>
          <w:rFonts w:ascii="Times New Roman" w:hAnsi="Times New Roman" w:cs="Times New Roman"/>
          <w:sz w:val="24"/>
        </w:rPr>
      </w:pPr>
      <w:r w:rsidRPr="00452D8D">
        <w:rPr>
          <w:rFonts w:ascii="Times New Roman" w:hAnsi="Times New Roman" w:cs="Times New Roman"/>
          <w:sz w:val="24"/>
        </w:rPr>
        <w:t>(VII)</w:t>
      </w:r>
      <w:r w:rsidRPr="00452D8D">
        <w:rPr>
          <w:rFonts w:ascii="Times New Roman" w:hAnsi="Times New Roman" w:cs="Times New Roman"/>
          <w:sz w:val="24"/>
        </w:rPr>
        <w:tab/>
        <w:t>the assets attributable to a class of interests in the managed investment scheme to which the delivery products relate; and</w:t>
      </w:r>
    </w:p>
    <w:p w14:paraId="2E1BD45E" w14:textId="77777777" w:rsidR="001A30D0" w:rsidRPr="00452D8D" w:rsidRDefault="001A30D0" w:rsidP="001A30D0">
      <w:pPr>
        <w:pStyle w:val="LI-BodyTextNumbered"/>
        <w:ind w:left="3261"/>
        <w:rPr>
          <w:rFonts w:ascii="Times New Roman" w:hAnsi="Times New Roman" w:cs="Times New Roman"/>
          <w:b/>
          <w:sz w:val="24"/>
        </w:rPr>
      </w:pPr>
      <w:r w:rsidRPr="00452D8D">
        <w:rPr>
          <w:rFonts w:ascii="Times New Roman" w:hAnsi="Times New Roman" w:cs="Times New Roman"/>
          <w:sz w:val="24"/>
        </w:rPr>
        <w:t>(b)</w:t>
      </w:r>
      <w:r w:rsidRPr="00452D8D">
        <w:rPr>
          <w:rFonts w:ascii="Times New Roman" w:hAnsi="Times New Roman" w:cs="Times New Roman"/>
          <w:sz w:val="24"/>
        </w:rPr>
        <w:tab/>
        <w:t>is not able to be traded on a financial market at the time it is acquired.</w:t>
      </w:r>
    </w:p>
    <w:p w14:paraId="7CAEDEDB"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reference asset</w:t>
      </w:r>
      <w:r w:rsidRPr="00452D8D">
        <w:rPr>
          <w:rFonts w:ascii="Times New Roman" w:hAnsi="Times New Roman" w:cs="Times New Roman"/>
          <w:sz w:val="24"/>
        </w:rPr>
        <w:t>:</w:t>
      </w:r>
    </w:p>
    <w:p w14:paraId="5BA8670D" w14:textId="77777777"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 xml:space="preserve">in relation to a derivative financial product that is a derivative—means the something else that the amount </w:t>
      </w:r>
      <w:r w:rsidRPr="00452D8D">
        <w:rPr>
          <w:rFonts w:ascii="Times New Roman" w:hAnsi="Times New Roman" w:cs="Times New Roman"/>
          <w:sz w:val="24"/>
        </w:rPr>
        <w:lastRenderedPageBreak/>
        <w:t>of the consideration, or the value of the arrangement, is ultimately determined, derived from, or varies by reference to and, if the something else is a rate of interest or inflation, the amount on which that rate is applied under the derivative financial product in determining the amount to be paid or received;</w:t>
      </w:r>
    </w:p>
    <w:p w14:paraId="66864259" w14:textId="55E47122" w:rsidR="001A30D0" w:rsidRPr="00452D8D" w:rsidRDefault="001A30D0" w:rsidP="001A30D0">
      <w:pPr>
        <w:pStyle w:val="LI-BodyTextNumbered"/>
        <w:ind w:left="3261"/>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 xml:space="preserve">in relation to a derivative financial product that is a security, </w:t>
      </w:r>
      <w:r w:rsidR="00B4742A" w:rsidRPr="008A0AFB">
        <w:rPr>
          <w:rFonts w:ascii="Times New Roman" w:hAnsi="Times New Roman" w:cs="Times New Roman"/>
          <w:sz w:val="24"/>
        </w:rPr>
        <w:t>collective investment product</w:t>
      </w:r>
      <w:r w:rsidRPr="008A0AFB">
        <w:rPr>
          <w:rFonts w:ascii="Times New Roman" w:hAnsi="Times New Roman" w:cs="Times New Roman"/>
          <w:sz w:val="24"/>
        </w:rPr>
        <w:t xml:space="preserve"> or</w:t>
      </w:r>
      <w:r w:rsidRPr="00452D8D">
        <w:rPr>
          <w:rFonts w:ascii="Times New Roman" w:hAnsi="Times New Roman" w:cs="Times New Roman"/>
          <w:sz w:val="24"/>
        </w:rPr>
        <w:t xml:space="preserve"> financial product referred to in paragraph 764A(1)(</w:t>
      </w:r>
      <w:proofErr w:type="spellStart"/>
      <w:r w:rsidRPr="00452D8D">
        <w:rPr>
          <w:rFonts w:ascii="Times New Roman" w:hAnsi="Times New Roman" w:cs="Times New Roman"/>
          <w:sz w:val="24"/>
        </w:rPr>
        <w:t>ba</w:t>
      </w:r>
      <w:proofErr w:type="spellEnd"/>
      <w:r w:rsidRPr="00452D8D">
        <w:rPr>
          <w:rFonts w:ascii="Times New Roman" w:hAnsi="Times New Roman" w:cs="Times New Roman"/>
          <w:sz w:val="24"/>
        </w:rPr>
        <w:t>) of the Act other than an interest in a managed investment scheme—has the meaning given by clause 101A(3A)(a)(ii)(D).</w:t>
      </w:r>
    </w:p>
    <w:p w14:paraId="47AC4E5C"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relevant financial year</w:t>
      </w:r>
      <w:r w:rsidRPr="00452D8D">
        <w:rPr>
          <w:rFonts w:ascii="Times New Roman" w:hAnsi="Times New Roman" w:cs="Times New Roman"/>
          <w:sz w:val="24"/>
        </w:rPr>
        <w:t xml:space="preserve"> means the financial year for which responsible person is calculating indirect costs.</w:t>
      </w:r>
    </w:p>
    <w:p w14:paraId="38470D31"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ultimate reference asset</w:t>
      </w:r>
      <w:r w:rsidRPr="00452D8D">
        <w:rPr>
          <w:rFonts w:ascii="Times New Roman" w:hAnsi="Times New Roman" w:cs="Times New Roman"/>
          <w:sz w:val="24"/>
        </w:rPr>
        <w:t>, in relation to a derivative financial product and each reference asset for the derivative financial product, means:</w:t>
      </w:r>
    </w:p>
    <w:p w14:paraId="18D1EE9D" w14:textId="77777777" w:rsidR="001A30D0" w:rsidRPr="00452D8D" w:rsidRDefault="001A30D0" w:rsidP="001A30D0">
      <w:pPr>
        <w:pStyle w:val="LI-BodyTextParaa"/>
        <w:ind w:left="3261"/>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to the extent that the reference asset is:</w:t>
      </w:r>
    </w:p>
    <w:p w14:paraId="48BBC065"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a derivative financial product; or</w:t>
      </w:r>
    </w:p>
    <w:p w14:paraId="65D0C7D8"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rights in an entity that would be an interposed vehicle if it were held by the superannuation entity or scheme; or</w:t>
      </w:r>
    </w:p>
    <w:p w14:paraId="158F8B8E" w14:textId="77777777" w:rsidR="001A30D0" w:rsidRPr="00452D8D" w:rsidRDefault="001A30D0" w:rsidP="001A30D0">
      <w:pPr>
        <w:pStyle w:val="LI-BodyTextSubparai"/>
        <w:ind w:left="3828"/>
        <w:rPr>
          <w:rFonts w:ascii="Times New Roman" w:hAnsi="Times New Roman" w:cs="Times New Roman"/>
          <w:sz w:val="24"/>
        </w:rPr>
      </w:pPr>
      <w:r w:rsidRPr="00452D8D">
        <w:rPr>
          <w:rFonts w:ascii="Times New Roman" w:hAnsi="Times New Roman" w:cs="Times New Roman"/>
          <w:sz w:val="24"/>
        </w:rPr>
        <w:t>(iii)</w:t>
      </w:r>
      <w:r w:rsidRPr="00452D8D">
        <w:rPr>
          <w:rFonts w:ascii="Times New Roman" w:hAnsi="Times New Roman" w:cs="Times New Roman"/>
          <w:sz w:val="24"/>
        </w:rPr>
        <w:tab/>
        <w:t>an index that includes a derivative financial product referred to in sub-paragraph (</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or rights in an entity referred to in sub-paragraph (ii),</w:t>
      </w:r>
    </w:p>
    <w:p w14:paraId="3EE97125" w14:textId="77777777" w:rsidR="001A30D0" w:rsidRPr="00452D8D" w:rsidRDefault="001A30D0" w:rsidP="001A30D0">
      <w:pPr>
        <w:pStyle w:val="LI-BodyTextParaa"/>
        <w:ind w:left="3261" w:firstLine="0"/>
        <w:rPr>
          <w:rFonts w:ascii="Times New Roman" w:hAnsi="Times New Roman" w:cs="Times New Roman"/>
          <w:sz w:val="24"/>
        </w:rPr>
      </w:pPr>
      <w:r w:rsidRPr="00452D8D">
        <w:rPr>
          <w:rFonts w:ascii="Times New Roman" w:hAnsi="Times New Roman" w:cs="Times New Roman"/>
          <w:sz w:val="24"/>
        </w:rPr>
        <w:t>the asset or assets from which the returns from the derivative financial product or rights in the entity are determined, or any asset or assets that are held in or through any other derivative financial products or entities that would be an interposed vehicle if they were held as part of the superannuation entity or scheme;</w:t>
      </w:r>
    </w:p>
    <w:p w14:paraId="1CA678E0" w14:textId="77777777" w:rsidR="001A30D0" w:rsidRPr="00452D8D" w:rsidRDefault="001A30D0" w:rsidP="001A30D0">
      <w:pPr>
        <w:pStyle w:val="LI-BodyTextParaa"/>
        <w:ind w:left="3261"/>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to the extent that the reference asset is not covered by any of the subparagraphs in paragraph (a)—the reference asset.</w:t>
      </w:r>
    </w:p>
    <w:p w14:paraId="3977FA73" w14:textId="77777777" w:rsidR="001A30D0" w:rsidRPr="00452D8D" w:rsidRDefault="001A30D0" w:rsidP="001A30D0">
      <w:pPr>
        <w:pStyle w:val="LI-BodyTextNumbered"/>
        <w:ind w:left="2694" w:firstLine="0"/>
        <w:rPr>
          <w:rFonts w:ascii="Times New Roman" w:hAnsi="Times New Roman" w:cs="Times New Roman"/>
          <w:sz w:val="24"/>
        </w:rPr>
      </w:pPr>
      <w:r w:rsidRPr="00452D8D">
        <w:rPr>
          <w:rFonts w:ascii="Times New Roman" w:hAnsi="Times New Roman" w:cs="Times New Roman"/>
          <w:b/>
          <w:i/>
          <w:sz w:val="24"/>
        </w:rPr>
        <w:t>underlying return</w:t>
      </w:r>
      <w:r w:rsidRPr="00452D8D">
        <w:rPr>
          <w:rFonts w:ascii="Times New Roman" w:hAnsi="Times New Roman" w:cs="Times New Roman"/>
          <w:sz w:val="24"/>
        </w:rPr>
        <w:t xml:space="preserve">, in relation to a derivative financial product, means the return that has been or would be received (as applicable), or loss that would be payable, because of the change in the value of the ultimate reference assets taking into </w:t>
      </w:r>
      <w:r w:rsidRPr="00452D8D">
        <w:rPr>
          <w:rFonts w:ascii="Times New Roman" w:hAnsi="Times New Roman" w:cs="Times New Roman"/>
          <w:sz w:val="24"/>
        </w:rPr>
        <w:lastRenderedPageBreak/>
        <w:t>account any leverage, offsets or similar adjustments applied to or between the ultimate reference assets under the terms of each relevant derivative financial product or interest in an interposed vehicle over the relevant financial year for which the derivative financial product was held.</w:t>
      </w:r>
    </w:p>
    <w:p w14:paraId="4ACFD5C8" w14:textId="37D50D6E" w:rsidR="001A30D0" w:rsidRPr="00452D8D" w:rsidRDefault="001A30D0" w:rsidP="001A30D0">
      <w:pPr>
        <w:pStyle w:val="LI-BodyTextNumbered"/>
        <w:ind w:left="2694"/>
        <w:rPr>
          <w:rFonts w:ascii="Times New Roman" w:hAnsi="Times New Roman" w:cs="Times New Roman"/>
          <w:sz w:val="24"/>
        </w:rPr>
      </w:pPr>
      <w:r w:rsidRPr="00452D8D">
        <w:rPr>
          <w:rFonts w:ascii="Times New Roman" w:hAnsi="Times New Roman" w:cs="Times New Roman"/>
          <w:sz w:val="24"/>
        </w:rPr>
        <w:t xml:space="preserve">(4)     Despite subclause (1) and (3), indirect costs of a </w:t>
      </w:r>
      <w:r w:rsidR="00B4742A" w:rsidRPr="008A0AFB">
        <w:rPr>
          <w:rFonts w:ascii="Times New Roman" w:hAnsi="Times New Roman" w:cs="Times New Roman"/>
          <w:sz w:val="24"/>
        </w:rPr>
        <w:t>collective investment product</w:t>
      </w:r>
      <w:r w:rsidRPr="00452D8D">
        <w:rPr>
          <w:rFonts w:ascii="Times New Roman" w:hAnsi="Times New Roman" w:cs="Times New Roman"/>
          <w:sz w:val="24"/>
        </w:rPr>
        <w:t xml:space="preserve"> or an investment option of a managed investment scheme do not include amounts referred to in subclause (3):</w:t>
      </w:r>
    </w:p>
    <w:p w14:paraId="224948DA" w14:textId="77777777" w:rsidR="001A30D0" w:rsidRPr="00452D8D" w:rsidRDefault="001A30D0" w:rsidP="001A30D0">
      <w:pPr>
        <w:pStyle w:val="LI-BodyTextNumbered"/>
        <w:ind w:left="3402" w:hanging="708"/>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where the derivative financial product referred to in subclause (3) is acquired or disposed of for the primary purpose of avoiding or limiting the financial consequences of fluctuations in, or in the value of, receipts or costs of the managed investment scheme whether or not the receipts or costs arise in or through an interposed vehicle; and</w:t>
      </w:r>
    </w:p>
    <w:p w14:paraId="707C9BF3" w14:textId="4797DD73" w:rsidR="001A30D0" w:rsidRPr="00452D8D" w:rsidRDefault="001A30D0" w:rsidP="001A30D0">
      <w:pPr>
        <w:pStyle w:val="LI-BodyTextNumbered"/>
        <w:ind w:left="3402" w:hanging="708"/>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 xml:space="preserve">where the indirect costs were calculated under paragraph (3)(a), to the extent that the difference would result from the incurring of transactional </w:t>
      </w:r>
      <w:r w:rsidR="00793457">
        <w:rPr>
          <w:rFonts w:ascii="Times New Roman" w:hAnsi="Times New Roman" w:cs="Times New Roman"/>
          <w:sz w:val="24"/>
        </w:rPr>
        <w:t>and</w:t>
      </w:r>
      <w:r w:rsidRPr="00452D8D">
        <w:rPr>
          <w:rFonts w:ascii="Times New Roman" w:hAnsi="Times New Roman" w:cs="Times New Roman"/>
          <w:sz w:val="24"/>
        </w:rPr>
        <w:t xml:space="preserve"> operational costs in relation to the ultimate reference assets.</w:t>
      </w:r>
    </w:p>
    <w:p w14:paraId="7777A16D" w14:textId="77777777" w:rsidR="001A30D0" w:rsidRPr="00452D8D" w:rsidRDefault="001A30D0" w:rsidP="001A30D0">
      <w:pPr>
        <w:spacing w:after="0"/>
        <w:ind w:left="1701"/>
        <w:rPr>
          <w:rFonts w:ascii="Times New Roman" w:hAnsi="Times New Roman" w:cs="Times New Roman"/>
          <w:sz w:val="24"/>
        </w:rPr>
      </w:pPr>
    </w:p>
    <w:p w14:paraId="4378BEDF" w14:textId="77777777" w:rsidR="001A30D0" w:rsidRPr="00452D8D" w:rsidRDefault="001A30D0" w:rsidP="001A30D0">
      <w:pPr>
        <w:spacing w:after="0"/>
        <w:ind w:left="3600" w:hanging="873"/>
        <w:rPr>
          <w:rFonts w:ascii="Times New Roman" w:hAnsi="Times New Roman" w:cs="Times New Roman"/>
          <w:sz w:val="18"/>
          <w:szCs w:val="18"/>
        </w:rPr>
      </w:pPr>
      <w:r w:rsidRPr="00452D8D">
        <w:rPr>
          <w:rFonts w:ascii="Times New Roman" w:hAnsi="Times New Roman" w:cs="Times New Roman"/>
          <w:sz w:val="18"/>
          <w:szCs w:val="18"/>
        </w:rPr>
        <w:t xml:space="preserve">Note: </w:t>
      </w:r>
      <w:r w:rsidRPr="00452D8D">
        <w:rPr>
          <w:rFonts w:ascii="Times New Roman" w:hAnsi="Times New Roman" w:cs="Times New Roman"/>
          <w:sz w:val="18"/>
          <w:szCs w:val="18"/>
        </w:rPr>
        <w:tab/>
        <w:t>Costs excluded under subparagraph (4) are likely to be transaction costs under clause 102. Indirect costs for superannuation products generally include transaction costs.”;</w:t>
      </w:r>
    </w:p>
    <w:p w14:paraId="0A3F36A0"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(v)</w:t>
      </w:r>
      <w:r w:rsidRPr="00452D8D">
        <w:rPr>
          <w:rFonts w:ascii="Times New Roman" w:hAnsi="Times New Roman" w:cs="Times New Roman"/>
          <w:sz w:val="24"/>
        </w:rPr>
        <w:tab/>
        <w:t>by inserting after the notional clause 101A (as inserted by this instrument):</w:t>
      </w:r>
    </w:p>
    <w:p w14:paraId="361F41C9" w14:textId="77777777" w:rsidR="001A30D0" w:rsidRPr="00452D8D" w:rsidRDefault="001A30D0" w:rsidP="001A30D0">
      <w:pPr>
        <w:pStyle w:val="LI-BodyTextNumbered"/>
        <w:ind w:left="1701" w:firstLine="0"/>
        <w:rPr>
          <w:rFonts w:ascii="Times New Roman" w:hAnsi="Times New Roman" w:cs="Times New Roman"/>
          <w:b/>
          <w:sz w:val="24"/>
        </w:rPr>
      </w:pPr>
      <w:r w:rsidRPr="00452D8D">
        <w:rPr>
          <w:rFonts w:ascii="Times New Roman" w:hAnsi="Times New Roman" w:cs="Times New Roman"/>
          <w:sz w:val="24"/>
        </w:rPr>
        <w:t>“</w:t>
      </w:r>
      <w:r w:rsidRPr="00452D8D">
        <w:rPr>
          <w:rFonts w:ascii="Times New Roman" w:hAnsi="Times New Roman" w:cs="Times New Roman"/>
          <w:b/>
          <w:sz w:val="24"/>
        </w:rPr>
        <w:t>101B Interposed vehicle</w:t>
      </w:r>
    </w:p>
    <w:p w14:paraId="682B958F"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(1)</w:t>
      </w:r>
      <w:r w:rsidRPr="00452D8D">
        <w:rPr>
          <w:rFonts w:ascii="Times New Roman" w:hAnsi="Times New Roman" w:cs="Times New Roman"/>
          <w:sz w:val="24"/>
        </w:rPr>
        <w:tab/>
        <w:t xml:space="preserve">A body, partnership or trust (each an </w:t>
      </w:r>
      <w:r w:rsidRPr="00452D8D">
        <w:rPr>
          <w:rFonts w:ascii="Times New Roman" w:hAnsi="Times New Roman" w:cs="Times New Roman"/>
          <w:b/>
          <w:i/>
          <w:sz w:val="24"/>
        </w:rPr>
        <w:t>entity</w:t>
      </w:r>
      <w:r w:rsidRPr="00452D8D">
        <w:rPr>
          <w:rFonts w:ascii="Times New Roman" w:hAnsi="Times New Roman" w:cs="Times New Roman"/>
          <w:sz w:val="24"/>
        </w:rPr>
        <w:t xml:space="preserve">) is an </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in relation to a product or investment option if both of the following are satisfied:</w:t>
      </w:r>
    </w:p>
    <w:p w14:paraId="6B156B1C"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property attributable to the product or investment option to which the Product Disclosure Statement relates is invested in or through the entity;</w:t>
      </w:r>
    </w:p>
    <w:p w14:paraId="2FBAFB0C"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the responsible person for the Product Disclosure Statement believes or has reasonable grounds to believe that the entity has more than 70% of its assets by value invested in securities or other financial products.</w:t>
      </w:r>
    </w:p>
    <w:p w14:paraId="333DC829"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lastRenderedPageBreak/>
        <w:t>(2)</w:t>
      </w:r>
      <w:r w:rsidRPr="00452D8D">
        <w:rPr>
          <w:rFonts w:ascii="Times New Roman" w:hAnsi="Times New Roman" w:cs="Times New Roman"/>
          <w:sz w:val="24"/>
        </w:rPr>
        <w:tab/>
        <w:t xml:space="preserve">For the purposes of subclause (1) and subject to subclause (3), in determining whether an entity (the </w:t>
      </w:r>
      <w:r w:rsidRPr="00452D8D">
        <w:rPr>
          <w:rFonts w:ascii="Times New Roman" w:hAnsi="Times New Roman" w:cs="Times New Roman"/>
          <w:b/>
          <w:i/>
          <w:sz w:val="24"/>
        </w:rPr>
        <w:t>first entity</w:t>
      </w:r>
      <w:r w:rsidRPr="00452D8D">
        <w:rPr>
          <w:rFonts w:ascii="Times New Roman" w:hAnsi="Times New Roman" w:cs="Times New Roman"/>
          <w:sz w:val="24"/>
        </w:rPr>
        <w:t>) has more than 70% of its assets by value invested in securities or other financial products, disregard for the numerator, securities or other financial products that:</w:t>
      </w:r>
    </w:p>
    <w:p w14:paraId="6434ADB3"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are reasonably regarded as a means by which the first entity makes an investment in real property or an infrastructure entity; or</w:t>
      </w:r>
    </w:p>
    <w:p w14:paraId="53F89FF1"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confer on the first entity control of another entity (the </w:t>
      </w:r>
      <w:r w:rsidRPr="00452D8D">
        <w:rPr>
          <w:rFonts w:ascii="Times New Roman" w:hAnsi="Times New Roman" w:cs="Times New Roman"/>
          <w:b/>
          <w:i/>
          <w:sz w:val="24"/>
        </w:rPr>
        <w:t>second entity</w:t>
      </w:r>
      <w:r w:rsidRPr="00452D8D">
        <w:rPr>
          <w:rFonts w:ascii="Times New Roman" w:hAnsi="Times New Roman" w:cs="Times New Roman"/>
          <w:sz w:val="24"/>
        </w:rPr>
        <w:t>), unless the responsible person for the Product Disclosure Statement has reasonable grounds to believe that the second entity has more than 70% of its assets by value invested in securities or other financial products.</w:t>
      </w:r>
    </w:p>
    <w:p w14:paraId="041CBA52"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(3)</w:t>
      </w:r>
      <w:r w:rsidRPr="00452D8D">
        <w:rPr>
          <w:rFonts w:ascii="Times New Roman" w:hAnsi="Times New Roman" w:cs="Times New Roman"/>
          <w:sz w:val="24"/>
        </w:rPr>
        <w:tab/>
        <w:t>For the purposes of paragraph (2)(b), in determining whether the second entity has more than 70% of its assets by value invested in securities or other financial products, apply subclause (2) to the second entity as if the second entity was the first entity referred to in that subclause.</w:t>
      </w:r>
    </w:p>
    <w:p w14:paraId="5D248021" w14:textId="0370F3E8" w:rsidR="00A833CC"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(4)</w:t>
      </w:r>
      <w:r w:rsidRPr="00452D8D">
        <w:rPr>
          <w:rFonts w:ascii="Times New Roman" w:hAnsi="Times New Roman" w:cs="Times New Roman"/>
          <w:sz w:val="24"/>
        </w:rPr>
        <w:tab/>
        <w:t xml:space="preserve">An entity is also an </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in relation to a product or investment option if, having regard to the Product Disclosure Statement for the product or investment option and any other information issued by the responsible person, a security or interest in the entity could be reasonably regarded, by retail clients who may be expected to be given the Product Disclosure Statement or other information, as the means by which the benefit of investments by or through the entity is obtained, rather than the investment of the </w:t>
      </w:r>
      <w:r w:rsidR="001560D0" w:rsidRPr="008A0AFB">
        <w:rPr>
          <w:rFonts w:ascii="Times New Roman" w:hAnsi="Times New Roman" w:cs="Times New Roman"/>
          <w:sz w:val="24"/>
        </w:rPr>
        <w:t>superannuation entity, registered scheme or notified foreign passport fund</w:t>
      </w:r>
      <w:r w:rsidRPr="008A0AFB">
        <w:rPr>
          <w:rFonts w:ascii="Times New Roman" w:hAnsi="Times New Roman" w:cs="Times New Roman"/>
          <w:sz w:val="24"/>
        </w:rPr>
        <w:t xml:space="preserve"> to which</w:t>
      </w:r>
      <w:r w:rsidRPr="00452D8D">
        <w:rPr>
          <w:rFonts w:ascii="Times New Roman" w:hAnsi="Times New Roman" w:cs="Times New Roman"/>
          <w:sz w:val="24"/>
        </w:rPr>
        <w:t xml:space="preserve"> the product or investment option relates.</w:t>
      </w:r>
    </w:p>
    <w:p w14:paraId="5C544F7F" w14:textId="77777777" w:rsidR="00A833CC" w:rsidRPr="00452D8D" w:rsidRDefault="00A833CC" w:rsidP="001A30D0">
      <w:pPr>
        <w:pStyle w:val="LI-BodyTextNumbered"/>
        <w:ind w:left="2268"/>
        <w:rPr>
          <w:rFonts w:ascii="Times New Roman" w:hAnsi="Times New Roman" w:cs="Times New Roman"/>
          <w:sz w:val="24"/>
        </w:rPr>
      </w:pPr>
      <w:r w:rsidRPr="00452D8D">
        <w:rPr>
          <w:rFonts w:ascii="Times New Roman" w:hAnsi="Times New Roman" w:cs="Times New Roman"/>
          <w:sz w:val="24"/>
        </w:rPr>
        <w:t>(4A)</w:t>
      </w:r>
      <w:r w:rsidRPr="00452D8D">
        <w:rPr>
          <w:rFonts w:ascii="Times New Roman" w:hAnsi="Times New Roman" w:cs="Times New Roman"/>
          <w:sz w:val="24"/>
        </w:rPr>
        <w:tab/>
        <w:t xml:space="preserve">Subject to subclause (4B), an entity is also an </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in relation to a product or investment option if:</w:t>
      </w:r>
    </w:p>
    <w:p w14:paraId="297AAF5A" w14:textId="77777777" w:rsidR="00A833CC" w:rsidRPr="00452D8D" w:rsidRDefault="00A833CC" w:rsidP="00A833CC">
      <w:pPr>
        <w:pStyle w:val="LI-BodyTextNumbered"/>
        <w:ind w:left="283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the Product Disclosure Statement for the product or investment option or any other information issued by the responsible person relating to the product or investment option issued by the responsible person that has been given or may be reasonably be expected to be given to retail clients refers to “property”, “real estate” or “land” or similar terms in the description of the product or investment option or as one of the assets (</w:t>
      </w:r>
      <w:r w:rsidRPr="00452D8D">
        <w:rPr>
          <w:rFonts w:ascii="Times New Roman" w:hAnsi="Times New Roman" w:cs="Times New Roman"/>
          <w:b/>
          <w:i/>
          <w:sz w:val="24"/>
        </w:rPr>
        <w:t>relevant asset</w:t>
      </w:r>
      <w:r w:rsidRPr="00452D8D">
        <w:rPr>
          <w:rFonts w:ascii="Times New Roman" w:hAnsi="Times New Roman" w:cs="Times New Roman"/>
          <w:sz w:val="24"/>
        </w:rPr>
        <w:t>) in which investment may be made under the product or investment option; and</w:t>
      </w:r>
    </w:p>
    <w:p w14:paraId="62A5DEF8" w14:textId="77777777" w:rsidR="00A833CC" w:rsidRPr="00452D8D" w:rsidRDefault="00A833CC" w:rsidP="00452D8D">
      <w:pPr>
        <w:spacing w:before="240"/>
        <w:ind w:left="2835" w:hanging="567"/>
        <w:rPr>
          <w:rFonts w:ascii="Times New Roman" w:hAnsi="Times New Roman" w:cs="Times New Roman"/>
          <w:sz w:val="24"/>
          <w:szCs w:val="24"/>
          <w:lang w:eastAsia="en-AU"/>
        </w:rPr>
      </w:pPr>
      <w:r w:rsidRPr="00452D8D">
        <w:rPr>
          <w:rFonts w:ascii="Times New Roman" w:hAnsi="Times New Roman" w:cs="Times New Roman"/>
          <w:sz w:val="24"/>
          <w:szCs w:val="24"/>
          <w:lang w:eastAsia="en-AU"/>
        </w:rPr>
        <w:lastRenderedPageBreak/>
        <w:t>(b)</w:t>
      </w:r>
      <w:r w:rsidRPr="00452D8D">
        <w:rPr>
          <w:rFonts w:ascii="Times New Roman" w:hAnsi="Times New Roman" w:cs="Times New Roman"/>
          <w:sz w:val="24"/>
          <w:szCs w:val="24"/>
          <w:lang w:eastAsia="en-AU"/>
        </w:rPr>
        <w:tab/>
        <w:t xml:space="preserve">real property or an interest in land to which the reference relates is directly or indirectly held by or through the entity; </w:t>
      </w:r>
    </w:p>
    <w:p w14:paraId="1067B0AE" w14:textId="77777777" w:rsidR="00A833CC" w:rsidRPr="00452D8D" w:rsidRDefault="00A833CC" w:rsidP="00452D8D">
      <w:pPr>
        <w:spacing w:before="240"/>
        <w:ind w:left="2268" w:hanging="567"/>
        <w:rPr>
          <w:rFonts w:ascii="Times New Roman" w:hAnsi="Times New Roman" w:cs="Times New Roman"/>
          <w:sz w:val="24"/>
          <w:szCs w:val="24"/>
          <w:lang w:eastAsia="en-AU"/>
        </w:rPr>
      </w:pPr>
      <w:r w:rsidRPr="00452D8D">
        <w:rPr>
          <w:rFonts w:ascii="Times New Roman" w:hAnsi="Times New Roman" w:cs="Times New Roman"/>
          <w:sz w:val="24"/>
          <w:szCs w:val="24"/>
          <w:lang w:eastAsia="en-AU"/>
        </w:rPr>
        <w:t>(4B)</w:t>
      </w:r>
      <w:r w:rsidRPr="00452D8D">
        <w:rPr>
          <w:rFonts w:ascii="Times New Roman" w:hAnsi="Times New Roman" w:cs="Times New Roman"/>
          <w:sz w:val="24"/>
          <w:szCs w:val="24"/>
          <w:lang w:eastAsia="en-AU"/>
        </w:rPr>
        <w:tab/>
        <w:t xml:space="preserve">An entity is not an </w:t>
      </w:r>
      <w:r w:rsidRPr="00452D8D">
        <w:rPr>
          <w:rFonts w:ascii="Times New Roman" w:hAnsi="Times New Roman" w:cs="Times New Roman"/>
          <w:b/>
          <w:i/>
          <w:sz w:val="24"/>
          <w:szCs w:val="24"/>
          <w:lang w:eastAsia="en-AU"/>
        </w:rPr>
        <w:t>interposed vehicle</w:t>
      </w:r>
      <w:r w:rsidRPr="00452D8D">
        <w:rPr>
          <w:rFonts w:ascii="Times New Roman" w:hAnsi="Times New Roman" w:cs="Times New Roman"/>
          <w:sz w:val="24"/>
          <w:szCs w:val="24"/>
          <w:lang w:eastAsia="en-AU"/>
        </w:rPr>
        <w:t xml:space="preserve"> because of subclause (4A) if both the following are satisfied:</w:t>
      </w:r>
    </w:p>
    <w:p w14:paraId="74F1BBDB" w14:textId="77777777" w:rsidR="00A833CC" w:rsidRPr="00452D8D" w:rsidRDefault="00A833CC" w:rsidP="00452D8D">
      <w:pPr>
        <w:spacing w:before="240"/>
        <w:ind w:left="2835" w:hanging="567"/>
        <w:rPr>
          <w:rFonts w:ascii="Times New Roman" w:hAnsi="Times New Roman" w:cs="Times New Roman"/>
          <w:sz w:val="24"/>
          <w:szCs w:val="24"/>
          <w:lang w:eastAsia="en-AU"/>
        </w:rPr>
      </w:pPr>
      <w:r w:rsidRPr="00452D8D">
        <w:rPr>
          <w:rFonts w:ascii="Times New Roman" w:hAnsi="Times New Roman" w:cs="Times New Roman"/>
          <w:sz w:val="24"/>
          <w:szCs w:val="24"/>
          <w:lang w:eastAsia="en-AU"/>
        </w:rPr>
        <w:t>(a)</w:t>
      </w:r>
      <w:r w:rsidRPr="00452D8D">
        <w:rPr>
          <w:rFonts w:ascii="Times New Roman" w:hAnsi="Times New Roman" w:cs="Times New Roman"/>
          <w:sz w:val="24"/>
          <w:szCs w:val="24"/>
          <w:lang w:eastAsia="en-AU"/>
        </w:rPr>
        <w:tab/>
        <w:t xml:space="preserve">the reference in the Product Disclosure Statement or other information is merely part of a reference to an entity (whether specified or not) that directly or indirectly invests in real property or interests in land or to physical infrastructure referred to in paragraphs </w:t>
      </w:r>
      <w:r w:rsidR="00F349E4" w:rsidRPr="00F349E4">
        <w:rPr>
          <w:rFonts w:ascii="Times New Roman" w:hAnsi="Times New Roman" w:cs="Times New Roman"/>
          <w:sz w:val="24"/>
          <w:szCs w:val="24"/>
          <w:lang w:eastAsia="en-AU"/>
        </w:rPr>
        <w:t xml:space="preserve">(a) to (j) of the definition of </w:t>
      </w:r>
      <w:r w:rsidR="00F349E4" w:rsidRPr="00452D8D">
        <w:rPr>
          <w:rFonts w:ascii="Times New Roman" w:hAnsi="Times New Roman" w:cs="Times New Roman"/>
          <w:b/>
          <w:i/>
          <w:sz w:val="24"/>
          <w:szCs w:val="24"/>
          <w:lang w:eastAsia="en-AU"/>
        </w:rPr>
        <w:t>infrastructure entity</w:t>
      </w:r>
      <w:r w:rsidR="00F349E4" w:rsidRPr="00F349E4">
        <w:rPr>
          <w:rFonts w:ascii="Times New Roman" w:hAnsi="Times New Roman" w:cs="Times New Roman"/>
          <w:sz w:val="24"/>
          <w:szCs w:val="24"/>
          <w:lang w:eastAsia="en-AU"/>
        </w:rPr>
        <w:t xml:space="preserve"> in subclause (6)</w:t>
      </w:r>
      <w:r w:rsidRPr="00452D8D">
        <w:rPr>
          <w:rFonts w:ascii="Times New Roman" w:hAnsi="Times New Roman" w:cs="Times New Roman"/>
          <w:sz w:val="24"/>
          <w:szCs w:val="24"/>
          <w:lang w:eastAsia="en-AU"/>
        </w:rPr>
        <w:t xml:space="preserve">; </w:t>
      </w:r>
    </w:p>
    <w:p w14:paraId="78C0A6AF" w14:textId="77777777" w:rsidR="00A833CC" w:rsidRPr="00452D8D" w:rsidRDefault="00A833CC" w:rsidP="00452D8D">
      <w:pPr>
        <w:spacing w:before="240"/>
        <w:ind w:left="2835" w:hanging="567"/>
        <w:rPr>
          <w:rFonts w:ascii="Times New Roman" w:hAnsi="Times New Roman" w:cs="Times New Roman"/>
          <w:sz w:val="24"/>
          <w:szCs w:val="24"/>
          <w:lang w:eastAsia="en-AU"/>
        </w:rPr>
      </w:pPr>
      <w:r w:rsidRPr="00452D8D">
        <w:rPr>
          <w:rFonts w:ascii="Times New Roman" w:hAnsi="Times New Roman" w:cs="Times New Roman"/>
          <w:sz w:val="24"/>
          <w:szCs w:val="24"/>
          <w:lang w:eastAsia="en-AU"/>
        </w:rPr>
        <w:t>(b)</w:t>
      </w:r>
      <w:r w:rsidRPr="00452D8D">
        <w:rPr>
          <w:rFonts w:ascii="Times New Roman" w:hAnsi="Times New Roman" w:cs="Times New Roman"/>
          <w:sz w:val="24"/>
          <w:szCs w:val="24"/>
          <w:lang w:eastAsia="en-AU"/>
        </w:rPr>
        <w:tab/>
        <w:t>a retail client who has read the Statement or other information could not reasonably believe that the product or investment option or the relevant asset may be intended for persons predominantly intending to benefit from increases in the value of, or returns from holding, real property or an interest in land other than physical infrastru</w:t>
      </w:r>
      <w:r w:rsidR="00F349E4" w:rsidRPr="00F349E4">
        <w:rPr>
          <w:rFonts w:ascii="Times New Roman" w:hAnsi="Times New Roman" w:cs="Times New Roman"/>
          <w:sz w:val="24"/>
          <w:szCs w:val="24"/>
          <w:lang w:eastAsia="en-AU"/>
        </w:rPr>
        <w:t>cture referred to in paragraphs</w:t>
      </w:r>
      <w:r w:rsidR="00F349E4">
        <w:rPr>
          <w:rFonts w:ascii="Times New Roman" w:hAnsi="Times New Roman" w:cs="Times New Roman"/>
          <w:sz w:val="24"/>
          <w:szCs w:val="24"/>
          <w:lang w:eastAsia="en-AU"/>
        </w:rPr>
        <w:t xml:space="preserve"> </w:t>
      </w:r>
      <w:r w:rsidR="00F349E4" w:rsidRPr="00F349E4">
        <w:rPr>
          <w:rFonts w:ascii="Times New Roman" w:hAnsi="Times New Roman" w:cs="Times New Roman"/>
          <w:sz w:val="24"/>
          <w:szCs w:val="24"/>
          <w:lang w:eastAsia="en-AU"/>
        </w:rPr>
        <w:t xml:space="preserve">(a) to (j) of the definition of </w:t>
      </w:r>
      <w:r w:rsidR="00F349E4" w:rsidRPr="00452D8D">
        <w:rPr>
          <w:rFonts w:ascii="Times New Roman" w:hAnsi="Times New Roman" w:cs="Times New Roman"/>
          <w:b/>
          <w:i/>
          <w:sz w:val="24"/>
          <w:szCs w:val="24"/>
          <w:lang w:eastAsia="en-AU"/>
        </w:rPr>
        <w:t>infrastructure entity</w:t>
      </w:r>
      <w:r w:rsidR="00F349E4" w:rsidRPr="00F349E4">
        <w:rPr>
          <w:rFonts w:ascii="Times New Roman" w:hAnsi="Times New Roman" w:cs="Times New Roman"/>
          <w:sz w:val="24"/>
          <w:szCs w:val="24"/>
          <w:lang w:eastAsia="en-AU"/>
        </w:rPr>
        <w:t xml:space="preserve"> in subclause (6)</w:t>
      </w:r>
      <w:r w:rsidRPr="00452D8D">
        <w:rPr>
          <w:rFonts w:ascii="Times New Roman" w:hAnsi="Times New Roman" w:cs="Times New Roman"/>
          <w:sz w:val="24"/>
          <w:szCs w:val="24"/>
          <w:lang w:eastAsia="en-AU"/>
        </w:rPr>
        <w:t>.</w:t>
      </w:r>
    </w:p>
    <w:p w14:paraId="11C77798" w14:textId="77777777" w:rsidR="00A833CC" w:rsidRPr="00452D8D" w:rsidRDefault="00A833CC" w:rsidP="00452D8D">
      <w:pPr>
        <w:spacing w:before="240"/>
        <w:ind w:left="2268" w:hanging="567"/>
        <w:rPr>
          <w:rFonts w:ascii="Times New Roman" w:hAnsi="Times New Roman" w:cs="Times New Roman"/>
          <w:sz w:val="24"/>
          <w:szCs w:val="24"/>
          <w:lang w:eastAsia="en-AU"/>
        </w:rPr>
      </w:pPr>
      <w:r w:rsidRPr="00452D8D">
        <w:rPr>
          <w:rFonts w:ascii="Times New Roman" w:hAnsi="Times New Roman" w:cs="Times New Roman"/>
          <w:sz w:val="24"/>
          <w:szCs w:val="24"/>
          <w:lang w:eastAsia="en-AU"/>
        </w:rPr>
        <w:t>(4C)</w:t>
      </w:r>
      <w:r w:rsidRPr="00452D8D">
        <w:rPr>
          <w:rFonts w:ascii="Times New Roman" w:hAnsi="Times New Roman" w:cs="Times New Roman"/>
          <w:sz w:val="24"/>
          <w:szCs w:val="24"/>
          <w:lang w:eastAsia="en-AU"/>
        </w:rPr>
        <w:tab/>
        <w:t xml:space="preserve">Subject to subclause (4D), an entity is also an </w:t>
      </w:r>
      <w:r w:rsidRPr="00452D8D">
        <w:rPr>
          <w:rFonts w:ascii="Times New Roman" w:hAnsi="Times New Roman" w:cs="Times New Roman"/>
          <w:b/>
          <w:i/>
          <w:sz w:val="24"/>
          <w:szCs w:val="24"/>
          <w:lang w:eastAsia="en-AU"/>
        </w:rPr>
        <w:t>interposed vehicle</w:t>
      </w:r>
      <w:r w:rsidRPr="00452D8D">
        <w:rPr>
          <w:rFonts w:ascii="Times New Roman" w:hAnsi="Times New Roman" w:cs="Times New Roman"/>
          <w:sz w:val="24"/>
          <w:szCs w:val="24"/>
          <w:lang w:eastAsia="en-AU"/>
        </w:rPr>
        <w:t xml:space="preserve"> in relation to a product or investment option if: </w:t>
      </w:r>
    </w:p>
    <w:p w14:paraId="2C43CAFA" w14:textId="77777777" w:rsidR="00A833CC" w:rsidRPr="00452D8D" w:rsidRDefault="00A833CC" w:rsidP="00452D8D">
      <w:pPr>
        <w:pStyle w:val="LI-BodyTextNumbered"/>
        <w:ind w:left="2835"/>
        <w:rPr>
          <w:rFonts w:ascii="Times New Roman" w:hAnsi="Times New Roman" w:cs="Times New Roman"/>
          <w:sz w:val="24"/>
        </w:rPr>
      </w:pPr>
      <w:r w:rsidRPr="00452D8D">
        <w:rPr>
          <w:rFonts w:ascii="Times New Roman" w:eastAsia="Calibri" w:hAnsi="Times New Roman" w:cs="Times New Roman"/>
          <w:sz w:val="24"/>
          <w:lang w:eastAsia="en-US"/>
        </w:rPr>
        <w:t>(a)</w:t>
      </w:r>
      <w:r w:rsidRPr="00452D8D">
        <w:rPr>
          <w:rFonts w:ascii="Times New Roman" w:eastAsia="Calibri" w:hAnsi="Times New Roman" w:cs="Times New Roman"/>
          <w:sz w:val="24"/>
          <w:lang w:eastAsia="en-US"/>
        </w:rPr>
        <w:tab/>
        <w:t xml:space="preserve">the Product Disclosure Statement for the product or investment option or any other information issued by the responsible person relating to the product or investment option that has been given or may be reasonably expected to be given to retail clients refers to the product or option as being directly or indirectly invested in or through an entity (whether specified or not) other than an infrastructure entity which the responsible person believes has a majority of its assets invested in </w:t>
      </w:r>
      <w:r w:rsidRPr="00452D8D">
        <w:rPr>
          <w:rFonts w:ascii="Times New Roman" w:hAnsi="Times New Roman" w:cs="Times New Roman"/>
          <w:sz w:val="24"/>
        </w:rPr>
        <w:t xml:space="preserve">physical infrastructure referred to in paragraphs </w:t>
      </w:r>
      <w:r w:rsidR="00F349E4" w:rsidRPr="00F349E4">
        <w:rPr>
          <w:rFonts w:ascii="Times New Roman" w:hAnsi="Times New Roman" w:cs="Times New Roman"/>
          <w:sz w:val="24"/>
        </w:rPr>
        <w:t xml:space="preserve">(a) to (j) of the definition of </w:t>
      </w:r>
      <w:r w:rsidR="00F349E4" w:rsidRPr="003419D0">
        <w:rPr>
          <w:rFonts w:ascii="Times New Roman" w:hAnsi="Times New Roman" w:cs="Times New Roman"/>
          <w:b/>
          <w:i/>
          <w:sz w:val="24"/>
        </w:rPr>
        <w:t>infrastructure entity</w:t>
      </w:r>
      <w:r w:rsidR="00F349E4" w:rsidRPr="00F349E4">
        <w:rPr>
          <w:rFonts w:ascii="Times New Roman" w:hAnsi="Times New Roman" w:cs="Times New Roman"/>
          <w:sz w:val="24"/>
        </w:rPr>
        <w:t xml:space="preserve"> in subclause (6)</w:t>
      </w:r>
      <w:r w:rsidRPr="00452D8D">
        <w:rPr>
          <w:rFonts w:ascii="Times New Roman" w:eastAsia="Calibri" w:hAnsi="Times New Roman" w:cs="Times New Roman"/>
          <w:sz w:val="24"/>
          <w:lang w:eastAsia="en-US"/>
        </w:rPr>
        <w:t xml:space="preserve">; </w:t>
      </w:r>
      <w:r w:rsidRPr="00452D8D">
        <w:rPr>
          <w:rFonts w:ascii="Times New Roman" w:hAnsi="Times New Roman" w:cs="Times New Roman"/>
          <w:sz w:val="24"/>
        </w:rPr>
        <w:t>and</w:t>
      </w:r>
    </w:p>
    <w:p w14:paraId="3FCE9A9C" w14:textId="77777777" w:rsidR="00A833CC" w:rsidRPr="00452D8D" w:rsidRDefault="00A833CC" w:rsidP="00452D8D">
      <w:pPr>
        <w:pStyle w:val="LI-BodyTextNumbered"/>
        <w:ind w:left="283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 xml:space="preserve">the reference relates to the entity. </w:t>
      </w:r>
    </w:p>
    <w:p w14:paraId="740E1894" w14:textId="77777777" w:rsidR="00A833CC" w:rsidRPr="00452D8D" w:rsidRDefault="00A833CC" w:rsidP="00452D8D">
      <w:pPr>
        <w:pStyle w:val="LI-BodyTextNumbered"/>
        <w:ind w:left="2268"/>
        <w:rPr>
          <w:rFonts w:ascii="Times New Roman" w:hAnsi="Times New Roman" w:cs="Times New Roman"/>
          <w:sz w:val="24"/>
        </w:rPr>
      </w:pPr>
      <w:r w:rsidRPr="00452D8D">
        <w:rPr>
          <w:rFonts w:ascii="Times New Roman" w:hAnsi="Times New Roman" w:cs="Times New Roman"/>
          <w:sz w:val="24"/>
        </w:rPr>
        <w:t xml:space="preserve">(4D) </w:t>
      </w:r>
      <w:r w:rsidRPr="00452D8D">
        <w:rPr>
          <w:rFonts w:ascii="Times New Roman" w:hAnsi="Times New Roman" w:cs="Times New Roman"/>
          <w:sz w:val="24"/>
        </w:rPr>
        <w:tab/>
        <w:t xml:space="preserve">An entity is not an </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because of subclause (4C) if:</w:t>
      </w:r>
    </w:p>
    <w:p w14:paraId="5BD1D1A9" w14:textId="77777777" w:rsidR="00A833CC" w:rsidRPr="00452D8D" w:rsidRDefault="00A833CC" w:rsidP="00452D8D">
      <w:pPr>
        <w:pStyle w:val="LI-BodyTextNumbered"/>
        <w:ind w:left="283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either of the following is satisfied:</w:t>
      </w:r>
    </w:p>
    <w:p w14:paraId="1B652FD1" w14:textId="77777777" w:rsidR="00A833CC" w:rsidRPr="00452D8D" w:rsidRDefault="00A833CC" w:rsidP="00452D8D">
      <w:pPr>
        <w:pStyle w:val="LI-BodyTextNumbered"/>
        <w:ind w:left="329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the entity is admitted to the official list of a prescribed financial market or a financial market operated outside of this jurisdiction that is regulated by a foreign government or an agency of a foreign government; </w:t>
      </w:r>
    </w:p>
    <w:p w14:paraId="13E81C3A" w14:textId="77777777" w:rsidR="00A833CC" w:rsidRPr="00452D8D" w:rsidRDefault="00A833CC" w:rsidP="00452D8D">
      <w:pPr>
        <w:pStyle w:val="LI-BodyTextNumbered"/>
        <w:ind w:left="3291"/>
        <w:rPr>
          <w:rFonts w:ascii="Times New Roman" w:hAnsi="Times New Roman" w:cs="Times New Roman"/>
          <w:sz w:val="24"/>
        </w:rPr>
      </w:pPr>
      <w:r w:rsidRPr="00452D8D">
        <w:rPr>
          <w:rFonts w:ascii="Times New Roman" w:hAnsi="Times New Roman" w:cs="Times New Roman"/>
          <w:sz w:val="24"/>
        </w:rPr>
        <w:lastRenderedPageBreak/>
        <w:t>(ii)</w:t>
      </w:r>
      <w:r w:rsidRPr="00452D8D">
        <w:rPr>
          <w:rFonts w:ascii="Times New Roman" w:hAnsi="Times New Roman" w:cs="Times New Roman"/>
          <w:sz w:val="24"/>
        </w:rPr>
        <w:tab/>
        <w:t>the issuer of the securities or financial products of the entity has applied, or stated in a regulated disclosure</w:t>
      </w:r>
      <w:r w:rsidR="00F81C6C">
        <w:rPr>
          <w:rFonts w:ascii="Times New Roman" w:hAnsi="Times New Roman" w:cs="Times New Roman"/>
          <w:sz w:val="24"/>
        </w:rPr>
        <w:t xml:space="preserve"> that</w:t>
      </w:r>
      <w:r w:rsidRPr="00452D8D">
        <w:rPr>
          <w:rFonts w:ascii="Times New Roman" w:hAnsi="Times New Roman" w:cs="Times New Roman"/>
          <w:sz w:val="24"/>
        </w:rPr>
        <w:t xml:space="preserve"> they will apply, for such admission; and</w:t>
      </w:r>
    </w:p>
    <w:p w14:paraId="4A8F927E" w14:textId="77777777" w:rsidR="00F81C6C" w:rsidRDefault="00A833CC" w:rsidP="00452D8D">
      <w:pPr>
        <w:pStyle w:val="LI-BodyTextNumbered"/>
        <w:ind w:left="283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the securities or finan</w:t>
      </w:r>
      <w:r w:rsidR="00F81C6C" w:rsidRPr="00F81C6C">
        <w:rPr>
          <w:rFonts w:ascii="Times New Roman" w:hAnsi="Times New Roman" w:cs="Times New Roman"/>
          <w:sz w:val="24"/>
        </w:rPr>
        <w:t>cial products of the entity are</w:t>
      </w:r>
      <w:r w:rsidR="00F81C6C">
        <w:rPr>
          <w:rFonts w:ascii="Times New Roman" w:hAnsi="Times New Roman" w:cs="Times New Roman"/>
          <w:sz w:val="24"/>
        </w:rPr>
        <w:t xml:space="preserve">, or are </w:t>
      </w:r>
      <w:r w:rsidRPr="00452D8D">
        <w:rPr>
          <w:rFonts w:ascii="Times New Roman" w:hAnsi="Times New Roman" w:cs="Times New Roman"/>
          <w:sz w:val="24"/>
        </w:rPr>
        <w:t>to be</w:t>
      </w:r>
      <w:r w:rsidR="00F81C6C">
        <w:rPr>
          <w:rFonts w:ascii="Times New Roman" w:hAnsi="Times New Roman" w:cs="Times New Roman"/>
          <w:sz w:val="24"/>
        </w:rPr>
        <w:t>,</w:t>
      </w:r>
      <w:r w:rsidRPr="00452D8D">
        <w:rPr>
          <w:rFonts w:ascii="Times New Roman" w:hAnsi="Times New Roman" w:cs="Times New Roman"/>
          <w:sz w:val="24"/>
        </w:rPr>
        <w:t xml:space="preserve"> held under an investment strategy for the product or investment option that</w:t>
      </w:r>
      <w:r w:rsidR="00F81C6C">
        <w:rPr>
          <w:rFonts w:ascii="Times New Roman" w:hAnsi="Times New Roman" w:cs="Times New Roman"/>
          <w:sz w:val="24"/>
        </w:rPr>
        <w:t>:</w:t>
      </w:r>
    </w:p>
    <w:p w14:paraId="00F3D92C" w14:textId="77777777" w:rsidR="00A833CC" w:rsidRPr="00452D8D" w:rsidRDefault="00F81C6C" w:rsidP="00452D8D">
      <w:pPr>
        <w:pStyle w:val="LI-BodyTextNumbered"/>
        <w:ind w:left="3304"/>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 xml:space="preserve">)     </w:t>
      </w:r>
      <w:r w:rsidR="00A833CC" w:rsidRPr="00452D8D">
        <w:rPr>
          <w:rFonts w:ascii="Times New Roman" w:hAnsi="Times New Roman" w:cs="Times New Roman"/>
          <w:sz w:val="24"/>
        </w:rPr>
        <w:t xml:space="preserve"> relates to</w:t>
      </w:r>
      <w:r>
        <w:rPr>
          <w:rFonts w:ascii="Times New Roman" w:hAnsi="Times New Roman" w:cs="Times New Roman"/>
          <w:sz w:val="24"/>
        </w:rPr>
        <w:t>,</w:t>
      </w:r>
      <w:r w:rsidR="00A833CC" w:rsidRPr="00452D8D">
        <w:rPr>
          <w:rFonts w:ascii="Times New Roman" w:hAnsi="Times New Roman" w:cs="Times New Roman"/>
          <w:sz w:val="24"/>
        </w:rPr>
        <w:t xml:space="preserve"> or is publicly measured by the responsible person by reference to</w:t>
      </w:r>
      <w:r>
        <w:rPr>
          <w:rFonts w:ascii="Times New Roman" w:hAnsi="Times New Roman" w:cs="Times New Roman"/>
          <w:sz w:val="24"/>
        </w:rPr>
        <w:t>,</w:t>
      </w:r>
      <w:r w:rsidR="00A833CC" w:rsidRPr="00452D8D">
        <w:rPr>
          <w:rFonts w:ascii="Times New Roman" w:hAnsi="Times New Roman" w:cs="Times New Roman"/>
          <w:sz w:val="24"/>
        </w:rPr>
        <w:t xml:space="preserve"> a widely used </w:t>
      </w:r>
      <w:r w:rsidR="00120994">
        <w:rPr>
          <w:rFonts w:ascii="Times New Roman" w:hAnsi="Times New Roman" w:cs="Times New Roman"/>
          <w:sz w:val="24"/>
        </w:rPr>
        <w:t xml:space="preserve">index </w:t>
      </w:r>
      <w:r w:rsidRPr="00452D8D">
        <w:rPr>
          <w:rFonts w:ascii="Times New Roman" w:hAnsi="Times New Roman" w:cs="Times New Roman"/>
          <w:sz w:val="24"/>
        </w:rPr>
        <w:t>(</w:t>
      </w:r>
      <w:r w:rsidRPr="00452D8D">
        <w:rPr>
          <w:rFonts w:ascii="Times New Roman" w:hAnsi="Times New Roman" w:cs="Times New Roman"/>
          <w:b/>
          <w:i/>
          <w:sz w:val="24"/>
        </w:rPr>
        <w:t>reference index</w:t>
      </w:r>
      <w:r w:rsidRPr="00452D8D">
        <w:rPr>
          <w:rFonts w:ascii="Times New Roman" w:hAnsi="Times New Roman" w:cs="Times New Roman"/>
          <w:sz w:val="24"/>
        </w:rPr>
        <w:t>)</w:t>
      </w:r>
      <w:r w:rsidR="00A833CC" w:rsidRPr="00452D8D">
        <w:rPr>
          <w:rFonts w:ascii="Times New Roman" w:hAnsi="Times New Roman" w:cs="Times New Roman"/>
          <w:sz w:val="24"/>
        </w:rPr>
        <w:t xml:space="preserve"> of securities or financial products of entities </w:t>
      </w:r>
      <w:r>
        <w:rPr>
          <w:rFonts w:ascii="Times New Roman" w:hAnsi="Times New Roman" w:cs="Times New Roman"/>
          <w:sz w:val="24"/>
        </w:rPr>
        <w:t>th</w:t>
      </w:r>
      <w:r w:rsidR="00A833CC" w:rsidRPr="00452D8D">
        <w:rPr>
          <w:rFonts w:ascii="Times New Roman" w:hAnsi="Times New Roman" w:cs="Times New Roman"/>
          <w:sz w:val="24"/>
        </w:rPr>
        <w:t xml:space="preserve">at satisfy </w:t>
      </w:r>
      <w:r w:rsidR="00120994">
        <w:rPr>
          <w:rFonts w:ascii="Times New Roman" w:hAnsi="Times New Roman" w:cs="Times New Roman"/>
          <w:sz w:val="24"/>
        </w:rPr>
        <w:t>sub</w:t>
      </w:r>
      <w:r w:rsidR="00A833CC" w:rsidRPr="00452D8D">
        <w:rPr>
          <w:rFonts w:ascii="Times New Roman" w:hAnsi="Times New Roman" w:cs="Times New Roman"/>
          <w:sz w:val="24"/>
        </w:rPr>
        <w:t>paragraph (a)</w:t>
      </w:r>
      <w:r>
        <w:rPr>
          <w:rFonts w:ascii="Times New Roman" w:hAnsi="Times New Roman" w:cs="Times New Roman"/>
          <w:sz w:val="24"/>
        </w:rPr>
        <w:t>(</w:t>
      </w:r>
      <w:proofErr w:type="spellStart"/>
      <w:r>
        <w:rPr>
          <w:rFonts w:ascii="Times New Roman" w:hAnsi="Times New Roman" w:cs="Times New Roman"/>
          <w:sz w:val="24"/>
        </w:rPr>
        <w:t>i</w:t>
      </w:r>
      <w:proofErr w:type="spellEnd"/>
      <w:r>
        <w:rPr>
          <w:rFonts w:ascii="Times New Roman" w:hAnsi="Times New Roman" w:cs="Times New Roman"/>
          <w:sz w:val="24"/>
        </w:rPr>
        <w:t>)</w:t>
      </w:r>
      <w:r w:rsidR="00A833CC" w:rsidRPr="00452D8D">
        <w:rPr>
          <w:rFonts w:ascii="Times New Roman" w:hAnsi="Times New Roman" w:cs="Times New Roman"/>
          <w:sz w:val="24"/>
        </w:rPr>
        <w:t>; and</w:t>
      </w:r>
    </w:p>
    <w:p w14:paraId="25DF27F4" w14:textId="77777777" w:rsidR="00F81C6C" w:rsidRDefault="00A833CC" w:rsidP="00452D8D">
      <w:pPr>
        <w:pStyle w:val="LI-BodyTextNumbered"/>
        <w:ind w:left="329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r>
      <w:r w:rsidR="00F81C6C">
        <w:rPr>
          <w:rFonts w:ascii="Times New Roman" w:hAnsi="Times New Roman" w:cs="Times New Roman"/>
          <w:sz w:val="24"/>
        </w:rPr>
        <w:t>is a strategy of holding directly or indirectly securities or financial products:</w:t>
      </w:r>
    </w:p>
    <w:p w14:paraId="7D0C939B" w14:textId="77777777" w:rsidR="00F81C6C" w:rsidRPr="00452D8D" w:rsidRDefault="00F81C6C" w:rsidP="00452D8D">
      <w:pPr>
        <w:pStyle w:val="LI-BodyTextNumbered"/>
        <w:numPr>
          <w:ilvl w:val="0"/>
          <w:numId w:val="29"/>
        </w:numPr>
        <w:rPr>
          <w:rFonts w:ascii="Times New Roman" w:hAnsi="Times New Roman" w:cs="Times New Roman"/>
          <w:sz w:val="24"/>
        </w:rPr>
      </w:pPr>
      <w:r>
        <w:rPr>
          <w:rFonts w:ascii="Times New Roman" w:hAnsi="Times New Roman" w:cs="Times New Roman"/>
          <w:sz w:val="24"/>
        </w:rPr>
        <w:t xml:space="preserve">of entities that </w:t>
      </w:r>
      <w:r w:rsidRPr="00452D8D">
        <w:rPr>
          <w:rFonts w:ascii="Times New Roman" w:hAnsi="Times New Roman" w:cs="Times New Roman"/>
          <w:sz w:val="24"/>
          <w:u w:val="single"/>
        </w:rPr>
        <w:t>satis</w:t>
      </w:r>
      <w:r>
        <w:rPr>
          <w:rFonts w:ascii="Times New Roman" w:hAnsi="Times New Roman" w:cs="Times New Roman"/>
          <w:sz w:val="24"/>
          <w:u w:val="single"/>
        </w:rPr>
        <w:t>fy paragraph (a); and</w:t>
      </w:r>
    </w:p>
    <w:p w14:paraId="66879017" w14:textId="77777777" w:rsidR="00A833CC" w:rsidRPr="00452D8D" w:rsidRDefault="00A833CC" w:rsidP="00452D8D">
      <w:pPr>
        <w:pStyle w:val="LI-BodyTextNumbered"/>
        <w:numPr>
          <w:ilvl w:val="0"/>
          <w:numId w:val="29"/>
        </w:numPr>
        <w:rPr>
          <w:rFonts w:ascii="Times New Roman" w:hAnsi="Times New Roman" w:cs="Times New Roman"/>
          <w:sz w:val="24"/>
        </w:rPr>
      </w:pPr>
      <w:r w:rsidRPr="00452D8D">
        <w:rPr>
          <w:rFonts w:ascii="Times New Roman" w:hAnsi="Times New Roman" w:cs="Times New Roman"/>
          <w:sz w:val="24"/>
          <w:u w:val="single"/>
        </w:rPr>
        <w:t>that</w:t>
      </w:r>
      <w:r w:rsidRPr="00452D8D">
        <w:rPr>
          <w:rFonts w:ascii="Times New Roman" w:hAnsi="Times New Roman" w:cs="Times New Roman"/>
          <w:sz w:val="24"/>
        </w:rPr>
        <w:t xml:space="preserve"> represent at least 80% by value of the net assets attributable to the investment strategy; and</w:t>
      </w:r>
    </w:p>
    <w:p w14:paraId="79AF9E4A" w14:textId="77777777" w:rsidR="00A833CC" w:rsidRPr="00452D8D" w:rsidRDefault="00A833CC" w:rsidP="00F81C6C">
      <w:pPr>
        <w:pStyle w:val="LI-BodyTextNumbered"/>
        <w:ind w:left="2835"/>
        <w:rPr>
          <w:rFonts w:ascii="Times New Roman" w:hAnsi="Times New Roman" w:cs="Times New Roman"/>
          <w:sz w:val="24"/>
        </w:rPr>
      </w:pPr>
      <w:r w:rsidRPr="00452D8D">
        <w:rPr>
          <w:rFonts w:ascii="Times New Roman" w:hAnsi="Times New Roman" w:cs="Times New Roman"/>
          <w:sz w:val="24"/>
        </w:rPr>
        <w:t>(</w:t>
      </w:r>
      <w:r w:rsidR="00F81C6C">
        <w:rPr>
          <w:rFonts w:ascii="Times New Roman" w:hAnsi="Times New Roman" w:cs="Times New Roman"/>
          <w:sz w:val="24"/>
        </w:rPr>
        <w:t>c</w:t>
      </w:r>
      <w:r w:rsidRPr="00452D8D">
        <w:rPr>
          <w:rFonts w:ascii="Times New Roman" w:hAnsi="Times New Roman" w:cs="Times New Roman"/>
          <w:sz w:val="24"/>
        </w:rPr>
        <w:t>)</w:t>
      </w:r>
      <w:r w:rsidRPr="00452D8D">
        <w:rPr>
          <w:rFonts w:ascii="Times New Roman" w:hAnsi="Times New Roman" w:cs="Times New Roman"/>
          <w:sz w:val="24"/>
        </w:rPr>
        <w:tab/>
        <w:t>the value of</w:t>
      </w:r>
      <w:r w:rsidR="00F81C6C">
        <w:rPr>
          <w:rFonts w:ascii="Times New Roman" w:hAnsi="Times New Roman" w:cs="Times New Roman"/>
          <w:sz w:val="24"/>
        </w:rPr>
        <w:t xml:space="preserve"> all</w:t>
      </w:r>
      <w:r w:rsidRPr="00452D8D">
        <w:rPr>
          <w:rFonts w:ascii="Times New Roman" w:hAnsi="Times New Roman" w:cs="Times New Roman"/>
          <w:sz w:val="24"/>
        </w:rPr>
        <w:t xml:space="preserve"> the securities or financial products of the entity</w:t>
      </w:r>
      <w:r w:rsidR="00F81C6C">
        <w:rPr>
          <w:rFonts w:ascii="Times New Roman" w:hAnsi="Times New Roman" w:cs="Times New Roman"/>
          <w:sz w:val="24"/>
        </w:rPr>
        <w:t xml:space="preserve"> </w:t>
      </w:r>
      <w:r w:rsidR="00F81C6C" w:rsidRPr="00F81C6C">
        <w:rPr>
          <w:rFonts w:ascii="Times New Roman" w:hAnsi="Times New Roman" w:cs="Times New Roman"/>
          <w:sz w:val="24"/>
        </w:rPr>
        <w:t xml:space="preserve">that are in the same class as the securities or financial products held under the investment strategy does </w:t>
      </w:r>
      <w:r w:rsidRPr="00452D8D">
        <w:rPr>
          <w:rFonts w:ascii="Times New Roman" w:hAnsi="Times New Roman" w:cs="Times New Roman"/>
          <w:sz w:val="24"/>
        </w:rPr>
        <w:t>not exceed 30% of the value of the</w:t>
      </w:r>
      <w:r w:rsidR="00F81C6C">
        <w:rPr>
          <w:rFonts w:ascii="Times New Roman" w:hAnsi="Times New Roman" w:cs="Times New Roman"/>
          <w:sz w:val="24"/>
        </w:rPr>
        <w:t xml:space="preserve"> reference</w:t>
      </w:r>
      <w:r w:rsidRPr="00452D8D">
        <w:rPr>
          <w:rFonts w:ascii="Times New Roman" w:hAnsi="Times New Roman" w:cs="Times New Roman"/>
          <w:sz w:val="24"/>
        </w:rPr>
        <w:t xml:space="preserve"> index.</w:t>
      </w:r>
    </w:p>
    <w:p w14:paraId="61587837" w14:textId="77777777" w:rsidR="00A833CC" w:rsidRPr="00452D8D" w:rsidRDefault="00A833CC" w:rsidP="00452D8D">
      <w:pPr>
        <w:pStyle w:val="LI-BodyTextNumbered"/>
        <w:ind w:left="2835"/>
        <w:rPr>
          <w:rFonts w:ascii="Times New Roman" w:hAnsi="Times New Roman" w:cs="Times New Roman"/>
        </w:rPr>
      </w:pPr>
      <w:r w:rsidRPr="00452D8D">
        <w:rPr>
          <w:rFonts w:ascii="Times New Roman" w:hAnsi="Times New Roman" w:cs="Times New Roman"/>
          <w:sz w:val="18"/>
          <w:szCs w:val="18"/>
        </w:rPr>
        <w:t xml:space="preserve">Note: </w:t>
      </w:r>
      <w:r w:rsidRPr="00452D8D">
        <w:rPr>
          <w:rFonts w:ascii="Times New Roman" w:hAnsi="Times New Roman" w:cs="Times New Roman"/>
          <w:sz w:val="18"/>
          <w:szCs w:val="18"/>
        </w:rPr>
        <w:tab/>
        <w:t xml:space="preserve">If paragraphs (a) </w:t>
      </w:r>
      <w:r w:rsidR="00F81C6C">
        <w:rPr>
          <w:rFonts w:ascii="Times New Roman" w:hAnsi="Times New Roman" w:cs="Times New Roman"/>
          <w:sz w:val="18"/>
          <w:szCs w:val="18"/>
        </w:rPr>
        <w:t xml:space="preserve">to </w:t>
      </w:r>
      <w:r w:rsidRPr="00452D8D">
        <w:rPr>
          <w:rFonts w:ascii="Times New Roman" w:hAnsi="Times New Roman" w:cs="Times New Roman"/>
          <w:sz w:val="18"/>
          <w:szCs w:val="18"/>
        </w:rPr>
        <w:t>(</w:t>
      </w:r>
      <w:r w:rsidR="00F81C6C">
        <w:rPr>
          <w:rFonts w:ascii="Times New Roman" w:hAnsi="Times New Roman" w:cs="Times New Roman"/>
          <w:sz w:val="18"/>
          <w:szCs w:val="18"/>
        </w:rPr>
        <w:t>c</w:t>
      </w:r>
      <w:r w:rsidRPr="00452D8D">
        <w:rPr>
          <w:rFonts w:ascii="Times New Roman" w:hAnsi="Times New Roman" w:cs="Times New Roman"/>
          <w:sz w:val="18"/>
          <w:szCs w:val="18"/>
        </w:rPr>
        <w:t xml:space="preserve">) are satisfied in relation to an entity, the entity may still be an </w:t>
      </w:r>
      <w:r w:rsidRPr="00452D8D">
        <w:rPr>
          <w:rFonts w:ascii="Times New Roman" w:hAnsi="Times New Roman" w:cs="Times New Roman"/>
          <w:b/>
          <w:i/>
          <w:sz w:val="18"/>
          <w:szCs w:val="18"/>
        </w:rPr>
        <w:t>interposed vehicle</w:t>
      </w:r>
      <w:r w:rsidRPr="00452D8D">
        <w:rPr>
          <w:rFonts w:ascii="Times New Roman" w:hAnsi="Times New Roman" w:cs="Times New Roman"/>
          <w:sz w:val="18"/>
          <w:szCs w:val="18"/>
        </w:rPr>
        <w:t xml:space="preserve"> because of provision</w:t>
      </w:r>
      <w:r w:rsidR="00F81C6C" w:rsidRPr="00F81C6C">
        <w:rPr>
          <w:rFonts w:ascii="Times New Roman" w:hAnsi="Times New Roman" w:cs="Times New Roman"/>
          <w:sz w:val="18"/>
          <w:szCs w:val="18"/>
        </w:rPr>
        <w:t>s of clause 101B other than sub</w:t>
      </w:r>
      <w:r w:rsidRPr="00452D8D">
        <w:rPr>
          <w:rFonts w:ascii="Times New Roman" w:hAnsi="Times New Roman" w:cs="Times New Roman"/>
          <w:sz w:val="18"/>
          <w:szCs w:val="18"/>
        </w:rPr>
        <w:t>clause (4C).</w:t>
      </w:r>
    </w:p>
    <w:p w14:paraId="1A08AF13" w14:textId="77777777" w:rsidR="001A30D0" w:rsidRPr="00452D8D" w:rsidRDefault="001A30D0" w:rsidP="00452D8D">
      <w:pPr>
        <w:pStyle w:val="LI-BodyTextNumbered"/>
        <w:tabs>
          <w:tab w:val="center" w:pos="5196"/>
        </w:tabs>
        <w:ind w:left="2268"/>
        <w:rPr>
          <w:rFonts w:ascii="Times New Roman" w:hAnsi="Times New Roman" w:cs="Times New Roman"/>
          <w:sz w:val="24"/>
        </w:rPr>
      </w:pPr>
      <w:r w:rsidRPr="00452D8D">
        <w:rPr>
          <w:rFonts w:ascii="Times New Roman" w:hAnsi="Times New Roman" w:cs="Times New Roman"/>
          <w:sz w:val="24"/>
        </w:rPr>
        <w:t>(5)</w:t>
      </w:r>
      <w:r w:rsidRPr="00452D8D">
        <w:rPr>
          <w:rFonts w:ascii="Times New Roman" w:hAnsi="Times New Roman" w:cs="Times New Roman"/>
          <w:sz w:val="24"/>
        </w:rPr>
        <w:tab/>
        <w:t>Despite anything in subclauses (1) to (4</w:t>
      </w:r>
      <w:r w:rsidR="002F6F61" w:rsidRPr="00452D8D">
        <w:rPr>
          <w:rFonts w:ascii="Times New Roman" w:hAnsi="Times New Roman" w:cs="Times New Roman"/>
          <w:sz w:val="24"/>
        </w:rPr>
        <w:t>D</w:t>
      </w:r>
      <w:r w:rsidRPr="00452D8D">
        <w:rPr>
          <w:rFonts w:ascii="Times New Roman" w:hAnsi="Times New Roman" w:cs="Times New Roman"/>
          <w:sz w:val="24"/>
        </w:rPr>
        <w:t xml:space="preserve">), an entity will not be an </w:t>
      </w:r>
      <w:r w:rsidRPr="00452D8D">
        <w:rPr>
          <w:rFonts w:ascii="Times New Roman" w:hAnsi="Times New Roman" w:cs="Times New Roman"/>
          <w:b/>
          <w:i/>
          <w:sz w:val="24"/>
        </w:rPr>
        <w:t>interposed vehicle</w:t>
      </w:r>
      <w:r w:rsidRPr="00452D8D">
        <w:rPr>
          <w:rFonts w:ascii="Times New Roman" w:hAnsi="Times New Roman" w:cs="Times New Roman"/>
          <w:sz w:val="24"/>
        </w:rPr>
        <w:t xml:space="preserve"> in relation to a product or investment option if </w:t>
      </w:r>
      <w:proofErr w:type="gramStart"/>
      <w:r w:rsidRPr="00452D8D">
        <w:rPr>
          <w:rFonts w:ascii="Times New Roman" w:hAnsi="Times New Roman" w:cs="Times New Roman"/>
          <w:sz w:val="24"/>
        </w:rPr>
        <w:t>all of</w:t>
      </w:r>
      <w:proofErr w:type="gramEnd"/>
      <w:r w:rsidRPr="00452D8D">
        <w:rPr>
          <w:rFonts w:ascii="Times New Roman" w:hAnsi="Times New Roman" w:cs="Times New Roman"/>
          <w:sz w:val="24"/>
        </w:rPr>
        <w:t xml:space="preserve"> the following apply:</w:t>
      </w:r>
    </w:p>
    <w:p w14:paraId="5A311E41"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the Product Disclosure Statement for the product or an investment option states that a holder of the product may give instructions, directions or requests for financial products to be acquired;</w:t>
      </w:r>
    </w:p>
    <w:p w14:paraId="29627FDA"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the responsible person for the Product Disclosure Statement has published a list of financial products in relation to which the instructions, directions or requests may be given that includes a security or interest in the entity;</w:t>
      </w:r>
    </w:p>
    <w:p w14:paraId="42CF98AD" w14:textId="77777777" w:rsidR="001A30D0" w:rsidRPr="00452D8D" w:rsidRDefault="001A30D0" w:rsidP="001A30D0">
      <w:pPr>
        <w:pStyle w:val="LI-BodyTextNumbered"/>
        <w:ind w:left="2835"/>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the arrangement under which the instructions would be acted on is a custodial arrangement as defined in subsection 1012</w:t>
      </w:r>
      <w:proofErr w:type="gramStart"/>
      <w:r w:rsidRPr="00452D8D">
        <w:rPr>
          <w:rFonts w:ascii="Times New Roman" w:hAnsi="Times New Roman" w:cs="Times New Roman"/>
          <w:sz w:val="24"/>
        </w:rPr>
        <w:t>IA(</w:t>
      </w:r>
      <w:proofErr w:type="gramEnd"/>
      <w:r w:rsidRPr="00452D8D">
        <w:rPr>
          <w:rFonts w:ascii="Times New Roman" w:hAnsi="Times New Roman" w:cs="Times New Roman"/>
          <w:sz w:val="24"/>
        </w:rPr>
        <w:t>1) of the Act.</w:t>
      </w:r>
    </w:p>
    <w:p w14:paraId="3120ED74"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(6)</w:t>
      </w:r>
      <w:r w:rsidRPr="00452D8D">
        <w:rPr>
          <w:rFonts w:ascii="Times New Roman" w:hAnsi="Times New Roman" w:cs="Times New Roman"/>
          <w:sz w:val="24"/>
        </w:rPr>
        <w:tab/>
        <w:t>In this clause:</w:t>
      </w:r>
    </w:p>
    <w:p w14:paraId="5742555A" w14:textId="77777777" w:rsidR="001A30D0" w:rsidRPr="00452D8D" w:rsidRDefault="001A30D0" w:rsidP="001A30D0">
      <w:pPr>
        <w:pStyle w:val="LI-BodyTextNumbered"/>
        <w:spacing w:before="0"/>
        <w:ind w:left="2268"/>
        <w:rPr>
          <w:rFonts w:ascii="Times New Roman" w:hAnsi="Times New Roman" w:cs="Times New Roman"/>
          <w:sz w:val="24"/>
        </w:rPr>
      </w:pPr>
    </w:p>
    <w:p w14:paraId="26D15236" w14:textId="77777777" w:rsidR="001A30D0" w:rsidRPr="00452D8D" w:rsidRDefault="001A30D0" w:rsidP="001A30D0">
      <w:pPr>
        <w:ind w:left="2268"/>
        <w:rPr>
          <w:rFonts w:ascii="Times New Roman" w:hAnsi="Times New Roman" w:cs="Times New Roman"/>
          <w:sz w:val="24"/>
          <w:szCs w:val="24"/>
          <w:lang w:eastAsia="en-AU"/>
        </w:rPr>
      </w:pPr>
      <w:r w:rsidRPr="00452D8D">
        <w:rPr>
          <w:rFonts w:ascii="Times New Roman" w:hAnsi="Times New Roman" w:cs="Times New Roman"/>
          <w:b/>
          <w:i/>
          <w:sz w:val="24"/>
          <w:szCs w:val="24"/>
        </w:rPr>
        <w:t>infrastructure entity</w:t>
      </w:r>
      <w:r w:rsidRPr="00452D8D">
        <w:rPr>
          <w:rFonts w:ascii="Times New Roman" w:hAnsi="Times New Roman" w:cs="Times New Roman"/>
          <w:sz w:val="24"/>
          <w:szCs w:val="24"/>
        </w:rPr>
        <w:t xml:space="preserve"> </w:t>
      </w:r>
      <w:r w:rsidRPr="00452D8D">
        <w:rPr>
          <w:rFonts w:ascii="Times New Roman" w:hAnsi="Times New Roman" w:cs="Times New Roman"/>
          <w:sz w:val="24"/>
          <w:szCs w:val="24"/>
          <w:lang w:eastAsia="en-AU"/>
        </w:rPr>
        <w:t>means an entity that provides a return to its shareholders or members mainly from owning or operating any of the following:</w:t>
      </w:r>
    </w:p>
    <w:p w14:paraId="474BA667"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(a)</w:t>
      </w:r>
      <w:r w:rsidRPr="00452D8D">
        <w:rPr>
          <w:rFonts w:ascii="Times New Roman" w:hAnsi="Times New Roman" w:cs="Times New Roman"/>
          <w:sz w:val="24"/>
          <w:szCs w:val="24"/>
          <w:lang w:eastAsia="en-AU"/>
        </w:rPr>
        <w:tab/>
        <w:t>airports;</w:t>
      </w:r>
    </w:p>
    <w:p w14:paraId="3C3B8D84"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(b)</w:t>
      </w:r>
      <w:r w:rsidRPr="00452D8D">
        <w:rPr>
          <w:rFonts w:ascii="Times New Roman" w:hAnsi="Times New Roman" w:cs="Times New Roman"/>
          <w:sz w:val="24"/>
          <w:szCs w:val="24"/>
          <w:lang w:eastAsia="en-AU"/>
        </w:rPr>
        <w:tab/>
        <w:t>electricity generation, transmission or distribution facilities;</w:t>
      </w:r>
    </w:p>
    <w:p w14:paraId="53B0E176"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(c)</w:t>
      </w:r>
      <w:r w:rsidRPr="00452D8D">
        <w:rPr>
          <w:rFonts w:ascii="Times New Roman" w:hAnsi="Times New Roman" w:cs="Times New Roman"/>
          <w:sz w:val="24"/>
          <w:szCs w:val="24"/>
          <w:lang w:eastAsia="en-AU"/>
        </w:rPr>
        <w:tab/>
        <w:t>gas transmission or distribution facilities;</w:t>
      </w:r>
    </w:p>
    <w:p w14:paraId="43C643E8"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(d)</w:t>
      </w:r>
      <w:r w:rsidRPr="00452D8D">
        <w:rPr>
          <w:rFonts w:ascii="Times New Roman" w:hAnsi="Times New Roman" w:cs="Times New Roman"/>
          <w:sz w:val="24"/>
          <w:szCs w:val="24"/>
          <w:lang w:eastAsia="en-AU"/>
        </w:rPr>
        <w:tab/>
        <w:t>hospitals;</w:t>
      </w:r>
    </w:p>
    <w:p w14:paraId="28280588"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(e)</w:t>
      </w:r>
      <w:r w:rsidRPr="00452D8D">
        <w:rPr>
          <w:rFonts w:ascii="Times New Roman" w:hAnsi="Times New Roman" w:cs="Times New Roman"/>
          <w:sz w:val="24"/>
          <w:szCs w:val="24"/>
          <w:lang w:eastAsia="en-AU"/>
        </w:rPr>
        <w:tab/>
        <w:t>ports;</w:t>
      </w:r>
    </w:p>
    <w:p w14:paraId="2268FB9D"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(f)</w:t>
      </w:r>
      <w:r w:rsidRPr="00452D8D">
        <w:rPr>
          <w:rFonts w:ascii="Times New Roman" w:hAnsi="Times New Roman" w:cs="Times New Roman"/>
          <w:sz w:val="24"/>
          <w:szCs w:val="24"/>
          <w:lang w:eastAsia="en-AU"/>
        </w:rPr>
        <w:tab/>
        <w:t>railways;</w:t>
      </w:r>
    </w:p>
    <w:p w14:paraId="30897B45"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(g)</w:t>
      </w:r>
      <w:r w:rsidRPr="00452D8D">
        <w:rPr>
          <w:rFonts w:ascii="Times New Roman" w:hAnsi="Times New Roman" w:cs="Times New Roman"/>
          <w:sz w:val="24"/>
          <w:szCs w:val="24"/>
          <w:lang w:eastAsia="en-AU"/>
        </w:rPr>
        <w:tab/>
        <w:t>roads;</w:t>
      </w:r>
    </w:p>
    <w:p w14:paraId="254AD99D"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(h)</w:t>
      </w:r>
      <w:r w:rsidRPr="00452D8D">
        <w:rPr>
          <w:rFonts w:ascii="Times New Roman" w:hAnsi="Times New Roman" w:cs="Times New Roman"/>
          <w:sz w:val="24"/>
          <w:szCs w:val="24"/>
          <w:lang w:eastAsia="en-AU"/>
        </w:rPr>
        <w:tab/>
        <w:t>sewerage facilities;</w:t>
      </w:r>
    </w:p>
    <w:p w14:paraId="438B23D1"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w:t>
      </w:r>
      <w:proofErr w:type="spellStart"/>
      <w:r w:rsidRPr="00452D8D">
        <w:rPr>
          <w:rFonts w:ascii="Times New Roman" w:hAnsi="Times New Roman" w:cs="Times New Roman"/>
          <w:sz w:val="24"/>
          <w:szCs w:val="24"/>
          <w:lang w:eastAsia="en-AU"/>
        </w:rPr>
        <w:t>i</w:t>
      </w:r>
      <w:proofErr w:type="spellEnd"/>
      <w:r w:rsidRPr="00452D8D">
        <w:rPr>
          <w:rFonts w:ascii="Times New Roman" w:hAnsi="Times New Roman" w:cs="Times New Roman"/>
          <w:sz w:val="24"/>
          <w:szCs w:val="24"/>
          <w:lang w:eastAsia="en-AU"/>
        </w:rPr>
        <w:t>)</w:t>
      </w:r>
      <w:r w:rsidRPr="00452D8D">
        <w:rPr>
          <w:rFonts w:ascii="Times New Roman" w:hAnsi="Times New Roman" w:cs="Times New Roman"/>
          <w:sz w:val="24"/>
          <w:szCs w:val="24"/>
          <w:lang w:eastAsia="en-AU"/>
        </w:rPr>
        <w:tab/>
        <w:t>telecommunication facilities;</w:t>
      </w:r>
    </w:p>
    <w:p w14:paraId="4BE9E337" w14:textId="77777777" w:rsidR="001A30D0" w:rsidRPr="00452D8D" w:rsidRDefault="001A30D0" w:rsidP="001A30D0">
      <w:pPr>
        <w:spacing w:before="240"/>
        <w:ind w:left="2880" w:hanging="612"/>
        <w:rPr>
          <w:rFonts w:ascii="Times New Roman" w:hAnsi="Times New Roman" w:cs="Times New Roman"/>
          <w:sz w:val="24"/>
          <w:szCs w:val="24"/>
          <w:lang w:eastAsia="en-AU"/>
        </w:rPr>
      </w:pPr>
      <w:r w:rsidRPr="00452D8D">
        <w:rPr>
          <w:rFonts w:ascii="Times New Roman" w:hAnsi="Times New Roman" w:cs="Times New Roman"/>
          <w:sz w:val="24"/>
          <w:szCs w:val="24"/>
          <w:lang w:eastAsia="en-AU"/>
        </w:rPr>
        <w:t>(j)</w:t>
      </w:r>
      <w:r w:rsidRPr="00452D8D">
        <w:rPr>
          <w:rFonts w:ascii="Times New Roman" w:hAnsi="Times New Roman" w:cs="Times New Roman"/>
          <w:sz w:val="24"/>
          <w:szCs w:val="24"/>
          <w:lang w:eastAsia="en-AU"/>
        </w:rPr>
        <w:tab/>
        <w:t>water supply facilities; or</w:t>
      </w:r>
    </w:p>
    <w:p w14:paraId="66BE8A19" w14:textId="77777777" w:rsidR="001A30D0" w:rsidRPr="00452D8D" w:rsidRDefault="001A30D0" w:rsidP="001A30D0">
      <w:pPr>
        <w:spacing w:before="240"/>
        <w:ind w:left="2880" w:hanging="612"/>
        <w:rPr>
          <w:rFonts w:ascii="Times New Roman" w:hAnsi="Times New Roman" w:cs="Times New Roman"/>
          <w:sz w:val="24"/>
        </w:rPr>
      </w:pPr>
      <w:r w:rsidRPr="00452D8D">
        <w:rPr>
          <w:rFonts w:ascii="Times New Roman" w:hAnsi="Times New Roman" w:cs="Times New Roman"/>
          <w:sz w:val="24"/>
          <w:szCs w:val="24"/>
          <w:lang w:eastAsia="en-AU"/>
        </w:rPr>
        <w:t>(k)</w:t>
      </w:r>
      <w:r w:rsidRPr="00452D8D">
        <w:rPr>
          <w:rFonts w:ascii="Times New Roman" w:hAnsi="Times New Roman" w:cs="Times New Roman"/>
          <w:sz w:val="24"/>
          <w:szCs w:val="24"/>
          <w:lang w:eastAsia="en-AU"/>
        </w:rPr>
        <w:tab/>
        <w:t>other physical infrastructure</w:t>
      </w:r>
      <w:r w:rsidR="00F81C6C">
        <w:rPr>
          <w:rFonts w:ascii="Times New Roman" w:hAnsi="Times New Roman" w:cs="Times New Roman"/>
          <w:sz w:val="24"/>
        </w:rPr>
        <w:t>;</w:t>
      </w:r>
    </w:p>
    <w:p w14:paraId="36C4C81C" w14:textId="77777777" w:rsidR="001A30D0" w:rsidRPr="00452D8D" w:rsidRDefault="001A30D0" w:rsidP="001A30D0">
      <w:pPr>
        <w:spacing w:after="0"/>
        <w:ind w:left="3600" w:hanging="873"/>
        <w:rPr>
          <w:rFonts w:ascii="Times New Roman" w:hAnsi="Times New Roman" w:cs="Times New Roman"/>
          <w:sz w:val="24"/>
          <w:szCs w:val="24"/>
        </w:rPr>
      </w:pPr>
    </w:p>
    <w:p w14:paraId="363DAAA5" w14:textId="77777777" w:rsidR="001A30D0" w:rsidRPr="00452D8D" w:rsidRDefault="001A30D0" w:rsidP="001A30D0">
      <w:pPr>
        <w:keepNext/>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(b)</w:t>
      </w:r>
      <w:r w:rsidRPr="00452D8D">
        <w:rPr>
          <w:rFonts w:ascii="Times New Roman" w:hAnsi="Times New Roman" w:cs="Times New Roman"/>
          <w:sz w:val="24"/>
          <w:szCs w:val="18"/>
        </w:rPr>
        <w:tab/>
        <w:t>in clause 102:</w:t>
      </w:r>
    </w:p>
    <w:p w14:paraId="76C858ED" w14:textId="77777777" w:rsidR="001A30D0" w:rsidRPr="00452D8D" w:rsidRDefault="001A30D0" w:rsidP="001A30D0">
      <w:pPr>
        <w:spacing w:after="0"/>
        <w:ind w:left="567" w:hanging="567"/>
        <w:rPr>
          <w:rFonts w:ascii="Times New Roman" w:hAnsi="Times New Roman" w:cs="Times New Roman"/>
          <w:sz w:val="24"/>
          <w:szCs w:val="18"/>
        </w:rPr>
      </w:pPr>
    </w:p>
    <w:p w14:paraId="7F0865E5"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w:t>
      </w:r>
      <w:proofErr w:type="spellStart"/>
      <w:r w:rsidRPr="00452D8D">
        <w:rPr>
          <w:rFonts w:ascii="Times New Roman" w:hAnsi="Times New Roman" w:cs="Times New Roman"/>
          <w:sz w:val="24"/>
          <w:szCs w:val="18"/>
        </w:rPr>
        <w:t>i</w:t>
      </w:r>
      <w:proofErr w:type="spellEnd"/>
      <w:r w:rsidRPr="00452D8D">
        <w:rPr>
          <w:rFonts w:ascii="Times New Roman" w:hAnsi="Times New Roman" w:cs="Times New Roman"/>
          <w:sz w:val="24"/>
          <w:szCs w:val="18"/>
        </w:rPr>
        <w:t>)</w:t>
      </w:r>
      <w:r w:rsidRPr="00452D8D">
        <w:rPr>
          <w:rFonts w:ascii="Times New Roman" w:hAnsi="Times New Roman" w:cs="Times New Roman"/>
          <w:sz w:val="24"/>
          <w:szCs w:val="18"/>
        </w:rPr>
        <w:tab/>
        <w:t>in paragraph (1)(h) omit “arrangements.”, substitute:</w:t>
      </w:r>
    </w:p>
    <w:p w14:paraId="0039EE51" w14:textId="77777777" w:rsidR="001A30D0" w:rsidRPr="00452D8D" w:rsidRDefault="001A30D0" w:rsidP="001A30D0">
      <w:pPr>
        <w:spacing w:after="0"/>
        <w:ind w:left="1134"/>
        <w:contextualSpacing/>
        <w:rPr>
          <w:rFonts w:ascii="Times New Roman" w:hAnsi="Times New Roman" w:cs="Times New Roman"/>
          <w:sz w:val="24"/>
          <w:szCs w:val="18"/>
        </w:rPr>
      </w:pPr>
    </w:p>
    <w:p w14:paraId="49785119" w14:textId="77777777" w:rsidR="001A30D0" w:rsidRPr="00452D8D" w:rsidRDefault="001A30D0" w:rsidP="001A30D0">
      <w:pPr>
        <w:spacing w:after="0"/>
        <w:ind w:left="2160" w:firstLine="720"/>
        <w:contextualSpacing/>
        <w:rPr>
          <w:rFonts w:ascii="Times New Roman" w:hAnsi="Times New Roman" w:cs="Times New Roman"/>
          <w:sz w:val="24"/>
          <w:szCs w:val="18"/>
        </w:rPr>
      </w:pPr>
      <w:r w:rsidRPr="00452D8D">
        <w:rPr>
          <w:rFonts w:ascii="Times New Roman" w:hAnsi="Times New Roman" w:cs="Times New Roman"/>
          <w:sz w:val="24"/>
          <w:szCs w:val="18"/>
        </w:rPr>
        <w:t>“arrangements;</w:t>
      </w:r>
    </w:p>
    <w:p w14:paraId="27CC045A" w14:textId="77777777" w:rsidR="001A30D0" w:rsidRPr="00452D8D" w:rsidRDefault="001A30D0" w:rsidP="001A30D0">
      <w:pPr>
        <w:spacing w:after="0"/>
        <w:ind w:left="2160"/>
        <w:contextualSpacing/>
        <w:rPr>
          <w:rFonts w:ascii="Times New Roman" w:hAnsi="Times New Roman" w:cs="Times New Roman"/>
          <w:sz w:val="24"/>
          <w:szCs w:val="18"/>
        </w:rPr>
      </w:pPr>
    </w:p>
    <w:p w14:paraId="58CFB182" w14:textId="77777777" w:rsidR="001A30D0" w:rsidRPr="00452D8D" w:rsidRDefault="001A30D0" w:rsidP="001A30D0">
      <w:pPr>
        <w:spacing w:after="0"/>
        <w:ind w:left="2694" w:hanging="567"/>
        <w:contextualSpacing/>
        <w:rPr>
          <w:rFonts w:ascii="Times New Roman" w:hAnsi="Times New Roman" w:cs="Times New Roman"/>
          <w:sz w:val="24"/>
          <w:szCs w:val="18"/>
        </w:rPr>
      </w:pPr>
      <w:r w:rsidRPr="00452D8D">
        <w:rPr>
          <w:rFonts w:ascii="Times New Roman" w:hAnsi="Times New Roman" w:cs="Times New Roman"/>
          <w:sz w:val="24"/>
          <w:szCs w:val="18"/>
        </w:rPr>
        <w:t>(</w:t>
      </w:r>
      <w:proofErr w:type="spellStart"/>
      <w:r w:rsidRPr="00452D8D">
        <w:rPr>
          <w:rFonts w:ascii="Times New Roman" w:hAnsi="Times New Roman" w:cs="Times New Roman"/>
          <w:sz w:val="24"/>
          <w:szCs w:val="18"/>
        </w:rPr>
        <w:t>i</w:t>
      </w:r>
      <w:proofErr w:type="spellEnd"/>
      <w:r w:rsidRPr="00452D8D">
        <w:rPr>
          <w:rFonts w:ascii="Times New Roman" w:hAnsi="Times New Roman" w:cs="Times New Roman"/>
          <w:sz w:val="24"/>
          <w:szCs w:val="18"/>
        </w:rPr>
        <w:t>)</w:t>
      </w:r>
      <w:r w:rsidRPr="00452D8D">
        <w:rPr>
          <w:rFonts w:ascii="Times New Roman" w:hAnsi="Times New Roman" w:cs="Times New Roman"/>
          <w:sz w:val="24"/>
          <w:szCs w:val="18"/>
        </w:rPr>
        <w:tab/>
        <w:t>indirect costs.”;</w:t>
      </w:r>
    </w:p>
    <w:p w14:paraId="32D9A6A3" w14:textId="77777777" w:rsidR="001A30D0" w:rsidRPr="00452D8D" w:rsidRDefault="001A30D0" w:rsidP="001A30D0">
      <w:pPr>
        <w:spacing w:after="0"/>
        <w:ind w:left="1134" w:hanging="567"/>
        <w:contextualSpacing/>
        <w:rPr>
          <w:rFonts w:ascii="Times New Roman" w:hAnsi="Times New Roman" w:cs="Times New Roman"/>
          <w:sz w:val="24"/>
          <w:szCs w:val="18"/>
        </w:rPr>
      </w:pPr>
    </w:p>
    <w:p w14:paraId="62DA8FF5"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(ii)</w:t>
      </w:r>
      <w:r w:rsidRPr="00452D8D">
        <w:rPr>
          <w:rFonts w:ascii="Times New Roman" w:hAnsi="Times New Roman" w:cs="Times New Roman"/>
          <w:sz w:val="24"/>
          <w:szCs w:val="18"/>
        </w:rPr>
        <w:tab/>
        <w:t>omit paragraph (2)(b), substitute:</w:t>
      </w:r>
    </w:p>
    <w:p w14:paraId="75D1948D" w14:textId="77777777" w:rsidR="001A30D0" w:rsidRPr="00452D8D" w:rsidRDefault="001A30D0" w:rsidP="001A30D0">
      <w:pPr>
        <w:spacing w:after="0"/>
        <w:ind w:left="1134"/>
        <w:contextualSpacing/>
        <w:rPr>
          <w:rFonts w:ascii="Times New Roman" w:hAnsi="Times New Roman" w:cs="Times New Roman"/>
          <w:sz w:val="24"/>
          <w:szCs w:val="18"/>
        </w:rPr>
      </w:pPr>
    </w:p>
    <w:p w14:paraId="043CCA4E" w14:textId="2AFE0EE6" w:rsidR="001A30D0" w:rsidRPr="00452D8D" w:rsidRDefault="001A30D0" w:rsidP="001A30D0">
      <w:pPr>
        <w:spacing w:after="0"/>
        <w:ind w:left="2880" w:hanging="720"/>
        <w:contextualSpacing/>
        <w:rPr>
          <w:rFonts w:ascii="Times New Roman" w:hAnsi="Times New Roman" w:cs="Times New Roman"/>
          <w:sz w:val="24"/>
          <w:szCs w:val="18"/>
        </w:rPr>
      </w:pPr>
      <w:r w:rsidRPr="00452D8D">
        <w:rPr>
          <w:rFonts w:ascii="Times New Roman" w:hAnsi="Times New Roman" w:cs="Times New Roman"/>
          <w:sz w:val="24"/>
        </w:rPr>
        <w:t>“(b)</w:t>
      </w:r>
      <w:r w:rsidRPr="00452D8D">
        <w:rPr>
          <w:rFonts w:ascii="Times New Roman" w:hAnsi="Times New Roman" w:cs="Times New Roman"/>
          <w:sz w:val="24"/>
        </w:rPr>
        <w:tab/>
        <w:t>transactional and operational costs other than those costs under subclause 101</w:t>
      </w:r>
      <w:proofErr w:type="gramStart"/>
      <w:r w:rsidRPr="00452D8D">
        <w:rPr>
          <w:rFonts w:ascii="Times New Roman" w:hAnsi="Times New Roman" w:cs="Times New Roman"/>
          <w:sz w:val="24"/>
        </w:rPr>
        <w:t>A(</w:t>
      </w:r>
      <w:proofErr w:type="gramEnd"/>
      <w:r w:rsidRPr="00452D8D">
        <w:rPr>
          <w:rFonts w:ascii="Times New Roman" w:hAnsi="Times New Roman" w:cs="Times New Roman"/>
          <w:sz w:val="24"/>
        </w:rPr>
        <w:t>3);”;</w:t>
      </w:r>
    </w:p>
    <w:p w14:paraId="2B29C729" w14:textId="77777777" w:rsidR="001A30D0" w:rsidRPr="00452D8D" w:rsidRDefault="001A30D0" w:rsidP="001A30D0">
      <w:pPr>
        <w:pStyle w:val="LI-BodyTextNumbered"/>
        <w:ind w:left="1701"/>
        <w:rPr>
          <w:rFonts w:ascii="Times New Roman" w:hAnsi="Times New Roman" w:cs="Times New Roman"/>
          <w:sz w:val="24"/>
          <w:szCs w:val="18"/>
        </w:rPr>
      </w:pPr>
      <w:r w:rsidRPr="00452D8D">
        <w:rPr>
          <w:rFonts w:ascii="Times New Roman" w:hAnsi="Times New Roman" w:cs="Times New Roman"/>
          <w:sz w:val="24"/>
          <w:szCs w:val="18"/>
        </w:rPr>
        <w:t>(iii)</w:t>
      </w:r>
      <w:r w:rsidRPr="00452D8D">
        <w:rPr>
          <w:rFonts w:ascii="Times New Roman" w:hAnsi="Times New Roman" w:cs="Times New Roman"/>
          <w:sz w:val="24"/>
          <w:szCs w:val="18"/>
        </w:rPr>
        <w:tab/>
        <w:t>omit paragraph (2)(h), substitute:</w:t>
      </w:r>
    </w:p>
    <w:p w14:paraId="7CCA4BE7" w14:textId="77777777" w:rsidR="001A30D0" w:rsidRPr="00452D8D" w:rsidRDefault="001A30D0" w:rsidP="001A30D0">
      <w:pPr>
        <w:pStyle w:val="ListParagraph"/>
        <w:ind w:left="1134"/>
        <w:rPr>
          <w:rFonts w:ascii="Times New Roman" w:hAnsi="Times New Roman" w:cs="Times New Roman"/>
          <w:sz w:val="24"/>
          <w:szCs w:val="18"/>
        </w:rPr>
      </w:pPr>
    </w:p>
    <w:p w14:paraId="77CEDF37" w14:textId="77777777" w:rsidR="001A30D0" w:rsidRPr="00452D8D" w:rsidRDefault="001A30D0" w:rsidP="001A30D0">
      <w:pPr>
        <w:pStyle w:val="ListParagraph"/>
        <w:ind w:left="2880" w:hanging="720"/>
        <w:rPr>
          <w:rFonts w:ascii="Times New Roman" w:hAnsi="Times New Roman" w:cs="Times New Roman"/>
          <w:sz w:val="24"/>
        </w:rPr>
      </w:pPr>
      <w:r w:rsidRPr="00452D8D">
        <w:rPr>
          <w:rFonts w:ascii="Times New Roman" w:hAnsi="Times New Roman" w:cs="Times New Roman"/>
          <w:sz w:val="24"/>
        </w:rPr>
        <w:t>“(h)</w:t>
      </w:r>
      <w:r w:rsidRPr="00452D8D">
        <w:rPr>
          <w:rFonts w:ascii="Times New Roman" w:hAnsi="Times New Roman" w:cs="Times New Roman"/>
          <w:sz w:val="24"/>
        </w:rPr>
        <w:tab/>
        <w:t>costs (related to a specific asset (other than a security or interest in an interposed vehicle or derivative financial product within the meaning of subclause 101A(3A)) or activity to produce income) that an investor would incur if he or she invested directly in the asset;”;</w:t>
      </w:r>
    </w:p>
    <w:p w14:paraId="56563C63" w14:textId="77777777" w:rsidR="00CF1B8A" w:rsidRPr="00452D8D" w:rsidRDefault="00CF1B8A" w:rsidP="00CF1B8A">
      <w:pPr>
        <w:pStyle w:val="LI-BodyTextNumbered"/>
        <w:rPr>
          <w:rFonts w:ascii="Times New Roman" w:hAnsi="Times New Roman" w:cs="Times New Roman"/>
          <w:sz w:val="24"/>
        </w:rPr>
      </w:pPr>
      <w:r w:rsidRPr="00452D8D">
        <w:rPr>
          <w:rFonts w:ascii="Times New Roman" w:hAnsi="Times New Roman" w:cs="Times New Roman"/>
          <w:sz w:val="24"/>
        </w:rPr>
        <w:lastRenderedPageBreak/>
        <w:t xml:space="preserve">(baa) in clause 103: </w:t>
      </w:r>
    </w:p>
    <w:p w14:paraId="45578219" w14:textId="77777777" w:rsidR="00CF1B8A" w:rsidRPr="00452D8D" w:rsidRDefault="00CF1B8A" w:rsidP="00CF1B8A">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before “</w:t>
      </w:r>
      <w:r w:rsidRPr="00452D8D">
        <w:rPr>
          <w:rFonts w:ascii="Times New Roman" w:hAnsi="Times New Roman" w:cs="Times New Roman"/>
          <w:b/>
          <w:i/>
          <w:sz w:val="24"/>
        </w:rPr>
        <w:t xml:space="preserve">Transactional and operational costs </w:t>
      </w:r>
      <w:r w:rsidRPr="00452D8D">
        <w:rPr>
          <w:rFonts w:ascii="Times New Roman" w:hAnsi="Times New Roman" w:cs="Times New Roman"/>
          <w:sz w:val="24"/>
        </w:rPr>
        <w:t>include”, insert “(1)”; and</w:t>
      </w:r>
    </w:p>
    <w:p w14:paraId="4926D4A5" w14:textId="77777777" w:rsidR="00CF1B8A" w:rsidRPr="00452D8D" w:rsidRDefault="00CF1B8A" w:rsidP="00CF1B8A">
      <w:pPr>
        <w:pStyle w:val="LI-BodyTextNumbered"/>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omit “.”, substitute:</w:t>
      </w:r>
    </w:p>
    <w:p w14:paraId="71B8966E" w14:textId="77777777" w:rsidR="00CF1B8A" w:rsidRPr="00452D8D" w:rsidRDefault="00CF1B8A" w:rsidP="00CF1B8A">
      <w:pPr>
        <w:pStyle w:val="LI-BodyTextNumbered"/>
        <w:ind w:left="2835"/>
        <w:rPr>
          <w:rFonts w:ascii="Times New Roman" w:hAnsi="Times New Roman" w:cs="Times New Roman"/>
          <w:sz w:val="24"/>
        </w:rPr>
      </w:pPr>
      <w:r w:rsidRPr="00452D8D">
        <w:rPr>
          <w:rFonts w:ascii="Times New Roman" w:hAnsi="Times New Roman" w:cs="Times New Roman"/>
          <w:sz w:val="24"/>
        </w:rPr>
        <w:t>“;</w:t>
      </w:r>
    </w:p>
    <w:p w14:paraId="516FE7A8" w14:textId="77777777" w:rsidR="00CF1B8A" w:rsidRPr="00452D8D" w:rsidRDefault="00CF1B8A" w:rsidP="00CF1B8A">
      <w:pPr>
        <w:pStyle w:val="LI-BodyTextNumbered"/>
        <w:ind w:left="2835"/>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ea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where an asset is acquired other than through a financial market, any part of the acquisition price of the asset that exceeds the price at which the asset could have been disposed of; </w:t>
      </w:r>
    </w:p>
    <w:p w14:paraId="4D16EEDF" w14:textId="77777777" w:rsidR="00CF1B8A" w:rsidRPr="00452D8D" w:rsidRDefault="00CF1B8A" w:rsidP="00CF1B8A">
      <w:pPr>
        <w:pStyle w:val="LI-BodyTextNumbered"/>
        <w:ind w:left="2835"/>
        <w:rPr>
          <w:rFonts w:ascii="Times New Roman" w:hAnsi="Times New Roman" w:cs="Times New Roman"/>
          <w:sz w:val="24"/>
        </w:rPr>
      </w:pPr>
      <w:r w:rsidRPr="00452D8D">
        <w:rPr>
          <w:rFonts w:ascii="Times New Roman" w:hAnsi="Times New Roman" w:cs="Times New Roman"/>
          <w:sz w:val="24"/>
        </w:rPr>
        <w:t>(eb)</w:t>
      </w:r>
      <w:r w:rsidRPr="00452D8D">
        <w:rPr>
          <w:rFonts w:ascii="Times New Roman" w:hAnsi="Times New Roman" w:cs="Times New Roman"/>
          <w:sz w:val="24"/>
        </w:rPr>
        <w:tab/>
        <w:t>where an asset is acquired through a financial market, any part of the acquisition price of the asset that exceeds the bid price in the financial market that would apply without the acquisition having occurred either:</w:t>
      </w:r>
    </w:p>
    <w:p w14:paraId="03D6CEDC" w14:textId="77777777" w:rsidR="00CF1B8A" w:rsidRPr="00452D8D" w:rsidRDefault="00CF1B8A" w:rsidP="00CF1B8A">
      <w:pPr>
        <w:pStyle w:val="LI-BodyTextNumbered"/>
        <w:ind w:left="3402"/>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immediately following the acquisition; or</w:t>
      </w:r>
    </w:p>
    <w:p w14:paraId="62CA8C56" w14:textId="77777777" w:rsidR="00CF1B8A" w:rsidRPr="00452D8D" w:rsidRDefault="00CF1B8A" w:rsidP="00CF1B8A">
      <w:pPr>
        <w:pStyle w:val="LI-BodyTextNumbered"/>
        <w:ind w:left="3402"/>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if the acquisition was a part of multiple acquisitions reflecting a single and non-recurring instruction to acquire, after the last acquisition made in accordance with the instruction;</w:t>
      </w:r>
    </w:p>
    <w:p w14:paraId="0F76A4D9" w14:textId="77777777" w:rsidR="00CF1B8A" w:rsidRPr="00452D8D" w:rsidRDefault="00CF1B8A" w:rsidP="00CF1B8A">
      <w:pPr>
        <w:pStyle w:val="LI-BodyTextNumbered"/>
        <w:ind w:left="2835"/>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ec</w:t>
      </w:r>
      <w:proofErr w:type="spellEnd"/>
      <w:r w:rsidRPr="00452D8D">
        <w:rPr>
          <w:rFonts w:ascii="Times New Roman" w:hAnsi="Times New Roman" w:cs="Times New Roman"/>
          <w:sz w:val="24"/>
        </w:rPr>
        <w:t>)</w:t>
      </w:r>
      <w:r w:rsidRPr="00452D8D">
        <w:rPr>
          <w:rFonts w:ascii="Times New Roman" w:hAnsi="Times New Roman" w:cs="Times New Roman"/>
          <w:sz w:val="24"/>
        </w:rPr>
        <w:tab/>
        <w:t>property operating costs;</w:t>
      </w:r>
    </w:p>
    <w:p w14:paraId="559ED7FF" w14:textId="1F49AE93" w:rsidR="00CF1B8A" w:rsidRPr="00452D8D" w:rsidRDefault="00CF1B8A" w:rsidP="00CF1B8A">
      <w:pPr>
        <w:pStyle w:val="LI-BodyTextNumbered"/>
        <w:ind w:left="2835"/>
        <w:rPr>
          <w:rFonts w:ascii="Times New Roman" w:hAnsi="Times New Roman" w:cs="Times New Roman"/>
          <w:sz w:val="24"/>
        </w:rPr>
      </w:pPr>
      <w:r w:rsidRPr="00452D8D">
        <w:rPr>
          <w:rFonts w:ascii="Times New Roman" w:hAnsi="Times New Roman" w:cs="Times New Roman"/>
          <w:sz w:val="24"/>
        </w:rPr>
        <w:t xml:space="preserve">(f)     costs incurred in or by an interposed vehicle that would be transactional and operational costs if they had been incurred by the superannuation entity to which the superannuation product or investment option relates or for </w:t>
      </w:r>
      <w:r w:rsidRPr="008A0AFB">
        <w:rPr>
          <w:rFonts w:ascii="Times New Roman" w:hAnsi="Times New Roman" w:cs="Times New Roman"/>
          <w:sz w:val="24"/>
        </w:rPr>
        <w:t xml:space="preserve">the </w:t>
      </w:r>
      <w:r w:rsidR="00B55F89" w:rsidRPr="008A0AFB">
        <w:rPr>
          <w:rFonts w:ascii="Times New Roman" w:hAnsi="Times New Roman" w:cs="Times New Roman"/>
          <w:sz w:val="24"/>
        </w:rPr>
        <w:t>registered scheme or a notified foreign passport fund to which the     collective investment products relate;</w:t>
      </w:r>
    </w:p>
    <w:p w14:paraId="49D13032" w14:textId="77777777" w:rsidR="003F11D0" w:rsidRPr="00452D8D" w:rsidRDefault="003F11D0" w:rsidP="00452D8D">
      <w:pPr>
        <w:pStyle w:val="LI-BodyTextNumbered"/>
        <w:spacing w:before="0"/>
        <w:ind w:left="2837"/>
        <w:rPr>
          <w:rFonts w:ascii="Times New Roman" w:hAnsi="Times New Roman" w:cs="Times New Roman"/>
          <w:sz w:val="24"/>
        </w:rPr>
      </w:pPr>
    </w:p>
    <w:p w14:paraId="7932D0D7" w14:textId="77777777" w:rsidR="003F11D0" w:rsidRPr="00452D8D" w:rsidRDefault="00CF1B8A" w:rsidP="00452D8D">
      <w:pPr>
        <w:pStyle w:val="LI-BodyTextNumbered"/>
        <w:spacing w:before="0"/>
        <w:ind w:left="2837" w:hanging="569"/>
        <w:rPr>
          <w:rFonts w:ascii="Times New Roman" w:hAnsi="Times New Roman" w:cs="Times New Roman"/>
          <w:sz w:val="24"/>
        </w:rPr>
      </w:pPr>
      <w:r w:rsidRPr="00452D8D">
        <w:rPr>
          <w:rFonts w:ascii="Times New Roman" w:hAnsi="Times New Roman" w:cs="Times New Roman"/>
          <w:sz w:val="24"/>
        </w:rPr>
        <w:t>and for a superannuation product d</w:t>
      </w:r>
      <w:r w:rsidR="003F11D0" w:rsidRPr="00452D8D">
        <w:rPr>
          <w:rFonts w:ascii="Times New Roman" w:hAnsi="Times New Roman" w:cs="Times New Roman"/>
          <w:sz w:val="24"/>
        </w:rPr>
        <w:t>oes not include borrowing costs</w:t>
      </w:r>
    </w:p>
    <w:p w14:paraId="2D82D0C7" w14:textId="77777777" w:rsidR="00CF1B8A" w:rsidRPr="00452D8D" w:rsidRDefault="00CF1B8A" w:rsidP="00452D8D">
      <w:pPr>
        <w:pStyle w:val="LI-BodyTextNumbered"/>
        <w:spacing w:before="0"/>
        <w:ind w:left="2837" w:hanging="569"/>
        <w:rPr>
          <w:rFonts w:ascii="Times New Roman" w:hAnsi="Times New Roman" w:cs="Times New Roman"/>
          <w:sz w:val="24"/>
        </w:rPr>
      </w:pPr>
      <w:r w:rsidRPr="00452D8D">
        <w:rPr>
          <w:rFonts w:ascii="Times New Roman" w:hAnsi="Times New Roman" w:cs="Times New Roman"/>
          <w:sz w:val="24"/>
        </w:rPr>
        <w:t>or costs that are indirect costs because of subclause 101</w:t>
      </w:r>
      <w:proofErr w:type="gramStart"/>
      <w:r w:rsidRPr="00452D8D">
        <w:rPr>
          <w:rFonts w:ascii="Times New Roman" w:hAnsi="Times New Roman" w:cs="Times New Roman"/>
          <w:sz w:val="24"/>
        </w:rPr>
        <w:t>A(</w:t>
      </w:r>
      <w:proofErr w:type="gramEnd"/>
      <w:r w:rsidRPr="00452D8D">
        <w:rPr>
          <w:rFonts w:ascii="Times New Roman" w:hAnsi="Times New Roman" w:cs="Times New Roman"/>
          <w:sz w:val="24"/>
        </w:rPr>
        <w:t>3).</w:t>
      </w:r>
    </w:p>
    <w:p w14:paraId="0E9021C3" w14:textId="6FB06D2D" w:rsidR="00CF1B8A" w:rsidRPr="00452D8D" w:rsidRDefault="00CF1B8A" w:rsidP="00452D8D">
      <w:pPr>
        <w:pStyle w:val="LI-BodyTextNumbered"/>
        <w:ind w:left="2338" w:hanging="522"/>
        <w:rPr>
          <w:rFonts w:ascii="Times New Roman" w:hAnsi="Times New Roman" w:cs="Times New Roman"/>
          <w:sz w:val="24"/>
        </w:rPr>
      </w:pPr>
      <w:r w:rsidRPr="00452D8D">
        <w:rPr>
          <w:rFonts w:ascii="Times New Roman" w:hAnsi="Times New Roman" w:cs="Times New Roman"/>
          <w:sz w:val="24"/>
        </w:rPr>
        <w:t>(1A)</w:t>
      </w:r>
      <w:r w:rsidR="0015061A" w:rsidRPr="00452D8D">
        <w:rPr>
          <w:rFonts w:ascii="Times New Roman" w:hAnsi="Times New Roman" w:cs="Times New Roman"/>
          <w:sz w:val="24"/>
        </w:rPr>
        <w:t xml:space="preserve"> </w:t>
      </w:r>
      <w:r w:rsidR="007507EA" w:rsidRPr="007507EA">
        <w:rPr>
          <w:rFonts w:ascii="Times New Roman" w:hAnsi="Times New Roman" w:cs="Times New Roman"/>
          <w:sz w:val="24"/>
        </w:rPr>
        <w:t xml:space="preserve">For a </w:t>
      </w:r>
      <w:proofErr w:type="spellStart"/>
      <w:r w:rsidR="007507EA" w:rsidRPr="007507EA">
        <w:rPr>
          <w:rFonts w:ascii="Times New Roman" w:hAnsi="Times New Roman" w:cs="Times New Roman"/>
          <w:sz w:val="24"/>
        </w:rPr>
        <w:t>MySuper</w:t>
      </w:r>
      <w:proofErr w:type="spellEnd"/>
      <w:r w:rsidR="007507EA" w:rsidRPr="007507EA">
        <w:rPr>
          <w:rFonts w:ascii="Times New Roman" w:hAnsi="Times New Roman" w:cs="Times New Roman"/>
          <w:sz w:val="24"/>
        </w:rPr>
        <w:t xml:space="preserve"> product or an investment option offered by a superannuation entity, transactional and operational costs do not include property operating costs</w:t>
      </w:r>
      <w:r w:rsidRPr="00452D8D">
        <w:rPr>
          <w:rFonts w:ascii="Times New Roman" w:hAnsi="Times New Roman" w:cs="Times New Roman"/>
          <w:sz w:val="24"/>
        </w:rPr>
        <w:t>.”</w:t>
      </w:r>
      <w:r w:rsidR="00F81C6C">
        <w:rPr>
          <w:rFonts w:ascii="Times New Roman" w:hAnsi="Times New Roman" w:cs="Times New Roman"/>
          <w:sz w:val="24"/>
        </w:rPr>
        <w:t>;</w:t>
      </w:r>
      <w:r w:rsidRPr="00452D8D">
        <w:rPr>
          <w:rFonts w:ascii="Times New Roman" w:hAnsi="Times New Roman" w:cs="Times New Roman"/>
          <w:sz w:val="24"/>
        </w:rPr>
        <w:t xml:space="preserve"> </w:t>
      </w:r>
    </w:p>
    <w:p w14:paraId="4A6BE38C" w14:textId="369F0B78" w:rsidR="001A30D0" w:rsidRPr="00452D8D" w:rsidRDefault="001A30D0" w:rsidP="001A30D0">
      <w:pPr>
        <w:pStyle w:val="LI-BodyTextNumbered"/>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ba</w:t>
      </w:r>
      <w:proofErr w:type="spellEnd"/>
      <w:r w:rsidRPr="00452D8D">
        <w:rPr>
          <w:rFonts w:ascii="Times New Roman" w:hAnsi="Times New Roman" w:cs="Times New Roman"/>
          <w:sz w:val="24"/>
        </w:rPr>
        <w:t>)</w:t>
      </w:r>
      <w:r w:rsidRPr="00452D8D">
        <w:rPr>
          <w:rFonts w:ascii="Times New Roman" w:hAnsi="Times New Roman" w:cs="Times New Roman"/>
          <w:sz w:val="24"/>
        </w:rPr>
        <w:tab/>
        <w:t>omit the note under subclause 104(1), substitute:</w:t>
      </w:r>
    </w:p>
    <w:p w14:paraId="2805440F" w14:textId="77777777" w:rsidR="001A30D0" w:rsidRPr="00452D8D" w:rsidRDefault="001A30D0" w:rsidP="001A30D0">
      <w:pPr>
        <w:pStyle w:val="LI-BodyTextNumbered"/>
        <w:ind w:left="1985" w:hanging="851"/>
        <w:rPr>
          <w:rFonts w:ascii="Times New Roman" w:hAnsi="Times New Roman" w:cs="Times New Roman"/>
          <w:szCs w:val="20"/>
        </w:rPr>
      </w:pPr>
      <w:r w:rsidRPr="00452D8D">
        <w:rPr>
          <w:rFonts w:ascii="Times New Roman" w:hAnsi="Times New Roman" w:cs="Times New Roman"/>
          <w:szCs w:val="20"/>
        </w:rPr>
        <w:t>“Note:</w:t>
      </w:r>
      <w:r w:rsidRPr="00452D8D">
        <w:rPr>
          <w:rFonts w:ascii="Times New Roman" w:hAnsi="Times New Roman" w:cs="Times New Roman"/>
          <w:b/>
          <w:szCs w:val="20"/>
        </w:rPr>
        <w:tab/>
      </w:r>
      <w:r w:rsidRPr="00452D8D">
        <w:rPr>
          <w:rFonts w:ascii="Times New Roman" w:hAnsi="Times New Roman" w:cs="Times New Roman"/>
          <w:szCs w:val="20"/>
        </w:rPr>
        <w:t>A fee deducted from a member’s account or paid out of the superannuation entity is not an indirect cost.”;</w:t>
      </w:r>
    </w:p>
    <w:p w14:paraId="6D10B0E3" w14:textId="77777777" w:rsidR="001A30D0" w:rsidRPr="00452D8D" w:rsidRDefault="001A30D0" w:rsidP="001A30D0">
      <w:pPr>
        <w:pStyle w:val="LI-BodyTextNumbered"/>
        <w:rPr>
          <w:rFonts w:ascii="Times New Roman" w:hAnsi="Times New Roman" w:cs="Times New Roman"/>
          <w:sz w:val="24"/>
        </w:rPr>
      </w:pPr>
      <w:r w:rsidRPr="00452D8D">
        <w:rPr>
          <w:rFonts w:ascii="Times New Roman" w:hAnsi="Times New Roman" w:cs="Times New Roman"/>
          <w:sz w:val="24"/>
        </w:rPr>
        <w:t>(bb)</w:t>
      </w:r>
      <w:r w:rsidRPr="00452D8D">
        <w:rPr>
          <w:rFonts w:ascii="Times New Roman" w:hAnsi="Times New Roman" w:cs="Times New Roman"/>
          <w:sz w:val="24"/>
        </w:rPr>
        <w:tab/>
        <w:t>omit subclause 104(2), substitute:</w:t>
      </w:r>
    </w:p>
    <w:p w14:paraId="345EF292"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lastRenderedPageBreak/>
        <w:t>“(2)</w:t>
      </w:r>
      <w:r w:rsidRPr="00452D8D">
        <w:rPr>
          <w:rFonts w:ascii="Times New Roman" w:hAnsi="Times New Roman" w:cs="Times New Roman"/>
          <w:sz w:val="24"/>
        </w:rPr>
        <w:tab/>
        <w:t>Despite clause 214, the ICR for a Product Disclosure Statement that is available during a particular financial year is to be determined for the previous financial year except that if the product or investment option was not offered from at least 11 months before the end of the previous financial year, the ICR for the Statement is to be determined based on the responsible person’s reasonable estimate at the time the Statement is prepared of the ICR that will apply for the current financial year and if the product or investment option was first offered in the current financial year, since the time the product or investment option was first offered, adjusted to reflect a 12 month period.”;</w:t>
      </w:r>
    </w:p>
    <w:p w14:paraId="398C997D" w14:textId="77777777" w:rsidR="001A30D0" w:rsidRPr="00452D8D" w:rsidRDefault="001A30D0" w:rsidP="001A30D0">
      <w:pPr>
        <w:pStyle w:val="LI-BodyTextNumbered"/>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bc</w:t>
      </w:r>
      <w:proofErr w:type="spellEnd"/>
      <w:r w:rsidRPr="00452D8D">
        <w:rPr>
          <w:rFonts w:ascii="Times New Roman" w:hAnsi="Times New Roman" w:cs="Times New Roman"/>
          <w:sz w:val="24"/>
        </w:rPr>
        <w:t>)</w:t>
      </w:r>
      <w:r w:rsidRPr="00452D8D">
        <w:rPr>
          <w:rFonts w:ascii="Times New Roman" w:hAnsi="Times New Roman" w:cs="Times New Roman"/>
          <w:sz w:val="24"/>
        </w:rPr>
        <w:tab/>
        <w:t>after subclause 104(2) insert:</w:t>
      </w:r>
    </w:p>
    <w:p w14:paraId="61E93111"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“(2A)</w:t>
      </w:r>
      <w:r w:rsidRPr="00452D8D">
        <w:rPr>
          <w:rFonts w:ascii="Times New Roman" w:hAnsi="Times New Roman" w:cs="Times New Roman"/>
          <w:sz w:val="24"/>
        </w:rPr>
        <w:tab/>
        <w:t xml:space="preserve">Despite clause 214, the part of a fee for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or an investment option offered by a superannuation entity disclosed in a Product Disclosure Statement that is available during a particular financial year that relates to the costs incurred by the trustee of the superannuation entity or in an interposed vehicle or derivative financial product, is to be determined for the previous financial year except that if the product or investment option was not offered from at least 11 months before the end of the previous financial year, the costs are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w:t>
      </w:r>
      <w:r w:rsidRPr="00452D8D">
        <w:rPr>
          <w:rFonts w:ascii="Times New Roman" w:hAnsi="Times New Roman" w:cs="Times New Roman"/>
          <w:i/>
          <w:sz w:val="24"/>
        </w:rPr>
        <w:t xml:space="preserve"> </w:t>
      </w:r>
      <w:r w:rsidRPr="00452D8D">
        <w:rPr>
          <w:rFonts w:ascii="Times New Roman" w:hAnsi="Times New Roman" w:cs="Times New Roman"/>
          <w:sz w:val="24"/>
        </w:rPr>
        <w:t>investment option was first offered, adjusted to reflect a 12 month period.”;</w:t>
      </w:r>
    </w:p>
    <w:p w14:paraId="4A0C3F27" w14:textId="77777777" w:rsidR="001A30D0" w:rsidRPr="00452D8D" w:rsidRDefault="001A30D0" w:rsidP="001A30D0">
      <w:pPr>
        <w:pStyle w:val="LI-BodyTextNumbered"/>
        <w:ind w:left="567" w:firstLine="0"/>
        <w:rPr>
          <w:rFonts w:ascii="Times New Roman" w:hAnsi="Times New Roman" w:cs="Times New Roman"/>
          <w:b/>
          <w:sz w:val="24"/>
        </w:rPr>
      </w:pPr>
      <w:r w:rsidRPr="00452D8D">
        <w:rPr>
          <w:rFonts w:ascii="Times New Roman" w:hAnsi="Times New Roman" w:cs="Times New Roman"/>
          <w:sz w:val="24"/>
        </w:rPr>
        <w:t>(bd)</w:t>
      </w:r>
      <w:r w:rsidRPr="00452D8D">
        <w:rPr>
          <w:rFonts w:ascii="Times New Roman" w:hAnsi="Times New Roman" w:cs="Times New Roman"/>
          <w:sz w:val="24"/>
        </w:rPr>
        <w:tab/>
        <w:t>after clause 104 insert:</w:t>
      </w:r>
    </w:p>
    <w:p w14:paraId="52DF9D2C" w14:textId="77777777" w:rsidR="001A30D0" w:rsidRPr="00452D8D" w:rsidRDefault="001A30D0" w:rsidP="001A30D0">
      <w:pPr>
        <w:pStyle w:val="LI-BodyTextNumbered"/>
        <w:ind w:left="1701" w:hanging="283"/>
        <w:rPr>
          <w:rFonts w:ascii="Times New Roman" w:hAnsi="Times New Roman" w:cs="Times New Roman"/>
          <w:b/>
          <w:sz w:val="24"/>
        </w:rPr>
      </w:pPr>
      <w:r w:rsidRPr="00452D8D">
        <w:rPr>
          <w:rFonts w:ascii="Times New Roman" w:hAnsi="Times New Roman" w:cs="Times New Roman"/>
          <w:sz w:val="24"/>
        </w:rPr>
        <w:t>“</w:t>
      </w:r>
      <w:r w:rsidRPr="00452D8D">
        <w:rPr>
          <w:rFonts w:ascii="Times New Roman" w:hAnsi="Times New Roman" w:cs="Times New Roman"/>
          <w:b/>
          <w:sz w:val="24"/>
        </w:rPr>
        <w:t>104A</w:t>
      </w:r>
      <w:r w:rsidRPr="00452D8D">
        <w:rPr>
          <w:rFonts w:ascii="Times New Roman" w:hAnsi="Times New Roman" w:cs="Times New Roman"/>
          <w:b/>
          <w:sz w:val="24"/>
        </w:rPr>
        <w:tab/>
        <w:t>Costs in management costs</w:t>
      </w:r>
    </w:p>
    <w:p w14:paraId="679D914D" w14:textId="69E534CF" w:rsidR="001A30D0" w:rsidRPr="00452D8D" w:rsidRDefault="001A30D0" w:rsidP="001A30D0">
      <w:pPr>
        <w:pStyle w:val="LI-BodyTextNumbered"/>
        <w:ind w:left="1418" w:firstLine="0"/>
        <w:rPr>
          <w:rFonts w:ascii="Times New Roman" w:hAnsi="Times New Roman" w:cs="Times New Roman"/>
          <w:sz w:val="24"/>
        </w:rPr>
      </w:pPr>
      <w:r w:rsidRPr="00452D8D">
        <w:rPr>
          <w:rFonts w:ascii="Times New Roman" w:hAnsi="Times New Roman" w:cs="Times New Roman"/>
          <w:sz w:val="24"/>
        </w:rPr>
        <w:t xml:space="preserve">Despite clause 214, the part of the management costs for an investment option offered by a managed investment scheme disclosed in a Product Disclosure Statement that is available during a particular financial year that is not a fee payable to the </w:t>
      </w:r>
      <w:r w:rsidR="00D80EF0" w:rsidRPr="008A0AFB">
        <w:rPr>
          <w:rFonts w:ascii="Times New Roman" w:hAnsi="Times New Roman" w:cs="Times New Roman"/>
          <w:sz w:val="24"/>
        </w:rPr>
        <w:t>responsible entity or the operator of a notified foreign passport fund,</w:t>
      </w:r>
      <w:r w:rsidRPr="008A0AFB">
        <w:rPr>
          <w:rFonts w:ascii="Times New Roman" w:hAnsi="Times New Roman" w:cs="Times New Roman"/>
          <w:sz w:val="24"/>
        </w:rPr>
        <w:t xml:space="preserve"> other than a performance fee, is to be determined for the previous financial year except</w:t>
      </w:r>
      <w:r w:rsidRPr="00452D8D">
        <w:rPr>
          <w:rFonts w:ascii="Times New Roman" w:hAnsi="Times New Roman" w:cs="Times New Roman"/>
          <w:sz w:val="24"/>
        </w:rPr>
        <w:t xml:space="preserve"> that if the investment option was not offered from at least 11 months before the end of the previous financial year, that part of the management costs is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 investment option was first offered, adjusted to reflect a 12 month period.”;</w:t>
      </w:r>
    </w:p>
    <w:p w14:paraId="22DC1B87" w14:textId="77777777" w:rsidR="001A30D0" w:rsidRPr="00452D8D" w:rsidRDefault="001A30D0" w:rsidP="001A30D0">
      <w:pPr>
        <w:pStyle w:val="ListParagraph"/>
        <w:ind w:left="2880" w:hanging="720"/>
        <w:rPr>
          <w:rFonts w:ascii="Times New Roman" w:hAnsi="Times New Roman" w:cs="Times New Roman"/>
          <w:sz w:val="24"/>
        </w:rPr>
      </w:pPr>
    </w:p>
    <w:p w14:paraId="7118DABD" w14:textId="77777777" w:rsidR="001A30D0" w:rsidRPr="00452D8D"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(c)</w:t>
      </w:r>
      <w:r w:rsidRPr="00452D8D">
        <w:rPr>
          <w:rFonts w:ascii="Times New Roman" w:hAnsi="Times New Roman" w:cs="Times New Roman"/>
          <w:sz w:val="24"/>
          <w:szCs w:val="18"/>
        </w:rPr>
        <w:tab/>
        <w:t>in clause 202 omit “and insurance costs”;</w:t>
      </w:r>
    </w:p>
    <w:p w14:paraId="618C768D" w14:textId="77777777" w:rsidR="001A30D0" w:rsidRPr="00452D8D" w:rsidRDefault="001A30D0" w:rsidP="001A30D0">
      <w:pPr>
        <w:spacing w:after="0"/>
        <w:ind w:left="567" w:hanging="567"/>
        <w:rPr>
          <w:rFonts w:ascii="Times New Roman" w:hAnsi="Times New Roman" w:cs="Times New Roman"/>
          <w:sz w:val="24"/>
          <w:szCs w:val="18"/>
        </w:rPr>
      </w:pPr>
    </w:p>
    <w:p w14:paraId="64ACDCA8" w14:textId="7E3A04E4" w:rsidR="001A30D0"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(d)</w:t>
      </w:r>
      <w:r w:rsidRPr="00452D8D">
        <w:rPr>
          <w:rFonts w:ascii="Times New Roman" w:hAnsi="Times New Roman" w:cs="Times New Roman"/>
          <w:sz w:val="24"/>
          <w:szCs w:val="18"/>
        </w:rPr>
        <w:tab/>
        <w:t>in clause 202A omit “and insurance costs”;</w:t>
      </w:r>
    </w:p>
    <w:p w14:paraId="12DA8DE0" w14:textId="2FF06690" w:rsidR="00A31754" w:rsidRDefault="00A31754" w:rsidP="001A30D0">
      <w:pPr>
        <w:spacing w:after="0"/>
        <w:ind w:left="1134" w:hanging="567"/>
        <w:contextualSpacing/>
        <w:rPr>
          <w:rFonts w:ascii="Times New Roman" w:hAnsi="Times New Roman" w:cs="Times New Roman"/>
          <w:sz w:val="24"/>
          <w:szCs w:val="18"/>
        </w:rPr>
      </w:pPr>
    </w:p>
    <w:p w14:paraId="349B7569" w14:textId="381C8125" w:rsidR="00A31754" w:rsidRPr="00452D8D" w:rsidRDefault="00A31754" w:rsidP="001A30D0">
      <w:pPr>
        <w:spacing w:after="0"/>
        <w:ind w:left="1134" w:hanging="567"/>
        <w:contextualSpacing/>
        <w:rPr>
          <w:rFonts w:ascii="Times New Roman" w:hAnsi="Times New Roman" w:cs="Times New Roman"/>
          <w:sz w:val="24"/>
          <w:szCs w:val="18"/>
        </w:rPr>
      </w:pPr>
      <w:r w:rsidRPr="008A0AFB">
        <w:rPr>
          <w:rFonts w:ascii="Times New Roman" w:hAnsi="Times New Roman" w:cs="Times New Roman"/>
          <w:sz w:val="24"/>
          <w:szCs w:val="18"/>
        </w:rPr>
        <w:t>(da)</w:t>
      </w:r>
      <w:r w:rsidRPr="008A0AFB">
        <w:rPr>
          <w:rFonts w:ascii="Times New Roman" w:hAnsi="Times New Roman" w:cs="Times New Roman"/>
          <w:sz w:val="24"/>
          <w:szCs w:val="18"/>
        </w:rPr>
        <w:tab/>
        <w:t>in paragraph 204(7)(a), omit “collective investment product:”, substitute “collective investment product or superannuation product:</w:t>
      </w:r>
    </w:p>
    <w:p w14:paraId="7ECB8FC0" w14:textId="699705C8" w:rsidR="001A30D0" w:rsidRPr="00452D8D" w:rsidRDefault="007507EA" w:rsidP="001A30D0">
      <w:pPr>
        <w:pStyle w:val="LI-BodyTextNumbered"/>
        <w:rPr>
          <w:rFonts w:ascii="Times New Roman" w:hAnsi="Times New Roman" w:cs="Times New Roman"/>
          <w:sz w:val="24"/>
        </w:rPr>
      </w:pPr>
      <w:r w:rsidRPr="00452D8D" w:rsidDel="007507EA">
        <w:rPr>
          <w:rFonts w:ascii="Times New Roman" w:hAnsi="Times New Roman" w:cs="Times New Roman"/>
          <w:sz w:val="24"/>
          <w:szCs w:val="18"/>
        </w:rPr>
        <w:t xml:space="preserve"> </w:t>
      </w:r>
      <w:r w:rsidR="001A30D0" w:rsidRPr="00452D8D">
        <w:rPr>
          <w:rFonts w:ascii="Times New Roman" w:hAnsi="Times New Roman" w:cs="Times New Roman"/>
          <w:sz w:val="24"/>
        </w:rPr>
        <w:t>(</w:t>
      </w:r>
      <w:proofErr w:type="spellStart"/>
      <w:r w:rsidR="001A30D0" w:rsidRPr="00452D8D">
        <w:rPr>
          <w:rFonts w:ascii="Times New Roman" w:hAnsi="Times New Roman" w:cs="Times New Roman"/>
          <w:sz w:val="24"/>
        </w:rPr>
        <w:t>ea</w:t>
      </w:r>
      <w:proofErr w:type="spellEnd"/>
      <w:r w:rsidR="001A30D0" w:rsidRPr="00452D8D">
        <w:rPr>
          <w:rFonts w:ascii="Times New Roman" w:hAnsi="Times New Roman" w:cs="Times New Roman"/>
          <w:sz w:val="24"/>
        </w:rPr>
        <w:t>)</w:t>
      </w:r>
      <w:r w:rsidR="001A30D0" w:rsidRPr="00452D8D">
        <w:rPr>
          <w:rFonts w:ascii="Times New Roman" w:hAnsi="Times New Roman" w:cs="Times New Roman"/>
          <w:sz w:val="24"/>
        </w:rPr>
        <w:tab/>
        <w:t>after clause 209 insert:</w:t>
      </w:r>
    </w:p>
    <w:p w14:paraId="6256B67A" w14:textId="77777777" w:rsidR="001A30D0" w:rsidRPr="00452D8D" w:rsidRDefault="001A30D0" w:rsidP="001A30D0">
      <w:pPr>
        <w:pStyle w:val="LI-BodyTextNumbered"/>
        <w:ind w:firstLine="0"/>
        <w:rPr>
          <w:rFonts w:ascii="Times New Roman" w:hAnsi="Times New Roman" w:cs="Times New Roman"/>
          <w:b/>
          <w:sz w:val="24"/>
        </w:rPr>
      </w:pPr>
      <w:r w:rsidRPr="00452D8D">
        <w:rPr>
          <w:rFonts w:ascii="Times New Roman" w:hAnsi="Times New Roman" w:cs="Times New Roman"/>
          <w:sz w:val="24"/>
        </w:rPr>
        <w:t>“</w:t>
      </w:r>
      <w:r w:rsidRPr="00452D8D">
        <w:rPr>
          <w:rFonts w:ascii="Times New Roman" w:hAnsi="Times New Roman" w:cs="Times New Roman"/>
          <w:b/>
          <w:sz w:val="24"/>
        </w:rPr>
        <w:t>209AA</w:t>
      </w:r>
      <w:r w:rsidRPr="00452D8D">
        <w:rPr>
          <w:rFonts w:ascii="Times New Roman" w:hAnsi="Times New Roman" w:cs="Times New Roman"/>
          <w:b/>
          <w:sz w:val="24"/>
        </w:rPr>
        <w:tab/>
        <w:t>Calculating transactional and operational costs</w:t>
      </w:r>
    </w:p>
    <w:p w14:paraId="33A35E95" w14:textId="77777777" w:rsidR="001A30D0" w:rsidRPr="00452D8D" w:rsidRDefault="001A30D0" w:rsidP="001A30D0">
      <w:pPr>
        <w:pStyle w:val="LI-BodyTextNumbered"/>
        <w:ind w:firstLine="0"/>
        <w:rPr>
          <w:rFonts w:ascii="Times New Roman" w:hAnsi="Times New Roman" w:cs="Times New Roman"/>
          <w:sz w:val="24"/>
        </w:rPr>
      </w:pPr>
      <w:r w:rsidRPr="00452D8D">
        <w:rPr>
          <w:rFonts w:ascii="Times New Roman" w:hAnsi="Times New Roman" w:cs="Times New Roman"/>
          <w:sz w:val="24"/>
        </w:rPr>
        <w:t xml:space="preserve">For </w:t>
      </w:r>
      <w:r w:rsidR="00CA027C">
        <w:rPr>
          <w:rFonts w:ascii="Times New Roman" w:hAnsi="Times New Roman" w:cs="Times New Roman"/>
          <w:sz w:val="24"/>
        </w:rPr>
        <w:t>paragraphs</w:t>
      </w:r>
      <w:r w:rsidR="00CA027C" w:rsidRPr="00452D8D">
        <w:rPr>
          <w:rFonts w:ascii="Times New Roman" w:hAnsi="Times New Roman" w:cs="Times New Roman"/>
          <w:sz w:val="24"/>
        </w:rPr>
        <w:t xml:space="preserve"> </w:t>
      </w:r>
      <w:r w:rsidRPr="00452D8D">
        <w:rPr>
          <w:rFonts w:ascii="Times New Roman" w:hAnsi="Times New Roman" w:cs="Times New Roman"/>
          <w:sz w:val="24"/>
        </w:rPr>
        <w:t xml:space="preserve">209(j) </w:t>
      </w:r>
      <w:r w:rsidR="00CA027C">
        <w:rPr>
          <w:rFonts w:ascii="Times New Roman" w:hAnsi="Times New Roman" w:cs="Times New Roman"/>
          <w:sz w:val="24"/>
        </w:rPr>
        <w:t xml:space="preserve">and </w:t>
      </w:r>
      <w:r w:rsidRPr="00452D8D">
        <w:rPr>
          <w:rFonts w:ascii="Times New Roman" w:hAnsi="Times New Roman" w:cs="Times New Roman"/>
          <w:sz w:val="24"/>
        </w:rPr>
        <w:t xml:space="preserve">(m), information about transactional and operational costs and, for a superannuation product or investment option in a superannuation product, borrowing costs </w:t>
      </w:r>
      <w:r w:rsidR="00CA027C" w:rsidRPr="00CA027C">
        <w:rPr>
          <w:rFonts w:ascii="Times New Roman" w:hAnsi="Times New Roman" w:cs="Times New Roman"/>
          <w:sz w:val="24"/>
        </w:rPr>
        <w:t xml:space="preserve">and property operating costs </w:t>
      </w:r>
      <w:r w:rsidRPr="00452D8D">
        <w:rPr>
          <w:rFonts w:ascii="Times New Roman" w:hAnsi="Times New Roman" w:cs="Times New Roman"/>
          <w:sz w:val="24"/>
        </w:rPr>
        <w:t xml:space="preserve">for a product or  investment option disclosed in a Product Disclosure Statement that is available during a particular financial year is to be determined for the previous financial year except that if product or investment option was not offered from at least 11 months before the end of the previous financial year, the transactional and operational costs and, for a superannuation product or investment option in a superannuation product, borrowing costs </w:t>
      </w:r>
      <w:r w:rsidR="00CA027C" w:rsidRPr="00CA027C">
        <w:rPr>
          <w:rFonts w:ascii="Times New Roman" w:hAnsi="Times New Roman" w:cs="Times New Roman"/>
          <w:sz w:val="24"/>
        </w:rPr>
        <w:t xml:space="preserve">and property operating costs </w:t>
      </w:r>
      <w:r w:rsidRPr="00452D8D">
        <w:rPr>
          <w:rFonts w:ascii="Times New Roman" w:hAnsi="Times New Roman" w:cs="Times New Roman"/>
          <w:sz w:val="24"/>
        </w:rPr>
        <w:t>are to be determined based on the responsible person’s reasonable estimate at the time the Statement is prepared of those costs that will apply for the current financial year, and if the product or investment option was first offered in the current financial year, since the time the product or investment option was first offered, adjusted to reflect a 12 month period.”;</w:t>
      </w:r>
    </w:p>
    <w:p w14:paraId="1D704210" w14:textId="77777777" w:rsidR="001A30D0" w:rsidRPr="00452D8D" w:rsidRDefault="001A30D0" w:rsidP="001A30D0">
      <w:pPr>
        <w:spacing w:after="0"/>
        <w:ind w:left="1134"/>
        <w:contextualSpacing/>
        <w:rPr>
          <w:rFonts w:ascii="Times New Roman" w:hAnsi="Times New Roman" w:cs="Times New Roman"/>
          <w:sz w:val="24"/>
          <w:szCs w:val="18"/>
        </w:rPr>
      </w:pPr>
    </w:p>
    <w:p w14:paraId="76A321AC" w14:textId="77777777" w:rsidR="001A30D0" w:rsidRPr="00452D8D"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(f)</w:t>
      </w:r>
      <w:r w:rsidRPr="00452D8D">
        <w:rPr>
          <w:rFonts w:ascii="Times New Roman" w:hAnsi="Times New Roman" w:cs="Times New Roman"/>
          <w:sz w:val="24"/>
          <w:szCs w:val="18"/>
        </w:rPr>
        <w:tab/>
        <w:t>in clause 209A:</w:t>
      </w:r>
    </w:p>
    <w:p w14:paraId="6B4FB6B9" w14:textId="77777777" w:rsidR="001A30D0" w:rsidRPr="00452D8D" w:rsidRDefault="001A30D0" w:rsidP="001A30D0">
      <w:pPr>
        <w:spacing w:after="0"/>
        <w:ind w:left="567" w:hanging="567"/>
        <w:rPr>
          <w:rFonts w:ascii="Times New Roman" w:hAnsi="Times New Roman" w:cs="Times New Roman"/>
          <w:sz w:val="24"/>
          <w:szCs w:val="18"/>
        </w:rPr>
      </w:pPr>
    </w:p>
    <w:p w14:paraId="6C21BEFB"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w:t>
      </w:r>
      <w:proofErr w:type="spellStart"/>
      <w:r w:rsidRPr="00452D8D">
        <w:rPr>
          <w:rFonts w:ascii="Times New Roman" w:hAnsi="Times New Roman" w:cs="Times New Roman"/>
          <w:sz w:val="24"/>
          <w:szCs w:val="18"/>
        </w:rPr>
        <w:t>i</w:t>
      </w:r>
      <w:proofErr w:type="spellEnd"/>
      <w:r w:rsidRPr="00452D8D">
        <w:rPr>
          <w:rFonts w:ascii="Times New Roman" w:hAnsi="Times New Roman" w:cs="Times New Roman"/>
          <w:sz w:val="24"/>
          <w:szCs w:val="18"/>
        </w:rPr>
        <w:t>)</w:t>
      </w:r>
      <w:r w:rsidRPr="00452D8D">
        <w:rPr>
          <w:rFonts w:ascii="Times New Roman" w:hAnsi="Times New Roman" w:cs="Times New Roman"/>
          <w:sz w:val="24"/>
          <w:szCs w:val="18"/>
        </w:rPr>
        <w:tab/>
        <w:t>omit “fees”:”, substitute,</w:t>
      </w:r>
    </w:p>
    <w:p w14:paraId="65A8930D" w14:textId="77777777" w:rsidR="001A30D0" w:rsidRPr="00452D8D" w:rsidRDefault="001A30D0" w:rsidP="001A30D0">
      <w:pPr>
        <w:spacing w:after="0"/>
        <w:ind w:left="2160"/>
        <w:contextualSpacing/>
        <w:rPr>
          <w:rFonts w:ascii="Times New Roman" w:hAnsi="Times New Roman" w:cs="Times New Roman"/>
          <w:sz w:val="24"/>
          <w:szCs w:val="18"/>
        </w:rPr>
      </w:pPr>
    </w:p>
    <w:p w14:paraId="0F1E3AE8" w14:textId="77777777" w:rsidR="001A30D0" w:rsidRPr="00452D8D" w:rsidRDefault="001A30D0" w:rsidP="001A30D0">
      <w:pPr>
        <w:spacing w:after="0"/>
        <w:ind w:left="2160"/>
        <w:rPr>
          <w:rFonts w:ascii="Times New Roman" w:hAnsi="Times New Roman" w:cs="Times New Roman"/>
          <w:sz w:val="24"/>
          <w:szCs w:val="18"/>
        </w:rPr>
      </w:pPr>
      <w:r w:rsidRPr="00452D8D">
        <w:rPr>
          <w:rFonts w:ascii="Times New Roman" w:hAnsi="Times New Roman" w:cs="Times New Roman"/>
          <w:sz w:val="24"/>
          <w:szCs w:val="18"/>
        </w:rPr>
        <w:t>“fees”, or incorporated by reference:”;</w:t>
      </w:r>
    </w:p>
    <w:p w14:paraId="15C6A050"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omit the definition of </w:t>
      </w:r>
      <w:r w:rsidRPr="00452D8D">
        <w:rPr>
          <w:rFonts w:ascii="Times New Roman" w:hAnsi="Times New Roman" w:cs="Times New Roman"/>
          <w:b/>
          <w:i/>
          <w:sz w:val="24"/>
        </w:rPr>
        <w:t>administration fee</w:t>
      </w:r>
      <w:r w:rsidRPr="00452D8D">
        <w:rPr>
          <w:rFonts w:ascii="Times New Roman" w:hAnsi="Times New Roman" w:cs="Times New Roman"/>
          <w:sz w:val="24"/>
        </w:rPr>
        <w:t>, substitute:</w:t>
      </w:r>
    </w:p>
    <w:p w14:paraId="0000E23A" w14:textId="77777777" w:rsidR="001A30D0" w:rsidRPr="00452D8D" w:rsidRDefault="001A30D0" w:rsidP="001A30D0">
      <w:pPr>
        <w:pStyle w:val="LI-BodyTextUnnumbered"/>
        <w:rPr>
          <w:rFonts w:ascii="Times New Roman" w:hAnsi="Times New Roman" w:cs="Times New Roman"/>
          <w:sz w:val="24"/>
        </w:rPr>
      </w:pPr>
      <w:r w:rsidRPr="00452D8D">
        <w:rPr>
          <w:rFonts w:ascii="Times New Roman" w:hAnsi="Times New Roman" w:cs="Times New Roman"/>
          <w:sz w:val="24"/>
        </w:rPr>
        <w:t xml:space="preserve">“An </w:t>
      </w:r>
      <w:r w:rsidRPr="00452D8D">
        <w:rPr>
          <w:rFonts w:ascii="Times New Roman" w:hAnsi="Times New Roman" w:cs="Times New Roman"/>
          <w:b/>
          <w:i/>
          <w:sz w:val="24"/>
        </w:rPr>
        <w:t>administration fee</w:t>
      </w:r>
      <w:r w:rsidRPr="00452D8D">
        <w:rPr>
          <w:rFonts w:ascii="Times New Roman" w:hAnsi="Times New Roman" w:cs="Times New Roman"/>
          <w:sz w:val="24"/>
        </w:rPr>
        <w:t xml:space="preserve"> is a fee that relates to the administration or operation of the superannuation entity and includes costs that relate to that administration or operation, other than:</w:t>
      </w:r>
    </w:p>
    <w:p w14:paraId="3CF37149" w14:textId="77777777" w:rsidR="001A30D0" w:rsidRPr="00452D8D" w:rsidRDefault="001A30D0" w:rsidP="001A30D0">
      <w:pPr>
        <w:pStyle w:val="LI-BodyTextParaa"/>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borrowing costs; and</w:t>
      </w:r>
    </w:p>
    <w:p w14:paraId="624DC96C" w14:textId="77777777" w:rsidR="001A30D0" w:rsidRPr="00452D8D" w:rsidRDefault="001A30D0" w:rsidP="001A30D0">
      <w:pPr>
        <w:pStyle w:val="LI-BodyTextParaa"/>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indirect costs that are not paid out of the superannuation entity that the trustee has elected in writing will be treated as indirect costs and not fees, incurred by the trustee [</w:t>
      </w:r>
      <w:r w:rsidRPr="00452D8D">
        <w:rPr>
          <w:rFonts w:ascii="Times New Roman" w:hAnsi="Times New Roman" w:cs="Times New Roman"/>
          <w:i/>
          <w:sz w:val="24"/>
        </w:rPr>
        <w:t>OR the trustees</w:t>
      </w:r>
      <w:r w:rsidRPr="00452D8D">
        <w:rPr>
          <w:rFonts w:ascii="Times New Roman" w:hAnsi="Times New Roman" w:cs="Times New Roman"/>
          <w:sz w:val="24"/>
        </w:rPr>
        <w:t>] of the entity or in an interposed vehicle or derivative financial product; and</w:t>
      </w:r>
    </w:p>
    <w:p w14:paraId="5D351BEF" w14:textId="2C6F66A3" w:rsidR="001A30D0" w:rsidRPr="00452D8D" w:rsidRDefault="001A30D0" w:rsidP="00452D8D">
      <w:pPr>
        <w:pStyle w:val="LI-BodyTextSubparai"/>
        <w:ind w:left="1701"/>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costs that are otherwise charged as an investment fee, a buy-sell spread, a switching fee, an activity fee, an advice fee or an insurance fee.”;</w:t>
      </w:r>
    </w:p>
    <w:p w14:paraId="597D88A6" w14:textId="77777777" w:rsidR="001A30D0" w:rsidRPr="00452D8D" w:rsidRDefault="001A30D0" w:rsidP="001A30D0">
      <w:pPr>
        <w:pStyle w:val="LI-BodyTextSubparai"/>
        <w:rPr>
          <w:rFonts w:ascii="Times New Roman" w:hAnsi="Times New Roman" w:cs="Times New Roman"/>
          <w:sz w:val="24"/>
        </w:rPr>
      </w:pPr>
      <w:r w:rsidRPr="00452D8D">
        <w:rPr>
          <w:rFonts w:ascii="Times New Roman" w:hAnsi="Times New Roman" w:cs="Times New Roman"/>
          <w:sz w:val="24"/>
        </w:rPr>
        <w:lastRenderedPageBreak/>
        <w:t>(</w:t>
      </w:r>
      <w:proofErr w:type="spellStart"/>
      <w:r w:rsidRPr="00452D8D">
        <w:rPr>
          <w:rFonts w:ascii="Times New Roman" w:hAnsi="Times New Roman" w:cs="Times New Roman"/>
          <w:sz w:val="24"/>
        </w:rPr>
        <w:t>iaa</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omit the note under the definition of </w:t>
      </w:r>
      <w:r w:rsidRPr="00452D8D">
        <w:rPr>
          <w:rFonts w:ascii="Times New Roman" w:hAnsi="Times New Roman" w:cs="Times New Roman"/>
          <w:b/>
          <w:i/>
          <w:sz w:val="24"/>
        </w:rPr>
        <w:t>indirect cost ratio</w:t>
      </w:r>
      <w:r w:rsidRPr="00452D8D">
        <w:rPr>
          <w:rFonts w:ascii="Times New Roman" w:hAnsi="Times New Roman" w:cs="Times New Roman"/>
          <w:sz w:val="24"/>
        </w:rPr>
        <w:t xml:space="preserve"> in clause 209A, substitute:</w:t>
      </w:r>
    </w:p>
    <w:p w14:paraId="3FF02691" w14:textId="77777777" w:rsidR="001A30D0" w:rsidRPr="00452D8D" w:rsidRDefault="001A30D0" w:rsidP="001A30D0">
      <w:pPr>
        <w:pStyle w:val="LI-BodyTextNumbered"/>
        <w:ind w:left="1985" w:hanging="851"/>
        <w:rPr>
          <w:rFonts w:ascii="Times New Roman" w:hAnsi="Times New Roman" w:cs="Times New Roman"/>
          <w:sz w:val="18"/>
          <w:szCs w:val="18"/>
        </w:rPr>
      </w:pPr>
      <w:r w:rsidRPr="00452D8D">
        <w:rPr>
          <w:rFonts w:ascii="Times New Roman" w:hAnsi="Times New Roman" w:cs="Times New Roman"/>
          <w:sz w:val="18"/>
          <w:szCs w:val="18"/>
        </w:rPr>
        <w:t>“Note:</w:t>
      </w:r>
      <w:r w:rsidRPr="00452D8D">
        <w:rPr>
          <w:rFonts w:ascii="Times New Roman" w:hAnsi="Times New Roman" w:cs="Times New Roman"/>
          <w:b/>
          <w:sz w:val="18"/>
          <w:szCs w:val="18"/>
        </w:rPr>
        <w:tab/>
      </w:r>
      <w:r w:rsidRPr="00452D8D">
        <w:rPr>
          <w:rFonts w:ascii="Times New Roman" w:hAnsi="Times New Roman" w:cs="Times New Roman"/>
          <w:sz w:val="18"/>
          <w:szCs w:val="18"/>
        </w:rPr>
        <w:t>A fee deducted from a member’s account or paid out of the superannuation entity is not an indirect cost.”.</w:t>
      </w:r>
    </w:p>
    <w:p w14:paraId="7B044F7B"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ib</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omit the definition of </w:t>
      </w:r>
      <w:r w:rsidRPr="00452D8D">
        <w:rPr>
          <w:rFonts w:ascii="Times New Roman" w:hAnsi="Times New Roman" w:cs="Times New Roman"/>
          <w:b/>
          <w:i/>
          <w:sz w:val="24"/>
        </w:rPr>
        <w:t>investment fee</w:t>
      </w:r>
      <w:r w:rsidRPr="00452D8D">
        <w:rPr>
          <w:rFonts w:ascii="Times New Roman" w:hAnsi="Times New Roman" w:cs="Times New Roman"/>
          <w:sz w:val="24"/>
        </w:rPr>
        <w:t>, substitute:</w:t>
      </w:r>
    </w:p>
    <w:p w14:paraId="6F6A1479" w14:textId="77777777"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sz w:val="24"/>
        </w:rPr>
        <w:t xml:space="preserve">“An </w:t>
      </w:r>
      <w:r w:rsidRPr="00452D8D">
        <w:rPr>
          <w:rFonts w:ascii="Times New Roman" w:hAnsi="Times New Roman" w:cs="Times New Roman"/>
          <w:b/>
          <w:bCs/>
          <w:i/>
          <w:iCs/>
          <w:sz w:val="24"/>
        </w:rPr>
        <w:t xml:space="preserve">investment fee </w:t>
      </w:r>
      <w:r w:rsidRPr="00452D8D">
        <w:rPr>
          <w:rFonts w:ascii="Times New Roman" w:hAnsi="Times New Roman" w:cs="Times New Roman"/>
          <w:sz w:val="24"/>
        </w:rPr>
        <w:t>is a fee that relates to the investment of the assets of a superannuation entity and includes:</w:t>
      </w:r>
    </w:p>
    <w:p w14:paraId="53A04A49" w14:textId="77777777" w:rsidR="001A30D0" w:rsidRPr="00452D8D" w:rsidRDefault="001A30D0" w:rsidP="001A30D0">
      <w:pPr>
        <w:pStyle w:val="LI-BodyTextNumbered"/>
        <w:ind w:left="2268"/>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fees in payment for the exercise of care and expertise in the investment of those assets (including performance fees); and</w:t>
      </w:r>
    </w:p>
    <w:p w14:paraId="474EB4C0" w14:textId="77777777" w:rsidR="001A30D0" w:rsidRPr="00452D8D" w:rsidRDefault="001A30D0" w:rsidP="001A30D0">
      <w:pPr>
        <w:pStyle w:val="LI-BodyTextParaa"/>
        <w:ind w:left="2268"/>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costs that relate to the investment of assets of the entity, other than:</w:t>
      </w:r>
    </w:p>
    <w:p w14:paraId="3179089C" w14:textId="77777777" w:rsidR="001A30D0" w:rsidRPr="00452D8D" w:rsidRDefault="001A30D0" w:rsidP="001A30D0">
      <w:pPr>
        <w:pStyle w:val="LI-BodyTextSubparai"/>
        <w:ind w:left="2835"/>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borrowing costs; and</w:t>
      </w:r>
    </w:p>
    <w:p w14:paraId="0B4C20DE" w14:textId="77777777" w:rsidR="001A30D0" w:rsidRPr="00452D8D" w:rsidRDefault="001A30D0" w:rsidP="001A30D0">
      <w:pPr>
        <w:pStyle w:val="LI-BodyTextSubparai"/>
        <w:ind w:left="2835"/>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indirect costs that are not paid out of the superannuation entity that the trustee has elected in writing will be treated as indirect costs and not fees, incurred by the trustee [</w:t>
      </w:r>
      <w:r w:rsidRPr="00452D8D">
        <w:rPr>
          <w:rFonts w:ascii="Times New Roman" w:hAnsi="Times New Roman" w:cs="Times New Roman"/>
          <w:i/>
          <w:sz w:val="24"/>
        </w:rPr>
        <w:t>OR the trustees</w:t>
      </w:r>
      <w:r w:rsidRPr="00452D8D">
        <w:rPr>
          <w:rFonts w:ascii="Times New Roman" w:hAnsi="Times New Roman" w:cs="Times New Roman"/>
          <w:sz w:val="24"/>
        </w:rPr>
        <w:t>] of the entity or in an interposed vehicle or derivative financial product; and</w:t>
      </w:r>
    </w:p>
    <w:p w14:paraId="5AAB1CE9" w14:textId="48C13E93" w:rsidR="00255CF9" w:rsidRDefault="006546E7" w:rsidP="001A30D0">
      <w:pPr>
        <w:pStyle w:val="LI-BodyTextSubsubparaA"/>
        <w:rPr>
          <w:rFonts w:ascii="Times New Roman" w:hAnsi="Times New Roman" w:cs="Times New Roman"/>
          <w:sz w:val="24"/>
        </w:rPr>
      </w:pPr>
      <w:r w:rsidRPr="00452D8D">
        <w:rPr>
          <w:rFonts w:ascii="Times New Roman" w:hAnsi="Times New Roman" w:cs="Times New Roman"/>
          <w:sz w:val="24"/>
        </w:rPr>
        <w:t>(iii)</w:t>
      </w:r>
      <w:r w:rsidRPr="00452D8D">
        <w:rPr>
          <w:rFonts w:ascii="Times New Roman" w:hAnsi="Times New Roman" w:cs="Times New Roman"/>
          <w:sz w:val="24"/>
        </w:rPr>
        <w:tab/>
        <w:t xml:space="preserve">costs that are </w:t>
      </w:r>
      <w:r w:rsidR="001A30D0" w:rsidRPr="00452D8D">
        <w:rPr>
          <w:rFonts w:ascii="Times New Roman" w:hAnsi="Times New Roman" w:cs="Times New Roman"/>
          <w:sz w:val="24"/>
        </w:rPr>
        <w:t>otherwise charged as an administration fee, a buy-sell spread, a switching fee, an activity fee, an advice fee or an insurance fee</w:t>
      </w:r>
      <w:r w:rsidR="00B3041D" w:rsidRPr="00452D8D">
        <w:rPr>
          <w:rFonts w:ascii="Times New Roman" w:hAnsi="Times New Roman" w:cs="Times New Roman"/>
          <w:sz w:val="24"/>
        </w:rPr>
        <w:t>.</w:t>
      </w:r>
    </w:p>
    <w:p w14:paraId="0295901C" w14:textId="3402EFF1" w:rsidR="001A30D0" w:rsidRPr="00255CF9" w:rsidRDefault="00255CF9" w:rsidP="00255CF9">
      <w:pPr>
        <w:pStyle w:val="LI-BodyTextNumbered"/>
        <w:keepLines/>
        <w:ind w:left="2268"/>
        <w:rPr>
          <w:rFonts w:ascii="Times New Roman" w:hAnsi="Times New Roman" w:cs="Times New Roman"/>
          <w:sz w:val="24"/>
        </w:rPr>
      </w:pPr>
      <w:r w:rsidRPr="00452D8D">
        <w:rPr>
          <w:rFonts w:ascii="Times New Roman" w:hAnsi="Times New Roman" w:cs="Times New Roman"/>
          <w:sz w:val="18"/>
          <w:szCs w:val="18"/>
        </w:rPr>
        <w:t>Note:</w:t>
      </w:r>
      <w:r w:rsidRPr="00452D8D">
        <w:rPr>
          <w:rFonts w:ascii="Times New Roman" w:hAnsi="Times New Roman" w:cs="Times New Roman"/>
          <w:sz w:val="18"/>
          <w:szCs w:val="18"/>
        </w:rPr>
        <w:tab/>
        <w:t>The costs referred to in paragraph (b) do not include transactional and operational costs referred to in paragraphs (b), (</w:t>
      </w:r>
      <w:proofErr w:type="spellStart"/>
      <w:r w:rsidRPr="00452D8D">
        <w:rPr>
          <w:rFonts w:ascii="Times New Roman" w:hAnsi="Times New Roman" w:cs="Times New Roman"/>
          <w:sz w:val="18"/>
          <w:szCs w:val="18"/>
        </w:rPr>
        <w:t>ea</w:t>
      </w:r>
      <w:proofErr w:type="spellEnd"/>
      <w:r w:rsidRPr="00452D8D">
        <w:rPr>
          <w:rFonts w:ascii="Times New Roman" w:hAnsi="Times New Roman" w:cs="Times New Roman"/>
          <w:sz w:val="18"/>
          <w:szCs w:val="18"/>
        </w:rPr>
        <w:t xml:space="preserve">) </w:t>
      </w:r>
      <w:proofErr w:type="gramStart"/>
      <w:r w:rsidRPr="00452D8D">
        <w:rPr>
          <w:rFonts w:ascii="Times New Roman" w:hAnsi="Times New Roman" w:cs="Times New Roman"/>
          <w:sz w:val="18"/>
          <w:szCs w:val="18"/>
        </w:rPr>
        <w:t>and  (</w:t>
      </w:r>
      <w:proofErr w:type="gramEnd"/>
      <w:r w:rsidRPr="00452D8D">
        <w:rPr>
          <w:rFonts w:ascii="Times New Roman" w:hAnsi="Times New Roman" w:cs="Times New Roman"/>
          <w:sz w:val="18"/>
          <w:szCs w:val="18"/>
        </w:rPr>
        <w:t xml:space="preserve">eb) of the definition of </w:t>
      </w:r>
      <w:r>
        <w:rPr>
          <w:rFonts w:ascii="Times New Roman" w:hAnsi="Times New Roman" w:cs="Times New Roman"/>
          <w:b/>
          <w:i/>
          <w:sz w:val="18"/>
          <w:szCs w:val="18"/>
        </w:rPr>
        <w:t xml:space="preserve">transactional and </w:t>
      </w:r>
      <w:r w:rsidRPr="00452D8D">
        <w:rPr>
          <w:rFonts w:ascii="Times New Roman" w:hAnsi="Times New Roman" w:cs="Times New Roman"/>
          <w:b/>
          <w:i/>
          <w:sz w:val="18"/>
          <w:szCs w:val="18"/>
        </w:rPr>
        <w:t>operational costs</w:t>
      </w:r>
      <w:r w:rsidRPr="00452D8D">
        <w:rPr>
          <w:rFonts w:ascii="Times New Roman" w:hAnsi="Times New Roman" w:cs="Times New Roman"/>
          <w:sz w:val="18"/>
          <w:szCs w:val="18"/>
        </w:rPr>
        <w:t>.</w:t>
      </w:r>
      <w:r w:rsidR="00B3041D" w:rsidRPr="00255CF9">
        <w:rPr>
          <w:rFonts w:ascii="Times New Roman" w:hAnsi="Times New Roman" w:cs="Times New Roman"/>
          <w:sz w:val="24"/>
        </w:rPr>
        <w:t>”;</w:t>
      </w:r>
    </w:p>
    <w:p w14:paraId="570A5BB3" w14:textId="4977630E" w:rsidR="003F11D0" w:rsidRPr="00452D8D" w:rsidRDefault="003F11D0" w:rsidP="003F11D0">
      <w:pPr>
        <w:pStyle w:val="LI-BodyTextNumbered"/>
        <w:ind w:left="1701"/>
        <w:rPr>
          <w:rFonts w:ascii="Times New Roman" w:hAnsi="Times New Roman" w:cs="Times New Roman"/>
          <w:sz w:val="18"/>
          <w:szCs w:val="18"/>
        </w:rPr>
      </w:pPr>
      <w:r w:rsidRPr="00452D8D">
        <w:rPr>
          <w:rFonts w:ascii="Times New Roman" w:hAnsi="Times New Roman" w:cs="Times New Roman"/>
          <w:sz w:val="18"/>
          <w:szCs w:val="18"/>
        </w:rPr>
        <w:t>Note:   Transitional provisions apply in relation to the notional definition of invest</w:t>
      </w:r>
      <w:r w:rsidR="004E503F">
        <w:rPr>
          <w:rFonts w:ascii="Times New Roman" w:hAnsi="Times New Roman" w:cs="Times New Roman"/>
          <w:sz w:val="18"/>
          <w:szCs w:val="18"/>
        </w:rPr>
        <w:t>ment fee until 30 September 20</w:t>
      </w:r>
      <w:r w:rsidR="00595802">
        <w:rPr>
          <w:rFonts w:ascii="Times New Roman" w:hAnsi="Times New Roman" w:cs="Times New Roman"/>
          <w:sz w:val="18"/>
          <w:szCs w:val="18"/>
        </w:rPr>
        <w:t>20</w:t>
      </w:r>
      <w:r w:rsidRPr="00452D8D">
        <w:rPr>
          <w:rFonts w:ascii="Times New Roman" w:hAnsi="Times New Roman" w:cs="Times New Roman"/>
          <w:sz w:val="18"/>
          <w:szCs w:val="18"/>
        </w:rPr>
        <w:t>: see paragraph 11.</w:t>
      </w:r>
    </w:p>
    <w:p w14:paraId="436CC588" w14:textId="77777777" w:rsidR="001A30D0" w:rsidRPr="00452D8D" w:rsidRDefault="001A30D0" w:rsidP="001A30D0">
      <w:pPr>
        <w:spacing w:after="0"/>
        <w:ind w:left="1134" w:hanging="567"/>
        <w:rPr>
          <w:rFonts w:ascii="Times New Roman" w:hAnsi="Times New Roman" w:cs="Times New Roman"/>
          <w:sz w:val="24"/>
          <w:szCs w:val="18"/>
        </w:rPr>
      </w:pPr>
    </w:p>
    <w:p w14:paraId="3EE2D4A3" w14:textId="77777777"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(ii)</w:t>
      </w:r>
      <w:r w:rsidRPr="00452D8D">
        <w:rPr>
          <w:rFonts w:ascii="Times New Roman" w:hAnsi="Times New Roman" w:cs="Times New Roman"/>
          <w:sz w:val="24"/>
          <w:szCs w:val="18"/>
        </w:rPr>
        <w:tab/>
      </w:r>
      <w:r w:rsidR="00CA027C">
        <w:rPr>
          <w:rFonts w:ascii="Times New Roman" w:hAnsi="Times New Roman" w:cs="Times New Roman"/>
          <w:sz w:val="24"/>
          <w:szCs w:val="18"/>
        </w:rPr>
        <w:t xml:space="preserve">omit </w:t>
      </w:r>
      <w:r w:rsidRPr="00452D8D">
        <w:rPr>
          <w:rFonts w:ascii="Times New Roman" w:hAnsi="Times New Roman" w:cs="Times New Roman"/>
          <w:sz w:val="24"/>
          <w:szCs w:val="18"/>
        </w:rPr>
        <w:t xml:space="preserve">the definition of </w:t>
      </w:r>
      <w:r w:rsidRPr="00452D8D">
        <w:rPr>
          <w:rFonts w:ascii="Times New Roman" w:hAnsi="Times New Roman" w:cs="Times New Roman"/>
          <w:b/>
          <w:i/>
          <w:sz w:val="24"/>
          <w:szCs w:val="18"/>
        </w:rPr>
        <w:t>switching fees</w:t>
      </w:r>
      <w:r w:rsidRPr="00452D8D">
        <w:rPr>
          <w:rFonts w:ascii="Times New Roman" w:hAnsi="Times New Roman" w:cs="Times New Roman"/>
          <w:sz w:val="24"/>
          <w:szCs w:val="18"/>
        </w:rPr>
        <w:t xml:space="preserve">, </w:t>
      </w:r>
      <w:r w:rsidR="00CA027C">
        <w:rPr>
          <w:rFonts w:ascii="Times New Roman" w:hAnsi="Times New Roman" w:cs="Times New Roman"/>
          <w:sz w:val="24"/>
          <w:szCs w:val="18"/>
        </w:rPr>
        <w:t>substitute</w:t>
      </w:r>
      <w:r w:rsidRPr="00452D8D">
        <w:rPr>
          <w:rFonts w:ascii="Times New Roman" w:hAnsi="Times New Roman" w:cs="Times New Roman"/>
          <w:sz w:val="24"/>
          <w:szCs w:val="18"/>
        </w:rPr>
        <w:t>:</w:t>
      </w:r>
    </w:p>
    <w:p w14:paraId="1F045014" w14:textId="77777777" w:rsidR="001A30D0" w:rsidRPr="00452D8D" w:rsidRDefault="001A30D0" w:rsidP="001A30D0">
      <w:pPr>
        <w:pStyle w:val="LI-BodyTextNumbered"/>
        <w:ind w:left="1440" w:firstLine="0"/>
        <w:rPr>
          <w:rFonts w:ascii="Times New Roman" w:hAnsi="Times New Roman" w:cs="Times New Roman"/>
          <w:i/>
          <w:sz w:val="24"/>
        </w:rPr>
      </w:pPr>
      <w:r w:rsidRPr="00452D8D">
        <w:rPr>
          <w:rFonts w:ascii="Times New Roman" w:hAnsi="Times New Roman" w:cs="Times New Roman"/>
          <w:i/>
          <w:sz w:val="24"/>
        </w:rPr>
        <w:t xml:space="preserve">“[In the case of a </w:t>
      </w:r>
      <w:proofErr w:type="spellStart"/>
      <w:r w:rsidRPr="00452D8D">
        <w:rPr>
          <w:rFonts w:ascii="Times New Roman" w:hAnsi="Times New Roman" w:cs="Times New Roman"/>
          <w:i/>
          <w:sz w:val="24"/>
        </w:rPr>
        <w:t>MySuper</w:t>
      </w:r>
      <w:proofErr w:type="spellEnd"/>
      <w:r w:rsidRPr="00452D8D">
        <w:rPr>
          <w:rFonts w:ascii="Times New Roman" w:hAnsi="Times New Roman" w:cs="Times New Roman"/>
          <w:i/>
          <w:sz w:val="24"/>
        </w:rPr>
        <w:t xml:space="preserve"> product:]</w:t>
      </w:r>
    </w:p>
    <w:p w14:paraId="0380C119" w14:textId="77777777" w:rsidR="001A30D0" w:rsidRPr="00452D8D" w:rsidRDefault="001A30D0" w:rsidP="001A30D0">
      <w:pPr>
        <w:pStyle w:val="LI-BodyTextNumbered"/>
        <w:ind w:left="1440" w:firstLine="0"/>
        <w:rPr>
          <w:rFonts w:ascii="Times New Roman" w:hAnsi="Times New Roman" w:cs="Times New Roman"/>
          <w:sz w:val="24"/>
        </w:rPr>
      </w:pPr>
      <w:r w:rsidRPr="00452D8D">
        <w:rPr>
          <w:rFonts w:ascii="Times New Roman" w:hAnsi="Times New Roman" w:cs="Times New Roman"/>
          <w:sz w:val="24"/>
        </w:rPr>
        <w:t xml:space="preserve">A </w:t>
      </w:r>
      <w:r w:rsidRPr="00452D8D">
        <w:rPr>
          <w:rFonts w:ascii="Times New Roman" w:hAnsi="Times New Roman" w:cs="Times New Roman"/>
          <w:b/>
          <w:i/>
          <w:sz w:val="24"/>
        </w:rPr>
        <w:t>switching fee</w:t>
      </w:r>
      <w:r w:rsidRPr="00452D8D">
        <w:rPr>
          <w:rFonts w:ascii="Times New Roman" w:hAnsi="Times New Roman" w:cs="Times New Roman"/>
          <w:sz w:val="24"/>
        </w:rPr>
        <w:t xml:space="preserve"> for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w:t>
      </w:r>
      <w:r w:rsidRPr="00452D8D">
        <w:rPr>
          <w:rFonts w:ascii="Times New Roman" w:hAnsi="Times New Roman" w:cs="Times New Roman"/>
          <w:sz w:val="24"/>
          <w:szCs w:val="18"/>
        </w:rPr>
        <w:t xml:space="preserve">is </w:t>
      </w:r>
      <w:r w:rsidRPr="00452D8D">
        <w:rPr>
          <w:rFonts w:ascii="Times New Roman" w:hAnsi="Times New Roman" w:cs="Times New Roman"/>
          <w:sz w:val="24"/>
        </w:rPr>
        <w:t>a fee to recover the costs of switching all or part of a member's interest in a superannuation entity from one class of beneficial interest in the entity to another.</w:t>
      </w:r>
    </w:p>
    <w:p w14:paraId="7D7C8789" w14:textId="77777777" w:rsidR="001A30D0" w:rsidRPr="00452D8D" w:rsidRDefault="001A30D0" w:rsidP="001A30D0">
      <w:pPr>
        <w:pStyle w:val="LI-BodyTextNumbered"/>
        <w:ind w:left="1440" w:firstLine="0"/>
        <w:rPr>
          <w:rFonts w:ascii="Times New Roman" w:hAnsi="Times New Roman" w:cs="Times New Roman"/>
          <w:i/>
          <w:sz w:val="24"/>
        </w:rPr>
      </w:pPr>
      <w:r w:rsidRPr="00452D8D">
        <w:rPr>
          <w:rFonts w:ascii="Times New Roman" w:hAnsi="Times New Roman" w:cs="Times New Roman"/>
          <w:i/>
          <w:sz w:val="24"/>
        </w:rPr>
        <w:t xml:space="preserve">[In the case of a superannuation product that is not a </w:t>
      </w:r>
      <w:proofErr w:type="spellStart"/>
      <w:r w:rsidRPr="00452D8D">
        <w:rPr>
          <w:rFonts w:ascii="Times New Roman" w:hAnsi="Times New Roman" w:cs="Times New Roman"/>
          <w:i/>
          <w:sz w:val="24"/>
        </w:rPr>
        <w:t>MySuper</w:t>
      </w:r>
      <w:proofErr w:type="spellEnd"/>
      <w:r w:rsidRPr="00452D8D">
        <w:rPr>
          <w:rFonts w:ascii="Times New Roman" w:hAnsi="Times New Roman" w:cs="Times New Roman"/>
          <w:i/>
          <w:sz w:val="24"/>
        </w:rPr>
        <w:t xml:space="preserve"> product:]</w:t>
      </w:r>
    </w:p>
    <w:p w14:paraId="2D68A076" w14:textId="77777777" w:rsidR="001A30D0" w:rsidRPr="00452D8D" w:rsidRDefault="001A30D0" w:rsidP="001A30D0">
      <w:pPr>
        <w:pStyle w:val="LI-BodyTextNumbered"/>
        <w:ind w:left="1440" w:firstLine="0"/>
        <w:rPr>
          <w:rFonts w:ascii="Times New Roman" w:hAnsi="Times New Roman" w:cs="Times New Roman"/>
          <w:sz w:val="24"/>
        </w:rPr>
      </w:pPr>
      <w:r w:rsidRPr="00452D8D">
        <w:rPr>
          <w:rFonts w:ascii="Times New Roman" w:hAnsi="Times New Roman" w:cs="Times New Roman"/>
          <w:sz w:val="24"/>
        </w:rPr>
        <w:t xml:space="preserve">A </w:t>
      </w:r>
      <w:r w:rsidRPr="00452D8D">
        <w:rPr>
          <w:rFonts w:ascii="Times New Roman" w:hAnsi="Times New Roman" w:cs="Times New Roman"/>
          <w:b/>
          <w:i/>
          <w:sz w:val="24"/>
        </w:rPr>
        <w:t>switching fee</w:t>
      </w:r>
      <w:r w:rsidRPr="00452D8D">
        <w:rPr>
          <w:rFonts w:ascii="Times New Roman" w:hAnsi="Times New Roman" w:cs="Times New Roman"/>
          <w:sz w:val="24"/>
        </w:rPr>
        <w:t xml:space="preserve"> for a </w:t>
      </w:r>
      <w:proofErr w:type="gramStart"/>
      <w:r w:rsidRPr="00452D8D">
        <w:rPr>
          <w:rFonts w:ascii="Times New Roman" w:hAnsi="Times New Roman" w:cs="Times New Roman"/>
          <w:sz w:val="24"/>
        </w:rPr>
        <w:t>superannuation products</w:t>
      </w:r>
      <w:proofErr w:type="gramEnd"/>
      <w:r w:rsidRPr="00452D8D">
        <w:rPr>
          <w:rFonts w:ascii="Times New Roman" w:hAnsi="Times New Roman" w:cs="Times New Roman"/>
          <w:sz w:val="24"/>
        </w:rPr>
        <w:t xml:space="preserve"> other than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is a fee to recover the costs of switching all or part of a member’s interest in the superannuation entity from one investment option or product in the entity to another.</w:t>
      </w:r>
      <w:r w:rsidR="00B3041D">
        <w:rPr>
          <w:rFonts w:ascii="Times New Roman" w:hAnsi="Times New Roman" w:cs="Times New Roman"/>
          <w:sz w:val="24"/>
        </w:rPr>
        <w:t>";</w:t>
      </w:r>
    </w:p>
    <w:p w14:paraId="21E094ED" w14:textId="77777777" w:rsidR="001A30D0" w:rsidRPr="00452D8D" w:rsidRDefault="001A30D0" w:rsidP="001A30D0">
      <w:pPr>
        <w:pStyle w:val="LI-BodyTextNote"/>
        <w:ind w:left="2574"/>
        <w:rPr>
          <w:rFonts w:ascii="Times New Roman" w:hAnsi="Times New Roman" w:cs="Times New Roman"/>
          <w:szCs w:val="18"/>
        </w:rPr>
      </w:pPr>
      <w:r w:rsidRPr="00452D8D">
        <w:rPr>
          <w:rFonts w:ascii="Times New Roman" w:hAnsi="Times New Roman" w:cs="Times New Roman"/>
          <w:szCs w:val="18"/>
        </w:rPr>
        <w:lastRenderedPageBreak/>
        <w:t>Note:</w:t>
      </w:r>
      <w:r w:rsidRPr="00452D8D">
        <w:rPr>
          <w:rFonts w:ascii="Times New Roman" w:hAnsi="Times New Roman" w:cs="Times New Roman"/>
          <w:szCs w:val="18"/>
        </w:rPr>
        <w:tab/>
        <w:t xml:space="preserve">If a Product Disclosure Statement covers both a </w:t>
      </w:r>
      <w:proofErr w:type="spellStart"/>
      <w:r w:rsidRPr="00452D8D">
        <w:rPr>
          <w:rFonts w:ascii="Times New Roman" w:hAnsi="Times New Roman" w:cs="Times New Roman"/>
          <w:szCs w:val="18"/>
        </w:rPr>
        <w:t>MySuper</w:t>
      </w:r>
      <w:proofErr w:type="spellEnd"/>
      <w:r w:rsidRPr="00452D8D">
        <w:rPr>
          <w:rFonts w:ascii="Times New Roman" w:hAnsi="Times New Roman" w:cs="Times New Roman"/>
          <w:szCs w:val="18"/>
        </w:rPr>
        <w:t xml:space="preserve"> product and another superannuation product, both definitions of </w:t>
      </w:r>
      <w:r w:rsidRPr="00452D8D">
        <w:rPr>
          <w:rFonts w:ascii="Times New Roman" w:hAnsi="Times New Roman" w:cs="Times New Roman"/>
          <w:b/>
          <w:i/>
          <w:szCs w:val="18"/>
        </w:rPr>
        <w:t>switching fee</w:t>
      </w:r>
      <w:r w:rsidRPr="00452D8D">
        <w:rPr>
          <w:rFonts w:ascii="Times New Roman" w:hAnsi="Times New Roman" w:cs="Times New Roman"/>
          <w:szCs w:val="18"/>
        </w:rPr>
        <w:t xml:space="preserve"> must be included.”.</w:t>
      </w:r>
    </w:p>
    <w:p w14:paraId="3FBE1B91" w14:textId="0B43AF2D" w:rsidR="001A30D0" w:rsidRPr="00452D8D" w:rsidRDefault="001A30D0" w:rsidP="001A30D0">
      <w:pPr>
        <w:pStyle w:val="LI-BodyTextNumbered"/>
        <w:rPr>
          <w:rFonts w:ascii="Times New Roman" w:hAnsi="Times New Roman" w:cs="Times New Roman"/>
          <w:sz w:val="24"/>
        </w:rPr>
      </w:pPr>
      <w:r w:rsidRPr="00452D8D">
        <w:rPr>
          <w:rFonts w:ascii="Times New Roman" w:hAnsi="Times New Roman" w:cs="Times New Roman"/>
          <w:sz w:val="24"/>
        </w:rPr>
        <w:t>(fa)</w:t>
      </w:r>
      <w:r w:rsidRPr="00452D8D">
        <w:rPr>
          <w:rFonts w:ascii="Times New Roman" w:hAnsi="Times New Roman" w:cs="Times New Roman"/>
          <w:sz w:val="24"/>
        </w:rPr>
        <w:tab/>
        <w:t>in subclause 211:</w:t>
      </w:r>
    </w:p>
    <w:p w14:paraId="7B3470D9" w14:textId="77777777" w:rsidR="001A30D0" w:rsidRPr="00452D8D" w:rsidRDefault="001A30D0" w:rsidP="001A30D0">
      <w:pPr>
        <w:spacing w:before="240" w:after="0"/>
        <w:ind w:left="1701" w:hanging="567"/>
        <w:rPr>
          <w:rFonts w:ascii="Times New Roman" w:hAnsi="Times New Roman" w:cs="Times New Roman"/>
          <w:sz w:val="24"/>
          <w:szCs w:val="24"/>
        </w:rPr>
      </w:pPr>
      <w:r w:rsidRPr="00452D8D">
        <w:rPr>
          <w:rFonts w:ascii="Times New Roman" w:hAnsi="Times New Roman" w:cs="Times New Roman"/>
          <w:sz w:val="24"/>
          <w:szCs w:val="24"/>
        </w:rPr>
        <w:t>(</w:t>
      </w:r>
      <w:proofErr w:type="spellStart"/>
      <w:r w:rsidRPr="00452D8D">
        <w:rPr>
          <w:rFonts w:ascii="Times New Roman" w:hAnsi="Times New Roman" w:cs="Times New Roman"/>
          <w:sz w:val="24"/>
          <w:szCs w:val="24"/>
        </w:rPr>
        <w:t>i</w:t>
      </w:r>
      <w:proofErr w:type="spellEnd"/>
      <w:r w:rsidRPr="00452D8D">
        <w:rPr>
          <w:rFonts w:ascii="Times New Roman" w:hAnsi="Times New Roman" w:cs="Times New Roman"/>
          <w:sz w:val="24"/>
          <w:szCs w:val="24"/>
        </w:rPr>
        <w:t>)</w:t>
      </w:r>
      <w:r w:rsidRPr="00452D8D">
        <w:rPr>
          <w:rFonts w:ascii="Times New Roman" w:hAnsi="Times New Roman" w:cs="Times New Roman"/>
          <w:sz w:val="24"/>
          <w:szCs w:val="24"/>
        </w:rPr>
        <w:tab/>
        <w:t>in the heading omit “</w:t>
      </w:r>
      <w:r w:rsidRPr="00452D8D">
        <w:rPr>
          <w:rFonts w:ascii="Times New Roman" w:hAnsi="Times New Roman" w:cs="Times New Roman"/>
          <w:b/>
          <w:sz w:val="24"/>
          <w:szCs w:val="24"/>
        </w:rPr>
        <w:t xml:space="preserve">for a </w:t>
      </w:r>
      <w:proofErr w:type="spellStart"/>
      <w:r w:rsidRPr="00452D8D">
        <w:rPr>
          <w:rFonts w:ascii="Times New Roman" w:hAnsi="Times New Roman" w:cs="Times New Roman"/>
          <w:b/>
          <w:sz w:val="24"/>
          <w:szCs w:val="24"/>
        </w:rPr>
        <w:t>MySuper</w:t>
      </w:r>
      <w:proofErr w:type="spellEnd"/>
      <w:r w:rsidRPr="00452D8D">
        <w:rPr>
          <w:rFonts w:ascii="Times New Roman" w:hAnsi="Times New Roman" w:cs="Times New Roman"/>
          <w:b/>
          <w:sz w:val="24"/>
          <w:szCs w:val="24"/>
        </w:rPr>
        <w:t xml:space="preserve"> product</w:t>
      </w:r>
      <w:r w:rsidRPr="00452D8D">
        <w:rPr>
          <w:rFonts w:ascii="Times New Roman" w:hAnsi="Times New Roman" w:cs="Times New Roman"/>
          <w:sz w:val="24"/>
          <w:szCs w:val="24"/>
        </w:rPr>
        <w:t>”;</w:t>
      </w:r>
    </w:p>
    <w:p w14:paraId="25DA399B" w14:textId="77777777" w:rsidR="001A30D0" w:rsidRPr="00452D8D" w:rsidRDefault="001A30D0" w:rsidP="001A30D0">
      <w:pPr>
        <w:spacing w:before="240" w:after="0"/>
        <w:ind w:left="1701" w:hanging="567"/>
        <w:rPr>
          <w:rFonts w:ascii="Times New Roman" w:hAnsi="Times New Roman" w:cs="Times New Roman"/>
          <w:sz w:val="24"/>
          <w:szCs w:val="24"/>
        </w:rPr>
      </w:pPr>
      <w:r w:rsidRPr="00452D8D">
        <w:rPr>
          <w:rFonts w:ascii="Times New Roman" w:hAnsi="Times New Roman" w:cs="Times New Roman"/>
          <w:sz w:val="24"/>
          <w:szCs w:val="24"/>
        </w:rPr>
        <w:t>(ii)</w:t>
      </w:r>
      <w:r w:rsidRPr="00452D8D">
        <w:rPr>
          <w:rFonts w:ascii="Times New Roman" w:hAnsi="Times New Roman" w:cs="Times New Roman"/>
          <w:sz w:val="24"/>
          <w:szCs w:val="24"/>
        </w:rPr>
        <w:tab/>
        <w:t xml:space="preserve">omit “generic </w:t>
      </w:r>
      <w:proofErr w:type="spellStart"/>
      <w:r w:rsidRPr="00452D8D">
        <w:rPr>
          <w:rFonts w:ascii="Times New Roman" w:hAnsi="Times New Roman" w:cs="Times New Roman"/>
          <w:sz w:val="24"/>
          <w:szCs w:val="24"/>
        </w:rPr>
        <w:t>MySuper</w:t>
      </w:r>
      <w:proofErr w:type="spellEnd"/>
      <w:r w:rsidRPr="00452D8D">
        <w:rPr>
          <w:rFonts w:ascii="Times New Roman" w:hAnsi="Times New Roman" w:cs="Times New Roman"/>
          <w:sz w:val="24"/>
          <w:szCs w:val="24"/>
        </w:rPr>
        <w:t xml:space="preserve"> product”, substitute “</w:t>
      </w:r>
      <w:r w:rsidRPr="00452D8D">
        <w:rPr>
          <w:rFonts w:ascii="Times New Roman" w:hAnsi="Times New Roman" w:cs="Times New Roman"/>
          <w:i/>
          <w:sz w:val="24"/>
          <w:szCs w:val="24"/>
        </w:rPr>
        <w:t xml:space="preserve">[insert name of generic </w:t>
      </w:r>
      <w:proofErr w:type="spellStart"/>
      <w:r w:rsidRPr="00452D8D">
        <w:rPr>
          <w:rFonts w:ascii="Times New Roman" w:hAnsi="Times New Roman" w:cs="Times New Roman"/>
          <w:i/>
          <w:sz w:val="24"/>
          <w:szCs w:val="24"/>
        </w:rPr>
        <w:t>MySuper</w:t>
      </w:r>
      <w:proofErr w:type="spellEnd"/>
      <w:r w:rsidRPr="00452D8D">
        <w:rPr>
          <w:rFonts w:ascii="Times New Roman" w:hAnsi="Times New Roman" w:cs="Times New Roman"/>
          <w:i/>
          <w:sz w:val="24"/>
          <w:szCs w:val="24"/>
        </w:rPr>
        <w:t xml:space="preserve"> product or other investment option as required by subclause 220(1)]</w:t>
      </w:r>
      <w:r w:rsidRPr="00452D8D">
        <w:rPr>
          <w:rFonts w:ascii="Times New Roman" w:hAnsi="Times New Roman" w:cs="Times New Roman"/>
          <w:sz w:val="24"/>
          <w:szCs w:val="24"/>
        </w:rPr>
        <w:t>”;</w:t>
      </w:r>
    </w:p>
    <w:p w14:paraId="3FE0C40E" w14:textId="77777777" w:rsidR="001A30D0" w:rsidRPr="00452D8D" w:rsidRDefault="001A30D0" w:rsidP="001A30D0">
      <w:pPr>
        <w:spacing w:before="240" w:after="0"/>
        <w:ind w:left="1701" w:hanging="567"/>
        <w:rPr>
          <w:rFonts w:ascii="Times New Roman" w:hAnsi="Times New Roman" w:cs="Times New Roman"/>
          <w:sz w:val="24"/>
          <w:szCs w:val="24"/>
        </w:rPr>
      </w:pPr>
      <w:r w:rsidRPr="00452D8D">
        <w:rPr>
          <w:rFonts w:ascii="Times New Roman" w:hAnsi="Times New Roman" w:cs="Times New Roman"/>
          <w:sz w:val="24"/>
          <w:szCs w:val="24"/>
        </w:rPr>
        <w:t>(iii)</w:t>
      </w:r>
      <w:r w:rsidRPr="00452D8D">
        <w:rPr>
          <w:rFonts w:ascii="Times New Roman" w:hAnsi="Times New Roman" w:cs="Times New Roman"/>
          <w:sz w:val="24"/>
          <w:szCs w:val="24"/>
        </w:rPr>
        <w:tab/>
        <w:t>in the heading to the table omit “—</w:t>
      </w:r>
      <w:proofErr w:type="spellStart"/>
      <w:r w:rsidRPr="00452D8D">
        <w:rPr>
          <w:rFonts w:ascii="Times New Roman" w:hAnsi="Times New Roman" w:cs="Times New Roman"/>
          <w:sz w:val="24"/>
          <w:szCs w:val="24"/>
        </w:rPr>
        <w:t>MySuper</w:t>
      </w:r>
      <w:proofErr w:type="spellEnd"/>
      <w:r w:rsidRPr="00452D8D">
        <w:rPr>
          <w:rFonts w:ascii="Times New Roman" w:hAnsi="Times New Roman" w:cs="Times New Roman"/>
          <w:sz w:val="24"/>
          <w:szCs w:val="24"/>
        </w:rPr>
        <w:t xml:space="preserve"> product”, substitute “</w:t>
      </w:r>
      <w:r w:rsidRPr="00452D8D">
        <w:rPr>
          <w:rFonts w:ascii="Times New Roman" w:hAnsi="Times New Roman" w:cs="Times New Roman"/>
          <w:i/>
          <w:sz w:val="24"/>
          <w:szCs w:val="24"/>
        </w:rPr>
        <w:t xml:space="preserve">[insert name of generic </w:t>
      </w:r>
      <w:proofErr w:type="spellStart"/>
      <w:r w:rsidRPr="00452D8D">
        <w:rPr>
          <w:rFonts w:ascii="Times New Roman" w:hAnsi="Times New Roman" w:cs="Times New Roman"/>
          <w:i/>
          <w:sz w:val="24"/>
          <w:szCs w:val="24"/>
        </w:rPr>
        <w:t>MySuper</w:t>
      </w:r>
      <w:proofErr w:type="spellEnd"/>
      <w:r w:rsidRPr="00452D8D">
        <w:rPr>
          <w:rFonts w:ascii="Times New Roman" w:hAnsi="Times New Roman" w:cs="Times New Roman"/>
          <w:i/>
          <w:sz w:val="24"/>
          <w:szCs w:val="24"/>
        </w:rPr>
        <w:t xml:space="preserve"> product or other investment option as required by subclause 220(1)]</w:t>
      </w:r>
      <w:r w:rsidRPr="00452D8D">
        <w:rPr>
          <w:rFonts w:ascii="Times New Roman" w:hAnsi="Times New Roman" w:cs="Times New Roman"/>
          <w:sz w:val="24"/>
          <w:szCs w:val="24"/>
        </w:rPr>
        <w:t>”;</w:t>
      </w:r>
    </w:p>
    <w:p w14:paraId="2CCE1146" w14:textId="77777777" w:rsidR="001A30D0" w:rsidRPr="00452D8D" w:rsidRDefault="001A30D0" w:rsidP="001A30D0">
      <w:pPr>
        <w:spacing w:before="240" w:after="0"/>
        <w:ind w:left="1701" w:hanging="567"/>
        <w:rPr>
          <w:rFonts w:ascii="Times New Roman" w:hAnsi="Times New Roman" w:cs="Times New Roman"/>
          <w:sz w:val="24"/>
          <w:szCs w:val="24"/>
        </w:rPr>
      </w:pPr>
      <w:r w:rsidRPr="00452D8D">
        <w:rPr>
          <w:rFonts w:ascii="Times New Roman" w:hAnsi="Times New Roman" w:cs="Times New Roman"/>
          <w:sz w:val="24"/>
          <w:szCs w:val="24"/>
        </w:rPr>
        <w:t>(iv)</w:t>
      </w:r>
      <w:r w:rsidRPr="00452D8D">
        <w:rPr>
          <w:rFonts w:ascii="Times New Roman" w:hAnsi="Times New Roman" w:cs="Times New Roman"/>
          <w:sz w:val="24"/>
          <w:szCs w:val="24"/>
        </w:rPr>
        <w:tab/>
        <w:t>omit “</w:t>
      </w:r>
      <w:proofErr w:type="spellStart"/>
      <w:r w:rsidRPr="00452D8D">
        <w:rPr>
          <w:rFonts w:ascii="Times New Roman" w:hAnsi="Times New Roman" w:cs="Times New Roman"/>
          <w:sz w:val="24"/>
          <w:szCs w:val="24"/>
        </w:rPr>
        <w:t>MySuper</w:t>
      </w:r>
      <w:proofErr w:type="spellEnd"/>
      <w:r w:rsidRPr="00452D8D">
        <w:rPr>
          <w:rFonts w:ascii="Times New Roman" w:hAnsi="Times New Roman" w:cs="Times New Roman"/>
          <w:sz w:val="24"/>
          <w:szCs w:val="24"/>
        </w:rPr>
        <w:t>” (wherever else occurring), substitute “superannuation”;</w:t>
      </w:r>
    </w:p>
    <w:p w14:paraId="0A57EE9E" w14:textId="6408DBB9" w:rsidR="00EB650E" w:rsidRPr="00EB650E" w:rsidRDefault="001A30D0" w:rsidP="00EB650E">
      <w:pPr>
        <w:spacing w:before="240" w:after="0"/>
        <w:ind w:left="1701" w:hanging="567"/>
        <w:rPr>
          <w:rFonts w:ascii="Times New Roman" w:hAnsi="Times New Roman" w:cs="Times New Roman"/>
          <w:sz w:val="24"/>
          <w:szCs w:val="24"/>
        </w:rPr>
      </w:pPr>
      <w:r w:rsidRPr="00452D8D">
        <w:rPr>
          <w:rFonts w:ascii="Times New Roman" w:hAnsi="Times New Roman" w:cs="Times New Roman"/>
          <w:sz w:val="24"/>
          <w:szCs w:val="24"/>
        </w:rPr>
        <w:t>(v)</w:t>
      </w:r>
      <w:r w:rsidRPr="00452D8D">
        <w:rPr>
          <w:rFonts w:ascii="Times New Roman" w:hAnsi="Times New Roman" w:cs="Times New Roman"/>
          <w:sz w:val="24"/>
          <w:szCs w:val="24"/>
        </w:rPr>
        <w:tab/>
      </w:r>
      <w:r w:rsidR="00EB650E" w:rsidRPr="00EB650E">
        <w:rPr>
          <w:rFonts w:ascii="Times New Roman" w:hAnsi="Times New Roman" w:cs="Times New Roman"/>
          <w:sz w:val="24"/>
          <w:szCs w:val="24"/>
        </w:rPr>
        <w:t>omit the note below the table, substitute:</w:t>
      </w:r>
    </w:p>
    <w:p w14:paraId="3CCD9BA1" w14:textId="6A69EC9A" w:rsidR="001A30D0" w:rsidRPr="00452D8D" w:rsidRDefault="00EB650E" w:rsidP="00EB650E">
      <w:pPr>
        <w:pStyle w:val="aNotetext"/>
        <w:spacing w:before="240"/>
        <w:ind w:firstLine="1701"/>
        <w:rPr>
          <w:szCs w:val="18"/>
        </w:rPr>
      </w:pPr>
      <w:r w:rsidRPr="00EB650E">
        <w:t>“Note:</w:t>
      </w:r>
      <w:r w:rsidRPr="00EB650E">
        <w:tab/>
        <w:t>* Additional fees may apply.”;</w:t>
      </w:r>
    </w:p>
    <w:p w14:paraId="36D84F8C" w14:textId="77777777" w:rsidR="001A30D0" w:rsidRPr="00452D8D" w:rsidRDefault="001A30D0" w:rsidP="001A30D0">
      <w:pPr>
        <w:spacing w:before="240" w:after="0"/>
        <w:ind w:left="1134" w:hanging="567"/>
        <w:rPr>
          <w:rFonts w:ascii="Times New Roman" w:hAnsi="Times New Roman" w:cs="Times New Roman"/>
          <w:sz w:val="24"/>
          <w:szCs w:val="24"/>
        </w:rPr>
      </w:pPr>
      <w:r w:rsidRPr="00452D8D">
        <w:rPr>
          <w:rFonts w:ascii="Times New Roman" w:hAnsi="Times New Roman" w:cs="Times New Roman"/>
          <w:sz w:val="24"/>
          <w:szCs w:val="24"/>
        </w:rPr>
        <w:t>(fb)</w:t>
      </w:r>
      <w:r w:rsidRPr="00452D8D">
        <w:rPr>
          <w:rFonts w:ascii="Times New Roman" w:hAnsi="Times New Roman" w:cs="Times New Roman"/>
          <w:sz w:val="24"/>
          <w:szCs w:val="24"/>
        </w:rPr>
        <w:tab/>
        <w:t>in subclause 212:</w:t>
      </w:r>
    </w:p>
    <w:p w14:paraId="23708275" w14:textId="77777777" w:rsidR="001A30D0" w:rsidRPr="00452D8D" w:rsidRDefault="001A30D0" w:rsidP="001A30D0">
      <w:pPr>
        <w:pStyle w:val="LI-BodyTextSubparai"/>
        <w:ind w:left="1854" w:hanging="720"/>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in both the heading and the sub-heading omit “</w:t>
      </w:r>
      <w:r w:rsidRPr="00452D8D">
        <w:rPr>
          <w:rFonts w:ascii="Times New Roman" w:hAnsi="Times New Roman" w:cs="Times New Roman"/>
          <w:b/>
          <w:sz w:val="24"/>
        </w:rPr>
        <w:t>balanced investment option</w:t>
      </w:r>
      <w:r w:rsidRPr="00452D8D">
        <w:rPr>
          <w:rFonts w:ascii="Times New Roman" w:hAnsi="Times New Roman" w:cs="Times New Roman"/>
          <w:sz w:val="24"/>
        </w:rPr>
        <w:t>”, substitute “</w:t>
      </w:r>
      <w:r w:rsidRPr="00452D8D">
        <w:rPr>
          <w:rFonts w:ascii="Times New Roman" w:hAnsi="Times New Roman" w:cs="Times New Roman"/>
          <w:b/>
          <w:sz w:val="24"/>
        </w:rPr>
        <w:t>balanced investment option or other investment option</w:t>
      </w:r>
      <w:r w:rsidRPr="00452D8D">
        <w:rPr>
          <w:rFonts w:ascii="Times New Roman" w:hAnsi="Times New Roman" w:cs="Times New Roman"/>
          <w:sz w:val="24"/>
        </w:rPr>
        <w:t>”;</w:t>
      </w:r>
    </w:p>
    <w:p w14:paraId="2E4978C1" w14:textId="77777777" w:rsidR="001A30D0" w:rsidRPr="00452D8D" w:rsidRDefault="001A30D0" w:rsidP="001A30D0">
      <w:pPr>
        <w:pStyle w:val="LI-BodyTextSubparai"/>
        <w:ind w:left="1854" w:hanging="720"/>
        <w:rPr>
          <w:rFonts w:ascii="Times New Roman" w:hAnsi="Times New Roman" w:cs="Times New Roman"/>
          <w:color w:val="000000"/>
          <w:sz w:val="24"/>
        </w:rPr>
      </w:pPr>
      <w:r w:rsidRPr="00452D8D">
        <w:rPr>
          <w:rFonts w:ascii="Times New Roman" w:hAnsi="Times New Roman" w:cs="Times New Roman"/>
          <w:sz w:val="24"/>
        </w:rPr>
        <w:t>(ii)</w:t>
      </w:r>
      <w:r w:rsidRPr="00452D8D">
        <w:rPr>
          <w:rFonts w:ascii="Times New Roman" w:hAnsi="Times New Roman" w:cs="Times New Roman"/>
          <w:sz w:val="24"/>
        </w:rPr>
        <w:tab/>
        <w:t xml:space="preserve">in the heading to the table omit “—the Balanced Investment Option”, substitute </w:t>
      </w:r>
      <w:r w:rsidRPr="00452D8D">
        <w:rPr>
          <w:rFonts w:ascii="Times New Roman" w:hAnsi="Times New Roman" w:cs="Times New Roman"/>
          <w:color w:val="000000"/>
          <w:sz w:val="24"/>
        </w:rPr>
        <w:t>“</w:t>
      </w:r>
      <w:r w:rsidRPr="00452D8D">
        <w:rPr>
          <w:rFonts w:ascii="Times New Roman" w:hAnsi="Times New Roman" w:cs="Times New Roman"/>
          <w:i/>
          <w:color w:val="000000"/>
          <w:sz w:val="24"/>
        </w:rPr>
        <w:t>[insert name of balanced investment option or other investment option required by subclause 220(2)]</w:t>
      </w:r>
      <w:r w:rsidRPr="00452D8D">
        <w:rPr>
          <w:rFonts w:ascii="Times New Roman" w:hAnsi="Times New Roman" w:cs="Times New Roman"/>
          <w:color w:val="000000"/>
          <w:sz w:val="24"/>
        </w:rPr>
        <w:t>.”;</w:t>
      </w:r>
    </w:p>
    <w:p w14:paraId="53AA4B12" w14:textId="77777777" w:rsidR="001A30D0" w:rsidRPr="00452D8D" w:rsidRDefault="001A30D0" w:rsidP="001A30D0">
      <w:pPr>
        <w:spacing w:before="240" w:after="0"/>
        <w:ind w:left="1701" w:hanging="567"/>
        <w:rPr>
          <w:rFonts w:ascii="Times New Roman" w:hAnsi="Times New Roman" w:cs="Times New Roman"/>
          <w:sz w:val="24"/>
        </w:rPr>
      </w:pPr>
      <w:r w:rsidRPr="00452D8D">
        <w:rPr>
          <w:rFonts w:ascii="Times New Roman" w:hAnsi="Times New Roman" w:cs="Times New Roman"/>
          <w:sz w:val="24"/>
        </w:rPr>
        <w:t>(iii)</w:t>
      </w:r>
      <w:r w:rsidRPr="00452D8D">
        <w:rPr>
          <w:rFonts w:ascii="Times New Roman" w:hAnsi="Times New Roman" w:cs="Times New Roman"/>
          <w:sz w:val="24"/>
        </w:rPr>
        <w:tab/>
        <w:t>omit “balanced investment option” (wherever else occurring), substitute “</w:t>
      </w:r>
      <w:r w:rsidRPr="00452D8D">
        <w:rPr>
          <w:rFonts w:ascii="Times New Roman" w:hAnsi="Times New Roman" w:cs="Times New Roman"/>
          <w:i/>
          <w:sz w:val="24"/>
        </w:rPr>
        <w:t>[insert name of balanced investment option or other investment option required by subclause 220(2)]</w:t>
      </w:r>
      <w:r w:rsidRPr="00452D8D">
        <w:rPr>
          <w:rFonts w:ascii="Times New Roman" w:hAnsi="Times New Roman" w:cs="Times New Roman"/>
          <w:sz w:val="24"/>
        </w:rPr>
        <w:t>.”;</w:t>
      </w:r>
    </w:p>
    <w:p w14:paraId="470ECBE7" w14:textId="77777777" w:rsidR="001A30D0" w:rsidRPr="00452D8D" w:rsidRDefault="001A30D0" w:rsidP="001A30D0">
      <w:pPr>
        <w:spacing w:after="0"/>
        <w:ind w:left="1647"/>
        <w:rPr>
          <w:rFonts w:ascii="Times New Roman" w:hAnsi="Times New Roman" w:cs="Times New Roman"/>
          <w:sz w:val="24"/>
          <w:szCs w:val="18"/>
        </w:rPr>
      </w:pPr>
    </w:p>
    <w:p w14:paraId="1DB13902" w14:textId="77777777" w:rsidR="001A30D0" w:rsidRPr="00452D8D"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(g)</w:t>
      </w:r>
      <w:r w:rsidRPr="00452D8D">
        <w:rPr>
          <w:rFonts w:ascii="Times New Roman" w:hAnsi="Times New Roman" w:cs="Times New Roman"/>
          <w:sz w:val="24"/>
          <w:szCs w:val="18"/>
        </w:rPr>
        <w:tab/>
        <w:t>omit clause 221, substitute:</w:t>
      </w:r>
    </w:p>
    <w:p w14:paraId="32E4BE45" w14:textId="77777777" w:rsidR="001A30D0" w:rsidRPr="00452D8D" w:rsidRDefault="001A30D0" w:rsidP="001A30D0">
      <w:pPr>
        <w:keepNext/>
        <w:keepLines/>
        <w:spacing w:before="280" w:after="0"/>
        <w:ind w:left="3294" w:hanging="2160"/>
        <w:outlineLvl w:val="4"/>
        <w:rPr>
          <w:rFonts w:ascii="Times New Roman" w:hAnsi="Times New Roman" w:cs="Times New Roman"/>
          <w:b/>
          <w:kern w:val="28"/>
          <w:sz w:val="24"/>
          <w:lang w:eastAsia="en-AU"/>
        </w:rPr>
      </w:pPr>
      <w:r w:rsidRPr="00452D8D">
        <w:rPr>
          <w:rFonts w:ascii="Times New Roman" w:hAnsi="Times New Roman" w:cs="Times New Roman"/>
          <w:kern w:val="28"/>
          <w:sz w:val="24"/>
          <w:szCs w:val="18"/>
          <w:lang w:eastAsia="en-AU"/>
        </w:rPr>
        <w:t>“</w:t>
      </w:r>
      <w:bookmarkStart w:id="1" w:name="_Toc382827774"/>
      <w:r w:rsidRPr="00452D8D">
        <w:rPr>
          <w:rFonts w:ascii="Times New Roman" w:hAnsi="Times New Roman" w:cs="Times New Roman"/>
          <w:b/>
          <w:kern w:val="28"/>
          <w:sz w:val="24"/>
          <w:lang w:eastAsia="en-AU"/>
        </w:rPr>
        <w:t>221 Consumer advisory warning</w:t>
      </w:r>
      <w:bookmarkEnd w:id="1"/>
    </w:p>
    <w:p w14:paraId="0C642DEB" w14:textId="77777777" w:rsidR="001A30D0" w:rsidRPr="00452D8D" w:rsidRDefault="001A30D0" w:rsidP="001A30D0">
      <w:pPr>
        <w:spacing w:after="0"/>
        <w:rPr>
          <w:rFonts w:ascii="Times New Roman" w:hAnsi="Times New Roman" w:cs="Times New Roman"/>
          <w:sz w:val="24"/>
        </w:rPr>
      </w:pPr>
    </w:p>
    <w:p w14:paraId="7A424378" w14:textId="77777777" w:rsidR="001A30D0" w:rsidRPr="00452D8D" w:rsidRDefault="001A30D0" w:rsidP="001A30D0">
      <w:pPr>
        <w:ind w:left="1701" w:right="-51" w:hanging="567"/>
        <w:contextualSpacing/>
        <w:rPr>
          <w:rFonts w:ascii="Times New Roman" w:hAnsi="Times New Roman" w:cs="Times New Roman"/>
          <w:sz w:val="24"/>
          <w:szCs w:val="18"/>
        </w:rPr>
      </w:pPr>
      <w:r w:rsidRPr="00452D8D">
        <w:rPr>
          <w:rFonts w:ascii="Times New Roman" w:hAnsi="Times New Roman" w:cs="Times New Roman"/>
          <w:sz w:val="24"/>
          <w:szCs w:val="18"/>
        </w:rPr>
        <w:t>(1)</w:t>
      </w:r>
      <w:r w:rsidRPr="00452D8D">
        <w:rPr>
          <w:rFonts w:ascii="Times New Roman" w:hAnsi="Times New Roman" w:cs="Times New Roman"/>
          <w:sz w:val="24"/>
          <w:szCs w:val="18"/>
        </w:rPr>
        <w:tab/>
      </w:r>
      <w:r w:rsidRPr="00452D8D">
        <w:rPr>
          <w:rFonts w:ascii="Times New Roman" w:hAnsi="Times New Roman" w:cs="Times New Roman"/>
          <w:i/>
          <w:sz w:val="24"/>
          <w:szCs w:val="18"/>
        </w:rPr>
        <w:t>Superannuation products</w:t>
      </w:r>
    </w:p>
    <w:p w14:paraId="5B234E26" w14:textId="77777777" w:rsidR="001A30D0" w:rsidRPr="00452D8D" w:rsidRDefault="001A30D0" w:rsidP="001A30D0">
      <w:pPr>
        <w:pBdr>
          <w:bottom w:val="single" w:sz="6" w:space="1" w:color="auto"/>
        </w:pBdr>
        <w:ind w:left="1134" w:right="-51"/>
        <w:contextualSpacing/>
        <w:rPr>
          <w:rFonts w:ascii="Times New Roman" w:hAnsi="Times New Roman" w:cs="Times New Roman"/>
          <w:sz w:val="24"/>
          <w:szCs w:val="18"/>
        </w:rPr>
      </w:pPr>
    </w:p>
    <w:p w14:paraId="7479F5DF"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t>DID YOU KNOW?</w:t>
      </w:r>
    </w:p>
    <w:p w14:paraId="05DA65B3"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t xml:space="preserve">Small differences in both investment performance and fees and costs can have a substantial impact on your </w:t>
      </w:r>
      <w:proofErr w:type="gramStart"/>
      <w:r w:rsidRPr="00452D8D">
        <w:rPr>
          <w:rFonts w:ascii="Times New Roman" w:hAnsi="Times New Roman" w:cs="Times New Roman"/>
          <w:b/>
          <w:sz w:val="24"/>
          <w:szCs w:val="18"/>
        </w:rPr>
        <w:t>long term</w:t>
      </w:r>
      <w:proofErr w:type="gramEnd"/>
      <w:r w:rsidRPr="00452D8D">
        <w:rPr>
          <w:rFonts w:ascii="Times New Roman" w:hAnsi="Times New Roman" w:cs="Times New Roman"/>
          <w:b/>
          <w:sz w:val="24"/>
          <w:szCs w:val="18"/>
        </w:rPr>
        <w:t xml:space="preserve"> returns.</w:t>
      </w:r>
    </w:p>
    <w:p w14:paraId="267C36E8"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t xml:space="preserve">For example, total annual fees and costs of 2% of your account balance rather than 1% could reduce your final return by up to 20% over a </w:t>
      </w:r>
      <w:proofErr w:type="gramStart"/>
      <w:r w:rsidRPr="00452D8D">
        <w:rPr>
          <w:rFonts w:ascii="Times New Roman" w:hAnsi="Times New Roman" w:cs="Times New Roman"/>
          <w:b/>
          <w:sz w:val="24"/>
          <w:szCs w:val="18"/>
        </w:rPr>
        <w:t>30 year</w:t>
      </w:r>
      <w:proofErr w:type="gramEnd"/>
      <w:r w:rsidRPr="00452D8D">
        <w:rPr>
          <w:rFonts w:ascii="Times New Roman" w:hAnsi="Times New Roman" w:cs="Times New Roman"/>
          <w:b/>
          <w:sz w:val="24"/>
          <w:szCs w:val="18"/>
        </w:rPr>
        <w:t xml:space="preserve"> period (for example reduce it from $100 000 to $80 000).</w:t>
      </w:r>
    </w:p>
    <w:p w14:paraId="06532293"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lastRenderedPageBreak/>
        <w:t>You should consider whether features such as superior investment performance or the provision of better member services justify higher fees and costs.</w:t>
      </w:r>
    </w:p>
    <w:p w14:paraId="3E620F09"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t>You or your employer, as applicable, may be able to negotiate to pay lower fees. Ask the fund or your financial adviser.</w:t>
      </w:r>
    </w:p>
    <w:p w14:paraId="52E7977F" w14:textId="77777777" w:rsidR="001A30D0" w:rsidRPr="00452D8D" w:rsidRDefault="001A30D0" w:rsidP="001A30D0">
      <w:pPr>
        <w:ind w:left="1134" w:right="-51"/>
        <w:jc w:val="center"/>
        <w:rPr>
          <w:rFonts w:ascii="Times New Roman" w:hAnsi="Times New Roman" w:cs="Times New Roman"/>
          <w:b/>
          <w:sz w:val="24"/>
          <w:szCs w:val="18"/>
        </w:rPr>
      </w:pPr>
      <w:r w:rsidRPr="00452D8D">
        <w:rPr>
          <w:rFonts w:ascii="Times New Roman" w:hAnsi="Times New Roman" w:cs="Times New Roman"/>
          <w:b/>
          <w:sz w:val="24"/>
          <w:szCs w:val="18"/>
        </w:rPr>
        <w:t>TO FIND OUT MORE</w:t>
      </w:r>
    </w:p>
    <w:p w14:paraId="19ABCB11" w14:textId="77777777" w:rsidR="001A30D0" w:rsidRPr="00452D8D" w:rsidRDefault="001A30D0" w:rsidP="001A30D0">
      <w:pPr>
        <w:pBdr>
          <w:bottom w:val="single" w:sz="6" w:space="1" w:color="auto"/>
        </w:pBdr>
        <w:ind w:left="1134" w:right="-51"/>
        <w:jc w:val="center"/>
        <w:rPr>
          <w:rFonts w:ascii="Times New Roman" w:hAnsi="Times New Roman" w:cs="Times New Roman"/>
          <w:sz w:val="24"/>
          <w:szCs w:val="18"/>
        </w:rPr>
      </w:pPr>
      <w:r w:rsidRPr="00452D8D">
        <w:rPr>
          <w:rFonts w:ascii="Times New Roman" w:hAnsi="Times New Roman" w:cs="Times New Roman"/>
          <w:sz w:val="24"/>
          <w:szCs w:val="18"/>
        </w:rPr>
        <w:t xml:space="preserve">If you would like to find out </w:t>
      </w:r>
      <w:proofErr w:type="gramStart"/>
      <w:r w:rsidRPr="00452D8D">
        <w:rPr>
          <w:rFonts w:ascii="Times New Roman" w:hAnsi="Times New Roman" w:cs="Times New Roman"/>
          <w:sz w:val="24"/>
          <w:szCs w:val="18"/>
        </w:rPr>
        <w:t>more, or</w:t>
      </w:r>
      <w:proofErr w:type="gramEnd"/>
      <w:r w:rsidRPr="00452D8D">
        <w:rPr>
          <w:rFonts w:ascii="Times New Roman" w:hAnsi="Times New Roman" w:cs="Times New Roman"/>
          <w:sz w:val="24"/>
          <w:szCs w:val="18"/>
        </w:rPr>
        <w:t xml:space="preserve"> see the impact of the fees based on your own circumstances, the </w:t>
      </w:r>
      <w:r w:rsidRPr="00452D8D">
        <w:rPr>
          <w:rFonts w:ascii="Times New Roman" w:hAnsi="Times New Roman" w:cs="Times New Roman"/>
          <w:b/>
          <w:sz w:val="24"/>
          <w:szCs w:val="18"/>
        </w:rPr>
        <w:t>Australian Securities and Investments Commission</w:t>
      </w:r>
      <w:r w:rsidRPr="00452D8D">
        <w:rPr>
          <w:rFonts w:ascii="Times New Roman" w:hAnsi="Times New Roman" w:cs="Times New Roman"/>
          <w:sz w:val="24"/>
          <w:szCs w:val="18"/>
        </w:rPr>
        <w:t xml:space="preserve"> (</w:t>
      </w:r>
      <w:r w:rsidRPr="00452D8D">
        <w:rPr>
          <w:rFonts w:ascii="Times New Roman" w:hAnsi="Times New Roman" w:cs="Times New Roman"/>
          <w:b/>
          <w:sz w:val="24"/>
          <w:szCs w:val="18"/>
        </w:rPr>
        <w:t>ASIC</w:t>
      </w:r>
      <w:r w:rsidRPr="00452D8D">
        <w:rPr>
          <w:rFonts w:ascii="Times New Roman" w:hAnsi="Times New Roman" w:cs="Times New Roman"/>
          <w:sz w:val="24"/>
          <w:szCs w:val="18"/>
        </w:rPr>
        <w:t xml:space="preserve">) website </w:t>
      </w:r>
      <w:r w:rsidRPr="00452D8D">
        <w:rPr>
          <w:rFonts w:ascii="Times New Roman" w:hAnsi="Times New Roman" w:cs="Times New Roman"/>
          <w:sz w:val="24"/>
          <w:szCs w:val="18"/>
          <w:u w:val="single"/>
        </w:rPr>
        <w:t>(www.moneysmart.gov.au)</w:t>
      </w:r>
      <w:r w:rsidRPr="00452D8D">
        <w:rPr>
          <w:rFonts w:ascii="Times New Roman" w:hAnsi="Times New Roman" w:cs="Times New Roman"/>
          <w:sz w:val="24"/>
          <w:szCs w:val="18"/>
        </w:rPr>
        <w:t xml:space="preserve"> has a superannuation calculator to help you check out different fee options.</w:t>
      </w:r>
    </w:p>
    <w:p w14:paraId="6E99FC2D" w14:textId="77777777" w:rsidR="001A30D0" w:rsidRPr="00452D8D" w:rsidRDefault="001A30D0" w:rsidP="001A30D0">
      <w:pPr>
        <w:spacing w:before="60" w:after="0" w:line="240" w:lineRule="atLeast"/>
        <w:rPr>
          <w:rFonts w:ascii="Times New Roman" w:hAnsi="Times New Roman" w:cs="Times New Roman"/>
          <w:i/>
          <w:sz w:val="24"/>
          <w:lang w:eastAsia="en-AU"/>
        </w:rPr>
      </w:pPr>
    </w:p>
    <w:p w14:paraId="246C429C" w14:textId="1927D998" w:rsidR="001A30D0" w:rsidRPr="00452D8D" w:rsidRDefault="001A30D0" w:rsidP="001A30D0">
      <w:pPr>
        <w:spacing w:after="0"/>
        <w:ind w:left="1701" w:hanging="567"/>
        <w:contextualSpacing/>
        <w:rPr>
          <w:rFonts w:ascii="Times New Roman" w:hAnsi="Times New Roman" w:cs="Times New Roman"/>
          <w:sz w:val="24"/>
          <w:szCs w:val="18"/>
        </w:rPr>
      </w:pPr>
      <w:r w:rsidRPr="00452D8D">
        <w:rPr>
          <w:rFonts w:ascii="Times New Roman" w:hAnsi="Times New Roman" w:cs="Times New Roman"/>
          <w:sz w:val="24"/>
          <w:szCs w:val="18"/>
        </w:rPr>
        <w:t>(2)</w:t>
      </w:r>
      <w:r w:rsidRPr="00452D8D">
        <w:rPr>
          <w:rFonts w:ascii="Times New Roman" w:hAnsi="Times New Roman" w:cs="Times New Roman"/>
          <w:sz w:val="24"/>
          <w:szCs w:val="18"/>
        </w:rPr>
        <w:tab/>
      </w:r>
      <w:r w:rsidR="00575ABA" w:rsidRPr="008A0AFB">
        <w:rPr>
          <w:rFonts w:ascii="Times New Roman" w:hAnsi="Times New Roman" w:cs="Times New Roman"/>
          <w:i/>
          <w:sz w:val="24"/>
          <w:szCs w:val="18"/>
        </w:rPr>
        <w:t>Collective investment products</w:t>
      </w:r>
    </w:p>
    <w:p w14:paraId="684422AD" w14:textId="77777777" w:rsidR="001A30D0" w:rsidRPr="00452D8D" w:rsidRDefault="001A30D0" w:rsidP="001A30D0">
      <w:pPr>
        <w:pBdr>
          <w:bottom w:val="single" w:sz="6" w:space="1" w:color="auto"/>
        </w:pBdr>
        <w:spacing w:after="0"/>
        <w:ind w:left="1134"/>
        <w:contextualSpacing/>
        <w:rPr>
          <w:rFonts w:ascii="Times New Roman" w:hAnsi="Times New Roman" w:cs="Times New Roman"/>
          <w:sz w:val="24"/>
          <w:szCs w:val="18"/>
        </w:rPr>
      </w:pPr>
    </w:p>
    <w:p w14:paraId="18F3360B"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DID YOU KNOW?</w:t>
      </w:r>
    </w:p>
    <w:p w14:paraId="456D0CC0"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 xml:space="preserve">Small differences in both investment performance and fees and costs can have a substantial impact on your </w:t>
      </w:r>
      <w:proofErr w:type="gramStart"/>
      <w:r w:rsidRPr="00452D8D">
        <w:rPr>
          <w:rFonts w:ascii="Times New Roman" w:hAnsi="Times New Roman" w:cs="Times New Roman"/>
          <w:b/>
          <w:sz w:val="24"/>
          <w:szCs w:val="18"/>
        </w:rPr>
        <w:t>long term</w:t>
      </w:r>
      <w:proofErr w:type="gramEnd"/>
      <w:r w:rsidRPr="00452D8D">
        <w:rPr>
          <w:rFonts w:ascii="Times New Roman" w:hAnsi="Times New Roman" w:cs="Times New Roman"/>
          <w:b/>
          <w:sz w:val="24"/>
          <w:szCs w:val="18"/>
        </w:rPr>
        <w:t xml:space="preserve"> returns.</w:t>
      </w:r>
    </w:p>
    <w:p w14:paraId="038F09E8"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 xml:space="preserve">For example, total annual fees and costs of 2% of your account balance rather than 1% could reduce your final return by up to 20% over a </w:t>
      </w:r>
      <w:proofErr w:type="gramStart"/>
      <w:r w:rsidRPr="00452D8D">
        <w:rPr>
          <w:rFonts w:ascii="Times New Roman" w:hAnsi="Times New Roman" w:cs="Times New Roman"/>
          <w:b/>
          <w:sz w:val="24"/>
          <w:szCs w:val="18"/>
        </w:rPr>
        <w:t>30 year</w:t>
      </w:r>
      <w:proofErr w:type="gramEnd"/>
      <w:r w:rsidRPr="00452D8D">
        <w:rPr>
          <w:rFonts w:ascii="Times New Roman" w:hAnsi="Times New Roman" w:cs="Times New Roman"/>
          <w:b/>
          <w:sz w:val="24"/>
          <w:szCs w:val="18"/>
        </w:rPr>
        <w:t xml:space="preserve"> period (for example reduce it from $100 000 to $80 000).</w:t>
      </w:r>
    </w:p>
    <w:p w14:paraId="217BA8D4"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You should consider whether features such as superior investment performance or the provision of better member services justify higher fees and costs.</w:t>
      </w:r>
    </w:p>
    <w:p w14:paraId="2008928D"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You may be able to negotiate to pay lower contribution fees and management costs where applicable. Ask the fund or your financial adviser.</w:t>
      </w:r>
    </w:p>
    <w:p w14:paraId="03EAF448" w14:textId="77777777" w:rsidR="001A30D0" w:rsidRPr="00452D8D" w:rsidRDefault="001A30D0" w:rsidP="001A30D0">
      <w:pPr>
        <w:spacing w:after="0"/>
        <w:ind w:left="1134"/>
        <w:jc w:val="center"/>
        <w:rPr>
          <w:rFonts w:ascii="Times New Roman" w:hAnsi="Times New Roman" w:cs="Times New Roman"/>
          <w:b/>
          <w:sz w:val="24"/>
          <w:szCs w:val="18"/>
        </w:rPr>
      </w:pPr>
      <w:r w:rsidRPr="00452D8D">
        <w:rPr>
          <w:rFonts w:ascii="Times New Roman" w:hAnsi="Times New Roman" w:cs="Times New Roman"/>
          <w:b/>
          <w:sz w:val="24"/>
          <w:szCs w:val="18"/>
        </w:rPr>
        <w:t>TO FIND OUT MORE</w:t>
      </w:r>
    </w:p>
    <w:p w14:paraId="67AA2574" w14:textId="77777777" w:rsidR="001A30D0" w:rsidRPr="00452D8D" w:rsidRDefault="001A30D0" w:rsidP="001A30D0">
      <w:pPr>
        <w:pBdr>
          <w:bottom w:val="single" w:sz="6" w:space="1" w:color="auto"/>
        </w:pBdr>
        <w:spacing w:after="0"/>
        <w:ind w:left="1134"/>
        <w:jc w:val="center"/>
        <w:rPr>
          <w:rFonts w:ascii="Times New Roman" w:hAnsi="Times New Roman" w:cs="Times New Roman"/>
          <w:sz w:val="24"/>
          <w:szCs w:val="18"/>
        </w:rPr>
      </w:pPr>
      <w:r w:rsidRPr="00452D8D">
        <w:rPr>
          <w:rFonts w:ascii="Times New Roman" w:hAnsi="Times New Roman" w:cs="Times New Roman"/>
          <w:sz w:val="24"/>
          <w:szCs w:val="18"/>
        </w:rPr>
        <w:t xml:space="preserve">If you would like to find out more, or see the impact of the fees based on your own circumstances, the </w:t>
      </w:r>
      <w:r w:rsidRPr="00452D8D">
        <w:rPr>
          <w:rFonts w:ascii="Times New Roman" w:hAnsi="Times New Roman" w:cs="Times New Roman"/>
          <w:b/>
          <w:sz w:val="24"/>
          <w:szCs w:val="18"/>
        </w:rPr>
        <w:t>Australian Securities and Investments Commission</w:t>
      </w:r>
      <w:r w:rsidRPr="00452D8D">
        <w:rPr>
          <w:rFonts w:ascii="Times New Roman" w:hAnsi="Times New Roman" w:cs="Times New Roman"/>
          <w:sz w:val="24"/>
          <w:szCs w:val="18"/>
        </w:rPr>
        <w:t xml:space="preserve"> (</w:t>
      </w:r>
      <w:r w:rsidRPr="00452D8D">
        <w:rPr>
          <w:rFonts w:ascii="Times New Roman" w:hAnsi="Times New Roman" w:cs="Times New Roman"/>
          <w:b/>
          <w:sz w:val="24"/>
          <w:szCs w:val="18"/>
        </w:rPr>
        <w:t>ASIC</w:t>
      </w:r>
      <w:r w:rsidRPr="00452D8D">
        <w:rPr>
          <w:rFonts w:ascii="Times New Roman" w:hAnsi="Times New Roman" w:cs="Times New Roman"/>
          <w:sz w:val="24"/>
          <w:szCs w:val="18"/>
        </w:rPr>
        <w:t xml:space="preserve">) website </w:t>
      </w:r>
      <w:r w:rsidRPr="00452D8D">
        <w:rPr>
          <w:rFonts w:ascii="Times New Roman" w:hAnsi="Times New Roman" w:cs="Times New Roman"/>
          <w:sz w:val="24"/>
          <w:szCs w:val="18"/>
          <w:u w:val="single"/>
        </w:rPr>
        <w:t>(www.moneysmart.gov.au)</w:t>
      </w:r>
      <w:r w:rsidRPr="00452D8D">
        <w:rPr>
          <w:rFonts w:ascii="Times New Roman" w:hAnsi="Times New Roman" w:cs="Times New Roman"/>
          <w:sz w:val="24"/>
          <w:szCs w:val="18"/>
        </w:rPr>
        <w:t xml:space="preserve"> has a managed funds fee calculator to help you check out different fee options.</w:t>
      </w:r>
    </w:p>
    <w:p w14:paraId="056BAEEF" w14:textId="77777777" w:rsidR="001A30D0" w:rsidRPr="00452D8D" w:rsidRDefault="00706AE9" w:rsidP="00706AE9">
      <w:pPr>
        <w:pStyle w:val="LI-BodyTextNumbered"/>
        <w:ind w:left="1701"/>
        <w:rPr>
          <w:rFonts w:ascii="Times New Roman" w:hAnsi="Times New Roman" w:cs="Times New Roman"/>
          <w:sz w:val="36"/>
        </w:rPr>
      </w:pPr>
      <w:r w:rsidRPr="00452D8D">
        <w:rPr>
          <w:rFonts w:ascii="Times New Roman" w:hAnsi="Times New Roman" w:cs="Times New Roman"/>
          <w:sz w:val="24"/>
        </w:rPr>
        <w:t xml:space="preserve"> </w:t>
      </w:r>
      <w:r w:rsidR="001A30D0" w:rsidRPr="00452D8D">
        <w:rPr>
          <w:rFonts w:ascii="Times New Roman" w:hAnsi="Times New Roman" w:cs="Times New Roman"/>
          <w:sz w:val="24"/>
        </w:rPr>
        <w:t>(3)</w:t>
      </w:r>
      <w:r w:rsidR="001A30D0" w:rsidRPr="00452D8D">
        <w:rPr>
          <w:rFonts w:ascii="Times New Roman" w:hAnsi="Times New Roman" w:cs="Times New Roman"/>
          <w:sz w:val="24"/>
        </w:rPr>
        <w:tab/>
        <w:t xml:space="preserve">In the Consumer Advisory Warning in subclause (2) ‘account’ may </w:t>
      </w:r>
      <w:r w:rsidRPr="00452D8D">
        <w:rPr>
          <w:rFonts w:ascii="Times New Roman" w:hAnsi="Times New Roman" w:cs="Times New Roman"/>
          <w:sz w:val="24"/>
        </w:rPr>
        <w:t>be replaced with ‘investment’.</w:t>
      </w:r>
      <w:r w:rsidR="00B3041D">
        <w:rPr>
          <w:rFonts w:ascii="Times New Roman" w:hAnsi="Times New Roman" w:cs="Times New Roman"/>
          <w:sz w:val="24"/>
        </w:rPr>
        <w:t>";</w:t>
      </w:r>
    </w:p>
    <w:p w14:paraId="0F22A77F" w14:textId="77777777" w:rsidR="001A30D0" w:rsidRPr="00452D8D" w:rsidRDefault="001A30D0" w:rsidP="001A30D0">
      <w:pPr>
        <w:spacing w:after="0"/>
        <w:ind w:left="1134" w:hanging="459"/>
        <w:rPr>
          <w:rFonts w:ascii="Times New Roman" w:hAnsi="Times New Roman" w:cs="Times New Roman"/>
          <w:sz w:val="24"/>
          <w:szCs w:val="18"/>
        </w:rPr>
      </w:pPr>
    </w:p>
    <w:p w14:paraId="3F806E1B" w14:textId="77777777" w:rsidR="001A30D0" w:rsidRPr="00452D8D" w:rsidRDefault="001A30D0" w:rsidP="001A30D0">
      <w:pPr>
        <w:spacing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(h)</w:t>
      </w:r>
      <w:r w:rsidRPr="00452D8D">
        <w:rPr>
          <w:rFonts w:ascii="Times New Roman" w:hAnsi="Times New Roman" w:cs="Times New Roman"/>
          <w:sz w:val="24"/>
          <w:szCs w:val="18"/>
        </w:rPr>
        <w:tab/>
        <w:t>omit clause 222, substitute:</w:t>
      </w:r>
    </w:p>
    <w:p w14:paraId="3D0CD9C6" w14:textId="28D36161" w:rsidR="001A30D0" w:rsidRPr="008A0AFB" w:rsidRDefault="001A30D0" w:rsidP="001A30D0">
      <w:pPr>
        <w:spacing w:before="240" w:after="0"/>
        <w:ind w:left="1134"/>
        <w:rPr>
          <w:rFonts w:ascii="Times New Roman" w:hAnsi="Times New Roman" w:cs="Times New Roman"/>
          <w:sz w:val="24"/>
          <w:szCs w:val="24"/>
        </w:rPr>
      </w:pPr>
      <w:r w:rsidRPr="00452D8D">
        <w:rPr>
          <w:rFonts w:ascii="Times New Roman" w:hAnsi="Times New Roman" w:cs="Times New Roman"/>
          <w:sz w:val="24"/>
          <w:szCs w:val="24"/>
        </w:rPr>
        <w:t xml:space="preserve">“The Consumer Advisory Warning referred to in subclause 221(1) must be located at the beginning of the fees section of the Product Disclosure Statement for superannuation products and the Consumer Advisory Warning referred to in subclause 221(2) must be located at the beginning of the fees section of the Product Disclosure Statement for </w:t>
      </w:r>
      <w:r w:rsidR="00575ABA" w:rsidRPr="008A0AFB">
        <w:rPr>
          <w:rFonts w:ascii="Times New Roman" w:hAnsi="Times New Roman" w:cs="Times New Roman"/>
          <w:sz w:val="24"/>
          <w:szCs w:val="24"/>
        </w:rPr>
        <w:t>collective investment products</w:t>
      </w:r>
      <w:r w:rsidRPr="008A0AFB">
        <w:rPr>
          <w:rFonts w:ascii="Times New Roman" w:hAnsi="Times New Roman" w:cs="Times New Roman"/>
          <w:sz w:val="24"/>
          <w:szCs w:val="24"/>
        </w:rPr>
        <w:t xml:space="preserve"> where fees or costs may be deducted from amounts to be held for members of the managed investment scheme.”;</w:t>
      </w:r>
    </w:p>
    <w:p w14:paraId="310B6436" w14:textId="77777777" w:rsidR="001A30D0" w:rsidRPr="00452D8D" w:rsidRDefault="001A30D0" w:rsidP="001A30D0">
      <w:pPr>
        <w:pStyle w:val="LI-BodyTextNumbered"/>
        <w:rPr>
          <w:rFonts w:ascii="Times New Roman" w:hAnsi="Times New Roman" w:cs="Times New Roman"/>
          <w:sz w:val="24"/>
        </w:rPr>
      </w:pPr>
      <w:r w:rsidRPr="008A0AFB">
        <w:rPr>
          <w:rFonts w:ascii="Times New Roman" w:hAnsi="Times New Roman" w:cs="Times New Roman"/>
          <w:sz w:val="24"/>
        </w:rPr>
        <w:lastRenderedPageBreak/>
        <w:t>(</w:t>
      </w:r>
      <w:proofErr w:type="spellStart"/>
      <w:r w:rsidRPr="008A0AFB">
        <w:rPr>
          <w:rFonts w:ascii="Times New Roman" w:hAnsi="Times New Roman" w:cs="Times New Roman"/>
          <w:sz w:val="24"/>
        </w:rPr>
        <w:t>i</w:t>
      </w:r>
      <w:proofErr w:type="spellEnd"/>
      <w:r w:rsidRPr="008A0AFB">
        <w:rPr>
          <w:rFonts w:ascii="Times New Roman" w:hAnsi="Times New Roman" w:cs="Times New Roman"/>
          <w:sz w:val="24"/>
        </w:rPr>
        <w:t>)</w:t>
      </w:r>
      <w:r w:rsidRPr="008A0AFB">
        <w:rPr>
          <w:rFonts w:ascii="Times New Roman" w:hAnsi="Times New Roman" w:cs="Times New Roman"/>
          <w:sz w:val="24"/>
        </w:rPr>
        <w:tab/>
        <w:t>omit subclause 301(1), substitute:</w:t>
      </w:r>
    </w:p>
    <w:p w14:paraId="1D1038F2" w14:textId="77777777"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“(1)</w:t>
      </w:r>
      <w:r w:rsidRPr="00452D8D">
        <w:rPr>
          <w:rFonts w:ascii="Times New Roman" w:hAnsi="Times New Roman" w:cs="Times New Roman"/>
          <w:sz w:val="24"/>
        </w:rPr>
        <w:tab/>
        <w:t xml:space="preserve">For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or an investment option offered by a superannuation entity, the following text and the appropriate amounts, in dollars, must be inserted after the part of the periodic statement that itemises transactions during the period.</w:t>
      </w:r>
    </w:p>
    <w:p w14:paraId="126560C7" w14:textId="77777777"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b/>
          <w:bCs/>
          <w:sz w:val="24"/>
        </w:rPr>
        <w:t>Indirect costs of your investment</w:t>
      </w:r>
    </w:p>
    <w:p w14:paraId="563E62FF" w14:textId="77777777"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sz w:val="24"/>
        </w:rPr>
        <w:t>This approximate amount has been deducted from your investment and covers amounts that have reduced the return on your investment but are not charged as a fee.</w:t>
      </w:r>
    </w:p>
    <w:p w14:paraId="3268AD06" w14:textId="77777777" w:rsidR="001A30D0" w:rsidRPr="00452D8D" w:rsidRDefault="001A30D0" w:rsidP="001A30D0">
      <w:pPr>
        <w:pStyle w:val="LI-BodyTextNumbered"/>
        <w:ind w:left="1701" w:firstLine="0"/>
        <w:rPr>
          <w:rFonts w:ascii="Times New Roman" w:hAnsi="Times New Roman" w:cs="Times New Roman"/>
          <w:b/>
          <w:bCs/>
          <w:sz w:val="24"/>
        </w:rPr>
      </w:pPr>
      <w:r w:rsidRPr="00452D8D">
        <w:rPr>
          <w:rFonts w:ascii="Times New Roman" w:hAnsi="Times New Roman" w:cs="Times New Roman"/>
          <w:b/>
          <w:bCs/>
          <w:sz w:val="24"/>
        </w:rPr>
        <w:t>Other fees of your investment</w:t>
      </w:r>
    </w:p>
    <w:p w14:paraId="74C29798" w14:textId="77777777"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sz w:val="24"/>
        </w:rPr>
        <w:t>This approximate amount or amounts have been deducted from your investment and covers fees that are not reflected as transactions on this statement.</w:t>
      </w:r>
    </w:p>
    <w:p w14:paraId="683E88F1" w14:textId="77777777" w:rsidR="001A30D0" w:rsidRPr="00452D8D" w:rsidRDefault="001A30D0" w:rsidP="001A30D0">
      <w:pPr>
        <w:pStyle w:val="LI-BodyTextNumbered"/>
        <w:ind w:left="2268"/>
        <w:rPr>
          <w:rFonts w:ascii="Times New Roman" w:hAnsi="Times New Roman" w:cs="Times New Roman"/>
          <w:sz w:val="18"/>
          <w:szCs w:val="18"/>
        </w:rPr>
      </w:pPr>
      <w:r w:rsidRPr="00452D8D">
        <w:rPr>
          <w:rFonts w:ascii="Times New Roman" w:hAnsi="Times New Roman" w:cs="Times New Roman"/>
          <w:sz w:val="18"/>
          <w:szCs w:val="18"/>
        </w:rPr>
        <w:t>Note:</w:t>
      </w:r>
      <w:r w:rsidRPr="00452D8D">
        <w:rPr>
          <w:rFonts w:ascii="Times New Roman" w:hAnsi="Times New Roman" w:cs="Times New Roman"/>
          <w:sz w:val="18"/>
          <w:szCs w:val="18"/>
        </w:rPr>
        <w:tab/>
        <w:t>Other fees may be reported by the type of fees charged.</w:t>
      </w:r>
    </w:p>
    <w:p w14:paraId="421886F4" w14:textId="504B92D0" w:rsidR="001A30D0" w:rsidRPr="00452D8D" w:rsidRDefault="001A30D0" w:rsidP="001A30D0">
      <w:pPr>
        <w:pStyle w:val="LI-BodyTextNumbered"/>
        <w:ind w:left="1701"/>
        <w:rPr>
          <w:rFonts w:ascii="Times New Roman" w:hAnsi="Times New Roman" w:cs="Times New Roman"/>
          <w:sz w:val="24"/>
        </w:rPr>
      </w:pPr>
      <w:r w:rsidRPr="00452D8D">
        <w:rPr>
          <w:rFonts w:ascii="Times New Roman" w:hAnsi="Times New Roman" w:cs="Times New Roman"/>
          <w:sz w:val="24"/>
        </w:rPr>
        <w:t>(1A)</w:t>
      </w:r>
      <w:r w:rsidRPr="00452D8D">
        <w:rPr>
          <w:rFonts w:ascii="Times New Roman" w:hAnsi="Times New Roman" w:cs="Times New Roman"/>
          <w:sz w:val="24"/>
        </w:rPr>
        <w:tab/>
        <w:t xml:space="preserve">For an offer </w:t>
      </w:r>
      <w:r w:rsidRPr="008A0AFB">
        <w:rPr>
          <w:rFonts w:ascii="Times New Roman" w:hAnsi="Times New Roman" w:cs="Times New Roman"/>
          <w:sz w:val="24"/>
        </w:rPr>
        <w:t xml:space="preserve">of a </w:t>
      </w:r>
      <w:r w:rsidR="00575ABA" w:rsidRPr="008A0AFB">
        <w:rPr>
          <w:rFonts w:ascii="Times New Roman" w:hAnsi="Times New Roman" w:cs="Times New Roman"/>
          <w:sz w:val="24"/>
        </w:rPr>
        <w:t>collective investment product,</w:t>
      </w:r>
      <w:r w:rsidRPr="008A0AFB">
        <w:rPr>
          <w:rFonts w:ascii="Times New Roman" w:hAnsi="Times New Roman" w:cs="Times New Roman"/>
          <w:sz w:val="24"/>
        </w:rPr>
        <w:t xml:space="preserve"> the following text and the appropriate amount, in dollars, must be inserted</w:t>
      </w:r>
      <w:r w:rsidRPr="00452D8D">
        <w:rPr>
          <w:rFonts w:ascii="Times New Roman" w:hAnsi="Times New Roman" w:cs="Times New Roman"/>
          <w:sz w:val="24"/>
        </w:rPr>
        <w:t xml:space="preserve"> after the part of the periodic statement that itemises transactions during the period.</w:t>
      </w:r>
    </w:p>
    <w:p w14:paraId="41FE0CB7" w14:textId="77777777"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b/>
          <w:bCs/>
          <w:sz w:val="24"/>
        </w:rPr>
        <w:t>Indirect costs of your investment</w:t>
      </w:r>
    </w:p>
    <w:p w14:paraId="4A3AACA9" w14:textId="1607B78A" w:rsidR="001A30D0" w:rsidRPr="00452D8D" w:rsidRDefault="001A30D0" w:rsidP="001A30D0">
      <w:pPr>
        <w:pStyle w:val="LI-BodyTextNumbered"/>
        <w:ind w:left="1701" w:firstLine="0"/>
        <w:rPr>
          <w:rFonts w:ascii="Times New Roman" w:hAnsi="Times New Roman" w:cs="Times New Roman"/>
          <w:sz w:val="24"/>
        </w:rPr>
      </w:pPr>
      <w:r w:rsidRPr="00452D8D">
        <w:rPr>
          <w:rFonts w:ascii="Times New Roman" w:hAnsi="Times New Roman" w:cs="Times New Roman"/>
          <w:sz w:val="24"/>
        </w:rPr>
        <w:t>This approximate amount has been deducted from your investment and covers amounts that have reduced the return on your investment but are not cha</w:t>
      </w:r>
      <w:r w:rsidR="00DD2AAD">
        <w:rPr>
          <w:rFonts w:ascii="Times New Roman" w:hAnsi="Times New Roman" w:cs="Times New Roman"/>
          <w:sz w:val="24"/>
        </w:rPr>
        <w:t>rged to you directly as a fee.</w:t>
      </w:r>
    </w:p>
    <w:p w14:paraId="47FEA39D" w14:textId="0EFF8F47" w:rsidR="00A833CC" w:rsidRPr="00452D8D" w:rsidRDefault="00CF1B8A" w:rsidP="00A833CC">
      <w:pPr>
        <w:pStyle w:val="LI-BodyTextNumbered"/>
        <w:ind w:left="1701"/>
        <w:rPr>
          <w:rFonts w:ascii="Times New Roman" w:hAnsi="Times New Roman" w:cs="Times New Roman"/>
          <w:sz w:val="24"/>
        </w:rPr>
      </w:pPr>
      <w:r w:rsidRPr="00452D8D">
        <w:rPr>
          <w:rFonts w:ascii="Times New Roman" w:hAnsi="Times New Roman" w:cs="Times New Roman"/>
          <w:sz w:val="24"/>
        </w:rPr>
        <w:t>(1B)</w:t>
      </w:r>
      <w:r w:rsidRPr="00452D8D">
        <w:rPr>
          <w:rFonts w:ascii="Times New Roman" w:hAnsi="Times New Roman" w:cs="Times New Roman"/>
          <w:sz w:val="24"/>
        </w:rPr>
        <w:tab/>
      </w:r>
      <w:r w:rsidR="00A833CC" w:rsidRPr="00452D8D">
        <w:rPr>
          <w:rFonts w:ascii="Times New Roman" w:hAnsi="Times New Roman" w:cs="Times New Roman"/>
          <w:sz w:val="24"/>
        </w:rPr>
        <w:t xml:space="preserve">For a periodic statement for a </w:t>
      </w:r>
      <w:proofErr w:type="spellStart"/>
      <w:r w:rsidR="00A833CC" w:rsidRPr="00452D8D">
        <w:rPr>
          <w:rFonts w:ascii="Times New Roman" w:hAnsi="Times New Roman" w:cs="Times New Roman"/>
          <w:sz w:val="24"/>
        </w:rPr>
        <w:t>MySuper</w:t>
      </w:r>
      <w:proofErr w:type="spellEnd"/>
      <w:r w:rsidR="00A833CC" w:rsidRPr="00452D8D">
        <w:rPr>
          <w:rFonts w:ascii="Times New Roman" w:hAnsi="Times New Roman" w:cs="Times New Roman"/>
          <w:sz w:val="24"/>
        </w:rPr>
        <w:t xml:space="preserve"> product or an investment option offered by a superannuation entity,  the amount disclosed for other fees under subclause (1) may be calculated excluding the buy-sell spread if it is stated in accordance with subclause (1E) that, “The total fees you paid do not include the buy-sell spread fee, because it is not reasonably practicable for us to include the buy-sell spread fee that you incurred during the period.</w:t>
      </w:r>
    </w:p>
    <w:p w14:paraId="0ED79E2C" w14:textId="667E870E" w:rsidR="00A833CC" w:rsidRPr="00452D8D" w:rsidRDefault="00A833CC" w:rsidP="00A833CC">
      <w:pPr>
        <w:pStyle w:val="LI-BodyTextNumbered"/>
        <w:ind w:left="1701"/>
        <w:rPr>
          <w:rFonts w:ascii="Times New Roman" w:hAnsi="Times New Roman" w:cs="Times New Roman"/>
          <w:sz w:val="24"/>
        </w:rPr>
      </w:pPr>
      <w:r w:rsidRPr="00452D8D">
        <w:rPr>
          <w:rFonts w:ascii="Times New Roman" w:hAnsi="Times New Roman" w:cs="Times New Roman"/>
          <w:sz w:val="24"/>
        </w:rPr>
        <w:t>(1C</w:t>
      </w:r>
      <w:proofErr w:type="gramStart"/>
      <w:r w:rsidRPr="00452D8D">
        <w:rPr>
          <w:rFonts w:ascii="Times New Roman" w:hAnsi="Times New Roman" w:cs="Times New Roman"/>
          <w:sz w:val="24"/>
        </w:rPr>
        <w:t xml:space="preserve">)  </w:t>
      </w:r>
      <w:r w:rsidR="00A85BAF" w:rsidRPr="00A85BAF">
        <w:rPr>
          <w:rFonts w:ascii="Times New Roman" w:hAnsi="Times New Roman" w:cs="Times New Roman"/>
          <w:sz w:val="24"/>
        </w:rPr>
        <w:t>For</w:t>
      </w:r>
      <w:proofErr w:type="gramEnd"/>
      <w:r w:rsidR="00A85BAF" w:rsidRPr="00A85BAF">
        <w:rPr>
          <w:rFonts w:ascii="Times New Roman" w:hAnsi="Times New Roman" w:cs="Times New Roman"/>
          <w:sz w:val="24"/>
        </w:rPr>
        <w:t xml:space="preserve"> a periodic statement for a </w:t>
      </w:r>
      <w:proofErr w:type="spellStart"/>
      <w:r w:rsidR="00A85BAF" w:rsidRPr="00A85BAF">
        <w:rPr>
          <w:rFonts w:ascii="Times New Roman" w:hAnsi="Times New Roman" w:cs="Times New Roman"/>
          <w:sz w:val="24"/>
        </w:rPr>
        <w:t>MySuper</w:t>
      </w:r>
      <w:proofErr w:type="spellEnd"/>
      <w:r w:rsidR="00A85BAF" w:rsidRPr="00A85BAF">
        <w:rPr>
          <w:rFonts w:ascii="Times New Roman" w:hAnsi="Times New Roman" w:cs="Times New Roman"/>
          <w:sz w:val="24"/>
        </w:rPr>
        <w:t xml:space="preserve"> product or an investment option offered by a superannuation entity, the amount disclosed for other fees under subclause (1) may be calculated excluding property operating costs</w:t>
      </w:r>
      <w:r w:rsidRPr="00452D8D">
        <w:rPr>
          <w:rFonts w:ascii="Times New Roman" w:hAnsi="Times New Roman" w:cs="Times New Roman"/>
          <w:sz w:val="24"/>
        </w:rPr>
        <w:t>.</w:t>
      </w:r>
    </w:p>
    <w:p w14:paraId="0775EA91" w14:textId="5E732769" w:rsidR="00A833CC" w:rsidRPr="00452D8D" w:rsidRDefault="00A85BAF" w:rsidP="00A833CC">
      <w:pPr>
        <w:pStyle w:val="LI-BodyTextNumbered"/>
        <w:ind w:left="1701"/>
        <w:rPr>
          <w:rFonts w:ascii="Times New Roman" w:hAnsi="Times New Roman" w:cs="Times New Roman"/>
          <w:sz w:val="24"/>
        </w:rPr>
      </w:pPr>
      <w:r w:rsidRPr="00452D8D" w:rsidDel="00A85BAF">
        <w:rPr>
          <w:rFonts w:ascii="Times New Roman" w:hAnsi="Times New Roman" w:cs="Times New Roman"/>
          <w:sz w:val="24"/>
        </w:rPr>
        <w:t xml:space="preserve"> </w:t>
      </w:r>
      <w:r w:rsidR="00A833CC" w:rsidRPr="00452D8D">
        <w:rPr>
          <w:rFonts w:ascii="Times New Roman" w:hAnsi="Times New Roman" w:cs="Times New Roman"/>
          <w:sz w:val="24"/>
        </w:rPr>
        <w:t>(1E)</w:t>
      </w:r>
      <w:r w:rsidR="00A833CC" w:rsidRPr="00452D8D">
        <w:rPr>
          <w:rFonts w:ascii="Times New Roman" w:hAnsi="Times New Roman" w:cs="Times New Roman"/>
          <w:sz w:val="24"/>
        </w:rPr>
        <w:tab/>
        <w:t>For the purposes of subclauses (1B), a statement is stated in accordance with this subclause if the statement and each other statement made for the purposes of subclauses (1B) is included:</w:t>
      </w:r>
    </w:p>
    <w:p w14:paraId="51B48402" w14:textId="77777777" w:rsidR="00A833CC" w:rsidRPr="00452D8D" w:rsidRDefault="00A833CC" w:rsidP="00A833CC">
      <w:pPr>
        <w:pStyle w:val="LI-BodyTextNumbered"/>
        <w:ind w:left="2268"/>
        <w:rPr>
          <w:rFonts w:ascii="Times New Roman" w:hAnsi="Times New Roman" w:cs="Times New Roman"/>
          <w:sz w:val="24"/>
        </w:rPr>
      </w:pPr>
      <w:r w:rsidRPr="00452D8D">
        <w:rPr>
          <w:rFonts w:ascii="Times New Roman" w:hAnsi="Times New Roman" w:cs="Times New Roman"/>
          <w:sz w:val="24"/>
        </w:rPr>
        <w:lastRenderedPageBreak/>
        <w:t>(a)</w:t>
      </w:r>
      <w:r w:rsidRPr="00452D8D">
        <w:rPr>
          <w:rFonts w:ascii="Times New Roman" w:hAnsi="Times New Roman" w:cs="Times New Roman"/>
          <w:sz w:val="24"/>
        </w:rPr>
        <w:tab/>
        <w:t xml:space="preserve">immediately under the amount of total fees you paid in the periodic statement; or </w:t>
      </w:r>
    </w:p>
    <w:p w14:paraId="15392313" w14:textId="776E0250" w:rsidR="00A833CC" w:rsidRDefault="00A833CC" w:rsidP="00A833CC">
      <w:pPr>
        <w:pStyle w:val="LI-BodyTextNumbered"/>
        <w:ind w:left="2268"/>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if it is not reasonably practicable to include the statements in that position in the periodic statement—a separate document that accompanies the periodic statement and that includes those statements as consecutive statements</w:t>
      </w:r>
      <w:proofErr w:type="gramStart"/>
      <w:r w:rsidRPr="00452D8D">
        <w:rPr>
          <w:rFonts w:ascii="Times New Roman" w:hAnsi="Times New Roman" w:cs="Times New Roman"/>
          <w:sz w:val="24"/>
        </w:rPr>
        <w:t>. ”</w:t>
      </w:r>
      <w:proofErr w:type="gramEnd"/>
      <w:r w:rsidR="00CA027C">
        <w:rPr>
          <w:rFonts w:ascii="Times New Roman" w:hAnsi="Times New Roman" w:cs="Times New Roman"/>
          <w:sz w:val="24"/>
        </w:rPr>
        <w:t>;</w:t>
      </w:r>
    </w:p>
    <w:p w14:paraId="5AD05F9A" w14:textId="77777777" w:rsidR="00D37AF6" w:rsidRPr="00D37AF6" w:rsidRDefault="00D37AF6" w:rsidP="00D37AF6">
      <w:pPr>
        <w:pStyle w:val="LI-BodyTextNumbered"/>
        <w:rPr>
          <w:rFonts w:ascii="Times New Roman" w:hAnsi="Times New Roman" w:cs="Times New Roman"/>
          <w:sz w:val="24"/>
          <w:lang w:val="en-US"/>
        </w:rPr>
      </w:pPr>
      <w:r w:rsidRPr="00D37AF6">
        <w:rPr>
          <w:rFonts w:ascii="Times New Roman" w:hAnsi="Times New Roman" w:cs="Times New Roman"/>
          <w:sz w:val="24"/>
          <w:lang w:val="en-US"/>
        </w:rPr>
        <w:t>(j)</w:t>
      </w:r>
      <w:r w:rsidRPr="00D37AF6">
        <w:rPr>
          <w:rFonts w:ascii="Times New Roman" w:hAnsi="Times New Roman" w:cs="Times New Roman"/>
          <w:sz w:val="24"/>
          <w:lang w:val="en-US"/>
        </w:rPr>
        <w:tab/>
        <w:t>at the end of paragraph 303(2)(c), omit “.”, insert:</w:t>
      </w:r>
    </w:p>
    <w:p w14:paraId="06F08AB7" w14:textId="77777777" w:rsidR="00D37AF6" w:rsidRPr="00D37AF6" w:rsidRDefault="00D37AF6" w:rsidP="00D37AF6">
      <w:pPr>
        <w:pStyle w:val="li-bodytextnumbered0"/>
        <w:shd w:val="clear" w:color="auto" w:fill="FFFFFF"/>
        <w:ind w:left="1276"/>
        <w:rPr>
          <w:lang w:val="en-US"/>
        </w:rPr>
      </w:pPr>
      <w:r w:rsidRPr="00D37AF6">
        <w:rPr>
          <w:lang w:val="en-US"/>
        </w:rPr>
        <w:t>“; and</w:t>
      </w:r>
    </w:p>
    <w:p w14:paraId="550633F2" w14:textId="77777777" w:rsidR="00D37AF6" w:rsidRPr="00D37AF6" w:rsidRDefault="00D37AF6" w:rsidP="00D37AF6">
      <w:pPr>
        <w:pStyle w:val="li-bodytextnumbered0"/>
        <w:shd w:val="clear" w:color="auto" w:fill="FFFFFF"/>
        <w:ind w:left="1843" w:hanging="567"/>
        <w:rPr>
          <w:lang w:val="en-US"/>
        </w:rPr>
      </w:pPr>
      <w:r w:rsidRPr="00D37AF6">
        <w:rPr>
          <w:lang w:val="en-US"/>
        </w:rPr>
        <w:t>(d)</w:t>
      </w:r>
      <w:r w:rsidRPr="00D37AF6">
        <w:rPr>
          <w:lang w:val="en-US"/>
        </w:rPr>
        <w:tab/>
        <w:t>the approximate total amount of transactional and operational costs for the collective investment product that affected the investment of the holder during the period or that amount combined with the amount required to be disclosed in accordance with paragraph 302(1)(b) excluding costs that are both:</w:t>
      </w:r>
    </w:p>
    <w:p w14:paraId="6A039DDC" w14:textId="77777777" w:rsidR="00D37AF6" w:rsidRPr="00D37AF6" w:rsidRDefault="00D37AF6" w:rsidP="00D37AF6">
      <w:pPr>
        <w:pStyle w:val="li-bodytextnumbered0"/>
        <w:shd w:val="clear" w:color="auto" w:fill="FFFFFF"/>
        <w:ind w:left="2410" w:hanging="567"/>
        <w:rPr>
          <w:lang w:val="en-US"/>
        </w:rPr>
      </w:pPr>
      <w:r w:rsidRPr="00D37AF6">
        <w:rPr>
          <w:lang w:val="en-US"/>
        </w:rPr>
        <w:t>(</w:t>
      </w:r>
      <w:proofErr w:type="spellStart"/>
      <w:r w:rsidRPr="00D37AF6">
        <w:rPr>
          <w:lang w:val="en-US"/>
        </w:rPr>
        <w:t>i</w:t>
      </w:r>
      <w:proofErr w:type="spellEnd"/>
      <w:r w:rsidRPr="00D37AF6">
        <w:rPr>
          <w:lang w:val="en-US"/>
        </w:rPr>
        <w:t>)</w:t>
      </w:r>
      <w:r w:rsidRPr="00D37AF6">
        <w:rPr>
          <w:lang w:val="en-US"/>
        </w:rPr>
        <w:tab/>
        <w:t>referred to in paragraph (b), (</w:t>
      </w:r>
      <w:proofErr w:type="spellStart"/>
      <w:r w:rsidRPr="00D37AF6">
        <w:rPr>
          <w:lang w:val="en-US"/>
        </w:rPr>
        <w:t>ea</w:t>
      </w:r>
      <w:proofErr w:type="spellEnd"/>
      <w:r w:rsidRPr="00D37AF6">
        <w:rPr>
          <w:lang w:val="en-US"/>
        </w:rPr>
        <w:t xml:space="preserve">) or (eb) of the definition of </w:t>
      </w:r>
      <w:r w:rsidRPr="00D37AF6">
        <w:rPr>
          <w:b/>
          <w:bCs/>
          <w:i/>
          <w:iCs/>
          <w:lang w:val="en-US"/>
        </w:rPr>
        <w:t>transactional and operational costs</w:t>
      </w:r>
      <w:r w:rsidRPr="00D37AF6">
        <w:rPr>
          <w:lang w:val="en-US"/>
        </w:rPr>
        <w:t xml:space="preserve"> and that are a necessary part of the acquisition price of an asset;</w:t>
      </w:r>
    </w:p>
    <w:p w14:paraId="525BB41E" w14:textId="1A3A732D" w:rsidR="00D37AF6" w:rsidRPr="00D37AF6" w:rsidRDefault="00D37AF6" w:rsidP="00D37AF6">
      <w:pPr>
        <w:pStyle w:val="LI-BodyTextNumbered"/>
        <w:ind w:left="2410"/>
        <w:rPr>
          <w:rFonts w:ascii="Times New Roman" w:hAnsi="Times New Roman" w:cs="Times New Roman"/>
          <w:b/>
          <w:sz w:val="24"/>
        </w:rPr>
      </w:pPr>
      <w:r w:rsidRPr="00D37AF6">
        <w:rPr>
          <w:rFonts w:ascii="Times New Roman" w:hAnsi="Times New Roman" w:cs="Times New Roman"/>
          <w:sz w:val="24"/>
          <w:lang w:val="en-US"/>
        </w:rPr>
        <w:t>(ii)</w:t>
      </w:r>
      <w:r w:rsidRPr="00D37AF6">
        <w:rPr>
          <w:rFonts w:ascii="Times New Roman" w:hAnsi="Times New Roman" w:cs="Times New Roman"/>
          <w:sz w:val="24"/>
          <w:lang w:val="en-US"/>
        </w:rPr>
        <w:tab/>
        <w:t>recovered by a buy-sell spread for the collective investment product where the estimated amount of the buy-sell spread that the holder has paid in the period in dollars is disclosed in the periodic statement.”.</w:t>
      </w:r>
    </w:p>
    <w:p w14:paraId="67E93181" w14:textId="582DD57F" w:rsidR="00142E1C" w:rsidRPr="00142E1C" w:rsidRDefault="00B534BA" w:rsidP="00142E1C">
      <w:pPr>
        <w:pStyle w:val="LI-BodyTextNumbered"/>
        <w:ind w:left="567"/>
        <w:rPr>
          <w:rFonts w:ascii="Times New Roman" w:hAnsi="Times New Roman" w:cs="Times New Roman"/>
          <w:sz w:val="24"/>
          <w:szCs w:val="18"/>
          <w:lang w:val="en-US"/>
        </w:rPr>
      </w:pPr>
      <w:r w:rsidRPr="00D37AF6" w:rsidDel="00B534BA">
        <w:rPr>
          <w:rFonts w:ascii="Times New Roman" w:hAnsi="Times New Roman" w:cs="Times New Roman"/>
          <w:sz w:val="24"/>
        </w:rPr>
        <w:t xml:space="preserve">  </w:t>
      </w:r>
      <w:r w:rsidR="00142E1C" w:rsidRPr="00D37AF6">
        <w:rPr>
          <w:rFonts w:ascii="Times New Roman" w:hAnsi="Times New Roman" w:cs="Times New Roman"/>
          <w:sz w:val="24"/>
          <w:szCs w:val="18"/>
          <w:lang w:val="en-US"/>
        </w:rPr>
        <w:t>6A.</w:t>
      </w:r>
      <w:r w:rsidR="00142E1C" w:rsidRPr="00D37AF6">
        <w:rPr>
          <w:rFonts w:ascii="Times New Roman" w:hAnsi="Times New Roman" w:cs="Times New Roman"/>
          <w:sz w:val="24"/>
          <w:szCs w:val="18"/>
          <w:lang w:val="en-US"/>
        </w:rPr>
        <w:tab/>
        <w:t>In Schedule 10D to the Regulations</w:t>
      </w:r>
      <w:r w:rsidR="00142E1C" w:rsidRPr="00142E1C">
        <w:rPr>
          <w:rFonts w:ascii="Times New Roman" w:hAnsi="Times New Roman" w:cs="Times New Roman"/>
          <w:sz w:val="24"/>
          <w:szCs w:val="18"/>
          <w:lang w:val="en-US"/>
        </w:rPr>
        <w:t>, omit paragraph 8(6</w:t>
      </w:r>
      <w:proofErr w:type="gramStart"/>
      <w:r w:rsidR="00142E1C" w:rsidRPr="00142E1C">
        <w:rPr>
          <w:rFonts w:ascii="Times New Roman" w:hAnsi="Times New Roman" w:cs="Times New Roman"/>
          <w:sz w:val="24"/>
          <w:szCs w:val="18"/>
          <w:lang w:val="en-US"/>
        </w:rPr>
        <w:t>A)(</w:t>
      </w:r>
      <w:proofErr w:type="gramEnd"/>
      <w:r w:rsidR="00142E1C" w:rsidRPr="00142E1C">
        <w:rPr>
          <w:rFonts w:ascii="Times New Roman" w:hAnsi="Times New Roman" w:cs="Times New Roman"/>
          <w:sz w:val="24"/>
          <w:szCs w:val="18"/>
          <w:lang w:val="en-US"/>
        </w:rPr>
        <w:t>a), substitute:</w:t>
      </w:r>
    </w:p>
    <w:p w14:paraId="0F44CDC7" w14:textId="781D0CB5" w:rsidR="001A30D0" w:rsidRPr="00452D8D" w:rsidRDefault="00142E1C" w:rsidP="00142E1C">
      <w:pPr>
        <w:pStyle w:val="LI-BodyTextNumbered"/>
        <w:ind w:left="993" w:hanging="426"/>
        <w:rPr>
          <w:rFonts w:ascii="Times New Roman" w:hAnsi="Times New Roman" w:cs="Times New Roman"/>
          <w:sz w:val="24"/>
        </w:rPr>
      </w:pPr>
      <w:r w:rsidRPr="00142E1C">
        <w:rPr>
          <w:rFonts w:ascii="Times New Roman" w:hAnsi="Times New Roman" w:cs="Times New Roman"/>
          <w:sz w:val="24"/>
          <w:szCs w:val="18"/>
          <w:lang w:val="en-US"/>
        </w:rPr>
        <w:t>(a)</w:t>
      </w:r>
      <w:r w:rsidRPr="00142E1C">
        <w:rPr>
          <w:rFonts w:ascii="Times New Roman" w:hAnsi="Times New Roman" w:cs="Times New Roman"/>
          <w:sz w:val="24"/>
          <w:szCs w:val="18"/>
          <w:lang w:val="en-US"/>
        </w:rPr>
        <w:tab/>
        <w:t>apply, adopt or incorporate the definitions in relation to fees mentioned in subsection 99</w:t>
      </w:r>
      <w:proofErr w:type="gramStart"/>
      <w:r w:rsidRPr="00142E1C">
        <w:rPr>
          <w:rFonts w:ascii="Times New Roman" w:hAnsi="Times New Roman" w:cs="Times New Roman"/>
          <w:sz w:val="24"/>
          <w:szCs w:val="18"/>
          <w:lang w:val="en-US"/>
        </w:rPr>
        <w:t>BA(</w:t>
      </w:r>
      <w:proofErr w:type="gramEnd"/>
      <w:r w:rsidRPr="00142E1C">
        <w:rPr>
          <w:rFonts w:ascii="Times New Roman" w:hAnsi="Times New Roman" w:cs="Times New Roman"/>
          <w:sz w:val="24"/>
          <w:szCs w:val="18"/>
          <w:lang w:val="en-US"/>
        </w:rPr>
        <w:t>2) of the SIS Act or clause 209A of Schedule 10 and, for an insurance fee, as mentioned in subsection 29V(9) of the SIS Act; and</w:t>
      </w:r>
    </w:p>
    <w:p w14:paraId="5D96FF5E" w14:textId="77777777" w:rsidR="001A30D0" w:rsidRPr="00452D8D" w:rsidRDefault="001A30D0" w:rsidP="001A30D0">
      <w:pPr>
        <w:spacing w:before="240" w:after="0"/>
        <w:ind w:left="567" w:hanging="567"/>
        <w:contextualSpacing/>
        <w:rPr>
          <w:rFonts w:ascii="Times New Roman" w:hAnsi="Times New Roman" w:cs="Times New Roman"/>
          <w:sz w:val="24"/>
          <w:szCs w:val="18"/>
        </w:rPr>
      </w:pPr>
      <w:r w:rsidRPr="00452D8D">
        <w:rPr>
          <w:rFonts w:ascii="Times New Roman" w:hAnsi="Times New Roman" w:cs="Times New Roman"/>
          <w:sz w:val="24"/>
          <w:szCs w:val="18"/>
        </w:rPr>
        <w:t>7.</w:t>
      </w:r>
      <w:r w:rsidRPr="00452D8D">
        <w:rPr>
          <w:rFonts w:ascii="Times New Roman" w:hAnsi="Times New Roman" w:cs="Times New Roman"/>
          <w:sz w:val="24"/>
          <w:szCs w:val="18"/>
        </w:rPr>
        <w:tab/>
        <w:t xml:space="preserve">In subclause 8(3) of Schedule 10E to the Regulations omit “Termination fee”, </w:t>
      </w:r>
      <w:r w:rsidRPr="00452D8D" w:rsidDel="00DD15D0">
        <w:rPr>
          <w:rFonts w:ascii="Times New Roman" w:hAnsi="Times New Roman" w:cs="Times New Roman"/>
          <w:sz w:val="24"/>
          <w:szCs w:val="18"/>
        </w:rPr>
        <w:t>substitute</w:t>
      </w:r>
      <w:r w:rsidRPr="00452D8D">
        <w:rPr>
          <w:rFonts w:ascii="Times New Roman" w:hAnsi="Times New Roman" w:cs="Times New Roman"/>
          <w:sz w:val="24"/>
          <w:szCs w:val="18"/>
        </w:rPr>
        <w:t xml:space="preserve"> “Exit fee”.</w:t>
      </w:r>
    </w:p>
    <w:p w14:paraId="04CF9C35" w14:textId="77777777" w:rsidR="001A30D0" w:rsidRPr="00452D8D" w:rsidRDefault="001A30D0" w:rsidP="001A30D0">
      <w:pPr>
        <w:spacing w:before="240" w:after="0"/>
        <w:ind w:left="567" w:hanging="567"/>
        <w:contextualSpacing/>
        <w:rPr>
          <w:rFonts w:ascii="Times New Roman" w:hAnsi="Times New Roman" w:cs="Times New Roman"/>
          <w:sz w:val="24"/>
          <w:szCs w:val="18"/>
        </w:rPr>
      </w:pPr>
    </w:p>
    <w:p w14:paraId="2BA855AD" w14:textId="77777777" w:rsidR="001A30D0" w:rsidRPr="00452D8D" w:rsidRDefault="001A30D0" w:rsidP="001A30D0">
      <w:pPr>
        <w:keepNext/>
        <w:spacing w:after="0"/>
        <w:ind w:left="567" w:hanging="567"/>
        <w:contextualSpacing/>
        <w:rPr>
          <w:rFonts w:ascii="Times New Roman" w:hAnsi="Times New Roman" w:cs="Times New Roman"/>
          <w:b/>
          <w:sz w:val="24"/>
          <w:szCs w:val="18"/>
        </w:rPr>
      </w:pPr>
      <w:r w:rsidRPr="00452D8D">
        <w:rPr>
          <w:rFonts w:ascii="Times New Roman" w:hAnsi="Times New Roman" w:cs="Times New Roman"/>
          <w:b/>
          <w:sz w:val="24"/>
          <w:szCs w:val="18"/>
        </w:rPr>
        <w:t>Transitional</w:t>
      </w:r>
    </w:p>
    <w:p w14:paraId="73EB9F11" w14:textId="77777777" w:rsidR="001A30D0" w:rsidRPr="00452D8D" w:rsidRDefault="001A30D0" w:rsidP="001A30D0">
      <w:pPr>
        <w:keepNext/>
        <w:spacing w:after="0"/>
        <w:ind w:left="567" w:hanging="567"/>
        <w:contextualSpacing/>
        <w:rPr>
          <w:rFonts w:ascii="Times New Roman" w:hAnsi="Times New Roman" w:cs="Times New Roman"/>
          <w:b/>
          <w:sz w:val="24"/>
          <w:szCs w:val="18"/>
        </w:rPr>
      </w:pPr>
    </w:p>
    <w:p w14:paraId="31424B7C" w14:textId="77777777" w:rsidR="001A30D0" w:rsidRPr="00452D8D" w:rsidRDefault="00DE7FD5" w:rsidP="00DE7FD5">
      <w:pPr>
        <w:pStyle w:val="LI-BodyTextNumbered"/>
        <w:ind w:left="567"/>
        <w:rPr>
          <w:rFonts w:ascii="Times New Roman" w:hAnsi="Times New Roman" w:cs="Times New Roman"/>
          <w:sz w:val="24"/>
        </w:rPr>
      </w:pPr>
      <w:r w:rsidRPr="00452D8D">
        <w:rPr>
          <w:rFonts w:ascii="Times New Roman" w:hAnsi="Times New Roman" w:cs="Times New Roman"/>
          <w:sz w:val="24"/>
        </w:rPr>
        <w:t xml:space="preserve">8. </w:t>
      </w:r>
      <w:r w:rsidRPr="00452D8D">
        <w:rPr>
          <w:rFonts w:ascii="Times New Roman" w:hAnsi="Times New Roman" w:cs="Times New Roman"/>
          <w:sz w:val="24"/>
        </w:rPr>
        <w:tab/>
      </w:r>
      <w:r w:rsidR="001A30D0" w:rsidRPr="00452D8D">
        <w:rPr>
          <w:rFonts w:ascii="Times New Roman" w:hAnsi="Times New Roman" w:cs="Times New Roman"/>
          <w:sz w:val="24"/>
        </w:rPr>
        <w:t>Subject to paragraph 8A, 8C and 8D, paragraphs 4 to 7 (except paragraphs 5, 5CA and 5D) apply in relation to a Product Disclosure Statement (regardless of when it was first given) from the earliest of the following:</w:t>
      </w:r>
    </w:p>
    <w:p w14:paraId="575694B5"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from 1 February 2017 if the responsible person for the Statement has not given ASIC a notice in writing before 1 February 2017:</w:t>
      </w:r>
    </w:p>
    <w:p w14:paraId="2F93DA97"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identifying themselves and the Statement; and</w:t>
      </w:r>
    </w:p>
    <w:p w14:paraId="5635AFD7"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lastRenderedPageBreak/>
        <w:t xml:space="preserve">(ii) </w:t>
      </w:r>
      <w:r w:rsidRPr="00452D8D">
        <w:rPr>
          <w:rFonts w:ascii="Times New Roman" w:hAnsi="Times New Roman" w:cs="Times New Roman"/>
          <w:sz w:val="24"/>
        </w:rPr>
        <w:tab/>
        <w:t>stating that the person intends to provide to ASIC written information relating any relevant superannuation products or relevant investment products to which the Statement relates before 1 March 2017; and</w:t>
      </w:r>
    </w:p>
    <w:p w14:paraId="64A7B4E7"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(iii)</w:t>
      </w:r>
      <w:r w:rsidRPr="00452D8D">
        <w:rPr>
          <w:rFonts w:ascii="Times New Roman" w:hAnsi="Times New Roman" w:cs="Times New Roman"/>
          <w:sz w:val="24"/>
        </w:rPr>
        <w:tab/>
        <w:t xml:space="preserve">if all financial products to which the Statement relates will not be offered for issue after 30 September 2017, identifying those products; </w:t>
      </w:r>
    </w:p>
    <w:p w14:paraId="10D3EE0B"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from 1 March 2017 if ASIC is notified in accordance with sub-subparagraph (a)(</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and (ii) but not sub-subparagraph 8(a)(iii) and the following statements have not been provided to ASIC in writing before 1 March 2017:</w:t>
      </w:r>
    </w:p>
    <w:p w14:paraId="2D5FD398"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a statement which contains or purports to contain the information specified in paragraph 8AB in the form and in accordance with the instructions available on ASIC’s website on 19 December 2016; and</w:t>
      </w:r>
    </w:p>
    <w:p w14:paraId="50453F84"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 xml:space="preserve">a statement of the person authorising the provision of the information that the person is authorised to provide it on behalf of the responsible person for the Statement </w:t>
      </w:r>
      <w:r w:rsidR="006546E7" w:rsidRPr="00452D8D">
        <w:rPr>
          <w:rFonts w:ascii="Times New Roman" w:hAnsi="Times New Roman" w:cs="Times New Roman"/>
          <w:sz w:val="24"/>
        </w:rPr>
        <w:t xml:space="preserve">and </w:t>
      </w:r>
      <w:r w:rsidRPr="00452D8D">
        <w:rPr>
          <w:rFonts w:ascii="Times New Roman" w:hAnsi="Times New Roman" w:cs="Times New Roman"/>
          <w:sz w:val="24"/>
        </w:rPr>
        <w:t xml:space="preserve">that they believe that the: </w:t>
      </w:r>
    </w:p>
    <w:p w14:paraId="0BA287DE" w14:textId="77777777" w:rsidR="001A30D0" w:rsidRPr="00452D8D" w:rsidRDefault="001A30D0" w:rsidP="00653A8D">
      <w:pPr>
        <w:pStyle w:val="LI-BodyTextSubsubparaA"/>
        <w:ind w:left="2268"/>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amount stated for the purposes of sub-subparagraph 8AB(a)(</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or sub-subparagraph 8AB(b)(</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as applicable is a reasonable estimate; and</w:t>
      </w:r>
    </w:p>
    <w:p w14:paraId="75430C1D" w14:textId="77777777" w:rsidR="001A30D0" w:rsidRPr="00452D8D" w:rsidRDefault="001A30D0" w:rsidP="00653A8D">
      <w:pPr>
        <w:pStyle w:val="LI-BodyTextSubsubparaA"/>
        <w:ind w:left="2268"/>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amount stated for the purposes of sub-subparagraph 8AB(a)(ii) or sub-subparagraph 8AB(b)(ii) as applicable is correct;</w:t>
      </w:r>
    </w:p>
    <w:p w14:paraId="2834A4C8"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 xml:space="preserve">from the date that is 6 business days after ASIC has requested in writing the responsible person to provide the statements referred to in paragraph 8AC in relation to a superannuation product, investment option or managed investment product to which the Statement relates, unless by that date the statements have been provided in writing to ASIC; </w:t>
      </w:r>
    </w:p>
    <w:p w14:paraId="06A243E2"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(d)</w:t>
      </w:r>
      <w:r w:rsidRPr="00452D8D">
        <w:rPr>
          <w:rFonts w:ascii="Times New Roman" w:hAnsi="Times New Roman" w:cs="Times New Roman"/>
          <w:sz w:val="24"/>
        </w:rPr>
        <w:tab/>
        <w:t xml:space="preserve">when the responsible person for the Statement has included in the Statement or a Statement that relates to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investment option or managed investment product to which the Statement relates or published on a website of the responsible person from which the Statement can be accessed, a notice to the effect that this instrument (as amended by the </w:t>
      </w:r>
      <w:r w:rsidRPr="00452D8D">
        <w:rPr>
          <w:rFonts w:ascii="Times New Roman" w:hAnsi="Times New Roman" w:cs="Times New Roman"/>
          <w:i/>
          <w:sz w:val="24"/>
        </w:rPr>
        <w:t xml:space="preserve">ASIC Corporations (Amendment) Instrument 2016/1224 </w:t>
      </w:r>
      <w:r w:rsidRPr="00452D8D">
        <w:rPr>
          <w:rFonts w:ascii="Times New Roman" w:hAnsi="Times New Roman" w:cs="Times New Roman"/>
          <w:sz w:val="24"/>
        </w:rPr>
        <w:t xml:space="preserve">and the </w:t>
      </w:r>
      <w:r w:rsidRPr="00452D8D">
        <w:rPr>
          <w:rFonts w:ascii="Times New Roman" w:hAnsi="Times New Roman" w:cs="Times New Roman"/>
          <w:i/>
          <w:sz w:val="24"/>
        </w:rPr>
        <w:t>ASIC Corporations (Amendment and Repeal) Instrument 2015/876</w:t>
      </w:r>
      <w:r w:rsidRPr="00452D8D">
        <w:rPr>
          <w:rFonts w:ascii="Times New Roman" w:hAnsi="Times New Roman" w:cs="Times New Roman"/>
          <w:sz w:val="24"/>
        </w:rPr>
        <w:t>) applies to the Statement;</w:t>
      </w:r>
    </w:p>
    <w:p w14:paraId="1A12E38F"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(e)</w:t>
      </w:r>
      <w:r w:rsidRPr="00452D8D">
        <w:rPr>
          <w:rFonts w:ascii="Times New Roman" w:hAnsi="Times New Roman" w:cs="Times New Roman"/>
          <w:sz w:val="24"/>
        </w:rPr>
        <w:tab/>
        <w:t xml:space="preserve">from commencement of the </w:t>
      </w:r>
      <w:r w:rsidRPr="00452D8D">
        <w:rPr>
          <w:rFonts w:ascii="Times New Roman" w:hAnsi="Times New Roman" w:cs="Times New Roman"/>
          <w:i/>
          <w:sz w:val="24"/>
        </w:rPr>
        <w:t>ASIC Corporations (Amendment) Instrument 2016/1224</w:t>
      </w:r>
      <w:r w:rsidRPr="00452D8D">
        <w:rPr>
          <w:rFonts w:ascii="Times New Roman" w:hAnsi="Times New Roman" w:cs="Times New Roman"/>
          <w:sz w:val="24"/>
        </w:rPr>
        <w:t xml:space="preserve"> if the responsible person for the Statement has before that commencement included in the Statement or a Statement that relates to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investment option or managed investment product to which the Statement relates or published on a website of the responsible person from which the Statement can be accessed, a notice to the effect that this instrument (as amended by the </w:t>
      </w:r>
      <w:r w:rsidRPr="00452D8D">
        <w:rPr>
          <w:rFonts w:ascii="Times New Roman" w:hAnsi="Times New Roman" w:cs="Times New Roman"/>
          <w:i/>
          <w:sz w:val="24"/>
        </w:rPr>
        <w:t>ASIC Corporations (Amendment and Repeal) Instrument 2015/876</w:t>
      </w:r>
      <w:r w:rsidRPr="00452D8D">
        <w:rPr>
          <w:rFonts w:ascii="Times New Roman" w:hAnsi="Times New Roman" w:cs="Times New Roman"/>
          <w:sz w:val="24"/>
        </w:rPr>
        <w:t>) applies to the Statement;</w:t>
      </w:r>
    </w:p>
    <w:p w14:paraId="61B0B01A"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lastRenderedPageBreak/>
        <w:t>(f)</w:t>
      </w:r>
      <w:r w:rsidRPr="00452D8D">
        <w:rPr>
          <w:rFonts w:ascii="Times New Roman" w:hAnsi="Times New Roman" w:cs="Times New Roman"/>
          <w:sz w:val="24"/>
        </w:rPr>
        <w:tab/>
        <w:t xml:space="preserve">if the Statement is first given after the commencement of this provision and relates to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investment option or managed investment product that was not covered by a Product Disclosure Statement that was first given before the commencement of this provision, from the time the Statement is first given;</w:t>
      </w:r>
    </w:p>
    <w:p w14:paraId="5260B667"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(g)</w:t>
      </w:r>
      <w:r w:rsidRPr="00452D8D">
        <w:rPr>
          <w:rFonts w:ascii="Times New Roman" w:hAnsi="Times New Roman" w:cs="Times New Roman"/>
          <w:sz w:val="24"/>
        </w:rPr>
        <w:tab/>
        <w:t>30 September 2017.</w:t>
      </w:r>
    </w:p>
    <w:p w14:paraId="634268E7" w14:textId="77777777" w:rsidR="006546E7" w:rsidRPr="00452D8D" w:rsidRDefault="006546E7" w:rsidP="00653A8D">
      <w:pPr>
        <w:pStyle w:val="LI-BodyTextNumbered"/>
        <w:rPr>
          <w:rFonts w:ascii="Times New Roman" w:hAnsi="Times New Roman" w:cs="Times New Roman"/>
          <w:sz w:val="18"/>
          <w:szCs w:val="18"/>
        </w:rPr>
      </w:pPr>
      <w:r w:rsidRPr="00452D8D">
        <w:rPr>
          <w:rFonts w:ascii="Times New Roman" w:hAnsi="Times New Roman" w:cs="Times New Roman"/>
          <w:sz w:val="18"/>
          <w:szCs w:val="18"/>
        </w:rPr>
        <w:t>Note:</w:t>
      </w:r>
      <w:r w:rsidRPr="00452D8D">
        <w:rPr>
          <w:rFonts w:ascii="Times New Roman" w:hAnsi="Times New Roman" w:cs="Times New Roman"/>
          <w:sz w:val="18"/>
          <w:szCs w:val="18"/>
        </w:rPr>
        <w:tab/>
        <w:t xml:space="preserve">Paragraphs 5 and 5D commenced on the commencement of </w:t>
      </w:r>
      <w:r w:rsidRPr="00452D8D">
        <w:rPr>
          <w:rFonts w:ascii="Times New Roman" w:hAnsi="Times New Roman" w:cs="Times New Roman"/>
          <w:i/>
          <w:sz w:val="18"/>
          <w:szCs w:val="18"/>
        </w:rPr>
        <w:t>ASIC Corporations (Amendment and Repeal) Instrument 2015/876</w:t>
      </w:r>
      <w:r w:rsidRPr="00452D8D">
        <w:rPr>
          <w:rFonts w:ascii="Times New Roman" w:hAnsi="Times New Roman" w:cs="Times New Roman"/>
          <w:sz w:val="18"/>
          <w:szCs w:val="18"/>
        </w:rPr>
        <w:t xml:space="preserve">. Paragraph 5CA commenced on the commencement of </w:t>
      </w:r>
      <w:r w:rsidRPr="00452D8D">
        <w:rPr>
          <w:rFonts w:ascii="Times New Roman" w:hAnsi="Times New Roman" w:cs="Times New Roman"/>
          <w:i/>
          <w:sz w:val="18"/>
          <w:szCs w:val="18"/>
        </w:rPr>
        <w:t>ASIC Corporations (Amendment) Instrument 2016/1224</w:t>
      </w:r>
      <w:r w:rsidRPr="00452D8D">
        <w:rPr>
          <w:rFonts w:ascii="Times New Roman" w:hAnsi="Times New Roman" w:cs="Times New Roman"/>
          <w:sz w:val="18"/>
          <w:szCs w:val="18"/>
        </w:rPr>
        <w:t>.</w:t>
      </w:r>
    </w:p>
    <w:p w14:paraId="05BF5DCF"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8AA.</w:t>
      </w:r>
      <w:r w:rsidRPr="00452D8D">
        <w:rPr>
          <w:rFonts w:ascii="Times New Roman" w:hAnsi="Times New Roman" w:cs="Times New Roman"/>
          <w:sz w:val="24"/>
        </w:rPr>
        <w:tab/>
        <w:t>Paragraphs 8(a) to (c) do not apply in relation to a Product Disclosure Statement for an interest in a time-sharing scheme.</w:t>
      </w:r>
    </w:p>
    <w:p w14:paraId="197E734B"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8AB.</w:t>
      </w:r>
      <w:r w:rsidRPr="00452D8D">
        <w:rPr>
          <w:rFonts w:ascii="Times New Roman" w:hAnsi="Times New Roman" w:cs="Times New Roman"/>
          <w:sz w:val="24"/>
        </w:rPr>
        <w:tab/>
        <w:t>The information for the purposes of paragraph 8(a) is:</w:t>
      </w:r>
    </w:p>
    <w:p w14:paraId="2319B45A"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for each relevant superannuation product or relevant investment option within a superannuation product of the responsible person for the Product Disclosure Statement, the amounts that would be required under clause 201 of Schedule 10 to the Regulations or subclause 8(3) of Schedule 10D to the Regulations, the total cost of the product required under clause 211 of Schedule 10 or paragraph 8(2)(b) of Schedule 10D and the amount required under paragraph 209(j) of Schedule 10:</w:t>
      </w:r>
    </w:p>
    <w:p w14:paraId="2C28ABB3"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in a Product Disclosure Statement prepared in accordance with Schedule 10 on the date the information is provided to ASIC as if paragraphs 4 to 7 applied to the Statement; and</w:t>
      </w:r>
    </w:p>
    <w:p w14:paraId="2F4FC50D"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as stated or incorporated by reference in the Statement or if applicable any updating information provided in accordance with an exemption given by ASIC from section 1012J of the Act; and</w:t>
      </w:r>
    </w:p>
    <w:p w14:paraId="22474117"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for each relevant managed investment product of the responsible person for the Product Disclosure Statement, the amounts that would be required under clause 202 or clause 202A of Schedule 10 to the Regulations or subclause 8(3) of Schedule 10E to the Regulations as applicable, the total cost of the product required under clause 211 of Schedule 10 or paragraph 8(2)(b) of Schedule 10E and the amount required under clause 209(j) of Schedule 10:</w:t>
      </w:r>
    </w:p>
    <w:p w14:paraId="2298E021"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in a Product Disclosure Statement prepared in accordance with Schedule 10 on the date the information is provided to ASIC as if Clause 4 to 7 applied to the Product Disclosure Statement; and</w:t>
      </w:r>
    </w:p>
    <w:p w14:paraId="5DDB247C" w14:textId="77777777" w:rsidR="001A30D0" w:rsidRPr="00452D8D" w:rsidRDefault="001A30D0" w:rsidP="00653A8D">
      <w:pPr>
        <w:pStyle w:val="LI-BodyTextNumbered"/>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as stated or incorporated by reference in the Statement or if applicable any updating information provided in accordance with an exemption given by ASIC from section 1012J of the Act.</w:t>
      </w:r>
    </w:p>
    <w:p w14:paraId="3B13825D" w14:textId="77777777" w:rsidR="001A30D0" w:rsidRPr="00452D8D" w:rsidRDefault="001A30D0" w:rsidP="00653A8D">
      <w:pPr>
        <w:pStyle w:val="LI-BodyTextUnnumbered"/>
        <w:ind w:left="567"/>
        <w:rPr>
          <w:rFonts w:ascii="Times New Roman" w:hAnsi="Times New Roman" w:cs="Times New Roman"/>
          <w:sz w:val="24"/>
        </w:rPr>
      </w:pPr>
      <w:r w:rsidRPr="00452D8D">
        <w:rPr>
          <w:rFonts w:ascii="Times New Roman" w:hAnsi="Times New Roman" w:cs="Times New Roman"/>
          <w:sz w:val="24"/>
        </w:rPr>
        <w:lastRenderedPageBreak/>
        <w:t>For the purposes of this paragraph apply the following disregarding any superannuation product, investment option or managed investment product in respect of which there is no Product Disclosure Statement in use during February 2017, notified under sub-subparagraph 8(a)(iii) or in relation to which paragraphs 4 to 7 (except paragraphs 5, 5CA and 5D) apply:</w:t>
      </w:r>
    </w:p>
    <w:p w14:paraId="767CF10A"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 xml:space="preserve">a superannuation product is a </w:t>
      </w:r>
      <w:r w:rsidRPr="00452D8D">
        <w:rPr>
          <w:rFonts w:ascii="Times New Roman" w:hAnsi="Times New Roman" w:cs="Times New Roman"/>
          <w:b/>
          <w:i/>
          <w:sz w:val="24"/>
        </w:rPr>
        <w:t>relevant superannuation product</w:t>
      </w:r>
      <w:r w:rsidRPr="00452D8D">
        <w:rPr>
          <w:rFonts w:ascii="Times New Roman" w:hAnsi="Times New Roman" w:cs="Times New Roman"/>
          <w:sz w:val="24"/>
        </w:rPr>
        <w:t xml:space="preserve"> of a responsible person if the product is a generic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issued by the person; </w:t>
      </w:r>
    </w:p>
    <w:p w14:paraId="323802DF"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(d)</w:t>
      </w:r>
      <w:r w:rsidRPr="00452D8D">
        <w:rPr>
          <w:rFonts w:ascii="Times New Roman" w:hAnsi="Times New Roman" w:cs="Times New Roman"/>
          <w:sz w:val="24"/>
        </w:rPr>
        <w:tab/>
        <w:t xml:space="preserve">an investment option is a </w:t>
      </w:r>
      <w:r w:rsidRPr="00452D8D">
        <w:rPr>
          <w:rFonts w:ascii="Times New Roman" w:hAnsi="Times New Roman" w:cs="Times New Roman"/>
          <w:b/>
          <w:i/>
          <w:sz w:val="24"/>
        </w:rPr>
        <w:t>relevant investment option</w:t>
      </w:r>
      <w:r w:rsidRPr="00452D8D">
        <w:rPr>
          <w:rFonts w:ascii="Times New Roman" w:hAnsi="Times New Roman" w:cs="Times New Roman"/>
          <w:sz w:val="24"/>
        </w:rPr>
        <w:t xml:space="preserve"> of a responsible person if:</w:t>
      </w:r>
    </w:p>
    <w:p w14:paraId="29D2F09E"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 xml:space="preserve">the investment option is not a generic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and relates to assets that are no less than all other investment options of the responsible person other than a generic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(at the end of the last financial year);</w:t>
      </w:r>
      <w:r w:rsidRPr="00452D8D" w:rsidDel="00AF0C9A">
        <w:rPr>
          <w:rFonts w:ascii="Times New Roman" w:hAnsi="Times New Roman" w:cs="Times New Roman"/>
          <w:sz w:val="24"/>
        </w:rPr>
        <w:t xml:space="preserve"> </w:t>
      </w:r>
      <w:r w:rsidRPr="00452D8D">
        <w:rPr>
          <w:rFonts w:ascii="Times New Roman" w:hAnsi="Times New Roman" w:cs="Times New Roman"/>
          <w:sz w:val="24"/>
        </w:rPr>
        <w:t>or</w:t>
      </w:r>
    </w:p>
    <w:p w14:paraId="1C659B71"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 xml:space="preserve">the investment option relates to assets of more than $100 million (at the end of the last financial year); </w:t>
      </w:r>
    </w:p>
    <w:p w14:paraId="010900D1"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(e)</w:t>
      </w:r>
      <w:r w:rsidRPr="00452D8D">
        <w:rPr>
          <w:rFonts w:ascii="Times New Roman" w:hAnsi="Times New Roman" w:cs="Times New Roman"/>
          <w:sz w:val="24"/>
        </w:rPr>
        <w:tab/>
        <w:t xml:space="preserve">a managed investment product is a </w:t>
      </w:r>
      <w:r w:rsidRPr="00452D8D">
        <w:rPr>
          <w:rFonts w:ascii="Times New Roman" w:hAnsi="Times New Roman" w:cs="Times New Roman"/>
          <w:b/>
          <w:i/>
          <w:sz w:val="24"/>
        </w:rPr>
        <w:t>relevant managed investment product</w:t>
      </w:r>
      <w:r w:rsidRPr="00452D8D">
        <w:rPr>
          <w:rFonts w:ascii="Times New Roman" w:hAnsi="Times New Roman" w:cs="Times New Roman"/>
          <w:sz w:val="24"/>
        </w:rPr>
        <w:t xml:space="preserve"> if:</w:t>
      </w:r>
    </w:p>
    <w:p w14:paraId="5170FF55"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w:t>
      </w:r>
      <w:r w:rsidRPr="00452D8D">
        <w:rPr>
          <w:rFonts w:ascii="Times New Roman" w:hAnsi="Times New Roman" w:cs="Times New Roman"/>
          <w:sz w:val="24"/>
        </w:rPr>
        <w:tab/>
        <w:t>the value of the scheme property relating to managed investment products of the same class is no less than the value of the scheme property of each other class of managed investment products of the responsible person (at the end of the last financial year); or</w:t>
      </w:r>
      <w:r w:rsidRPr="00452D8D" w:rsidDel="00AF0C9A">
        <w:rPr>
          <w:rFonts w:ascii="Times New Roman" w:hAnsi="Times New Roman" w:cs="Times New Roman"/>
          <w:sz w:val="24"/>
        </w:rPr>
        <w:t xml:space="preserve"> </w:t>
      </w:r>
    </w:p>
    <w:p w14:paraId="77003C90" w14:textId="77777777" w:rsidR="001A30D0" w:rsidRPr="00452D8D" w:rsidRDefault="001A30D0" w:rsidP="00653A8D">
      <w:pPr>
        <w:pStyle w:val="LI-BodyTextSubparai"/>
        <w:ind w:left="1701"/>
        <w:rPr>
          <w:rFonts w:ascii="Times New Roman" w:hAnsi="Times New Roman" w:cs="Times New Roman"/>
          <w:sz w:val="24"/>
        </w:rPr>
      </w:pPr>
      <w:r w:rsidRPr="00452D8D">
        <w:rPr>
          <w:rFonts w:ascii="Times New Roman" w:hAnsi="Times New Roman" w:cs="Times New Roman"/>
          <w:sz w:val="24"/>
        </w:rPr>
        <w:t>(ii)</w:t>
      </w:r>
      <w:r w:rsidRPr="00452D8D">
        <w:rPr>
          <w:rFonts w:ascii="Times New Roman" w:hAnsi="Times New Roman" w:cs="Times New Roman"/>
          <w:sz w:val="24"/>
        </w:rPr>
        <w:tab/>
        <w:t xml:space="preserve">the scheme property to which the product relates has a value of more than $100 million (at the end of the last financial year). </w:t>
      </w:r>
    </w:p>
    <w:p w14:paraId="5F206010"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8AC.</w:t>
      </w:r>
      <w:r w:rsidRPr="00452D8D">
        <w:rPr>
          <w:rFonts w:ascii="Times New Roman" w:hAnsi="Times New Roman" w:cs="Times New Roman"/>
          <w:sz w:val="24"/>
        </w:rPr>
        <w:tab/>
        <w:t>The statements required by subparagraph 8(c) are the statements that would be required by paragraph 8(b) if:</w:t>
      </w:r>
    </w:p>
    <w:p w14:paraId="78123A79"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the reference to a relevant investment option in subparagraph 8AB(d) were a reference to a superannuation product or investment option of the person specified in the request under subparagraph 8(c);</w:t>
      </w:r>
    </w:p>
    <w:p w14:paraId="6E5A2D0A"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the reference to a relevant managed investment product in subparagraph 8AB(e) were a reference to a managed investment product specified in the request under subparagraph 8(c);</w:t>
      </w:r>
    </w:p>
    <w:p w14:paraId="147EC6DB"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the time as of which the information in the statements had to be current was a time determined by the responsible person in writing that is no earlier than 1 February 2017 and no later than 28 February 2017.</w:t>
      </w:r>
    </w:p>
    <w:p w14:paraId="5E9F7A87"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8A.</w:t>
      </w:r>
      <w:r w:rsidRPr="00452D8D">
        <w:rPr>
          <w:rFonts w:ascii="Times New Roman" w:hAnsi="Times New Roman" w:cs="Times New Roman"/>
          <w:sz w:val="24"/>
        </w:rPr>
        <w:tab/>
        <w:t>Subparagraphs 6(bb), (c), (d), (f)(</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xml:space="preserve">), (fa), (fb), (g) and (h) and paragraph 7 apply in relation to a Product Disclosure Statement from the time the Statement first </w:t>
      </w:r>
      <w:r w:rsidRPr="00452D8D">
        <w:rPr>
          <w:rFonts w:ascii="Times New Roman" w:hAnsi="Times New Roman" w:cs="Times New Roman"/>
          <w:sz w:val="24"/>
        </w:rPr>
        <w:lastRenderedPageBreak/>
        <w:t>complies with those subparagraphs if this is before the time the provision would apply because of paragraph 8.</w:t>
      </w:r>
    </w:p>
    <w:p w14:paraId="272C6503" w14:textId="77777777" w:rsidR="001A30D0" w:rsidRPr="00452D8D" w:rsidRDefault="001A30D0" w:rsidP="00BA5E46">
      <w:pPr>
        <w:pStyle w:val="LI-BodyTextNumbered"/>
        <w:ind w:left="567"/>
        <w:rPr>
          <w:rFonts w:ascii="Times New Roman" w:hAnsi="Times New Roman" w:cs="Times New Roman"/>
          <w:sz w:val="24"/>
          <w:lang w:val="en-US"/>
        </w:rPr>
      </w:pPr>
      <w:r w:rsidRPr="00452D8D">
        <w:rPr>
          <w:rFonts w:ascii="Times New Roman" w:hAnsi="Times New Roman" w:cs="Times New Roman"/>
          <w:sz w:val="24"/>
        </w:rPr>
        <w:t>8B.</w:t>
      </w:r>
      <w:r w:rsidRPr="00452D8D">
        <w:rPr>
          <w:rFonts w:ascii="Times New Roman" w:hAnsi="Times New Roman" w:cs="Times New Roman"/>
          <w:sz w:val="24"/>
        </w:rPr>
        <w:tab/>
        <w:t xml:space="preserve">Despite paragraph 1 of Schedule 2 to </w:t>
      </w:r>
      <w:r w:rsidRPr="00452D8D">
        <w:rPr>
          <w:rFonts w:ascii="Times New Roman" w:hAnsi="Times New Roman" w:cs="Times New Roman"/>
          <w:i/>
          <w:sz w:val="24"/>
        </w:rPr>
        <w:t>ASIC Corporations (Amendment and Repeal) Instrument 2015/876</w:t>
      </w:r>
      <w:r w:rsidRPr="00452D8D">
        <w:rPr>
          <w:rFonts w:ascii="Times New Roman" w:hAnsi="Times New Roman" w:cs="Times New Roman"/>
          <w:sz w:val="24"/>
        </w:rPr>
        <w:t xml:space="preserve">, ASIC Class Order [CO 14/1252] as in force immediately before the commencement of </w:t>
      </w:r>
      <w:r w:rsidRPr="00452D8D">
        <w:rPr>
          <w:rFonts w:ascii="Times New Roman" w:hAnsi="Times New Roman" w:cs="Times New Roman"/>
          <w:i/>
          <w:sz w:val="24"/>
        </w:rPr>
        <w:t xml:space="preserve">ASIC Corporations (Amendment and Repeal) Instrument 2015/876 </w:t>
      </w:r>
      <w:r w:rsidRPr="00452D8D">
        <w:rPr>
          <w:rFonts w:ascii="Times New Roman" w:hAnsi="Times New Roman" w:cs="Times New Roman"/>
          <w:sz w:val="24"/>
        </w:rPr>
        <w:t>applies in relation to a Product Disclosure Statement that relates only to financial products to which a Statement relates that included a statement that ASIC Class Order [CO 14/1252] applies to the Statement until the earlier of:</w:t>
      </w:r>
    </w:p>
    <w:p w14:paraId="6D2BE101" w14:textId="77777777" w:rsidR="001A30D0" w:rsidRPr="00452D8D" w:rsidRDefault="001A30D0" w:rsidP="00653A8D">
      <w:pPr>
        <w:pStyle w:val="LI-BodyTextNumbered"/>
        <w:rPr>
          <w:rFonts w:ascii="Times New Roman" w:hAnsi="Times New Roman" w:cs="Times New Roman"/>
          <w:sz w:val="24"/>
          <w:lang w:val="en-US"/>
        </w:rPr>
      </w:pPr>
      <w:r w:rsidRPr="00452D8D">
        <w:rPr>
          <w:rFonts w:ascii="Times New Roman" w:hAnsi="Times New Roman" w:cs="Times New Roman"/>
          <w:sz w:val="24"/>
        </w:rPr>
        <w:t>(a)</w:t>
      </w:r>
      <w:r w:rsidRPr="00452D8D">
        <w:rPr>
          <w:rFonts w:ascii="Times New Roman" w:hAnsi="Times New Roman" w:cs="Times New Roman"/>
          <w:sz w:val="24"/>
        </w:rPr>
        <w:tab/>
        <w:t>the date that paragraphs 4 to 7 (except paragraphs 5, 5CA and 5D) applies in relation to the Statement under paragraph 8; and</w:t>
      </w:r>
    </w:p>
    <w:p w14:paraId="4763D70D" w14:textId="77777777" w:rsidR="001A30D0" w:rsidRPr="00452D8D" w:rsidRDefault="001A30D0" w:rsidP="00653A8D">
      <w:pPr>
        <w:pStyle w:val="LI-BodyTextNumbered"/>
        <w:rPr>
          <w:rFonts w:ascii="Times New Roman" w:hAnsi="Times New Roman" w:cs="Times New Roman"/>
          <w:sz w:val="24"/>
          <w:lang w:val="en-US"/>
        </w:rPr>
      </w:pPr>
      <w:r w:rsidRPr="00452D8D">
        <w:rPr>
          <w:rFonts w:ascii="Times New Roman" w:hAnsi="Times New Roman" w:cs="Times New Roman"/>
          <w:sz w:val="24"/>
        </w:rPr>
        <w:t>(b)</w:t>
      </w:r>
      <w:r w:rsidRPr="00452D8D">
        <w:rPr>
          <w:rFonts w:ascii="Times New Roman" w:hAnsi="Times New Roman" w:cs="Times New Roman"/>
          <w:sz w:val="24"/>
        </w:rPr>
        <w:tab/>
        <w:t>the date from which the Statement complies with paragraphs 4 to 7 as in force immediately after the commencement of this instrument.</w:t>
      </w:r>
    </w:p>
    <w:p w14:paraId="5C3DF8F2"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8C.</w:t>
      </w:r>
      <w:r w:rsidRPr="00452D8D">
        <w:rPr>
          <w:rFonts w:ascii="Times New Roman" w:hAnsi="Times New Roman" w:cs="Times New Roman"/>
          <w:sz w:val="24"/>
        </w:rPr>
        <w:tab/>
        <w:t>If paragraphs 6(e), (</w:t>
      </w:r>
      <w:proofErr w:type="spellStart"/>
      <w:r w:rsidRPr="00452D8D">
        <w:rPr>
          <w:rFonts w:ascii="Times New Roman" w:hAnsi="Times New Roman" w:cs="Times New Roman"/>
          <w:sz w:val="24"/>
        </w:rPr>
        <w:t>ea</w:t>
      </w:r>
      <w:proofErr w:type="spellEnd"/>
      <w:r w:rsidRPr="00452D8D">
        <w:rPr>
          <w:rFonts w:ascii="Times New Roman" w:hAnsi="Times New Roman" w:cs="Times New Roman"/>
          <w:sz w:val="24"/>
        </w:rPr>
        <w:t>) and (f) other than (f)(</w:t>
      </w:r>
      <w:proofErr w:type="spellStart"/>
      <w:r w:rsidRPr="00452D8D">
        <w:rPr>
          <w:rFonts w:ascii="Times New Roman" w:hAnsi="Times New Roman" w:cs="Times New Roman"/>
          <w:sz w:val="24"/>
        </w:rPr>
        <w:t>i</w:t>
      </w:r>
      <w:proofErr w:type="spellEnd"/>
      <w:r w:rsidRPr="00452D8D">
        <w:rPr>
          <w:rFonts w:ascii="Times New Roman" w:hAnsi="Times New Roman" w:cs="Times New Roman"/>
          <w:sz w:val="24"/>
        </w:rPr>
        <w:t xml:space="preserve">) as in force immediately before the commencement of the </w:t>
      </w:r>
      <w:r w:rsidRPr="00452D8D">
        <w:rPr>
          <w:rFonts w:ascii="Times New Roman" w:hAnsi="Times New Roman" w:cs="Times New Roman"/>
          <w:i/>
          <w:sz w:val="24"/>
        </w:rPr>
        <w:t>ASIC Corporations (Amendment) Instrument 2016/1224</w:t>
      </w:r>
      <w:r w:rsidRPr="00452D8D">
        <w:rPr>
          <w:rFonts w:ascii="Times New Roman" w:hAnsi="Times New Roman" w:cs="Times New Roman"/>
          <w:sz w:val="24"/>
        </w:rPr>
        <w:t xml:space="preserve"> applied in relation to a Product Disclosure Statement at that time, those provisions continue to apply in relation to the Statement and any other Product Disclosure Statement (first given after that commencement) that relates only to financial products to which the first mentioned Statement relates until the earlier of:</w:t>
      </w:r>
    </w:p>
    <w:p w14:paraId="508432FB"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30 September 2017; and</w:t>
      </w:r>
    </w:p>
    <w:p w14:paraId="7AA4A391" w14:textId="77777777" w:rsidR="001A30D0" w:rsidRPr="00452D8D" w:rsidRDefault="001A30D0" w:rsidP="00653A8D">
      <w:pPr>
        <w:pStyle w:val="LI-BodyTextNumbered"/>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when the Statement first complies with those paragraphs as in force immediately after that commencement.</w:t>
      </w:r>
    </w:p>
    <w:p w14:paraId="1923F075" w14:textId="77777777" w:rsidR="001A30D0" w:rsidRPr="00452D8D" w:rsidRDefault="001A30D0" w:rsidP="00BA5E46">
      <w:pPr>
        <w:pStyle w:val="LI-BodyTextNumbered"/>
        <w:ind w:left="567"/>
        <w:rPr>
          <w:rFonts w:ascii="Times New Roman" w:hAnsi="Times New Roman" w:cs="Times New Roman"/>
          <w:sz w:val="24"/>
        </w:rPr>
      </w:pPr>
      <w:r w:rsidRPr="00452D8D">
        <w:rPr>
          <w:rFonts w:ascii="Times New Roman" w:hAnsi="Times New Roman" w:cs="Times New Roman"/>
          <w:sz w:val="24"/>
        </w:rPr>
        <w:t>8D.</w:t>
      </w:r>
      <w:r w:rsidRPr="00452D8D">
        <w:rPr>
          <w:rFonts w:ascii="Times New Roman" w:hAnsi="Times New Roman" w:cs="Times New Roman"/>
          <w:sz w:val="24"/>
        </w:rPr>
        <w:tab/>
        <w:t>If a Product Disclosure Statement:</w:t>
      </w:r>
    </w:p>
    <w:p w14:paraId="12CC78DF"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(a)</w:t>
      </w:r>
      <w:r w:rsidRPr="00452D8D">
        <w:rPr>
          <w:rFonts w:ascii="Times New Roman" w:hAnsi="Times New Roman" w:cs="Times New Roman"/>
          <w:sz w:val="24"/>
        </w:rPr>
        <w:tab/>
        <w:t>is first given after the commencement of this provision; and</w:t>
      </w:r>
    </w:p>
    <w:p w14:paraId="4945B79C"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(b)</w:t>
      </w:r>
      <w:r w:rsidRPr="00452D8D">
        <w:rPr>
          <w:rFonts w:ascii="Times New Roman" w:hAnsi="Times New Roman" w:cs="Times New Roman"/>
          <w:sz w:val="24"/>
        </w:rPr>
        <w:tab/>
        <w:t xml:space="preserve">relates to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investment option or managed investment product that was covered by a notice given to ASIC for the purposes of subparagraph 8(a) and </w:t>
      </w:r>
      <w:r w:rsidR="006546E7" w:rsidRPr="00452D8D">
        <w:rPr>
          <w:rFonts w:ascii="Times New Roman" w:hAnsi="Times New Roman" w:cs="Times New Roman"/>
          <w:sz w:val="24"/>
        </w:rPr>
        <w:t>each statement referred to in paragraph 8(b) in relation to the responsible person for the Statement has been</w:t>
      </w:r>
      <w:r w:rsidRPr="00452D8D">
        <w:rPr>
          <w:rFonts w:ascii="Times New Roman" w:hAnsi="Times New Roman" w:cs="Times New Roman"/>
          <w:sz w:val="24"/>
        </w:rPr>
        <w:t xml:space="preserve"> given to ASIC for the purposes of paragraph 8(b); and</w:t>
      </w:r>
    </w:p>
    <w:p w14:paraId="12A1C925" w14:textId="77777777" w:rsidR="001A30D0" w:rsidRPr="00452D8D" w:rsidRDefault="001A30D0" w:rsidP="00653A8D">
      <w:pPr>
        <w:pStyle w:val="LI-BodyTextParaa"/>
        <w:ind w:left="1134"/>
        <w:rPr>
          <w:rFonts w:ascii="Times New Roman" w:hAnsi="Times New Roman" w:cs="Times New Roman"/>
          <w:sz w:val="24"/>
        </w:rPr>
      </w:pPr>
      <w:r w:rsidRPr="00452D8D">
        <w:rPr>
          <w:rFonts w:ascii="Times New Roman" w:hAnsi="Times New Roman" w:cs="Times New Roman"/>
          <w:sz w:val="24"/>
        </w:rPr>
        <w:t>(c)</w:t>
      </w:r>
      <w:r w:rsidRPr="00452D8D">
        <w:rPr>
          <w:rFonts w:ascii="Times New Roman" w:hAnsi="Times New Roman" w:cs="Times New Roman"/>
          <w:sz w:val="24"/>
        </w:rPr>
        <w:tab/>
        <w:t xml:space="preserve">does not relate to any other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investment option or </w:t>
      </w:r>
      <w:r w:rsidR="006546E7" w:rsidRPr="00452D8D">
        <w:rPr>
          <w:rFonts w:ascii="Times New Roman" w:hAnsi="Times New Roman" w:cs="Times New Roman"/>
          <w:sz w:val="24"/>
        </w:rPr>
        <w:t>managed</w:t>
      </w:r>
      <w:r w:rsidRPr="00452D8D">
        <w:rPr>
          <w:rFonts w:ascii="Times New Roman" w:hAnsi="Times New Roman" w:cs="Times New Roman"/>
          <w:sz w:val="24"/>
        </w:rPr>
        <w:t xml:space="preserve"> investment scheme;</w:t>
      </w:r>
    </w:p>
    <w:p w14:paraId="63AE5260" w14:textId="77777777" w:rsidR="001A30D0" w:rsidRPr="00452D8D" w:rsidRDefault="001A30D0" w:rsidP="00BA5E46">
      <w:pPr>
        <w:ind w:left="567"/>
        <w:rPr>
          <w:rFonts w:ascii="Times New Roman" w:hAnsi="Times New Roman" w:cs="Times New Roman"/>
          <w:sz w:val="24"/>
        </w:rPr>
      </w:pPr>
      <w:r w:rsidRPr="00452D8D">
        <w:rPr>
          <w:rFonts w:ascii="Times New Roman" w:hAnsi="Times New Roman" w:cs="Times New Roman"/>
          <w:sz w:val="24"/>
          <w:szCs w:val="24"/>
        </w:rPr>
        <w:t>paragraphs 4 to 7 (except 5, 5CA and 5D) apply to the Statement from 30 September 2017 other than to the extent those provisions apply earlier because of subparagraphs 8(c) or (d) or paragraphs 8A or 8C.”.</w:t>
      </w:r>
    </w:p>
    <w:p w14:paraId="319B2716" w14:textId="77777777" w:rsidR="001A30D0" w:rsidRPr="00452D8D" w:rsidRDefault="001A30D0" w:rsidP="001A30D0">
      <w:pPr>
        <w:spacing w:before="240" w:after="0"/>
        <w:ind w:left="567" w:hanging="567"/>
        <w:contextualSpacing/>
        <w:rPr>
          <w:rFonts w:ascii="Times New Roman" w:hAnsi="Times New Roman" w:cs="Times New Roman"/>
          <w:sz w:val="24"/>
          <w:szCs w:val="18"/>
        </w:rPr>
      </w:pPr>
      <w:r w:rsidRPr="00452D8D">
        <w:rPr>
          <w:rFonts w:ascii="Times New Roman" w:hAnsi="Times New Roman" w:cs="Times New Roman"/>
          <w:sz w:val="24"/>
          <w:szCs w:val="18"/>
        </w:rPr>
        <w:t>9.</w:t>
      </w:r>
      <w:r w:rsidRPr="00452D8D">
        <w:rPr>
          <w:rFonts w:ascii="Times New Roman" w:hAnsi="Times New Roman" w:cs="Times New Roman"/>
          <w:sz w:val="24"/>
          <w:szCs w:val="18"/>
        </w:rPr>
        <w:tab/>
        <w:t>Paragraphs 4 to 7 apply in relation to a periodic statement that is required to be given in accordance with section 1017D of the Act:</w:t>
      </w:r>
    </w:p>
    <w:p w14:paraId="28373449" w14:textId="77777777" w:rsidR="001A30D0" w:rsidRPr="00452D8D" w:rsidRDefault="001A30D0" w:rsidP="001A30D0">
      <w:pPr>
        <w:spacing w:before="240" w:after="0"/>
        <w:ind w:left="567" w:hanging="567"/>
        <w:contextualSpacing/>
        <w:rPr>
          <w:rFonts w:ascii="Times New Roman" w:hAnsi="Times New Roman" w:cs="Times New Roman"/>
          <w:sz w:val="24"/>
          <w:szCs w:val="18"/>
        </w:rPr>
      </w:pPr>
    </w:p>
    <w:p w14:paraId="68DD9E52" w14:textId="77777777" w:rsidR="001A30D0" w:rsidRPr="00452D8D" w:rsidRDefault="001A30D0" w:rsidP="001A30D0">
      <w:pPr>
        <w:spacing w:before="240"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lastRenderedPageBreak/>
        <w:t>(a)</w:t>
      </w:r>
      <w:r w:rsidRPr="00452D8D">
        <w:rPr>
          <w:rFonts w:ascii="Times New Roman" w:hAnsi="Times New Roman" w:cs="Times New Roman"/>
          <w:sz w:val="24"/>
          <w:szCs w:val="18"/>
        </w:rPr>
        <w:tab/>
        <w:t>if the outer limit for giving the statement is on or after 1 January 2018; or</w:t>
      </w:r>
    </w:p>
    <w:p w14:paraId="190FACC6" w14:textId="77777777" w:rsidR="001A30D0" w:rsidRPr="00452D8D" w:rsidRDefault="001A30D0" w:rsidP="001A30D0">
      <w:pPr>
        <w:spacing w:before="240" w:after="0"/>
        <w:ind w:left="1134" w:hanging="567"/>
        <w:contextualSpacing/>
        <w:rPr>
          <w:rFonts w:ascii="Times New Roman" w:hAnsi="Times New Roman" w:cs="Times New Roman"/>
          <w:sz w:val="24"/>
          <w:szCs w:val="18"/>
        </w:rPr>
      </w:pPr>
    </w:p>
    <w:p w14:paraId="0963DA83" w14:textId="77777777" w:rsidR="001A30D0" w:rsidRPr="00452D8D" w:rsidRDefault="001A30D0" w:rsidP="001A30D0">
      <w:pPr>
        <w:spacing w:before="240" w:after="0"/>
        <w:ind w:left="1134" w:hanging="567"/>
        <w:contextualSpacing/>
        <w:rPr>
          <w:rFonts w:ascii="Times New Roman" w:hAnsi="Times New Roman" w:cs="Times New Roman"/>
          <w:sz w:val="24"/>
          <w:szCs w:val="18"/>
        </w:rPr>
      </w:pPr>
      <w:r w:rsidRPr="00452D8D">
        <w:rPr>
          <w:rFonts w:ascii="Times New Roman" w:hAnsi="Times New Roman" w:cs="Times New Roman"/>
          <w:sz w:val="24"/>
          <w:szCs w:val="18"/>
        </w:rPr>
        <w:t>(b)</w:t>
      </w:r>
      <w:r w:rsidRPr="00452D8D">
        <w:rPr>
          <w:rFonts w:ascii="Times New Roman" w:hAnsi="Times New Roman" w:cs="Times New Roman"/>
          <w:sz w:val="24"/>
          <w:szCs w:val="18"/>
        </w:rPr>
        <w:tab/>
        <w:t>if the periodic statement states that this instrument applies to it.</w:t>
      </w:r>
    </w:p>
    <w:p w14:paraId="56C27801" w14:textId="77777777" w:rsidR="001A30D0" w:rsidRPr="00452D8D" w:rsidRDefault="001A30D0" w:rsidP="001A30D0">
      <w:pPr>
        <w:spacing w:after="0"/>
        <w:ind w:left="567" w:hanging="567"/>
        <w:contextualSpacing/>
        <w:rPr>
          <w:rFonts w:ascii="Times New Roman" w:hAnsi="Times New Roman" w:cs="Times New Roman"/>
          <w:sz w:val="24"/>
          <w:szCs w:val="18"/>
        </w:rPr>
      </w:pPr>
    </w:p>
    <w:p w14:paraId="7D82A2D7" w14:textId="77777777" w:rsidR="001A30D0" w:rsidRPr="00452D8D" w:rsidRDefault="001A30D0" w:rsidP="001A30D0">
      <w:pPr>
        <w:spacing w:after="0"/>
        <w:ind w:left="1134" w:right="144" w:hanging="567"/>
        <w:rPr>
          <w:rFonts w:ascii="Times New Roman" w:hAnsi="Times New Roman" w:cs="Times New Roman"/>
          <w:sz w:val="18"/>
          <w:szCs w:val="18"/>
          <w:lang w:val="en-US"/>
        </w:rPr>
      </w:pPr>
      <w:r w:rsidRPr="00452D8D">
        <w:rPr>
          <w:rFonts w:ascii="Times New Roman" w:hAnsi="Times New Roman" w:cs="Times New Roman"/>
          <w:sz w:val="18"/>
          <w:szCs w:val="18"/>
          <w:lang w:val="en-US"/>
        </w:rPr>
        <w:t>Note:</w:t>
      </w:r>
      <w:r w:rsidRPr="00452D8D">
        <w:rPr>
          <w:rFonts w:ascii="Times New Roman" w:hAnsi="Times New Roman" w:cs="Times New Roman"/>
          <w:sz w:val="18"/>
          <w:szCs w:val="18"/>
          <w:lang w:val="en-US"/>
        </w:rPr>
        <w:tab/>
        <w:t>The timing for the giving of certain periodic statements for superannuation products is affected by Subdivision 5.12 of Part 7.9 of, and Part 12 of Schedule 10A to the Regulations.</w:t>
      </w:r>
    </w:p>
    <w:p w14:paraId="17AE0233" w14:textId="77777777" w:rsidR="00A833CC" w:rsidRPr="00452D8D" w:rsidRDefault="00A833CC" w:rsidP="00A833CC">
      <w:pPr>
        <w:spacing w:before="240" w:after="0"/>
        <w:ind w:left="567" w:hanging="567"/>
        <w:contextualSpacing/>
        <w:rPr>
          <w:rFonts w:ascii="Times New Roman" w:hAnsi="Times New Roman" w:cs="Times New Roman"/>
          <w:sz w:val="24"/>
          <w:szCs w:val="18"/>
        </w:rPr>
      </w:pPr>
    </w:p>
    <w:p w14:paraId="09972E2E" w14:textId="77777777" w:rsidR="00A833CC" w:rsidRPr="00452D8D" w:rsidRDefault="00A833CC" w:rsidP="00A833CC">
      <w:pPr>
        <w:spacing w:before="240" w:after="0"/>
        <w:ind w:left="567" w:hanging="567"/>
        <w:contextualSpacing/>
        <w:rPr>
          <w:rFonts w:ascii="Times New Roman" w:hAnsi="Times New Roman" w:cs="Times New Roman"/>
          <w:sz w:val="24"/>
          <w:szCs w:val="18"/>
        </w:rPr>
      </w:pPr>
      <w:r w:rsidRPr="00452D8D">
        <w:rPr>
          <w:rFonts w:ascii="Times New Roman" w:hAnsi="Times New Roman" w:cs="Times New Roman"/>
          <w:sz w:val="24"/>
          <w:szCs w:val="18"/>
        </w:rPr>
        <w:t>10.</w:t>
      </w:r>
      <w:r w:rsidRPr="00452D8D">
        <w:rPr>
          <w:rFonts w:ascii="Times New Roman" w:hAnsi="Times New Roman" w:cs="Times New Roman"/>
          <w:sz w:val="24"/>
          <w:szCs w:val="18"/>
        </w:rPr>
        <w:tab/>
        <w:t xml:space="preserve">Despite paragraph 9, paragraph 5CB applies from the commencement of </w:t>
      </w:r>
      <w:r w:rsidRPr="00452D8D">
        <w:rPr>
          <w:rFonts w:ascii="Times New Roman" w:hAnsi="Times New Roman" w:cs="Times New Roman"/>
          <w:i/>
          <w:sz w:val="24"/>
          <w:szCs w:val="18"/>
        </w:rPr>
        <w:t>ASIC Corporations (Amendment) Instrument 2017/664</w:t>
      </w:r>
      <w:r w:rsidRPr="00452D8D">
        <w:rPr>
          <w:rFonts w:ascii="Times New Roman" w:hAnsi="Times New Roman" w:cs="Times New Roman"/>
          <w:sz w:val="24"/>
          <w:szCs w:val="18"/>
        </w:rPr>
        <w:t xml:space="preserve">. </w:t>
      </w:r>
    </w:p>
    <w:p w14:paraId="07D3516A" w14:textId="77777777" w:rsidR="00A833CC" w:rsidRPr="00452D8D" w:rsidRDefault="00A833CC" w:rsidP="00A833CC">
      <w:pPr>
        <w:spacing w:before="240" w:after="0"/>
        <w:ind w:left="567" w:hanging="567"/>
        <w:contextualSpacing/>
        <w:rPr>
          <w:rFonts w:ascii="Times New Roman" w:hAnsi="Times New Roman" w:cs="Times New Roman"/>
          <w:sz w:val="24"/>
          <w:szCs w:val="18"/>
        </w:rPr>
      </w:pPr>
    </w:p>
    <w:p w14:paraId="50E6F38C" w14:textId="3C71F02A" w:rsidR="00A833CC" w:rsidRPr="00452D8D" w:rsidRDefault="00A833CC" w:rsidP="00452D8D">
      <w:pPr>
        <w:spacing w:before="240" w:after="0"/>
        <w:ind w:left="567" w:hanging="567"/>
        <w:contextualSpacing/>
        <w:rPr>
          <w:rFonts w:ascii="Times New Roman" w:hAnsi="Times New Roman" w:cs="Times New Roman"/>
          <w:b/>
          <w:sz w:val="24"/>
          <w:szCs w:val="18"/>
        </w:rPr>
      </w:pPr>
      <w:r w:rsidRPr="00452D8D">
        <w:rPr>
          <w:rFonts w:ascii="Times New Roman" w:hAnsi="Times New Roman" w:cs="Times New Roman"/>
          <w:sz w:val="24"/>
          <w:szCs w:val="18"/>
        </w:rPr>
        <w:t>11.</w:t>
      </w:r>
      <w:r w:rsidRPr="00452D8D">
        <w:rPr>
          <w:rFonts w:ascii="Times New Roman" w:hAnsi="Times New Roman" w:cs="Times New Roman"/>
          <w:sz w:val="24"/>
          <w:szCs w:val="18"/>
        </w:rPr>
        <w:tab/>
      </w:r>
      <w:r w:rsidR="004E503F">
        <w:rPr>
          <w:rFonts w:ascii="Times New Roman" w:hAnsi="Times New Roman" w:cs="Times New Roman"/>
          <w:sz w:val="24"/>
        </w:rPr>
        <w:t>Before 30 September 20</w:t>
      </w:r>
      <w:r w:rsidR="00595802">
        <w:rPr>
          <w:rFonts w:ascii="Times New Roman" w:hAnsi="Times New Roman" w:cs="Times New Roman"/>
          <w:sz w:val="24"/>
        </w:rPr>
        <w:t>20</w:t>
      </w:r>
      <w:r w:rsidRPr="00452D8D">
        <w:rPr>
          <w:rFonts w:ascii="Times New Roman" w:hAnsi="Times New Roman" w:cs="Times New Roman"/>
          <w:sz w:val="24"/>
        </w:rPr>
        <w:t xml:space="preserve">, if a Product Disclosure Statement for a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or investment option includes separate details of the property operating costs (within the meaning of the notional definition of </w:t>
      </w:r>
      <w:r w:rsidRPr="00452D8D">
        <w:rPr>
          <w:rFonts w:ascii="Times New Roman" w:hAnsi="Times New Roman" w:cs="Times New Roman"/>
          <w:b/>
          <w:i/>
          <w:color w:val="000000"/>
          <w:sz w:val="24"/>
        </w:rPr>
        <w:t>property operating costs</w:t>
      </w:r>
      <w:r w:rsidRPr="00452D8D">
        <w:rPr>
          <w:rFonts w:ascii="Times New Roman" w:hAnsi="Times New Roman" w:cs="Times New Roman"/>
          <w:sz w:val="24"/>
        </w:rPr>
        <w:t xml:space="preserve"> inserted by sub-subparagraph 6(a)(</w:t>
      </w:r>
      <w:proofErr w:type="spellStart"/>
      <w:r w:rsidRPr="00452D8D">
        <w:rPr>
          <w:rFonts w:ascii="Times New Roman" w:hAnsi="Times New Roman" w:cs="Times New Roman"/>
          <w:sz w:val="24"/>
        </w:rPr>
        <w:t>i</w:t>
      </w:r>
      <w:r w:rsidR="00C2215C">
        <w:rPr>
          <w:rFonts w:ascii="Times New Roman" w:hAnsi="Times New Roman" w:cs="Times New Roman"/>
          <w:sz w:val="24"/>
        </w:rPr>
        <w:t>i</w:t>
      </w:r>
      <w:r w:rsidRPr="00452D8D">
        <w:rPr>
          <w:rFonts w:ascii="Times New Roman" w:hAnsi="Times New Roman" w:cs="Times New Roman"/>
          <w:sz w:val="24"/>
        </w:rPr>
        <w:t>b</w:t>
      </w:r>
      <w:proofErr w:type="spellEnd"/>
      <w:r w:rsidRPr="00452D8D">
        <w:rPr>
          <w:rFonts w:ascii="Times New Roman" w:hAnsi="Times New Roman" w:cs="Times New Roman"/>
          <w:sz w:val="24"/>
        </w:rPr>
        <w:t xml:space="preserve">)) under Additional Explanation of Fees and Costs for the </w:t>
      </w:r>
      <w:proofErr w:type="spellStart"/>
      <w:r w:rsidRPr="00452D8D">
        <w:rPr>
          <w:rFonts w:ascii="Times New Roman" w:hAnsi="Times New Roman" w:cs="Times New Roman"/>
          <w:sz w:val="24"/>
        </w:rPr>
        <w:t>MySuper</w:t>
      </w:r>
      <w:proofErr w:type="spellEnd"/>
      <w:r w:rsidRPr="00452D8D">
        <w:rPr>
          <w:rFonts w:ascii="Times New Roman" w:hAnsi="Times New Roman" w:cs="Times New Roman"/>
          <w:sz w:val="24"/>
        </w:rPr>
        <w:t xml:space="preserve"> product or investment option, sub-subparagraph 6(f)(</w:t>
      </w:r>
      <w:proofErr w:type="spellStart"/>
      <w:r w:rsidRPr="00452D8D">
        <w:rPr>
          <w:rFonts w:ascii="Times New Roman" w:hAnsi="Times New Roman" w:cs="Times New Roman"/>
          <w:sz w:val="24"/>
        </w:rPr>
        <w:t>ib</w:t>
      </w:r>
      <w:proofErr w:type="spellEnd"/>
      <w:r w:rsidRPr="00452D8D">
        <w:rPr>
          <w:rFonts w:ascii="Times New Roman" w:hAnsi="Times New Roman" w:cs="Times New Roman"/>
          <w:sz w:val="24"/>
        </w:rPr>
        <w:t xml:space="preserve">) applies as if the notional definition of </w:t>
      </w:r>
      <w:r w:rsidRPr="00452D8D">
        <w:rPr>
          <w:rFonts w:ascii="Times New Roman" w:hAnsi="Times New Roman" w:cs="Times New Roman"/>
          <w:b/>
          <w:i/>
          <w:color w:val="000000"/>
          <w:sz w:val="24"/>
        </w:rPr>
        <w:t>investment fee</w:t>
      </w:r>
      <w:r w:rsidRPr="00452D8D">
        <w:rPr>
          <w:rFonts w:ascii="Times New Roman" w:hAnsi="Times New Roman" w:cs="Times New Roman"/>
          <w:sz w:val="24"/>
        </w:rPr>
        <w:t xml:space="preserve"> were amended by, at the end of subparagraph (iii) of the definition, omitting “</w:t>
      </w:r>
      <w:r w:rsidR="00C2215C">
        <w:rPr>
          <w:rFonts w:ascii="Times New Roman" w:hAnsi="Times New Roman" w:cs="Times New Roman"/>
          <w:sz w:val="24"/>
        </w:rPr>
        <w:t>fee</w:t>
      </w:r>
      <w:r w:rsidRPr="00452D8D">
        <w:rPr>
          <w:rFonts w:ascii="Times New Roman" w:hAnsi="Times New Roman" w:cs="Times New Roman"/>
          <w:sz w:val="24"/>
        </w:rPr>
        <w:t>.” and substituting:</w:t>
      </w:r>
    </w:p>
    <w:p w14:paraId="471A29DC" w14:textId="77777777" w:rsidR="00A833CC" w:rsidRPr="00452D8D" w:rsidRDefault="00A833CC" w:rsidP="00452D8D">
      <w:pPr>
        <w:pStyle w:val="LI-BodyTextNumbered"/>
        <w:ind w:left="1362" w:hanging="795"/>
        <w:rPr>
          <w:rFonts w:ascii="Times New Roman" w:hAnsi="Times New Roman" w:cs="Times New Roman"/>
          <w:sz w:val="24"/>
        </w:rPr>
      </w:pPr>
      <w:r w:rsidRPr="00452D8D">
        <w:rPr>
          <w:rFonts w:ascii="Times New Roman" w:hAnsi="Times New Roman" w:cs="Times New Roman"/>
          <w:sz w:val="24"/>
        </w:rPr>
        <w:t>“</w:t>
      </w:r>
      <w:r w:rsidR="00C2215C">
        <w:rPr>
          <w:rFonts w:ascii="Times New Roman" w:hAnsi="Times New Roman" w:cs="Times New Roman"/>
          <w:sz w:val="24"/>
        </w:rPr>
        <w:t>fee</w:t>
      </w:r>
      <w:r w:rsidRPr="00452D8D">
        <w:rPr>
          <w:rFonts w:ascii="Times New Roman" w:hAnsi="Times New Roman" w:cs="Times New Roman"/>
          <w:sz w:val="24"/>
        </w:rPr>
        <w:t>;</w:t>
      </w:r>
    </w:p>
    <w:p w14:paraId="51C4BB41" w14:textId="2DDFC2D9" w:rsidR="00A833CC" w:rsidRDefault="00A833CC" w:rsidP="00452D8D">
      <w:pPr>
        <w:pStyle w:val="LI-BodyTextNumbered"/>
        <w:ind w:left="1362" w:hanging="795"/>
        <w:rPr>
          <w:rFonts w:ascii="Times New Roman" w:hAnsi="Times New Roman" w:cs="Times New Roman"/>
          <w:sz w:val="24"/>
        </w:rPr>
      </w:pPr>
      <w:r w:rsidRPr="00452D8D">
        <w:rPr>
          <w:rFonts w:ascii="Times New Roman" w:hAnsi="Times New Roman" w:cs="Times New Roman"/>
          <w:sz w:val="24"/>
        </w:rPr>
        <w:t>but does not include property operating costs.”.</w:t>
      </w:r>
    </w:p>
    <w:p w14:paraId="6CCCCD23" w14:textId="5D94CDE8" w:rsidR="00816E59" w:rsidRPr="00816E59" w:rsidRDefault="00816E59" w:rsidP="00AA5EEC">
      <w:pPr>
        <w:pStyle w:val="LI-BodyTextNumbered"/>
        <w:ind w:left="0" w:firstLine="0"/>
        <w:rPr>
          <w:rFonts w:ascii="Times New Roman" w:hAnsi="Times New Roman" w:cs="Times New Roman"/>
          <w:sz w:val="24"/>
          <w:lang w:val="en-US"/>
        </w:rPr>
      </w:pPr>
      <w:r w:rsidRPr="00816E59">
        <w:rPr>
          <w:rFonts w:ascii="Times New Roman" w:hAnsi="Times New Roman" w:cs="Times New Roman"/>
          <w:i/>
          <w:iCs/>
          <w:sz w:val="24"/>
        </w:rPr>
        <w:t>Product Disclosure Statements</w:t>
      </w:r>
    </w:p>
    <w:p w14:paraId="1FBECC67" w14:textId="77777777" w:rsidR="00D37AF6" w:rsidRPr="00D37AF6" w:rsidRDefault="00D37AF6" w:rsidP="00D37AF6">
      <w:pPr>
        <w:spacing w:before="240" w:after="0" w:line="240" w:lineRule="auto"/>
        <w:ind w:left="709" w:hanging="567"/>
        <w:rPr>
          <w:rFonts w:ascii="Times New Roman" w:eastAsia="Times New Roman" w:hAnsi="Times New Roman" w:cs="Times New Roman"/>
          <w:sz w:val="24"/>
          <w:szCs w:val="24"/>
          <w:lang w:eastAsia="en-AU"/>
        </w:rPr>
      </w:pPr>
      <w:r w:rsidRPr="00D37AF6">
        <w:rPr>
          <w:rFonts w:ascii="Times New Roman" w:eastAsia="Times New Roman" w:hAnsi="Times New Roman" w:cs="Times New Roman"/>
          <w:sz w:val="24"/>
          <w:szCs w:val="24"/>
          <w:lang w:eastAsia="en-AU"/>
        </w:rPr>
        <w:t>12.</w:t>
      </w:r>
      <w:r w:rsidRPr="00D37AF6">
        <w:rPr>
          <w:rFonts w:ascii="Times New Roman" w:eastAsia="Times New Roman" w:hAnsi="Times New Roman" w:cs="Times New Roman"/>
          <w:sz w:val="24"/>
          <w:szCs w:val="24"/>
          <w:lang w:eastAsia="en-AU"/>
        </w:rPr>
        <w:tab/>
        <w:t>This instrument does not apply to Product Disclosure Statements given on or after 30 September 2022.</w:t>
      </w:r>
    </w:p>
    <w:p w14:paraId="75B44BB4" w14:textId="77777777" w:rsidR="00D37AF6" w:rsidRPr="00D37AF6" w:rsidRDefault="00D37AF6" w:rsidP="00D37AF6">
      <w:pPr>
        <w:spacing w:before="240" w:after="0" w:line="240" w:lineRule="auto"/>
        <w:ind w:left="1276" w:hanging="567"/>
        <w:rPr>
          <w:rFonts w:ascii="Times New Roman" w:eastAsia="Times New Roman" w:hAnsi="Times New Roman" w:cs="Times New Roman"/>
          <w:sz w:val="24"/>
          <w:szCs w:val="24"/>
          <w:lang w:eastAsia="en-AU"/>
        </w:rPr>
      </w:pPr>
      <w:r w:rsidRPr="00D37AF6">
        <w:rPr>
          <w:rFonts w:ascii="Times New Roman" w:eastAsia="Times New Roman" w:hAnsi="Times New Roman" w:cs="Times New Roman"/>
          <w:sz w:val="20"/>
          <w:szCs w:val="20"/>
          <w:lang w:eastAsia="en-AU"/>
        </w:rPr>
        <w:t>Note:</w:t>
      </w:r>
      <w:r w:rsidRPr="00D37AF6">
        <w:rPr>
          <w:rFonts w:ascii="Times New Roman" w:eastAsia="Times New Roman" w:hAnsi="Times New Roman" w:cs="Times New Roman"/>
          <w:sz w:val="20"/>
          <w:szCs w:val="20"/>
          <w:lang w:eastAsia="en-AU"/>
        </w:rPr>
        <w:tab/>
      </w:r>
      <w:r w:rsidRPr="00D37AF6">
        <w:rPr>
          <w:rFonts w:ascii="Times New Roman" w:eastAsia="Times New Roman" w:hAnsi="Times New Roman" w:cs="Times New Roman"/>
          <w:i/>
          <w:sz w:val="20"/>
          <w:szCs w:val="20"/>
          <w:lang w:eastAsia="en-AU"/>
        </w:rPr>
        <w:t xml:space="preserve">ASIC Corporations (Disclosure of Fees and Costs) Instrument 2019/1070 </w:t>
      </w:r>
      <w:r w:rsidRPr="00D37AF6">
        <w:rPr>
          <w:rFonts w:ascii="Times New Roman" w:eastAsia="Times New Roman" w:hAnsi="Times New Roman" w:cs="Times New Roman"/>
          <w:sz w:val="20"/>
          <w:szCs w:val="20"/>
          <w:lang w:eastAsia="en-AU"/>
        </w:rPr>
        <w:t xml:space="preserve">applies to Product Disclosure Statements </w:t>
      </w:r>
      <w:bookmarkStart w:id="2" w:name="_Hlk36741603"/>
      <w:r w:rsidRPr="00D37AF6">
        <w:rPr>
          <w:rFonts w:ascii="Times New Roman" w:eastAsia="Times New Roman" w:hAnsi="Times New Roman" w:cs="Times New Roman"/>
          <w:sz w:val="20"/>
          <w:szCs w:val="20"/>
          <w:lang w:eastAsia="en-AU"/>
        </w:rPr>
        <w:t>given on or after 30 September 2022.</w:t>
      </w:r>
      <w:bookmarkEnd w:id="2"/>
    </w:p>
    <w:p w14:paraId="20C932C0" w14:textId="7C6F14B3" w:rsidR="00D37AF6" w:rsidRDefault="00D37AF6" w:rsidP="00D37AF6">
      <w:pPr>
        <w:spacing w:before="240" w:after="0" w:line="240" w:lineRule="auto"/>
        <w:ind w:left="709" w:hanging="567"/>
        <w:rPr>
          <w:rFonts w:ascii="Times New Roman" w:eastAsia="Times New Roman" w:hAnsi="Times New Roman" w:cs="Times New Roman"/>
          <w:sz w:val="24"/>
          <w:szCs w:val="24"/>
          <w:lang w:val="en-US" w:eastAsia="en-AU"/>
        </w:rPr>
      </w:pPr>
      <w:r w:rsidRPr="00D37AF6">
        <w:rPr>
          <w:rFonts w:ascii="Times New Roman" w:eastAsia="Times New Roman" w:hAnsi="Times New Roman" w:cs="Times New Roman"/>
          <w:sz w:val="24"/>
          <w:szCs w:val="24"/>
          <w:lang w:val="en-US" w:eastAsia="en-AU"/>
        </w:rPr>
        <w:t>12A.</w:t>
      </w:r>
      <w:r w:rsidRPr="00D37AF6">
        <w:rPr>
          <w:rFonts w:ascii="Times New Roman" w:eastAsia="Times New Roman" w:hAnsi="Times New Roman" w:cs="Times New Roman"/>
          <w:sz w:val="24"/>
          <w:szCs w:val="24"/>
          <w:lang w:val="en-US" w:eastAsia="en-AU"/>
        </w:rPr>
        <w:tab/>
        <w:t>This instrument also does not apply to a Product Disclosure Statement which is covered by an election made under section 7 of </w:t>
      </w:r>
      <w:r w:rsidRPr="00D37AF6">
        <w:rPr>
          <w:rFonts w:ascii="Times New Roman" w:eastAsia="Times New Roman" w:hAnsi="Times New Roman" w:cs="Times New Roman"/>
          <w:i/>
          <w:iCs/>
          <w:sz w:val="24"/>
          <w:szCs w:val="24"/>
          <w:lang w:val="en-US" w:eastAsia="en-AU"/>
        </w:rPr>
        <w:t>ASIC Corporations (Disclosure of Fees and Costs) Instrument 2019/1070</w:t>
      </w:r>
      <w:r w:rsidRPr="00D37AF6">
        <w:rPr>
          <w:rFonts w:ascii="Times New Roman" w:eastAsia="Times New Roman" w:hAnsi="Times New Roman" w:cs="Times New Roman"/>
          <w:sz w:val="24"/>
          <w:szCs w:val="24"/>
          <w:lang w:val="en-US" w:eastAsia="en-AU"/>
        </w:rPr>
        <w:t>.</w:t>
      </w:r>
    </w:p>
    <w:p w14:paraId="3B0A810C" w14:textId="77777777" w:rsidR="005E1063" w:rsidRPr="005E1063" w:rsidRDefault="005E1063" w:rsidP="005E1063">
      <w:pPr>
        <w:spacing w:before="240" w:after="0" w:line="240" w:lineRule="auto"/>
        <w:ind w:left="709" w:hanging="567"/>
        <w:rPr>
          <w:rFonts w:ascii="Times New Roman" w:eastAsia="Times New Roman" w:hAnsi="Times New Roman" w:cs="Times New Roman"/>
          <w:sz w:val="24"/>
          <w:szCs w:val="24"/>
          <w:lang w:val="en-US" w:eastAsia="en-AU"/>
        </w:rPr>
      </w:pPr>
      <w:r w:rsidRPr="005E1063">
        <w:rPr>
          <w:rFonts w:ascii="Times New Roman" w:eastAsia="Times New Roman" w:hAnsi="Times New Roman" w:cs="Times New Roman"/>
          <w:sz w:val="24"/>
          <w:szCs w:val="24"/>
          <w:lang w:val="en-US" w:eastAsia="en-AU"/>
        </w:rPr>
        <w:t>12B.</w:t>
      </w:r>
      <w:r w:rsidRPr="005E1063">
        <w:rPr>
          <w:rFonts w:ascii="Times New Roman" w:eastAsia="Times New Roman" w:hAnsi="Times New Roman" w:cs="Times New Roman"/>
          <w:sz w:val="24"/>
          <w:szCs w:val="24"/>
          <w:lang w:val="en-US" w:eastAsia="en-AU"/>
        </w:rPr>
        <w:tab/>
        <w:t>This instrument also does not apply to a Product Disclosure Statement covered by section 8C of </w:t>
      </w:r>
      <w:r w:rsidRPr="005E1063">
        <w:rPr>
          <w:rFonts w:ascii="Times New Roman" w:eastAsia="Times New Roman" w:hAnsi="Times New Roman" w:cs="Times New Roman"/>
          <w:i/>
          <w:iCs/>
          <w:sz w:val="24"/>
          <w:szCs w:val="24"/>
          <w:lang w:val="en-US" w:eastAsia="en-AU"/>
        </w:rPr>
        <w:t>ASIC Corporations (Time-sharing Schemes) Instrument 2017/272</w:t>
      </w:r>
      <w:r w:rsidRPr="005E1063">
        <w:rPr>
          <w:rFonts w:ascii="Times New Roman" w:eastAsia="Times New Roman" w:hAnsi="Times New Roman" w:cs="Times New Roman"/>
          <w:sz w:val="24"/>
          <w:szCs w:val="24"/>
          <w:lang w:val="en-US" w:eastAsia="en-AU"/>
        </w:rPr>
        <w:t>.</w:t>
      </w:r>
    </w:p>
    <w:p w14:paraId="4C7A1CEC" w14:textId="77777777" w:rsidR="005E1063" w:rsidRPr="00D37AF6" w:rsidRDefault="005E1063" w:rsidP="00D37AF6">
      <w:pPr>
        <w:spacing w:before="240" w:after="0" w:line="240" w:lineRule="auto"/>
        <w:ind w:left="709" w:hanging="567"/>
        <w:rPr>
          <w:rFonts w:ascii="Times New Roman" w:eastAsia="Times New Roman" w:hAnsi="Times New Roman" w:cs="Times New Roman"/>
          <w:sz w:val="24"/>
          <w:szCs w:val="24"/>
          <w:lang w:val="en-US" w:eastAsia="en-AU"/>
        </w:rPr>
      </w:pPr>
    </w:p>
    <w:p w14:paraId="35FA28D9" w14:textId="1F411B3E" w:rsidR="00816E59" w:rsidRPr="00AA5EEC" w:rsidRDefault="00816E59" w:rsidP="00AA5EEC">
      <w:pPr>
        <w:pStyle w:val="LI-BodyTextNumbered"/>
        <w:rPr>
          <w:rFonts w:ascii="Times New Roman" w:hAnsi="Times New Roman" w:cs="Times New Roman"/>
          <w:sz w:val="18"/>
          <w:szCs w:val="18"/>
          <w:lang w:val="en-US"/>
        </w:rPr>
      </w:pPr>
      <w:r w:rsidRPr="00AA5EEC">
        <w:rPr>
          <w:rFonts w:ascii="Times New Roman" w:hAnsi="Times New Roman" w:cs="Times New Roman"/>
          <w:sz w:val="18"/>
          <w:szCs w:val="18"/>
        </w:rPr>
        <w:br w:type="page"/>
      </w:r>
    </w:p>
    <w:p w14:paraId="58FDDA4F" w14:textId="77777777" w:rsidR="00816E59" w:rsidRPr="00816E59" w:rsidRDefault="00816E59" w:rsidP="00AA5EEC">
      <w:pPr>
        <w:pStyle w:val="LI-BodyTextNumbered"/>
        <w:ind w:left="0" w:firstLine="0"/>
        <w:rPr>
          <w:rFonts w:ascii="Times New Roman" w:hAnsi="Times New Roman" w:cs="Times New Roman"/>
          <w:sz w:val="24"/>
          <w:lang w:val="en-US"/>
        </w:rPr>
      </w:pPr>
      <w:r w:rsidRPr="00816E59">
        <w:rPr>
          <w:rFonts w:ascii="Times New Roman" w:hAnsi="Times New Roman" w:cs="Times New Roman"/>
          <w:i/>
          <w:iCs/>
          <w:sz w:val="24"/>
        </w:rPr>
        <w:lastRenderedPageBreak/>
        <w:t>Periodic statements</w:t>
      </w:r>
    </w:p>
    <w:p w14:paraId="1DACDB7F" w14:textId="1FB86380" w:rsidR="00816E59" w:rsidRPr="00816E59" w:rsidRDefault="00816E59" w:rsidP="00816E59">
      <w:pPr>
        <w:pStyle w:val="LI-BodyTextNumbered"/>
        <w:ind w:left="567"/>
        <w:rPr>
          <w:rFonts w:ascii="Times New Roman" w:hAnsi="Times New Roman" w:cs="Times New Roman"/>
          <w:sz w:val="24"/>
          <w:lang w:val="en-US"/>
        </w:rPr>
      </w:pPr>
      <w:r w:rsidRPr="00816E59">
        <w:rPr>
          <w:rFonts w:ascii="Times New Roman" w:hAnsi="Times New Roman" w:cs="Times New Roman"/>
          <w:sz w:val="24"/>
        </w:rPr>
        <w:t xml:space="preserve">13.     </w:t>
      </w:r>
      <w:bookmarkStart w:id="3" w:name="_Hlk23162768"/>
      <w:r w:rsidRPr="00816E59">
        <w:rPr>
          <w:rFonts w:ascii="Times New Roman" w:hAnsi="Times New Roman" w:cs="Times New Roman"/>
          <w:sz w:val="24"/>
        </w:rPr>
        <w:t>This instrument does not apply to periodic statements for reporting periods commencing on or after 1 July 2021.</w:t>
      </w:r>
      <w:bookmarkEnd w:id="3"/>
    </w:p>
    <w:p w14:paraId="0B6D65F7" w14:textId="3F6CF846" w:rsidR="00816E59" w:rsidRPr="00AA5EEC" w:rsidRDefault="00816E59" w:rsidP="00816E59">
      <w:pPr>
        <w:pStyle w:val="LI-BodyTextNumbered"/>
        <w:rPr>
          <w:rFonts w:ascii="Times New Roman" w:hAnsi="Times New Roman" w:cs="Times New Roman"/>
          <w:sz w:val="18"/>
          <w:szCs w:val="18"/>
          <w:lang w:val="en-US"/>
        </w:rPr>
      </w:pPr>
      <w:r w:rsidRPr="00AA5EEC">
        <w:rPr>
          <w:rFonts w:ascii="Times New Roman" w:hAnsi="Times New Roman" w:cs="Times New Roman"/>
          <w:sz w:val="18"/>
          <w:szCs w:val="18"/>
        </w:rPr>
        <w:t xml:space="preserve">Note:    Periodic statements for reporting periods commencing on or after 1 July 2021 must comply with </w:t>
      </w:r>
      <w:r w:rsidRPr="00AA5EEC">
        <w:rPr>
          <w:rFonts w:ascii="Times New Roman" w:hAnsi="Times New Roman" w:cs="Times New Roman"/>
          <w:i/>
          <w:iCs/>
          <w:sz w:val="18"/>
          <w:szCs w:val="18"/>
        </w:rPr>
        <w:t>ASIC Corporations (Disclosure of Fees and Costs) Instrument 2019/1070</w:t>
      </w:r>
      <w:r w:rsidRPr="00AA5EEC">
        <w:rPr>
          <w:rFonts w:ascii="Times New Roman" w:hAnsi="Times New Roman" w:cs="Times New Roman"/>
          <w:sz w:val="18"/>
          <w:szCs w:val="18"/>
        </w:rPr>
        <w:t>.</w:t>
      </w:r>
    </w:p>
    <w:p w14:paraId="7EED6B80" w14:textId="77777777" w:rsidR="00816E59" w:rsidRPr="00816E59" w:rsidRDefault="00816E59" w:rsidP="00816E59">
      <w:pPr>
        <w:pStyle w:val="LI-BodyTextNumbered"/>
        <w:ind w:left="567"/>
        <w:rPr>
          <w:rFonts w:ascii="Times New Roman" w:hAnsi="Times New Roman" w:cs="Times New Roman"/>
          <w:sz w:val="24"/>
          <w:lang w:val="en-US"/>
        </w:rPr>
      </w:pPr>
      <w:r w:rsidRPr="00816E59">
        <w:rPr>
          <w:rFonts w:ascii="Times New Roman" w:hAnsi="Times New Roman" w:cs="Times New Roman"/>
          <w:sz w:val="24"/>
        </w:rPr>
        <w:t>14.     This instrument also does not apply to:</w:t>
      </w:r>
    </w:p>
    <w:p w14:paraId="7542053C" w14:textId="77777777" w:rsidR="00816E59" w:rsidRPr="00816E59" w:rsidRDefault="00816E59" w:rsidP="00AA5EEC">
      <w:pPr>
        <w:pStyle w:val="LI-BodyTextNumbered"/>
        <w:rPr>
          <w:rFonts w:ascii="Times New Roman" w:hAnsi="Times New Roman" w:cs="Times New Roman"/>
          <w:sz w:val="24"/>
          <w:lang w:val="en-US"/>
        </w:rPr>
      </w:pPr>
      <w:r w:rsidRPr="00816E59">
        <w:rPr>
          <w:rFonts w:ascii="Times New Roman" w:hAnsi="Times New Roman" w:cs="Times New Roman"/>
          <w:sz w:val="24"/>
        </w:rPr>
        <w:t xml:space="preserve">(a)     a periodic statement for a reporting period that commences on or after 1 July 2020 which is covered by an election made under section 8 of </w:t>
      </w:r>
      <w:r w:rsidRPr="00816E59">
        <w:rPr>
          <w:rFonts w:ascii="Times New Roman" w:hAnsi="Times New Roman" w:cs="Times New Roman"/>
          <w:i/>
          <w:iCs/>
          <w:sz w:val="24"/>
        </w:rPr>
        <w:t>ASIC Corporations (Disclosure of Fees and Costs) Instrument 2019/1070</w:t>
      </w:r>
      <w:r w:rsidRPr="00816E59">
        <w:rPr>
          <w:rFonts w:ascii="Times New Roman" w:hAnsi="Times New Roman" w:cs="Times New Roman"/>
          <w:sz w:val="24"/>
        </w:rPr>
        <w:t>;</w:t>
      </w:r>
    </w:p>
    <w:p w14:paraId="00CFB2D5" w14:textId="5C8C55E2" w:rsidR="00816E59" w:rsidRDefault="00816E59" w:rsidP="00AA5EEC">
      <w:pPr>
        <w:pStyle w:val="LI-BodyTextNumbered"/>
        <w:rPr>
          <w:rFonts w:ascii="Times New Roman" w:hAnsi="Times New Roman" w:cs="Times New Roman"/>
          <w:sz w:val="24"/>
        </w:rPr>
      </w:pPr>
      <w:r w:rsidRPr="00816E59">
        <w:rPr>
          <w:rFonts w:ascii="Times New Roman" w:hAnsi="Times New Roman" w:cs="Times New Roman"/>
          <w:sz w:val="24"/>
        </w:rPr>
        <w:t>(b)     a periodic statement for a reporting period that ends on a day (the </w:t>
      </w:r>
      <w:r w:rsidRPr="00816E59">
        <w:rPr>
          <w:rFonts w:ascii="Times New Roman" w:hAnsi="Times New Roman" w:cs="Times New Roman"/>
          <w:b/>
          <w:bCs/>
          <w:i/>
          <w:iCs/>
          <w:sz w:val="24"/>
        </w:rPr>
        <w:t>exit date</w:t>
      </w:r>
      <w:r w:rsidRPr="00816E59">
        <w:rPr>
          <w:rFonts w:ascii="Times New Roman" w:hAnsi="Times New Roman" w:cs="Times New Roman"/>
          <w:sz w:val="24"/>
        </w:rPr>
        <w:t xml:space="preserve">) that is on or after 1 July 2020 if the reporting period ends on the exit date because the holder of the product ceased to hold the product on the exit date, which is covered by an election made under section 8 of </w:t>
      </w:r>
      <w:r w:rsidRPr="00816E59">
        <w:rPr>
          <w:rFonts w:ascii="Times New Roman" w:hAnsi="Times New Roman" w:cs="Times New Roman"/>
          <w:i/>
          <w:iCs/>
          <w:sz w:val="24"/>
        </w:rPr>
        <w:t>ASIC Corporations (Disclosure of Fees and Costs) Instrument 2019/1070</w:t>
      </w:r>
      <w:r w:rsidRPr="00816E59">
        <w:rPr>
          <w:rFonts w:ascii="Times New Roman" w:hAnsi="Times New Roman" w:cs="Times New Roman"/>
          <w:sz w:val="24"/>
        </w:rPr>
        <w:t>.</w:t>
      </w:r>
    </w:p>
    <w:p w14:paraId="7653C379" w14:textId="77777777" w:rsidR="005E1063" w:rsidRPr="005E1063" w:rsidRDefault="005E1063" w:rsidP="005E1063">
      <w:pPr>
        <w:pStyle w:val="LI-BodyTextNumbered"/>
        <w:ind w:left="567"/>
        <w:rPr>
          <w:rFonts w:ascii="Times New Roman" w:hAnsi="Times New Roman" w:cs="Times New Roman"/>
          <w:sz w:val="24"/>
          <w:lang w:val="en-US"/>
        </w:rPr>
      </w:pPr>
      <w:r w:rsidRPr="005E1063">
        <w:rPr>
          <w:rFonts w:ascii="Times New Roman" w:hAnsi="Times New Roman" w:cs="Times New Roman"/>
          <w:sz w:val="24"/>
          <w:lang w:val="en-US"/>
        </w:rPr>
        <w:t>14A.</w:t>
      </w:r>
      <w:r w:rsidRPr="005E1063">
        <w:rPr>
          <w:rFonts w:ascii="Times New Roman" w:hAnsi="Times New Roman" w:cs="Times New Roman"/>
          <w:sz w:val="24"/>
          <w:lang w:val="en-US"/>
        </w:rPr>
        <w:tab/>
        <w:t>This instrument also does not apply to a periodic statement covered by section 8C of </w:t>
      </w:r>
      <w:r w:rsidRPr="005E1063">
        <w:rPr>
          <w:rFonts w:ascii="Times New Roman" w:hAnsi="Times New Roman" w:cs="Times New Roman"/>
          <w:i/>
          <w:iCs/>
          <w:sz w:val="24"/>
          <w:lang w:val="en-US"/>
        </w:rPr>
        <w:t>ASIC Corporations (Time-sharing Schemes) Instrument 2017/272</w:t>
      </w:r>
      <w:r w:rsidRPr="005E1063">
        <w:rPr>
          <w:rFonts w:ascii="Times New Roman" w:hAnsi="Times New Roman" w:cs="Times New Roman"/>
          <w:sz w:val="24"/>
          <w:lang w:val="en-US"/>
        </w:rPr>
        <w:t>.</w:t>
      </w:r>
    </w:p>
    <w:p w14:paraId="0EC79B1E" w14:textId="77777777" w:rsidR="005E1063" w:rsidRPr="00816E59" w:rsidRDefault="005E1063" w:rsidP="00AA5EEC">
      <w:pPr>
        <w:pStyle w:val="LI-BodyTextNumbered"/>
        <w:rPr>
          <w:rFonts w:ascii="Times New Roman" w:hAnsi="Times New Roman" w:cs="Times New Roman"/>
          <w:sz w:val="24"/>
          <w:lang w:val="en-US"/>
        </w:rPr>
      </w:pPr>
    </w:p>
    <w:p w14:paraId="6E01BAB1" w14:textId="50D4CFC2" w:rsidR="00816E59" w:rsidRPr="00452D8D" w:rsidRDefault="00816E59" w:rsidP="00AA5EEC">
      <w:pPr>
        <w:pStyle w:val="LI-BodyTextNumbered"/>
        <w:ind w:left="0" w:firstLine="0"/>
        <w:rPr>
          <w:rFonts w:ascii="Times New Roman" w:hAnsi="Times New Roman" w:cs="Times New Roman"/>
          <w:sz w:val="24"/>
        </w:rPr>
      </w:pPr>
    </w:p>
    <w:p w14:paraId="0350A0C2" w14:textId="77777777" w:rsidR="007E358E" w:rsidRPr="00452D8D" w:rsidRDefault="007E358E" w:rsidP="007E358E">
      <w:pPr>
        <w:ind w:left="720" w:hanging="720"/>
        <w:rPr>
          <w:rFonts w:ascii="Times New Roman" w:hAnsi="Times New Roman" w:cs="Times New Roman"/>
        </w:rPr>
      </w:pPr>
    </w:p>
    <w:p w14:paraId="4733D46B" w14:textId="77777777" w:rsidR="001B3D09" w:rsidRPr="00452D8D" w:rsidRDefault="001B3D09" w:rsidP="001B3D09">
      <w:pPr>
        <w:pStyle w:val="aNotetoclassorder"/>
        <w:rPr>
          <w:rFonts w:ascii="Times New Roman" w:hAnsi="Times New Roman" w:cs="Times New Roman"/>
        </w:rPr>
      </w:pPr>
      <w:r w:rsidRPr="00452D8D">
        <w:rPr>
          <w:rFonts w:ascii="Times New Roman" w:hAnsi="Times New Roman" w:cs="Times New Roman"/>
        </w:rPr>
        <w:lastRenderedPageBreak/>
        <w:t xml:space="preserve">Notes to ASIC Class Order [CO </w:t>
      </w:r>
      <w:r w:rsidR="00E9465F" w:rsidRPr="00452D8D">
        <w:rPr>
          <w:rFonts w:ascii="Times New Roman" w:hAnsi="Times New Roman" w:cs="Times New Roman"/>
        </w:rPr>
        <w:t>14/1252</w:t>
      </w:r>
      <w:r w:rsidRPr="00452D8D">
        <w:rPr>
          <w:rFonts w:ascii="Times New Roman" w:hAnsi="Times New Roman" w:cs="Times New Roman"/>
        </w:rPr>
        <w:t>]</w:t>
      </w:r>
    </w:p>
    <w:p w14:paraId="2A68F194" w14:textId="77777777" w:rsidR="001B3D09" w:rsidRPr="00452D8D" w:rsidRDefault="001B3D09" w:rsidP="001B3D09">
      <w:pPr>
        <w:pStyle w:val="aNote1"/>
        <w:rPr>
          <w:rFonts w:ascii="Times New Roman" w:hAnsi="Times New Roman" w:cs="Times New Roman"/>
          <w:sz w:val="24"/>
          <w:szCs w:val="24"/>
        </w:rPr>
      </w:pPr>
      <w:r w:rsidRPr="00452D8D">
        <w:rPr>
          <w:rFonts w:ascii="Times New Roman" w:hAnsi="Times New Roman" w:cs="Times New Roman"/>
          <w:sz w:val="24"/>
          <w:szCs w:val="24"/>
        </w:rPr>
        <w:t>Note 1</w:t>
      </w:r>
    </w:p>
    <w:p w14:paraId="17088A0B" w14:textId="77777777" w:rsidR="001B3D09" w:rsidRPr="002720F3" w:rsidRDefault="001B3D09" w:rsidP="00452D8D">
      <w:pPr>
        <w:pStyle w:val="aNotetext"/>
        <w:spacing w:before="0" w:after="0"/>
        <w:rPr>
          <w:sz w:val="24"/>
          <w:szCs w:val="24"/>
        </w:rPr>
      </w:pPr>
      <w:r w:rsidRPr="002720F3">
        <w:rPr>
          <w:sz w:val="24"/>
          <w:szCs w:val="24"/>
        </w:rPr>
        <w:t xml:space="preserve">ASIC Class Order [CO </w:t>
      </w:r>
      <w:r w:rsidR="00E9465F" w:rsidRPr="00DF482C">
        <w:rPr>
          <w:sz w:val="24"/>
          <w:szCs w:val="24"/>
        </w:rPr>
        <w:t>14/1252</w:t>
      </w:r>
      <w:r w:rsidRPr="00DF482C">
        <w:rPr>
          <w:sz w:val="24"/>
          <w:szCs w:val="24"/>
        </w:rPr>
        <w:t xml:space="preserve">] (in force under </w:t>
      </w:r>
      <w:r w:rsidR="00E9465F" w:rsidRPr="00DF482C">
        <w:rPr>
          <w:sz w:val="24"/>
          <w:szCs w:val="24"/>
        </w:rPr>
        <w:t>s</w:t>
      </w:r>
      <w:r w:rsidR="00E9465F" w:rsidRPr="00DF482C">
        <w:rPr>
          <w:sz w:val="24"/>
          <w:szCs w:val="24"/>
          <w:lang w:val="en-US"/>
        </w:rPr>
        <w:t>1020</w:t>
      </w:r>
      <w:proofErr w:type="gramStart"/>
      <w:r w:rsidR="00E9465F" w:rsidRPr="00DF482C">
        <w:rPr>
          <w:sz w:val="24"/>
          <w:szCs w:val="24"/>
          <w:lang w:val="en-US"/>
        </w:rPr>
        <w:t>F(</w:t>
      </w:r>
      <w:proofErr w:type="gramEnd"/>
      <w:r w:rsidR="00E9465F" w:rsidRPr="00DF482C">
        <w:rPr>
          <w:sz w:val="24"/>
          <w:szCs w:val="24"/>
          <w:lang w:val="en-US"/>
        </w:rPr>
        <w:t>1)</w:t>
      </w:r>
      <w:r w:rsidR="0031240F" w:rsidRPr="00DF482C">
        <w:rPr>
          <w:sz w:val="24"/>
          <w:szCs w:val="24"/>
        </w:rPr>
        <w:t xml:space="preserve"> </w:t>
      </w:r>
      <w:r w:rsidRPr="002C479F">
        <w:rPr>
          <w:sz w:val="24"/>
          <w:szCs w:val="24"/>
        </w:rPr>
        <w:t xml:space="preserve">of the </w:t>
      </w:r>
      <w:r w:rsidRPr="002C479F">
        <w:rPr>
          <w:i/>
          <w:iCs/>
          <w:sz w:val="24"/>
          <w:szCs w:val="24"/>
        </w:rPr>
        <w:t>Corporations Act 2001</w:t>
      </w:r>
      <w:r w:rsidRPr="002720F3">
        <w:rPr>
          <w:sz w:val="24"/>
          <w:szCs w:val="24"/>
        </w:rPr>
        <w:t>) as shown in this compilation comprises that Class Order amended as indicated in the tables below.</w:t>
      </w:r>
    </w:p>
    <w:p w14:paraId="3DA48237" w14:textId="77777777" w:rsidR="002F6F61" w:rsidRPr="00452D8D" w:rsidRDefault="002F6F61" w:rsidP="00452D8D">
      <w:pPr>
        <w:pStyle w:val="aTableof"/>
        <w:spacing w:before="0" w:after="0"/>
        <w:rPr>
          <w:rFonts w:ascii="Times New Roman" w:hAnsi="Times New Roman" w:cs="Times New Roman"/>
        </w:rPr>
      </w:pPr>
    </w:p>
    <w:p w14:paraId="6B2456FD" w14:textId="77777777" w:rsidR="001B3D09" w:rsidRPr="00452D8D" w:rsidRDefault="001B3D09" w:rsidP="00452D8D">
      <w:pPr>
        <w:pStyle w:val="aTableof"/>
        <w:spacing w:before="0" w:after="0"/>
        <w:rPr>
          <w:rFonts w:ascii="Times New Roman" w:hAnsi="Times New Roman" w:cs="Times New Roman"/>
        </w:rPr>
      </w:pPr>
      <w:r w:rsidRPr="00452D8D">
        <w:rPr>
          <w:rFonts w:ascii="Times New Roman" w:hAnsi="Times New Roman" w:cs="Times New Roman"/>
        </w:rPr>
        <w:t>Table of Instruments</w:t>
      </w:r>
    </w:p>
    <w:tbl>
      <w:tblPr>
        <w:tblW w:w="0" w:type="auto"/>
        <w:tblLook w:val="0000" w:firstRow="0" w:lastRow="0" w:firstColumn="0" w:lastColumn="0" w:noHBand="0" w:noVBand="0"/>
      </w:tblPr>
      <w:tblGrid>
        <w:gridCol w:w="1706"/>
        <w:gridCol w:w="1719"/>
        <w:gridCol w:w="1854"/>
        <w:gridCol w:w="1740"/>
      </w:tblGrid>
      <w:tr w:rsidR="001B3D09" w:rsidRPr="002720F3" w14:paraId="1DF0AF0F" w14:textId="77777777" w:rsidTr="00F212F6">
        <w:trPr>
          <w:tblHeader/>
        </w:trPr>
        <w:tc>
          <w:tcPr>
            <w:tcW w:w="1706" w:type="dxa"/>
            <w:tcBorders>
              <w:top w:val="nil"/>
              <w:left w:val="nil"/>
              <w:bottom w:val="single" w:sz="4" w:space="0" w:color="auto"/>
              <w:right w:val="nil"/>
            </w:tcBorders>
          </w:tcPr>
          <w:p w14:paraId="6C2A0E09" w14:textId="77777777" w:rsidR="001B3D09" w:rsidRPr="00DF482C" w:rsidRDefault="001B3D09" w:rsidP="00D84332">
            <w:pPr>
              <w:pStyle w:val="atableheadings"/>
            </w:pPr>
            <w:r w:rsidRPr="002720F3">
              <w:t xml:space="preserve">Instrument number </w:t>
            </w:r>
          </w:p>
        </w:tc>
        <w:tc>
          <w:tcPr>
            <w:tcW w:w="1719" w:type="dxa"/>
            <w:tcBorders>
              <w:top w:val="nil"/>
              <w:left w:val="nil"/>
              <w:bottom w:val="single" w:sz="4" w:space="0" w:color="auto"/>
              <w:right w:val="nil"/>
            </w:tcBorders>
          </w:tcPr>
          <w:p w14:paraId="24695F4A" w14:textId="77777777" w:rsidR="001B3D09" w:rsidRPr="002720F3" w:rsidRDefault="001B3D09" w:rsidP="00D84332">
            <w:pPr>
              <w:pStyle w:val="atableheadings"/>
            </w:pPr>
            <w:r w:rsidRPr="002720F3">
              <w:t xml:space="preserve">Date of </w:t>
            </w:r>
            <w:r w:rsidR="00E25362" w:rsidRPr="002720F3">
              <w:t>FRL</w:t>
            </w:r>
            <w:r w:rsidRPr="002720F3">
              <w:t xml:space="preserve"> registration</w:t>
            </w:r>
          </w:p>
        </w:tc>
        <w:tc>
          <w:tcPr>
            <w:tcW w:w="1854" w:type="dxa"/>
            <w:tcBorders>
              <w:top w:val="nil"/>
              <w:left w:val="nil"/>
              <w:bottom w:val="single" w:sz="4" w:space="0" w:color="auto"/>
              <w:right w:val="nil"/>
            </w:tcBorders>
          </w:tcPr>
          <w:p w14:paraId="797962A3" w14:textId="77777777" w:rsidR="001B3D09" w:rsidRPr="002720F3" w:rsidRDefault="001B3D09" w:rsidP="00D84332">
            <w:pPr>
              <w:pStyle w:val="atableheadings"/>
            </w:pPr>
            <w:r w:rsidRPr="002720F3">
              <w:t>Date of commencement</w:t>
            </w:r>
          </w:p>
        </w:tc>
        <w:tc>
          <w:tcPr>
            <w:tcW w:w="1740" w:type="dxa"/>
            <w:tcBorders>
              <w:top w:val="nil"/>
              <w:left w:val="nil"/>
              <w:bottom w:val="single" w:sz="4" w:space="0" w:color="auto"/>
              <w:right w:val="nil"/>
            </w:tcBorders>
          </w:tcPr>
          <w:p w14:paraId="40C9EF5E" w14:textId="77777777" w:rsidR="001B3D09" w:rsidRPr="002720F3" w:rsidRDefault="001B3D09" w:rsidP="00D84332">
            <w:pPr>
              <w:pStyle w:val="atableheadings"/>
            </w:pPr>
            <w:r w:rsidRPr="002720F3">
              <w:t>Application, saving or transitional provisions</w:t>
            </w:r>
          </w:p>
        </w:tc>
      </w:tr>
      <w:tr w:rsidR="001B3D09" w:rsidRPr="002720F3" w14:paraId="6F26C01D" w14:textId="77777777" w:rsidTr="00D84332">
        <w:tc>
          <w:tcPr>
            <w:tcW w:w="1706" w:type="dxa"/>
            <w:tcBorders>
              <w:top w:val="single" w:sz="4" w:space="0" w:color="auto"/>
              <w:left w:val="nil"/>
              <w:bottom w:val="nil"/>
              <w:right w:val="nil"/>
            </w:tcBorders>
          </w:tcPr>
          <w:p w14:paraId="357897FC" w14:textId="77777777" w:rsidR="001B3D09" w:rsidRPr="00DF482C" w:rsidRDefault="001B3D09" w:rsidP="00E9465F">
            <w:pPr>
              <w:pStyle w:val="atabletext"/>
              <w:spacing w:before="120"/>
            </w:pPr>
            <w:r w:rsidRPr="002720F3">
              <w:t xml:space="preserve">[CO </w:t>
            </w:r>
            <w:r w:rsidR="00E9465F" w:rsidRPr="002720F3">
              <w:t>14/1252</w:t>
            </w:r>
            <w:r w:rsidRPr="00DF482C">
              <w:t>]</w:t>
            </w:r>
          </w:p>
        </w:tc>
        <w:tc>
          <w:tcPr>
            <w:tcW w:w="1719" w:type="dxa"/>
            <w:tcBorders>
              <w:top w:val="single" w:sz="4" w:space="0" w:color="auto"/>
              <w:left w:val="nil"/>
              <w:bottom w:val="nil"/>
              <w:right w:val="nil"/>
            </w:tcBorders>
          </w:tcPr>
          <w:p w14:paraId="6E6B6799" w14:textId="77777777" w:rsidR="001B3D09" w:rsidRPr="002720F3" w:rsidRDefault="00E9465F" w:rsidP="001957D2">
            <w:pPr>
              <w:pStyle w:val="atabletext"/>
              <w:spacing w:before="120"/>
            </w:pPr>
            <w:r w:rsidRPr="002720F3">
              <w:t>12/12/2014 (</w:t>
            </w:r>
            <w:r w:rsidRPr="002720F3">
              <w:rPr>
                <w:i/>
              </w:rPr>
              <w:t>see</w:t>
            </w:r>
            <w:r w:rsidRPr="002720F3">
              <w:t xml:space="preserve"> F2014L01692)</w:t>
            </w:r>
          </w:p>
        </w:tc>
        <w:tc>
          <w:tcPr>
            <w:tcW w:w="1854" w:type="dxa"/>
            <w:tcBorders>
              <w:top w:val="single" w:sz="4" w:space="0" w:color="auto"/>
              <w:left w:val="nil"/>
              <w:bottom w:val="nil"/>
              <w:right w:val="nil"/>
            </w:tcBorders>
          </w:tcPr>
          <w:p w14:paraId="29725C9B" w14:textId="77777777" w:rsidR="001B3D09" w:rsidRPr="002720F3" w:rsidRDefault="00E9465F" w:rsidP="00D84332">
            <w:pPr>
              <w:pStyle w:val="atabletext"/>
              <w:spacing w:before="120"/>
            </w:pPr>
            <w:r w:rsidRPr="002720F3">
              <w:t>13/12/2014</w:t>
            </w:r>
          </w:p>
        </w:tc>
        <w:tc>
          <w:tcPr>
            <w:tcW w:w="1740" w:type="dxa"/>
            <w:tcBorders>
              <w:top w:val="single" w:sz="4" w:space="0" w:color="auto"/>
              <w:left w:val="nil"/>
              <w:bottom w:val="nil"/>
              <w:right w:val="nil"/>
            </w:tcBorders>
          </w:tcPr>
          <w:p w14:paraId="23578219" w14:textId="77777777" w:rsidR="001B3D09" w:rsidRPr="002720F3" w:rsidRDefault="001B3D09" w:rsidP="00D84332">
            <w:pPr>
              <w:pStyle w:val="atabletext"/>
              <w:spacing w:before="120"/>
            </w:pPr>
          </w:p>
        </w:tc>
      </w:tr>
      <w:tr w:rsidR="001B3D09" w:rsidRPr="002720F3" w14:paraId="16A3402E" w14:textId="77777777" w:rsidTr="00D84332">
        <w:tc>
          <w:tcPr>
            <w:tcW w:w="1706" w:type="dxa"/>
            <w:tcBorders>
              <w:top w:val="nil"/>
              <w:left w:val="nil"/>
              <w:bottom w:val="nil"/>
              <w:right w:val="nil"/>
            </w:tcBorders>
          </w:tcPr>
          <w:p w14:paraId="3CA4F9DE" w14:textId="77777777" w:rsidR="001B3D09" w:rsidRPr="002720F3" w:rsidRDefault="00E9465F" w:rsidP="0031240F">
            <w:pPr>
              <w:pStyle w:val="atabletext"/>
              <w:spacing w:before="120"/>
              <w:rPr>
                <w:b/>
                <w:bCs/>
              </w:rPr>
            </w:pPr>
            <w:r w:rsidRPr="002720F3">
              <w:t>2015/876</w:t>
            </w:r>
          </w:p>
        </w:tc>
        <w:tc>
          <w:tcPr>
            <w:tcW w:w="1719" w:type="dxa"/>
            <w:tcBorders>
              <w:top w:val="nil"/>
              <w:left w:val="nil"/>
              <w:bottom w:val="nil"/>
              <w:right w:val="nil"/>
            </w:tcBorders>
          </w:tcPr>
          <w:p w14:paraId="201291B1" w14:textId="77777777" w:rsidR="001B3D09" w:rsidRPr="002720F3" w:rsidRDefault="00E9465F" w:rsidP="00D84332">
            <w:pPr>
              <w:pStyle w:val="atabletext"/>
              <w:spacing w:before="120"/>
            </w:pPr>
            <w:r w:rsidRPr="00DF482C">
              <w:t>24/11/2015 (</w:t>
            </w:r>
            <w:r w:rsidRPr="00DF482C">
              <w:rPr>
                <w:i/>
              </w:rPr>
              <w:t>see</w:t>
            </w:r>
            <w:r w:rsidRPr="00DF482C">
              <w:t xml:space="preserve"> F2015L01835)</w:t>
            </w:r>
          </w:p>
        </w:tc>
        <w:tc>
          <w:tcPr>
            <w:tcW w:w="1854" w:type="dxa"/>
            <w:tcBorders>
              <w:top w:val="nil"/>
              <w:left w:val="nil"/>
              <w:bottom w:val="nil"/>
              <w:right w:val="nil"/>
            </w:tcBorders>
          </w:tcPr>
          <w:p w14:paraId="036BF731" w14:textId="77777777" w:rsidR="001B3D09" w:rsidRPr="002720F3" w:rsidRDefault="00E9465F" w:rsidP="00D84332">
            <w:pPr>
              <w:pStyle w:val="atabletext"/>
              <w:spacing w:before="120"/>
            </w:pPr>
            <w:r w:rsidRPr="002720F3">
              <w:t>25/11/2015</w:t>
            </w:r>
          </w:p>
        </w:tc>
        <w:tc>
          <w:tcPr>
            <w:tcW w:w="1740" w:type="dxa"/>
            <w:tcBorders>
              <w:top w:val="nil"/>
              <w:left w:val="nil"/>
              <w:bottom w:val="nil"/>
              <w:right w:val="nil"/>
            </w:tcBorders>
          </w:tcPr>
          <w:p w14:paraId="5FF6B5A4" w14:textId="77777777" w:rsidR="001B3D09" w:rsidRPr="002720F3" w:rsidRDefault="001B3D09" w:rsidP="00D84332">
            <w:pPr>
              <w:pStyle w:val="atabletext"/>
              <w:spacing w:before="120"/>
            </w:pPr>
            <w:r w:rsidRPr="002720F3">
              <w:t>-</w:t>
            </w:r>
          </w:p>
        </w:tc>
      </w:tr>
      <w:tr w:rsidR="001B3D09" w:rsidRPr="002720F3" w14:paraId="66EA72E3" w14:textId="77777777" w:rsidTr="006546E7">
        <w:tc>
          <w:tcPr>
            <w:tcW w:w="1706" w:type="dxa"/>
            <w:tcBorders>
              <w:top w:val="nil"/>
              <w:left w:val="nil"/>
              <w:bottom w:val="nil"/>
              <w:right w:val="nil"/>
            </w:tcBorders>
          </w:tcPr>
          <w:p w14:paraId="0FE1D1E5" w14:textId="77777777" w:rsidR="001B3D09" w:rsidRPr="002720F3" w:rsidRDefault="00E9465F" w:rsidP="0031240F">
            <w:pPr>
              <w:pStyle w:val="atabletext"/>
              <w:spacing w:before="120"/>
              <w:rPr>
                <w:b/>
                <w:bCs/>
              </w:rPr>
            </w:pPr>
            <w:r w:rsidRPr="002720F3">
              <w:t>2016/1224</w:t>
            </w:r>
          </w:p>
        </w:tc>
        <w:tc>
          <w:tcPr>
            <w:tcW w:w="1719" w:type="dxa"/>
            <w:tcBorders>
              <w:top w:val="nil"/>
              <w:left w:val="nil"/>
              <w:bottom w:val="nil"/>
              <w:right w:val="nil"/>
            </w:tcBorders>
          </w:tcPr>
          <w:p w14:paraId="653E05F9" w14:textId="77777777" w:rsidR="001B3D09" w:rsidRPr="002720F3" w:rsidRDefault="00E9465F" w:rsidP="00D84332">
            <w:pPr>
              <w:pStyle w:val="atabletext"/>
              <w:spacing w:before="120"/>
            </w:pPr>
            <w:r w:rsidRPr="00DF482C">
              <w:t>21/12/2016</w:t>
            </w:r>
            <w:r w:rsidR="0031240F" w:rsidRPr="00DF482C">
              <w:t xml:space="preserve"> </w:t>
            </w:r>
            <w:r w:rsidR="001B3D09" w:rsidRPr="00DF482C">
              <w:t>(</w:t>
            </w:r>
            <w:r w:rsidR="001B3D09" w:rsidRPr="00DF482C">
              <w:rPr>
                <w:i/>
              </w:rPr>
              <w:t>see</w:t>
            </w:r>
            <w:r w:rsidR="001B3D09" w:rsidRPr="00DF482C">
              <w:t xml:space="preserve"> </w:t>
            </w:r>
            <w:r w:rsidRPr="002720F3">
              <w:t>F2016L02013</w:t>
            </w:r>
            <w:r w:rsidR="001B3D09" w:rsidRPr="002720F3">
              <w:t>)</w:t>
            </w:r>
          </w:p>
        </w:tc>
        <w:tc>
          <w:tcPr>
            <w:tcW w:w="1854" w:type="dxa"/>
            <w:tcBorders>
              <w:top w:val="nil"/>
              <w:left w:val="nil"/>
              <w:bottom w:val="nil"/>
              <w:right w:val="nil"/>
            </w:tcBorders>
          </w:tcPr>
          <w:p w14:paraId="1777FBC0" w14:textId="77777777" w:rsidR="001B3D09" w:rsidRPr="002720F3" w:rsidRDefault="00E9465F" w:rsidP="00D84332">
            <w:pPr>
              <w:pStyle w:val="atabletext"/>
              <w:spacing w:before="120"/>
            </w:pPr>
            <w:r w:rsidRPr="002720F3">
              <w:t>22/12/2016</w:t>
            </w:r>
          </w:p>
        </w:tc>
        <w:tc>
          <w:tcPr>
            <w:tcW w:w="1740" w:type="dxa"/>
            <w:tcBorders>
              <w:top w:val="nil"/>
              <w:left w:val="nil"/>
              <w:bottom w:val="nil"/>
              <w:right w:val="nil"/>
            </w:tcBorders>
          </w:tcPr>
          <w:p w14:paraId="7101A381" w14:textId="77777777" w:rsidR="001B3D09" w:rsidRPr="002720F3" w:rsidRDefault="001B3D09" w:rsidP="00D84332">
            <w:pPr>
              <w:pStyle w:val="atabletext"/>
              <w:spacing w:before="120"/>
            </w:pPr>
            <w:r w:rsidRPr="002720F3">
              <w:t>-</w:t>
            </w:r>
          </w:p>
        </w:tc>
      </w:tr>
      <w:tr w:rsidR="002F6F61" w:rsidRPr="002720F3" w14:paraId="6853238C" w14:textId="77777777" w:rsidTr="002720F3">
        <w:tc>
          <w:tcPr>
            <w:tcW w:w="1706" w:type="dxa"/>
            <w:tcBorders>
              <w:top w:val="nil"/>
              <w:left w:val="nil"/>
              <w:bottom w:val="nil"/>
              <w:right w:val="nil"/>
            </w:tcBorders>
          </w:tcPr>
          <w:p w14:paraId="4B466560" w14:textId="77777777" w:rsidR="002F6F61" w:rsidRPr="00DF482C" w:rsidRDefault="002F6F61" w:rsidP="00377080">
            <w:pPr>
              <w:pStyle w:val="atabletext"/>
              <w:spacing w:before="120"/>
              <w:rPr>
                <w:b/>
                <w:bCs/>
              </w:rPr>
            </w:pPr>
            <w:r w:rsidRPr="002720F3">
              <w:t>2017</w:t>
            </w:r>
            <w:r w:rsidRPr="00DF482C">
              <w:t>/65</w:t>
            </w:r>
          </w:p>
        </w:tc>
        <w:tc>
          <w:tcPr>
            <w:tcW w:w="1719" w:type="dxa"/>
            <w:tcBorders>
              <w:top w:val="nil"/>
              <w:left w:val="nil"/>
              <w:bottom w:val="nil"/>
              <w:right w:val="nil"/>
            </w:tcBorders>
          </w:tcPr>
          <w:p w14:paraId="66ABF7D4" w14:textId="77777777" w:rsidR="002F6F61" w:rsidRPr="002720F3" w:rsidRDefault="002F6F61" w:rsidP="002720F3">
            <w:pPr>
              <w:pStyle w:val="atabletext"/>
              <w:spacing w:before="120"/>
            </w:pPr>
            <w:r w:rsidRPr="002720F3">
              <w:t>23/3/2017 (</w:t>
            </w:r>
            <w:r w:rsidRPr="002720F3">
              <w:rPr>
                <w:i/>
              </w:rPr>
              <w:t>see</w:t>
            </w:r>
            <w:r w:rsidRPr="002720F3">
              <w:t xml:space="preserve"> F2017L00284)</w:t>
            </w:r>
          </w:p>
        </w:tc>
        <w:tc>
          <w:tcPr>
            <w:tcW w:w="1854" w:type="dxa"/>
            <w:tcBorders>
              <w:top w:val="nil"/>
              <w:left w:val="nil"/>
              <w:bottom w:val="nil"/>
              <w:right w:val="nil"/>
            </w:tcBorders>
          </w:tcPr>
          <w:p w14:paraId="6E4F65B1" w14:textId="77777777" w:rsidR="002F6F61" w:rsidRPr="002720F3" w:rsidRDefault="002F6F61" w:rsidP="002720F3">
            <w:pPr>
              <w:pStyle w:val="atabletext"/>
              <w:spacing w:before="120"/>
            </w:pPr>
            <w:r w:rsidRPr="002720F3">
              <w:t>24/3/3017</w:t>
            </w:r>
          </w:p>
        </w:tc>
        <w:tc>
          <w:tcPr>
            <w:tcW w:w="1740" w:type="dxa"/>
            <w:tcBorders>
              <w:top w:val="nil"/>
              <w:left w:val="nil"/>
              <w:bottom w:val="nil"/>
              <w:right w:val="nil"/>
            </w:tcBorders>
          </w:tcPr>
          <w:p w14:paraId="76FD23CB" w14:textId="77777777" w:rsidR="002F6F61" w:rsidRPr="002720F3" w:rsidRDefault="002F6F61" w:rsidP="002720F3">
            <w:pPr>
              <w:pStyle w:val="atabletext"/>
              <w:spacing w:before="120"/>
            </w:pPr>
            <w:r w:rsidRPr="002720F3">
              <w:t>-</w:t>
            </w:r>
          </w:p>
        </w:tc>
      </w:tr>
      <w:tr w:rsidR="002F6F61" w:rsidRPr="002720F3" w14:paraId="3DFAB297" w14:textId="77777777" w:rsidTr="004E503F">
        <w:tc>
          <w:tcPr>
            <w:tcW w:w="1706" w:type="dxa"/>
            <w:tcBorders>
              <w:top w:val="nil"/>
              <w:left w:val="nil"/>
              <w:bottom w:val="nil"/>
              <w:right w:val="nil"/>
            </w:tcBorders>
          </w:tcPr>
          <w:p w14:paraId="588794FD" w14:textId="77777777" w:rsidR="002F6F61" w:rsidRPr="00DF482C" w:rsidRDefault="002F6F61" w:rsidP="00377080">
            <w:pPr>
              <w:pStyle w:val="atabletext"/>
              <w:spacing w:before="120"/>
            </w:pPr>
            <w:r w:rsidRPr="002720F3">
              <w:t>2017/</w:t>
            </w:r>
            <w:r w:rsidRPr="00DF482C">
              <w:t>664</w:t>
            </w:r>
          </w:p>
        </w:tc>
        <w:tc>
          <w:tcPr>
            <w:tcW w:w="1719" w:type="dxa"/>
            <w:tcBorders>
              <w:top w:val="nil"/>
              <w:left w:val="nil"/>
              <w:bottom w:val="nil"/>
              <w:right w:val="nil"/>
            </w:tcBorders>
          </w:tcPr>
          <w:p w14:paraId="646B93A9" w14:textId="7309D3D2" w:rsidR="002F6F61" w:rsidRPr="002720F3" w:rsidRDefault="004729E2" w:rsidP="00377080">
            <w:pPr>
              <w:pStyle w:val="atabletext"/>
              <w:spacing w:before="120"/>
            </w:pPr>
            <w:r w:rsidRPr="004729E2">
              <w:t>13/9/2017</w:t>
            </w:r>
            <w:r w:rsidR="002F6F61" w:rsidRPr="004729E2">
              <w:t xml:space="preserve"> (</w:t>
            </w:r>
            <w:r w:rsidR="002F6F61" w:rsidRPr="004729E2">
              <w:rPr>
                <w:i/>
              </w:rPr>
              <w:t>see</w:t>
            </w:r>
            <w:r w:rsidR="002F6F61" w:rsidRPr="004729E2">
              <w:t xml:space="preserve"> </w:t>
            </w:r>
            <w:r w:rsidRPr="004729E2">
              <w:t>F2017L01174</w:t>
            </w:r>
            <w:r w:rsidR="002F6F61" w:rsidRPr="004729E2">
              <w:t>)</w:t>
            </w:r>
          </w:p>
        </w:tc>
        <w:tc>
          <w:tcPr>
            <w:tcW w:w="1854" w:type="dxa"/>
            <w:tcBorders>
              <w:top w:val="nil"/>
              <w:left w:val="nil"/>
              <w:bottom w:val="nil"/>
              <w:right w:val="nil"/>
            </w:tcBorders>
          </w:tcPr>
          <w:p w14:paraId="0E0CADDD" w14:textId="2E28D0B1" w:rsidR="002F6F61" w:rsidRPr="002720F3" w:rsidRDefault="004729E2" w:rsidP="00377080">
            <w:pPr>
              <w:pStyle w:val="atabletext"/>
              <w:spacing w:before="120"/>
            </w:pPr>
            <w:r>
              <w:t>14/9/2017</w:t>
            </w:r>
          </w:p>
        </w:tc>
        <w:tc>
          <w:tcPr>
            <w:tcW w:w="1740" w:type="dxa"/>
            <w:tcBorders>
              <w:top w:val="nil"/>
              <w:left w:val="nil"/>
              <w:bottom w:val="nil"/>
              <w:right w:val="nil"/>
            </w:tcBorders>
          </w:tcPr>
          <w:p w14:paraId="1776A73E" w14:textId="77777777" w:rsidR="002F6F61" w:rsidRPr="00DF482C" w:rsidRDefault="002F6F61" w:rsidP="00D84332">
            <w:pPr>
              <w:pStyle w:val="atabletext"/>
              <w:spacing w:before="120"/>
            </w:pPr>
            <w:r w:rsidRPr="00DF482C">
              <w:t>-</w:t>
            </w:r>
          </w:p>
        </w:tc>
      </w:tr>
      <w:tr w:rsidR="004E503F" w:rsidRPr="002720F3" w14:paraId="7919E11A" w14:textId="77777777" w:rsidTr="00AA20DC">
        <w:tc>
          <w:tcPr>
            <w:tcW w:w="1706" w:type="dxa"/>
            <w:tcBorders>
              <w:top w:val="nil"/>
              <w:left w:val="nil"/>
              <w:bottom w:val="nil"/>
              <w:right w:val="nil"/>
            </w:tcBorders>
          </w:tcPr>
          <w:p w14:paraId="773C1E24" w14:textId="07AED917" w:rsidR="004E503F" w:rsidRPr="002720F3" w:rsidRDefault="004E503F" w:rsidP="00377080">
            <w:pPr>
              <w:pStyle w:val="atabletext"/>
              <w:spacing w:before="120"/>
            </w:pPr>
            <w:r>
              <w:t>2017/1138</w:t>
            </w:r>
          </w:p>
        </w:tc>
        <w:tc>
          <w:tcPr>
            <w:tcW w:w="1719" w:type="dxa"/>
            <w:tcBorders>
              <w:top w:val="nil"/>
              <w:left w:val="nil"/>
              <w:bottom w:val="nil"/>
              <w:right w:val="nil"/>
            </w:tcBorders>
          </w:tcPr>
          <w:p w14:paraId="585D40A4" w14:textId="654FCC4D" w:rsidR="004E503F" w:rsidRPr="004729E2" w:rsidRDefault="000A0BD5" w:rsidP="00377080">
            <w:pPr>
              <w:pStyle w:val="atabletext"/>
              <w:spacing w:before="120"/>
            </w:pPr>
            <w:r w:rsidRPr="00C96E49">
              <w:t>22</w:t>
            </w:r>
            <w:r w:rsidR="004E503F" w:rsidRPr="00C96E49">
              <w:t>/12/2017</w:t>
            </w:r>
            <w:r w:rsidR="004E503F">
              <w:t xml:space="preserve"> (</w:t>
            </w:r>
            <w:r w:rsidR="004E503F" w:rsidRPr="004E503F">
              <w:rPr>
                <w:i/>
              </w:rPr>
              <w:t>see</w:t>
            </w:r>
            <w:r w:rsidR="004E503F">
              <w:t xml:space="preserve"> </w:t>
            </w:r>
            <w:r w:rsidR="00C96E49" w:rsidRPr="00C96E49">
              <w:t>F2017L01714</w:t>
            </w:r>
            <w:r w:rsidR="004E503F">
              <w:t>)</w:t>
            </w:r>
          </w:p>
        </w:tc>
        <w:tc>
          <w:tcPr>
            <w:tcW w:w="1854" w:type="dxa"/>
            <w:tcBorders>
              <w:top w:val="nil"/>
              <w:left w:val="nil"/>
              <w:bottom w:val="nil"/>
              <w:right w:val="nil"/>
            </w:tcBorders>
          </w:tcPr>
          <w:p w14:paraId="0C85AD45" w14:textId="6FD7C06A" w:rsidR="004E503F" w:rsidRDefault="000A0BD5" w:rsidP="00377080">
            <w:pPr>
              <w:pStyle w:val="atabletext"/>
              <w:spacing w:before="120"/>
            </w:pPr>
            <w:r w:rsidRPr="00C96E49">
              <w:t>23</w:t>
            </w:r>
            <w:r w:rsidR="004E503F" w:rsidRPr="00C96E49">
              <w:t>/12/2017</w:t>
            </w:r>
          </w:p>
        </w:tc>
        <w:tc>
          <w:tcPr>
            <w:tcW w:w="1740" w:type="dxa"/>
            <w:tcBorders>
              <w:top w:val="nil"/>
              <w:left w:val="nil"/>
              <w:bottom w:val="nil"/>
              <w:right w:val="nil"/>
            </w:tcBorders>
          </w:tcPr>
          <w:p w14:paraId="7F54F3CC" w14:textId="6782257D" w:rsidR="004E503F" w:rsidRPr="00DF482C" w:rsidRDefault="004E503F" w:rsidP="00D84332">
            <w:pPr>
              <w:pStyle w:val="atabletext"/>
              <w:spacing w:before="120"/>
            </w:pPr>
            <w:r>
              <w:t>-</w:t>
            </w:r>
          </w:p>
        </w:tc>
      </w:tr>
      <w:tr w:rsidR="00AA20DC" w:rsidRPr="002720F3" w14:paraId="5DD47081" w14:textId="77777777" w:rsidTr="00BD1B72">
        <w:tc>
          <w:tcPr>
            <w:tcW w:w="1706" w:type="dxa"/>
            <w:tcBorders>
              <w:top w:val="nil"/>
              <w:left w:val="nil"/>
              <w:bottom w:val="nil"/>
              <w:right w:val="nil"/>
            </w:tcBorders>
          </w:tcPr>
          <w:p w14:paraId="6F6B68AE" w14:textId="7A947DCF" w:rsidR="00AA20DC" w:rsidRDefault="00AA20DC" w:rsidP="00377080">
            <w:pPr>
              <w:pStyle w:val="atabletext"/>
              <w:spacing w:before="120"/>
            </w:pPr>
            <w:r>
              <w:t>2018/697</w:t>
            </w:r>
          </w:p>
        </w:tc>
        <w:tc>
          <w:tcPr>
            <w:tcW w:w="1719" w:type="dxa"/>
            <w:tcBorders>
              <w:top w:val="nil"/>
              <w:left w:val="nil"/>
              <w:bottom w:val="nil"/>
              <w:right w:val="nil"/>
            </w:tcBorders>
          </w:tcPr>
          <w:p w14:paraId="069BCCA8" w14:textId="4ECB871F" w:rsidR="00AA20DC" w:rsidRPr="00C96E49" w:rsidRDefault="00DD6F42" w:rsidP="00377080">
            <w:pPr>
              <w:pStyle w:val="atabletext"/>
              <w:spacing w:before="120"/>
            </w:pPr>
            <w:r>
              <w:t>13/9/2018</w:t>
            </w:r>
            <w:r w:rsidR="00AA20DC">
              <w:t xml:space="preserve"> (</w:t>
            </w:r>
            <w:r w:rsidR="00AA20DC" w:rsidRPr="00AA20DC">
              <w:rPr>
                <w:i/>
              </w:rPr>
              <w:t>see</w:t>
            </w:r>
            <w:r w:rsidR="00AA20DC">
              <w:t xml:space="preserve"> </w:t>
            </w:r>
            <w:r w:rsidRPr="00DD6F42">
              <w:t>F2018L01281</w:t>
            </w:r>
            <w:r w:rsidR="00AA20DC">
              <w:t>)</w:t>
            </w:r>
          </w:p>
        </w:tc>
        <w:tc>
          <w:tcPr>
            <w:tcW w:w="1854" w:type="dxa"/>
            <w:tcBorders>
              <w:top w:val="nil"/>
              <w:left w:val="nil"/>
              <w:bottom w:val="nil"/>
              <w:right w:val="nil"/>
            </w:tcBorders>
          </w:tcPr>
          <w:p w14:paraId="2206FCCF" w14:textId="5ADD691D" w:rsidR="00AA20DC" w:rsidRPr="00C96E49" w:rsidRDefault="00DD6F42" w:rsidP="00377080">
            <w:pPr>
              <w:pStyle w:val="atabletext"/>
              <w:spacing w:before="120"/>
            </w:pPr>
            <w:r>
              <w:t>18/9/2018</w:t>
            </w:r>
          </w:p>
        </w:tc>
        <w:tc>
          <w:tcPr>
            <w:tcW w:w="1740" w:type="dxa"/>
            <w:tcBorders>
              <w:top w:val="nil"/>
              <w:left w:val="nil"/>
              <w:bottom w:val="nil"/>
              <w:right w:val="nil"/>
            </w:tcBorders>
          </w:tcPr>
          <w:p w14:paraId="011D5863" w14:textId="5984FFE1" w:rsidR="00AA20DC" w:rsidRDefault="00AA20DC" w:rsidP="00D84332">
            <w:pPr>
              <w:pStyle w:val="atabletext"/>
              <w:spacing w:before="120"/>
            </w:pPr>
            <w:r>
              <w:t>-</w:t>
            </w:r>
          </w:p>
        </w:tc>
      </w:tr>
      <w:tr w:rsidR="00BD1B72" w:rsidRPr="002720F3" w14:paraId="79DC2013" w14:textId="77777777" w:rsidTr="00EB650E">
        <w:tc>
          <w:tcPr>
            <w:tcW w:w="1706" w:type="dxa"/>
            <w:tcBorders>
              <w:top w:val="nil"/>
              <w:left w:val="nil"/>
              <w:bottom w:val="nil"/>
              <w:right w:val="nil"/>
            </w:tcBorders>
          </w:tcPr>
          <w:p w14:paraId="016782C5" w14:textId="0EBBFA41" w:rsidR="00BD1B72" w:rsidRDefault="00BD1B72" w:rsidP="00377080">
            <w:pPr>
              <w:pStyle w:val="atabletext"/>
              <w:spacing w:before="120"/>
            </w:pPr>
            <w:r>
              <w:t>2018/1088</w:t>
            </w:r>
          </w:p>
        </w:tc>
        <w:tc>
          <w:tcPr>
            <w:tcW w:w="1719" w:type="dxa"/>
            <w:tcBorders>
              <w:top w:val="nil"/>
              <w:left w:val="nil"/>
              <w:bottom w:val="nil"/>
              <w:right w:val="nil"/>
            </w:tcBorders>
          </w:tcPr>
          <w:p w14:paraId="7B1067A6" w14:textId="18822391" w:rsidR="00BD1B72" w:rsidRDefault="00BD1B72" w:rsidP="00377080">
            <w:pPr>
              <w:pStyle w:val="atabletext"/>
              <w:spacing w:before="120"/>
            </w:pPr>
            <w:r>
              <w:t>10/12/2018 (</w:t>
            </w:r>
            <w:r w:rsidRPr="00BD1B72">
              <w:rPr>
                <w:i/>
              </w:rPr>
              <w:t>see</w:t>
            </w:r>
            <w:r>
              <w:t xml:space="preserve"> </w:t>
            </w:r>
            <w:r w:rsidRPr="00BD1B72">
              <w:t>F2018L01714</w:t>
            </w:r>
            <w:r>
              <w:t>)</w:t>
            </w:r>
          </w:p>
        </w:tc>
        <w:tc>
          <w:tcPr>
            <w:tcW w:w="1854" w:type="dxa"/>
            <w:tcBorders>
              <w:top w:val="nil"/>
              <w:left w:val="nil"/>
              <w:bottom w:val="nil"/>
              <w:right w:val="nil"/>
            </w:tcBorders>
          </w:tcPr>
          <w:p w14:paraId="3F655254" w14:textId="2797597A" w:rsidR="00BD1B72" w:rsidRDefault="00BD1B72" w:rsidP="00377080">
            <w:pPr>
              <w:pStyle w:val="atabletext"/>
              <w:spacing w:before="120"/>
            </w:pPr>
            <w:r>
              <w:t>11/12/2018</w:t>
            </w:r>
          </w:p>
        </w:tc>
        <w:tc>
          <w:tcPr>
            <w:tcW w:w="1740" w:type="dxa"/>
            <w:tcBorders>
              <w:top w:val="nil"/>
              <w:left w:val="nil"/>
              <w:bottom w:val="nil"/>
              <w:right w:val="nil"/>
            </w:tcBorders>
          </w:tcPr>
          <w:p w14:paraId="2D142BAC" w14:textId="7450658C" w:rsidR="00BD1B72" w:rsidRDefault="00BD1B72" w:rsidP="00D84332">
            <w:pPr>
              <w:pStyle w:val="atabletext"/>
              <w:spacing w:before="120"/>
            </w:pPr>
            <w:r>
              <w:t>-</w:t>
            </w:r>
          </w:p>
        </w:tc>
      </w:tr>
      <w:tr w:rsidR="00EB650E" w:rsidRPr="002720F3" w14:paraId="3E6F4668" w14:textId="77777777" w:rsidTr="00AA5EEC">
        <w:tc>
          <w:tcPr>
            <w:tcW w:w="1706" w:type="dxa"/>
            <w:tcBorders>
              <w:top w:val="nil"/>
              <w:left w:val="nil"/>
              <w:bottom w:val="nil"/>
              <w:right w:val="nil"/>
            </w:tcBorders>
          </w:tcPr>
          <w:p w14:paraId="59218852" w14:textId="7F237787" w:rsidR="00EB650E" w:rsidRDefault="00EB650E" w:rsidP="00377080">
            <w:pPr>
              <w:pStyle w:val="atabletext"/>
              <w:spacing w:before="120"/>
            </w:pPr>
            <w:r>
              <w:t>2019/599</w:t>
            </w:r>
          </w:p>
        </w:tc>
        <w:tc>
          <w:tcPr>
            <w:tcW w:w="1719" w:type="dxa"/>
            <w:tcBorders>
              <w:top w:val="nil"/>
              <w:left w:val="nil"/>
              <w:bottom w:val="nil"/>
              <w:right w:val="nil"/>
            </w:tcBorders>
          </w:tcPr>
          <w:p w14:paraId="76778EEC" w14:textId="0AF1FEDE" w:rsidR="00EB650E" w:rsidRPr="00012173" w:rsidRDefault="00012173" w:rsidP="00377080">
            <w:pPr>
              <w:pStyle w:val="atabletext"/>
              <w:spacing w:before="120"/>
            </w:pPr>
            <w:r w:rsidRPr="00012173">
              <w:t>21</w:t>
            </w:r>
            <w:r w:rsidR="00EB650E" w:rsidRPr="00012173">
              <w:t>/6/2019 (</w:t>
            </w:r>
            <w:r w:rsidR="00EB650E" w:rsidRPr="00012173">
              <w:rPr>
                <w:i/>
              </w:rPr>
              <w:t xml:space="preserve">see </w:t>
            </w:r>
            <w:r w:rsidRPr="00012173">
              <w:t>F2019L00854</w:t>
            </w:r>
            <w:r w:rsidR="00EB650E" w:rsidRPr="00012173">
              <w:t>)</w:t>
            </w:r>
          </w:p>
        </w:tc>
        <w:tc>
          <w:tcPr>
            <w:tcW w:w="1854" w:type="dxa"/>
            <w:tcBorders>
              <w:top w:val="nil"/>
              <w:left w:val="nil"/>
              <w:bottom w:val="nil"/>
              <w:right w:val="nil"/>
            </w:tcBorders>
          </w:tcPr>
          <w:p w14:paraId="63B2EB78" w14:textId="5DD84633" w:rsidR="00EB650E" w:rsidRPr="00012173" w:rsidRDefault="00EB650E" w:rsidP="00377080">
            <w:pPr>
              <w:pStyle w:val="atabletext"/>
              <w:spacing w:before="120"/>
            </w:pPr>
            <w:r w:rsidRPr="00012173">
              <w:t>1/7/2019</w:t>
            </w:r>
          </w:p>
        </w:tc>
        <w:tc>
          <w:tcPr>
            <w:tcW w:w="1740" w:type="dxa"/>
            <w:tcBorders>
              <w:top w:val="nil"/>
              <w:left w:val="nil"/>
              <w:bottom w:val="nil"/>
              <w:right w:val="nil"/>
            </w:tcBorders>
          </w:tcPr>
          <w:p w14:paraId="62003E9F" w14:textId="4D09F728" w:rsidR="00EB650E" w:rsidRDefault="00EB650E" w:rsidP="00D84332">
            <w:pPr>
              <w:pStyle w:val="atabletext"/>
              <w:spacing w:before="120"/>
            </w:pPr>
            <w:r>
              <w:t>-</w:t>
            </w:r>
          </w:p>
        </w:tc>
      </w:tr>
      <w:tr w:rsidR="00C9371C" w:rsidRPr="002720F3" w14:paraId="7419E536" w14:textId="77777777" w:rsidTr="00793457">
        <w:tc>
          <w:tcPr>
            <w:tcW w:w="1706" w:type="dxa"/>
            <w:tcBorders>
              <w:top w:val="nil"/>
              <w:left w:val="nil"/>
              <w:bottom w:val="nil"/>
              <w:right w:val="nil"/>
            </w:tcBorders>
          </w:tcPr>
          <w:p w14:paraId="53B1E96A" w14:textId="13B07E21" w:rsidR="00C9371C" w:rsidRDefault="00C9371C" w:rsidP="00377080">
            <w:pPr>
              <w:pStyle w:val="atabletext"/>
              <w:spacing w:before="120"/>
            </w:pPr>
            <w:r>
              <w:t>2019/1071</w:t>
            </w:r>
          </w:p>
        </w:tc>
        <w:tc>
          <w:tcPr>
            <w:tcW w:w="1719" w:type="dxa"/>
            <w:tcBorders>
              <w:top w:val="nil"/>
              <w:left w:val="nil"/>
              <w:bottom w:val="nil"/>
              <w:right w:val="nil"/>
            </w:tcBorders>
          </w:tcPr>
          <w:p w14:paraId="6B545F8C" w14:textId="7B7637B7" w:rsidR="00C9371C" w:rsidRPr="00012173" w:rsidRDefault="00C9371C" w:rsidP="00377080">
            <w:pPr>
              <w:pStyle w:val="atabletext"/>
              <w:spacing w:before="120"/>
            </w:pPr>
            <w:r>
              <w:t>29</w:t>
            </w:r>
            <w:r w:rsidRPr="00012173">
              <w:t>/</w:t>
            </w:r>
            <w:r>
              <w:t>11</w:t>
            </w:r>
            <w:r w:rsidRPr="00012173">
              <w:t>/2019 (</w:t>
            </w:r>
            <w:r w:rsidRPr="00012173">
              <w:rPr>
                <w:i/>
              </w:rPr>
              <w:t xml:space="preserve">see </w:t>
            </w:r>
            <w:r w:rsidRPr="00012173">
              <w:t>F2019L0</w:t>
            </w:r>
            <w:r>
              <w:t>1524</w:t>
            </w:r>
            <w:r w:rsidRPr="00012173">
              <w:t>)</w:t>
            </w:r>
          </w:p>
        </w:tc>
        <w:tc>
          <w:tcPr>
            <w:tcW w:w="1854" w:type="dxa"/>
            <w:tcBorders>
              <w:top w:val="nil"/>
              <w:left w:val="nil"/>
              <w:bottom w:val="nil"/>
              <w:right w:val="nil"/>
            </w:tcBorders>
          </w:tcPr>
          <w:p w14:paraId="1EE2681C" w14:textId="6E171968" w:rsidR="00C9371C" w:rsidRPr="00012173" w:rsidRDefault="00C9371C" w:rsidP="00377080">
            <w:pPr>
              <w:pStyle w:val="atabletext"/>
              <w:spacing w:before="120"/>
            </w:pPr>
            <w:r>
              <w:t>30/11/2019</w:t>
            </w:r>
          </w:p>
        </w:tc>
        <w:tc>
          <w:tcPr>
            <w:tcW w:w="1740" w:type="dxa"/>
            <w:tcBorders>
              <w:top w:val="nil"/>
              <w:left w:val="nil"/>
              <w:bottom w:val="nil"/>
              <w:right w:val="nil"/>
            </w:tcBorders>
          </w:tcPr>
          <w:p w14:paraId="6EC0C386" w14:textId="07369230" w:rsidR="00C9371C" w:rsidRDefault="00C9371C" w:rsidP="00D84332">
            <w:pPr>
              <w:pStyle w:val="atabletext"/>
              <w:spacing w:before="120"/>
            </w:pPr>
            <w:r>
              <w:t>-</w:t>
            </w:r>
          </w:p>
        </w:tc>
      </w:tr>
      <w:tr w:rsidR="00793457" w:rsidRPr="002720F3" w14:paraId="4F856F67" w14:textId="77777777" w:rsidTr="005E1063">
        <w:tc>
          <w:tcPr>
            <w:tcW w:w="1706" w:type="dxa"/>
            <w:tcBorders>
              <w:top w:val="nil"/>
              <w:left w:val="nil"/>
              <w:bottom w:val="nil"/>
              <w:right w:val="nil"/>
            </w:tcBorders>
          </w:tcPr>
          <w:p w14:paraId="5DFDC789" w14:textId="0492082B" w:rsidR="00793457" w:rsidRDefault="00793457" w:rsidP="00377080">
            <w:pPr>
              <w:pStyle w:val="atabletext"/>
              <w:spacing w:before="120"/>
            </w:pPr>
            <w:r>
              <w:t>2020/579</w:t>
            </w:r>
          </w:p>
        </w:tc>
        <w:tc>
          <w:tcPr>
            <w:tcW w:w="1719" w:type="dxa"/>
            <w:tcBorders>
              <w:top w:val="nil"/>
              <w:left w:val="nil"/>
              <w:bottom w:val="nil"/>
              <w:right w:val="nil"/>
            </w:tcBorders>
          </w:tcPr>
          <w:p w14:paraId="6BDCCBED" w14:textId="26531878" w:rsidR="00793457" w:rsidRDefault="00793457" w:rsidP="00377080">
            <w:pPr>
              <w:pStyle w:val="atabletext"/>
              <w:spacing w:before="120"/>
            </w:pPr>
            <w:r>
              <w:t>22/7/2020 (</w:t>
            </w:r>
            <w:r w:rsidRPr="00793457">
              <w:rPr>
                <w:i/>
                <w:iCs/>
              </w:rPr>
              <w:t xml:space="preserve">see </w:t>
            </w:r>
            <w:r w:rsidRPr="00793457">
              <w:t>F2020L00932</w:t>
            </w:r>
            <w:r>
              <w:t>)</w:t>
            </w:r>
          </w:p>
        </w:tc>
        <w:tc>
          <w:tcPr>
            <w:tcW w:w="1854" w:type="dxa"/>
            <w:tcBorders>
              <w:top w:val="nil"/>
              <w:left w:val="nil"/>
              <w:bottom w:val="nil"/>
              <w:right w:val="nil"/>
            </w:tcBorders>
          </w:tcPr>
          <w:p w14:paraId="1088384A" w14:textId="10878963" w:rsidR="00793457" w:rsidRDefault="00793457" w:rsidP="00377080">
            <w:pPr>
              <w:pStyle w:val="atabletext"/>
              <w:spacing w:before="120"/>
            </w:pPr>
            <w:r>
              <w:t>23/7/2020</w:t>
            </w:r>
          </w:p>
        </w:tc>
        <w:tc>
          <w:tcPr>
            <w:tcW w:w="1740" w:type="dxa"/>
            <w:tcBorders>
              <w:top w:val="nil"/>
              <w:left w:val="nil"/>
              <w:bottom w:val="nil"/>
              <w:right w:val="nil"/>
            </w:tcBorders>
          </w:tcPr>
          <w:p w14:paraId="54E425A8" w14:textId="3AAE6299" w:rsidR="00793457" w:rsidRDefault="00793457" w:rsidP="00D84332">
            <w:pPr>
              <w:pStyle w:val="atabletext"/>
              <w:spacing w:before="120"/>
            </w:pPr>
            <w:r>
              <w:t>-</w:t>
            </w:r>
          </w:p>
        </w:tc>
      </w:tr>
      <w:tr w:rsidR="005E1063" w:rsidRPr="002720F3" w14:paraId="1AB19706" w14:textId="77777777" w:rsidTr="001B3D09">
        <w:tc>
          <w:tcPr>
            <w:tcW w:w="1706" w:type="dxa"/>
            <w:tcBorders>
              <w:top w:val="nil"/>
              <w:left w:val="nil"/>
              <w:bottom w:val="single" w:sz="4" w:space="0" w:color="auto"/>
              <w:right w:val="nil"/>
            </w:tcBorders>
          </w:tcPr>
          <w:p w14:paraId="6893A36E" w14:textId="3C090CF0" w:rsidR="005E1063" w:rsidRDefault="005E1063" w:rsidP="00377080">
            <w:pPr>
              <w:pStyle w:val="atabletext"/>
              <w:spacing w:before="120"/>
            </w:pPr>
            <w:r>
              <w:t>2020/1065</w:t>
            </w:r>
          </w:p>
        </w:tc>
        <w:tc>
          <w:tcPr>
            <w:tcW w:w="1719" w:type="dxa"/>
            <w:tcBorders>
              <w:top w:val="nil"/>
              <w:left w:val="nil"/>
              <w:bottom w:val="single" w:sz="4" w:space="0" w:color="auto"/>
              <w:right w:val="nil"/>
            </w:tcBorders>
          </w:tcPr>
          <w:p w14:paraId="02F1A322" w14:textId="13A4CDAE" w:rsidR="005E1063" w:rsidRDefault="005E1063" w:rsidP="00377080">
            <w:pPr>
              <w:pStyle w:val="atabletext"/>
              <w:spacing w:before="120"/>
            </w:pPr>
            <w:r>
              <w:t>11/12/2020 (</w:t>
            </w:r>
            <w:r w:rsidRPr="005E1063">
              <w:rPr>
                <w:i/>
                <w:iCs/>
              </w:rPr>
              <w:t xml:space="preserve">see </w:t>
            </w:r>
            <w:r w:rsidRPr="005E1063">
              <w:t>F2020L01572</w:t>
            </w:r>
            <w:r>
              <w:t>)</w:t>
            </w:r>
          </w:p>
        </w:tc>
        <w:tc>
          <w:tcPr>
            <w:tcW w:w="1854" w:type="dxa"/>
            <w:tcBorders>
              <w:top w:val="nil"/>
              <w:left w:val="nil"/>
              <w:bottom w:val="single" w:sz="4" w:space="0" w:color="auto"/>
              <w:right w:val="nil"/>
            </w:tcBorders>
          </w:tcPr>
          <w:p w14:paraId="0B0BFF9C" w14:textId="4D9E48E4" w:rsidR="005E1063" w:rsidRDefault="005E1063" w:rsidP="00377080">
            <w:pPr>
              <w:pStyle w:val="atabletext"/>
              <w:spacing w:before="120"/>
            </w:pPr>
            <w:r>
              <w:t>12/12/2020</w:t>
            </w:r>
          </w:p>
        </w:tc>
        <w:tc>
          <w:tcPr>
            <w:tcW w:w="1740" w:type="dxa"/>
            <w:tcBorders>
              <w:top w:val="nil"/>
              <w:left w:val="nil"/>
              <w:bottom w:val="single" w:sz="4" w:space="0" w:color="auto"/>
              <w:right w:val="nil"/>
            </w:tcBorders>
          </w:tcPr>
          <w:p w14:paraId="6659B640" w14:textId="4C5F3B34" w:rsidR="005E1063" w:rsidRDefault="005E1063" w:rsidP="00D84332">
            <w:pPr>
              <w:pStyle w:val="atabletext"/>
              <w:spacing w:before="120"/>
            </w:pPr>
            <w:r>
              <w:t>-</w:t>
            </w:r>
          </w:p>
        </w:tc>
      </w:tr>
    </w:tbl>
    <w:p w14:paraId="55A2261E" w14:textId="77777777" w:rsidR="001B3D09" w:rsidRPr="00452D8D" w:rsidRDefault="001B3D09" w:rsidP="001B3D09">
      <w:pPr>
        <w:pStyle w:val="aTableof"/>
        <w:rPr>
          <w:rFonts w:ascii="Times New Roman" w:hAnsi="Times New Roman" w:cs="Times New Roman"/>
        </w:rPr>
      </w:pPr>
      <w:r w:rsidRPr="00452D8D">
        <w:rPr>
          <w:rFonts w:ascii="Times New Roman" w:hAnsi="Times New Roman" w:cs="Times New Roman"/>
        </w:rPr>
        <w:t>Table of Amendments</w:t>
      </w:r>
    </w:p>
    <w:p w14:paraId="489D2FE1" w14:textId="77777777" w:rsidR="001B3D09" w:rsidRPr="00DF482C" w:rsidRDefault="001B3D09" w:rsidP="001B3D09">
      <w:pPr>
        <w:pStyle w:val="aNotetext"/>
      </w:pPr>
      <w:r w:rsidRPr="002720F3">
        <w:t>ad. = added or</w:t>
      </w:r>
      <w:r w:rsidR="00FD27C5" w:rsidRPr="002720F3">
        <w:t xml:space="preserve"> inserted     am. = amended    </w:t>
      </w:r>
      <w:r w:rsidR="00B46911" w:rsidRPr="00DF482C">
        <w:t xml:space="preserve">LA = </w:t>
      </w:r>
      <w:r w:rsidR="00B46911" w:rsidRPr="00DF482C">
        <w:rPr>
          <w:i/>
        </w:rPr>
        <w:t>Legislation Act 2003</w:t>
      </w:r>
      <w:r w:rsidR="00B46911" w:rsidRPr="00DF482C">
        <w:t xml:space="preserve">    </w:t>
      </w:r>
      <w:r w:rsidRPr="00DF482C">
        <w:t xml:space="preserve">rep. = repealed     </w:t>
      </w:r>
      <w:proofErr w:type="spellStart"/>
      <w:r w:rsidRPr="00DF482C">
        <w:t>rs</w:t>
      </w:r>
      <w:proofErr w:type="spellEnd"/>
      <w:r w:rsidRPr="00DF482C">
        <w:t>. = repealed and substituted</w:t>
      </w:r>
    </w:p>
    <w:tbl>
      <w:tblPr>
        <w:tblW w:w="0" w:type="auto"/>
        <w:tblLook w:val="0000" w:firstRow="0" w:lastRow="0" w:firstColumn="0" w:lastColumn="0" w:noHBand="0" w:noVBand="0"/>
      </w:tblPr>
      <w:tblGrid>
        <w:gridCol w:w="1918"/>
        <w:gridCol w:w="5120"/>
      </w:tblGrid>
      <w:tr w:rsidR="001B3D09" w:rsidRPr="002720F3" w14:paraId="63A7DE07" w14:textId="77777777" w:rsidTr="0048221D">
        <w:trPr>
          <w:trHeight w:val="285"/>
          <w:tblHeader/>
        </w:trPr>
        <w:tc>
          <w:tcPr>
            <w:tcW w:w="1918" w:type="dxa"/>
            <w:tcBorders>
              <w:top w:val="single" w:sz="4" w:space="0" w:color="auto"/>
              <w:bottom w:val="single" w:sz="4" w:space="0" w:color="auto"/>
            </w:tcBorders>
          </w:tcPr>
          <w:p w14:paraId="5142A28E" w14:textId="77777777" w:rsidR="001B3D09" w:rsidRPr="002720F3" w:rsidRDefault="001B3D09" w:rsidP="00D84332">
            <w:pPr>
              <w:pStyle w:val="atableheadings"/>
            </w:pPr>
            <w:r w:rsidRPr="002720F3">
              <w:t>Provision affected</w:t>
            </w:r>
          </w:p>
        </w:tc>
        <w:tc>
          <w:tcPr>
            <w:tcW w:w="5120" w:type="dxa"/>
            <w:tcBorders>
              <w:top w:val="single" w:sz="4" w:space="0" w:color="auto"/>
              <w:bottom w:val="single" w:sz="4" w:space="0" w:color="auto"/>
            </w:tcBorders>
          </w:tcPr>
          <w:p w14:paraId="0462F6EF" w14:textId="77777777" w:rsidR="001B3D09" w:rsidRPr="002720F3" w:rsidRDefault="001B3D09" w:rsidP="00D84332">
            <w:pPr>
              <w:pStyle w:val="atableheadings"/>
            </w:pPr>
            <w:r w:rsidRPr="002720F3">
              <w:t>How affected</w:t>
            </w:r>
          </w:p>
        </w:tc>
      </w:tr>
      <w:tr w:rsidR="00B46911" w:rsidRPr="002720F3" w14:paraId="56B9F38C" w14:textId="77777777" w:rsidTr="00653A8D">
        <w:tc>
          <w:tcPr>
            <w:tcW w:w="1918" w:type="dxa"/>
            <w:tcBorders>
              <w:top w:val="single" w:sz="4" w:space="0" w:color="auto"/>
            </w:tcBorders>
          </w:tcPr>
          <w:p w14:paraId="39FD9D04" w14:textId="77777777" w:rsidR="00B46911" w:rsidRPr="00DF482C" w:rsidRDefault="00A20E3D" w:rsidP="00A20E3D">
            <w:pPr>
              <w:pStyle w:val="atabletext"/>
              <w:tabs>
                <w:tab w:val="center" w:leader="dot" w:pos="1701"/>
              </w:tabs>
            </w:pPr>
            <w:r w:rsidRPr="002720F3">
              <w:t>Para 3</w:t>
            </w:r>
            <w:r w:rsidR="00B46911" w:rsidRPr="002720F3">
              <w:tab/>
            </w:r>
          </w:p>
        </w:tc>
        <w:tc>
          <w:tcPr>
            <w:tcW w:w="5120" w:type="dxa"/>
            <w:tcBorders>
              <w:top w:val="single" w:sz="4" w:space="0" w:color="auto"/>
            </w:tcBorders>
          </w:tcPr>
          <w:p w14:paraId="517D8090" w14:textId="77777777" w:rsidR="00B46911" w:rsidRPr="002720F3" w:rsidRDefault="00B46911" w:rsidP="00B46911">
            <w:pPr>
              <w:pStyle w:val="atabletext"/>
            </w:pPr>
            <w:r w:rsidRPr="002720F3">
              <w:t xml:space="preserve">rep. s48D LA </w:t>
            </w:r>
          </w:p>
        </w:tc>
      </w:tr>
      <w:tr w:rsidR="00320A9F" w:rsidRPr="002720F3" w14:paraId="65AAD8AD" w14:textId="77777777" w:rsidTr="00653A8D">
        <w:tc>
          <w:tcPr>
            <w:tcW w:w="1918" w:type="dxa"/>
          </w:tcPr>
          <w:p w14:paraId="76510EEF" w14:textId="06C45344" w:rsidR="00320A9F" w:rsidRPr="002720F3" w:rsidRDefault="00320A9F" w:rsidP="00D84332">
            <w:pPr>
              <w:pStyle w:val="atabletext"/>
              <w:tabs>
                <w:tab w:val="center" w:leader="dot" w:pos="1701"/>
              </w:tabs>
            </w:pPr>
            <w:r>
              <w:t>Para 4</w:t>
            </w:r>
            <w:r w:rsidR="007407A6" w:rsidRPr="007407A6">
              <w:tab/>
            </w:r>
          </w:p>
        </w:tc>
        <w:tc>
          <w:tcPr>
            <w:tcW w:w="5120" w:type="dxa"/>
          </w:tcPr>
          <w:p w14:paraId="1EB6CB88" w14:textId="51653B97" w:rsidR="00320A9F" w:rsidRPr="002720F3" w:rsidRDefault="00320A9F" w:rsidP="00B46911">
            <w:pPr>
              <w:pStyle w:val="atabletext"/>
            </w:pPr>
            <w:r>
              <w:t>am. 2018/697</w:t>
            </w:r>
          </w:p>
        </w:tc>
      </w:tr>
      <w:tr w:rsidR="00A20E3D" w:rsidRPr="002720F3" w14:paraId="5578E8F6" w14:textId="77777777" w:rsidTr="00653A8D">
        <w:tc>
          <w:tcPr>
            <w:tcW w:w="1918" w:type="dxa"/>
          </w:tcPr>
          <w:p w14:paraId="36C11687" w14:textId="77777777" w:rsidR="00A20E3D" w:rsidRPr="00DF482C" w:rsidRDefault="00A20E3D" w:rsidP="00D84332">
            <w:pPr>
              <w:pStyle w:val="atabletext"/>
              <w:tabs>
                <w:tab w:val="center" w:leader="dot" w:pos="1701"/>
              </w:tabs>
            </w:pPr>
            <w:r w:rsidRPr="002720F3">
              <w:t>Para 5</w:t>
            </w:r>
            <w:r w:rsidRPr="002720F3">
              <w:tab/>
            </w:r>
          </w:p>
        </w:tc>
        <w:tc>
          <w:tcPr>
            <w:tcW w:w="5120" w:type="dxa"/>
          </w:tcPr>
          <w:p w14:paraId="288A1CA0" w14:textId="77777777" w:rsidR="00A20E3D" w:rsidRPr="002720F3" w:rsidRDefault="00A20E3D" w:rsidP="00B46911">
            <w:pPr>
              <w:pStyle w:val="atabletext"/>
            </w:pPr>
            <w:r w:rsidRPr="002720F3">
              <w:t>am. 2015/876</w:t>
            </w:r>
          </w:p>
        </w:tc>
      </w:tr>
      <w:tr w:rsidR="001B3D09" w:rsidRPr="002720F3" w14:paraId="2194052D" w14:textId="77777777" w:rsidTr="00653A8D">
        <w:tc>
          <w:tcPr>
            <w:tcW w:w="1918" w:type="dxa"/>
          </w:tcPr>
          <w:p w14:paraId="1A8E001C" w14:textId="77777777" w:rsidR="001B3D09" w:rsidRPr="00DF482C" w:rsidRDefault="00A20E3D" w:rsidP="00D84332">
            <w:pPr>
              <w:pStyle w:val="atabletext"/>
              <w:tabs>
                <w:tab w:val="center" w:leader="dot" w:pos="1701"/>
              </w:tabs>
            </w:pPr>
            <w:r w:rsidRPr="002720F3">
              <w:t>Para 5A</w:t>
            </w:r>
            <w:r w:rsidR="001B3D09" w:rsidRPr="002720F3">
              <w:tab/>
            </w:r>
          </w:p>
        </w:tc>
        <w:tc>
          <w:tcPr>
            <w:tcW w:w="5120" w:type="dxa"/>
          </w:tcPr>
          <w:p w14:paraId="54A6E45F" w14:textId="77777777" w:rsidR="0031240F" w:rsidRPr="002720F3" w:rsidRDefault="00A20E3D" w:rsidP="00A20E3D">
            <w:pPr>
              <w:pStyle w:val="atabletext"/>
            </w:pPr>
            <w:r w:rsidRPr="002720F3">
              <w:t>ad</w:t>
            </w:r>
            <w:r w:rsidR="001B3D09" w:rsidRPr="002720F3">
              <w:t xml:space="preserve">. </w:t>
            </w:r>
            <w:r w:rsidRPr="002720F3">
              <w:t>2015/876</w:t>
            </w:r>
          </w:p>
        </w:tc>
      </w:tr>
      <w:tr w:rsidR="001B3D09" w:rsidRPr="002720F3" w14:paraId="0A0D47F4" w14:textId="77777777" w:rsidTr="00653A8D">
        <w:tc>
          <w:tcPr>
            <w:tcW w:w="1918" w:type="dxa"/>
          </w:tcPr>
          <w:p w14:paraId="46976212" w14:textId="77777777" w:rsidR="001B3D09" w:rsidRPr="00DF482C" w:rsidRDefault="00A20E3D" w:rsidP="00D84332">
            <w:pPr>
              <w:pStyle w:val="atabletext"/>
              <w:tabs>
                <w:tab w:val="center" w:leader="dot" w:pos="1701"/>
              </w:tabs>
            </w:pPr>
            <w:r w:rsidRPr="002720F3">
              <w:t>Para 5B</w:t>
            </w:r>
            <w:r w:rsidR="001B3D09" w:rsidRPr="002720F3">
              <w:tab/>
            </w:r>
          </w:p>
        </w:tc>
        <w:tc>
          <w:tcPr>
            <w:tcW w:w="5120" w:type="dxa"/>
          </w:tcPr>
          <w:p w14:paraId="389A1465" w14:textId="77777777" w:rsidR="001B3D09" w:rsidRPr="002720F3" w:rsidRDefault="00A20E3D" w:rsidP="0031240F">
            <w:pPr>
              <w:pStyle w:val="atabletext"/>
            </w:pPr>
            <w:r w:rsidRPr="002720F3">
              <w:t>ad. 2015/876</w:t>
            </w:r>
          </w:p>
        </w:tc>
      </w:tr>
      <w:tr w:rsidR="00A20E3D" w:rsidRPr="002720F3" w14:paraId="3974C255" w14:textId="77777777" w:rsidTr="00653A8D">
        <w:tc>
          <w:tcPr>
            <w:tcW w:w="1918" w:type="dxa"/>
          </w:tcPr>
          <w:p w14:paraId="3A8E0647" w14:textId="77777777" w:rsidR="00A20E3D" w:rsidRPr="00DF482C" w:rsidRDefault="00A20E3D" w:rsidP="00D84332">
            <w:pPr>
              <w:pStyle w:val="atabletext"/>
              <w:tabs>
                <w:tab w:val="center" w:leader="dot" w:pos="1701"/>
              </w:tabs>
            </w:pPr>
            <w:r w:rsidRPr="002720F3">
              <w:t>Para 5C</w:t>
            </w:r>
            <w:r w:rsidRPr="002720F3">
              <w:tab/>
            </w:r>
          </w:p>
        </w:tc>
        <w:tc>
          <w:tcPr>
            <w:tcW w:w="5120" w:type="dxa"/>
          </w:tcPr>
          <w:p w14:paraId="759392D4" w14:textId="77777777" w:rsidR="00A20E3D" w:rsidRPr="002720F3" w:rsidRDefault="00A20E3D" w:rsidP="0031240F">
            <w:pPr>
              <w:pStyle w:val="atabletext"/>
            </w:pPr>
            <w:r w:rsidRPr="002720F3">
              <w:t>ad. 2015/876</w:t>
            </w:r>
          </w:p>
        </w:tc>
      </w:tr>
      <w:tr w:rsidR="00A20E3D" w:rsidRPr="002720F3" w14:paraId="59818EB5" w14:textId="77777777" w:rsidTr="00653A8D">
        <w:tc>
          <w:tcPr>
            <w:tcW w:w="1918" w:type="dxa"/>
          </w:tcPr>
          <w:p w14:paraId="4F4FFF55" w14:textId="77777777" w:rsidR="00A20E3D" w:rsidRPr="00DF482C" w:rsidRDefault="00A20E3D" w:rsidP="00D84332">
            <w:pPr>
              <w:pStyle w:val="atabletext"/>
              <w:tabs>
                <w:tab w:val="center" w:leader="dot" w:pos="1701"/>
              </w:tabs>
            </w:pPr>
            <w:r w:rsidRPr="002720F3">
              <w:lastRenderedPageBreak/>
              <w:t>Para 5CA</w:t>
            </w:r>
            <w:r w:rsidR="00377080" w:rsidRPr="002720F3">
              <w:tab/>
            </w:r>
          </w:p>
        </w:tc>
        <w:tc>
          <w:tcPr>
            <w:tcW w:w="5120" w:type="dxa"/>
          </w:tcPr>
          <w:p w14:paraId="4B035285" w14:textId="77777777" w:rsidR="00A20E3D" w:rsidRPr="002720F3" w:rsidRDefault="00A20E3D" w:rsidP="0031240F">
            <w:pPr>
              <w:pStyle w:val="atabletext"/>
            </w:pPr>
            <w:r w:rsidRPr="002720F3">
              <w:t>ad. 2016/1224</w:t>
            </w:r>
          </w:p>
        </w:tc>
      </w:tr>
      <w:tr w:rsidR="002F6F61" w:rsidRPr="002720F3" w14:paraId="0F25ED0F" w14:textId="77777777" w:rsidTr="002720F3">
        <w:tc>
          <w:tcPr>
            <w:tcW w:w="1918" w:type="dxa"/>
          </w:tcPr>
          <w:p w14:paraId="5A4CA027" w14:textId="77777777" w:rsidR="002F6F61" w:rsidRPr="00DF482C" w:rsidRDefault="002F6F61" w:rsidP="00377080">
            <w:pPr>
              <w:pStyle w:val="atabletext"/>
              <w:tabs>
                <w:tab w:val="center" w:leader="dot" w:pos="1701"/>
              </w:tabs>
            </w:pPr>
            <w:r w:rsidRPr="002720F3">
              <w:t>Para 5CB</w:t>
            </w:r>
            <w:r w:rsidR="00377080" w:rsidRPr="002720F3">
              <w:tab/>
            </w:r>
          </w:p>
        </w:tc>
        <w:tc>
          <w:tcPr>
            <w:tcW w:w="5120" w:type="dxa"/>
          </w:tcPr>
          <w:p w14:paraId="48A8CF4F" w14:textId="21B864D4" w:rsidR="002F6F61" w:rsidRPr="002720F3" w:rsidRDefault="002F6F61" w:rsidP="002874ED">
            <w:pPr>
              <w:pStyle w:val="atabletext"/>
            </w:pPr>
            <w:r w:rsidRPr="002720F3">
              <w:t>ad. 2017/664</w:t>
            </w:r>
            <w:r w:rsidR="008F70FA">
              <w:br/>
              <w:t>am. 2018/697</w:t>
            </w:r>
          </w:p>
        </w:tc>
      </w:tr>
      <w:tr w:rsidR="00A20E3D" w:rsidRPr="002720F3" w14:paraId="6148470C" w14:textId="77777777" w:rsidTr="00653A8D">
        <w:tc>
          <w:tcPr>
            <w:tcW w:w="1918" w:type="dxa"/>
          </w:tcPr>
          <w:p w14:paraId="3D040661" w14:textId="77777777" w:rsidR="00A20E3D" w:rsidRPr="00DF482C" w:rsidRDefault="00A20E3D" w:rsidP="00D84332">
            <w:pPr>
              <w:pStyle w:val="atabletext"/>
              <w:tabs>
                <w:tab w:val="center" w:leader="dot" w:pos="1701"/>
              </w:tabs>
            </w:pPr>
            <w:r w:rsidRPr="002720F3">
              <w:t>Para 5D</w:t>
            </w:r>
            <w:r w:rsidRPr="00DF482C">
              <w:tab/>
            </w:r>
          </w:p>
        </w:tc>
        <w:tc>
          <w:tcPr>
            <w:tcW w:w="5120" w:type="dxa"/>
          </w:tcPr>
          <w:p w14:paraId="5E759E57" w14:textId="77777777" w:rsidR="00A20E3D" w:rsidRPr="002720F3" w:rsidRDefault="00A20E3D" w:rsidP="0031240F">
            <w:pPr>
              <w:pStyle w:val="atabletext"/>
            </w:pPr>
            <w:r w:rsidRPr="002720F3">
              <w:t>ad. 2015/876</w:t>
            </w:r>
          </w:p>
        </w:tc>
      </w:tr>
      <w:tr w:rsidR="00377080" w:rsidRPr="002720F3" w14:paraId="2D63B457" w14:textId="77777777" w:rsidTr="002720F3">
        <w:tc>
          <w:tcPr>
            <w:tcW w:w="1918" w:type="dxa"/>
          </w:tcPr>
          <w:p w14:paraId="2CDA703A" w14:textId="77777777" w:rsidR="00377080" w:rsidRPr="00DF482C" w:rsidRDefault="00377080" w:rsidP="00377080">
            <w:pPr>
              <w:pStyle w:val="atabletext"/>
              <w:tabs>
                <w:tab w:val="center" w:leader="dot" w:pos="1701"/>
              </w:tabs>
            </w:pPr>
            <w:r w:rsidRPr="002720F3">
              <w:t>Para 5E</w:t>
            </w:r>
            <w:r w:rsidRPr="002720F3">
              <w:tab/>
            </w:r>
          </w:p>
        </w:tc>
        <w:tc>
          <w:tcPr>
            <w:tcW w:w="5120" w:type="dxa"/>
          </w:tcPr>
          <w:p w14:paraId="531024E1" w14:textId="77777777" w:rsidR="00377080" w:rsidRPr="002720F3" w:rsidRDefault="00377080" w:rsidP="002720F3">
            <w:pPr>
              <w:pStyle w:val="atabletext"/>
            </w:pPr>
            <w:r w:rsidRPr="002720F3">
              <w:t>ad. 2017/664</w:t>
            </w:r>
          </w:p>
        </w:tc>
      </w:tr>
      <w:tr w:rsidR="00A20E3D" w:rsidRPr="002720F3" w14:paraId="0530CF71" w14:textId="77777777" w:rsidTr="00653A8D">
        <w:tc>
          <w:tcPr>
            <w:tcW w:w="1918" w:type="dxa"/>
          </w:tcPr>
          <w:p w14:paraId="650A36F5" w14:textId="77777777" w:rsidR="00A20E3D" w:rsidRPr="00DF482C" w:rsidRDefault="00A20E3D" w:rsidP="00D84332">
            <w:pPr>
              <w:pStyle w:val="atabletext"/>
              <w:tabs>
                <w:tab w:val="center" w:leader="dot" w:pos="1701"/>
              </w:tabs>
            </w:pPr>
            <w:r w:rsidRPr="002720F3">
              <w:t>Para 6</w:t>
            </w:r>
            <w:r w:rsidRPr="002720F3">
              <w:tab/>
            </w:r>
          </w:p>
        </w:tc>
        <w:tc>
          <w:tcPr>
            <w:tcW w:w="5120" w:type="dxa"/>
          </w:tcPr>
          <w:p w14:paraId="53EB4E89" w14:textId="09FF6177" w:rsidR="00A20E3D" w:rsidRPr="002720F3" w:rsidRDefault="00C6154C" w:rsidP="0031240F">
            <w:pPr>
              <w:pStyle w:val="atabletext"/>
            </w:pPr>
            <w:r>
              <w:t>am. 2015/876</w:t>
            </w:r>
            <w:r w:rsidR="003764D3">
              <w:t xml:space="preserve">; </w:t>
            </w:r>
            <w:r w:rsidR="00A20E3D" w:rsidRPr="002720F3">
              <w:t>2016/1224</w:t>
            </w:r>
            <w:r w:rsidR="003764D3">
              <w:t xml:space="preserve"> and 2020/579</w:t>
            </w:r>
          </w:p>
        </w:tc>
      </w:tr>
      <w:tr w:rsidR="00377080" w:rsidRPr="002720F3" w14:paraId="3DF25221" w14:textId="77777777" w:rsidTr="002720F3">
        <w:tc>
          <w:tcPr>
            <w:tcW w:w="1918" w:type="dxa"/>
          </w:tcPr>
          <w:p w14:paraId="3C92C438" w14:textId="77777777" w:rsidR="00377080" w:rsidRPr="00DF482C" w:rsidRDefault="00377080" w:rsidP="00377080">
            <w:pPr>
              <w:pStyle w:val="atabletext"/>
              <w:tabs>
                <w:tab w:val="center" w:leader="dot" w:pos="1701"/>
              </w:tabs>
            </w:pPr>
            <w:r w:rsidRPr="002720F3">
              <w:t>Sub-</w:t>
            </w:r>
            <w:proofErr w:type="spellStart"/>
            <w:r w:rsidRPr="002720F3">
              <w:t>subpara</w:t>
            </w:r>
            <w:proofErr w:type="spellEnd"/>
            <w:r w:rsidRPr="002720F3">
              <w:t xml:space="preserve"> 6(a)(</w:t>
            </w:r>
            <w:proofErr w:type="spellStart"/>
            <w:r w:rsidRPr="002720F3">
              <w:t>iaa</w:t>
            </w:r>
            <w:proofErr w:type="spellEnd"/>
            <w:r w:rsidRPr="002720F3">
              <w:t xml:space="preserve">) </w:t>
            </w:r>
            <w:r w:rsidRPr="002720F3">
              <w:tab/>
            </w:r>
          </w:p>
        </w:tc>
        <w:tc>
          <w:tcPr>
            <w:tcW w:w="5120" w:type="dxa"/>
          </w:tcPr>
          <w:p w14:paraId="657E6B96" w14:textId="77777777" w:rsidR="00377080" w:rsidRPr="002720F3" w:rsidRDefault="00377080" w:rsidP="00377080">
            <w:pPr>
              <w:pStyle w:val="atabletext"/>
            </w:pPr>
            <w:r w:rsidRPr="002720F3">
              <w:t>am. 2017/664</w:t>
            </w:r>
          </w:p>
        </w:tc>
      </w:tr>
      <w:tr w:rsidR="008F70FA" w:rsidRPr="002720F3" w14:paraId="4BBF5586" w14:textId="77777777" w:rsidTr="002720F3">
        <w:tc>
          <w:tcPr>
            <w:tcW w:w="1918" w:type="dxa"/>
          </w:tcPr>
          <w:p w14:paraId="4FF80BAB" w14:textId="729C95DB" w:rsidR="008F70FA" w:rsidRPr="002720F3" w:rsidRDefault="009D5AA3" w:rsidP="00377080">
            <w:pPr>
              <w:pStyle w:val="atabletext"/>
              <w:tabs>
                <w:tab w:val="center" w:leader="dot" w:pos="1701"/>
              </w:tabs>
            </w:pPr>
            <w:r>
              <w:t>Sub-</w:t>
            </w:r>
            <w:proofErr w:type="spellStart"/>
            <w:r>
              <w:t>subpara</w:t>
            </w:r>
            <w:proofErr w:type="spellEnd"/>
            <w:r w:rsidR="008F70FA" w:rsidRPr="008F70FA">
              <w:t xml:space="preserve"> 6(a)(</w:t>
            </w:r>
            <w:proofErr w:type="spellStart"/>
            <w:r w:rsidR="008F70FA" w:rsidRPr="008F70FA">
              <w:t>ib</w:t>
            </w:r>
            <w:proofErr w:type="spellEnd"/>
            <w:r w:rsidR="008F70FA" w:rsidRPr="008F70FA">
              <w:t>)</w:t>
            </w:r>
            <w:r w:rsidR="007407A6">
              <w:t xml:space="preserve"> </w:t>
            </w:r>
            <w:r w:rsidR="007407A6" w:rsidRPr="007407A6">
              <w:tab/>
            </w:r>
          </w:p>
        </w:tc>
        <w:tc>
          <w:tcPr>
            <w:tcW w:w="5120" w:type="dxa"/>
          </w:tcPr>
          <w:p w14:paraId="79E47091" w14:textId="2281844F" w:rsidR="008F70FA" w:rsidRPr="002720F3" w:rsidRDefault="008F70FA" w:rsidP="00377080">
            <w:pPr>
              <w:pStyle w:val="atabletext"/>
            </w:pPr>
            <w:r>
              <w:t>am. 2018/697</w:t>
            </w:r>
          </w:p>
        </w:tc>
      </w:tr>
      <w:tr w:rsidR="00377080" w:rsidRPr="002720F3" w14:paraId="5A966799" w14:textId="77777777" w:rsidTr="002720F3">
        <w:tc>
          <w:tcPr>
            <w:tcW w:w="1918" w:type="dxa"/>
          </w:tcPr>
          <w:p w14:paraId="14458067" w14:textId="77777777" w:rsidR="00377080" w:rsidRPr="00DF482C" w:rsidRDefault="00377080" w:rsidP="00377080">
            <w:pPr>
              <w:pStyle w:val="atabletext"/>
              <w:tabs>
                <w:tab w:val="center" w:leader="dot" w:pos="1701"/>
              </w:tabs>
            </w:pPr>
            <w:r w:rsidRPr="002720F3">
              <w:t>Sub-</w:t>
            </w:r>
            <w:proofErr w:type="spellStart"/>
            <w:r w:rsidRPr="002720F3">
              <w:t>subpara</w:t>
            </w:r>
            <w:proofErr w:type="spellEnd"/>
            <w:r w:rsidRPr="002720F3">
              <w:t xml:space="preserve"> 6(a)(</w:t>
            </w:r>
            <w:proofErr w:type="spellStart"/>
            <w:r w:rsidRPr="002720F3">
              <w:t>iib</w:t>
            </w:r>
            <w:proofErr w:type="spellEnd"/>
            <w:r w:rsidRPr="002720F3">
              <w:t xml:space="preserve">) </w:t>
            </w:r>
            <w:r w:rsidRPr="002720F3">
              <w:tab/>
            </w:r>
          </w:p>
        </w:tc>
        <w:tc>
          <w:tcPr>
            <w:tcW w:w="5120" w:type="dxa"/>
          </w:tcPr>
          <w:p w14:paraId="495B9CAD" w14:textId="77777777" w:rsidR="00377080" w:rsidRPr="002720F3" w:rsidRDefault="00377080" w:rsidP="00377080">
            <w:pPr>
              <w:pStyle w:val="atabletext"/>
            </w:pPr>
            <w:r w:rsidRPr="002720F3">
              <w:t>ad. 2017/664</w:t>
            </w:r>
          </w:p>
        </w:tc>
      </w:tr>
      <w:tr w:rsidR="008F70FA" w:rsidRPr="002720F3" w14:paraId="44E7F6F1" w14:textId="77777777" w:rsidTr="002720F3">
        <w:tc>
          <w:tcPr>
            <w:tcW w:w="1918" w:type="dxa"/>
          </w:tcPr>
          <w:p w14:paraId="6867D553" w14:textId="55F498BB" w:rsidR="008F70FA" w:rsidRPr="002720F3" w:rsidRDefault="009D5AA3" w:rsidP="00377080">
            <w:pPr>
              <w:pStyle w:val="atabletext"/>
              <w:tabs>
                <w:tab w:val="center" w:leader="dot" w:pos="1701"/>
              </w:tabs>
            </w:pPr>
            <w:r>
              <w:t>Sub-</w:t>
            </w:r>
            <w:proofErr w:type="spellStart"/>
            <w:r>
              <w:t>subpara</w:t>
            </w:r>
            <w:proofErr w:type="spellEnd"/>
            <w:r>
              <w:t xml:space="preserve"> </w:t>
            </w:r>
            <w:r w:rsidR="008F70FA" w:rsidRPr="008F70FA">
              <w:t>6(a)(iii)</w:t>
            </w:r>
            <w:r w:rsidR="007407A6">
              <w:t xml:space="preserve"> </w:t>
            </w:r>
            <w:r w:rsidR="007407A6" w:rsidRPr="007407A6">
              <w:tab/>
            </w:r>
          </w:p>
        </w:tc>
        <w:tc>
          <w:tcPr>
            <w:tcW w:w="5120" w:type="dxa"/>
          </w:tcPr>
          <w:p w14:paraId="726FC510" w14:textId="02602AB5" w:rsidR="008F70FA" w:rsidRPr="002720F3" w:rsidRDefault="008F70FA" w:rsidP="00377080">
            <w:pPr>
              <w:pStyle w:val="atabletext"/>
            </w:pPr>
            <w:r>
              <w:t>am. 2018/697</w:t>
            </w:r>
          </w:p>
        </w:tc>
      </w:tr>
      <w:tr w:rsidR="00C6154C" w:rsidRPr="002720F3" w14:paraId="59CABA26" w14:textId="77777777" w:rsidTr="002720F3">
        <w:tc>
          <w:tcPr>
            <w:tcW w:w="1918" w:type="dxa"/>
          </w:tcPr>
          <w:p w14:paraId="5DC0DB74" w14:textId="433D2AEE" w:rsidR="00C6154C" w:rsidRPr="008F70FA" w:rsidRDefault="009D5AA3" w:rsidP="00377080">
            <w:pPr>
              <w:pStyle w:val="atabletext"/>
              <w:tabs>
                <w:tab w:val="center" w:leader="dot" w:pos="1701"/>
              </w:tabs>
            </w:pPr>
            <w:r>
              <w:t>Sub-</w:t>
            </w:r>
            <w:proofErr w:type="spellStart"/>
            <w:r>
              <w:t>subpara</w:t>
            </w:r>
            <w:proofErr w:type="spellEnd"/>
            <w:r>
              <w:t xml:space="preserve"> </w:t>
            </w:r>
            <w:r w:rsidR="00C6154C" w:rsidRPr="00C6154C">
              <w:t>6(a)(iv)</w:t>
            </w:r>
            <w:r w:rsidR="007407A6" w:rsidRPr="007407A6">
              <w:tab/>
            </w:r>
          </w:p>
        </w:tc>
        <w:tc>
          <w:tcPr>
            <w:tcW w:w="5120" w:type="dxa"/>
          </w:tcPr>
          <w:p w14:paraId="4AAFEAAD" w14:textId="628AB593" w:rsidR="00C6154C" w:rsidRDefault="00C6154C" w:rsidP="00377080">
            <w:pPr>
              <w:pStyle w:val="atabletext"/>
            </w:pPr>
            <w:r>
              <w:t>am. 2018/697</w:t>
            </w:r>
            <w:r w:rsidR="003764D3">
              <w:t xml:space="preserve"> and 2020/579</w:t>
            </w:r>
          </w:p>
        </w:tc>
      </w:tr>
      <w:tr w:rsidR="004D1B91" w:rsidRPr="002720F3" w14:paraId="6844AAB0" w14:textId="77777777" w:rsidTr="00653A8D">
        <w:tc>
          <w:tcPr>
            <w:tcW w:w="1918" w:type="dxa"/>
          </w:tcPr>
          <w:p w14:paraId="1273E804" w14:textId="280A587A" w:rsidR="004D1B91" w:rsidRPr="00DF482C" w:rsidRDefault="004D1B91" w:rsidP="004D1B91">
            <w:pPr>
              <w:pStyle w:val="atabletext"/>
              <w:tabs>
                <w:tab w:val="center" w:leader="dot" w:pos="1701"/>
              </w:tabs>
            </w:pPr>
            <w:r w:rsidRPr="002720F3">
              <w:t>Sub-</w:t>
            </w:r>
            <w:proofErr w:type="spellStart"/>
            <w:r w:rsidRPr="002720F3">
              <w:t>subpara</w:t>
            </w:r>
            <w:proofErr w:type="spellEnd"/>
            <w:r w:rsidRPr="002720F3">
              <w:t xml:space="preserve"> 6(a)(iv) (</w:t>
            </w:r>
            <w:r w:rsidR="00204FD0">
              <w:t>notional subclause</w:t>
            </w:r>
            <w:r w:rsidRPr="002720F3">
              <w:t xml:space="preserve"> 101</w:t>
            </w:r>
            <w:proofErr w:type="gramStart"/>
            <w:r w:rsidRPr="002720F3">
              <w:t>B(</w:t>
            </w:r>
            <w:proofErr w:type="gramEnd"/>
            <w:r w:rsidRPr="002720F3">
              <w:t>4))</w:t>
            </w:r>
            <w:r w:rsidRPr="00DF482C">
              <w:tab/>
            </w:r>
          </w:p>
        </w:tc>
        <w:tc>
          <w:tcPr>
            <w:tcW w:w="5120" w:type="dxa"/>
          </w:tcPr>
          <w:p w14:paraId="0398AA36" w14:textId="77777777" w:rsidR="004D1B91" w:rsidRPr="002720F3" w:rsidRDefault="004D1B91" w:rsidP="002720F3">
            <w:pPr>
              <w:pStyle w:val="atabletext"/>
              <w:spacing w:before="0"/>
            </w:pPr>
          </w:p>
          <w:p w14:paraId="12C69B68" w14:textId="2FF10269" w:rsidR="004D1B91" w:rsidRPr="002720F3" w:rsidRDefault="00204FD0" w:rsidP="0031240F">
            <w:pPr>
              <w:pStyle w:val="atabletext"/>
            </w:pPr>
            <w:r>
              <w:br/>
            </w:r>
            <w:r w:rsidR="004D1B91" w:rsidRPr="002720F3">
              <w:t>am. 2017/664</w:t>
            </w:r>
          </w:p>
        </w:tc>
      </w:tr>
      <w:tr w:rsidR="004D1B91" w:rsidRPr="002720F3" w14:paraId="11661F5B" w14:textId="77777777" w:rsidTr="00653A8D">
        <w:tc>
          <w:tcPr>
            <w:tcW w:w="1918" w:type="dxa"/>
          </w:tcPr>
          <w:p w14:paraId="2D550DD6" w14:textId="48C724B4" w:rsidR="004D1B91" w:rsidRPr="002C479F" w:rsidRDefault="004D1B91" w:rsidP="00452D8D">
            <w:pPr>
              <w:pStyle w:val="atabletext"/>
              <w:tabs>
                <w:tab w:val="center" w:leader="dot" w:pos="1701"/>
              </w:tabs>
              <w:spacing w:after="0"/>
            </w:pPr>
            <w:r w:rsidRPr="002720F3">
              <w:t>Sub-</w:t>
            </w:r>
            <w:proofErr w:type="spellStart"/>
            <w:r w:rsidRPr="002720F3">
              <w:t>subpara</w:t>
            </w:r>
            <w:proofErr w:type="spellEnd"/>
            <w:r w:rsidRPr="002720F3">
              <w:t xml:space="preserve"> 6(a)(iv) (</w:t>
            </w:r>
            <w:r w:rsidR="00204FD0" w:rsidRPr="00204FD0">
              <w:t>notional subclause</w:t>
            </w:r>
            <w:r w:rsidRPr="00DF482C">
              <w:t xml:space="preserve"> 101B(4A))</w:t>
            </w:r>
            <w:r w:rsidRPr="00DF482C">
              <w:tab/>
            </w:r>
          </w:p>
        </w:tc>
        <w:tc>
          <w:tcPr>
            <w:tcW w:w="5120" w:type="dxa"/>
          </w:tcPr>
          <w:p w14:paraId="3832D6C5" w14:textId="1AD7DFF7" w:rsidR="004D1B91" w:rsidRPr="002720F3" w:rsidRDefault="00734CDA" w:rsidP="00452D8D">
            <w:pPr>
              <w:pStyle w:val="atabletext"/>
              <w:spacing w:after="0"/>
            </w:pPr>
            <w:r>
              <w:br/>
            </w:r>
            <w:r w:rsidR="00204FD0">
              <w:br/>
            </w:r>
            <w:r w:rsidR="004D1B91" w:rsidRPr="002720F3">
              <w:t>ad. 2017/664</w:t>
            </w:r>
          </w:p>
        </w:tc>
      </w:tr>
      <w:tr w:rsidR="004D1B91" w:rsidRPr="002720F3" w14:paraId="37DD0833" w14:textId="77777777" w:rsidTr="002720F3">
        <w:tc>
          <w:tcPr>
            <w:tcW w:w="1918" w:type="dxa"/>
          </w:tcPr>
          <w:p w14:paraId="15CDAD18" w14:textId="71BF32F5" w:rsidR="004D1B91" w:rsidRPr="00DF482C" w:rsidRDefault="004D1B91" w:rsidP="00452D8D">
            <w:pPr>
              <w:pStyle w:val="atabletext"/>
              <w:tabs>
                <w:tab w:val="center" w:leader="dot" w:pos="1701"/>
              </w:tabs>
              <w:spacing w:after="0"/>
            </w:pPr>
            <w:r w:rsidRPr="002720F3">
              <w:t>Sub-</w:t>
            </w:r>
            <w:proofErr w:type="spellStart"/>
            <w:r w:rsidRPr="002720F3">
              <w:t>subpara</w:t>
            </w:r>
            <w:proofErr w:type="spellEnd"/>
            <w:r w:rsidRPr="002720F3">
              <w:t xml:space="preserve"> 6(a)(iv) (</w:t>
            </w:r>
            <w:r w:rsidR="00204FD0">
              <w:t>notional subclause</w:t>
            </w:r>
            <w:r w:rsidRPr="002720F3">
              <w:t xml:space="preserve"> 101B(4B))</w:t>
            </w:r>
            <w:r w:rsidRPr="00DF482C">
              <w:tab/>
            </w:r>
          </w:p>
        </w:tc>
        <w:tc>
          <w:tcPr>
            <w:tcW w:w="5120" w:type="dxa"/>
          </w:tcPr>
          <w:p w14:paraId="669D33E7" w14:textId="4F12E10E" w:rsidR="004D1B91" w:rsidRPr="00DF482C" w:rsidRDefault="00734CDA" w:rsidP="00452D8D">
            <w:pPr>
              <w:pStyle w:val="atabletext"/>
              <w:spacing w:after="0"/>
            </w:pPr>
            <w:r>
              <w:br/>
            </w:r>
            <w:r w:rsidR="00204FD0">
              <w:br/>
            </w:r>
            <w:r w:rsidR="004D1B91" w:rsidRPr="00DF482C">
              <w:t>ad. 2017/664</w:t>
            </w:r>
          </w:p>
        </w:tc>
      </w:tr>
      <w:tr w:rsidR="004D1B91" w:rsidRPr="002720F3" w14:paraId="52AA5993" w14:textId="77777777" w:rsidTr="002720F3">
        <w:tc>
          <w:tcPr>
            <w:tcW w:w="1918" w:type="dxa"/>
          </w:tcPr>
          <w:p w14:paraId="359059DB" w14:textId="63A88509" w:rsidR="004D1B91" w:rsidRPr="00DF482C" w:rsidRDefault="004D1B91" w:rsidP="00452D8D">
            <w:pPr>
              <w:pStyle w:val="atabletext"/>
              <w:tabs>
                <w:tab w:val="center" w:leader="dot" w:pos="1701"/>
              </w:tabs>
              <w:spacing w:after="0"/>
            </w:pPr>
            <w:r w:rsidRPr="002720F3">
              <w:t>Sub-</w:t>
            </w:r>
            <w:proofErr w:type="spellStart"/>
            <w:r w:rsidRPr="002720F3">
              <w:t>subpara</w:t>
            </w:r>
            <w:proofErr w:type="spellEnd"/>
            <w:r w:rsidRPr="002720F3">
              <w:t xml:space="preserve"> 6(a)(iv) (</w:t>
            </w:r>
            <w:r w:rsidR="00204FD0">
              <w:t>notional subclause</w:t>
            </w:r>
            <w:r w:rsidRPr="002720F3">
              <w:t xml:space="preserve"> 101B(4</w:t>
            </w:r>
            <w:r w:rsidRPr="00DF482C">
              <w:t>C))</w:t>
            </w:r>
            <w:r w:rsidRPr="00DF482C">
              <w:tab/>
            </w:r>
          </w:p>
        </w:tc>
        <w:tc>
          <w:tcPr>
            <w:tcW w:w="5120" w:type="dxa"/>
          </w:tcPr>
          <w:p w14:paraId="45FB3EF0" w14:textId="53049C89" w:rsidR="004D1B91" w:rsidRPr="00DF482C" w:rsidRDefault="00734CDA" w:rsidP="00452D8D">
            <w:pPr>
              <w:pStyle w:val="atabletext"/>
              <w:spacing w:after="0"/>
            </w:pPr>
            <w:r>
              <w:br/>
            </w:r>
            <w:r w:rsidR="00204FD0">
              <w:br/>
            </w:r>
            <w:r w:rsidR="004D1B91" w:rsidRPr="00DF482C">
              <w:t>ad. 2017/664</w:t>
            </w:r>
          </w:p>
        </w:tc>
      </w:tr>
      <w:tr w:rsidR="004D1B91" w:rsidRPr="002720F3" w14:paraId="1428A6D5" w14:textId="77777777" w:rsidTr="00653A8D">
        <w:tc>
          <w:tcPr>
            <w:tcW w:w="1918" w:type="dxa"/>
          </w:tcPr>
          <w:p w14:paraId="6C3B34D1" w14:textId="147FDC4D" w:rsidR="004D1B91" w:rsidRPr="00DF482C" w:rsidRDefault="004D1B91" w:rsidP="00452D8D">
            <w:pPr>
              <w:pStyle w:val="atabletext"/>
              <w:tabs>
                <w:tab w:val="center" w:leader="dot" w:pos="1701"/>
              </w:tabs>
              <w:spacing w:after="0"/>
            </w:pPr>
            <w:r w:rsidRPr="002720F3">
              <w:t>Sub-</w:t>
            </w:r>
            <w:proofErr w:type="spellStart"/>
            <w:r w:rsidRPr="002720F3">
              <w:t>subpara</w:t>
            </w:r>
            <w:proofErr w:type="spellEnd"/>
            <w:r w:rsidRPr="002720F3">
              <w:t xml:space="preserve"> 6(a)(iv) (</w:t>
            </w:r>
            <w:r w:rsidR="00204FD0">
              <w:t>notional subclause</w:t>
            </w:r>
            <w:r w:rsidRPr="002720F3">
              <w:t xml:space="preserve"> </w:t>
            </w:r>
            <w:r w:rsidRPr="00DF482C">
              <w:t>101B(4D))</w:t>
            </w:r>
            <w:r w:rsidRPr="00DF482C">
              <w:tab/>
            </w:r>
          </w:p>
        </w:tc>
        <w:tc>
          <w:tcPr>
            <w:tcW w:w="5120" w:type="dxa"/>
          </w:tcPr>
          <w:p w14:paraId="06660DB6" w14:textId="08332D6C" w:rsidR="004D1B91" w:rsidRPr="00DF482C" w:rsidRDefault="00734CDA" w:rsidP="00452D8D">
            <w:pPr>
              <w:pStyle w:val="atabletext"/>
              <w:spacing w:after="0"/>
            </w:pPr>
            <w:r>
              <w:br/>
            </w:r>
            <w:r w:rsidR="00204FD0">
              <w:br/>
            </w:r>
            <w:r w:rsidR="004D1B91" w:rsidRPr="00DF482C">
              <w:t>ad. 2017/664</w:t>
            </w:r>
          </w:p>
        </w:tc>
      </w:tr>
      <w:tr w:rsidR="004D1B91" w:rsidRPr="002720F3" w14:paraId="43C52FDC" w14:textId="77777777" w:rsidTr="00653A8D">
        <w:tc>
          <w:tcPr>
            <w:tcW w:w="1918" w:type="dxa"/>
          </w:tcPr>
          <w:p w14:paraId="7694F731" w14:textId="27D8C8B2" w:rsidR="004D1B91" w:rsidRPr="00DF482C" w:rsidRDefault="004D1B91" w:rsidP="00452D8D">
            <w:pPr>
              <w:pStyle w:val="atabletext"/>
              <w:tabs>
                <w:tab w:val="center" w:leader="dot" w:pos="1701"/>
              </w:tabs>
              <w:spacing w:after="0"/>
            </w:pPr>
            <w:r w:rsidRPr="002720F3">
              <w:t>Sub-</w:t>
            </w:r>
            <w:proofErr w:type="spellStart"/>
            <w:r w:rsidRPr="002720F3">
              <w:t>subpara</w:t>
            </w:r>
            <w:proofErr w:type="spellEnd"/>
            <w:r w:rsidRPr="002720F3">
              <w:t xml:space="preserve"> 6(a)(iv) (</w:t>
            </w:r>
            <w:r w:rsidR="00204FD0">
              <w:t>notional subclause</w:t>
            </w:r>
            <w:r w:rsidRPr="002720F3">
              <w:t xml:space="preserve"> 101</w:t>
            </w:r>
            <w:proofErr w:type="gramStart"/>
            <w:r w:rsidRPr="002720F3">
              <w:t>B(</w:t>
            </w:r>
            <w:proofErr w:type="gramEnd"/>
            <w:r w:rsidRPr="002720F3">
              <w:t>5)</w:t>
            </w:r>
            <w:r w:rsidR="002874ED" w:rsidRPr="00DF482C">
              <w:t>)</w:t>
            </w:r>
            <w:r w:rsidRPr="00DF482C">
              <w:tab/>
            </w:r>
          </w:p>
        </w:tc>
        <w:tc>
          <w:tcPr>
            <w:tcW w:w="5120" w:type="dxa"/>
          </w:tcPr>
          <w:p w14:paraId="53FA48BC" w14:textId="42980D03" w:rsidR="004D1B91" w:rsidRPr="002C479F" w:rsidRDefault="00734CDA" w:rsidP="00452D8D">
            <w:pPr>
              <w:pStyle w:val="atabletext"/>
              <w:spacing w:after="0"/>
            </w:pPr>
            <w:r>
              <w:br/>
            </w:r>
            <w:r w:rsidR="00204FD0">
              <w:br/>
            </w:r>
            <w:r w:rsidR="004D1B91" w:rsidRPr="00DF482C">
              <w:t>am. 2017/664</w:t>
            </w:r>
          </w:p>
        </w:tc>
      </w:tr>
      <w:tr w:rsidR="00184385" w:rsidRPr="002720F3" w14:paraId="0824B319" w14:textId="77777777" w:rsidTr="00653A8D">
        <w:tc>
          <w:tcPr>
            <w:tcW w:w="1918" w:type="dxa"/>
          </w:tcPr>
          <w:p w14:paraId="3A22BCCF" w14:textId="1BDD43C9" w:rsidR="00184385" w:rsidRPr="002720F3" w:rsidRDefault="00184385" w:rsidP="00452D8D">
            <w:pPr>
              <w:pStyle w:val="atabletext"/>
              <w:tabs>
                <w:tab w:val="center" w:leader="dot" w:pos="1701"/>
              </w:tabs>
              <w:spacing w:after="0"/>
            </w:pPr>
            <w:r>
              <w:t>Sub-</w:t>
            </w:r>
            <w:proofErr w:type="spellStart"/>
            <w:r>
              <w:t>subpara</w:t>
            </w:r>
            <w:proofErr w:type="spellEnd"/>
            <w:r>
              <w:t xml:space="preserve"> 6(a)(v) </w:t>
            </w:r>
            <w:r w:rsidRPr="00184385">
              <w:tab/>
            </w:r>
          </w:p>
        </w:tc>
        <w:tc>
          <w:tcPr>
            <w:tcW w:w="5120" w:type="dxa"/>
          </w:tcPr>
          <w:p w14:paraId="61B216E1" w14:textId="7A3CF8B0" w:rsidR="00184385" w:rsidRDefault="00184385" w:rsidP="00452D8D">
            <w:pPr>
              <w:pStyle w:val="atabletext"/>
              <w:spacing w:after="0"/>
            </w:pPr>
            <w:r>
              <w:t>am. 2018/697</w:t>
            </w:r>
          </w:p>
        </w:tc>
      </w:tr>
      <w:tr w:rsidR="004D1B91" w:rsidRPr="002720F3" w14:paraId="2BC6AEF3" w14:textId="77777777" w:rsidTr="002720F3">
        <w:tc>
          <w:tcPr>
            <w:tcW w:w="1918" w:type="dxa"/>
          </w:tcPr>
          <w:p w14:paraId="5036AC95" w14:textId="6D57B1A2" w:rsidR="00734CDA" w:rsidRDefault="002825BE" w:rsidP="004D1B91">
            <w:pPr>
              <w:pStyle w:val="atabletext"/>
              <w:tabs>
                <w:tab w:val="center" w:leader="dot" w:pos="1701"/>
              </w:tabs>
            </w:pPr>
            <w:proofErr w:type="spellStart"/>
            <w:r>
              <w:t>Sub</w:t>
            </w:r>
            <w:r w:rsidR="00734CDA">
              <w:t>para</w:t>
            </w:r>
            <w:proofErr w:type="spellEnd"/>
            <w:r w:rsidR="00734CDA">
              <w:t xml:space="preserve"> 6(baa) </w:t>
            </w:r>
            <w:r w:rsidR="00734CDA" w:rsidRPr="00734CDA">
              <w:tab/>
            </w:r>
          </w:p>
          <w:p w14:paraId="7EC9E369" w14:textId="69A46202" w:rsidR="00734CDA" w:rsidRPr="002720F3" w:rsidRDefault="004D1B91" w:rsidP="004D1B91">
            <w:pPr>
              <w:pStyle w:val="atabletext"/>
              <w:tabs>
                <w:tab w:val="center" w:leader="dot" w:pos="1701"/>
              </w:tabs>
            </w:pPr>
            <w:proofErr w:type="spellStart"/>
            <w:r w:rsidRPr="002720F3">
              <w:t>Subpara</w:t>
            </w:r>
            <w:proofErr w:type="spellEnd"/>
            <w:r w:rsidRPr="002720F3">
              <w:t xml:space="preserve"> 6(</w:t>
            </w:r>
            <w:proofErr w:type="gramStart"/>
            <w:r w:rsidRPr="002720F3">
              <w:t>baa)</w:t>
            </w:r>
            <w:r w:rsidR="00A624A0">
              <w:t xml:space="preserve"> </w:t>
            </w:r>
            <w:r w:rsidRPr="002720F3">
              <w:t xml:space="preserve"> </w:t>
            </w:r>
            <w:r w:rsidR="00A624A0">
              <w:t>(</w:t>
            </w:r>
            <w:proofErr w:type="gramEnd"/>
            <w:r w:rsidR="00A624A0">
              <w:t>notional clause 103)</w:t>
            </w:r>
            <w:r w:rsidRPr="002720F3">
              <w:tab/>
            </w:r>
          </w:p>
        </w:tc>
        <w:tc>
          <w:tcPr>
            <w:tcW w:w="5120" w:type="dxa"/>
          </w:tcPr>
          <w:p w14:paraId="444D1559" w14:textId="0A5C4D36" w:rsidR="00260694" w:rsidRDefault="004D1B91" w:rsidP="00491EAF">
            <w:pPr>
              <w:pStyle w:val="atabletext"/>
            </w:pPr>
            <w:proofErr w:type="spellStart"/>
            <w:r w:rsidRPr="002720F3">
              <w:t>rs</w:t>
            </w:r>
            <w:proofErr w:type="spellEnd"/>
            <w:r w:rsidRPr="002720F3">
              <w:t>. 2017/664</w:t>
            </w:r>
            <w:r w:rsidR="00C6154C">
              <w:br/>
            </w:r>
          </w:p>
          <w:p w14:paraId="222620D7" w14:textId="328C1D4E" w:rsidR="004D1B91" w:rsidRPr="002720F3" w:rsidRDefault="00C6154C" w:rsidP="00491EAF">
            <w:pPr>
              <w:pStyle w:val="atabletext"/>
            </w:pPr>
            <w:r>
              <w:t>am. 2018/697</w:t>
            </w:r>
          </w:p>
        </w:tc>
      </w:tr>
      <w:tr w:rsidR="004E503F" w:rsidRPr="002720F3" w14:paraId="163C3B46" w14:textId="77777777" w:rsidTr="002720F3">
        <w:tc>
          <w:tcPr>
            <w:tcW w:w="1918" w:type="dxa"/>
          </w:tcPr>
          <w:p w14:paraId="42320505" w14:textId="79F96447" w:rsidR="004E503F" w:rsidRPr="004E503F" w:rsidRDefault="004E503F" w:rsidP="004E503F">
            <w:pPr>
              <w:pStyle w:val="atabletext"/>
              <w:tabs>
                <w:tab w:val="center" w:leader="dot" w:pos="1701"/>
              </w:tabs>
            </w:pPr>
            <w:proofErr w:type="spellStart"/>
            <w:r w:rsidRPr="004E503F">
              <w:t>Subpara</w:t>
            </w:r>
            <w:proofErr w:type="spellEnd"/>
            <w:r w:rsidRPr="004E503F">
              <w:t xml:space="preserve"> 6(baa) (notional subclause </w:t>
            </w:r>
            <w:r w:rsidR="00184385">
              <w:t xml:space="preserve">103 </w:t>
            </w:r>
            <w:r w:rsidRPr="004E503F">
              <w:t>(1A))</w:t>
            </w:r>
            <w:r>
              <w:t xml:space="preserve"> </w:t>
            </w:r>
            <w:r w:rsidRPr="004E503F">
              <w:tab/>
            </w:r>
          </w:p>
        </w:tc>
        <w:tc>
          <w:tcPr>
            <w:tcW w:w="5120" w:type="dxa"/>
          </w:tcPr>
          <w:p w14:paraId="11AA764B" w14:textId="77777777" w:rsidR="004E503F" w:rsidRDefault="004E503F" w:rsidP="00491EAF">
            <w:pPr>
              <w:pStyle w:val="atabletext"/>
            </w:pPr>
            <w:r>
              <w:br/>
            </w:r>
            <w:r>
              <w:br/>
              <w:t>am. 2017/1138</w:t>
            </w:r>
            <w:r w:rsidR="00595802">
              <w:t xml:space="preserve"> and 2018/1088</w:t>
            </w:r>
          </w:p>
          <w:p w14:paraId="13F76DCE" w14:textId="0E70AD84" w:rsidR="00D4374B" w:rsidRPr="002720F3" w:rsidRDefault="00D4374B" w:rsidP="00491EAF">
            <w:pPr>
              <w:pStyle w:val="atabletext"/>
            </w:pPr>
            <w:proofErr w:type="spellStart"/>
            <w:r>
              <w:t>rs</w:t>
            </w:r>
            <w:proofErr w:type="spellEnd"/>
            <w:r>
              <w:t>. 2019/1071</w:t>
            </w:r>
          </w:p>
        </w:tc>
      </w:tr>
      <w:tr w:rsidR="00C6154C" w:rsidRPr="002720F3" w14:paraId="6ABE94D1" w14:textId="77777777" w:rsidTr="002720F3">
        <w:tc>
          <w:tcPr>
            <w:tcW w:w="1918" w:type="dxa"/>
          </w:tcPr>
          <w:p w14:paraId="4F223497" w14:textId="5C8824C2" w:rsidR="00C6154C" w:rsidRPr="004E503F" w:rsidRDefault="009D5AA3" w:rsidP="004E503F">
            <w:pPr>
              <w:pStyle w:val="atabletext"/>
              <w:tabs>
                <w:tab w:val="center" w:leader="dot" w:pos="1701"/>
              </w:tabs>
            </w:pPr>
            <w:proofErr w:type="spellStart"/>
            <w:r>
              <w:t>Subpara</w:t>
            </w:r>
            <w:proofErr w:type="spellEnd"/>
            <w:r w:rsidR="00C6154C" w:rsidRPr="00C6154C">
              <w:t xml:space="preserve"> 6(bd)</w:t>
            </w:r>
            <w:r w:rsidR="007407A6">
              <w:t xml:space="preserve"> </w:t>
            </w:r>
            <w:r w:rsidR="007407A6" w:rsidRPr="007407A6">
              <w:tab/>
            </w:r>
          </w:p>
        </w:tc>
        <w:tc>
          <w:tcPr>
            <w:tcW w:w="5120" w:type="dxa"/>
          </w:tcPr>
          <w:p w14:paraId="6E4867AF" w14:textId="66EDB4BF" w:rsidR="00C6154C" w:rsidRDefault="00C6154C" w:rsidP="00491EAF">
            <w:pPr>
              <w:pStyle w:val="atabletext"/>
            </w:pPr>
            <w:r>
              <w:t>am.</w:t>
            </w:r>
            <w:r w:rsidR="007407A6">
              <w:t xml:space="preserve"> 2018/6</w:t>
            </w:r>
            <w:r>
              <w:t>97</w:t>
            </w:r>
          </w:p>
        </w:tc>
      </w:tr>
      <w:tr w:rsidR="003764D3" w:rsidRPr="002720F3" w14:paraId="7F510C07" w14:textId="77777777" w:rsidTr="002720F3">
        <w:tc>
          <w:tcPr>
            <w:tcW w:w="1918" w:type="dxa"/>
          </w:tcPr>
          <w:p w14:paraId="20845E4F" w14:textId="38D67A62" w:rsidR="003764D3" w:rsidRDefault="003764D3" w:rsidP="004E503F">
            <w:pPr>
              <w:pStyle w:val="atabletext"/>
              <w:tabs>
                <w:tab w:val="center" w:leader="dot" w:pos="1701"/>
              </w:tabs>
            </w:pPr>
            <w:proofErr w:type="spellStart"/>
            <w:r>
              <w:t>Subpara</w:t>
            </w:r>
            <w:proofErr w:type="spellEnd"/>
            <w:r>
              <w:t xml:space="preserve"> 6(b)(ii) </w:t>
            </w:r>
            <w:r w:rsidRPr="003764D3">
              <w:tab/>
            </w:r>
          </w:p>
        </w:tc>
        <w:tc>
          <w:tcPr>
            <w:tcW w:w="5120" w:type="dxa"/>
          </w:tcPr>
          <w:p w14:paraId="1122CE4D" w14:textId="0249CED1" w:rsidR="003764D3" w:rsidRDefault="003764D3" w:rsidP="00491EAF">
            <w:pPr>
              <w:pStyle w:val="atabletext"/>
            </w:pPr>
            <w:r>
              <w:t>am. 2020/579</w:t>
            </w:r>
          </w:p>
        </w:tc>
      </w:tr>
      <w:tr w:rsidR="00C6154C" w:rsidRPr="002720F3" w14:paraId="0C5DF253" w14:textId="77777777" w:rsidTr="002720F3">
        <w:tc>
          <w:tcPr>
            <w:tcW w:w="1918" w:type="dxa"/>
          </w:tcPr>
          <w:p w14:paraId="2E41D08B" w14:textId="5A566D0C" w:rsidR="00C6154C" w:rsidRPr="002720F3" w:rsidRDefault="00C6154C" w:rsidP="00491EAF">
            <w:pPr>
              <w:pStyle w:val="atabletext"/>
              <w:tabs>
                <w:tab w:val="center" w:leader="dot" w:pos="1701"/>
              </w:tabs>
            </w:pPr>
            <w:proofErr w:type="spellStart"/>
            <w:r>
              <w:t>Subpara</w:t>
            </w:r>
            <w:proofErr w:type="spellEnd"/>
            <w:r>
              <w:t xml:space="preserve"> 6(da)</w:t>
            </w:r>
            <w:r w:rsidR="007407A6">
              <w:t xml:space="preserve"> </w:t>
            </w:r>
            <w:r w:rsidR="007407A6" w:rsidRPr="007407A6">
              <w:tab/>
            </w:r>
          </w:p>
        </w:tc>
        <w:tc>
          <w:tcPr>
            <w:tcW w:w="5120" w:type="dxa"/>
          </w:tcPr>
          <w:p w14:paraId="2DEA30C6" w14:textId="3E4F03F7" w:rsidR="00C6154C" w:rsidRPr="002720F3" w:rsidRDefault="009D5AA3" w:rsidP="002720F3">
            <w:pPr>
              <w:pStyle w:val="atabletext"/>
            </w:pPr>
            <w:r>
              <w:t>a</w:t>
            </w:r>
            <w:r w:rsidR="00C6154C">
              <w:t>d. 2018/697</w:t>
            </w:r>
          </w:p>
        </w:tc>
      </w:tr>
      <w:tr w:rsidR="00962B37" w:rsidRPr="002720F3" w14:paraId="22A0E8AD" w14:textId="77777777" w:rsidTr="002720F3">
        <w:tc>
          <w:tcPr>
            <w:tcW w:w="1918" w:type="dxa"/>
          </w:tcPr>
          <w:p w14:paraId="205225E7" w14:textId="1464E6F7" w:rsidR="00962B37" w:rsidRPr="00595802" w:rsidRDefault="00962B37" w:rsidP="00491EAF">
            <w:pPr>
              <w:pStyle w:val="atabletext"/>
              <w:tabs>
                <w:tab w:val="center" w:leader="dot" w:pos="1701"/>
              </w:tabs>
            </w:pPr>
            <w:r w:rsidRPr="00962B37">
              <w:t>Sub-</w:t>
            </w:r>
            <w:proofErr w:type="spellStart"/>
            <w:r w:rsidRPr="00962B37">
              <w:t>subpara</w:t>
            </w:r>
            <w:proofErr w:type="spellEnd"/>
            <w:r w:rsidRPr="00962B37">
              <w:t xml:space="preserve"> 6(</w:t>
            </w:r>
            <w:r>
              <w:t>e) (notional paragraph 209(m</w:t>
            </w:r>
            <w:r w:rsidRPr="00962B37">
              <w:t>)</w:t>
            </w:r>
            <w:r>
              <w:t xml:space="preserve">) </w:t>
            </w:r>
            <w:r w:rsidRPr="00962B37">
              <w:tab/>
            </w:r>
          </w:p>
        </w:tc>
        <w:tc>
          <w:tcPr>
            <w:tcW w:w="5120" w:type="dxa"/>
          </w:tcPr>
          <w:p w14:paraId="3D6F4238" w14:textId="77777777" w:rsidR="00962B37" w:rsidRDefault="00962B37" w:rsidP="002720F3">
            <w:pPr>
              <w:pStyle w:val="atabletext"/>
            </w:pPr>
            <w:r>
              <w:br/>
            </w:r>
            <w:r>
              <w:br/>
              <w:t>am. 2017/664</w:t>
            </w:r>
          </w:p>
          <w:p w14:paraId="0A84C5B2" w14:textId="59B59355" w:rsidR="00C9371C" w:rsidRDefault="00C9371C" w:rsidP="002720F3">
            <w:pPr>
              <w:pStyle w:val="atabletext"/>
            </w:pPr>
            <w:r>
              <w:t>rep. 2019/1071</w:t>
            </w:r>
          </w:p>
        </w:tc>
      </w:tr>
      <w:tr w:rsidR="00595802" w:rsidRPr="002720F3" w14:paraId="2EC465F8" w14:textId="77777777" w:rsidTr="002720F3">
        <w:tc>
          <w:tcPr>
            <w:tcW w:w="1918" w:type="dxa"/>
          </w:tcPr>
          <w:p w14:paraId="226FF9EF" w14:textId="5B3E4C5C" w:rsidR="00595802" w:rsidRPr="002720F3" w:rsidRDefault="00595802" w:rsidP="00491EAF">
            <w:pPr>
              <w:pStyle w:val="atabletext"/>
              <w:tabs>
                <w:tab w:val="center" w:leader="dot" w:pos="1701"/>
              </w:tabs>
            </w:pPr>
            <w:proofErr w:type="spellStart"/>
            <w:r w:rsidRPr="00595802">
              <w:t>Subpara</w:t>
            </w:r>
            <w:proofErr w:type="spellEnd"/>
            <w:r w:rsidRPr="00595802">
              <w:t xml:space="preserve"> 6(e) (notional paragraph 209(ma))</w:t>
            </w:r>
            <w:r>
              <w:t xml:space="preserve"> </w:t>
            </w:r>
            <w:r w:rsidRPr="00595802">
              <w:t>…</w:t>
            </w:r>
          </w:p>
        </w:tc>
        <w:tc>
          <w:tcPr>
            <w:tcW w:w="5120" w:type="dxa"/>
          </w:tcPr>
          <w:p w14:paraId="39A34493" w14:textId="0108E1BF" w:rsidR="00FB02FA" w:rsidRDefault="00595802" w:rsidP="002720F3">
            <w:pPr>
              <w:pStyle w:val="atabletext"/>
            </w:pPr>
            <w:r>
              <w:br/>
            </w:r>
            <w:r w:rsidR="00FB02FA">
              <w:t>ad. 2017/664</w:t>
            </w:r>
          </w:p>
          <w:p w14:paraId="4647445C" w14:textId="77777777" w:rsidR="00595802" w:rsidRDefault="00595802" w:rsidP="002720F3">
            <w:pPr>
              <w:pStyle w:val="atabletext"/>
            </w:pPr>
            <w:r>
              <w:t xml:space="preserve">am. </w:t>
            </w:r>
            <w:r w:rsidR="00FB02FA">
              <w:t xml:space="preserve">2017/1138 and </w:t>
            </w:r>
            <w:r>
              <w:t>2018/1088</w:t>
            </w:r>
          </w:p>
          <w:p w14:paraId="3CD41207" w14:textId="446F34B7" w:rsidR="00D4374B" w:rsidRPr="002720F3" w:rsidRDefault="00D4374B" w:rsidP="002720F3">
            <w:pPr>
              <w:pStyle w:val="atabletext"/>
            </w:pPr>
            <w:r>
              <w:t>rep. 2019/1071</w:t>
            </w:r>
          </w:p>
        </w:tc>
      </w:tr>
      <w:tr w:rsidR="00491EAF" w:rsidRPr="002720F3" w14:paraId="6A9D3D37" w14:textId="77777777" w:rsidTr="002720F3">
        <w:tc>
          <w:tcPr>
            <w:tcW w:w="1918" w:type="dxa"/>
          </w:tcPr>
          <w:p w14:paraId="003267C3" w14:textId="77777777" w:rsidR="00491EAF" w:rsidRPr="00DF482C" w:rsidRDefault="00491EAF" w:rsidP="00491EAF">
            <w:pPr>
              <w:pStyle w:val="atabletext"/>
              <w:tabs>
                <w:tab w:val="center" w:leader="dot" w:pos="1701"/>
              </w:tabs>
            </w:pPr>
            <w:proofErr w:type="spellStart"/>
            <w:r w:rsidRPr="002720F3">
              <w:t>Subpara</w:t>
            </w:r>
            <w:proofErr w:type="spellEnd"/>
            <w:r w:rsidRPr="002720F3">
              <w:t xml:space="preserve"> 6(</w:t>
            </w:r>
            <w:proofErr w:type="spellStart"/>
            <w:r w:rsidRPr="002720F3">
              <w:t>ea</w:t>
            </w:r>
            <w:proofErr w:type="spellEnd"/>
            <w:r w:rsidRPr="002720F3">
              <w:t xml:space="preserve">) </w:t>
            </w:r>
            <w:r w:rsidRPr="002720F3">
              <w:tab/>
            </w:r>
          </w:p>
        </w:tc>
        <w:tc>
          <w:tcPr>
            <w:tcW w:w="5120" w:type="dxa"/>
          </w:tcPr>
          <w:p w14:paraId="28C36242" w14:textId="77777777" w:rsidR="00491EAF" w:rsidRPr="002720F3" w:rsidRDefault="00491EAF" w:rsidP="002720F3">
            <w:pPr>
              <w:pStyle w:val="atabletext"/>
            </w:pPr>
            <w:r w:rsidRPr="002720F3">
              <w:t>am. 2017/664</w:t>
            </w:r>
          </w:p>
        </w:tc>
      </w:tr>
      <w:tr w:rsidR="00142E1C" w:rsidRPr="002720F3" w14:paraId="426CB55E" w14:textId="77777777" w:rsidTr="00653A8D">
        <w:tc>
          <w:tcPr>
            <w:tcW w:w="1918" w:type="dxa"/>
          </w:tcPr>
          <w:p w14:paraId="367C3AB9" w14:textId="1CE014A3" w:rsidR="00142E1C" w:rsidRPr="002720F3" w:rsidRDefault="00142E1C" w:rsidP="00D84332">
            <w:pPr>
              <w:pStyle w:val="atabletext"/>
              <w:tabs>
                <w:tab w:val="center" w:leader="dot" w:pos="1701"/>
              </w:tabs>
            </w:pPr>
            <w:r w:rsidRPr="00142E1C">
              <w:lastRenderedPageBreak/>
              <w:t>Sub-</w:t>
            </w:r>
            <w:proofErr w:type="spellStart"/>
            <w:r w:rsidRPr="00142E1C">
              <w:t>subpa</w:t>
            </w:r>
            <w:r>
              <w:t>ra</w:t>
            </w:r>
            <w:proofErr w:type="spellEnd"/>
            <w:r w:rsidRPr="00142E1C">
              <w:t xml:space="preserve"> 6(f)(</w:t>
            </w:r>
            <w:proofErr w:type="spellStart"/>
            <w:r w:rsidRPr="00142E1C">
              <w:t>ia</w:t>
            </w:r>
            <w:proofErr w:type="spellEnd"/>
            <w:r w:rsidRPr="00142E1C">
              <w:t xml:space="preserve">) (definition of </w:t>
            </w:r>
            <w:r w:rsidRPr="00142E1C">
              <w:rPr>
                <w:i/>
              </w:rPr>
              <w:t>administration fee</w:t>
            </w:r>
            <w:r w:rsidRPr="00142E1C">
              <w:t>)</w:t>
            </w:r>
            <w:r>
              <w:t xml:space="preserve"> </w:t>
            </w:r>
            <w:r w:rsidRPr="00142E1C">
              <w:tab/>
            </w:r>
          </w:p>
        </w:tc>
        <w:tc>
          <w:tcPr>
            <w:tcW w:w="5120" w:type="dxa"/>
          </w:tcPr>
          <w:p w14:paraId="56E5A160" w14:textId="34AAC2CF" w:rsidR="00142E1C" w:rsidRPr="002720F3" w:rsidRDefault="00142E1C" w:rsidP="0031240F">
            <w:pPr>
              <w:pStyle w:val="atabletext"/>
            </w:pPr>
            <w:r>
              <w:br/>
            </w:r>
            <w:r>
              <w:br/>
              <w:t>am. 2019/599</w:t>
            </w:r>
          </w:p>
        </w:tc>
      </w:tr>
      <w:tr w:rsidR="00142E1C" w:rsidRPr="002720F3" w14:paraId="0E378E36" w14:textId="77777777" w:rsidTr="00653A8D">
        <w:tc>
          <w:tcPr>
            <w:tcW w:w="1918" w:type="dxa"/>
          </w:tcPr>
          <w:p w14:paraId="39E0EFF0" w14:textId="4FB0550A" w:rsidR="00142E1C" w:rsidRPr="002720F3" w:rsidRDefault="00142E1C" w:rsidP="00D84332">
            <w:pPr>
              <w:pStyle w:val="atabletext"/>
              <w:tabs>
                <w:tab w:val="center" w:leader="dot" w:pos="1701"/>
              </w:tabs>
            </w:pPr>
            <w:r w:rsidRPr="00142E1C">
              <w:t>Sub-</w:t>
            </w:r>
            <w:proofErr w:type="spellStart"/>
            <w:r w:rsidRPr="00142E1C">
              <w:t>subpara</w:t>
            </w:r>
            <w:proofErr w:type="spellEnd"/>
            <w:r w:rsidRPr="00142E1C">
              <w:t xml:space="preserve"> 6(f)(</w:t>
            </w:r>
            <w:proofErr w:type="spellStart"/>
            <w:r w:rsidRPr="00142E1C">
              <w:t>ib</w:t>
            </w:r>
            <w:proofErr w:type="spellEnd"/>
            <w:r w:rsidRPr="00142E1C">
              <w:t>)</w:t>
            </w:r>
            <w:r>
              <w:t xml:space="preserve"> </w:t>
            </w:r>
            <w:r w:rsidRPr="00142E1C">
              <w:t xml:space="preserve">(definition of </w:t>
            </w:r>
            <w:r w:rsidRPr="00142E1C">
              <w:rPr>
                <w:i/>
              </w:rPr>
              <w:t>investment fee</w:t>
            </w:r>
            <w:r w:rsidRPr="00142E1C">
              <w:t>)</w:t>
            </w:r>
            <w:r>
              <w:t xml:space="preserve"> </w:t>
            </w:r>
            <w:r w:rsidRPr="00142E1C">
              <w:tab/>
            </w:r>
          </w:p>
        </w:tc>
        <w:tc>
          <w:tcPr>
            <w:tcW w:w="5120" w:type="dxa"/>
          </w:tcPr>
          <w:p w14:paraId="0561A65A" w14:textId="11702916" w:rsidR="00142E1C" w:rsidRPr="002720F3" w:rsidRDefault="00142E1C" w:rsidP="0031240F">
            <w:pPr>
              <w:pStyle w:val="atabletext"/>
            </w:pPr>
            <w:r>
              <w:br/>
            </w:r>
            <w:r>
              <w:br/>
              <w:t>am. 2019/599</w:t>
            </w:r>
          </w:p>
        </w:tc>
      </w:tr>
      <w:tr w:rsidR="002874ED" w:rsidRPr="002720F3" w14:paraId="60B11A23" w14:textId="77777777" w:rsidTr="00653A8D">
        <w:tc>
          <w:tcPr>
            <w:tcW w:w="1918" w:type="dxa"/>
          </w:tcPr>
          <w:p w14:paraId="41453281" w14:textId="77777777" w:rsidR="002874ED" w:rsidRPr="00DF482C" w:rsidRDefault="002874ED" w:rsidP="00D84332">
            <w:pPr>
              <w:pStyle w:val="atabletext"/>
              <w:tabs>
                <w:tab w:val="center" w:leader="dot" w:pos="1701"/>
              </w:tabs>
            </w:pPr>
            <w:r w:rsidRPr="002720F3">
              <w:t>Sub-</w:t>
            </w:r>
            <w:proofErr w:type="spellStart"/>
            <w:r w:rsidRPr="002720F3">
              <w:t>subpara</w:t>
            </w:r>
            <w:proofErr w:type="spellEnd"/>
            <w:r w:rsidRPr="002720F3">
              <w:t xml:space="preserve"> 6(f)(</w:t>
            </w:r>
            <w:proofErr w:type="spellStart"/>
            <w:r w:rsidRPr="002720F3">
              <w:t>ib</w:t>
            </w:r>
            <w:proofErr w:type="spellEnd"/>
            <w:r w:rsidRPr="002720F3">
              <w:t xml:space="preserve">) </w:t>
            </w:r>
            <w:r w:rsidRPr="002720F3">
              <w:tab/>
            </w:r>
          </w:p>
        </w:tc>
        <w:tc>
          <w:tcPr>
            <w:tcW w:w="5120" w:type="dxa"/>
          </w:tcPr>
          <w:p w14:paraId="16AF5DE0" w14:textId="77777777" w:rsidR="002874ED" w:rsidRPr="002720F3" w:rsidRDefault="002874ED" w:rsidP="0031240F">
            <w:pPr>
              <w:pStyle w:val="atabletext"/>
            </w:pPr>
            <w:r w:rsidRPr="002720F3">
              <w:t>am. 2017/65</w:t>
            </w:r>
          </w:p>
        </w:tc>
      </w:tr>
      <w:tr w:rsidR="002874ED" w:rsidRPr="002720F3" w14:paraId="3BEB9BDE" w14:textId="77777777" w:rsidTr="002720F3">
        <w:tc>
          <w:tcPr>
            <w:tcW w:w="1918" w:type="dxa"/>
          </w:tcPr>
          <w:p w14:paraId="0544A0A9" w14:textId="77777777" w:rsidR="002874ED" w:rsidRPr="00DF482C" w:rsidRDefault="002874ED" w:rsidP="002720F3">
            <w:pPr>
              <w:pStyle w:val="atabletext"/>
              <w:tabs>
                <w:tab w:val="center" w:leader="dot" w:pos="1701"/>
              </w:tabs>
            </w:pPr>
            <w:r w:rsidRPr="002720F3">
              <w:t>Sub-</w:t>
            </w:r>
            <w:proofErr w:type="spellStart"/>
            <w:r w:rsidRPr="002720F3">
              <w:t>subpara</w:t>
            </w:r>
            <w:proofErr w:type="spellEnd"/>
            <w:r w:rsidRPr="002720F3">
              <w:t xml:space="preserve"> 6(f)(</w:t>
            </w:r>
            <w:proofErr w:type="spellStart"/>
            <w:r w:rsidRPr="002720F3">
              <w:t>ib</w:t>
            </w:r>
            <w:proofErr w:type="spellEnd"/>
            <w:r w:rsidRPr="002720F3">
              <w:t xml:space="preserve">) Notes </w:t>
            </w:r>
            <w:r w:rsidRPr="00DF482C">
              <w:tab/>
            </w:r>
          </w:p>
        </w:tc>
        <w:tc>
          <w:tcPr>
            <w:tcW w:w="5120" w:type="dxa"/>
          </w:tcPr>
          <w:p w14:paraId="34D4351C" w14:textId="77777777" w:rsidR="002874ED" w:rsidRPr="00DF482C" w:rsidRDefault="002874ED" w:rsidP="00452D8D">
            <w:pPr>
              <w:pStyle w:val="atabletext"/>
              <w:spacing w:before="0" w:after="0"/>
            </w:pPr>
          </w:p>
          <w:p w14:paraId="4C06321C" w14:textId="77777777" w:rsidR="002874ED" w:rsidRPr="002720F3" w:rsidRDefault="002874ED" w:rsidP="00452D8D">
            <w:pPr>
              <w:pStyle w:val="atabletext"/>
              <w:spacing w:before="0" w:after="0"/>
              <w:rPr>
                <w:sz w:val="4"/>
                <w:szCs w:val="4"/>
              </w:rPr>
            </w:pPr>
          </w:p>
          <w:p w14:paraId="24BD4C31" w14:textId="77777777" w:rsidR="002874ED" w:rsidRPr="002720F3" w:rsidRDefault="002874ED" w:rsidP="00452D8D">
            <w:pPr>
              <w:pStyle w:val="atabletext"/>
              <w:spacing w:before="0" w:after="0"/>
              <w:rPr>
                <w:sz w:val="4"/>
                <w:szCs w:val="4"/>
              </w:rPr>
            </w:pPr>
          </w:p>
          <w:p w14:paraId="0D20BC7C" w14:textId="2031A5EF" w:rsidR="002874ED" w:rsidRPr="002720F3" w:rsidRDefault="002874ED" w:rsidP="004E503F">
            <w:pPr>
              <w:pStyle w:val="atabletext"/>
              <w:spacing w:before="0" w:after="0"/>
            </w:pPr>
            <w:r w:rsidRPr="002720F3">
              <w:t>ad. 2017/664</w:t>
            </w:r>
          </w:p>
        </w:tc>
      </w:tr>
      <w:tr w:rsidR="004E503F" w:rsidRPr="002720F3" w14:paraId="5832A566" w14:textId="77777777" w:rsidTr="002720F3">
        <w:tc>
          <w:tcPr>
            <w:tcW w:w="1918" w:type="dxa"/>
          </w:tcPr>
          <w:p w14:paraId="642F9945" w14:textId="2019FDFD" w:rsidR="004E503F" w:rsidRPr="002720F3" w:rsidRDefault="004E503F" w:rsidP="002720F3">
            <w:pPr>
              <w:pStyle w:val="atabletext"/>
              <w:tabs>
                <w:tab w:val="center" w:leader="dot" w:pos="1701"/>
              </w:tabs>
            </w:pPr>
            <w:r>
              <w:t>Sub-</w:t>
            </w:r>
            <w:proofErr w:type="spellStart"/>
            <w:r>
              <w:t>subpara</w:t>
            </w:r>
            <w:proofErr w:type="spellEnd"/>
            <w:r w:rsidRPr="004E503F">
              <w:t xml:space="preserve"> 6(f)(</w:t>
            </w:r>
            <w:proofErr w:type="spellStart"/>
            <w:r w:rsidRPr="004E503F">
              <w:t>ib</w:t>
            </w:r>
            <w:proofErr w:type="spellEnd"/>
            <w:r w:rsidRPr="004E503F">
              <w:t>) (note)</w:t>
            </w:r>
            <w:r>
              <w:t xml:space="preserve"> </w:t>
            </w:r>
            <w:r w:rsidRPr="004E503F">
              <w:tab/>
            </w:r>
          </w:p>
        </w:tc>
        <w:tc>
          <w:tcPr>
            <w:tcW w:w="5120" w:type="dxa"/>
          </w:tcPr>
          <w:p w14:paraId="1117C6CF" w14:textId="2012FE57" w:rsidR="004E503F" w:rsidRPr="00DF482C" w:rsidRDefault="004E503F" w:rsidP="00452D8D">
            <w:pPr>
              <w:pStyle w:val="atabletext"/>
              <w:spacing w:before="0" w:after="0"/>
            </w:pPr>
            <w:r>
              <w:br/>
            </w:r>
            <w:r w:rsidRPr="004E503F">
              <w:t>am. 2017/1138</w:t>
            </w:r>
            <w:r w:rsidR="00595802">
              <w:t xml:space="preserve"> and 2018/1088</w:t>
            </w:r>
          </w:p>
        </w:tc>
      </w:tr>
      <w:tr w:rsidR="00142E1C" w:rsidRPr="002720F3" w14:paraId="324E9648" w14:textId="77777777" w:rsidTr="002720F3">
        <w:tc>
          <w:tcPr>
            <w:tcW w:w="1918" w:type="dxa"/>
          </w:tcPr>
          <w:p w14:paraId="7FDC365D" w14:textId="3ABB4DE1" w:rsidR="00142E1C" w:rsidRDefault="00142E1C" w:rsidP="00163BA1">
            <w:pPr>
              <w:pStyle w:val="atabletext"/>
              <w:tabs>
                <w:tab w:val="center" w:leader="dot" w:pos="1701"/>
              </w:tabs>
            </w:pPr>
            <w:r w:rsidRPr="00142E1C">
              <w:t>Sub-</w:t>
            </w:r>
            <w:proofErr w:type="spellStart"/>
            <w:r w:rsidRPr="00142E1C">
              <w:t>subpara</w:t>
            </w:r>
            <w:proofErr w:type="spellEnd"/>
            <w:r w:rsidRPr="00142E1C">
              <w:t xml:space="preserve"> 6(fa)(v)</w:t>
            </w:r>
            <w:r>
              <w:t xml:space="preserve"> </w:t>
            </w:r>
            <w:r w:rsidRPr="00142E1C">
              <w:tab/>
            </w:r>
          </w:p>
        </w:tc>
        <w:tc>
          <w:tcPr>
            <w:tcW w:w="5120" w:type="dxa"/>
          </w:tcPr>
          <w:p w14:paraId="3E1E7A82" w14:textId="33E0B4F9" w:rsidR="00142E1C" w:rsidRDefault="00142E1C" w:rsidP="00163BA1">
            <w:pPr>
              <w:pStyle w:val="atabletext"/>
            </w:pPr>
            <w:r>
              <w:br/>
            </w:r>
            <w:proofErr w:type="spellStart"/>
            <w:r>
              <w:t>rs</w:t>
            </w:r>
            <w:proofErr w:type="spellEnd"/>
            <w:r>
              <w:t>. 2019/599</w:t>
            </w:r>
          </w:p>
        </w:tc>
      </w:tr>
      <w:tr w:rsidR="00C6154C" w:rsidRPr="002720F3" w14:paraId="081BDB18" w14:textId="77777777" w:rsidTr="002720F3">
        <w:tc>
          <w:tcPr>
            <w:tcW w:w="1918" w:type="dxa"/>
          </w:tcPr>
          <w:p w14:paraId="2F001A7E" w14:textId="503A83D7" w:rsidR="00C6154C" w:rsidRPr="002720F3" w:rsidRDefault="009D5AA3" w:rsidP="00163BA1">
            <w:pPr>
              <w:pStyle w:val="atabletext"/>
              <w:tabs>
                <w:tab w:val="center" w:leader="dot" w:pos="1701"/>
              </w:tabs>
            </w:pPr>
            <w:proofErr w:type="spellStart"/>
            <w:r>
              <w:t>Subpara</w:t>
            </w:r>
            <w:proofErr w:type="spellEnd"/>
            <w:r w:rsidR="00C6154C" w:rsidRPr="00C6154C">
              <w:t xml:space="preserve"> 6(g)</w:t>
            </w:r>
            <w:r w:rsidR="007407A6">
              <w:t xml:space="preserve"> </w:t>
            </w:r>
            <w:r w:rsidR="007407A6" w:rsidRPr="007407A6">
              <w:tab/>
            </w:r>
          </w:p>
        </w:tc>
        <w:tc>
          <w:tcPr>
            <w:tcW w:w="5120" w:type="dxa"/>
          </w:tcPr>
          <w:p w14:paraId="320515A3" w14:textId="4C38A72B" w:rsidR="00C6154C" w:rsidRPr="002720F3" w:rsidRDefault="00C6154C" w:rsidP="00163BA1">
            <w:pPr>
              <w:pStyle w:val="atabletext"/>
            </w:pPr>
            <w:r>
              <w:t>am. 2018/697</w:t>
            </w:r>
          </w:p>
        </w:tc>
      </w:tr>
      <w:tr w:rsidR="00C6154C" w:rsidRPr="002720F3" w14:paraId="5A165449" w14:textId="77777777" w:rsidTr="002720F3">
        <w:tc>
          <w:tcPr>
            <w:tcW w:w="1918" w:type="dxa"/>
          </w:tcPr>
          <w:p w14:paraId="4A877DD1" w14:textId="5996F4F2" w:rsidR="00C6154C" w:rsidRPr="00C6154C" w:rsidRDefault="009D5AA3" w:rsidP="00163BA1">
            <w:pPr>
              <w:pStyle w:val="atabletext"/>
              <w:tabs>
                <w:tab w:val="center" w:leader="dot" w:pos="1701"/>
              </w:tabs>
            </w:pPr>
            <w:proofErr w:type="spellStart"/>
            <w:r>
              <w:t>Subpara</w:t>
            </w:r>
            <w:proofErr w:type="spellEnd"/>
            <w:r w:rsidR="00C6154C" w:rsidRPr="00C6154C">
              <w:t xml:space="preserve"> 6(h)</w:t>
            </w:r>
            <w:r w:rsidR="007407A6" w:rsidRPr="007407A6">
              <w:tab/>
            </w:r>
          </w:p>
        </w:tc>
        <w:tc>
          <w:tcPr>
            <w:tcW w:w="5120" w:type="dxa"/>
          </w:tcPr>
          <w:p w14:paraId="4AF2A7A5" w14:textId="31554B80" w:rsidR="00C6154C" w:rsidRDefault="007407A6" w:rsidP="00163BA1">
            <w:pPr>
              <w:pStyle w:val="atabletext"/>
            </w:pPr>
            <w:r>
              <w:t>a</w:t>
            </w:r>
            <w:r w:rsidR="00C6154C">
              <w:t>m. 2018/697</w:t>
            </w:r>
          </w:p>
        </w:tc>
      </w:tr>
      <w:tr w:rsidR="002874ED" w:rsidRPr="002720F3" w14:paraId="03788618" w14:textId="77777777" w:rsidTr="002720F3">
        <w:tc>
          <w:tcPr>
            <w:tcW w:w="1918" w:type="dxa"/>
          </w:tcPr>
          <w:p w14:paraId="58C75DAD" w14:textId="704851DC" w:rsidR="002874ED" w:rsidRPr="002720F3" w:rsidRDefault="002874ED" w:rsidP="00163BA1">
            <w:pPr>
              <w:pStyle w:val="atabletext"/>
              <w:tabs>
                <w:tab w:val="center" w:leader="dot" w:pos="1701"/>
              </w:tabs>
            </w:pPr>
            <w:proofErr w:type="spellStart"/>
            <w:r w:rsidRPr="002720F3">
              <w:t>Subpara</w:t>
            </w:r>
            <w:proofErr w:type="spellEnd"/>
            <w:r w:rsidRPr="002720F3">
              <w:t xml:space="preserve"> 6(</w:t>
            </w:r>
            <w:proofErr w:type="spellStart"/>
            <w:r w:rsidR="00163BA1">
              <w:t>i</w:t>
            </w:r>
            <w:proofErr w:type="spellEnd"/>
            <w:r w:rsidRPr="002720F3">
              <w:t xml:space="preserve">) </w:t>
            </w:r>
            <w:r w:rsidR="007B7C45" w:rsidRPr="007B7C45">
              <w:tab/>
            </w:r>
          </w:p>
        </w:tc>
        <w:tc>
          <w:tcPr>
            <w:tcW w:w="5120" w:type="dxa"/>
          </w:tcPr>
          <w:p w14:paraId="7361A15E" w14:textId="0B26CC38" w:rsidR="002874ED" w:rsidRPr="002720F3" w:rsidRDefault="002874ED" w:rsidP="00163BA1">
            <w:pPr>
              <w:pStyle w:val="atabletext"/>
            </w:pPr>
            <w:r w:rsidRPr="002720F3">
              <w:t>a</w:t>
            </w:r>
            <w:r w:rsidR="00163BA1">
              <w:t>m</w:t>
            </w:r>
            <w:r w:rsidRPr="002720F3">
              <w:t>. 2017/664</w:t>
            </w:r>
          </w:p>
        </w:tc>
      </w:tr>
      <w:tr w:rsidR="007B7C45" w:rsidRPr="002720F3" w14:paraId="001786DD" w14:textId="77777777" w:rsidTr="002720F3">
        <w:tc>
          <w:tcPr>
            <w:tcW w:w="1918" w:type="dxa"/>
          </w:tcPr>
          <w:p w14:paraId="626CE8D9" w14:textId="3EA78422" w:rsidR="007B7C45" w:rsidRPr="002720F3" w:rsidRDefault="007B7C45" w:rsidP="00163BA1">
            <w:pPr>
              <w:pStyle w:val="atabletext"/>
              <w:tabs>
                <w:tab w:val="center" w:leader="dot" w:pos="1701"/>
              </w:tabs>
            </w:pPr>
            <w:proofErr w:type="spellStart"/>
            <w:r>
              <w:t>Su</w:t>
            </w:r>
            <w:r w:rsidR="008F03C6">
              <w:t>b</w:t>
            </w:r>
            <w:r>
              <w:t>para</w:t>
            </w:r>
            <w:proofErr w:type="spellEnd"/>
            <w:r>
              <w:t xml:space="preserve"> 6(</w:t>
            </w:r>
            <w:proofErr w:type="spellStart"/>
            <w:r>
              <w:t>i</w:t>
            </w:r>
            <w:proofErr w:type="spellEnd"/>
            <w:r>
              <w:t xml:space="preserve">) (notional subclause </w:t>
            </w:r>
            <w:r w:rsidR="00E26EC5">
              <w:t>301(</w:t>
            </w:r>
            <w:r>
              <w:t>1A</w:t>
            </w:r>
            <w:r w:rsidR="00E26EC5">
              <w:t>)</w:t>
            </w:r>
            <w:r>
              <w:t xml:space="preserve">) </w:t>
            </w:r>
            <w:r w:rsidRPr="007B7C45">
              <w:tab/>
            </w:r>
          </w:p>
        </w:tc>
        <w:tc>
          <w:tcPr>
            <w:tcW w:w="5120" w:type="dxa"/>
          </w:tcPr>
          <w:p w14:paraId="072DB8CF" w14:textId="2FF5487D" w:rsidR="00D4374B" w:rsidRPr="002720F3" w:rsidRDefault="007B7C45" w:rsidP="00163BA1">
            <w:pPr>
              <w:pStyle w:val="atabletext"/>
            </w:pPr>
            <w:r>
              <w:br/>
              <w:t>am. 2018/697</w:t>
            </w:r>
          </w:p>
        </w:tc>
      </w:tr>
      <w:tr w:rsidR="00D4374B" w:rsidRPr="002720F3" w14:paraId="7AEA2539" w14:textId="77777777" w:rsidTr="002720F3">
        <w:tc>
          <w:tcPr>
            <w:tcW w:w="1918" w:type="dxa"/>
          </w:tcPr>
          <w:p w14:paraId="2776D2D4" w14:textId="6449D696" w:rsidR="00D4374B" w:rsidRPr="004E503F" w:rsidRDefault="00D4374B" w:rsidP="004E503F">
            <w:pPr>
              <w:pStyle w:val="atabletext"/>
              <w:tabs>
                <w:tab w:val="center" w:leader="dot" w:pos="1701"/>
              </w:tabs>
            </w:pPr>
            <w:proofErr w:type="spellStart"/>
            <w:r>
              <w:t>Sunpara</w:t>
            </w:r>
            <w:proofErr w:type="spellEnd"/>
            <w:r>
              <w:t xml:space="preserve"> 6(</w:t>
            </w:r>
            <w:proofErr w:type="spellStart"/>
            <w:r>
              <w:t>i</w:t>
            </w:r>
            <w:proofErr w:type="spellEnd"/>
            <w:r>
              <w:t xml:space="preserve">) (notional subclause 301(1B)) </w:t>
            </w:r>
            <w:r w:rsidRPr="007B7C45">
              <w:tab/>
            </w:r>
          </w:p>
        </w:tc>
        <w:tc>
          <w:tcPr>
            <w:tcW w:w="5120" w:type="dxa"/>
          </w:tcPr>
          <w:p w14:paraId="1482D9CC" w14:textId="64AC58B6" w:rsidR="00D4374B" w:rsidRDefault="00D4374B" w:rsidP="00163BA1">
            <w:pPr>
              <w:pStyle w:val="atabletext"/>
            </w:pPr>
            <w:r>
              <w:t>am. 2017/1138, 2018/1088 and. 2019/1071</w:t>
            </w:r>
          </w:p>
        </w:tc>
      </w:tr>
      <w:tr w:rsidR="004E503F" w:rsidRPr="002720F3" w14:paraId="6820D24F" w14:textId="77777777" w:rsidTr="002720F3">
        <w:tc>
          <w:tcPr>
            <w:tcW w:w="1918" w:type="dxa"/>
          </w:tcPr>
          <w:p w14:paraId="1170D18D" w14:textId="75740C7A" w:rsidR="004E503F" w:rsidRPr="002720F3" w:rsidRDefault="004E503F" w:rsidP="004E503F">
            <w:pPr>
              <w:pStyle w:val="atabletext"/>
              <w:tabs>
                <w:tab w:val="center" w:leader="dot" w:pos="1701"/>
              </w:tabs>
            </w:pPr>
            <w:proofErr w:type="spellStart"/>
            <w:r w:rsidRPr="004E503F">
              <w:t>Subpara</w:t>
            </w:r>
            <w:proofErr w:type="spellEnd"/>
            <w:r w:rsidRPr="004E503F">
              <w:t xml:space="preserve"> 6(</w:t>
            </w:r>
            <w:proofErr w:type="spellStart"/>
            <w:r w:rsidRPr="004E503F">
              <w:t>i</w:t>
            </w:r>
            <w:proofErr w:type="spellEnd"/>
            <w:r w:rsidRPr="004E503F">
              <w:t xml:space="preserve">) (notional subclauses </w:t>
            </w:r>
            <w:r w:rsidR="00E26EC5">
              <w:t>301</w:t>
            </w:r>
            <w:r w:rsidRPr="004E503F">
              <w:t>(1</w:t>
            </w:r>
            <w:r w:rsidR="00D4374B">
              <w:t>C</w:t>
            </w:r>
            <w:r w:rsidRPr="004E503F">
              <w:t xml:space="preserve">) </w:t>
            </w:r>
            <w:r w:rsidR="007C3090">
              <w:t>and</w:t>
            </w:r>
            <w:r w:rsidRPr="004E503F">
              <w:t xml:space="preserve"> (1D))</w:t>
            </w:r>
            <w:r w:rsidR="007407A6">
              <w:t xml:space="preserve"> </w:t>
            </w:r>
            <w:r w:rsidR="007407A6" w:rsidRPr="007407A6">
              <w:tab/>
            </w:r>
          </w:p>
        </w:tc>
        <w:tc>
          <w:tcPr>
            <w:tcW w:w="5120" w:type="dxa"/>
          </w:tcPr>
          <w:p w14:paraId="1D2FEF7A" w14:textId="77777777" w:rsidR="004E503F" w:rsidRDefault="004E503F" w:rsidP="00163BA1">
            <w:pPr>
              <w:pStyle w:val="atabletext"/>
            </w:pPr>
            <w:r>
              <w:br/>
            </w:r>
            <w:r>
              <w:br/>
              <w:t>am. 2017/1138</w:t>
            </w:r>
            <w:r w:rsidR="00595802">
              <w:t xml:space="preserve"> and 2018/1088</w:t>
            </w:r>
          </w:p>
          <w:p w14:paraId="3023CA9E" w14:textId="1805E5B9" w:rsidR="007C3090" w:rsidRPr="002720F3" w:rsidRDefault="007C3090" w:rsidP="00163BA1">
            <w:pPr>
              <w:pStyle w:val="atabletext"/>
            </w:pPr>
            <w:proofErr w:type="spellStart"/>
            <w:r>
              <w:t>rs</w:t>
            </w:r>
            <w:proofErr w:type="spellEnd"/>
            <w:r>
              <w:t>. 2019/1071</w:t>
            </w:r>
          </w:p>
        </w:tc>
      </w:tr>
      <w:tr w:rsidR="00EF58C4" w:rsidRPr="002720F3" w14:paraId="02B5C29D" w14:textId="77777777" w:rsidTr="002720F3">
        <w:tc>
          <w:tcPr>
            <w:tcW w:w="1918" w:type="dxa"/>
          </w:tcPr>
          <w:p w14:paraId="665B0E5F" w14:textId="758BA51A" w:rsidR="00EF58C4" w:rsidRPr="002720F3" w:rsidRDefault="00EF58C4" w:rsidP="00163BA1">
            <w:pPr>
              <w:pStyle w:val="atabletext"/>
              <w:tabs>
                <w:tab w:val="center" w:leader="dot" w:pos="1701"/>
              </w:tabs>
            </w:pPr>
            <w:proofErr w:type="spellStart"/>
            <w:r>
              <w:t>Su</w:t>
            </w:r>
            <w:r w:rsidR="008F03C6">
              <w:t>b</w:t>
            </w:r>
            <w:r>
              <w:t>para</w:t>
            </w:r>
            <w:proofErr w:type="spellEnd"/>
            <w:r>
              <w:t xml:space="preserve"> 6(</w:t>
            </w:r>
            <w:proofErr w:type="spellStart"/>
            <w:r>
              <w:t>i</w:t>
            </w:r>
            <w:proofErr w:type="spellEnd"/>
            <w:r>
              <w:t>) (notional subclause 301(1E))</w:t>
            </w:r>
          </w:p>
        </w:tc>
        <w:tc>
          <w:tcPr>
            <w:tcW w:w="5120" w:type="dxa"/>
          </w:tcPr>
          <w:p w14:paraId="4E4330D9" w14:textId="3B4FE26E" w:rsidR="00EF58C4" w:rsidRPr="002720F3" w:rsidRDefault="008F03C6" w:rsidP="002720F3">
            <w:pPr>
              <w:pStyle w:val="atabletext"/>
            </w:pPr>
            <w:r>
              <w:t>am. 2019/1071</w:t>
            </w:r>
          </w:p>
        </w:tc>
      </w:tr>
      <w:tr w:rsidR="002874ED" w:rsidRPr="002720F3" w14:paraId="7E10F877" w14:textId="77777777" w:rsidTr="002720F3">
        <w:tc>
          <w:tcPr>
            <w:tcW w:w="1918" w:type="dxa"/>
          </w:tcPr>
          <w:p w14:paraId="41BCEC42" w14:textId="77777777" w:rsidR="002874ED" w:rsidRPr="00DF482C" w:rsidRDefault="002874ED" w:rsidP="00163BA1">
            <w:pPr>
              <w:pStyle w:val="atabletext"/>
              <w:tabs>
                <w:tab w:val="center" w:leader="dot" w:pos="1701"/>
              </w:tabs>
            </w:pPr>
            <w:proofErr w:type="spellStart"/>
            <w:r w:rsidRPr="002720F3">
              <w:t>Subpara</w:t>
            </w:r>
            <w:proofErr w:type="spellEnd"/>
            <w:r w:rsidRPr="002720F3">
              <w:t xml:space="preserve"> 6(</w:t>
            </w:r>
            <w:r w:rsidR="00163BA1">
              <w:t>j</w:t>
            </w:r>
            <w:r w:rsidRPr="002720F3">
              <w:t xml:space="preserve">) </w:t>
            </w:r>
            <w:r w:rsidRPr="002720F3">
              <w:tab/>
            </w:r>
          </w:p>
        </w:tc>
        <w:tc>
          <w:tcPr>
            <w:tcW w:w="5120" w:type="dxa"/>
          </w:tcPr>
          <w:p w14:paraId="1B2A7336" w14:textId="77777777" w:rsidR="008F03C6" w:rsidRDefault="002874ED" w:rsidP="002720F3">
            <w:pPr>
              <w:pStyle w:val="atabletext"/>
            </w:pPr>
            <w:r w:rsidRPr="002720F3">
              <w:t>ad. 2017/664</w:t>
            </w:r>
          </w:p>
          <w:p w14:paraId="07C079E5" w14:textId="15DABA27" w:rsidR="002874ED" w:rsidRPr="002720F3" w:rsidRDefault="008F03C6" w:rsidP="002720F3">
            <w:pPr>
              <w:pStyle w:val="atabletext"/>
            </w:pPr>
            <w:r>
              <w:t>rep. 2019/1071</w:t>
            </w:r>
            <w:r w:rsidR="001877F0">
              <w:t xml:space="preserve"> </w:t>
            </w:r>
          </w:p>
        </w:tc>
      </w:tr>
      <w:tr w:rsidR="004E503F" w:rsidRPr="002720F3" w14:paraId="0F40F048" w14:textId="77777777" w:rsidTr="002720F3">
        <w:tc>
          <w:tcPr>
            <w:tcW w:w="1918" w:type="dxa"/>
          </w:tcPr>
          <w:p w14:paraId="403731DF" w14:textId="5934E891" w:rsidR="004E503F" w:rsidRPr="002720F3" w:rsidRDefault="004E503F" w:rsidP="00163BA1">
            <w:pPr>
              <w:pStyle w:val="atabletext"/>
              <w:tabs>
                <w:tab w:val="center" w:leader="dot" w:pos="1701"/>
              </w:tabs>
            </w:pPr>
            <w:proofErr w:type="spellStart"/>
            <w:r>
              <w:t>Subpara</w:t>
            </w:r>
            <w:proofErr w:type="spellEnd"/>
            <w:r w:rsidRPr="004E503F">
              <w:t xml:space="preserve"> 6(j) (notional subclauses </w:t>
            </w:r>
            <w:r w:rsidR="00204FD0">
              <w:t>301</w:t>
            </w:r>
            <w:r w:rsidRPr="004E503F">
              <w:t>(5) and (6))</w:t>
            </w:r>
            <w:r w:rsidR="00204FD0">
              <w:t xml:space="preserve"> </w:t>
            </w:r>
            <w:r w:rsidR="00204FD0" w:rsidRPr="00204FD0">
              <w:tab/>
            </w:r>
          </w:p>
        </w:tc>
        <w:tc>
          <w:tcPr>
            <w:tcW w:w="5120" w:type="dxa"/>
          </w:tcPr>
          <w:p w14:paraId="7B37F0ED" w14:textId="77777777" w:rsidR="004E503F" w:rsidRDefault="004E503F" w:rsidP="002720F3">
            <w:pPr>
              <w:pStyle w:val="atabletext"/>
            </w:pPr>
            <w:r>
              <w:br/>
            </w:r>
            <w:r w:rsidR="00204FD0">
              <w:br/>
            </w:r>
            <w:r>
              <w:t>am. 2017/1138</w:t>
            </w:r>
            <w:r w:rsidR="00BD1B72">
              <w:t xml:space="preserve"> and 2018/1088</w:t>
            </w:r>
          </w:p>
          <w:p w14:paraId="2080FB99" w14:textId="2C229FFF" w:rsidR="008F03C6" w:rsidRPr="002720F3" w:rsidRDefault="008F03C6" w:rsidP="002720F3">
            <w:pPr>
              <w:pStyle w:val="atabletext"/>
            </w:pPr>
            <w:r>
              <w:t>rep. 2019/1071</w:t>
            </w:r>
          </w:p>
        </w:tc>
      </w:tr>
      <w:tr w:rsidR="00D6693A" w:rsidRPr="002720F3" w14:paraId="6490A548" w14:textId="77777777" w:rsidTr="002720F3">
        <w:tc>
          <w:tcPr>
            <w:tcW w:w="1918" w:type="dxa"/>
          </w:tcPr>
          <w:p w14:paraId="44A12FB7" w14:textId="5DCAF491" w:rsidR="00D6693A" w:rsidRDefault="00D6693A" w:rsidP="00163BA1">
            <w:pPr>
              <w:pStyle w:val="atabletext"/>
              <w:tabs>
                <w:tab w:val="center" w:leader="dot" w:pos="1701"/>
              </w:tabs>
            </w:pPr>
            <w:proofErr w:type="spellStart"/>
            <w:r>
              <w:t>Subpara</w:t>
            </w:r>
            <w:proofErr w:type="spellEnd"/>
            <w:r>
              <w:t xml:space="preserve"> 6(j) (notional subclause</w:t>
            </w:r>
            <w:r w:rsidR="00204FD0">
              <w:t xml:space="preserve"> 301</w:t>
            </w:r>
            <w:r>
              <w:t xml:space="preserve">(6)) </w:t>
            </w:r>
            <w:r w:rsidRPr="00D6693A">
              <w:tab/>
            </w:r>
          </w:p>
        </w:tc>
        <w:tc>
          <w:tcPr>
            <w:tcW w:w="5120" w:type="dxa"/>
          </w:tcPr>
          <w:p w14:paraId="6619DDF6" w14:textId="77777777" w:rsidR="00D6693A" w:rsidRDefault="00D6693A" w:rsidP="002720F3">
            <w:pPr>
              <w:pStyle w:val="atabletext"/>
            </w:pPr>
            <w:r>
              <w:br/>
              <w:t>am. 2018/697</w:t>
            </w:r>
          </w:p>
          <w:p w14:paraId="76B04D41" w14:textId="09650228" w:rsidR="008F03C6" w:rsidRDefault="008F03C6" w:rsidP="002720F3">
            <w:pPr>
              <w:pStyle w:val="atabletext"/>
            </w:pPr>
            <w:r>
              <w:t>rep. 2019/1071</w:t>
            </w:r>
          </w:p>
        </w:tc>
      </w:tr>
      <w:tr w:rsidR="002874ED" w:rsidRPr="002720F3" w14:paraId="26BBB0C6" w14:textId="77777777" w:rsidTr="002720F3">
        <w:tc>
          <w:tcPr>
            <w:tcW w:w="1918" w:type="dxa"/>
          </w:tcPr>
          <w:p w14:paraId="6C18E8DC" w14:textId="77777777" w:rsidR="002874ED" w:rsidRPr="00DF482C" w:rsidRDefault="002874ED" w:rsidP="00163BA1">
            <w:pPr>
              <w:pStyle w:val="atabletext"/>
              <w:tabs>
                <w:tab w:val="center" w:leader="dot" w:pos="1701"/>
              </w:tabs>
            </w:pPr>
            <w:proofErr w:type="spellStart"/>
            <w:r w:rsidRPr="002720F3">
              <w:t>Subpara</w:t>
            </w:r>
            <w:proofErr w:type="spellEnd"/>
            <w:r w:rsidRPr="002720F3">
              <w:t xml:space="preserve"> 6(</w:t>
            </w:r>
            <w:r w:rsidR="00163BA1">
              <w:t>k</w:t>
            </w:r>
            <w:r w:rsidRPr="002720F3">
              <w:t xml:space="preserve">) </w:t>
            </w:r>
            <w:r w:rsidRPr="002720F3">
              <w:tab/>
            </w:r>
          </w:p>
        </w:tc>
        <w:tc>
          <w:tcPr>
            <w:tcW w:w="5120" w:type="dxa"/>
          </w:tcPr>
          <w:p w14:paraId="2AFA98A5" w14:textId="77777777" w:rsidR="002874ED" w:rsidRDefault="002874ED" w:rsidP="002720F3">
            <w:pPr>
              <w:pStyle w:val="atabletext"/>
            </w:pPr>
            <w:r w:rsidRPr="002720F3">
              <w:t>ad. 2017/664</w:t>
            </w:r>
            <w:r w:rsidR="00142E1C">
              <w:br/>
              <w:t>am. 2019/599</w:t>
            </w:r>
          </w:p>
          <w:p w14:paraId="12AA34E3" w14:textId="6ABEC9E8" w:rsidR="008F03C6" w:rsidRPr="002720F3" w:rsidRDefault="008F03C6" w:rsidP="002720F3">
            <w:pPr>
              <w:pStyle w:val="atabletext"/>
            </w:pPr>
            <w:r>
              <w:t>rep. 2019/1071</w:t>
            </w:r>
          </w:p>
        </w:tc>
      </w:tr>
      <w:tr w:rsidR="00A51603" w:rsidRPr="002720F3" w14:paraId="1B1CBA28" w14:textId="77777777" w:rsidTr="002720F3">
        <w:tc>
          <w:tcPr>
            <w:tcW w:w="1918" w:type="dxa"/>
          </w:tcPr>
          <w:p w14:paraId="16BA25F1" w14:textId="3D66C2B8" w:rsidR="00A51603" w:rsidRPr="002720F3" w:rsidRDefault="009D5AA3" w:rsidP="00163BA1">
            <w:pPr>
              <w:pStyle w:val="atabletext"/>
              <w:tabs>
                <w:tab w:val="center" w:leader="dot" w:pos="1701"/>
              </w:tabs>
            </w:pPr>
            <w:proofErr w:type="spellStart"/>
            <w:r>
              <w:t>Subpara</w:t>
            </w:r>
            <w:proofErr w:type="spellEnd"/>
            <w:r w:rsidR="00A51603" w:rsidRPr="00A51603">
              <w:t xml:space="preserve"> 6(k) (notional paragraphs </w:t>
            </w:r>
            <w:r w:rsidR="00204FD0">
              <w:t>303(1)</w:t>
            </w:r>
            <w:r w:rsidR="00A51603" w:rsidRPr="00A51603">
              <w:t>(c) and (d))</w:t>
            </w:r>
            <w:r w:rsidR="00A51603">
              <w:t xml:space="preserve"> </w:t>
            </w:r>
            <w:r w:rsidR="00A51603" w:rsidRPr="00A51603">
              <w:tab/>
            </w:r>
          </w:p>
        </w:tc>
        <w:tc>
          <w:tcPr>
            <w:tcW w:w="5120" w:type="dxa"/>
          </w:tcPr>
          <w:p w14:paraId="7E4E40E6" w14:textId="7C9D5B74" w:rsidR="00A51603" w:rsidRPr="002720F3" w:rsidRDefault="007B7C45" w:rsidP="002720F3">
            <w:pPr>
              <w:pStyle w:val="atabletext"/>
            </w:pPr>
            <w:r>
              <w:br/>
            </w:r>
            <w:r w:rsidR="00204FD0">
              <w:br/>
            </w:r>
            <w:r w:rsidR="00A51603">
              <w:t>am. 2017/1138</w:t>
            </w:r>
            <w:r w:rsidR="00BD1B72">
              <w:t xml:space="preserve"> and 2018/1088</w:t>
            </w:r>
          </w:p>
        </w:tc>
      </w:tr>
      <w:tr w:rsidR="002874ED" w:rsidRPr="002720F3" w14:paraId="122DA7AE" w14:textId="77777777" w:rsidTr="002720F3">
        <w:tc>
          <w:tcPr>
            <w:tcW w:w="1918" w:type="dxa"/>
          </w:tcPr>
          <w:p w14:paraId="09795A46" w14:textId="77777777" w:rsidR="002874ED" w:rsidRPr="00DF482C" w:rsidRDefault="002874ED" w:rsidP="00163BA1">
            <w:pPr>
              <w:pStyle w:val="atabletext"/>
              <w:tabs>
                <w:tab w:val="center" w:leader="dot" w:pos="1701"/>
              </w:tabs>
            </w:pPr>
            <w:proofErr w:type="spellStart"/>
            <w:r w:rsidRPr="002720F3">
              <w:t>Subpara</w:t>
            </w:r>
            <w:proofErr w:type="spellEnd"/>
            <w:r w:rsidRPr="002720F3">
              <w:t xml:space="preserve"> 6(</w:t>
            </w:r>
            <w:r w:rsidR="00163BA1">
              <w:t>l</w:t>
            </w:r>
            <w:r w:rsidRPr="002720F3">
              <w:t xml:space="preserve">) </w:t>
            </w:r>
            <w:r w:rsidRPr="002720F3">
              <w:tab/>
            </w:r>
          </w:p>
        </w:tc>
        <w:tc>
          <w:tcPr>
            <w:tcW w:w="5120" w:type="dxa"/>
          </w:tcPr>
          <w:p w14:paraId="32DF55F0" w14:textId="77777777" w:rsidR="002874ED" w:rsidRDefault="002874ED" w:rsidP="002720F3">
            <w:pPr>
              <w:pStyle w:val="atabletext"/>
            </w:pPr>
            <w:r w:rsidRPr="002720F3">
              <w:t>ad. 2017/664</w:t>
            </w:r>
          </w:p>
          <w:p w14:paraId="0F88E7B4" w14:textId="3CF09DDF" w:rsidR="008F03C6" w:rsidRPr="002720F3" w:rsidRDefault="008F03C6" w:rsidP="002720F3">
            <w:pPr>
              <w:pStyle w:val="atabletext"/>
            </w:pPr>
            <w:r>
              <w:t>rep. 2019/1071</w:t>
            </w:r>
          </w:p>
        </w:tc>
      </w:tr>
      <w:tr w:rsidR="0048221D" w:rsidRPr="002720F3" w14:paraId="38B8681F" w14:textId="77777777" w:rsidTr="002720F3">
        <w:tc>
          <w:tcPr>
            <w:tcW w:w="1918" w:type="dxa"/>
          </w:tcPr>
          <w:p w14:paraId="408BDC7D" w14:textId="7BAD19F4" w:rsidR="0048221D" w:rsidRPr="002720F3" w:rsidRDefault="0048221D" w:rsidP="00163BA1">
            <w:pPr>
              <w:pStyle w:val="atabletext"/>
              <w:tabs>
                <w:tab w:val="center" w:leader="dot" w:pos="1701"/>
              </w:tabs>
            </w:pPr>
            <w:proofErr w:type="spellStart"/>
            <w:r>
              <w:t>Subpara</w:t>
            </w:r>
            <w:proofErr w:type="spellEnd"/>
            <w:r w:rsidRPr="0048221D">
              <w:t xml:space="preserve"> 6(l) (notional paragraph </w:t>
            </w:r>
            <w:r w:rsidR="00204FD0">
              <w:t>303(2)</w:t>
            </w:r>
            <w:r w:rsidRPr="0048221D">
              <w:t>(d))</w:t>
            </w:r>
            <w:r>
              <w:t xml:space="preserve"> </w:t>
            </w:r>
            <w:r w:rsidRPr="0048221D">
              <w:tab/>
            </w:r>
          </w:p>
        </w:tc>
        <w:tc>
          <w:tcPr>
            <w:tcW w:w="5120" w:type="dxa"/>
          </w:tcPr>
          <w:p w14:paraId="787B3AC7" w14:textId="77777777" w:rsidR="0048221D" w:rsidRDefault="0048221D" w:rsidP="002720F3">
            <w:pPr>
              <w:pStyle w:val="atabletext"/>
            </w:pPr>
            <w:r>
              <w:br/>
              <w:t>am. 2017/1138</w:t>
            </w:r>
            <w:r w:rsidR="00BD1B72">
              <w:t xml:space="preserve">; </w:t>
            </w:r>
            <w:r w:rsidR="00E26EC5">
              <w:t>2018/697</w:t>
            </w:r>
            <w:r w:rsidR="00BD1B72">
              <w:t xml:space="preserve"> and 2018/1088</w:t>
            </w:r>
          </w:p>
          <w:p w14:paraId="50967FFA" w14:textId="3F3E7B86" w:rsidR="008F03C6" w:rsidRPr="002720F3" w:rsidRDefault="008F03C6" w:rsidP="002720F3">
            <w:pPr>
              <w:pStyle w:val="atabletext"/>
            </w:pPr>
            <w:r>
              <w:t>rep. 2019/1071</w:t>
            </w:r>
          </w:p>
        </w:tc>
      </w:tr>
      <w:tr w:rsidR="002874ED" w:rsidRPr="002720F3" w14:paraId="1B96BDB9" w14:textId="77777777" w:rsidTr="00653A8D">
        <w:tc>
          <w:tcPr>
            <w:tcW w:w="1918" w:type="dxa"/>
          </w:tcPr>
          <w:p w14:paraId="7C867607" w14:textId="77777777" w:rsidR="002874ED" w:rsidRPr="00DF482C" w:rsidRDefault="002874ED" w:rsidP="00D84332">
            <w:pPr>
              <w:pStyle w:val="atabletext"/>
              <w:tabs>
                <w:tab w:val="center" w:leader="dot" w:pos="1701"/>
              </w:tabs>
            </w:pPr>
            <w:r w:rsidRPr="002720F3">
              <w:t>Para 6A</w:t>
            </w:r>
            <w:r w:rsidRPr="002720F3">
              <w:tab/>
            </w:r>
          </w:p>
        </w:tc>
        <w:tc>
          <w:tcPr>
            <w:tcW w:w="5120" w:type="dxa"/>
          </w:tcPr>
          <w:p w14:paraId="4D6AF71C" w14:textId="331EAAB1" w:rsidR="002874ED" w:rsidRPr="002720F3" w:rsidRDefault="002874ED" w:rsidP="0031240F">
            <w:pPr>
              <w:pStyle w:val="atabletext"/>
            </w:pPr>
            <w:r w:rsidRPr="002720F3">
              <w:t>ad. 2015/876</w:t>
            </w:r>
            <w:r w:rsidR="00142E1C">
              <w:br/>
            </w:r>
            <w:proofErr w:type="spellStart"/>
            <w:r w:rsidR="00142E1C">
              <w:t>rs</w:t>
            </w:r>
            <w:proofErr w:type="spellEnd"/>
            <w:r w:rsidR="00142E1C">
              <w:t>. 2019/599</w:t>
            </w:r>
          </w:p>
        </w:tc>
      </w:tr>
      <w:tr w:rsidR="002874ED" w:rsidRPr="002720F3" w14:paraId="4476B6EE" w14:textId="77777777" w:rsidTr="00653A8D">
        <w:tc>
          <w:tcPr>
            <w:tcW w:w="1918" w:type="dxa"/>
          </w:tcPr>
          <w:p w14:paraId="00F91FCD" w14:textId="77777777" w:rsidR="002874ED" w:rsidRPr="00DF482C" w:rsidRDefault="002874ED" w:rsidP="00D84332">
            <w:pPr>
              <w:pStyle w:val="atabletext"/>
              <w:tabs>
                <w:tab w:val="center" w:leader="dot" w:pos="1701"/>
              </w:tabs>
            </w:pPr>
            <w:r w:rsidRPr="002720F3">
              <w:t>Para 8</w:t>
            </w:r>
            <w:r w:rsidRPr="002720F3">
              <w:tab/>
            </w:r>
          </w:p>
        </w:tc>
        <w:tc>
          <w:tcPr>
            <w:tcW w:w="5120" w:type="dxa"/>
          </w:tcPr>
          <w:p w14:paraId="7045BAC9" w14:textId="77777777" w:rsidR="002874ED" w:rsidRPr="002720F3" w:rsidRDefault="002874ED" w:rsidP="00307940">
            <w:pPr>
              <w:pStyle w:val="atabletext"/>
            </w:pPr>
            <w:r w:rsidRPr="002720F3">
              <w:t>am. 2015/876</w:t>
            </w:r>
          </w:p>
          <w:p w14:paraId="3E1B9D84" w14:textId="77777777" w:rsidR="002874ED" w:rsidRPr="002720F3" w:rsidRDefault="002874ED" w:rsidP="00307940">
            <w:pPr>
              <w:pStyle w:val="atabletext"/>
            </w:pPr>
            <w:proofErr w:type="spellStart"/>
            <w:r w:rsidRPr="002720F3">
              <w:lastRenderedPageBreak/>
              <w:t>rs</w:t>
            </w:r>
            <w:proofErr w:type="spellEnd"/>
            <w:r w:rsidRPr="002720F3">
              <w:t>. 2016/1224</w:t>
            </w:r>
          </w:p>
        </w:tc>
      </w:tr>
      <w:tr w:rsidR="002874ED" w:rsidRPr="002720F3" w14:paraId="4188EA6A" w14:textId="77777777" w:rsidTr="00653A8D">
        <w:tc>
          <w:tcPr>
            <w:tcW w:w="1918" w:type="dxa"/>
          </w:tcPr>
          <w:p w14:paraId="1954AA78" w14:textId="77777777" w:rsidR="002874ED" w:rsidRPr="00DF482C" w:rsidRDefault="002874ED" w:rsidP="00D84332">
            <w:pPr>
              <w:pStyle w:val="atabletext"/>
              <w:tabs>
                <w:tab w:val="center" w:leader="dot" w:pos="1701"/>
              </w:tabs>
            </w:pPr>
            <w:r w:rsidRPr="002720F3">
              <w:lastRenderedPageBreak/>
              <w:t>Sub-</w:t>
            </w:r>
            <w:proofErr w:type="spellStart"/>
            <w:r w:rsidRPr="002720F3">
              <w:t>subpara</w:t>
            </w:r>
            <w:proofErr w:type="spellEnd"/>
            <w:r w:rsidRPr="002720F3">
              <w:t xml:space="preserve"> 8(b)(ii)</w:t>
            </w:r>
            <w:r w:rsidRPr="00DF482C">
              <w:t xml:space="preserve"> </w:t>
            </w:r>
            <w:r w:rsidRPr="00DF482C">
              <w:tab/>
            </w:r>
          </w:p>
        </w:tc>
        <w:tc>
          <w:tcPr>
            <w:tcW w:w="5120" w:type="dxa"/>
          </w:tcPr>
          <w:p w14:paraId="601C878C" w14:textId="77777777" w:rsidR="002874ED" w:rsidRPr="002720F3" w:rsidRDefault="002874ED" w:rsidP="0031240F">
            <w:pPr>
              <w:pStyle w:val="atabletext"/>
            </w:pPr>
            <w:r w:rsidRPr="002720F3">
              <w:t>am. 2017/65</w:t>
            </w:r>
          </w:p>
        </w:tc>
      </w:tr>
      <w:tr w:rsidR="002874ED" w:rsidRPr="002720F3" w14:paraId="28C73F18" w14:textId="77777777" w:rsidTr="00653A8D">
        <w:tc>
          <w:tcPr>
            <w:tcW w:w="1918" w:type="dxa"/>
          </w:tcPr>
          <w:p w14:paraId="3C95B535" w14:textId="77777777" w:rsidR="002874ED" w:rsidRPr="00DF482C" w:rsidRDefault="002874ED" w:rsidP="00D84332">
            <w:pPr>
              <w:pStyle w:val="atabletext"/>
              <w:tabs>
                <w:tab w:val="center" w:leader="dot" w:pos="1701"/>
              </w:tabs>
            </w:pPr>
            <w:r w:rsidRPr="002720F3">
              <w:t>Para 8 Note</w:t>
            </w:r>
            <w:r w:rsidRPr="002720F3">
              <w:tab/>
            </w:r>
          </w:p>
        </w:tc>
        <w:tc>
          <w:tcPr>
            <w:tcW w:w="5120" w:type="dxa"/>
          </w:tcPr>
          <w:p w14:paraId="56557DC8" w14:textId="77777777" w:rsidR="002874ED" w:rsidRPr="002720F3" w:rsidRDefault="002874ED" w:rsidP="0031240F">
            <w:pPr>
              <w:pStyle w:val="atabletext"/>
            </w:pPr>
            <w:r w:rsidRPr="002720F3">
              <w:t>ad. 2017/65</w:t>
            </w:r>
          </w:p>
        </w:tc>
      </w:tr>
      <w:tr w:rsidR="002874ED" w:rsidRPr="002720F3" w14:paraId="69773C09" w14:textId="77777777" w:rsidTr="00653A8D">
        <w:tc>
          <w:tcPr>
            <w:tcW w:w="1918" w:type="dxa"/>
          </w:tcPr>
          <w:p w14:paraId="7ECC4299" w14:textId="77777777" w:rsidR="002874ED" w:rsidRPr="00DF482C" w:rsidRDefault="002874ED" w:rsidP="00D84332">
            <w:pPr>
              <w:pStyle w:val="atabletext"/>
              <w:tabs>
                <w:tab w:val="center" w:leader="dot" w:pos="1701"/>
              </w:tabs>
            </w:pPr>
            <w:r w:rsidRPr="002720F3">
              <w:t>Para 8A</w:t>
            </w:r>
            <w:r w:rsidRPr="002720F3">
              <w:tab/>
            </w:r>
          </w:p>
        </w:tc>
        <w:tc>
          <w:tcPr>
            <w:tcW w:w="5120" w:type="dxa"/>
          </w:tcPr>
          <w:p w14:paraId="7D23E156" w14:textId="77777777" w:rsidR="002874ED" w:rsidRPr="002720F3" w:rsidRDefault="002874ED" w:rsidP="0031240F">
            <w:pPr>
              <w:pStyle w:val="atabletext"/>
            </w:pPr>
            <w:r w:rsidRPr="002720F3">
              <w:t>ad. 2015/876</w:t>
            </w:r>
          </w:p>
          <w:p w14:paraId="6488A6E3" w14:textId="77777777" w:rsidR="002874ED" w:rsidRPr="002720F3" w:rsidRDefault="002874ED" w:rsidP="0031240F">
            <w:pPr>
              <w:pStyle w:val="atabletext"/>
            </w:pPr>
            <w:r w:rsidRPr="002720F3">
              <w:t>rep. 2016/1224</w:t>
            </w:r>
          </w:p>
        </w:tc>
      </w:tr>
      <w:tr w:rsidR="002874ED" w:rsidRPr="002720F3" w14:paraId="6101D3B4" w14:textId="77777777" w:rsidTr="00653A8D">
        <w:tc>
          <w:tcPr>
            <w:tcW w:w="1918" w:type="dxa"/>
          </w:tcPr>
          <w:p w14:paraId="1E4722DA" w14:textId="77777777" w:rsidR="002874ED" w:rsidRPr="00DF482C" w:rsidRDefault="002874ED" w:rsidP="00D84332">
            <w:pPr>
              <w:pStyle w:val="atabletext"/>
              <w:tabs>
                <w:tab w:val="center" w:leader="dot" w:pos="1701"/>
              </w:tabs>
            </w:pPr>
            <w:r w:rsidRPr="002720F3">
              <w:t>Para 8B</w:t>
            </w:r>
            <w:r w:rsidRPr="002720F3">
              <w:tab/>
            </w:r>
          </w:p>
        </w:tc>
        <w:tc>
          <w:tcPr>
            <w:tcW w:w="5120" w:type="dxa"/>
          </w:tcPr>
          <w:p w14:paraId="2A10C928" w14:textId="77777777" w:rsidR="002874ED" w:rsidRPr="002720F3" w:rsidRDefault="002874ED" w:rsidP="0031240F">
            <w:pPr>
              <w:pStyle w:val="atabletext"/>
            </w:pPr>
            <w:r w:rsidRPr="002720F3">
              <w:t>ad. 2015/876</w:t>
            </w:r>
          </w:p>
        </w:tc>
      </w:tr>
      <w:tr w:rsidR="002874ED" w:rsidRPr="002720F3" w14:paraId="70015C4C" w14:textId="77777777" w:rsidTr="00653A8D">
        <w:tc>
          <w:tcPr>
            <w:tcW w:w="1918" w:type="dxa"/>
          </w:tcPr>
          <w:p w14:paraId="1E2387DE" w14:textId="77777777" w:rsidR="002874ED" w:rsidRPr="00DF482C" w:rsidRDefault="002874ED" w:rsidP="00D84332">
            <w:pPr>
              <w:pStyle w:val="atabletext"/>
              <w:tabs>
                <w:tab w:val="center" w:leader="dot" w:pos="1701"/>
              </w:tabs>
            </w:pPr>
            <w:r w:rsidRPr="002720F3">
              <w:t>Para 8B (the paragraph 8B inserted by item 21 of Schedule 1 to 2015/876)</w:t>
            </w:r>
            <w:r w:rsidRPr="00DF482C">
              <w:t xml:space="preserve"> </w:t>
            </w:r>
            <w:r w:rsidRPr="00DF482C">
              <w:tab/>
            </w:r>
          </w:p>
        </w:tc>
        <w:tc>
          <w:tcPr>
            <w:tcW w:w="5120" w:type="dxa"/>
          </w:tcPr>
          <w:p w14:paraId="54202391" w14:textId="77777777" w:rsidR="002874ED" w:rsidRPr="002720F3" w:rsidRDefault="002874ED" w:rsidP="0031240F">
            <w:pPr>
              <w:pStyle w:val="atabletext"/>
            </w:pPr>
            <w:r w:rsidRPr="002720F3">
              <w:br/>
            </w:r>
            <w:r w:rsidRPr="002720F3">
              <w:br/>
            </w:r>
            <w:r w:rsidRPr="002720F3">
              <w:br/>
              <w:t>rep. 2017/65</w:t>
            </w:r>
          </w:p>
        </w:tc>
      </w:tr>
      <w:tr w:rsidR="002874ED" w:rsidRPr="002720F3" w14:paraId="59C502AC" w14:textId="77777777" w:rsidTr="00653A8D">
        <w:tc>
          <w:tcPr>
            <w:tcW w:w="1918" w:type="dxa"/>
          </w:tcPr>
          <w:p w14:paraId="7F3EBBA7" w14:textId="77777777" w:rsidR="002874ED" w:rsidRPr="00DF482C" w:rsidRDefault="002874ED" w:rsidP="00D84332">
            <w:pPr>
              <w:pStyle w:val="atabletext"/>
              <w:tabs>
                <w:tab w:val="center" w:leader="dot" w:pos="1701"/>
              </w:tabs>
            </w:pPr>
            <w:proofErr w:type="spellStart"/>
            <w:r w:rsidRPr="002720F3">
              <w:t>Subpara</w:t>
            </w:r>
            <w:proofErr w:type="spellEnd"/>
            <w:r w:rsidRPr="002720F3">
              <w:t xml:space="preserve"> 8D(b)</w:t>
            </w:r>
            <w:r w:rsidRPr="00DF482C">
              <w:t xml:space="preserve"> </w:t>
            </w:r>
            <w:r w:rsidRPr="00DF482C">
              <w:tab/>
            </w:r>
          </w:p>
        </w:tc>
        <w:tc>
          <w:tcPr>
            <w:tcW w:w="5120" w:type="dxa"/>
          </w:tcPr>
          <w:p w14:paraId="24B1F306" w14:textId="77777777" w:rsidR="002874ED" w:rsidRPr="002720F3" w:rsidRDefault="002874ED" w:rsidP="0031240F">
            <w:pPr>
              <w:pStyle w:val="atabletext"/>
            </w:pPr>
            <w:r w:rsidRPr="002720F3">
              <w:t>am. 2017/65</w:t>
            </w:r>
          </w:p>
        </w:tc>
      </w:tr>
      <w:tr w:rsidR="002874ED" w:rsidRPr="002720F3" w14:paraId="4A571B03" w14:textId="77777777" w:rsidTr="00653A8D">
        <w:tc>
          <w:tcPr>
            <w:tcW w:w="1918" w:type="dxa"/>
          </w:tcPr>
          <w:p w14:paraId="760463FC" w14:textId="77777777" w:rsidR="002874ED" w:rsidRPr="00DF482C" w:rsidRDefault="002874ED" w:rsidP="00D84332">
            <w:pPr>
              <w:pStyle w:val="atabletext"/>
              <w:tabs>
                <w:tab w:val="center" w:leader="dot" w:pos="1701"/>
              </w:tabs>
            </w:pPr>
            <w:proofErr w:type="spellStart"/>
            <w:r w:rsidRPr="002720F3">
              <w:t>Subpara</w:t>
            </w:r>
            <w:proofErr w:type="spellEnd"/>
            <w:r w:rsidRPr="002720F3">
              <w:t xml:space="preserve"> 8D(c)</w:t>
            </w:r>
            <w:r w:rsidRPr="00DF482C">
              <w:t xml:space="preserve"> </w:t>
            </w:r>
            <w:r w:rsidRPr="00DF482C">
              <w:tab/>
            </w:r>
          </w:p>
        </w:tc>
        <w:tc>
          <w:tcPr>
            <w:tcW w:w="5120" w:type="dxa"/>
          </w:tcPr>
          <w:p w14:paraId="217CC325" w14:textId="77777777" w:rsidR="002874ED" w:rsidRPr="002720F3" w:rsidRDefault="002874ED" w:rsidP="0031240F">
            <w:pPr>
              <w:pStyle w:val="atabletext"/>
            </w:pPr>
            <w:r w:rsidRPr="002720F3">
              <w:t>am. 2017/65</w:t>
            </w:r>
          </w:p>
        </w:tc>
      </w:tr>
      <w:tr w:rsidR="002874ED" w:rsidRPr="002720F3" w14:paraId="47F68EFA" w14:textId="77777777" w:rsidTr="002720F3">
        <w:tc>
          <w:tcPr>
            <w:tcW w:w="1918" w:type="dxa"/>
          </w:tcPr>
          <w:p w14:paraId="0AB42141" w14:textId="77777777" w:rsidR="002874ED" w:rsidRPr="00DF482C" w:rsidRDefault="002874ED" w:rsidP="002720F3">
            <w:pPr>
              <w:pStyle w:val="atabletext"/>
              <w:tabs>
                <w:tab w:val="center" w:leader="dot" w:pos="1701"/>
              </w:tabs>
            </w:pPr>
            <w:r w:rsidRPr="002720F3">
              <w:t xml:space="preserve">Para 9 </w:t>
            </w:r>
            <w:r w:rsidRPr="002720F3">
              <w:tab/>
            </w:r>
          </w:p>
        </w:tc>
        <w:tc>
          <w:tcPr>
            <w:tcW w:w="5120" w:type="dxa"/>
          </w:tcPr>
          <w:p w14:paraId="3B6C61F4" w14:textId="77777777" w:rsidR="002874ED" w:rsidRPr="002720F3" w:rsidRDefault="002874ED" w:rsidP="00491EAF">
            <w:pPr>
              <w:pStyle w:val="atabletext"/>
            </w:pPr>
            <w:r w:rsidRPr="002720F3">
              <w:t>am. 2015/876</w:t>
            </w:r>
          </w:p>
        </w:tc>
      </w:tr>
      <w:tr w:rsidR="002874ED" w:rsidRPr="002720F3" w14:paraId="08BD26B4" w14:textId="77777777" w:rsidTr="002720F3">
        <w:tc>
          <w:tcPr>
            <w:tcW w:w="1918" w:type="dxa"/>
          </w:tcPr>
          <w:p w14:paraId="58D7F5A5" w14:textId="77777777" w:rsidR="002874ED" w:rsidRPr="00DF482C" w:rsidRDefault="002874ED" w:rsidP="00491EAF">
            <w:pPr>
              <w:pStyle w:val="atabletext"/>
              <w:tabs>
                <w:tab w:val="center" w:leader="dot" w:pos="1701"/>
              </w:tabs>
            </w:pPr>
            <w:r w:rsidRPr="002720F3">
              <w:t>Para 10</w:t>
            </w:r>
            <w:r w:rsidRPr="00DF482C">
              <w:t xml:space="preserve"> </w:t>
            </w:r>
            <w:r w:rsidRPr="00DF482C">
              <w:tab/>
            </w:r>
          </w:p>
        </w:tc>
        <w:tc>
          <w:tcPr>
            <w:tcW w:w="5120" w:type="dxa"/>
          </w:tcPr>
          <w:p w14:paraId="6FF79933" w14:textId="77777777" w:rsidR="002874ED" w:rsidRPr="002720F3" w:rsidRDefault="002874ED" w:rsidP="00491EAF">
            <w:pPr>
              <w:pStyle w:val="atabletext"/>
            </w:pPr>
            <w:r w:rsidRPr="002720F3">
              <w:t>ad. 2017/664</w:t>
            </w:r>
          </w:p>
        </w:tc>
      </w:tr>
      <w:tr w:rsidR="002874ED" w:rsidRPr="002720F3" w14:paraId="58A94AA4" w14:textId="77777777" w:rsidTr="002720F3">
        <w:tc>
          <w:tcPr>
            <w:tcW w:w="1918" w:type="dxa"/>
          </w:tcPr>
          <w:p w14:paraId="5B826D87" w14:textId="77777777" w:rsidR="002874ED" w:rsidRPr="00DF482C" w:rsidRDefault="002874ED" w:rsidP="00491EAF">
            <w:pPr>
              <w:pStyle w:val="atabletext"/>
              <w:tabs>
                <w:tab w:val="center" w:leader="dot" w:pos="1701"/>
              </w:tabs>
            </w:pPr>
            <w:r w:rsidRPr="002720F3">
              <w:t xml:space="preserve">Para 11 </w:t>
            </w:r>
            <w:r w:rsidRPr="002720F3">
              <w:tab/>
            </w:r>
          </w:p>
        </w:tc>
        <w:tc>
          <w:tcPr>
            <w:tcW w:w="5120" w:type="dxa"/>
          </w:tcPr>
          <w:p w14:paraId="35B0BF57" w14:textId="02130295" w:rsidR="008F03C6" w:rsidRPr="002720F3" w:rsidRDefault="002874ED" w:rsidP="00491EAF">
            <w:pPr>
              <w:pStyle w:val="atabletext"/>
            </w:pPr>
            <w:r w:rsidRPr="002720F3">
              <w:t>ad. 2017/664</w:t>
            </w:r>
            <w:r w:rsidR="0048221D">
              <w:br/>
              <w:t>am. 2017/1138</w:t>
            </w:r>
            <w:r w:rsidR="00BD1B72">
              <w:t xml:space="preserve"> and 2018/1088</w:t>
            </w:r>
          </w:p>
        </w:tc>
      </w:tr>
      <w:tr w:rsidR="008F03C6" w:rsidRPr="002720F3" w14:paraId="006CDD10" w14:textId="77777777" w:rsidTr="002720F3">
        <w:tc>
          <w:tcPr>
            <w:tcW w:w="1918" w:type="dxa"/>
          </w:tcPr>
          <w:p w14:paraId="6976B4F1" w14:textId="2180B838" w:rsidR="008F03C6" w:rsidRPr="002720F3" w:rsidRDefault="008F03C6" w:rsidP="00491EAF">
            <w:pPr>
              <w:pStyle w:val="atabletext"/>
              <w:tabs>
                <w:tab w:val="center" w:leader="dot" w:pos="1701"/>
              </w:tabs>
            </w:pPr>
            <w:r w:rsidRPr="002720F3">
              <w:t>Para 1</w:t>
            </w:r>
            <w:r>
              <w:t>2</w:t>
            </w:r>
            <w:r w:rsidRPr="002720F3">
              <w:t xml:space="preserve"> </w:t>
            </w:r>
            <w:r w:rsidRPr="002720F3">
              <w:tab/>
            </w:r>
          </w:p>
        </w:tc>
        <w:tc>
          <w:tcPr>
            <w:tcW w:w="5120" w:type="dxa"/>
          </w:tcPr>
          <w:p w14:paraId="3F0E53C1" w14:textId="77777777" w:rsidR="008F03C6" w:rsidRDefault="008F03C6" w:rsidP="00491EAF">
            <w:pPr>
              <w:pStyle w:val="atabletext"/>
            </w:pPr>
            <w:r>
              <w:t>ad. 2019/1071</w:t>
            </w:r>
          </w:p>
          <w:p w14:paraId="0A086DE7" w14:textId="55A686AA" w:rsidR="003764D3" w:rsidRPr="002720F3" w:rsidRDefault="003764D3" w:rsidP="00491EAF">
            <w:pPr>
              <w:pStyle w:val="atabletext"/>
            </w:pPr>
            <w:proofErr w:type="spellStart"/>
            <w:r>
              <w:t>rs</w:t>
            </w:r>
            <w:proofErr w:type="spellEnd"/>
            <w:r>
              <w:t>. 2020/579</w:t>
            </w:r>
          </w:p>
        </w:tc>
      </w:tr>
      <w:tr w:rsidR="005E1063" w:rsidRPr="002720F3" w14:paraId="328F7CF3" w14:textId="77777777" w:rsidTr="002720F3">
        <w:tc>
          <w:tcPr>
            <w:tcW w:w="1918" w:type="dxa"/>
          </w:tcPr>
          <w:p w14:paraId="5E8C1C0D" w14:textId="68328423" w:rsidR="005E1063" w:rsidRPr="002720F3" w:rsidRDefault="005E1063" w:rsidP="00491EAF">
            <w:pPr>
              <w:pStyle w:val="atabletext"/>
              <w:tabs>
                <w:tab w:val="center" w:leader="dot" w:pos="1701"/>
              </w:tabs>
            </w:pPr>
            <w:r>
              <w:t>Para 12B</w:t>
            </w:r>
            <w:r w:rsidRPr="005E1063">
              <w:tab/>
            </w:r>
          </w:p>
        </w:tc>
        <w:tc>
          <w:tcPr>
            <w:tcW w:w="5120" w:type="dxa"/>
          </w:tcPr>
          <w:p w14:paraId="401CF929" w14:textId="4EFFFD05" w:rsidR="005E1063" w:rsidRDefault="005E1063" w:rsidP="00491EAF">
            <w:pPr>
              <w:pStyle w:val="atabletext"/>
            </w:pPr>
            <w:r>
              <w:t>ad. 2020/1065</w:t>
            </w:r>
          </w:p>
        </w:tc>
      </w:tr>
      <w:tr w:rsidR="008F03C6" w:rsidRPr="002720F3" w14:paraId="29A94A62" w14:textId="77777777" w:rsidTr="002720F3">
        <w:tc>
          <w:tcPr>
            <w:tcW w:w="1918" w:type="dxa"/>
          </w:tcPr>
          <w:p w14:paraId="16BCDE55" w14:textId="6D34CDEC" w:rsidR="008F03C6" w:rsidRPr="002720F3" w:rsidRDefault="008F03C6" w:rsidP="00491EAF">
            <w:pPr>
              <w:pStyle w:val="atabletext"/>
              <w:tabs>
                <w:tab w:val="center" w:leader="dot" w:pos="1701"/>
              </w:tabs>
            </w:pPr>
            <w:r>
              <w:t>Para 13</w:t>
            </w:r>
            <w:r w:rsidRPr="002720F3">
              <w:tab/>
            </w:r>
          </w:p>
        </w:tc>
        <w:tc>
          <w:tcPr>
            <w:tcW w:w="5120" w:type="dxa"/>
          </w:tcPr>
          <w:p w14:paraId="66AA2DBB" w14:textId="4369FAB6" w:rsidR="008F03C6" w:rsidRDefault="008F03C6" w:rsidP="00491EAF">
            <w:pPr>
              <w:pStyle w:val="atabletext"/>
            </w:pPr>
            <w:r>
              <w:t>ad. 2019/1071</w:t>
            </w:r>
          </w:p>
        </w:tc>
      </w:tr>
      <w:tr w:rsidR="008F03C6" w:rsidRPr="002720F3" w14:paraId="072D3746" w14:textId="77777777" w:rsidTr="002720F3">
        <w:tc>
          <w:tcPr>
            <w:tcW w:w="1918" w:type="dxa"/>
          </w:tcPr>
          <w:p w14:paraId="7515A71D" w14:textId="1DCCC8DA" w:rsidR="008F03C6" w:rsidRPr="002720F3" w:rsidRDefault="008F03C6" w:rsidP="00491EAF">
            <w:pPr>
              <w:pStyle w:val="atabletext"/>
              <w:tabs>
                <w:tab w:val="center" w:leader="dot" w:pos="1701"/>
              </w:tabs>
            </w:pPr>
            <w:r>
              <w:t>Para 14</w:t>
            </w:r>
            <w:r w:rsidRPr="002720F3">
              <w:tab/>
            </w:r>
          </w:p>
        </w:tc>
        <w:tc>
          <w:tcPr>
            <w:tcW w:w="5120" w:type="dxa"/>
          </w:tcPr>
          <w:p w14:paraId="5AB90622" w14:textId="53C3F64D" w:rsidR="008F03C6" w:rsidRDefault="008F03C6" w:rsidP="00491EAF">
            <w:pPr>
              <w:pStyle w:val="atabletext"/>
            </w:pPr>
            <w:r>
              <w:t>ad. 2019/1071</w:t>
            </w:r>
          </w:p>
        </w:tc>
      </w:tr>
      <w:tr w:rsidR="005E1063" w:rsidRPr="002720F3" w14:paraId="44D0657C" w14:textId="77777777" w:rsidTr="002720F3">
        <w:tc>
          <w:tcPr>
            <w:tcW w:w="1918" w:type="dxa"/>
          </w:tcPr>
          <w:p w14:paraId="5E585A58" w14:textId="1E30D666" w:rsidR="005E1063" w:rsidRDefault="005E1063" w:rsidP="00491EAF">
            <w:pPr>
              <w:pStyle w:val="atabletext"/>
              <w:tabs>
                <w:tab w:val="center" w:leader="dot" w:pos="1701"/>
              </w:tabs>
            </w:pPr>
            <w:r>
              <w:t>Para 14A</w:t>
            </w:r>
            <w:r w:rsidRPr="005E1063">
              <w:tab/>
            </w:r>
            <w:bookmarkStart w:id="4" w:name="_GoBack"/>
            <w:bookmarkEnd w:id="4"/>
          </w:p>
        </w:tc>
        <w:tc>
          <w:tcPr>
            <w:tcW w:w="5120" w:type="dxa"/>
          </w:tcPr>
          <w:p w14:paraId="7E8EBC07" w14:textId="64D59F1F" w:rsidR="005E1063" w:rsidRDefault="005E1063" w:rsidP="00491EAF">
            <w:pPr>
              <w:pStyle w:val="atabletext"/>
            </w:pPr>
            <w:r>
              <w:t>ad. 2020/1065</w:t>
            </w:r>
          </w:p>
        </w:tc>
      </w:tr>
      <w:tr w:rsidR="008F03C6" w:rsidRPr="002720F3" w14:paraId="01668751" w14:textId="77777777" w:rsidTr="002720F3">
        <w:tc>
          <w:tcPr>
            <w:tcW w:w="1918" w:type="dxa"/>
          </w:tcPr>
          <w:p w14:paraId="0768A317" w14:textId="77777777" w:rsidR="008F03C6" w:rsidRPr="002720F3" w:rsidRDefault="008F03C6" w:rsidP="00491EAF">
            <w:pPr>
              <w:pStyle w:val="atabletext"/>
              <w:tabs>
                <w:tab w:val="center" w:leader="dot" w:pos="1701"/>
              </w:tabs>
            </w:pPr>
          </w:p>
        </w:tc>
        <w:tc>
          <w:tcPr>
            <w:tcW w:w="5120" w:type="dxa"/>
          </w:tcPr>
          <w:p w14:paraId="54454B4C" w14:textId="77777777" w:rsidR="008F03C6" w:rsidRDefault="008F03C6" w:rsidP="00491EAF">
            <w:pPr>
              <w:pStyle w:val="atabletext"/>
            </w:pPr>
          </w:p>
        </w:tc>
      </w:tr>
      <w:tr w:rsidR="002874ED" w:rsidRPr="002720F3" w14:paraId="712C3741" w14:textId="77777777" w:rsidTr="00653A8D">
        <w:tc>
          <w:tcPr>
            <w:tcW w:w="1918" w:type="dxa"/>
            <w:tcBorders>
              <w:bottom w:val="single" w:sz="4" w:space="0" w:color="auto"/>
            </w:tcBorders>
          </w:tcPr>
          <w:p w14:paraId="71A14DD7" w14:textId="77777777" w:rsidR="002874ED" w:rsidRPr="00DF482C" w:rsidRDefault="002874ED" w:rsidP="00D84332">
            <w:pPr>
              <w:pStyle w:val="atabletext"/>
              <w:tabs>
                <w:tab w:val="center" w:leader="dot" w:pos="1701"/>
              </w:tabs>
            </w:pPr>
          </w:p>
        </w:tc>
        <w:tc>
          <w:tcPr>
            <w:tcW w:w="5120" w:type="dxa"/>
            <w:tcBorders>
              <w:bottom w:val="single" w:sz="4" w:space="0" w:color="auto"/>
            </w:tcBorders>
          </w:tcPr>
          <w:p w14:paraId="54343042" w14:textId="77777777" w:rsidR="002874ED" w:rsidRPr="00DF482C" w:rsidRDefault="002874ED" w:rsidP="00491EAF">
            <w:pPr>
              <w:pStyle w:val="atabletext"/>
            </w:pPr>
          </w:p>
        </w:tc>
      </w:tr>
    </w:tbl>
    <w:p w14:paraId="4850AC4D" w14:textId="77777777" w:rsidR="00717530" w:rsidRPr="00452D8D" w:rsidRDefault="00717530">
      <w:pPr>
        <w:pStyle w:val="Changes"/>
        <w:rPr>
          <w:rFonts w:ascii="Times New Roman" w:hAnsi="Times New Roman"/>
          <w:color w:val="000000"/>
        </w:rPr>
      </w:pPr>
    </w:p>
    <w:p w14:paraId="59EEF132" w14:textId="77777777" w:rsidR="00E9465F" w:rsidRPr="00452D8D" w:rsidRDefault="00E9465F">
      <w:pPr>
        <w:pStyle w:val="Changes"/>
        <w:rPr>
          <w:rFonts w:ascii="Times New Roman" w:hAnsi="Times New Roman"/>
          <w:color w:val="000000"/>
        </w:rPr>
      </w:pPr>
    </w:p>
    <w:sectPr w:rsidR="00E9465F" w:rsidRPr="00452D8D" w:rsidSect="007E358E">
      <w:footerReference w:type="default" r:id="rId11"/>
      <w:footerReference w:type="first" r:id="rId12"/>
      <w:pgSz w:w="11907" w:h="16840" w:code="9"/>
      <w:pgMar w:top="1633" w:right="1418" w:bottom="1440" w:left="1797" w:header="737" w:footer="9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8AF0" w14:textId="77777777" w:rsidR="00793457" w:rsidRDefault="00793457">
      <w:pPr>
        <w:spacing w:after="0"/>
      </w:pPr>
      <w:r>
        <w:separator/>
      </w:r>
    </w:p>
  </w:endnote>
  <w:endnote w:type="continuationSeparator" w:id="0">
    <w:p w14:paraId="1E14D985" w14:textId="77777777" w:rsidR="00793457" w:rsidRDefault="00793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42E7" w14:textId="77777777" w:rsidR="00793457" w:rsidRPr="00506446" w:rsidRDefault="00793457">
    <w:pPr>
      <w:pStyle w:val="Footer"/>
      <w:jc w:val="right"/>
      <w:rPr>
        <w:b w:val="0"/>
        <w:sz w:val="20"/>
      </w:rPr>
    </w:pPr>
    <w:r w:rsidRPr="00506446">
      <w:rPr>
        <w:b w:val="0"/>
        <w:sz w:val="20"/>
      </w:rPr>
      <w:fldChar w:fldCharType="begin"/>
    </w:r>
    <w:r w:rsidRPr="00506446">
      <w:rPr>
        <w:b w:val="0"/>
        <w:sz w:val="20"/>
      </w:rPr>
      <w:instrText xml:space="preserve"> PAGE   \* MERGEFORMAT </w:instrText>
    </w:r>
    <w:r w:rsidRPr="00506446">
      <w:rPr>
        <w:b w:val="0"/>
        <w:sz w:val="20"/>
      </w:rPr>
      <w:fldChar w:fldCharType="separate"/>
    </w:r>
    <w:r>
      <w:rPr>
        <w:b w:val="0"/>
        <w:sz w:val="20"/>
      </w:rPr>
      <w:t>32</w:t>
    </w:r>
    <w:r w:rsidRPr="00506446">
      <w:rPr>
        <w:b w:val="0"/>
        <w:sz w:val="20"/>
      </w:rPr>
      <w:fldChar w:fldCharType="end"/>
    </w:r>
  </w:p>
  <w:p w14:paraId="607E737B" w14:textId="77777777" w:rsidR="00793457" w:rsidRPr="00012D22" w:rsidRDefault="00793457">
    <w:pPr>
      <w:pStyle w:val="Footer"/>
      <w:jc w:val="right"/>
      <w:rPr>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9BAF" w14:textId="77777777" w:rsidR="00793457" w:rsidRPr="00012D22" w:rsidRDefault="00793457">
    <w:pPr>
      <w:pStyle w:val="Footer"/>
      <w:jc w:val="right"/>
      <w:rPr>
        <w:rFonts w:cs="Arial"/>
        <w:b w:val="0"/>
        <w:sz w:val="20"/>
      </w:rPr>
    </w:pPr>
  </w:p>
  <w:p w14:paraId="2846390E" w14:textId="77777777" w:rsidR="00793457" w:rsidRDefault="0079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E23B" w14:textId="77777777" w:rsidR="00793457" w:rsidRDefault="00793457">
      <w:pPr>
        <w:spacing w:after="0"/>
      </w:pPr>
      <w:r>
        <w:separator/>
      </w:r>
    </w:p>
  </w:footnote>
  <w:footnote w:type="continuationSeparator" w:id="0">
    <w:p w14:paraId="6C4AC9B4" w14:textId="77777777" w:rsidR="00793457" w:rsidRDefault="007934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A2BCB6"/>
    <w:lvl w:ilvl="0">
      <w:numFmt w:val="decimal"/>
      <w:lvlText w:val="*"/>
      <w:lvlJc w:val="left"/>
    </w:lvl>
  </w:abstractNum>
  <w:abstractNum w:abstractNumId="1" w15:restartNumberingAfterBreak="0">
    <w:nsid w:val="01612625"/>
    <w:multiLevelType w:val="hybridMultilevel"/>
    <w:tmpl w:val="2EC2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11FBE"/>
    <w:multiLevelType w:val="hybridMultilevel"/>
    <w:tmpl w:val="F1E81992"/>
    <w:lvl w:ilvl="0" w:tplc="5AB080EE">
      <w:start w:val="1"/>
      <w:numFmt w:val="upperLetter"/>
      <w:lvlText w:val="%1."/>
      <w:lvlJc w:val="left"/>
      <w:pPr>
        <w:tabs>
          <w:tab w:val="num" w:pos="720"/>
        </w:tabs>
        <w:ind w:left="720" w:hanging="360"/>
      </w:pPr>
    </w:lvl>
    <w:lvl w:ilvl="1" w:tplc="C85890E4" w:tentative="1">
      <w:start w:val="1"/>
      <w:numFmt w:val="upperLetter"/>
      <w:lvlText w:val="%2."/>
      <w:lvlJc w:val="left"/>
      <w:pPr>
        <w:tabs>
          <w:tab w:val="num" w:pos="1440"/>
        </w:tabs>
        <w:ind w:left="1440" w:hanging="360"/>
      </w:pPr>
    </w:lvl>
    <w:lvl w:ilvl="2" w:tplc="EE280FD0" w:tentative="1">
      <w:start w:val="1"/>
      <w:numFmt w:val="upperLetter"/>
      <w:lvlText w:val="%3."/>
      <w:lvlJc w:val="left"/>
      <w:pPr>
        <w:tabs>
          <w:tab w:val="num" w:pos="2160"/>
        </w:tabs>
        <w:ind w:left="2160" w:hanging="360"/>
      </w:pPr>
    </w:lvl>
    <w:lvl w:ilvl="3" w:tplc="0B3EB120" w:tentative="1">
      <w:start w:val="1"/>
      <w:numFmt w:val="upperLetter"/>
      <w:lvlText w:val="%4."/>
      <w:lvlJc w:val="left"/>
      <w:pPr>
        <w:tabs>
          <w:tab w:val="num" w:pos="2880"/>
        </w:tabs>
        <w:ind w:left="2880" w:hanging="360"/>
      </w:pPr>
    </w:lvl>
    <w:lvl w:ilvl="4" w:tplc="AA7A7B4C" w:tentative="1">
      <w:start w:val="1"/>
      <w:numFmt w:val="upperLetter"/>
      <w:lvlText w:val="%5."/>
      <w:lvlJc w:val="left"/>
      <w:pPr>
        <w:tabs>
          <w:tab w:val="num" w:pos="3600"/>
        </w:tabs>
        <w:ind w:left="3600" w:hanging="360"/>
      </w:pPr>
    </w:lvl>
    <w:lvl w:ilvl="5" w:tplc="B7E66C9E" w:tentative="1">
      <w:start w:val="1"/>
      <w:numFmt w:val="upperLetter"/>
      <w:lvlText w:val="%6."/>
      <w:lvlJc w:val="left"/>
      <w:pPr>
        <w:tabs>
          <w:tab w:val="num" w:pos="4320"/>
        </w:tabs>
        <w:ind w:left="4320" w:hanging="360"/>
      </w:pPr>
    </w:lvl>
    <w:lvl w:ilvl="6" w:tplc="56A2E63E" w:tentative="1">
      <w:start w:val="1"/>
      <w:numFmt w:val="upperLetter"/>
      <w:lvlText w:val="%7."/>
      <w:lvlJc w:val="left"/>
      <w:pPr>
        <w:tabs>
          <w:tab w:val="num" w:pos="5040"/>
        </w:tabs>
        <w:ind w:left="5040" w:hanging="360"/>
      </w:pPr>
    </w:lvl>
    <w:lvl w:ilvl="7" w:tplc="5E6A615A" w:tentative="1">
      <w:start w:val="1"/>
      <w:numFmt w:val="upperLetter"/>
      <w:lvlText w:val="%8."/>
      <w:lvlJc w:val="left"/>
      <w:pPr>
        <w:tabs>
          <w:tab w:val="num" w:pos="5760"/>
        </w:tabs>
        <w:ind w:left="5760" w:hanging="360"/>
      </w:pPr>
    </w:lvl>
    <w:lvl w:ilvl="8" w:tplc="28ACC46C" w:tentative="1">
      <w:start w:val="1"/>
      <w:numFmt w:val="upperLetter"/>
      <w:lvlText w:val="%9."/>
      <w:lvlJc w:val="left"/>
      <w:pPr>
        <w:tabs>
          <w:tab w:val="num" w:pos="6480"/>
        </w:tabs>
        <w:ind w:left="6480" w:hanging="360"/>
      </w:pPr>
    </w:lvl>
  </w:abstractNum>
  <w:abstractNum w:abstractNumId="3" w15:restartNumberingAfterBreak="0">
    <w:nsid w:val="020A6957"/>
    <w:multiLevelType w:val="hybridMultilevel"/>
    <w:tmpl w:val="FD18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0C27B0"/>
    <w:multiLevelType w:val="hybridMultilevel"/>
    <w:tmpl w:val="37C84AB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680091"/>
    <w:multiLevelType w:val="hybridMultilevel"/>
    <w:tmpl w:val="C540E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9A0EA9"/>
    <w:multiLevelType w:val="hybridMultilevel"/>
    <w:tmpl w:val="4B4AE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0C62D5"/>
    <w:multiLevelType w:val="hybridMultilevel"/>
    <w:tmpl w:val="B9B0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596F3F"/>
    <w:multiLevelType w:val="hybridMultilevel"/>
    <w:tmpl w:val="1D98B192"/>
    <w:lvl w:ilvl="0" w:tplc="A6F214BA">
      <w:start w:val="1"/>
      <w:numFmt w:val="lowerLetter"/>
      <w:lvlText w:val="%1."/>
      <w:lvlJc w:val="left"/>
      <w:pPr>
        <w:tabs>
          <w:tab w:val="num" w:pos="720"/>
        </w:tabs>
        <w:ind w:left="720" w:hanging="360"/>
      </w:pPr>
    </w:lvl>
    <w:lvl w:ilvl="1" w:tplc="820A354A" w:tentative="1">
      <w:start w:val="1"/>
      <w:numFmt w:val="lowerLetter"/>
      <w:lvlText w:val="%2."/>
      <w:lvlJc w:val="left"/>
      <w:pPr>
        <w:tabs>
          <w:tab w:val="num" w:pos="1440"/>
        </w:tabs>
        <w:ind w:left="1440" w:hanging="360"/>
      </w:pPr>
    </w:lvl>
    <w:lvl w:ilvl="2" w:tplc="EA72C052" w:tentative="1">
      <w:start w:val="1"/>
      <w:numFmt w:val="lowerLetter"/>
      <w:lvlText w:val="%3."/>
      <w:lvlJc w:val="left"/>
      <w:pPr>
        <w:tabs>
          <w:tab w:val="num" w:pos="2160"/>
        </w:tabs>
        <w:ind w:left="2160" w:hanging="360"/>
      </w:pPr>
    </w:lvl>
    <w:lvl w:ilvl="3" w:tplc="8CA86FDA" w:tentative="1">
      <w:start w:val="1"/>
      <w:numFmt w:val="lowerLetter"/>
      <w:lvlText w:val="%4."/>
      <w:lvlJc w:val="left"/>
      <w:pPr>
        <w:tabs>
          <w:tab w:val="num" w:pos="2880"/>
        </w:tabs>
        <w:ind w:left="2880" w:hanging="360"/>
      </w:pPr>
    </w:lvl>
    <w:lvl w:ilvl="4" w:tplc="65281246" w:tentative="1">
      <w:start w:val="1"/>
      <w:numFmt w:val="lowerLetter"/>
      <w:lvlText w:val="%5."/>
      <w:lvlJc w:val="left"/>
      <w:pPr>
        <w:tabs>
          <w:tab w:val="num" w:pos="3600"/>
        </w:tabs>
        <w:ind w:left="3600" w:hanging="360"/>
      </w:pPr>
    </w:lvl>
    <w:lvl w:ilvl="5" w:tplc="75D4D31E" w:tentative="1">
      <w:start w:val="1"/>
      <w:numFmt w:val="lowerLetter"/>
      <w:lvlText w:val="%6."/>
      <w:lvlJc w:val="left"/>
      <w:pPr>
        <w:tabs>
          <w:tab w:val="num" w:pos="4320"/>
        </w:tabs>
        <w:ind w:left="4320" w:hanging="360"/>
      </w:pPr>
    </w:lvl>
    <w:lvl w:ilvl="6" w:tplc="C6205C66" w:tentative="1">
      <w:start w:val="1"/>
      <w:numFmt w:val="lowerLetter"/>
      <w:lvlText w:val="%7."/>
      <w:lvlJc w:val="left"/>
      <w:pPr>
        <w:tabs>
          <w:tab w:val="num" w:pos="5040"/>
        </w:tabs>
        <w:ind w:left="5040" w:hanging="360"/>
      </w:pPr>
    </w:lvl>
    <w:lvl w:ilvl="7" w:tplc="4AE21BC2" w:tentative="1">
      <w:start w:val="1"/>
      <w:numFmt w:val="lowerLetter"/>
      <w:lvlText w:val="%8."/>
      <w:lvlJc w:val="left"/>
      <w:pPr>
        <w:tabs>
          <w:tab w:val="num" w:pos="5760"/>
        </w:tabs>
        <w:ind w:left="5760" w:hanging="360"/>
      </w:pPr>
    </w:lvl>
    <w:lvl w:ilvl="8" w:tplc="5C6CFDCC" w:tentative="1">
      <w:start w:val="1"/>
      <w:numFmt w:val="lowerLetter"/>
      <w:lvlText w:val="%9."/>
      <w:lvlJc w:val="left"/>
      <w:pPr>
        <w:tabs>
          <w:tab w:val="num" w:pos="6480"/>
        </w:tabs>
        <w:ind w:left="6480" w:hanging="360"/>
      </w:pPr>
    </w:lvl>
  </w:abstractNum>
  <w:abstractNum w:abstractNumId="9" w15:restartNumberingAfterBreak="0">
    <w:nsid w:val="194230E9"/>
    <w:multiLevelType w:val="hybridMultilevel"/>
    <w:tmpl w:val="336634D8"/>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0" w15:restartNumberingAfterBreak="0">
    <w:nsid w:val="203C6638"/>
    <w:multiLevelType w:val="hybridMultilevel"/>
    <w:tmpl w:val="8092E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B4A37"/>
    <w:multiLevelType w:val="hybridMultilevel"/>
    <w:tmpl w:val="21A2A3F4"/>
    <w:lvl w:ilvl="0" w:tplc="0409000F">
      <w:start w:val="1"/>
      <w:numFmt w:val="decimal"/>
      <w:lvlText w:val="%1."/>
      <w:lvlJc w:val="left"/>
      <w:pPr>
        <w:tabs>
          <w:tab w:val="num" w:pos="720"/>
        </w:tabs>
        <w:ind w:left="720" w:hanging="360"/>
      </w:pPr>
    </w:lvl>
    <w:lvl w:ilvl="1" w:tplc="36DA9C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D00BE"/>
    <w:multiLevelType w:val="hybridMultilevel"/>
    <w:tmpl w:val="FB6E2CF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33918"/>
    <w:multiLevelType w:val="hybridMultilevel"/>
    <w:tmpl w:val="016E2C26"/>
    <w:lvl w:ilvl="0" w:tplc="2F42564A">
      <w:start w:val="1"/>
      <w:numFmt w:val="lowerLetter"/>
      <w:lvlText w:val="%1."/>
      <w:lvlJc w:val="left"/>
      <w:pPr>
        <w:tabs>
          <w:tab w:val="num" w:pos="720"/>
        </w:tabs>
        <w:ind w:left="720" w:hanging="360"/>
      </w:pPr>
    </w:lvl>
    <w:lvl w:ilvl="1" w:tplc="BB60F816" w:tentative="1">
      <w:start w:val="1"/>
      <w:numFmt w:val="lowerLetter"/>
      <w:lvlText w:val="%2."/>
      <w:lvlJc w:val="left"/>
      <w:pPr>
        <w:tabs>
          <w:tab w:val="num" w:pos="1440"/>
        </w:tabs>
        <w:ind w:left="1440" w:hanging="360"/>
      </w:pPr>
    </w:lvl>
    <w:lvl w:ilvl="2" w:tplc="F72CECB8" w:tentative="1">
      <w:start w:val="1"/>
      <w:numFmt w:val="lowerLetter"/>
      <w:lvlText w:val="%3."/>
      <w:lvlJc w:val="left"/>
      <w:pPr>
        <w:tabs>
          <w:tab w:val="num" w:pos="2160"/>
        </w:tabs>
        <w:ind w:left="2160" w:hanging="360"/>
      </w:pPr>
    </w:lvl>
    <w:lvl w:ilvl="3" w:tplc="F728835A" w:tentative="1">
      <w:start w:val="1"/>
      <w:numFmt w:val="lowerLetter"/>
      <w:lvlText w:val="%4."/>
      <w:lvlJc w:val="left"/>
      <w:pPr>
        <w:tabs>
          <w:tab w:val="num" w:pos="2880"/>
        </w:tabs>
        <w:ind w:left="2880" w:hanging="360"/>
      </w:pPr>
    </w:lvl>
    <w:lvl w:ilvl="4" w:tplc="93CA4874" w:tentative="1">
      <w:start w:val="1"/>
      <w:numFmt w:val="lowerLetter"/>
      <w:lvlText w:val="%5."/>
      <w:lvlJc w:val="left"/>
      <w:pPr>
        <w:tabs>
          <w:tab w:val="num" w:pos="3600"/>
        </w:tabs>
        <w:ind w:left="3600" w:hanging="360"/>
      </w:pPr>
    </w:lvl>
    <w:lvl w:ilvl="5" w:tplc="E040B980" w:tentative="1">
      <w:start w:val="1"/>
      <w:numFmt w:val="lowerLetter"/>
      <w:lvlText w:val="%6."/>
      <w:lvlJc w:val="left"/>
      <w:pPr>
        <w:tabs>
          <w:tab w:val="num" w:pos="4320"/>
        </w:tabs>
        <w:ind w:left="4320" w:hanging="360"/>
      </w:pPr>
    </w:lvl>
    <w:lvl w:ilvl="6" w:tplc="D788FC82" w:tentative="1">
      <w:start w:val="1"/>
      <w:numFmt w:val="lowerLetter"/>
      <w:lvlText w:val="%7."/>
      <w:lvlJc w:val="left"/>
      <w:pPr>
        <w:tabs>
          <w:tab w:val="num" w:pos="5040"/>
        </w:tabs>
        <w:ind w:left="5040" w:hanging="360"/>
      </w:pPr>
    </w:lvl>
    <w:lvl w:ilvl="7" w:tplc="AF1C7246" w:tentative="1">
      <w:start w:val="1"/>
      <w:numFmt w:val="lowerLetter"/>
      <w:lvlText w:val="%8."/>
      <w:lvlJc w:val="left"/>
      <w:pPr>
        <w:tabs>
          <w:tab w:val="num" w:pos="5760"/>
        </w:tabs>
        <w:ind w:left="5760" w:hanging="360"/>
      </w:pPr>
    </w:lvl>
    <w:lvl w:ilvl="8" w:tplc="46FCA686" w:tentative="1">
      <w:start w:val="1"/>
      <w:numFmt w:val="lowerLetter"/>
      <w:lvlText w:val="%9."/>
      <w:lvlJc w:val="left"/>
      <w:pPr>
        <w:tabs>
          <w:tab w:val="num" w:pos="6480"/>
        </w:tabs>
        <w:ind w:left="6480" w:hanging="360"/>
      </w:pPr>
    </w:lvl>
  </w:abstractNum>
  <w:abstractNum w:abstractNumId="14" w15:restartNumberingAfterBreak="0">
    <w:nsid w:val="388877E5"/>
    <w:multiLevelType w:val="hybridMultilevel"/>
    <w:tmpl w:val="E2A2DDF6"/>
    <w:lvl w:ilvl="0" w:tplc="61EACECC">
      <w:start w:val="1"/>
      <w:numFmt w:val="bullet"/>
      <w:pStyle w:val="ListA"/>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517DC"/>
    <w:multiLevelType w:val="hybridMultilevel"/>
    <w:tmpl w:val="3076B000"/>
    <w:lvl w:ilvl="0" w:tplc="98FED334">
      <w:start w:val="1"/>
      <w:numFmt w:val="lowerLetter"/>
      <w:lvlText w:val="%1."/>
      <w:lvlJc w:val="left"/>
      <w:pPr>
        <w:tabs>
          <w:tab w:val="num" w:pos="720"/>
        </w:tabs>
        <w:ind w:left="720" w:hanging="360"/>
      </w:pPr>
    </w:lvl>
    <w:lvl w:ilvl="1" w:tplc="2BBE9476" w:tentative="1">
      <w:start w:val="1"/>
      <w:numFmt w:val="lowerLetter"/>
      <w:lvlText w:val="%2."/>
      <w:lvlJc w:val="left"/>
      <w:pPr>
        <w:tabs>
          <w:tab w:val="num" w:pos="1440"/>
        </w:tabs>
        <w:ind w:left="1440" w:hanging="360"/>
      </w:pPr>
    </w:lvl>
    <w:lvl w:ilvl="2" w:tplc="FD02DBF0" w:tentative="1">
      <w:start w:val="1"/>
      <w:numFmt w:val="lowerLetter"/>
      <w:lvlText w:val="%3."/>
      <w:lvlJc w:val="left"/>
      <w:pPr>
        <w:tabs>
          <w:tab w:val="num" w:pos="2160"/>
        </w:tabs>
        <w:ind w:left="2160" w:hanging="360"/>
      </w:pPr>
    </w:lvl>
    <w:lvl w:ilvl="3" w:tplc="33E8A8DE" w:tentative="1">
      <w:start w:val="1"/>
      <w:numFmt w:val="lowerLetter"/>
      <w:lvlText w:val="%4."/>
      <w:lvlJc w:val="left"/>
      <w:pPr>
        <w:tabs>
          <w:tab w:val="num" w:pos="2880"/>
        </w:tabs>
        <w:ind w:left="2880" w:hanging="360"/>
      </w:pPr>
    </w:lvl>
    <w:lvl w:ilvl="4" w:tplc="F6A01A4C" w:tentative="1">
      <w:start w:val="1"/>
      <w:numFmt w:val="lowerLetter"/>
      <w:lvlText w:val="%5."/>
      <w:lvlJc w:val="left"/>
      <w:pPr>
        <w:tabs>
          <w:tab w:val="num" w:pos="3600"/>
        </w:tabs>
        <w:ind w:left="3600" w:hanging="360"/>
      </w:pPr>
    </w:lvl>
    <w:lvl w:ilvl="5" w:tplc="1540AA12" w:tentative="1">
      <w:start w:val="1"/>
      <w:numFmt w:val="lowerLetter"/>
      <w:lvlText w:val="%6."/>
      <w:lvlJc w:val="left"/>
      <w:pPr>
        <w:tabs>
          <w:tab w:val="num" w:pos="4320"/>
        </w:tabs>
        <w:ind w:left="4320" w:hanging="360"/>
      </w:pPr>
    </w:lvl>
    <w:lvl w:ilvl="6" w:tplc="FD6CA40E" w:tentative="1">
      <w:start w:val="1"/>
      <w:numFmt w:val="lowerLetter"/>
      <w:lvlText w:val="%7."/>
      <w:lvlJc w:val="left"/>
      <w:pPr>
        <w:tabs>
          <w:tab w:val="num" w:pos="5040"/>
        </w:tabs>
        <w:ind w:left="5040" w:hanging="360"/>
      </w:pPr>
    </w:lvl>
    <w:lvl w:ilvl="7" w:tplc="32D46480" w:tentative="1">
      <w:start w:val="1"/>
      <w:numFmt w:val="lowerLetter"/>
      <w:lvlText w:val="%8."/>
      <w:lvlJc w:val="left"/>
      <w:pPr>
        <w:tabs>
          <w:tab w:val="num" w:pos="5760"/>
        </w:tabs>
        <w:ind w:left="5760" w:hanging="360"/>
      </w:pPr>
    </w:lvl>
    <w:lvl w:ilvl="8" w:tplc="FCEEC8AC" w:tentative="1">
      <w:start w:val="1"/>
      <w:numFmt w:val="lowerLetter"/>
      <w:lvlText w:val="%9."/>
      <w:lvlJc w:val="left"/>
      <w:pPr>
        <w:tabs>
          <w:tab w:val="num" w:pos="6480"/>
        </w:tabs>
        <w:ind w:left="6480" w:hanging="360"/>
      </w:pPr>
    </w:lvl>
  </w:abstractNum>
  <w:abstractNum w:abstractNumId="16" w15:restartNumberingAfterBreak="0">
    <w:nsid w:val="412D283E"/>
    <w:multiLevelType w:val="hybridMultilevel"/>
    <w:tmpl w:val="5D60A2FE"/>
    <w:lvl w:ilvl="0" w:tplc="A2CE6C5C">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7" w15:restartNumberingAfterBreak="0">
    <w:nsid w:val="49E1114D"/>
    <w:multiLevelType w:val="hybridMultilevel"/>
    <w:tmpl w:val="3190E268"/>
    <w:lvl w:ilvl="0" w:tplc="04090001">
      <w:start w:val="1"/>
      <w:numFmt w:val="bullet"/>
      <w:lvlText w:val=""/>
      <w:lvlJc w:val="left"/>
      <w:pPr>
        <w:tabs>
          <w:tab w:val="num" w:pos="720"/>
        </w:tabs>
        <w:ind w:left="720" w:hanging="360"/>
      </w:pPr>
      <w:rPr>
        <w:rFonts w:ascii="Symbol" w:hAnsi="Symbol" w:hint="default"/>
      </w:rPr>
    </w:lvl>
    <w:lvl w:ilvl="1" w:tplc="F81CEAD8">
      <w:start w:val="1"/>
      <w:numFmt w:val="decimal"/>
      <w:lvlText w:val="%2."/>
      <w:lvlJc w:val="left"/>
      <w:pPr>
        <w:tabs>
          <w:tab w:val="num" w:pos="1440"/>
        </w:tabs>
        <w:ind w:left="1440" w:hanging="360"/>
      </w:pPr>
      <w:rPr>
        <w:rFonts w:hint="default"/>
      </w:rPr>
    </w:lvl>
    <w:lvl w:ilvl="2" w:tplc="725809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006E4"/>
    <w:multiLevelType w:val="hybridMultilevel"/>
    <w:tmpl w:val="2DB60BDC"/>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19" w15:restartNumberingAfterBreak="0">
    <w:nsid w:val="519E738C"/>
    <w:multiLevelType w:val="hybridMultilevel"/>
    <w:tmpl w:val="AC0A8632"/>
    <w:lvl w:ilvl="0" w:tplc="D1B225C0">
      <w:start w:val="1"/>
      <w:numFmt w:val="bullet"/>
      <w:pStyle w:val="Style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4199F"/>
    <w:multiLevelType w:val="hybridMultilevel"/>
    <w:tmpl w:val="6D7CBD76"/>
    <w:lvl w:ilvl="0" w:tplc="BA9457C4">
      <w:start w:val="1"/>
      <w:numFmt w:val="upperLetter"/>
      <w:lvlText w:val="(%1)"/>
      <w:lvlJc w:val="left"/>
      <w:pPr>
        <w:ind w:left="3651" w:hanging="360"/>
      </w:pPr>
      <w:rPr>
        <w:rFonts w:hint="default"/>
      </w:rPr>
    </w:lvl>
    <w:lvl w:ilvl="1" w:tplc="0C090019" w:tentative="1">
      <w:start w:val="1"/>
      <w:numFmt w:val="lowerLetter"/>
      <w:lvlText w:val="%2."/>
      <w:lvlJc w:val="left"/>
      <w:pPr>
        <w:ind w:left="4371" w:hanging="360"/>
      </w:pPr>
    </w:lvl>
    <w:lvl w:ilvl="2" w:tplc="0C09001B" w:tentative="1">
      <w:start w:val="1"/>
      <w:numFmt w:val="lowerRoman"/>
      <w:lvlText w:val="%3."/>
      <w:lvlJc w:val="right"/>
      <w:pPr>
        <w:ind w:left="5091" w:hanging="180"/>
      </w:pPr>
    </w:lvl>
    <w:lvl w:ilvl="3" w:tplc="0C09000F" w:tentative="1">
      <w:start w:val="1"/>
      <w:numFmt w:val="decimal"/>
      <w:lvlText w:val="%4."/>
      <w:lvlJc w:val="left"/>
      <w:pPr>
        <w:ind w:left="5811" w:hanging="360"/>
      </w:pPr>
    </w:lvl>
    <w:lvl w:ilvl="4" w:tplc="0C090019" w:tentative="1">
      <w:start w:val="1"/>
      <w:numFmt w:val="lowerLetter"/>
      <w:lvlText w:val="%5."/>
      <w:lvlJc w:val="left"/>
      <w:pPr>
        <w:ind w:left="6531" w:hanging="360"/>
      </w:pPr>
    </w:lvl>
    <w:lvl w:ilvl="5" w:tplc="0C09001B" w:tentative="1">
      <w:start w:val="1"/>
      <w:numFmt w:val="lowerRoman"/>
      <w:lvlText w:val="%6."/>
      <w:lvlJc w:val="right"/>
      <w:pPr>
        <w:ind w:left="7251" w:hanging="180"/>
      </w:pPr>
    </w:lvl>
    <w:lvl w:ilvl="6" w:tplc="0C09000F" w:tentative="1">
      <w:start w:val="1"/>
      <w:numFmt w:val="decimal"/>
      <w:lvlText w:val="%7."/>
      <w:lvlJc w:val="left"/>
      <w:pPr>
        <w:ind w:left="7971" w:hanging="360"/>
      </w:pPr>
    </w:lvl>
    <w:lvl w:ilvl="7" w:tplc="0C090019" w:tentative="1">
      <w:start w:val="1"/>
      <w:numFmt w:val="lowerLetter"/>
      <w:lvlText w:val="%8."/>
      <w:lvlJc w:val="left"/>
      <w:pPr>
        <w:ind w:left="8691" w:hanging="360"/>
      </w:pPr>
    </w:lvl>
    <w:lvl w:ilvl="8" w:tplc="0C09001B" w:tentative="1">
      <w:start w:val="1"/>
      <w:numFmt w:val="lowerRoman"/>
      <w:lvlText w:val="%9."/>
      <w:lvlJc w:val="right"/>
      <w:pPr>
        <w:ind w:left="9411" w:hanging="180"/>
      </w:pPr>
    </w:lvl>
  </w:abstractNum>
  <w:abstractNum w:abstractNumId="21" w15:restartNumberingAfterBreak="0">
    <w:nsid w:val="5B756EAF"/>
    <w:multiLevelType w:val="hybridMultilevel"/>
    <w:tmpl w:val="1822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D0758"/>
    <w:multiLevelType w:val="hybridMultilevel"/>
    <w:tmpl w:val="01AA1B88"/>
    <w:lvl w:ilvl="0" w:tplc="0792C0D4">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C15202"/>
    <w:multiLevelType w:val="hybridMultilevel"/>
    <w:tmpl w:val="4C70DC2C"/>
    <w:lvl w:ilvl="0" w:tplc="DAAEE5A4">
      <w:start w:val="8"/>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4" w15:restartNumberingAfterBreak="0">
    <w:nsid w:val="7A1F387B"/>
    <w:multiLevelType w:val="hybridMultilevel"/>
    <w:tmpl w:val="ED28986E"/>
    <w:lvl w:ilvl="0" w:tplc="5E9CDE54">
      <w:start w:val="1"/>
      <w:numFmt w:val="lowerLetter"/>
      <w:lvlText w:val="%1."/>
      <w:lvlJc w:val="left"/>
      <w:pPr>
        <w:tabs>
          <w:tab w:val="num" w:pos="720"/>
        </w:tabs>
        <w:ind w:left="720" w:hanging="360"/>
      </w:pPr>
    </w:lvl>
    <w:lvl w:ilvl="1" w:tplc="E29ADC64" w:tentative="1">
      <w:start w:val="1"/>
      <w:numFmt w:val="lowerLetter"/>
      <w:lvlText w:val="%2."/>
      <w:lvlJc w:val="left"/>
      <w:pPr>
        <w:tabs>
          <w:tab w:val="num" w:pos="1440"/>
        </w:tabs>
        <w:ind w:left="1440" w:hanging="360"/>
      </w:pPr>
    </w:lvl>
    <w:lvl w:ilvl="2" w:tplc="7D7C59F6" w:tentative="1">
      <w:start w:val="1"/>
      <w:numFmt w:val="lowerLetter"/>
      <w:lvlText w:val="%3."/>
      <w:lvlJc w:val="left"/>
      <w:pPr>
        <w:tabs>
          <w:tab w:val="num" w:pos="2160"/>
        </w:tabs>
        <w:ind w:left="2160" w:hanging="360"/>
      </w:pPr>
    </w:lvl>
    <w:lvl w:ilvl="3" w:tplc="CE4CF652" w:tentative="1">
      <w:start w:val="1"/>
      <w:numFmt w:val="lowerLetter"/>
      <w:lvlText w:val="%4."/>
      <w:lvlJc w:val="left"/>
      <w:pPr>
        <w:tabs>
          <w:tab w:val="num" w:pos="2880"/>
        </w:tabs>
        <w:ind w:left="2880" w:hanging="360"/>
      </w:pPr>
    </w:lvl>
    <w:lvl w:ilvl="4" w:tplc="6ACC73EC" w:tentative="1">
      <w:start w:val="1"/>
      <w:numFmt w:val="lowerLetter"/>
      <w:lvlText w:val="%5."/>
      <w:lvlJc w:val="left"/>
      <w:pPr>
        <w:tabs>
          <w:tab w:val="num" w:pos="3600"/>
        </w:tabs>
        <w:ind w:left="3600" w:hanging="360"/>
      </w:pPr>
    </w:lvl>
    <w:lvl w:ilvl="5" w:tplc="BA9EB82C" w:tentative="1">
      <w:start w:val="1"/>
      <w:numFmt w:val="lowerLetter"/>
      <w:lvlText w:val="%6."/>
      <w:lvlJc w:val="left"/>
      <w:pPr>
        <w:tabs>
          <w:tab w:val="num" w:pos="4320"/>
        </w:tabs>
        <w:ind w:left="4320" w:hanging="360"/>
      </w:pPr>
    </w:lvl>
    <w:lvl w:ilvl="6" w:tplc="1BE0C220" w:tentative="1">
      <w:start w:val="1"/>
      <w:numFmt w:val="lowerLetter"/>
      <w:lvlText w:val="%7."/>
      <w:lvlJc w:val="left"/>
      <w:pPr>
        <w:tabs>
          <w:tab w:val="num" w:pos="5040"/>
        </w:tabs>
        <w:ind w:left="5040" w:hanging="360"/>
      </w:pPr>
    </w:lvl>
    <w:lvl w:ilvl="7" w:tplc="FC2E2096" w:tentative="1">
      <w:start w:val="1"/>
      <w:numFmt w:val="lowerLetter"/>
      <w:lvlText w:val="%8."/>
      <w:lvlJc w:val="left"/>
      <w:pPr>
        <w:tabs>
          <w:tab w:val="num" w:pos="5760"/>
        </w:tabs>
        <w:ind w:left="5760" w:hanging="360"/>
      </w:pPr>
    </w:lvl>
    <w:lvl w:ilvl="8" w:tplc="8506C142" w:tentative="1">
      <w:start w:val="1"/>
      <w:numFmt w:val="lowerLetter"/>
      <w:lvlText w:val="%9."/>
      <w:lvlJc w:val="left"/>
      <w:pPr>
        <w:tabs>
          <w:tab w:val="num" w:pos="6480"/>
        </w:tabs>
        <w:ind w:left="6480" w:hanging="360"/>
      </w:pPr>
    </w:lvl>
  </w:abstractNum>
  <w:abstractNum w:abstractNumId="25" w15:restartNumberingAfterBreak="0">
    <w:nsid w:val="7A4E4AD2"/>
    <w:multiLevelType w:val="hybridMultilevel"/>
    <w:tmpl w:val="5EA43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9E4C2D"/>
    <w:multiLevelType w:val="hybridMultilevel"/>
    <w:tmpl w:val="19DEC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61785C"/>
    <w:multiLevelType w:val="hybridMultilevel"/>
    <w:tmpl w:val="2438BE10"/>
    <w:lvl w:ilvl="0" w:tplc="D642402C">
      <w:start w:val="1"/>
      <w:numFmt w:val="upp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28" w15:restartNumberingAfterBreak="0">
    <w:nsid w:val="7CEC2ECC"/>
    <w:multiLevelType w:val="hybridMultilevel"/>
    <w:tmpl w:val="E7A2DDA2"/>
    <w:lvl w:ilvl="0" w:tplc="8AFEABD0">
      <w:start w:val="1"/>
      <w:numFmt w:val="bullet"/>
      <w:pStyle w:val="aheadnote-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11"/>
  </w:num>
  <w:num w:numId="3">
    <w:abstractNumId w:val="26"/>
  </w:num>
  <w:num w:numId="4">
    <w:abstractNumId w:val="12"/>
  </w:num>
  <w:num w:numId="5">
    <w:abstractNumId w:val="4"/>
  </w:num>
  <w:num w:numId="6">
    <w:abstractNumId w:val="13"/>
  </w:num>
  <w:num w:numId="7">
    <w:abstractNumId w:val="24"/>
  </w:num>
  <w:num w:numId="8">
    <w:abstractNumId w:val="15"/>
  </w:num>
  <w:num w:numId="9">
    <w:abstractNumId w:val="2"/>
  </w:num>
  <w:num w:numId="10">
    <w:abstractNumId w:val="8"/>
  </w:num>
  <w:num w:numId="11">
    <w:abstractNumId w:val="1"/>
  </w:num>
  <w:num w:numId="12">
    <w:abstractNumId w:val="17"/>
  </w:num>
  <w:num w:numId="13">
    <w:abstractNumId w:val="3"/>
  </w:num>
  <w:num w:numId="14">
    <w:abstractNumId w:val="5"/>
  </w:num>
  <w:num w:numId="15">
    <w:abstractNumId w:val="6"/>
  </w:num>
  <w:num w:numId="16">
    <w:abstractNumId w:val="21"/>
  </w:num>
  <w:num w:numId="17">
    <w:abstractNumId w:val="10"/>
  </w:num>
  <w:num w:numId="18">
    <w:abstractNumId w:val="18"/>
  </w:num>
  <w:num w:numId="19">
    <w:abstractNumId w:val="9"/>
  </w:num>
  <w:num w:numId="20">
    <w:abstractNumId w:val="7"/>
  </w:num>
  <w:num w:numId="21">
    <w:abstractNumId w:val="23"/>
  </w:num>
  <w:num w:numId="22">
    <w:abstractNumId w:val="22"/>
  </w:num>
  <w:num w:numId="23">
    <w:abstractNumId w:val="25"/>
  </w:num>
  <w:num w:numId="24">
    <w:abstractNumId w:val="14"/>
  </w:num>
  <w:num w:numId="25">
    <w:abstractNumId w:val="19"/>
  </w:num>
  <w:num w:numId="26">
    <w:abstractNumId w:val="28"/>
  </w:num>
  <w:num w:numId="27">
    <w:abstractNumId w:val="16"/>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linkStyles/>
  <w:defaultTabStop w:val="454"/>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6"/>
    <w:rsid w:val="00012173"/>
    <w:rsid w:val="00012D22"/>
    <w:rsid w:val="00014660"/>
    <w:rsid w:val="00035F9B"/>
    <w:rsid w:val="000A0BD5"/>
    <w:rsid w:val="000D0601"/>
    <w:rsid w:val="00120994"/>
    <w:rsid w:val="00142E1C"/>
    <w:rsid w:val="0015061A"/>
    <w:rsid w:val="001560D0"/>
    <w:rsid w:val="00163BA1"/>
    <w:rsid w:val="001656ED"/>
    <w:rsid w:val="00184385"/>
    <w:rsid w:val="001877F0"/>
    <w:rsid w:val="001957D2"/>
    <w:rsid w:val="001A2622"/>
    <w:rsid w:val="001A30D0"/>
    <w:rsid w:val="001B3D09"/>
    <w:rsid w:val="001E4FB9"/>
    <w:rsid w:val="001F57AD"/>
    <w:rsid w:val="001F624E"/>
    <w:rsid w:val="00204FD0"/>
    <w:rsid w:val="00236E45"/>
    <w:rsid w:val="00244FBF"/>
    <w:rsid w:val="00255CF9"/>
    <w:rsid w:val="00260694"/>
    <w:rsid w:val="00267D9A"/>
    <w:rsid w:val="002720F3"/>
    <w:rsid w:val="002825BE"/>
    <w:rsid w:val="00282E39"/>
    <w:rsid w:val="002874ED"/>
    <w:rsid w:val="002B3342"/>
    <w:rsid w:val="002C1EE3"/>
    <w:rsid w:val="002C479F"/>
    <w:rsid w:val="002E04C4"/>
    <w:rsid w:val="002F6F61"/>
    <w:rsid w:val="00307940"/>
    <w:rsid w:val="0031090F"/>
    <w:rsid w:val="0031240F"/>
    <w:rsid w:val="00320A9F"/>
    <w:rsid w:val="003359D1"/>
    <w:rsid w:val="0035590F"/>
    <w:rsid w:val="003618EA"/>
    <w:rsid w:val="003764D3"/>
    <w:rsid w:val="00377080"/>
    <w:rsid w:val="00381717"/>
    <w:rsid w:val="003D4BA3"/>
    <w:rsid w:val="003F10E8"/>
    <w:rsid w:val="003F11D0"/>
    <w:rsid w:val="003F6EDC"/>
    <w:rsid w:val="00402C21"/>
    <w:rsid w:val="0041204A"/>
    <w:rsid w:val="004158A2"/>
    <w:rsid w:val="00452D8D"/>
    <w:rsid w:val="004729E2"/>
    <w:rsid w:val="00476591"/>
    <w:rsid w:val="0048221D"/>
    <w:rsid w:val="00491EAF"/>
    <w:rsid w:val="004962B7"/>
    <w:rsid w:val="004D1B91"/>
    <w:rsid w:val="004E503F"/>
    <w:rsid w:val="004F0B01"/>
    <w:rsid w:val="00506446"/>
    <w:rsid w:val="00535972"/>
    <w:rsid w:val="00556329"/>
    <w:rsid w:val="00575ABA"/>
    <w:rsid w:val="00576093"/>
    <w:rsid w:val="0059192B"/>
    <w:rsid w:val="00595802"/>
    <w:rsid w:val="005B042A"/>
    <w:rsid w:val="005C5888"/>
    <w:rsid w:val="005E1063"/>
    <w:rsid w:val="005E7D96"/>
    <w:rsid w:val="00612844"/>
    <w:rsid w:val="006529B2"/>
    <w:rsid w:val="00653A8D"/>
    <w:rsid w:val="006546E7"/>
    <w:rsid w:val="00691CA0"/>
    <w:rsid w:val="006A01DB"/>
    <w:rsid w:val="006F0DB6"/>
    <w:rsid w:val="00706AE9"/>
    <w:rsid w:val="00717530"/>
    <w:rsid w:val="00734CDA"/>
    <w:rsid w:val="007407A6"/>
    <w:rsid w:val="007504BB"/>
    <w:rsid w:val="007507EA"/>
    <w:rsid w:val="007511B0"/>
    <w:rsid w:val="007565C0"/>
    <w:rsid w:val="0076280B"/>
    <w:rsid w:val="00793457"/>
    <w:rsid w:val="007A46A7"/>
    <w:rsid w:val="007A5F31"/>
    <w:rsid w:val="007B7C45"/>
    <w:rsid w:val="007C3090"/>
    <w:rsid w:val="007E358E"/>
    <w:rsid w:val="007F428A"/>
    <w:rsid w:val="00816E59"/>
    <w:rsid w:val="008245A1"/>
    <w:rsid w:val="00835E1C"/>
    <w:rsid w:val="00844246"/>
    <w:rsid w:val="00844593"/>
    <w:rsid w:val="00852190"/>
    <w:rsid w:val="008736BF"/>
    <w:rsid w:val="00874CAC"/>
    <w:rsid w:val="00885388"/>
    <w:rsid w:val="00893619"/>
    <w:rsid w:val="008A0AFB"/>
    <w:rsid w:val="008C3611"/>
    <w:rsid w:val="008F03C6"/>
    <w:rsid w:val="008F70FA"/>
    <w:rsid w:val="009071E2"/>
    <w:rsid w:val="00911C5B"/>
    <w:rsid w:val="00962B37"/>
    <w:rsid w:val="00972037"/>
    <w:rsid w:val="00985A15"/>
    <w:rsid w:val="009970EA"/>
    <w:rsid w:val="00997C66"/>
    <w:rsid w:val="009B048C"/>
    <w:rsid w:val="009B09C0"/>
    <w:rsid w:val="009D5AA3"/>
    <w:rsid w:val="009E4374"/>
    <w:rsid w:val="00A20E3D"/>
    <w:rsid w:val="00A31754"/>
    <w:rsid w:val="00A31DD5"/>
    <w:rsid w:val="00A42CFD"/>
    <w:rsid w:val="00A51603"/>
    <w:rsid w:val="00A624A0"/>
    <w:rsid w:val="00A833CC"/>
    <w:rsid w:val="00A85BAF"/>
    <w:rsid w:val="00AA20DC"/>
    <w:rsid w:val="00AA5EEC"/>
    <w:rsid w:val="00AB581C"/>
    <w:rsid w:val="00AF6344"/>
    <w:rsid w:val="00B11865"/>
    <w:rsid w:val="00B3041D"/>
    <w:rsid w:val="00B375F2"/>
    <w:rsid w:val="00B46911"/>
    <w:rsid w:val="00B4742A"/>
    <w:rsid w:val="00B534BA"/>
    <w:rsid w:val="00B55F89"/>
    <w:rsid w:val="00B602F6"/>
    <w:rsid w:val="00B811B0"/>
    <w:rsid w:val="00B935A3"/>
    <w:rsid w:val="00B95287"/>
    <w:rsid w:val="00BA5E46"/>
    <w:rsid w:val="00BC1544"/>
    <w:rsid w:val="00BC2C8C"/>
    <w:rsid w:val="00BD1B72"/>
    <w:rsid w:val="00BF37DC"/>
    <w:rsid w:val="00C12A01"/>
    <w:rsid w:val="00C2215C"/>
    <w:rsid w:val="00C407C1"/>
    <w:rsid w:val="00C4241D"/>
    <w:rsid w:val="00C46402"/>
    <w:rsid w:val="00C46715"/>
    <w:rsid w:val="00C6154C"/>
    <w:rsid w:val="00C9371C"/>
    <w:rsid w:val="00C96E49"/>
    <w:rsid w:val="00CA027C"/>
    <w:rsid w:val="00CA71F6"/>
    <w:rsid w:val="00CB4D28"/>
    <w:rsid w:val="00CC2DC8"/>
    <w:rsid w:val="00CC7D7A"/>
    <w:rsid w:val="00CF1B8A"/>
    <w:rsid w:val="00CF7D71"/>
    <w:rsid w:val="00D0010E"/>
    <w:rsid w:val="00D0286E"/>
    <w:rsid w:val="00D1215D"/>
    <w:rsid w:val="00D122D5"/>
    <w:rsid w:val="00D37AF6"/>
    <w:rsid w:val="00D4374B"/>
    <w:rsid w:val="00D46629"/>
    <w:rsid w:val="00D6693A"/>
    <w:rsid w:val="00D72215"/>
    <w:rsid w:val="00D76E09"/>
    <w:rsid w:val="00D80EF0"/>
    <w:rsid w:val="00D84332"/>
    <w:rsid w:val="00DD263E"/>
    <w:rsid w:val="00DD2AAD"/>
    <w:rsid w:val="00DD6F42"/>
    <w:rsid w:val="00DE77C2"/>
    <w:rsid w:val="00DE7FD5"/>
    <w:rsid w:val="00DF482C"/>
    <w:rsid w:val="00E25362"/>
    <w:rsid w:val="00E26EC5"/>
    <w:rsid w:val="00E826D5"/>
    <w:rsid w:val="00E9465F"/>
    <w:rsid w:val="00EB650E"/>
    <w:rsid w:val="00EC5EA4"/>
    <w:rsid w:val="00EF58C4"/>
    <w:rsid w:val="00F0000F"/>
    <w:rsid w:val="00F212F6"/>
    <w:rsid w:val="00F349E4"/>
    <w:rsid w:val="00F57BEC"/>
    <w:rsid w:val="00F80744"/>
    <w:rsid w:val="00F81C6C"/>
    <w:rsid w:val="00F84D0B"/>
    <w:rsid w:val="00FB02FA"/>
    <w:rsid w:val="00FC505E"/>
    <w:rsid w:val="00FD27C5"/>
    <w:rsid w:val="00FF3DB3"/>
    <w:rsid w:val="00FF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AD2E98C"/>
  <w15:docId w15:val="{0D676880-9F6B-4547-9465-3D49B2A9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CFD"/>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er 1"/>
    <w:next w:val="CommentText"/>
    <w:qFormat/>
    <w:pPr>
      <w:keepNext/>
      <w:tabs>
        <w:tab w:val="left" w:pos="879"/>
      </w:tabs>
      <w:overflowPunct w:val="0"/>
      <w:autoSpaceDE w:val="0"/>
      <w:autoSpaceDN w:val="0"/>
      <w:adjustRightInd w:val="0"/>
      <w:spacing w:before="360" w:after="120" w:line="340" w:lineRule="atLeast"/>
      <w:textAlignment w:val="baseline"/>
      <w:outlineLvl w:val="0"/>
    </w:pPr>
    <w:rPr>
      <w:rFonts w:ascii="Arial" w:hAnsi="Arial"/>
      <w:b/>
      <w:kern w:val="28"/>
      <w:sz w:val="28"/>
      <w:lang w:eastAsia="en-US"/>
    </w:rPr>
  </w:style>
  <w:style w:type="paragraph" w:styleId="Heading2">
    <w:name w:val="heading 2"/>
    <w:next w:val="BodyText"/>
    <w:qFormat/>
    <w:pPr>
      <w:keepNext/>
      <w:overflowPunct w:val="0"/>
      <w:autoSpaceDE w:val="0"/>
      <w:autoSpaceDN w:val="0"/>
      <w:adjustRightInd w:val="0"/>
      <w:spacing w:before="240" w:after="120"/>
      <w:textAlignment w:val="baseline"/>
      <w:outlineLvl w:val="1"/>
    </w:pPr>
    <w:rPr>
      <w:rFonts w:ascii="Arial" w:hAnsi="Arial"/>
      <w:b/>
      <w:i/>
      <w:sz w:val="26"/>
      <w:lang w:eastAsia="en-US"/>
    </w:rPr>
  </w:style>
  <w:style w:type="paragraph" w:styleId="Heading3">
    <w:name w:val="heading 3"/>
    <w:next w:val="BodyText"/>
    <w:qFormat/>
    <w:pPr>
      <w:keepNext/>
      <w:overflowPunct w:val="0"/>
      <w:autoSpaceDE w:val="0"/>
      <w:autoSpaceDN w:val="0"/>
      <w:adjustRightInd w:val="0"/>
      <w:spacing w:before="240" w:after="120" w:line="340" w:lineRule="atLeast"/>
      <w:textAlignment w:val="baseline"/>
      <w:outlineLvl w:val="2"/>
    </w:pPr>
    <w:rPr>
      <w:rFonts w:ascii="Arial" w:hAnsi="Arial"/>
      <w:sz w:val="24"/>
      <w:lang w:eastAsia="en-US"/>
    </w:rPr>
  </w:style>
  <w:style w:type="paragraph" w:styleId="Heading4">
    <w:name w:val="heading 4"/>
    <w:next w:val="BodyText"/>
    <w:qFormat/>
    <w:pPr>
      <w:keepNext/>
      <w:overflowPunct w:val="0"/>
      <w:autoSpaceDE w:val="0"/>
      <w:autoSpaceDN w:val="0"/>
      <w:adjustRightInd w:val="0"/>
      <w:spacing w:before="240" w:after="60"/>
      <w:textAlignment w:val="baseline"/>
      <w:outlineLvl w:val="3"/>
    </w:pPr>
    <w:rPr>
      <w:rFonts w:ascii="Arial" w:hAnsi="Arial"/>
      <w:i/>
      <w:sz w:val="22"/>
      <w:lang w:eastAsia="en-US"/>
    </w:rPr>
  </w:style>
  <w:style w:type="paragraph" w:styleId="Heading5">
    <w:name w:val="heading 5"/>
    <w:next w:val="Normal"/>
    <w:qFormat/>
    <w:pPr>
      <w:overflowPunct w:val="0"/>
      <w:autoSpaceDE w:val="0"/>
      <w:autoSpaceDN w:val="0"/>
      <w:adjustRightInd w:val="0"/>
      <w:spacing w:before="240" w:after="60"/>
      <w:textAlignment w:val="baseline"/>
      <w:outlineLvl w:val="4"/>
    </w:pPr>
    <w:rPr>
      <w:rFonts w:ascii="Arial" w:hAnsi="Arial"/>
      <w:noProof/>
      <w:sz w:val="22"/>
      <w:lang w:eastAsia="en-US"/>
    </w:rPr>
  </w:style>
  <w:style w:type="paragraph" w:styleId="Heading6">
    <w:name w:val="heading 6"/>
    <w:next w:val="relatedinfotext"/>
    <w:qFormat/>
    <w:pPr>
      <w:overflowPunct w:val="0"/>
      <w:autoSpaceDE w:val="0"/>
      <w:autoSpaceDN w:val="0"/>
      <w:adjustRightInd w:val="0"/>
      <w:spacing w:before="240"/>
      <w:textAlignment w:val="baseline"/>
      <w:outlineLvl w:val="5"/>
    </w:pPr>
    <w:rPr>
      <w:b/>
      <w:noProof/>
      <w:sz w:val="24"/>
      <w:lang w:eastAsia="en-US"/>
    </w:rPr>
  </w:style>
  <w:style w:type="paragraph" w:styleId="Heading7">
    <w:name w:val="heading 7"/>
    <w:next w:val="Normal"/>
    <w:qFormat/>
    <w:pPr>
      <w:overflowPunct w:val="0"/>
      <w:autoSpaceDE w:val="0"/>
      <w:autoSpaceDN w:val="0"/>
      <w:adjustRightInd w:val="0"/>
      <w:spacing w:before="240" w:after="60"/>
      <w:textAlignment w:val="baseline"/>
      <w:outlineLvl w:val="6"/>
    </w:pPr>
    <w:rPr>
      <w:rFonts w:ascii="Arial" w:hAnsi="Arial"/>
      <w:b/>
      <w:noProof/>
      <w:sz w:val="48"/>
      <w:lang w:eastAsia="en-US"/>
    </w:rPr>
  </w:style>
  <w:style w:type="paragraph" w:styleId="Heading8">
    <w:name w:val="heading 8"/>
    <w:next w:val="Normal"/>
    <w:qFormat/>
    <w:pPr>
      <w:overflowPunct w:val="0"/>
      <w:autoSpaceDE w:val="0"/>
      <w:autoSpaceDN w:val="0"/>
      <w:adjustRightInd w:val="0"/>
      <w:spacing w:before="240" w:after="60"/>
      <w:textAlignment w:val="baseline"/>
      <w:outlineLvl w:val="7"/>
    </w:pPr>
    <w:rPr>
      <w:rFonts w:ascii="Arial" w:hAnsi="Arial"/>
      <w:i/>
      <w:noProof/>
      <w:lang w:eastAsia="en-US"/>
    </w:rPr>
  </w:style>
  <w:style w:type="paragraph" w:styleId="Heading9">
    <w:name w:val="heading 9"/>
    <w:next w:val="Normal"/>
    <w:qFormat/>
    <w:pPr>
      <w:overflowPunct w:val="0"/>
      <w:autoSpaceDE w:val="0"/>
      <w:autoSpaceDN w:val="0"/>
      <w:adjustRightInd w:val="0"/>
      <w:spacing w:before="240" w:after="60"/>
      <w:textAlignment w:val="baseline"/>
      <w:outlineLvl w:val="8"/>
    </w:pPr>
    <w:rPr>
      <w:rFonts w:ascii="Arial" w:hAnsi="Arial"/>
      <w:b/>
      <w:i/>
      <w:noProof/>
      <w:sz w:val="18"/>
      <w:lang w:eastAsia="en-US"/>
    </w:rPr>
  </w:style>
  <w:style w:type="character" w:default="1" w:styleId="DefaultParagraphFont">
    <w:name w:val="Default Paragraph Font"/>
    <w:uiPriority w:val="1"/>
    <w:unhideWhenUsed/>
    <w:rsid w:val="00A42C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2CFD"/>
  </w:style>
  <w:style w:type="paragraph" w:styleId="CommentText">
    <w:name w:val="annotation text"/>
    <w:basedOn w:val="Normal"/>
    <w:link w:val="CommentTextChar"/>
    <w:semiHidden/>
  </w:style>
  <w:style w:type="paragraph" w:styleId="BodyText">
    <w:name w:val="Body Text"/>
    <w:semiHidden/>
    <w:pPr>
      <w:overflowPunct w:val="0"/>
      <w:autoSpaceDE w:val="0"/>
      <w:autoSpaceDN w:val="0"/>
      <w:adjustRightInd w:val="0"/>
      <w:spacing w:before="40" w:after="160" w:line="300" w:lineRule="atLeast"/>
      <w:textAlignment w:val="baseline"/>
    </w:pPr>
    <w:rPr>
      <w:color w:val="000000"/>
      <w:sz w:val="24"/>
      <w:lang w:eastAsia="en-US"/>
    </w:rPr>
  </w:style>
  <w:style w:type="paragraph" w:customStyle="1" w:styleId="relatedinfotext">
    <w:name w:val="related info text"/>
    <w:pPr>
      <w:overflowPunct w:val="0"/>
      <w:autoSpaceDE w:val="0"/>
      <w:autoSpaceDN w:val="0"/>
      <w:adjustRightInd w:val="0"/>
      <w:textAlignment w:val="baseline"/>
    </w:pPr>
    <w:rPr>
      <w:noProof/>
      <w:lang w:eastAsia="en-US"/>
    </w:rPr>
  </w:style>
  <w:style w:type="paragraph" w:styleId="Header">
    <w:name w:val="header"/>
    <w:next w:val="Footer"/>
    <w:semiHidden/>
    <w:pPr>
      <w:tabs>
        <w:tab w:val="center" w:pos="4153"/>
        <w:tab w:val="right" w:pos="8306"/>
      </w:tabs>
      <w:overflowPunct w:val="0"/>
      <w:autoSpaceDE w:val="0"/>
      <w:autoSpaceDN w:val="0"/>
      <w:adjustRightInd w:val="0"/>
      <w:jc w:val="right"/>
      <w:textAlignment w:val="baseline"/>
    </w:pPr>
    <w:rPr>
      <w:rFonts w:ascii="Arial" w:hAnsi="Arial"/>
      <w:b/>
      <w:smallCaps/>
      <w:noProof/>
      <w:sz w:val="18"/>
      <w:lang w:eastAsia="en-US"/>
    </w:rPr>
  </w:style>
  <w:style w:type="paragraph" w:styleId="Footer">
    <w:name w:val="footer"/>
    <w:link w:val="FooterChar"/>
    <w:uiPriority w:val="99"/>
    <w:pPr>
      <w:tabs>
        <w:tab w:val="center" w:pos="4153"/>
        <w:tab w:val="right" w:pos="8306"/>
      </w:tabs>
      <w:overflowPunct w:val="0"/>
      <w:autoSpaceDE w:val="0"/>
      <w:autoSpaceDN w:val="0"/>
      <w:adjustRightInd w:val="0"/>
      <w:textAlignment w:val="baseline"/>
    </w:pPr>
    <w:rPr>
      <w:rFonts w:ascii="Arial" w:hAnsi="Arial"/>
      <w:b/>
      <w:noProof/>
      <w:sz w:val="24"/>
      <w:lang w:eastAsia="en-US"/>
    </w:rPr>
  </w:style>
  <w:style w:type="character" w:styleId="PageNumber">
    <w:name w:val="page number"/>
    <w:basedOn w:val="DefaultParagraphFont"/>
    <w:semiHidden/>
  </w:style>
  <w:style w:type="paragraph" w:styleId="TOC1">
    <w:name w:val="toc 1"/>
    <w:next w:val="TOC2"/>
    <w:semiHidden/>
    <w:pPr>
      <w:keepNext/>
      <w:tabs>
        <w:tab w:val="left" w:leader="dot" w:pos="6803"/>
      </w:tabs>
      <w:overflowPunct w:val="0"/>
      <w:autoSpaceDE w:val="0"/>
      <w:autoSpaceDN w:val="0"/>
      <w:adjustRightInd w:val="0"/>
      <w:spacing w:before="80" w:after="20"/>
      <w:ind w:left="1418"/>
      <w:textAlignment w:val="baseline"/>
    </w:pPr>
    <w:rPr>
      <w:rFonts w:ascii="Arial" w:hAnsi="Arial"/>
      <w:b/>
      <w:noProof/>
      <w:lang w:eastAsia="en-US"/>
    </w:rPr>
  </w:style>
  <w:style w:type="paragraph" w:styleId="TOC2">
    <w:name w:val="toc 2"/>
    <w:next w:val="TOC3"/>
    <w:semiHidden/>
    <w:pPr>
      <w:keepNext/>
      <w:tabs>
        <w:tab w:val="left" w:leader="dot" w:pos="6803"/>
      </w:tabs>
      <w:overflowPunct w:val="0"/>
      <w:autoSpaceDE w:val="0"/>
      <w:autoSpaceDN w:val="0"/>
      <w:adjustRightInd w:val="0"/>
      <w:spacing w:after="20"/>
      <w:ind w:left="1985"/>
      <w:textAlignment w:val="baseline"/>
    </w:pPr>
    <w:rPr>
      <w:rFonts w:ascii="Arial" w:hAnsi="Arial"/>
      <w:noProof/>
      <w:lang w:eastAsia="en-US"/>
    </w:rPr>
  </w:style>
  <w:style w:type="paragraph" w:styleId="TOC3">
    <w:name w:val="toc 3"/>
    <w:next w:val="TOC1"/>
    <w:semiHidden/>
    <w:pPr>
      <w:tabs>
        <w:tab w:val="right" w:pos="6803"/>
      </w:tabs>
      <w:overflowPunct w:val="0"/>
      <w:autoSpaceDE w:val="0"/>
      <w:autoSpaceDN w:val="0"/>
      <w:adjustRightInd w:val="0"/>
      <w:ind w:left="2325"/>
      <w:textAlignment w:val="baseline"/>
    </w:pPr>
    <w:rPr>
      <w:rFonts w:ascii="Arial" w:hAnsi="Arial"/>
      <w:b/>
      <w:noProof/>
      <w:lang w:eastAsia="en-US"/>
    </w:rPr>
  </w:style>
  <w:style w:type="paragraph" w:customStyle="1" w:styleId="ChapterTitle">
    <w:name w:val="Chapter Title"/>
    <w:next w:val="Heading1"/>
    <w:pPr>
      <w:keepNext/>
      <w:keepLines/>
      <w:pageBreakBefore/>
      <w:pBdr>
        <w:bottom w:val="single" w:sz="12" w:space="4" w:color="auto"/>
      </w:pBdr>
      <w:tabs>
        <w:tab w:val="left" w:pos="879"/>
      </w:tabs>
      <w:overflowPunct w:val="0"/>
      <w:autoSpaceDE w:val="0"/>
      <w:autoSpaceDN w:val="0"/>
      <w:adjustRightInd w:val="0"/>
      <w:spacing w:after="240"/>
      <w:textAlignment w:val="baseline"/>
    </w:pPr>
    <w:rPr>
      <w:rFonts w:ascii="Arial" w:hAnsi="Arial"/>
      <w:b/>
      <w:kern w:val="28"/>
      <w:sz w:val="36"/>
      <w:lang w:eastAsia="en-US"/>
    </w:rPr>
  </w:style>
  <w:style w:type="paragraph" w:customStyle="1" w:styleId="psheading">
    <w:name w:val="ps heading"/>
    <w:pPr>
      <w:overflowPunct w:val="0"/>
      <w:autoSpaceDE w:val="0"/>
      <w:autoSpaceDN w:val="0"/>
      <w:adjustRightInd w:val="0"/>
      <w:spacing w:after="240"/>
      <w:textAlignment w:val="baseline"/>
    </w:pPr>
    <w:rPr>
      <w:rFonts w:ascii="Arial" w:hAnsi="Arial"/>
      <w:b/>
      <w:noProof/>
      <w:sz w:val="48"/>
      <w:lang w:eastAsia="en-US"/>
    </w:rPr>
  </w:style>
  <w:style w:type="paragraph" w:customStyle="1" w:styleId="contents">
    <w:name w:val="contents"/>
    <w:pPr>
      <w:keepNext/>
      <w:pBdr>
        <w:top w:val="single" w:sz="24" w:space="1" w:color="auto"/>
      </w:pBdr>
      <w:overflowPunct w:val="0"/>
      <w:autoSpaceDE w:val="0"/>
      <w:autoSpaceDN w:val="0"/>
      <w:adjustRightInd w:val="0"/>
      <w:spacing w:before="240" w:after="120"/>
      <w:ind w:left="1418"/>
      <w:textAlignment w:val="baseline"/>
    </w:pPr>
    <w:rPr>
      <w:rFonts w:ascii="Arial" w:hAnsi="Arial"/>
      <w:b/>
      <w:noProof/>
      <w:sz w:val="24"/>
      <w:lang w:eastAsia="en-US"/>
    </w:rPr>
  </w:style>
  <w:style w:type="paragraph" w:customStyle="1" w:styleId="howtoheading">
    <w:name w:val="how to heading"/>
    <w:pPr>
      <w:pBdr>
        <w:top w:val="dotted" w:sz="6" w:space="3" w:color="auto"/>
      </w:pBdr>
      <w:overflowPunct w:val="0"/>
      <w:autoSpaceDE w:val="0"/>
      <w:autoSpaceDN w:val="0"/>
      <w:adjustRightInd w:val="0"/>
      <w:spacing w:before="480" w:after="120" w:line="312" w:lineRule="auto"/>
      <w:ind w:left="1418"/>
      <w:textAlignment w:val="baseline"/>
    </w:pPr>
    <w:rPr>
      <w:rFonts w:ascii="Arial" w:hAnsi="Arial"/>
      <w:b/>
      <w:sz w:val="24"/>
      <w:lang w:eastAsia="en-US"/>
    </w:rPr>
  </w:style>
  <w:style w:type="paragraph" w:customStyle="1" w:styleId="howtotext">
    <w:name w:val="how to text"/>
    <w:basedOn w:val="BodyText"/>
    <w:pPr>
      <w:ind w:left="1418"/>
    </w:pPr>
    <w:rPr>
      <w:rFonts w:ascii="Arial" w:hAnsi="Arial"/>
      <w:sz w:val="20"/>
    </w:rPr>
  </w:style>
  <w:style w:type="paragraph" w:customStyle="1" w:styleId="seeparas">
    <w:name w:val="see paras"/>
    <w:pPr>
      <w:tabs>
        <w:tab w:val="left" w:pos="709"/>
      </w:tabs>
      <w:overflowPunct w:val="0"/>
      <w:autoSpaceDE w:val="0"/>
      <w:autoSpaceDN w:val="0"/>
      <w:adjustRightInd w:val="0"/>
      <w:spacing w:after="240" w:line="280" w:lineRule="atLeast"/>
      <w:jc w:val="right"/>
      <w:textAlignment w:val="baseline"/>
    </w:pPr>
    <w:rPr>
      <w:i/>
      <w:noProof/>
      <w:sz w:val="24"/>
      <w:lang w:eastAsia="en-US"/>
    </w:rPr>
  </w:style>
  <w:style w:type="paragraph" w:customStyle="1" w:styleId="Listalpha">
    <w:name w:val="List alpha"/>
    <w:pPr>
      <w:overflowPunct w:val="0"/>
      <w:autoSpaceDE w:val="0"/>
      <w:autoSpaceDN w:val="0"/>
      <w:adjustRightInd w:val="0"/>
      <w:spacing w:before="40" w:after="120"/>
      <w:ind w:left="454" w:hanging="454"/>
      <w:textAlignment w:val="baseline"/>
    </w:pPr>
    <w:rPr>
      <w:noProof/>
      <w:sz w:val="24"/>
      <w:lang w:eastAsia="en-US"/>
    </w:rPr>
  </w:style>
  <w:style w:type="paragraph" w:customStyle="1" w:styleId="infoline">
    <w:name w:val="infoline"/>
    <w:pPr>
      <w:pBdr>
        <w:bottom w:val="dotted" w:sz="6" w:space="3" w:color="auto"/>
      </w:pBdr>
      <w:overflowPunct w:val="0"/>
      <w:autoSpaceDE w:val="0"/>
      <w:autoSpaceDN w:val="0"/>
      <w:adjustRightInd w:val="0"/>
      <w:spacing w:after="240" w:line="312" w:lineRule="auto"/>
      <w:ind w:left="1418"/>
      <w:textAlignment w:val="baseline"/>
    </w:pPr>
    <w:rPr>
      <w:rFonts w:ascii="Arial" w:hAnsi="Arial"/>
      <w:lang w:eastAsia="en-US"/>
    </w:rPr>
  </w:style>
  <w:style w:type="paragraph" w:customStyle="1" w:styleId="openinginfo">
    <w:name w:val="opening info"/>
    <w:pPr>
      <w:tabs>
        <w:tab w:val="left" w:pos="2268"/>
      </w:tabs>
      <w:overflowPunct w:val="0"/>
      <w:autoSpaceDE w:val="0"/>
      <w:autoSpaceDN w:val="0"/>
      <w:adjustRightInd w:val="0"/>
      <w:spacing w:after="120" w:line="240" w:lineRule="atLeast"/>
      <w:textAlignment w:val="baseline"/>
    </w:pPr>
    <w:rPr>
      <w:b/>
      <w:noProof/>
      <w:sz w:val="24"/>
      <w:lang w:eastAsia="en-US"/>
    </w:rPr>
  </w:style>
  <w:style w:type="paragraph" w:customStyle="1" w:styleId="issueddate">
    <w:name w:val="issued date"/>
    <w:pPr>
      <w:overflowPunct w:val="0"/>
      <w:autoSpaceDE w:val="0"/>
      <w:autoSpaceDN w:val="0"/>
      <w:adjustRightInd w:val="0"/>
      <w:spacing w:after="360"/>
      <w:textAlignment w:val="baseline"/>
    </w:pPr>
    <w:rPr>
      <w:i/>
      <w:noProof/>
      <w:sz w:val="24"/>
      <w:lang w:eastAsia="en-US"/>
    </w:rPr>
  </w:style>
  <w:style w:type="paragraph" w:customStyle="1" w:styleId="howtolistbullets">
    <w:name w:val="how to list bullets"/>
    <w:pPr>
      <w:overflowPunct w:val="0"/>
      <w:autoSpaceDE w:val="0"/>
      <w:autoSpaceDN w:val="0"/>
      <w:adjustRightInd w:val="0"/>
      <w:spacing w:before="40" w:after="160"/>
      <w:ind w:left="1701" w:hanging="283"/>
      <w:textAlignment w:val="baseline"/>
    </w:pPr>
    <w:rPr>
      <w:rFonts w:ascii="Arial" w:hAnsi="Arial"/>
      <w:noProof/>
      <w:color w:val="000000"/>
      <w:lang w:eastAsia="en-US"/>
    </w:rPr>
  </w:style>
  <w:style w:type="paragraph" w:customStyle="1" w:styleId="listroman">
    <w:name w:val="list roman"/>
    <w:basedOn w:val="Listalpha"/>
    <w:pPr>
      <w:spacing w:line="300" w:lineRule="atLeast"/>
      <w:ind w:left="851"/>
    </w:pPr>
    <w:rPr>
      <w:noProof w:val="0"/>
    </w:rPr>
  </w:style>
  <w:style w:type="paragraph" w:customStyle="1" w:styleId="grey">
    <w:name w:val="grey"/>
    <w:pPr>
      <w:overflowPunct w:val="0"/>
      <w:autoSpaceDE w:val="0"/>
      <w:autoSpaceDN w:val="0"/>
      <w:adjustRightInd w:val="0"/>
      <w:spacing w:line="300" w:lineRule="atLeast"/>
      <w:textAlignment w:val="baseline"/>
    </w:pPr>
    <w:rPr>
      <w:i/>
      <w:color w:val="808080"/>
      <w:sz w:val="24"/>
      <w:lang w:eastAsia="en-US"/>
    </w:rPr>
  </w:style>
  <w:style w:type="paragraph" w:styleId="TOC4">
    <w:name w:val="toc 4"/>
    <w:next w:val="Normal"/>
    <w:semiHidden/>
    <w:pPr>
      <w:tabs>
        <w:tab w:val="right" w:leader="dot" w:pos="6803"/>
      </w:tabs>
      <w:overflowPunct w:val="0"/>
      <w:autoSpaceDE w:val="0"/>
      <w:autoSpaceDN w:val="0"/>
      <w:adjustRightInd w:val="0"/>
      <w:ind w:left="2892"/>
      <w:textAlignment w:val="baseline"/>
    </w:pPr>
    <w:rPr>
      <w:rFonts w:ascii="Arial" w:hAnsi="Arial"/>
      <w:noProof/>
      <w:lang w:eastAsia="en-US"/>
    </w:rPr>
  </w:style>
  <w:style w:type="paragraph" w:styleId="TOC5">
    <w:name w:val="toc 5"/>
    <w:next w:val="Normal"/>
    <w:semiHidden/>
    <w:pPr>
      <w:tabs>
        <w:tab w:val="right" w:leader="dot" w:pos="6803"/>
      </w:tabs>
      <w:overflowPunct w:val="0"/>
      <w:autoSpaceDE w:val="0"/>
      <w:autoSpaceDN w:val="0"/>
      <w:adjustRightInd w:val="0"/>
      <w:ind w:left="3459"/>
      <w:textAlignment w:val="baseline"/>
    </w:pPr>
    <w:rPr>
      <w:noProof/>
      <w:lang w:eastAsia="en-US"/>
    </w:rPr>
  </w:style>
  <w:style w:type="paragraph" w:styleId="TOC6">
    <w:name w:val="toc 6"/>
    <w:next w:val="Normal"/>
    <w:semiHidden/>
    <w:pPr>
      <w:tabs>
        <w:tab w:val="right" w:leader="dot" w:pos="6803"/>
      </w:tabs>
      <w:overflowPunct w:val="0"/>
      <w:autoSpaceDE w:val="0"/>
      <w:autoSpaceDN w:val="0"/>
      <w:adjustRightInd w:val="0"/>
      <w:ind w:left="1200"/>
      <w:textAlignment w:val="baseline"/>
    </w:pPr>
    <w:rPr>
      <w:noProof/>
      <w:lang w:eastAsia="en-US"/>
    </w:rPr>
  </w:style>
  <w:style w:type="paragraph" w:styleId="TOC7">
    <w:name w:val="toc 7"/>
    <w:basedOn w:val="Normal"/>
    <w:next w:val="Normal"/>
    <w:semiHidden/>
    <w:pPr>
      <w:tabs>
        <w:tab w:val="right" w:leader="dot" w:pos="6803"/>
      </w:tabs>
      <w:ind w:left="1440"/>
    </w:pPr>
  </w:style>
  <w:style w:type="paragraph" w:styleId="TOC8">
    <w:name w:val="toc 8"/>
    <w:basedOn w:val="Normal"/>
    <w:next w:val="Normal"/>
    <w:semiHidden/>
    <w:pPr>
      <w:tabs>
        <w:tab w:val="right" w:leader="dot" w:pos="6803"/>
      </w:tabs>
      <w:ind w:left="1680"/>
    </w:pPr>
  </w:style>
  <w:style w:type="paragraph" w:styleId="TOC9">
    <w:name w:val="toc 9"/>
    <w:basedOn w:val="Normal"/>
    <w:next w:val="Normal"/>
    <w:semiHidden/>
    <w:pPr>
      <w:tabs>
        <w:tab w:val="right" w:leader="dot" w:pos="6803"/>
      </w:tabs>
      <w:ind w:left="1920"/>
    </w:pPr>
  </w:style>
  <w:style w:type="paragraph" w:customStyle="1" w:styleId="help">
    <w:name w:val="help"/>
    <w:basedOn w:val="ChapterTitle"/>
  </w:style>
  <w:style w:type="paragraph" w:customStyle="1" w:styleId="keytermtext">
    <w:name w:val="key term text"/>
    <w:basedOn w:val="relatedinfotext"/>
    <w:pPr>
      <w:spacing w:after="120"/>
    </w:pPr>
  </w:style>
  <w:style w:type="paragraph" w:customStyle="1" w:styleId="BodyTextbold">
    <w:name w:val="Body Text bold"/>
    <w:basedOn w:val="BodyText"/>
    <w:rPr>
      <w:b/>
    </w:rPr>
  </w:style>
  <w:style w:type="paragraph" w:styleId="BodyTextIndent">
    <w:name w:val="Body Text Indent"/>
    <w:basedOn w:val="BodyText"/>
    <w:semiHidden/>
    <w:pPr>
      <w:ind w:left="283"/>
    </w:pPr>
  </w:style>
  <w:style w:type="paragraph" w:customStyle="1" w:styleId="ChapterTitlehelp">
    <w:name w:val="Chapter Title help"/>
    <w:basedOn w:val="ChapterTitle"/>
    <w:pPr>
      <w:pageBreakBefore w:val="0"/>
      <w:spacing w:before="360"/>
    </w:pPr>
    <w:rPr>
      <w:sz w:val="56"/>
    </w:rPr>
  </w:style>
  <w:style w:type="paragraph" w:customStyle="1" w:styleId="contentshelp">
    <w:name w:val="contents help"/>
    <w:basedOn w:val="ChapterTitlehelp"/>
  </w:style>
  <w:style w:type="paragraph" w:customStyle="1" w:styleId="Heading1help">
    <w:name w:val="Heading 1 help"/>
    <w:basedOn w:val="Heading1"/>
    <w:pPr>
      <w:outlineLvl w:val="9"/>
    </w:pPr>
    <w:rPr>
      <w:sz w:val="48"/>
    </w:rPr>
  </w:style>
  <w:style w:type="paragraph" w:customStyle="1" w:styleId="Heading2help">
    <w:name w:val="Heading 2 help"/>
    <w:basedOn w:val="Heading2"/>
    <w:pPr>
      <w:spacing w:before="120" w:after="80"/>
      <w:outlineLvl w:val="9"/>
    </w:pPr>
    <w:rPr>
      <w:i w:val="0"/>
      <w:sz w:val="32"/>
    </w:rPr>
  </w:style>
  <w:style w:type="paragraph" w:customStyle="1" w:styleId="Lista0">
    <w:name w:val="Lista"/>
    <w:pPr>
      <w:overflowPunct w:val="0"/>
      <w:autoSpaceDE w:val="0"/>
      <w:autoSpaceDN w:val="0"/>
      <w:adjustRightInd w:val="0"/>
      <w:spacing w:before="40" w:after="120" w:line="300" w:lineRule="atLeast"/>
      <w:ind w:left="425" w:hanging="425"/>
      <w:textAlignment w:val="baseline"/>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character" w:styleId="FootnoteReference">
    <w:name w:val="footnote reference"/>
    <w:semiHidden/>
    <w:rPr>
      <w:vertAlign w:val="superscript"/>
    </w:rPr>
  </w:style>
  <w:style w:type="paragraph" w:customStyle="1" w:styleId="nostyle">
    <w:name w:val="nostyle"/>
    <w:basedOn w:val="ChapterTitlehelp"/>
    <w:pPr>
      <w:pBdr>
        <w:bottom w:val="dotted" w:sz="6" w:space="4" w:color="808080"/>
      </w:pBdr>
    </w:pPr>
    <w:rPr>
      <w:color w:val="808080"/>
    </w:rPr>
  </w:style>
  <w:style w:type="paragraph" w:customStyle="1" w:styleId="nostyle0">
    <w:name w:val="no style"/>
    <w:pPr>
      <w:overflowPunct w:val="0"/>
      <w:autoSpaceDE w:val="0"/>
      <w:autoSpaceDN w:val="0"/>
      <w:adjustRightInd w:val="0"/>
      <w:textAlignment w:val="baseline"/>
    </w:pPr>
    <w:rPr>
      <w:noProof/>
      <w:lang w:eastAsia="en-US"/>
    </w:rPr>
  </w:style>
  <w:style w:type="paragraph" w:styleId="FootnoteText">
    <w:name w:val="footnote text"/>
    <w:semiHidden/>
    <w:pPr>
      <w:overflowPunct w:val="0"/>
      <w:autoSpaceDE w:val="0"/>
      <w:autoSpaceDN w:val="0"/>
      <w:adjustRightInd w:val="0"/>
      <w:textAlignment w:val="baseline"/>
    </w:pPr>
    <w:rPr>
      <w:noProof/>
      <w:lang w:eastAsia="en-US"/>
    </w:rPr>
  </w:style>
  <w:style w:type="paragraph" w:styleId="Title">
    <w:name w:val="Title"/>
    <w:qFormat/>
    <w:pPr>
      <w:overflowPunct w:val="0"/>
      <w:autoSpaceDE w:val="0"/>
      <w:autoSpaceDN w:val="0"/>
      <w:adjustRightInd w:val="0"/>
      <w:spacing w:before="240" w:after="60"/>
      <w:jc w:val="center"/>
      <w:textAlignment w:val="baseline"/>
    </w:pPr>
    <w:rPr>
      <w:rFonts w:ascii="Arial" w:hAnsi="Arial"/>
      <w:b/>
      <w:noProof/>
      <w:kern w:val="28"/>
      <w:sz w:val="32"/>
      <w:lang w:eastAsia="en-US"/>
    </w:rPr>
  </w:style>
  <w:style w:type="paragraph" w:styleId="BodyTextIndent2">
    <w:name w:val="Body Text Indent 2"/>
    <w:basedOn w:val="Normal"/>
    <w:semiHidden/>
    <w:pPr>
      <w:spacing w:after="0"/>
      <w:ind w:firstLine="4"/>
      <w:jc w:val="both"/>
    </w:pPr>
  </w:style>
  <w:style w:type="paragraph" w:styleId="BodyTextIndent3">
    <w:name w:val="Body Text Indent 3"/>
    <w:basedOn w:val="Normal"/>
    <w:semiHidden/>
    <w:pPr>
      <w:spacing w:after="0"/>
      <w:ind w:left="567" w:hanging="567"/>
      <w:jc w:val="both"/>
    </w:pPr>
  </w:style>
  <w:style w:type="paragraph" w:styleId="BodyText3">
    <w:name w:val="Body Text 3"/>
    <w:basedOn w:val="Normal"/>
    <w:semiHidden/>
    <w:pPr>
      <w:spacing w:after="0"/>
      <w:jc w:val="both"/>
    </w:pPr>
  </w:style>
  <w:style w:type="paragraph" w:customStyle="1" w:styleId="listNo">
    <w:name w:val="listNo"/>
    <w:basedOn w:val="BodyText"/>
    <w:pPr>
      <w:tabs>
        <w:tab w:val="left" w:pos="403"/>
      </w:tabs>
      <w:ind w:left="397" w:hanging="397"/>
    </w:pPr>
    <w:rPr>
      <w:color w:val="auto"/>
    </w:rPr>
  </w:style>
  <w:style w:type="paragraph" w:styleId="BodyText2">
    <w:name w:val="Body Text 2"/>
    <w:basedOn w:val="Normal"/>
    <w:semiHidden/>
    <w:pPr>
      <w:spacing w:line="240" w:lineRule="atLeast"/>
      <w:ind w:left="426" w:hanging="426"/>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logoB">
    <w:name w:val="logoB"/>
    <w:basedOn w:val="Normal"/>
    <w:pPr>
      <w:spacing w:after="0"/>
    </w:pPr>
    <w:rPr>
      <w:rFonts w:ascii="Book Antiqua" w:hAnsi="Book Antiqua"/>
      <w:sz w:val="16"/>
    </w:rPr>
  </w:style>
  <w:style w:type="paragraph" w:customStyle="1" w:styleId="logoA">
    <w:name w:val="logoA"/>
    <w:basedOn w:val="Normal"/>
    <w:pPr>
      <w:spacing w:after="0"/>
    </w:pPr>
    <w:rPr>
      <w:rFonts w:ascii="Book Antiqua" w:hAnsi="Book Antiqua"/>
      <w:b/>
      <w:sz w:val="28"/>
    </w:rPr>
  </w:style>
  <w:style w:type="paragraph" w:customStyle="1" w:styleId="logo12">
    <w:name w:val="logo12"/>
    <w:basedOn w:val="Normal"/>
    <w:pPr>
      <w:framePr w:w="5104" w:h="2009" w:hSpace="180" w:wrap="around" w:vAnchor="text" w:hAnchor="page" w:x="3612" w:y="472"/>
      <w:tabs>
        <w:tab w:val="left" w:pos="4820"/>
      </w:tabs>
      <w:spacing w:after="0"/>
    </w:pPr>
  </w:style>
  <w:style w:type="paragraph" w:customStyle="1" w:styleId="logo6">
    <w:name w:val="logo6"/>
    <w:basedOn w:val="Normal"/>
    <w:pPr>
      <w:framePr w:w="5104" w:h="2009" w:hSpace="180" w:wrap="around" w:vAnchor="text" w:hAnchor="page" w:x="3612" w:y="472"/>
      <w:tabs>
        <w:tab w:val="left" w:pos="4820"/>
      </w:tabs>
      <w:spacing w:after="0"/>
    </w:pPr>
    <w:rPr>
      <w:sz w:val="12"/>
    </w:rPr>
  </w:style>
  <w:style w:type="paragraph" w:customStyle="1" w:styleId="ahist">
    <w:name w:val="ahist"/>
    <w:pPr>
      <w:spacing w:before="60" w:after="60"/>
    </w:pPr>
    <w:rPr>
      <w:sz w:val="18"/>
      <w:lang w:eastAsia="en-US"/>
    </w:rPr>
  </w:style>
  <w:style w:type="paragraph" w:customStyle="1" w:styleId="atitle">
    <w:name w:val="atitle"/>
    <w:pPr>
      <w:overflowPunct w:val="0"/>
      <w:autoSpaceDE w:val="0"/>
      <w:autoSpaceDN w:val="0"/>
      <w:adjustRightInd w:val="0"/>
      <w:spacing w:after="240" w:line="240" w:lineRule="atLeast"/>
      <w:textAlignment w:val="baseline"/>
    </w:pPr>
    <w:rPr>
      <w:rFonts w:ascii="Arial" w:hAnsi="Arial"/>
      <w:b/>
      <w:noProof/>
      <w:sz w:val="32"/>
      <w:lang w:eastAsia="en-US"/>
    </w:rPr>
  </w:style>
  <w:style w:type="paragraph" w:customStyle="1" w:styleId="aheadnote">
    <w:name w:val="aheadnote"/>
    <w:basedOn w:val="Normal"/>
    <w:pPr>
      <w:spacing w:after="120" w:line="240" w:lineRule="atLeast"/>
    </w:pPr>
    <w:rPr>
      <w:i/>
      <w:lang w:val="en-US"/>
    </w:rPr>
  </w:style>
  <w:style w:type="paragraph" w:customStyle="1" w:styleId="ListA1">
    <w:name w:val="ListA"/>
    <w:pPr>
      <w:overflowPunct w:val="0"/>
      <w:autoSpaceDE w:val="0"/>
      <w:autoSpaceDN w:val="0"/>
      <w:adjustRightInd w:val="0"/>
      <w:spacing w:before="120" w:after="120"/>
      <w:ind w:left="425" w:hanging="425"/>
      <w:textAlignment w:val="baseline"/>
    </w:pPr>
    <w:rPr>
      <w:sz w:val="24"/>
      <w:lang w:eastAsia="en-US"/>
    </w:rPr>
  </w:style>
  <w:style w:type="paragraph" w:customStyle="1" w:styleId="aheade">
    <w:name w:val="aheade"/>
    <w:pPr>
      <w:keepNext/>
      <w:widowControl w:val="0"/>
      <w:overflowPunct w:val="0"/>
      <w:autoSpaceDE w:val="0"/>
      <w:autoSpaceDN w:val="0"/>
      <w:adjustRightInd w:val="0"/>
      <w:spacing w:before="240" w:after="120"/>
      <w:textAlignment w:val="baseline"/>
    </w:pPr>
    <w:rPr>
      <w:rFonts w:ascii="Arial" w:hAnsi="Arial"/>
      <w:b/>
      <w:noProof/>
      <w:sz w:val="24"/>
      <w:lang w:eastAsia="en-US"/>
    </w:rPr>
  </w:style>
  <w:style w:type="paragraph" w:customStyle="1" w:styleId="ListB">
    <w:name w:val="ListB"/>
    <w:pPr>
      <w:overflowPunct w:val="0"/>
      <w:autoSpaceDE w:val="0"/>
      <w:autoSpaceDN w:val="0"/>
      <w:adjustRightInd w:val="0"/>
      <w:spacing w:before="120" w:after="120"/>
      <w:ind w:left="850" w:hanging="425"/>
      <w:textAlignment w:val="baseline"/>
    </w:pPr>
    <w:rPr>
      <w:sz w:val="24"/>
      <w:lang w:eastAsia="en-US"/>
    </w:rPr>
  </w:style>
  <w:style w:type="paragraph" w:customStyle="1" w:styleId="abody">
    <w:name w:val="abody"/>
    <w:pPr>
      <w:overflowPunct w:val="0"/>
      <w:autoSpaceDE w:val="0"/>
      <w:autoSpaceDN w:val="0"/>
      <w:adjustRightInd w:val="0"/>
      <w:spacing w:before="120" w:after="120"/>
      <w:textAlignment w:val="baseline"/>
    </w:pPr>
    <w:rPr>
      <w:noProof/>
      <w:sz w:val="24"/>
      <w:lang w:eastAsia="en-US"/>
    </w:rPr>
  </w:style>
  <w:style w:type="paragraph" w:customStyle="1" w:styleId="aSCHED">
    <w:name w:val="aSCHED"/>
    <w:pPr>
      <w:keepNext/>
      <w:overflowPunct w:val="0"/>
      <w:autoSpaceDE w:val="0"/>
      <w:autoSpaceDN w:val="0"/>
      <w:adjustRightInd w:val="0"/>
      <w:spacing w:before="240" w:after="120"/>
      <w:jc w:val="center"/>
      <w:textAlignment w:val="baseline"/>
    </w:pPr>
    <w:rPr>
      <w:noProof/>
      <w:sz w:val="24"/>
      <w:lang w:eastAsia="en-US"/>
    </w:rPr>
  </w:style>
  <w:style w:type="paragraph" w:customStyle="1" w:styleId="apsref">
    <w:name w:val="apsref"/>
    <w:pPr>
      <w:widowControl w:val="0"/>
      <w:overflowPunct w:val="0"/>
      <w:autoSpaceDE w:val="0"/>
      <w:autoSpaceDN w:val="0"/>
      <w:adjustRightInd w:val="0"/>
      <w:textAlignment w:val="baseline"/>
    </w:pPr>
    <w:rPr>
      <w:rFonts w:ascii="Arial" w:hAnsi="Arial"/>
      <w:b/>
      <w:sz w:val="24"/>
      <w:lang w:val="en-US" w:eastAsia="en-US"/>
    </w:rPr>
  </w:style>
  <w:style w:type="paragraph" w:customStyle="1" w:styleId="Mint">
    <w:name w:val="Mint"/>
    <w:basedOn w:val="Normal"/>
    <w:pPr>
      <w:spacing w:after="0"/>
      <w:ind w:left="567" w:hanging="567"/>
    </w:pPr>
  </w:style>
  <w:style w:type="paragraph" w:customStyle="1" w:styleId="ListC">
    <w:name w:val="ListC"/>
    <w:pPr>
      <w:widowControl w:val="0"/>
      <w:autoSpaceDE w:val="0"/>
      <w:autoSpaceDN w:val="0"/>
      <w:adjustRightInd w:val="0"/>
      <w:spacing w:before="120" w:after="120"/>
      <w:ind w:left="1276" w:hanging="425"/>
    </w:pPr>
    <w:rPr>
      <w:sz w:val="24"/>
      <w:szCs w:val="24"/>
      <w:lang w:val="en-US" w:eastAsia="en-US"/>
    </w:rPr>
  </w:style>
  <w:style w:type="paragraph" w:customStyle="1" w:styleId="ListD">
    <w:name w:val="ListD"/>
    <w:pPr>
      <w:autoSpaceDE w:val="0"/>
      <w:autoSpaceDN w:val="0"/>
      <w:adjustRightInd w:val="0"/>
      <w:spacing w:before="60" w:after="60"/>
      <w:ind w:left="2880" w:hanging="720"/>
    </w:pPr>
    <w:rPr>
      <w:sz w:val="24"/>
      <w:szCs w:val="24"/>
      <w:lang w:val="en-US" w:eastAsia="en-US"/>
    </w:rPr>
  </w:style>
  <w:style w:type="paragraph" w:customStyle="1" w:styleId="HeadE">
    <w:name w:val="HeadE"/>
    <w:pPr>
      <w:widowControl w:val="0"/>
      <w:autoSpaceDE w:val="0"/>
      <w:autoSpaceDN w:val="0"/>
      <w:adjustRightInd w:val="0"/>
      <w:spacing w:after="144"/>
    </w:pPr>
    <w:rPr>
      <w:rFonts w:ascii="Arial" w:hAnsi="Arial" w:cs="Arial"/>
      <w:sz w:val="22"/>
      <w:szCs w:val="22"/>
      <w:lang w:val="en-US" w:eastAsia="en-US"/>
    </w:rPr>
  </w:style>
  <w:style w:type="paragraph" w:customStyle="1" w:styleId="acentred">
    <w:name w:val="acentred"/>
    <w:pPr>
      <w:overflowPunct w:val="0"/>
      <w:autoSpaceDE w:val="0"/>
      <w:autoSpaceDN w:val="0"/>
      <w:adjustRightInd w:val="0"/>
      <w:spacing w:before="360"/>
      <w:jc w:val="center"/>
      <w:textAlignment w:val="baseline"/>
    </w:pPr>
    <w:rPr>
      <w:noProof/>
      <w:sz w:val="24"/>
      <w:lang w:eastAsia="en-US"/>
    </w:rPr>
  </w:style>
  <w:style w:type="paragraph" w:customStyle="1" w:styleId="ListE">
    <w:name w:val="ListE"/>
    <w:basedOn w:val="ListD"/>
    <w:next w:val="ListD"/>
    <w:pPr>
      <w:ind w:left="3555"/>
    </w:pPr>
  </w:style>
  <w:style w:type="paragraph" w:customStyle="1" w:styleId="adate">
    <w:name w:val="adate"/>
    <w:pPr>
      <w:overflowPunct w:val="0"/>
      <w:autoSpaceDE w:val="0"/>
      <w:autoSpaceDN w:val="0"/>
      <w:adjustRightInd w:val="0"/>
      <w:spacing w:before="120" w:after="240" w:line="240" w:lineRule="atLeast"/>
      <w:textAlignment w:val="baseline"/>
    </w:pPr>
    <w:rPr>
      <w:i/>
      <w:noProof/>
      <w:sz w:val="24"/>
      <w:lang w:eastAsia="en-US"/>
    </w:rPr>
  </w:style>
  <w:style w:type="paragraph" w:customStyle="1" w:styleId="ListA">
    <w:name w:val="List A"/>
    <w:basedOn w:val="Normal"/>
    <w:pPr>
      <w:numPr>
        <w:numId w:val="24"/>
      </w:numPr>
    </w:pPr>
  </w:style>
  <w:style w:type="paragraph" w:customStyle="1" w:styleId="aheadnote-listA">
    <w:name w:val="aheadnote-listA"/>
    <w:basedOn w:val="aheadnote"/>
    <w:pPr>
      <w:spacing w:after="60" w:line="240" w:lineRule="auto"/>
      <w:ind w:left="425" w:hanging="425"/>
    </w:pPr>
  </w:style>
  <w:style w:type="paragraph" w:customStyle="1" w:styleId="Headnote">
    <w:name w:val="Headnote"/>
    <w:pPr>
      <w:widowControl w:val="0"/>
      <w:tabs>
        <w:tab w:val="left" w:pos="119"/>
        <w:tab w:val="left" w:pos="2279"/>
        <w:tab w:val="left" w:pos="4439"/>
        <w:tab w:val="left" w:pos="6599"/>
        <w:tab w:val="decimal" w:pos="8759"/>
      </w:tabs>
      <w:autoSpaceDE w:val="0"/>
      <w:autoSpaceDN w:val="0"/>
      <w:adjustRightInd w:val="0"/>
      <w:spacing w:after="360"/>
    </w:pPr>
    <w:rPr>
      <w:rFonts w:ascii="Times" w:hAnsi="Times"/>
      <w:i/>
      <w:iCs/>
      <w:szCs w:val="24"/>
      <w:lang w:val="en-US" w:eastAsia="en-US"/>
    </w:rPr>
  </w:style>
  <w:style w:type="paragraph" w:customStyle="1" w:styleId="Style1">
    <w:name w:val="Style1"/>
    <w:basedOn w:val="aheadnote-listA"/>
    <w:pPr>
      <w:numPr>
        <w:numId w:val="25"/>
      </w:numPr>
    </w:pPr>
  </w:style>
  <w:style w:type="paragraph" w:customStyle="1" w:styleId="aheadnote-bullet">
    <w:name w:val="aheadnote-bullet"/>
    <w:basedOn w:val="aheadnote-listA"/>
    <w:pPr>
      <w:numPr>
        <w:numId w:val="26"/>
      </w:numPr>
    </w:pPr>
  </w:style>
  <w:style w:type="paragraph" w:customStyle="1" w:styleId="Changes">
    <w:name w:val="Changes"/>
    <w:pPr>
      <w:widowControl w:val="0"/>
      <w:autoSpaceDE w:val="0"/>
      <w:autoSpaceDN w:val="0"/>
      <w:adjustRightInd w:val="0"/>
      <w:spacing w:after="288"/>
    </w:pPr>
    <w:rPr>
      <w:rFonts w:ascii="Times" w:hAnsi="Times"/>
      <w:lang w:val="en-US" w:eastAsia="en-US"/>
    </w:rPr>
  </w:style>
  <w:style w:type="paragraph" w:customStyle="1" w:styleId="publishpara">
    <w:name w:val="publish_para"/>
    <w:pPr>
      <w:widowControl w:val="0"/>
      <w:tabs>
        <w:tab w:val="left" w:pos="119"/>
        <w:tab w:val="left" w:pos="2279"/>
        <w:tab w:val="left" w:pos="4439"/>
        <w:tab w:val="left" w:pos="6599"/>
        <w:tab w:val="decimal" w:pos="8759"/>
      </w:tabs>
      <w:autoSpaceDE w:val="0"/>
      <w:autoSpaceDN w:val="0"/>
      <w:adjustRightInd w:val="0"/>
      <w:spacing w:after="360"/>
    </w:pPr>
    <w:rPr>
      <w:rFonts w:ascii="Times" w:hAnsi="Times" w:cs="Times"/>
      <w:i/>
      <w:iCs/>
      <w:sz w:val="24"/>
      <w:szCs w:val="24"/>
      <w:lang w:val="en-US" w:eastAsia="en-US"/>
    </w:rPr>
  </w:style>
  <w:style w:type="paragraph" w:customStyle="1" w:styleId="atitle-sub">
    <w:name w:val="atitle-sub"/>
    <w:pPr>
      <w:spacing w:after="120"/>
    </w:pPr>
    <w:rPr>
      <w:rFonts w:ascii="Arial" w:hAnsi="Arial"/>
      <w:b/>
      <w:sz w:val="24"/>
      <w:lang w:eastAsia="en-US"/>
    </w:rPr>
  </w:style>
  <w:style w:type="paragraph" w:customStyle="1" w:styleId="aNotetoclassorder">
    <w:name w:val="aNote to class order"/>
    <w:next w:val="abody"/>
    <w:pPr>
      <w:pageBreakBefore/>
      <w:spacing w:after="120"/>
    </w:pPr>
    <w:rPr>
      <w:rFonts w:ascii="Arial" w:hAnsi="Arial" w:cs="Arial"/>
      <w:b/>
      <w:bCs/>
      <w:color w:val="000000"/>
      <w:sz w:val="24"/>
      <w:szCs w:val="24"/>
      <w:lang w:eastAsia="en-US"/>
    </w:rPr>
  </w:style>
  <w:style w:type="paragraph" w:customStyle="1" w:styleId="aNote1">
    <w:name w:val="aNote 1"/>
    <w:next w:val="abody"/>
    <w:pPr>
      <w:spacing w:before="240" w:after="120"/>
    </w:pPr>
    <w:rPr>
      <w:rFonts w:ascii="Arial" w:hAnsi="Arial" w:cs="Arial"/>
      <w:b/>
      <w:bCs/>
      <w:sz w:val="18"/>
      <w:szCs w:val="16"/>
      <w:lang w:eastAsia="en-US"/>
    </w:rPr>
  </w:style>
  <w:style w:type="paragraph" w:customStyle="1" w:styleId="aTableof">
    <w:name w:val="aTable of"/>
    <w:basedOn w:val="aNotetoclassorder"/>
    <w:pPr>
      <w:pageBreakBefore w:val="0"/>
      <w:spacing w:before="360"/>
    </w:pPr>
    <w:rPr>
      <w:bCs w:val="0"/>
    </w:rPr>
  </w:style>
  <w:style w:type="paragraph" w:customStyle="1" w:styleId="atableheadings">
    <w:name w:val="atable headings"/>
    <w:pPr>
      <w:spacing w:before="60" w:after="60"/>
    </w:pPr>
    <w:rPr>
      <w:b/>
      <w:bCs/>
      <w:sz w:val="18"/>
      <w:szCs w:val="16"/>
      <w:lang w:eastAsia="en-US"/>
    </w:rPr>
  </w:style>
  <w:style w:type="paragraph" w:customStyle="1" w:styleId="atabletext">
    <w:name w:val="atable text"/>
    <w:pPr>
      <w:spacing w:before="60" w:after="60"/>
    </w:pPr>
    <w:rPr>
      <w:sz w:val="18"/>
      <w:lang w:eastAsia="en-US"/>
    </w:rPr>
  </w:style>
  <w:style w:type="paragraph" w:customStyle="1" w:styleId="aNotetext">
    <w:name w:val="aNote text"/>
    <w:basedOn w:val="ahist"/>
    <w:pPr>
      <w:spacing w:after="120"/>
    </w:pPr>
  </w:style>
  <w:style w:type="character" w:customStyle="1" w:styleId="FooterChar">
    <w:name w:val="Footer Char"/>
    <w:link w:val="Footer"/>
    <w:uiPriority w:val="99"/>
    <w:rsid w:val="00012D22"/>
    <w:rPr>
      <w:rFonts w:ascii="Arial" w:hAnsi="Arial"/>
      <w:b/>
      <w:noProof/>
      <w:sz w:val="24"/>
      <w:lang w:val="en-AU" w:eastAsia="en-US" w:bidi="ar-SA"/>
    </w:rPr>
  </w:style>
  <w:style w:type="paragraph" w:styleId="BalloonText">
    <w:name w:val="Balloon Text"/>
    <w:basedOn w:val="Normal"/>
    <w:link w:val="BalloonTextChar"/>
    <w:uiPriority w:val="99"/>
    <w:semiHidden/>
    <w:unhideWhenUsed/>
    <w:rsid w:val="00612844"/>
    <w:pPr>
      <w:spacing w:after="0"/>
    </w:pPr>
    <w:rPr>
      <w:rFonts w:ascii="Tahoma" w:hAnsi="Tahoma" w:cs="Tahoma"/>
      <w:sz w:val="16"/>
      <w:szCs w:val="16"/>
    </w:rPr>
  </w:style>
  <w:style w:type="character" w:customStyle="1" w:styleId="BalloonTextChar">
    <w:name w:val="Balloon Text Char"/>
    <w:link w:val="BalloonText"/>
    <w:uiPriority w:val="99"/>
    <w:semiHidden/>
    <w:rsid w:val="00612844"/>
    <w:rPr>
      <w:rFonts w:ascii="Tahoma" w:hAnsi="Tahoma" w:cs="Tahoma"/>
      <w:color w:val="000000"/>
      <w:sz w:val="16"/>
      <w:szCs w:val="16"/>
      <w:lang w:eastAsia="en-US"/>
    </w:rPr>
  </w:style>
  <w:style w:type="paragraph" w:customStyle="1" w:styleId="LI-BodyTextNumbered">
    <w:name w:val="LI - Body Text Numbered"/>
    <w:basedOn w:val="Normal"/>
    <w:link w:val="LI-BodyTextNumberedChar"/>
    <w:qFormat/>
    <w:rsid w:val="001A30D0"/>
    <w:pPr>
      <w:spacing w:before="240" w:after="0"/>
      <w:ind w:left="1134" w:hanging="567"/>
    </w:pPr>
    <w:rPr>
      <w:szCs w:val="24"/>
      <w:lang w:eastAsia="en-AU"/>
    </w:rPr>
  </w:style>
  <w:style w:type="character" w:customStyle="1" w:styleId="LI-BodyTextNumberedChar">
    <w:name w:val="LI - Body Text Numbered Char"/>
    <w:link w:val="LI-BodyTextNumbered"/>
    <w:rsid w:val="001A30D0"/>
    <w:rPr>
      <w:sz w:val="24"/>
      <w:szCs w:val="24"/>
    </w:rPr>
  </w:style>
  <w:style w:type="paragraph" w:customStyle="1" w:styleId="LI-BodyTextParaa">
    <w:name w:val="LI - Body Text Para (a)"/>
    <w:basedOn w:val="Normal"/>
    <w:link w:val="LI-BodyTextParaaChar"/>
    <w:rsid w:val="001A30D0"/>
    <w:pPr>
      <w:spacing w:before="240" w:after="0"/>
      <w:ind w:left="1701" w:hanging="567"/>
    </w:pPr>
    <w:rPr>
      <w:szCs w:val="24"/>
      <w:lang w:eastAsia="en-AU"/>
    </w:rPr>
  </w:style>
  <w:style w:type="paragraph" w:customStyle="1" w:styleId="LI-BodyTextSubparai">
    <w:name w:val="LI - Body Text Subpara (i)"/>
    <w:basedOn w:val="LI-BodyTextParaa"/>
    <w:link w:val="LI-BodyTextSubparaiChar"/>
    <w:qFormat/>
    <w:rsid w:val="001A30D0"/>
    <w:pPr>
      <w:ind w:left="2268"/>
    </w:pPr>
  </w:style>
  <w:style w:type="character" w:customStyle="1" w:styleId="LI-BodyTextParaaChar">
    <w:name w:val="LI - Body Text Para (a) Char"/>
    <w:link w:val="LI-BodyTextParaa"/>
    <w:rsid w:val="001A30D0"/>
    <w:rPr>
      <w:sz w:val="24"/>
      <w:szCs w:val="24"/>
    </w:rPr>
  </w:style>
  <w:style w:type="character" w:customStyle="1" w:styleId="LI-BodyTextSubparaiChar">
    <w:name w:val="LI - Body Text Subpara (i) Char"/>
    <w:link w:val="LI-BodyTextSubparai"/>
    <w:rsid w:val="001A30D0"/>
    <w:rPr>
      <w:sz w:val="24"/>
      <w:szCs w:val="24"/>
    </w:rPr>
  </w:style>
  <w:style w:type="paragraph" w:styleId="ListParagraph">
    <w:name w:val="List Paragraph"/>
    <w:basedOn w:val="Normal"/>
    <w:uiPriority w:val="34"/>
    <w:qFormat/>
    <w:rsid w:val="001A30D0"/>
    <w:pPr>
      <w:spacing w:after="0"/>
      <w:ind w:left="720"/>
      <w:contextualSpacing/>
    </w:pPr>
    <w:rPr>
      <w:szCs w:val="24"/>
    </w:rPr>
  </w:style>
  <w:style w:type="paragraph" w:customStyle="1" w:styleId="LI-BodyTextUnnumbered">
    <w:name w:val="LI - Body Text Unnumbered"/>
    <w:basedOn w:val="Normal"/>
    <w:link w:val="LI-BodyTextUnnumberedChar"/>
    <w:rsid w:val="001A30D0"/>
    <w:pPr>
      <w:spacing w:before="240" w:after="0"/>
      <w:ind w:left="1134"/>
    </w:pPr>
    <w:rPr>
      <w:lang w:eastAsia="en-AU"/>
    </w:rPr>
  </w:style>
  <w:style w:type="character" w:customStyle="1" w:styleId="LI-BodyTextUnnumberedChar">
    <w:name w:val="LI - Body Text Unnumbered Char"/>
    <w:link w:val="LI-BodyTextUnnumbered"/>
    <w:rsid w:val="001A30D0"/>
    <w:rPr>
      <w:sz w:val="24"/>
    </w:rPr>
  </w:style>
  <w:style w:type="paragraph" w:customStyle="1" w:styleId="LI-Sectionparaa">
    <w:name w:val="LI - Section para (a)"/>
    <w:basedOn w:val="LI-BodyTextUnnumbered"/>
    <w:link w:val="LI-SectionparaaChar"/>
    <w:qFormat/>
    <w:rsid w:val="001A30D0"/>
    <w:pPr>
      <w:ind w:left="2835" w:hanging="567"/>
    </w:pPr>
    <w:rPr>
      <w:szCs w:val="24"/>
    </w:rPr>
  </w:style>
  <w:style w:type="paragraph" w:customStyle="1" w:styleId="LI-Sectionsubparai">
    <w:name w:val="LI - Section subpara (i)"/>
    <w:basedOn w:val="LI-BodyTextUnnumbered"/>
    <w:link w:val="LI-SectionsubparaiChar"/>
    <w:qFormat/>
    <w:rsid w:val="001A30D0"/>
    <w:pPr>
      <w:ind w:left="3402" w:hanging="567"/>
    </w:pPr>
    <w:rPr>
      <w:szCs w:val="24"/>
    </w:rPr>
  </w:style>
  <w:style w:type="character" w:customStyle="1" w:styleId="LI-SectionparaaChar">
    <w:name w:val="LI - Section para (a) Char"/>
    <w:link w:val="LI-Sectionparaa"/>
    <w:rsid w:val="001A30D0"/>
    <w:rPr>
      <w:sz w:val="24"/>
      <w:szCs w:val="24"/>
    </w:rPr>
  </w:style>
  <w:style w:type="character" w:customStyle="1" w:styleId="LI-SectionsubparaiChar">
    <w:name w:val="LI - Section subpara (i) Char"/>
    <w:link w:val="LI-Sectionsubparai"/>
    <w:rsid w:val="001A30D0"/>
    <w:rPr>
      <w:sz w:val="24"/>
      <w:szCs w:val="24"/>
    </w:rPr>
  </w:style>
  <w:style w:type="paragraph" w:customStyle="1" w:styleId="LI-BodyTextSubsubparaA">
    <w:name w:val="LI - Body Text Subsubpara (A)"/>
    <w:basedOn w:val="LI-BodyTextParaa"/>
    <w:link w:val="LI-BodyTextSubsubparaAChar"/>
    <w:qFormat/>
    <w:rsid w:val="001A30D0"/>
    <w:pPr>
      <w:ind w:left="2835"/>
    </w:pPr>
  </w:style>
  <w:style w:type="character" w:customStyle="1" w:styleId="LI-BodyTextSubsubparaAChar">
    <w:name w:val="LI - Body Text Subsubpara (A) Char"/>
    <w:link w:val="LI-BodyTextSubsubparaA"/>
    <w:rsid w:val="001A30D0"/>
    <w:rPr>
      <w:sz w:val="24"/>
      <w:szCs w:val="24"/>
    </w:rPr>
  </w:style>
  <w:style w:type="paragraph" w:customStyle="1" w:styleId="LI-BodyTextNote">
    <w:name w:val="LI - Body Text Note"/>
    <w:basedOn w:val="Normal"/>
    <w:link w:val="LI-BodyTextNoteChar"/>
    <w:rsid w:val="001A30D0"/>
    <w:pPr>
      <w:spacing w:before="200" w:after="0"/>
      <w:ind w:left="1701" w:hanging="567"/>
    </w:pPr>
    <w:rPr>
      <w:sz w:val="18"/>
      <w:lang w:eastAsia="en-AU"/>
    </w:rPr>
  </w:style>
  <w:style w:type="character" w:customStyle="1" w:styleId="LI-BodyTextNoteChar">
    <w:name w:val="LI - Body Text Note Char"/>
    <w:link w:val="LI-BodyTextNote"/>
    <w:rsid w:val="001A30D0"/>
    <w:rPr>
      <w:sz w:val="18"/>
    </w:rPr>
  </w:style>
  <w:style w:type="paragraph" w:customStyle="1" w:styleId="TLPTableBullet">
    <w:name w:val="TLPTableBullet"/>
    <w:aliases w:val="ttb"/>
    <w:basedOn w:val="Normal"/>
    <w:semiHidden/>
    <w:rsid w:val="00CF1B8A"/>
    <w:pPr>
      <w:spacing w:after="0" w:line="240" w:lineRule="exact"/>
      <w:ind w:left="284" w:hanging="284"/>
    </w:pPr>
    <w:rPr>
      <w:lang w:eastAsia="en-AU"/>
    </w:rPr>
  </w:style>
  <w:style w:type="paragraph" w:customStyle="1" w:styleId="LI-Heading2">
    <w:name w:val="LI - Heading 2"/>
    <w:basedOn w:val="Normal"/>
    <w:next w:val="LI-BodyTextUnnumbered"/>
    <w:qFormat/>
    <w:rsid w:val="00A833CC"/>
    <w:pPr>
      <w:keepNext/>
      <w:keepLines/>
      <w:spacing w:before="360" w:after="0"/>
      <w:ind w:left="567" w:hanging="567"/>
      <w:outlineLvl w:val="1"/>
    </w:pPr>
    <w:rPr>
      <w:b/>
      <w:kern w:val="28"/>
      <w:lang w:eastAsia="en-AU"/>
    </w:rPr>
  </w:style>
  <w:style w:type="character" w:styleId="CommentReference">
    <w:name w:val="annotation reference"/>
    <w:basedOn w:val="DefaultParagraphFont"/>
    <w:uiPriority w:val="99"/>
    <w:semiHidden/>
    <w:unhideWhenUsed/>
    <w:rsid w:val="00B3041D"/>
    <w:rPr>
      <w:sz w:val="16"/>
      <w:szCs w:val="16"/>
    </w:rPr>
  </w:style>
  <w:style w:type="paragraph" w:styleId="CommentSubject">
    <w:name w:val="annotation subject"/>
    <w:basedOn w:val="CommentText"/>
    <w:next w:val="CommentText"/>
    <w:link w:val="CommentSubjectChar"/>
    <w:uiPriority w:val="99"/>
    <w:semiHidden/>
    <w:unhideWhenUsed/>
    <w:rsid w:val="00B3041D"/>
    <w:pPr>
      <w:spacing w:line="240" w:lineRule="auto"/>
    </w:pPr>
    <w:rPr>
      <w:b/>
      <w:bCs/>
    </w:rPr>
  </w:style>
  <w:style w:type="character" w:customStyle="1" w:styleId="CommentTextChar">
    <w:name w:val="Comment Text Char"/>
    <w:basedOn w:val="DefaultParagraphFont"/>
    <w:link w:val="CommentText"/>
    <w:semiHidden/>
    <w:rsid w:val="00B3041D"/>
    <w:rPr>
      <w:rFonts w:ascii="Arial" w:eastAsiaTheme="minorHAnsi" w:hAnsi="Arial" w:cs="Arial"/>
      <w:lang w:eastAsia="en-US"/>
    </w:rPr>
  </w:style>
  <w:style w:type="character" w:customStyle="1" w:styleId="CommentSubjectChar">
    <w:name w:val="Comment Subject Char"/>
    <w:basedOn w:val="CommentTextChar"/>
    <w:link w:val="CommentSubject"/>
    <w:uiPriority w:val="99"/>
    <w:semiHidden/>
    <w:rsid w:val="00B3041D"/>
    <w:rPr>
      <w:rFonts w:ascii="Arial" w:eastAsiaTheme="minorHAnsi" w:hAnsi="Arial" w:cs="Arial"/>
      <w:b/>
      <w:bCs/>
      <w:lang w:eastAsia="en-US"/>
    </w:rPr>
  </w:style>
  <w:style w:type="paragraph" w:customStyle="1" w:styleId="li-bodytextnumbered0">
    <w:name w:val="li-bodytextnumbered"/>
    <w:basedOn w:val="Normal"/>
    <w:rsid w:val="00D37AF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719">
      <w:bodyDiv w:val="1"/>
      <w:marLeft w:val="0"/>
      <w:marRight w:val="0"/>
      <w:marTop w:val="0"/>
      <w:marBottom w:val="0"/>
      <w:divBdr>
        <w:top w:val="none" w:sz="0" w:space="0" w:color="auto"/>
        <w:left w:val="none" w:sz="0" w:space="0" w:color="auto"/>
        <w:bottom w:val="none" w:sz="0" w:space="0" w:color="auto"/>
        <w:right w:val="none" w:sz="0" w:space="0" w:color="auto"/>
      </w:divBdr>
    </w:div>
    <w:div w:id="901214984">
      <w:bodyDiv w:val="1"/>
      <w:marLeft w:val="0"/>
      <w:marRight w:val="0"/>
      <w:marTop w:val="0"/>
      <w:marBottom w:val="0"/>
      <w:divBdr>
        <w:top w:val="none" w:sz="0" w:space="0" w:color="auto"/>
        <w:left w:val="none" w:sz="0" w:space="0" w:color="auto"/>
        <w:bottom w:val="none" w:sz="0" w:space="0" w:color="auto"/>
        <w:right w:val="none" w:sz="0" w:space="0" w:color="auto"/>
      </w:divBdr>
      <w:divsChild>
        <w:div w:id="924150336">
          <w:marLeft w:val="0"/>
          <w:marRight w:val="0"/>
          <w:marTop w:val="0"/>
          <w:marBottom w:val="0"/>
          <w:divBdr>
            <w:top w:val="none" w:sz="0" w:space="0" w:color="auto"/>
            <w:left w:val="none" w:sz="0" w:space="0" w:color="auto"/>
            <w:bottom w:val="none" w:sz="0" w:space="0" w:color="auto"/>
            <w:right w:val="none" w:sz="0" w:space="0" w:color="auto"/>
          </w:divBdr>
          <w:divsChild>
            <w:div w:id="1607227289">
              <w:marLeft w:val="0"/>
              <w:marRight w:val="0"/>
              <w:marTop w:val="0"/>
              <w:marBottom w:val="0"/>
              <w:divBdr>
                <w:top w:val="none" w:sz="0" w:space="0" w:color="auto"/>
                <w:left w:val="none" w:sz="0" w:space="0" w:color="auto"/>
                <w:bottom w:val="none" w:sz="0" w:space="0" w:color="auto"/>
                <w:right w:val="none" w:sz="0" w:space="0" w:color="auto"/>
              </w:divBdr>
              <w:divsChild>
                <w:div w:id="628122220">
                  <w:marLeft w:val="0"/>
                  <w:marRight w:val="0"/>
                  <w:marTop w:val="0"/>
                  <w:marBottom w:val="0"/>
                  <w:divBdr>
                    <w:top w:val="none" w:sz="0" w:space="0" w:color="auto"/>
                    <w:left w:val="none" w:sz="0" w:space="0" w:color="auto"/>
                    <w:bottom w:val="none" w:sz="0" w:space="0" w:color="auto"/>
                    <w:right w:val="none" w:sz="0" w:space="0" w:color="auto"/>
                  </w:divBdr>
                  <w:divsChild>
                    <w:div w:id="851727834">
                      <w:marLeft w:val="0"/>
                      <w:marRight w:val="0"/>
                      <w:marTop w:val="0"/>
                      <w:marBottom w:val="0"/>
                      <w:divBdr>
                        <w:top w:val="none" w:sz="0" w:space="0" w:color="auto"/>
                        <w:left w:val="none" w:sz="0" w:space="0" w:color="auto"/>
                        <w:bottom w:val="none" w:sz="0" w:space="0" w:color="auto"/>
                        <w:right w:val="none" w:sz="0" w:space="0" w:color="auto"/>
                      </w:divBdr>
                      <w:divsChild>
                        <w:div w:id="1752577709">
                          <w:marLeft w:val="0"/>
                          <w:marRight w:val="0"/>
                          <w:marTop w:val="0"/>
                          <w:marBottom w:val="0"/>
                          <w:divBdr>
                            <w:top w:val="none" w:sz="0" w:space="0" w:color="auto"/>
                            <w:left w:val="none" w:sz="0" w:space="0" w:color="auto"/>
                            <w:bottom w:val="none" w:sz="0" w:space="0" w:color="auto"/>
                            <w:right w:val="none" w:sz="0" w:space="0" w:color="auto"/>
                          </w:divBdr>
                          <w:divsChild>
                            <w:div w:id="738015289">
                              <w:marLeft w:val="0"/>
                              <w:marRight w:val="0"/>
                              <w:marTop w:val="0"/>
                              <w:marBottom w:val="0"/>
                              <w:divBdr>
                                <w:top w:val="none" w:sz="0" w:space="0" w:color="auto"/>
                                <w:left w:val="none" w:sz="0" w:space="0" w:color="auto"/>
                                <w:bottom w:val="none" w:sz="0" w:space="0" w:color="auto"/>
                                <w:right w:val="none" w:sz="0" w:space="0" w:color="auto"/>
                              </w:divBdr>
                              <w:divsChild>
                                <w:div w:id="447429123">
                                  <w:marLeft w:val="0"/>
                                  <w:marRight w:val="0"/>
                                  <w:marTop w:val="0"/>
                                  <w:marBottom w:val="0"/>
                                  <w:divBdr>
                                    <w:top w:val="none" w:sz="0" w:space="0" w:color="auto"/>
                                    <w:left w:val="none" w:sz="0" w:space="0" w:color="auto"/>
                                    <w:bottom w:val="none" w:sz="0" w:space="0" w:color="auto"/>
                                    <w:right w:val="none" w:sz="0" w:space="0" w:color="auto"/>
                                  </w:divBdr>
                                  <w:divsChild>
                                    <w:div w:id="1668940167">
                                      <w:marLeft w:val="0"/>
                                      <w:marRight w:val="0"/>
                                      <w:marTop w:val="0"/>
                                      <w:marBottom w:val="0"/>
                                      <w:divBdr>
                                        <w:top w:val="none" w:sz="0" w:space="0" w:color="auto"/>
                                        <w:left w:val="none" w:sz="0" w:space="0" w:color="auto"/>
                                        <w:bottom w:val="none" w:sz="0" w:space="0" w:color="auto"/>
                                        <w:right w:val="none" w:sz="0" w:space="0" w:color="auto"/>
                                      </w:divBdr>
                                      <w:divsChild>
                                        <w:div w:id="340622427">
                                          <w:marLeft w:val="0"/>
                                          <w:marRight w:val="0"/>
                                          <w:marTop w:val="0"/>
                                          <w:marBottom w:val="0"/>
                                          <w:divBdr>
                                            <w:top w:val="none" w:sz="0" w:space="0" w:color="auto"/>
                                            <w:left w:val="none" w:sz="0" w:space="0" w:color="auto"/>
                                            <w:bottom w:val="none" w:sz="0" w:space="0" w:color="auto"/>
                                            <w:right w:val="none" w:sz="0" w:space="0" w:color="auto"/>
                                          </w:divBdr>
                                          <w:divsChild>
                                            <w:div w:id="1109854269">
                                              <w:marLeft w:val="0"/>
                                              <w:marRight w:val="0"/>
                                              <w:marTop w:val="0"/>
                                              <w:marBottom w:val="0"/>
                                              <w:divBdr>
                                                <w:top w:val="none" w:sz="0" w:space="0" w:color="auto"/>
                                                <w:left w:val="none" w:sz="0" w:space="0" w:color="auto"/>
                                                <w:bottom w:val="none" w:sz="0" w:space="0" w:color="auto"/>
                                                <w:right w:val="none" w:sz="0" w:space="0" w:color="auto"/>
                                              </w:divBdr>
                                              <w:divsChild>
                                                <w:div w:id="1623657688">
                                                  <w:marLeft w:val="0"/>
                                                  <w:marRight w:val="0"/>
                                                  <w:marTop w:val="0"/>
                                                  <w:marBottom w:val="0"/>
                                                  <w:divBdr>
                                                    <w:top w:val="none" w:sz="0" w:space="0" w:color="auto"/>
                                                    <w:left w:val="none" w:sz="0" w:space="0" w:color="auto"/>
                                                    <w:bottom w:val="none" w:sz="0" w:space="0" w:color="auto"/>
                                                    <w:right w:val="none" w:sz="0" w:space="0" w:color="auto"/>
                                                  </w:divBdr>
                                                  <w:divsChild>
                                                    <w:div w:id="862862723">
                                                      <w:marLeft w:val="0"/>
                                                      <w:marRight w:val="0"/>
                                                      <w:marTop w:val="0"/>
                                                      <w:marBottom w:val="0"/>
                                                      <w:divBdr>
                                                        <w:top w:val="none" w:sz="0" w:space="0" w:color="auto"/>
                                                        <w:left w:val="none" w:sz="0" w:space="0" w:color="auto"/>
                                                        <w:bottom w:val="none" w:sz="0" w:space="0" w:color="auto"/>
                                                        <w:right w:val="none" w:sz="0" w:space="0" w:color="auto"/>
                                                      </w:divBdr>
                                                      <w:divsChild>
                                                        <w:div w:id="13770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0598">
      <w:bodyDiv w:val="1"/>
      <w:marLeft w:val="0"/>
      <w:marRight w:val="0"/>
      <w:marTop w:val="0"/>
      <w:marBottom w:val="0"/>
      <w:divBdr>
        <w:top w:val="none" w:sz="0" w:space="0" w:color="auto"/>
        <w:left w:val="none" w:sz="0" w:space="0" w:color="auto"/>
        <w:bottom w:val="none" w:sz="0" w:space="0" w:color="auto"/>
        <w:right w:val="none" w:sz="0" w:space="0" w:color="auto"/>
      </w:divBdr>
    </w:div>
    <w:div w:id="1849515964">
      <w:bodyDiv w:val="1"/>
      <w:marLeft w:val="0"/>
      <w:marRight w:val="0"/>
      <w:marTop w:val="0"/>
      <w:marBottom w:val="0"/>
      <w:divBdr>
        <w:top w:val="none" w:sz="0" w:space="0" w:color="auto"/>
        <w:left w:val="none" w:sz="0" w:space="0" w:color="auto"/>
        <w:bottom w:val="none" w:sz="0" w:space="0" w:color="auto"/>
        <w:right w:val="none" w:sz="0" w:space="0" w:color="auto"/>
      </w:divBdr>
      <w:divsChild>
        <w:div w:id="190146286">
          <w:marLeft w:val="0"/>
          <w:marRight w:val="0"/>
          <w:marTop w:val="0"/>
          <w:marBottom w:val="0"/>
          <w:divBdr>
            <w:top w:val="none" w:sz="0" w:space="0" w:color="auto"/>
            <w:left w:val="none" w:sz="0" w:space="0" w:color="auto"/>
            <w:bottom w:val="none" w:sz="0" w:space="0" w:color="auto"/>
            <w:right w:val="none" w:sz="0" w:space="0" w:color="auto"/>
          </w:divBdr>
          <w:divsChild>
            <w:div w:id="2020161160">
              <w:marLeft w:val="0"/>
              <w:marRight w:val="0"/>
              <w:marTop w:val="0"/>
              <w:marBottom w:val="0"/>
              <w:divBdr>
                <w:top w:val="none" w:sz="0" w:space="0" w:color="auto"/>
                <w:left w:val="none" w:sz="0" w:space="0" w:color="auto"/>
                <w:bottom w:val="none" w:sz="0" w:space="0" w:color="auto"/>
                <w:right w:val="none" w:sz="0" w:space="0" w:color="auto"/>
              </w:divBdr>
              <w:divsChild>
                <w:div w:id="2125690324">
                  <w:marLeft w:val="0"/>
                  <w:marRight w:val="0"/>
                  <w:marTop w:val="0"/>
                  <w:marBottom w:val="0"/>
                  <w:divBdr>
                    <w:top w:val="none" w:sz="0" w:space="0" w:color="auto"/>
                    <w:left w:val="none" w:sz="0" w:space="0" w:color="auto"/>
                    <w:bottom w:val="none" w:sz="0" w:space="0" w:color="auto"/>
                    <w:right w:val="none" w:sz="0" w:space="0" w:color="auto"/>
                  </w:divBdr>
                  <w:divsChild>
                    <w:div w:id="788356589">
                      <w:marLeft w:val="0"/>
                      <w:marRight w:val="0"/>
                      <w:marTop w:val="0"/>
                      <w:marBottom w:val="0"/>
                      <w:divBdr>
                        <w:top w:val="none" w:sz="0" w:space="0" w:color="auto"/>
                        <w:left w:val="none" w:sz="0" w:space="0" w:color="auto"/>
                        <w:bottom w:val="none" w:sz="0" w:space="0" w:color="auto"/>
                        <w:right w:val="none" w:sz="0" w:space="0" w:color="auto"/>
                      </w:divBdr>
                      <w:divsChild>
                        <w:div w:id="1071544339">
                          <w:marLeft w:val="0"/>
                          <w:marRight w:val="0"/>
                          <w:marTop w:val="0"/>
                          <w:marBottom w:val="0"/>
                          <w:divBdr>
                            <w:top w:val="none" w:sz="0" w:space="0" w:color="auto"/>
                            <w:left w:val="none" w:sz="0" w:space="0" w:color="auto"/>
                            <w:bottom w:val="none" w:sz="0" w:space="0" w:color="auto"/>
                            <w:right w:val="none" w:sz="0" w:space="0" w:color="auto"/>
                          </w:divBdr>
                          <w:divsChild>
                            <w:div w:id="1944216815">
                              <w:marLeft w:val="0"/>
                              <w:marRight w:val="0"/>
                              <w:marTop w:val="0"/>
                              <w:marBottom w:val="0"/>
                              <w:divBdr>
                                <w:top w:val="none" w:sz="0" w:space="0" w:color="auto"/>
                                <w:left w:val="none" w:sz="0" w:space="0" w:color="auto"/>
                                <w:bottom w:val="none" w:sz="0" w:space="0" w:color="auto"/>
                                <w:right w:val="none" w:sz="0" w:space="0" w:color="auto"/>
                              </w:divBdr>
                              <w:divsChild>
                                <w:div w:id="1610166332">
                                  <w:marLeft w:val="0"/>
                                  <w:marRight w:val="0"/>
                                  <w:marTop w:val="0"/>
                                  <w:marBottom w:val="0"/>
                                  <w:divBdr>
                                    <w:top w:val="none" w:sz="0" w:space="0" w:color="auto"/>
                                    <w:left w:val="none" w:sz="0" w:space="0" w:color="auto"/>
                                    <w:bottom w:val="none" w:sz="0" w:space="0" w:color="auto"/>
                                    <w:right w:val="none" w:sz="0" w:space="0" w:color="auto"/>
                                  </w:divBdr>
                                  <w:divsChild>
                                    <w:div w:id="1049887967">
                                      <w:marLeft w:val="0"/>
                                      <w:marRight w:val="0"/>
                                      <w:marTop w:val="0"/>
                                      <w:marBottom w:val="0"/>
                                      <w:divBdr>
                                        <w:top w:val="none" w:sz="0" w:space="0" w:color="auto"/>
                                        <w:left w:val="none" w:sz="0" w:space="0" w:color="auto"/>
                                        <w:bottom w:val="none" w:sz="0" w:space="0" w:color="auto"/>
                                        <w:right w:val="none" w:sz="0" w:space="0" w:color="auto"/>
                                      </w:divBdr>
                                      <w:divsChild>
                                        <w:div w:id="88817380">
                                          <w:marLeft w:val="0"/>
                                          <w:marRight w:val="0"/>
                                          <w:marTop w:val="0"/>
                                          <w:marBottom w:val="0"/>
                                          <w:divBdr>
                                            <w:top w:val="none" w:sz="0" w:space="0" w:color="auto"/>
                                            <w:left w:val="none" w:sz="0" w:space="0" w:color="auto"/>
                                            <w:bottom w:val="none" w:sz="0" w:space="0" w:color="auto"/>
                                            <w:right w:val="none" w:sz="0" w:space="0" w:color="auto"/>
                                          </w:divBdr>
                                          <w:divsChild>
                                            <w:div w:id="413207733">
                                              <w:marLeft w:val="0"/>
                                              <w:marRight w:val="0"/>
                                              <w:marTop w:val="0"/>
                                              <w:marBottom w:val="0"/>
                                              <w:divBdr>
                                                <w:top w:val="none" w:sz="0" w:space="0" w:color="auto"/>
                                                <w:left w:val="none" w:sz="0" w:space="0" w:color="auto"/>
                                                <w:bottom w:val="none" w:sz="0" w:space="0" w:color="auto"/>
                                                <w:right w:val="none" w:sz="0" w:space="0" w:color="auto"/>
                                              </w:divBdr>
                                              <w:divsChild>
                                                <w:div w:id="1515723842">
                                                  <w:marLeft w:val="0"/>
                                                  <w:marRight w:val="0"/>
                                                  <w:marTop w:val="0"/>
                                                  <w:marBottom w:val="0"/>
                                                  <w:divBdr>
                                                    <w:top w:val="none" w:sz="0" w:space="0" w:color="auto"/>
                                                    <w:left w:val="none" w:sz="0" w:space="0" w:color="auto"/>
                                                    <w:bottom w:val="none" w:sz="0" w:space="0" w:color="auto"/>
                                                    <w:right w:val="none" w:sz="0" w:space="0" w:color="auto"/>
                                                  </w:divBdr>
                                                  <w:divsChild>
                                                    <w:div w:id="1884125598">
                                                      <w:marLeft w:val="0"/>
                                                      <w:marRight w:val="0"/>
                                                      <w:marTop w:val="0"/>
                                                      <w:marBottom w:val="0"/>
                                                      <w:divBdr>
                                                        <w:top w:val="none" w:sz="0" w:space="0" w:color="auto"/>
                                                        <w:left w:val="none" w:sz="0" w:space="0" w:color="auto"/>
                                                        <w:bottom w:val="none" w:sz="0" w:space="0" w:color="auto"/>
                                                        <w:right w:val="none" w:sz="0" w:space="0" w:color="auto"/>
                                                      </w:divBdr>
                                                      <w:divsChild>
                                                        <w:div w:id="8860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C Document" ma:contentTypeID="0x010100B5F685A1365F544391EF8C813B164F3A004E00FEAE5848C748A3E264C28CE8DB68" ma:contentTypeVersion="27" ma:contentTypeDescription="" ma:contentTypeScope="" ma:versionID="c2a0f0bc75b1fa97c793bc4efa6c2477">
  <xsd:schema xmlns:xsd="http://www.w3.org/2001/XMLSchema" xmlns:xs="http://www.w3.org/2001/XMLSchema" xmlns:p="http://schemas.microsoft.com/office/2006/metadata/properties" xmlns:ns2="da7a9ac0-bc47-4684-84e6-3a8e9ac80c12" xmlns:ns3="d55e466c-e257-42b7-af3f-f584605a6fd4" xmlns:ns5="17f478ab-373e-4295-9ff0-9b833ad01319" xmlns:ns6="http://schemas.microsoft.com/sharepoint/v4" targetNamespace="http://schemas.microsoft.com/office/2006/metadata/properties" ma:root="true" ma:fieldsID="447c6ad0c35339299816515cb721609b" ns2:_="" ns3:_="" ns5:_="" ns6:_="">
    <xsd:import namespace="da7a9ac0-bc47-4684-84e6-3a8e9ac80c12"/>
    <xsd:import namespace="d55e466c-e257-42b7-af3f-f584605a6fd4"/>
    <xsd:import namespace="17f478ab-373e-4295-9ff0-9b833ad01319"/>
    <xsd:import namespace="http://schemas.microsoft.com/sharepoint/v4"/>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mc5dcfca2dad40d78eb8b343c8184374" minOccurs="0"/>
                <xsd:element ref="ns2:NotesLinks" minOccurs="0"/>
                <xsd:element ref="ns5:Reviewers" minOccurs="0"/>
                <xsd:element ref="ns5:Approv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9"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e466c-e257-42b7-af3f-f584605a6fd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c357850-9c06-4cc3-86ac-129493cdbaef}" ma:internalName="TaxCatchAll" ma:showField="CatchAllData" ma:web="d55e466c-e257-42b7-af3f-f584605a6fd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c357850-9c06-4cc3-86ac-129493cdbaef}" ma:internalName="TaxCatchAllLabel" ma:readOnly="true" ma:showField="CatchAllDataLabel" ma:web="d55e466c-e257-42b7-af3f-f584605a6fd4">
      <xsd:complexType>
        <xsd:complexContent>
          <xsd:extension base="dms:MultiChoiceLookup">
            <xsd:sequence>
              <xsd:element name="Value" type="dms:Lookup" maxOccurs="unbounded" minOccurs="0" nillable="true"/>
            </xsd:sequence>
          </xsd:extension>
        </xsd:complexContent>
      </xsd:complexType>
    </xsd:element>
    <xsd:element name="mc5dcfca2dad40d78eb8b343c8184374" ma:index="17" ma:taxonomy="true" ma:internalName="mc5dcfca2dad40d78eb8b343c8184374" ma:taxonomyFieldName="SecurityClassification" ma:displayName="Security Classification" ma:default="-1;#OFFICIAL - Sensitive|6eccc17f-024b-41b0-b6b1-faf98d2aff85" ma:fieldId="{6c5dcfca-2dad-40d7-8eb8-b343c8184374}"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0"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ignificantReason xmlns="da7a9ac0-bc47-4684-84e6-3a8e9ac80c12" xsi:nil="true"/>
    <Reviewers xmlns="17f478ab-373e-4295-9ff0-9b833ad01319">
      <UserInfo>
        <DisplayName/>
        <AccountId xsi:nil="true"/>
        <AccountType/>
      </UserInfo>
    </Reviewers>
    <Approvers xmlns="17f478ab-373e-4295-9ff0-9b833ad01319">
      <UserInfo>
        <DisplayName/>
        <AccountId xsi:nil="true"/>
        <AccountType/>
      </UserInfo>
    </Approvers>
    <NotesLinks xmlns="da7a9ac0-bc47-4684-84e6-3a8e9ac80c12" xsi:nil="true"/>
    <SignificantFlag xmlns="da7a9ac0-bc47-4684-84e6-3a8e9ac80c12">false</SignificantFlag>
    <IconOverlay xmlns="http://schemas.microsoft.com/sharepoint/v4" xsi:nil="true"/>
    <ObjectiveID xmlns="da7a9ac0-bc47-4684-84e6-3a8e9ac80c12" xsi:nil="true"/>
    <ded95d7ab059406991d558011d18c177 xmlns="da7a9ac0-bc47-4684-84e6-3a8e9ac80c12" xsi:nil="true"/>
    <RecordNumber xmlns="da7a9ac0-bc47-4684-84e6-3a8e9ac80c12">R20200000742348</RecordNumber>
    <SenateOrder12 xmlns="da7a9ac0-bc47-4684-84e6-3a8e9ac80c12">false</SenateOrder12>
    <TaxCatchAll xmlns="d55e466c-e257-42b7-af3f-f584605a6fd4">
      <Value>7</Value>
    </TaxCatchAll>
    <mc5dcfca2dad40d78eb8b343c8184374 xmlns="d55e466c-e257-42b7-af3f-f584605a6fd4">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mc5dcfca2dad40d78eb8b343c8184374>
  </documentManagement>
</p:properties>
</file>

<file path=customXml/itemProps1.xml><?xml version="1.0" encoding="utf-8"?>
<ds:datastoreItem xmlns:ds="http://schemas.openxmlformats.org/officeDocument/2006/customXml" ds:itemID="{7E3C6105-38B3-4635-B3FE-EF9B4C4303EE}">
  <ds:schemaRefs>
    <ds:schemaRef ds:uri="http://schemas.microsoft.com/sharepoint/v3/contenttype/forms"/>
  </ds:schemaRefs>
</ds:datastoreItem>
</file>

<file path=customXml/itemProps2.xml><?xml version="1.0" encoding="utf-8"?>
<ds:datastoreItem xmlns:ds="http://schemas.openxmlformats.org/officeDocument/2006/customXml" ds:itemID="{06F9FE52-4982-48D0-A933-16EC6B2F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d55e466c-e257-42b7-af3f-f584605a6fd4"/>
    <ds:schemaRef ds:uri="17f478ab-373e-4295-9ff0-9b833ad013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804F3-3AE2-47CE-B308-35131E2E2E79}">
  <ds:schemaRefs>
    <ds:schemaRef ds:uri="http://schemas.microsoft.com/office/2006/metadata/longProperties"/>
  </ds:schemaRefs>
</ds:datastoreItem>
</file>

<file path=customXml/itemProps4.xml><?xml version="1.0" encoding="utf-8"?>
<ds:datastoreItem xmlns:ds="http://schemas.openxmlformats.org/officeDocument/2006/customXml" ds:itemID="{3275D353-F914-426B-9AB0-672FE96D4935}">
  <ds:schemaRefs>
    <ds:schemaRef ds:uri="http://schemas.microsoft.com/sharepoint/v4"/>
    <ds:schemaRef ds:uri="http://purl.org/dc/dcmitype/"/>
    <ds:schemaRef ds:uri="da7a9ac0-bc47-4684-84e6-3a8e9ac80c12"/>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7f478ab-373e-4295-9ff0-9b833ad01319"/>
    <ds:schemaRef ds:uri="d55e466c-e257-42b7-af3f-f584605a6fd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9313</Words>
  <Characters>49208</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Flanagan</dc:creator>
  <cp:lastModifiedBy>Chris Flanagan</cp:lastModifiedBy>
  <cp:revision>3</cp:revision>
  <dcterms:created xsi:type="dcterms:W3CDTF">2020-12-17T03:03:00Z</dcterms:created>
  <dcterms:modified xsi:type="dcterms:W3CDTF">2020-12-17T03:11:00Z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arch keywords">
    <vt:lpwstr/>
  </property>
  <property fmtid="{D5CDD505-2E9C-101B-9397-08002B2CF9AE}" pid="3" name="Order">
    <vt:r8>165900</vt:r8>
  </property>
  <property fmtid="{D5CDD505-2E9C-101B-9397-08002B2CF9AE}" pid="4" name="RecordPoint_RecordNumberSubmitted">
    <vt:lpwstr>R20200000742348</vt:lpwstr>
  </property>
  <property fmtid="{D5CDD505-2E9C-101B-9397-08002B2CF9AE}" pid="5" name="IMSEntity">
    <vt:lpwstr/>
  </property>
  <property fmtid="{D5CDD505-2E9C-101B-9397-08002B2CF9AE}" pid="6" name="ContentTypeId">
    <vt:lpwstr>0x010100B5F685A1365F544391EF8C813B164F3A004E00FEAE5848C748A3E264C28CE8DB68</vt:lpwstr>
  </property>
  <property fmtid="{D5CDD505-2E9C-101B-9397-08002B2CF9AE}" pid="7" name="Fileset search keywords">
    <vt:lpwstr/>
  </property>
  <property fmtid="{D5CDD505-2E9C-101B-9397-08002B2CF9AE}" pid="8" name="SecurityClassification">
    <vt:lpwstr>7;#Sensitive|19fd2cb8-3e97-4464-ae71-8c2c2095d028</vt:lpwstr>
  </property>
  <property fmtid="{D5CDD505-2E9C-101B-9397-08002B2CF9AE}" pid="9" name="RecordPoint_ActiveItemWebId">
    <vt:lpwstr>{d55e466c-e257-42b7-af3f-f584605a6fd4}</vt:lpwstr>
  </property>
  <property fmtid="{D5CDD505-2E9C-101B-9397-08002B2CF9AE}" pid="10" name="IMSDocumentType">
    <vt:lpwstr/>
  </property>
  <property fmtid="{D5CDD505-2E9C-101B-9397-08002B2CF9AE}" pid="11" name="RecordPoint_WorkflowType">
    <vt:lpwstr>ActiveSubmitStub</vt:lpwstr>
  </property>
  <property fmtid="{D5CDD505-2E9C-101B-9397-08002B2CF9AE}" pid="12" name="IMSFilesetEntity">
    <vt:lpwstr/>
  </property>
  <property fmtid="{D5CDD505-2E9C-101B-9397-08002B2CF9AE}" pid="13" name="RecordPoint_ActiveItemSiteId">
    <vt:lpwstr>{a76b1441-a4b2-4523-a4ea-86530e62f87b}</vt:lpwstr>
  </property>
  <property fmtid="{D5CDD505-2E9C-101B-9397-08002B2CF9AE}" pid="14" name="IMSProductType">
    <vt:lpwstr/>
  </property>
  <property fmtid="{D5CDD505-2E9C-101B-9397-08002B2CF9AE}" pid="15" name="RecordPoint_ActiveItemListId">
    <vt:lpwstr>{bd6d7009-6881-4d8b-9f28-e9df1cee7a07}</vt:lpwstr>
  </property>
  <property fmtid="{D5CDD505-2E9C-101B-9397-08002B2CF9AE}" pid="16" name="RecordPoint_ActiveItemUniqueId">
    <vt:lpwstr>{fc3d3708-43a7-4101-9386-4ac0146d3536}</vt:lpwstr>
  </property>
  <property fmtid="{D5CDD505-2E9C-101B-9397-08002B2CF9AE}" pid="17" name="RecordPoint_SubmissionCompleted">
    <vt:lpwstr>2020-12-17T14:38:16.0055968+11:00</vt:lpwstr>
  </property>
  <property fmtid="{D5CDD505-2E9C-101B-9397-08002B2CF9AE}" pid="18" name="IMS Precedent">
    <vt:lpwstr/>
  </property>
  <property fmtid="{D5CDD505-2E9C-101B-9397-08002B2CF9AE}" pid="19" name="IMSFilesetProductType">
    <vt:lpwstr/>
  </property>
  <property fmtid="{D5CDD505-2E9C-101B-9397-08002B2CF9AE}" pid="20" name="RecordPoint_SubmissionDate">
    <vt:lpwstr/>
  </property>
  <property fmtid="{D5CDD505-2E9C-101B-9397-08002B2CF9AE}" pid="21" name="RecordPoint_RecordFormat">
    <vt:lpwstr/>
  </property>
  <property fmtid="{D5CDD505-2E9C-101B-9397-08002B2CF9AE}" pid="22" name="RecordPoint_ActiveItemMoved">
    <vt:lpwstr/>
  </property>
</Properties>
</file>