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33" w:rsidRPr="00171117" w:rsidRDefault="00195D33" w:rsidP="00195D33">
      <w:pPr>
        <w:rPr>
          <w:color w:val="000000"/>
        </w:rPr>
      </w:pPr>
      <w:bookmarkStart w:id="0" w:name="_Toc168113228"/>
      <w:r w:rsidRPr="00171117">
        <w:rPr>
          <w:noProof/>
          <w:color w:val="000000"/>
        </w:rPr>
        <w:drawing>
          <wp:inline distT="0" distB="0" distL="0" distR="0" wp14:anchorId="0A6D3F3C" wp14:editId="1C1FA6B5">
            <wp:extent cx="14192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195D33" w:rsidRPr="00EC746D" w:rsidRDefault="00195D33" w:rsidP="00195D33">
      <w:pPr>
        <w:spacing w:before="480"/>
        <w:rPr>
          <w:rFonts w:ascii="Arial" w:hAnsi="Arial" w:cs="Arial"/>
          <w:b/>
          <w:bCs/>
          <w:color w:val="000000"/>
          <w:sz w:val="40"/>
          <w:szCs w:val="40"/>
          <w:lang w:eastAsia="en-US"/>
        </w:rPr>
      </w:pPr>
      <w:r w:rsidRPr="00EC746D">
        <w:rPr>
          <w:rFonts w:ascii="Arial" w:hAnsi="Arial" w:cs="Arial"/>
          <w:b/>
          <w:bCs/>
          <w:color w:val="000000"/>
          <w:sz w:val="40"/>
          <w:szCs w:val="40"/>
          <w:lang w:eastAsia="en-US"/>
        </w:rPr>
        <w:t xml:space="preserve">Insurance (prudential standard) determination No. </w:t>
      </w:r>
      <w:r w:rsidR="00654D6D">
        <w:rPr>
          <w:rFonts w:ascii="Arial" w:hAnsi="Arial" w:cs="Arial"/>
          <w:b/>
          <w:bCs/>
          <w:color w:val="000000"/>
          <w:sz w:val="40"/>
          <w:szCs w:val="40"/>
          <w:lang w:eastAsia="en-US"/>
        </w:rPr>
        <w:t>4</w:t>
      </w:r>
      <w:r w:rsidRPr="00EC746D">
        <w:rPr>
          <w:rFonts w:ascii="Arial" w:hAnsi="Arial" w:cs="Arial"/>
          <w:b/>
          <w:bCs/>
          <w:color w:val="000000"/>
          <w:sz w:val="40"/>
          <w:szCs w:val="40"/>
          <w:lang w:eastAsia="en-US"/>
        </w:rPr>
        <w:t xml:space="preserve"> of </w:t>
      </w:r>
      <w:r>
        <w:rPr>
          <w:rFonts w:ascii="Arial" w:hAnsi="Arial" w:cs="Arial"/>
          <w:b/>
          <w:bCs/>
          <w:color w:val="000000"/>
          <w:sz w:val="40"/>
          <w:szCs w:val="40"/>
          <w:lang w:eastAsia="en-US"/>
        </w:rPr>
        <w:t>2014</w:t>
      </w:r>
      <w:r w:rsidRPr="00EC746D">
        <w:rPr>
          <w:rFonts w:ascii="Arial" w:hAnsi="Arial" w:cs="Arial"/>
          <w:b/>
          <w:bCs/>
          <w:color w:val="000000"/>
          <w:sz w:val="40"/>
          <w:szCs w:val="40"/>
          <w:lang w:eastAsia="en-US"/>
        </w:rPr>
        <w:t xml:space="preserve"> </w:t>
      </w:r>
    </w:p>
    <w:p w:rsidR="00195D33" w:rsidRPr="00EC746D" w:rsidRDefault="00195D33" w:rsidP="00195D33">
      <w:pPr>
        <w:spacing w:before="480"/>
        <w:rPr>
          <w:rFonts w:ascii="Arial" w:hAnsi="Arial" w:cs="Arial"/>
          <w:b/>
          <w:bCs/>
          <w:color w:val="000000"/>
          <w:sz w:val="28"/>
          <w:szCs w:val="28"/>
          <w:lang w:eastAsia="en-US"/>
        </w:rPr>
      </w:pPr>
      <w:r w:rsidRPr="00EC746D">
        <w:rPr>
          <w:rFonts w:ascii="Arial" w:hAnsi="Arial" w:cs="Arial"/>
          <w:b/>
          <w:bCs/>
          <w:color w:val="000000"/>
          <w:sz w:val="28"/>
          <w:szCs w:val="28"/>
          <w:lang w:eastAsia="en-US"/>
        </w:rPr>
        <w:t xml:space="preserve">Prudential Standard GPS </w:t>
      </w:r>
      <w:r>
        <w:rPr>
          <w:rFonts w:ascii="Arial" w:hAnsi="Arial" w:cs="Arial"/>
          <w:b/>
          <w:bCs/>
          <w:color w:val="000000"/>
          <w:sz w:val="28"/>
          <w:szCs w:val="28"/>
          <w:lang w:eastAsia="en-US"/>
        </w:rPr>
        <w:t>113</w:t>
      </w:r>
      <w:r w:rsidRPr="00EC746D">
        <w:rPr>
          <w:rFonts w:ascii="Arial" w:hAnsi="Arial" w:cs="Arial"/>
          <w:b/>
          <w:bCs/>
          <w:color w:val="000000"/>
          <w:sz w:val="28"/>
          <w:szCs w:val="28"/>
          <w:lang w:eastAsia="en-US"/>
        </w:rPr>
        <w:t xml:space="preserve"> </w:t>
      </w:r>
      <w:r>
        <w:rPr>
          <w:rFonts w:ascii="Arial" w:hAnsi="Arial" w:cs="Arial"/>
          <w:b/>
          <w:bCs/>
          <w:color w:val="000000"/>
          <w:sz w:val="28"/>
          <w:szCs w:val="28"/>
          <w:lang w:eastAsia="en-US"/>
        </w:rPr>
        <w:t>Capital Adequacy: Internal Model-based Method</w:t>
      </w:r>
    </w:p>
    <w:p w:rsidR="00195D33" w:rsidRPr="00171117" w:rsidRDefault="00195D33" w:rsidP="00195D33">
      <w:pPr>
        <w:pStyle w:val="ActTitle"/>
        <w:rPr>
          <w:color w:val="000000"/>
        </w:rPr>
      </w:pPr>
      <w:r w:rsidRPr="00171117">
        <w:rPr>
          <w:color w:val="000000"/>
        </w:rPr>
        <w:t>Insurance Act 1973</w:t>
      </w:r>
    </w:p>
    <w:p w:rsidR="00195D33" w:rsidRPr="00171117" w:rsidRDefault="00195D33" w:rsidP="00195D33">
      <w:pPr>
        <w:pStyle w:val="IntroTo"/>
        <w:rPr>
          <w:color w:val="000000"/>
        </w:rPr>
      </w:pPr>
    </w:p>
    <w:p w:rsidR="00195D33" w:rsidRPr="00171117" w:rsidRDefault="00195D33" w:rsidP="00195D33">
      <w:pPr>
        <w:pStyle w:val="IntroTo"/>
        <w:ind w:left="0" w:firstLine="0"/>
        <w:jc w:val="both"/>
        <w:rPr>
          <w:szCs w:val="24"/>
        </w:rPr>
      </w:pPr>
      <w:r w:rsidRPr="00171117">
        <w:rPr>
          <w:szCs w:val="24"/>
        </w:rPr>
        <w:t xml:space="preserve">I, </w:t>
      </w:r>
      <w:r>
        <w:rPr>
          <w:szCs w:val="24"/>
        </w:rPr>
        <w:t>Wayne Byres</w:t>
      </w:r>
      <w:r w:rsidRPr="00171117">
        <w:rPr>
          <w:szCs w:val="24"/>
        </w:rPr>
        <w:t>, delegate of APRA:</w:t>
      </w:r>
    </w:p>
    <w:p w:rsidR="00195D33" w:rsidRPr="00171117" w:rsidRDefault="00195D33" w:rsidP="00195D33">
      <w:pPr>
        <w:pStyle w:val="IntroTo"/>
        <w:ind w:left="0" w:firstLine="0"/>
        <w:jc w:val="both"/>
        <w:rPr>
          <w:szCs w:val="24"/>
        </w:rPr>
      </w:pPr>
    </w:p>
    <w:p w:rsidR="00195D33" w:rsidRPr="00171117" w:rsidRDefault="00195D33" w:rsidP="00195D33">
      <w:pPr>
        <w:pStyle w:val="IntroTo"/>
        <w:numPr>
          <w:ilvl w:val="0"/>
          <w:numId w:val="20"/>
        </w:numPr>
        <w:ind w:left="567" w:hanging="567"/>
        <w:jc w:val="both"/>
        <w:rPr>
          <w:color w:val="000000"/>
          <w:szCs w:val="24"/>
        </w:rPr>
      </w:pPr>
      <w:r w:rsidRPr="00171117">
        <w:rPr>
          <w:color w:val="000000"/>
          <w:szCs w:val="24"/>
        </w:rPr>
        <w:t xml:space="preserve">under subsection 32(4) of the </w:t>
      </w:r>
      <w:r w:rsidRPr="00171117">
        <w:rPr>
          <w:i/>
          <w:color w:val="000000"/>
          <w:szCs w:val="24"/>
        </w:rPr>
        <w:t>Insurance Act 1973</w:t>
      </w:r>
      <w:r w:rsidRPr="00171117">
        <w:rPr>
          <w:color w:val="000000"/>
          <w:szCs w:val="24"/>
        </w:rPr>
        <w:t xml:space="preserve"> (the Act) REVOKE Insurance (prudential standard) determination No. </w:t>
      </w:r>
      <w:r w:rsidR="00544017">
        <w:rPr>
          <w:color w:val="000000"/>
          <w:szCs w:val="24"/>
        </w:rPr>
        <w:t>3</w:t>
      </w:r>
      <w:r w:rsidRPr="00171117">
        <w:rPr>
          <w:color w:val="000000"/>
          <w:szCs w:val="24"/>
        </w:rPr>
        <w:t xml:space="preserve"> of 20</w:t>
      </w:r>
      <w:r w:rsidR="00544017">
        <w:rPr>
          <w:color w:val="000000"/>
          <w:szCs w:val="24"/>
        </w:rPr>
        <w:t>1</w:t>
      </w:r>
      <w:r w:rsidR="00863071">
        <w:rPr>
          <w:color w:val="000000"/>
          <w:szCs w:val="24"/>
        </w:rPr>
        <w:t>2</w:t>
      </w:r>
      <w:r w:rsidRPr="00171117">
        <w:rPr>
          <w:color w:val="000000"/>
          <w:szCs w:val="24"/>
        </w:rPr>
        <w:t xml:space="preserve">, including </w:t>
      </w:r>
      <w:r w:rsidRPr="00171117">
        <w:rPr>
          <w:i/>
          <w:color w:val="000000"/>
          <w:szCs w:val="24"/>
        </w:rPr>
        <w:t xml:space="preserve">Prudential Standard GPS </w:t>
      </w:r>
      <w:r w:rsidR="00544017">
        <w:rPr>
          <w:i/>
          <w:color w:val="000000"/>
          <w:szCs w:val="24"/>
        </w:rPr>
        <w:t>113</w:t>
      </w:r>
      <w:r w:rsidRPr="00171117">
        <w:rPr>
          <w:i/>
          <w:color w:val="000000"/>
          <w:szCs w:val="24"/>
        </w:rPr>
        <w:t xml:space="preserve"> </w:t>
      </w:r>
      <w:r w:rsidR="00544017">
        <w:rPr>
          <w:i/>
          <w:color w:val="000000"/>
          <w:szCs w:val="24"/>
        </w:rPr>
        <w:t>Capital Adequacy: Internal Model-based Method</w:t>
      </w:r>
      <w:r w:rsidRPr="00171117">
        <w:rPr>
          <w:color w:val="000000"/>
          <w:szCs w:val="24"/>
        </w:rPr>
        <w:t>, made under that Determination; and</w:t>
      </w:r>
    </w:p>
    <w:p w:rsidR="00195D33" w:rsidRPr="00171117" w:rsidRDefault="00195D33" w:rsidP="00195D33">
      <w:pPr>
        <w:pStyle w:val="IntroTo"/>
        <w:numPr>
          <w:ilvl w:val="0"/>
          <w:numId w:val="20"/>
        </w:numPr>
        <w:spacing w:before="120"/>
        <w:ind w:left="567" w:hanging="567"/>
        <w:jc w:val="both"/>
        <w:rPr>
          <w:color w:val="000000"/>
          <w:szCs w:val="24"/>
        </w:rPr>
      </w:pPr>
      <w:r w:rsidRPr="00171117">
        <w:rPr>
          <w:color w:val="000000"/>
          <w:szCs w:val="24"/>
        </w:rPr>
        <w:t xml:space="preserve">under subsection 32(1) of the </w:t>
      </w:r>
      <w:r>
        <w:rPr>
          <w:color w:val="000000"/>
          <w:szCs w:val="24"/>
        </w:rPr>
        <w:t>Act</w:t>
      </w:r>
      <w:r w:rsidRPr="00171117">
        <w:rPr>
          <w:color w:val="000000"/>
          <w:szCs w:val="24"/>
        </w:rPr>
        <w:t xml:space="preserve"> DETERMINE </w:t>
      </w:r>
      <w:r w:rsidRPr="00171117">
        <w:rPr>
          <w:i/>
          <w:color w:val="000000"/>
          <w:szCs w:val="24"/>
        </w:rPr>
        <w:t xml:space="preserve">Prudential Standard GPS </w:t>
      </w:r>
      <w:r w:rsidR="00544017">
        <w:rPr>
          <w:i/>
          <w:color w:val="000000"/>
          <w:szCs w:val="24"/>
        </w:rPr>
        <w:t>113</w:t>
      </w:r>
      <w:r w:rsidRPr="00171117">
        <w:rPr>
          <w:i/>
          <w:color w:val="000000"/>
          <w:szCs w:val="24"/>
        </w:rPr>
        <w:t xml:space="preserve"> </w:t>
      </w:r>
      <w:r w:rsidR="00544017">
        <w:rPr>
          <w:i/>
          <w:color w:val="000000"/>
          <w:szCs w:val="24"/>
        </w:rPr>
        <w:t>Capital Adequacy: Internal Model-based Method</w:t>
      </w:r>
      <w:r w:rsidRPr="00171117">
        <w:rPr>
          <w:color w:val="000000"/>
          <w:szCs w:val="24"/>
        </w:rPr>
        <w:t>, in the form set out in the Schedule, which applies to:</w:t>
      </w:r>
    </w:p>
    <w:p w:rsidR="00195D33" w:rsidRPr="00171117" w:rsidRDefault="00195D33" w:rsidP="00195D33">
      <w:pPr>
        <w:pStyle w:val="IntroTo"/>
        <w:numPr>
          <w:ilvl w:val="1"/>
          <w:numId w:val="20"/>
        </w:numPr>
        <w:tabs>
          <w:tab w:val="left" w:pos="1134"/>
        </w:tabs>
        <w:spacing w:before="120"/>
        <w:ind w:left="1134" w:hanging="425"/>
        <w:jc w:val="both"/>
        <w:rPr>
          <w:color w:val="000000"/>
          <w:szCs w:val="24"/>
        </w:rPr>
      </w:pPr>
      <w:r w:rsidRPr="00171117">
        <w:rPr>
          <w:color w:val="000000"/>
          <w:szCs w:val="24"/>
        </w:rPr>
        <w:t>all general insurers and authorised NOHCs; and</w:t>
      </w:r>
    </w:p>
    <w:p w:rsidR="00195D33" w:rsidRPr="00171117" w:rsidRDefault="00195D33" w:rsidP="00195D33">
      <w:pPr>
        <w:pStyle w:val="IntroTo"/>
        <w:numPr>
          <w:ilvl w:val="1"/>
          <w:numId w:val="20"/>
        </w:numPr>
        <w:tabs>
          <w:tab w:val="left" w:pos="1134"/>
        </w:tabs>
        <w:spacing w:before="120"/>
        <w:ind w:left="1134" w:hanging="425"/>
        <w:jc w:val="both"/>
        <w:rPr>
          <w:color w:val="000000"/>
          <w:szCs w:val="24"/>
        </w:rPr>
      </w:pPr>
      <w:proofErr w:type="gramStart"/>
      <w:r w:rsidRPr="00171117">
        <w:rPr>
          <w:color w:val="000000"/>
          <w:szCs w:val="24"/>
        </w:rPr>
        <w:t>a</w:t>
      </w:r>
      <w:proofErr w:type="gramEnd"/>
      <w:r w:rsidRPr="00171117">
        <w:rPr>
          <w:color w:val="000000"/>
          <w:szCs w:val="24"/>
        </w:rPr>
        <w:t xml:space="preserve"> subsidiary of a general insurer or authorised NOHC, where that subsidiary is a parent entity of a Level 2 insurance group.</w:t>
      </w:r>
    </w:p>
    <w:p w:rsidR="00195D33" w:rsidRPr="00171117" w:rsidRDefault="00195D33" w:rsidP="00195D33">
      <w:pPr>
        <w:jc w:val="both"/>
      </w:pPr>
    </w:p>
    <w:p w:rsidR="00195D33" w:rsidRPr="00171117" w:rsidRDefault="00195D33" w:rsidP="00195D33">
      <w:pPr>
        <w:jc w:val="both"/>
      </w:pPr>
      <w:r w:rsidRPr="00171117">
        <w:t xml:space="preserve">This instrument </w:t>
      </w:r>
      <w:r w:rsidR="00863071">
        <w:t>takes effect on 1 January 2015</w:t>
      </w:r>
      <w:r w:rsidRPr="00171117">
        <w:t>.</w:t>
      </w:r>
    </w:p>
    <w:p w:rsidR="00195D33" w:rsidRPr="00171117" w:rsidRDefault="00195D33" w:rsidP="00195D33">
      <w:pPr>
        <w:jc w:val="both"/>
      </w:pPr>
    </w:p>
    <w:p w:rsidR="00195D33" w:rsidRPr="00171117" w:rsidRDefault="00531613" w:rsidP="00195D33">
      <w:pPr>
        <w:jc w:val="both"/>
      </w:pPr>
      <w:r>
        <w:t xml:space="preserve">Dated: 3 </w:t>
      </w:r>
      <w:r w:rsidR="00654D6D">
        <w:t>December 2014</w:t>
      </w:r>
    </w:p>
    <w:p w:rsidR="00195D33" w:rsidRPr="00171117" w:rsidRDefault="00195D33" w:rsidP="00195D33">
      <w:pPr>
        <w:jc w:val="both"/>
        <w:rPr>
          <w:i/>
        </w:rPr>
      </w:pPr>
    </w:p>
    <w:p w:rsidR="00195D33" w:rsidRPr="00171117" w:rsidRDefault="00531613" w:rsidP="00195D33">
      <w:pPr>
        <w:jc w:val="both"/>
        <w:rPr>
          <w:color w:val="000000"/>
        </w:rPr>
      </w:pPr>
      <w:r>
        <w:rPr>
          <w:color w:val="000000"/>
        </w:rPr>
        <w:t>[Signed]</w:t>
      </w:r>
      <w:bookmarkStart w:id="1" w:name="_GoBack"/>
      <w:bookmarkEnd w:id="1"/>
    </w:p>
    <w:p w:rsidR="00195D33" w:rsidRPr="00171117" w:rsidRDefault="00195D33" w:rsidP="00195D33">
      <w:pPr>
        <w:jc w:val="both"/>
        <w:rPr>
          <w:color w:val="000000"/>
        </w:rPr>
      </w:pPr>
    </w:p>
    <w:p w:rsidR="00195D33" w:rsidRPr="00171117" w:rsidRDefault="00195D33" w:rsidP="00195D33">
      <w:pPr>
        <w:jc w:val="both"/>
      </w:pPr>
    </w:p>
    <w:p w:rsidR="00195D33" w:rsidRPr="00171117" w:rsidRDefault="00195D33" w:rsidP="00195D33">
      <w:pPr>
        <w:jc w:val="both"/>
      </w:pPr>
      <w:r>
        <w:t>Wayne Byres</w:t>
      </w:r>
    </w:p>
    <w:p w:rsidR="00195D33" w:rsidRPr="00171117" w:rsidRDefault="00195D33" w:rsidP="00195D33">
      <w:pPr>
        <w:jc w:val="both"/>
      </w:pPr>
      <w:r>
        <w:t>Chair</w:t>
      </w:r>
    </w:p>
    <w:p w:rsidR="00195D33" w:rsidRPr="00171117" w:rsidRDefault="00195D33" w:rsidP="00195D33">
      <w:pPr>
        <w:jc w:val="both"/>
      </w:pPr>
    </w:p>
    <w:p w:rsidR="00195D33" w:rsidRPr="00171117" w:rsidRDefault="00195D33" w:rsidP="00195D33">
      <w:pPr>
        <w:jc w:val="both"/>
        <w:rPr>
          <w:color w:val="000000"/>
        </w:rPr>
      </w:pPr>
    </w:p>
    <w:p w:rsidR="00195D33" w:rsidRPr="00171117" w:rsidRDefault="00195D33" w:rsidP="00195D33">
      <w:pPr>
        <w:jc w:val="both"/>
        <w:rPr>
          <w:color w:val="000000"/>
        </w:rPr>
      </w:pPr>
    </w:p>
    <w:p w:rsidR="00195D33" w:rsidRPr="00171117" w:rsidRDefault="00195D33" w:rsidP="00195D33">
      <w:pPr>
        <w:pStyle w:val="IH"/>
        <w:ind w:left="0" w:firstLine="0"/>
        <w:rPr>
          <w:rFonts w:ascii="Times New Roman" w:hAnsi="Times New Roman"/>
          <w:color w:val="000000"/>
        </w:rPr>
      </w:pPr>
      <w:r w:rsidRPr="00171117">
        <w:rPr>
          <w:rFonts w:ascii="Times New Roman" w:hAnsi="Times New Roman"/>
          <w:color w:val="000000"/>
        </w:rPr>
        <w:lastRenderedPageBreak/>
        <w:t>Interpretation</w:t>
      </w:r>
    </w:p>
    <w:p w:rsidR="00195D33" w:rsidRPr="00171117" w:rsidRDefault="00195D33" w:rsidP="00195D33">
      <w:pPr>
        <w:pStyle w:val="IP"/>
        <w:rPr>
          <w:color w:val="000000"/>
        </w:rPr>
      </w:pPr>
      <w:r w:rsidRPr="00171117">
        <w:rPr>
          <w:color w:val="000000"/>
        </w:rPr>
        <w:t>In this Determination:</w:t>
      </w:r>
    </w:p>
    <w:p w:rsidR="00195D33" w:rsidRPr="00171117" w:rsidRDefault="00195D33" w:rsidP="00195D33">
      <w:pPr>
        <w:pStyle w:val="IntroTo"/>
        <w:spacing w:before="120"/>
        <w:ind w:left="0" w:firstLine="0"/>
        <w:jc w:val="both"/>
        <w:rPr>
          <w:color w:val="000000"/>
          <w:szCs w:val="24"/>
        </w:rPr>
      </w:pPr>
      <w:r w:rsidRPr="00171117">
        <w:rPr>
          <w:b/>
          <w:i/>
          <w:color w:val="000000"/>
          <w:szCs w:val="24"/>
        </w:rPr>
        <w:t>APRA</w:t>
      </w:r>
      <w:r w:rsidRPr="00171117">
        <w:rPr>
          <w:color w:val="000000"/>
          <w:szCs w:val="24"/>
        </w:rPr>
        <w:t xml:space="preserve"> means the Australian Prudential Regulation Authority.</w:t>
      </w:r>
    </w:p>
    <w:p w:rsidR="00195D33" w:rsidRPr="00171117" w:rsidRDefault="00195D33" w:rsidP="00195D33">
      <w:pPr>
        <w:pStyle w:val="IntroTo"/>
        <w:spacing w:before="120"/>
        <w:ind w:left="0" w:firstLine="0"/>
        <w:jc w:val="both"/>
        <w:rPr>
          <w:color w:val="000000"/>
          <w:szCs w:val="24"/>
        </w:rPr>
      </w:pPr>
      <w:proofErr w:type="gramStart"/>
      <w:r w:rsidRPr="00171117">
        <w:rPr>
          <w:b/>
          <w:i/>
          <w:color w:val="000000"/>
          <w:szCs w:val="24"/>
        </w:rPr>
        <w:t>authorised</w:t>
      </w:r>
      <w:proofErr w:type="gramEnd"/>
      <w:r w:rsidRPr="00171117">
        <w:rPr>
          <w:b/>
          <w:i/>
          <w:color w:val="000000"/>
          <w:szCs w:val="24"/>
        </w:rPr>
        <w:t xml:space="preserve"> NOHC</w:t>
      </w:r>
      <w:r w:rsidRPr="00171117">
        <w:rPr>
          <w:color w:val="000000"/>
          <w:szCs w:val="24"/>
        </w:rPr>
        <w:t xml:space="preserve"> has the meaning given in section 3 of the Act.</w:t>
      </w:r>
    </w:p>
    <w:p w:rsidR="00195D33" w:rsidRPr="00171117" w:rsidRDefault="00195D33" w:rsidP="00195D33">
      <w:pPr>
        <w:pStyle w:val="IntroTo"/>
        <w:spacing w:before="120"/>
        <w:ind w:left="0" w:firstLine="0"/>
        <w:jc w:val="both"/>
        <w:rPr>
          <w:color w:val="000000"/>
          <w:szCs w:val="24"/>
        </w:rPr>
      </w:pPr>
      <w:proofErr w:type="gramStart"/>
      <w:r w:rsidRPr="00171117">
        <w:rPr>
          <w:b/>
          <w:i/>
          <w:color w:val="000000"/>
          <w:szCs w:val="24"/>
        </w:rPr>
        <w:t>general</w:t>
      </w:r>
      <w:proofErr w:type="gramEnd"/>
      <w:r w:rsidRPr="00171117">
        <w:rPr>
          <w:b/>
          <w:i/>
          <w:color w:val="000000"/>
          <w:szCs w:val="24"/>
        </w:rPr>
        <w:t xml:space="preserve"> insurer </w:t>
      </w:r>
      <w:r w:rsidRPr="00171117">
        <w:rPr>
          <w:color w:val="000000"/>
          <w:szCs w:val="24"/>
        </w:rPr>
        <w:t>has the meaning given in section 11 of the Act.</w:t>
      </w:r>
    </w:p>
    <w:p w:rsidR="00195D33" w:rsidRPr="00171117" w:rsidRDefault="00195D33" w:rsidP="00195D33">
      <w:pPr>
        <w:pStyle w:val="IntroTo"/>
        <w:spacing w:before="120"/>
        <w:ind w:left="0" w:firstLine="0"/>
        <w:jc w:val="both"/>
        <w:rPr>
          <w:color w:val="000000"/>
          <w:szCs w:val="24"/>
        </w:rPr>
      </w:pPr>
      <w:r w:rsidRPr="00171117">
        <w:rPr>
          <w:b/>
          <w:i/>
          <w:color w:val="000000"/>
          <w:szCs w:val="24"/>
        </w:rPr>
        <w:t>Level 2 insurance group</w:t>
      </w:r>
      <w:r w:rsidRPr="00171117">
        <w:rPr>
          <w:color w:val="000000"/>
          <w:szCs w:val="24"/>
        </w:rPr>
        <w:t xml:space="preserve"> has the meaning given in </w:t>
      </w:r>
      <w:r w:rsidRPr="00171117">
        <w:rPr>
          <w:i/>
          <w:color w:val="000000"/>
          <w:szCs w:val="24"/>
        </w:rPr>
        <w:t>Prudential Standard GPS 001 Definitions</w:t>
      </w:r>
      <w:r w:rsidRPr="00171117">
        <w:rPr>
          <w:color w:val="000000"/>
          <w:szCs w:val="24"/>
        </w:rPr>
        <w:t xml:space="preserve"> made by Insurance (prudential standard) determination No. </w:t>
      </w:r>
      <w:r w:rsidR="00654D6D">
        <w:rPr>
          <w:color w:val="000000"/>
          <w:szCs w:val="24"/>
        </w:rPr>
        <w:t>2</w:t>
      </w:r>
      <w:r w:rsidRPr="00171117">
        <w:rPr>
          <w:color w:val="000000"/>
          <w:szCs w:val="24"/>
        </w:rPr>
        <w:t xml:space="preserve"> of 201</w:t>
      </w:r>
      <w:r>
        <w:rPr>
          <w:color w:val="000000"/>
          <w:szCs w:val="24"/>
        </w:rPr>
        <w:t>4</w:t>
      </w:r>
      <w:r w:rsidRPr="00171117">
        <w:rPr>
          <w:color w:val="000000"/>
          <w:szCs w:val="24"/>
        </w:rPr>
        <w:t xml:space="preserve"> or, if that prudential standard is revoked, the meaning given in the replacement prudential standard.</w:t>
      </w:r>
    </w:p>
    <w:p w:rsidR="00195D33" w:rsidRPr="00171117" w:rsidRDefault="00195D33" w:rsidP="00195D33">
      <w:pPr>
        <w:pStyle w:val="IntroTo"/>
        <w:spacing w:before="120"/>
        <w:ind w:left="0" w:firstLine="0"/>
        <w:jc w:val="both"/>
        <w:rPr>
          <w:color w:val="000000"/>
          <w:szCs w:val="24"/>
        </w:rPr>
      </w:pPr>
      <w:proofErr w:type="gramStart"/>
      <w:r w:rsidRPr="00171117">
        <w:rPr>
          <w:b/>
          <w:i/>
          <w:color w:val="000000"/>
          <w:szCs w:val="24"/>
        </w:rPr>
        <w:t>parent</w:t>
      </w:r>
      <w:proofErr w:type="gramEnd"/>
      <w:r w:rsidRPr="00171117">
        <w:rPr>
          <w:b/>
          <w:i/>
          <w:color w:val="000000"/>
          <w:szCs w:val="24"/>
        </w:rPr>
        <w:t xml:space="preserve"> entity</w:t>
      </w:r>
      <w:r w:rsidRPr="00171117">
        <w:rPr>
          <w:color w:val="000000"/>
          <w:szCs w:val="24"/>
        </w:rPr>
        <w:t xml:space="preserve"> has the meaning given in </w:t>
      </w:r>
      <w:r w:rsidRPr="00171117">
        <w:rPr>
          <w:i/>
          <w:color w:val="000000"/>
          <w:szCs w:val="24"/>
        </w:rPr>
        <w:t>Prudential Standard GPS 001 Definitions</w:t>
      </w:r>
      <w:r w:rsidRPr="00171117">
        <w:rPr>
          <w:color w:val="000000"/>
          <w:szCs w:val="24"/>
        </w:rPr>
        <w:t xml:space="preserve"> made by Insurance (prudential standard) determination No. </w:t>
      </w:r>
      <w:r w:rsidR="00654D6D">
        <w:rPr>
          <w:color w:val="000000"/>
          <w:szCs w:val="24"/>
        </w:rPr>
        <w:t>2</w:t>
      </w:r>
      <w:r w:rsidRPr="00171117">
        <w:rPr>
          <w:color w:val="000000"/>
          <w:szCs w:val="24"/>
        </w:rPr>
        <w:t xml:space="preserve"> of 201</w:t>
      </w:r>
      <w:r>
        <w:rPr>
          <w:color w:val="000000"/>
          <w:szCs w:val="24"/>
        </w:rPr>
        <w:t>4</w:t>
      </w:r>
      <w:r w:rsidRPr="00171117">
        <w:rPr>
          <w:color w:val="000000"/>
          <w:szCs w:val="24"/>
        </w:rPr>
        <w:t xml:space="preserve"> or, if that prudential standard is revoked, the meaning given in the replacement prudential standard.</w:t>
      </w:r>
    </w:p>
    <w:p w:rsidR="00195D33" w:rsidRPr="00171117" w:rsidRDefault="00195D33" w:rsidP="00195D33">
      <w:pPr>
        <w:pStyle w:val="IntroTo"/>
        <w:spacing w:before="120"/>
        <w:ind w:left="0" w:firstLine="0"/>
        <w:jc w:val="both"/>
        <w:rPr>
          <w:color w:val="000000"/>
          <w:szCs w:val="24"/>
        </w:rPr>
      </w:pPr>
      <w:r w:rsidRPr="00171117">
        <w:rPr>
          <w:b/>
          <w:i/>
          <w:color w:val="000000"/>
          <w:szCs w:val="24"/>
        </w:rPr>
        <w:t>replacement prudential standard</w:t>
      </w:r>
      <w:r w:rsidRPr="00171117">
        <w:rPr>
          <w:color w:val="000000"/>
          <w:szCs w:val="24"/>
        </w:rPr>
        <w:t xml:space="preserve"> means any prudential standard made under section 32 of the Act which replaces </w:t>
      </w:r>
      <w:r w:rsidRPr="00171117">
        <w:rPr>
          <w:i/>
          <w:color w:val="000000"/>
          <w:szCs w:val="24"/>
        </w:rPr>
        <w:t>Prudential Standard GPS 001 Definitions</w:t>
      </w:r>
      <w:r w:rsidRPr="00171117">
        <w:rPr>
          <w:color w:val="000000"/>
          <w:szCs w:val="24"/>
        </w:rPr>
        <w:t xml:space="preserve"> made by Insurance (prudential standard) determination No. </w:t>
      </w:r>
      <w:r w:rsidR="00654D6D">
        <w:rPr>
          <w:color w:val="000000"/>
          <w:szCs w:val="24"/>
        </w:rPr>
        <w:t>2</w:t>
      </w:r>
      <w:r w:rsidRPr="00171117">
        <w:rPr>
          <w:color w:val="000000"/>
          <w:szCs w:val="24"/>
        </w:rPr>
        <w:t xml:space="preserve"> of 201</w:t>
      </w:r>
      <w:r>
        <w:rPr>
          <w:color w:val="000000"/>
          <w:szCs w:val="24"/>
        </w:rPr>
        <w:t>4</w:t>
      </w:r>
      <w:r w:rsidRPr="00171117">
        <w:rPr>
          <w:color w:val="000000"/>
          <w:szCs w:val="24"/>
        </w:rPr>
        <w:t>.</w:t>
      </w:r>
    </w:p>
    <w:p w:rsidR="00195D33" w:rsidRPr="00171117" w:rsidRDefault="00195D33" w:rsidP="00195D33">
      <w:pPr>
        <w:pStyle w:val="IntroTo"/>
        <w:spacing w:before="120"/>
        <w:ind w:left="0" w:firstLine="0"/>
        <w:jc w:val="both"/>
        <w:rPr>
          <w:color w:val="000000"/>
          <w:szCs w:val="24"/>
        </w:rPr>
      </w:pPr>
      <w:proofErr w:type="gramStart"/>
      <w:r w:rsidRPr="00171117">
        <w:rPr>
          <w:b/>
          <w:i/>
          <w:color w:val="000000"/>
          <w:szCs w:val="24"/>
        </w:rPr>
        <w:t>subsidiary</w:t>
      </w:r>
      <w:proofErr w:type="gramEnd"/>
      <w:r w:rsidRPr="00171117">
        <w:rPr>
          <w:color w:val="000000"/>
          <w:szCs w:val="24"/>
        </w:rPr>
        <w:t xml:space="preserve"> has the meaning given in </w:t>
      </w:r>
      <w:r w:rsidRPr="00171117">
        <w:rPr>
          <w:i/>
          <w:color w:val="000000"/>
          <w:szCs w:val="24"/>
        </w:rPr>
        <w:t>Prudential Standard GPS 001 Definitions</w:t>
      </w:r>
      <w:r w:rsidRPr="00171117">
        <w:rPr>
          <w:color w:val="000000"/>
          <w:szCs w:val="24"/>
        </w:rPr>
        <w:t xml:space="preserve"> made by Insurance (prudential standard) determination No. </w:t>
      </w:r>
      <w:r w:rsidR="00654D6D">
        <w:rPr>
          <w:color w:val="000000"/>
          <w:szCs w:val="24"/>
        </w:rPr>
        <w:t>2</w:t>
      </w:r>
      <w:r w:rsidRPr="00171117">
        <w:rPr>
          <w:color w:val="000000"/>
          <w:szCs w:val="24"/>
        </w:rPr>
        <w:t xml:space="preserve"> of 201</w:t>
      </w:r>
      <w:r>
        <w:rPr>
          <w:color w:val="000000"/>
          <w:szCs w:val="24"/>
        </w:rPr>
        <w:t>4</w:t>
      </w:r>
      <w:r w:rsidRPr="00171117">
        <w:rPr>
          <w:color w:val="000000"/>
          <w:szCs w:val="24"/>
        </w:rPr>
        <w:t xml:space="preserve"> or, if that prudential standard is revoked, the meaning given in the replacement prudential standard.</w:t>
      </w:r>
    </w:p>
    <w:p w:rsidR="00195D33" w:rsidRPr="00171117" w:rsidRDefault="00195D33" w:rsidP="00195D33">
      <w:pPr>
        <w:pStyle w:val="AS"/>
        <w:ind w:left="0" w:firstLine="0"/>
        <w:rPr>
          <w:rStyle w:val="CharSchText"/>
          <w:color w:val="000000"/>
        </w:rPr>
      </w:pPr>
      <w:r w:rsidRPr="00171117">
        <w:rPr>
          <w:rStyle w:val="CharSchNo"/>
          <w:color w:val="000000"/>
        </w:rPr>
        <w:t xml:space="preserve">Schedule </w:t>
      </w:r>
    </w:p>
    <w:p w:rsidR="00195D33" w:rsidRPr="00171117" w:rsidRDefault="00195D33" w:rsidP="00195D33">
      <w:pPr>
        <w:pStyle w:val="ASref"/>
        <w:rPr>
          <w:color w:val="000000"/>
        </w:rPr>
      </w:pPr>
    </w:p>
    <w:p w:rsidR="00195D33" w:rsidRDefault="00195D33" w:rsidP="00195D33">
      <w:pPr>
        <w:pStyle w:val="Header"/>
        <w:jc w:val="both"/>
        <w:rPr>
          <w:bCs/>
        </w:rPr>
      </w:pPr>
      <w:r w:rsidRPr="00171117">
        <w:rPr>
          <w:i/>
          <w:color w:val="000000"/>
        </w:rPr>
        <w:t xml:space="preserve">Prudential Standard GPS </w:t>
      </w:r>
      <w:r w:rsidR="00544017">
        <w:rPr>
          <w:i/>
          <w:color w:val="000000"/>
        </w:rPr>
        <w:t>113</w:t>
      </w:r>
      <w:r w:rsidRPr="00171117">
        <w:rPr>
          <w:color w:val="000000"/>
        </w:rPr>
        <w:t xml:space="preserve"> </w:t>
      </w:r>
      <w:r w:rsidR="00544017">
        <w:rPr>
          <w:i/>
          <w:color w:val="000000"/>
          <w:szCs w:val="24"/>
        </w:rPr>
        <w:t>Capital Adequacy: Internal Model-based Method</w:t>
      </w:r>
      <w:r w:rsidRPr="00171117">
        <w:rPr>
          <w:i/>
          <w:color w:val="000000"/>
        </w:rPr>
        <w:t xml:space="preserve"> </w:t>
      </w:r>
      <w:r w:rsidRPr="00171117">
        <w:rPr>
          <w:bCs/>
        </w:rPr>
        <w:t xml:space="preserve">comprises the </w:t>
      </w:r>
      <w:r w:rsidR="00544017">
        <w:rPr>
          <w:bCs/>
        </w:rPr>
        <w:t>11</w:t>
      </w:r>
      <w:r w:rsidRPr="00171117">
        <w:rPr>
          <w:bCs/>
        </w:rPr>
        <w:t xml:space="preserve"> pages commencing on the following page.</w:t>
      </w:r>
      <w:bookmarkEnd w:id="0"/>
    </w:p>
    <w:p w:rsidR="00195D33" w:rsidRDefault="00195D33">
      <w:pPr>
        <w:rPr>
          <w:b/>
          <w:noProof/>
          <w:sz w:val="52"/>
        </w:rPr>
        <w:sectPr w:rsidR="00195D33" w:rsidSect="00856091">
          <w:headerReference w:type="default" r:id="rId10"/>
          <w:footerReference w:type="default" r:id="rId11"/>
          <w:pgSz w:w="11906" w:h="16838"/>
          <w:pgMar w:top="1440" w:right="1800" w:bottom="1440" w:left="1800" w:header="708" w:footer="708" w:gutter="0"/>
          <w:pgNumType w:start="1"/>
          <w:cols w:space="708"/>
          <w:docGrid w:linePitch="360"/>
        </w:sectPr>
      </w:pPr>
    </w:p>
    <w:p w:rsidR="00835F0E" w:rsidRPr="003527D2" w:rsidRDefault="008040E8" w:rsidP="00835F0E">
      <w:pPr>
        <w:pStyle w:val="Heading5"/>
        <w:spacing w:after="600"/>
        <w:jc w:val="both"/>
      </w:pPr>
      <w:r>
        <w:rPr>
          <w:noProof/>
        </w:rPr>
        <w:lastRenderedPageBreak/>
        <w:drawing>
          <wp:inline distT="0" distB="0" distL="0" distR="0" wp14:anchorId="196A8998" wp14:editId="272D3941">
            <wp:extent cx="14192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835F0E" w:rsidRPr="0043293A" w:rsidRDefault="00835F0E" w:rsidP="009D0D2D">
      <w:pPr>
        <w:pStyle w:val="Heading5"/>
        <w:spacing w:before="120" w:after="360"/>
        <w:jc w:val="both"/>
        <w:rPr>
          <w:rFonts w:ascii="Arial" w:hAnsi="Arial" w:cs="Arial"/>
          <w:sz w:val="40"/>
          <w:szCs w:val="40"/>
        </w:rPr>
      </w:pPr>
      <w:r w:rsidRPr="0043293A">
        <w:rPr>
          <w:rFonts w:ascii="Arial" w:hAnsi="Arial" w:cs="Arial"/>
          <w:sz w:val="40"/>
          <w:szCs w:val="40"/>
        </w:rPr>
        <w:t xml:space="preserve">Prudential Standard </w:t>
      </w:r>
      <w:smartTag w:uri="urn:schemas-microsoft-com:office:smarttags" w:element="date">
        <w:r w:rsidRPr="0043293A">
          <w:rPr>
            <w:rFonts w:ascii="Arial" w:hAnsi="Arial" w:cs="Arial"/>
            <w:sz w:val="40"/>
            <w:szCs w:val="40"/>
          </w:rPr>
          <w:t>GPS</w:t>
        </w:r>
      </w:smartTag>
      <w:r w:rsidRPr="0043293A">
        <w:rPr>
          <w:rFonts w:ascii="Arial" w:hAnsi="Arial" w:cs="Arial"/>
          <w:sz w:val="40"/>
          <w:szCs w:val="40"/>
        </w:rPr>
        <w:t xml:space="preserve"> 113</w:t>
      </w:r>
    </w:p>
    <w:p w:rsidR="00835F0E" w:rsidRPr="0043293A" w:rsidRDefault="00835F0E" w:rsidP="009D0D2D">
      <w:pPr>
        <w:pStyle w:val="Heading5"/>
        <w:spacing w:before="120" w:after="360"/>
        <w:jc w:val="both"/>
        <w:rPr>
          <w:rFonts w:ascii="Arial" w:hAnsi="Arial" w:cs="Arial"/>
          <w:sz w:val="40"/>
          <w:szCs w:val="40"/>
        </w:rPr>
      </w:pPr>
      <w:r w:rsidRPr="0043293A">
        <w:rPr>
          <w:rFonts w:ascii="Arial" w:hAnsi="Arial" w:cs="Arial"/>
          <w:sz w:val="40"/>
          <w:szCs w:val="40"/>
        </w:rPr>
        <w:t xml:space="preserve">Capital Adequacy: Internal Model-based Method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5"/>
      </w:tblGrid>
      <w:tr w:rsidR="00835F0E" w:rsidRPr="003527D2">
        <w:tc>
          <w:tcPr>
            <w:tcW w:w="8525" w:type="dxa"/>
            <w:shd w:val="pct10" w:color="auto" w:fill="FFFFFF"/>
          </w:tcPr>
          <w:p w:rsidR="00835F0E" w:rsidRPr="0043293A" w:rsidRDefault="00835F0E" w:rsidP="009D0D2D">
            <w:pPr>
              <w:pStyle w:val="Heading3"/>
              <w:spacing w:before="120" w:after="360"/>
              <w:jc w:val="both"/>
              <w:rPr>
                <w:sz w:val="32"/>
                <w:szCs w:val="32"/>
              </w:rPr>
            </w:pPr>
            <w:r w:rsidRPr="0043293A">
              <w:rPr>
                <w:sz w:val="32"/>
                <w:szCs w:val="32"/>
              </w:rPr>
              <w:t>Objective and key requirements of this Prudential Standard</w:t>
            </w:r>
          </w:p>
          <w:p w:rsidR="00263EC2" w:rsidRDefault="00E3402E" w:rsidP="007E3233">
            <w:pPr>
              <w:spacing w:after="60"/>
              <w:jc w:val="both"/>
            </w:pPr>
            <w:r>
              <w:t xml:space="preserve">This Prudential Standard sets out the requirements that </w:t>
            </w:r>
            <w:r w:rsidR="00066A62">
              <w:t xml:space="preserve">a </w:t>
            </w:r>
            <w:r>
              <w:t xml:space="preserve">general insurer </w:t>
            </w:r>
            <w:r w:rsidR="00066A62">
              <w:t>or</w:t>
            </w:r>
            <w:r>
              <w:t xml:space="preserve"> Level 2 insurance group must meet to use an Internal Model-based Method for calculating the prescribed capital amount of the</w:t>
            </w:r>
            <w:r w:rsidR="00263EC2">
              <w:t xml:space="preserve"> general</w:t>
            </w:r>
            <w:r>
              <w:t xml:space="preserve"> insurer or Level 2 insurance group, both at the time of application and subsequently.</w:t>
            </w:r>
          </w:p>
          <w:p w:rsidR="00CC348A" w:rsidRDefault="00263EC2" w:rsidP="007E3233">
            <w:pPr>
              <w:spacing w:before="240" w:after="60"/>
              <w:jc w:val="both"/>
            </w:pPr>
            <w:r>
              <w:t>The ultimate responsibility for</w:t>
            </w:r>
            <w:r w:rsidR="00E149C2">
              <w:t xml:space="preserve"> complying with the requirements to obtain and maintain approval for the use of an Internal Model-based Method rests with the</w:t>
            </w:r>
            <w:r w:rsidR="0050076D">
              <w:t xml:space="preserve"> Board of directors of a</w:t>
            </w:r>
            <w:r w:rsidR="00E149C2">
              <w:t xml:space="preserve"> general insurer or Level 2 insurance group. </w:t>
            </w:r>
          </w:p>
          <w:p w:rsidR="00835F0E" w:rsidRPr="003527D2" w:rsidRDefault="00835F0E" w:rsidP="007E3233">
            <w:pPr>
              <w:spacing w:before="240" w:after="60"/>
              <w:jc w:val="both"/>
            </w:pPr>
            <w:r w:rsidRPr="003527D2">
              <w:t xml:space="preserve">The key requirements to obtain and maintain </w:t>
            </w:r>
            <w:r>
              <w:t>approval for the</w:t>
            </w:r>
            <w:r w:rsidRPr="003527D2">
              <w:t xml:space="preserve"> use </w:t>
            </w:r>
            <w:r>
              <w:t xml:space="preserve">of </w:t>
            </w:r>
            <w:r w:rsidRPr="003527D2">
              <w:t>an Internal Model</w:t>
            </w:r>
            <w:r>
              <w:t>-b</w:t>
            </w:r>
            <w:r w:rsidRPr="003527D2">
              <w:t xml:space="preserve">ased Method </w:t>
            </w:r>
            <w:r w:rsidR="00225690">
              <w:t>are that</w:t>
            </w:r>
            <w:r w:rsidRPr="003527D2">
              <w:t>:</w:t>
            </w:r>
          </w:p>
          <w:p w:rsidR="00835F0E" w:rsidRPr="003527D2" w:rsidRDefault="00E149C2" w:rsidP="00C17215">
            <w:pPr>
              <w:numPr>
                <w:ilvl w:val="0"/>
                <w:numId w:val="3"/>
              </w:numPr>
              <w:tabs>
                <w:tab w:val="clear" w:pos="720"/>
                <w:tab w:val="num" w:pos="567"/>
              </w:tabs>
              <w:spacing w:before="240" w:after="60"/>
              <w:ind w:left="567" w:hanging="567"/>
              <w:jc w:val="both"/>
            </w:pPr>
            <w:r>
              <w:t>t</w:t>
            </w:r>
            <w:r w:rsidR="00835F0E" w:rsidRPr="003527D2">
              <w:t>he</w:t>
            </w:r>
            <w:r w:rsidR="00263EC2">
              <w:t xml:space="preserve"> general</w:t>
            </w:r>
            <w:r w:rsidR="00835F0E">
              <w:t xml:space="preserve"> insurer</w:t>
            </w:r>
            <w:r w:rsidR="00835F0E" w:rsidRPr="003527D2">
              <w:t xml:space="preserve"> </w:t>
            </w:r>
            <w:r w:rsidR="00835F0E">
              <w:t xml:space="preserve">or Level 2 insurance group </w:t>
            </w:r>
            <w:r w:rsidR="00835F0E" w:rsidRPr="003527D2">
              <w:t xml:space="preserve">must </w:t>
            </w:r>
            <w:r w:rsidR="00835F0E">
              <w:t>have</w:t>
            </w:r>
            <w:r w:rsidR="00835F0E" w:rsidRPr="003527D2">
              <w:t xml:space="preserve"> an </w:t>
            </w:r>
            <w:r w:rsidR="00A52FD3">
              <w:t>I</w:t>
            </w:r>
            <w:r w:rsidR="00263EC2">
              <w:t xml:space="preserve">nternal </w:t>
            </w:r>
            <w:r w:rsidR="00A52FD3">
              <w:t>C</w:t>
            </w:r>
            <w:r w:rsidR="00263EC2">
              <w:t xml:space="preserve">apital </w:t>
            </w:r>
            <w:r w:rsidR="00A52FD3">
              <w:t>A</w:t>
            </w:r>
            <w:r w:rsidR="00263EC2">
              <w:t xml:space="preserve">dequacy </w:t>
            </w:r>
            <w:r w:rsidR="00A52FD3">
              <w:t>A</w:t>
            </w:r>
            <w:r w:rsidR="00263EC2">
              <w:t xml:space="preserve">ssessment </w:t>
            </w:r>
            <w:r w:rsidR="00A52FD3">
              <w:t>P</w:t>
            </w:r>
            <w:r w:rsidR="00263EC2">
              <w:t>rocess</w:t>
            </w:r>
            <w:r w:rsidR="00A52FD3">
              <w:t xml:space="preserve"> </w:t>
            </w:r>
            <w:r w:rsidR="00263EC2">
              <w:t>that</w:t>
            </w:r>
            <w:r w:rsidR="00A52FD3">
              <w:t xml:space="preserve"> demonstrates an </w:t>
            </w:r>
            <w:r w:rsidR="00835F0E" w:rsidRPr="003527D2">
              <w:t>advanced approach to risk management</w:t>
            </w:r>
            <w:r w:rsidR="00835F0E">
              <w:t xml:space="preserve"> and capital management </w:t>
            </w:r>
            <w:r w:rsidR="00263EC2">
              <w:t xml:space="preserve">that </w:t>
            </w:r>
            <w:r w:rsidR="00835F0E">
              <w:t xml:space="preserve">includes an appropriate Economic Capital Model; </w:t>
            </w:r>
          </w:p>
          <w:p w:rsidR="00835F0E" w:rsidRPr="003527D2" w:rsidRDefault="00835F0E" w:rsidP="00C17215">
            <w:pPr>
              <w:numPr>
                <w:ilvl w:val="0"/>
                <w:numId w:val="3"/>
              </w:numPr>
              <w:tabs>
                <w:tab w:val="clear" w:pos="720"/>
                <w:tab w:val="num" w:pos="567"/>
              </w:tabs>
              <w:spacing w:before="240" w:after="60"/>
              <w:ind w:left="567" w:hanging="567"/>
              <w:jc w:val="both"/>
            </w:pPr>
            <w:r w:rsidRPr="003527D2">
              <w:t xml:space="preserve">governance arrangements for </w:t>
            </w:r>
            <w:r>
              <w:t xml:space="preserve">the </w:t>
            </w:r>
            <w:r w:rsidRPr="003527D2">
              <w:t xml:space="preserve">development and use of the </w:t>
            </w:r>
            <w:r>
              <w:t>Economic Capital Model</w:t>
            </w:r>
            <w:r w:rsidRPr="003527D2">
              <w:t xml:space="preserve"> </w:t>
            </w:r>
            <w:r w:rsidR="00225690">
              <w:t>are</w:t>
            </w:r>
            <w:r w:rsidRPr="003527D2">
              <w:t xml:space="preserve"> suitable</w:t>
            </w:r>
            <w:r>
              <w:t>;</w:t>
            </w:r>
          </w:p>
          <w:p w:rsidR="00835F0E" w:rsidRDefault="00835F0E" w:rsidP="00C17215">
            <w:pPr>
              <w:numPr>
                <w:ilvl w:val="0"/>
                <w:numId w:val="3"/>
              </w:numPr>
              <w:tabs>
                <w:tab w:val="clear" w:pos="720"/>
                <w:tab w:val="num" w:pos="567"/>
              </w:tabs>
              <w:spacing w:before="240" w:after="60"/>
              <w:ind w:left="567" w:hanging="567"/>
              <w:jc w:val="both"/>
            </w:pPr>
            <w:r>
              <w:t>t</w:t>
            </w:r>
            <w:r w:rsidRPr="003527D2">
              <w:t xml:space="preserve">he </w:t>
            </w:r>
            <w:r>
              <w:t>Economic Capital Model</w:t>
            </w:r>
            <w:r w:rsidRPr="003527D2">
              <w:t xml:space="preserve"> must be used by the </w:t>
            </w:r>
            <w:r w:rsidR="00263EC2">
              <w:t xml:space="preserve">general </w:t>
            </w:r>
            <w:r w:rsidRPr="003527D2">
              <w:t xml:space="preserve">insurer </w:t>
            </w:r>
            <w:r>
              <w:t xml:space="preserve">or Level 2 insurance group </w:t>
            </w:r>
            <w:r w:rsidRPr="003527D2">
              <w:t xml:space="preserve">for its own purposes </w:t>
            </w:r>
            <w:r>
              <w:t>or for the purposes of the group</w:t>
            </w:r>
            <w:r w:rsidR="00263EC2">
              <w:t>,</w:t>
            </w:r>
            <w:r>
              <w:t xml:space="preserve"> </w:t>
            </w:r>
            <w:r w:rsidRPr="003527D2">
              <w:t xml:space="preserve">and </w:t>
            </w:r>
            <w:r>
              <w:t xml:space="preserve">be </w:t>
            </w:r>
            <w:r w:rsidRPr="003527D2">
              <w:t>embedded in management</w:t>
            </w:r>
            <w:r>
              <w:t>, operations and decision</w:t>
            </w:r>
            <w:r w:rsidR="00263EC2">
              <w:t>-</w:t>
            </w:r>
            <w:r>
              <w:t>making</w:t>
            </w:r>
            <w:r w:rsidRPr="003527D2">
              <w:t xml:space="preserve"> processes</w:t>
            </w:r>
            <w:r>
              <w:t>; and</w:t>
            </w:r>
          </w:p>
          <w:p w:rsidR="00835F0E" w:rsidRPr="003527D2" w:rsidRDefault="00835F0E" w:rsidP="00C17215">
            <w:pPr>
              <w:numPr>
                <w:ilvl w:val="0"/>
                <w:numId w:val="3"/>
              </w:numPr>
              <w:tabs>
                <w:tab w:val="clear" w:pos="720"/>
                <w:tab w:val="num" w:pos="567"/>
              </w:tabs>
              <w:spacing w:before="240" w:after="60"/>
              <w:ind w:left="567" w:hanging="567"/>
              <w:jc w:val="both"/>
            </w:pPr>
            <w:r>
              <w:t>t</w:t>
            </w:r>
            <w:r w:rsidRPr="003527D2">
              <w:t xml:space="preserve">he </w:t>
            </w:r>
            <w:r>
              <w:t>Economic Capital Model</w:t>
            </w:r>
            <w:r w:rsidRPr="003527D2">
              <w:t xml:space="preserve"> must be technically sufficient to produce a reliable estimate of the capital required</w:t>
            </w:r>
            <w:r>
              <w:t xml:space="preserve"> by the </w:t>
            </w:r>
            <w:r w:rsidR="00263EC2">
              <w:t xml:space="preserve">general </w:t>
            </w:r>
            <w:r>
              <w:t xml:space="preserve">insurer or Level 2 insurance group. </w:t>
            </w:r>
          </w:p>
        </w:tc>
      </w:tr>
    </w:tbl>
    <w:p w:rsidR="001F6583" w:rsidRDefault="001F6583" w:rsidP="00835F0E">
      <w:pPr>
        <w:pStyle w:val="Heading3"/>
        <w:keepLines/>
        <w:spacing w:before="120" w:after="240"/>
        <w:jc w:val="both"/>
        <w:rPr>
          <w:rFonts w:cs="Times New Roman"/>
          <w:bCs w:val="0"/>
          <w:snapToGrid w:val="0"/>
          <w:sz w:val="24"/>
          <w:szCs w:val="24"/>
          <w:lang w:eastAsia="en-US"/>
        </w:rPr>
      </w:pPr>
    </w:p>
    <w:p w:rsidR="001F6583" w:rsidRDefault="001F6583" w:rsidP="001F6583">
      <w:pPr>
        <w:rPr>
          <w:rFonts w:ascii="Arial" w:hAnsi="Arial"/>
          <w:snapToGrid w:val="0"/>
          <w:lang w:eastAsia="en-US"/>
        </w:rPr>
      </w:pPr>
      <w:r>
        <w:rPr>
          <w:snapToGrid w:val="0"/>
          <w:lang w:eastAsia="en-US"/>
        </w:rPr>
        <w:br w:type="page"/>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lastRenderedPageBreak/>
        <w:t xml:space="preserve">Authority </w:t>
      </w:r>
    </w:p>
    <w:p w:rsidR="00835F0E" w:rsidRPr="008F4B4E" w:rsidRDefault="00835F0E" w:rsidP="0041445E">
      <w:pPr>
        <w:pStyle w:val="BodyText"/>
      </w:pPr>
      <w:r>
        <w:t xml:space="preserve">This </w:t>
      </w:r>
      <w:r w:rsidRPr="008F4B4E">
        <w:t xml:space="preserve">Prudential Standard is made under section 32 of the </w:t>
      </w:r>
      <w:r w:rsidRPr="008F4B4E">
        <w:rPr>
          <w:i/>
        </w:rPr>
        <w:t>Insurance Act 1973</w:t>
      </w:r>
      <w:r w:rsidRPr="008F4B4E">
        <w:t xml:space="preserve"> (</w:t>
      </w:r>
      <w:r w:rsidRPr="00130A4D">
        <w:rPr>
          <w:b/>
        </w:rPr>
        <w:t>the Act</w:t>
      </w:r>
      <w:r w:rsidRPr="008F4B4E">
        <w:t>).</w:t>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Application</w:t>
      </w:r>
    </w:p>
    <w:p w:rsidR="00835F0E" w:rsidRDefault="00835F0E" w:rsidP="0041445E">
      <w:pPr>
        <w:pStyle w:val="BodyText"/>
      </w:pPr>
      <w:r w:rsidRPr="003527D2">
        <w:t>This Prudential Standard applies to</w:t>
      </w:r>
      <w:r w:rsidR="00130A4D">
        <w:t xml:space="preserve"> each</w:t>
      </w:r>
      <w:r>
        <w:t>:</w:t>
      </w:r>
    </w:p>
    <w:p w:rsidR="00835F0E" w:rsidRDefault="00130A4D" w:rsidP="00177920">
      <w:pPr>
        <w:pStyle w:val="BodyText"/>
        <w:numPr>
          <w:ilvl w:val="1"/>
          <w:numId w:val="5"/>
        </w:numPr>
        <w:tabs>
          <w:tab w:val="clear" w:pos="1440"/>
          <w:tab w:val="num" w:pos="1134"/>
        </w:tabs>
        <w:ind w:left="1134" w:hanging="567"/>
      </w:pPr>
      <w:r>
        <w:rPr>
          <w:rStyle w:val="StyleBodyText13ptCharCharChar"/>
          <w:b/>
          <w:szCs w:val="24"/>
        </w:rPr>
        <w:t xml:space="preserve">general </w:t>
      </w:r>
      <w:r w:rsidR="00835F0E" w:rsidRPr="001F7C0C">
        <w:rPr>
          <w:rStyle w:val="StyleBodyText13ptCharCharChar"/>
          <w:b/>
          <w:szCs w:val="24"/>
        </w:rPr>
        <w:t>insurer</w:t>
      </w:r>
      <w:r>
        <w:rPr>
          <w:rStyle w:val="StyleBodyText13ptCharCharChar"/>
          <w:szCs w:val="24"/>
        </w:rPr>
        <w:t xml:space="preserve"> authorised under the Act (</w:t>
      </w:r>
      <w:r>
        <w:rPr>
          <w:rStyle w:val="StyleBodyText13ptCharCharChar"/>
          <w:b/>
          <w:szCs w:val="24"/>
        </w:rPr>
        <w:t>insurer</w:t>
      </w:r>
      <w:r>
        <w:rPr>
          <w:rStyle w:val="StyleBodyText13ptCharCharChar"/>
          <w:szCs w:val="24"/>
        </w:rPr>
        <w:t>)</w:t>
      </w:r>
      <w:r w:rsidR="00835F0E">
        <w:t>; and</w:t>
      </w:r>
    </w:p>
    <w:p w:rsidR="00835F0E" w:rsidRDefault="00130A4D" w:rsidP="00177920">
      <w:pPr>
        <w:pStyle w:val="BodyText"/>
        <w:numPr>
          <w:ilvl w:val="1"/>
          <w:numId w:val="5"/>
        </w:numPr>
        <w:tabs>
          <w:tab w:val="clear" w:pos="1440"/>
          <w:tab w:val="num" w:pos="1134"/>
        </w:tabs>
        <w:ind w:left="1134" w:hanging="567"/>
      </w:pPr>
      <w:r>
        <w:rPr>
          <w:b/>
        </w:rPr>
        <w:t xml:space="preserve">Level 2 insurance group </w:t>
      </w:r>
      <w:r>
        <w:t xml:space="preserve">as defined in </w:t>
      </w:r>
      <w:r>
        <w:rPr>
          <w:i/>
        </w:rPr>
        <w:t>Prudential Standard GPS 001</w:t>
      </w:r>
      <w:r w:rsidR="00254597">
        <w:rPr>
          <w:i/>
        </w:rPr>
        <w:t xml:space="preserve"> Definitions</w:t>
      </w:r>
      <w:r w:rsidR="00275541">
        <w:rPr>
          <w:i/>
        </w:rPr>
        <w:t xml:space="preserve"> </w:t>
      </w:r>
      <w:r>
        <w:t>(</w:t>
      </w:r>
      <w:r w:rsidRPr="00C66B39">
        <w:t>GPS</w:t>
      </w:r>
      <w:r w:rsidR="00275541" w:rsidRPr="00C66B39">
        <w:t xml:space="preserve"> </w:t>
      </w:r>
      <w:r w:rsidRPr="00C66B39">
        <w:t>001</w:t>
      </w:r>
      <w:r>
        <w:t xml:space="preserve">). </w:t>
      </w:r>
    </w:p>
    <w:p w:rsidR="00130A4D" w:rsidRPr="00130A4D" w:rsidRDefault="00130A4D" w:rsidP="0041445E">
      <w:pPr>
        <w:pStyle w:val="BodyText"/>
        <w:numPr>
          <w:ilvl w:val="0"/>
          <w:numId w:val="0"/>
        </w:numPr>
        <w:ind w:left="567"/>
      </w:pPr>
      <w:r>
        <w:t xml:space="preserve">Where a requirement applies to a Level 2 insurance group, the requirement is imposed on the </w:t>
      </w:r>
      <w:r>
        <w:rPr>
          <w:b/>
        </w:rPr>
        <w:t>parent entity</w:t>
      </w:r>
      <w:r>
        <w:t xml:space="preserve"> of the Level 2 insurance group.</w:t>
      </w:r>
    </w:p>
    <w:p w:rsidR="00C96A2B" w:rsidRDefault="00275541" w:rsidP="0041445E">
      <w:pPr>
        <w:pStyle w:val="BodyText"/>
      </w:pPr>
      <w:r>
        <w:t>T</w:t>
      </w:r>
      <w:r w:rsidR="00ED61F0">
        <w:t>his Prudential Standard</w:t>
      </w:r>
      <w:r w:rsidR="00972593">
        <w:t xml:space="preserve"> </w:t>
      </w:r>
      <w:r w:rsidR="008C2DDC" w:rsidRPr="008C2DDC">
        <w:t>applies</w:t>
      </w:r>
      <w:r w:rsidR="00ED61F0">
        <w:t xml:space="preserve"> to insurers and Level 2 insurance groups (</w:t>
      </w:r>
      <w:r w:rsidR="00ED61F0" w:rsidRPr="00ED61F0">
        <w:rPr>
          <w:b/>
        </w:rPr>
        <w:t>regulated institutions</w:t>
      </w:r>
      <w:r w:rsidR="00ED61F0">
        <w:t xml:space="preserve">) </w:t>
      </w:r>
      <w:r w:rsidR="006143C2">
        <w:t>who apply to APRA for approval</w:t>
      </w:r>
      <w:r w:rsidR="00B82B7F">
        <w:t>,</w:t>
      </w:r>
      <w:r w:rsidR="00AA0D29">
        <w:rPr>
          <w:rStyle w:val="FootnoteReference"/>
        </w:rPr>
        <w:footnoteReference w:id="1"/>
      </w:r>
      <w:r w:rsidR="00B82B7F">
        <w:t xml:space="preserve"> or already have approval</w:t>
      </w:r>
      <w:r w:rsidR="006143C2">
        <w:t xml:space="preserve"> to use the </w:t>
      </w:r>
      <w:r w:rsidR="006143C2" w:rsidRPr="00281785">
        <w:rPr>
          <w:b/>
        </w:rPr>
        <w:t>Internal Model-based Method</w:t>
      </w:r>
      <w:r w:rsidR="006143C2">
        <w:t xml:space="preserve"> (</w:t>
      </w:r>
      <w:r w:rsidR="006143C2" w:rsidRPr="00C66B39">
        <w:t>IMB Method</w:t>
      </w:r>
      <w:r w:rsidR="006143C2">
        <w:t xml:space="preserve">) to determine the </w:t>
      </w:r>
      <w:r w:rsidR="007B6982">
        <w:rPr>
          <w:b/>
        </w:rPr>
        <w:t>prescribed</w:t>
      </w:r>
      <w:r w:rsidR="00281785" w:rsidRPr="00275541">
        <w:rPr>
          <w:b/>
        </w:rPr>
        <w:t xml:space="preserve"> capital amount</w:t>
      </w:r>
      <w:r w:rsidR="00281785">
        <w:t xml:space="preserve"> </w:t>
      </w:r>
      <w:r w:rsidR="006143C2">
        <w:t xml:space="preserve">in accordance with </w:t>
      </w:r>
      <w:r w:rsidR="006143C2">
        <w:rPr>
          <w:i/>
        </w:rPr>
        <w:t xml:space="preserve">Prudential Standard GPS 110 Capital </w:t>
      </w:r>
      <w:r w:rsidR="006143C2" w:rsidRPr="008C2DDC">
        <w:rPr>
          <w:i/>
        </w:rPr>
        <w:t>Adequacy</w:t>
      </w:r>
      <w:r w:rsidR="006143C2">
        <w:t xml:space="preserve"> </w:t>
      </w:r>
      <w:r w:rsidR="00281785">
        <w:t>(</w:t>
      </w:r>
      <w:r w:rsidR="00281785" w:rsidRPr="00C66B39">
        <w:t>GPS 110</w:t>
      </w:r>
      <w:r w:rsidR="00281785" w:rsidRPr="00281785">
        <w:t>)</w:t>
      </w:r>
      <w:r w:rsidR="00C96A2B">
        <w:t>.</w:t>
      </w:r>
      <w:r w:rsidR="000C477A" w:rsidDel="000C477A">
        <w:rPr>
          <w:rStyle w:val="FootnoteReference"/>
        </w:rPr>
        <w:t xml:space="preserve"> </w:t>
      </w:r>
    </w:p>
    <w:p w:rsidR="00195393" w:rsidRDefault="00AA0D29" w:rsidP="0041445E">
      <w:pPr>
        <w:pStyle w:val="BodyText"/>
      </w:pPr>
      <w:r>
        <w:t>This</w:t>
      </w:r>
      <w:r w:rsidR="00C96A2B">
        <w:t xml:space="preserve"> Prudential Standard applies to the aforementioned regulated institutio</w:t>
      </w:r>
      <w:r w:rsidR="00C96A2B" w:rsidRPr="000C477A">
        <w:t xml:space="preserve">ns from 1 January </w:t>
      </w:r>
      <w:r w:rsidR="00533E59">
        <w:t>2015</w:t>
      </w:r>
      <w:r w:rsidR="00C96A2B">
        <w:t>.</w:t>
      </w:r>
    </w:p>
    <w:p w:rsidR="00195393" w:rsidRPr="000C477A" w:rsidRDefault="00195393" w:rsidP="0041445E">
      <w:pPr>
        <w:pStyle w:val="BodyText"/>
      </w:pPr>
      <w:r>
        <w:t>A regulated institution</w:t>
      </w:r>
      <w:r w:rsidRPr="004B1B9B">
        <w:t xml:space="preserve"> that chooses to apply for ap</w:t>
      </w:r>
      <w:r w:rsidRPr="000C477A">
        <w:t>proval to use the IMB Metho</w:t>
      </w:r>
      <w:r w:rsidRPr="004B1B9B">
        <w:t xml:space="preserve">d </w:t>
      </w:r>
      <w:r w:rsidRPr="000C477A">
        <w:t>must compl</w:t>
      </w:r>
      <w:r w:rsidRPr="004B1B9B">
        <w:t>y with this Prudent</w:t>
      </w:r>
      <w:r w:rsidRPr="000C477A">
        <w:t>ial Standard</w:t>
      </w:r>
      <w:r w:rsidR="007B6982" w:rsidRPr="000C477A">
        <w:t>,</w:t>
      </w:r>
      <w:r w:rsidRPr="000C477A">
        <w:t xml:space="preserve"> and continu</w:t>
      </w:r>
      <w:r w:rsidRPr="004B1B9B">
        <w:t xml:space="preserve">e to comply with </w:t>
      </w:r>
      <w:smartTag w:uri="urn:schemas-microsoft-com:office:smarttags" w:element="date">
        <w:r w:rsidRPr="004B1B9B">
          <w:t>GPS</w:t>
        </w:r>
      </w:smartTag>
      <w:r w:rsidRPr="000C477A">
        <w:t xml:space="preserve"> 110 at all times.  </w:t>
      </w:r>
    </w:p>
    <w:p w:rsidR="00835F0E" w:rsidRPr="000C477A" w:rsidRDefault="00835F0E" w:rsidP="00835F0E">
      <w:pPr>
        <w:pStyle w:val="Heading3"/>
        <w:keepLines/>
        <w:spacing w:before="120" w:after="240"/>
        <w:jc w:val="both"/>
        <w:rPr>
          <w:rFonts w:cs="Times New Roman"/>
          <w:bCs w:val="0"/>
          <w:snapToGrid w:val="0"/>
          <w:sz w:val="24"/>
          <w:szCs w:val="24"/>
          <w:lang w:eastAsia="en-US"/>
        </w:rPr>
      </w:pPr>
      <w:r w:rsidRPr="000C477A">
        <w:rPr>
          <w:rFonts w:cs="Times New Roman"/>
          <w:bCs w:val="0"/>
          <w:snapToGrid w:val="0"/>
          <w:sz w:val="24"/>
          <w:szCs w:val="24"/>
          <w:lang w:eastAsia="en-US"/>
        </w:rPr>
        <w:t>Interpretation</w:t>
      </w:r>
    </w:p>
    <w:p w:rsidR="00835F0E" w:rsidRPr="003527D2" w:rsidRDefault="00B8375E" w:rsidP="0041445E">
      <w:pPr>
        <w:pStyle w:val="BodyText"/>
      </w:pPr>
      <w:r>
        <w:t>Terms that are</w:t>
      </w:r>
      <w:r w:rsidR="00835F0E" w:rsidRPr="000C477A">
        <w:t xml:space="preserve"> </w:t>
      </w:r>
      <w:r w:rsidR="00835F0E" w:rsidRPr="003527D2">
        <w:t xml:space="preserve">defined in </w:t>
      </w:r>
      <w:r w:rsidR="00281785">
        <w:t>GPS 001</w:t>
      </w:r>
      <w:r>
        <w:t xml:space="preserve"> appear in bold the first time they are used in this Prudential Standard</w:t>
      </w:r>
      <w:r w:rsidR="00835F0E" w:rsidRPr="003527D2">
        <w:t xml:space="preserve">. </w:t>
      </w:r>
    </w:p>
    <w:p w:rsidR="00835F0E" w:rsidRPr="00154600" w:rsidRDefault="00835F0E" w:rsidP="0041445E">
      <w:pPr>
        <w:pStyle w:val="BodyText"/>
      </w:pPr>
      <w:r w:rsidRPr="00154600">
        <w:t>For the purposes of</w:t>
      </w:r>
      <w:r w:rsidRPr="000C477A">
        <w:t xml:space="preserve"> this Prudenti</w:t>
      </w:r>
      <w:r w:rsidRPr="00154600">
        <w:t>al Standard:</w:t>
      </w:r>
    </w:p>
    <w:p w:rsidR="00835F0E" w:rsidRPr="00154600" w:rsidRDefault="00225690" w:rsidP="001C0E0F">
      <w:pPr>
        <w:pStyle w:val="BodyText"/>
        <w:numPr>
          <w:ilvl w:val="0"/>
          <w:numId w:val="6"/>
        </w:numPr>
        <w:tabs>
          <w:tab w:val="clear" w:pos="1440"/>
          <w:tab w:val="num" w:pos="1134"/>
        </w:tabs>
        <w:ind w:left="1134" w:hanging="567"/>
      </w:pPr>
      <w:r>
        <w:t>‘</w:t>
      </w:r>
      <w:r w:rsidR="00835F0E" w:rsidRPr="00154600">
        <w:t xml:space="preserve">Economic </w:t>
      </w:r>
      <w:r w:rsidR="00263EC2">
        <w:t>C</w:t>
      </w:r>
      <w:r w:rsidR="00835F0E">
        <w:t xml:space="preserve">apital </w:t>
      </w:r>
      <w:r w:rsidR="00263EC2">
        <w:t>M</w:t>
      </w:r>
      <w:r w:rsidR="00835F0E" w:rsidRPr="00154600">
        <w:t>odel</w:t>
      </w:r>
      <w:r>
        <w:t>’</w:t>
      </w:r>
      <w:r w:rsidR="00835F0E" w:rsidRPr="00154600">
        <w:t xml:space="preserve"> (</w:t>
      </w:r>
      <w:r w:rsidR="00835F0E" w:rsidRPr="00A024D1">
        <w:t>ECM</w:t>
      </w:r>
      <w:r w:rsidR="00835F0E" w:rsidRPr="00154600">
        <w:t xml:space="preserve">) means the internal capital measurement model developed </w:t>
      </w:r>
      <w:r w:rsidR="00835F0E">
        <w:t xml:space="preserve">for </w:t>
      </w:r>
      <w:r w:rsidR="00195393">
        <w:t>a regulated institution’s</w:t>
      </w:r>
      <w:r w:rsidR="00835F0E">
        <w:t xml:space="preserve"> own </w:t>
      </w:r>
      <w:r w:rsidR="00835F0E" w:rsidRPr="00154600">
        <w:t>purposes</w:t>
      </w:r>
      <w:r w:rsidR="00835F0E">
        <w:t xml:space="preserve">; </w:t>
      </w:r>
    </w:p>
    <w:p w:rsidR="00835F0E" w:rsidRDefault="00225690" w:rsidP="001C0E0F">
      <w:pPr>
        <w:pStyle w:val="BodyText"/>
        <w:numPr>
          <w:ilvl w:val="0"/>
          <w:numId w:val="6"/>
        </w:numPr>
        <w:tabs>
          <w:tab w:val="clear" w:pos="1440"/>
          <w:tab w:val="num" w:pos="1134"/>
        </w:tabs>
        <w:ind w:left="1134" w:hanging="567"/>
      </w:pPr>
      <w:r>
        <w:t>‘</w:t>
      </w:r>
      <w:r w:rsidR="00835F0E" w:rsidRPr="00154600">
        <w:t xml:space="preserve">Regulatory </w:t>
      </w:r>
      <w:r w:rsidR="00263EC2">
        <w:t>C</w:t>
      </w:r>
      <w:r w:rsidR="00835F0E">
        <w:t xml:space="preserve">apital </w:t>
      </w:r>
      <w:r w:rsidR="00263EC2">
        <w:t>M</w:t>
      </w:r>
      <w:r w:rsidR="00835F0E" w:rsidRPr="00154600">
        <w:t>odel</w:t>
      </w:r>
      <w:r>
        <w:t>’</w:t>
      </w:r>
      <w:r w:rsidR="00835F0E" w:rsidRPr="00154600">
        <w:t xml:space="preserve"> (</w:t>
      </w:r>
      <w:r w:rsidR="00835F0E" w:rsidRPr="00A024D1">
        <w:t>RCM</w:t>
      </w:r>
      <w:r w:rsidR="00835F0E" w:rsidRPr="00154600">
        <w:t xml:space="preserve">) means the particular implementation and application of the ECM that is </w:t>
      </w:r>
      <w:r w:rsidR="00835F0E">
        <w:t>to be used for the purpose of</w:t>
      </w:r>
      <w:r w:rsidR="00835F0E" w:rsidRPr="00154600">
        <w:t xml:space="preserve"> determin</w:t>
      </w:r>
      <w:r w:rsidR="00835F0E">
        <w:t>ing</w:t>
      </w:r>
      <w:r w:rsidR="00835F0E" w:rsidRPr="00154600">
        <w:t xml:space="preserve"> the </w:t>
      </w:r>
      <w:r w:rsidR="007B6982">
        <w:t>prescribed</w:t>
      </w:r>
      <w:r w:rsidR="00195393">
        <w:t xml:space="preserve"> capital amount </w:t>
      </w:r>
      <w:r w:rsidR="00835F0E">
        <w:t>using the IMB Method;</w:t>
      </w:r>
      <w:r w:rsidR="00066A62">
        <w:t xml:space="preserve"> and</w:t>
      </w:r>
    </w:p>
    <w:p w:rsidR="00835F0E" w:rsidRDefault="008814B7" w:rsidP="001C0E0F">
      <w:pPr>
        <w:pStyle w:val="BodyText"/>
        <w:numPr>
          <w:ilvl w:val="0"/>
          <w:numId w:val="6"/>
        </w:numPr>
        <w:tabs>
          <w:tab w:val="clear" w:pos="1440"/>
          <w:tab w:val="num" w:pos="1134"/>
        </w:tabs>
        <w:ind w:left="1134" w:hanging="567"/>
      </w:pPr>
      <w:r>
        <w:br w:type="page"/>
      </w:r>
      <w:r w:rsidR="00835F0E">
        <w:lastRenderedPageBreak/>
        <w:t xml:space="preserve">A </w:t>
      </w:r>
      <w:r w:rsidR="00682674">
        <w:t>‘</w:t>
      </w:r>
      <w:r w:rsidR="00835F0E" w:rsidRPr="00682674">
        <w:t>business segment</w:t>
      </w:r>
      <w:r w:rsidR="00682674">
        <w:t>’</w:t>
      </w:r>
      <w:r w:rsidR="00835F0E">
        <w:t xml:space="preserve"> is any part of the insurance business for which:</w:t>
      </w:r>
    </w:p>
    <w:p w:rsidR="00835F0E" w:rsidRDefault="00835F0E" w:rsidP="001C0E0F">
      <w:pPr>
        <w:pStyle w:val="BodyText"/>
        <w:numPr>
          <w:ilvl w:val="0"/>
          <w:numId w:val="0"/>
        </w:numPr>
        <w:ind w:left="1701" w:hanging="567"/>
      </w:pPr>
      <w:r>
        <w:t>(</w:t>
      </w:r>
      <w:proofErr w:type="spellStart"/>
      <w:r>
        <w:t>i</w:t>
      </w:r>
      <w:proofErr w:type="spellEnd"/>
      <w:r>
        <w:t>)</w:t>
      </w:r>
      <w:r>
        <w:tab/>
        <w:t>if the segment is covered by the ECM, both the method of modelling underwriting and reserving risk and the outcomes from the modelling are separately identifiable for that segment; and</w:t>
      </w:r>
    </w:p>
    <w:p w:rsidR="00835F0E" w:rsidRDefault="00835F0E" w:rsidP="001C0E0F">
      <w:pPr>
        <w:pStyle w:val="BodyText"/>
        <w:numPr>
          <w:ilvl w:val="0"/>
          <w:numId w:val="0"/>
        </w:numPr>
        <w:ind w:left="1701" w:hanging="567"/>
      </w:pPr>
      <w:r>
        <w:t>(ii)</w:t>
      </w:r>
      <w:r>
        <w:tab/>
        <w:t xml:space="preserve">if the segment is not covered by the ECM, the means of determining its overall contribution to the </w:t>
      </w:r>
      <w:r w:rsidR="00195393">
        <w:t>p</w:t>
      </w:r>
      <w:r w:rsidR="007B6982">
        <w:t>rescribed</w:t>
      </w:r>
      <w:r w:rsidR="00195393">
        <w:t xml:space="preserve"> capital amount</w:t>
      </w:r>
      <w:r>
        <w:t>, and the amount of that contribution, are separately identifiable.</w:t>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 xml:space="preserve">Internal Model-based Method </w:t>
      </w:r>
    </w:p>
    <w:p w:rsidR="00835F0E" w:rsidRPr="00154600" w:rsidRDefault="00835F0E" w:rsidP="0041445E">
      <w:pPr>
        <w:pStyle w:val="BodyText"/>
      </w:pPr>
      <w:r w:rsidRPr="00154600">
        <w:t>The IMB Method is intended to allow a</w:t>
      </w:r>
      <w:r w:rsidR="00195393">
        <w:t xml:space="preserve"> regulated institution</w:t>
      </w:r>
      <w:r w:rsidRPr="00154600">
        <w:t xml:space="preserve"> to </w:t>
      </w:r>
      <w:r>
        <w:t xml:space="preserve">have </w:t>
      </w:r>
      <w:r w:rsidRPr="00154600">
        <w:t xml:space="preserve">its </w:t>
      </w:r>
      <w:r w:rsidR="007B6982">
        <w:t>prescribed</w:t>
      </w:r>
      <w:r w:rsidR="00195393">
        <w:t xml:space="preserve"> capital amount</w:t>
      </w:r>
      <w:r w:rsidRPr="00154600">
        <w:t xml:space="preserve"> </w:t>
      </w:r>
      <w:r>
        <w:t xml:space="preserve">determined </w:t>
      </w:r>
      <w:r w:rsidRPr="00154600">
        <w:t>based on its own ECM. The underlying purpose of allowing</w:t>
      </w:r>
      <w:r>
        <w:t xml:space="preserve"> </w:t>
      </w:r>
      <w:r w:rsidRPr="00154600">
        <w:t>a</w:t>
      </w:r>
      <w:r w:rsidR="00195393">
        <w:t xml:space="preserve"> regulated institution</w:t>
      </w:r>
      <w:r w:rsidRPr="00154600">
        <w:t xml:space="preserve"> to use the IMB Method is to have regulatory capital requirements that better reflect the nature and extent of risks in the </w:t>
      </w:r>
      <w:r w:rsidR="00195393">
        <w:t>regulated institution</w:t>
      </w:r>
      <w:r w:rsidRPr="00154600">
        <w:t>’s particular business structure and business mix</w:t>
      </w:r>
      <w:r>
        <w:t>.</w:t>
      </w:r>
      <w:r w:rsidRPr="00154600">
        <w:t xml:space="preserve">       </w:t>
      </w:r>
    </w:p>
    <w:p w:rsidR="00835F0E" w:rsidRDefault="00835F0E" w:rsidP="0041445E">
      <w:pPr>
        <w:pStyle w:val="BodyText"/>
      </w:pPr>
      <w:r w:rsidRPr="003527D2">
        <w:t xml:space="preserve">There is no prescribed form or structure for a </w:t>
      </w:r>
      <w:r w:rsidR="00DB7557">
        <w:t>regulated institution</w:t>
      </w:r>
      <w:r w:rsidR="00DB7557" w:rsidRPr="003527D2">
        <w:t xml:space="preserve">’s </w:t>
      </w:r>
      <w:r>
        <w:t>ECM</w:t>
      </w:r>
      <w:r w:rsidRPr="003527D2">
        <w:t>. E</w:t>
      </w:r>
      <w:r>
        <w:t>ach</w:t>
      </w:r>
      <w:r w:rsidRPr="003527D2">
        <w:t xml:space="preserve"> </w:t>
      </w:r>
      <w:r w:rsidR="00195393">
        <w:t>regulated institution</w:t>
      </w:r>
      <w:r w:rsidRPr="003527D2">
        <w:t xml:space="preserve"> has the flexibility to develop a model that is suited to its business, </w:t>
      </w:r>
      <w:r>
        <w:t>and to use the ECM in the way it chooses. T</w:t>
      </w:r>
      <w:r w:rsidRPr="003527D2">
        <w:t xml:space="preserve">he manner in which the </w:t>
      </w:r>
      <w:r>
        <w:t>ECM</w:t>
      </w:r>
      <w:r w:rsidRPr="003527D2">
        <w:t xml:space="preserve"> is used </w:t>
      </w:r>
      <w:r>
        <w:t xml:space="preserve">as part of the RCM </w:t>
      </w:r>
      <w:r w:rsidRPr="003527D2">
        <w:t xml:space="preserve">to determine the </w:t>
      </w:r>
      <w:r w:rsidR="007B6982">
        <w:t>prescribed</w:t>
      </w:r>
      <w:r w:rsidR="00195393">
        <w:t xml:space="preserve"> capital amount</w:t>
      </w:r>
      <w:r w:rsidRPr="003527D2">
        <w:t xml:space="preserve"> </w:t>
      </w:r>
      <w:r>
        <w:t>is likely to</w:t>
      </w:r>
      <w:r w:rsidRPr="003527D2">
        <w:t xml:space="preserve"> vary from </w:t>
      </w:r>
      <w:r>
        <w:t>the</w:t>
      </w:r>
      <w:r w:rsidRPr="003527D2">
        <w:t xml:space="preserve"> use </w:t>
      </w:r>
      <w:r>
        <w:t xml:space="preserve">of the ECM </w:t>
      </w:r>
      <w:r w:rsidRPr="003527D2">
        <w:t xml:space="preserve">by the </w:t>
      </w:r>
      <w:r w:rsidR="00195393">
        <w:t>regulated institution</w:t>
      </w:r>
      <w:r>
        <w:t xml:space="preserve"> for its own risk and capital management purposes.</w:t>
      </w:r>
      <w:r w:rsidRPr="003527D2">
        <w:t xml:space="preserve">  </w:t>
      </w:r>
    </w:p>
    <w:p w:rsidR="00835F0E" w:rsidRPr="003527D2" w:rsidRDefault="00835F0E" w:rsidP="0041445E">
      <w:pPr>
        <w:pStyle w:val="BodyText"/>
      </w:pPr>
      <w:r>
        <w:t xml:space="preserve">The ECM </w:t>
      </w:r>
      <w:r w:rsidRPr="00900ADF">
        <w:t>and RCM</w:t>
      </w:r>
      <w:r>
        <w:t xml:space="preserve"> must</w:t>
      </w:r>
      <w:r w:rsidRPr="003527D2">
        <w:t xml:space="preserve"> meet the criteria </w:t>
      </w:r>
      <w:r>
        <w:t xml:space="preserve">specified </w:t>
      </w:r>
      <w:r w:rsidRPr="003527D2">
        <w:t>in this</w:t>
      </w:r>
      <w:r w:rsidR="004951A2">
        <w:t xml:space="preserve"> Prudential</w:t>
      </w:r>
      <w:r w:rsidRPr="003527D2">
        <w:t xml:space="preserve"> </w:t>
      </w:r>
      <w:r>
        <w:t>S</w:t>
      </w:r>
      <w:r w:rsidRPr="003527D2">
        <w:t xml:space="preserve">tandard and </w:t>
      </w:r>
      <w:r>
        <w:t>the RCM must be</w:t>
      </w:r>
      <w:r w:rsidRPr="003527D2">
        <w:t xml:space="preserve"> approved by APRA</w:t>
      </w:r>
      <w:r>
        <w:t xml:space="preserve"> before it can be used for the purpose of determining the </w:t>
      </w:r>
      <w:r w:rsidR="00195393">
        <w:t>regulated institution</w:t>
      </w:r>
      <w:r>
        <w:t xml:space="preserve">’s </w:t>
      </w:r>
      <w:r w:rsidR="00195393">
        <w:t>p</w:t>
      </w:r>
      <w:r w:rsidR="007B6982">
        <w:t>rescribed</w:t>
      </w:r>
      <w:r w:rsidR="00195393">
        <w:t xml:space="preserve"> capital amount</w:t>
      </w:r>
      <w:r w:rsidRPr="003527D2">
        <w:t>.</w:t>
      </w:r>
      <w:r w:rsidRPr="006D6BD9">
        <w:t xml:space="preserve"> </w:t>
      </w:r>
      <w:r>
        <w:t xml:space="preserve">Paragraph </w:t>
      </w:r>
      <w:r w:rsidR="0023643D">
        <w:fldChar w:fldCharType="begin"/>
      </w:r>
      <w:r w:rsidR="0023643D">
        <w:instrText xml:space="preserve"> REF _Ref209505831 \r \h </w:instrText>
      </w:r>
      <w:r w:rsidR="0023643D">
        <w:fldChar w:fldCharType="separate"/>
      </w:r>
      <w:r w:rsidR="006F4784">
        <w:t>30</w:t>
      </w:r>
      <w:r w:rsidR="0023643D">
        <w:fldChar w:fldCharType="end"/>
      </w:r>
      <w:r w:rsidR="0023643D">
        <w:t xml:space="preserve"> </w:t>
      </w:r>
      <w:r>
        <w:t>specifies the matters to be included in the RCM.</w:t>
      </w:r>
    </w:p>
    <w:p w:rsidR="00835F0E" w:rsidRDefault="00835F0E" w:rsidP="0041445E">
      <w:pPr>
        <w:pStyle w:val="BodyText"/>
      </w:pPr>
      <w:r>
        <w:t>APRA will not provide approval for use of the IMB Method unless a</w:t>
      </w:r>
      <w:r w:rsidR="00C708FF">
        <w:t xml:space="preserve"> regulated institution</w:t>
      </w:r>
      <w:r>
        <w:t xml:space="preserve"> has and maintains an </w:t>
      </w:r>
      <w:r w:rsidRPr="003527D2">
        <w:t>advanced and stable approach to risk management. APRA will make an assessment o</w:t>
      </w:r>
      <w:r>
        <w:t xml:space="preserve">f the </w:t>
      </w:r>
      <w:r w:rsidR="00DB7557">
        <w:t xml:space="preserve">regulated </w:t>
      </w:r>
      <w:r w:rsidR="00C02A72">
        <w:t>institution’s</w:t>
      </w:r>
      <w:r w:rsidR="00DB7557">
        <w:t xml:space="preserve"> </w:t>
      </w:r>
      <w:r>
        <w:t>approach to risk management</w:t>
      </w:r>
      <w:r w:rsidRPr="003527D2">
        <w:t xml:space="preserve"> </w:t>
      </w:r>
      <w:r>
        <w:t xml:space="preserve">at the time of application under this </w:t>
      </w:r>
      <w:r w:rsidR="00C02A72">
        <w:t xml:space="preserve">Prudential </w:t>
      </w:r>
      <w:r>
        <w:t xml:space="preserve">Standard and on subsequent review of the RCM. This assessment will be </w:t>
      </w:r>
      <w:r w:rsidRPr="003527D2">
        <w:t xml:space="preserve">based on information provided </w:t>
      </w:r>
      <w:r>
        <w:t>as part</w:t>
      </w:r>
      <w:r w:rsidRPr="003527D2">
        <w:t xml:space="preserve"> of </w:t>
      </w:r>
      <w:r>
        <w:t>the</w:t>
      </w:r>
      <w:r w:rsidRPr="003527D2">
        <w:t xml:space="preserve"> application</w:t>
      </w:r>
      <w:r>
        <w:t xml:space="preserve"> under this </w:t>
      </w:r>
      <w:r w:rsidR="00C02A72">
        <w:t xml:space="preserve">Prudential </w:t>
      </w:r>
      <w:r>
        <w:t>Standard</w:t>
      </w:r>
      <w:r w:rsidRPr="003527D2">
        <w:t xml:space="preserve">, as well as the </w:t>
      </w:r>
      <w:r>
        <w:t xml:space="preserve">information available through APRA’s </w:t>
      </w:r>
      <w:r w:rsidRPr="003527D2">
        <w:t>normal supervisory processes</w:t>
      </w:r>
      <w:r w:rsidR="00E3402E">
        <w:t xml:space="preserve">, including the regulated institution’s </w:t>
      </w:r>
      <w:r w:rsidR="00E3402E" w:rsidRPr="00FC2B14">
        <w:rPr>
          <w:b/>
        </w:rPr>
        <w:t>business plan</w:t>
      </w:r>
      <w:r w:rsidRPr="003527D2">
        <w:t>.</w:t>
      </w:r>
      <w:r w:rsidR="00225690" w:rsidRPr="00FE444F">
        <w:rPr>
          <w:rStyle w:val="FootnoteReference"/>
          <w:szCs w:val="24"/>
        </w:rPr>
        <w:footnoteReference w:id="2"/>
      </w:r>
      <w:r w:rsidRPr="00845457">
        <w:t xml:space="preserve"> </w:t>
      </w:r>
    </w:p>
    <w:p w:rsidR="00835F0E" w:rsidRPr="00FE444F" w:rsidRDefault="00835F0E" w:rsidP="0041445E">
      <w:pPr>
        <w:pStyle w:val="BodyText"/>
      </w:pPr>
      <w:r w:rsidRPr="00FE444F">
        <w:t>APRA will not provide approval for use of the IMB Method unless a</w:t>
      </w:r>
      <w:r w:rsidR="00C708FF" w:rsidRPr="00FE444F">
        <w:t xml:space="preserve"> regulated institution</w:t>
      </w:r>
      <w:r w:rsidRPr="00FE444F">
        <w:t xml:space="preserve"> has and maintains a prudent approach to capital management</w:t>
      </w:r>
      <w:r w:rsidR="001B668D" w:rsidRPr="00FE444F">
        <w:t xml:space="preserve">, as </w:t>
      </w:r>
      <w:r w:rsidR="002B45B8" w:rsidRPr="00FE444F">
        <w:t>demonstrated</w:t>
      </w:r>
      <w:r w:rsidR="001B668D" w:rsidRPr="00FE444F">
        <w:t xml:space="preserve"> through the </w:t>
      </w:r>
      <w:r w:rsidR="002B45B8" w:rsidRPr="00FE444F">
        <w:t xml:space="preserve">regulated institution’s </w:t>
      </w:r>
      <w:r w:rsidR="001B668D" w:rsidRPr="00FE444F">
        <w:rPr>
          <w:b/>
        </w:rPr>
        <w:t>Internal Capital Adequacy Assessment Process</w:t>
      </w:r>
      <w:r w:rsidR="001B668D" w:rsidRPr="00FE444F">
        <w:t xml:space="preserve"> (</w:t>
      </w:r>
      <w:r w:rsidR="001B668D" w:rsidRPr="00682674">
        <w:t>ICAAP</w:t>
      </w:r>
      <w:r w:rsidR="001B668D" w:rsidRPr="00FE444F">
        <w:t>)</w:t>
      </w:r>
      <w:r w:rsidRPr="00FE444F">
        <w:t xml:space="preserve">. APRA will make an assessment of the adequacy of the </w:t>
      </w:r>
      <w:r w:rsidR="00C708FF" w:rsidRPr="00FE444F">
        <w:t xml:space="preserve">regulated institution’s </w:t>
      </w:r>
      <w:r w:rsidRPr="00FE444F">
        <w:t>approach to capital management, including target capital,</w:t>
      </w:r>
      <w:r w:rsidR="002148DF" w:rsidRPr="00FE444F">
        <w:t xml:space="preserve"> as demonstrated in the </w:t>
      </w:r>
      <w:r w:rsidR="00E7242D" w:rsidRPr="00FE444F">
        <w:t>ICAAP</w:t>
      </w:r>
      <w:r w:rsidRPr="00FE444F">
        <w:t xml:space="preserve"> at the time of application under this </w:t>
      </w:r>
      <w:r w:rsidR="00C02A72" w:rsidRPr="00FE444F">
        <w:t xml:space="preserve">Prudential </w:t>
      </w:r>
      <w:r w:rsidRPr="00FE444F">
        <w:t xml:space="preserve">Standard and on subsequent review of the RCM. This assessment will be based on information provided as part of the application under this </w:t>
      </w:r>
      <w:r w:rsidR="00C02A72" w:rsidRPr="00FE444F">
        <w:t xml:space="preserve">Prudential </w:t>
      </w:r>
      <w:r w:rsidRPr="00FE444F">
        <w:t xml:space="preserve">Standard as well as the information available through APRA’s </w:t>
      </w:r>
      <w:r w:rsidRPr="00FE444F">
        <w:lastRenderedPageBreak/>
        <w:t xml:space="preserve">normal supervisory processes, including the </w:t>
      </w:r>
      <w:r w:rsidR="00C708FF" w:rsidRPr="00FE444F">
        <w:t>regulated institution</w:t>
      </w:r>
      <w:r w:rsidRPr="00FE444F">
        <w:t xml:space="preserve">’s business plan. </w:t>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 xml:space="preserve">Quantitative standards </w:t>
      </w:r>
    </w:p>
    <w:p w:rsidR="00835F0E" w:rsidRDefault="00835F0E" w:rsidP="0041445E">
      <w:pPr>
        <w:pStyle w:val="BodyText"/>
      </w:pPr>
      <w:r w:rsidRPr="003527D2">
        <w:t xml:space="preserve">The </w:t>
      </w:r>
      <w:r w:rsidR="00C708FF">
        <w:t>regulated institution</w:t>
      </w:r>
      <w:r w:rsidRPr="003527D2">
        <w:t xml:space="preserve">’s </w:t>
      </w:r>
      <w:r w:rsidR="00C708FF">
        <w:t>pr</w:t>
      </w:r>
      <w:r w:rsidR="007B6982">
        <w:t>escribed</w:t>
      </w:r>
      <w:r w:rsidR="00C708FF">
        <w:t xml:space="preserve"> capital amount</w:t>
      </w:r>
      <w:r w:rsidRPr="003527D2">
        <w:t xml:space="preserve"> must </w:t>
      </w:r>
      <w:r>
        <w:t>be</w:t>
      </w:r>
      <w:r w:rsidRPr="003527D2">
        <w:t xml:space="preserve"> an amount of capital sufficient </w:t>
      </w:r>
      <w:r>
        <w:t>for</w:t>
      </w:r>
      <w:r w:rsidRPr="003527D2">
        <w:t xml:space="preserve"> the </w:t>
      </w:r>
      <w:r w:rsidR="00DB7557">
        <w:t>regulated institution</w:t>
      </w:r>
      <w:r w:rsidR="00DB7557" w:rsidRPr="003527D2">
        <w:t xml:space="preserve">’s </w:t>
      </w:r>
      <w:r w:rsidRPr="003527D2">
        <w:t xml:space="preserve">probability of default to </w:t>
      </w:r>
      <w:r>
        <w:t xml:space="preserve">be </w:t>
      </w:r>
      <w:r w:rsidRPr="003527D2">
        <w:t>0.5</w:t>
      </w:r>
      <w:r>
        <w:t xml:space="preserve"> per cent</w:t>
      </w:r>
      <w:r w:rsidRPr="003527D2">
        <w:t xml:space="preserve"> or </w:t>
      </w:r>
      <w:r>
        <w:t>less</w:t>
      </w:r>
      <w:r w:rsidRPr="003527D2">
        <w:t xml:space="preserve">. </w:t>
      </w:r>
      <w:r>
        <w:t xml:space="preserve">Default means the inability to meet claim payments or other liabilities, excluding liabilities that form part of the </w:t>
      </w:r>
      <w:r w:rsidR="00DB7557">
        <w:t xml:space="preserve">regulated institution’s </w:t>
      </w:r>
      <w:r>
        <w:t xml:space="preserve">capital base, as and when they fall due. </w:t>
      </w:r>
      <w:r w:rsidRPr="003527D2">
        <w:t xml:space="preserve">In </w:t>
      </w:r>
      <w:r>
        <w:t xml:space="preserve">determining the </w:t>
      </w:r>
      <w:r w:rsidR="00C708FF">
        <w:t>pr</w:t>
      </w:r>
      <w:r w:rsidR="007B6982">
        <w:t>escribed</w:t>
      </w:r>
      <w:r w:rsidR="00C708FF">
        <w:t xml:space="preserve"> capital amount</w:t>
      </w:r>
      <w:r>
        <w:t>,</w:t>
      </w:r>
      <w:r w:rsidRPr="003527D2">
        <w:t xml:space="preserve"> the </w:t>
      </w:r>
      <w:r>
        <w:t xml:space="preserve">RCM </w:t>
      </w:r>
      <w:r w:rsidRPr="003527D2">
        <w:t>must</w:t>
      </w:r>
      <w:r>
        <w:t xml:space="preserve"> allow for:</w:t>
      </w:r>
    </w:p>
    <w:p w:rsidR="00835F0E" w:rsidRDefault="00835F0E" w:rsidP="005E2D46">
      <w:pPr>
        <w:pStyle w:val="BodyText"/>
        <w:numPr>
          <w:ilvl w:val="0"/>
          <w:numId w:val="7"/>
        </w:numPr>
        <w:tabs>
          <w:tab w:val="clear" w:pos="1440"/>
          <w:tab w:val="num" w:pos="1134"/>
        </w:tabs>
        <w:ind w:left="1134" w:hanging="567"/>
      </w:pPr>
      <w:r w:rsidRPr="003527D2">
        <w:t xml:space="preserve">business written over </w:t>
      </w:r>
      <w:r>
        <w:t>a</w:t>
      </w:r>
      <w:r w:rsidRPr="003527D2">
        <w:t xml:space="preserve"> one year time horizon</w:t>
      </w:r>
      <w:r>
        <w:t xml:space="preserve">; </w:t>
      </w:r>
    </w:p>
    <w:p w:rsidR="00835F0E" w:rsidRDefault="00835F0E" w:rsidP="005E2D46">
      <w:pPr>
        <w:pStyle w:val="BodyText"/>
        <w:numPr>
          <w:ilvl w:val="0"/>
          <w:numId w:val="7"/>
        </w:numPr>
        <w:tabs>
          <w:tab w:val="clear" w:pos="1440"/>
          <w:tab w:val="num" w:pos="1134"/>
        </w:tabs>
        <w:ind w:left="1134" w:hanging="567"/>
      </w:pPr>
      <w:r w:rsidRPr="003527D2">
        <w:t xml:space="preserve">catastrophe </w:t>
      </w:r>
      <w:r>
        <w:t xml:space="preserve">risk </w:t>
      </w:r>
      <w:r w:rsidRPr="003527D2">
        <w:t>losses</w:t>
      </w:r>
      <w:r>
        <w:t xml:space="preserve"> and operational risk losses occurring over the one year time horizon; and</w:t>
      </w:r>
    </w:p>
    <w:p w:rsidR="00835F0E" w:rsidRDefault="00835F0E" w:rsidP="005E2D46">
      <w:pPr>
        <w:pStyle w:val="BodyText"/>
        <w:numPr>
          <w:ilvl w:val="0"/>
          <w:numId w:val="7"/>
        </w:numPr>
        <w:tabs>
          <w:tab w:val="clear" w:pos="1440"/>
          <w:tab w:val="num" w:pos="1134"/>
        </w:tabs>
        <w:ind w:left="1134" w:hanging="567"/>
      </w:pPr>
      <w:r w:rsidRPr="003527D2">
        <w:t>the run</w:t>
      </w:r>
      <w:r>
        <w:t>-</w:t>
      </w:r>
      <w:r w:rsidRPr="003527D2">
        <w:t xml:space="preserve">off of </w:t>
      </w:r>
      <w:r>
        <w:t xml:space="preserve">underwriting, reserving, credit and market risks </w:t>
      </w:r>
      <w:r w:rsidRPr="003527D2">
        <w:t>to extinction.</w:t>
      </w:r>
    </w:p>
    <w:p w:rsidR="00835F0E" w:rsidRPr="00BF082C" w:rsidRDefault="00835F0E" w:rsidP="00E65D65">
      <w:pPr>
        <w:pStyle w:val="Heading"/>
        <w:tabs>
          <w:tab w:val="num" w:pos="567"/>
        </w:tabs>
        <w:spacing w:after="240"/>
        <w:ind w:left="567"/>
        <w:jc w:val="both"/>
        <w:rPr>
          <w:b w:val="0"/>
          <w:sz w:val="24"/>
          <w:szCs w:val="24"/>
        </w:rPr>
      </w:pPr>
      <w:r>
        <w:rPr>
          <w:b w:val="0"/>
          <w:sz w:val="24"/>
          <w:szCs w:val="24"/>
        </w:rPr>
        <w:t>APRA does not require any specific form or structure for the RCM, provided it is satisfied that the result is no less conservative than that specified in this paragraph. It is possible for the RCM to allow for the items listed above without being structured in precisely that form.</w:t>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Model governance</w:t>
      </w:r>
    </w:p>
    <w:p w:rsidR="00835F0E" w:rsidRPr="003527D2" w:rsidRDefault="00835F0E" w:rsidP="0041445E">
      <w:pPr>
        <w:pStyle w:val="BodyText"/>
      </w:pPr>
      <w:bookmarkStart w:id="2" w:name="_Ref316548915"/>
      <w:bookmarkStart w:id="3" w:name="_Ref507420770"/>
      <w:r w:rsidRPr="003527D2">
        <w:t xml:space="preserve">APRA will </w:t>
      </w:r>
      <w:r>
        <w:t>not provide</w:t>
      </w:r>
      <w:r w:rsidRPr="003527D2">
        <w:t xml:space="preserve"> approval for use </w:t>
      </w:r>
      <w:r>
        <w:t xml:space="preserve">of </w:t>
      </w:r>
      <w:r w:rsidRPr="003527D2">
        <w:t xml:space="preserve">the IMB Method </w:t>
      </w:r>
      <w:r>
        <w:t>unless</w:t>
      </w:r>
      <w:r w:rsidRPr="003527D2">
        <w:t xml:space="preserve"> it is satisfied with the </w:t>
      </w:r>
      <w:r w:rsidR="00C708FF">
        <w:t>regulated institution</w:t>
      </w:r>
      <w:r>
        <w:t xml:space="preserve">’s </w:t>
      </w:r>
      <w:r w:rsidRPr="003527D2">
        <w:t xml:space="preserve">governance arrangements for the </w:t>
      </w:r>
      <w:r>
        <w:t>ECM and RCM</w:t>
      </w:r>
      <w:r w:rsidRPr="003527D2">
        <w:t xml:space="preserve">. Key </w:t>
      </w:r>
      <w:r>
        <w:t>requirements for the</w:t>
      </w:r>
      <w:r w:rsidRPr="003527D2">
        <w:t xml:space="preserve"> governance arrangements </w:t>
      </w:r>
      <w:r>
        <w:t>include</w:t>
      </w:r>
      <w:r w:rsidRPr="003527D2">
        <w:t>:</w:t>
      </w:r>
      <w:bookmarkEnd w:id="2"/>
    </w:p>
    <w:p w:rsidR="00835F0E" w:rsidRPr="003527D2" w:rsidRDefault="00835F0E" w:rsidP="005E2D46">
      <w:pPr>
        <w:pStyle w:val="BodyText"/>
        <w:numPr>
          <w:ilvl w:val="0"/>
          <w:numId w:val="8"/>
        </w:numPr>
        <w:tabs>
          <w:tab w:val="clear" w:pos="454"/>
          <w:tab w:val="num" w:pos="1134"/>
        </w:tabs>
        <w:ind w:left="1134" w:hanging="567"/>
      </w:pPr>
      <w:bookmarkStart w:id="4" w:name="OLE_LINK1"/>
      <w:r>
        <w:t>i</w:t>
      </w:r>
      <w:r w:rsidRPr="003527D2">
        <w:t xml:space="preserve">ntegration of the </w:t>
      </w:r>
      <w:r>
        <w:t>ECM</w:t>
      </w:r>
      <w:r w:rsidR="00FC2B14">
        <w:t xml:space="preserve"> with the </w:t>
      </w:r>
      <w:r w:rsidR="00FC2B14" w:rsidRPr="00FC2B14">
        <w:rPr>
          <w:b/>
        </w:rPr>
        <w:t>risk management f</w:t>
      </w:r>
      <w:r w:rsidRPr="00FC2B14">
        <w:rPr>
          <w:b/>
        </w:rPr>
        <w:t>ramework</w:t>
      </w:r>
      <w:r w:rsidR="00E230AF">
        <w:t xml:space="preserve"> and </w:t>
      </w:r>
      <w:r w:rsidR="001B2BA2">
        <w:t>ICAAP</w:t>
      </w:r>
      <w:r>
        <w:t>;</w:t>
      </w:r>
    </w:p>
    <w:p w:rsidR="00835F0E" w:rsidRPr="003527D2" w:rsidRDefault="00835F0E" w:rsidP="005E2D46">
      <w:pPr>
        <w:pStyle w:val="BodyText"/>
        <w:numPr>
          <w:ilvl w:val="0"/>
          <w:numId w:val="8"/>
        </w:numPr>
        <w:tabs>
          <w:tab w:val="clear" w:pos="454"/>
          <w:tab w:val="num" w:pos="1134"/>
        </w:tabs>
        <w:ind w:left="1134" w:hanging="567"/>
      </w:pPr>
      <w:r>
        <w:t xml:space="preserve">adequate </w:t>
      </w:r>
      <w:r w:rsidRPr="003527D2">
        <w:t>resourcing</w:t>
      </w:r>
      <w:r>
        <w:t>,</w:t>
      </w:r>
      <w:r w:rsidRPr="003527D2">
        <w:t xml:space="preserve"> skills </w:t>
      </w:r>
      <w:r>
        <w:t xml:space="preserve">and objectivity </w:t>
      </w:r>
      <w:r w:rsidRPr="003527D2">
        <w:t xml:space="preserve">of the team </w:t>
      </w:r>
      <w:r>
        <w:t xml:space="preserve">that is </w:t>
      </w:r>
      <w:r w:rsidRPr="003527D2">
        <w:t xml:space="preserve">responsible for the development and review of the </w:t>
      </w:r>
      <w:r>
        <w:t>ECM;</w:t>
      </w:r>
    </w:p>
    <w:p w:rsidR="00835F0E" w:rsidRDefault="00835F0E" w:rsidP="005E2D46">
      <w:pPr>
        <w:pStyle w:val="BodyText"/>
        <w:numPr>
          <w:ilvl w:val="0"/>
          <w:numId w:val="8"/>
        </w:numPr>
        <w:tabs>
          <w:tab w:val="clear" w:pos="454"/>
          <w:tab w:val="num" w:pos="1134"/>
        </w:tabs>
        <w:ind w:left="1134" w:hanging="567"/>
      </w:pPr>
      <w:r>
        <w:t xml:space="preserve">approval </w:t>
      </w:r>
      <w:r w:rsidRPr="003527D2">
        <w:t xml:space="preserve">by the </w:t>
      </w:r>
      <w:r w:rsidRPr="00E43571">
        <w:rPr>
          <w:b/>
        </w:rPr>
        <w:t>Board</w:t>
      </w:r>
      <w:r w:rsidRPr="003527D2">
        <w:t xml:space="preserve"> or </w:t>
      </w:r>
      <w:r>
        <w:t xml:space="preserve">relevant </w:t>
      </w:r>
      <w:r w:rsidRPr="003527D2">
        <w:t xml:space="preserve">Board committee of the </w:t>
      </w:r>
      <w:r>
        <w:t>development and</w:t>
      </w:r>
      <w:r w:rsidRPr="003527D2">
        <w:t xml:space="preserve"> use of </w:t>
      </w:r>
      <w:r>
        <w:t>the ECM;</w:t>
      </w:r>
    </w:p>
    <w:p w:rsidR="00835F0E" w:rsidRPr="003527D2" w:rsidRDefault="00835F0E" w:rsidP="005E2D46">
      <w:pPr>
        <w:pStyle w:val="BodyText"/>
        <w:numPr>
          <w:ilvl w:val="0"/>
          <w:numId w:val="8"/>
        </w:numPr>
        <w:tabs>
          <w:tab w:val="clear" w:pos="454"/>
          <w:tab w:val="num" w:pos="1134"/>
        </w:tabs>
        <w:ind w:left="1134" w:hanging="567"/>
      </w:pPr>
      <w:r>
        <w:t>adequate</w:t>
      </w:r>
      <w:r w:rsidRPr="003527D2">
        <w:t xml:space="preserve"> control process</w:t>
      </w:r>
      <w:r>
        <w:t>es</w:t>
      </w:r>
      <w:r w:rsidRPr="003527D2">
        <w:t xml:space="preserve"> for the development of the </w:t>
      </w:r>
      <w:r>
        <w:t>ECM</w:t>
      </w:r>
      <w:r w:rsidRPr="003527D2">
        <w:t>,</w:t>
      </w:r>
      <w:r>
        <w:t xml:space="preserve"> for </w:t>
      </w:r>
      <w:r w:rsidRPr="003527D2">
        <w:t>calibrating</w:t>
      </w:r>
      <w:r>
        <w:t xml:space="preserve"> and </w:t>
      </w:r>
      <w:r w:rsidRPr="003527D2">
        <w:t xml:space="preserve">updating the model at least annually, </w:t>
      </w:r>
      <w:r>
        <w:t xml:space="preserve">for </w:t>
      </w:r>
      <w:r w:rsidRPr="003527D2">
        <w:t>changing the model</w:t>
      </w:r>
      <w:r>
        <w:t xml:space="preserve"> and for applying the RCM;</w:t>
      </w:r>
    </w:p>
    <w:p w:rsidR="00835F0E" w:rsidRDefault="00835F0E" w:rsidP="005E2D46">
      <w:pPr>
        <w:pStyle w:val="BodyText"/>
        <w:numPr>
          <w:ilvl w:val="0"/>
          <w:numId w:val="8"/>
        </w:numPr>
        <w:tabs>
          <w:tab w:val="clear" w:pos="454"/>
          <w:tab w:val="num" w:pos="1134"/>
        </w:tabs>
        <w:ind w:left="1134" w:hanging="567"/>
      </w:pPr>
      <w:r>
        <w:t>comprehensive d</w:t>
      </w:r>
      <w:r w:rsidRPr="003527D2">
        <w:t>ocumentation of the model</w:t>
      </w:r>
      <w:r>
        <w:t xml:space="preserve"> (both the ECM and RCM);</w:t>
      </w:r>
    </w:p>
    <w:p w:rsidR="00270E4E" w:rsidRDefault="00835F0E" w:rsidP="005E2D46">
      <w:pPr>
        <w:pStyle w:val="BodyText"/>
        <w:numPr>
          <w:ilvl w:val="0"/>
          <w:numId w:val="8"/>
        </w:numPr>
        <w:tabs>
          <w:tab w:val="clear" w:pos="454"/>
          <w:tab w:val="num" w:pos="1134"/>
        </w:tabs>
        <w:ind w:left="1134" w:hanging="567"/>
      </w:pPr>
      <w:r>
        <w:t>adequate l</w:t>
      </w:r>
      <w:r w:rsidRPr="003527D2">
        <w:t xml:space="preserve">inkages between the output of the ECM and the </w:t>
      </w:r>
      <w:r>
        <w:t>c</w:t>
      </w:r>
      <w:r w:rsidRPr="003527D2">
        <w:t xml:space="preserve">apital </w:t>
      </w:r>
      <w:r>
        <w:t>m</w:t>
      </w:r>
      <w:r w:rsidRPr="003527D2">
        <w:t xml:space="preserve">anagement </w:t>
      </w:r>
      <w:r>
        <w:t xml:space="preserve">of the </w:t>
      </w:r>
      <w:r w:rsidR="0073532C">
        <w:t>regulated institution</w:t>
      </w:r>
      <w:r>
        <w:t>;</w:t>
      </w:r>
    </w:p>
    <w:p w:rsidR="00835F0E" w:rsidRPr="003527D2" w:rsidRDefault="00835F0E" w:rsidP="005E2D46">
      <w:pPr>
        <w:pStyle w:val="BodyText"/>
        <w:numPr>
          <w:ilvl w:val="0"/>
          <w:numId w:val="8"/>
        </w:numPr>
        <w:tabs>
          <w:tab w:val="clear" w:pos="454"/>
          <w:tab w:val="num" w:pos="1134"/>
        </w:tabs>
        <w:ind w:left="1134" w:hanging="567"/>
      </w:pPr>
      <w:r>
        <w:t>regular r</w:t>
      </w:r>
      <w:r w:rsidRPr="003527D2">
        <w:t>eporting</w:t>
      </w:r>
      <w:r>
        <w:t>,</w:t>
      </w:r>
      <w:r w:rsidRPr="003527D2">
        <w:t xml:space="preserve"> to the relevant Board committees, Board and senior management</w:t>
      </w:r>
      <w:r>
        <w:t>, of results from the ECM and RCM and issues arising related to the ECM and RCM; and</w:t>
      </w:r>
    </w:p>
    <w:p w:rsidR="00835F0E" w:rsidRPr="003527D2" w:rsidRDefault="00835F0E" w:rsidP="005E2D46">
      <w:pPr>
        <w:pStyle w:val="BodyText"/>
        <w:numPr>
          <w:ilvl w:val="0"/>
          <w:numId w:val="8"/>
        </w:numPr>
        <w:tabs>
          <w:tab w:val="clear" w:pos="454"/>
          <w:tab w:val="num" w:pos="1134"/>
        </w:tabs>
        <w:ind w:left="1134" w:hanging="567"/>
      </w:pPr>
      <w:r>
        <w:lastRenderedPageBreak/>
        <w:t>adequately documented i</w:t>
      </w:r>
      <w:r w:rsidRPr="003527D2">
        <w:t xml:space="preserve">ndependent review </w:t>
      </w:r>
      <w:r>
        <w:t>of the RCM</w:t>
      </w:r>
      <w:r w:rsidRPr="003527D2">
        <w:t xml:space="preserve"> </w:t>
      </w:r>
      <w:r>
        <w:t>(</w:t>
      </w:r>
      <w:r w:rsidRPr="006E70ED">
        <w:t xml:space="preserve">including </w:t>
      </w:r>
      <w:r>
        <w:t>those</w:t>
      </w:r>
      <w:r w:rsidRPr="006E70ED">
        <w:t xml:space="preserve"> aspects of the ECM that </w:t>
      </w:r>
      <w:r>
        <w:t>are directly relevant to</w:t>
      </w:r>
      <w:r w:rsidRPr="006E70ED">
        <w:t xml:space="preserve"> the RCM</w:t>
      </w:r>
      <w:r>
        <w:t>),</w:t>
      </w:r>
      <w:r w:rsidRPr="006E70ED">
        <w:t xml:space="preserve"> </w:t>
      </w:r>
      <w:r w:rsidRPr="003527D2">
        <w:t xml:space="preserve">which may be </w:t>
      </w:r>
      <w:r>
        <w:t xml:space="preserve">undertaken </w:t>
      </w:r>
      <w:r w:rsidRPr="003527D2">
        <w:t xml:space="preserve">by an internal group (e.g. </w:t>
      </w:r>
      <w:r>
        <w:t>i</w:t>
      </w:r>
      <w:r w:rsidRPr="003527D2">
        <w:t xml:space="preserve">nternal </w:t>
      </w:r>
      <w:r>
        <w:t>a</w:t>
      </w:r>
      <w:r w:rsidRPr="003527D2">
        <w:t xml:space="preserve">udit) or </w:t>
      </w:r>
      <w:r>
        <w:t xml:space="preserve">by </w:t>
      </w:r>
      <w:r w:rsidRPr="003527D2">
        <w:t xml:space="preserve">an </w:t>
      </w:r>
      <w:r>
        <w:t xml:space="preserve">appropriately qualified </w:t>
      </w:r>
      <w:r w:rsidRPr="003527D2">
        <w:t>external party</w:t>
      </w:r>
      <w:r>
        <w:t xml:space="preserve">. The party performing the review must be independent of the normal business operations of the </w:t>
      </w:r>
      <w:r w:rsidR="00DB7557">
        <w:t xml:space="preserve">regulated institution </w:t>
      </w:r>
      <w:r>
        <w:t>and must not have been significantly involved in the development and calibration of the ECM or the RCM</w:t>
      </w:r>
      <w:r w:rsidRPr="003527D2">
        <w:t>. The scope and frequency of independent review must be agreed with APRA</w:t>
      </w:r>
      <w:r>
        <w:t xml:space="preserve"> and must address both the governance and technical sufficiency of the ECM and RCM</w:t>
      </w:r>
      <w:r w:rsidRPr="003527D2">
        <w:t>.</w:t>
      </w:r>
    </w:p>
    <w:bookmarkEnd w:id="3"/>
    <w:bookmarkEnd w:id="4"/>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Model use</w:t>
      </w:r>
    </w:p>
    <w:p w:rsidR="00835F0E" w:rsidRPr="003527D2" w:rsidRDefault="00835F0E" w:rsidP="0041445E">
      <w:pPr>
        <w:pStyle w:val="BodyText"/>
      </w:pPr>
      <w:bookmarkStart w:id="5" w:name="_Ref316548949"/>
      <w:r w:rsidRPr="003527D2">
        <w:t xml:space="preserve">APRA will </w:t>
      </w:r>
      <w:r>
        <w:t>not provide</w:t>
      </w:r>
      <w:r w:rsidRPr="003527D2">
        <w:t xml:space="preserve"> approval for use</w:t>
      </w:r>
      <w:r>
        <w:t xml:space="preserve"> of</w:t>
      </w:r>
      <w:r w:rsidRPr="003527D2">
        <w:t xml:space="preserve"> the IMB Method </w:t>
      </w:r>
      <w:r>
        <w:t>unless</w:t>
      </w:r>
      <w:r w:rsidRPr="003527D2">
        <w:t xml:space="preserve"> it is satisfied that </w:t>
      </w:r>
      <w:r>
        <w:t xml:space="preserve">the ECM plays an integral role in the </w:t>
      </w:r>
      <w:r w:rsidR="00C708FF">
        <w:t>regulated institution</w:t>
      </w:r>
      <w:r>
        <w:t>’s management and decision-making processes</w:t>
      </w:r>
      <w:r w:rsidRPr="003527D2">
        <w:t xml:space="preserve">, and that this use is embedded in the </w:t>
      </w:r>
      <w:r w:rsidR="00C708FF">
        <w:t>regulated institution</w:t>
      </w:r>
      <w:r w:rsidRPr="003527D2">
        <w:t xml:space="preserve">’s </w:t>
      </w:r>
      <w:r>
        <w:t xml:space="preserve">operations. APRA’s consideration of model use will include, but will not be limited to, some of the indicators set out in Attachment </w:t>
      </w:r>
      <w:r w:rsidR="00F4221F">
        <w:t>A</w:t>
      </w:r>
      <w:r>
        <w:t>.</w:t>
      </w:r>
      <w:bookmarkEnd w:id="5"/>
      <w:r w:rsidRPr="003527D2">
        <w:t xml:space="preserve"> </w:t>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Model sufficiency</w:t>
      </w:r>
    </w:p>
    <w:p w:rsidR="00835F0E" w:rsidRDefault="00835F0E" w:rsidP="0041445E">
      <w:pPr>
        <w:pStyle w:val="BodyText"/>
      </w:pPr>
      <w:r>
        <w:t xml:space="preserve">APRA will not provide approval for use of the IMB Method unless it is satisfied that the </w:t>
      </w:r>
      <w:r w:rsidR="00C708FF">
        <w:t>regulated institution</w:t>
      </w:r>
      <w:r>
        <w:t xml:space="preserve">’s ECM and RCM are sufficient to give a reliable measure of </w:t>
      </w:r>
      <w:r w:rsidRPr="00A23954">
        <w:t>required capital</w:t>
      </w:r>
      <w:r w:rsidR="002A3BAA">
        <w:t xml:space="preserve"> for regulatory purposes</w:t>
      </w:r>
      <w:r w:rsidRPr="001146E3">
        <w:t>.</w:t>
      </w:r>
    </w:p>
    <w:p w:rsidR="00835F0E" w:rsidRPr="003527D2" w:rsidRDefault="00835F0E" w:rsidP="0041445E">
      <w:pPr>
        <w:pStyle w:val="BodyText"/>
      </w:pPr>
      <w:bookmarkStart w:id="6" w:name="_Ref198425364"/>
      <w:r w:rsidRPr="003527D2">
        <w:t>A</w:t>
      </w:r>
      <w:r w:rsidR="00C708FF">
        <w:t xml:space="preserve"> regulated institution</w:t>
      </w:r>
      <w:r w:rsidRPr="003527D2">
        <w:t xml:space="preserve">’s </w:t>
      </w:r>
      <w:r>
        <w:t>ECM</w:t>
      </w:r>
      <w:r w:rsidRPr="003527D2">
        <w:t xml:space="preserve"> </w:t>
      </w:r>
      <w:r>
        <w:t xml:space="preserve">and RCM </w:t>
      </w:r>
      <w:r w:rsidRPr="003527D2">
        <w:t xml:space="preserve">must </w:t>
      </w:r>
      <w:r>
        <w:t xml:space="preserve">adequately </w:t>
      </w:r>
      <w:r w:rsidRPr="003527D2">
        <w:t xml:space="preserve">capture all the material risks of the </w:t>
      </w:r>
      <w:r w:rsidR="00C708FF">
        <w:t>regulated institution</w:t>
      </w:r>
      <w:r w:rsidR="00C708FF" w:rsidRPr="003527D2">
        <w:t xml:space="preserve">’s </w:t>
      </w:r>
      <w:r w:rsidRPr="003527D2">
        <w:t>portfolio and business</w:t>
      </w:r>
      <w:r>
        <w:t xml:space="preserve"> </w:t>
      </w:r>
      <w:r w:rsidRPr="003527D2">
        <w:t>includ</w:t>
      </w:r>
      <w:r>
        <w:t>ing</w:t>
      </w:r>
      <w:r w:rsidRPr="003527D2">
        <w:t xml:space="preserve"> the following</w:t>
      </w:r>
      <w:r>
        <w:t xml:space="preserve"> risk categories</w:t>
      </w:r>
      <w:r w:rsidRPr="003527D2">
        <w:t>:</w:t>
      </w:r>
      <w:bookmarkEnd w:id="6"/>
    </w:p>
    <w:p w:rsidR="00835F0E" w:rsidRPr="003527D2" w:rsidRDefault="00835F0E" w:rsidP="00E9151F">
      <w:pPr>
        <w:numPr>
          <w:ilvl w:val="0"/>
          <w:numId w:val="9"/>
        </w:numPr>
        <w:tabs>
          <w:tab w:val="clear" w:pos="340"/>
          <w:tab w:val="num" w:pos="1134"/>
        </w:tabs>
        <w:spacing w:after="240"/>
        <w:ind w:left="1134" w:hanging="567"/>
        <w:jc w:val="both"/>
      </w:pPr>
      <w:r>
        <w:t>c</w:t>
      </w:r>
      <w:r w:rsidRPr="003527D2">
        <w:t>atastrophe risk – natural or man-made events that produce insurance losses from many insureds at the same time</w:t>
      </w:r>
      <w:r>
        <w:t>;</w:t>
      </w:r>
    </w:p>
    <w:p w:rsidR="00835F0E" w:rsidRPr="003527D2" w:rsidRDefault="00835F0E" w:rsidP="00E9151F">
      <w:pPr>
        <w:numPr>
          <w:ilvl w:val="0"/>
          <w:numId w:val="9"/>
        </w:numPr>
        <w:tabs>
          <w:tab w:val="clear" w:pos="340"/>
          <w:tab w:val="num" w:pos="1134"/>
        </w:tabs>
        <w:spacing w:after="240"/>
        <w:ind w:left="1134" w:hanging="567"/>
        <w:jc w:val="both"/>
      </w:pPr>
      <w:r>
        <w:t>u</w:t>
      </w:r>
      <w:r w:rsidRPr="003527D2">
        <w:t xml:space="preserve">nderwriting risk – the possibility that future </w:t>
      </w:r>
      <w:r>
        <w:t xml:space="preserve">insurance </w:t>
      </w:r>
      <w:r w:rsidRPr="003527D2">
        <w:t>exposure</w:t>
      </w:r>
      <w:r>
        <w:t>s</w:t>
      </w:r>
      <w:r w:rsidRPr="003527D2">
        <w:t xml:space="preserve"> (both from </w:t>
      </w:r>
      <w:r>
        <w:t xml:space="preserve">business in force and </w:t>
      </w:r>
      <w:r w:rsidRPr="003527D2">
        <w:t>future</w:t>
      </w:r>
      <w:r>
        <w:t xml:space="preserve"> business</w:t>
      </w:r>
      <w:r w:rsidRPr="003527D2">
        <w:t>) will be loss making</w:t>
      </w:r>
      <w:r>
        <w:t>;</w:t>
      </w:r>
    </w:p>
    <w:p w:rsidR="00835F0E" w:rsidRPr="003527D2" w:rsidRDefault="00835F0E" w:rsidP="00E9151F">
      <w:pPr>
        <w:numPr>
          <w:ilvl w:val="0"/>
          <w:numId w:val="9"/>
        </w:numPr>
        <w:tabs>
          <w:tab w:val="clear" w:pos="340"/>
          <w:tab w:val="num" w:pos="1134"/>
        </w:tabs>
        <w:spacing w:after="240"/>
        <w:ind w:left="1134" w:hanging="567"/>
        <w:jc w:val="both"/>
      </w:pPr>
      <w:r>
        <w:t>r</w:t>
      </w:r>
      <w:r w:rsidRPr="003527D2">
        <w:t xml:space="preserve">eserving risk – the possibility that the provisions for claims </w:t>
      </w:r>
      <w:r>
        <w:t xml:space="preserve">outstanding </w:t>
      </w:r>
      <w:r w:rsidRPr="003527D2">
        <w:t>will be inadequate to meet the ultimate costs when the business is run off to extinction</w:t>
      </w:r>
      <w:r>
        <w:t>;</w:t>
      </w:r>
    </w:p>
    <w:p w:rsidR="00835F0E" w:rsidRPr="003527D2" w:rsidRDefault="00835F0E" w:rsidP="00E9151F">
      <w:pPr>
        <w:numPr>
          <w:ilvl w:val="0"/>
          <w:numId w:val="9"/>
        </w:numPr>
        <w:tabs>
          <w:tab w:val="clear" w:pos="340"/>
          <w:tab w:val="num" w:pos="1134"/>
        </w:tabs>
        <w:spacing w:after="240"/>
        <w:ind w:left="1134" w:hanging="567"/>
        <w:jc w:val="both"/>
      </w:pPr>
      <w:r>
        <w:t>m</w:t>
      </w:r>
      <w:r w:rsidRPr="003527D2">
        <w:t>arket risk – the risk arising from all aspects of the value of investments</w:t>
      </w:r>
      <w:r>
        <w:t xml:space="preserve"> and currencies</w:t>
      </w:r>
      <w:r w:rsidRPr="003527D2">
        <w:t>, including interest rate changes, market price changes, counterparty default</w:t>
      </w:r>
      <w:r>
        <w:t>, exchange rates</w:t>
      </w:r>
      <w:r w:rsidRPr="003527D2">
        <w:t xml:space="preserve"> and liquidity of investments</w:t>
      </w:r>
      <w:r>
        <w:t>;</w:t>
      </w:r>
    </w:p>
    <w:p w:rsidR="00835F0E" w:rsidRPr="003527D2" w:rsidRDefault="00835F0E" w:rsidP="00225690">
      <w:pPr>
        <w:numPr>
          <w:ilvl w:val="0"/>
          <w:numId w:val="9"/>
        </w:numPr>
        <w:tabs>
          <w:tab w:val="clear" w:pos="340"/>
          <w:tab w:val="num" w:pos="1134"/>
        </w:tabs>
        <w:spacing w:after="240"/>
        <w:ind w:left="1134" w:hanging="567"/>
        <w:jc w:val="both"/>
      </w:pPr>
      <w:r>
        <w:t>c</w:t>
      </w:r>
      <w:r w:rsidRPr="003527D2">
        <w:t>redit risk – the risk of loss arising from failure to collect funds from creditors, including reinsurers and intermediaries</w:t>
      </w:r>
      <w:r>
        <w:t>; and</w:t>
      </w:r>
    </w:p>
    <w:p w:rsidR="00835F0E" w:rsidRDefault="00835F0E" w:rsidP="00225690">
      <w:pPr>
        <w:numPr>
          <w:ilvl w:val="0"/>
          <w:numId w:val="9"/>
        </w:numPr>
        <w:tabs>
          <w:tab w:val="clear" w:pos="340"/>
          <w:tab w:val="num" w:pos="1134"/>
        </w:tabs>
        <w:spacing w:after="240"/>
        <w:ind w:left="1134" w:hanging="567"/>
        <w:jc w:val="both"/>
      </w:pPr>
      <w:r>
        <w:lastRenderedPageBreak/>
        <w:t>o</w:t>
      </w:r>
      <w:r w:rsidRPr="003527D2">
        <w:t>perational risk – the risk of loss resulting from inadequate or failed internal processes, people and systems, or from external events.</w:t>
      </w:r>
      <w:r>
        <w:t xml:space="preserve"> </w:t>
      </w:r>
      <w:r w:rsidRPr="008B6F8E">
        <w:t>This includes legal risk</w:t>
      </w:r>
      <w:r w:rsidRPr="008B6F8E">
        <w:rPr>
          <w:rStyle w:val="FootnoteReference"/>
        </w:rPr>
        <w:footnoteReference w:id="3"/>
      </w:r>
      <w:r w:rsidRPr="008B6F8E">
        <w:t xml:space="preserve"> but excludes strategic or reputational risk</w:t>
      </w:r>
      <w:r>
        <w:t>.</w:t>
      </w:r>
    </w:p>
    <w:p w:rsidR="00835F0E" w:rsidRDefault="00835F0E" w:rsidP="0041445E">
      <w:pPr>
        <w:pStyle w:val="BodyText"/>
      </w:pPr>
      <w:r>
        <w:t>APRA may direct a</w:t>
      </w:r>
      <w:r w:rsidR="00C708FF">
        <w:t xml:space="preserve"> regulated institution</w:t>
      </w:r>
      <w:r>
        <w:t xml:space="preserve"> in relation to the manner in which each of these material risk categories are dealt with in the </w:t>
      </w:r>
      <w:r w:rsidR="00C708FF">
        <w:t xml:space="preserve">regulated institution’s </w:t>
      </w:r>
      <w:r>
        <w:t>ECM and RCM, including, but not limited to, altering the matters to be covered under each category and permitting categories to be dealt with in a cumulative manner. APRA may allow a transition period for compliance with a direction.</w:t>
      </w:r>
    </w:p>
    <w:p w:rsidR="00835F0E" w:rsidRPr="00C071ED" w:rsidRDefault="00835F0E" w:rsidP="0041445E">
      <w:pPr>
        <w:pStyle w:val="BodyText"/>
      </w:pPr>
      <w:r w:rsidRPr="00C071ED">
        <w:t xml:space="preserve">It is not necessary for the ECM and RCM to capture risks outside the </w:t>
      </w:r>
      <w:r w:rsidR="002D2CB8">
        <w:t xml:space="preserve">risks specified in paragraph </w:t>
      </w:r>
      <w:r w:rsidR="0094660F">
        <w:fldChar w:fldCharType="begin"/>
      </w:r>
      <w:r w:rsidR="0094660F">
        <w:instrText xml:space="preserve"> REF _Ref198425364 \r \h </w:instrText>
      </w:r>
      <w:r w:rsidR="0094660F">
        <w:fldChar w:fldCharType="separate"/>
      </w:r>
      <w:r w:rsidR="006F4784">
        <w:t>17</w:t>
      </w:r>
      <w:r w:rsidR="0094660F">
        <w:fldChar w:fldCharType="end"/>
      </w:r>
      <w:r w:rsidRPr="00C071ED">
        <w:t xml:space="preserve">, such as strategic or reputation risks. However, material risks that are not captured in the ECM and RCM must continue to be managed under the risk management framework of the </w:t>
      </w:r>
      <w:r w:rsidR="00C708FF">
        <w:t>regulated institution</w:t>
      </w:r>
      <w:r w:rsidR="00437CD1">
        <w:t>.</w:t>
      </w:r>
      <w:r w:rsidR="00F329A4" w:rsidRPr="0022682B">
        <w:rPr>
          <w:rStyle w:val="FootnoteReference"/>
          <w:szCs w:val="24"/>
        </w:rPr>
        <w:footnoteReference w:id="4"/>
      </w:r>
      <w:r w:rsidRPr="00C071ED">
        <w:t xml:space="preserve">    </w:t>
      </w:r>
    </w:p>
    <w:p w:rsidR="00835F0E" w:rsidRDefault="00835F0E" w:rsidP="0041445E">
      <w:pPr>
        <w:pStyle w:val="BodyText"/>
      </w:pPr>
      <w:r w:rsidRPr="003527D2">
        <w:t xml:space="preserve">For each component of risk, the </w:t>
      </w:r>
      <w:r>
        <w:t>ECM</w:t>
      </w:r>
      <w:r w:rsidRPr="003527D2">
        <w:t xml:space="preserve"> must utilise a distribution with appropriate shape and tail characteristics. In combining components of risk, the model must make appropriate allowance for correlation between risks, particularly correlations in the tail of distributions.</w:t>
      </w:r>
      <w:r>
        <w:t xml:space="preserve"> A</w:t>
      </w:r>
      <w:r w:rsidR="00C708FF">
        <w:t xml:space="preserve"> regulated institution </w:t>
      </w:r>
      <w:r>
        <w:t xml:space="preserve">wishing to incorporate diversification assumptions in respect of operational risk must demonstrate an adequate process for estimating dependencies (particularly for extreme losses) and must apply conservatism in its assumptions </w:t>
      </w:r>
      <w:r w:rsidR="00616EA8">
        <w:t xml:space="preserve">that is </w:t>
      </w:r>
      <w:r>
        <w:t xml:space="preserve">commensurate with the uncertainty of </w:t>
      </w:r>
      <w:r w:rsidR="003968C9">
        <w:t xml:space="preserve">those </w:t>
      </w:r>
      <w:r w:rsidR="00616EA8">
        <w:t>assumptions</w:t>
      </w:r>
      <w:r>
        <w:t xml:space="preserve">.  </w:t>
      </w:r>
    </w:p>
    <w:p w:rsidR="00835F0E" w:rsidRDefault="00835F0E" w:rsidP="0041445E">
      <w:pPr>
        <w:pStyle w:val="BodyText"/>
      </w:pPr>
      <w:r>
        <w:t>The operational risk module of the ECM must consider all of the following four elements:</w:t>
      </w:r>
    </w:p>
    <w:p w:rsidR="00835F0E" w:rsidRDefault="00835F0E" w:rsidP="000825C4">
      <w:pPr>
        <w:pStyle w:val="BodyText"/>
        <w:numPr>
          <w:ilvl w:val="0"/>
          <w:numId w:val="10"/>
        </w:numPr>
        <w:tabs>
          <w:tab w:val="clear" w:pos="794"/>
          <w:tab w:val="num" w:pos="1134"/>
        </w:tabs>
        <w:ind w:left="1134" w:hanging="567"/>
      </w:pPr>
      <w:r>
        <w:t xml:space="preserve">relevant internal event data (for which the </w:t>
      </w:r>
      <w:r w:rsidR="00DB7557">
        <w:t xml:space="preserve">regulated institution </w:t>
      </w:r>
      <w:r>
        <w:t>must maintain a suitably comprehensive operational risk event recording system);</w:t>
      </w:r>
    </w:p>
    <w:p w:rsidR="00835F0E" w:rsidRDefault="00835F0E" w:rsidP="000825C4">
      <w:pPr>
        <w:pStyle w:val="BodyText"/>
        <w:numPr>
          <w:ilvl w:val="0"/>
          <w:numId w:val="10"/>
        </w:numPr>
        <w:tabs>
          <w:tab w:val="clear" w:pos="794"/>
          <w:tab w:val="num" w:pos="1134"/>
        </w:tabs>
        <w:ind w:left="1134" w:hanging="567"/>
      </w:pPr>
      <w:r>
        <w:t>relevant external event data;</w:t>
      </w:r>
    </w:p>
    <w:p w:rsidR="00835F0E" w:rsidRDefault="00835F0E" w:rsidP="000825C4">
      <w:pPr>
        <w:pStyle w:val="BodyText"/>
        <w:numPr>
          <w:ilvl w:val="0"/>
          <w:numId w:val="10"/>
        </w:numPr>
        <w:tabs>
          <w:tab w:val="clear" w:pos="794"/>
          <w:tab w:val="num" w:pos="1134"/>
        </w:tabs>
        <w:ind w:left="1134" w:hanging="567"/>
      </w:pPr>
      <w:r>
        <w:t>scenario analysis; and</w:t>
      </w:r>
    </w:p>
    <w:p w:rsidR="00835F0E" w:rsidRDefault="00835F0E" w:rsidP="000825C4">
      <w:pPr>
        <w:pStyle w:val="BodyText"/>
        <w:numPr>
          <w:ilvl w:val="0"/>
          <w:numId w:val="10"/>
        </w:numPr>
        <w:tabs>
          <w:tab w:val="clear" w:pos="794"/>
          <w:tab w:val="num" w:pos="1134"/>
        </w:tabs>
        <w:ind w:left="1134" w:hanging="567"/>
      </w:pPr>
      <w:r>
        <w:t>the business environment and internal control systems.</w:t>
      </w:r>
    </w:p>
    <w:p w:rsidR="00835F0E" w:rsidRDefault="00835F0E" w:rsidP="0041445E">
      <w:pPr>
        <w:pStyle w:val="BodyText"/>
      </w:pPr>
      <w:r>
        <w:t xml:space="preserve">The RCM must divide the insurance business into a sufficiently fine partition of business segments to reflect the major types of business that have different risk characteristics, and this partition must be reasonably aligned with the </w:t>
      </w:r>
      <w:r w:rsidR="00C708FF">
        <w:t>regulated institution</w:t>
      </w:r>
      <w:r>
        <w:t>’s operational structure.</w:t>
      </w:r>
    </w:p>
    <w:p w:rsidR="00835F0E" w:rsidRPr="00112B45" w:rsidRDefault="00835F0E" w:rsidP="00835F0E">
      <w:pPr>
        <w:pStyle w:val="Heading3"/>
        <w:keepLines/>
        <w:spacing w:before="120" w:after="240"/>
        <w:jc w:val="both"/>
        <w:rPr>
          <w:rFonts w:cs="Times New Roman"/>
          <w:bCs w:val="0"/>
          <w:snapToGrid w:val="0"/>
          <w:sz w:val="24"/>
          <w:szCs w:val="24"/>
          <w:lang w:eastAsia="en-US"/>
        </w:rPr>
      </w:pPr>
      <w:r w:rsidRPr="00112B45">
        <w:rPr>
          <w:rFonts w:cs="Times New Roman"/>
          <w:bCs w:val="0"/>
          <w:snapToGrid w:val="0"/>
          <w:sz w:val="24"/>
          <w:szCs w:val="24"/>
          <w:lang w:eastAsia="en-US"/>
        </w:rPr>
        <w:lastRenderedPageBreak/>
        <w:t>Partial models</w:t>
      </w:r>
    </w:p>
    <w:p w:rsidR="00835F0E" w:rsidRPr="00112B45" w:rsidRDefault="00835F0E" w:rsidP="0041445E">
      <w:pPr>
        <w:pStyle w:val="BodyText"/>
        <w:rPr>
          <w:szCs w:val="24"/>
        </w:rPr>
      </w:pPr>
      <w:r w:rsidRPr="00112B45">
        <w:t>A</w:t>
      </w:r>
      <w:r w:rsidR="00C708FF" w:rsidRPr="00112B45">
        <w:t xml:space="preserve"> regulated </w:t>
      </w:r>
      <w:r w:rsidR="00BA1DE5" w:rsidRPr="00112B45">
        <w:t>institution</w:t>
      </w:r>
      <w:r w:rsidRPr="00112B45">
        <w:t xml:space="preserve"> may apply to APRA for approval to use the IMB Method to calculate certain elements of its </w:t>
      </w:r>
      <w:r w:rsidR="00C708FF" w:rsidRPr="00112B45">
        <w:t>p</w:t>
      </w:r>
      <w:r w:rsidR="007B6982" w:rsidRPr="00112B45">
        <w:t>rescribed</w:t>
      </w:r>
      <w:r w:rsidR="00C708FF" w:rsidRPr="00112B45">
        <w:t xml:space="preserve"> capital amount</w:t>
      </w:r>
      <w:r w:rsidRPr="00112B45">
        <w:t xml:space="preserve">, or the </w:t>
      </w:r>
      <w:r w:rsidR="00C708FF" w:rsidRPr="00112B45">
        <w:t>pr</w:t>
      </w:r>
      <w:r w:rsidR="007B6982" w:rsidRPr="00112B45">
        <w:t>escribed</w:t>
      </w:r>
      <w:r w:rsidR="00C708FF" w:rsidRPr="00112B45">
        <w:t xml:space="preserve"> capital amount</w:t>
      </w:r>
      <w:r w:rsidRPr="00112B45">
        <w:t xml:space="preserve"> for some business segments, while using the </w:t>
      </w:r>
      <w:r w:rsidR="00C708FF" w:rsidRPr="00B81026">
        <w:rPr>
          <w:b/>
        </w:rPr>
        <w:t>Standard</w:t>
      </w:r>
      <w:r w:rsidRPr="00B81026">
        <w:rPr>
          <w:b/>
        </w:rPr>
        <w:t xml:space="preserve"> Method</w:t>
      </w:r>
      <w:r w:rsidRPr="00112B45">
        <w:t xml:space="preserve"> for the remaining elements or segments. APRA will consider applications that omit small or newly acquired business segments from the ECM, with </w:t>
      </w:r>
      <w:r w:rsidR="00C708FF" w:rsidRPr="00112B45">
        <w:t xml:space="preserve">Standard </w:t>
      </w:r>
      <w:r w:rsidRPr="00112B45">
        <w:t>Method calculations for the omitted segments included in the RCM. Other partial use of the IMB Method will be approved only in exceptional circumstances.</w:t>
      </w:r>
    </w:p>
    <w:p w:rsidR="00835F0E" w:rsidRPr="00112B45" w:rsidRDefault="00835F0E" w:rsidP="0041445E">
      <w:pPr>
        <w:pStyle w:val="BodyText"/>
        <w:rPr>
          <w:szCs w:val="24"/>
        </w:rPr>
      </w:pPr>
      <w:r w:rsidRPr="00112B45">
        <w:t>A</w:t>
      </w:r>
      <w:r w:rsidR="00C708FF" w:rsidRPr="00112B45">
        <w:t xml:space="preserve"> regulated institution </w:t>
      </w:r>
      <w:r w:rsidRPr="00112B45">
        <w:t xml:space="preserve">must provide APRA with appropriate information, both at the time of the initial application for approval to use the IMB Method and subsequent to obtaining IMB Method approval, on any parts of the business activities of the </w:t>
      </w:r>
      <w:r w:rsidR="00C708FF" w:rsidRPr="00112B45">
        <w:t>regulated institution</w:t>
      </w:r>
      <w:r w:rsidRPr="00112B45">
        <w:t xml:space="preserve"> for which it is proposed to use the </w:t>
      </w:r>
      <w:r w:rsidR="00C708FF" w:rsidRPr="00112B45">
        <w:t xml:space="preserve">Standard </w:t>
      </w:r>
      <w:r w:rsidRPr="00112B45">
        <w:t xml:space="preserve">Method to calculate the </w:t>
      </w:r>
      <w:r w:rsidR="00C708FF" w:rsidRPr="00112B45">
        <w:t>pr</w:t>
      </w:r>
      <w:r w:rsidR="007B6982" w:rsidRPr="00112B45">
        <w:t>escribed</w:t>
      </w:r>
      <w:r w:rsidR="00C708FF" w:rsidRPr="00112B45">
        <w:t xml:space="preserve"> capital amount</w:t>
      </w:r>
      <w:r w:rsidRPr="00112B45">
        <w:t>.</w:t>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Application and review process</w:t>
      </w:r>
    </w:p>
    <w:p w:rsidR="00835F0E" w:rsidRDefault="00835F0E" w:rsidP="0041445E">
      <w:pPr>
        <w:pStyle w:val="BodyText"/>
      </w:pPr>
      <w:bookmarkStart w:id="7" w:name="_Ref316548975"/>
      <w:r w:rsidRPr="003527D2">
        <w:t>A</w:t>
      </w:r>
      <w:r w:rsidR="00C708FF">
        <w:t xml:space="preserve"> regulated institution</w:t>
      </w:r>
      <w:r w:rsidRPr="003527D2">
        <w:t xml:space="preserve"> wishing to </w:t>
      </w:r>
      <w:r>
        <w:t xml:space="preserve">apply for approval to </w:t>
      </w:r>
      <w:r w:rsidRPr="003527D2">
        <w:t xml:space="preserve">use the IMB </w:t>
      </w:r>
      <w:r>
        <w:t>M</w:t>
      </w:r>
      <w:r w:rsidRPr="003527D2">
        <w:t xml:space="preserve">ethod must consult with APRA at an early stage. </w:t>
      </w:r>
      <w:r>
        <w:t>To assist APRA in assessing the readiness of a</w:t>
      </w:r>
      <w:r w:rsidR="00C708FF">
        <w:t xml:space="preserve"> regulated institution</w:t>
      </w:r>
      <w:r>
        <w:t xml:space="preserve"> to commence the approval process, APRA has developed a series of self-assessment indicators which are set out in Attachment</w:t>
      </w:r>
      <w:r w:rsidR="00042333">
        <w:t xml:space="preserve"> A</w:t>
      </w:r>
      <w:r>
        <w:t>.</w:t>
      </w:r>
      <w:bookmarkEnd w:id="7"/>
    </w:p>
    <w:p w:rsidR="00835F0E" w:rsidRDefault="00835F0E" w:rsidP="0041445E">
      <w:pPr>
        <w:pStyle w:val="BodyText"/>
      </w:pPr>
      <w:r>
        <w:t>APRA will consider a</w:t>
      </w:r>
      <w:r w:rsidR="00C708FF">
        <w:t xml:space="preserve"> regulated institution</w:t>
      </w:r>
      <w:r>
        <w:t xml:space="preserve">’s self-assessment without seeking evidence or verification (which occurs later in the application and assessment process). If the self-assessment reveals major deficiencies, APRA will advise the </w:t>
      </w:r>
      <w:r w:rsidR="00C708FF">
        <w:t>regulated institution</w:t>
      </w:r>
      <w:r>
        <w:t xml:space="preserve"> of further progress that is needed before the </w:t>
      </w:r>
      <w:r w:rsidR="00C708FF">
        <w:t>regulated institution</w:t>
      </w:r>
      <w:r>
        <w:t xml:space="preserve"> continues with the application seeking approval to use the IMB Method.</w:t>
      </w:r>
    </w:p>
    <w:p w:rsidR="00835F0E" w:rsidRPr="003527D2" w:rsidRDefault="00835F0E" w:rsidP="0041445E">
      <w:pPr>
        <w:pStyle w:val="BodyText"/>
      </w:pPr>
      <w:r>
        <w:t>APRA’s a</w:t>
      </w:r>
      <w:r w:rsidRPr="003527D2">
        <w:t xml:space="preserve">pproval </w:t>
      </w:r>
      <w:r>
        <w:t xml:space="preserve">to </w:t>
      </w:r>
      <w:r w:rsidRPr="003527D2">
        <w:t xml:space="preserve">use the IMB Method </w:t>
      </w:r>
      <w:r>
        <w:t xml:space="preserve">to determine </w:t>
      </w:r>
      <w:r w:rsidR="00DB7557">
        <w:t>the pr</w:t>
      </w:r>
      <w:r w:rsidR="007B6982">
        <w:t>escribed</w:t>
      </w:r>
      <w:r w:rsidR="00DB7557">
        <w:t xml:space="preserve"> capital amount </w:t>
      </w:r>
      <w:r w:rsidRPr="003527D2">
        <w:t>will be subject to a comprehensive model review process including:</w:t>
      </w:r>
    </w:p>
    <w:p w:rsidR="00835F0E" w:rsidRPr="003527D2" w:rsidRDefault="00835F0E" w:rsidP="004073BB">
      <w:pPr>
        <w:pStyle w:val="BodyText"/>
        <w:numPr>
          <w:ilvl w:val="0"/>
          <w:numId w:val="11"/>
        </w:numPr>
        <w:tabs>
          <w:tab w:val="clear" w:pos="794"/>
          <w:tab w:val="num" w:pos="1134"/>
        </w:tabs>
        <w:ind w:left="1134" w:hanging="567"/>
      </w:pPr>
      <w:r w:rsidRPr="003527D2">
        <w:t xml:space="preserve">submission </w:t>
      </w:r>
      <w:r>
        <w:t xml:space="preserve">by the </w:t>
      </w:r>
      <w:r w:rsidR="00100EDF">
        <w:t xml:space="preserve">regulated institution </w:t>
      </w:r>
      <w:r w:rsidRPr="003527D2">
        <w:t xml:space="preserve">of a detailed application for approval, with comprehensive information about the </w:t>
      </w:r>
      <w:r>
        <w:t>ECM and RCM</w:t>
      </w:r>
      <w:r w:rsidRPr="003527D2">
        <w:t xml:space="preserve">, its governance and use, and the risk management environment of the </w:t>
      </w:r>
      <w:r w:rsidR="00100EDF">
        <w:t>regulated institution</w:t>
      </w:r>
      <w:r>
        <w:t>; and</w:t>
      </w:r>
    </w:p>
    <w:p w:rsidR="00835F0E" w:rsidRPr="003527D2" w:rsidRDefault="00835F0E" w:rsidP="004073BB">
      <w:pPr>
        <w:pStyle w:val="BodyText"/>
        <w:numPr>
          <w:ilvl w:val="0"/>
          <w:numId w:val="11"/>
        </w:numPr>
        <w:tabs>
          <w:tab w:val="clear" w:pos="794"/>
          <w:tab w:val="num" w:pos="1134"/>
        </w:tabs>
        <w:ind w:left="1134" w:hanging="567"/>
      </w:pPr>
      <w:r w:rsidRPr="003527D2">
        <w:t>one or more on-site visits</w:t>
      </w:r>
      <w:r>
        <w:t xml:space="preserve"> by APRA to the </w:t>
      </w:r>
      <w:r w:rsidR="00100EDF">
        <w:t>regulated institution</w:t>
      </w:r>
      <w:r w:rsidR="00100EDF" w:rsidRPr="003527D2">
        <w:t xml:space="preserve"> </w:t>
      </w:r>
      <w:r w:rsidRPr="003527D2">
        <w:t xml:space="preserve">to discuss the detail of the </w:t>
      </w:r>
      <w:r>
        <w:t>ECM and RCM</w:t>
      </w:r>
      <w:r w:rsidRPr="003527D2">
        <w:t xml:space="preserve">, risk management systems, and surrounding </w:t>
      </w:r>
      <w:r>
        <w:t xml:space="preserve">governance and </w:t>
      </w:r>
      <w:r w:rsidRPr="003527D2">
        <w:t>organisational structure and controls.</w:t>
      </w:r>
    </w:p>
    <w:p w:rsidR="00835F0E" w:rsidRDefault="00835F0E" w:rsidP="0041445E">
      <w:pPr>
        <w:pStyle w:val="BodyText"/>
      </w:pPr>
      <w:r>
        <w:t>If</w:t>
      </w:r>
      <w:r w:rsidRPr="003527D2">
        <w:t xml:space="preserve"> </w:t>
      </w:r>
      <w:r>
        <w:t>it</w:t>
      </w:r>
      <w:r w:rsidRPr="003527D2">
        <w:t xml:space="preserve"> is satisfied </w:t>
      </w:r>
      <w:r>
        <w:t xml:space="preserve">that </w:t>
      </w:r>
      <w:r w:rsidRPr="003527D2">
        <w:t xml:space="preserve">the criteria specified in this </w:t>
      </w:r>
      <w:r w:rsidR="00042333">
        <w:t xml:space="preserve">Prudential </w:t>
      </w:r>
      <w:r w:rsidRPr="003527D2">
        <w:t>Standard</w:t>
      </w:r>
      <w:r>
        <w:t xml:space="preserve"> have been met</w:t>
      </w:r>
      <w:r w:rsidRPr="003527D2">
        <w:t xml:space="preserve">, APRA will approve the use of the </w:t>
      </w:r>
      <w:r w:rsidR="00CA5586">
        <w:t xml:space="preserve">IMB Method and consequently the </w:t>
      </w:r>
      <w:r>
        <w:t xml:space="preserve">RCM to determine the </w:t>
      </w:r>
      <w:r w:rsidR="00100EDF">
        <w:t>regulated institution’s pr</w:t>
      </w:r>
      <w:r w:rsidR="007B6982">
        <w:t>escribed</w:t>
      </w:r>
      <w:r w:rsidR="00100EDF">
        <w:t xml:space="preserve"> capital amount</w:t>
      </w:r>
      <w:r w:rsidRPr="003527D2">
        <w:t xml:space="preserve">. </w:t>
      </w:r>
      <w:r>
        <w:t>Approval is given by APRA modifying relevant requirements in</w:t>
      </w:r>
      <w:r w:rsidDel="00EC6B0D">
        <w:t xml:space="preserve"> </w:t>
      </w:r>
      <w:smartTag w:uri="urn:schemas-microsoft-com:office:smarttags" w:element="date">
        <w:r>
          <w:t>GPS</w:t>
        </w:r>
      </w:smartTag>
      <w:r>
        <w:t xml:space="preserve"> 110</w:t>
      </w:r>
      <w:r w:rsidR="007B6982">
        <w:t xml:space="preserve"> </w:t>
      </w:r>
      <w:r>
        <w:t xml:space="preserve">pursuant to section 32(3A) of the Act. Modification may include requirements to be met on a continuing basis, including specifying that the </w:t>
      </w:r>
      <w:r w:rsidR="00100EDF">
        <w:t>pr</w:t>
      </w:r>
      <w:r w:rsidR="007B6982">
        <w:t>escribed</w:t>
      </w:r>
      <w:r w:rsidR="00100EDF">
        <w:t xml:space="preserve"> capital amount </w:t>
      </w:r>
      <w:r>
        <w:t xml:space="preserve">determined using the RCM will be subject to a minimum that is expressed as a </w:t>
      </w:r>
      <w:r>
        <w:lastRenderedPageBreak/>
        <w:t xml:space="preserve">percentage of the </w:t>
      </w:r>
      <w:r w:rsidR="00100EDF">
        <w:t xml:space="preserve">Standard </w:t>
      </w:r>
      <w:r>
        <w:t>Method calculation</w:t>
      </w:r>
      <w:r w:rsidRPr="003527D2">
        <w:t>.</w:t>
      </w:r>
      <w:r>
        <w:t xml:space="preserve"> During the first two years of the use of the IMB Method by a</w:t>
      </w:r>
      <w:r w:rsidR="00100EDF">
        <w:t xml:space="preserve"> regulated institution</w:t>
      </w:r>
      <w:r>
        <w:t xml:space="preserve">, that minimum is to be 90 per cent of the amount determined using the </w:t>
      </w:r>
      <w:r w:rsidR="00100EDF">
        <w:t xml:space="preserve">Standard </w:t>
      </w:r>
      <w:r>
        <w:t>Method.</w:t>
      </w:r>
    </w:p>
    <w:p w:rsidR="00835F0E" w:rsidRPr="00FE444F" w:rsidRDefault="00835F0E" w:rsidP="0041445E">
      <w:pPr>
        <w:pStyle w:val="BodyText"/>
      </w:pPr>
      <w:bookmarkStart w:id="8" w:name="_Ref316548880"/>
      <w:r w:rsidRPr="00FE444F">
        <w:t>Use of the IMB Method does not relieve a</w:t>
      </w:r>
      <w:r w:rsidR="00100EDF" w:rsidRPr="00FE444F">
        <w:t xml:space="preserve"> regulated institution</w:t>
      </w:r>
      <w:r w:rsidRPr="00FE444F">
        <w:t xml:space="preserve"> from complying with the following aspects of the capital standards:</w:t>
      </w:r>
      <w:bookmarkEnd w:id="8"/>
    </w:p>
    <w:p w:rsidR="00FE7F73" w:rsidRPr="00FE444F" w:rsidRDefault="00FE7F73" w:rsidP="00B76840">
      <w:pPr>
        <w:pStyle w:val="BodyText"/>
        <w:numPr>
          <w:ilvl w:val="0"/>
          <w:numId w:val="12"/>
        </w:numPr>
        <w:tabs>
          <w:tab w:val="clear" w:pos="794"/>
          <w:tab w:val="num" w:pos="1134"/>
        </w:tabs>
        <w:ind w:left="1134" w:hanging="567"/>
      </w:pPr>
      <w:r w:rsidRPr="00FE444F">
        <w:t xml:space="preserve">measurement of capital requirements as detailed in </w:t>
      </w:r>
      <w:r w:rsidR="00CC348A" w:rsidRPr="00AD6540">
        <w:rPr>
          <w:i/>
        </w:rPr>
        <w:t xml:space="preserve">Prudential Standard </w:t>
      </w:r>
      <w:r w:rsidRPr="00AD6540">
        <w:rPr>
          <w:i/>
        </w:rPr>
        <w:t>GPS 112</w:t>
      </w:r>
      <w:r w:rsidR="00CC348A" w:rsidRPr="00AD6540">
        <w:rPr>
          <w:i/>
        </w:rPr>
        <w:t xml:space="preserve"> Capital Adequacy: Measurement of Capital</w:t>
      </w:r>
      <w:r w:rsidRPr="00FE444F">
        <w:t>, including:</w:t>
      </w:r>
    </w:p>
    <w:p w:rsidR="00E65D65" w:rsidRPr="00FE444F" w:rsidRDefault="00E65D65" w:rsidP="00B76840">
      <w:pPr>
        <w:pStyle w:val="BodyText"/>
        <w:numPr>
          <w:ilvl w:val="0"/>
          <w:numId w:val="0"/>
        </w:numPr>
        <w:ind w:left="1701" w:hanging="567"/>
      </w:pPr>
      <w:r w:rsidRPr="00FE444F">
        <w:t>(</w:t>
      </w:r>
      <w:proofErr w:type="spellStart"/>
      <w:r w:rsidRPr="00FE444F">
        <w:t>i</w:t>
      </w:r>
      <w:proofErr w:type="spellEnd"/>
      <w:r w:rsidRPr="00FE444F">
        <w:t>)</w:t>
      </w:r>
      <w:r w:rsidRPr="00FE444F">
        <w:tab/>
        <w:t>the eligibility of capital instruments;</w:t>
      </w:r>
    </w:p>
    <w:p w:rsidR="00E65D65" w:rsidRPr="00FE444F" w:rsidRDefault="00E65D65" w:rsidP="00B76840">
      <w:pPr>
        <w:pStyle w:val="BodyText"/>
        <w:numPr>
          <w:ilvl w:val="0"/>
          <w:numId w:val="0"/>
        </w:numPr>
        <w:ind w:left="1701" w:hanging="567"/>
      </w:pPr>
      <w:r w:rsidRPr="00FE444F">
        <w:t>(ii)</w:t>
      </w:r>
      <w:r w:rsidRPr="00FE444F">
        <w:tab/>
        <w:t>regulatory adjustments to the capital base</w:t>
      </w:r>
      <w:r w:rsidR="00FE7F73" w:rsidRPr="00FE444F">
        <w:t>;</w:t>
      </w:r>
      <w:r w:rsidRPr="00FE444F">
        <w:t xml:space="preserve"> and</w:t>
      </w:r>
    </w:p>
    <w:p w:rsidR="00FE7F73" w:rsidRPr="00FE444F" w:rsidRDefault="00E65D65" w:rsidP="00B76840">
      <w:pPr>
        <w:pStyle w:val="BodyText"/>
        <w:numPr>
          <w:ilvl w:val="0"/>
          <w:numId w:val="0"/>
        </w:numPr>
        <w:ind w:left="1701" w:hanging="567"/>
      </w:pPr>
      <w:r w:rsidRPr="00FE444F">
        <w:t>(iii)</w:t>
      </w:r>
      <w:r w:rsidRPr="00FE444F">
        <w:tab/>
        <w:t>the minimum levels set out with respect to the types of capital used;</w:t>
      </w:r>
      <w:r w:rsidR="00841E1C" w:rsidRPr="00FE444F">
        <w:t xml:space="preserve"> </w:t>
      </w:r>
    </w:p>
    <w:p w:rsidR="00835F0E" w:rsidRPr="00FE444F" w:rsidRDefault="00042333" w:rsidP="00B76840">
      <w:pPr>
        <w:pStyle w:val="BodyText"/>
        <w:numPr>
          <w:ilvl w:val="0"/>
          <w:numId w:val="12"/>
        </w:numPr>
        <w:tabs>
          <w:tab w:val="clear" w:pos="794"/>
          <w:tab w:val="num" w:pos="1134"/>
        </w:tabs>
        <w:ind w:left="1134" w:hanging="567"/>
      </w:pPr>
      <w:r w:rsidRPr="00FE444F">
        <w:t>asset risk</w:t>
      </w:r>
      <w:r w:rsidR="00835F0E" w:rsidRPr="00FE444F">
        <w:t xml:space="preserve"> charges on reinsurance assets related to a non-APRA-authorised reinsurer</w:t>
      </w:r>
      <w:r w:rsidR="00B0743D" w:rsidRPr="00FE444F">
        <w:t xml:space="preserve"> under the default module as</w:t>
      </w:r>
      <w:r w:rsidR="00835F0E" w:rsidRPr="00FE444F">
        <w:t xml:space="preserve"> specified in </w:t>
      </w:r>
      <w:r w:rsidR="00273472" w:rsidRPr="00FE444F">
        <w:rPr>
          <w:i/>
        </w:rPr>
        <w:t xml:space="preserve">Prudential Standard </w:t>
      </w:r>
      <w:smartTag w:uri="urn:schemas-microsoft-com:office:smarttags" w:element="date">
        <w:r w:rsidR="00835F0E" w:rsidRPr="00FE444F">
          <w:rPr>
            <w:i/>
          </w:rPr>
          <w:t>GPS</w:t>
        </w:r>
      </w:smartTag>
      <w:r w:rsidR="00835F0E" w:rsidRPr="00FE444F">
        <w:rPr>
          <w:i/>
        </w:rPr>
        <w:t xml:space="preserve"> 114</w:t>
      </w:r>
      <w:r w:rsidR="00273472" w:rsidRPr="00FE444F">
        <w:t xml:space="preserve"> </w:t>
      </w:r>
      <w:r w:rsidR="00273472" w:rsidRPr="00FE444F">
        <w:rPr>
          <w:i/>
        </w:rPr>
        <w:t>Capital Adequacy: Asset Risk Charge</w:t>
      </w:r>
      <w:r w:rsidR="00835F0E" w:rsidRPr="00FE444F">
        <w:t>; and</w:t>
      </w:r>
    </w:p>
    <w:p w:rsidR="00835F0E" w:rsidRPr="00FE444F" w:rsidRDefault="00835F0E" w:rsidP="00B76840">
      <w:pPr>
        <w:pStyle w:val="BodyText"/>
        <w:numPr>
          <w:ilvl w:val="0"/>
          <w:numId w:val="12"/>
        </w:numPr>
        <w:tabs>
          <w:tab w:val="clear" w:pos="794"/>
          <w:tab w:val="num" w:pos="1134"/>
        </w:tabs>
        <w:ind w:left="1134" w:hanging="567"/>
      </w:pPr>
      <w:r w:rsidRPr="00FE444F">
        <w:t>the treatment of holdings in related companies representing retained profits that are equity accounted.</w:t>
      </w:r>
    </w:p>
    <w:p w:rsidR="00835F0E" w:rsidRDefault="00835F0E" w:rsidP="0041445E">
      <w:pPr>
        <w:pStyle w:val="BodyText"/>
        <w:numPr>
          <w:ilvl w:val="0"/>
          <w:numId w:val="0"/>
        </w:numPr>
        <w:ind w:left="567"/>
      </w:pPr>
      <w:r w:rsidRPr="00FE444F">
        <w:t>In order to avoid double-counting, any assets which are dealt with in accordance with paragraphs (a) to (c) above in the RCM, may be treated as risk-free or risk-reduced, in a manner agreed with APRA.</w:t>
      </w:r>
    </w:p>
    <w:p w:rsidR="00835F0E" w:rsidRDefault="00835F0E" w:rsidP="00E9151F">
      <w:pPr>
        <w:numPr>
          <w:ilvl w:val="0"/>
          <w:numId w:val="4"/>
        </w:numPr>
        <w:tabs>
          <w:tab w:val="clear" w:pos="360"/>
          <w:tab w:val="num" w:pos="567"/>
        </w:tabs>
        <w:spacing w:after="240"/>
        <w:ind w:left="567" w:hanging="567"/>
      </w:pPr>
      <w:bookmarkStart w:id="9" w:name="_Ref209505831"/>
      <w:r>
        <w:t>The RCM submitted to APRA for approval must include:</w:t>
      </w:r>
      <w:bookmarkEnd w:id="9"/>
    </w:p>
    <w:p w:rsidR="00835F0E" w:rsidRDefault="00835F0E" w:rsidP="00AD6540">
      <w:pPr>
        <w:pStyle w:val="BodyText"/>
        <w:numPr>
          <w:ilvl w:val="0"/>
          <w:numId w:val="13"/>
        </w:numPr>
        <w:tabs>
          <w:tab w:val="clear" w:pos="794"/>
          <w:tab w:val="num" w:pos="1134"/>
        </w:tabs>
        <w:ind w:left="1134" w:hanging="567"/>
      </w:pPr>
      <w:r>
        <w:t>an adequate specification of the version and assumptions of the relevant ECM;</w:t>
      </w:r>
    </w:p>
    <w:p w:rsidR="00835F0E" w:rsidRDefault="00835F0E" w:rsidP="00AD6540">
      <w:pPr>
        <w:pStyle w:val="BodyText"/>
        <w:numPr>
          <w:ilvl w:val="0"/>
          <w:numId w:val="13"/>
        </w:numPr>
        <w:tabs>
          <w:tab w:val="clear" w:pos="794"/>
          <w:tab w:val="num" w:pos="1134"/>
        </w:tabs>
        <w:ind w:left="1134" w:hanging="567"/>
      </w:pPr>
      <w:r>
        <w:t xml:space="preserve">any particular parameters and other implementation rules applied in using the RCM to determine </w:t>
      </w:r>
      <w:r w:rsidR="007B6982">
        <w:t>prescribed</w:t>
      </w:r>
      <w:r w:rsidR="00100EDF">
        <w:t xml:space="preserve"> capital amount</w:t>
      </w:r>
      <w:r>
        <w:t>;</w:t>
      </w:r>
    </w:p>
    <w:p w:rsidR="00835F0E" w:rsidRDefault="00835F0E" w:rsidP="00AD6540">
      <w:pPr>
        <w:pStyle w:val="BodyText"/>
        <w:numPr>
          <w:ilvl w:val="0"/>
          <w:numId w:val="13"/>
        </w:numPr>
        <w:tabs>
          <w:tab w:val="clear" w:pos="794"/>
          <w:tab w:val="num" w:pos="1134"/>
        </w:tabs>
        <w:ind w:left="1134" w:hanging="567"/>
      </w:pPr>
      <w:r>
        <w:t xml:space="preserve">any adjustments required to achieve consistency with the </w:t>
      </w:r>
      <w:r w:rsidR="00100EDF">
        <w:t xml:space="preserve">Standard </w:t>
      </w:r>
      <w:r>
        <w:t>Method as specified in para</w:t>
      </w:r>
      <w:r w:rsidR="00100EDF">
        <w:t>graph</w:t>
      </w:r>
      <w:r>
        <w:t xml:space="preserve"> </w:t>
      </w:r>
      <w:r w:rsidR="0023643D">
        <w:rPr>
          <w:highlight w:val="yellow"/>
        </w:rPr>
        <w:fldChar w:fldCharType="begin"/>
      </w:r>
      <w:r w:rsidR="0023643D">
        <w:instrText xml:space="preserve"> REF _Ref316548880 \r \h </w:instrText>
      </w:r>
      <w:r w:rsidR="0023643D">
        <w:rPr>
          <w:highlight w:val="yellow"/>
        </w:rPr>
      </w:r>
      <w:r w:rsidR="0023643D">
        <w:rPr>
          <w:highlight w:val="yellow"/>
        </w:rPr>
        <w:fldChar w:fldCharType="separate"/>
      </w:r>
      <w:r w:rsidR="006F4784">
        <w:t>29</w:t>
      </w:r>
      <w:r w:rsidR="0023643D">
        <w:rPr>
          <w:highlight w:val="yellow"/>
        </w:rPr>
        <w:fldChar w:fldCharType="end"/>
      </w:r>
      <w:r>
        <w:t>;</w:t>
      </w:r>
    </w:p>
    <w:p w:rsidR="00835F0E" w:rsidRPr="00FD407E" w:rsidRDefault="00835F0E" w:rsidP="00AD6540">
      <w:pPr>
        <w:pStyle w:val="BodyText"/>
        <w:numPr>
          <w:ilvl w:val="0"/>
          <w:numId w:val="13"/>
        </w:numPr>
        <w:tabs>
          <w:tab w:val="clear" w:pos="794"/>
          <w:tab w:val="num" w:pos="1134"/>
        </w:tabs>
        <w:ind w:left="1134" w:hanging="567"/>
      </w:pPr>
      <w:r w:rsidRPr="00FD407E">
        <w:t xml:space="preserve">the addition of </w:t>
      </w:r>
      <w:r w:rsidR="00100EDF" w:rsidRPr="00FD407E">
        <w:t xml:space="preserve">Standard </w:t>
      </w:r>
      <w:r w:rsidRPr="00FD407E">
        <w:t xml:space="preserve">Method </w:t>
      </w:r>
      <w:r w:rsidR="007B6982" w:rsidRPr="00FD407E">
        <w:t>prescribed</w:t>
      </w:r>
      <w:r w:rsidR="00100EDF" w:rsidRPr="00FD407E">
        <w:t xml:space="preserve"> capital amount </w:t>
      </w:r>
      <w:r w:rsidRPr="00FD407E">
        <w:t xml:space="preserve">calculations for any business segments or other elements of the </w:t>
      </w:r>
      <w:r w:rsidR="007B6982" w:rsidRPr="00FD407E">
        <w:t>prescribed</w:t>
      </w:r>
      <w:r w:rsidR="00100EDF" w:rsidRPr="00FD407E">
        <w:t xml:space="preserve"> capital amount</w:t>
      </w:r>
      <w:r w:rsidRPr="00FD407E">
        <w:t xml:space="preserve"> calculation not included in the ECM;</w:t>
      </w:r>
    </w:p>
    <w:p w:rsidR="00835F0E" w:rsidRDefault="00835F0E" w:rsidP="00AD6540">
      <w:pPr>
        <w:pStyle w:val="BodyText"/>
        <w:numPr>
          <w:ilvl w:val="0"/>
          <w:numId w:val="13"/>
        </w:numPr>
        <w:tabs>
          <w:tab w:val="clear" w:pos="794"/>
          <w:tab w:val="num" w:pos="1134"/>
        </w:tabs>
        <w:ind w:left="1134" w:hanging="567"/>
      </w:pPr>
      <w:r>
        <w:t xml:space="preserve">the procedure for determining the </w:t>
      </w:r>
      <w:r w:rsidR="00100EDF">
        <w:t>pr</w:t>
      </w:r>
      <w:r w:rsidR="007B6982">
        <w:t>escribed</w:t>
      </w:r>
      <w:r w:rsidR="00100EDF">
        <w:t xml:space="preserve"> capital amount</w:t>
      </w:r>
      <w:r>
        <w:t xml:space="preserve"> based on the RCM at reporting dates other than the date as at which the annual calibration is undertaken; </w:t>
      </w:r>
    </w:p>
    <w:p w:rsidR="00835F0E" w:rsidRDefault="00835F0E" w:rsidP="00AD6540">
      <w:pPr>
        <w:pStyle w:val="BodyText"/>
        <w:numPr>
          <w:ilvl w:val="0"/>
          <w:numId w:val="13"/>
        </w:numPr>
        <w:tabs>
          <w:tab w:val="clear" w:pos="794"/>
          <w:tab w:val="num" w:pos="1134"/>
        </w:tabs>
        <w:ind w:left="1134" w:hanging="567"/>
      </w:pPr>
      <w:r>
        <w:t>the application of any minima or other conditions imposed by APRA; and</w:t>
      </w:r>
    </w:p>
    <w:p w:rsidR="00835F0E" w:rsidRDefault="00835F0E" w:rsidP="00AD6540">
      <w:pPr>
        <w:pStyle w:val="BodyText"/>
        <w:numPr>
          <w:ilvl w:val="0"/>
          <w:numId w:val="13"/>
        </w:numPr>
        <w:tabs>
          <w:tab w:val="clear" w:pos="794"/>
          <w:tab w:val="num" w:pos="1134"/>
        </w:tabs>
        <w:ind w:left="1134" w:hanging="567"/>
      </w:pPr>
      <w:r>
        <w:t>any other relevant matters that APRA may require.</w:t>
      </w:r>
    </w:p>
    <w:p w:rsidR="00835F0E" w:rsidRDefault="00835F0E" w:rsidP="0041445E">
      <w:pPr>
        <w:pStyle w:val="BodyText"/>
      </w:pPr>
      <w:r w:rsidRPr="003527D2">
        <w:lastRenderedPageBreak/>
        <w:t xml:space="preserve">Once </w:t>
      </w:r>
      <w:r>
        <w:t xml:space="preserve">the modification under subsection 32(3A) comes into effect, </w:t>
      </w:r>
      <w:r w:rsidRPr="003527D2">
        <w:t xml:space="preserve">the </w:t>
      </w:r>
      <w:r w:rsidR="00100EDF">
        <w:t>regulated institution</w:t>
      </w:r>
      <w:r w:rsidRPr="003527D2">
        <w:t xml:space="preserve"> </w:t>
      </w:r>
      <w:r>
        <w:t>must</w:t>
      </w:r>
      <w:r w:rsidRPr="003527D2">
        <w:t xml:space="preserve"> </w:t>
      </w:r>
      <w:r>
        <w:t>determine</w:t>
      </w:r>
      <w:r w:rsidRPr="003527D2">
        <w:t xml:space="preserve"> the </w:t>
      </w:r>
      <w:r w:rsidR="00100EDF">
        <w:t>pr</w:t>
      </w:r>
      <w:r w:rsidR="007B6982">
        <w:t>escribed</w:t>
      </w:r>
      <w:r w:rsidR="00100EDF">
        <w:t xml:space="preserve"> capital amount</w:t>
      </w:r>
      <w:r w:rsidRPr="003527D2">
        <w:t xml:space="preserve"> in accordance with the </w:t>
      </w:r>
      <w:r>
        <w:t>approved RCM</w:t>
      </w:r>
      <w:r w:rsidRPr="003527D2">
        <w:t xml:space="preserve"> until </w:t>
      </w:r>
      <w:r>
        <w:t>APRA varies or revokes its approval.</w:t>
      </w:r>
    </w:p>
    <w:p w:rsidR="00835F0E" w:rsidRDefault="00835F0E" w:rsidP="0041445E">
      <w:pPr>
        <w:pStyle w:val="BodyText"/>
      </w:pPr>
      <w:r>
        <w:t xml:space="preserve">APRA may, at any time by notice in writing to the </w:t>
      </w:r>
      <w:r w:rsidR="00100EDF">
        <w:t>regulated institution</w:t>
      </w:r>
      <w:r>
        <w:t>, vary or revoke its approval</w:t>
      </w:r>
      <w:r>
        <w:rPr>
          <w:rStyle w:val="FootnoteReference"/>
        </w:rPr>
        <w:footnoteReference w:id="5"/>
      </w:r>
      <w:r>
        <w:t>, including where APRA determines that:</w:t>
      </w:r>
    </w:p>
    <w:p w:rsidR="00835F0E" w:rsidRDefault="00835F0E" w:rsidP="0022320C">
      <w:pPr>
        <w:pStyle w:val="BodyText"/>
        <w:numPr>
          <w:ilvl w:val="0"/>
          <w:numId w:val="14"/>
        </w:numPr>
        <w:tabs>
          <w:tab w:val="clear" w:pos="794"/>
          <w:tab w:val="num" w:pos="1134"/>
        </w:tabs>
        <w:ind w:left="1134" w:hanging="567"/>
      </w:pPr>
      <w:r>
        <w:t xml:space="preserve">the </w:t>
      </w:r>
      <w:r w:rsidR="00100EDF">
        <w:t>regulated institution</w:t>
      </w:r>
      <w:r>
        <w:t xml:space="preserve"> has not complied with this Prudential Standard; or</w:t>
      </w:r>
    </w:p>
    <w:p w:rsidR="00835F0E" w:rsidRDefault="00835F0E" w:rsidP="0022320C">
      <w:pPr>
        <w:pStyle w:val="BodyText"/>
        <w:numPr>
          <w:ilvl w:val="0"/>
          <w:numId w:val="14"/>
        </w:numPr>
        <w:tabs>
          <w:tab w:val="clear" w:pos="794"/>
          <w:tab w:val="num" w:pos="1134"/>
        </w:tabs>
        <w:ind w:left="1134" w:hanging="567"/>
      </w:pPr>
      <w:r>
        <w:t xml:space="preserve">it is appropriate having regard to the particular circumstances of the </w:t>
      </w:r>
      <w:r w:rsidR="00100EDF">
        <w:t xml:space="preserve">regulated institution </w:t>
      </w:r>
      <w:r>
        <w:t>to make the variation or revocation.</w:t>
      </w:r>
    </w:p>
    <w:p w:rsidR="00835F0E" w:rsidRDefault="00835F0E" w:rsidP="0041445E">
      <w:pPr>
        <w:pStyle w:val="BodyText"/>
      </w:pPr>
      <w:r>
        <w:t>Where a</w:t>
      </w:r>
      <w:r w:rsidR="00100EDF">
        <w:t xml:space="preserve"> regulated institution</w:t>
      </w:r>
      <w:r>
        <w:t xml:space="preserve"> becomes aware that it is not complying with this </w:t>
      </w:r>
      <w:r w:rsidR="0014254B">
        <w:t xml:space="preserve">Prudential </w:t>
      </w:r>
      <w:r>
        <w:t xml:space="preserve">Standard or with the modification of </w:t>
      </w:r>
      <w:smartTag w:uri="urn:schemas-microsoft-com:office:smarttags" w:element="date">
        <w:r>
          <w:t>GPS</w:t>
        </w:r>
      </w:smartTag>
      <w:r>
        <w:t xml:space="preserve"> 110, the </w:t>
      </w:r>
      <w:r w:rsidR="00100EDF">
        <w:t xml:space="preserve">regulated institution </w:t>
      </w:r>
      <w:r>
        <w:t xml:space="preserve">must as soon as practicable notify APRA and provide a plan for a timely return to compliance. Failure to notify APRA, provide an acceptable plan, satisfactorily implement the plan or demonstrate that the non-compliance is immaterial will result in reconsideration by APRA of the </w:t>
      </w:r>
      <w:r w:rsidR="00100EDF">
        <w:t xml:space="preserve">regulated institution’s </w:t>
      </w:r>
      <w:r>
        <w:t xml:space="preserve">eligibility to use the IMB Method. For the period of any non-compliance APRA may require the </w:t>
      </w:r>
      <w:r w:rsidR="00100EDF">
        <w:t xml:space="preserve">regulated institution </w:t>
      </w:r>
      <w:r>
        <w:t>to hold additional regulatory capital or take other action.</w:t>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Annual Internal Model Report</w:t>
      </w:r>
    </w:p>
    <w:p w:rsidR="00835F0E" w:rsidRDefault="00835F0E" w:rsidP="0041445E">
      <w:pPr>
        <w:pStyle w:val="BodyText"/>
      </w:pPr>
      <w:r>
        <w:t>A</w:t>
      </w:r>
      <w:r w:rsidR="00100EDF">
        <w:t xml:space="preserve"> regulated institution</w:t>
      </w:r>
      <w:r>
        <w:t xml:space="preserve"> with approval to </w:t>
      </w:r>
      <w:r w:rsidR="00B25FE9">
        <w:t xml:space="preserve">use </w:t>
      </w:r>
      <w:r>
        <w:t>the IMB Method</w:t>
      </w:r>
      <w:r w:rsidRPr="003527D2">
        <w:t xml:space="preserve"> must provide </w:t>
      </w:r>
      <w:r>
        <w:t>an</w:t>
      </w:r>
      <w:r w:rsidRPr="003527D2">
        <w:t xml:space="preserve"> </w:t>
      </w:r>
      <w:r w:rsidR="00255178">
        <w:t>‘</w:t>
      </w:r>
      <w:r w:rsidRPr="00255178">
        <w:t>Internal Model Report</w:t>
      </w:r>
      <w:r w:rsidR="00255178">
        <w:t>’</w:t>
      </w:r>
      <w:r w:rsidRPr="003527D2">
        <w:t xml:space="preserve"> to APRA </w:t>
      </w:r>
      <w:r>
        <w:t>annually (</w:t>
      </w:r>
      <w:r w:rsidRPr="003527D2">
        <w:t xml:space="preserve">or more </w:t>
      </w:r>
      <w:r>
        <w:t xml:space="preserve">or less </w:t>
      </w:r>
      <w:r w:rsidRPr="003527D2">
        <w:t>frequent</w:t>
      </w:r>
      <w:r>
        <w:t>ly</w:t>
      </w:r>
      <w:r w:rsidRPr="003527D2">
        <w:t xml:space="preserve"> </w:t>
      </w:r>
      <w:r>
        <w:t xml:space="preserve">as specified by APRA). An annual Internal Model Report must be submitted to APRA on or before the date that the </w:t>
      </w:r>
      <w:r w:rsidRPr="00100EDF">
        <w:rPr>
          <w:b/>
        </w:rPr>
        <w:t>Insurance Liability Valuation Report</w:t>
      </w:r>
      <w:r>
        <w:t xml:space="preserve"> is due to be submitted to APRA in accordance with </w:t>
      </w:r>
      <w:r w:rsidRPr="0023643D">
        <w:rPr>
          <w:i/>
        </w:rPr>
        <w:t xml:space="preserve">Prudential Standard </w:t>
      </w:r>
      <w:smartTag w:uri="urn:schemas-microsoft-com:office:smarttags" w:element="date">
        <w:r w:rsidRPr="0023643D">
          <w:rPr>
            <w:i/>
          </w:rPr>
          <w:t>GPS</w:t>
        </w:r>
      </w:smartTag>
      <w:r w:rsidRPr="0023643D">
        <w:rPr>
          <w:i/>
        </w:rPr>
        <w:t xml:space="preserve"> 3</w:t>
      </w:r>
      <w:r w:rsidR="0023643D" w:rsidRPr="0023643D">
        <w:rPr>
          <w:i/>
        </w:rPr>
        <w:t>2</w:t>
      </w:r>
      <w:r w:rsidRPr="0023643D">
        <w:rPr>
          <w:i/>
        </w:rPr>
        <w:t xml:space="preserve">0 Actuarial </w:t>
      </w:r>
      <w:r w:rsidR="0023643D" w:rsidRPr="0023643D">
        <w:rPr>
          <w:i/>
        </w:rPr>
        <w:t>and Related Matters</w:t>
      </w:r>
      <w:r w:rsidRPr="0023643D">
        <w:t>.</w:t>
      </w:r>
      <w:r>
        <w:t xml:space="preserve"> </w:t>
      </w:r>
      <w:r w:rsidR="00B25FE9">
        <w:t>Where</w:t>
      </w:r>
      <w:r w:rsidR="00DF51EB">
        <w:t xml:space="preserve"> a</w:t>
      </w:r>
      <w:r w:rsidR="006868A2">
        <w:t>n</w:t>
      </w:r>
      <w:r w:rsidR="00B25FE9">
        <w:t xml:space="preserve"> </w:t>
      </w:r>
      <w:r w:rsidRPr="00FD407E">
        <w:t xml:space="preserve">Internal Model Report </w:t>
      </w:r>
      <w:r w:rsidR="00B25FE9">
        <w:t xml:space="preserve">is required at an interval other that a 12 monthly interval, the Internal Model Report </w:t>
      </w:r>
      <w:r w:rsidRPr="00FD407E">
        <w:t>must be submitted within the timeframe specified by APRA.</w:t>
      </w:r>
      <w:r>
        <w:t xml:space="preserve"> The scope of the Internal Model Report must be agreed between the </w:t>
      </w:r>
      <w:r w:rsidR="00100EDF">
        <w:t>regulated institution</w:t>
      </w:r>
      <w:r>
        <w:t xml:space="preserve"> and APRA prior to its preparation.</w:t>
      </w:r>
    </w:p>
    <w:p w:rsidR="00835F0E" w:rsidRPr="001A69A4" w:rsidRDefault="00835F0E" w:rsidP="00835F0E">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Material changes</w:t>
      </w:r>
    </w:p>
    <w:p w:rsidR="00835F0E" w:rsidRPr="003527D2" w:rsidRDefault="00835F0E" w:rsidP="0041445E">
      <w:pPr>
        <w:pStyle w:val="BodyText"/>
      </w:pPr>
      <w:r w:rsidRPr="003527D2">
        <w:t>A</w:t>
      </w:r>
      <w:r w:rsidR="00100EDF">
        <w:t xml:space="preserve"> regulated institution</w:t>
      </w:r>
      <w:r>
        <w:t xml:space="preserve"> </w:t>
      </w:r>
      <w:r w:rsidRPr="003527D2">
        <w:t xml:space="preserve">with approval for use of the IMB Method must advise APRA in advance of any material changes to </w:t>
      </w:r>
      <w:r>
        <w:t>the</w:t>
      </w:r>
      <w:r w:rsidRPr="003527D2">
        <w:t xml:space="preserve"> </w:t>
      </w:r>
      <w:r>
        <w:t>ECM</w:t>
      </w:r>
      <w:r w:rsidRPr="003527D2">
        <w:t xml:space="preserve"> or surrounding controls</w:t>
      </w:r>
      <w:r>
        <w:t xml:space="preserve"> that are relevant to the RCM</w:t>
      </w:r>
      <w:r w:rsidRPr="003527D2">
        <w:t>.</w:t>
      </w:r>
      <w:r>
        <w:t xml:space="preserve"> APRA may require the </w:t>
      </w:r>
      <w:r w:rsidR="00100EDF">
        <w:t xml:space="preserve">regulated institution </w:t>
      </w:r>
      <w:r>
        <w:t xml:space="preserve">to make a new approval application, including independent review in the same manner as required under paragraph </w:t>
      </w:r>
      <w:r w:rsidR="0023643D" w:rsidRPr="0023643D">
        <w:fldChar w:fldCharType="begin"/>
      </w:r>
      <w:r w:rsidR="0023643D" w:rsidRPr="0023643D">
        <w:instrText xml:space="preserve"> REF _Ref316548915 \r \h </w:instrText>
      </w:r>
      <w:r w:rsidR="0023643D">
        <w:instrText xml:space="preserve"> \* MERGEFORMAT </w:instrText>
      </w:r>
      <w:r w:rsidR="0023643D" w:rsidRPr="0023643D">
        <w:fldChar w:fldCharType="separate"/>
      </w:r>
      <w:r w:rsidR="006F4784">
        <w:t>14</w:t>
      </w:r>
      <w:r w:rsidR="0023643D" w:rsidRPr="0023643D">
        <w:fldChar w:fldCharType="end"/>
      </w:r>
      <w:r w:rsidRPr="0023643D">
        <w:t>(h),</w:t>
      </w:r>
      <w:r>
        <w:t xml:space="preserve"> in circumstances including</w:t>
      </w:r>
      <w:r w:rsidRPr="003527D2">
        <w:t>:</w:t>
      </w:r>
    </w:p>
    <w:p w:rsidR="00835F0E" w:rsidRDefault="00835F0E" w:rsidP="0022320C">
      <w:pPr>
        <w:pStyle w:val="BodyText"/>
        <w:numPr>
          <w:ilvl w:val="0"/>
          <w:numId w:val="15"/>
        </w:numPr>
        <w:tabs>
          <w:tab w:val="clear" w:pos="794"/>
          <w:tab w:val="num" w:pos="1134"/>
        </w:tabs>
        <w:ind w:left="1134" w:hanging="567"/>
      </w:pPr>
      <w:r>
        <w:t>m</w:t>
      </w:r>
      <w:r w:rsidRPr="003527D2">
        <w:t>aterial changes to the model or parameters</w:t>
      </w:r>
      <w:r>
        <w:t>;</w:t>
      </w:r>
    </w:p>
    <w:p w:rsidR="00835F0E" w:rsidRPr="003527D2" w:rsidRDefault="00835F0E" w:rsidP="0022320C">
      <w:pPr>
        <w:pStyle w:val="BodyText"/>
        <w:numPr>
          <w:ilvl w:val="0"/>
          <w:numId w:val="15"/>
        </w:numPr>
        <w:tabs>
          <w:tab w:val="clear" w:pos="794"/>
          <w:tab w:val="num" w:pos="1134"/>
        </w:tabs>
        <w:ind w:left="1134" w:hanging="567"/>
      </w:pPr>
      <w:r>
        <w:t>m</w:t>
      </w:r>
      <w:r w:rsidRPr="003527D2">
        <w:t xml:space="preserve">aterial changes to the business of the </w:t>
      </w:r>
      <w:r w:rsidR="00DB7557">
        <w:t>regulated institution</w:t>
      </w:r>
      <w:r>
        <w:t>, e.g. material acquisitions or disposals; or</w:t>
      </w:r>
    </w:p>
    <w:p w:rsidR="00835F0E" w:rsidRDefault="00835F0E" w:rsidP="0022320C">
      <w:pPr>
        <w:pStyle w:val="BodyText"/>
        <w:numPr>
          <w:ilvl w:val="0"/>
          <w:numId w:val="15"/>
        </w:numPr>
        <w:tabs>
          <w:tab w:val="clear" w:pos="794"/>
          <w:tab w:val="num" w:pos="1134"/>
        </w:tabs>
        <w:ind w:left="1134" w:hanging="567"/>
      </w:pPr>
      <w:r>
        <w:t>such other circumstances as APRA may determine.</w:t>
      </w:r>
      <w:r w:rsidRPr="003527D2">
        <w:t xml:space="preserve"> </w:t>
      </w:r>
    </w:p>
    <w:p w:rsidR="00835F0E" w:rsidRPr="00FE444F" w:rsidRDefault="00835F0E" w:rsidP="00835F0E">
      <w:pPr>
        <w:pStyle w:val="Heading3"/>
        <w:keepLines/>
        <w:spacing w:before="120" w:after="240"/>
        <w:jc w:val="both"/>
        <w:rPr>
          <w:rFonts w:cs="Times New Roman"/>
          <w:bCs w:val="0"/>
          <w:snapToGrid w:val="0"/>
          <w:sz w:val="24"/>
          <w:szCs w:val="24"/>
          <w:lang w:eastAsia="en-US"/>
        </w:rPr>
      </w:pPr>
      <w:r w:rsidRPr="00FE444F">
        <w:rPr>
          <w:rFonts w:cs="Times New Roman"/>
          <w:bCs w:val="0"/>
          <w:snapToGrid w:val="0"/>
          <w:sz w:val="24"/>
          <w:szCs w:val="24"/>
          <w:lang w:eastAsia="en-US"/>
        </w:rPr>
        <w:lastRenderedPageBreak/>
        <w:t>Disclosure</w:t>
      </w:r>
    </w:p>
    <w:p w:rsidR="00835F0E" w:rsidRPr="00FE444F" w:rsidRDefault="00835F0E" w:rsidP="0041445E">
      <w:pPr>
        <w:pStyle w:val="BodyText"/>
      </w:pPr>
      <w:r w:rsidRPr="00FE444F">
        <w:t>GPS 110 require</w:t>
      </w:r>
      <w:r w:rsidR="00100EDF" w:rsidRPr="00FE444F">
        <w:t>s</w:t>
      </w:r>
      <w:r w:rsidRPr="00FE444F">
        <w:t xml:space="preserve"> </w:t>
      </w:r>
      <w:r w:rsidR="00100EDF" w:rsidRPr="00FE444F">
        <w:t xml:space="preserve">regulated institutions </w:t>
      </w:r>
      <w:r w:rsidRPr="00FE444F">
        <w:t>to disclose certain information about capital</w:t>
      </w:r>
      <w:r w:rsidR="005C56A8" w:rsidRPr="00FE444F">
        <w:t xml:space="preserve"> adequacy</w:t>
      </w:r>
      <w:r w:rsidRPr="00FE444F">
        <w:t>. If a</w:t>
      </w:r>
      <w:r w:rsidR="00100EDF" w:rsidRPr="00FE444F">
        <w:t xml:space="preserve"> regulated institution</w:t>
      </w:r>
      <w:r w:rsidRPr="00FE444F">
        <w:t xml:space="preserve"> uses the IMB method, the disclosure</w:t>
      </w:r>
      <w:r w:rsidR="008215B9" w:rsidRPr="00FE444F">
        <w:t xml:space="preserve"> </w:t>
      </w:r>
      <w:r w:rsidR="00B25FE9" w:rsidRPr="00FE444F">
        <w:t xml:space="preserve">must </w:t>
      </w:r>
      <w:r w:rsidR="008215B9" w:rsidRPr="00FE444F">
        <w:t>satisfy the criteria outlined in GPS 110</w:t>
      </w:r>
      <w:r w:rsidR="00B25FE9" w:rsidRPr="00FE444F">
        <w:t xml:space="preserve"> and </w:t>
      </w:r>
      <w:r w:rsidRPr="00FE444F">
        <w:t xml:space="preserve">must include a statement </w:t>
      </w:r>
      <w:r w:rsidR="00B25FE9" w:rsidRPr="00FE444F">
        <w:t xml:space="preserve">disclosing </w:t>
      </w:r>
      <w:r w:rsidR="008215B9" w:rsidRPr="00FE444F">
        <w:t xml:space="preserve">the use of the IMB </w:t>
      </w:r>
      <w:r w:rsidR="002E3435">
        <w:t>M</w:t>
      </w:r>
      <w:r w:rsidR="008215B9" w:rsidRPr="00FE444F">
        <w:t>ethod</w:t>
      </w:r>
      <w:r w:rsidR="00B25FE9" w:rsidRPr="00FE444F">
        <w:t xml:space="preserve">. The disclosure must include </w:t>
      </w:r>
      <w:r w:rsidRPr="00FE444F">
        <w:t xml:space="preserve">the relevant </w:t>
      </w:r>
      <w:r w:rsidR="00100EDF" w:rsidRPr="00FE444F">
        <w:t>pr</w:t>
      </w:r>
      <w:r w:rsidR="007B6982" w:rsidRPr="00FE444F">
        <w:t>escribed</w:t>
      </w:r>
      <w:r w:rsidR="00100EDF" w:rsidRPr="00FE444F">
        <w:t xml:space="preserve"> capital amount </w:t>
      </w:r>
      <w:r w:rsidRPr="00FE444F">
        <w:t xml:space="preserve">calculations using both the IMB Method and the </w:t>
      </w:r>
      <w:r w:rsidR="00100EDF" w:rsidRPr="00FE444F">
        <w:t xml:space="preserve">Standard </w:t>
      </w:r>
      <w:r w:rsidRPr="00FE444F">
        <w:t xml:space="preserve">Method. APRA does not expect this disclosure to give rise to a need for external audit of the RCM. </w:t>
      </w:r>
    </w:p>
    <w:p w:rsidR="004A608B" w:rsidRPr="0041445E" w:rsidRDefault="004A608B" w:rsidP="0041445E">
      <w:pPr>
        <w:pStyle w:val="Heading"/>
        <w:tabs>
          <w:tab w:val="left" w:pos="5715"/>
        </w:tabs>
        <w:spacing w:before="120" w:after="240"/>
        <w:rPr>
          <w:rFonts w:ascii="Arial" w:hAnsi="Arial"/>
          <w:bCs/>
          <w:sz w:val="24"/>
          <w:szCs w:val="24"/>
        </w:rPr>
      </w:pPr>
      <w:r w:rsidRPr="0041445E">
        <w:rPr>
          <w:rFonts w:ascii="Arial" w:hAnsi="Arial"/>
          <w:bCs/>
          <w:sz w:val="24"/>
          <w:szCs w:val="24"/>
        </w:rPr>
        <w:t>Adjustments and exclusions</w:t>
      </w:r>
    </w:p>
    <w:p w:rsidR="004A608B" w:rsidRDefault="004A608B" w:rsidP="0041445E">
      <w:pPr>
        <w:pStyle w:val="BodyText"/>
      </w:pPr>
      <w:r>
        <w:t>APRA may, by notice in writing to a regulated institution, adjust or exclude a specific requirement of this Prudential Standard in relation to that regulated institution.</w:t>
      </w:r>
    </w:p>
    <w:p w:rsidR="004A608B" w:rsidRPr="005B5DD2" w:rsidRDefault="004A608B" w:rsidP="004A608B">
      <w:pPr>
        <w:pStyle w:val="Heading"/>
        <w:tabs>
          <w:tab w:val="left" w:pos="5715"/>
        </w:tabs>
        <w:spacing w:before="120" w:after="240"/>
        <w:rPr>
          <w:rFonts w:ascii="Arial" w:hAnsi="Arial"/>
          <w:bCs/>
          <w:sz w:val="24"/>
          <w:szCs w:val="24"/>
        </w:rPr>
      </w:pPr>
      <w:r w:rsidRPr="005B5DD2">
        <w:rPr>
          <w:rFonts w:ascii="Arial" w:hAnsi="Arial"/>
          <w:bCs/>
          <w:sz w:val="24"/>
          <w:szCs w:val="24"/>
        </w:rPr>
        <w:t xml:space="preserve">Determinations made under previous </w:t>
      </w:r>
      <w:r>
        <w:rPr>
          <w:rFonts w:ascii="Arial" w:hAnsi="Arial"/>
          <w:bCs/>
          <w:sz w:val="24"/>
          <w:szCs w:val="24"/>
        </w:rPr>
        <w:t>prudential standards</w:t>
      </w:r>
    </w:p>
    <w:p w:rsidR="004A608B" w:rsidRPr="008E6303" w:rsidRDefault="004A608B" w:rsidP="008E6303">
      <w:pPr>
        <w:pStyle w:val="BodyText"/>
        <w:rPr>
          <w:i/>
          <w:color w:val="FF0000"/>
        </w:rPr>
      </w:pPr>
      <w:r w:rsidRPr="009A0B1E">
        <w:t xml:space="preserve">An exercise of APRA’s discretion (such as an approval, waiver or direction) under a previous version of </w:t>
      </w:r>
      <w:r w:rsidR="00701B9C">
        <w:t>this</w:t>
      </w:r>
      <w:r>
        <w:t xml:space="preserve"> </w:t>
      </w:r>
      <w:r w:rsidRPr="009A0B1E">
        <w:t xml:space="preserve">Prudential Standard continues to have effect as though exercised pursuant to a corresponding power (if any) exercisable by APRA under this Prudential Standard. </w:t>
      </w:r>
    </w:p>
    <w:p w:rsidR="00A66F3B" w:rsidRDefault="00A66F3B">
      <w:pPr>
        <w:rPr>
          <w:rFonts w:ascii="Arial" w:hAnsi="Arial" w:cs="Arial"/>
          <w:b/>
          <w:bCs/>
          <w:iCs/>
          <w:snapToGrid w:val="0"/>
          <w:szCs w:val="24"/>
          <w:lang w:eastAsia="en-US"/>
        </w:rPr>
      </w:pPr>
      <w:r>
        <w:rPr>
          <w:rFonts w:ascii="Arial" w:hAnsi="Arial" w:cs="Arial"/>
          <w:b/>
          <w:bCs/>
          <w:iCs/>
          <w:snapToGrid w:val="0"/>
          <w:szCs w:val="24"/>
          <w:lang w:eastAsia="en-US"/>
        </w:rPr>
        <w:br w:type="page"/>
      </w:r>
    </w:p>
    <w:p w:rsidR="00835F0E" w:rsidRPr="007C3085" w:rsidRDefault="00835F0E" w:rsidP="007C3085">
      <w:pPr>
        <w:spacing w:before="120" w:after="240"/>
        <w:rPr>
          <w:rFonts w:ascii="Arial" w:hAnsi="Arial" w:cs="Arial"/>
          <w:b/>
          <w:szCs w:val="24"/>
        </w:rPr>
      </w:pPr>
      <w:r w:rsidRPr="007C3085">
        <w:rPr>
          <w:rFonts w:ascii="Arial" w:hAnsi="Arial" w:cs="Arial"/>
          <w:b/>
          <w:bCs/>
          <w:iCs/>
          <w:snapToGrid w:val="0"/>
          <w:szCs w:val="24"/>
          <w:lang w:eastAsia="en-US"/>
        </w:rPr>
        <w:lastRenderedPageBreak/>
        <w:t xml:space="preserve">Attachment </w:t>
      </w:r>
      <w:r w:rsidR="00100EDF" w:rsidRPr="007C3085">
        <w:rPr>
          <w:rFonts w:ascii="Arial" w:hAnsi="Arial" w:cs="Arial"/>
          <w:b/>
          <w:bCs/>
          <w:iCs/>
          <w:snapToGrid w:val="0"/>
          <w:szCs w:val="24"/>
          <w:lang w:eastAsia="en-US"/>
        </w:rPr>
        <w:t>A</w:t>
      </w:r>
    </w:p>
    <w:p w:rsidR="00835F0E" w:rsidRDefault="00835F0E" w:rsidP="007C3085">
      <w:pPr>
        <w:spacing w:after="240"/>
        <w:jc w:val="both"/>
      </w:pPr>
      <w:r>
        <w:t xml:space="preserve">Paragraph </w:t>
      </w:r>
      <w:r w:rsidR="000D3994">
        <w:fldChar w:fldCharType="begin"/>
      </w:r>
      <w:r w:rsidR="000D3994">
        <w:instrText xml:space="preserve"> REF _Ref316548949 \r \h </w:instrText>
      </w:r>
      <w:r w:rsidR="000D3994">
        <w:fldChar w:fldCharType="separate"/>
      </w:r>
      <w:r w:rsidR="006F4784">
        <w:t>15</w:t>
      </w:r>
      <w:r w:rsidR="000D3994">
        <w:fldChar w:fldCharType="end"/>
      </w:r>
      <w:r>
        <w:t xml:space="preserve"> of this </w:t>
      </w:r>
      <w:r w:rsidR="0042335D">
        <w:t>Prudential S</w:t>
      </w:r>
      <w:r>
        <w:t xml:space="preserve">tandard relating to the use test, and paragraph </w:t>
      </w:r>
      <w:r w:rsidR="000D3994">
        <w:fldChar w:fldCharType="begin"/>
      </w:r>
      <w:r w:rsidR="000D3994">
        <w:instrText xml:space="preserve"> REF _Ref316548975 \r \h </w:instrText>
      </w:r>
      <w:r w:rsidR="000D3994">
        <w:fldChar w:fldCharType="separate"/>
      </w:r>
      <w:r w:rsidR="006F4784">
        <w:t>25</w:t>
      </w:r>
      <w:r w:rsidR="000D3994">
        <w:fldChar w:fldCharType="end"/>
      </w:r>
      <w:r>
        <w:t xml:space="preserve"> </w:t>
      </w:r>
      <w:r w:rsidR="00437CD1">
        <w:t xml:space="preserve">of this Prudential Standard </w:t>
      </w:r>
      <w:r>
        <w:t xml:space="preserve">relating to the application process refer to the indicators listed in this </w:t>
      </w:r>
      <w:r w:rsidR="00225690">
        <w:t>Attachment</w:t>
      </w:r>
      <w:r>
        <w:t>.</w:t>
      </w:r>
    </w:p>
    <w:p w:rsidR="00835F0E" w:rsidRPr="001A69A4" w:rsidRDefault="00835F0E" w:rsidP="007C3085">
      <w:pPr>
        <w:pStyle w:val="Heading3"/>
        <w:keepLines/>
        <w:spacing w:before="120" w:after="240"/>
        <w:jc w:val="both"/>
        <w:rPr>
          <w:rFonts w:cs="Times New Roman"/>
          <w:bCs w:val="0"/>
          <w:snapToGrid w:val="0"/>
          <w:sz w:val="24"/>
          <w:szCs w:val="24"/>
          <w:lang w:eastAsia="en-US"/>
        </w:rPr>
      </w:pPr>
      <w:r w:rsidRPr="001A69A4">
        <w:rPr>
          <w:rFonts w:cs="Times New Roman"/>
          <w:bCs w:val="0"/>
          <w:snapToGrid w:val="0"/>
          <w:sz w:val="24"/>
          <w:szCs w:val="24"/>
          <w:lang w:eastAsia="en-US"/>
        </w:rPr>
        <w:t>Indicators</w:t>
      </w:r>
    </w:p>
    <w:p w:rsidR="00835F0E" w:rsidRDefault="00835F0E" w:rsidP="000D3994">
      <w:pPr>
        <w:pStyle w:val="ListParagraph"/>
        <w:numPr>
          <w:ilvl w:val="3"/>
          <w:numId w:val="19"/>
        </w:numPr>
        <w:spacing w:after="240"/>
        <w:ind w:left="567" w:hanging="567"/>
        <w:contextualSpacing w:val="0"/>
        <w:jc w:val="both"/>
      </w:pPr>
      <w:bookmarkStart w:id="10" w:name="_Ref386722975"/>
      <w:r>
        <w:t xml:space="preserve">Inclusion of all the major risk types in the </w:t>
      </w:r>
      <w:r w:rsidR="00100EDF">
        <w:t xml:space="preserve">regulated institution’s </w:t>
      </w:r>
      <w:r>
        <w:t xml:space="preserve">risk management framework. Relation between the risk appetite of the </w:t>
      </w:r>
      <w:r w:rsidR="00100EDF">
        <w:t xml:space="preserve">regulated institution </w:t>
      </w:r>
      <w:r>
        <w:t>and its capital requirements and expected shareholder returns.  Linkages with external credit ratings.</w:t>
      </w:r>
      <w:bookmarkEnd w:id="10"/>
    </w:p>
    <w:p w:rsidR="00835F0E" w:rsidRDefault="00835F0E" w:rsidP="000D3994">
      <w:pPr>
        <w:pStyle w:val="ListParagraph"/>
        <w:numPr>
          <w:ilvl w:val="3"/>
          <w:numId w:val="19"/>
        </w:numPr>
        <w:spacing w:after="240"/>
        <w:ind w:left="567" w:hanging="567"/>
        <w:contextualSpacing w:val="0"/>
        <w:jc w:val="both"/>
      </w:pPr>
      <w:bookmarkStart w:id="11" w:name="_Ref386722984"/>
      <w:r>
        <w:t xml:space="preserve">Inclusion of definitions and methodologies for all significant risk types that are applied consistently across business units in the </w:t>
      </w:r>
      <w:r w:rsidR="00100EDF">
        <w:t xml:space="preserve">regulated institution’s </w:t>
      </w:r>
      <w:r>
        <w:t>risk management framework. Usage of a coherent framework for measuring all risk types.</w:t>
      </w:r>
      <w:bookmarkEnd w:id="11"/>
    </w:p>
    <w:p w:rsidR="00835F0E" w:rsidRDefault="00835F0E" w:rsidP="000D3994">
      <w:pPr>
        <w:pStyle w:val="ListParagraph"/>
        <w:numPr>
          <w:ilvl w:val="3"/>
          <w:numId w:val="19"/>
        </w:numPr>
        <w:spacing w:after="240"/>
        <w:ind w:left="567" w:hanging="567"/>
        <w:contextualSpacing w:val="0"/>
        <w:jc w:val="both"/>
      </w:pPr>
      <w:r>
        <w:t xml:space="preserve">Existence of risk tolerances, risk limits and delegations across the organisation, and the extent to which they are established by reference to the information referred to in </w:t>
      </w:r>
      <w:r w:rsidR="00100EDF">
        <w:t>paragraphs</w:t>
      </w:r>
      <w:r>
        <w:t xml:space="preserve"> </w:t>
      </w:r>
      <w:r w:rsidR="000D3994">
        <w:fldChar w:fldCharType="begin"/>
      </w:r>
      <w:r w:rsidR="000D3994">
        <w:instrText xml:space="preserve"> REF _Ref386722975 \r \h </w:instrText>
      </w:r>
      <w:r w:rsidR="000D3994">
        <w:fldChar w:fldCharType="separate"/>
      </w:r>
      <w:r w:rsidR="006F4784">
        <w:t>1</w:t>
      </w:r>
      <w:r w:rsidR="000D3994">
        <w:fldChar w:fldCharType="end"/>
      </w:r>
      <w:r>
        <w:t xml:space="preserve"> and </w:t>
      </w:r>
      <w:r w:rsidR="000D3994">
        <w:fldChar w:fldCharType="begin"/>
      </w:r>
      <w:r w:rsidR="000D3994">
        <w:instrText xml:space="preserve"> REF _Ref386722984 \r \h </w:instrText>
      </w:r>
      <w:r w:rsidR="000D3994">
        <w:fldChar w:fldCharType="separate"/>
      </w:r>
      <w:r w:rsidR="006F4784">
        <w:t>2</w:t>
      </w:r>
      <w:r w:rsidR="000D3994">
        <w:fldChar w:fldCharType="end"/>
      </w:r>
      <w:r>
        <w:t xml:space="preserve"> </w:t>
      </w:r>
      <w:r w:rsidR="00100EDF">
        <w:t xml:space="preserve">of this </w:t>
      </w:r>
      <w:r w:rsidR="00225690">
        <w:t>Attachment</w:t>
      </w:r>
      <w:r>
        <w:t>.</w:t>
      </w:r>
    </w:p>
    <w:p w:rsidR="00835F0E" w:rsidRDefault="00835F0E" w:rsidP="000D3994">
      <w:pPr>
        <w:pStyle w:val="ListParagraph"/>
        <w:numPr>
          <w:ilvl w:val="3"/>
          <w:numId w:val="19"/>
        </w:numPr>
        <w:spacing w:after="240"/>
        <w:ind w:left="567" w:hanging="567"/>
        <w:contextualSpacing w:val="0"/>
        <w:jc w:val="both"/>
      </w:pPr>
      <w:r>
        <w:t xml:space="preserve">The extent to which the </w:t>
      </w:r>
      <w:r w:rsidR="00DB7557">
        <w:t xml:space="preserve">regulated institution </w:t>
      </w:r>
      <w:r>
        <w:t>has developed and is using a Board-approved economic capital model as an integral part of its capital management framework and separately from any regulatory need.</w:t>
      </w:r>
    </w:p>
    <w:p w:rsidR="00835F0E" w:rsidRDefault="00835F0E" w:rsidP="000D3994">
      <w:pPr>
        <w:pStyle w:val="ListParagraph"/>
        <w:numPr>
          <w:ilvl w:val="3"/>
          <w:numId w:val="19"/>
        </w:numPr>
        <w:spacing w:after="240"/>
        <w:ind w:left="567" w:hanging="567"/>
        <w:contextualSpacing w:val="0"/>
        <w:jc w:val="both"/>
      </w:pPr>
      <w:r>
        <w:t>A Board-approved process for determining a ‘cost of capital’ and required hurdle rate(s) of return for evaluating business strategies, opportunities and product pricing. The extent to which this information is applied consistently across all the business units.</w:t>
      </w:r>
    </w:p>
    <w:p w:rsidR="00835F0E" w:rsidRDefault="00835F0E" w:rsidP="000D3994">
      <w:pPr>
        <w:pStyle w:val="ListParagraph"/>
        <w:numPr>
          <w:ilvl w:val="3"/>
          <w:numId w:val="19"/>
        </w:numPr>
        <w:spacing w:after="240"/>
        <w:ind w:left="567" w:hanging="567"/>
        <w:contextualSpacing w:val="0"/>
        <w:jc w:val="both"/>
      </w:pPr>
      <w:r>
        <w:t>The extent to which the evaluation of new business initiatives (including acquisition and expansion plans) is based on projected returns and the economic capital required to support these initiatives. The extent to which the economic capital is based on the economic capital model and other considerations.</w:t>
      </w:r>
    </w:p>
    <w:p w:rsidR="00835F0E" w:rsidRDefault="00835F0E" w:rsidP="000D3994">
      <w:pPr>
        <w:pStyle w:val="ListParagraph"/>
        <w:numPr>
          <w:ilvl w:val="3"/>
          <w:numId w:val="19"/>
        </w:numPr>
        <w:spacing w:after="240"/>
        <w:ind w:left="567" w:hanging="567"/>
        <w:contextualSpacing w:val="0"/>
        <w:jc w:val="both"/>
      </w:pPr>
      <w:r>
        <w:t>The extent to which the setting and monitoring of the product pricing is influenced by the economic capital allocated and the required returns relative to that capital.</w:t>
      </w:r>
    </w:p>
    <w:p w:rsidR="00835F0E" w:rsidRDefault="00835F0E" w:rsidP="000D3994">
      <w:pPr>
        <w:pStyle w:val="ListParagraph"/>
        <w:numPr>
          <w:ilvl w:val="3"/>
          <w:numId w:val="19"/>
        </w:numPr>
        <w:spacing w:after="240"/>
        <w:ind w:left="567" w:hanging="567"/>
        <w:contextualSpacing w:val="0"/>
        <w:jc w:val="both"/>
      </w:pPr>
      <w:r>
        <w:t>The extent to which capital allocation for business units and products is based on the underlying risks as reflected in the economic capital model. Demonstration that the assessment of business unit performance is based on return on allocated capital and/or other risk-based measures.</w:t>
      </w:r>
    </w:p>
    <w:p w:rsidR="00AD7DDC" w:rsidRPr="00AD7DDC" w:rsidRDefault="00835F0E" w:rsidP="000D3994">
      <w:pPr>
        <w:pStyle w:val="Footer"/>
        <w:numPr>
          <w:ilvl w:val="3"/>
          <w:numId w:val="19"/>
        </w:numPr>
        <w:spacing w:after="240"/>
        <w:ind w:left="567" w:hanging="567"/>
        <w:jc w:val="both"/>
      </w:pPr>
      <w:r>
        <w:t>The extent to which performance and incentive remuneration of key executives is influenced by risk based measures, including economic capital allocation.</w:t>
      </w:r>
    </w:p>
    <w:sectPr w:rsidR="00AD7DDC" w:rsidRPr="00AD7DDC" w:rsidSect="00856091">
      <w:headerReference w:type="default" r:id="rId12"/>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F21" w:rsidRDefault="00133F21">
      <w:r>
        <w:separator/>
      </w:r>
    </w:p>
    <w:p w:rsidR="00133F21" w:rsidRDefault="00133F21"/>
  </w:endnote>
  <w:endnote w:type="continuationSeparator" w:id="0">
    <w:p w:rsidR="00133F21" w:rsidRDefault="00133F21">
      <w:r>
        <w:continuationSeparator/>
      </w:r>
    </w:p>
    <w:p w:rsidR="00133F21" w:rsidRDefault="00133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10" w:rsidRDefault="00F31710">
    <w:pPr>
      <w:pStyle w:val="Footer"/>
      <w:jc w:val="right"/>
    </w:pPr>
  </w:p>
  <w:p w:rsidR="00D07765" w:rsidRPr="001A69A4" w:rsidRDefault="00D07765" w:rsidP="00856091">
    <w:pPr>
      <w:pStyle w:val="Footer"/>
      <w:ind w:right="360"/>
      <w:jc w:val="center"/>
      <w:rPr>
        <w:b/>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171308"/>
      <w:docPartObj>
        <w:docPartGallery w:val="Page Numbers (Bottom of Page)"/>
        <w:docPartUnique/>
      </w:docPartObj>
    </w:sdtPr>
    <w:sdtEndPr/>
    <w:sdtContent>
      <w:sdt>
        <w:sdtPr>
          <w:rPr>
            <w:b/>
          </w:rPr>
          <w:id w:val="492844859"/>
          <w:docPartObj>
            <w:docPartGallery w:val="Page Numbers (Top of Page)"/>
            <w:docPartUnique/>
          </w:docPartObj>
        </w:sdtPr>
        <w:sdtEndPr>
          <w:rPr>
            <w:b w:val="0"/>
          </w:rPr>
        </w:sdtEndPr>
        <w:sdtContent>
          <w:p w:rsidR="00F31710" w:rsidRDefault="00F31710">
            <w:pPr>
              <w:pStyle w:val="Footer"/>
              <w:jc w:val="right"/>
            </w:pPr>
            <w:r w:rsidRPr="00F31710">
              <w:rPr>
                <w:b/>
              </w:rPr>
              <w:t xml:space="preserve">GPS 113 - </w:t>
            </w:r>
            <w:r w:rsidRPr="00F31710">
              <w:rPr>
                <w:b/>
                <w:bCs/>
                <w:szCs w:val="24"/>
              </w:rPr>
              <w:fldChar w:fldCharType="begin"/>
            </w:r>
            <w:r w:rsidRPr="00F31710">
              <w:rPr>
                <w:b/>
                <w:bCs/>
              </w:rPr>
              <w:instrText xml:space="preserve"> PAGE </w:instrText>
            </w:r>
            <w:r w:rsidRPr="00F31710">
              <w:rPr>
                <w:b/>
                <w:bCs/>
                <w:szCs w:val="24"/>
              </w:rPr>
              <w:fldChar w:fldCharType="separate"/>
            </w:r>
            <w:r w:rsidR="00531613">
              <w:rPr>
                <w:b/>
                <w:bCs/>
                <w:noProof/>
              </w:rPr>
              <w:t>11</w:t>
            </w:r>
            <w:r w:rsidRPr="00F31710">
              <w:rPr>
                <w:b/>
                <w:bCs/>
                <w:szCs w:val="24"/>
              </w:rPr>
              <w:fldChar w:fldCharType="end"/>
            </w:r>
          </w:p>
        </w:sdtContent>
      </w:sdt>
    </w:sdtContent>
  </w:sdt>
  <w:p w:rsidR="00F31710" w:rsidRPr="001A69A4" w:rsidRDefault="00F31710" w:rsidP="00856091">
    <w:pPr>
      <w:pStyle w:val="Footer"/>
      <w:ind w:right="360"/>
      <w:jc w:val="center"/>
      <w:rPr>
        <w:b/>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F21" w:rsidRDefault="00133F21">
      <w:r>
        <w:separator/>
      </w:r>
    </w:p>
    <w:p w:rsidR="00133F21" w:rsidRDefault="00133F21"/>
  </w:footnote>
  <w:footnote w:type="continuationSeparator" w:id="0">
    <w:p w:rsidR="00133F21" w:rsidRDefault="00133F21">
      <w:r>
        <w:continuationSeparator/>
      </w:r>
    </w:p>
    <w:p w:rsidR="00133F21" w:rsidRDefault="00133F21"/>
  </w:footnote>
  <w:footnote w:id="1">
    <w:p w:rsidR="00D07765" w:rsidRPr="00A52FD3" w:rsidRDefault="00D07765" w:rsidP="00AA0D29">
      <w:pPr>
        <w:pStyle w:val="FootnoteText"/>
        <w:ind w:left="567" w:hanging="567"/>
        <w:jc w:val="both"/>
        <w:rPr>
          <w:rFonts w:ascii="Times New Roman" w:hAnsi="Times New Roman"/>
        </w:rPr>
      </w:pPr>
      <w:r w:rsidRPr="00A52FD3">
        <w:rPr>
          <w:rStyle w:val="FootnoteReference"/>
          <w:rFonts w:ascii="Times New Roman" w:hAnsi="Times New Roman"/>
        </w:rPr>
        <w:footnoteRef/>
      </w:r>
      <w:r w:rsidRPr="00A52FD3">
        <w:rPr>
          <w:rFonts w:ascii="Times New Roman" w:hAnsi="Times New Roman"/>
        </w:rPr>
        <w:t xml:space="preserve"> </w:t>
      </w:r>
      <w:r>
        <w:rPr>
          <w:rFonts w:ascii="Times New Roman" w:hAnsi="Times New Roman"/>
        </w:rPr>
        <w:tab/>
      </w:r>
      <w:r w:rsidRPr="00A52FD3">
        <w:rPr>
          <w:rStyle w:val="FootnoteReference"/>
          <w:rFonts w:ascii="Times New Roman" w:hAnsi="Times New Roman"/>
          <w:vertAlign w:val="baseline"/>
        </w:rPr>
        <w:t xml:space="preserve">In this Prudential Standard reference is made to “approval” to use the IMB Method.  Approval refers to a decision by APRA to modify GPS 110 pursuant to subsection 32(3A) of the Act by replacing particular requirements in </w:t>
      </w:r>
      <w:r>
        <w:rPr>
          <w:rStyle w:val="FootnoteReference"/>
          <w:rFonts w:ascii="Times New Roman" w:hAnsi="Times New Roman"/>
          <w:vertAlign w:val="baseline"/>
        </w:rPr>
        <w:t>G</w:t>
      </w:r>
      <w:r>
        <w:rPr>
          <w:rFonts w:ascii="Times New Roman" w:hAnsi="Times New Roman"/>
        </w:rPr>
        <w:t>PS 110</w:t>
      </w:r>
      <w:r w:rsidRPr="00A52FD3">
        <w:rPr>
          <w:rStyle w:val="FootnoteReference"/>
          <w:rFonts w:ascii="Times New Roman" w:hAnsi="Times New Roman"/>
          <w:vertAlign w:val="baseline"/>
        </w:rPr>
        <w:t xml:space="preserve"> with an in house capital adequacy model.</w:t>
      </w:r>
    </w:p>
  </w:footnote>
  <w:footnote w:id="2">
    <w:p w:rsidR="00D07765" w:rsidRPr="00102CF6" w:rsidRDefault="00D07765" w:rsidP="00225690">
      <w:pPr>
        <w:pStyle w:val="FootnoteText"/>
        <w:ind w:left="567" w:hanging="567"/>
        <w:jc w:val="both"/>
        <w:rPr>
          <w:rFonts w:ascii="Times New Roman" w:hAnsi="Times New Roman"/>
        </w:rPr>
      </w:pPr>
      <w:r w:rsidRPr="0023643D">
        <w:rPr>
          <w:rStyle w:val="FootnoteReference"/>
          <w:rFonts w:ascii="Times New Roman" w:hAnsi="Times New Roman"/>
        </w:rPr>
        <w:footnoteRef/>
      </w:r>
      <w:r w:rsidRPr="0023643D">
        <w:rPr>
          <w:rStyle w:val="FootnoteReference"/>
          <w:rFonts w:ascii="Times New Roman" w:hAnsi="Times New Roman"/>
        </w:rPr>
        <w:t xml:space="preserve"> </w:t>
      </w:r>
      <w:r w:rsidRPr="0023643D">
        <w:rPr>
          <w:rFonts w:ascii="Times New Roman" w:hAnsi="Times New Roman"/>
        </w:rPr>
        <w:tab/>
        <w:t xml:space="preserve">Refer </w:t>
      </w:r>
      <w:r w:rsidRPr="00620C02">
        <w:rPr>
          <w:rFonts w:ascii="Times New Roman" w:hAnsi="Times New Roman"/>
        </w:rPr>
        <w:t xml:space="preserve">to </w:t>
      </w:r>
      <w:r w:rsidRPr="00620C02">
        <w:rPr>
          <w:rFonts w:ascii="Times New Roman" w:hAnsi="Times New Roman"/>
          <w:i/>
        </w:rPr>
        <w:t>Prudential Standard</w:t>
      </w:r>
      <w:r w:rsidRPr="00620C02">
        <w:rPr>
          <w:rFonts w:ascii="Times New Roman" w:hAnsi="Times New Roman"/>
        </w:rPr>
        <w:t xml:space="preserve"> </w:t>
      </w:r>
      <w:r w:rsidR="00E76E38">
        <w:rPr>
          <w:rFonts w:ascii="Times New Roman" w:hAnsi="Times New Roman"/>
          <w:i/>
        </w:rPr>
        <w:t>CPS</w:t>
      </w:r>
      <w:r w:rsidR="008E6303">
        <w:rPr>
          <w:rFonts w:ascii="Times New Roman" w:hAnsi="Times New Roman"/>
          <w:i/>
        </w:rPr>
        <w:t xml:space="preserve"> </w:t>
      </w:r>
      <w:proofErr w:type="gramStart"/>
      <w:r w:rsidRPr="00620C02">
        <w:rPr>
          <w:rFonts w:ascii="Times New Roman" w:hAnsi="Times New Roman"/>
          <w:i/>
        </w:rPr>
        <w:t>220</w:t>
      </w:r>
      <w:r w:rsidRPr="00620C02">
        <w:rPr>
          <w:rFonts w:ascii="Times New Roman" w:hAnsi="Times New Roman"/>
          <w:b/>
          <w:i/>
        </w:rPr>
        <w:t xml:space="preserve"> </w:t>
      </w:r>
      <w:r w:rsidRPr="00620C02">
        <w:rPr>
          <w:rFonts w:ascii="Times New Roman" w:hAnsi="Times New Roman"/>
          <w:i/>
        </w:rPr>
        <w:t>Risk Management</w:t>
      </w:r>
      <w:r>
        <w:rPr>
          <w:rFonts w:ascii="Times New Roman" w:hAnsi="Times New Roman"/>
          <w:i/>
        </w:rPr>
        <w:t xml:space="preserve"> </w:t>
      </w:r>
      <w:r>
        <w:rPr>
          <w:rFonts w:ascii="Times New Roman" w:hAnsi="Times New Roman"/>
        </w:rPr>
        <w:t>(</w:t>
      </w:r>
      <w:r w:rsidR="00E76E38">
        <w:rPr>
          <w:rFonts w:ascii="Times New Roman" w:hAnsi="Times New Roman"/>
        </w:rPr>
        <w:t>CPS</w:t>
      </w:r>
      <w:r w:rsidR="00E76E38" w:rsidRPr="00682674">
        <w:rPr>
          <w:rFonts w:ascii="Times New Roman" w:hAnsi="Times New Roman"/>
        </w:rPr>
        <w:t xml:space="preserve"> </w:t>
      </w:r>
      <w:r w:rsidRPr="00682674">
        <w:rPr>
          <w:rFonts w:ascii="Times New Roman" w:hAnsi="Times New Roman"/>
        </w:rPr>
        <w:t>220</w:t>
      </w:r>
      <w:r>
        <w:rPr>
          <w:rFonts w:ascii="Times New Roman" w:hAnsi="Times New Roman"/>
        </w:rPr>
        <w:t>)</w:t>
      </w:r>
      <w:proofErr w:type="gramEnd"/>
      <w:r w:rsidRPr="0023643D">
        <w:rPr>
          <w:rFonts w:ascii="Times New Roman" w:hAnsi="Times New Roman"/>
        </w:rPr>
        <w:t>.</w:t>
      </w:r>
    </w:p>
  </w:footnote>
  <w:footnote w:id="3">
    <w:p w:rsidR="00D07765" w:rsidRPr="00102CF6" w:rsidRDefault="00D07765" w:rsidP="0038789C">
      <w:pPr>
        <w:pStyle w:val="FootnoteText"/>
        <w:ind w:left="539" w:hanging="539"/>
        <w:jc w:val="both"/>
        <w:rPr>
          <w:rFonts w:ascii="Times New Roman" w:hAnsi="Times New Roman"/>
        </w:rPr>
      </w:pPr>
      <w:r w:rsidRPr="00102CF6">
        <w:rPr>
          <w:rStyle w:val="FootnoteReference"/>
          <w:rFonts w:ascii="Times New Roman" w:hAnsi="Times New Roman"/>
        </w:rPr>
        <w:footnoteRef/>
      </w:r>
      <w:r w:rsidRPr="00102CF6">
        <w:rPr>
          <w:rFonts w:ascii="Times New Roman" w:hAnsi="Times New Roman"/>
        </w:rPr>
        <w:t xml:space="preserve"> </w:t>
      </w:r>
      <w:r>
        <w:rPr>
          <w:rFonts w:ascii="Times New Roman" w:hAnsi="Times New Roman"/>
        </w:rPr>
        <w:tab/>
      </w:r>
      <w:r w:rsidRPr="00102CF6">
        <w:rPr>
          <w:rFonts w:ascii="Times New Roman" w:hAnsi="Times New Roman"/>
        </w:rPr>
        <w:t>Legal risk includes, but is not limited to, exposures to fines, penalties or punitive damages resulting from regulatory actions, as well as ordinary damages in civil litigation, related legal costs and private settlements.</w:t>
      </w:r>
    </w:p>
  </w:footnote>
  <w:footnote w:id="4">
    <w:p w:rsidR="00D07765" w:rsidRPr="00477860" w:rsidRDefault="00D07765" w:rsidP="00F329A4">
      <w:pPr>
        <w:pStyle w:val="FootnoteText"/>
        <w:ind w:left="539" w:hanging="539"/>
        <w:jc w:val="both"/>
        <w:rPr>
          <w:rFonts w:ascii="Times New Roman" w:hAnsi="Times New Roman"/>
        </w:rPr>
      </w:pPr>
      <w:r w:rsidRPr="00102CF6">
        <w:rPr>
          <w:rStyle w:val="FootnoteReference"/>
          <w:rFonts w:ascii="Times New Roman" w:hAnsi="Times New Roman"/>
        </w:rPr>
        <w:footnoteRef/>
      </w:r>
      <w:r w:rsidRPr="00102CF6">
        <w:rPr>
          <w:rFonts w:ascii="Times New Roman" w:hAnsi="Times New Roman"/>
        </w:rPr>
        <w:t xml:space="preserve"> </w:t>
      </w:r>
      <w:r>
        <w:rPr>
          <w:rFonts w:ascii="Times New Roman" w:hAnsi="Times New Roman"/>
        </w:rPr>
        <w:tab/>
      </w:r>
      <w:r w:rsidR="00E76E38">
        <w:rPr>
          <w:rFonts w:ascii="Times New Roman" w:hAnsi="Times New Roman"/>
        </w:rPr>
        <w:t>CPS</w:t>
      </w:r>
      <w:r w:rsidR="00E76E38" w:rsidRPr="00CC348A">
        <w:rPr>
          <w:rFonts w:ascii="Times New Roman" w:hAnsi="Times New Roman"/>
        </w:rPr>
        <w:t xml:space="preserve"> </w:t>
      </w:r>
      <w:r w:rsidRPr="00CC348A">
        <w:rPr>
          <w:rFonts w:ascii="Times New Roman" w:hAnsi="Times New Roman"/>
        </w:rPr>
        <w:t>220</w:t>
      </w:r>
      <w:r w:rsidRPr="00102CF6">
        <w:rPr>
          <w:rFonts w:ascii="Times New Roman" w:hAnsi="Times New Roman"/>
        </w:rPr>
        <w:t xml:space="preserve"> requires a</w:t>
      </w:r>
      <w:r>
        <w:rPr>
          <w:rFonts w:ascii="Times New Roman" w:hAnsi="Times New Roman"/>
        </w:rPr>
        <w:t xml:space="preserve"> regulated institution</w:t>
      </w:r>
      <w:r w:rsidRPr="00102CF6">
        <w:rPr>
          <w:rFonts w:ascii="Times New Roman" w:hAnsi="Times New Roman"/>
        </w:rPr>
        <w:t xml:space="preserve"> to have a risk management framew</w:t>
      </w:r>
      <w:r>
        <w:rPr>
          <w:rFonts w:ascii="Times New Roman" w:hAnsi="Times New Roman"/>
        </w:rPr>
        <w:t>ork to manage the risks arising from its business.</w:t>
      </w:r>
    </w:p>
  </w:footnote>
  <w:footnote w:id="5">
    <w:p w:rsidR="00D07765" w:rsidRPr="00AB1586" w:rsidRDefault="00D07765" w:rsidP="00835F0E">
      <w:pPr>
        <w:pStyle w:val="FootnoteText"/>
        <w:ind w:left="539" w:hanging="539"/>
        <w:rPr>
          <w:rFonts w:ascii="Times New Roman" w:hAnsi="Times New Roman"/>
        </w:rPr>
      </w:pPr>
      <w:r w:rsidRPr="00AB1586">
        <w:rPr>
          <w:rStyle w:val="FootnoteReference"/>
          <w:rFonts w:ascii="Times New Roman" w:hAnsi="Times New Roman"/>
        </w:rPr>
        <w:footnoteRef/>
      </w:r>
      <w:r w:rsidRPr="00AB1586">
        <w:rPr>
          <w:rFonts w:ascii="Times New Roman" w:hAnsi="Times New Roman"/>
        </w:rPr>
        <w:t xml:space="preserve"> </w:t>
      </w:r>
      <w:r>
        <w:rPr>
          <w:rFonts w:ascii="Times New Roman" w:hAnsi="Times New Roman"/>
        </w:rPr>
        <w:tab/>
        <w:t>Refer to subsection 32 (3CA)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17" w:rsidRDefault="00E13617" w:rsidP="00E13617">
    <w:pPr>
      <w:pStyle w:val="Header"/>
      <w:tabs>
        <w:tab w:val="clear" w:pos="8306"/>
        <w:tab w:val="left" w:pos="4956"/>
      </w:tabs>
      <w:jc w:val="right"/>
    </w:pPr>
  </w:p>
  <w:p w:rsidR="00E13617" w:rsidRDefault="00E13617" w:rsidP="00B0427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710" w:rsidRDefault="00F31710" w:rsidP="00E13617">
    <w:pPr>
      <w:pStyle w:val="Header"/>
      <w:tabs>
        <w:tab w:val="clear" w:pos="8306"/>
        <w:tab w:val="left" w:pos="4956"/>
      </w:tabs>
      <w:jc w:val="right"/>
    </w:pPr>
    <w:r>
      <w:t>January 2015</w:t>
    </w:r>
  </w:p>
  <w:p w:rsidR="00F31710" w:rsidRDefault="00F31710" w:rsidP="00B042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077"/>
    <w:multiLevelType w:val="hybridMultilevel"/>
    <w:tmpl w:val="C78E4A32"/>
    <w:lvl w:ilvl="0" w:tplc="CD32A3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0304A0"/>
    <w:multiLevelType w:val="hybridMultilevel"/>
    <w:tmpl w:val="16A2AE6E"/>
    <w:lvl w:ilvl="0" w:tplc="7938E70A">
      <w:start w:val="1"/>
      <w:numFmt w:val="lowerLetter"/>
      <w:lvlText w:val="(%1)"/>
      <w:lvlJc w:val="left"/>
      <w:pPr>
        <w:tabs>
          <w:tab w:val="num" w:pos="794"/>
        </w:tabs>
        <w:ind w:left="794" w:hanging="454"/>
      </w:pPr>
      <w:rPr>
        <w:rFonts w:hint="default"/>
      </w:rPr>
    </w:lvl>
    <w:lvl w:ilvl="1" w:tplc="F79A5F20" w:tentative="1">
      <w:start w:val="1"/>
      <w:numFmt w:val="lowerLetter"/>
      <w:lvlText w:val="%2."/>
      <w:lvlJc w:val="left"/>
      <w:pPr>
        <w:tabs>
          <w:tab w:val="num" w:pos="1780"/>
        </w:tabs>
        <w:ind w:left="1780" w:hanging="360"/>
      </w:pPr>
    </w:lvl>
    <w:lvl w:ilvl="2" w:tplc="BDDC51E8" w:tentative="1">
      <w:start w:val="1"/>
      <w:numFmt w:val="lowerRoman"/>
      <w:lvlText w:val="%3."/>
      <w:lvlJc w:val="right"/>
      <w:pPr>
        <w:tabs>
          <w:tab w:val="num" w:pos="2500"/>
        </w:tabs>
        <w:ind w:left="2500" w:hanging="180"/>
      </w:pPr>
    </w:lvl>
    <w:lvl w:ilvl="3" w:tplc="BF3290A2" w:tentative="1">
      <w:start w:val="1"/>
      <w:numFmt w:val="decimal"/>
      <w:lvlText w:val="%4."/>
      <w:lvlJc w:val="left"/>
      <w:pPr>
        <w:tabs>
          <w:tab w:val="num" w:pos="3220"/>
        </w:tabs>
        <w:ind w:left="3220" w:hanging="360"/>
      </w:pPr>
    </w:lvl>
    <w:lvl w:ilvl="4" w:tplc="1578FA88" w:tentative="1">
      <w:start w:val="1"/>
      <w:numFmt w:val="lowerLetter"/>
      <w:lvlText w:val="%5."/>
      <w:lvlJc w:val="left"/>
      <w:pPr>
        <w:tabs>
          <w:tab w:val="num" w:pos="3940"/>
        </w:tabs>
        <w:ind w:left="3940" w:hanging="360"/>
      </w:pPr>
    </w:lvl>
    <w:lvl w:ilvl="5" w:tplc="B860ECC0" w:tentative="1">
      <w:start w:val="1"/>
      <w:numFmt w:val="lowerRoman"/>
      <w:lvlText w:val="%6."/>
      <w:lvlJc w:val="right"/>
      <w:pPr>
        <w:tabs>
          <w:tab w:val="num" w:pos="4660"/>
        </w:tabs>
        <w:ind w:left="4660" w:hanging="180"/>
      </w:pPr>
    </w:lvl>
    <w:lvl w:ilvl="6" w:tplc="36E45056" w:tentative="1">
      <w:start w:val="1"/>
      <w:numFmt w:val="decimal"/>
      <w:lvlText w:val="%7."/>
      <w:lvlJc w:val="left"/>
      <w:pPr>
        <w:tabs>
          <w:tab w:val="num" w:pos="5380"/>
        </w:tabs>
        <w:ind w:left="5380" w:hanging="360"/>
      </w:pPr>
    </w:lvl>
    <w:lvl w:ilvl="7" w:tplc="88FC8EEC" w:tentative="1">
      <w:start w:val="1"/>
      <w:numFmt w:val="lowerLetter"/>
      <w:lvlText w:val="%8."/>
      <w:lvlJc w:val="left"/>
      <w:pPr>
        <w:tabs>
          <w:tab w:val="num" w:pos="6100"/>
        </w:tabs>
        <w:ind w:left="6100" w:hanging="360"/>
      </w:pPr>
    </w:lvl>
    <w:lvl w:ilvl="8" w:tplc="56B030F0" w:tentative="1">
      <w:start w:val="1"/>
      <w:numFmt w:val="lowerRoman"/>
      <w:lvlText w:val="%9."/>
      <w:lvlJc w:val="right"/>
      <w:pPr>
        <w:tabs>
          <w:tab w:val="num" w:pos="6820"/>
        </w:tabs>
        <w:ind w:left="6820" w:hanging="180"/>
      </w:pPr>
    </w:lvl>
  </w:abstractNum>
  <w:abstractNum w:abstractNumId="2">
    <w:nsid w:val="184C54C2"/>
    <w:multiLevelType w:val="hybridMultilevel"/>
    <w:tmpl w:val="B6848AA0"/>
    <w:lvl w:ilvl="0" w:tplc="0C090017">
      <w:start w:val="1"/>
      <w:numFmt w:val="lowerLetter"/>
      <w:lvlText w:val="(%1)"/>
      <w:lvlJc w:val="left"/>
      <w:pPr>
        <w:tabs>
          <w:tab w:val="num" w:pos="794"/>
        </w:tabs>
        <w:ind w:left="794" w:hanging="454"/>
      </w:pPr>
      <w:rPr>
        <w:rFonts w:hint="default"/>
      </w:rPr>
    </w:lvl>
    <w:lvl w:ilvl="1" w:tplc="0C090019" w:tentative="1">
      <w:start w:val="1"/>
      <w:numFmt w:val="lowerLetter"/>
      <w:lvlText w:val="%2."/>
      <w:lvlJc w:val="left"/>
      <w:pPr>
        <w:tabs>
          <w:tab w:val="num" w:pos="1780"/>
        </w:tabs>
        <w:ind w:left="1780" w:hanging="360"/>
      </w:pPr>
    </w:lvl>
    <w:lvl w:ilvl="2" w:tplc="0C09001B" w:tentative="1">
      <w:start w:val="1"/>
      <w:numFmt w:val="lowerRoman"/>
      <w:lvlText w:val="%3."/>
      <w:lvlJc w:val="right"/>
      <w:pPr>
        <w:tabs>
          <w:tab w:val="num" w:pos="2500"/>
        </w:tabs>
        <w:ind w:left="2500" w:hanging="180"/>
      </w:pPr>
    </w:lvl>
    <w:lvl w:ilvl="3" w:tplc="0C09000F" w:tentative="1">
      <w:start w:val="1"/>
      <w:numFmt w:val="decimal"/>
      <w:lvlText w:val="%4."/>
      <w:lvlJc w:val="left"/>
      <w:pPr>
        <w:tabs>
          <w:tab w:val="num" w:pos="3220"/>
        </w:tabs>
        <w:ind w:left="3220" w:hanging="360"/>
      </w:p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abstractNum w:abstractNumId="3">
    <w:nsid w:val="1EAE2F17"/>
    <w:multiLevelType w:val="hybridMultilevel"/>
    <w:tmpl w:val="9B4C1DC2"/>
    <w:lvl w:ilvl="0" w:tplc="1AF218A8">
      <w:start w:val="1"/>
      <w:numFmt w:val="lowerLetter"/>
      <w:lvlText w:val="(%1)"/>
      <w:lvlJc w:val="left"/>
      <w:pPr>
        <w:tabs>
          <w:tab w:val="num" w:pos="794"/>
        </w:tabs>
        <w:ind w:left="794" w:hanging="454"/>
      </w:pPr>
      <w:rPr>
        <w:rFonts w:hint="default"/>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2A2B7603"/>
    <w:multiLevelType w:val="hybridMultilevel"/>
    <w:tmpl w:val="462C63BE"/>
    <w:lvl w:ilvl="0" w:tplc="0C090017">
      <w:start w:val="1"/>
      <w:numFmt w:val="lowerLetter"/>
      <w:lvlText w:val="(%1)"/>
      <w:lvlJc w:val="left"/>
      <w:pPr>
        <w:tabs>
          <w:tab w:val="num" w:pos="340"/>
        </w:tabs>
        <w:ind w:left="68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5924E09"/>
    <w:multiLevelType w:val="hybridMultilevel"/>
    <w:tmpl w:val="26200F36"/>
    <w:lvl w:ilvl="0" w:tplc="E34C7BE2">
      <w:start w:val="1"/>
      <w:numFmt w:val="decimal"/>
      <w:pStyle w:val="BodyText"/>
      <w:lvlText w:val="%1."/>
      <w:lvlJc w:val="left"/>
      <w:pPr>
        <w:tabs>
          <w:tab w:val="num" w:pos="360"/>
        </w:tabs>
        <w:ind w:left="360" w:hanging="360"/>
      </w:pPr>
      <w:rPr>
        <w:i w:val="0"/>
        <w:strike w:val="0"/>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44F47C8D"/>
    <w:multiLevelType w:val="hybridMultilevel"/>
    <w:tmpl w:val="62EC4C80"/>
    <w:lvl w:ilvl="0" w:tplc="DA881588">
      <w:start w:val="1"/>
      <w:numFmt w:val="decimal"/>
      <w:lvlText w:val="%1."/>
      <w:lvlJc w:val="left"/>
      <w:pPr>
        <w:tabs>
          <w:tab w:val="num" w:pos="360"/>
        </w:tabs>
        <w:ind w:left="360" w:hanging="360"/>
      </w:pPr>
      <w:rPr>
        <w:b w:val="0"/>
        <w:szCs w:val="24"/>
      </w:rPr>
    </w:lvl>
    <w:lvl w:ilvl="1" w:tplc="41FA6F2C">
      <w:start w:val="1"/>
      <w:numFmt w:val="lowerLetter"/>
      <w:lvlText w:val="(%2)"/>
      <w:lvlJc w:val="left"/>
      <w:pPr>
        <w:tabs>
          <w:tab w:val="num" w:pos="1135"/>
        </w:tabs>
        <w:ind w:left="1135" w:hanging="567"/>
      </w:pPr>
      <w:rPr>
        <w:rFonts w:ascii="Times New Roman" w:eastAsia="Times New Roman" w:hAnsi="Times New Roman" w:cs="Times New Roman"/>
        <w:b w:val="0"/>
        <w:szCs w:val="24"/>
      </w:rPr>
    </w:lvl>
    <w:lvl w:ilvl="2" w:tplc="CAF84A5E">
      <w:start w:val="1"/>
      <w:numFmt w:val="lowerRoman"/>
      <w:lvlText w:val="(%3)"/>
      <w:lvlJc w:val="left"/>
      <w:pPr>
        <w:tabs>
          <w:tab w:val="num" w:pos="3681"/>
        </w:tabs>
        <w:ind w:left="3681" w:hanging="567"/>
      </w:pPr>
      <w:rPr>
        <w:rFonts w:hint="default"/>
        <w:b w:val="0"/>
        <w:szCs w:val="24"/>
      </w:rPr>
    </w:lvl>
    <w:lvl w:ilvl="3" w:tplc="0C09000F">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7">
    <w:nsid w:val="4C115DD7"/>
    <w:multiLevelType w:val="hybridMultilevel"/>
    <w:tmpl w:val="633AFFF8"/>
    <w:lvl w:ilvl="0" w:tplc="1E60A9BC">
      <w:start w:val="1"/>
      <w:numFmt w:val="lowerLetter"/>
      <w:lvlText w:val="(%1)"/>
      <w:lvlJc w:val="left"/>
      <w:pPr>
        <w:tabs>
          <w:tab w:val="num" w:pos="1080"/>
        </w:tabs>
        <w:ind w:left="1080" w:hanging="360"/>
      </w:pPr>
      <w:rPr>
        <w:rFonts w:hint="default"/>
      </w:rPr>
    </w:lvl>
    <w:lvl w:ilvl="1" w:tplc="22E87584">
      <w:start w:val="1"/>
      <w:numFmt w:val="lowerLetter"/>
      <w:lvlText w:val="(%2)"/>
      <w:lvlJc w:val="left"/>
      <w:pPr>
        <w:tabs>
          <w:tab w:val="num" w:pos="1440"/>
        </w:tabs>
        <w:ind w:left="1440" w:hanging="360"/>
      </w:pPr>
      <w:rPr>
        <w:rFonts w:hint="default"/>
      </w:rPr>
    </w:lvl>
    <w:lvl w:ilvl="2" w:tplc="D7FC9476">
      <w:start w:val="1"/>
      <w:numFmt w:val="lowerRoman"/>
      <w:lvlText w:val="(%3)"/>
      <w:lvlJc w:val="left"/>
      <w:pPr>
        <w:ind w:left="1713" w:hanging="720"/>
      </w:pPr>
      <w:rPr>
        <w:rFonts w:hint="default"/>
      </w:rPr>
    </w:lvl>
    <w:lvl w:ilvl="3" w:tplc="112400AC">
      <w:start w:val="1"/>
      <w:numFmt w:val="decimal"/>
      <w:lvlText w:val="%4."/>
      <w:lvlJc w:val="left"/>
      <w:pPr>
        <w:tabs>
          <w:tab w:val="num" w:pos="2880"/>
        </w:tabs>
        <w:ind w:left="2880" w:hanging="360"/>
      </w:pPr>
    </w:lvl>
    <w:lvl w:ilvl="4" w:tplc="09AA1CDE" w:tentative="1">
      <w:start w:val="1"/>
      <w:numFmt w:val="lowerLetter"/>
      <w:lvlText w:val="%5."/>
      <w:lvlJc w:val="left"/>
      <w:pPr>
        <w:tabs>
          <w:tab w:val="num" w:pos="3600"/>
        </w:tabs>
        <w:ind w:left="3600" w:hanging="360"/>
      </w:pPr>
    </w:lvl>
    <w:lvl w:ilvl="5" w:tplc="C52EE836" w:tentative="1">
      <w:start w:val="1"/>
      <w:numFmt w:val="lowerRoman"/>
      <w:lvlText w:val="%6."/>
      <w:lvlJc w:val="right"/>
      <w:pPr>
        <w:tabs>
          <w:tab w:val="num" w:pos="4320"/>
        </w:tabs>
        <w:ind w:left="4320" w:hanging="180"/>
      </w:pPr>
    </w:lvl>
    <w:lvl w:ilvl="6" w:tplc="19264D62" w:tentative="1">
      <w:start w:val="1"/>
      <w:numFmt w:val="decimal"/>
      <w:lvlText w:val="%7."/>
      <w:lvlJc w:val="left"/>
      <w:pPr>
        <w:tabs>
          <w:tab w:val="num" w:pos="5040"/>
        </w:tabs>
        <w:ind w:left="5040" w:hanging="360"/>
      </w:pPr>
    </w:lvl>
    <w:lvl w:ilvl="7" w:tplc="3F3A141A" w:tentative="1">
      <w:start w:val="1"/>
      <w:numFmt w:val="lowerLetter"/>
      <w:lvlText w:val="%8."/>
      <w:lvlJc w:val="left"/>
      <w:pPr>
        <w:tabs>
          <w:tab w:val="num" w:pos="5760"/>
        </w:tabs>
        <w:ind w:left="5760" w:hanging="360"/>
      </w:pPr>
    </w:lvl>
    <w:lvl w:ilvl="8" w:tplc="A4CA4610" w:tentative="1">
      <w:start w:val="1"/>
      <w:numFmt w:val="lowerRoman"/>
      <w:lvlText w:val="%9."/>
      <w:lvlJc w:val="right"/>
      <w:pPr>
        <w:tabs>
          <w:tab w:val="num" w:pos="6480"/>
        </w:tabs>
        <w:ind w:left="6480" w:hanging="180"/>
      </w:pPr>
    </w:lvl>
  </w:abstractNum>
  <w:abstractNum w:abstractNumId="8">
    <w:nsid w:val="4C326B5C"/>
    <w:multiLevelType w:val="hybridMultilevel"/>
    <w:tmpl w:val="CB1A3AF0"/>
    <w:lvl w:ilvl="0" w:tplc="1B4E043A">
      <w:start w:val="1"/>
      <w:numFmt w:val="lowerLetter"/>
      <w:lvlText w:val="(%1)"/>
      <w:lvlJc w:val="left"/>
      <w:pPr>
        <w:ind w:left="1287" w:hanging="360"/>
      </w:pPr>
      <w:rPr>
        <w:rFonts w:ascii="Times New Roman" w:hAnsi="Times New Roman" w:hint="default"/>
        <w:b w:val="0"/>
        <w:i w:val="0"/>
        <w:sz w:val="22"/>
        <w:szCs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975E94A8">
      <w:start w:val="1"/>
      <w:numFmt w:val="lowerLetter"/>
      <w:lvlText w:val="(%5)"/>
      <w:lvlJc w:val="left"/>
      <w:pPr>
        <w:ind w:left="4167" w:hanging="360"/>
      </w:pPr>
      <w:rPr>
        <w:rFonts w:ascii="Times New Roman" w:hAnsi="Times New Roman" w:hint="default"/>
        <w:b w:val="0"/>
        <w:i w:val="0"/>
        <w:strike/>
        <w:sz w:val="22"/>
        <w:szCs w:val="22"/>
      </w:r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0576195"/>
    <w:multiLevelType w:val="hybridMultilevel"/>
    <w:tmpl w:val="5A6E9270"/>
    <w:lvl w:ilvl="0" w:tplc="D42AC896">
      <w:start w:val="1"/>
      <w:numFmt w:val="lowerLetter"/>
      <w:lvlText w:val="(%1)"/>
      <w:lvlJc w:val="left"/>
      <w:pPr>
        <w:tabs>
          <w:tab w:val="num" w:pos="794"/>
        </w:tabs>
        <w:ind w:left="794" w:hanging="454"/>
      </w:pPr>
      <w:rPr>
        <w:rFonts w:hint="default"/>
      </w:rPr>
    </w:lvl>
    <w:lvl w:ilvl="1" w:tplc="D012D76A" w:tentative="1">
      <w:start w:val="1"/>
      <w:numFmt w:val="lowerLetter"/>
      <w:lvlText w:val="%2."/>
      <w:lvlJc w:val="left"/>
      <w:pPr>
        <w:tabs>
          <w:tab w:val="num" w:pos="1440"/>
        </w:tabs>
        <w:ind w:left="1440" w:hanging="360"/>
      </w:pPr>
    </w:lvl>
    <w:lvl w:ilvl="2" w:tplc="7D360F8C" w:tentative="1">
      <w:start w:val="1"/>
      <w:numFmt w:val="lowerRoman"/>
      <w:lvlText w:val="%3."/>
      <w:lvlJc w:val="right"/>
      <w:pPr>
        <w:tabs>
          <w:tab w:val="num" w:pos="2160"/>
        </w:tabs>
        <w:ind w:left="2160" w:hanging="180"/>
      </w:pPr>
    </w:lvl>
    <w:lvl w:ilvl="3" w:tplc="E80E0B5A" w:tentative="1">
      <w:start w:val="1"/>
      <w:numFmt w:val="decimal"/>
      <w:lvlText w:val="%4."/>
      <w:lvlJc w:val="left"/>
      <w:pPr>
        <w:tabs>
          <w:tab w:val="num" w:pos="2880"/>
        </w:tabs>
        <w:ind w:left="2880" w:hanging="360"/>
      </w:pPr>
    </w:lvl>
    <w:lvl w:ilvl="4" w:tplc="F2F64FC6" w:tentative="1">
      <w:start w:val="1"/>
      <w:numFmt w:val="lowerLetter"/>
      <w:lvlText w:val="%5."/>
      <w:lvlJc w:val="left"/>
      <w:pPr>
        <w:tabs>
          <w:tab w:val="num" w:pos="3600"/>
        </w:tabs>
        <w:ind w:left="3600" w:hanging="360"/>
      </w:pPr>
    </w:lvl>
    <w:lvl w:ilvl="5" w:tplc="BA305C9A" w:tentative="1">
      <w:start w:val="1"/>
      <w:numFmt w:val="lowerRoman"/>
      <w:lvlText w:val="%6."/>
      <w:lvlJc w:val="right"/>
      <w:pPr>
        <w:tabs>
          <w:tab w:val="num" w:pos="4320"/>
        </w:tabs>
        <w:ind w:left="4320" w:hanging="180"/>
      </w:pPr>
    </w:lvl>
    <w:lvl w:ilvl="6" w:tplc="E048E024" w:tentative="1">
      <w:start w:val="1"/>
      <w:numFmt w:val="decimal"/>
      <w:lvlText w:val="%7."/>
      <w:lvlJc w:val="left"/>
      <w:pPr>
        <w:tabs>
          <w:tab w:val="num" w:pos="5040"/>
        </w:tabs>
        <w:ind w:left="5040" w:hanging="360"/>
      </w:pPr>
    </w:lvl>
    <w:lvl w:ilvl="7" w:tplc="81D67C66" w:tentative="1">
      <w:start w:val="1"/>
      <w:numFmt w:val="lowerLetter"/>
      <w:lvlText w:val="%8."/>
      <w:lvlJc w:val="left"/>
      <w:pPr>
        <w:tabs>
          <w:tab w:val="num" w:pos="5760"/>
        </w:tabs>
        <w:ind w:left="5760" w:hanging="360"/>
      </w:pPr>
    </w:lvl>
    <w:lvl w:ilvl="8" w:tplc="CF4C0DF4" w:tentative="1">
      <w:start w:val="1"/>
      <w:numFmt w:val="lowerRoman"/>
      <w:lvlText w:val="%9."/>
      <w:lvlJc w:val="right"/>
      <w:pPr>
        <w:tabs>
          <w:tab w:val="num" w:pos="6480"/>
        </w:tabs>
        <w:ind w:left="6480" w:hanging="180"/>
      </w:pPr>
    </w:lvl>
  </w:abstractNum>
  <w:abstractNum w:abstractNumId="10">
    <w:nsid w:val="506E3FB0"/>
    <w:multiLevelType w:val="hybridMultilevel"/>
    <w:tmpl w:val="B5ECB004"/>
    <w:lvl w:ilvl="0" w:tplc="C37267C0">
      <w:start w:val="1"/>
      <w:numFmt w:val="lowerRoman"/>
      <w:lvlText w:val="(%1)"/>
      <w:lvlJc w:val="left"/>
      <w:pPr>
        <w:ind w:left="1500" w:hanging="72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1">
    <w:nsid w:val="538A14A8"/>
    <w:multiLevelType w:val="hybridMultilevel"/>
    <w:tmpl w:val="DDFCC090"/>
    <w:lvl w:ilvl="0" w:tplc="41907E00">
      <w:start w:val="1"/>
      <w:numFmt w:val="lowerLetter"/>
      <w:lvlText w:val="(%1)"/>
      <w:lvlJc w:val="left"/>
      <w:pPr>
        <w:ind w:left="720" w:hanging="360"/>
      </w:pPr>
      <w:rPr>
        <w:rFonts w:hint="default"/>
        <w:color w:val="auto"/>
      </w:rPr>
    </w:lvl>
    <w:lvl w:ilvl="1" w:tplc="989E7CA8">
      <w:start w:val="1"/>
      <w:numFmt w:val="lowerRoman"/>
      <w:lvlText w:val="(%2)"/>
      <w:lvlJc w:val="center"/>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60C58E6"/>
    <w:multiLevelType w:val="hybridMultilevel"/>
    <w:tmpl w:val="658C055C"/>
    <w:lvl w:ilvl="0" w:tplc="17207A08">
      <w:start w:val="1"/>
      <w:numFmt w:val="lowerLetter"/>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0F131A"/>
    <w:multiLevelType w:val="hybridMultilevel"/>
    <w:tmpl w:val="07FEF96C"/>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5E03516E"/>
    <w:multiLevelType w:val="hybridMultilevel"/>
    <w:tmpl w:val="5CA47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DD314EF"/>
    <w:multiLevelType w:val="singleLevel"/>
    <w:tmpl w:val="05EC9F4A"/>
    <w:lvl w:ilvl="0">
      <w:start w:val="1"/>
      <w:numFmt w:val="lowerLetter"/>
      <w:pStyle w:val="bullet"/>
      <w:lvlText w:val="(%1)"/>
      <w:lvlJc w:val="left"/>
      <w:pPr>
        <w:tabs>
          <w:tab w:val="num" w:pos="1134"/>
        </w:tabs>
        <w:ind w:left="1134" w:hanging="567"/>
      </w:pPr>
      <w:rPr>
        <w:rFonts w:hint="default"/>
        <w:sz w:val="24"/>
        <w:szCs w:val="24"/>
      </w:rPr>
    </w:lvl>
  </w:abstractNum>
  <w:abstractNum w:abstractNumId="16">
    <w:nsid w:val="6FC52310"/>
    <w:multiLevelType w:val="hybridMultilevel"/>
    <w:tmpl w:val="9702D534"/>
    <w:lvl w:ilvl="0" w:tplc="6A12CBA6">
      <w:start w:val="1"/>
      <w:numFmt w:val="lowerLetter"/>
      <w:lvlText w:val="(%1)"/>
      <w:lvlJc w:val="left"/>
      <w:pPr>
        <w:tabs>
          <w:tab w:val="num" w:pos="794"/>
        </w:tabs>
        <w:ind w:left="794" w:hanging="454"/>
      </w:pPr>
      <w:rPr>
        <w:rFonts w:hint="default"/>
      </w:rPr>
    </w:lvl>
    <w:lvl w:ilvl="1" w:tplc="58669290">
      <w:start w:val="1"/>
      <w:numFmt w:val="lowerLetter"/>
      <w:lvlText w:val="%2."/>
      <w:lvlJc w:val="left"/>
      <w:pPr>
        <w:tabs>
          <w:tab w:val="num" w:pos="1780"/>
        </w:tabs>
        <w:ind w:left="1780" w:hanging="360"/>
      </w:pPr>
    </w:lvl>
    <w:lvl w:ilvl="2" w:tplc="0CA20D3E" w:tentative="1">
      <w:start w:val="1"/>
      <w:numFmt w:val="lowerRoman"/>
      <w:lvlText w:val="%3."/>
      <w:lvlJc w:val="right"/>
      <w:pPr>
        <w:tabs>
          <w:tab w:val="num" w:pos="2500"/>
        </w:tabs>
        <w:ind w:left="2500" w:hanging="180"/>
      </w:pPr>
    </w:lvl>
    <w:lvl w:ilvl="3" w:tplc="5A2CB368" w:tentative="1">
      <w:start w:val="1"/>
      <w:numFmt w:val="decimal"/>
      <w:lvlText w:val="%4."/>
      <w:lvlJc w:val="left"/>
      <w:pPr>
        <w:tabs>
          <w:tab w:val="num" w:pos="3220"/>
        </w:tabs>
        <w:ind w:left="3220" w:hanging="360"/>
      </w:pPr>
    </w:lvl>
    <w:lvl w:ilvl="4" w:tplc="1CAC5012" w:tentative="1">
      <w:start w:val="1"/>
      <w:numFmt w:val="lowerLetter"/>
      <w:lvlText w:val="%5."/>
      <w:lvlJc w:val="left"/>
      <w:pPr>
        <w:tabs>
          <w:tab w:val="num" w:pos="3940"/>
        </w:tabs>
        <w:ind w:left="3940" w:hanging="360"/>
      </w:pPr>
    </w:lvl>
    <w:lvl w:ilvl="5" w:tplc="1B1206E2" w:tentative="1">
      <w:start w:val="1"/>
      <w:numFmt w:val="lowerRoman"/>
      <w:lvlText w:val="%6."/>
      <w:lvlJc w:val="right"/>
      <w:pPr>
        <w:tabs>
          <w:tab w:val="num" w:pos="4660"/>
        </w:tabs>
        <w:ind w:left="4660" w:hanging="180"/>
      </w:pPr>
    </w:lvl>
    <w:lvl w:ilvl="6" w:tplc="84DA45EA" w:tentative="1">
      <w:start w:val="1"/>
      <w:numFmt w:val="decimal"/>
      <w:lvlText w:val="%7."/>
      <w:lvlJc w:val="left"/>
      <w:pPr>
        <w:tabs>
          <w:tab w:val="num" w:pos="5380"/>
        </w:tabs>
        <w:ind w:left="5380" w:hanging="360"/>
      </w:pPr>
    </w:lvl>
    <w:lvl w:ilvl="7" w:tplc="9A58938C" w:tentative="1">
      <w:start w:val="1"/>
      <w:numFmt w:val="lowerLetter"/>
      <w:lvlText w:val="%8."/>
      <w:lvlJc w:val="left"/>
      <w:pPr>
        <w:tabs>
          <w:tab w:val="num" w:pos="6100"/>
        </w:tabs>
        <w:ind w:left="6100" w:hanging="360"/>
      </w:pPr>
    </w:lvl>
    <w:lvl w:ilvl="8" w:tplc="FAA88304" w:tentative="1">
      <w:start w:val="1"/>
      <w:numFmt w:val="lowerRoman"/>
      <w:lvlText w:val="%9."/>
      <w:lvlJc w:val="right"/>
      <w:pPr>
        <w:tabs>
          <w:tab w:val="num" w:pos="6820"/>
        </w:tabs>
        <w:ind w:left="6820" w:hanging="180"/>
      </w:pPr>
    </w:lvl>
  </w:abstractNum>
  <w:abstractNum w:abstractNumId="17">
    <w:nsid w:val="763B7B3D"/>
    <w:multiLevelType w:val="hybridMultilevel"/>
    <w:tmpl w:val="53742250"/>
    <w:lvl w:ilvl="0" w:tplc="E2A46C08">
      <w:start w:val="1"/>
      <w:numFmt w:val="lowerLetter"/>
      <w:lvlText w:val="(%1)"/>
      <w:lvlJc w:val="left"/>
      <w:pPr>
        <w:tabs>
          <w:tab w:val="num" w:pos="794"/>
        </w:tabs>
        <w:ind w:left="794" w:hanging="454"/>
      </w:pPr>
      <w:rPr>
        <w:rFonts w:hint="default"/>
      </w:rPr>
    </w:lvl>
    <w:lvl w:ilvl="1" w:tplc="0C090019" w:tentative="1">
      <w:start w:val="1"/>
      <w:numFmt w:val="lowerLetter"/>
      <w:lvlText w:val="%2."/>
      <w:lvlJc w:val="left"/>
      <w:pPr>
        <w:tabs>
          <w:tab w:val="num" w:pos="1780"/>
        </w:tabs>
        <w:ind w:left="1780" w:hanging="360"/>
      </w:pPr>
    </w:lvl>
    <w:lvl w:ilvl="2" w:tplc="0C09001B" w:tentative="1">
      <w:start w:val="1"/>
      <w:numFmt w:val="lowerRoman"/>
      <w:lvlText w:val="%3."/>
      <w:lvlJc w:val="right"/>
      <w:pPr>
        <w:tabs>
          <w:tab w:val="num" w:pos="2500"/>
        </w:tabs>
        <w:ind w:left="2500" w:hanging="180"/>
      </w:pPr>
    </w:lvl>
    <w:lvl w:ilvl="3" w:tplc="0C09000F" w:tentative="1">
      <w:start w:val="1"/>
      <w:numFmt w:val="decimal"/>
      <w:lvlText w:val="%4."/>
      <w:lvlJc w:val="left"/>
      <w:pPr>
        <w:tabs>
          <w:tab w:val="num" w:pos="3220"/>
        </w:tabs>
        <w:ind w:left="3220" w:hanging="360"/>
      </w:pPr>
    </w:lvl>
    <w:lvl w:ilvl="4" w:tplc="0C090019" w:tentative="1">
      <w:start w:val="1"/>
      <w:numFmt w:val="lowerLetter"/>
      <w:lvlText w:val="%5."/>
      <w:lvlJc w:val="left"/>
      <w:pPr>
        <w:tabs>
          <w:tab w:val="num" w:pos="3940"/>
        </w:tabs>
        <w:ind w:left="3940" w:hanging="360"/>
      </w:pPr>
    </w:lvl>
    <w:lvl w:ilvl="5" w:tplc="0C09001B" w:tentative="1">
      <w:start w:val="1"/>
      <w:numFmt w:val="lowerRoman"/>
      <w:lvlText w:val="%6."/>
      <w:lvlJc w:val="right"/>
      <w:pPr>
        <w:tabs>
          <w:tab w:val="num" w:pos="4660"/>
        </w:tabs>
        <w:ind w:left="4660" w:hanging="180"/>
      </w:pPr>
    </w:lvl>
    <w:lvl w:ilvl="6" w:tplc="0C09000F" w:tentative="1">
      <w:start w:val="1"/>
      <w:numFmt w:val="decimal"/>
      <w:lvlText w:val="%7."/>
      <w:lvlJc w:val="left"/>
      <w:pPr>
        <w:tabs>
          <w:tab w:val="num" w:pos="5380"/>
        </w:tabs>
        <w:ind w:left="5380" w:hanging="360"/>
      </w:pPr>
    </w:lvl>
    <w:lvl w:ilvl="7" w:tplc="0C090019" w:tentative="1">
      <w:start w:val="1"/>
      <w:numFmt w:val="lowerLetter"/>
      <w:lvlText w:val="%8."/>
      <w:lvlJc w:val="left"/>
      <w:pPr>
        <w:tabs>
          <w:tab w:val="num" w:pos="6100"/>
        </w:tabs>
        <w:ind w:left="6100" w:hanging="360"/>
      </w:pPr>
    </w:lvl>
    <w:lvl w:ilvl="8" w:tplc="0C09001B" w:tentative="1">
      <w:start w:val="1"/>
      <w:numFmt w:val="lowerRoman"/>
      <w:lvlText w:val="%9."/>
      <w:lvlJc w:val="right"/>
      <w:pPr>
        <w:tabs>
          <w:tab w:val="num" w:pos="6820"/>
        </w:tabs>
        <w:ind w:left="6820" w:hanging="180"/>
      </w:pPr>
    </w:lvl>
  </w:abstractNum>
  <w:abstractNum w:abstractNumId="18">
    <w:nsid w:val="7755389A"/>
    <w:multiLevelType w:val="hybridMultilevel"/>
    <w:tmpl w:val="467A2B0A"/>
    <w:lvl w:ilvl="0" w:tplc="17207A0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84303E6"/>
    <w:multiLevelType w:val="multilevel"/>
    <w:tmpl w:val="9BB04A24"/>
    <w:lvl w:ilvl="0">
      <w:start w:val="1"/>
      <w:numFmt w:val="decimal"/>
      <w:pStyle w:val="Indent1"/>
      <w:lvlText w:val="%1."/>
      <w:lvlJc w:val="left"/>
      <w:pPr>
        <w:tabs>
          <w:tab w:val="num" w:pos="567"/>
        </w:tabs>
        <w:ind w:left="567" w:hanging="567"/>
      </w:pPr>
      <w:rPr>
        <w:b w:val="0"/>
        <w:i w:val="0"/>
        <w:sz w:val="24"/>
      </w:rPr>
    </w:lvl>
    <w:lvl w:ilvl="1">
      <w:start w:val="1"/>
      <w:numFmt w:val="lowerLetter"/>
      <w:lvlText w:val="(%2)"/>
      <w:lvlJc w:val="left"/>
      <w:pPr>
        <w:tabs>
          <w:tab w:val="num" w:pos="1134"/>
        </w:tabs>
        <w:ind w:left="1134" w:hanging="567"/>
      </w:pPr>
      <w:rPr>
        <w:b w:val="0"/>
        <w:i w:val="0"/>
      </w:rPr>
    </w:lvl>
    <w:lvl w:ilvl="2">
      <w:start w:val="1"/>
      <w:numFmt w:val="lowerRoman"/>
      <w:lvlText w:val="(%3)"/>
      <w:lvlJc w:val="left"/>
      <w:pPr>
        <w:tabs>
          <w:tab w:val="num" w:pos="1854"/>
        </w:tabs>
        <w:ind w:left="1701" w:hanging="567"/>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5"/>
  </w:num>
  <w:num w:numId="3">
    <w:abstractNumId w:val="18"/>
  </w:num>
  <w:num w:numId="4">
    <w:abstractNumId w:val="5"/>
  </w:num>
  <w:num w:numId="5">
    <w:abstractNumId w:val="7"/>
  </w:num>
  <w:num w:numId="6">
    <w:abstractNumId w:val="13"/>
  </w:num>
  <w:num w:numId="7">
    <w:abstractNumId w:val="0"/>
  </w:num>
  <w:num w:numId="8">
    <w:abstractNumId w:val="12"/>
  </w:num>
  <w:num w:numId="9">
    <w:abstractNumId w:val="4"/>
  </w:num>
  <w:num w:numId="10">
    <w:abstractNumId w:val="9"/>
  </w:num>
  <w:num w:numId="11">
    <w:abstractNumId w:val="17"/>
  </w:num>
  <w:num w:numId="12">
    <w:abstractNumId w:val="3"/>
  </w:num>
  <w:num w:numId="13">
    <w:abstractNumId w:val="1"/>
  </w:num>
  <w:num w:numId="14">
    <w:abstractNumId w:val="16"/>
  </w:num>
  <w:num w:numId="15">
    <w:abstractNumId w:val="2"/>
  </w:num>
  <w:num w:numId="16">
    <w:abstractNumId w:val="8"/>
  </w:num>
  <w:num w:numId="17">
    <w:abstractNumId w:val="10"/>
  </w:num>
  <w:num w:numId="18">
    <w:abstractNumId w:val="6"/>
  </w:num>
  <w:num w:numId="19">
    <w:abstractNumId w:val="14"/>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B3"/>
    <w:rsid w:val="00000181"/>
    <w:rsid w:val="000007D2"/>
    <w:rsid w:val="0000082B"/>
    <w:rsid w:val="00001020"/>
    <w:rsid w:val="0000117B"/>
    <w:rsid w:val="000015F8"/>
    <w:rsid w:val="00003569"/>
    <w:rsid w:val="000038A9"/>
    <w:rsid w:val="00003E50"/>
    <w:rsid w:val="000040BF"/>
    <w:rsid w:val="000047BA"/>
    <w:rsid w:val="0000495F"/>
    <w:rsid w:val="000059F3"/>
    <w:rsid w:val="00006775"/>
    <w:rsid w:val="00007443"/>
    <w:rsid w:val="00011096"/>
    <w:rsid w:val="00012416"/>
    <w:rsid w:val="000127BD"/>
    <w:rsid w:val="00012EC6"/>
    <w:rsid w:val="000133E6"/>
    <w:rsid w:val="0001354E"/>
    <w:rsid w:val="000137F4"/>
    <w:rsid w:val="000137FB"/>
    <w:rsid w:val="000140C0"/>
    <w:rsid w:val="00014C79"/>
    <w:rsid w:val="00015E68"/>
    <w:rsid w:val="00015FFF"/>
    <w:rsid w:val="00016524"/>
    <w:rsid w:val="00016EFE"/>
    <w:rsid w:val="00016FAC"/>
    <w:rsid w:val="000172C7"/>
    <w:rsid w:val="0001787F"/>
    <w:rsid w:val="000223EF"/>
    <w:rsid w:val="00022AD8"/>
    <w:rsid w:val="00023666"/>
    <w:rsid w:val="00023907"/>
    <w:rsid w:val="00023934"/>
    <w:rsid w:val="00024CFC"/>
    <w:rsid w:val="00025071"/>
    <w:rsid w:val="00025741"/>
    <w:rsid w:val="00025D2C"/>
    <w:rsid w:val="00026B50"/>
    <w:rsid w:val="0003081F"/>
    <w:rsid w:val="00030CD4"/>
    <w:rsid w:val="000325F4"/>
    <w:rsid w:val="00032E6A"/>
    <w:rsid w:val="00036D06"/>
    <w:rsid w:val="00036E3C"/>
    <w:rsid w:val="00037BBF"/>
    <w:rsid w:val="000407FC"/>
    <w:rsid w:val="000410FA"/>
    <w:rsid w:val="00041663"/>
    <w:rsid w:val="00042333"/>
    <w:rsid w:val="00042437"/>
    <w:rsid w:val="000424BD"/>
    <w:rsid w:val="00042FDF"/>
    <w:rsid w:val="000434DF"/>
    <w:rsid w:val="000437FB"/>
    <w:rsid w:val="00043DFE"/>
    <w:rsid w:val="00044216"/>
    <w:rsid w:val="00045121"/>
    <w:rsid w:val="0004543C"/>
    <w:rsid w:val="0004567F"/>
    <w:rsid w:val="00046A34"/>
    <w:rsid w:val="00046E40"/>
    <w:rsid w:val="00047BD7"/>
    <w:rsid w:val="0005115F"/>
    <w:rsid w:val="000514B9"/>
    <w:rsid w:val="00051520"/>
    <w:rsid w:val="00051527"/>
    <w:rsid w:val="000520D1"/>
    <w:rsid w:val="00052B98"/>
    <w:rsid w:val="000550A2"/>
    <w:rsid w:val="00055490"/>
    <w:rsid w:val="00055703"/>
    <w:rsid w:val="00055ED3"/>
    <w:rsid w:val="00056744"/>
    <w:rsid w:val="00056895"/>
    <w:rsid w:val="00056C87"/>
    <w:rsid w:val="00056D69"/>
    <w:rsid w:val="00057E74"/>
    <w:rsid w:val="00060A6F"/>
    <w:rsid w:val="00061049"/>
    <w:rsid w:val="0006158B"/>
    <w:rsid w:val="0006447B"/>
    <w:rsid w:val="00064AA4"/>
    <w:rsid w:val="00065DCC"/>
    <w:rsid w:val="00065E39"/>
    <w:rsid w:val="0006661E"/>
    <w:rsid w:val="000669DD"/>
    <w:rsid w:val="00066A62"/>
    <w:rsid w:val="00067BF2"/>
    <w:rsid w:val="00070A64"/>
    <w:rsid w:val="00073692"/>
    <w:rsid w:val="000736A3"/>
    <w:rsid w:val="00074EEC"/>
    <w:rsid w:val="000752AA"/>
    <w:rsid w:val="0007696C"/>
    <w:rsid w:val="000771D8"/>
    <w:rsid w:val="000776E4"/>
    <w:rsid w:val="00077E5D"/>
    <w:rsid w:val="000803A2"/>
    <w:rsid w:val="0008065F"/>
    <w:rsid w:val="00080CB9"/>
    <w:rsid w:val="0008156C"/>
    <w:rsid w:val="000815F0"/>
    <w:rsid w:val="00081802"/>
    <w:rsid w:val="000825C4"/>
    <w:rsid w:val="00082EB7"/>
    <w:rsid w:val="00082F0F"/>
    <w:rsid w:val="000835CC"/>
    <w:rsid w:val="00083E13"/>
    <w:rsid w:val="0008415F"/>
    <w:rsid w:val="00084293"/>
    <w:rsid w:val="0008467A"/>
    <w:rsid w:val="00084953"/>
    <w:rsid w:val="00084BCD"/>
    <w:rsid w:val="00084EC3"/>
    <w:rsid w:val="0008673E"/>
    <w:rsid w:val="00087323"/>
    <w:rsid w:val="00087C88"/>
    <w:rsid w:val="00087D10"/>
    <w:rsid w:val="00090027"/>
    <w:rsid w:val="0009046B"/>
    <w:rsid w:val="00090479"/>
    <w:rsid w:val="000908F2"/>
    <w:rsid w:val="00091055"/>
    <w:rsid w:val="00091096"/>
    <w:rsid w:val="00091168"/>
    <w:rsid w:val="00091FFD"/>
    <w:rsid w:val="0009258D"/>
    <w:rsid w:val="00092987"/>
    <w:rsid w:val="00092FED"/>
    <w:rsid w:val="000931F1"/>
    <w:rsid w:val="0009340B"/>
    <w:rsid w:val="00093695"/>
    <w:rsid w:val="00095B99"/>
    <w:rsid w:val="00096262"/>
    <w:rsid w:val="00097B6A"/>
    <w:rsid w:val="000A0359"/>
    <w:rsid w:val="000A0374"/>
    <w:rsid w:val="000A076F"/>
    <w:rsid w:val="000A0E3E"/>
    <w:rsid w:val="000A0F02"/>
    <w:rsid w:val="000A3E82"/>
    <w:rsid w:val="000A3F41"/>
    <w:rsid w:val="000A40A1"/>
    <w:rsid w:val="000A4D35"/>
    <w:rsid w:val="000A4DCD"/>
    <w:rsid w:val="000A5299"/>
    <w:rsid w:val="000A564F"/>
    <w:rsid w:val="000A591C"/>
    <w:rsid w:val="000A5A7F"/>
    <w:rsid w:val="000A6F8A"/>
    <w:rsid w:val="000A723E"/>
    <w:rsid w:val="000A731A"/>
    <w:rsid w:val="000A7B32"/>
    <w:rsid w:val="000A7CAF"/>
    <w:rsid w:val="000B0528"/>
    <w:rsid w:val="000B18F9"/>
    <w:rsid w:val="000B2E37"/>
    <w:rsid w:val="000B3FAA"/>
    <w:rsid w:val="000B52DE"/>
    <w:rsid w:val="000B626E"/>
    <w:rsid w:val="000B6A98"/>
    <w:rsid w:val="000C06DF"/>
    <w:rsid w:val="000C0DE8"/>
    <w:rsid w:val="000C1A14"/>
    <w:rsid w:val="000C1E0C"/>
    <w:rsid w:val="000C2675"/>
    <w:rsid w:val="000C3085"/>
    <w:rsid w:val="000C477A"/>
    <w:rsid w:val="000C4D43"/>
    <w:rsid w:val="000C55CD"/>
    <w:rsid w:val="000C5960"/>
    <w:rsid w:val="000C5D25"/>
    <w:rsid w:val="000C65FB"/>
    <w:rsid w:val="000C72DB"/>
    <w:rsid w:val="000C7553"/>
    <w:rsid w:val="000D0417"/>
    <w:rsid w:val="000D0AC1"/>
    <w:rsid w:val="000D2272"/>
    <w:rsid w:val="000D2B6F"/>
    <w:rsid w:val="000D3994"/>
    <w:rsid w:val="000D3C73"/>
    <w:rsid w:val="000D4F2E"/>
    <w:rsid w:val="000D5B21"/>
    <w:rsid w:val="000D61BD"/>
    <w:rsid w:val="000D62E7"/>
    <w:rsid w:val="000D693F"/>
    <w:rsid w:val="000D6A61"/>
    <w:rsid w:val="000D6AF7"/>
    <w:rsid w:val="000D6DF2"/>
    <w:rsid w:val="000D7324"/>
    <w:rsid w:val="000D7CE1"/>
    <w:rsid w:val="000D7D10"/>
    <w:rsid w:val="000E30AC"/>
    <w:rsid w:val="000E34B9"/>
    <w:rsid w:val="000E441F"/>
    <w:rsid w:val="000E4BAD"/>
    <w:rsid w:val="000E4E2F"/>
    <w:rsid w:val="000E4FC9"/>
    <w:rsid w:val="000E511D"/>
    <w:rsid w:val="000E5392"/>
    <w:rsid w:val="000E5504"/>
    <w:rsid w:val="000E5BA6"/>
    <w:rsid w:val="000E5C35"/>
    <w:rsid w:val="000E5CFC"/>
    <w:rsid w:val="000E6442"/>
    <w:rsid w:val="000E7522"/>
    <w:rsid w:val="000E7578"/>
    <w:rsid w:val="000E79B2"/>
    <w:rsid w:val="000E7AE0"/>
    <w:rsid w:val="000E7EDC"/>
    <w:rsid w:val="000F1E83"/>
    <w:rsid w:val="000F2375"/>
    <w:rsid w:val="000F23BE"/>
    <w:rsid w:val="000F307B"/>
    <w:rsid w:val="000F4D87"/>
    <w:rsid w:val="000F517F"/>
    <w:rsid w:val="000F574D"/>
    <w:rsid w:val="000F617D"/>
    <w:rsid w:val="000F68B3"/>
    <w:rsid w:val="000F75DC"/>
    <w:rsid w:val="001003AB"/>
    <w:rsid w:val="00100697"/>
    <w:rsid w:val="00100EDF"/>
    <w:rsid w:val="00101133"/>
    <w:rsid w:val="00101165"/>
    <w:rsid w:val="00101614"/>
    <w:rsid w:val="001017F0"/>
    <w:rsid w:val="0010268E"/>
    <w:rsid w:val="00102CF6"/>
    <w:rsid w:val="0010365D"/>
    <w:rsid w:val="001038A8"/>
    <w:rsid w:val="00103A96"/>
    <w:rsid w:val="00103C04"/>
    <w:rsid w:val="00104EC5"/>
    <w:rsid w:val="00107099"/>
    <w:rsid w:val="0010771A"/>
    <w:rsid w:val="00107B71"/>
    <w:rsid w:val="00112A7A"/>
    <w:rsid w:val="00112B45"/>
    <w:rsid w:val="00112F64"/>
    <w:rsid w:val="00113B7A"/>
    <w:rsid w:val="00113F5B"/>
    <w:rsid w:val="00114090"/>
    <w:rsid w:val="001146E3"/>
    <w:rsid w:val="0011525B"/>
    <w:rsid w:val="001177C7"/>
    <w:rsid w:val="00120ADB"/>
    <w:rsid w:val="00121A69"/>
    <w:rsid w:val="001236E8"/>
    <w:rsid w:val="00124D5E"/>
    <w:rsid w:val="00124F48"/>
    <w:rsid w:val="001256C4"/>
    <w:rsid w:val="00125F18"/>
    <w:rsid w:val="00126EA2"/>
    <w:rsid w:val="00127605"/>
    <w:rsid w:val="00130362"/>
    <w:rsid w:val="00130A4D"/>
    <w:rsid w:val="00130C82"/>
    <w:rsid w:val="00130F06"/>
    <w:rsid w:val="0013103D"/>
    <w:rsid w:val="001326C4"/>
    <w:rsid w:val="0013330B"/>
    <w:rsid w:val="00133F21"/>
    <w:rsid w:val="001343FF"/>
    <w:rsid w:val="00134D1D"/>
    <w:rsid w:val="00135A69"/>
    <w:rsid w:val="00135C8C"/>
    <w:rsid w:val="0013604C"/>
    <w:rsid w:val="001365C4"/>
    <w:rsid w:val="00136AC2"/>
    <w:rsid w:val="001405DA"/>
    <w:rsid w:val="00140D3C"/>
    <w:rsid w:val="00141164"/>
    <w:rsid w:val="0014254B"/>
    <w:rsid w:val="00142588"/>
    <w:rsid w:val="001427B2"/>
    <w:rsid w:val="0014541A"/>
    <w:rsid w:val="0014565E"/>
    <w:rsid w:val="00145794"/>
    <w:rsid w:val="00145925"/>
    <w:rsid w:val="00145B91"/>
    <w:rsid w:val="00146011"/>
    <w:rsid w:val="00146695"/>
    <w:rsid w:val="001471F1"/>
    <w:rsid w:val="00147C3A"/>
    <w:rsid w:val="00150434"/>
    <w:rsid w:val="00150C91"/>
    <w:rsid w:val="001527EE"/>
    <w:rsid w:val="00152F9C"/>
    <w:rsid w:val="0015307F"/>
    <w:rsid w:val="001532B2"/>
    <w:rsid w:val="0015359A"/>
    <w:rsid w:val="00154600"/>
    <w:rsid w:val="001555FF"/>
    <w:rsid w:val="001557B8"/>
    <w:rsid w:val="00156228"/>
    <w:rsid w:val="001562DC"/>
    <w:rsid w:val="001564F0"/>
    <w:rsid w:val="00156EE1"/>
    <w:rsid w:val="00157128"/>
    <w:rsid w:val="00157335"/>
    <w:rsid w:val="001608F1"/>
    <w:rsid w:val="00160F66"/>
    <w:rsid w:val="00161067"/>
    <w:rsid w:val="001610C2"/>
    <w:rsid w:val="00161375"/>
    <w:rsid w:val="00161573"/>
    <w:rsid w:val="00161881"/>
    <w:rsid w:val="001637B9"/>
    <w:rsid w:val="00164B6A"/>
    <w:rsid w:val="00164E10"/>
    <w:rsid w:val="00164EB2"/>
    <w:rsid w:val="001650B3"/>
    <w:rsid w:val="00165845"/>
    <w:rsid w:val="001662CB"/>
    <w:rsid w:val="0016720F"/>
    <w:rsid w:val="001674FA"/>
    <w:rsid w:val="001704D3"/>
    <w:rsid w:val="00170906"/>
    <w:rsid w:val="00170F92"/>
    <w:rsid w:val="00171FB2"/>
    <w:rsid w:val="00172C8D"/>
    <w:rsid w:val="00172EB9"/>
    <w:rsid w:val="00173330"/>
    <w:rsid w:val="00173B55"/>
    <w:rsid w:val="00173E9E"/>
    <w:rsid w:val="00173F45"/>
    <w:rsid w:val="0017655E"/>
    <w:rsid w:val="00176B3D"/>
    <w:rsid w:val="00176ECC"/>
    <w:rsid w:val="00177920"/>
    <w:rsid w:val="00180609"/>
    <w:rsid w:val="001816C2"/>
    <w:rsid w:val="00183434"/>
    <w:rsid w:val="001843ED"/>
    <w:rsid w:val="001844DB"/>
    <w:rsid w:val="00185F19"/>
    <w:rsid w:val="001860BA"/>
    <w:rsid w:val="00186A49"/>
    <w:rsid w:val="00186D59"/>
    <w:rsid w:val="001913D9"/>
    <w:rsid w:val="00191FAB"/>
    <w:rsid w:val="001925E3"/>
    <w:rsid w:val="001931C1"/>
    <w:rsid w:val="00193452"/>
    <w:rsid w:val="0019382F"/>
    <w:rsid w:val="00195393"/>
    <w:rsid w:val="00195D33"/>
    <w:rsid w:val="0019610A"/>
    <w:rsid w:val="0019683C"/>
    <w:rsid w:val="00197C52"/>
    <w:rsid w:val="00197E8B"/>
    <w:rsid w:val="00197EAE"/>
    <w:rsid w:val="001A06E1"/>
    <w:rsid w:val="001A19C7"/>
    <w:rsid w:val="001A1DA0"/>
    <w:rsid w:val="001A25DD"/>
    <w:rsid w:val="001A299D"/>
    <w:rsid w:val="001A2B4F"/>
    <w:rsid w:val="001A40D0"/>
    <w:rsid w:val="001A4F02"/>
    <w:rsid w:val="001A63BA"/>
    <w:rsid w:val="001A6985"/>
    <w:rsid w:val="001A69A4"/>
    <w:rsid w:val="001A6AE4"/>
    <w:rsid w:val="001A6EAF"/>
    <w:rsid w:val="001A7143"/>
    <w:rsid w:val="001A71BA"/>
    <w:rsid w:val="001A72A3"/>
    <w:rsid w:val="001A78D1"/>
    <w:rsid w:val="001A7EE8"/>
    <w:rsid w:val="001B010B"/>
    <w:rsid w:val="001B03B8"/>
    <w:rsid w:val="001B08F6"/>
    <w:rsid w:val="001B1B94"/>
    <w:rsid w:val="001B2179"/>
    <w:rsid w:val="001B2AAC"/>
    <w:rsid w:val="001B2BA2"/>
    <w:rsid w:val="001B322E"/>
    <w:rsid w:val="001B38C1"/>
    <w:rsid w:val="001B40B2"/>
    <w:rsid w:val="001B524F"/>
    <w:rsid w:val="001B598A"/>
    <w:rsid w:val="001B668D"/>
    <w:rsid w:val="001B6ACC"/>
    <w:rsid w:val="001B7352"/>
    <w:rsid w:val="001B73EA"/>
    <w:rsid w:val="001B76F6"/>
    <w:rsid w:val="001C069A"/>
    <w:rsid w:val="001C0755"/>
    <w:rsid w:val="001C0E0F"/>
    <w:rsid w:val="001C1298"/>
    <w:rsid w:val="001C12FC"/>
    <w:rsid w:val="001C20D2"/>
    <w:rsid w:val="001C2223"/>
    <w:rsid w:val="001C24DD"/>
    <w:rsid w:val="001C287F"/>
    <w:rsid w:val="001C2946"/>
    <w:rsid w:val="001C29AA"/>
    <w:rsid w:val="001C32C0"/>
    <w:rsid w:val="001C3A5A"/>
    <w:rsid w:val="001C4082"/>
    <w:rsid w:val="001C4693"/>
    <w:rsid w:val="001C55E8"/>
    <w:rsid w:val="001C5C18"/>
    <w:rsid w:val="001C6078"/>
    <w:rsid w:val="001C695E"/>
    <w:rsid w:val="001D0280"/>
    <w:rsid w:val="001D0AF0"/>
    <w:rsid w:val="001D120F"/>
    <w:rsid w:val="001D2B98"/>
    <w:rsid w:val="001D37E2"/>
    <w:rsid w:val="001D38B0"/>
    <w:rsid w:val="001D3B54"/>
    <w:rsid w:val="001D480A"/>
    <w:rsid w:val="001D53DE"/>
    <w:rsid w:val="001D665F"/>
    <w:rsid w:val="001D717A"/>
    <w:rsid w:val="001D7703"/>
    <w:rsid w:val="001E040E"/>
    <w:rsid w:val="001E0792"/>
    <w:rsid w:val="001E2473"/>
    <w:rsid w:val="001E2DB7"/>
    <w:rsid w:val="001E2F2C"/>
    <w:rsid w:val="001E33F5"/>
    <w:rsid w:val="001E3655"/>
    <w:rsid w:val="001E3EB2"/>
    <w:rsid w:val="001E443D"/>
    <w:rsid w:val="001E4C2A"/>
    <w:rsid w:val="001E4F99"/>
    <w:rsid w:val="001E651B"/>
    <w:rsid w:val="001E791A"/>
    <w:rsid w:val="001E7D65"/>
    <w:rsid w:val="001F0D99"/>
    <w:rsid w:val="001F100C"/>
    <w:rsid w:val="001F149A"/>
    <w:rsid w:val="001F2509"/>
    <w:rsid w:val="001F26D3"/>
    <w:rsid w:val="001F2C0D"/>
    <w:rsid w:val="001F2D47"/>
    <w:rsid w:val="001F45B7"/>
    <w:rsid w:val="001F473E"/>
    <w:rsid w:val="001F49A2"/>
    <w:rsid w:val="001F5600"/>
    <w:rsid w:val="001F57EE"/>
    <w:rsid w:val="001F59DE"/>
    <w:rsid w:val="001F5A72"/>
    <w:rsid w:val="001F6227"/>
    <w:rsid w:val="001F6583"/>
    <w:rsid w:val="001F69A1"/>
    <w:rsid w:val="001F7194"/>
    <w:rsid w:val="001F7C0C"/>
    <w:rsid w:val="00200E41"/>
    <w:rsid w:val="00201226"/>
    <w:rsid w:val="00201831"/>
    <w:rsid w:val="0020209A"/>
    <w:rsid w:val="0020210B"/>
    <w:rsid w:val="002021BC"/>
    <w:rsid w:val="002024BE"/>
    <w:rsid w:val="00202AB6"/>
    <w:rsid w:val="00202C62"/>
    <w:rsid w:val="002071A6"/>
    <w:rsid w:val="002078A3"/>
    <w:rsid w:val="002101DE"/>
    <w:rsid w:val="002101FF"/>
    <w:rsid w:val="00210897"/>
    <w:rsid w:val="00210F61"/>
    <w:rsid w:val="00211D6B"/>
    <w:rsid w:val="00211EC5"/>
    <w:rsid w:val="002126CB"/>
    <w:rsid w:val="00213A77"/>
    <w:rsid w:val="00213A84"/>
    <w:rsid w:val="00213CA0"/>
    <w:rsid w:val="002148DF"/>
    <w:rsid w:val="00214B08"/>
    <w:rsid w:val="00215053"/>
    <w:rsid w:val="00215DD5"/>
    <w:rsid w:val="00215E1C"/>
    <w:rsid w:val="002162C3"/>
    <w:rsid w:val="002167B0"/>
    <w:rsid w:val="00217188"/>
    <w:rsid w:val="0021783A"/>
    <w:rsid w:val="00220E3E"/>
    <w:rsid w:val="00222292"/>
    <w:rsid w:val="002223EF"/>
    <w:rsid w:val="00222429"/>
    <w:rsid w:val="0022320C"/>
    <w:rsid w:val="00223D52"/>
    <w:rsid w:val="00224E1A"/>
    <w:rsid w:val="00225690"/>
    <w:rsid w:val="0022619E"/>
    <w:rsid w:val="002265FA"/>
    <w:rsid w:val="00226695"/>
    <w:rsid w:val="00226740"/>
    <w:rsid w:val="0022682B"/>
    <w:rsid w:val="00226A4E"/>
    <w:rsid w:val="00227DC5"/>
    <w:rsid w:val="00231162"/>
    <w:rsid w:val="002311C5"/>
    <w:rsid w:val="002313D6"/>
    <w:rsid w:val="00231414"/>
    <w:rsid w:val="002336EA"/>
    <w:rsid w:val="0023373F"/>
    <w:rsid w:val="0023493A"/>
    <w:rsid w:val="00234F05"/>
    <w:rsid w:val="0023643D"/>
    <w:rsid w:val="00236BDD"/>
    <w:rsid w:val="002370AB"/>
    <w:rsid w:val="002374A4"/>
    <w:rsid w:val="00237942"/>
    <w:rsid w:val="00240493"/>
    <w:rsid w:val="00242664"/>
    <w:rsid w:val="0024278C"/>
    <w:rsid w:val="00243E85"/>
    <w:rsid w:val="00244287"/>
    <w:rsid w:val="002455C1"/>
    <w:rsid w:val="00245B4D"/>
    <w:rsid w:val="00246244"/>
    <w:rsid w:val="00247159"/>
    <w:rsid w:val="00247D76"/>
    <w:rsid w:val="00250808"/>
    <w:rsid w:val="00250D63"/>
    <w:rsid w:val="00250F4E"/>
    <w:rsid w:val="0025190F"/>
    <w:rsid w:val="00252F50"/>
    <w:rsid w:val="00253B4E"/>
    <w:rsid w:val="00254597"/>
    <w:rsid w:val="00254E90"/>
    <w:rsid w:val="00255074"/>
    <w:rsid w:val="00255178"/>
    <w:rsid w:val="002567D0"/>
    <w:rsid w:val="002577AA"/>
    <w:rsid w:val="00261AED"/>
    <w:rsid w:val="002628F6"/>
    <w:rsid w:val="002631F8"/>
    <w:rsid w:val="00263CD4"/>
    <w:rsid w:val="00263EC2"/>
    <w:rsid w:val="00265070"/>
    <w:rsid w:val="002650C4"/>
    <w:rsid w:val="002653F8"/>
    <w:rsid w:val="00265989"/>
    <w:rsid w:val="002663FA"/>
    <w:rsid w:val="002664F2"/>
    <w:rsid w:val="00266511"/>
    <w:rsid w:val="00266FA0"/>
    <w:rsid w:val="0026748E"/>
    <w:rsid w:val="0026782A"/>
    <w:rsid w:val="002705CC"/>
    <w:rsid w:val="00270E4E"/>
    <w:rsid w:val="002712BA"/>
    <w:rsid w:val="00271A49"/>
    <w:rsid w:val="00271B3D"/>
    <w:rsid w:val="0027286B"/>
    <w:rsid w:val="0027306F"/>
    <w:rsid w:val="002730A0"/>
    <w:rsid w:val="00273472"/>
    <w:rsid w:val="00273783"/>
    <w:rsid w:val="002740AB"/>
    <w:rsid w:val="002747F8"/>
    <w:rsid w:val="002749D8"/>
    <w:rsid w:val="00274D08"/>
    <w:rsid w:val="00275541"/>
    <w:rsid w:val="00275A45"/>
    <w:rsid w:val="00275EA5"/>
    <w:rsid w:val="0027741F"/>
    <w:rsid w:val="00277655"/>
    <w:rsid w:val="00277665"/>
    <w:rsid w:val="00277801"/>
    <w:rsid w:val="002801F7"/>
    <w:rsid w:val="0028130C"/>
    <w:rsid w:val="00281785"/>
    <w:rsid w:val="00282056"/>
    <w:rsid w:val="00282378"/>
    <w:rsid w:val="00282654"/>
    <w:rsid w:val="00282863"/>
    <w:rsid w:val="00282B4B"/>
    <w:rsid w:val="00282D21"/>
    <w:rsid w:val="0028345E"/>
    <w:rsid w:val="002836BE"/>
    <w:rsid w:val="00284159"/>
    <w:rsid w:val="00286009"/>
    <w:rsid w:val="002869DB"/>
    <w:rsid w:val="002874D6"/>
    <w:rsid w:val="00287645"/>
    <w:rsid w:val="002901B0"/>
    <w:rsid w:val="00290CDF"/>
    <w:rsid w:val="0029180A"/>
    <w:rsid w:val="00293F53"/>
    <w:rsid w:val="00294F3D"/>
    <w:rsid w:val="0029560E"/>
    <w:rsid w:val="00296C0D"/>
    <w:rsid w:val="00297038"/>
    <w:rsid w:val="00297267"/>
    <w:rsid w:val="00297628"/>
    <w:rsid w:val="00297CA3"/>
    <w:rsid w:val="002A0F77"/>
    <w:rsid w:val="002A1B92"/>
    <w:rsid w:val="002A1D40"/>
    <w:rsid w:val="002A208C"/>
    <w:rsid w:val="002A3270"/>
    <w:rsid w:val="002A38E8"/>
    <w:rsid w:val="002A39E6"/>
    <w:rsid w:val="002A3B84"/>
    <w:rsid w:val="002A3BAA"/>
    <w:rsid w:val="002A4F87"/>
    <w:rsid w:val="002A5C74"/>
    <w:rsid w:val="002A5CE6"/>
    <w:rsid w:val="002A6015"/>
    <w:rsid w:val="002A6FAF"/>
    <w:rsid w:val="002A7445"/>
    <w:rsid w:val="002A752E"/>
    <w:rsid w:val="002A7E49"/>
    <w:rsid w:val="002B045D"/>
    <w:rsid w:val="002B0747"/>
    <w:rsid w:val="002B0B34"/>
    <w:rsid w:val="002B0E7E"/>
    <w:rsid w:val="002B1239"/>
    <w:rsid w:val="002B13C4"/>
    <w:rsid w:val="002B179C"/>
    <w:rsid w:val="002B1E22"/>
    <w:rsid w:val="002B1E6C"/>
    <w:rsid w:val="002B351E"/>
    <w:rsid w:val="002B41EF"/>
    <w:rsid w:val="002B425E"/>
    <w:rsid w:val="002B4458"/>
    <w:rsid w:val="002B45B8"/>
    <w:rsid w:val="002B47E4"/>
    <w:rsid w:val="002B4DE5"/>
    <w:rsid w:val="002B52BB"/>
    <w:rsid w:val="002B53E8"/>
    <w:rsid w:val="002B589C"/>
    <w:rsid w:val="002B5A79"/>
    <w:rsid w:val="002B5E05"/>
    <w:rsid w:val="002C1472"/>
    <w:rsid w:val="002C1D1C"/>
    <w:rsid w:val="002C1F41"/>
    <w:rsid w:val="002C2793"/>
    <w:rsid w:val="002C28D0"/>
    <w:rsid w:val="002C3218"/>
    <w:rsid w:val="002C3225"/>
    <w:rsid w:val="002C3E2F"/>
    <w:rsid w:val="002C6B09"/>
    <w:rsid w:val="002C73F4"/>
    <w:rsid w:val="002D06F4"/>
    <w:rsid w:val="002D0C18"/>
    <w:rsid w:val="002D1562"/>
    <w:rsid w:val="002D18DA"/>
    <w:rsid w:val="002D2CB8"/>
    <w:rsid w:val="002D2F4B"/>
    <w:rsid w:val="002D36A6"/>
    <w:rsid w:val="002D3A0C"/>
    <w:rsid w:val="002D4B80"/>
    <w:rsid w:val="002D5080"/>
    <w:rsid w:val="002D529E"/>
    <w:rsid w:val="002D5C57"/>
    <w:rsid w:val="002D5CD4"/>
    <w:rsid w:val="002D6896"/>
    <w:rsid w:val="002D78F6"/>
    <w:rsid w:val="002E0253"/>
    <w:rsid w:val="002E0B90"/>
    <w:rsid w:val="002E0C59"/>
    <w:rsid w:val="002E15CF"/>
    <w:rsid w:val="002E17A5"/>
    <w:rsid w:val="002E1D9F"/>
    <w:rsid w:val="002E2237"/>
    <w:rsid w:val="002E290B"/>
    <w:rsid w:val="002E2B5D"/>
    <w:rsid w:val="002E33E6"/>
    <w:rsid w:val="002E3435"/>
    <w:rsid w:val="002E37BB"/>
    <w:rsid w:val="002E432E"/>
    <w:rsid w:val="002E48A8"/>
    <w:rsid w:val="002E5B3A"/>
    <w:rsid w:val="002E773A"/>
    <w:rsid w:val="002F1506"/>
    <w:rsid w:val="002F1BB0"/>
    <w:rsid w:val="002F2A50"/>
    <w:rsid w:val="002F33AE"/>
    <w:rsid w:val="002F36A3"/>
    <w:rsid w:val="002F4ADA"/>
    <w:rsid w:val="002F5B5E"/>
    <w:rsid w:val="002F5B72"/>
    <w:rsid w:val="002F5D3E"/>
    <w:rsid w:val="002F7514"/>
    <w:rsid w:val="0030056C"/>
    <w:rsid w:val="00300A01"/>
    <w:rsid w:val="00300DC1"/>
    <w:rsid w:val="0030102A"/>
    <w:rsid w:val="0030127A"/>
    <w:rsid w:val="00302445"/>
    <w:rsid w:val="00303023"/>
    <w:rsid w:val="00303A95"/>
    <w:rsid w:val="00304372"/>
    <w:rsid w:val="0030559B"/>
    <w:rsid w:val="0030587A"/>
    <w:rsid w:val="00305D6C"/>
    <w:rsid w:val="00306304"/>
    <w:rsid w:val="00306483"/>
    <w:rsid w:val="0030701E"/>
    <w:rsid w:val="00307972"/>
    <w:rsid w:val="00307A4D"/>
    <w:rsid w:val="00307B0F"/>
    <w:rsid w:val="0031083F"/>
    <w:rsid w:val="00310895"/>
    <w:rsid w:val="00311514"/>
    <w:rsid w:val="00311ABE"/>
    <w:rsid w:val="00311AD1"/>
    <w:rsid w:val="00311D98"/>
    <w:rsid w:val="00312950"/>
    <w:rsid w:val="00312C02"/>
    <w:rsid w:val="00315B6C"/>
    <w:rsid w:val="00316658"/>
    <w:rsid w:val="00316CB9"/>
    <w:rsid w:val="003202A4"/>
    <w:rsid w:val="00320434"/>
    <w:rsid w:val="00320E28"/>
    <w:rsid w:val="00321A4C"/>
    <w:rsid w:val="003223E8"/>
    <w:rsid w:val="0032256B"/>
    <w:rsid w:val="003225D4"/>
    <w:rsid w:val="00322814"/>
    <w:rsid w:val="0032316C"/>
    <w:rsid w:val="00323344"/>
    <w:rsid w:val="003241BD"/>
    <w:rsid w:val="003252CD"/>
    <w:rsid w:val="0032576A"/>
    <w:rsid w:val="003257D0"/>
    <w:rsid w:val="003259BF"/>
    <w:rsid w:val="00325C3A"/>
    <w:rsid w:val="00326164"/>
    <w:rsid w:val="00327D43"/>
    <w:rsid w:val="00327F0B"/>
    <w:rsid w:val="00330776"/>
    <w:rsid w:val="0033082F"/>
    <w:rsid w:val="00330892"/>
    <w:rsid w:val="003308ED"/>
    <w:rsid w:val="00331759"/>
    <w:rsid w:val="00332ED7"/>
    <w:rsid w:val="00333AAF"/>
    <w:rsid w:val="0033423C"/>
    <w:rsid w:val="00336A65"/>
    <w:rsid w:val="00336C0B"/>
    <w:rsid w:val="00337750"/>
    <w:rsid w:val="00341082"/>
    <w:rsid w:val="003418EE"/>
    <w:rsid w:val="00341D8A"/>
    <w:rsid w:val="00341F34"/>
    <w:rsid w:val="0034214D"/>
    <w:rsid w:val="00342D85"/>
    <w:rsid w:val="00343A94"/>
    <w:rsid w:val="00344413"/>
    <w:rsid w:val="00344A3F"/>
    <w:rsid w:val="00344A78"/>
    <w:rsid w:val="00345F13"/>
    <w:rsid w:val="00346DBD"/>
    <w:rsid w:val="003470C4"/>
    <w:rsid w:val="00347182"/>
    <w:rsid w:val="00347782"/>
    <w:rsid w:val="0034798A"/>
    <w:rsid w:val="003479D8"/>
    <w:rsid w:val="003504F4"/>
    <w:rsid w:val="00350508"/>
    <w:rsid w:val="00350C32"/>
    <w:rsid w:val="003518DA"/>
    <w:rsid w:val="003527D2"/>
    <w:rsid w:val="00352B05"/>
    <w:rsid w:val="00352D32"/>
    <w:rsid w:val="003538C7"/>
    <w:rsid w:val="00354479"/>
    <w:rsid w:val="003547BD"/>
    <w:rsid w:val="00354E12"/>
    <w:rsid w:val="003563CE"/>
    <w:rsid w:val="00356405"/>
    <w:rsid w:val="00360ECA"/>
    <w:rsid w:val="003628CD"/>
    <w:rsid w:val="00363559"/>
    <w:rsid w:val="00363CCA"/>
    <w:rsid w:val="003650D6"/>
    <w:rsid w:val="003652B9"/>
    <w:rsid w:val="003657B9"/>
    <w:rsid w:val="0036692E"/>
    <w:rsid w:val="0036745C"/>
    <w:rsid w:val="00367EA2"/>
    <w:rsid w:val="00370486"/>
    <w:rsid w:val="00370546"/>
    <w:rsid w:val="003705A0"/>
    <w:rsid w:val="00370C86"/>
    <w:rsid w:val="00372057"/>
    <w:rsid w:val="00372297"/>
    <w:rsid w:val="0037246B"/>
    <w:rsid w:val="00373D6E"/>
    <w:rsid w:val="0037473A"/>
    <w:rsid w:val="00374DD2"/>
    <w:rsid w:val="0037558E"/>
    <w:rsid w:val="00375867"/>
    <w:rsid w:val="00375B85"/>
    <w:rsid w:val="00376690"/>
    <w:rsid w:val="0037742E"/>
    <w:rsid w:val="00377718"/>
    <w:rsid w:val="00377FCA"/>
    <w:rsid w:val="00380762"/>
    <w:rsid w:val="0038230A"/>
    <w:rsid w:val="00382556"/>
    <w:rsid w:val="00383F56"/>
    <w:rsid w:val="00384040"/>
    <w:rsid w:val="003848C4"/>
    <w:rsid w:val="00384CE1"/>
    <w:rsid w:val="00384FEE"/>
    <w:rsid w:val="003854EA"/>
    <w:rsid w:val="0038582C"/>
    <w:rsid w:val="003859D6"/>
    <w:rsid w:val="00385DC2"/>
    <w:rsid w:val="0038700B"/>
    <w:rsid w:val="0038789C"/>
    <w:rsid w:val="00390149"/>
    <w:rsid w:val="00390593"/>
    <w:rsid w:val="003910EC"/>
    <w:rsid w:val="003912CD"/>
    <w:rsid w:val="00391407"/>
    <w:rsid w:val="00391A62"/>
    <w:rsid w:val="00391BBD"/>
    <w:rsid w:val="00392E88"/>
    <w:rsid w:val="00393D7E"/>
    <w:rsid w:val="00393DE9"/>
    <w:rsid w:val="00393E42"/>
    <w:rsid w:val="00394863"/>
    <w:rsid w:val="00394A9B"/>
    <w:rsid w:val="0039525D"/>
    <w:rsid w:val="0039531F"/>
    <w:rsid w:val="00395749"/>
    <w:rsid w:val="0039574D"/>
    <w:rsid w:val="00396652"/>
    <w:rsid w:val="003968C9"/>
    <w:rsid w:val="00396D06"/>
    <w:rsid w:val="003972B4"/>
    <w:rsid w:val="003A0BA2"/>
    <w:rsid w:val="003A0EED"/>
    <w:rsid w:val="003A1CF7"/>
    <w:rsid w:val="003A3E53"/>
    <w:rsid w:val="003A47C2"/>
    <w:rsid w:val="003A597F"/>
    <w:rsid w:val="003A6317"/>
    <w:rsid w:val="003A63B8"/>
    <w:rsid w:val="003A6668"/>
    <w:rsid w:val="003A6A20"/>
    <w:rsid w:val="003B09B5"/>
    <w:rsid w:val="003B09F9"/>
    <w:rsid w:val="003B0FEB"/>
    <w:rsid w:val="003B1132"/>
    <w:rsid w:val="003B27DA"/>
    <w:rsid w:val="003B292A"/>
    <w:rsid w:val="003B2AA4"/>
    <w:rsid w:val="003B3186"/>
    <w:rsid w:val="003B31A9"/>
    <w:rsid w:val="003B38BD"/>
    <w:rsid w:val="003B5379"/>
    <w:rsid w:val="003B5A7B"/>
    <w:rsid w:val="003B5FC3"/>
    <w:rsid w:val="003B60E4"/>
    <w:rsid w:val="003B6AF0"/>
    <w:rsid w:val="003B70F3"/>
    <w:rsid w:val="003B7259"/>
    <w:rsid w:val="003B7784"/>
    <w:rsid w:val="003C1B9D"/>
    <w:rsid w:val="003C1E39"/>
    <w:rsid w:val="003C20E7"/>
    <w:rsid w:val="003C2CC5"/>
    <w:rsid w:val="003C2F9D"/>
    <w:rsid w:val="003C39BB"/>
    <w:rsid w:val="003C418E"/>
    <w:rsid w:val="003C4215"/>
    <w:rsid w:val="003C4487"/>
    <w:rsid w:val="003C4EC1"/>
    <w:rsid w:val="003C542F"/>
    <w:rsid w:val="003C5DAA"/>
    <w:rsid w:val="003C6576"/>
    <w:rsid w:val="003C6E52"/>
    <w:rsid w:val="003C74F2"/>
    <w:rsid w:val="003D0086"/>
    <w:rsid w:val="003D0B65"/>
    <w:rsid w:val="003D16E6"/>
    <w:rsid w:val="003D2732"/>
    <w:rsid w:val="003D2C30"/>
    <w:rsid w:val="003D2C91"/>
    <w:rsid w:val="003D2FCC"/>
    <w:rsid w:val="003D418C"/>
    <w:rsid w:val="003D42D9"/>
    <w:rsid w:val="003D61BC"/>
    <w:rsid w:val="003D6754"/>
    <w:rsid w:val="003D76AC"/>
    <w:rsid w:val="003D76D1"/>
    <w:rsid w:val="003D779F"/>
    <w:rsid w:val="003E114D"/>
    <w:rsid w:val="003E1396"/>
    <w:rsid w:val="003E17F4"/>
    <w:rsid w:val="003E24A1"/>
    <w:rsid w:val="003E2961"/>
    <w:rsid w:val="003E2F37"/>
    <w:rsid w:val="003E336A"/>
    <w:rsid w:val="003E3A53"/>
    <w:rsid w:val="003E41E8"/>
    <w:rsid w:val="003E513D"/>
    <w:rsid w:val="003E6080"/>
    <w:rsid w:val="003E62E8"/>
    <w:rsid w:val="003E674F"/>
    <w:rsid w:val="003E7437"/>
    <w:rsid w:val="003E7576"/>
    <w:rsid w:val="003E75E1"/>
    <w:rsid w:val="003E7DDB"/>
    <w:rsid w:val="003F03A7"/>
    <w:rsid w:val="003F0997"/>
    <w:rsid w:val="003F0FE8"/>
    <w:rsid w:val="003F11FC"/>
    <w:rsid w:val="003F1630"/>
    <w:rsid w:val="003F1658"/>
    <w:rsid w:val="003F1A51"/>
    <w:rsid w:val="003F210E"/>
    <w:rsid w:val="003F28CB"/>
    <w:rsid w:val="003F3A54"/>
    <w:rsid w:val="003F3BCF"/>
    <w:rsid w:val="003F3D0F"/>
    <w:rsid w:val="003F4333"/>
    <w:rsid w:val="003F440E"/>
    <w:rsid w:val="003F553F"/>
    <w:rsid w:val="003F5C6B"/>
    <w:rsid w:val="003F5CF7"/>
    <w:rsid w:val="003F5F4A"/>
    <w:rsid w:val="003F6EEF"/>
    <w:rsid w:val="00400F90"/>
    <w:rsid w:val="004012D4"/>
    <w:rsid w:val="00401707"/>
    <w:rsid w:val="004039BA"/>
    <w:rsid w:val="004039DA"/>
    <w:rsid w:val="00403D53"/>
    <w:rsid w:val="0040479B"/>
    <w:rsid w:val="0040588A"/>
    <w:rsid w:val="00406006"/>
    <w:rsid w:val="004060DD"/>
    <w:rsid w:val="00406214"/>
    <w:rsid w:val="004073BB"/>
    <w:rsid w:val="00407ABE"/>
    <w:rsid w:val="004111A7"/>
    <w:rsid w:val="0041144F"/>
    <w:rsid w:val="00411A42"/>
    <w:rsid w:val="00411C69"/>
    <w:rsid w:val="00412911"/>
    <w:rsid w:val="00412AED"/>
    <w:rsid w:val="0041382D"/>
    <w:rsid w:val="00413BB5"/>
    <w:rsid w:val="00414136"/>
    <w:rsid w:val="0041445E"/>
    <w:rsid w:val="00414ED2"/>
    <w:rsid w:val="0041514C"/>
    <w:rsid w:val="00415436"/>
    <w:rsid w:val="00415458"/>
    <w:rsid w:val="00415E28"/>
    <w:rsid w:val="004162D8"/>
    <w:rsid w:val="0041678A"/>
    <w:rsid w:val="00416C13"/>
    <w:rsid w:val="00417081"/>
    <w:rsid w:val="00417D48"/>
    <w:rsid w:val="00420242"/>
    <w:rsid w:val="00420919"/>
    <w:rsid w:val="00420F9B"/>
    <w:rsid w:val="00421228"/>
    <w:rsid w:val="00421D0C"/>
    <w:rsid w:val="00421D21"/>
    <w:rsid w:val="00421FAB"/>
    <w:rsid w:val="0042323C"/>
    <w:rsid w:val="0042335D"/>
    <w:rsid w:val="004249F5"/>
    <w:rsid w:val="00425700"/>
    <w:rsid w:val="00425D0F"/>
    <w:rsid w:val="00425EB2"/>
    <w:rsid w:val="00426107"/>
    <w:rsid w:val="004261D9"/>
    <w:rsid w:val="00427874"/>
    <w:rsid w:val="00427CA2"/>
    <w:rsid w:val="00431821"/>
    <w:rsid w:val="00431C58"/>
    <w:rsid w:val="00432403"/>
    <w:rsid w:val="0043251A"/>
    <w:rsid w:val="0043293A"/>
    <w:rsid w:val="00435488"/>
    <w:rsid w:val="004356B8"/>
    <w:rsid w:val="004361E0"/>
    <w:rsid w:val="004377EA"/>
    <w:rsid w:val="00437B1D"/>
    <w:rsid w:val="00437CD1"/>
    <w:rsid w:val="00440197"/>
    <w:rsid w:val="00440240"/>
    <w:rsid w:val="0044054D"/>
    <w:rsid w:val="00440A5F"/>
    <w:rsid w:val="0044175A"/>
    <w:rsid w:val="00441AC8"/>
    <w:rsid w:val="004420E2"/>
    <w:rsid w:val="00442FC7"/>
    <w:rsid w:val="00443891"/>
    <w:rsid w:val="00445F35"/>
    <w:rsid w:val="00446A9B"/>
    <w:rsid w:val="00447CF2"/>
    <w:rsid w:val="00451271"/>
    <w:rsid w:val="00451664"/>
    <w:rsid w:val="004517D3"/>
    <w:rsid w:val="004519CB"/>
    <w:rsid w:val="0045281E"/>
    <w:rsid w:val="00452D4F"/>
    <w:rsid w:val="0045346F"/>
    <w:rsid w:val="00454323"/>
    <w:rsid w:val="00454EA9"/>
    <w:rsid w:val="00455CA3"/>
    <w:rsid w:val="00455FEC"/>
    <w:rsid w:val="0045621A"/>
    <w:rsid w:val="0045690E"/>
    <w:rsid w:val="00461B91"/>
    <w:rsid w:val="00461FF0"/>
    <w:rsid w:val="00462B47"/>
    <w:rsid w:val="00463394"/>
    <w:rsid w:val="00463B78"/>
    <w:rsid w:val="0046426D"/>
    <w:rsid w:val="00464CAB"/>
    <w:rsid w:val="004659A4"/>
    <w:rsid w:val="00465BC0"/>
    <w:rsid w:val="00466C6C"/>
    <w:rsid w:val="00466ECB"/>
    <w:rsid w:val="004673D2"/>
    <w:rsid w:val="004700D5"/>
    <w:rsid w:val="004709E5"/>
    <w:rsid w:val="00470AD0"/>
    <w:rsid w:val="00472256"/>
    <w:rsid w:val="004737E8"/>
    <w:rsid w:val="004739F2"/>
    <w:rsid w:val="00474221"/>
    <w:rsid w:val="00475860"/>
    <w:rsid w:val="00475BEF"/>
    <w:rsid w:val="00476482"/>
    <w:rsid w:val="004767E8"/>
    <w:rsid w:val="00476A8F"/>
    <w:rsid w:val="00476F99"/>
    <w:rsid w:val="00477860"/>
    <w:rsid w:val="00477C31"/>
    <w:rsid w:val="004806A3"/>
    <w:rsid w:val="0048076B"/>
    <w:rsid w:val="00480790"/>
    <w:rsid w:val="004807AB"/>
    <w:rsid w:val="00480DE7"/>
    <w:rsid w:val="004844E6"/>
    <w:rsid w:val="00484683"/>
    <w:rsid w:val="00485B15"/>
    <w:rsid w:val="00485BAA"/>
    <w:rsid w:val="00486078"/>
    <w:rsid w:val="004864F0"/>
    <w:rsid w:val="004866CB"/>
    <w:rsid w:val="00486792"/>
    <w:rsid w:val="00486D6D"/>
    <w:rsid w:val="0048761D"/>
    <w:rsid w:val="00491075"/>
    <w:rsid w:val="00491905"/>
    <w:rsid w:val="00491F75"/>
    <w:rsid w:val="00494BA7"/>
    <w:rsid w:val="0049516C"/>
    <w:rsid w:val="004951A2"/>
    <w:rsid w:val="004954BD"/>
    <w:rsid w:val="00496E10"/>
    <w:rsid w:val="0049764A"/>
    <w:rsid w:val="004A0028"/>
    <w:rsid w:val="004A0A58"/>
    <w:rsid w:val="004A0EF3"/>
    <w:rsid w:val="004A0F27"/>
    <w:rsid w:val="004A187B"/>
    <w:rsid w:val="004A1E8A"/>
    <w:rsid w:val="004A2449"/>
    <w:rsid w:val="004A2B30"/>
    <w:rsid w:val="004A318B"/>
    <w:rsid w:val="004A36DB"/>
    <w:rsid w:val="004A391F"/>
    <w:rsid w:val="004A431A"/>
    <w:rsid w:val="004A45A7"/>
    <w:rsid w:val="004A4C4E"/>
    <w:rsid w:val="004A57C6"/>
    <w:rsid w:val="004A608B"/>
    <w:rsid w:val="004A6908"/>
    <w:rsid w:val="004A764F"/>
    <w:rsid w:val="004B064B"/>
    <w:rsid w:val="004B06A0"/>
    <w:rsid w:val="004B0F02"/>
    <w:rsid w:val="004B1115"/>
    <w:rsid w:val="004B194B"/>
    <w:rsid w:val="004B1B9B"/>
    <w:rsid w:val="004B1D8C"/>
    <w:rsid w:val="004B1DE1"/>
    <w:rsid w:val="004B3B89"/>
    <w:rsid w:val="004B406A"/>
    <w:rsid w:val="004B6A5E"/>
    <w:rsid w:val="004B7231"/>
    <w:rsid w:val="004C08E9"/>
    <w:rsid w:val="004C0EA1"/>
    <w:rsid w:val="004C2B13"/>
    <w:rsid w:val="004C330A"/>
    <w:rsid w:val="004C3433"/>
    <w:rsid w:val="004C34A2"/>
    <w:rsid w:val="004C3652"/>
    <w:rsid w:val="004C3766"/>
    <w:rsid w:val="004C3B27"/>
    <w:rsid w:val="004C3B8D"/>
    <w:rsid w:val="004C3C45"/>
    <w:rsid w:val="004C3FD4"/>
    <w:rsid w:val="004C5217"/>
    <w:rsid w:val="004C5252"/>
    <w:rsid w:val="004C5AA3"/>
    <w:rsid w:val="004C65FE"/>
    <w:rsid w:val="004C6B83"/>
    <w:rsid w:val="004C6C73"/>
    <w:rsid w:val="004C6F1E"/>
    <w:rsid w:val="004C797E"/>
    <w:rsid w:val="004C7F26"/>
    <w:rsid w:val="004D0DEB"/>
    <w:rsid w:val="004D0E3E"/>
    <w:rsid w:val="004D15B2"/>
    <w:rsid w:val="004D22C0"/>
    <w:rsid w:val="004D24F1"/>
    <w:rsid w:val="004D2A83"/>
    <w:rsid w:val="004D3429"/>
    <w:rsid w:val="004D3B01"/>
    <w:rsid w:val="004D56A5"/>
    <w:rsid w:val="004D62D7"/>
    <w:rsid w:val="004D6F82"/>
    <w:rsid w:val="004D7AD1"/>
    <w:rsid w:val="004D7C1C"/>
    <w:rsid w:val="004E09F1"/>
    <w:rsid w:val="004E1346"/>
    <w:rsid w:val="004E1648"/>
    <w:rsid w:val="004E267B"/>
    <w:rsid w:val="004E28F9"/>
    <w:rsid w:val="004E2BAB"/>
    <w:rsid w:val="004E3619"/>
    <w:rsid w:val="004E3E32"/>
    <w:rsid w:val="004E4AFC"/>
    <w:rsid w:val="004E51F4"/>
    <w:rsid w:val="004E5213"/>
    <w:rsid w:val="004E5793"/>
    <w:rsid w:val="004E61AF"/>
    <w:rsid w:val="004E6296"/>
    <w:rsid w:val="004E6CF9"/>
    <w:rsid w:val="004E7A19"/>
    <w:rsid w:val="004F0E55"/>
    <w:rsid w:val="004F15D4"/>
    <w:rsid w:val="004F2334"/>
    <w:rsid w:val="004F3009"/>
    <w:rsid w:val="004F397E"/>
    <w:rsid w:val="004F3B4E"/>
    <w:rsid w:val="004F3CEE"/>
    <w:rsid w:val="004F4AED"/>
    <w:rsid w:val="004F58B9"/>
    <w:rsid w:val="004F5B58"/>
    <w:rsid w:val="004F6C36"/>
    <w:rsid w:val="004F7AFF"/>
    <w:rsid w:val="004F7C6B"/>
    <w:rsid w:val="0050013F"/>
    <w:rsid w:val="0050076D"/>
    <w:rsid w:val="005013C9"/>
    <w:rsid w:val="00501F2D"/>
    <w:rsid w:val="0050230F"/>
    <w:rsid w:val="0050327D"/>
    <w:rsid w:val="00503894"/>
    <w:rsid w:val="00503935"/>
    <w:rsid w:val="005051A9"/>
    <w:rsid w:val="005053D9"/>
    <w:rsid w:val="00505826"/>
    <w:rsid w:val="005058D1"/>
    <w:rsid w:val="0050759F"/>
    <w:rsid w:val="00507DAA"/>
    <w:rsid w:val="005103B8"/>
    <w:rsid w:val="00511F81"/>
    <w:rsid w:val="00512F2E"/>
    <w:rsid w:val="00513E87"/>
    <w:rsid w:val="00513FD1"/>
    <w:rsid w:val="00515030"/>
    <w:rsid w:val="00515199"/>
    <w:rsid w:val="005153C7"/>
    <w:rsid w:val="00515C9B"/>
    <w:rsid w:val="005163F9"/>
    <w:rsid w:val="00516CBF"/>
    <w:rsid w:val="005175B3"/>
    <w:rsid w:val="00517AE7"/>
    <w:rsid w:val="00520706"/>
    <w:rsid w:val="00520F0D"/>
    <w:rsid w:val="00521DB6"/>
    <w:rsid w:val="00522D38"/>
    <w:rsid w:val="00522D89"/>
    <w:rsid w:val="00524261"/>
    <w:rsid w:val="005253AB"/>
    <w:rsid w:val="00525CE6"/>
    <w:rsid w:val="00526FFB"/>
    <w:rsid w:val="00527880"/>
    <w:rsid w:val="00530823"/>
    <w:rsid w:val="005308D4"/>
    <w:rsid w:val="00530CCE"/>
    <w:rsid w:val="00531613"/>
    <w:rsid w:val="00531808"/>
    <w:rsid w:val="0053234D"/>
    <w:rsid w:val="00532583"/>
    <w:rsid w:val="00532E7C"/>
    <w:rsid w:val="005338B4"/>
    <w:rsid w:val="00533E59"/>
    <w:rsid w:val="00534893"/>
    <w:rsid w:val="0053504B"/>
    <w:rsid w:val="005357EC"/>
    <w:rsid w:val="005358DF"/>
    <w:rsid w:val="005362F5"/>
    <w:rsid w:val="00536BF0"/>
    <w:rsid w:val="00540058"/>
    <w:rsid w:val="0054060D"/>
    <w:rsid w:val="00540B1B"/>
    <w:rsid w:val="00540E21"/>
    <w:rsid w:val="00541DCE"/>
    <w:rsid w:val="00542CE5"/>
    <w:rsid w:val="00543D27"/>
    <w:rsid w:val="00544017"/>
    <w:rsid w:val="00544206"/>
    <w:rsid w:val="005453E2"/>
    <w:rsid w:val="00545C12"/>
    <w:rsid w:val="005463BE"/>
    <w:rsid w:val="00547798"/>
    <w:rsid w:val="00547985"/>
    <w:rsid w:val="00547D1D"/>
    <w:rsid w:val="00547D63"/>
    <w:rsid w:val="0055000E"/>
    <w:rsid w:val="0055070B"/>
    <w:rsid w:val="00550892"/>
    <w:rsid w:val="005513FC"/>
    <w:rsid w:val="0055143C"/>
    <w:rsid w:val="00551822"/>
    <w:rsid w:val="005522E9"/>
    <w:rsid w:val="00552A50"/>
    <w:rsid w:val="00552C9D"/>
    <w:rsid w:val="00553107"/>
    <w:rsid w:val="005536A9"/>
    <w:rsid w:val="0055498D"/>
    <w:rsid w:val="00554D10"/>
    <w:rsid w:val="00554E93"/>
    <w:rsid w:val="0055505D"/>
    <w:rsid w:val="00555F5E"/>
    <w:rsid w:val="005560C1"/>
    <w:rsid w:val="0055660D"/>
    <w:rsid w:val="0055708A"/>
    <w:rsid w:val="005608F3"/>
    <w:rsid w:val="00560A9B"/>
    <w:rsid w:val="00560C21"/>
    <w:rsid w:val="00560FF1"/>
    <w:rsid w:val="00561488"/>
    <w:rsid w:val="005616C5"/>
    <w:rsid w:val="005618B2"/>
    <w:rsid w:val="00562CA2"/>
    <w:rsid w:val="00562EA8"/>
    <w:rsid w:val="00562F81"/>
    <w:rsid w:val="00563665"/>
    <w:rsid w:val="005655E8"/>
    <w:rsid w:val="00565E80"/>
    <w:rsid w:val="00566011"/>
    <w:rsid w:val="00566A5D"/>
    <w:rsid w:val="00566E44"/>
    <w:rsid w:val="005678F9"/>
    <w:rsid w:val="00567BC6"/>
    <w:rsid w:val="00567C86"/>
    <w:rsid w:val="0057174D"/>
    <w:rsid w:val="00571881"/>
    <w:rsid w:val="005723D2"/>
    <w:rsid w:val="00572A3B"/>
    <w:rsid w:val="00573323"/>
    <w:rsid w:val="00573E31"/>
    <w:rsid w:val="00574A1D"/>
    <w:rsid w:val="00575D60"/>
    <w:rsid w:val="005770A8"/>
    <w:rsid w:val="00581DFD"/>
    <w:rsid w:val="005820B2"/>
    <w:rsid w:val="00582816"/>
    <w:rsid w:val="005829BB"/>
    <w:rsid w:val="00582B69"/>
    <w:rsid w:val="00582F34"/>
    <w:rsid w:val="005835CC"/>
    <w:rsid w:val="00584509"/>
    <w:rsid w:val="00584AA3"/>
    <w:rsid w:val="00584DCA"/>
    <w:rsid w:val="00584F95"/>
    <w:rsid w:val="005851A1"/>
    <w:rsid w:val="00585309"/>
    <w:rsid w:val="00585C07"/>
    <w:rsid w:val="00586024"/>
    <w:rsid w:val="0058731F"/>
    <w:rsid w:val="005876D0"/>
    <w:rsid w:val="00587BAE"/>
    <w:rsid w:val="00587FF7"/>
    <w:rsid w:val="0059069A"/>
    <w:rsid w:val="00590BD2"/>
    <w:rsid w:val="00591876"/>
    <w:rsid w:val="00591A26"/>
    <w:rsid w:val="0059252D"/>
    <w:rsid w:val="00593325"/>
    <w:rsid w:val="00594348"/>
    <w:rsid w:val="00594A90"/>
    <w:rsid w:val="00595E95"/>
    <w:rsid w:val="005962BF"/>
    <w:rsid w:val="0059676D"/>
    <w:rsid w:val="00596862"/>
    <w:rsid w:val="005969B6"/>
    <w:rsid w:val="005970DA"/>
    <w:rsid w:val="005976E3"/>
    <w:rsid w:val="00597910"/>
    <w:rsid w:val="00597CCD"/>
    <w:rsid w:val="005A1262"/>
    <w:rsid w:val="005A1B94"/>
    <w:rsid w:val="005A1F2E"/>
    <w:rsid w:val="005A30E9"/>
    <w:rsid w:val="005A31E8"/>
    <w:rsid w:val="005A3D69"/>
    <w:rsid w:val="005A45E3"/>
    <w:rsid w:val="005A491B"/>
    <w:rsid w:val="005A4C83"/>
    <w:rsid w:val="005A4D09"/>
    <w:rsid w:val="005A6E2E"/>
    <w:rsid w:val="005A6F65"/>
    <w:rsid w:val="005A7EAF"/>
    <w:rsid w:val="005B1245"/>
    <w:rsid w:val="005B1F2B"/>
    <w:rsid w:val="005B3443"/>
    <w:rsid w:val="005B3AA1"/>
    <w:rsid w:val="005B3ACA"/>
    <w:rsid w:val="005B5130"/>
    <w:rsid w:val="005B571B"/>
    <w:rsid w:val="005B5B43"/>
    <w:rsid w:val="005C0168"/>
    <w:rsid w:val="005C0728"/>
    <w:rsid w:val="005C08A8"/>
    <w:rsid w:val="005C0AEB"/>
    <w:rsid w:val="005C1559"/>
    <w:rsid w:val="005C1632"/>
    <w:rsid w:val="005C1FC7"/>
    <w:rsid w:val="005C2630"/>
    <w:rsid w:val="005C2AE2"/>
    <w:rsid w:val="005C34C5"/>
    <w:rsid w:val="005C3B7D"/>
    <w:rsid w:val="005C4ABB"/>
    <w:rsid w:val="005C4BC8"/>
    <w:rsid w:val="005C5194"/>
    <w:rsid w:val="005C52AD"/>
    <w:rsid w:val="005C56A8"/>
    <w:rsid w:val="005C5910"/>
    <w:rsid w:val="005C5B72"/>
    <w:rsid w:val="005C6882"/>
    <w:rsid w:val="005C73DF"/>
    <w:rsid w:val="005C78DB"/>
    <w:rsid w:val="005C79FC"/>
    <w:rsid w:val="005C7A7F"/>
    <w:rsid w:val="005D0075"/>
    <w:rsid w:val="005D0369"/>
    <w:rsid w:val="005D04AD"/>
    <w:rsid w:val="005D074D"/>
    <w:rsid w:val="005D152E"/>
    <w:rsid w:val="005D2BEB"/>
    <w:rsid w:val="005D2CC6"/>
    <w:rsid w:val="005D2D19"/>
    <w:rsid w:val="005D2FC0"/>
    <w:rsid w:val="005D3588"/>
    <w:rsid w:val="005D40E7"/>
    <w:rsid w:val="005D4235"/>
    <w:rsid w:val="005D46B5"/>
    <w:rsid w:val="005D4CC5"/>
    <w:rsid w:val="005D5A14"/>
    <w:rsid w:val="005D62F4"/>
    <w:rsid w:val="005D63C1"/>
    <w:rsid w:val="005D6448"/>
    <w:rsid w:val="005D6931"/>
    <w:rsid w:val="005D6BA5"/>
    <w:rsid w:val="005D6DB3"/>
    <w:rsid w:val="005D7354"/>
    <w:rsid w:val="005D73A5"/>
    <w:rsid w:val="005D7A51"/>
    <w:rsid w:val="005E1DFF"/>
    <w:rsid w:val="005E2D38"/>
    <w:rsid w:val="005E2D46"/>
    <w:rsid w:val="005E3F3F"/>
    <w:rsid w:val="005E4F0E"/>
    <w:rsid w:val="005E58BA"/>
    <w:rsid w:val="005E718B"/>
    <w:rsid w:val="005F0C89"/>
    <w:rsid w:val="005F1071"/>
    <w:rsid w:val="005F1370"/>
    <w:rsid w:val="005F2793"/>
    <w:rsid w:val="005F2EC8"/>
    <w:rsid w:val="005F2F04"/>
    <w:rsid w:val="005F309F"/>
    <w:rsid w:val="005F4431"/>
    <w:rsid w:val="005F6070"/>
    <w:rsid w:val="005F781D"/>
    <w:rsid w:val="00600F6A"/>
    <w:rsid w:val="00601399"/>
    <w:rsid w:val="00602253"/>
    <w:rsid w:val="00602646"/>
    <w:rsid w:val="00602A1D"/>
    <w:rsid w:val="00602BFE"/>
    <w:rsid w:val="00603058"/>
    <w:rsid w:val="006039A4"/>
    <w:rsid w:val="00603C46"/>
    <w:rsid w:val="0060499D"/>
    <w:rsid w:val="00604A94"/>
    <w:rsid w:val="00604D12"/>
    <w:rsid w:val="00605856"/>
    <w:rsid w:val="006061EE"/>
    <w:rsid w:val="00610236"/>
    <w:rsid w:val="00610692"/>
    <w:rsid w:val="00611401"/>
    <w:rsid w:val="00611840"/>
    <w:rsid w:val="00611E55"/>
    <w:rsid w:val="00611FC6"/>
    <w:rsid w:val="0061266D"/>
    <w:rsid w:val="00612CBE"/>
    <w:rsid w:val="00612F83"/>
    <w:rsid w:val="006143C2"/>
    <w:rsid w:val="00615462"/>
    <w:rsid w:val="00615F20"/>
    <w:rsid w:val="00616C81"/>
    <w:rsid w:val="00616E96"/>
    <w:rsid w:val="00616EA8"/>
    <w:rsid w:val="00617850"/>
    <w:rsid w:val="00617F48"/>
    <w:rsid w:val="0062039F"/>
    <w:rsid w:val="00620C02"/>
    <w:rsid w:val="00621542"/>
    <w:rsid w:val="0062193D"/>
    <w:rsid w:val="00621E57"/>
    <w:rsid w:val="00621FF8"/>
    <w:rsid w:val="006229AA"/>
    <w:rsid w:val="00622CAB"/>
    <w:rsid w:val="00623908"/>
    <w:rsid w:val="00623B08"/>
    <w:rsid w:val="00624832"/>
    <w:rsid w:val="006248B0"/>
    <w:rsid w:val="0062692D"/>
    <w:rsid w:val="0062716C"/>
    <w:rsid w:val="006272A8"/>
    <w:rsid w:val="00627E33"/>
    <w:rsid w:val="00632E41"/>
    <w:rsid w:val="00633605"/>
    <w:rsid w:val="00633F49"/>
    <w:rsid w:val="00634DAD"/>
    <w:rsid w:val="00634F6E"/>
    <w:rsid w:val="00636465"/>
    <w:rsid w:val="00636D97"/>
    <w:rsid w:val="00637693"/>
    <w:rsid w:val="00637CD7"/>
    <w:rsid w:val="00637FA2"/>
    <w:rsid w:val="00640125"/>
    <w:rsid w:val="00640572"/>
    <w:rsid w:val="00640620"/>
    <w:rsid w:val="00640D41"/>
    <w:rsid w:val="006416C6"/>
    <w:rsid w:val="00641933"/>
    <w:rsid w:val="00641961"/>
    <w:rsid w:val="00641BCC"/>
    <w:rsid w:val="00642AD4"/>
    <w:rsid w:val="00642DED"/>
    <w:rsid w:val="00643159"/>
    <w:rsid w:val="006437B7"/>
    <w:rsid w:val="00643EA9"/>
    <w:rsid w:val="006443C5"/>
    <w:rsid w:val="0064604D"/>
    <w:rsid w:val="00646149"/>
    <w:rsid w:val="006462EA"/>
    <w:rsid w:val="0064685A"/>
    <w:rsid w:val="00646AAD"/>
    <w:rsid w:val="00646C63"/>
    <w:rsid w:val="006500EC"/>
    <w:rsid w:val="0065010C"/>
    <w:rsid w:val="006511F0"/>
    <w:rsid w:val="006513A0"/>
    <w:rsid w:val="006520A7"/>
    <w:rsid w:val="00652CBE"/>
    <w:rsid w:val="00652CD8"/>
    <w:rsid w:val="00652F5C"/>
    <w:rsid w:val="00653FCB"/>
    <w:rsid w:val="00654415"/>
    <w:rsid w:val="00654C58"/>
    <w:rsid w:val="00654D4B"/>
    <w:rsid w:val="00654D6D"/>
    <w:rsid w:val="00655BA4"/>
    <w:rsid w:val="0065611F"/>
    <w:rsid w:val="0065653F"/>
    <w:rsid w:val="00657137"/>
    <w:rsid w:val="00657458"/>
    <w:rsid w:val="006607AE"/>
    <w:rsid w:val="00661343"/>
    <w:rsid w:val="00662AF4"/>
    <w:rsid w:val="006638E7"/>
    <w:rsid w:val="00664289"/>
    <w:rsid w:val="00664BC8"/>
    <w:rsid w:val="00664CD2"/>
    <w:rsid w:val="00664ED7"/>
    <w:rsid w:val="00665A28"/>
    <w:rsid w:val="006671FE"/>
    <w:rsid w:val="00667F29"/>
    <w:rsid w:val="0067045C"/>
    <w:rsid w:val="00671F40"/>
    <w:rsid w:val="00672295"/>
    <w:rsid w:val="00673FC9"/>
    <w:rsid w:val="006757D5"/>
    <w:rsid w:val="00675F33"/>
    <w:rsid w:val="00677EF1"/>
    <w:rsid w:val="0068024B"/>
    <w:rsid w:val="0068095F"/>
    <w:rsid w:val="00680D7D"/>
    <w:rsid w:val="006811C8"/>
    <w:rsid w:val="00682674"/>
    <w:rsid w:val="006834B7"/>
    <w:rsid w:val="006834E8"/>
    <w:rsid w:val="00684A79"/>
    <w:rsid w:val="00685126"/>
    <w:rsid w:val="006855D2"/>
    <w:rsid w:val="006868A2"/>
    <w:rsid w:val="00686D23"/>
    <w:rsid w:val="0068749B"/>
    <w:rsid w:val="0068756C"/>
    <w:rsid w:val="00690010"/>
    <w:rsid w:val="006903D8"/>
    <w:rsid w:val="00690C72"/>
    <w:rsid w:val="006912D8"/>
    <w:rsid w:val="00691AA3"/>
    <w:rsid w:val="0069329F"/>
    <w:rsid w:val="00693ED6"/>
    <w:rsid w:val="00695199"/>
    <w:rsid w:val="006951C3"/>
    <w:rsid w:val="00695470"/>
    <w:rsid w:val="00695723"/>
    <w:rsid w:val="00696902"/>
    <w:rsid w:val="00696B89"/>
    <w:rsid w:val="00697536"/>
    <w:rsid w:val="006977D5"/>
    <w:rsid w:val="006A05A8"/>
    <w:rsid w:val="006A1C52"/>
    <w:rsid w:val="006A2470"/>
    <w:rsid w:val="006A26BA"/>
    <w:rsid w:val="006A2D55"/>
    <w:rsid w:val="006A2E0E"/>
    <w:rsid w:val="006A2E6B"/>
    <w:rsid w:val="006A33A5"/>
    <w:rsid w:val="006A54F3"/>
    <w:rsid w:val="006A55B8"/>
    <w:rsid w:val="006A6500"/>
    <w:rsid w:val="006A6610"/>
    <w:rsid w:val="006B047D"/>
    <w:rsid w:val="006B0A2A"/>
    <w:rsid w:val="006B11B4"/>
    <w:rsid w:val="006B14BB"/>
    <w:rsid w:val="006B1ACE"/>
    <w:rsid w:val="006B2EA9"/>
    <w:rsid w:val="006B4676"/>
    <w:rsid w:val="006B4D32"/>
    <w:rsid w:val="006B63EF"/>
    <w:rsid w:val="006B7625"/>
    <w:rsid w:val="006C0050"/>
    <w:rsid w:val="006C0819"/>
    <w:rsid w:val="006C08E5"/>
    <w:rsid w:val="006C0A5C"/>
    <w:rsid w:val="006C0CE6"/>
    <w:rsid w:val="006C15C8"/>
    <w:rsid w:val="006C1D23"/>
    <w:rsid w:val="006C1D86"/>
    <w:rsid w:val="006C203D"/>
    <w:rsid w:val="006C27EE"/>
    <w:rsid w:val="006C2DC5"/>
    <w:rsid w:val="006C3196"/>
    <w:rsid w:val="006C3427"/>
    <w:rsid w:val="006C379C"/>
    <w:rsid w:val="006C39B8"/>
    <w:rsid w:val="006C3A13"/>
    <w:rsid w:val="006C4480"/>
    <w:rsid w:val="006C462F"/>
    <w:rsid w:val="006C58A1"/>
    <w:rsid w:val="006C5D76"/>
    <w:rsid w:val="006C673E"/>
    <w:rsid w:val="006D08E5"/>
    <w:rsid w:val="006D0D84"/>
    <w:rsid w:val="006D2762"/>
    <w:rsid w:val="006D29AA"/>
    <w:rsid w:val="006D2DE5"/>
    <w:rsid w:val="006D4D05"/>
    <w:rsid w:val="006D5BD7"/>
    <w:rsid w:val="006D69A1"/>
    <w:rsid w:val="006D6BD9"/>
    <w:rsid w:val="006D7054"/>
    <w:rsid w:val="006D7839"/>
    <w:rsid w:val="006D79D2"/>
    <w:rsid w:val="006E150C"/>
    <w:rsid w:val="006E271E"/>
    <w:rsid w:val="006E440A"/>
    <w:rsid w:val="006E5084"/>
    <w:rsid w:val="006E56EF"/>
    <w:rsid w:val="006E5E79"/>
    <w:rsid w:val="006E62DA"/>
    <w:rsid w:val="006E70ED"/>
    <w:rsid w:val="006F0AB4"/>
    <w:rsid w:val="006F1675"/>
    <w:rsid w:val="006F1764"/>
    <w:rsid w:val="006F1ABA"/>
    <w:rsid w:val="006F21F0"/>
    <w:rsid w:val="006F29B5"/>
    <w:rsid w:val="006F3F1E"/>
    <w:rsid w:val="006F4784"/>
    <w:rsid w:val="006F485C"/>
    <w:rsid w:val="006F494E"/>
    <w:rsid w:val="006F4EAC"/>
    <w:rsid w:val="006F6272"/>
    <w:rsid w:val="006F63F0"/>
    <w:rsid w:val="006F6EAE"/>
    <w:rsid w:val="006F7C06"/>
    <w:rsid w:val="00701222"/>
    <w:rsid w:val="0070136B"/>
    <w:rsid w:val="007013DC"/>
    <w:rsid w:val="00701B10"/>
    <w:rsid w:val="00701B9C"/>
    <w:rsid w:val="00701E34"/>
    <w:rsid w:val="00702216"/>
    <w:rsid w:val="00702E81"/>
    <w:rsid w:val="00702F14"/>
    <w:rsid w:val="0070388E"/>
    <w:rsid w:val="00704CCE"/>
    <w:rsid w:val="00705283"/>
    <w:rsid w:val="007059F0"/>
    <w:rsid w:val="00706595"/>
    <w:rsid w:val="007068C1"/>
    <w:rsid w:val="00706B03"/>
    <w:rsid w:val="0070767D"/>
    <w:rsid w:val="00707AF2"/>
    <w:rsid w:val="007106FE"/>
    <w:rsid w:val="00712E8F"/>
    <w:rsid w:val="00713684"/>
    <w:rsid w:val="00714F8C"/>
    <w:rsid w:val="00715389"/>
    <w:rsid w:val="00715651"/>
    <w:rsid w:val="0071586F"/>
    <w:rsid w:val="00715CEC"/>
    <w:rsid w:val="00717389"/>
    <w:rsid w:val="007175EE"/>
    <w:rsid w:val="007214D6"/>
    <w:rsid w:val="007217B3"/>
    <w:rsid w:val="007220B1"/>
    <w:rsid w:val="00722AE8"/>
    <w:rsid w:val="00722E8C"/>
    <w:rsid w:val="00722FB6"/>
    <w:rsid w:val="00723078"/>
    <w:rsid w:val="00723ABF"/>
    <w:rsid w:val="00723E7E"/>
    <w:rsid w:val="00724118"/>
    <w:rsid w:val="0072441A"/>
    <w:rsid w:val="0072470A"/>
    <w:rsid w:val="00724B4B"/>
    <w:rsid w:val="00724F71"/>
    <w:rsid w:val="007265D6"/>
    <w:rsid w:val="00726DE2"/>
    <w:rsid w:val="00726E06"/>
    <w:rsid w:val="007271C8"/>
    <w:rsid w:val="00727694"/>
    <w:rsid w:val="00730614"/>
    <w:rsid w:val="00730682"/>
    <w:rsid w:val="007310F8"/>
    <w:rsid w:val="00731D11"/>
    <w:rsid w:val="00731D5B"/>
    <w:rsid w:val="007331C4"/>
    <w:rsid w:val="00734B44"/>
    <w:rsid w:val="00735035"/>
    <w:rsid w:val="00735075"/>
    <w:rsid w:val="0073532C"/>
    <w:rsid w:val="007355FA"/>
    <w:rsid w:val="0073582D"/>
    <w:rsid w:val="00736E22"/>
    <w:rsid w:val="0073749A"/>
    <w:rsid w:val="0073776E"/>
    <w:rsid w:val="00737CF4"/>
    <w:rsid w:val="0074101C"/>
    <w:rsid w:val="00742E3A"/>
    <w:rsid w:val="00742E9B"/>
    <w:rsid w:val="00743618"/>
    <w:rsid w:val="00743A4B"/>
    <w:rsid w:val="00743EDD"/>
    <w:rsid w:val="00744456"/>
    <w:rsid w:val="007453EC"/>
    <w:rsid w:val="00745914"/>
    <w:rsid w:val="00745BB8"/>
    <w:rsid w:val="00745F5F"/>
    <w:rsid w:val="0074739E"/>
    <w:rsid w:val="00747A53"/>
    <w:rsid w:val="00750291"/>
    <w:rsid w:val="00750A3B"/>
    <w:rsid w:val="00750DA8"/>
    <w:rsid w:val="007515B5"/>
    <w:rsid w:val="00751A79"/>
    <w:rsid w:val="00751F4E"/>
    <w:rsid w:val="00752264"/>
    <w:rsid w:val="00753E09"/>
    <w:rsid w:val="007540C8"/>
    <w:rsid w:val="00754A5B"/>
    <w:rsid w:val="00755095"/>
    <w:rsid w:val="0075660D"/>
    <w:rsid w:val="00756658"/>
    <w:rsid w:val="00757E3D"/>
    <w:rsid w:val="00757EC4"/>
    <w:rsid w:val="0076099C"/>
    <w:rsid w:val="0076159E"/>
    <w:rsid w:val="00761AC1"/>
    <w:rsid w:val="00761B21"/>
    <w:rsid w:val="00761BE6"/>
    <w:rsid w:val="00761DD2"/>
    <w:rsid w:val="007637D5"/>
    <w:rsid w:val="00763CD8"/>
    <w:rsid w:val="00764443"/>
    <w:rsid w:val="00764E53"/>
    <w:rsid w:val="0076557B"/>
    <w:rsid w:val="0076589C"/>
    <w:rsid w:val="00765ED4"/>
    <w:rsid w:val="0076638A"/>
    <w:rsid w:val="0077061D"/>
    <w:rsid w:val="00770766"/>
    <w:rsid w:val="00773788"/>
    <w:rsid w:val="00773AE8"/>
    <w:rsid w:val="00773D9B"/>
    <w:rsid w:val="00774927"/>
    <w:rsid w:val="00774D00"/>
    <w:rsid w:val="00775772"/>
    <w:rsid w:val="00776BB0"/>
    <w:rsid w:val="00780A59"/>
    <w:rsid w:val="00780BBE"/>
    <w:rsid w:val="007819E6"/>
    <w:rsid w:val="00781DBE"/>
    <w:rsid w:val="00782112"/>
    <w:rsid w:val="0078237C"/>
    <w:rsid w:val="007827B0"/>
    <w:rsid w:val="00783466"/>
    <w:rsid w:val="00783770"/>
    <w:rsid w:val="0078465E"/>
    <w:rsid w:val="007849F5"/>
    <w:rsid w:val="00784A84"/>
    <w:rsid w:val="00784B0B"/>
    <w:rsid w:val="0078537D"/>
    <w:rsid w:val="00785F4D"/>
    <w:rsid w:val="00786E8A"/>
    <w:rsid w:val="00787084"/>
    <w:rsid w:val="00787312"/>
    <w:rsid w:val="0078743F"/>
    <w:rsid w:val="00790542"/>
    <w:rsid w:val="00790B1D"/>
    <w:rsid w:val="007916E1"/>
    <w:rsid w:val="0079180C"/>
    <w:rsid w:val="0079260D"/>
    <w:rsid w:val="00793004"/>
    <w:rsid w:val="0079441F"/>
    <w:rsid w:val="00794A81"/>
    <w:rsid w:val="0079520D"/>
    <w:rsid w:val="0079585E"/>
    <w:rsid w:val="007958A7"/>
    <w:rsid w:val="00795987"/>
    <w:rsid w:val="0079614F"/>
    <w:rsid w:val="007968D5"/>
    <w:rsid w:val="00796D4A"/>
    <w:rsid w:val="0079715F"/>
    <w:rsid w:val="007A0A37"/>
    <w:rsid w:val="007A2A3D"/>
    <w:rsid w:val="007A3BCB"/>
    <w:rsid w:val="007A4931"/>
    <w:rsid w:val="007A5E0E"/>
    <w:rsid w:val="007A6439"/>
    <w:rsid w:val="007A683F"/>
    <w:rsid w:val="007A6F12"/>
    <w:rsid w:val="007A7954"/>
    <w:rsid w:val="007A7DAF"/>
    <w:rsid w:val="007B41C1"/>
    <w:rsid w:val="007B41CC"/>
    <w:rsid w:val="007B4334"/>
    <w:rsid w:val="007B5814"/>
    <w:rsid w:val="007B5C6C"/>
    <w:rsid w:val="007B611C"/>
    <w:rsid w:val="007B641F"/>
    <w:rsid w:val="007B6982"/>
    <w:rsid w:val="007B6E70"/>
    <w:rsid w:val="007B709E"/>
    <w:rsid w:val="007B75CA"/>
    <w:rsid w:val="007B7985"/>
    <w:rsid w:val="007C01F9"/>
    <w:rsid w:val="007C0613"/>
    <w:rsid w:val="007C0DDA"/>
    <w:rsid w:val="007C1C85"/>
    <w:rsid w:val="007C1DFF"/>
    <w:rsid w:val="007C3085"/>
    <w:rsid w:val="007C4766"/>
    <w:rsid w:val="007C49F2"/>
    <w:rsid w:val="007C5D82"/>
    <w:rsid w:val="007C7808"/>
    <w:rsid w:val="007C7B47"/>
    <w:rsid w:val="007C7BDD"/>
    <w:rsid w:val="007D16FE"/>
    <w:rsid w:val="007D3886"/>
    <w:rsid w:val="007D3CEE"/>
    <w:rsid w:val="007D4343"/>
    <w:rsid w:val="007D4712"/>
    <w:rsid w:val="007D4917"/>
    <w:rsid w:val="007D4F41"/>
    <w:rsid w:val="007D5044"/>
    <w:rsid w:val="007D5774"/>
    <w:rsid w:val="007D7015"/>
    <w:rsid w:val="007D7A08"/>
    <w:rsid w:val="007D7E3D"/>
    <w:rsid w:val="007E0485"/>
    <w:rsid w:val="007E04F8"/>
    <w:rsid w:val="007E05C5"/>
    <w:rsid w:val="007E0BEC"/>
    <w:rsid w:val="007E3233"/>
    <w:rsid w:val="007E3578"/>
    <w:rsid w:val="007E4C2E"/>
    <w:rsid w:val="007E4E7A"/>
    <w:rsid w:val="007E59A6"/>
    <w:rsid w:val="007E6B3C"/>
    <w:rsid w:val="007F0729"/>
    <w:rsid w:val="007F0A6F"/>
    <w:rsid w:val="007F0ABE"/>
    <w:rsid w:val="007F1FEF"/>
    <w:rsid w:val="007F2569"/>
    <w:rsid w:val="007F334A"/>
    <w:rsid w:val="007F34EE"/>
    <w:rsid w:val="007F3A26"/>
    <w:rsid w:val="007F40B2"/>
    <w:rsid w:val="007F411F"/>
    <w:rsid w:val="007F4D9F"/>
    <w:rsid w:val="007F58A0"/>
    <w:rsid w:val="007F5AE2"/>
    <w:rsid w:val="007F611F"/>
    <w:rsid w:val="007F65F5"/>
    <w:rsid w:val="007F67AF"/>
    <w:rsid w:val="007F7D96"/>
    <w:rsid w:val="008008AE"/>
    <w:rsid w:val="008011D9"/>
    <w:rsid w:val="00801469"/>
    <w:rsid w:val="008014F1"/>
    <w:rsid w:val="00802120"/>
    <w:rsid w:val="00802B83"/>
    <w:rsid w:val="00802D8A"/>
    <w:rsid w:val="00803110"/>
    <w:rsid w:val="00803CF4"/>
    <w:rsid w:val="008040E8"/>
    <w:rsid w:val="00804452"/>
    <w:rsid w:val="00804F89"/>
    <w:rsid w:val="0080660F"/>
    <w:rsid w:val="00806EC9"/>
    <w:rsid w:val="008072F0"/>
    <w:rsid w:val="00807C98"/>
    <w:rsid w:val="00807EEF"/>
    <w:rsid w:val="00810898"/>
    <w:rsid w:val="00810FA2"/>
    <w:rsid w:val="00811332"/>
    <w:rsid w:val="00811E18"/>
    <w:rsid w:val="00813789"/>
    <w:rsid w:val="00814BCF"/>
    <w:rsid w:val="00814F81"/>
    <w:rsid w:val="008152B1"/>
    <w:rsid w:val="00816D31"/>
    <w:rsid w:val="00816F4A"/>
    <w:rsid w:val="00817A59"/>
    <w:rsid w:val="0082029F"/>
    <w:rsid w:val="0082085E"/>
    <w:rsid w:val="00820C13"/>
    <w:rsid w:val="008215B9"/>
    <w:rsid w:val="008223F7"/>
    <w:rsid w:val="008224D6"/>
    <w:rsid w:val="00823FF5"/>
    <w:rsid w:val="008246C0"/>
    <w:rsid w:val="008253ED"/>
    <w:rsid w:val="00825685"/>
    <w:rsid w:val="00826111"/>
    <w:rsid w:val="008264C5"/>
    <w:rsid w:val="008265E1"/>
    <w:rsid w:val="008266A5"/>
    <w:rsid w:val="0082696D"/>
    <w:rsid w:val="00826DDA"/>
    <w:rsid w:val="00830CDD"/>
    <w:rsid w:val="00831CA3"/>
    <w:rsid w:val="00831CE6"/>
    <w:rsid w:val="008335FB"/>
    <w:rsid w:val="0083434F"/>
    <w:rsid w:val="00834535"/>
    <w:rsid w:val="00834728"/>
    <w:rsid w:val="00834F93"/>
    <w:rsid w:val="00834F9B"/>
    <w:rsid w:val="00835F0E"/>
    <w:rsid w:val="00836F34"/>
    <w:rsid w:val="00836FF7"/>
    <w:rsid w:val="00837573"/>
    <w:rsid w:val="00840AB1"/>
    <w:rsid w:val="0084132C"/>
    <w:rsid w:val="0084187F"/>
    <w:rsid w:val="00841C79"/>
    <w:rsid w:val="00841E1C"/>
    <w:rsid w:val="00842D7C"/>
    <w:rsid w:val="00842ED0"/>
    <w:rsid w:val="00844A78"/>
    <w:rsid w:val="00845436"/>
    <w:rsid w:val="00845457"/>
    <w:rsid w:val="00845DA3"/>
    <w:rsid w:val="00846128"/>
    <w:rsid w:val="00846462"/>
    <w:rsid w:val="00846508"/>
    <w:rsid w:val="00847D90"/>
    <w:rsid w:val="00851058"/>
    <w:rsid w:val="008519DA"/>
    <w:rsid w:val="008526C1"/>
    <w:rsid w:val="008546BE"/>
    <w:rsid w:val="00854C22"/>
    <w:rsid w:val="00855D20"/>
    <w:rsid w:val="00856091"/>
    <w:rsid w:val="00856BFE"/>
    <w:rsid w:val="0085737E"/>
    <w:rsid w:val="00860935"/>
    <w:rsid w:val="00861AE8"/>
    <w:rsid w:val="00862BFE"/>
    <w:rsid w:val="00863071"/>
    <w:rsid w:val="00864062"/>
    <w:rsid w:val="008642F9"/>
    <w:rsid w:val="008644BC"/>
    <w:rsid w:val="008656A8"/>
    <w:rsid w:val="008659CC"/>
    <w:rsid w:val="00865DF3"/>
    <w:rsid w:val="00866162"/>
    <w:rsid w:val="00867279"/>
    <w:rsid w:val="00867326"/>
    <w:rsid w:val="00867A70"/>
    <w:rsid w:val="00867AD0"/>
    <w:rsid w:val="00870543"/>
    <w:rsid w:val="0087174F"/>
    <w:rsid w:val="008718B8"/>
    <w:rsid w:val="00871B2A"/>
    <w:rsid w:val="00871BD2"/>
    <w:rsid w:val="00871D6C"/>
    <w:rsid w:val="00873AD4"/>
    <w:rsid w:val="008742AE"/>
    <w:rsid w:val="00874986"/>
    <w:rsid w:val="00874A42"/>
    <w:rsid w:val="008750CE"/>
    <w:rsid w:val="00875B83"/>
    <w:rsid w:val="00875BBB"/>
    <w:rsid w:val="008808E9"/>
    <w:rsid w:val="008814B7"/>
    <w:rsid w:val="008816D9"/>
    <w:rsid w:val="00881815"/>
    <w:rsid w:val="00881D4D"/>
    <w:rsid w:val="00881E3C"/>
    <w:rsid w:val="00882840"/>
    <w:rsid w:val="00884799"/>
    <w:rsid w:val="00884F32"/>
    <w:rsid w:val="00885AAB"/>
    <w:rsid w:val="008864F2"/>
    <w:rsid w:val="008868E6"/>
    <w:rsid w:val="00886969"/>
    <w:rsid w:val="00886ACE"/>
    <w:rsid w:val="00886EF9"/>
    <w:rsid w:val="0089062F"/>
    <w:rsid w:val="008909F7"/>
    <w:rsid w:val="00891898"/>
    <w:rsid w:val="00892426"/>
    <w:rsid w:val="00892654"/>
    <w:rsid w:val="008926F6"/>
    <w:rsid w:val="00893A18"/>
    <w:rsid w:val="00893BB4"/>
    <w:rsid w:val="0089564F"/>
    <w:rsid w:val="00895B24"/>
    <w:rsid w:val="00895D16"/>
    <w:rsid w:val="00895F48"/>
    <w:rsid w:val="008965C3"/>
    <w:rsid w:val="008967F7"/>
    <w:rsid w:val="00897022"/>
    <w:rsid w:val="008A076B"/>
    <w:rsid w:val="008A0B77"/>
    <w:rsid w:val="008A16CC"/>
    <w:rsid w:val="008A249D"/>
    <w:rsid w:val="008A2C0C"/>
    <w:rsid w:val="008A2FF9"/>
    <w:rsid w:val="008A3AC3"/>
    <w:rsid w:val="008A40DF"/>
    <w:rsid w:val="008A461C"/>
    <w:rsid w:val="008A6DA3"/>
    <w:rsid w:val="008A7094"/>
    <w:rsid w:val="008A7330"/>
    <w:rsid w:val="008A7DFE"/>
    <w:rsid w:val="008B22D4"/>
    <w:rsid w:val="008B2590"/>
    <w:rsid w:val="008B262F"/>
    <w:rsid w:val="008B2D21"/>
    <w:rsid w:val="008B300F"/>
    <w:rsid w:val="008B36FE"/>
    <w:rsid w:val="008B4DED"/>
    <w:rsid w:val="008B4E1C"/>
    <w:rsid w:val="008B5E06"/>
    <w:rsid w:val="008B5EF0"/>
    <w:rsid w:val="008B623F"/>
    <w:rsid w:val="008B65C3"/>
    <w:rsid w:val="008B6C9B"/>
    <w:rsid w:val="008B6F8E"/>
    <w:rsid w:val="008B70F0"/>
    <w:rsid w:val="008B70FC"/>
    <w:rsid w:val="008C0350"/>
    <w:rsid w:val="008C0630"/>
    <w:rsid w:val="008C2351"/>
    <w:rsid w:val="008C24F2"/>
    <w:rsid w:val="008C2DDC"/>
    <w:rsid w:val="008C30D3"/>
    <w:rsid w:val="008C314A"/>
    <w:rsid w:val="008C3FE8"/>
    <w:rsid w:val="008C4B76"/>
    <w:rsid w:val="008C4D27"/>
    <w:rsid w:val="008C5156"/>
    <w:rsid w:val="008C5900"/>
    <w:rsid w:val="008C5AA3"/>
    <w:rsid w:val="008C6757"/>
    <w:rsid w:val="008C6A0D"/>
    <w:rsid w:val="008C7147"/>
    <w:rsid w:val="008D08BA"/>
    <w:rsid w:val="008D09DE"/>
    <w:rsid w:val="008D1A6C"/>
    <w:rsid w:val="008D1D48"/>
    <w:rsid w:val="008D1E21"/>
    <w:rsid w:val="008D219A"/>
    <w:rsid w:val="008D4BD9"/>
    <w:rsid w:val="008D4C35"/>
    <w:rsid w:val="008D5F22"/>
    <w:rsid w:val="008D75E1"/>
    <w:rsid w:val="008D77F0"/>
    <w:rsid w:val="008D7846"/>
    <w:rsid w:val="008E17DD"/>
    <w:rsid w:val="008E29C0"/>
    <w:rsid w:val="008E405F"/>
    <w:rsid w:val="008E48C9"/>
    <w:rsid w:val="008E5331"/>
    <w:rsid w:val="008E6303"/>
    <w:rsid w:val="008E6642"/>
    <w:rsid w:val="008E79DB"/>
    <w:rsid w:val="008F0277"/>
    <w:rsid w:val="008F10F1"/>
    <w:rsid w:val="008F17D8"/>
    <w:rsid w:val="008F1BB5"/>
    <w:rsid w:val="008F2367"/>
    <w:rsid w:val="008F2789"/>
    <w:rsid w:val="008F33EB"/>
    <w:rsid w:val="008F4392"/>
    <w:rsid w:val="008F4AF3"/>
    <w:rsid w:val="008F4B4E"/>
    <w:rsid w:val="008F5942"/>
    <w:rsid w:val="008F6526"/>
    <w:rsid w:val="008F708B"/>
    <w:rsid w:val="008F7621"/>
    <w:rsid w:val="0090053C"/>
    <w:rsid w:val="00900ADF"/>
    <w:rsid w:val="009011E6"/>
    <w:rsid w:val="00902B47"/>
    <w:rsid w:val="00903553"/>
    <w:rsid w:val="0090503D"/>
    <w:rsid w:val="009061DC"/>
    <w:rsid w:val="00906D86"/>
    <w:rsid w:val="009118AA"/>
    <w:rsid w:val="00911A37"/>
    <w:rsid w:val="00912D26"/>
    <w:rsid w:val="00912D7A"/>
    <w:rsid w:val="00913D18"/>
    <w:rsid w:val="009144C4"/>
    <w:rsid w:val="00914511"/>
    <w:rsid w:val="00914A37"/>
    <w:rsid w:val="00914D0B"/>
    <w:rsid w:val="00915C38"/>
    <w:rsid w:val="00916446"/>
    <w:rsid w:val="00916523"/>
    <w:rsid w:val="00916AAE"/>
    <w:rsid w:val="00917327"/>
    <w:rsid w:val="009201CD"/>
    <w:rsid w:val="00920BD1"/>
    <w:rsid w:val="009230D5"/>
    <w:rsid w:val="00923D40"/>
    <w:rsid w:val="00923DC9"/>
    <w:rsid w:val="00924FE1"/>
    <w:rsid w:val="00925FEB"/>
    <w:rsid w:val="009274E3"/>
    <w:rsid w:val="00927F26"/>
    <w:rsid w:val="00930E16"/>
    <w:rsid w:val="00930FFC"/>
    <w:rsid w:val="009312C8"/>
    <w:rsid w:val="00931F98"/>
    <w:rsid w:val="0093233C"/>
    <w:rsid w:val="00933751"/>
    <w:rsid w:val="00933C5B"/>
    <w:rsid w:val="009342B3"/>
    <w:rsid w:val="00936028"/>
    <w:rsid w:val="00940C5F"/>
    <w:rsid w:val="00940EC9"/>
    <w:rsid w:val="00940EDF"/>
    <w:rsid w:val="0094125F"/>
    <w:rsid w:val="00941331"/>
    <w:rsid w:val="00941D82"/>
    <w:rsid w:val="00941E4D"/>
    <w:rsid w:val="009428E0"/>
    <w:rsid w:val="00943146"/>
    <w:rsid w:val="009432F6"/>
    <w:rsid w:val="00943F8A"/>
    <w:rsid w:val="009449C6"/>
    <w:rsid w:val="009450B4"/>
    <w:rsid w:val="0094660F"/>
    <w:rsid w:val="00946E88"/>
    <w:rsid w:val="0094799E"/>
    <w:rsid w:val="009523BC"/>
    <w:rsid w:val="00953054"/>
    <w:rsid w:val="009539EC"/>
    <w:rsid w:val="009541C2"/>
    <w:rsid w:val="009544ED"/>
    <w:rsid w:val="00954753"/>
    <w:rsid w:val="009551E6"/>
    <w:rsid w:val="00955A53"/>
    <w:rsid w:val="009565E9"/>
    <w:rsid w:val="0095660F"/>
    <w:rsid w:val="009575C3"/>
    <w:rsid w:val="00957CB7"/>
    <w:rsid w:val="00960C48"/>
    <w:rsid w:val="00960F9A"/>
    <w:rsid w:val="00962BC1"/>
    <w:rsid w:val="00963457"/>
    <w:rsid w:val="00963961"/>
    <w:rsid w:val="00963FF2"/>
    <w:rsid w:val="0096419F"/>
    <w:rsid w:val="00964F3B"/>
    <w:rsid w:val="009654B4"/>
    <w:rsid w:val="00966996"/>
    <w:rsid w:val="00967093"/>
    <w:rsid w:val="009672BF"/>
    <w:rsid w:val="0096779D"/>
    <w:rsid w:val="009701AE"/>
    <w:rsid w:val="00970266"/>
    <w:rsid w:val="0097043E"/>
    <w:rsid w:val="00970D93"/>
    <w:rsid w:val="00970DF9"/>
    <w:rsid w:val="00971195"/>
    <w:rsid w:val="009717C0"/>
    <w:rsid w:val="00971FB3"/>
    <w:rsid w:val="00972179"/>
    <w:rsid w:val="00972593"/>
    <w:rsid w:val="00973D0E"/>
    <w:rsid w:val="0097448E"/>
    <w:rsid w:val="009749BD"/>
    <w:rsid w:val="00975522"/>
    <w:rsid w:val="0097631D"/>
    <w:rsid w:val="00977727"/>
    <w:rsid w:val="00977CD2"/>
    <w:rsid w:val="00977F71"/>
    <w:rsid w:val="00980E51"/>
    <w:rsid w:val="00981BFA"/>
    <w:rsid w:val="00981CEE"/>
    <w:rsid w:val="00981F58"/>
    <w:rsid w:val="00982898"/>
    <w:rsid w:val="00982AD9"/>
    <w:rsid w:val="009830A4"/>
    <w:rsid w:val="009845E4"/>
    <w:rsid w:val="00985107"/>
    <w:rsid w:val="009877EE"/>
    <w:rsid w:val="0099055F"/>
    <w:rsid w:val="00990681"/>
    <w:rsid w:val="00990ACD"/>
    <w:rsid w:val="0099108B"/>
    <w:rsid w:val="00991495"/>
    <w:rsid w:val="009917CF"/>
    <w:rsid w:val="00993DD4"/>
    <w:rsid w:val="00995C54"/>
    <w:rsid w:val="00995C70"/>
    <w:rsid w:val="0099658C"/>
    <w:rsid w:val="009967CB"/>
    <w:rsid w:val="0099725F"/>
    <w:rsid w:val="009972C7"/>
    <w:rsid w:val="00997B7A"/>
    <w:rsid w:val="009A053E"/>
    <w:rsid w:val="009A0C97"/>
    <w:rsid w:val="009A0CF8"/>
    <w:rsid w:val="009A1D3C"/>
    <w:rsid w:val="009A2454"/>
    <w:rsid w:val="009A4788"/>
    <w:rsid w:val="009A51D8"/>
    <w:rsid w:val="009A54F7"/>
    <w:rsid w:val="009A5799"/>
    <w:rsid w:val="009A641E"/>
    <w:rsid w:val="009A6505"/>
    <w:rsid w:val="009A664C"/>
    <w:rsid w:val="009A7B03"/>
    <w:rsid w:val="009B03CE"/>
    <w:rsid w:val="009B0AB1"/>
    <w:rsid w:val="009B2169"/>
    <w:rsid w:val="009B31E2"/>
    <w:rsid w:val="009B381E"/>
    <w:rsid w:val="009B3CD1"/>
    <w:rsid w:val="009B5735"/>
    <w:rsid w:val="009B5CB4"/>
    <w:rsid w:val="009B6557"/>
    <w:rsid w:val="009B7097"/>
    <w:rsid w:val="009B73C5"/>
    <w:rsid w:val="009B7FB6"/>
    <w:rsid w:val="009C0F71"/>
    <w:rsid w:val="009C112A"/>
    <w:rsid w:val="009C1905"/>
    <w:rsid w:val="009C24EB"/>
    <w:rsid w:val="009C2EB1"/>
    <w:rsid w:val="009C3518"/>
    <w:rsid w:val="009C4268"/>
    <w:rsid w:val="009C4802"/>
    <w:rsid w:val="009C5638"/>
    <w:rsid w:val="009C633C"/>
    <w:rsid w:val="009C6BDD"/>
    <w:rsid w:val="009C6DC6"/>
    <w:rsid w:val="009D0D2D"/>
    <w:rsid w:val="009D1B90"/>
    <w:rsid w:val="009D1CAB"/>
    <w:rsid w:val="009D2636"/>
    <w:rsid w:val="009D26AE"/>
    <w:rsid w:val="009D3EFB"/>
    <w:rsid w:val="009D529C"/>
    <w:rsid w:val="009D6894"/>
    <w:rsid w:val="009D68C3"/>
    <w:rsid w:val="009D70E5"/>
    <w:rsid w:val="009D71D1"/>
    <w:rsid w:val="009D734F"/>
    <w:rsid w:val="009D776F"/>
    <w:rsid w:val="009E06D5"/>
    <w:rsid w:val="009E0E63"/>
    <w:rsid w:val="009E0F95"/>
    <w:rsid w:val="009E1318"/>
    <w:rsid w:val="009E1D6E"/>
    <w:rsid w:val="009E1E5A"/>
    <w:rsid w:val="009E25FF"/>
    <w:rsid w:val="009E3492"/>
    <w:rsid w:val="009E3D54"/>
    <w:rsid w:val="009E3EE7"/>
    <w:rsid w:val="009E4FDE"/>
    <w:rsid w:val="009E5DD0"/>
    <w:rsid w:val="009E6AF8"/>
    <w:rsid w:val="009F006F"/>
    <w:rsid w:val="009F0222"/>
    <w:rsid w:val="009F096B"/>
    <w:rsid w:val="009F2E53"/>
    <w:rsid w:val="009F33F0"/>
    <w:rsid w:val="009F46A0"/>
    <w:rsid w:val="009F5128"/>
    <w:rsid w:val="009F67B3"/>
    <w:rsid w:val="009F6C81"/>
    <w:rsid w:val="009F71C8"/>
    <w:rsid w:val="009F7E3B"/>
    <w:rsid w:val="00A006D4"/>
    <w:rsid w:val="00A019E8"/>
    <w:rsid w:val="00A01C78"/>
    <w:rsid w:val="00A02144"/>
    <w:rsid w:val="00A024D1"/>
    <w:rsid w:val="00A02E0B"/>
    <w:rsid w:val="00A02FFC"/>
    <w:rsid w:val="00A0381D"/>
    <w:rsid w:val="00A046B3"/>
    <w:rsid w:val="00A04C7B"/>
    <w:rsid w:val="00A05718"/>
    <w:rsid w:val="00A05E5F"/>
    <w:rsid w:val="00A05F9F"/>
    <w:rsid w:val="00A07623"/>
    <w:rsid w:val="00A0769E"/>
    <w:rsid w:val="00A07E60"/>
    <w:rsid w:val="00A10B03"/>
    <w:rsid w:val="00A113F1"/>
    <w:rsid w:val="00A1199B"/>
    <w:rsid w:val="00A13269"/>
    <w:rsid w:val="00A146B0"/>
    <w:rsid w:val="00A14EDC"/>
    <w:rsid w:val="00A15771"/>
    <w:rsid w:val="00A16123"/>
    <w:rsid w:val="00A16AEA"/>
    <w:rsid w:val="00A16EE1"/>
    <w:rsid w:val="00A17121"/>
    <w:rsid w:val="00A20364"/>
    <w:rsid w:val="00A205C9"/>
    <w:rsid w:val="00A21149"/>
    <w:rsid w:val="00A21447"/>
    <w:rsid w:val="00A21BAC"/>
    <w:rsid w:val="00A23954"/>
    <w:rsid w:val="00A23B44"/>
    <w:rsid w:val="00A2554B"/>
    <w:rsid w:val="00A255D8"/>
    <w:rsid w:val="00A25B38"/>
    <w:rsid w:val="00A30315"/>
    <w:rsid w:val="00A30DFA"/>
    <w:rsid w:val="00A314D1"/>
    <w:rsid w:val="00A32332"/>
    <w:rsid w:val="00A323EF"/>
    <w:rsid w:val="00A32A1C"/>
    <w:rsid w:val="00A32AF3"/>
    <w:rsid w:val="00A32F21"/>
    <w:rsid w:val="00A33FB3"/>
    <w:rsid w:val="00A343C9"/>
    <w:rsid w:val="00A3474D"/>
    <w:rsid w:val="00A34DF1"/>
    <w:rsid w:val="00A35097"/>
    <w:rsid w:val="00A35398"/>
    <w:rsid w:val="00A3690E"/>
    <w:rsid w:val="00A4010E"/>
    <w:rsid w:val="00A402B2"/>
    <w:rsid w:val="00A40656"/>
    <w:rsid w:val="00A40A41"/>
    <w:rsid w:val="00A410DD"/>
    <w:rsid w:val="00A42E1D"/>
    <w:rsid w:val="00A42E3A"/>
    <w:rsid w:val="00A45027"/>
    <w:rsid w:val="00A455FA"/>
    <w:rsid w:val="00A4624C"/>
    <w:rsid w:val="00A46E5C"/>
    <w:rsid w:val="00A505AA"/>
    <w:rsid w:val="00A50A21"/>
    <w:rsid w:val="00A50D0B"/>
    <w:rsid w:val="00A514BF"/>
    <w:rsid w:val="00A518B0"/>
    <w:rsid w:val="00A51FD7"/>
    <w:rsid w:val="00A5244D"/>
    <w:rsid w:val="00A52FD3"/>
    <w:rsid w:val="00A537DC"/>
    <w:rsid w:val="00A539BC"/>
    <w:rsid w:val="00A56570"/>
    <w:rsid w:val="00A5658A"/>
    <w:rsid w:val="00A57220"/>
    <w:rsid w:val="00A60E83"/>
    <w:rsid w:val="00A63150"/>
    <w:rsid w:val="00A63404"/>
    <w:rsid w:val="00A63E6A"/>
    <w:rsid w:val="00A64008"/>
    <w:rsid w:val="00A644CC"/>
    <w:rsid w:val="00A64992"/>
    <w:rsid w:val="00A64C64"/>
    <w:rsid w:val="00A64F47"/>
    <w:rsid w:val="00A65719"/>
    <w:rsid w:val="00A65A3C"/>
    <w:rsid w:val="00A66398"/>
    <w:rsid w:val="00A6690F"/>
    <w:rsid w:val="00A66DEC"/>
    <w:rsid w:val="00A66F3B"/>
    <w:rsid w:val="00A67522"/>
    <w:rsid w:val="00A67B8C"/>
    <w:rsid w:val="00A701D2"/>
    <w:rsid w:val="00A70958"/>
    <w:rsid w:val="00A70993"/>
    <w:rsid w:val="00A709EB"/>
    <w:rsid w:val="00A71A86"/>
    <w:rsid w:val="00A71D29"/>
    <w:rsid w:val="00A732D5"/>
    <w:rsid w:val="00A73C9A"/>
    <w:rsid w:val="00A746D7"/>
    <w:rsid w:val="00A74B0C"/>
    <w:rsid w:val="00A760F7"/>
    <w:rsid w:val="00A764F9"/>
    <w:rsid w:val="00A76D8C"/>
    <w:rsid w:val="00A7726D"/>
    <w:rsid w:val="00A7771F"/>
    <w:rsid w:val="00A779CB"/>
    <w:rsid w:val="00A77D11"/>
    <w:rsid w:val="00A77F80"/>
    <w:rsid w:val="00A80D6C"/>
    <w:rsid w:val="00A819B3"/>
    <w:rsid w:val="00A821A1"/>
    <w:rsid w:val="00A82817"/>
    <w:rsid w:val="00A82979"/>
    <w:rsid w:val="00A83170"/>
    <w:rsid w:val="00A83D03"/>
    <w:rsid w:val="00A844BA"/>
    <w:rsid w:val="00A845F2"/>
    <w:rsid w:val="00A848AB"/>
    <w:rsid w:val="00A85511"/>
    <w:rsid w:val="00A86DCC"/>
    <w:rsid w:val="00A871CB"/>
    <w:rsid w:val="00A876CD"/>
    <w:rsid w:val="00A87735"/>
    <w:rsid w:val="00A87BAD"/>
    <w:rsid w:val="00A87C5C"/>
    <w:rsid w:val="00A9152C"/>
    <w:rsid w:val="00A916C3"/>
    <w:rsid w:val="00A91F70"/>
    <w:rsid w:val="00A927A3"/>
    <w:rsid w:val="00A94BD2"/>
    <w:rsid w:val="00A94BFD"/>
    <w:rsid w:val="00A965D5"/>
    <w:rsid w:val="00AA0D29"/>
    <w:rsid w:val="00AA2E1B"/>
    <w:rsid w:val="00AA303D"/>
    <w:rsid w:val="00AA374B"/>
    <w:rsid w:val="00AA3881"/>
    <w:rsid w:val="00AA398B"/>
    <w:rsid w:val="00AA3F1E"/>
    <w:rsid w:val="00AA4AFB"/>
    <w:rsid w:val="00AA4B6E"/>
    <w:rsid w:val="00AA4BE9"/>
    <w:rsid w:val="00AA51BD"/>
    <w:rsid w:val="00AA541B"/>
    <w:rsid w:val="00AA5EC2"/>
    <w:rsid w:val="00AA6D94"/>
    <w:rsid w:val="00AA6E46"/>
    <w:rsid w:val="00AB0D42"/>
    <w:rsid w:val="00AB0DA9"/>
    <w:rsid w:val="00AB0FFD"/>
    <w:rsid w:val="00AB1586"/>
    <w:rsid w:val="00AB1A9A"/>
    <w:rsid w:val="00AB2EFC"/>
    <w:rsid w:val="00AB45C5"/>
    <w:rsid w:val="00AB4B15"/>
    <w:rsid w:val="00AB4F5F"/>
    <w:rsid w:val="00AB5C7B"/>
    <w:rsid w:val="00AB6306"/>
    <w:rsid w:val="00AB6EF7"/>
    <w:rsid w:val="00AB78DA"/>
    <w:rsid w:val="00AC037E"/>
    <w:rsid w:val="00AC0E20"/>
    <w:rsid w:val="00AC110D"/>
    <w:rsid w:val="00AC19AE"/>
    <w:rsid w:val="00AC1B25"/>
    <w:rsid w:val="00AC1E2D"/>
    <w:rsid w:val="00AC2036"/>
    <w:rsid w:val="00AC3A2D"/>
    <w:rsid w:val="00AC3C42"/>
    <w:rsid w:val="00AC522F"/>
    <w:rsid w:val="00AC5321"/>
    <w:rsid w:val="00AC64ED"/>
    <w:rsid w:val="00AC6BA7"/>
    <w:rsid w:val="00AC6ED1"/>
    <w:rsid w:val="00AC7657"/>
    <w:rsid w:val="00AC77FE"/>
    <w:rsid w:val="00AC7BF1"/>
    <w:rsid w:val="00AD1BFF"/>
    <w:rsid w:val="00AD2499"/>
    <w:rsid w:val="00AD3D9D"/>
    <w:rsid w:val="00AD6540"/>
    <w:rsid w:val="00AD6612"/>
    <w:rsid w:val="00AD6A42"/>
    <w:rsid w:val="00AD779B"/>
    <w:rsid w:val="00AD7AF9"/>
    <w:rsid w:val="00AD7DDC"/>
    <w:rsid w:val="00AD7EE9"/>
    <w:rsid w:val="00AD7F45"/>
    <w:rsid w:val="00AE032A"/>
    <w:rsid w:val="00AE0380"/>
    <w:rsid w:val="00AE0BA6"/>
    <w:rsid w:val="00AE12F8"/>
    <w:rsid w:val="00AE3587"/>
    <w:rsid w:val="00AE35BE"/>
    <w:rsid w:val="00AE3851"/>
    <w:rsid w:val="00AE3D8E"/>
    <w:rsid w:val="00AE479E"/>
    <w:rsid w:val="00AE5508"/>
    <w:rsid w:val="00AE5939"/>
    <w:rsid w:val="00AE5A1A"/>
    <w:rsid w:val="00AE6826"/>
    <w:rsid w:val="00AE725F"/>
    <w:rsid w:val="00AE76B7"/>
    <w:rsid w:val="00AE7818"/>
    <w:rsid w:val="00AE7B18"/>
    <w:rsid w:val="00AF0442"/>
    <w:rsid w:val="00AF0AA3"/>
    <w:rsid w:val="00AF1016"/>
    <w:rsid w:val="00AF1D3D"/>
    <w:rsid w:val="00AF1E21"/>
    <w:rsid w:val="00AF268D"/>
    <w:rsid w:val="00AF2776"/>
    <w:rsid w:val="00AF2D1D"/>
    <w:rsid w:val="00AF461D"/>
    <w:rsid w:val="00AF47A8"/>
    <w:rsid w:val="00AF6FD9"/>
    <w:rsid w:val="00B006D8"/>
    <w:rsid w:val="00B02167"/>
    <w:rsid w:val="00B0397B"/>
    <w:rsid w:val="00B03D50"/>
    <w:rsid w:val="00B0427F"/>
    <w:rsid w:val="00B054C4"/>
    <w:rsid w:val="00B0574C"/>
    <w:rsid w:val="00B0743D"/>
    <w:rsid w:val="00B0762A"/>
    <w:rsid w:val="00B07E5A"/>
    <w:rsid w:val="00B101C4"/>
    <w:rsid w:val="00B10998"/>
    <w:rsid w:val="00B11247"/>
    <w:rsid w:val="00B11BF8"/>
    <w:rsid w:val="00B11E75"/>
    <w:rsid w:val="00B12724"/>
    <w:rsid w:val="00B12DFB"/>
    <w:rsid w:val="00B13229"/>
    <w:rsid w:val="00B146BE"/>
    <w:rsid w:val="00B1479A"/>
    <w:rsid w:val="00B14FF7"/>
    <w:rsid w:val="00B17A7C"/>
    <w:rsid w:val="00B20163"/>
    <w:rsid w:val="00B2099A"/>
    <w:rsid w:val="00B20BDA"/>
    <w:rsid w:val="00B20F2B"/>
    <w:rsid w:val="00B210A2"/>
    <w:rsid w:val="00B22762"/>
    <w:rsid w:val="00B22E64"/>
    <w:rsid w:val="00B231CA"/>
    <w:rsid w:val="00B231D1"/>
    <w:rsid w:val="00B23DBE"/>
    <w:rsid w:val="00B23EF3"/>
    <w:rsid w:val="00B23F0D"/>
    <w:rsid w:val="00B2504E"/>
    <w:rsid w:val="00B25319"/>
    <w:rsid w:val="00B256A5"/>
    <w:rsid w:val="00B25F67"/>
    <w:rsid w:val="00B25FE9"/>
    <w:rsid w:val="00B263A6"/>
    <w:rsid w:val="00B27788"/>
    <w:rsid w:val="00B30F63"/>
    <w:rsid w:val="00B3161B"/>
    <w:rsid w:val="00B31D41"/>
    <w:rsid w:val="00B32DB0"/>
    <w:rsid w:val="00B34393"/>
    <w:rsid w:val="00B3608F"/>
    <w:rsid w:val="00B361A8"/>
    <w:rsid w:val="00B37B10"/>
    <w:rsid w:val="00B37B21"/>
    <w:rsid w:val="00B40C9C"/>
    <w:rsid w:val="00B40E46"/>
    <w:rsid w:val="00B410F7"/>
    <w:rsid w:val="00B41DD4"/>
    <w:rsid w:val="00B42586"/>
    <w:rsid w:val="00B42847"/>
    <w:rsid w:val="00B43C2C"/>
    <w:rsid w:val="00B43C65"/>
    <w:rsid w:val="00B43FAE"/>
    <w:rsid w:val="00B44161"/>
    <w:rsid w:val="00B457E8"/>
    <w:rsid w:val="00B45F0F"/>
    <w:rsid w:val="00B463F2"/>
    <w:rsid w:val="00B465C2"/>
    <w:rsid w:val="00B465EF"/>
    <w:rsid w:val="00B46DE0"/>
    <w:rsid w:val="00B46FFC"/>
    <w:rsid w:val="00B518CB"/>
    <w:rsid w:val="00B520A4"/>
    <w:rsid w:val="00B5275A"/>
    <w:rsid w:val="00B528C2"/>
    <w:rsid w:val="00B536E7"/>
    <w:rsid w:val="00B5377F"/>
    <w:rsid w:val="00B53BBA"/>
    <w:rsid w:val="00B542CC"/>
    <w:rsid w:val="00B54711"/>
    <w:rsid w:val="00B5485E"/>
    <w:rsid w:val="00B55F63"/>
    <w:rsid w:val="00B5696C"/>
    <w:rsid w:val="00B61BCE"/>
    <w:rsid w:val="00B61C4B"/>
    <w:rsid w:val="00B61EB3"/>
    <w:rsid w:val="00B61EEC"/>
    <w:rsid w:val="00B6280F"/>
    <w:rsid w:val="00B629CD"/>
    <w:rsid w:val="00B62ADD"/>
    <w:rsid w:val="00B6316A"/>
    <w:rsid w:val="00B647DB"/>
    <w:rsid w:val="00B64BB1"/>
    <w:rsid w:val="00B66AF8"/>
    <w:rsid w:val="00B6711E"/>
    <w:rsid w:val="00B673D8"/>
    <w:rsid w:val="00B67950"/>
    <w:rsid w:val="00B67C78"/>
    <w:rsid w:val="00B67CDB"/>
    <w:rsid w:val="00B67E2B"/>
    <w:rsid w:val="00B70311"/>
    <w:rsid w:val="00B70B70"/>
    <w:rsid w:val="00B70EB5"/>
    <w:rsid w:val="00B71194"/>
    <w:rsid w:val="00B7190D"/>
    <w:rsid w:val="00B735F7"/>
    <w:rsid w:val="00B737AE"/>
    <w:rsid w:val="00B74356"/>
    <w:rsid w:val="00B74FB2"/>
    <w:rsid w:val="00B7567C"/>
    <w:rsid w:val="00B75FD9"/>
    <w:rsid w:val="00B75FF5"/>
    <w:rsid w:val="00B763C3"/>
    <w:rsid w:val="00B76789"/>
    <w:rsid w:val="00B76840"/>
    <w:rsid w:val="00B7785F"/>
    <w:rsid w:val="00B77C36"/>
    <w:rsid w:val="00B800D7"/>
    <w:rsid w:val="00B81026"/>
    <w:rsid w:val="00B822C9"/>
    <w:rsid w:val="00B8264E"/>
    <w:rsid w:val="00B82B7F"/>
    <w:rsid w:val="00B8375E"/>
    <w:rsid w:val="00B84CEA"/>
    <w:rsid w:val="00B84D43"/>
    <w:rsid w:val="00B86574"/>
    <w:rsid w:val="00B8758D"/>
    <w:rsid w:val="00B90D04"/>
    <w:rsid w:val="00B90F42"/>
    <w:rsid w:val="00B91256"/>
    <w:rsid w:val="00B939B0"/>
    <w:rsid w:val="00B93C21"/>
    <w:rsid w:val="00B9435D"/>
    <w:rsid w:val="00B943B6"/>
    <w:rsid w:val="00B94660"/>
    <w:rsid w:val="00B94F45"/>
    <w:rsid w:val="00B95207"/>
    <w:rsid w:val="00B9530E"/>
    <w:rsid w:val="00B96501"/>
    <w:rsid w:val="00B969FE"/>
    <w:rsid w:val="00B96E1C"/>
    <w:rsid w:val="00B973E6"/>
    <w:rsid w:val="00B97B2B"/>
    <w:rsid w:val="00B97EC7"/>
    <w:rsid w:val="00BA1DE5"/>
    <w:rsid w:val="00BA2507"/>
    <w:rsid w:val="00BA27CF"/>
    <w:rsid w:val="00BA367F"/>
    <w:rsid w:val="00BA4B2F"/>
    <w:rsid w:val="00BA6061"/>
    <w:rsid w:val="00BA60C2"/>
    <w:rsid w:val="00BA672C"/>
    <w:rsid w:val="00BA7E2C"/>
    <w:rsid w:val="00BA7FC6"/>
    <w:rsid w:val="00BB1185"/>
    <w:rsid w:val="00BB1794"/>
    <w:rsid w:val="00BB185C"/>
    <w:rsid w:val="00BB280D"/>
    <w:rsid w:val="00BB2AA4"/>
    <w:rsid w:val="00BB3122"/>
    <w:rsid w:val="00BB413E"/>
    <w:rsid w:val="00BB444E"/>
    <w:rsid w:val="00BB462D"/>
    <w:rsid w:val="00BB5177"/>
    <w:rsid w:val="00BB5220"/>
    <w:rsid w:val="00BB65AD"/>
    <w:rsid w:val="00BB710B"/>
    <w:rsid w:val="00BB718C"/>
    <w:rsid w:val="00BB725D"/>
    <w:rsid w:val="00BB74BD"/>
    <w:rsid w:val="00BB7F68"/>
    <w:rsid w:val="00BC11F9"/>
    <w:rsid w:val="00BC1CCB"/>
    <w:rsid w:val="00BC2086"/>
    <w:rsid w:val="00BC259A"/>
    <w:rsid w:val="00BC2745"/>
    <w:rsid w:val="00BC3BD6"/>
    <w:rsid w:val="00BC449B"/>
    <w:rsid w:val="00BC5442"/>
    <w:rsid w:val="00BC5968"/>
    <w:rsid w:val="00BC5AC4"/>
    <w:rsid w:val="00BC7E5D"/>
    <w:rsid w:val="00BD047F"/>
    <w:rsid w:val="00BD0645"/>
    <w:rsid w:val="00BD0F50"/>
    <w:rsid w:val="00BD0F83"/>
    <w:rsid w:val="00BD192B"/>
    <w:rsid w:val="00BD1BBF"/>
    <w:rsid w:val="00BD1D76"/>
    <w:rsid w:val="00BD1FF6"/>
    <w:rsid w:val="00BD24D2"/>
    <w:rsid w:val="00BD3E47"/>
    <w:rsid w:val="00BD3F33"/>
    <w:rsid w:val="00BD40CA"/>
    <w:rsid w:val="00BD4868"/>
    <w:rsid w:val="00BD4869"/>
    <w:rsid w:val="00BD4D9D"/>
    <w:rsid w:val="00BD5352"/>
    <w:rsid w:val="00BD58C0"/>
    <w:rsid w:val="00BD5999"/>
    <w:rsid w:val="00BD60AB"/>
    <w:rsid w:val="00BD6CFB"/>
    <w:rsid w:val="00BD707C"/>
    <w:rsid w:val="00BE02B1"/>
    <w:rsid w:val="00BE03CD"/>
    <w:rsid w:val="00BE095F"/>
    <w:rsid w:val="00BE1D8F"/>
    <w:rsid w:val="00BE26BE"/>
    <w:rsid w:val="00BE2C39"/>
    <w:rsid w:val="00BE3EC5"/>
    <w:rsid w:val="00BE3F06"/>
    <w:rsid w:val="00BE611D"/>
    <w:rsid w:val="00BE650B"/>
    <w:rsid w:val="00BE6623"/>
    <w:rsid w:val="00BF082C"/>
    <w:rsid w:val="00BF1943"/>
    <w:rsid w:val="00BF1CF1"/>
    <w:rsid w:val="00BF2046"/>
    <w:rsid w:val="00BF27FC"/>
    <w:rsid w:val="00BF3D99"/>
    <w:rsid w:val="00BF3F2B"/>
    <w:rsid w:val="00BF4253"/>
    <w:rsid w:val="00BF4D10"/>
    <w:rsid w:val="00BF4EB0"/>
    <w:rsid w:val="00BF5877"/>
    <w:rsid w:val="00BF5E2E"/>
    <w:rsid w:val="00BF618B"/>
    <w:rsid w:val="00BF6A78"/>
    <w:rsid w:val="00BF6C81"/>
    <w:rsid w:val="00BF6FE0"/>
    <w:rsid w:val="00C004BE"/>
    <w:rsid w:val="00C00A84"/>
    <w:rsid w:val="00C00ACC"/>
    <w:rsid w:val="00C00E43"/>
    <w:rsid w:val="00C00E9B"/>
    <w:rsid w:val="00C00F5B"/>
    <w:rsid w:val="00C02A72"/>
    <w:rsid w:val="00C02EB4"/>
    <w:rsid w:val="00C031BA"/>
    <w:rsid w:val="00C0341F"/>
    <w:rsid w:val="00C0345F"/>
    <w:rsid w:val="00C0403C"/>
    <w:rsid w:val="00C04182"/>
    <w:rsid w:val="00C046E8"/>
    <w:rsid w:val="00C048B6"/>
    <w:rsid w:val="00C04A48"/>
    <w:rsid w:val="00C0569A"/>
    <w:rsid w:val="00C0581E"/>
    <w:rsid w:val="00C07191"/>
    <w:rsid w:val="00C071ED"/>
    <w:rsid w:val="00C108AF"/>
    <w:rsid w:val="00C10F56"/>
    <w:rsid w:val="00C110C8"/>
    <w:rsid w:val="00C1181F"/>
    <w:rsid w:val="00C12725"/>
    <w:rsid w:val="00C12C38"/>
    <w:rsid w:val="00C14A13"/>
    <w:rsid w:val="00C14FD4"/>
    <w:rsid w:val="00C1517C"/>
    <w:rsid w:val="00C16703"/>
    <w:rsid w:val="00C17215"/>
    <w:rsid w:val="00C1741E"/>
    <w:rsid w:val="00C1752D"/>
    <w:rsid w:val="00C17A2A"/>
    <w:rsid w:val="00C17EDB"/>
    <w:rsid w:val="00C21970"/>
    <w:rsid w:val="00C224A5"/>
    <w:rsid w:val="00C22731"/>
    <w:rsid w:val="00C22F88"/>
    <w:rsid w:val="00C23063"/>
    <w:rsid w:val="00C2338A"/>
    <w:rsid w:val="00C23C55"/>
    <w:rsid w:val="00C23D51"/>
    <w:rsid w:val="00C24168"/>
    <w:rsid w:val="00C244DE"/>
    <w:rsid w:val="00C252D4"/>
    <w:rsid w:val="00C2581A"/>
    <w:rsid w:val="00C267EA"/>
    <w:rsid w:val="00C26983"/>
    <w:rsid w:val="00C26F93"/>
    <w:rsid w:val="00C30CFA"/>
    <w:rsid w:val="00C30EB6"/>
    <w:rsid w:val="00C31C40"/>
    <w:rsid w:val="00C33EBE"/>
    <w:rsid w:val="00C34BF1"/>
    <w:rsid w:val="00C35157"/>
    <w:rsid w:val="00C37849"/>
    <w:rsid w:val="00C40576"/>
    <w:rsid w:val="00C416D5"/>
    <w:rsid w:val="00C41F6D"/>
    <w:rsid w:val="00C42001"/>
    <w:rsid w:val="00C421F1"/>
    <w:rsid w:val="00C42827"/>
    <w:rsid w:val="00C43777"/>
    <w:rsid w:val="00C44417"/>
    <w:rsid w:val="00C449EE"/>
    <w:rsid w:val="00C45ABB"/>
    <w:rsid w:val="00C46C72"/>
    <w:rsid w:val="00C47639"/>
    <w:rsid w:val="00C476A0"/>
    <w:rsid w:val="00C50178"/>
    <w:rsid w:val="00C51B28"/>
    <w:rsid w:val="00C51E96"/>
    <w:rsid w:val="00C52791"/>
    <w:rsid w:val="00C53B0B"/>
    <w:rsid w:val="00C5507A"/>
    <w:rsid w:val="00C55E24"/>
    <w:rsid w:val="00C56438"/>
    <w:rsid w:val="00C5775A"/>
    <w:rsid w:val="00C630E9"/>
    <w:rsid w:val="00C6315B"/>
    <w:rsid w:val="00C642C2"/>
    <w:rsid w:val="00C644FA"/>
    <w:rsid w:val="00C64C94"/>
    <w:rsid w:val="00C656CA"/>
    <w:rsid w:val="00C66339"/>
    <w:rsid w:val="00C66B39"/>
    <w:rsid w:val="00C66E03"/>
    <w:rsid w:val="00C67B8F"/>
    <w:rsid w:val="00C7066A"/>
    <w:rsid w:val="00C708CB"/>
    <w:rsid w:val="00C708FF"/>
    <w:rsid w:val="00C7096C"/>
    <w:rsid w:val="00C70B10"/>
    <w:rsid w:val="00C711F1"/>
    <w:rsid w:val="00C72792"/>
    <w:rsid w:val="00C73CB4"/>
    <w:rsid w:val="00C7408E"/>
    <w:rsid w:val="00C7528D"/>
    <w:rsid w:val="00C75447"/>
    <w:rsid w:val="00C75885"/>
    <w:rsid w:val="00C75E2F"/>
    <w:rsid w:val="00C7636C"/>
    <w:rsid w:val="00C7697D"/>
    <w:rsid w:val="00C77542"/>
    <w:rsid w:val="00C77F3B"/>
    <w:rsid w:val="00C80CA6"/>
    <w:rsid w:val="00C82155"/>
    <w:rsid w:val="00C8279B"/>
    <w:rsid w:val="00C83115"/>
    <w:rsid w:val="00C831B4"/>
    <w:rsid w:val="00C834BD"/>
    <w:rsid w:val="00C83596"/>
    <w:rsid w:val="00C835F9"/>
    <w:rsid w:val="00C8360A"/>
    <w:rsid w:val="00C83840"/>
    <w:rsid w:val="00C8506A"/>
    <w:rsid w:val="00C855F0"/>
    <w:rsid w:val="00C85ADE"/>
    <w:rsid w:val="00C85E9E"/>
    <w:rsid w:val="00C8638E"/>
    <w:rsid w:val="00C8676C"/>
    <w:rsid w:val="00C86AB4"/>
    <w:rsid w:val="00C86BF0"/>
    <w:rsid w:val="00C87812"/>
    <w:rsid w:val="00C87C53"/>
    <w:rsid w:val="00C90D84"/>
    <w:rsid w:val="00C921AC"/>
    <w:rsid w:val="00C922AD"/>
    <w:rsid w:val="00C931DC"/>
    <w:rsid w:val="00C9426A"/>
    <w:rsid w:val="00C94FED"/>
    <w:rsid w:val="00C9535F"/>
    <w:rsid w:val="00C96570"/>
    <w:rsid w:val="00C965E8"/>
    <w:rsid w:val="00C96A2B"/>
    <w:rsid w:val="00C97928"/>
    <w:rsid w:val="00CA02DB"/>
    <w:rsid w:val="00CA05F3"/>
    <w:rsid w:val="00CA08E7"/>
    <w:rsid w:val="00CA0F79"/>
    <w:rsid w:val="00CA160B"/>
    <w:rsid w:val="00CA1EA9"/>
    <w:rsid w:val="00CA2B7A"/>
    <w:rsid w:val="00CA5586"/>
    <w:rsid w:val="00CA5D2D"/>
    <w:rsid w:val="00CA72C6"/>
    <w:rsid w:val="00CA77E9"/>
    <w:rsid w:val="00CA790F"/>
    <w:rsid w:val="00CA79E4"/>
    <w:rsid w:val="00CA7FE1"/>
    <w:rsid w:val="00CB0696"/>
    <w:rsid w:val="00CB14F1"/>
    <w:rsid w:val="00CB1E49"/>
    <w:rsid w:val="00CB2E04"/>
    <w:rsid w:val="00CB33C1"/>
    <w:rsid w:val="00CB34CE"/>
    <w:rsid w:val="00CB4C13"/>
    <w:rsid w:val="00CB4E6E"/>
    <w:rsid w:val="00CB6172"/>
    <w:rsid w:val="00CB634E"/>
    <w:rsid w:val="00CB78FD"/>
    <w:rsid w:val="00CC0C02"/>
    <w:rsid w:val="00CC348A"/>
    <w:rsid w:val="00CC34CC"/>
    <w:rsid w:val="00CC3600"/>
    <w:rsid w:val="00CC3634"/>
    <w:rsid w:val="00CC5F75"/>
    <w:rsid w:val="00CC64E2"/>
    <w:rsid w:val="00CC743A"/>
    <w:rsid w:val="00CD086E"/>
    <w:rsid w:val="00CD0E84"/>
    <w:rsid w:val="00CD10F7"/>
    <w:rsid w:val="00CD1858"/>
    <w:rsid w:val="00CD21EA"/>
    <w:rsid w:val="00CD392E"/>
    <w:rsid w:val="00CD3B5B"/>
    <w:rsid w:val="00CD3F6C"/>
    <w:rsid w:val="00CD4E9F"/>
    <w:rsid w:val="00CD58A1"/>
    <w:rsid w:val="00CD5934"/>
    <w:rsid w:val="00CD6495"/>
    <w:rsid w:val="00CD7406"/>
    <w:rsid w:val="00CD7558"/>
    <w:rsid w:val="00CE0093"/>
    <w:rsid w:val="00CE168E"/>
    <w:rsid w:val="00CE2EFD"/>
    <w:rsid w:val="00CE4456"/>
    <w:rsid w:val="00CE4658"/>
    <w:rsid w:val="00CE4F3C"/>
    <w:rsid w:val="00CE57E6"/>
    <w:rsid w:val="00CE59B8"/>
    <w:rsid w:val="00CE5D29"/>
    <w:rsid w:val="00CE69FA"/>
    <w:rsid w:val="00CE6BDE"/>
    <w:rsid w:val="00CE74EB"/>
    <w:rsid w:val="00CE75AA"/>
    <w:rsid w:val="00CE7AE8"/>
    <w:rsid w:val="00CF0650"/>
    <w:rsid w:val="00CF15F3"/>
    <w:rsid w:val="00CF16CB"/>
    <w:rsid w:val="00CF20F4"/>
    <w:rsid w:val="00CF4255"/>
    <w:rsid w:val="00CF4DB5"/>
    <w:rsid w:val="00CF4F05"/>
    <w:rsid w:val="00CF6000"/>
    <w:rsid w:val="00CF6696"/>
    <w:rsid w:val="00CF71E8"/>
    <w:rsid w:val="00CF75EF"/>
    <w:rsid w:val="00CF7BF6"/>
    <w:rsid w:val="00CF7C53"/>
    <w:rsid w:val="00CF7E64"/>
    <w:rsid w:val="00D00392"/>
    <w:rsid w:val="00D013A8"/>
    <w:rsid w:val="00D01713"/>
    <w:rsid w:val="00D01F1E"/>
    <w:rsid w:val="00D02EEC"/>
    <w:rsid w:val="00D041A0"/>
    <w:rsid w:val="00D041A5"/>
    <w:rsid w:val="00D066E7"/>
    <w:rsid w:val="00D068F8"/>
    <w:rsid w:val="00D07765"/>
    <w:rsid w:val="00D07DDE"/>
    <w:rsid w:val="00D102D6"/>
    <w:rsid w:val="00D1148C"/>
    <w:rsid w:val="00D11CB7"/>
    <w:rsid w:val="00D121C2"/>
    <w:rsid w:val="00D1338C"/>
    <w:rsid w:val="00D14F02"/>
    <w:rsid w:val="00D15456"/>
    <w:rsid w:val="00D155A6"/>
    <w:rsid w:val="00D15CF2"/>
    <w:rsid w:val="00D16B87"/>
    <w:rsid w:val="00D16E44"/>
    <w:rsid w:val="00D20507"/>
    <w:rsid w:val="00D20786"/>
    <w:rsid w:val="00D20F6F"/>
    <w:rsid w:val="00D216FD"/>
    <w:rsid w:val="00D2192F"/>
    <w:rsid w:val="00D21CE5"/>
    <w:rsid w:val="00D21FE3"/>
    <w:rsid w:val="00D2210F"/>
    <w:rsid w:val="00D2417A"/>
    <w:rsid w:val="00D24878"/>
    <w:rsid w:val="00D253A5"/>
    <w:rsid w:val="00D2568B"/>
    <w:rsid w:val="00D26802"/>
    <w:rsid w:val="00D26881"/>
    <w:rsid w:val="00D26AF0"/>
    <w:rsid w:val="00D26BE2"/>
    <w:rsid w:val="00D279DD"/>
    <w:rsid w:val="00D31009"/>
    <w:rsid w:val="00D328A1"/>
    <w:rsid w:val="00D32B56"/>
    <w:rsid w:val="00D334B4"/>
    <w:rsid w:val="00D33E70"/>
    <w:rsid w:val="00D34C68"/>
    <w:rsid w:val="00D35289"/>
    <w:rsid w:val="00D35A3E"/>
    <w:rsid w:val="00D35FFE"/>
    <w:rsid w:val="00D36AB8"/>
    <w:rsid w:val="00D3742E"/>
    <w:rsid w:val="00D376C5"/>
    <w:rsid w:val="00D37C42"/>
    <w:rsid w:val="00D41403"/>
    <w:rsid w:val="00D41CE5"/>
    <w:rsid w:val="00D429BD"/>
    <w:rsid w:val="00D42A77"/>
    <w:rsid w:val="00D42DD0"/>
    <w:rsid w:val="00D438B8"/>
    <w:rsid w:val="00D43978"/>
    <w:rsid w:val="00D44185"/>
    <w:rsid w:val="00D44873"/>
    <w:rsid w:val="00D44F59"/>
    <w:rsid w:val="00D4536B"/>
    <w:rsid w:val="00D4552D"/>
    <w:rsid w:val="00D4587B"/>
    <w:rsid w:val="00D4604A"/>
    <w:rsid w:val="00D46EF8"/>
    <w:rsid w:val="00D4758C"/>
    <w:rsid w:val="00D51174"/>
    <w:rsid w:val="00D535FC"/>
    <w:rsid w:val="00D539BD"/>
    <w:rsid w:val="00D540F6"/>
    <w:rsid w:val="00D54586"/>
    <w:rsid w:val="00D54604"/>
    <w:rsid w:val="00D548F5"/>
    <w:rsid w:val="00D55112"/>
    <w:rsid w:val="00D557BD"/>
    <w:rsid w:val="00D569A9"/>
    <w:rsid w:val="00D57222"/>
    <w:rsid w:val="00D57E5A"/>
    <w:rsid w:val="00D604BF"/>
    <w:rsid w:val="00D60DDC"/>
    <w:rsid w:val="00D60F94"/>
    <w:rsid w:val="00D612C1"/>
    <w:rsid w:val="00D616C9"/>
    <w:rsid w:val="00D61719"/>
    <w:rsid w:val="00D621E7"/>
    <w:rsid w:val="00D62595"/>
    <w:rsid w:val="00D6315F"/>
    <w:rsid w:val="00D64070"/>
    <w:rsid w:val="00D65500"/>
    <w:rsid w:val="00D662CD"/>
    <w:rsid w:val="00D70849"/>
    <w:rsid w:val="00D70BB3"/>
    <w:rsid w:val="00D70D7A"/>
    <w:rsid w:val="00D70E18"/>
    <w:rsid w:val="00D711DA"/>
    <w:rsid w:val="00D71F61"/>
    <w:rsid w:val="00D7226A"/>
    <w:rsid w:val="00D722EB"/>
    <w:rsid w:val="00D733BB"/>
    <w:rsid w:val="00D73C7C"/>
    <w:rsid w:val="00D73D77"/>
    <w:rsid w:val="00D7421F"/>
    <w:rsid w:val="00D74771"/>
    <w:rsid w:val="00D74FD9"/>
    <w:rsid w:val="00D7526D"/>
    <w:rsid w:val="00D75642"/>
    <w:rsid w:val="00D75A35"/>
    <w:rsid w:val="00D775E2"/>
    <w:rsid w:val="00D8134F"/>
    <w:rsid w:val="00D8150B"/>
    <w:rsid w:val="00D8226B"/>
    <w:rsid w:val="00D82AA8"/>
    <w:rsid w:val="00D83519"/>
    <w:rsid w:val="00D8376E"/>
    <w:rsid w:val="00D83C1F"/>
    <w:rsid w:val="00D85127"/>
    <w:rsid w:val="00D8607D"/>
    <w:rsid w:val="00D87B4C"/>
    <w:rsid w:val="00D9012E"/>
    <w:rsid w:val="00D901D8"/>
    <w:rsid w:val="00D9186B"/>
    <w:rsid w:val="00D91A7B"/>
    <w:rsid w:val="00D91F4A"/>
    <w:rsid w:val="00D9398A"/>
    <w:rsid w:val="00D9554B"/>
    <w:rsid w:val="00D960DE"/>
    <w:rsid w:val="00D96BD5"/>
    <w:rsid w:val="00D97253"/>
    <w:rsid w:val="00D97843"/>
    <w:rsid w:val="00DA08A8"/>
    <w:rsid w:val="00DA0C73"/>
    <w:rsid w:val="00DA0FAF"/>
    <w:rsid w:val="00DA174F"/>
    <w:rsid w:val="00DA18F8"/>
    <w:rsid w:val="00DA1EA4"/>
    <w:rsid w:val="00DA23DA"/>
    <w:rsid w:val="00DA31DB"/>
    <w:rsid w:val="00DA3A42"/>
    <w:rsid w:val="00DA481E"/>
    <w:rsid w:val="00DA4E27"/>
    <w:rsid w:val="00DA5FA4"/>
    <w:rsid w:val="00DA778F"/>
    <w:rsid w:val="00DB0542"/>
    <w:rsid w:val="00DB130B"/>
    <w:rsid w:val="00DB1384"/>
    <w:rsid w:val="00DB138E"/>
    <w:rsid w:val="00DB13A2"/>
    <w:rsid w:val="00DB256D"/>
    <w:rsid w:val="00DB38FD"/>
    <w:rsid w:val="00DB3B4E"/>
    <w:rsid w:val="00DB57A5"/>
    <w:rsid w:val="00DB6074"/>
    <w:rsid w:val="00DB6EC3"/>
    <w:rsid w:val="00DB6F46"/>
    <w:rsid w:val="00DB7557"/>
    <w:rsid w:val="00DB76D9"/>
    <w:rsid w:val="00DC003C"/>
    <w:rsid w:val="00DC02A1"/>
    <w:rsid w:val="00DC032C"/>
    <w:rsid w:val="00DC1C9F"/>
    <w:rsid w:val="00DC22A0"/>
    <w:rsid w:val="00DC356C"/>
    <w:rsid w:val="00DC3DC3"/>
    <w:rsid w:val="00DC4236"/>
    <w:rsid w:val="00DC5A80"/>
    <w:rsid w:val="00DD3BA2"/>
    <w:rsid w:val="00DD3CB9"/>
    <w:rsid w:val="00DD409D"/>
    <w:rsid w:val="00DD4C94"/>
    <w:rsid w:val="00DD5118"/>
    <w:rsid w:val="00DD524A"/>
    <w:rsid w:val="00DD56EF"/>
    <w:rsid w:val="00DD5D44"/>
    <w:rsid w:val="00DD5F7B"/>
    <w:rsid w:val="00DD60F6"/>
    <w:rsid w:val="00DD61BE"/>
    <w:rsid w:val="00DD6398"/>
    <w:rsid w:val="00DD6BCC"/>
    <w:rsid w:val="00DD75C9"/>
    <w:rsid w:val="00DD792F"/>
    <w:rsid w:val="00DE01FE"/>
    <w:rsid w:val="00DE0B7C"/>
    <w:rsid w:val="00DE2B3B"/>
    <w:rsid w:val="00DE37D7"/>
    <w:rsid w:val="00DE44F6"/>
    <w:rsid w:val="00DE475A"/>
    <w:rsid w:val="00DE4CED"/>
    <w:rsid w:val="00DE5031"/>
    <w:rsid w:val="00DE57C6"/>
    <w:rsid w:val="00DE584F"/>
    <w:rsid w:val="00DE5ED4"/>
    <w:rsid w:val="00DE60FB"/>
    <w:rsid w:val="00DE67CD"/>
    <w:rsid w:val="00DE71E1"/>
    <w:rsid w:val="00DE73FB"/>
    <w:rsid w:val="00DE75FD"/>
    <w:rsid w:val="00DE7F18"/>
    <w:rsid w:val="00DF0185"/>
    <w:rsid w:val="00DF09B3"/>
    <w:rsid w:val="00DF0C22"/>
    <w:rsid w:val="00DF0F58"/>
    <w:rsid w:val="00DF21B4"/>
    <w:rsid w:val="00DF2564"/>
    <w:rsid w:val="00DF299D"/>
    <w:rsid w:val="00DF2DAE"/>
    <w:rsid w:val="00DF2F82"/>
    <w:rsid w:val="00DF3627"/>
    <w:rsid w:val="00DF36C4"/>
    <w:rsid w:val="00DF5011"/>
    <w:rsid w:val="00DF51C7"/>
    <w:rsid w:val="00DF51EB"/>
    <w:rsid w:val="00DF6ECD"/>
    <w:rsid w:val="00DF7A38"/>
    <w:rsid w:val="00DF7EE2"/>
    <w:rsid w:val="00E0034D"/>
    <w:rsid w:val="00E00D54"/>
    <w:rsid w:val="00E020CF"/>
    <w:rsid w:val="00E029A5"/>
    <w:rsid w:val="00E02D7A"/>
    <w:rsid w:val="00E02EED"/>
    <w:rsid w:val="00E03735"/>
    <w:rsid w:val="00E04311"/>
    <w:rsid w:val="00E0451C"/>
    <w:rsid w:val="00E047DB"/>
    <w:rsid w:val="00E04D7C"/>
    <w:rsid w:val="00E04E77"/>
    <w:rsid w:val="00E05993"/>
    <w:rsid w:val="00E05D28"/>
    <w:rsid w:val="00E101C2"/>
    <w:rsid w:val="00E10420"/>
    <w:rsid w:val="00E109A5"/>
    <w:rsid w:val="00E10B13"/>
    <w:rsid w:val="00E114D6"/>
    <w:rsid w:val="00E117A8"/>
    <w:rsid w:val="00E13617"/>
    <w:rsid w:val="00E13740"/>
    <w:rsid w:val="00E149C2"/>
    <w:rsid w:val="00E149F2"/>
    <w:rsid w:val="00E14ACD"/>
    <w:rsid w:val="00E14FB5"/>
    <w:rsid w:val="00E1523E"/>
    <w:rsid w:val="00E1582C"/>
    <w:rsid w:val="00E16494"/>
    <w:rsid w:val="00E1678F"/>
    <w:rsid w:val="00E168B1"/>
    <w:rsid w:val="00E17B07"/>
    <w:rsid w:val="00E200AF"/>
    <w:rsid w:val="00E2058A"/>
    <w:rsid w:val="00E20A06"/>
    <w:rsid w:val="00E20D8A"/>
    <w:rsid w:val="00E2117A"/>
    <w:rsid w:val="00E21BBE"/>
    <w:rsid w:val="00E21F2D"/>
    <w:rsid w:val="00E2221B"/>
    <w:rsid w:val="00E22961"/>
    <w:rsid w:val="00E22F4C"/>
    <w:rsid w:val="00E230AF"/>
    <w:rsid w:val="00E23202"/>
    <w:rsid w:val="00E23789"/>
    <w:rsid w:val="00E258D3"/>
    <w:rsid w:val="00E267D0"/>
    <w:rsid w:val="00E30256"/>
    <w:rsid w:val="00E30504"/>
    <w:rsid w:val="00E30559"/>
    <w:rsid w:val="00E30596"/>
    <w:rsid w:val="00E3107F"/>
    <w:rsid w:val="00E312BA"/>
    <w:rsid w:val="00E31FE1"/>
    <w:rsid w:val="00E32AAF"/>
    <w:rsid w:val="00E32B8C"/>
    <w:rsid w:val="00E32FC1"/>
    <w:rsid w:val="00E33B29"/>
    <w:rsid w:val="00E33FCA"/>
    <w:rsid w:val="00E3402E"/>
    <w:rsid w:val="00E347D8"/>
    <w:rsid w:val="00E3587C"/>
    <w:rsid w:val="00E365ED"/>
    <w:rsid w:val="00E4007B"/>
    <w:rsid w:val="00E40A5B"/>
    <w:rsid w:val="00E40F75"/>
    <w:rsid w:val="00E41120"/>
    <w:rsid w:val="00E43571"/>
    <w:rsid w:val="00E43AD1"/>
    <w:rsid w:val="00E43E79"/>
    <w:rsid w:val="00E44E5C"/>
    <w:rsid w:val="00E45381"/>
    <w:rsid w:val="00E46AB4"/>
    <w:rsid w:val="00E46C3B"/>
    <w:rsid w:val="00E46CE0"/>
    <w:rsid w:val="00E47C99"/>
    <w:rsid w:val="00E505F0"/>
    <w:rsid w:val="00E5227B"/>
    <w:rsid w:val="00E52D56"/>
    <w:rsid w:val="00E535B5"/>
    <w:rsid w:val="00E5370D"/>
    <w:rsid w:val="00E53B87"/>
    <w:rsid w:val="00E54213"/>
    <w:rsid w:val="00E548D0"/>
    <w:rsid w:val="00E55621"/>
    <w:rsid w:val="00E5585A"/>
    <w:rsid w:val="00E567BE"/>
    <w:rsid w:val="00E57A85"/>
    <w:rsid w:val="00E57FD1"/>
    <w:rsid w:val="00E60139"/>
    <w:rsid w:val="00E605A3"/>
    <w:rsid w:val="00E614E4"/>
    <w:rsid w:val="00E623DD"/>
    <w:rsid w:val="00E62572"/>
    <w:rsid w:val="00E62D8F"/>
    <w:rsid w:val="00E63654"/>
    <w:rsid w:val="00E64622"/>
    <w:rsid w:val="00E649BA"/>
    <w:rsid w:val="00E64C2F"/>
    <w:rsid w:val="00E65D5C"/>
    <w:rsid w:val="00E65D65"/>
    <w:rsid w:val="00E66344"/>
    <w:rsid w:val="00E66803"/>
    <w:rsid w:val="00E66CAE"/>
    <w:rsid w:val="00E66DF8"/>
    <w:rsid w:val="00E674B1"/>
    <w:rsid w:val="00E679D0"/>
    <w:rsid w:val="00E71340"/>
    <w:rsid w:val="00E71ABD"/>
    <w:rsid w:val="00E71BDE"/>
    <w:rsid w:val="00E71D7B"/>
    <w:rsid w:val="00E72252"/>
    <w:rsid w:val="00E7242D"/>
    <w:rsid w:val="00E73AF6"/>
    <w:rsid w:val="00E73B57"/>
    <w:rsid w:val="00E75BA0"/>
    <w:rsid w:val="00E767B7"/>
    <w:rsid w:val="00E76E38"/>
    <w:rsid w:val="00E76EB6"/>
    <w:rsid w:val="00E81A6B"/>
    <w:rsid w:val="00E81D62"/>
    <w:rsid w:val="00E81F31"/>
    <w:rsid w:val="00E82A13"/>
    <w:rsid w:val="00E83657"/>
    <w:rsid w:val="00E8418E"/>
    <w:rsid w:val="00E84483"/>
    <w:rsid w:val="00E8505B"/>
    <w:rsid w:val="00E86C20"/>
    <w:rsid w:val="00E87601"/>
    <w:rsid w:val="00E90AFA"/>
    <w:rsid w:val="00E90E14"/>
    <w:rsid w:val="00E90EDE"/>
    <w:rsid w:val="00E9151F"/>
    <w:rsid w:val="00E917DE"/>
    <w:rsid w:val="00E917F1"/>
    <w:rsid w:val="00E91A28"/>
    <w:rsid w:val="00E91F68"/>
    <w:rsid w:val="00E9230F"/>
    <w:rsid w:val="00E93923"/>
    <w:rsid w:val="00E94E1C"/>
    <w:rsid w:val="00E9619A"/>
    <w:rsid w:val="00EA11AD"/>
    <w:rsid w:val="00EA1A8B"/>
    <w:rsid w:val="00EA220C"/>
    <w:rsid w:val="00EA3146"/>
    <w:rsid w:val="00EA3B15"/>
    <w:rsid w:val="00EA3E47"/>
    <w:rsid w:val="00EA46BC"/>
    <w:rsid w:val="00EA6AC7"/>
    <w:rsid w:val="00EB08AE"/>
    <w:rsid w:val="00EB08B8"/>
    <w:rsid w:val="00EB08D9"/>
    <w:rsid w:val="00EB1103"/>
    <w:rsid w:val="00EB1CC0"/>
    <w:rsid w:val="00EB233D"/>
    <w:rsid w:val="00EB334E"/>
    <w:rsid w:val="00EB3C65"/>
    <w:rsid w:val="00EB40DC"/>
    <w:rsid w:val="00EB464C"/>
    <w:rsid w:val="00EB4B80"/>
    <w:rsid w:val="00EB4FEB"/>
    <w:rsid w:val="00EB51E4"/>
    <w:rsid w:val="00EB573E"/>
    <w:rsid w:val="00EB5CE5"/>
    <w:rsid w:val="00EB6310"/>
    <w:rsid w:val="00EB674A"/>
    <w:rsid w:val="00EB6EEF"/>
    <w:rsid w:val="00EB75DF"/>
    <w:rsid w:val="00EC03D6"/>
    <w:rsid w:val="00EC0854"/>
    <w:rsid w:val="00EC1FBD"/>
    <w:rsid w:val="00EC3910"/>
    <w:rsid w:val="00EC3A5B"/>
    <w:rsid w:val="00EC415A"/>
    <w:rsid w:val="00EC42A3"/>
    <w:rsid w:val="00EC4446"/>
    <w:rsid w:val="00EC4582"/>
    <w:rsid w:val="00EC552A"/>
    <w:rsid w:val="00EC58A9"/>
    <w:rsid w:val="00EC6B0D"/>
    <w:rsid w:val="00EC6F59"/>
    <w:rsid w:val="00EC738E"/>
    <w:rsid w:val="00EC77FD"/>
    <w:rsid w:val="00ED107B"/>
    <w:rsid w:val="00ED1150"/>
    <w:rsid w:val="00ED135E"/>
    <w:rsid w:val="00ED2561"/>
    <w:rsid w:val="00ED31CB"/>
    <w:rsid w:val="00ED3227"/>
    <w:rsid w:val="00ED51B4"/>
    <w:rsid w:val="00ED54E6"/>
    <w:rsid w:val="00ED593E"/>
    <w:rsid w:val="00ED61F0"/>
    <w:rsid w:val="00ED76FF"/>
    <w:rsid w:val="00EE0C0C"/>
    <w:rsid w:val="00EE0C3D"/>
    <w:rsid w:val="00EE0CA1"/>
    <w:rsid w:val="00EE0D6D"/>
    <w:rsid w:val="00EE11E4"/>
    <w:rsid w:val="00EE12CC"/>
    <w:rsid w:val="00EE222F"/>
    <w:rsid w:val="00EE2347"/>
    <w:rsid w:val="00EE27E8"/>
    <w:rsid w:val="00EE2800"/>
    <w:rsid w:val="00EE2FCF"/>
    <w:rsid w:val="00EE4003"/>
    <w:rsid w:val="00EE44C9"/>
    <w:rsid w:val="00EE4586"/>
    <w:rsid w:val="00EE5043"/>
    <w:rsid w:val="00EE53F7"/>
    <w:rsid w:val="00EE544C"/>
    <w:rsid w:val="00EE681F"/>
    <w:rsid w:val="00EE69EE"/>
    <w:rsid w:val="00EE6F27"/>
    <w:rsid w:val="00EE71B2"/>
    <w:rsid w:val="00EE752C"/>
    <w:rsid w:val="00EE77E7"/>
    <w:rsid w:val="00EF095B"/>
    <w:rsid w:val="00EF0E78"/>
    <w:rsid w:val="00EF12B4"/>
    <w:rsid w:val="00EF17A7"/>
    <w:rsid w:val="00EF1F91"/>
    <w:rsid w:val="00EF3E07"/>
    <w:rsid w:val="00EF413B"/>
    <w:rsid w:val="00EF4653"/>
    <w:rsid w:val="00EF4F9D"/>
    <w:rsid w:val="00EF5763"/>
    <w:rsid w:val="00EF5C0D"/>
    <w:rsid w:val="00EF673E"/>
    <w:rsid w:val="00EF724F"/>
    <w:rsid w:val="00EF72FE"/>
    <w:rsid w:val="00EF7C65"/>
    <w:rsid w:val="00EF7CE5"/>
    <w:rsid w:val="00F0117C"/>
    <w:rsid w:val="00F02704"/>
    <w:rsid w:val="00F03E9D"/>
    <w:rsid w:val="00F04226"/>
    <w:rsid w:val="00F0472D"/>
    <w:rsid w:val="00F06000"/>
    <w:rsid w:val="00F062DD"/>
    <w:rsid w:val="00F0769D"/>
    <w:rsid w:val="00F078F7"/>
    <w:rsid w:val="00F10F62"/>
    <w:rsid w:val="00F11E8E"/>
    <w:rsid w:val="00F12D90"/>
    <w:rsid w:val="00F14B7B"/>
    <w:rsid w:val="00F14EB7"/>
    <w:rsid w:val="00F1547B"/>
    <w:rsid w:val="00F157E7"/>
    <w:rsid w:val="00F16E51"/>
    <w:rsid w:val="00F17944"/>
    <w:rsid w:val="00F17A67"/>
    <w:rsid w:val="00F2222A"/>
    <w:rsid w:val="00F2261F"/>
    <w:rsid w:val="00F22A2D"/>
    <w:rsid w:val="00F22C4F"/>
    <w:rsid w:val="00F234B5"/>
    <w:rsid w:val="00F236D3"/>
    <w:rsid w:val="00F23821"/>
    <w:rsid w:val="00F23925"/>
    <w:rsid w:val="00F23B08"/>
    <w:rsid w:val="00F24708"/>
    <w:rsid w:val="00F25866"/>
    <w:rsid w:val="00F25A17"/>
    <w:rsid w:val="00F25AD3"/>
    <w:rsid w:val="00F2676B"/>
    <w:rsid w:val="00F267DF"/>
    <w:rsid w:val="00F26E24"/>
    <w:rsid w:val="00F26E9D"/>
    <w:rsid w:val="00F27ECA"/>
    <w:rsid w:val="00F30F8F"/>
    <w:rsid w:val="00F30FDE"/>
    <w:rsid w:val="00F310AD"/>
    <w:rsid w:val="00F31710"/>
    <w:rsid w:val="00F3181D"/>
    <w:rsid w:val="00F318E8"/>
    <w:rsid w:val="00F32290"/>
    <w:rsid w:val="00F329A4"/>
    <w:rsid w:val="00F33070"/>
    <w:rsid w:val="00F3346E"/>
    <w:rsid w:val="00F3366A"/>
    <w:rsid w:val="00F35145"/>
    <w:rsid w:val="00F35F2C"/>
    <w:rsid w:val="00F36811"/>
    <w:rsid w:val="00F36B29"/>
    <w:rsid w:val="00F372A5"/>
    <w:rsid w:val="00F37CD5"/>
    <w:rsid w:val="00F40066"/>
    <w:rsid w:val="00F400CC"/>
    <w:rsid w:val="00F400D6"/>
    <w:rsid w:val="00F4221F"/>
    <w:rsid w:val="00F425C7"/>
    <w:rsid w:val="00F431BC"/>
    <w:rsid w:val="00F44592"/>
    <w:rsid w:val="00F446BF"/>
    <w:rsid w:val="00F44DDD"/>
    <w:rsid w:val="00F45BC6"/>
    <w:rsid w:val="00F46E2C"/>
    <w:rsid w:val="00F47149"/>
    <w:rsid w:val="00F4730C"/>
    <w:rsid w:val="00F51786"/>
    <w:rsid w:val="00F520AE"/>
    <w:rsid w:val="00F52DFF"/>
    <w:rsid w:val="00F53E23"/>
    <w:rsid w:val="00F54189"/>
    <w:rsid w:val="00F57382"/>
    <w:rsid w:val="00F5782A"/>
    <w:rsid w:val="00F61AA0"/>
    <w:rsid w:val="00F61AC6"/>
    <w:rsid w:val="00F61F69"/>
    <w:rsid w:val="00F624CF"/>
    <w:rsid w:val="00F63F04"/>
    <w:rsid w:val="00F647AD"/>
    <w:rsid w:val="00F65818"/>
    <w:rsid w:val="00F658AE"/>
    <w:rsid w:val="00F66AB1"/>
    <w:rsid w:val="00F670BC"/>
    <w:rsid w:val="00F6768C"/>
    <w:rsid w:val="00F67D70"/>
    <w:rsid w:val="00F70227"/>
    <w:rsid w:val="00F717A9"/>
    <w:rsid w:val="00F71A7D"/>
    <w:rsid w:val="00F71D5D"/>
    <w:rsid w:val="00F71D8E"/>
    <w:rsid w:val="00F71F98"/>
    <w:rsid w:val="00F71FF4"/>
    <w:rsid w:val="00F723FC"/>
    <w:rsid w:val="00F728D2"/>
    <w:rsid w:val="00F7371E"/>
    <w:rsid w:val="00F75AE4"/>
    <w:rsid w:val="00F76870"/>
    <w:rsid w:val="00F76B57"/>
    <w:rsid w:val="00F77469"/>
    <w:rsid w:val="00F776B1"/>
    <w:rsid w:val="00F77BBE"/>
    <w:rsid w:val="00F8006F"/>
    <w:rsid w:val="00F80E85"/>
    <w:rsid w:val="00F81370"/>
    <w:rsid w:val="00F81532"/>
    <w:rsid w:val="00F81825"/>
    <w:rsid w:val="00F8194D"/>
    <w:rsid w:val="00F8196D"/>
    <w:rsid w:val="00F81C24"/>
    <w:rsid w:val="00F82398"/>
    <w:rsid w:val="00F82AFC"/>
    <w:rsid w:val="00F8306F"/>
    <w:rsid w:val="00F83904"/>
    <w:rsid w:val="00F84D9D"/>
    <w:rsid w:val="00F85277"/>
    <w:rsid w:val="00F8547E"/>
    <w:rsid w:val="00F8700C"/>
    <w:rsid w:val="00F90AA7"/>
    <w:rsid w:val="00F91386"/>
    <w:rsid w:val="00F91741"/>
    <w:rsid w:val="00F91A1B"/>
    <w:rsid w:val="00F9350D"/>
    <w:rsid w:val="00F93D45"/>
    <w:rsid w:val="00F94D10"/>
    <w:rsid w:val="00F95524"/>
    <w:rsid w:val="00F9599C"/>
    <w:rsid w:val="00F95EEC"/>
    <w:rsid w:val="00F960B9"/>
    <w:rsid w:val="00F96713"/>
    <w:rsid w:val="00F96D4C"/>
    <w:rsid w:val="00F9742B"/>
    <w:rsid w:val="00F97994"/>
    <w:rsid w:val="00FA07C2"/>
    <w:rsid w:val="00FA19CB"/>
    <w:rsid w:val="00FA1C1D"/>
    <w:rsid w:val="00FA1E12"/>
    <w:rsid w:val="00FA2649"/>
    <w:rsid w:val="00FA29FC"/>
    <w:rsid w:val="00FA3A48"/>
    <w:rsid w:val="00FA44F6"/>
    <w:rsid w:val="00FA496D"/>
    <w:rsid w:val="00FA4A14"/>
    <w:rsid w:val="00FA5AFE"/>
    <w:rsid w:val="00FA5CE5"/>
    <w:rsid w:val="00FA61F7"/>
    <w:rsid w:val="00FA62CF"/>
    <w:rsid w:val="00FA6424"/>
    <w:rsid w:val="00FA684C"/>
    <w:rsid w:val="00FA7519"/>
    <w:rsid w:val="00FA7663"/>
    <w:rsid w:val="00FA7C64"/>
    <w:rsid w:val="00FB12D3"/>
    <w:rsid w:val="00FB2E21"/>
    <w:rsid w:val="00FB30C4"/>
    <w:rsid w:val="00FB3FEA"/>
    <w:rsid w:val="00FB4A8B"/>
    <w:rsid w:val="00FB4E06"/>
    <w:rsid w:val="00FB50FF"/>
    <w:rsid w:val="00FB6205"/>
    <w:rsid w:val="00FB7581"/>
    <w:rsid w:val="00FB77AB"/>
    <w:rsid w:val="00FB7979"/>
    <w:rsid w:val="00FC1887"/>
    <w:rsid w:val="00FC2651"/>
    <w:rsid w:val="00FC2B14"/>
    <w:rsid w:val="00FC2FF3"/>
    <w:rsid w:val="00FC4044"/>
    <w:rsid w:val="00FC5A1C"/>
    <w:rsid w:val="00FC5AE6"/>
    <w:rsid w:val="00FC60B3"/>
    <w:rsid w:val="00FC6860"/>
    <w:rsid w:val="00FC7806"/>
    <w:rsid w:val="00FD0993"/>
    <w:rsid w:val="00FD16C2"/>
    <w:rsid w:val="00FD38A1"/>
    <w:rsid w:val="00FD407E"/>
    <w:rsid w:val="00FD4E3E"/>
    <w:rsid w:val="00FD511D"/>
    <w:rsid w:val="00FD542F"/>
    <w:rsid w:val="00FD573C"/>
    <w:rsid w:val="00FD57C5"/>
    <w:rsid w:val="00FD6B02"/>
    <w:rsid w:val="00FD6CE3"/>
    <w:rsid w:val="00FD7967"/>
    <w:rsid w:val="00FD7CA1"/>
    <w:rsid w:val="00FE13BB"/>
    <w:rsid w:val="00FE2C5A"/>
    <w:rsid w:val="00FE4412"/>
    <w:rsid w:val="00FE444F"/>
    <w:rsid w:val="00FE6649"/>
    <w:rsid w:val="00FE7A41"/>
    <w:rsid w:val="00FE7E2B"/>
    <w:rsid w:val="00FE7F73"/>
    <w:rsid w:val="00FE7FB8"/>
    <w:rsid w:val="00FF0A10"/>
    <w:rsid w:val="00FF0E39"/>
    <w:rsid w:val="00FF16A9"/>
    <w:rsid w:val="00FF1709"/>
    <w:rsid w:val="00FF2784"/>
    <w:rsid w:val="00FF282E"/>
    <w:rsid w:val="00FF2B95"/>
    <w:rsid w:val="00FF2F2E"/>
    <w:rsid w:val="00FF3F89"/>
    <w:rsid w:val="00FF4728"/>
    <w:rsid w:val="00FF5EF7"/>
    <w:rsid w:val="00FF6261"/>
    <w:rsid w:val="00FF6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BF"/>
    <w:rPr>
      <w:sz w:val="24"/>
    </w:rPr>
  </w:style>
  <w:style w:type="paragraph" w:styleId="Heading1">
    <w:name w:val="heading 1"/>
    <w:basedOn w:val="Normal"/>
    <w:next w:val="Normal"/>
    <w:qFormat/>
    <w:rsid w:val="00B943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43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9435D"/>
    <w:pPr>
      <w:keepNext/>
      <w:spacing w:before="240" w:after="60"/>
      <w:outlineLvl w:val="2"/>
    </w:pPr>
    <w:rPr>
      <w:rFonts w:ascii="Arial" w:hAnsi="Arial" w:cs="Arial"/>
      <w:b/>
      <w:bCs/>
      <w:sz w:val="26"/>
      <w:szCs w:val="26"/>
    </w:rPr>
  </w:style>
  <w:style w:type="paragraph" w:styleId="Heading4">
    <w:name w:val="heading 4"/>
    <w:basedOn w:val="Normal"/>
    <w:next w:val="Normal"/>
    <w:qFormat/>
    <w:rsid w:val="006C673E"/>
    <w:pPr>
      <w:keepNext/>
      <w:spacing w:before="240" w:after="60"/>
      <w:outlineLvl w:val="3"/>
    </w:pPr>
    <w:rPr>
      <w:b/>
      <w:bCs/>
      <w:sz w:val="28"/>
      <w:szCs w:val="28"/>
    </w:rPr>
  </w:style>
  <w:style w:type="paragraph" w:styleId="Heading5">
    <w:name w:val="heading 5"/>
    <w:basedOn w:val="Normal"/>
    <w:next w:val="Normal"/>
    <w:qFormat/>
    <w:rsid w:val="006C673E"/>
    <w:pPr>
      <w:keepNext/>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9435D"/>
    <w:rPr>
      <w:b/>
      <w:sz w:val="26"/>
    </w:rPr>
  </w:style>
  <w:style w:type="paragraph" w:customStyle="1" w:styleId="SubHeading">
    <w:name w:val="Sub Heading"/>
    <w:basedOn w:val="Normal"/>
    <w:rsid w:val="00B9435D"/>
    <w:rPr>
      <w:b/>
    </w:rPr>
  </w:style>
  <w:style w:type="paragraph" w:styleId="BodyText">
    <w:name w:val="Body Text"/>
    <w:basedOn w:val="Normal"/>
    <w:autoRedefine/>
    <w:rsid w:val="0041445E"/>
    <w:pPr>
      <w:numPr>
        <w:numId w:val="4"/>
      </w:numPr>
      <w:tabs>
        <w:tab w:val="clear" w:pos="360"/>
        <w:tab w:val="num" w:pos="567"/>
      </w:tabs>
      <w:spacing w:after="240"/>
      <w:ind w:left="567" w:hanging="567"/>
      <w:jc w:val="both"/>
    </w:pPr>
  </w:style>
  <w:style w:type="paragraph" w:styleId="FootnoteText">
    <w:name w:val="footnote text"/>
    <w:basedOn w:val="Normal"/>
    <w:semiHidden/>
    <w:rsid w:val="006C673E"/>
    <w:rPr>
      <w:rFonts w:ascii="Arial" w:hAnsi="Arial"/>
      <w:sz w:val="20"/>
    </w:rPr>
  </w:style>
  <w:style w:type="character" w:styleId="FootnoteReference">
    <w:name w:val="footnote reference"/>
    <w:semiHidden/>
    <w:rsid w:val="006C673E"/>
    <w:rPr>
      <w:vertAlign w:val="superscript"/>
    </w:rPr>
  </w:style>
  <w:style w:type="character" w:customStyle="1" w:styleId="StyleBodyText13ptCharCharChar">
    <w:name w:val="Style Body Text + 13 pt Char Char Char"/>
    <w:rsid w:val="006C673E"/>
    <w:rPr>
      <w:sz w:val="24"/>
      <w:lang w:val="en-AU" w:eastAsia="en-AU" w:bidi="ar-SA"/>
    </w:rPr>
  </w:style>
  <w:style w:type="paragraph" w:customStyle="1" w:styleId="Indent1">
    <w:name w:val="Indent1"/>
    <w:basedOn w:val="Normal"/>
    <w:rsid w:val="006C673E"/>
    <w:pPr>
      <w:numPr>
        <w:numId w:val="1"/>
      </w:numPr>
      <w:spacing w:before="240" w:after="240" w:line="360" w:lineRule="auto"/>
    </w:pPr>
    <w:rPr>
      <w:sz w:val="26"/>
    </w:rPr>
  </w:style>
  <w:style w:type="paragraph" w:styleId="BalloonText">
    <w:name w:val="Balloon Text"/>
    <w:basedOn w:val="Normal"/>
    <w:semiHidden/>
    <w:rsid w:val="00D41CE5"/>
    <w:rPr>
      <w:rFonts w:ascii="Tahoma" w:hAnsi="Tahoma" w:cs="Tahoma"/>
      <w:sz w:val="16"/>
      <w:szCs w:val="16"/>
    </w:rPr>
  </w:style>
  <w:style w:type="paragraph" w:styleId="Header">
    <w:name w:val="header"/>
    <w:basedOn w:val="Normal"/>
    <w:rsid w:val="00A50D0B"/>
    <w:pPr>
      <w:tabs>
        <w:tab w:val="center" w:pos="4153"/>
        <w:tab w:val="right" w:pos="8306"/>
      </w:tabs>
    </w:pPr>
  </w:style>
  <w:style w:type="paragraph" w:styleId="Footer">
    <w:name w:val="footer"/>
    <w:basedOn w:val="Normal"/>
    <w:link w:val="FooterChar"/>
    <w:uiPriority w:val="99"/>
    <w:rsid w:val="00A50D0B"/>
    <w:pPr>
      <w:tabs>
        <w:tab w:val="center" w:pos="4153"/>
        <w:tab w:val="right" w:pos="8306"/>
      </w:tabs>
    </w:pPr>
  </w:style>
  <w:style w:type="character" w:styleId="PageNumber">
    <w:name w:val="page number"/>
    <w:basedOn w:val="DefaultParagraphFont"/>
    <w:rsid w:val="00C00ACC"/>
  </w:style>
  <w:style w:type="paragraph" w:customStyle="1" w:styleId="bullet">
    <w:name w:val="bullet"/>
    <w:basedOn w:val="BodyText"/>
    <w:rsid w:val="00EA1A8B"/>
    <w:pPr>
      <w:numPr>
        <w:numId w:val="2"/>
      </w:numPr>
    </w:pPr>
  </w:style>
  <w:style w:type="paragraph" w:customStyle="1" w:styleId="Default">
    <w:name w:val="Default"/>
    <w:link w:val="DefaultChar"/>
    <w:rsid w:val="00CB0696"/>
    <w:pPr>
      <w:autoSpaceDE w:val="0"/>
      <w:autoSpaceDN w:val="0"/>
      <w:adjustRightInd w:val="0"/>
    </w:pPr>
    <w:rPr>
      <w:rFonts w:eastAsia="MS Mincho"/>
      <w:color w:val="000000"/>
      <w:sz w:val="24"/>
      <w:szCs w:val="24"/>
      <w:lang w:eastAsia="ja-JP"/>
    </w:rPr>
  </w:style>
  <w:style w:type="character" w:styleId="CommentReference">
    <w:name w:val="annotation reference"/>
    <w:semiHidden/>
    <w:rsid w:val="00886EF9"/>
    <w:rPr>
      <w:sz w:val="16"/>
      <w:szCs w:val="16"/>
    </w:rPr>
  </w:style>
  <w:style w:type="paragraph" w:styleId="CommentText">
    <w:name w:val="annotation text"/>
    <w:basedOn w:val="Normal"/>
    <w:semiHidden/>
    <w:rsid w:val="00886EF9"/>
    <w:rPr>
      <w:sz w:val="20"/>
    </w:rPr>
  </w:style>
  <w:style w:type="paragraph" w:styleId="CommentSubject">
    <w:name w:val="annotation subject"/>
    <w:basedOn w:val="CommentText"/>
    <w:next w:val="CommentText"/>
    <w:semiHidden/>
    <w:rsid w:val="00886EF9"/>
    <w:rPr>
      <w:b/>
      <w:bCs/>
    </w:rPr>
  </w:style>
  <w:style w:type="character" w:customStyle="1" w:styleId="DefaultChar">
    <w:name w:val="Default Char"/>
    <w:link w:val="Default"/>
    <w:rsid w:val="001F2D47"/>
    <w:rPr>
      <w:rFonts w:eastAsia="MS Mincho"/>
      <w:color w:val="000000"/>
      <w:sz w:val="24"/>
      <w:szCs w:val="24"/>
      <w:lang w:val="en-AU" w:eastAsia="ja-JP" w:bidi="ar-SA"/>
    </w:rPr>
  </w:style>
  <w:style w:type="paragraph" w:styleId="DocumentMap">
    <w:name w:val="Document Map"/>
    <w:basedOn w:val="Normal"/>
    <w:semiHidden/>
    <w:rsid w:val="00425700"/>
    <w:pPr>
      <w:shd w:val="clear" w:color="auto" w:fill="000080"/>
    </w:pPr>
    <w:rPr>
      <w:rFonts w:ascii="Tahoma" w:hAnsi="Tahoma" w:cs="Tahoma"/>
    </w:rPr>
  </w:style>
  <w:style w:type="paragraph" w:styleId="Title">
    <w:name w:val="Title"/>
    <w:basedOn w:val="Normal"/>
    <w:qFormat/>
    <w:rsid w:val="005970DA"/>
    <w:pPr>
      <w:spacing w:before="240" w:after="60"/>
      <w:jc w:val="center"/>
      <w:outlineLvl w:val="0"/>
    </w:pPr>
    <w:rPr>
      <w:rFonts w:ascii="Arial" w:hAnsi="Arial" w:cs="Arial"/>
      <w:b/>
      <w:bCs/>
      <w:kern w:val="28"/>
      <w:sz w:val="32"/>
      <w:szCs w:val="32"/>
    </w:rPr>
  </w:style>
  <w:style w:type="paragraph" w:customStyle="1" w:styleId="ActTitle">
    <w:name w:val="Act Title"/>
    <w:basedOn w:val="Normal"/>
    <w:next w:val="IntroTo"/>
    <w:rsid w:val="005970DA"/>
    <w:pPr>
      <w:pBdr>
        <w:bottom w:val="single" w:sz="4" w:space="3" w:color="auto"/>
      </w:pBdr>
      <w:spacing w:before="480" w:after="240"/>
    </w:pPr>
    <w:rPr>
      <w:rFonts w:ascii="Arial" w:hAnsi="Arial"/>
      <w:i/>
      <w:iCs/>
      <w:sz w:val="28"/>
    </w:rPr>
  </w:style>
  <w:style w:type="paragraph" w:customStyle="1" w:styleId="IntroTo">
    <w:name w:val="IntroTo:"/>
    <w:basedOn w:val="Normal"/>
    <w:rsid w:val="005970DA"/>
    <w:pPr>
      <w:ind w:left="720" w:hanging="720"/>
    </w:pPr>
    <w:rPr>
      <w:lang w:eastAsia="en-US"/>
    </w:rPr>
  </w:style>
  <w:style w:type="paragraph" w:customStyle="1" w:styleId="IH">
    <w:name w:val="IH"/>
    <w:aliases w:val="Interpretation heading"/>
    <w:basedOn w:val="Normal"/>
    <w:next w:val="Normal"/>
    <w:rsid w:val="005970DA"/>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rsid w:val="005970DA"/>
    <w:pPr>
      <w:keepNext/>
      <w:tabs>
        <w:tab w:val="right" w:pos="794"/>
      </w:tabs>
      <w:spacing w:before="120" w:line="260" w:lineRule="exact"/>
      <w:ind w:left="964" w:hanging="964"/>
      <w:jc w:val="both"/>
    </w:pPr>
    <w:rPr>
      <w:szCs w:val="24"/>
      <w:lang w:eastAsia="en-US"/>
    </w:rPr>
  </w:style>
  <w:style w:type="paragraph" w:customStyle="1" w:styleId="AS">
    <w:name w:val="AS"/>
    <w:aliases w:val="Schedule title Amendment"/>
    <w:basedOn w:val="Normal"/>
    <w:next w:val="Normal"/>
    <w:rsid w:val="005970DA"/>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5970DA"/>
  </w:style>
  <w:style w:type="paragraph" w:styleId="Revision">
    <w:name w:val="Revision"/>
    <w:hidden/>
    <w:uiPriority w:val="99"/>
    <w:semiHidden/>
    <w:rsid w:val="00C52791"/>
    <w:rPr>
      <w:sz w:val="24"/>
    </w:rPr>
  </w:style>
  <w:style w:type="character" w:customStyle="1" w:styleId="FooterChar">
    <w:name w:val="Footer Char"/>
    <w:link w:val="Footer"/>
    <w:uiPriority w:val="99"/>
    <w:rsid w:val="00F776B1"/>
    <w:rPr>
      <w:sz w:val="24"/>
    </w:rPr>
  </w:style>
  <w:style w:type="paragraph" w:customStyle="1" w:styleId="NormaltextCharCharCharCharChar">
    <w:name w:val="Normal text Char Char Char Char Char"/>
    <w:basedOn w:val="BodyText"/>
    <w:link w:val="NormaltextCharCharCharCharCharChar"/>
    <w:rsid w:val="004A608B"/>
  </w:style>
  <w:style w:type="character" w:customStyle="1" w:styleId="NormaltextCharCharCharCharCharChar">
    <w:name w:val="Normal text Char Char Char Char Char Char"/>
    <w:link w:val="NormaltextCharCharCharCharChar"/>
    <w:rsid w:val="004A608B"/>
    <w:rPr>
      <w:sz w:val="24"/>
    </w:rPr>
  </w:style>
  <w:style w:type="paragraph" w:styleId="ListParagraph">
    <w:name w:val="List Paragraph"/>
    <w:basedOn w:val="Normal"/>
    <w:uiPriority w:val="34"/>
    <w:qFormat/>
    <w:rsid w:val="004A608B"/>
    <w:pPr>
      <w:ind w:left="720"/>
      <w:contextualSpacing/>
    </w:pPr>
  </w:style>
  <w:style w:type="paragraph" w:styleId="EndnoteText">
    <w:name w:val="endnote text"/>
    <w:basedOn w:val="Normal"/>
    <w:link w:val="EndnoteTextChar"/>
    <w:uiPriority w:val="99"/>
    <w:semiHidden/>
    <w:unhideWhenUsed/>
    <w:rsid w:val="008B623F"/>
    <w:rPr>
      <w:sz w:val="20"/>
    </w:rPr>
  </w:style>
  <w:style w:type="character" w:customStyle="1" w:styleId="EndnoteTextChar">
    <w:name w:val="Endnote Text Char"/>
    <w:basedOn w:val="DefaultParagraphFont"/>
    <w:link w:val="EndnoteText"/>
    <w:uiPriority w:val="99"/>
    <w:semiHidden/>
    <w:rsid w:val="008B623F"/>
  </w:style>
  <w:style w:type="character" w:styleId="EndnoteReference">
    <w:name w:val="endnote reference"/>
    <w:uiPriority w:val="99"/>
    <w:semiHidden/>
    <w:unhideWhenUsed/>
    <w:rsid w:val="008B623F"/>
    <w:rPr>
      <w:vertAlign w:val="superscript"/>
    </w:rPr>
  </w:style>
  <w:style w:type="paragraph" w:customStyle="1" w:styleId="ASref">
    <w:name w:val="AS ref"/>
    <w:basedOn w:val="Normal"/>
    <w:next w:val="Normal"/>
    <w:rsid w:val="00DF2F82"/>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DF2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0BF"/>
    <w:rPr>
      <w:sz w:val="24"/>
    </w:rPr>
  </w:style>
  <w:style w:type="paragraph" w:styleId="Heading1">
    <w:name w:val="heading 1"/>
    <w:basedOn w:val="Normal"/>
    <w:next w:val="Normal"/>
    <w:qFormat/>
    <w:rsid w:val="00B9435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943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9435D"/>
    <w:pPr>
      <w:keepNext/>
      <w:spacing w:before="240" w:after="60"/>
      <w:outlineLvl w:val="2"/>
    </w:pPr>
    <w:rPr>
      <w:rFonts w:ascii="Arial" w:hAnsi="Arial" w:cs="Arial"/>
      <w:b/>
      <w:bCs/>
      <w:sz w:val="26"/>
      <w:szCs w:val="26"/>
    </w:rPr>
  </w:style>
  <w:style w:type="paragraph" w:styleId="Heading4">
    <w:name w:val="heading 4"/>
    <w:basedOn w:val="Normal"/>
    <w:next w:val="Normal"/>
    <w:qFormat/>
    <w:rsid w:val="006C673E"/>
    <w:pPr>
      <w:keepNext/>
      <w:spacing w:before="240" w:after="60"/>
      <w:outlineLvl w:val="3"/>
    </w:pPr>
    <w:rPr>
      <w:b/>
      <w:bCs/>
      <w:sz w:val="28"/>
      <w:szCs w:val="28"/>
    </w:rPr>
  </w:style>
  <w:style w:type="paragraph" w:styleId="Heading5">
    <w:name w:val="heading 5"/>
    <w:basedOn w:val="Normal"/>
    <w:next w:val="Normal"/>
    <w:qFormat/>
    <w:rsid w:val="006C673E"/>
    <w:pPr>
      <w:keepNext/>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B9435D"/>
    <w:rPr>
      <w:b/>
      <w:sz w:val="26"/>
    </w:rPr>
  </w:style>
  <w:style w:type="paragraph" w:customStyle="1" w:styleId="SubHeading">
    <w:name w:val="Sub Heading"/>
    <w:basedOn w:val="Normal"/>
    <w:rsid w:val="00B9435D"/>
    <w:rPr>
      <w:b/>
    </w:rPr>
  </w:style>
  <w:style w:type="paragraph" w:styleId="BodyText">
    <w:name w:val="Body Text"/>
    <w:basedOn w:val="Normal"/>
    <w:autoRedefine/>
    <w:rsid w:val="0041445E"/>
    <w:pPr>
      <w:numPr>
        <w:numId w:val="4"/>
      </w:numPr>
      <w:tabs>
        <w:tab w:val="clear" w:pos="360"/>
        <w:tab w:val="num" w:pos="567"/>
      </w:tabs>
      <w:spacing w:after="240"/>
      <w:ind w:left="567" w:hanging="567"/>
      <w:jc w:val="both"/>
    </w:pPr>
  </w:style>
  <w:style w:type="paragraph" w:styleId="FootnoteText">
    <w:name w:val="footnote text"/>
    <w:basedOn w:val="Normal"/>
    <w:semiHidden/>
    <w:rsid w:val="006C673E"/>
    <w:rPr>
      <w:rFonts w:ascii="Arial" w:hAnsi="Arial"/>
      <w:sz w:val="20"/>
    </w:rPr>
  </w:style>
  <w:style w:type="character" w:styleId="FootnoteReference">
    <w:name w:val="footnote reference"/>
    <w:semiHidden/>
    <w:rsid w:val="006C673E"/>
    <w:rPr>
      <w:vertAlign w:val="superscript"/>
    </w:rPr>
  </w:style>
  <w:style w:type="character" w:customStyle="1" w:styleId="StyleBodyText13ptCharCharChar">
    <w:name w:val="Style Body Text + 13 pt Char Char Char"/>
    <w:rsid w:val="006C673E"/>
    <w:rPr>
      <w:sz w:val="24"/>
      <w:lang w:val="en-AU" w:eastAsia="en-AU" w:bidi="ar-SA"/>
    </w:rPr>
  </w:style>
  <w:style w:type="paragraph" w:customStyle="1" w:styleId="Indent1">
    <w:name w:val="Indent1"/>
    <w:basedOn w:val="Normal"/>
    <w:rsid w:val="006C673E"/>
    <w:pPr>
      <w:numPr>
        <w:numId w:val="1"/>
      </w:numPr>
      <w:spacing w:before="240" w:after="240" w:line="360" w:lineRule="auto"/>
    </w:pPr>
    <w:rPr>
      <w:sz w:val="26"/>
    </w:rPr>
  </w:style>
  <w:style w:type="paragraph" w:styleId="BalloonText">
    <w:name w:val="Balloon Text"/>
    <w:basedOn w:val="Normal"/>
    <w:semiHidden/>
    <w:rsid w:val="00D41CE5"/>
    <w:rPr>
      <w:rFonts w:ascii="Tahoma" w:hAnsi="Tahoma" w:cs="Tahoma"/>
      <w:sz w:val="16"/>
      <w:szCs w:val="16"/>
    </w:rPr>
  </w:style>
  <w:style w:type="paragraph" w:styleId="Header">
    <w:name w:val="header"/>
    <w:basedOn w:val="Normal"/>
    <w:rsid w:val="00A50D0B"/>
    <w:pPr>
      <w:tabs>
        <w:tab w:val="center" w:pos="4153"/>
        <w:tab w:val="right" w:pos="8306"/>
      </w:tabs>
    </w:pPr>
  </w:style>
  <w:style w:type="paragraph" w:styleId="Footer">
    <w:name w:val="footer"/>
    <w:basedOn w:val="Normal"/>
    <w:link w:val="FooterChar"/>
    <w:uiPriority w:val="99"/>
    <w:rsid w:val="00A50D0B"/>
    <w:pPr>
      <w:tabs>
        <w:tab w:val="center" w:pos="4153"/>
        <w:tab w:val="right" w:pos="8306"/>
      </w:tabs>
    </w:pPr>
  </w:style>
  <w:style w:type="character" w:styleId="PageNumber">
    <w:name w:val="page number"/>
    <w:basedOn w:val="DefaultParagraphFont"/>
    <w:rsid w:val="00C00ACC"/>
  </w:style>
  <w:style w:type="paragraph" w:customStyle="1" w:styleId="bullet">
    <w:name w:val="bullet"/>
    <w:basedOn w:val="BodyText"/>
    <w:rsid w:val="00EA1A8B"/>
    <w:pPr>
      <w:numPr>
        <w:numId w:val="2"/>
      </w:numPr>
    </w:pPr>
  </w:style>
  <w:style w:type="paragraph" w:customStyle="1" w:styleId="Default">
    <w:name w:val="Default"/>
    <w:link w:val="DefaultChar"/>
    <w:rsid w:val="00CB0696"/>
    <w:pPr>
      <w:autoSpaceDE w:val="0"/>
      <w:autoSpaceDN w:val="0"/>
      <w:adjustRightInd w:val="0"/>
    </w:pPr>
    <w:rPr>
      <w:rFonts w:eastAsia="MS Mincho"/>
      <w:color w:val="000000"/>
      <w:sz w:val="24"/>
      <w:szCs w:val="24"/>
      <w:lang w:eastAsia="ja-JP"/>
    </w:rPr>
  </w:style>
  <w:style w:type="character" w:styleId="CommentReference">
    <w:name w:val="annotation reference"/>
    <w:semiHidden/>
    <w:rsid w:val="00886EF9"/>
    <w:rPr>
      <w:sz w:val="16"/>
      <w:szCs w:val="16"/>
    </w:rPr>
  </w:style>
  <w:style w:type="paragraph" w:styleId="CommentText">
    <w:name w:val="annotation text"/>
    <w:basedOn w:val="Normal"/>
    <w:semiHidden/>
    <w:rsid w:val="00886EF9"/>
    <w:rPr>
      <w:sz w:val="20"/>
    </w:rPr>
  </w:style>
  <w:style w:type="paragraph" w:styleId="CommentSubject">
    <w:name w:val="annotation subject"/>
    <w:basedOn w:val="CommentText"/>
    <w:next w:val="CommentText"/>
    <w:semiHidden/>
    <w:rsid w:val="00886EF9"/>
    <w:rPr>
      <w:b/>
      <w:bCs/>
    </w:rPr>
  </w:style>
  <w:style w:type="character" w:customStyle="1" w:styleId="DefaultChar">
    <w:name w:val="Default Char"/>
    <w:link w:val="Default"/>
    <w:rsid w:val="001F2D47"/>
    <w:rPr>
      <w:rFonts w:eastAsia="MS Mincho"/>
      <w:color w:val="000000"/>
      <w:sz w:val="24"/>
      <w:szCs w:val="24"/>
      <w:lang w:val="en-AU" w:eastAsia="ja-JP" w:bidi="ar-SA"/>
    </w:rPr>
  </w:style>
  <w:style w:type="paragraph" w:styleId="DocumentMap">
    <w:name w:val="Document Map"/>
    <w:basedOn w:val="Normal"/>
    <w:semiHidden/>
    <w:rsid w:val="00425700"/>
    <w:pPr>
      <w:shd w:val="clear" w:color="auto" w:fill="000080"/>
    </w:pPr>
    <w:rPr>
      <w:rFonts w:ascii="Tahoma" w:hAnsi="Tahoma" w:cs="Tahoma"/>
    </w:rPr>
  </w:style>
  <w:style w:type="paragraph" w:styleId="Title">
    <w:name w:val="Title"/>
    <w:basedOn w:val="Normal"/>
    <w:qFormat/>
    <w:rsid w:val="005970DA"/>
    <w:pPr>
      <w:spacing w:before="240" w:after="60"/>
      <w:jc w:val="center"/>
      <w:outlineLvl w:val="0"/>
    </w:pPr>
    <w:rPr>
      <w:rFonts w:ascii="Arial" w:hAnsi="Arial" w:cs="Arial"/>
      <w:b/>
      <w:bCs/>
      <w:kern w:val="28"/>
      <w:sz w:val="32"/>
      <w:szCs w:val="32"/>
    </w:rPr>
  </w:style>
  <w:style w:type="paragraph" w:customStyle="1" w:styleId="ActTitle">
    <w:name w:val="Act Title"/>
    <w:basedOn w:val="Normal"/>
    <w:next w:val="IntroTo"/>
    <w:rsid w:val="005970DA"/>
    <w:pPr>
      <w:pBdr>
        <w:bottom w:val="single" w:sz="4" w:space="3" w:color="auto"/>
      </w:pBdr>
      <w:spacing w:before="480" w:after="240"/>
    </w:pPr>
    <w:rPr>
      <w:rFonts w:ascii="Arial" w:hAnsi="Arial"/>
      <w:i/>
      <w:iCs/>
      <w:sz w:val="28"/>
    </w:rPr>
  </w:style>
  <w:style w:type="paragraph" w:customStyle="1" w:styleId="IntroTo">
    <w:name w:val="IntroTo:"/>
    <w:basedOn w:val="Normal"/>
    <w:rsid w:val="005970DA"/>
    <w:pPr>
      <w:ind w:left="720" w:hanging="720"/>
    </w:pPr>
    <w:rPr>
      <w:lang w:eastAsia="en-US"/>
    </w:rPr>
  </w:style>
  <w:style w:type="paragraph" w:customStyle="1" w:styleId="IH">
    <w:name w:val="IH"/>
    <w:aliases w:val="Interpretation heading"/>
    <w:basedOn w:val="Normal"/>
    <w:next w:val="Normal"/>
    <w:rsid w:val="005970DA"/>
    <w:pPr>
      <w:keepNext/>
      <w:spacing w:before="480"/>
      <w:ind w:left="964" w:hanging="964"/>
    </w:pPr>
    <w:rPr>
      <w:rFonts w:ascii="Arial" w:hAnsi="Arial"/>
      <w:b/>
      <w:szCs w:val="24"/>
      <w:lang w:eastAsia="en-US"/>
    </w:rPr>
  </w:style>
  <w:style w:type="paragraph" w:customStyle="1" w:styleId="IP">
    <w:name w:val="IP"/>
    <w:aliases w:val="Interpretation paragraph"/>
    <w:basedOn w:val="Normal"/>
    <w:next w:val="Normal"/>
    <w:rsid w:val="005970DA"/>
    <w:pPr>
      <w:keepNext/>
      <w:tabs>
        <w:tab w:val="right" w:pos="794"/>
      </w:tabs>
      <w:spacing w:before="120" w:line="260" w:lineRule="exact"/>
      <w:ind w:left="964" w:hanging="964"/>
      <w:jc w:val="both"/>
    </w:pPr>
    <w:rPr>
      <w:szCs w:val="24"/>
      <w:lang w:eastAsia="en-US"/>
    </w:rPr>
  </w:style>
  <w:style w:type="paragraph" w:customStyle="1" w:styleId="AS">
    <w:name w:val="AS"/>
    <w:aliases w:val="Schedule title Amendment"/>
    <w:basedOn w:val="Normal"/>
    <w:next w:val="Normal"/>
    <w:rsid w:val="005970DA"/>
    <w:pPr>
      <w:keepNext/>
      <w:autoSpaceDE w:val="0"/>
      <w:autoSpaceDN w:val="0"/>
      <w:spacing w:before="480"/>
      <w:ind w:left="2410" w:hanging="2410"/>
    </w:pPr>
    <w:rPr>
      <w:rFonts w:ascii="Arial" w:hAnsi="Arial" w:cs="Arial"/>
      <w:b/>
      <w:bCs/>
      <w:sz w:val="32"/>
      <w:szCs w:val="32"/>
    </w:rPr>
  </w:style>
  <w:style w:type="character" w:customStyle="1" w:styleId="CharSchNo">
    <w:name w:val="CharSchNo"/>
    <w:basedOn w:val="DefaultParagraphFont"/>
    <w:rsid w:val="005970DA"/>
  </w:style>
  <w:style w:type="paragraph" w:styleId="Revision">
    <w:name w:val="Revision"/>
    <w:hidden/>
    <w:uiPriority w:val="99"/>
    <w:semiHidden/>
    <w:rsid w:val="00C52791"/>
    <w:rPr>
      <w:sz w:val="24"/>
    </w:rPr>
  </w:style>
  <w:style w:type="character" w:customStyle="1" w:styleId="FooterChar">
    <w:name w:val="Footer Char"/>
    <w:link w:val="Footer"/>
    <w:uiPriority w:val="99"/>
    <w:rsid w:val="00F776B1"/>
    <w:rPr>
      <w:sz w:val="24"/>
    </w:rPr>
  </w:style>
  <w:style w:type="paragraph" w:customStyle="1" w:styleId="NormaltextCharCharCharCharChar">
    <w:name w:val="Normal text Char Char Char Char Char"/>
    <w:basedOn w:val="BodyText"/>
    <w:link w:val="NormaltextCharCharCharCharCharChar"/>
    <w:rsid w:val="004A608B"/>
  </w:style>
  <w:style w:type="character" w:customStyle="1" w:styleId="NormaltextCharCharCharCharCharChar">
    <w:name w:val="Normal text Char Char Char Char Char Char"/>
    <w:link w:val="NormaltextCharCharCharCharChar"/>
    <w:rsid w:val="004A608B"/>
    <w:rPr>
      <w:sz w:val="24"/>
    </w:rPr>
  </w:style>
  <w:style w:type="paragraph" w:styleId="ListParagraph">
    <w:name w:val="List Paragraph"/>
    <w:basedOn w:val="Normal"/>
    <w:uiPriority w:val="34"/>
    <w:qFormat/>
    <w:rsid w:val="004A608B"/>
    <w:pPr>
      <w:ind w:left="720"/>
      <w:contextualSpacing/>
    </w:pPr>
  </w:style>
  <w:style w:type="paragraph" w:styleId="EndnoteText">
    <w:name w:val="endnote text"/>
    <w:basedOn w:val="Normal"/>
    <w:link w:val="EndnoteTextChar"/>
    <w:uiPriority w:val="99"/>
    <w:semiHidden/>
    <w:unhideWhenUsed/>
    <w:rsid w:val="008B623F"/>
    <w:rPr>
      <w:sz w:val="20"/>
    </w:rPr>
  </w:style>
  <w:style w:type="character" w:customStyle="1" w:styleId="EndnoteTextChar">
    <w:name w:val="Endnote Text Char"/>
    <w:basedOn w:val="DefaultParagraphFont"/>
    <w:link w:val="EndnoteText"/>
    <w:uiPriority w:val="99"/>
    <w:semiHidden/>
    <w:rsid w:val="008B623F"/>
  </w:style>
  <w:style w:type="character" w:styleId="EndnoteReference">
    <w:name w:val="endnote reference"/>
    <w:uiPriority w:val="99"/>
    <w:semiHidden/>
    <w:unhideWhenUsed/>
    <w:rsid w:val="008B623F"/>
    <w:rPr>
      <w:vertAlign w:val="superscript"/>
    </w:rPr>
  </w:style>
  <w:style w:type="paragraph" w:customStyle="1" w:styleId="ASref">
    <w:name w:val="AS ref"/>
    <w:basedOn w:val="Normal"/>
    <w:next w:val="Normal"/>
    <w:rsid w:val="00DF2F82"/>
    <w:pPr>
      <w:keepNext/>
      <w:autoSpaceDE w:val="0"/>
      <w:autoSpaceDN w:val="0"/>
      <w:spacing w:before="60" w:line="200" w:lineRule="exact"/>
      <w:ind w:left="2410"/>
    </w:pPr>
    <w:rPr>
      <w:rFonts w:ascii="Arial" w:hAnsi="Arial" w:cs="Arial"/>
      <w:sz w:val="18"/>
      <w:szCs w:val="18"/>
    </w:rPr>
  </w:style>
  <w:style w:type="character" w:customStyle="1" w:styleId="CharSchText">
    <w:name w:val="CharSchText"/>
    <w:basedOn w:val="DefaultParagraphFont"/>
    <w:rsid w:val="00DF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0700-27CA-486A-BEFD-92E39616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3946</Words>
  <Characters>21449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2014-12-03T20:41:00Z</dcterms:created>
  <dcterms:modified xsi:type="dcterms:W3CDTF">2014-12-03T20:41:00Z</dcterms:modified>
</cp:coreProperties>
</file>