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51" w:rsidRPr="00171117" w:rsidRDefault="00F67451" w:rsidP="00F67451">
      <w:pPr>
        <w:rPr>
          <w:color w:val="000000"/>
        </w:rPr>
      </w:pPr>
      <w:bookmarkStart w:id="0" w:name="_Toc168113228"/>
      <w:r w:rsidRPr="00171117">
        <w:rPr>
          <w:noProof/>
          <w:color w:val="000000"/>
        </w:rPr>
        <w:drawing>
          <wp:inline distT="0" distB="0" distL="0" distR="0" wp14:anchorId="2EF5667A" wp14:editId="17691975">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67451" w:rsidRPr="00EC746D" w:rsidRDefault="00F67451" w:rsidP="00F67451">
      <w:pPr>
        <w:spacing w:before="480"/>
        <w:rPr>
          <w:rFonts w:ascii="Arial" w:hAnsi="Arial" w:cs="Arial"/>
          <w:b/>
          <w:bCs/>
          <w:color w:val="000000"/>
          <w:sz w:val="40"/>
          <w:szCs w:val="40"/>
          <w:lang w:eastAsia="en-US"/>
        </w:rPr>
      </w:pPr>
      <w:r>
        <w:rPr>
          <w:rFonts w:ascii="Arial" w:hAnsi="Arial" w:cs="Arial"/>
          <w:b/>
          <w:bCs/>
          <w:color w:val="000000"/>
          <w:sz w:val="40"/>
          <w:szCs w:val="40"/>
          <w:lang w:eastAsia="en-US"/>
        </w:rPr>
        <w:t xml:space="preserve">Life </w:t>
      </w:r>
      <w:r w:rsidRPr="00EC746D">
        <w:rPr>
          <w:rFonts w:ascii="Arial" w:hAnsi="Arial" w:cs="Arial"/>
          <w:b/>
          <w:bCs/>
          <w:color w:val="000000"/>
          <w:sz w:val="40"/>
          <w:szCs w:val="40"/>
          <w:lang w:eastAsia="en-US"/>
        </w:rPr>
        <w:t xml:space="preserve">Insurance (prudential standard) determination No. </w:t>
      </w:r>
      <w:r w:rsidR="00832FD7">
        <w:rPr>
          <w:rFonts w:ascii="Arial" w:hAnsi="Arial" w:cs="Arial"/>
          <w:b/>
          <w:bCs/>
          <w:color w:val="000000"/>
          <w:sz w:val="40"/>
          <w:szCs w:val="40"/>
          <w:lang w:eastAsia="en-US"/>
        </w:rPr>
        <w:t>2</w:t>
      </w:r>
      <w:r w:rsidRPr="00EC746D">
        <w:rPr>
          <w:rFonts w:ascii="Arial" w:hAnsi="Arial" w:cs="Arial"/>
          <w:b/>
          <w:bCs/>
          <w:color w:val="000000"/>
          <w:sz w:val="40"/>
          <w:szCs w:val="40"/>
          <w:lang w:eastAsia="en-US"/>
        </w:rPr>
        <w:t xml:space="preserve"> of </w:t>
      </w:r>
      <w:r>
        <w:rPr>
          <w:rFonts w:ascii="Arial" w:hAnsi="Arial" w:cs="Arial"/>
          <w:b/>
          <w:bCs/>
          <w:color w:val="000000"/>
          <w:sz w:val="40"/>
          <w:szCs w:val="40"/>
          <w:lang w:eastAsia="en-US"/>
        </w:rPr>
        <w:t>20</w:t>
      </w:r>
      <w:r w:rsidR="004850A6">
        <w:rPr>
          <w:rFonts w:ascii="Arial" w:hAnsi="Arial" w:cs="Arial"/>
          <w:b/>
          <w:bCs/>
          <w:color w:val="000000"/>
          <w:sz w:val="40"/>
          <w:szCs w:val="40"/>
          <w:lang w:eastAsia="en-US"/>
        </w:rPr>
        <w:t>14</w:t>
      </w:r>
      <w:r w:rsidRPr="00EC746D">
        <w:rPr>
          <w:rFonts w:ascii="Arial" w:hAnsi="Arial" w:cs="Arial"/>
          <w:b/>
          <w:bCs/>
          <w:color w:val="000000"/>
          <w:sz w:val="40"/>
          <w:szCs w:val="40"/>
          <w:lang w:eastAsia="en-US"/>
        </w:rPr>
        <w:t xml:space="preserve"> </w:t>
      </w:r>
    </w:p>
    <w:p w:rsidR="00F67451" w:rsidRPr="00EC746D" w:rsidRDefault="00F67451" w:rsidP="00F67451">
      <w:pPr>
        <w:spacing w:before="480"/>
        <w:rPr>
          <w:rFonts w:ascii="Arial" w:hAnsi="Arial" w:cs="Arial"/>
          <w:b/>
          <w:bCs/>
          <w:color w:val="000000"/>
          <w:sz w:val="28"/>
          <w:szCs w:val="28"/>
          <w:lang w:eastAsia="en-US"/>
        </w:rPr>
      </w:pPr>
      <w:r w:rsidRPr="00EC746D">
        <w:rPr>
          <w:rFonts w:ascii="Arial" w:hAnsi="Arial" w:cs="Arial"/>
          <w:b/>
          <w:bCs/>
          <w:color w:val="000000"/>
          <w:sz w:val="28"/>
          <w:szCs w:val="28"/>
          <w:lang w:eastAsia="en-US"/>
        </w:rPr>
        <w:t xml:space="preserve">Prudential Standard </w:t>
      </w:r>
      <w:r>
        <w:rPr>
          <w:rFonts w:ascii="Arial" w:hAnsi="Arial" w:cs="Arial"/>
          <w:b/>
          <w:bCs/>
          <w:color w:val="000000"/>
          <w:sz w:val="28"/>
          <w:szCs w:val="28"/>
          <w:lang w:eastAsia="en-US"/>
        </w:rPr>
        <w:t>L</w:t>
      </w:r>
      <w:r w:rsidRPr="00EC746D">
        <w:rPr>
          <w:rFonts w:ascii="Arial" w:hAnsi="Arial" w:cs="Arial"/>
          <w:b/>
          <w:bCs/>
          <w:color w:val="000000"/>
          <w:sz w:val="28"/>
          <w:szCs w:val="28"/>
          <w:lang w:eastAsia="en-US"/>
        </w:rPr>
        <w:t xml:space="preserve">PS </w:t>
      </w:r>
      <w:r w:rsidR="004850A6">
        <w:rPr>
          <w:rFonts w:ascii="Arial" w:hAnsi="Arial" w:cs="Arial"/>
          <w:b/>
          <w:bCs/>
          <w:color w:val="000000"/>
          <w:sz w:val="28"/>
          <w:szCs w:val="28"/>
          <w:lang w:eastAsia="en-US"/>
        </w:rPr>
        <w:t>320</w:t>
      </w:r>
      <w:r w:rsidRPr="00EC746D">
        <w:rPr>
          <w:rFonts w:ascii="Arial" w:hAnsi="Arial" w:cs="Arial"/>
          <w:b/>
          <w:bCs/>
          <w:color w:val="000000"/>
          <w:sz w:val="28"/>
          <w:szCs w:val="28"/>
          <w:lang w:eastAsia="en-US"/>
        </w:rPr>
        <w:t xml:space="preserve"> </w:t>
      </w:r>
      <w:r w:rsidR="004850A6">
        <w:rPr>
          <w:rFonts w:ascii="Arial" w:hAnsi="Arial" w:cs="Arial"/>
          <w:b/>
          <w:bCs/>
          <w:color w:val="000000"/>
          <w:sz w:val="28"/>
          <w:szCs w:val="28"/>
          <w:lang w:eastAsia="en-US"/>
        </w:rPr>
        <w:t>Actuarial and Related Matters</w:t>
      </w:r>
    </w:p>
    <w:p w:rsidR="00F67451" w:rsidRPr="00171117" w:rsidRDefault="00F67451" w:rsidP="00F67451">
      <w:pPr>
        <w:pStyle w:val="ActTitle"/>
        <w:rPr>
          <w:color w:val="000000"/>
        </w:rPr>
      </w:pPr>
      <w:r>
        <w:rPr>
          <w:color w:val="000000"/>
        </w:rPr>
        <w:t>Life Insurance Act 1995</w:t>
      </w:r>
    </w:p>
    <w:p w:rsidR="00F67451" w:rsidRPr="00171117" w:rsidRDefault="00F67451" w:rsidP="00F67451">
      <w:pPr>
        <w:pStyle w:val="IntroTo"/>
        <w:rPr>
          <w:color w:val="000000"/>
        </w:rPr>
      </w:pPr>
    </w:p>
    <w:p w:rsidR="00F67451" w:rsidRPr="00171117" w:rsidRDefault="00F67451" w:rsidP="00F67451">
      <w:pPr>
        <w:pStyle w:val="IntroTo"/>
        <w:ind w:left="0" w:firstLine="0"/>
        <w:jc w:val="both"/>
        <w:rPr>
          <w:szCs w:val="24"/>
        </w:rPr>
      </w:pPr>
      <w:r w:rsidRPr="00171117">
        <w:rPr>
          <w:szCs w:val="24"/>
        </w:rPr>
        <w:t xml:space="preserve">I, </w:t>
      </w:r>
      <w:r>
        <w:rPr>
          <w:szCs w:val="24"/>
        </w:rPr>
        <w:t>Wayne Byres</w:t>
      </w:r>
      <w:r w:rsidRPr="00171117">
        <w:rPr>
          <w:szCs w:val="24"/>
        </w:rPr>
        <w:t>, delegate of APRA:</w:t>
      </w:r>
    </w:p>
    <w:p w:rsidR="00F67451" w:rsidRPr="00171117" w:rsidRDefault="00F67451" w:rsidP="00F67451">
      <w:pPr>
        <w:pStyle w:val="IntroTo"/>
        <w:ind w:left="0" w:firstLine="0"/>
        <w:jc w:val="both"/>
        <w:rPr>
          <w:szCs w:val="24"/>
        </w:rPr>
      </w:pPr>
    </w:p>
    <w:p w:rsidR="00F67451" w:rsidRPr="00171117" w:rsidRDefault="00F67451" w:rsidP="00F67451">
      <w:pPr>
        <w:pStyle w:val="IntroTo"/>
        <w:numPr>
          <w:ilvl w:val="0"/>
          <w:numId w:val="49"/>
        </w:numPr>
        <w:ind w:left="567" w:hanging="567"/>
        <w:jc w:val="both"/>
        <w:rPr>
          <w:color w:val="000000"/>
          <w:szCs w:val="24"/>
        </w:rPr>
      </w:pPr>
      <w:r w:rsidRPr="00171117">
        <w:rPr>
          <w:color w:val="000000"/>
          <w:szCs w:val="24"/>
        </w:rPr>
        <w:t xml:space="preserve">under subsection </w:t>
      </w:r>
      <w:r>
        <w:rPr>
          <w:color w:val="000000"/>
          <w:szCs w:val="24"/>
        </w:rPr>
        <w:t>230A(5</w:t>
      </w:r>
      <w:r w:rsidRPr="00171117">
        <w:rPr>
          <w:color w:val="000000"/>
          <w:szCs w:val="24"/>
        </w:rPr>
        <w:t xml:space="preserve">) of the </w:t>
      </w:r>
      <w:r>
        <w:rPr>
          <w:i/>
          <w:color w:val="000000"/>
          <w:szCs w:val="24"/>
        </w:rPr>
        <w:t xml:space="preserve">Life </w:t>
      </w:r>
      <w:r w:rsidRPr="00171117">
        <w:rPr>
          <w:i/>
          <w:color w:val="000000"/>
          <w:szCs w:val="24"/>
        </w:rPr>
        <w:t>Insurance Act 19</w:t>
      </w:r>
      <w:r>
        <w:rPr>
          <w:i/>
          <w:color w:val="000000"/>
          <w:szCs w:val="24"/>
        </w:rPr>
        <w:t>95</w:t>
      </w:r>
      <w:r w:rsidRPr="00171117">
        <w:rPr>
          <w:color w:val="000000"/>
          <w:szCs w:val="24"/>
        </w:rPr>
        <w:t xml:space="preserve"> (the Act) REVOKE </w:t>
      </w:r>
      <w:r>
        <w:rPr>
          <w:color w:val="000000"/>
          <w:szCs w:val="24"/>
        </w:rPr>
        <w:t xml:space="preserve">Life </w:t>
      </w:r>
      <w:r w:rsidRPr="00171117">
        <w:rPr>
          <w:color w:val="000000"/>
          <w:szCs w:val="24"/>
        </w:rPr>
        <w:t xml:space="preserve">Insurance (prudential standard) determination No. </w:t>
      </w:r>
      <w:r w:rsidR="00D87ECD">
        <w:rPr>
          <w:color w:val="000000"/>
          <w:szCs w:val="24"/>
        </w:rPr>
        <w:t>11</w:t>
      </w:r>
      <w:r w:rsidRPr="00171117">
        <w:rPr>
          <w:color w:val="000000"/>
          <w:szCs w:val="24"/>
        </w:rPr>
        <w:t xml:space="preserve"> of 20</w:t>
      </w:r>
      <w:r w:rsidR="00D87ECD">
        <w:rPr>
          <w:color w:val="000000"/>
          <w:szCs w:val="24"/>
        </w:rPr>
        <w:t>12</w:t>
      </w:r>
      <w:r w:rsidRPr="00171117">
        <w:rPr>
          <w:color w:val="000000"/>
          <w:szCs w:val="24"/>
        </w:rPr>
        <w:t xml:space="preserve">, including </w:t>
      </w:r>
      <w:r w:rsidRPr="00171117">
        <w:rPr>
          <w:i/>
          <w:color w:val="000000"/>
          <w:szCs w:val="24"/>
        </w:rPr>
        <w:t xml:space="preserve">Prudential Standard </w:t>
      </w:r>
      <w:r>
        <w:rPr>
          <w:i/>
          <w:color w:val="000000"/>
          <w:szCs w:val="24"/>
        </w:rPr>
        <w:t>L</w:t>
      </w:r>
      <w:r w:rsidRPr="00171117">
        <w:rPr>
          <w:i/>
          <w:color w:val="000000"/>
          <w:szCs w:val="24"/>
        </w:rPr>
        <w:t xml:space="preserve">PS </w:t>
      </w:r>
      <w:r w:rsidR="00D87ECD">
        <w:rPr>
          <w:i/>
          <w:color w:val="000000"/>
          <w:szCs w:val="24"/>
        </w:rPr>
        <w:t>320</w:t>
      </w:r>
      <w:r w:rsidRPr="00171117">
        <w:rPr>
          <w:i/>
          <w:color w:val="000000"/>
          <w:szCs w:val="24"/>
        </w:rPr>
        <w:t xml:space="preserve"> </w:t>
      </w:r>
      <w:r w:rsidR="00D87ECD">
        <w:rPr>
          <w:i/>
          <w:color w:val="000000"/>
          <w:szCs w:val="24"/>
        </w:rPr>
        <w:t>Actuarial and Related Matters</w:t>
      </w:r>
      <w:r w:rsidRPr="00171117">
        <w:rPr>
          <w:color w:val="000000"/>
          <w:szCs w:val="24"/>
        </w:rPr>
        <w:t>, made under that Determination; and</w:t>
      </w:r>
    </w:p>
    <w:p w:rsidR="00F67451" w:rsidRPr="00171117" w:rsidRDefault="00F67451" w:rsidP="00F67451">
      <w:pPr>
        <w:pStyle w:val="IntroTo"/>
        <w:numPr>
          <w:ilvl w:val="0"/>
          <w:numId w:val="49"/>
        </w:numPr>
        <w:spacing w:before="120"/>
        <w:ind w:left="567" w:hanging="567"/>
        <w:jc w:val="both"/>
        <w:rPr>
          <w:color w:val="000000"/>
          <w:szCs w:val="24"/>
        </w:rPr>
      </w:pPr>
      <w:r w:rsidRPr="00171117">
        <w:rPr>
          <w:color w:val="000000"/>
          <w:szCs w:val="24"/>
        </w:rPr>
        <w:t xml:space="preserve">under subsection </w:t>
      </w:r>
      <w:r>
        <w:rPr>
          <w:color w:val="000000"/>
          <w:szCs w:val="24"/>
        </w:rPr>
        <w:t>230A</w:t>
      </w:r>
      <w:r w:rsidRPr="00171117">
        <w:rPr>
          <w:color w:val="000000"/>
          <w:szCs w:val="24"/>
        </w:rPr>
        <w:t>(1) of the</w:t>
      </w:r>
      <w:r>
        <w:rPr>
          <w:color w:val="000000"/>
          <w:szCs w:val="24"/>
        </w:rPr>
        <w:t xml:space="preserve"> Act</w:t>
      </w:r>
      <w:r w:rsidRPr="00171117">
        <w:rPr>
          <w:color w:val="000000"/>
          <w:szCs w:val="24"/>
        </w:rPr>
        <w:t xml:space="preserve"> DETERMINE </w:t>
      </w:r>
      <w:r w:rsidRPr="00171117">
        <w:rPr>
          <w:i/>
          <w:color w:val="000000"/>
          <w:szCs w:val="24"/>
        </w:rPr>
        <w:t xml:space="preserve">Prudential Standard </w:t>
      </w:r>
      <w:r>
        <w:rPr>
          <w:i/>
          <w:color w:val="000000"/>
          <w:szCs w:val="24"/>
        </w:rPr>
        <w:t>L</w:t>
      </w:r>
      <w:r w:rsidRPr="00171117">
        <w:rPr>
          <w:i/>
          <w:color w:val="000000"/>
          <w:szCs w:val="24"/>
        </w:rPr>
        <w:t xml:space="preserve">PS </w:t>
      </w:r>
      <w:r w:rsidR="00D87ECD">
        <w:rPr>
          <w:i/>
          <w:color w:val="000000"/>
          <w:szCs w:val="24"/>
        </w:rPr>
        <w:t>320</w:t>
      </w:r>
      <w:r w:rsidRPr="00171117">
        <w:rPr>
          <w:i/>
          <w:color w:val="000000"/>
          <w:szCs w:val="24"/>
        </w:rPr>
        <w:t xml:space="preserve"> </w:t>
      </w:r>
      <w:r w:rsidR="00D87ECD">
        <w:rPr>
          <w:i/>
          <w:color w:val="000000"/>
          <w:szCs w:val="24"/>
        </w:rPr>
        <w:t>Actuarial and Related Matters</w:t>
      </w:r>
      <w:r w:rsidRPr="00171117">
        <w:rPr>
          <w:color w:val="000000"/>
          <w:szCs w:val="24"/>
        </w:rPr>
        <w:t>, in the form set out in</w:t>
      </w:r>
      <w:r>
        <w:rPr>
          <w:color w:val="000000"/>
          <w:szCs w:val="24"/>
        </w:rPr>
        <w:t xml:space="preserve"> the Schedule, which applies to all life companies, including friendly societies.</w:t>
      </w:r>
    </w:p>
    <w:p w:rsidR="00F67451" w:rsidRPr="00171117" w:rsidRDefault="00F67451" w:rsidP="00F67451">
      <w:pPr>
        <w:jc w:val="both"/>
      </w:pPr>
    </w:p>
    <w:p w:rsidR="00F67451" w:rsidRPr="00171117" w:rsidRDefault="00F67451" w:rsidP="00F67451">
      <w:pPr>
        <w:jc w:val="both"/>
      </w:pPr>
      <w:r w:rsidRPr="00171117">
        <w:t xml:space="preserve">This instrument </w:t>
      </w:r>
      <w:r w:rsidR="002B1275">
        <w:t>takes effect on 1 January 2015</w:t>
      </w:r>
      <w:r w:rsidRPr="00171117">
        <w:t>.</w:t>
      </w:r>
    </w:p>
    <w:p w:rsidR="00F67451" w:rsidRPr="00171117" w:rsidRDefault="00F67451" w:rsidP="00F67451">
      <w:pPr>
        <w:jc w:val="both"/>
      </w:pPr>
    </w:p>
    <w:p w:rsidR="00F67451" w:rsidRPr="00171117" w:rsidRDefault="00245A92" w:rsidP="00F67451">
      <w:pPr>
        <w:jc w:val="both"/>
      </w:pPr>
      <w:r>
        <w:t xml:space="preserve">Dated: 3 </w:t>
      </w:r>
      <w:r w:rsidR="00832FD7">
        <w:t>December 2014</w:t>
      </w:r>
    </w:p>
    <w:p w:rsidR="00F67451" w:rsidRPr="00DA248F" w:rsidRDefault="00F67451" w:rsidP="00F67451">
      <w:pPr>
        <w:jc w:val="both"/>
      </w:pPr>
    </w:p>
    <w:p w:rsidR="00F67451" w:rsidRDefault="00245A92" w:rsidP="00F67451">
      <w:pPr>
        <w:jc w:val="both"/>
        <w:rPr>
          <w:color w:val="000000"/>
        </w:rPr>
      </w:pPr>
      <w:r>
        <w:rPr>
          <w:color w:val="000000"/>
        </w:rPr>
        <w:t>[Signed]</w:t>
      </w:r>
      <w:bookmarkStart w:id="1" w:name="_GoBack"/>
      <w:bookmarkEnd w:id="1"/>
    </w:p>
    <w:p w:rsidR="00832FD7" w:rsidRPr="00171117" w:rsidRDefault="00832FD7" w:rsidP="00F67451">
      <w:pPr>
        <w:jc w:val="both"/>
        <w:rPr>
          <w:color w:val="000000"/>
        </w:rPr>
      </w:pPr>
    </w:p>
    <w:p w:rsidR="00F67451" w:rsidRPr="00171117" w:rsidRDefault="00F67451" w:rsidP="00F67451">
      <w:pPr>
        <w:jc w:val="both"/>
      </w:pPr>
    </w:p>
    <w:p w:rsidR="00F67451" w:rsidRPr="00171117" w:rsidRDefault="00F67451" w:rsidP="00F67451">
      <w:pPr>
        <w:jc w:val="both"/>
      </w:pPr>
      <w:r>
        <w:t>Wayne Byres</w:t>
      </w:r>
    </w:p>
    <w:p w:rsidR="00F67451" w:rsidRPr="00171117" w:rsidRDefault="00F67451" w:rsidP="00F67451">
      <w:pPr>
        <w:jc w:val="both"/>
      </w:pPr>
      <w:r>
        <w:t>Chair</w:t>
      </w:r>
    </w:p>
    <w:p w:rsidR="00F67451" w:rsidRPr="00171117" w:rsidRDefault="00F67451" w:rsidP="00F67451">
      <w:pPr>
        <w:jc w:val="both"/>
      </w:pPr>
    </w:p>
    <w:p w:rsidR="00F67451" w:rsidRPr="00171117" w:rsidRDefault="00F67451" w:rsidP="00F67451">
      <w:pPr>
        <w:jc w:val="both"/>
        <w:rPr>
          <w:color w:val="000000"/>
        </w:rPr>
      </w:pPr>
    </w:p>
    <w:p w:rsidR="00F67451" w:rsidRPr="00171117" w:rsidRDefault="00F67451" w:rsidP="00F67451">
      <w:pPr>
        <w:jc w:val="both"/>
        <w:rPr>
          <w:color w:val="000000"/>
        </w:rPr>
      </w:pPr>
    </w:p>
    <w:p w:rsidR="00FB4D5F" w:rsidRDefault="00FB4D5F" w:rsidP="00F67451">
      <w:pPr>
        <w:pStyle w:val="IH"/>
        <w:ind w:left="0" w:firstLine="0"/>
        <w:rPr>
          <w:rFonts w:ascii="Times New Roman" w:hAnsi="Times New Roman"/>
          <w:color w:val="000000"/>
        </w:rPr>
      </w:pPr>
    </w:p>
    <w:p w:rsidR="00FB4D5F" w:rsidRDefault="00FB4D5F" w:rsidP="00F67451">
      <w:pPr>
        <w:pStyle w:val="IH"/>
        <w:ind w:left="0" w:firstLine="0"/>
        <w:rPr>
          <w:rFonts w:ascii="Times New Roman" w:hAnsi="Times New Roman"/>
          <w:color w:val="000000"/>
        </w:rPr>
      </w:pPr>
    </w:p>
    <w:p w:rsidR="00F67451" w:rsidRPr="00171117" w:rsidRDefault="00F67451" w:rsidP="00FB4D5F">
      <w:pPr>
        <w:pStyle w:val="IH"/>
        <w:spacing w:before="0"/>
        <w:ind w:left="0" w:firstLine="0"/>
        <w:rPr>
          <w:rFonts w:ascii="Times New Roman" w:hAnsi="Times New Roman"/>
          <w:color w:val="000000"/>
        </w:rPr>
      </w:pPr>
      <w:r w:rsidRPr="00171117">
        <w:rPr>
          <w:rFonts w:ascii="Times New Roman" w:hAnsi="Times New Roman"/>
          <w:color w:val="000000"/>
        </w:rPr>
        <w:t>Interpretation</w:t>
      </w:r>
    </w:p>
    <w:p w:rsidR="00F67451" w:rsidRPr="00171117" w:rsidRDefault="00F67451" w:rsidP="00F67451">
      <w:pPr>
        <w:pStyle w:val="IP"/>
        <w:rPr>
          <w:color w:val="000000"/>
        </w:rPr>
      </w:pPr>
      <w:r w:rsidRPr="00171117">
        <w:rPr>
          <w:color w:val="000000"/>
        </w:rPr>
        <w:t>In this Determination:</w:t>
      </w:r>
    </w:p>
    <w:p w:rsidR="00F67451" w:rsidRPr="00171117" w:rsidRDefault="00F67451" w:rsidP="00F67451">
      <w:pPr>
        <w:pStyle w:val="IntroTo"/>
        <w:spacing w:before="120"/>
        <w:ind w:left="0" w:firstLine="0"/>
        <w:jc w:val="both"/>
        <w:rPr>
          <w:color w:val="000000"/>
          <w:szCs w:val="24"/>
        </w:rPr>
      </w:pPr>
      <w:r w:rsidRPr="00171117">
        <w:rPr>
          <w:b/>
          <w:i/>
          <w:color w:val="000000"/>
          <w:szCs w:val="24"/>
        </w:rPr>
        <w:t>APRA</w:t>
      </w:r>
      <w:r w:rsidRPr="00171117">
        <w:rPr>
          <w:color w:val="000000"/>
          <w:szCs w:val="24"/>
        </w:rPr>
        <w:t xml:space="preserve"> means the Australian Prudential Regulation Authority.</w:t>
      </w:r>
    </w:p>
    <w:p w:rsidR="00F67451" w:rsidRPr="00171117" w:rsidRDefault="00F67451" w:rsidP="00F67451">
      <w:pPr>
        <w:pStyle w:val="IntroTo"/>
        <w:spacing w:before="120"/>
        <w:ind w:left="0" w:firstLine="0"/>
        <w:jc w:val="both"/>
        <w:rPr>
          <w:color w:val="000000"/>
          <w:szCs w:val="24"/>
        </w:rPr>
      </w:pPr>
      <w:proofErr w:type="gramStart"/>
      <w:r>
        <w:rPr>
          <w:b/>
          <w:i/>
          <w:color w:val="000000"/>
          <w:szCs w:val="24"/>
        </w:rPr>
        <w:t>friendly</w:t>
      </w:r>
      <w:proofErr w:type="gramEnd"/>
      <w:r>
        <w:rPr>
          <w:b/>
          <w:i/>
          <w:color w:val="000000"/>
          <w:szCs w:val="24"/>
        </w:rPr>
        <w:t xml:space="preserve"> society</w:t>
      </w:r>
      <w:r>
        <w:rPr>
          <w:color w:val="000000"/>
          <w:szCs w:val="24"/>
        </w:rPr>
        <w:t xml:space="preserve"> has the meaning given in section 16C of the Act.</w:t>
      </w:r>
    </w:p>
    <w:p w:rsidR="00F67451" w:rsidRPr="00171117" w:rsidRDefault="00F67451" w:rsidP="00F67451">
      <w:pPr>
        <w:pStyle w:val="IntroTo"/>
        <w:spacing w:before="120"/>
        <w:ind w:left="0" w:firstLine="0"/>
        <w:jc w:val="both"/>
        <w:rPr>
          <w:color w:val="000000"/>
          <w:szCs w:val="24"/>
        </w:rPr>
      </w:pPr>
      <w:proofErr w:type="gramStart"/>
      <w:r>
        <w:rPr>
          <w:b/>
          <w:i/>
          <w:color w:val="000000"/>
          <w:szCs w:val="24"/>
        </w:rPr>
        <w:t>life</w:t>
      </w:r>
      <w:proofErr w:type="gramEnd"/>
      <w:r>
        <w:rPr>
          <w:b/>
          <w:i/>
          <w:color w:val="000000"/>
          <w:szCs w:val="24"/>
        </w:rPr>
        <w:t xml:space="preserve"> company </w:t>
      </w:r>
      <w:r>
        <w:rPr>
          <w:color w:val="000000"/>
          <w:szCs w:val="24"/>
        </w:rPr>
        <w:t>has the meaning given in the Dictionary to the Act.</w:t>
      </w:r>
    </w:p>
    <w:p w:rsidR="00F67451" w:rsidRPr="00171117" w:rsidRDefault="00F67451" w:rsidP="00F67451">
      <w:pPr>
        <w:pStyle w:val="AS"/>
        <w:ind w:left="0" w:firstLine="0"/>
        <w:rPr>
          <w:rStyle w:val="CharSchText"/>
          <w:color w:val="000000"/>
        </w:rPr>
      </w:pPr>
      <w:r w:rsidRPr="00171117">
        <w:rPr>
          <w:rStyle w:val="CharSchNo"/>
          <w:color w:val="000000"/>
        </w:rPr>
        <w:t xml:space="preserve">Schedule </w:t>
      </w:r>
    </w:p>
    <w:p w:rsidR="00F67451" w:rsidRPr="00171117" w:rsidRDefault="00F67451" w:rsidP="00F67451">
      <w:pPr>
        <w:pStyle w:val="ASref"/>
        <w:rPr>
          <w:color w:val="000000"/>
        </w:rPr>
      </w:pPr>
    </w:p>
    <w:p w:rsidR="00F67451" w:rsidRDefault="00F67451" w:rsidP="00F67451">
      <w:pPr>
        <w:pStyle w:val="Header"/>
        <w:jc w:val="both"/>
        <w:rPr>
          <w:bCs/>
        </w:rPr>
      </w:pPr>
      <w:r>
        <w:rPr>
          <w:i/>
          <w:color w:val="000000"/>
        </w:rPr>
        <w:t>Prudential Standard L</w:t>
      </w:r>
      <w:r w:rsidRPr="00171117">
        <w:rPr>
          <w:i/>
          <w:color w:val="000000"/>
        </w:rPr>
        <w:t xml:space="preserve">PS </w:t>
      </w:r>
      <w:r w:rsidR="00D87ECD">
        <w:rPr>
          <w:i/>
          <w:color w:val="000000"/>
        </w:rPr>
        <w:t>320</w:t>
      </w:r>
      <w:r w:rsidRPr="00171117">
        <w:rPr>
          <w:color w:val="000000"/>
        </w:rPr>
        <w:t xml:space="preserve"> </w:t>
      </w:r>
      <w:r w:rsidR="00D87ECD">
        <w:rPr>
          <w:i/>
          <w:color w:val="000000"/>
        </w:rPr>
        <w:t>Actuarial and Related Matters</w:t>
      </w:r>
      <w:r w:rsidRPr="00171117">
        <w:rPr>
          <w:i/>
          <w:color w:val="000000"/>
        </w:rPr>
        <w:t xml:space="preserve"> </w:t>
      </w:r>
      <w:proofErr w:type="gramStart"/>
      <w:r w:rsidRPr="00171117">
        <w:rPr>
          <w:bCs/>
        </w:rPr>
        <w:t>comprises</w:t>
      </w:r>
      <w:proofErr w:type="gramEnd"/>
      <w:r w:rsidRPr="00171117">
        <w:rPr>
          <w:bCs/>
        </w:rPr>
        <w:t xml:space="preserve"> the </w:t>
      </w:r>
      <w:r w:rsidR="004850A6">
        <w:rPr>
          <w:bCs/>
        </w:rPr>
        <w:t>8</w:t>
      </w:r>
      <w:r w:rsidRPr="00171117">
        <w:rPr>
          <w:bCs/>
        </w:rPr>
        <w:t xml:space="preserve"> pages commencing on the following page.</w:t>
      </w:r>
      <w:bookmarkEnd w:id="0"/>
    </w:p>
    <w:p w:rsidR="00D53CEF" w:rsidRDefault="00D53CEF">
      <w:pPr>
        <w:rPr>
          <w:noProof/>
        </w:rPr>
        <w:sectPr w:rsidR="00D53CEF" w:rsidSect="00CB080F">
          <w:headerReference w:type="default" r:id="rId10"/>
          <w:footerReference w:type="default" r:id="rId11"/>
          <w:endnotePr>
            <w:numFmt w:val="decimal"/>
          </w:endnotePr>
          <w:pgSz w:w="11906" w:h="16838"/>
          <w:pgMar w:top="1440" w:right="1800" w:bottom="1440" w:left="1800" w:header="708" w:footer="708" w:gutter="0"/>
          <w:pgNumType w:start="1"/>
          <w:cols w:space="708"/>
          <w:docGrid w:linePitch="360"/>
        </w:sectPr>
      </w:pPr>
    </w:p>
    <w:p w:rsidR="0070393A" w:rsidRPr="00C23169" w:rsidRDefault="00E07D38" w:rsidP="0070393A">
      <w:pPr>
        <w:pStyle w:val="Heading5"/>
        <w:jc w:val="both"/>
      </w:pPr>
      <w:r>
        <w:rPr>
          <w:noProof/>
        </w:rPr>
        <w:lastRenderedPageBreak/>
        <w:drawing>
          <wp:inline distT="0" distB="0" distL="0" distR="0" wp14:anchorId="7D4D60A3" wp14:editId="1C8144BA">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Start w:id="2" w:name="_Ref214187054"/>
      <w:bookmarkEnd w:id="2"/>
    </w:p>
    <w:p w:rsidR="0070393A" w:rsidRPr="00C23169" w:rsidRDefault="0070393A" w:rsidP="0070393A">
      <w:pPr>
        <w:pStyle w:val="Heading5"/>
        <w:spacing w:after="240"/>
        <w:rPr>
          <w:rFonts w:ascii="Arial" w:hAnsi="Arial" w:cs="Arial"/>
          <w:sz w:val="26"/>
          <w:szCs w:val="26"/>
        </w:rPr>
      </w:pPr>
    </w:p>
    <w:p w:rsidR="0070393A" w:rsidRPr="00C23169" w:rsidRDefault="0070393A" w:rsidP="00D53CEF">
      <w:pPr>
        <w:pStyle w:val="Heading1"/>
        <w:spacing w:before="120" w:after="240"/>
        <w:rPr>
          <w:sz w:val="40"/>
          <w:szCs w:val="40"/>
        </w:rPr>
      </w:pPr>
      <w:r w:rsidRPr="00C23169">
        <w:rPr>
          <w:sz w:val="40"/>
          <w:szCs w:val="40"/>
        </w:rPr>
        <w:t>Prudential Standard LPS 320</w:t>
      </w:r>
    </w:p>
    <w:p w:rsidR="0070393A" w:rsidRPr="00C23169" w:rsidRDefault="0070393A" w:rsidP="00D53CEF">
      <w:pPr>
        <w:pStyle w:val="Heading1"/>
        <w:spacing w:before="120" w:after="240"/>
        <w:rPr>
          <w:sz w:val="40"/>
          <w:szCs w:val="40"/>
        </w:rPr>
      </w:pPr>
      <w:bookmarkStart w:id="3" w:name="_Toc214338163"/>
      <w:bookmarkStart w:id="4" w:name="_Toc214338260"/>
      <w:bookmarkStart w:id="5" w:name="_Toc220396086"/>
      <w:bookmarkStart w:id="6" w:name="_Toc222135070"/>
      <w:bookmarkStart w:id="7" w:name="_Toc226431692"/>
      <w:bookmarkStart w:id="8" w:name="_Toc248204414"/>
      <w:r w:rsidRPr="00C23169">
        <w:rPr>
          <w:sz w:val="40"/>
          <w:szCs w:val="40"/>
        </w:rPr>
        <w:t>Actuarial and Related Matters</w:t>
      </w:r>
      <w:bookmarkEnd w:id="3"/>
      <w:bookmarkEnd w:id="4"/>
      <w:bookmarkEnd w:id="5"/>
      <w:bookmarkEnd w:id="6"/>
      <w:bookmarkEnd w:id="7"/>
      <w:bookmarkEnd w:id="8"/>
    </w:p>
    <w:p w:rsidR="0070393A" w:rsidRPr="00C23169" w:rsidRDefault="0070393A" w:rsidP="0070393A">
      <w:pPr>
        <w:pStyle w:val="Heading"/>
        <w:spacing w:before="0" w:after="0"/>
        <w:rPr>
          <w:rFonts w:ascii="Arial" w:hAnsi="Arial"/>
          <w:bCs/>
          <w:sz w:val="2"/>
          <w:szCs w:val="2"/>
        </w:rPr>
      </w:pPr>
    </w:p>
    <w:p w:rsidR="0070393A" w:rsidRPr="00C23169" w:rsidRDefault="0070393A" w:rsidP="00E555E0">
      <w:pPr>
        <w:pStyle w:val="Heading1"/>
        <w:pBdr>
          <w:top w:val="single" w:sz="4" w:space="12" w:color="auto"/>
          <w:left w:val="single" w:sz="4" w:space="4" w:color="auto"/>
          <w:bottom w:val="single" w:sz="4" w:space="6" w:color="auto"/>
          <w:right w:val="single" w:sz="4" w:space="4" w:color="auto"/>
        </w:pBdr>
        <w:shd w:val="clear" w:color="auto" w:fill="E6E6E6"/>
        <w:spacing w:before="120" w:after="360"/>
        <w:jc w:val="both"/>
      </w:pPr>
      <w:bookmarkStart w:id="9" w:name="_Toc214338164"/>
      <w:bookmarkStart w:id="10" w:name="_Toc214338261"/>
      <w:bookmarkStart w:id="11" w:name="_Toc220396088"/>
      <w:bookmarkStart w:id="12" w:name="_Toc222135071"/>
      <w:bookmarkStart w:id="13" w:name="_Toc226431693"/>
      <w:bookmarkStart w:id="14" w:name="_Toc248204415"/>
      <w:r w:rsidRPr="00C23169">
        <w:t>Objectives and key requirements of this Prudential Standard</w:t>
      </w:r>
      <w:bookmarkEnd w:id="9"/>
      <w:bookmarkEnd w:id="10"/>
      <w:bookmarkEnd w:id="11"/>
      <w:bookmarkEnd w:id="12"/>
      <w:bookmarkEnd w:id="13"/>
      <w:bookmarkEnd w:id="14"/>
    </w:p>
    <w:p w:rsidR="00001CE3" w:rsidRPr="00C23169" w:rsidRDefault="00001CE3" w:rsidP="00E555E0">
      <w:pPr>
        <w:pBdr>
          <w:top w:val="single" w:sz="4" w:space="12" w:color="auto"/>
          <w:left w:val="single" w:sz="4" w:space="4" w:color="auto"/>
          <w:bottom w:val="single" w:sz="4" w:space="6" w:color="auto"/>
          <w:right w:val="single" w:sz="4" w:space="4" w:color="auto"/>
        </w:pBdr>
        <w:shd w:val="clear" w:color="auto" w:fill="E6E6E6"/>
        <w:spacing w:after="240"/>
        <w:jc w:val="both"/>
        <w:rPr>
          <w:szCs w:val="24"/>
        </w:rPr>
      </w:pPr>
      <w:r w:rsidRPr="00C23169">
        <w:rPr>
          <w:szCs w:val="24"/>
        </w:rPr>
        <w:t xml:space="preserve">This Prudential Standard sets out the requirements for the roles and responsibilities of an Appointed Actuary. </w:t>
      </w:r>
    </w:p>
    <w:p w:rsidR="00360074" w:rsidRPr="00C23169" w:rsidRDefault="00360074" w:rsidP="00E555E0">
      <w:pPr>
        <w:pBdr>
          <w:top w:val="single" w:sz="4" w:space="12" w:color="auto"/>
          <w:left w:val="single" w:sz="4" w:space="4" w:color="auto"/>
          <w:bottom w:val="single" w:sz="4" w:space="6" w:color="auto"/>
          <w:right w:val="single" w:sz="4" w:space="4" w:color="auto"/>
        </w:pBdr>
        <w:shd w:val="clear" w:color="auto" w:fill="E6E6E6"/>
        <w:spacing w:after="240"/>
        <w:jc w:val="both"/>
        <w:rPr>
          <w:szCs w:val="24"/>
        </w:rPr>
      </w:pPr>
      <w:r w:rsidRPr="00C23169">
        <w:rPr>
          <w:szCs w:val="24"/>
        </w:rPr>
        <w:t>The Appointed Actuary is responsible for providing impartial advice in relation to the life company’s operations, financial condition</w:t>
      </w:r>
      <w:r w:rsidR="004B56A7" w:rsidRPr="00C23169">
        <w:rPr>
          <w:szCs w:val="24"/>
        </w:rPr>
        <w:t xml:space="preserve">, </w:t>
      </w:r>
      <w:proofErr w:type="gramStart"/>
      <w:r w:rsidR="004B56A7" w:rsidRPr="00C23169">
        <w:rPr>
          <w:szCs w:val="24"/>
        </w:rPr>
        <w:t>capital</w:t>
      </w:r>
      <w:proofErr w:type="gramEnd"/>
      <w:r w:rsidR="004B56A7" w:rsidRPr="00C23169">
        <w:rPr>
          <w:szCs w:val="24"/>
        </w:rPr>
        <w:t xml:space="preserve"> base, prescribed capital amount</w:t>
      </w:r>
      <w:r w:rsidRPr="00C23169">
        <w:rPr>
          <w:szCs w:val="24"/>
        </w:rPr>
        <w:t xml:space="preserve"> and policy liabilities. </w:t>
      </w:r>
      <w:r w:rsidR="00A60F9F" w:rsidRPr="00C23169">
        <w:rPr>
          <w:szCs w:val="24"/>
        </w:rPr>
        <w:t>It is the ultimate responsibility of the Board of a life company to enable its Appointed Actuary to undertake his or her responsibilities.</w:t>
      </w:r>
    </w:p>
    <w:p w:rsidR="0070393A" w:rsidRPr="00C23169" w:rsidRDefault="0070393A" w:rsidP="00E555E0">
      <w:pPr>
        <w:pBdr>
          <w:top w:val="single" w:sz="4" w:space="12" w:color="auto"/>
          <w:left w:val="single" w:sz="4" w:space="4" w:color="auto"/>
          <w:bottom w:val="single" w:sz="4" w:space="6" w:color="auto"/>
          <w:right w:val="single" w:sz="4" w:space="4" w:color="auto"/>
        </w:pBdr>
        <w:shd w:val="clear" w:color="auto" w:fill="E6E6E6"/>
        <w:spacing w:after="240"/>
        <w:jc w:val="both"/>
        <w:rPr>
          <w:szCs w:val="24"/>
        </w:rPr>
      </w:pPr>
      <w:r w:rsidRPr="00C23169">
        <w:rPr>
          <w:szCs w:val="24"/>
        </w:rPr>
        <w:t xml:space="preserve">The key requirements of this Prudential Standard </w:t>
      </w:r>
      <w:r w:rsidR="00001CE3" w:rsidRPr="00C23169">
        <w:rPr>
          <w:szCs w:val="24"/>
        </w:rPr>
        <w:t>are</w:t>
      </w:r>
      <w:r w:rsidRPr="00C23169">
        <w:rPr>
          <w:szCs w:val="24"/>
        </w:rPr>
        <w:t>:</w:t>
      </w:r>
    </w:p>
    <w:p w:rsidR="00627424" w:rsidRPr="00C23169" w:rsidRDefault="0070393A" w:rsidP="00E555E0">
      <w:pPr>
        <w:numPr>
          <w:ilvl w:val="0"/>
          <w:numId w:val="20"/>
        </w:numPr>
        <w:pBdr>
          <w:top w:val="single" w:sz="4" w:space="12" w:color="auto"/>
          <w:left w:val="single" w:sz="4" w:space="4" w:color="auto"/>
          <w:bottom w:val="single" w:sz="4" w:space="6" w:color="auto"/>
          <w:right w:val="single" w:sz="4" w:space="4" w:color="auto"/>
        </w:pBdr>
        <w:shd w:val="clear" w:color="auto" w:fill="E6E6E6"/>
        <w:spacing w:after="240"/>
        <w:ind w:left="357" w:hanging="357"/>
        <w:jc w:val="both"/>
        <w:rPr>
          <w:szCs w:val="24"/>
        </w:rPr>
      </w:pPr>
      <w:proofErr w:type="gramStart"/>
      <w:r w:rsidRPr="00C23169">
        <w:rPr>
          <w:szCs w:val="24"/>
        </w:rPr>
        <w:t>the</w:t>
      </w:r>
      <w:proofErr w:type="gramEnd"/>
      <w:r w:rsidRPr="00C23169">
        <w:rPr>
          <w:szCs w:val="24"/>
        </w:rPr>
        <w:t xml:space="preserve"> Appointed Actuary must provide an assess</w:t>
      </w:r>
      <w:smartTag w:uri="urn:schemas-microsoft-com:office:smarttags" w:element="stockticker">
        <w:r w:rsidRPr="00C23169">
          <w:rPr>
            <w:szCs w:val="24"/>
          </w:rPr>
          <w:t>me</w:t>
        </w:r>
      </w:smartTag>
      <w:r w:rsidRPr="00C23169">
        <w:rPr>
          <w:szCs w:val="24"/>
        </w:rPr>
        <w:t>nt of the overall financial condition of the life company on an annual basis.</w:t>
      </w:r>
      <w:r w:rsidR="00C55D1B">
        <w:rPr>
          <w:szCs w:val="24"/>
        </w:rPr>
        <w:t xml:space="preserve"> </w:t>
      </w:r>
      <w:r w:rsidRPr="00C23169">
        <w:rPr>
          <w:szCs w:val="24"/>
        </w:rPr>
        <w:t xml:space="preserve">In particular, the Appointed Actuary must prepare a Financial Condition Report and provide this report to the company; </w:t>
      </w:r>
    </w:p>
    <w:p w:rsidR="00CF4E4A" w:rsidRPr="00C23169" w:rsidRDefault="00CF4E4A" w:rsidP="00E555E0">
      <w:pPr>
        <w:numPr>
          <w:ilvl w:val="0"/>
          <w:numId w:val="20"/>
        </w:numPr>
        <w:pBdr>
          <w:top w:val="single" w:sz="4" w:space="12" w:color="auto"/>
          <w:left w:val="single" w:sz="4" w:space="4" w:color="auto"/>
          <w:bottom w:val="single" w:sz="4" w:space="6" w:color="auto"/>
          <w:right w:val="single" w:sz="4" w:space="4" w:color="auto"/>
        </w:pBdr>
        <w:shd w:val="clear" w:color="auto" w:fill="E6E6E6"/>
        <w:spacing w:after="240"/>
        <w:ind w:left="357" w:hanging="357"/>
        <w:jc w:val="both"/>
        <w:rPr>
          <w:szCs w:val="24"/>
        </w:rPr>
      </w:pPr>
      <w:r w:rsidRPr="00C23169">
        <w:rPr>
          <w:szCs w:val="24"/>
        </w:rPr>
        <w:t xml:space="preserve">a life company must submit the Financial Condition Report to APRA; </w:t>
      </w:r>
    </w:p>
    <w:p w:rsidR="00CF4E4A" w:rsidRPr="00C23169" w:rsidRDefault="00C03590" w:rsidP="00E555E0">
      <w:pPr>
        <w:numPr>
          <w:ilvl w:val="0"/>
          <w:numId w:val="20"/>
        </w:numPr>
        <w:pBdr>
          <w:top w:val="single" w:sz="4" w:space="12" w:color="auto"/>
          <w:left w:val="single" w:sz="4" w:space="4" w:color="auto"/>
          <w:bottom w:val="single" w:sz="4" w:space="6" w:color="auto"/>
          <w:right w:val="single" w:sz="4" w:space="4" w:color="auto"/>
        </w:pBdr>
        <w:shd w:val="clear" w:color="auto" w:fill="E6E6E6"/>
        <w:spacing w:after="240"/>
        <w:ind w:left="357" w:hanging="357"/>
        <w:jc w:val="both"/>
        <w:rPr>
          <w:szCs w:val="24"/>
        </w:rPr>
      </w:pPr>
      <w:r w:rsidRPr="00C23169">
        <w:rPr>
          <w:szCs w:val="24"/>
        </w:rPr>
        <w:t xml:space="preserve">the Appointed Actuary must provide advice to the life company on the </w:t>
      </w:r>
      <w:r w:rsidR="003B1F85" w:rsidRPr="00C23169">
        <w:rPr>
          <w:szCs w:val="24"/>
        </w:rPr>
        <w:t xml:space="preserve">methodology for </w:t>
      </w:r>
      <w:r w:rsidRPr="00C23169">
        <w:rPr>
          <w:szCs w:val="24"/>
        </w:rPr>
        <w:t>calculat</w:t>
      </w:r>
      <w:r w:rsidR="00BD4AEC" w:rsidRPr="00C23169">
        <w:rPr>
          <w:szCs w:val="24"/>
        </w:rPr>
        <w:t xml:space="preserve">ing </w:t>
      </w:r>
      <w:r w:rsidRPr="00C23169">
        <w:rPr>
          <w:szCs w:val="24"/>
        </w:rPr>
        <w:t>the prescribed capital amount, the capital base and the policy liabilities of the company</w:t>
      </w:r>
      <w:r w:rsidR="003B1F85" w:rsidRPr="00C23169">
        <w:rPr>
          <w:szCs w:val="24"/>
        </w:rPr>
        <w:t xml:space="preserve"> </w:t>
      </w:r>
      <w:r w:rsidR="00BD4AEC" w:rsidRPr="00C23169">
        <w:rPr>
          <w:szCs w:val="24"/>
        </w:rPr>
        <w:t>and each of its funds</w:t>
      </w:r>
      <w:r w:rsidR="00CF4E4A" w:rsidRPr="00C23169">
        <w:rPr>
          <w:szCs w:val="24"/>
        </w:rPr>
        <w:t>;</w:t>
      </w:r>
    </w:p>
    <w:p w:rsidR="00C03590" w:rsidRPr="00C23169" w:rsidRDefault="00CF4E4A" w:rsidP="00E555E0">
      <w:pPr>
        <w:numPr>
          <w:ilvl w:val="0"/>
          <w:numId w:val="20"/>
        </w:numPr>
        <w:pBdr>
          <w:top w:val="single" w:sz="4" w:space="12" w:color="auto"/>
          <w:left w:val="single" w:sz="4" w:space="4" w:color="auto"/>
          <w:bottom w:val="single" w:sz="4" w:space="6" w:color="auto"/>
          <w:right w:val="single" w:sz="4" w:space="4" w:color="auto"/>
        </w:pBdr>
        <w:shd w:val="clear" w:color="auto" w:fill="E6E6E6"/>
        <w:spacing w:after="240"/>
        <w:ind w:left="357" w:hanging="357"/>
        <w:jc w:val="both"/>
        <w:rPr>
          <w:szCs w:val="24"/>
        </w:rPr>
      </w:pPr>
      <w:r w:rsidRPr="00C23169">
        <w:rPr>
          <w:szCs w:val="24"/>
        </w:rPr>
        <w:t xml:space="preserve">the Appointed Actuary must </w:t>
      </w:r>
      <w:r w:rsidR="00BD4AEC" w:rsidRPr="00C23169">
        <w:rPr>
          <w:szCs w:val="24"/>
        </w:rPr>
        <w:t>calculate</w:t>
      </w:r>
      <w:r w:rsidRPr="00C23169">
        <w:rPr>
          <w:szCs w:val="24"/>
        </w:rPr>
        <w:t xml:space="preserve"> values for the prescribed capital amount, the capital base and the policy liabilities of the life company and each of its funds on an annual basis and must advise these amounts in the Financial Condition Report;</w:t>
      </w:r>
    </w:p>
    <w:p w:rsidR="0070393A" w:rsidRPr="00C23169" w:rsidRDefault="0070393A" w:rsidP="00E555E0">
      <w:pPr>
        <w:numPr>
          <w:ilvl w:val="0"/>
          <w:numId w:val="20"/>
        </w:numPr>
        <w:pBdr>
          <w:top w:val="single" w:sz="4" w:space="12" w:color="auto"/>
          <w:left w:val="single" w:sz="4" w:space="4" w:color="auto"/>
          <w:bottom w:val="single" w:sz="4" w:space="6" w:color="auto"/>
          <w:right w:val="single" w:sz="4" w:space="4" w:color="auto"/>
        </w:pBdr>
        <w:shd w:val="clear" w:color="auto" w:fill="E6E6E6"/>
        <w:spacing w:after="240"/>
        <w:ind w:left="357" w:hanging="357"/>
        <w:jc w:val="both"/>
        <w:rPr>
          <w:szCs w:val="24"/>
        </w:rPr>
      </w:pPr>
      <w:r w:rsidRPr="00C23169">
        <w:rPr>
          <w:szCs w:val="24"/>
        </w:rPr>
        <w:t>the Appointed Actuary may also be required to provide advice to the life company on certain life policies</w:t>
      </w:r>
      <w:r w:rsidR="00CE7325" w:rsidRPr="00C23169">
        <w:rPr>
          <w:szCs w:val="24"/>
        </w:rPr>
        <w:t xml:space="preserve"> and reinsurance arrangements</w:t>
      </w:r>
      <w:r w:rsidRPr="00C23169">
        <w:rPr>
          <w:szCs w:val="24"/>
        </w:rPr>
        <w:t>; and</w:t>
      </w:r>
    </w:p>
    <w:p w:rsidR="0070393A" w:rsidRPr="00C23169" w:rsidRDefault="0070393A" w:rsidP="00E555E0">
      <w:pPr>
        <w:numPr>
          <w:ilvl w:val="0"/>
          <w:numId w:val="20"/>
        </w:numPr>
        <w:pBdr>
          <w:top w:val="single" w:sz="4" w:space="12" w:color="auto"/>
          <w:left w:val="single" w:sz="4" w:space="4" w:color="auto"/>
          <w:bottom w:val="single" w:sz="4" w:space="6" w:color="auto"/>
          <w:right w:val="single" w:sz="4" w:space="4" w:color="auto"/>
        </w:pBdr>
        <w:shd w:val="clear" w:color="auto" w:fill="E6E6E6"/>
        <w:spacing w:after="240"/>
        <w:ind w:left="357" w:hanging="357"/>
        <w:jc w:val="both"/>
        <w:rPr>
          <w:szCs w:val="24"/>
        </w:rPr>
      </w:pPr>
      <w:r w:rsidRPr="00C23169">
        <w:rPr>
          <w:szCs w:val="24"/>
        </w:rPr>
        <w:t>the Appointed Actuary may be required to conduct a special purpose review and provide a report to APRA and the life company.</w:t>
      </w:r>
    </w:p>
    <w:p w:rsidR="0070393A" w:rsidRPr="00C23169" w:rsidRDefault="0070393A" w:rsidP="00E555E0">
      <w:pPr>
        <w:pStyle w:val="Heading3"/>
      </w:pPr>
      <w:r w:rsidRPr="00C23169">
        <w:br w:type="page"/>
      </w:r>
      <w:bookmarkStart w:id="15" w:name="_Toc214338165"/>
      <w:bookmarkStart w:id="16" w:name="_Toc214338166"/>
      <w:bookmarkStart w:id="17" w:name="_Toc248204416"/>
      <w:r w:rsidRPr="00C23169">
        <w:lastRenderedPageBreak/>
        <w:t>Authority</w:t>
      </w:r>
      <w:bookmarkEnd w:id="15"/>
      <w:bookmarkEnd w:id="16"/>
      <w:bookmarkEnd w:id="17"/>
      <w:r w:rsidRPr="00C23169">
        <w:t xml:space="preserve"> </w:t>
      </w:r>
    </w:p>
    <w:p w:rsidR="0070393A" w:rsidRPr="00C23169" w:rsidRDefault="0070393A" w:rsidP="00E555E0">
      <w:pPr>
        <w:pStyle w:val="BodyText"/>
        <w:numPr>
          <w:ilvl w:val="0"/>
          <w:numId w:val="30"/>
        </w:numPr>
        <w:tabs>
          <w:tab w:val="clear" w:pos="360"/>
          <w:tab w:val="num" w:pos="600"/>
        </w:tabs>
        <w:spacing w:after="240"/>
        <w:ind w:left="601" w:hanging="601"/>
        <w:jc w:val="both"/>
        <w:rPr>
          <w:b w:val="0"/>
          <w:szCs w:val="24"/>
          <w:lang w:val="en-AU"/>
        </w:rPr>
      </w:pPr>
      <w:bookmarkStart w:id="18" w:name="_Ref214184089"/>
      <w:r w:rsidRPr="00C23169">
        <w:rPr>
          <w:b w:val="0"/>
          <w:szCs w:val="24"/>
          <w:lang w:val="en-AU"/>
        </w:rPr>
        <w:t xml:space="preserve">This Prudential Standard is made under paragraph 230A(1)(a) of the </w:t>
      </w:r>
      <w:r w:rsidRPr="00C23169">
        <w:rPr>
          <w:b w:val="0"/>
          <w:i/>
          <w:szCs w:val="24"/>
          <w:lang w:val="en-AU"/>
        </w:rPr>
        <w:t>Life Insurance Act 1995</w:t>
      </w:r>
      <w:r w:rsidRPr="00C23169">
        <w:rPr>
          <w:b w:val="0"/>
          <w:szCs w:val="24"/>
          <w:lang w:val="en-AU"/>
        </w:rPr>
        <w:t xml:space="preserve"> (</w:t>
      </w:r>
      <w:r w:rsidRPr="00F557E6">
        <w:rPr>
          <w:b w:val="0"/>
          <w:szCs w:val="24"/>
          <w:lang w:val="en-AU"/>
        </w:rPr>
        <w:t>the Act</w:t>
      </w:r>
      <w:r w:rsidRPr="00C23169">
        <w:rPr>
          <w:b w:val="0"/>
          <w:szCs w:val="24"/>
          <w:lang w:val="en-AU"/>
        </w:rPr>
        <w:t>).</w:t>
      </w:r>
      <w:bookmarkEnd w:id="18"/>
      <w:r w:rsidRPr="00C23169">
        <w:rPr>
          <w:b w:val="0"/>
          <w:szCs w:val="24"/>
          <w:lang w:val="en-AU"/>
        </w:rPr>
        <w:t xml:space="preserve">  </w:t>
      </w:r>
    </w:p>
    <w:p w:rsidR="0070393A" w:rsidRPr="00C23169" w:rsidRDefault="0070393A" w:rsidP="00E555E0">
      <w:pPr>
        <w:pStyle w:val="Heading3"/>
      </w:pPr>
      <w:bookmarkStart w:id="19" w:name="_Toc248204417"/>
      <w:r w:rsidRPr="00C23169">
        <w:t>Application</w:t>
      </w:r>
      <w:bookmarkEnd w:id="19"/>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20" w:name="_Ref214184075"/>
      <w:r w:rsidRPr="00C23169">
        <w:rPr>
          <w:b w:val="0"/>
          <w:szCs w:val="24"/>
          <w:lang w:val="en-AU"/>
        </w:rPr>
        <w:t xml:space="preserve">This Prudential Standard applies to all </w:t>
      </w:r>
      <w:r w:rsidRPr="00175C07">
        <w:rPr>
          <w:b w:val="0"/>
          <w:szCs w:val="24"/>
          <w:lang w:val="en-AU"/>
        </w:rPr>
        <w:t>life companies</w:t>
      </w:r>
      <w:r w:rsidRPr="00C23169">
        <w:rPr>
          <w:b w:val="0"/>
          <w:szCs w:val="24"/>
          <w:lang w:val="en-AU"/>
        </w:rPr>
        <w:t xml:space="preserve"> including </w:t>
      </w:r>
      <w:r w:rsidRPr="00175C07">
        <w:rPr>
          <w:szCs w:val="24"/>
          <w:lang w:val="en-AU"/>
        </w:rPr>
        <w:t>friendly societies</w:t>
      </w:r>
      <w:r w:rsidR="00175C07">
        <w:rPr>
          <w:szCs w:val="24"/>
          <w:lang w:val="en-AU"/>
        </w:rPr>
        <w:t xml:space="preserve"> </w:t>
      </w:r>
      <w:r w:rsidR="00175C07">
        <w:rPr>
          <w:b w:val="0"/>
          <w:szCs w:val="24"/>
          <w:lang w:val="en-AU"/>
        </w:rPr>
        <w:t xml:space="preserve">(together referred to as </w:t>
      </w:r>
      <w:r w:rsidR="00175C07" w:rsidRPr="00175C07">
        <w:rPr>
          <w:szCs w:val="24"/>
          <w:lang w:val="en-AU"/>
        </w:rPr>
        <w:t>life companies</w:t>
      </w:r>
      <w:r w:rsidRPr="00C23169">
        <w:rPr>
          <w:b w:val="0"/>
          <w:szCs w:val="24"/>
          <w:lang w:val="en-AU"/>
        </w:rPr>
        <w:t>) registered under the Act.</w:t>
      </w:r>
      <w:r w:rsidRPr="00C23169">
        <w:rPr>
          <w:rStyle w:val="FootnoteReference"/>
          <w:b w:val="0"/>
          <w:szCs w:val="24"/>
          <w:lang w:val="en-AU"/>
        </w:rPr>
        <w:footnoteReference w:id="1"/>
      </w:r>
      <w:bookmarkEnd w:id="20"/>
      <w:r w:rsidRPr="00C23169">
        <w:rPr>
          <w:b w:val="0"/>
          <w:szCs w:val="24"/>
          <w:lang w:val="en-AU"/>
        </w:rPr>
        <w:t xml:space="preserve">  </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21" w:name="_Ref90200254"/>
      <w:r w:rsidRPr="00C23169">
        <w:rPr>
          <w:b w:val="0"/>
          <w:szCs w:val="24"/>
          <w:lang w:val="en-AU"/>
        </w:rPr>
        <w:t xml:space="preserve">This Prudential Standard includes requirements that apply to all actuaries appointed under the Act. These requirements are functions of an actuary for the purposes of subsection 97(1) of the Act.  </w:t>
      </w:r>
    </w:p>
    <w:p w:rsidR="00415AFA" w:rsidRPr="00C23169" w:rsidRDefault="00303B95" w:rsidP="00415AFA">
      <w:pPr>
        <w:pStyle w:val="ListParagraph"/>
        <w:numPr>
          <w:ilvl w:val="0"/>
          <w:numId w:val="30"/>
        </w:numPr>
        <w:tabs>
          <w:tab w:val="clear" w:pos="360"/>
          <w:tab w:val="num" w:pos="567"/>
        </w:tabs>
        <w:ind w:left="567" w:hanging="567"/>
        <w:jc w:val="both"/>
      </w:pPr>
      <w:r w:rsidRPr="00C23169">
        <w:t>This</w:t>
      </w:r>
      <w:r w:rsidR="00415AFA" w:rsidRPr="00C23169">
        <w:t xml:space="preserve"> Prudential Standard applies to life companies from 1 January </w:t>
      </w:r>
      <w:r w:rsidR="00BE5C13">
        <w:t>2015</w:t>
      </w:r>
      <w:r w:rsidR="00415AFA" w:rsidRPr="00C23169">
        <w:t>.</w:t>
      </w:r>
    </w:p>
    <w:p w:rsidR="001730B0" w:rsidRPr="00C23169" w:rsidRDefault="001730B0" w:rsidP="00E555E0">
      <w:pPr>
        <w:pStyle w:val="Heading3"/>
      </w:pPr>
      <w:bookmarkStart w:id="22" w:name="_Toc86203566"/>
      <w:bookmarkStart w:id="23" w:name="_Toc86204862"/>
      <w:bookmarkStart w:id="24" w:name="_Toc214338167"/>
      <w:bookmarkStart w:id="25" w:name="_Toc248204418"/>
      <w:bookmarkEnd w:id="21"/>
      <w:r w:rsidRPr="00C23169">
        <w:t>Interpretation</w:t>
      </w:r>
    </w:p>
    <w:p w:rsidR="001730B0" w:rsidRPr="00C23169" w:rsidRDefault="00F557E6" w:rsidP="00E555E0">
      <w:pPr>
        <w:pStyle w:val="ListParagraph"/>
        <w:numPr>
          <w:ilvl w:val="0"/>
          <w:numId w:val="30"/>
        </w:numPr>
        <w:tabs>
          <w:tab w:val="clear" w:pos="360"/>
          <w:tab w:val="num" w:pos="567"/>
        </w:tabs>
        <w:ind w:left="567" w:hanging="567"/>
        <w:jc w:val="both"/>
        <w:rPr>
          <w:szCs w:val="24"/>
        </w:rPr>
      </w:pPr>
      <w:r>
        <w:t>Terms that</w:t>
      </w:r>
      <w:r w:rsidR="001730B0" w:rsidRPr="00C23169">
        <w:rPr>
          <w:szCs w:val="24"/>
        </w:rPr>
        <w:t xml:space="preserve"> are defined in </w:t>
      </w:r>
      <w:r w:rsidR="001730B0" w:rsidRPr="00C23169">
        <w:rPr>
          <w:i/>
          <w:iCs/>
          <w:szCs w:val="24"/>
        </w:rPr>
        <w:t>Prudential Standard LPS 001 Definitions</w:t>
      </w:r>
      <w:r>
        <w:rPr>
          <w:i/>
          <w:iCs/>
          <w:szCs w:val="24"/>
        </w:rPr>
        <w:t xml:space="preserve"> </w:t>
      </w:r>
      <w:r>
        <w:t>appear in bold the first time they are used in this Prudential Standard</w:t>
      </w:r>
      <w:r w:rsidR="001730B0" w:rsidRPr="00C23169">
        <w:rPr>
          <w:szCs w:val="24"/>
        </w:rPr>
        <w:t>.</w:t>
      </w:r>
    </w:p>
    <w:p w:rsidR="00CF4E4A" w:rsidRPr="00C23169" w:rsidRDefault="00CF4E4A" w:rsidP="00E555E0">
      <w:pPr>
        <w:pStyle w:val="ListParagraph"/>
        <w:numPr>
          <w:ilvl w:val="0"/>
          <w:numId w:val="30"/>
        </w:numPr>
        <w:tabs>
          <w:tab w:val="clear" w:pos="360"/>
          <w:tab w:val="num" w:pos="567"/>
        </w:tabs>
        <w:ind w:left="567" w:hanging="567"/>
        <w:jc w:val="both"/>
        <w:rPr>
          <w:szCs w:val="24"/>
        </w:rPr>
      </w:pPr>
      <w:r w:rsidRPr="00C23169">
        <w:rPr>
          <w:szCs w:val="24"/>
        </w:rPr>
        <w:t>Unless otherwise indicated:</w:t>
      </w:r>
    </w:p>
    <w:p w:rsidR="00CF4E4A" w:rsidRPr="00C23169" w:rsidRDefault="00CF4E4A" w:rsidP="00E555E0">
      <w:pPr>
        <w:pStyle w:val="BodyText"/>
        <w:numPr>
          <w:ilvl w:val="0"/>
          <w:numId w:val="21"/>
        </w:numPr>
        <w:spacing w:after="240"/>
        <w:ind w:left="1167" w:hanging="600"/>
        <w:jc w:val="both"/>
        <w:rPr>
          <w:b w:val="0"/>
          <w:szCs w:val="24"/>
          <w:lang w:val="en-AU"/>
        </w:rPr>
      </w:pPr>
      <w:r w:rsidRPr="00C23169">
        <w:rPr>
          <w:b w:val="0"/>
          <w:szCs w:val="24"/>
          <w:lang w:val="en-AU"/>
        </w:rPr>
        <w:t xml:space="preserve">the term </w:t>
      </w:r>
      <w:r w:rsidRPr="00C23169">
        <w:rPr>
          <w:szCs w:val="24"/>
          <w:lang w:val="en-AU"/>
        </w:rPr>
        <w:t>statutory fund</w:t>
      </w:r>
      <w:r w:rsidRPr="00C23169">
        <w:rPr>
          <w:b w:val="0"/>
          <w:szCs w:val="24"/>
          <w:lang w:val="en-AU"/>
        </w:rPr>
        <w:t xml:space="preserve"> will be used to refer to a statutory fund of a life company other than a friendly society, or a benefit fund of a friendly society, as relevant;</w:t>
      </w:r>
    </w:p>
    <w:p w:rsidR="00CF4E4A" w:rsidRPr="00C23169" w:rsidRDefault="00CF4E4A" w:rsidP="00E555E0">
      <w:pPr>
        <w:pStyle w:val="BodyText"/>
        <w:numPr>
          <w:ilvl w:val="0"/>
          <w:numId w:val="21"/>
        </w:numPr>
        <w:spacing w:after="240"/>
        <w:ind w:left="1167" w:hanging="600"/>
        <w:jc w:val="both"/>
        <w:rPr>
          <w:b w:val="0"/>
          <w:szCs w:val="24"/>
          <w:lang w:val="en-AU"/>
        </w:rPr>
      </w:pPr>
      <w:r w:rsidRPr="00C23169">
        <w:rPr>
          <w:b w:val="0"/>
          <w:szCs w:val="24"/>
          <w:lang w:val="en-AU"/>
        </w:rPr>
        <w:t xml:space="preserve">the term </w:t>
      </w:r>
      <w:r w:rsidRPr="00C23169">
        <w:rPr>
          <w:szCs w:val="24"/>
          <w:lang w:val="en-AU"/>
        </w:rPr>
        <w:t>general fund</w:t>
      </w:r>
      <w:r w:rsidRPr="00C23169">
        <w:rPr>
          <w:b w:val="0"/>
          <w:szCs w:val="24"/>
          <w:lang w:val="en-AU"/>
        </w:rPr>
        <w:t xml:space="preserve"> will be used to refer to the shareholders’ fund of a life company other than a friendly society, or the management fund of a friendly society, as relevant; and</w:t>
      </w:r>
    </w:p>
    <w:p w:rsidR="00CF4E4A" w:rsidRPr="00C23169" w:rsidRDefault="00CF4E4A" w:rsidP="00E555E0">
      <w:pPr>
        <w:pStyle w:val="BodyText"/>
        <w:numPr>
          <w:ilvl w:val="0"/>
          <w:numId w:val="21"/>
        </w:numPr>
        <w:spacing w:after="240"/>
        <w:ind w:left="1167" w:hanging="600"/>
        <w:jc w:val="both"/>
        <w:rPr>
          <w:b w:val="0"/>
          <w:szCs w:val="24"/>
          <w:lang w:val="en-AU"/>
        </w:rPr>
      </w:pPr>
      <w:r w:rsidRPr="00C23169">
        <w:rPr>
          <w:b w:val="0"/>
          <w:szCs w:val="24"/>
          <w:lang w:val="en-AU"/>
        </w:rPr>
        <w:t>the term</w:t>
      </w:r>
      <w:r w:rsidRPr="00C23169">
        <w:rPr>
          <w:szCs w:val="24"/>
          <w:lang w:val="en-AU"/>
        </w:rPr>
        <w:t xml:space="preserve"> </w:t>
      </w:r>
      <w:r w:rsidR="00F557E6" w:rsidRPr="00F557E6">
        <w:rPr>
          <w:b w:val="0"/>
          <w:szCs w:val="24"/>
          <w:lang w:val="en-AU"/>
        </w:rPr>
        <w:t>‘</w:t>
      </w:r>
      <w:r w:rsidRPr="00F557E6">
        <w:rPr>
          <w:b w:val="0"/>
          <w:szCs w:val="24"/>
          <w:lang w:val="en-AU"/>
        </w:rPr>
        <w:t>fund</w:t>
      </w:r>
      <w:r w:rsidR="00F557E6">
        <w:rPr>
          <w:b w:val="0"/>
          <w:szCs w:val="24"/>
          <w:lang w:val="en-AU"/>
        </w:rPr>
        <w:t>’</w:t>
      </w:r>
      <w:r w:rsidRPr="00C23169">
        <w:rPr>
          <w:b w:val="0"/>
          <w:szCs w:val="24"/>
          <w:lang w:val="en-AU"/>
        </w:rPr>
        <w:t xml:space="preserve"> will be used to refer to a statutory fund or a general fund, as relevant.</w:t>
      </w:r>
    </w:p>
    <w:p w:rsidR="0070393A" w:rsidRPr="00C23169" w:rsidRDefault="0070393A" w:rsidP="00E555E0">
      <w:pPr>
        <w:pStyle w:val="Heading3"/>
      </w:pPr>
      <w:r w:rsidRPr="00C23169">
        <w:t>Obligation of a</w:t>
      </w:r>
      <w:bookmarkEnd w:id="22"/>
      <w:bookmarkEnd w:id="23"/>
      <w:r w:rsidRPr="00C23169">
        <w:t xml:space="preserve"> life company</w:t>
      </w:r>
      <w:bookmarkEnd w:id="24"/>
      <w:r w:rsidRPr="00C23169">
        <w:t xml:space="preserve"> to appoint an actuary</w:t>
      </w:r>
      <w:bookmarkEnd w:id="25"/>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26" w:name="_Ref214184112"/>
      <w:r w:rsidRPr="00C23169">
        <w:rPr>
          <w:b w:val="0"/>
          <w:szCs w:val="24"/>
          <w:lang w:val="en-AU"/>
        </w:rPr>
        <w:t>Under the Act, a life company must appoint an actuary (</w:t>
      </w:r>
      <w:r w:rsidRPr="00C23169">
        <w:rPr>
          <w:szCs w:val="24"/>
          <w:lang w:val="en-AU"/>
        </w:rPr>
        <w:t>Appointed Actuary</w:t>
      </w:r>
      <w:r w:rsidRPr="00C23169">
        <w:rPr>
          <w:b w:val="0"/>
          <w:szCs w:val="24"/>
          <w:lang w:val="en-AU"/>
        </w:rPr>
        <w:t>).</w:t>
      </w:r>
      <w:r w:rsidRPr="00C23169">
        <w:rPr>
          <w:rStyle w:val="FootnoteReference"/>
          <w:b w:val="0"/>
          <w:szCs w:val="24"/>
          <w:lang w:val="en-AU"/>
        </w:rPr>
        <w:footnoteReference w:id="2"/>
      </w:r>
      <w:bookmarkEnd w:id="26"/>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27" w:name="_Ref220390273"/>
      <w:r w:rsidRPr="00C23169">
        <w:rPr>
          <w:b w:val="0"/>
          <w:szCs w:val="24"/>
          <w:lang w:val="en-AU"/>
        </w:rPr>
        <w:t>A life company must ensure that its Appointed Actuary:</w:t>
      </w:r>
      <w:bookmarkEnd w:id="27"/>
    </w:p>
    <w:p w:rsidR="0070393A" w:rsidRPr="00C23169" w:rsidRDefault="0070393A" w:rsidP="00B73B83">
      <w:pPr>
        <w:pStyle w:val="BodyText"/>
        <w:numPr>
          <w:ilvl w:val="0"/>
          <w:numId w:val="46"/>
        </w:numPr>
        <w:spacing w:after="240"/>
        <w:jc w:val="both"/>
        <w:rPr>
          <w:b w:val="0"/>
          <w:szCs w:val="24"/>
          <w:lang w:val="en-AU"/>
        </w:rPr>
      </w:pPr>
      <w:bookmarkStart w:id="28" w:name="_Ref86202346"/>
      <w:r w:rsidRPr="00C23169">
        <w:rPr>
          <w:b w:val="0"/>
          <w:szCs w:val="24"/>
          <w:lang w:val="en-AU"/>
        </w:rPr>
        <w:t xml:space="preserve">satisfies the eligibility criteria in </w:t>
      </w:r>
      <w:r w:rsidRPr="00C23169">
        <w:rPr>
          <w:b w:val="0"/>
          <w:i/>
          <w:szCs w:val="24"/>
          <w:lang w:val="en-AU"/>
        </w:rPr>
        <w:t xml:space="preserve">Prudential Standard </w:t>
      </w:r>
      <w:r w:rsidR="00415AFA" w:rsidRPr="00C23169">
        <w:rPr>
          <w:b w:val="0"/>
          <w:i/>
          <w:szCs w:val="24"/>
          <w:lang w:val="en-AU"/>
        </w:rPr>
        <w:t xml:space="preserve">CPS </w:t>
      </w:r>
      <w:r w:rsidRPr="00C23169">
        <w:rPr>
          <w:b w:val="0"/>
          <w:i/>
          <w:szCs w:val="24"/>
          <w:lang w:val="en-AU"/>
        </w:rPr>
        <w:t>520 Fit and Proper</w:t>
      </w:r>
      <w:r w:rsidRPr="00C23169">
        <w:rPr>
          <w:b w:val="0"/>
          <w:szCs w:val="24"/>
          <w:lang w:val="en-AU"/>
        </w:rPr>
        <w:t xml:space="preserve"> (</w:t>
      </w:r>
      <w:r w:rsidR="00415AFA" w:rsidRPr="00301741">
        <w:rPr>
          <w:b w:val="0"/>
          <w:szCs w:val="24"/>
          <w:lang w:val="en-AU"/>
        </w:rPr>
        <w:t xml:space="preserve">CPS </w:t>
      </w:r>
      <w:r w:rsidRPr="00301741">
        <w:rPr>
          <w:b w:val="0"/>
          <w:szCs w:val="24"/>
          <w:lang w:val="en-AU"/>
        </w:rPr>
        <w:t>520</w:t>
      </w:r>
      <w:r w:rsidRPr="00C23169">
        <w:rPr>
          <w:b w:val="0"/>
          <w:szCs w:val="24"/>
          <w:lang w:val="en-AU"/>
        </w:rPr>
        <w:t>) applicable to an Appointed Actuary; and</w:t>
      </w:r>
    </w:p>
    <w:p w:rsidR="0070393A" w:rsidRPr="00C23169" w:rsidRDefault="0070393A" w:rsidP="00B73B83">
      <w:pPr>
        <w:pStyle w:val="BodyText"/>
        <w:numPr>
          <w:ilvl w:val="0"/>
          <w:numId w:val="46"/>
        </w:numPr>
        <w:spacing w:after="240"/>
        <w:ind w:left="1167" w:hanging="600"/>
        <w:jc w:val="both"/>
        <w:rPr>
          <w:b w:val="0"/>
          <w:szCs w:val="24"/>
          <w:lang w:val="en-AU"/>
        </w:rPr>
      </w:pPr>
      <w:r w:rsidRPr="00C23169">
        <w:rPr>
          <w:b w:val="0"/>
          <w:szCs w:val="24"/>
          <w:lang w:val="en-AU"/>
        </w:rPr>
        <w:t xml:space="preserve">is a fit and proper person in accordance with the life company’s fit and proper policy as required by </w:t>
      </w:r>
      <w:r w:rsidR="00415AFA" w:rsidRPr="00C23169">
        <w:rPr>
          <w:b w:val="0"/>
          <w:szCs w:val="24"/>
          <w:lang w:val="en-AU"/>
        </w:rPr>
        <w:t>C</w:t>
      </w:r>
      <w:r w:rsidRPr="00C23169">
        <w:rPr>
          <w:b w:val="0"/>
          <w:szCs w:val="24"/>
          <w:lang w:val="en-AU"/>
        </w:rPr>
        <w:t>PS 520, including those requirements that apply specifically to the Appointed Actuary.</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29" w:name="_Ref92708030"/>
      <w:bookmarkEnd w:id="28"/>
      <w:r w:rsidRPr="00C23169">
        <w:rPr>
          <w:b w:val="0"/>
          <w:szCs w:val="24"/>
          <w:lang w:val="en-AU"/>
        </w:rPr>
        <w:lastRenderedPageBreak/>
        <w:t>A life company must ensure that its Appointed Actuary has access to all relevant data, information, reports and staff of the life company (and must take all reasonable steps to ensure access to contractors of the life company) that its Appointed Actuary reasonably believes are necessary to fulfil his or her responsibilities.</w:t>
      </w:r>
      <w:r w:rsidRPr="00C23169">
        <w:rPr>
          <w:rStyle w:val="FootnoteReference"/>
          <w:b w:val="0"/>
        </w:rPr>
        <w:footnoteReference w:id="3"/>
      </w:r>
      <w:r w:rsidRPr="00C23169">
        <w:rPr>
          <w:b w:val="0"/>
          <w:szCs w:val="24"/>
          <w:lang w:val="en-AU"/>
        </w:rPr>
        <w:t xml:space="preserve"> This will include access to the life company’s </w:t>
      </w:r>
      <w:r w:rsidRPr="00D20C75">
        <w:rPr>
          <w:szCs w:val="24"/>
          <w:lang w:val="en-AU"/>
        </w:rPr>
        <w:t>Board</w:t>
      </w:r>
      <w:r w:rsidRPr="00C23169">
        <w:rPr>
          <w:rStyle w:val="FootnoteReference"/>
          <w:b w:val="0"/>
        </w:rPr>
        <w:footnoteReference w:id="4"/>
      </w:r>
      <w:r w:rsidRPr="00C23169">
        <w:rPr>
          <w:b w:val="0"/>
          <w:szCs w:val="24"/>
        </w:rPr>
        <w:t>,</w:t>
      </w:r>
      <w:r w:rsidRPr="00C23169">
        <w:rPr>
          <w:b w:val="0"/>
          <w:szCs w:val="24"/>
          <w:lang w:val="en-AU"/>
        </w:rPr>
        <w:t xml:space="preserve"> Board </w:t>
      </w:r>
      <w:r w:rsidR="008E69A0">
        <w:rPr>
          <w:b w:val="0"/>
          <w:szCs w:val="24"/>
          <w:lang w:val="en-AU"/>
        </w:rPr>
        <w:t>c</w:t>
      </w:r>
      <w:r w:rsidRPr="00C23169">
        <w:rPr>
          <w:b w:val="0"/>
          <w:szCs w:val="24"/>
          <w:lang w:val="en-AU"/>
        </w:rPr>
        <w:t>ommittee</w:t>
      </w:r>
      <w:r w:rsidR="008E69A0">
        <w:rPr>
          <w:b w:val="0"/>
          <w:szCs w:val="24"/>
          <w:lang w:val="en-AU"/>
        </w:rPr>
        <w:t>s, if any,</w:t>
      </w:r>
      <w:r w:rsidRPr="00C23169">
        <w:rPr>
          <w:b w:val="0"/>
          <w:szCs w:val="24"/>
          <w:lang w:val="en-AU"/>
        </w:rPr>
        <w:t xml:space="preserve"> and internal auditors as required.</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30" w:name="_Ref319650890"/>
      <w:r w:rsidRPr="00C23169">
        <w:rPr>
          <w:b w:val="0"/>
          <w:szCs w:val="24"/>
          <w:lang w:val="en-AU"/>
        </w:rPr>
        <w:t xml:space="preserve">A life company must ensure that its Appointed Actuary is fully informed of all </w:t>
      </w:r>
      <w:r w:rsidRPr="003D1E06">
        <w:rPr>
          <w:szCs w:val="24"/>
          <w:lang w:val="en-AU"/>
        </w:rPr>
        <w:t>prudential requirements</w:t>
      </w:r>
      <w:r w:rsidRPr="00C23169">
        <w:rPr>
          <w:b w:val="0"/>
          <w:szCs w:val="24"/>
          <w:lang w:val="en-AU"/>
        </w:rPr>
        <w:t xml:space="preserve"> applicable to the life company. In addition, the life company must ensure that the Appointed Actuary is provided with any other information APRA has provided to the life company that may assist the Appointed Actuary in fulfilling his or her role and responsibilities under this Prudential Standard.</w:t>
      </w:r>
      <w:bookmarkEnd w:id="30"/>
    </w:p>
    <w:p w:rsidR="0070393A" w:rsidRPr="00C23169" w:rsidRDefault="0070393A" w:rsidP="00E555E0">
      <w:pPr>
        <w:pStyle w:val="Heading3"/>
      </w:pPr>
      <w:bookmarkStart w:id="31" w:name="_Toc214338171"/>
      <w:bookmarkStart w:id="32" w:name="_Toc248204419"/>
      <w:bookmarkStart w:id="33" w:name="_Ref86201071"/>
      <w:bookmarkStart w:id="34" w:name="_Ref214262128"/>
      <w:bookmarkStart w:id="35" w:name="_Ref86201335"/>
      <w:bookmarkEnd w:id="29"/>
      <w:r w:rsidRPr="00C23169">
        <w:t>Financial Condition Report</w:t>
      </w:r>
      <w:bookmarkEnd w:id="31"/>
      <w:bookmarkEnd w:id="32"/>
      <w:r w:rsidRPr="00C23169">
        <w:t xml:space="preserve"> </w:t>
      </w:r>
    </w:p>
    <w:p w:rsidR="00CF4E4A" w:rsidRPr="00C23169" w:rsidRDefault="00CF4E4A" w:rsidP="00E555E0">
      <w:pPr>
        <w:pStyle w:val="BodyText"/>
        <w:numPr>
          <w:ilvl w:val="0"/>
          <w:numId w:val="30"/>
        </w:numPr>
        <w:tabs>
          <w:tab w:val="clear" w:pos="360"/>
          <w:tab w:val="num" w:pos="600"/>
        </w:tabs>
        <w:spacing w:after="240"/>
        <w:ind w:left="600" w:hanging="600"/>
        <w:jc w:val="both"/>
        <w:rPr>
          <w:b w:val="0"/>
          <w:szCs w:val="24"/>
          <w:lang w:val="en-AU"/>
        </w:rPr>
      </w:pPr>
      <w:bookmarkStart w:id="36" w:name="_Ref323212938"/>
      <w:bookmarkStart w:id="37" w:name="_Ref214706495"/>
      <w:r w:rsidRPr="00C23169">
        <w:rPr>
          <w:b w:val="0"/>
          <w:szCs w:val="24"/>
          <w:lang w:val="en-AU"/>
        </w:rPr>
        <w:t>A life company must arrange for its Appointed Actuary to:</w:t>
      </w:r>
      <w:bookmarkEnd w:id="36"/>
    </w:p>
    <w:p w:rsidR="00CF4E4A" w:rsidRPr="00C23169" w:rsidRDefault="00CF4E4A" w:rsidP="00E555E0">
      <w:pPr>
        <w:pStyle w:val="indenta"/>
        <w:numPr>
          <w:ilvl w:val="0"/>
          <w:numId w:val="28"/>
        </w:numPr>
        <w:tabs>
          <w:tab w:val="clear" w:pos="1134"/>
          <w:tab w:val="clear" w:pos="1531"/>
          <w:tab w:val="num" w:pos="1200"/>
        </w:tabs>
        <w:spacing w:before="0" w:after="240" w:line="240" w:lineRule="auto"/>
        <w:ind w:left="1200" w:hanging="600"/>
        <w:rPr>
          <w:rFonts w:ascii="Times New Roman" w:hAnsi="Times New Roman"/>
          <w:sz w:val="24"/>
          <w:szCs w:val="24"/>
        </w:rPr>
      </w:pPr>
      <w:r w:rsidRPr="00C23169">
        <w:rPr>
          <w:rFonts w:ascii="Times New Roman" w:hAnsi="Times New Roman"/>
          <w:sz w:val="24"/>
          <w:szCs w:val="24"/>
        </w:rPr>
        <w:t xml:space="preserve">investigate the financial condition </w:t>
      </w:r>
      <w:r w:rsidR="00443181" w:rsidRPr="00C23169">
        <w:rPr>
          <w:rFonts w:ascii="Times New Roman" w:hAnsi="Times New Roman"/>
          <w:sz w:val="24"/>
          <w:szCs w:val="24"/>
        </w:rPr>
        <w:t xml:space="preserve">as at the end of the financial year of the company </w:t>
      </w:r>
      <w:r w:rsidRPr="00C23169">
        <w:rPr>
          <w:rFonts w:ascii="Times New Roman" w:hAnsi="Times New Roman"/>
          <w:sz w:val="24"/>
          <w:szCs w:val="24"/>
        </w:rPr>
        <w:t>of:</w:t>
      </w:r>
    </w:p>
    <w:p w:rsidR="00CF4E4A" w:rsidRPr="00C23169" w:rsidRDefault="00CF4E4A" w:rsidP="00E555E0">
      <w:pPr>
        <w:pStyle w:val="paragraphsub"/>
        <w:numPr>
          <w:ilvl w:val="1"/>
          <w:numId w:val="27"/>
        </w:numPr>
        <w:tabs>
          <w:tab w:val="clear" w:pos="1701"/>
          <w:tab w:val="num" w:pos="1800"/>
        </w:tabs>
        <w:spacing w:before="0" w:after="240"/>
        <w:ind w:left="1800" w:hanging="600"/>
        <w:jc w:val="both"/>
        <w:rPr>
          <w:sz w:val="24"/>
          <w:szCs w:val="24"/>
        </w:rPr>
      </w:pPr>
      <w:r w:rsidRPr="00C23169">
        <w:rPr>
          <w:sz w:val="24"/>
          <w:szCs w:val="24"/>
        </w:rPr>
        <w:t xml:space="preserve">each of its statutory funds; </w:t>
      </w:r>
    </w:p>
    <w:p w:rsidR="00CF4E4A" w:rsidRPr="00C23169" w:rsidRDefault="00CF4E4A" w:rsidP="00E555E0">
      <w:pPr>
        <w:pStyle w:val="paragraphsub"/>
        <w:numPr>
          <w:ilvl w:val="1"/>
          <w:numId w:val="27"/>
        </w:numPr>
        <w:tabs>
          <w:tab w:val="clear" w:pos="1701"/>
          <w:tab w:val="num" w:pos="1800"/>
        </w:tabs>
        <w:spacing w:before="0" w:after="240"/>
        <w:ind w:left="1800" w:hanging="600"/>
        <w:jc w:val="both"/>
        <w:rPr>
          <w:sz w:val="24"/>
          <w:szCs w:val="24"/>
        </w:rPr>
      </w:pPr>
      <w:r w:rsidRPr="00C23169">
        <w:rPr>
          <w:sz w:val="24"/>
          <w:szCs w:val="24"/>
        </w:rPr>
        <w:t xml:space="preserve">the general </w:t>
      </w:r>
      <w:r w:rsidR="00443181" w:rsidRPr="00C23169">
        <w:rPr>
          <w:sz w:val="24"/>
          <w:szCs w:val="24"/>
        </w:rPr>
        <w:t>fund</w:t>
      </w:r>
      <w:r w:rsidRPr="00C23169">
        <w:rPr>
          <w:sz w:val="24"/>
          <w:szCs w:val="24"/>
        </w:rPr>
        <w:t>; and</w:t>
      </w:r>
    </w:p>
    <w:p w:rsidR="00CF4E4A" w:rsidRPr="00C23169" w:rsidRDefault="00CF4E4A" w:rsidP="00E555E0">
      <w:pPr>
        <w:pStyle w:val="paragraphsub"/>
        <w:numPr>
          <w:ilvl w:val="1"/>
          <w:numId w:val="27"/>
        </w:numPr>
        <w:tabs>
          <w:tab w:val="clear" w:pos="1701"/>
          <w:tab w:val="num" w:pos="1800"/>
        </w:tabs>
        <w:spacing w:before="0" w:after="240"/>
        <w:ind w:left="1800" w:hanging="600"/>
        <w:jc w:val="both"/>
        <w:rPr>
          <w:sz w:val="24"/>
          <w:szCs w:val="24"/>
        </w:rPr>
      </w:pPr>
      <w:r w:rsidRPr="00C23169">
        <w:rPr>
          <w:sz w:val="24"/>
          <w:szCs w:val="24"/>
        </w:rPr>
        <w:t>the company</w:t>
      </w:r>
      <w:r w:rsidR="00EA2FD3" w:rsidRPr="00C23169">
        <w:rPr>
          <w:sz w:val="24"/>
          <w:szCs w:val="24"/>
        </w:rPr>
        <w:t xml:space="preserve"> as a whole;</w:t>
      </w:r>
      <w:r w:rsidR="00443181" w:rsidRPr="00C23169">
        <w:rPr>
          <w:sz w:val="24"/>
          <w:szCs w:val="24"/>
        </w:rPr>
        <w:t xml:space="preserve"> and</w:t>
      </w:r>
    </w:p>
    <w:p w:rsidR="00CF4E4A" w:rsidRPr="00C23169" w:rsidRDefault="00CF4E4A" w:rsidP="00E555E0">
      <w:pPr>
        <w:pStyle w:val="indenta"/>
        <w:numPr>
          <w:ilvl w:val="0"/>
          <w:numId w:val="28"/>
        </w:numPr>
        <w:tabs>
          <w:tab w:val="clear" w:pos="1531"/>
        </w:tabs>
        <w:spacing w:before="0" w:after="240" w:line="240" w:lineRule="auto"/>
        <w:rPr>
          <w:rFonts w:ascii="Times New Roman" w:hAnsi="Times New Roman"/>
          <w:sz w:val="24"/>
          <w:szCs w:val="24"/>
        </w:rPr>
      </w:pPr>
      <w:r w:rsidRPr="00C23169">
        <w:rPr>
          <w:rFonts w:ascii="Times New Roman" w:hAnsi="Times New Roman"/>
          <w:sz w:val="24"/>
          <w:szCs w:val="24"/>
        </w:rPr>
        <w:t>give the company a written report of the results of the investigation.</w:t>
      </w:r>
    </w:p>
    <w:p w:rsidR="0070393A" w:rsidRPr="00C23169" w:rsidRDefault="0070393A" w:rsidP="00E555E0">
      <w:pPr>
        <w:pStyle w:val="BodyText"/>
        <w:numPr>
          <w:ilvl w:val="0"/>
          <w:numId w:val="30"/>
        </w:numPr>
        <w:tabs>
          <w:tab w:val="clear" w:pos="360"/>
          <w:tab w:val="num" w:pos="600"/>
        </w:tabs>
        <w:spacing w:after="240"/>
        <w:ind w:left="600" w:hanging="600"/>
        <w:jc w:val="both"/>
        <w:rPr>
          <w:b w:val="0"/>
          <w:szCs w:val="24"/>
          <w:lang w:val="en-AU"/>
        </w:rPr>
      </w:pPr>
      <w:bookmarkStart w:id="38" w:name="_Ref214707755"/>
      <w:bookmarkEnd w:id="37"/>
      <w:r w:rsidRPr="00C23169">
        <w:rPr>
          <w:b w:val="0"/>
          <w:szCs w:val="24"/>
          <w:lang w:val="en-AU"/>
        </w:rPr>
        <w:t xml:space="preserve">The investigation required under paragraph </w:t>
      </w:r>
      <w:r w:rsidR="007D6B9D" w:rsidRPr="00C23169">
        <w:rPr>
          <w:b w:val="0"/>
          <w:szCs w:val="24"/>
          <w:lang w:val="en-AU"/>
        </w:rPr>
        <w:fldChar w:fldCharType="begin"/>
      </w:r>
      <w:r w:rsidR="007D6B9D" w:rsidRPr="00C23169">
        <w:rPr>
          <w:b w:val="0"/>
          <w:szCs w:val="24"/>
          <w:lang w:val="en-AU"/>
        </w:rPr>
        <w:instrText xml:space="preserve"> REF _Ref323212938 \r \h </w:instrText>
      </w:r>
      <w:r w:rsidR="0059679E" w:rsidRPr="00C23169">
        <w:rPr>
          <w:b w:val="0"/>
          <w:szCs w:val="24"/>
          <w:lang w:val="en-AU"/>
        </w:rPr>
        <w:instrText xml:space="preserve"> \* MERGEFORMAT </w:instrText>
      </w:r>
      <w:r w:rsidR="007D6B9D" w:rsidRPr="00C23169">
        <w:rPr>
          <w:b w:val="0"/>
          <w:szCs w:val="24"/>
          <w:lang w:val="en-AU"/>
        </w:rPr>
      </w:r>
      <w:r w:rsidR="007D6B9D" w:rsidRPr="00C23169">
        <w:rPr>
          <w:b w:val="0"/>
          <w:szCs w:val="24"/>
          <w:lang w:val="en-AU"/>
        </w:rPr>
        <w:fldChar w:fldCharType="separate"/>
      </w:r>
      <w:r w:rsidR="00515834">
        <w:rPr>
          <w:b w:val="0"/>
          <w:szCs w:val="24"/>
          <w:lang w:val="en-AU"/>
        </w:rPr>
        <w:t>11</w:t>
      </w:r>
      <w:r w:rsidR="007D6B9D" w:rsidRPr="00C23169">
        <w:rPr>
          <w:b w:val="0"/>
          <w:szCs w:val="24"/>
          <w:lang w:val="en-AU"/>
        </w:rPr>
        <w:fldChar w:fldCharType="end"/>
      </w:r>
      <w:r w:rsidR="00CD02B2" w:rsidRPr="00C23169">
        <w:rPr>
          <w:b w:val="0"/>
          <w:szCs w:val="24"/>
          <w:lang w:val="en-AU"/>
        </w:rPr>
        <w:t xml:space="preserve"> </w:t>
      </w:r>
      <w:r w:rsidRPr="00C23169">
        <w:rPr>
          <w:b w:val="0"/>
          <w:szCs w:val="24"/>
          <w:lang w:val="en-AU"/>
        </w:rPr>
        <w:t xml:space="preserve">must be carried out with regard to all the prudential </w:t>
      </w:r>
      <w:r w:rsidR="00CF4E4A" w:rsidRPr="00C23169">
        <w:rPr>
          <w:b w:val="0"/>
          <w:szCs w:val="24"/>
          <w:lang w:val="en-AU"/>
        </w:rPr>
        <w:t xml:space="preserve">requirements </w:t>
      </w:r>
      <w:r w:rsidRPr="00C23169">
        <w:rPr>
          <w:b w:val="0"/>
          <w:szCs w:val="24"/>
          <w:lang w:val="en-AU"/>
        </w:rPr>
        <w:t>applicable to the life company and include:</w:t>
      </w:r>
      <w:bookmarkEnd w:id="38"/>
    </w:p>
    <w:p w:rsidR="0070393A" w:rsidRPr="00C23169" w:rsidRDefault="00D00BCE" w:rsidP="00E555E0">
      <w:pPr>
        <w:pStyle w:val="indenta"/>
        <w:numPr>
          <w:ilvl w:val="0"/>
          <w:numId w:val="25"/>
        </w:numPr>
        <w:tabs>
          <w:tab w:val="clear" w:pos="1134"/>
          <w:tab w:val="clear" w:pos="1531"/>
          <w:tab w:val="num" w:pos="1200"/>
        </w:tabs>
        <w:spacing w:before="0" w:after="240" w:line="240" w:lineRule="auto"/>
        <w:ind w:left="1200" w:hanging="600"/>
        <w:rPr>
          <w:rFonts w:ascii="Times New Roman" w:hAnsi="Times New Roman"/>
          <w:sz w:val="24"/>
          <w:szCs w:val="24"/>
        </w:rPr>
      </w:pPr>
      <w:r w:rsidRPr="00C23169">
        <w:rPr>
          <w:rFonts w:ascii="Times New Roman" w:hAnsi="Times New Roman"/>
          <w:sz w:val="24"/>
          <w:szCs w:val="24"/>
        </w:rPr>
        <w:t>advice to the life company regarding the</w:t>
      </w:r>
      <w:r w:rsidR="0070393A" w:rsidRPr="00C23169">
        <w:rPr>
          <w:rFonts w:ascii="Times New Roman" w:hAnsi="Times New Roman"/>
          <w:sz w:val="24"/>
          <w:szCs w:val="24"/>
        </w:rPr>
        <w:t xml:space="preserve"> valuation of the life company’s policy liabilities</w:t>
      </w:r>
      <w:r w:rsidR="00FE1E35" w:rsidRPr="00C23169">
        <w:rPr>
          <w:rFonts w:ascii="Times New Roman" w:hAnsi="Times New Roman"/>
          <w:sz w:val="24"/>
          <w:szCs w:val="24"/>
        </w:rPr>
        <w:t>,</w:t>
      </w:r>
      <w:r w:rsidR="00C11CA3" w:rsidRPr="00C23169">
        <w:rPr>
          <w:rFonts w:ascii="Times New Roman" w:hAnsi="Times New Roman"/>
          <w:sz w:val="24"/>
          <w:szCs w:val="24"/>
        </w:rPr>
        <w:t xml:space="preserve"> and</w:t>
      </w:r>
      <w:r w:rsidR="00C55D1B">
        <w:rPr>
          <w:rFonts w:ascii="Times New Roman" w:hAnsi="Times New Roman"/>
          <w:sz w:val="24"/>
          <w:szCs w:val="24"/>
        </w:rPr>
        <w:t xml:space="preserve"> </w:t>
      </w:r>
      <w:r w:rsidR="00C11CA3" w:rsidRPr="00C23169">
        <w:rPr>
          <w:rFonts w:ascii="Times New Roman" w:hAnsi="Times New Roman"/>
          <w:sz w:val="24"/>
          <w:szCs w:val="24"/>
        </w:rPr>
        <w:t xml:space="preserve">the calculation of the </w:t>
      </w:r>
      <w:r w:rsidR="00C11CA3" w:rsidRPr="00C23169">
        <w:rPr>
          <w:rFonts w:ascii="Times New Roman" w:hAnsi="Times New Roman"/>
          <w:b/>
          <w:sz w:val="24"/>
          <w:szCs w:val="24"/>
        </w:rPr>
        <w:t>capital base</w:t>
      </w:r>
      <w:r w:rsidR="00C11CA3" w:rsidRPr="00C23169">
        <w:rPr>
          <w:rFonts w:ascii="Times New Roman" w:hAnsi="Times New Roman"/>
          <w:sz w:val="24"/>
          <w:szCs w:val="24"/>
        </w:rPr>
        <w:t xml:space="preserve"> and </w:t>
      </w:r>
      <w:r w:rsidR="00C11CA3" w:rsidRPr="00C23169">
        <w:rPr>
          <w:rFonts w:ascii="Times New Roman" w:hAnsi="Times New Roman"/>
          <w:b/>
          <w:sz w:val="24"/>
          <w:szCs w:val="24"/>
        </w:rPr>
        <w:t>prescribed capital amount</w:t>
      </w:r>
      <w:r w:rsidR="00C11CA3" w:rsidRPr="00C23169">
        <w:rPr>
          <w:rFonts w:ascii="Times New Roman" w:hAnsi="Times New Roman"/>
          <w:sz w:val="24"/>
          <w:szCs w:val="24"/>
        </w:rPr>
        <w:t xml:space="preserve"> </w:t>
      </w:r>
      <w:r w:rsidR="00EC2276" w:rsidRPr="00C23169">
        <w:rPr>
          <w:rFonts w:ascii="Times New Roman" w:hAnsi="Times New Roman"/>
          <w:sz w:val="24"/>
          <w:szCs w:val="24"/>
        </w:rPr>
        <w:t xml:space="preserve">as described in paragraph </w:t>
      </w:r>
      <w:r w:rsidR="007D6B9D" w:rsidRPr="00C23169">
        <w:rPr>
          <w:rFonts w:ascii="Times New Roman" w:hAnsi="Times New Roman"/>
          <w:sz w:val="24"/>
          <w:szCs w:val="24"/>
        </w:rPr>
        <w:fldChar w:fldCharType="begin"/>
      </w:r>
      <w:r w:rsidR="007D6B9D" w:rsidRPr="00C23169">
        <w:rPr>
          <w:rFonts w:ascii="Times New Roman" w:hAnsi="Times New Roman"/>
          <w:sz w:val="24"/>
          <w:szCs w:val="24"/>
        </w:rPr>
        <w:instrText xml:space="preserve"> REF _Ref323213046 \r \h </w:instrText>
      </w:r>
      <w:r w:rsidR="0059679E" w:rsidRPr="00C23169">
        <w:rPr>
          <w:rFonts w:ascii="Times New Roman" w:hAnsi="Times New Roman"/>
          <w:sz w:val="24"/>
          <w:szCs w:val="24"/>
        </w:rPr>
        <w:instrText xml:space="preserve"> \* MERGEFORMAT </w:instrText>
      </w:r>
      <w:r w:rsidR="007D6B9D" w:rsidRPr="00C23169">
        <w:rPr>
          <w:rFonts w:ascii="Times New Roman" w:hAnsi="Times New Roman"/>
          <w:sz w:val="24"/>
          <w:szCs w:val="24"/>
        </w:rPr>
      </w:r>
      <w:r w:rsidR="007D6B9D" w:rsidRPr="00C23169">
        <w:rPr>
          <w:rFonts w:ascii="Times New Roman" w:hAnsi="Times New Roman"/>
          <w:sz w:val="24"/>
          <w:szCs w:val="24"/>
        </w:rPr>
        <w:fldChar w:fldCharType="separate"/>
      </w:r>
      <w:r w:rsidR="00515834">
        <w:rPr>
          <w:rFonts w:ascii="Times New Roman" w:hAnsi="Times New Roman"/>
          <w:sz w:val="24"/>
          <w:szCs w:val="24"/>
        </w:rPr>
        <w:t>22</w:t>
      </w:r>
      <w:r w:rsidR="007D6B9D" w:rsidRPr="00C23169">
        <w:rPr>
          <w:rFonts w:ascii="Times New Roman" w:hAnsi="Times New Roman"/>
          <w:sz w:val="24"/>
          <w:szCs w:val="24"/>
        </w:rPr>
        <w:fldChar w:fldCharType="end"/>
      </w:r>
      <w:r w:rsidR="0070393A" w:rsidRPr="00C23169">
        <w:rPr>
          <w:rFonts w:ascii="Times New Roman" w:hAnsi="Times New Roman"/>
          <w:sz w:val="24"/>
          <w:szCs w:val="24"/>
        </w:rPr>
        <w:t>;</w:t>
      </w:r>
    </w:p>
    <w:p w:rsidR="00D00BCE" w:rsidRPr="00C23169" w:rsidRDefault="00D00BCE" w:rsidP="00E555E0">
      <w:pPr>
        <w:pStyle w:val="indenta"/>
        <w:numPr>
          <w:ilvl w:val="0"/>
          <w:numId w:val="25"/>
        </w:numPr>
        <w:tabs>
          <w:tab w:val="clear" w:pos="1134"/>
          <w:tab w:val="clear" w:pos="1531"/>
          <w:tab w:val="num" w:pos="1200"/>
        </w:tabs>
        <w:spacing w:before="0" w:after="240" w:line="240" w:lineRule="auto"/>
        <w:ind w:left="1200" w:hanging="600"/>
        <w:rPr>
          <w:rFonts w:ascii="Times New Roman" w:hAnsi="Times New Roman"/>
          <w:sz w:val="24"/>
          <w:szCs w:val="24"/>
        </w:rPr>
      </w:pPr>
      <w:r w:rsidRPr="00C23169">
        <w:rPr>
          <w:rFonts w:ascii="Times New Roman" w:hAnsi="Times New Roman"/>
          <w:sz w:val="24"/>
          <w:szCs w:val="24"/>
        </w:rPr>
        <w:t>an assessment of whether</w:t>
      </w:r>
      <w:r w:rsidR="00CF4E4A" w:rsidRPr="00C23169">
        <w:rPr>
          <w:rFonts w:ascii="Times New Roman" w:hAnsi="Times New Roman"/>
          <w:sz w:val="24"/>
          <w:szCs w:val="24"/>
        </w:rPr>
        <w:t>, over the financial year concerned,</w:t>
      </w:r>
      <w:r w:rsidRPr="00C23169">
        <w:rPr>
          <w:rFonts w:ascii="Times New Roman" w:hAnsi="Times New Roman"/>
          <w:sz w:val="24"/>
          <w:szCs w:val="24"/>
        </w:rPr>
        <w:t xml:space="preserve"> the life company has </w:t>
      </w:r>
      <w:r w:rsidR="003945EE" w:rsidRPr="00C23169">
        <w:rPr>
          <w:rFonts w:ascii="Times New Roman" w:hAnsi="Times New Roman"/>
          <w:sz w:val="24"/>
          <w:szCs w:val="24"/>
        </w:rPr>
        <w:t xml:space="preserve">had </w:t>
      </w:r>
      <w:r w:rsidR="00BD4AEC" w:rsidRPr="00C23169">
        <w:rPr>
          <w:rFonts w:ascii="Times New Roman" w:hAnsi="Times New Roman"/>
          <w:sz w:val="24"/>
          <w:szCs w:val="24"/>
        </w:rPr>
        <w:t xml:space="preserve">in place </w:t>
      </w:r>
      <w:r w:rsidRPr="00C23169">
        <w:rPr>
          <w:rFonts w:ascii="Times New Roman" w:hAnsi="Times New Roman"/>
          <w:sz w:val="24"/>
          <w:szCs w:val="24"/>
        </w:rPr>
        <w:t xml:space="preserve">systems and processes to ensure that the payment of surrender values results in payment of at least the </w:t>
      </w:r>
      <w:r w:rsidR="00244E8B" w:rsidRPr="00C23169">
        <w:rPr>
          <w:rFonts w:ascii="Times New Roman" w:hAnsi="Times New Roman"/>
          <w:sz w:val="24"/>
          <w:szCs w:val="24"/>
        </w:rPr>
        <w:t xml:space="preserve">amount calculated under </w:t>
      </w:r>
      <w:r w:rsidR="00F12F3D" w:rsidRPr="00C23169">
        <w:rPr>
          <w:rFonts w:ascii="Times New Roman" w:hAnsi="Times New Roman"/>
          <w:i/>
          <w:sz w:val="24"/>
          <w:szCs w:val="24"/>
        </w:rPr>
        <w:t xml:space="preserve">Prudential Standard </w:t>
      </w:r>
      <w:r w:rsidR="00244E8B" w:rsidRPr="00C23169">
        <w:rPr>
          <w:rFonts w:ascii="Times New Roman" w:hAnsi="Times New Roman"/>
          <w:i/>
          <w:sz w:val="24"/>
          <w:szCs w:val="24"/>
        </w:rPr>
        <w:t>LPS 36</w:t>
      </w:r>
      <w:r w:rsidRPr="00C23169">
        <w:rPr>
          <w:rFonts w:ascii="Times New Roman" w:hAnsi="Times New Roman"/>
          <w:i/>
          <w:sz w:val="24"/>
          <w:szCs w:val="24"/>
        </w:rPr>
        <w:t>0</w:t>
      </w:r>
      <w:r w:rsidR="00244E8B" w:rsidRPr="00C23169">
        <w:rPr>
          <w:rFonts w:ascii="Times New Roman" w:hAnsi="Times New Roman"/>
          <w:i/>
          <w:sz w:val="24"/>
          <w:szCs w:val="24"/>
        </w:rPr>
        <w:t xml:space="preserve"> </w:t>
      </w:r>
      <w:r w:rsidR="000E25AC" w:rsidRPr="00C23169">
        <w:rPr>
          <w:rFonts w:ascii="Times New Roman" w:hAnsi="Times New Roman"/>
          <w:i/>
          <w:sz w:val="24"/>
          <w:szCs w:val="24"/>
        </w:rPr>
        <w:t xml:space="preserve">Termination Values, </w:t>
      </w:r>
      <w:r w:rsidR="00244E8B" w:rsidRPr="00C23169">
        <w:rPr>
          <w:rFonts w:ascii="Times New Roman" w:hAnsi="Times New Roman"/>
          <w:i/>
          <w:sz w:val="24"/>
          <w:szCs w:val="24"/>
        </w:rPr>
        <w:t>Minimum Surrender Values and Paid-up Values</w:t>
      </w:r>
      <w:r w:rsidR="003945EE" w:rsidRPr="00C23169">
        <w:rPr>
          <w:rFonts w:ascii="Times New Roman" w:hAnsi="Times New Roman"/>
          <w:sz w:val="24"/>
          <w:szCs w:val="24"/>
        </w:rPr>
        <w:t xml:space="preserve"> </w:t>
      </w:r>
      <w:r w:rsidR="003B1F85" w:rsidRPr="00C23169">
        <w:rPr>
          <w:rFonts w:ascii="Times New Roman" w:hAnsi="Times New Roman"/>
          <w:sz w:val="24"/>
          <w:szCs w:val="24"/>
        </w:rPr>
        <w:t>and that the requirements in respect of paid-up values have been complied with</w:t>
      </w:r>
      <w:r w:rsidR="00D23CCC" w:rsidRPr="00C23169">
        <w:rPr>
          <w:rStyle w:val="FootnoteReference"/>
          <w:rFonts w:ascii="Times New Roman" w:hAnsi="Times New Roman"/>
          <w:sz w:val="24"/>
          <w:szCs w:val="24"/>
        </w:rPr>
        <w:footnoteReference w:id="5"/>
      </w:r>
      <w:r w:rsidR="00873FCA">
        <w:rPr>
          <w:rFonts w:ascii="Times New Roman" w:hAnsi="Times New Roman"/>
          <w:sz w:val="24"/>
          <w:szCs w:val="24"/>
        </w:rPr>
        <w:t>;</w:t>
      </w:r>
    </w:p>
    <w:p w:rsidR="00244E8B" w:rsidRPr="00C23169" w:rsidRDefault="00244E8B" w:rsidP="00E555E0">
      <w:pPr>
        <w:pStyle w:val="indenta"/>
        <w:numPr>
          <w:ilvl w:val="0"/>
          <w:numId w:val="25"/>
        </w:numPr>
        <w:tabs>
          <w:tab w:val="clear" w:pos="1134"/>
          <w:tab w:val="clear" w:pos="1531"/>
          <w:tab w:val="num" w:pos="1200"/>
        </w:tabs>
        <w:spacing w:before="0" w:after="240" w:line="240" w:lineRule="auto"/>
        <w:ind w:left="1200" w:hanging="600"/>
        <w:rPr>
          <w:rFonts w:ascii="Times New Roman" w:hAnsi="Times New Roman"/>
          <w:sz w:val="24"/>
          <w:szCs w:val="24"/>
        </w:rPr>
      </w:pPr>
      <w:r w:rsidRPr="00C23169">
        <w:rPr>
          <w:rFonts w:ascii="Times New Roman" w:hAnsi="Times New Roman"/>
          <w:sz w:val="24"/>
          <w:szCs w:val="24"/>
        </w:rPr>
        <w:t xml:space="preserve">an assessment of the cost of any investment performance guarantees within the meaning of </w:t>
      </w:r>
      <w:r w:rsidR="00F12F3D" w:rsidRPr="00C23169">
        <w:rPr>
          <w:rFonts w:ascii="Times New Roman" w:hAnsi="Times New Roman"/>
          <w:i/>
          <w:sz w:val="24"/>
          <w:szCs w:val="24"/>
        </w:rPr>
        <w:t xml:space="preserve">Prudential Standard </w:t>
      </w:r>
      <w:r w:rsidRPr="00C23169">
        <w:rPr>
          <w:rFonts w:ascii="Times New Roman" w:hAnsi="Times New Roman"/>
          <w:i/>
          <w:sz w:val="24"/>
          <w:szCs w:val="24"/>
        </w:rPr>
        <w:t>LPS 370 Cost of Investment Performance Guarantees</w:t>
      </w:r>
      <w:r w:rsidRPr="00C23169">
        <w:rPr>
          <w:rFonts w:ascii="Times New Roman" w:hAnsi="Times New Roman"/>
          <w:sz w:val="24"/>
          <w:szCs w:val="24"/>
        </w:rPr>
        <w:t xml:space="preserve"> and whether </w:t>
      </w:r>
      <w:r w:rsidR="00BD4AEC" w:rsidRPr="00C23169">
        <w:rPr>
          <w:rFonts w:ascii="Times New Roman" w:hAnsi="Times New Roman"/>
          <w:sz w:val="24"/>
          <w:szCs w:val="24"/>
        </w:rPr>
        <w:t xml:space="preserve">the life company has complied </w:t>
      </w:r>
      <w:r w:rsidRPr="00C23169">
        <w:rPr>
          <w:rFonts w:ascii="Times New Roman" w:hAnsi="Times New Roman"/>
          <w:sz w:val="24"/>
          <w:szCs w:val="24"/>
        </w:rPr>
        <w:lastRenderedPageBreak/>
        <w:t xml:space="preserve">with that </w:t>
      </w:r>
      <w:r w:rsidR="003945EE" w:rsidRPr="00C23169">
        <w:rPr>
          <w:rFonts w:ascii="Times New Roman" w:hAnsi="Times New Roman"/>
          <w:sz w:val="24"/>
          <w:szCs w:val="24"/>
        </w:rPr>
        <w:t>Prudential S</w:t>
      </w:r>
      <w:r w:rsidRPr="00C23169">
        <w:rPr>
          <w:rFonts w:ascii="Times New Roman" w:hAnsi="Times New Roman"/>
          <w:sz w:val="24"/>
          <w:szCs w:val="24"/>
        </w:rPr>
        <w:t xml:space="preserve">tandard </w:t>
      </w:r>
      <w:r w:rsidR="00BD4AEC" w:rsidRPr="00C23169">
        <w:rPr>
          <w:rFonts w:ascii="Times New Roman" w:hAnsi="Times New Roman"/>
          <w:sz w:val="24"/>
          <w:szCs w:val="24"/>
        </w:rPr>
        <w:t xml:space="preserve">in respect of each relevant statutory fund </w:t>
      </w:r>
      <w:r w:rsidRPr="00C23169">
        <w:rPr>
          <w:rFonts w:ascii="Times New Roman" w:hAnsi="Times New Roman"/>
          <w:sz w:val="24"/>
          <w:szCs w:val="24"/>
        </w:rPr>
        <w:t>during the financial year concerned;</w:t>
      </w:r>
    </w:p>
    <w:p w:rsidR="00EB21FF" w:rsidRPr="00C23169" w:rsidRDefault="0070393A" w:rsidP="00E555E0">
      <w:pPr>
        <w:pStyle w:val="indenta"/>
        <w:numPr>
          <w:ilvl w:val="0"/>
          <w:numId w:val="25"/>
        </w:numPr>
        <w:tabs>
          <w:tab w:val="clear" w:pos="1134"/>
          <w:tab w:val="clear" w:pos="1531"/>
          <w:tab w:val="num" w:pos="1200"/>
        </w:tabs>
        <w:spacing w:before="0" w:after="240" w:line="240" w:lineRule="auto"/>
        <w:ind w:left="1200" w:hanging="600"/>
        <w:rPr>
          <w:rFonts w:ascii="Times New Roman" w:hAnsi="Times New Roman"/>
          <w:sz w:val="24"/>
          <w:szCs w:val="24"/>
        </w:rPr>
      </w:pPr>
      <w:r w:rsidRPr="00C23169">
        <w:rPr>
          <w:rFonts w:ascii="Times New Roman" w:hAnsi="Times New Roman"/>
          <w:sz w:val="24"/>
          <w:szCs w:val="24"/>
        </w:rPr>
        <w:t>an assessment, in relation to</w:t>
      </w:r>
      <w:r w:rsidR="00EB21FF" w:rsidRPr="00C23169">
        <w:rPr>
          <w:rFonts w:ascii="Times New Roman" w:hAnsi="Times New Roman"/>
          <w:sz w:val="24"/>
          <w:szCs w:val="24"/>
        </w:rPr>
        <w:t>:</w:t>
      </w:r>
    </w:p>
    <w:p w:rsidR="00EB21FF" w:rsidRPr="00C23169" w:rsidRDefault="0070393A" w:rsidP="00E555E0">
      <w:pPr>
        <w:pStyle w:val="indenta"/>
        <w:numPr>
          <w:ilvl w:val="0"/>
          <w:numId w:val="44"/>
        </w:numPr>
        <w:tabs>
          <w:tab w:val="clear" w:pos="1134"/>
          <w:tab w:val="clear" w:pos="1531"/>
          <w:tab w:val="num" w:pos="1701"/>
        </w:tabs>
        <w:spacing w:before="0" w:after="240" w:line="240" w:lineRule="auto"/>
        <w:ind w:left="1701"/>
        <w:rPr>
          <w:rFonts w:ascii="Times New Roman" w:hAnsi="Times New Roman"/>
          <w:sz w:val="24"/>
          <w:szCs w:val="24"/>
        </w:rPr>
      </w:pPr>
      <w:r w:rsidRPr="00C23169">
        <w:rPr>
          <w:rFonts w:ascii="Times New Roman" w:hAnsi="Times New Roman"/>
          <w:sz w:val="24"/>
          <w:szCs w:val="24"/>
        </w:rPr>
        <w:t>each statutory fund</w:t>
      </w:r>
      <w:r w:rsidR="00EB21FF" w:rsidRPr="00C23169">
        <w:rPr>
          <w:rFonts w:ascii="Times New Roman" w:hAnsi="Times New Roman"/>
          <w:sz w:val="24"/>
          <w:szCs w:val="24"/>
        </w:rPr>
        <w:t>;</w:t>
      </w:r>
      <w:r w:rsidRPr="00C23169">
        <w:rPr>
          <w:rFonts w:ascii="Times New Roman" w:hAnsi="Times New Roman"/>
          <w:sz w:val="24"/>
          <w:szCs w:val="24"/>
        </w:rPr>
        <w:t xml:space="preserve"> </w:t>
      </w:r>
    </w:p>
    <w:p w:rsidR="00EB21FF" w:rsidRPr="00C23169" w:rsidRDefault="00EB21FF" w:rsidP="00E555E0">
      <w:pPr>
        <w:pStyle w:val="indenta"/>
        <w:numPr>
          <w:ilvl w:val="0"/>
          <w:numId w:val="44"/>
        </w:numPr>
        <w:tabs>
          <w:tab w:val="clear" w:pos="1134"/>
          <w:tab w:val="clear" w:pos="1531"/>
          <w:tab w:val="num" w:pos="1701"/>
        </w:tabs>
        <w:spacing w:before="0" w:after="240" w:line="240" w:lineRule="auto"/>
        <w:ind w:left="1701"/>
        <w:rPr>
          <w:rFonts w:ascii="Times New Roman" w:hAnsi="Times New Roman"/>
          <w:sz w:val="24"/>
          <w:szCs w:val="24"/>
        </w:rPr>
      </w:pPr>
      <w:r w:rsidRPr="00C23169">
        <w:rPr>
          <w:rFonts w:ascii="Times New Roman" w:hAnsi="Times New Roman"/>
          <w:sz w:val="24"/>
          <w:szCs w:val="24"/>
        </w:rPr>
        <w:t xml:space="preserve">the </w:t>
      </w:r>
      <w:r w:rsidR="00CF4E4A" w:rsidRPr="00C23169">
        <w:rPr>
          <w:rFonts w:ascii="Times New Roman" w:hAnsi="Times New Roman"/>
          <w:sz w:val="24"/>
          <w:szCs w:val="24"/>
        </w:rPr>
        <w:t>general fund;</w:t>
      </w:r>
      <w:r w:rsidRPr="00C23169">
        <w:rPr>
          <w:rFonts w:ascii="Times New Roman" w:hAnsi="Times New Roman"/>
          <w:sz w:val="24"/>
          <w:szCs w:val="24"/>
        </w:rPr>
        <w:t xml:space="preserve"> and</w:t>
      </w:r>
    </w:p>
    <w:p w:rsidR="00EB21FF" w:rsidRPr="00C23169" w:rsidRDefault="00EB21FF" w:rsidP="00E555E0">
      <w:pPr>
        <w:pStyle w:val="indenta"/>
        <w:numPr>
          <w:ilvl w:val="0"/>
          <w:numId w:val="44"/>
        </w:numPr>
        <w:tabs>
          <w:tab w:val="clear" w:pos="1134"/>
          <w:tab w:val="clear" w:pos="1531"/>
          <w:tab w:val="num" w:pos="1701"/>
        </w:tabs>
        <w:spacing w:before="0" w:after="240" w:line="240" w:lineRule="auto"/>
        <w:ind w:left="1701"/>
        <w:rPr>
          <w:rFonts w:ascii="Times New Roman" w:hAnsi="Times New Roman"/>
          <w:sz w:val="24"/>
          <w:szCs w:val="24"/>
        </w:rPr>
      </w:pPr>
      <w:r w:rsidRPr="00C23169">
        <w:rPr>
          <w:rFonts w:ascii="Times New Roman" w:hAnsi="Times New Roman"/>
          <w:sz w:val="24"/>
          <w:szCs w:val="24"/>
        </w:rPr>
        <w:t>the life company as a whole</w:t>
      </w:r>
    </w:p>
    <w:p w:rsidR="003945EE" w:rsidRPr="00C23169" w:rsidRDefault="0070393A" w:rsidP="00E555E0">
      <w:pPr>
        <w:pStyle w:val="indenta"/>
        <w:tabs>
          <w:tab w:val="clear" w:pos="1531"/>
        </w:tabs>
        <w:spacing w:before="0" w:after="240" w:line="240" w:lineRule="auto"/>
        <w:ind w:left="1134" w:firstLine="0"/>
        <w:rPr>
          <w:rFonts w:ascii="Times New Roman" w:hAnsi="Times New Roman"/>
          <w:sz w:val="24"/>
          <w:szCs w:val="24"/>
        </w:rPr>
      </w:pPr>
      <w:r w:rsidRPr="00C23169">
        <w:rPr>
          <w:rFonts w:ascii="Times New Roman" w:hAnsi="Times New Roman"/>
          <w:sz w:val="24"/>
          <w:szCs w:val="24"/>
        </w:rPr>
        <w:t>of the extent to which the life company has complied, during the financial year concerned, with</w:t>
      </w:r>
      <w:r w:rsidR="003945EE" w:rsidRPr="00C23169">
        <w:rPr>
          <w:rFonts w:ascii="Times New Roman" w:hAnsi="Times New Roman"/>
          <w:sz w:val="24"/>
          <w:szCs w:val="24"/>
        </w:rPr>
        <w:t>:</w:t>
      </w:r>
      <w:r w:rsidRPr="00C23169">
        <w:rPr>
          <w:rFonts w:ascii="Times New Roman" w:hAnsi="Times New Roman"/>
          <w:sz w:val="24"/>
          <w:szCs w:val="24"/>
        </w:rPr>
        <w:t xml:space="preserve"> </w:t>
      </w:r>
    </w:p>
    <w:p w:rsidR="0070393A" w:rsidRPr="00C23169" w:rsidRDefault="0070393A" w:rsidP="00E555E0">
      <w:pPr>
        <w:pStyle w:val="indenta"/>
        <w:numPr>
          <w:ilvl w:val="0"/>
          <w:numId w:val="44"/>
        </w:numPr>
        <w:tabs>
          <w:tab w:val="clear" w:pos="1134"/>
          <w:tab w:val="clear" w:pos="1531"/>
          <w:tab w:val="num" w:pos="1701"/>
        </w:tabs>
        <w:spacing w:before="0" w:after="240" w:line="240" w:lineRule="auto"/>
        <w:ind w:left="1701"/>
        <w:rPr>
          <w:rFonts w:ascii="Times New Roman" w:hAnsi="Times New Roman"/>
          <w:sz w:val="24"/>
          <w:szCs w:val="24"/>
        </w:rPr>
      </w:pPr>
      <w:r w:rsidRPr="00C23169">
        <w:rPr>
          <w:rFonts w:ascii="Times New Roman" w:hAnsi="Times New Roman"/>
          <w:sz w:val="24"/>
          <w:szCs w:val="24"/>
        </w:rPr>
        <w:t xml:space="preserve">the </w:t>
      </w:r>
      <w:r w:rsidR="00415AFA" w:rsidRPr="00C23169">
        <w:rPr>
          <w:rFonts w:ascii="Times New Roman" w:hAnsi="Times New Roman"/>
          <w:sz w:val="24"/>
          <w:szCs w:val="24"/>
        </w:rPr>
        <w:t>requirements of</w:t>
      </w:r>
      <w:r w:rsidR="00943418" w:rsidRPr="00C23169">
        <w:rPr>
          <w:rFonts w:ascii="Times New Roman" w:hAnsi="Times New Roman"/>
          <w:sz w:val="24"/>
          <w:szCs w:val="24"/>
        </w:rPr>
        <w:t xml:space="preserve"> the </w:t>
      </w:r>
      <w:r w:rsidR="00943418" w:rsidRPr="00C23169">
        <w:rPr>
          <w:rFonts w:ascii="Times New Roman" w:hAnsi="Times New Roman"/>
          <w:b/>
          <w:sz w:val="24"/>
          <w:szCs w:val="24"/>
        </w:rPr>
        <w:t xml:space="preserve">capital </w:t>
      </w:r>
      <w:r w:rsidR="00CA5C92">
        <w:rPr>
          <w:rFonts w:ascii="Times New Roman" w:hAnsi="Times New Roman"/>
          <w:b/>
          <w:sz w:val="24"/>
          <w:szCs w:val="24"/>
        </w:rPr>
        <w:t xml:space="preserve">adequacy </w:t>
      </w:r>
      <w:r w:rsidR="00943418" w:rsidRPr="00C23169">
        <w:rPr>
          <w:rFonts w:ascii="Times New Roman" w:hAnsi="Times New Roman"/>
          <w:b/>
          <w:sz w:val="24"/>
          <w:szCs w:val="24"/>
        </w:rPr>
        <w:t>standards</w:t>
      </w:r>
      <w:r w:rsidRPr="00C23169">
        <w:rPr>
          <w:rFonts w:ascii="Times New Roman" w:hAnsi="Times New Roman"/>
          <w:sz w:val="24"/>
          <w:szCs w:val="24"/>
        </w:rPr>
        <w:t xml:space="preserve">; </w:t>
      </w:r>
      <w:r w:rsidR="003945EE" w:rsidRPr="00C23169">
        <w:rPr>
          <w:rFonts w:ascii="Times New Roman" w:hAnsi="Times New Roman"/>
          <w:sz w:val="24"/>
          <w:szCs w:val="24"/>
        </w:rPr>
        <w:t>and</w:t>
      </w:r>
    </w:p>
    <w:p w:rsidR="0063216E" w:rsidRPr="00C23169" w:rsidRDefault="003945EE" w:rsidP="00E555E0">
      <w:pPr>
        <w:pStyle w:val="indenta"/>
        <w:numPr>
          <w:ilvl w:val="0"/>
          <w:numId w:val="44"/>
        </w:numPr>
        <w:tabs>
          <w:tab w:val="clear" w:pos="1134"/>
          <w:tab w:val="clear" w:pos="1531"/>
          <w:tab w:val="num" w:pos="1701"/>
        </w:tabs>
        <w:spacing w:before="0" w:after="240" w:line="240" w:lineRule="auto"/>
        <w:ind w:left="1701"/>
        <w:rPr>
          <w:rFonts w:ascii="Times New Roman" w:hAnsi="Times New Roman"/>
          <w:sz w:val="24"/>
          <w:szCs w:val="24"/>
        </w:rPr>
      </w:pPr>
      <w:r w:rsidRPr="00C23169">
        <w:rPr>
          <w:rFonts w:ascii="Times New Roman" w:hAnsi="Times New Roman"/>
          <w:sz w:val="24"/>
          <w:szCs w:val="24"/>
        </w:rPr>
        <w:t>any directions</w:t>
      </w:r>
      <w:r w:rsidR="0078354F" w:rsidRPr="00C23169">
        <w:rPr>
          <w:rStyle w:val="FootnoteReference"/>
          <w:rFonts w:ascii="Times New Roman" w:hAnsi="Times New Roman"/>
          <w:sz w:val="24"/>
          <w:szCs w:val="24"/>
        </w:rPr>
        <w:footnoteReference w:id="6"/>
      </w:r>
      <w:r w:rsidRPr="00C23169">
        <w:rPr>
          <w:rFonts w:ascii="Times New Roman" w:hAnsi="Times New Roman"/>
          <w:sz w:val="24"/>
          <w:szCs w:val="24"/>
        </w:rPr>
        <w:t xml:space="preserve"> </w:t>
      </w:r>
      <w:r w:rsidR="00BD4AEC" w:rsidRPr="00C23169">
        <w:rPr>
          <w:rFonts w:ascii="Times New Roman" w:hAnsi="Times New Roman"/>
          <w:sz w:val="24"/>
          <w:szCs w:val="24"/>
        </w:rPr>
        <w:t>or condition</w:t>
      </w:r>
      <w:r w:rsidR="00B73B83" w:rsidRPr="00C23169">
        <w:rPr>
          <w:rFonts w:ascii="Times New Roman" w:hAnsi="Times New Roman"/>
          <w:sz w:val="24"/>
          <w:szCs w:val="24"/>
        </w:rPr>
        <w:t>s</w:t>
      </w:r>
      <w:r w:rsidR="0078354F" w:rsidRPr="00C23169">
        <w:rPr>
          <w:rFonts w:ascii="Times New Roman" w:hAnsi="Times New Roman"/>
          <w:sz w:val="24"/>
          <w:szCs w:val="24"/>
        </w:rPr>
        <w:t xml:space="preserve"> of registration</w:t>
      </w:r>
      <w:r w:rsidR="0078354F" w:rsidRPr="00C23169">
        <w:rPr>
          <w:rStyle w:val="FootnoteReference"/>
          <w:rFonts w:ascii="Times New Roman" w:hAnsi="Times New Roman"/>
          <w:sz w:val="24"/>
          <w:szCs w:val="24"/>
        </w:rPr>
        <w:footnoteReference w:id="7"/>
      </w:r>
      <w:r w:rsidR="00BD4AEC" w:rsidRPr="00C23169">
        <w:rPr>
          <w:rFonts w:ascii="Times New Roman" w:hAnsi="Times New Roman"/>
          <w:sz w:val="24"/>
          <w:szCs w:val="24"/>
        </w:rPr>
        <w:t xml:space="preserve"> applicable</w:t>
      </w:r>
      <w:r w:rsidRPr="00C23169">
        <w:rPr>
          <w:rFonts w:ascii="Times New Roman" w:hAnsi="Times New Roman"/>
          <w:sz w:val="24"/>
          <w:szCs w:val="24"/>
        </w:rPr>
        <w:t xml:space="preserve"> to the life company under the Act; </w:t>
      </w:r>
    </w:p>
    <w:p w:rsidR="0063216E" w:rsidRPr="00C23169" w:rsidRDefault="0063216E" w:rsidP="00E555E0">
      <w:pPr>
        <w:pStyle w:val="indenta"/>
        <w:numPr>
          <w:ilvl w:val="0"/>
          <w:numId w:val="25"/>
        </w:numPr>
        <w:tabs>
          <w:tab w:val="clear" w:pos="1134"/>
          <w:tab w:val="clear" w:pos="1531"/>
          <w:tab w:val="num" w:pos="1200"/>
        </w:tabs>
        <w:spacing w:before="0" w:after="240" w:line="240" w:lineRule="auto"/>
        <w:ind w:left="1200" w:hanging="600"/>
        <w:rPr>
          <w:rStyle w:val="DeltaViewInsertion"/>
          <w:rFonts w:ascii="Times New Roman" w:hAnsi="Times New Roman"/>
          <w:color w:val="auto"/>
          <w:sz w:val="24"/>
          <w:szCs w:val="24"/>
          <w:u w:val="none"/>
        </w:rPr>
      </w:pPr>
      <w:r w:rsidRPr="00C23169">
        <w:rPr>
          <w:rStyle w:val="DeltaViewInsertion"/>
          <w:rFonts w:ascii="Times New Roman" w:hAnsi="Times New Roman"/>
          <w:color w:val="auto"/>
          <w:sz w:val="24"/>
          <w:szCs w:val="24"/>
          <w:u w:val="none"/>
        </w:rPr>
        <w:t>an assessment of the life company’s</w:t>
      </w:r>
      <w:r w:rsidR="000E7CE9">
        <w:rPr>
          <w:rStyle w:val="DeltaViewInsertion"/>
          <w:rFonts w:ascii="Times New Roman" w:hAnsi="Times New Roman"/>
          <w:color w:val="auto"/>
          <w:sz w:val="24"/>
          <w:szCs w:val="24"/>
          <w:u w:val="none"/>
        </w:rPr>
        <w:t xml:space="preserve"> </w:t>
      </w:r>
      <w:r w:rsidR="000E7CE9" w:rsidRPr="000E7CE9">
        <w:rPr>
          <w:rStyle w:val="DeltaViewInsertion"/>
          <w:rFonts w:ascii="Times New Roman" w:hAnsi="Times New Roman"/>
          <w:b/>
          <w:color w:val="auto"/>
          <w:sz w:val="24"/>
          <w:szCs w:val="24"/>
          <w:u w:val="none"/>
        </w:rPr>
        <w:t>Internal Capital Adequacy Assessment Process</w:t>
      </w:r>
      <w:r w:rsidRPr="00C23169">
        <w:rPr>
          <w:rStyle w:val="DeltaViewInsertion"/>
          <w:rFonts w:ascii="Times New Roman" w:hAnsi="Times New Roman"/>
          <w:color w:val="auto"/>
          <w:sz w:val="24"/>
          <w:szCs w:val="24"/>
          <w:u w:val="none"/>
        </w:rPr>
        <w:t>; and</w:t>
      </w:r>
    </w:p>
    <w:p w:rsidR="003945EE" w:rsidRPr="00C23169" w:rsidRDefault="003945EE" w:rsidP="00E555E0">
      <w:pPr>
        <w:pStyle w:val="indenta"/>
        <w:numPr>
          <w:ilvl w:val="0"/>
          <w:numId w:val="25"/>
        </w:numPr>
        <w:tabs>
          <w:tab w:val="clear" w:pos="1134"/>
          <w:tab w:val="clear" w:pos="1531"/>
          <w:tab w:val="num" w:pos="1200"/>
        </w:tabs>
        <w:spacing w:before="0" w:after="240" w:line="240" w:lineRule="auto"/>
        <w:ind w:left="1200" w:hanging="600"/>
        <w:rPr>
          <w:rFonts w:ascii="Times New Roman" w:hAnsi="Times New Roman"/>
          <w:sz w:val="24"/>
          <w:szCs w:val="24"/>
        </w:rPr>
      </w:pPr>
      <w:proofErr w:type="gramStart"/>
      <w:r w:rsidRPr="00C23169">
        <w:rPr>
          <w:rStyle w:val="DeltaViewInsertion"/>
          <w:rFonts w:ascii="Times New Roman" w:hAnsi="Times New Roman"/>
          <w:color w:val="auto"/>
          <w:w w:val="0"/>
          <w:sz w:val="24"/>
          <w:szCs w:val="24"/>
          <w:u w:val="none"/>
        </w:rPr>
        <w:t>an</w:t>
      </w:r>
      <w:proofErr w:type="gramEnd"/>
      <w:r w:rsidRPr="00C23169">
        <w:rPr>
          <w:rStyle w:val="DeltaViewInsertion"/>
          <w:rFonts w:ascii="Times New Roman" w:hAnsi="Times New Roman"/>
          <w:color w:val="auto"/>
          <w:w w:val="0"/>
          <w:sz w:val="24"/>
          <w:szCs w:val="24"/>
          <w:u w:val="none"/>
        </w:rPr>
        <w:t xml:space="preserve"> assessment of the suitability and adequacy of the </w:t>
      </w:r>
      <w:r w:rsidRPr="00FE2BC4">
        <w:rPr>
          <w:rStyle w:val="DeltaViewInsertion"/>
          <w:rFonts w:ascii="Times New Roman" w:hAnsi="Times New Roman"/>
          <w:b/>
          <w:color w:val="auto"/>
          <w:w w:val="0"/>
          <w:sz w:val="24"/>
          <w:szCs w:val="24"/>
          <w:u w:val="none"/>
        </w:rPr>
        <w:t>risk management framework</w:t>
      </w:r>
      <w:r w:rsidRPr="00C23169">
        <w:rPr>
          <w:rStyle w:val="DeltaViewInsertion"/>
          <w:rFonts w:ascii="Times New Roman" w:hAnsi="Times New Roman"/>
          <w:color w:val="auto"/>
          <w:w w:val="0"/>
          <w:sz w:val="24"/>
          <w:szCs w:val="24"/>
          <w:u w:val="none"/>
        </w:rPr>
        <w:t>.</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r w:rsidRPr="00C23169">
        <w:rPr>
          <w:b w:val="0"/>
          <w:szCs w:val="24"/>
          <w:lang w:val="en-AU"/>
        </w:rPr>
        <w:t xml:space="preserve">To avoid doubt, if the life company is an </w:t>
      </w:r>
      <w:r w:rsidR="00564D3C">
        <w:rPr>
          <w:szCs w:val="24"/>
          <w:lang w:val="en-AU"/>
        </w:rPr>
        <w:t>E</w:t>
      </w:r>
      <w:r w:rsidRPr="00564D3C">
        <w:rPr>
          <w:szCs w:val="24"/>
          <w:lang w:val="en-AU"/>
        </w:rPr>
        <w:t xml:space="preserve">ligible </w:t>
      </w:r>
      <w:r w:rsidR="00564D3C">
        <w:rPr>
          <w:szCs w:val="24"/>
          <w:lang w:val="en-AU"/>
        </w:rPr>
        <w:t>F</w:t>
      </w:r>
      <w:r w:rsidRPr="00564D3C">
        <w:rPr>
          <w:szCs w:val="24"/>
          <w:lang w:val="en-AU"/>
        </w:rPr>
        <w:t xml:space="preserve">oreign </w:t>
      </w:r>
      <w:r w:rsidR="00564D3C">
        <w:rPr>
          <w:szCs w:val="24"/>
          <w:lang w:val="en-AU"/>
        </w:rPr>
        <w:t>L</w:t>
      </w:r>
      <w:r w:rsidRPr="00564D3C">
        <w:rPr>
          <w:szCs w:val="24"/>
          <w:lang w:val="en-AU"/>
        </w:rPr>
        <w:t xml:space="preserve">ife </w:t>
      </w:r>
      <w:r w:rsidR="00564D3C">
        <w:rPr>
          <w:szCs w:val="24"/>
          <w:lang w:val="en-AU"/>
        </w:rPr>
        <w:t>I</w:t>
      </w:r>
      <w:r w:rsidRPr="00564D3C">
        <w:rPr>
          <w:szCs w:val="24"/>
          <w:lang w:val="en-AU"/>
        </w:rPr>
        <w:t xml:space="preserve">nsurance </w:t>
      </w:r>
      <w:r w:rsidR="00564D3C">
        <w:rPr>
          <w:szCs w:val="24"/>
          <w:lang w:val="en-AU"/>
        </w:rPr>
        <w:t>C</w:t>
      </w:r>
      <w:r w:rsidRPr="00564D3C">
        <w:rPr>
          <w:szCs w:val="24"/>
          <w:lang w:val="en-AU"/>
        </w:rPr>
        <w:t>ompany</w:t>
      </w:r>
      <w:r w:rsidRPr="00C23169">
        <w:rPr>
          <w:b w:val="0"/>
          <w:szCs w:val="24"/>
          <w:lang w:val="en-AU"/>
        </w:rPr>
        <w:t>, the investigation need not cover the financial condition of the company to the extent that the financial condition relates to life insurance business carried on outside Australia by the company.</w:t>
      </w:r>
      <w:r w:rsidRPr="00C23169">
        <w:rPr>
          <w:rStyle w:val="FootnoteReference"/>
          <w:b w:val="0"/>
          <w:szCs w:val="24"/>
          <w:lang w:val="en-AU"/>
        </w:rPr>
        <w:footnoteReference w:id="8"/>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rPr>
      </w:pPr>
      <w:bookmarkStart w:id="39" w:name="para2.1547"/>
      <w:bookmarkStart w:id="40" w:name="_Ref214706898"/>
      <w:bookmarkEnd w:id="39"/>
      <w:r w:rsidRPr="00C23169">
        <w:rPr>
          <w:b w:val="0"/>
          <w:szCs w:val="24"/>
          <w:lang w:val="en-AU"/>
        </w:rPr>
        <w:t>Nothing in this Prudential Standard prevents a life company from having its Appointed Actuary also investigate the financial condition of the company as at a time other than the end of a financial year.</w:t>
      </w:r>
      <w:bookmarkEnd w:id="40"/>
      <w:r w:rsidRPr="00C23169">
        <w:rPr>
          <w:b w:val="0"/>
          <w:szCs w:val="24"/>
        </w:rPr>
        <w:t xml:space="preserve"> </w:t>
      </w:r>
    </w:p>
    <w:p w:rsidR="0070393A" w:rsidRPr="00C23169" w:rsidRDefault="0070393A" w:rsidP="00A31CA6">
      <w:pPr>
        <w:pStyle w:val="BodyText"/>
        <w:keepNext/>
        <w:numPr>
          <w:ilvl w:val="0"/>
          <w:numId w:val="30"/>
        </w:numPr>
        <w:tabs>
          <w:tab w:val="clear" w:pos="360"/>
          <w:tab w:val="num" w:pos="600"/>
        </w:tabs>
        <w:spacing w:after="240"/>
        <w:ind w:left="600" w:hanging="601"/>
        <w:jc w:val="both"/>
        <w:rPr>
          <w:b w:val="0"/>
          <w:szCs w:val="24"/>
          <w:lang w:val="en-AU"/>
        </w:rPr>
      </w:pPr>
      <w:r w:rsidRPr="00C23169">
        <w:rPr>
          <w:b w:val="0"/>
          <w:szCs w:val="24"/>
          <w:lang w:val="en-AU"/>
        </w:rPr>
        <w:t xml:space="preserve">A company must not make public the results of an investigation referred to in paragraph </w:t>
      </w:r>
      <w:r w:rsidR="00B374E8" w:rsidRPr="00C23169">
        <w:rPr>
          <w:b w:val="0"/>
          <w:szCs w:val="24"/>
          <w:lang w:val="en-AU"/>
        </w:rPr>
        <w:fldChar w:fldCharType="begin"/>
      </w:r>
      <w:r w:rsidR="00B374E8" w:rsidRPr="00C23169">
        <w:rPr>
          <w:b w:val="0"/>
          <w:szCs w:val="24"/>
          <w:lang w:val="en-AU"/>
        </w:rPr>
        <w:instrText xml:space="preserve"> REF _Ref214706898 \r \h  \* MERGEFORMAT </w:instrText>
      </w:r>
      <w:r w:rsidR="00B374E8" w:rsidRPr="00C23169">
        <w:rPr>
          <w:b w:val="0"/>
          <w:szCs w:val="24"/>
          <w:lang w:val="en-AU"/>
        </w:rPr>
      </w:r>
      <w:r w:rsidR="00B374E8" w:rsidRPr="00C23169">
        <w:rPr>
          <w:b w:val="0"/>
          <w:szCs w:val="24"/>
          <w:lang w:val="en-AU"/>
        </w:rPr>
        <w:fldChar w:fldCharType="separate"/>
      </w:r>
      <w:r w:rsidR="00515834">
        <w:rPr>
          <w:b w:val="0"/>
          <w:szCs w:val="24"/>
          <w:lang w:val="en-AU"/>
        </w:rPr>
        <w:t>14</w:t>
      </w:r>
      <w:r w:rsidR="00B374E8" w:rsidRPr="00C23169">
        <w:rPr>
          <w:b w:val="0"/>
          <w:szCs w:val="24"/>
          <w:lang w:val="en-AU"/>
        </w:rPr>
        <w:fldChar w:fldCharType="end"/>
      </w:r>
      <w:r w:rsidR="00B374E8" w:rsidRPr="00C23169">
        <w:rPr>
          <w:b w:val="0"/>
          <w:szCs w:val="24"/>
          <w:lang w:val="en-AU"/>
        </w:rPr>
        <w:t xml:space="preserve"> </w:t>
      </w:r>
      <w:r w:rsidRPr="00C23169">
        <w:rPr>
          <w:b w:val="0"/>
          <w:szCs w:val="24"/>
          <w:lang w:val="en-AU"/>
        </w:rPr>
        <w:t>unless:</w:t>
      </w:r>
    </w:p>
    <w:p w:rsidR="0070393A" w:rsidRPr="00C23169" w:rsidRDefault="0070393A" w:rsidP="00A31CA6">
      <w:pPr>
        <w:pStyle w:val="indenta"/>
        <w:keepNext/>
        <w:numPr>
          <w:ilvl w:val="0"/>
          <w:numId w:val="29"/>
        </w:numPr>
        <w:tabs>
          <w:tab w:val="clear" w:pos="1134"/>
          <w:tab w:val="clear" w:pos="1531"/>
          <w:tab w:val="num" w:pos="1200"/>
        </w:tabs>
        <w:spacing w:before="0" w:after="240" w:line="240" w:lineRule="auto"/>
        <w:ind w:left="1200" w:hanging="601"/>
        <w:rPr>
          <w:sz w:val="24"/>
          <w:szCs w:val="24"/>
        </w:rPr>
      </w:pPr>
      <w:r w:rsidRPr="00C23169">
        <w:rPr>
          <w:sz w:val="24"/>
          <w:szCs w:val="24"/>
        </w:rPr>
        <w:t>the investigation has been conducted in the manner in which an annual actuarial investigation is required to be conducted; and</w:t>
      </w:r>
    </w:p>
    <w:p w:rsidR="0070393A" w:rsidRPr="00C23169" w:rsidRDefault="0070393A" w:rsidP="0070393A">
      <w:pPr>
        <w:pStyle w:val="indenta"/>
        <w:numPr>
          <w:ilvl w:val="0"/>
          <w:numId w:val="29"/>
        </w:numPr>
        <w:tabs>
          <w:tab w:val="clear" w:pos="1134"/>
          <w:tab w:val="clear" w:pos="1531"/>
          <w:tab w:val="num" w:pos="1200"/>
        </w:tabs>
        <w:spacing w:before="0" w:after="240" w:line="240" w:lineRule="auto"/>
        <w:ind w:left="1200" w:hanging="600"/>
        <w:rPr>
          <w:sz w:val="24"/>
          <w:szCs w:val="24"/>
        </w:rPr>
      </w:pPr>
      <w:r w:rsidRPr="00C23169">
        <w:rPr>
          <w:sz w:val="24"/>
          <w:szCs w:val="24"/>
        </w:rPr>
        <w:t>the Appointed Actuary has given the company a written report of the results of the investigation.</w:t>
      </w:r>
    </w:p>
    <w:p w:rsidR="0070393A" w:rsidRPr="00C23169" w:rsidRDefault="0070393A" w:rsidP="00873FCA">
      <w:pPr>
        <w:pStyle w:val="BodyText"/>
        <w:keepNext/>
        <w:numPr>
          <w:ilvl w:val="0"/>
          <w:numId w:val="30"/>
        </w:numPr>
        <w:tabs>
          <w:tab w:val="clear" w:pos="360"/>
          <w:tab w:val="num" w:pos="600"/>
        </w:tabs>
        <w:spacing w:after="240"/>
        <w:ind w:left="600" w:hanging="601"/>
        <w:jc w:val="both"/>
        <w:rPr>
          <w:b w:val="0"/>
          <w:szCs w:val="24"/>
          <w:lang w:val="en-AU"/>
        </w:rPr>
      </w:pPr>
      <w:bookmarkStart w:id="41" w:name="_Ref214707947"/>
      <w:r w:rsidRPr="00C23169">
        <w:rPr>
          <w:b w:val="0"/>
          <w:szCs w:val="24"/>
          <w:lang w:val="en-AU"/>
        </w:rPr>
        <w:lastRenderedPageBreak/>
        <w:t>APRA may, by written notice given to a life company, require the life company to arrange for its Appointed Actuary to carry out an investigation of the financial condition of the company as at a time other than the end of a financial year.</w:t>
      </w:r>
      <w:r w:rsidR="00C55D1B">
        <w:rPr>
          <w:b w:val="0"/>
          <w:szCs w:val="24"/>
          <w:lang w:val="en-AU"/>
        </w:rPr>
        <w:t xml:space="preserve"> </w:t>
      </w:r>
      <w:r w:rsidRPr="00C23169">
        <w:rPr>
          <w:b w:val="0"/>
          <w:szCs w:val="24"/>
          <w:lang w:val="en-AU"/>
        </w:rPr>
        <w:t>In this case:</w:t>
      </w:r>
      <w:bookmarkEnd w:id="41"/>
    </w:p>
    <w:p w:rsidR="0070393A" w:rsidRPr="00C23169" w:rsidRDefault="0070393A" w:rsidP="00873FCA">
      <w:pPr>
        <w:pStyle w:val="indenta"/>
        <w:keepNext/>
        <w:numPr>
          <w:ilvl w:val="0"/>
          <w:numId w:val="26"/>
        </w:numPr>
        <w:tabs>
          <w:tab w:val="clear" w:pos="1134"/>
          <w:tab w:val="clear" w:pos="1531"/>
          <w:tab w:val="num" w:pos="1200"/>
        </w:tabs>
        <w:spacing w:before="0" w:after="240" w:line="240" w:lineRule="auto"/>
        <w:ind w:left="1200" w:hanging="601"/>
        <w:rPr>
          <w:sz w:val="24"/>
          <w:szCs w:val="24"/>
        </w:rPr>
      </w:pPr>
      <w:r w:rsidRPr="00C23169">
        <w:rPr>
          <w:sz w:val="24"/>
          <w:szCs w:val="24"/>
        </w:rPr>
        <w:t>the investigation must be conducted in the manner in which an annual actuarial investigation is required to be conducted; and</w:t>
      </w:r>
    </w:p>
    <w:p w:rsidR="0070393A" w:rsidRPr="00C23169" w:rsidRDefault="0070393A" w:rsidP="0070393A">
      <w:pPr>
        <w:pStyle w:val="indenta"/>
        <w:numPr>
          <w:ilvl w:val="0"/>
          <w:numId w:val="26"/>
        </w:numPr>
        <w:tabs>
          <w:tab w:val="clear" w:pos="1134"/>
          <w:tab w:val="clear" w:pos="1531"/>
          <w:tab w:val="num" w:pos="1200"/>
        </w:tabs>
        <w:spacing w:before="0" w:after="240" w:line="240" w:lineRule="auto"/>
        <w:ind w:left="1200" w:hanging="600"/>
        <w:rPr>
          <w:sz w:val="24"/>
          <w:szCs w:val="24"/>
        </w:rPr>
      </w:pPr>
      <w:bookmarkStart w:id="42" w:name="_Ref214707949"/>
      <w:r w:rsidRPr="00C23169">
        <w:rPr>
          <w:sz w:val="24"/>
          <w:szCs w:val="24"/>
        </w:rPr>
        <w:t>the life company must arrange for the Appointed Actuary to give the company a written report of the results of the investigation.</w:t>
      </w:r>
      <w:bookmarkEnd w:id="42"/>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43" w:name="_Ref214706520"/>
      <w:r w:rsidRPr="00C23169">
        <w:rPr>
          <w:b w:val="0"/>
          <w:szCs w:val="24"/>
          <w:lang w:val="en-AU"/>
        </w:rPr>
        <w:t xml:space="preserve">A life company must give to APRA a copy of a </w:t>
      </w:r>
      <w:r w:rsidRPr="00172D76">
        <w:rPr>
          <w:szCs w:val="24"/>
          <w:lang w:val="en-AU"/>
        </w:rPr>
        <w:t>Financial Condition Report</w:t>
      </w:r>
      <w:r w:rsidRPr="00C23169">
        <w:rPr>
          <w:b w:val="0"/>
          <w:szCs w:val="24"/>
          <w:lang w:val="en-AU"/>
        </w:rPr>
        <w:t xml:space="preserve"> (</w:t>
      </w:r>
      <w:r w:rsidRPr="000B2F2E">
        <w:rPr>
          <w:b w:val="0"/>
          <w:szCs w:val="24"/>
          <w:lang w:val="en-AU"/>
        </w:rPr>
        <w:t>FCR</w:t>
      </w:r>
      <w:r w:rsidRPr="00C23169">
        <w:rPr>
          <w:b w:val="0"/>
          <w:szCs w:val="24"/>
          <w:lang w:val="en-AU"/>
        </w:rPr>
        <w:t xml:space="preserve">) prepared under </w:t>
      </w:r>
      <w:r w:rsidR="0063216E" w:rsidRPr="00C23169">
        <w:rPr>
          <w:b w:val="0"/>
          <w:szCs w:val="24"/>
          <w:lang w:val="en-AU"/>
        </w:rPr>
        <w:t xml:space="preserve">this Prudential Standard </w:t>
      </w:r>
      <w:r w:rsidRPr="00C23169">
        <w:rPr>
          <w:b w:val="0"/>
          <w:szCs w:val="24"/>
          <w:lang w:val="en-AU"/>
        </w:rPr>
        <w:t>within three months after the end of the period to which the report relates.</w:t>
      </w:r>
      <w:bookmarkEnd w:id="43"/>
      <w:r w:rsidRPr="00C23169">
        <w:rPr>
          <w:b w:val="0"/>
          <w:szCs w:val="24"/>
          <w:lang w:val="en-AU"/>
        </w:rPr>
        <w:t xml:space="preserve"> In exceptional cases, a life company may apply to APRA to extend the time within which this report is to be provided to APRA.</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r w:rsidRPr="00C23169">
        <w:rPr>
          <w:b w:val="0"/>
          <w:szCs w:val="24"/>
          <w:lang w:val="en-AU"/>
        </w:rPr>
        <w:t>In preparing a</w:t>
      </w:r>
      <w:r w:rsidR="00CF4E4A" w:rsidRPr="00C23169">
        <w:rPr>
          <w:b w:val="0"/>
          <w:szCs w:val="24"/>
          <w:lang w:val="en-AU"/>
        </w:rPr>
        <w:t>n</w:t>
      </w:r>
      <w:r w:rsidRPr="00C23169">
        <w:rPr>
          <w:b w:val="0"/>
          <w:szCs w:val="24"/>
          <w:lang w:val="en-AU"/>
        </w:rPr>
        <w:t xml:space="preserve"> FCR, an Appointed Actuary must have regard to relevant professional standards issued by the Institute of Actuaries of Australia, to the extent that they are not inconsistent with the requirements of this Prudential Standard.</w:t>
      </w:r>
    </w:p>
    <w:p w:rsidR="00EE30EA" w:rsidRPr="00C23169" w:rsidRDefault="00EE30EA" w:rsidP="00E555E0">
      <w:pPr>
        <w:pStyle w:val="Heading3"/>
        <w:contextualSpacing/>
      </w:pPr>
      <w:bookmarkStart w:id="44" w:name="_Toc248204420"/>
      <w:r w:rsidRPr="00C23169">
        <w:t>Advice on calculating the capital base</w:t>
      </w:r>
      <w:r w:rsidR="00C90CB1" w:rsidRPr="00C23169">
        <w:t>,</w:t>
      </w:r>
      <w:r w:rsidRPr="00C23169">
        <w:t xml:space="preserve"> prescribed capital amount</w:t>
      </w:r>
      <w:r w:rsidR="00C90CB1" w:rsidRPr="00C23169">
        <w:t xml:space="preserve"> and policy liabilities</w:t>
      </w:r>
    </w:p>
    <w:p w:rsidR="00EE30EA" w:rsidRPr="00C23169" w:rsidRDefault="00EE30EA" w:rsidP="00EE30EA">
      <w:pPr>
        <w:pStyle w:val="BodyText"/>
        <w:numPr>
          <w:ilvl w:val="0"/>
          <w:numId w:val="30"/>
        </w:numPr>
        <w:tabs>
          <w:tab w:val="clear" w:pos="360"/>
          <w:tab w:val="num" w:pos="600"/>
        </w:tabs>
        <w:spacing w:after="240"/>
        <w:ind w:left="600" w:hanging="600"/>
        <w:jc w:val="both"/>
        <w:rPr>
          <w:b w:val="0"/>
          <w:szCs w:val="24"/>
        </w:rPr>
      </w:pPr>
      <w:r w:rsidRPr="00C23169">
        <w:rPr>
          <w:b w:val="0"/>
          <w:szCs w:val="24"/>
        </w:rPr>
        <w:t>Under</w:t>
      </w:r>
      <w:r w:rsidR="00C90CB1" w:rsidRPr="00C23169">
        <w:rPr>
          <w:b w:val="0"/>
          <w:szCs w:val="24"/>
        </w:rPr>
        <w:t xml:space="preserve"> the capital </w:t>
      </w:r>
      <w:r w:rsidR="000B2F2E">
        <w:rPr>
          <w:b w:val="0"/>
          <w:szCs w:val="24"/>
        </w:rPr>
        <w:t xml:space="preserve">adequacy </w:t>
      </w:r>
      <w:r w:rsidR="00C90CB1" w:rsidRPr="00C23169">
        <w:rPr>
          <w:b w:val="0"/>
          <w:szCs w:val="24"/>
        </w:rPr>
        <w:t>standards</w:t>
      </w:r>
      <w:r w:rsidRPr="00C23169">
        <w:rPr>
          <w:b w:val="0"/>
          <w:szCs w:val="24"/>
        </w:rPr>
        <w:t xml:space="preserve">, responsibility for calculating the capital base and prescribed capital amount for a statutory fund, general fund or life company rests with the life company and its Board.  </w:t>
      </w:r>
    </w:p>
    <w:p w:rsidR="003B1F85" w:rsidRPr="00C23169" w:rsidRDefault="003B1F85" w:rsidP="003B1F85">
      <w:pPr>
        <w:pStyle w:val="BodyText"/>
        <w:numPr>
          <w:ilvl w:val="0"/>
          <w:numId w:val="30"/>
        </w:numPr>
        <w:tabs>
          <w:tab w:val="clear" w:pos="360"/>
          <w:tab w:val="num" w:pos="600"/>
        </w:tabs>
        <w:spacing w:after="240"/>
        <w:ind w:left="600" w:hanging="600"/>
        <w:jc w:val="both"/>
      </w:pPr>
      <w:bookmarkStart w:id="45" w:name="_Ref319422750"/>
      <w:r w:rsidRPr="00C23169">
        <w:rPr>
          <w:b w:val="0"/>
        </w:rPr>
        <w:t xml:space="preserve">Under </w:t>
      </w:r>
      <w:r w:rsidR="003A228B" w:rsidRPr="00C23169">
        <w:rPr>
          <w:b w:val="0"/>
          <w:i/>
        </w:rPr>
        <w:t xml:space="preserve">Prudential Standard </w:t>
      </w:r>
      <w:r w:rsidRPr="00C23169">
        <w:rPr>
          <w:b w:val="0"/>
          <w:i/>
        </w:rPr>
        <w:t>LPS 340 Valuation of Policy Liabilities</w:t>
      </w:r>
      <w:r w:rsidRPr="00C23169">
        <w:rPr>
          <w:b w:val="0"/>
        </w:rPr>
        <w:t>, a life company is responsible for calculating the value of its policy liabilities.</w:t>
      </w:r>
      <w:bookmarkEnd w:id="45"/>
    </w:p>
    <w:p w:rsidR="003B1F85" w:rsidRPr="00C23169" w:rsidRDefault="003B1F85" w:rsidP="003B1F85">
      <w:pPr>
        <w:pStyle w:val="BodyText"/>
        <w:numPr>
          <w:ilvl w:val="0"/>
          <w:numId w:val="30"/>
        </w:numPr>
        <w:tabs>
          <w:tab w:val="clear" w:pos="360"/>
          <w:tab w:val="num" w:pos="600"/>
        </w:tabs>
        <w:spacing w:after="240"/>
        <w:ind w:left="600" w:hanging="600"/>
        <w:jc w:val="both"/>
        <w:rPr>
          <w:b w:val="0"/>
          <w:szCs w:val="24"/>
        </w:rPr>
      </w:pPr>
      <w:r w:rsidRPr="00C23169">
        <w:rPr>
          <w:b w:val="0"/>
          <w:szCs w:val="24"/>
        </w:rPr>
        <w:t xml:space="preserve">Reporting to APRA under </w:t>
      </w:r>
      <w:r w:rsidR="00873FCA">
        <w:rPr>
          <w:b w:val="0"/>
          <w:szCs w:val="24"/>
        </w:rPr>
        <w:t xml:space="preserve">the </w:t>
      </w:r>
      <w:r w:rsidR="00873FCA" w:rsidRPr="00873FCA">
        <w:rPr>
          <w:b w:val="0"/>
          <w:bCs/>
          <w:i/>
        </w:rPr>
        <w:t>Financial Sector (Collection of Data) Act 2001</w:t>
      </w:r>
      <w:r w:rsidR="00873FCA" w:rsidRPr="00873FCA">
        <w:rPr>
          <w:b w:val="0"/>
          <w:bCs/>
        </w:rPr>
        <w:t xml:space="preserve"> </w:t>
      </w:r>
      <w:r w:rsidRPr="00C23169">
        <w:rPr>
          <w:b w:val="0"/>
          <w:szCs w:val="24"/>
        </w:rPr>
        <w:t>must be made in accordance with a methodology which has been the subject of advice provided by the Appointed Actuary.</w:t>
      </w:r>
      <w:r w:rsidR="00C55D1B">
        <w:rPr>
          <w:b w:val="0"/>
          <w:szCs w:val="24"/>
        </w:rPr>
        <w:t xml:space="preserve"> </w:t>
      </w:r>
      <w:r w:rsidRPr="00C23169">
        <w:rPr>
          <w:b w:val="0"/>
          <w:szCs w:val="24"/>
        </w:rPr>
        <w:t>The methodology must be documented, with a copy provided to APRA on request along with explanation of any areas in which the methodology</w:t>
      </w:r>
      <w:r w:rsidR="007912E8" w:rsidRPr="00C23169">
        <w:rPr>
          <w:b w:val="0"/>
          <w:szCs w:val="24"/>
        </w:rPr>
        <w:t xml:space="preserve"> materially</w:t>
      </w:r>
      <w:r w:rsidRPr="00C23169">
        <w:rPr>
          <w:b w:val="0"/>
          <w:szCs w:val="24"/>
        </w:rPr>
        <w:t xml:space="preserve"> departs from that advised by the Appointed Actuary.</w:t>
      </w:r>
    </w:p>
    <w:p w:rsidR="00CF4E4A" w:rsidRPr="00C23169" w:rsidRDefault="00CF4E4A" w:rsidP="00CF4E4A">
      <w:pPr>
        <w:pStyle w:val="BodyText"/>
        <w:numPr>
          <w:ilvl w:val="0"/>
          <w:numId w:val="30"/>
        </w:numPr>
        <w:tabs>
          <w:tab w:val="clear" w:pos="360"/>
          <w:tab w:val="num" w:pos="600"/>
        </w:tabs>
        <w:spacing w:after="240"/>
        <w:ind w:left="600" w:hanging="600"/>
        <w:jc w:val="both"/>
        <w:rPr>
          <w:b w:val="0"/>
          <w:szCs w:val="24"/>
        </w:rPr>
      </w:pPr>
      <w:bookmarkStart w:id="46" w:name="_Ref323213046"/>
      <w:r w:rsidRPr="00C23169">
        <w:rPr>
          <w:b w:val="0"/>
          <w:szCs w:val="24"/>
        </w:rPr>
        <w:t xml:space="preserve">A life company must arrange for its Appointed Actuary to </w:t>
      </w:r>
      <w:r w:rsidR="00B42FC4" w:rsidRPr="00C23169">
        <w:rPr>
          <w:b w:val="0"/>
          <w:szCs w:val="24"/>
        </w:rPr>
        <w:t>calculate</w:t>
      </w:r>
      <w:r w:rsidRPr="00C23169">
        <w:rPr>
          <w:b w:val="0"/>
          <w:szCs w:val="24"/>
        </w:rPr>
        <w:t xml:space="preserve"> values for the policy liabilities, capital base and prescribed capital amount of the life company and each of its funds as at the end of every financial year and advise these amounts in the FCR.</w:t>
      </w:r>
      <w:r w:rsidR="00C55D1B">
        <w:rPr>
          <w:b w:val="0"/>
          <w:szCs w:val="24"/>
        </w:rPr>
        <w:t xml:space="preserve"> </w:t>
      </w:r>
      <w:r w:rsidRPr="00C23169">
        <w:rPr>
          <w:b w:val="0"/>
        </w:rPr>
        <w:t>The Appointed Actuary must document in the FCR details of the calculation processes and the assumptions used in determining the amounts.</w:t>
      </w:r>
      <w:bookmarkEnd w:id="46"/>
    </w:p>
    <w:p w:rsidR="00CF4E4A" w:rsidRPr="00C23169" w:rsidRDefault="00CF4E4A" w:rsidP="00CF4E4A">
      <w:pPr>
        <w:pStyle w:val="BodyText"/>
        <w:numPr>
          <w:ilvl w:val="0"/>
          <w:numId w:val="30"/>
        </w:numPr>
        <w:tabs>
          <w:tab w:val="clear" w:pos="360"/>
          <w:tab w:val="num" w:pos="600"/>
        </w:tabs>
        <w:spacing w:after="240"/>
        <w:ind w:left="600" w:hanging="600"/>
        <w:jc w:val="both"/>
        <w:rPr>
          <w:b w:val="0"/>
        </w:rPr>
      </w:pPr>
      <w:r w:rsidRPr="00C23169">
        <w:rPr>
          <w:b w:val="0"/>
        </w:rPr>
        <w:t xml:space="preserve">If the life company adopts a value for the policy liabilities, capital base or prescribed capital amount that differs </w:t>
      </w:r>
      <w:r w:rsidR="00B42FC4" w:rsidRPr="00C23169">
        <w:rPr>
          <w:b w:val="0"/>
        </w:rPr>
        <w:t xml:space="preserve">materially </w:t>
      </w:r>
      <w:r w:rsidRPr="00C23169">
        <w:rPr>
          <w:b w:val="0"/>
        </w:rPr>
        <w:t xml:space="preserve">from the amounts advised by the Appointed Actuary, the life company must provide APRA with a written </w:t>
      </w:r>
      <w:r w:rsidRPr="00C23169">
        <w:rPr>
          <w:b w:val="0"/>
        </w:rPr>
        <w:lastRenderedPageBreak/>
        <w:t>explanation of the differences on or before the day that the life company’s annual regulatory financial statements are required to be submitted to APRA.</w:t>
      </w:r>
    </w:p>
    <w:p w:rsidR="0070393A" w:rsidRPr="00C23169" w:rsidRDefault="0070393A" w:rsidP="00E555E0">
      <w:pPr>
        <w:pStyle w:val="Heading3"/>
      </w:pPr>
      <w:r w:rsidRPr="00C23169">
        <w:t>Actuarial advice regarding policies and reinsurance</w:t>
      </w:r>
      <w:bookmarkEnd w:id="44"/>
      <w:r w:rsidRPr="00C23169">
        <w:t xml:space="preserve"> </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47" w:name="_Ref319596838"/>
      <w:bookmarkStart w:id="48" w:name="_Ref220386989"/>
      <w:bookmarkEnd w:id="33"/>
      <w:r w:rsidRPr="00C23169">
        <w:rPr>
          <w:b w:val="0"/>
          <w:szCs w:val="24"/>
          <w:lang w:val="en-AU"/>
        </w:rPr>
        <w:t>A life company must not issue or modify a policy unless either</w:t>
      </w:r>
      <w:r w:rsidRPr="00C23169">
        <w:rPr>
          <w:rStyle w:val="FootnoteReference"/>
          <w:b w:val="0"/>
          <w:szCs w:val="24"/>
          <w:lang w:val="en-AU"/>
        </w:rPr>
        <w:footnoteReference w:id="9"/>
      </w:r>
      <w:bookmarkEnd w:id="47"/>
      <w:r w:rsidR="00873FCA">
        <w:rPr>
          <w:b w:val="0"/>
          <w:szCs w:val="24"/>
          <w:lang w:val="en-AU"/>
        </w:rPr>
        <w:t>:</w:t>
      </w:r>
    </w:p>
    <w:p w:rsidR="0070393A" w:rsidRPr="00C23169" w:rsidRDefault="0070393A" w:rsidP="0070393A">
      <w:pPr>
        <w:numPr>
          <w:ilvl w:val="0"/>
          <w:numId w:val="23"/>
        </w:numPr>
        <w:tabs>
          <w:tab w:val="clear" w:pos="1134"/>
          <w:tab w:val="num" w:pos="1200"/>
        </w:tabs>
        <w:spacing w:after="240"/>
        <w:ind w:left="1200" w:hanging="600"/>
        <w:jc w:val="both"/>
      </w:pPr>
      <w:r w:rsidRPr="00C23169">
        <w:t xml:space="preserve"> </w:t>
      </w:r>
      <w:bookmarkStart w:id="49" w:name="_Ref319651829"/>
      <w:r w:rsidRPr="00C23169">
        <w:t>the Appointed Actuary has given written advice about:</w:t>
      </w:r>
      <w:bookmarkEnd w:id="34"/>
      <w:bookmarkEnd w:id="48"/>
      <w:bookmarkEnd w:id="49"/>
    </w:p>
    <w:p w:rsidR="0070393A" w:rsidRPr="00C23169" w:rsidRDefault="0070393A" w:rsidP="0070393A">
      <w:pPr>
        <w:numPr>
          <w:ilvl w:val="0"/>
          <w:numId w:val="33"/>
        </w:numPr>
        <w:tabs>
          <w:tab w:val="num" w:pos="1985"/>
        </w:tabs>
        <w:spacing w:after="240"/>
        <w:jc w:val="both"/>
      </w:pPr>
      <w:r w:rsidRPr="00C23169">
        <w:t>the proposed terms and conditions on which it is to be issued or modified;</w:t>
      </w:r>
    </w:p>
    <w:p w:rsidR="0070393A" w:rsidRPr="00C23169" w:rsidRDefault="0070393A" w:rsidP="0070393A">
      <w:pPr>
        <w:numPr>
          <w:ilvl w:val="0"/>
          <w:numId w:val="33"/>
        </w:numPr>
        <w:tabs>
          <w:tab w:val="num" w:pos="1985"/>
        </w:tabs>
        <w:spacing w:after="240"/>
        <w:jc w:val="both"/>
      </w:pPr>
      <w:r w:rsidRPr="00C23169">
        <w:t xml:space="preserve">the proposed basis on which the surrender value is to be determined; </w:t>
      </w:r>
    </w:p>
    <w:p w:rsidR="0070393A" w:rsidRPr="00C23169" w:rsidRDefault="0070393A" w:rsidP="0070393A">
      <w:pPr>
        <w:numPr>
          <w:ilvl w:val="0"/>
          <w:numId w:val="33"/>
        </w:numPr>
        <w:tabs>
          <w:tab w:val="num" w:pos="1985"/>
        </w:tabs>
        <w:spacing w:after="240"/>
        <w:jc w:val="both"/>
      </w:pPr>
      <w:r w:rsidRPr="00C23169">
        <w:t>if the policy provides for benefits to be calculated by reference to units, the proposed means by which the unit values are to be determined;</w:t>
      </w:r>
    </w:p>
    <w:p w:rsidR="0070393A" w:rsidRPr="00C23169" w:rsidRDefault="0070393A" w:rsidP="0070393A">
      <w:pPr>
        <w:numPr>
          <w:ilvl w:val="0"/>
          <w:numId w:val="33"/>
        </w:numPr>
        <w:tabs>
          <w:tab w:val="num" w:pos="1985"/>
        </w:tabs>
        <w:spacing w:after="240"/>
        <w:jc w:val="both"/>
      </w:pPr>
      <w:r w:rsidRPr="00C23169">
        <w:t xml:space="preserve">if the life company is a friendly society, the proposed </w:t>
      </w:r>
      <w:r w:rsidRPr="002D3560">
        <w:rPr>
          <w:b/>
        </w:rPr>
        <w:t>approved benefit fund</w:t>
      </w:r>
      <w:r w:rsidRPr="00C23169">
        <w:t xml:space="preserve"> rules or modification of the benefit fund rules</w:t>
      </w:r>
      <w:r w:rsidR="002D3560">
        <w:t>,</w:t>
      </w:r>
      <w:r w:rsidRPr="00C23169">
        <w:t xml:space="preserve"> and whether the benefit fund rules will result in unfairness to any prospective or existing members of the benefit fund; and</w:t>
      </w:r>
    </w:p>
    <w:p w:rsidR="0070393A" w:rsidRPr="00C23169" w:rsidRDefault="0070393A" w:rsidP="0070393A">
      <w:pPr>
        <w:numPr>
          <w:ilvl w:val="0"/>
          <w:numId w:val="33"/>
        </w:numPr>
        <w:tabs>
          <w:tab w:val="num" w:pos="1985"/>
        </w:tabs>
        <w:spacing w:after="240"/>
        <w:jc w:val="both"/>
      </w:pPr>
      <w:r w:rsidRPr="00C23169">
        <w:t xml:space="preserve">if the life company is a friendly society, any change to the investment management or strategy of an approved benefit fund beyond that disclosed in the approved benefit fund rules; or </w:t>
      </w:r>
    </w:p>
    <w:p w:rsidR="0070393A" w:rsidRPr="00C23169" w:rsidRDefault="0070393A" w:rsidP="0070393A">
      <w:pPr>
        <w:numPr>
          <w:ilvl w:val="0"/>
          <w:numId w:val="23"/>
        </w:numPr>
        <w:tabs>
          <w:tab w:val="clear" w:pos="1134"/>
          <w:tab w:val="num" w:pos="1200"/>
        </w:tabs>
        <w:spacing w:after="240"/>
        <w:ind w:left="1200" w:hanging="600"/>
        <w:jc w:val="both"/>
      </w:pPr>
      <w:bookmarkStart w:id="50" w:name="_Ref319596846"/>
      <w:proofErr w:type="gramStart"/>
      <w:r w:rsidRPr="00C23169">
        <w:t>the</w:t>
      </w:r>
      <w:proofErr w:type="gramEnd"/>
      <w:r w:rsidRPr="00C23169">
        <w:t xml:space="preserve"> proposed modification is assessed by the life company as not being material under the written policy approved by the Board for the purposes of paragraph </w:t>
      </w:r>
      <w:r w:rsidR="004116E8" w:rsidRPr="00C23169">
        <w:fldChar w:fldCharType="begin"/>
      </w:r>
      <w:r w:rsidR="004116E8" w:rsidRPr="00C23169">
        <w:instrText xml:space="preserve"> REF _Ref220387040 \r \h </w:instrText>
      </w:r>
      <w:r w:rsidR="00CC1704" w:rsidRPr="00C23169">
        <w:instrText xml:space="preserve"> \* MERGEFORMAT </w:instrText>
      </w:r>
      <w:r w:rsidR="004116E8" w:rsidRPr="00C23169">
        <w:fldChar w:fldCharType="separate"/>
      </w:r>
      <w:r w:rsidR="00515834">
        <w:t>27</w:t>
      </w:r>
      <w:r w:rsidR="004116E8" w:rsidRPr="00C23169">
        <w:fldChar w:fldCharType="end"/>
      </w:r>
      <w:r w:rsidR="004116E8" w:rsidRPr="00C23169">
        <w:t xml:space="preserve"> </w:t>
      </w:r>
      <w:r w:rsidRPr="00C23169">
        <w:t>and the Appointed Actuary has been advised of the proposed modification and advises the life company that the modification is not material.</w:t>
      </w:r>
      <w:bookmarkEnd w:id="50"/>
    </w:p>
    <w:p w:rsidR="0070393A" w:rsidRPr="00C23169" w:rsidRDefault="0070393A" w:rsidP="0070393A">
      <w:pPr>
        <w:pStyle w:val="BodyText"/>
        <w:numPr>
          <w:ilvl w:val="0"/>
          <w:numId w:val="30"/>
        </w:numPr>
        <w:tabs>
          <w:tab w:val="clear" w:pos="360"/>
          <w:tab w:val="num" w:pos="600"/>
        </w:tabs>
        <w:ind w:left="600" w:hanging="600"/>
        <w:jc w:val="both"/>
        <w:rPr>
          <w:b w:val="0"/>
          <w:szCs w:val="24"/>
        </w:rPr>
      </w:pPr>
      <w:bookmarkStart w:id="51" w:name="_Ref222132819"/>
      <w:bookmarkStart w:id="52" w:name="_Ref214262273"/>
      <w:r w:rsidRPr="00C23169">
        <w:rPr>
          <w:b w:val="0"/>
          <w:szCs w:val="24"/>
          <w:lang w:val="en-AU"/>
        </w:rPr>
        <w:t xml:space="preserve">The Appointed Actuary’s </w:t>
      </w:r>
      <w:proofErr w:type="spellStart"/>
      <w:r w:rsidRPr="00C23169">
        <w:rPr>
          <w:b w:val="0"/>
          <w:szCs w:val="24"/>
          <w:lang w:val="en-AU"/>
        </w:rPr>
        <w:t>writt</w:t>
      </w:r>
      <w:r w:rsidRPr="00C23169">
        <w:rPr>
          <w:b w:val="0"/>
          <w:szCs w:val="24"/>
        </w:rPr>
        <w:t>en</w:t>
      </w:r>
      <w:proofErr w:type="spellEnd"/>
      <w:r w:rsidRPr="00C23169">
        <w:rPr>
          <w:b w:val="0"/>
          <w:szCs w:val="24"/>
        </w:rPr>
        <w:t xml:space="preserve"> advice may relate to a number of policies of a similar kind.</w:t>
      </w:r>
      <w:bookmarkEnd w:id="51"/>
    </w:p>
    <w:p w:rsidR="0070393A" w:rsidRPr="00C23169" w:rsidRDefault="0070393A" w:rsidP="00B26A76">
      <w:pPr>
        <w:pStyle w:val="BodyText"/>
        <w:numPr>
          <w:ilvl w:val="0"/>
          <w:numId w:val="0"/>
        </w:numPr>
        <w:ind w:left="600"/>
        <w:jc w:val="both"/>
        <w:rPr>
          <w:b w:val="0"/>
          <w:szCs w:val="24"/>
        </w:rPr>
      </w:pP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53" w:name="_Ref319596951"/>
      <w:r w:rsidRPr="00C23169">
        <w:rPr>
          <w:b w:val="0"/>
          <w:szCs w:val="24"/>
        </w:rPr>
        <w:t>A life company must not enter into, modify or terminate a reinsurance a</w:t>
      </w:r>
      <w:proofErr w:type="spellStart"/>
      <w:r w:rsidRPr="00C23169">
        <w:rPr>
          <w:b w:val="0"/>
          <w:szCs w:val="24"/>
          <w:lang w:val="en-AU"/>
        </w:rPr>
        <w:t>rrangement</w:t>
      </w:r>
      <w:proofErr w:type="spellEnd"/>
      <w:r w:rsidRPr="00C23169">
        <w:rPr>
          <w:b w:val="0"/>
          <w:szCs w:val="24"/>
          <w:lang w:val="en-AU"/>
        </w:rPr>
        <w:t xml:space="preserve"> unless the Appointed Actuary has given the company written advice as to the likely consequences of taking such action.</w:t>
      </w:r>
      <w:bookmarkEnd w:id="52"/>
      <w:bookmarkEnd w:id="53"/>
    </w:p>
    <w:p w:rsidR="0070393A" w:rsidRPr="00C23169" w:rsidRDefault="0070393A" w:rsidP="00A31CA6">
      <w:pPr>
        <w:pStyle w:val="BodyText"/>
        <w:keepNext/>
        <w:numPr>
          <w:ilvl w:val="0"/>
          <w:numId w:val="30"/>
        </w:numPr>
        <w:tabs>
          <w:tab w:val="clear" w:pos="360"/>
          <w:tab w:val="num" w:pos="600"/>
        </w:tabs>
        <w:spacing w:after="240"/>
        <w:ind w:left="600" w:hanging="601"/>
        <w:jc w:val="both"/>
        <w:rPr>
          <w:b w:val="0"/>
          <w:szCs w:val="24"/>
          <w:lang w:val="en-AU"/>
        </w:rPr>
      </w:pPr>
      <w:bookmarkStart w:id="54" w:name="_Ref220387040"/>
      <w:r w:rsidRPr="00C23169">
        <w:rPr>
          <w:b w:val="0"/>
          <w:szCs w:val="24"/>
          <w:lang w:val="en-AU"/>
        </w:rPr>
        <w:lastRenderedPageBreak/>
        <w:t>A life company must have a written policy, approved by the Board, which:</w:t>
      </w:r>
      <w:bookmarkEnd w:id="54"/>
    </w:p>
    <w:p w:rsidR="0070393A" w:rsidRPr="00C23169" w:rsidRDefault="0070393A" w:rsidP="00A31CA6">
      <w:pPr>
        <w:keepNext/>
        <w:numPr>
          <w:ilvl w:val="0"/>
          <w:numId w:val="31"/>
        </w:numPr>
        <w:tabs>
          <w:tab w:val="clear" w:pos="1134"/>
          <w:tab w:val="num" w:pos="1200"/>
        </w:tabs>
        <w:spacing w:after="240"/>
        <w:ind w:left="1200" w:hanging="601"/>
        <w:jc w:val="both"/>
      </w:pPr>
      <w:r w:rsidRPr="00C23169">
        <w:rPr>
          <w:szCs w:val="24"/>
        </w:rPr>
        <w:t>sets out the situations where</w:t>
      </w:r>
      <w:r w:rsidRPr="00C23169">
        <w:t xml:space="preserve"> the Appointed Actuary’s written advice may relate to more than one life policy under paragraph </w:t>
      </w:r>
      <w:r w:rsidR="004116E8" w:rsidRPr="00C23169">
        <w:fldChar w:fldCharType="begin"/>
      </w:r>
      <w:r w:rsidR="004116E8" w:rsidRPr="00C23169">
        <w:instrText xml:space="preserve"> REF _Ref222132819 \r \h </w:instrText>
      </w:r>
      <w:r w:rsidR="00CC1704" w:rsidRPr="00C23169">
        <w:instrText xml:space="preserve"> \* MERGEFORMAT </w:instrText>
      </w:r>
      <w:r w:rsidR="004116E8" w:rsidRPr="00C23169">
        <w:fldChar w:fldCharType="separate"/>
      </w:r>
      <w:r w:rsidR="00515834">
        <w:t>25</w:t>
      </w:r>
      <w:r w:rsidR="004116E8" w:rsidRPr="00C23169">
        <w:fldChar w:fldCharType="end"/>
      </w:r>
      <w:r w:rsidRPr="00C23169">
        <w:t>;</w:t>
      </w:r>
    </w:p>
    <w:p w:rsidR="0070393A" w:rsidRPr="00C23169" w:rsidRDefault="0070393A" w:rsidP="0070393A">
      <w:pPr>
        <w:numPr>
          <w:ilvl w:val="0"/>
          <w:numId w:val="31"/>
        </w:numPr>
        <w:tabs>
          <w:tab w:val="clear" w:pos="1134"/>
          <w:tab w:val="num" w:pos="1200"/>
        </w:tabs>
        <w:spacing w:after="240"/>
        <w:ind w:left="1200" w:hanging="600"/>
        <w:jc w:val="both"/>
      </w:pPr>
      <w:r w:rsidRPr="00C23169">
        <w:rPr>
          <w:szCs w:val="24"/>
        </w:rPr>
        <w:t xml:space="preserve">enables the life company to decide whether any proposed modification to a policy is material or not for the purposes of paragraph </w:t>
      </w:r>
      <w:r w:rsidR="004116E8" w:rsidRPr="00C23169">
        <w:rPr>
          <w:szCs w:val="24"/>
        </w:rPr>
        <w:fldChar w:fldCharType="begin"/>
      </w:r>
      <w:r w:rsidR="004116E8" w:rsidRPr="00C23169">
        <w:rPr>
          <w:szCs w:val="24"/>
        </w:rPr>
        <w:instrText xml:space="preserve"> REF _Ref319596838 \r \h  \* MERGEFORMAT </w:instrText>
      </w:r>
      <w:r w:rsidR="004116E8" w:rsidRPr="00C23169">
        <w:rPr>
          <w:szCs w:val="24"/>
        </w:rPr>
      </w:r>
      <w:r w:rsidR="004116E8" w:rsidRPr="00C23169">
        <w:rPr>
          <w:szCs w:val="24"/>
        </w:rPr>
        <w:fldChar w:fldCharType="separate"/>
      </w:r>
      <w:r w:rsidR="00515834">
        <w:rPr>
          <w:szCs w:val="24"/>
        </w:rPr>
        <w:t>24</w:t>
      </w:r>
      <w:r w:rsidR="004116E8" w:rsidRPr="00C23169">
        <w:rPr>
          <w:szCs w:val="24"/>
        </w:rPr>
        <w:fldChar w:fldCharType="end"/>
      </w:r>
      <w:r w:rsidR="004116E8" w:rsidRPr="00C23169">
        <w:rPr>
          <w:szCs w:val="24"/>
        </w:rPr>
        <w:fldChar w:fldCharType="begin"/>
      </w:r>
      <w:r w:rsidR="004116E8" w:rsidRPr="00C23169">
        <w:rPr>
          <w:szCs w:val="24"/>
        </w:rPr>
        <w:instrText xml:space="preserve"> REF _Ref319596846 \r \h  \* MERGEFORMAT </w:instrText>
      </w:r>
      <w:r w:rsidR="004116E8" w:rsidRPr="00C23169">
        <w:rPr>
          <w:szCs w:val="24"/>
        </w:rPr>
      </w:r>
      <w:r w:rsidR="004116E8" w:rsidRPr="00C23169">
        <w:rPr>
          <w:szCs w:val="24"/>
        </w:rPr>
        <w:fldChar w:fldCharType="separate"/>
      </w:r>
      <w:r w:rsidR="00515834">
        <w:rPr>
          <w:szCs w:val="24"/>
        </w:rPr>
        <w:t>(b)</w:t>
      </w:r>
      <w:r w:rsidR="004116E8" w:rsidRPr="00C23169">
        <w:rPr>
          <w:szCs w:val="24"/>
        </w:rPr>
        <w:fldChar w:fldCharType="end"/>
      </w:r>
      <w:r w:rsidRPr="00C23169">
        <w:rPr>
          <w:szCs w:val="24"/>
        </w:rPr>
        <w:t xml:space="preserve">, taking into account the likely impact of the modification </w:t>
      </w:r>
      <w:r w:rsidRPr="00C23169">
        <w:rPr>
          <w:szCs w:val="24"/>
          <w:lang w:val="en-US"/>
        </w:rPr>
        <w:t>on policy owners and the financial position of the life company</w:t>
      </w:r>
      <w:r w:rsidRPr="00C23169">
        <w:t>; and</w:t>
      </w:r>
    </w:p>
    <w:p w:rsidR="0070393A" w:rsidRPr="00C23169" w:rsidRDefault="0070393A" w:rsidP="0070393A">
      <w:pPr>
        <w:numPr>
          <w:ilvl w:val="0"/>
          <w:numId w:val="31"/>
        </w:numPr>
        <w:tabs>
          <w:tab w:val="clear" w:pos="1134"/>
          <w:tab w:val="left" w:pos="-2040"/>
          <w:tab w:val="num" w:pos="1200"/>
        </w:tabs>
        <w:spacing w:after="240"/>
        <w:ind w:left="1200" w:hanging="600"/>
        <w:jc w:val="both"/>
      </w:pPr>
      <w:proofErr w:type="gramStart"/>
      <w:r w:rsidRPr="00C23169">
        <w:rPr>
          <w:szCs w:val="24"/>
        </w:rPr>
        <w:t>sets</w:t>
      </w:r>
      <w:proofErr w:type="gramEnd"/>
      <w:r w:rsidRPr="00C23169">
        <w:rPr>
          <w:szCs w:val="24"/>
        </w:rPr>
        <w:t xml:space="preserve"> out</w:t>
      </w:r>
      <w:r w:rsidRPr="00C23169">
        <w:t xml:space="preserve"> who must consider the advice under paragraph </w:t>
      </w:r>
      <w:r w:rsidR="004116E8" w:rsidRPr="00C23169">
        <w:fldChar w:fldCharType="begin"/>
      </w:r>
      <w:r w:rsidR="004116E8" w:rsidRPr="00C23169">
        <w:instrText xml:space="preserve"> REF _Ref319596838 \r \h  \* MERGEFORMAT </w:instrText>
      </w:r>
      <w:r w:rsidR="004116E8" w:rsidRPr="00C23169">
        <w:fldChar w:fldCharType="separate"/>
      </w:r>
      <w:r w:rsidR="00515834">
        <w:t>24</w:t>
      </w:r>
      <w:r w:rsidR="004116E8" w:rsidRPr="00C23169">
        <w:fldChar w:fldCharType="end"/>
      </w:r>
      <w:r w:rsidR="004116E8" w:rsidRPr="00C23169">
        <w:t xml:space="preserve"> </w:t>
      </w:r>
      <w:r w:rsidRPr="00C23169">
        <w:t xml:space="preserve">or </w:t>
      </w:r>
      <w:r w:rsidR="004116E8" w:rsidRPr="00C23169">
        <w:fldChar w:fldCharType="begin"/>
      </w:r>
      <w:r w:rsidR="004116E8" w:rsidRPr="00C23169">
        <w:instrText xml:space="preserve"> REF _Ref319596951 \r \h  \* MERGEFORMAT </w:instrText>
      </w:r>
      <w:r w:rsidR="004116E8" w:rsidRPr="00C23169">
        <w:fldChar w:fldCharType="separate"/>
      </w:r>
      <w:r w:rsidR="00515834">
        <w:t>26</w:t>
      </w:r>
      <w:r w:rsidR="004116E8" w:rsidRPr="00C23169">
        <w:fldChar w:fldCharType="end"/>
      </w:r>
      <w:r w:rsidR="004116E8" w:rsidRPr="00C23169">
        <w:t xml:space="preserve"> </w:t>
      </w:r>
      <w:r w:rsidRPr="00C23169">
        <w:t>and, in particular, the situations where the advice must be considered by the Board.</w:t>
      </w:r>
    </w:p>
    <w:p w:rsidR="0070393A" w:rsidRPr="00C23169" w:rsidRDefault="0070393A" w:rsidP="00E555E0">
      <w:pPr>
        <w:pStyle w:val="Heading3"/>
      </w:pPr>
      <w:bookmarkStart w:id="55" w:name="_Toc201983622"/>
      <w:bookmarkStart w:id="56" w:name="_Toc248204421"/>
      <w:bookmarkEnd w:id="35"/>
      <w:r w:rsidRPr="00C23169">
        <w:t>Special purpose review</w:t>
      </w:r>
      <w:bookmarkEnd w:id="55"/>
      <w:bookmarkEnd w:id="56"/>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57" w:name="_Ref214184463"/>
      <w:r w:rsidRPr="00C23169">
        <w:rPr>
          <w:b w:val="0"/>
          <w:szCs w:val="24"/>
          <w:lang w:val="en-AU"/>
        </w:rPr>
        <w:t>When requested to do so in writing by APRA, a life company must arrange for its Appointed Actuary to:</w:t>
      </w:r>
      <w:bookmarkEnd w:id="57"/>
    </w:p>
    <w:p w:rsidR="0070393A" w:rsidRPr="00C23169" w:rsidRDefault="0070393A" w:rsidP="0070393A">
      <w:pPr>
        <w:pStyle w:val="BodyText"/>
        <w:numPr>
          <w:ilvl w:val="0"/>
          <w:numId w:val="22"/>
        </w:numPr>
        <w:tabs>
          <w:tab w:val="clear" w:pos="1134"/>
          <w:tab w:val="num" w:pos="1200"/>
        </w:tabs>
        <w:spacing w:after="240"/>
        <w:ind w:left="1200" w:hanging="600"/>
        <w:jc w:val="both"/>
        <w:rPr>
          <w:b w:val="0"/>
          <w:szCs w:val="24"/>
          <w:lang w:val="en-AU"/>
        </w:rPr>
      </w:pPr>
      <w:r w:rsidRPr="00C23169">
        <w:rPr>
          <w:b w:val="0"/>
          <w:szCs w:val="24"/>
          <w:lang w:val="en-AU"/>
        </w:rPr>
        <w:t>undertake a special purpose review of matters set out in writing by APRA relating to the life company’s operations, risk management or financial affairs; and</w:t>
      </w:r>
    </w:p>
    <w:p w:rsidR="0070393A" w:rsidRPr="00C23169" w:rsidRDefault="0070393A" w:rsidP="0070393A">
      <w:pPr>
        <w:pStyle w:val="BodyText"/>
        <w:numPr>
          <w:ilvl w:val="0"/>
          <w:numId w:val="22"/>
        </w:numPr>
        <w:tabs>
          <w:tab w:val="clear" w:pos="1134"/>
          <w:tab w:val="num" w:pos="1200"/>
        </w:tabs>
        <w:spacing w:after="240"/>
        <w:ind w:left="1200" w:hanging="600"/>
        <w:jc w:val="both"/>
        <w:rPr>
          <w:b w:val="0"/>
          <w:szCs w:val="24"/>
          <w:lang w:val="en-AU"/>
        </w:rPr>
      </w:pPr>
      <w:r w:rsidRPr="00C23169">
        <w:rPr>
          <w:b w:val="0"/>
          <w:szCs w:val="24"/>
          <w:lang w:val="en-AU"/>
        </w:rPr>
        <w:t>prepare a report in respect of that review.</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58" w:name="_Ref319650759"/>
      <w:r w:rsidRPr="00C23169">
        <w:rPr>
          <w:b w:val="0"/>
          <w:szCs w:val="24"/>
          <w:lang w:val="en-AU"/>
        </w:rPr>
        <w:t xml:space="preserve">A special purpose review may be conducted by an actuary other than the actuary appointed under paragraph </w:t>
      </w:r>
      <w:r w:rsidR="00E0209F" w:rsidRPr="00C23169">
        <w:rPr>
          <w:b w:val="0"/>
          <w:szCs w:val="24"/>
          <w:lang w:val="en-AU"/>
        </w:rPr>
        <w:fldChar w:fldCharType="begin"/>
      </w:r>
      <w:r w:rsidR="00E0209F" w:rsidRPr="00C23169">
        <w:rPr>
          <w:b w:val="0"/>
          <w:szCs w:val="24"/>
          <w:lang w:val="en-AU"/>
        </w:rPr>
        <w:instrText xml:space="preserve"> REF _Ref214184112 \r \h  \* MERGEFORMAT </w:instrText>
      </w:r>
      <w:r w:rsidR="00E0209F" w:rsidRPr="00C23169">
        <w:rPr>
          <w:b w:val="0"/>
          <w:szCs w:val="24"/>
          <w:lang w:val="en-AU"/>
        </w:rPr>
      </w:r>
      <w:r w:rsidR="00E0209F" w:rsidRPr="00C23169">
        <w:rPr>
          <w:b w:val="0"/>
          <w:szCs w:val="24"/>
          <w:lang w:val="en-AU"/>
        </w:rPr>
        <w:fldChar w:fldCharType="separate"/>
      </w:r>
      <w:r w:rsidR="00515834">
        <w:rPr>
          <w:b w:val="0"/>
          <w:szCs w:val="24"/>
          <w:lang w:val="en-AU"/>
        </w:rPr>
        <w:t>7</w:t>
      </w:r>
      <w:r w:rsidR="00E0209F" w:rsidRPr="00C23169">
        <w:rPr>
          <w:b w:val="0"/>
          <w:szCs w:val="24"/>
          <w:lang w:val="en-AU"/>
        </w:rPr>
        <w:fldChar w:fldCharType="end"/>
      </w:r>
      <w:r w:rsidR="00415AFA" w:rsidRPr="00C23169">
        <w:rPr>
          <w:b w:val="0"/>
          <w:szCs w:val="24"/>
          <w:lang w:val="en-AU"/>
        </w:rPr>
        <w:t xml:space="preserve"> </w:t>
      </w:r>
      <w:r w:rsidRPr="00C23169">
        <w:rPr>
          <w:b w:val="0"/>
          <w:szCs w:val="24"/>
          <w:lang w:val="en-AU"/>
        </w:rPr>
        <w:t xml:space="preserve">but only where this is agreed to by APRA and the actuary satisfies the criteria set out in paragraph </w:t>
      </w:r>
      <w:r w:rsidR="00E0209F" w:rsidRPr="00C23169">
        <w:rPr>
          <w:b w:val="0"/>
          <w:szCs w:val="24"/>
          <w:lang w:val="en-AU"/>
        </w:rPr>
        <w:fldChar w:fldCharType="begin"/>
      </w:r>
      <w:r w:rsidR="00E0209F" w:rsidRPr="00C23169">
        <w:rPr>
          <w:b w:val="0"/>
          <w:szCs w:val="24"/>
          <w:lang w:val="en-AU"/>
        </w:rPr>
        <w:instrText xml:space="preserve"> REF _Ref220390273 \r \h  \* MERGEFORMAT </w:instrText>
      </w:r>
      <w:r w:rsidR="00E0209F" w:rsidRPr="00C23169">
        <w:rPr>
          <w:b w:val="0"/>
          <w:szCs w:val="24"/>
          <w:lang w:val="en-AU"/>
        </w:rPr>
      </w:r>
      <w:r w:rsidR="00E0209F" w:rsidRPr="00C23169">
        <w:rPr>
          <w:b w:val="0"/>
          <w:szCs w:val="24"/>
          <w:lang w:val="en-AU"/>
        </w:rPr>
        <w:fldChar w:fldCharType="separate"/>
      </w:r>
      <w:r w:rsidR="00515834">
        <w:rPr>
          <w:b w:val="0"/>
          <w:szCs w:val="24"/>
          <w:lang w:val="en-AU"/>
        </w:rPr>
        <w:t>8</w:t>
      </w:r>
      <w:r w:rsidR="00E0209F" w:rsidRPr="00C23169">
        <w:rPr>
          <w:b w:val="0"/>
          <w:szCs w:val="24"/>
          <w:lang w:val="en-AU"/>
        </w:rPr>
        <w:fldChar w:fldCharType="end"/>
      </w:r>
      <w:r w:rsidRPr="00C23169">
        <w:rPr>
          <w:b w:val="0"/>
          <w:szCs w:val="24"/>
          <w:lang w:val="en-AU"/>
        </w:rPr>
        <w:t>.</w:t>
      </w:r>
      <w:bookmarkEnd w:id="58"/>
      <w:r w:rsidRPr="00C23169">
        <w:rPr>
          <w:b w:val="0"/>
          <w:szCs w:val="24"/>
          <w:lang w:val="en-AU"/>
        </w:rPr>
        <w:t xml:space="preserve"> </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r w:rsidRPr="00C23169">
        <w:rPr>
          <w:b w:val="0"/>
          <w:lang w:val="en-AU"/>
        </w:rPr>
        <w:t>The review must be completed in accordance with any relevant professional standards and guidance notes (as appropriate to the nature of the special purpose review), to the extent that they are not inconsistent with the requirements of this Prudential Standard.</w:t>
      </w:r>
      <w:r w:rsidR="00C55D1B">
        <w:rPr>
          <w:b w:val="0"/>
          <w:lang w:val="en-AU"/>
        </w:rPr>
        <w:t xml:space="preserve"> </w:t>
      </w:r>
      <w:r w:rsidRPr="00C23169">
        <w:rPr>
          <w:b w:val="0"/>
          <w:lang w:val="en-AU"/>
        </w:rPr>
        <w:t>Where APRA considers, having regard to the nature of the life company’s operations and the purpose of the special purpose review, that the review should not be completed in accordance with those professional standards and guidance notes, APRA may advise the life company in writing that an alternative standard must be used (which is not inconsistent with the requirements of this Prudential Standard and the Act).</w:t>
      </w:r>
    </w:p>
    <w:p w:rsidR="0070393A" w:rsidRPr="00C23169" w:rsidRDefault="0070393A" w:rsidP="0070393A">
      <w:pPr>
        <w:pStyle w:val="BodyText"/>
        <w:numPr>
          <w:ilvl w:val="0"/>
          <w:numId w:val="30"/>
        </w:numPr>
        <w:tabs>
          <w:tab w:val="clear" w:pos="360"/>
        </w:tabs>
        <w:spacing w:after="240"/>
        <w:ind w:left="600" w:hanging="600"/>
        <w:jc w:val="both"/>
        <w:rPr>
          <w:b w:val="0"/>
          <w:szCs w:val="24"/>
          <w:lang w:val="en-AU"/>
        </w:rPr>
      </w:pPr>
      <w:bookmarkStart w:id="59" w:name="_Ref209261626"/>
      <w:bookmarkStart w:id="60" w:name="_Ref214708647"/>
      <w:r w:rsidRPr="00C23169">
        <w:rPr>
          <w:b w:val="0"/>
          <w:szCs w:val="24"/>
          <w:lang w:val="en-AU"/>
        </w:rPr>
        <w:t>The cost of a special purpose review will be borne by the life company.</w:t>
      </w:r>
    </w:p>
    <w:p w:rsidR="0070393A" w:rsidRPr="00C23169" w:rsidRDefault="0070393A" w:rsidP="0070393A">
      <w:pPr>
        <w:pStyle w:val="BodyText"/>
        <w:numPr>
          <w:ilvl w:val="0"/>
          <w:numId w:val="30"/>
        </w:numPr>
        <w:tabs>
          <w:tab w:val="clear" w:pos="360"/>
        </w:tabs>
        <w:spacing w:after="240"/>
        <w:ind w:left="600" w:hanging="600"/>
        <w:jc w:val="both"/>
        <w:rPr>
          <w:b w:val="0"/>
          <w:szCs w:val="24"/>
          <w:lang w:val="en-AU"/>
        </w:rPr>
      </w:pPr>
      <w:r w:rsidRPr="00C23169">
        <w:rPr>
          <w:b w:val="0"/>
          <w:szCs w:val="24"/>
          <w:lang w:val="en-AU"/>
        </w:rPr>
        <w:t>The actuary must submit the final report to APRA and the life company simultaneously within three months of the review being commissioned, or such other period as APRA agrees.</w:t>
      </w:r>
      <w:bookmarkEnd w:id="59"/>
      <w:r w:rsidRPr="00C23169">
        <w:rPr>
          <w:b w:val="0"/>
          <w:szCs w:val="24"/>
          <w:lang w:val="en-AU"/>
        </w:rPr>
        <w:t xml:space="preserve"> </w:t>
      </w:r>
      <w:bookmarkEnd w:id="60"/>
    </w:p>
    <w:p w:rsidR="0070393A" w:rsidRPr="00C23169" w:rsidRDefault="0070393A" w:rsidP="00E555E0">
      <w:pPr>
        <w:pStyle w:val="Heading3"/>
      </w:pPr>
      <w:bookmarkStart w:id="61" w:name="_Toc248204422"/>
      <w:r w:rsidRPr="00C23169">
        <w:t>Obligation to report to APRA under the Act</w:t>
      </w:r>
      <w:bookmarkEnd w:id="61"/>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62" w:name="_Ref214275823"/>
      <w:r w:rsidRPr="00C23169">
        <w:rPr>
          <w:b w:val="0"/>
          <w:szCs w:val="24"/>
          <w:lang w:val="en-AU"/>
        </w:rPr>
        <w:t xml:space="preserve">The Act specifies certain circumstances where Appointed Actuaries are required to report to APRA where a life company or its directors may have </w:t>
      </w:r>
      <w:r w:rsidRPr="00C23169">
        <w:rPr>
          <w:b w:val="0"/>
          <w:szCs w:val="24"/>
          <w:lang w:val="en-AU"/>
        </w:rPr>
        <w:lastRenderedPageBreak/>
        <w:t>contravened the Act or any other law and the contravention may significantly prejudice the interests of the owners of policies issued by the life company.</w:t>
      </w:r>
      <w:r w:rsidRPr="00C23169">
        <w:rPr>
          <w:rStyle w:val="FootnoteReference"/>
          <w:b w:val="0"/>
          <w:szCs w:val="24"/>
          <w:lang w:val="en-AU"/>
        </w:rPr>
        <w:footnoteReference w:id="10"/>
      </w:r>
      <w:r w:rsidRPr="00C23169">
        <w:rPr>
          <w:b w:val="0"/>
          <w:szCs w:val="24"/>
          <w:lang w:val="en-AU"/>
        </w:rPr>
        <w:t xml:space="preserve"> </w:t>
      </w:r>
      <w:bookmarkEnd w:id="62"/>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63" w:name="_Ref214275825"/>
      <w:r w:rsidRPr="00C23169">
        <w:rPr>
          <w:b w:val="0"/>
          <w:szCs w:val="24"/>
          <w:lang w:val="en-AU"/>
        </w:rPr>
        <w:t>Where a report is made to APRA, the Appointed Actuary should not disclose this to the life company if the Appointed Actuary:</w:t>
      </w:r>
      <w:bookmarkEnd w:id="63"/>
    </w:p>
    <w:p w:rsidR="0070393A" w:rsidRPr="00C23169" w:rsidRDefault="0070393A" w:rsidP="0070393A">
      <w:pPr>
        <w:pStyle w:val="BodyText"/>
        <w:numPr>
          <w:ilvl w:val="0"/>
          <w:numId w:val="32"/>
        </w:numPr>
        <w:spacing w:after="240"/>
        <w:jc w:val="both"/>
        <w:rPr>
          <w:b w:val="0"/>
          <w:szCs w:val="24"/>
          <w:lang w:val="en-AU"/>
        </w:rPr>
      </w:pPr>
      <w:r w:rsidRPr="00C23169">
        <w:rPr>
          <w:b w:val="0"/>
          <w:szCs w:val="24"/>
          <w:lang w:val="en-AU"/>
        </w:rPr>
        <w:t>considers that by doing so the interests of policy owners may be jeopardised; or</w:t>
      </w:r>
    </w:p>
    <w:p w:rsidR="0070393A" w:rsidRPr="00C23169" w:rsidRDefault="0070393A" w:rsidP="0070393A">
      <w:pPr>
        <w:pStyle w:val="BodyText"/>
        <w:numPr>
          <w:ilvl w:val="0"/>
          <w:numId w:val="32"/>
        </w:numPr>
        <w:spacing w:after="240"/>
        <w:jc w:val="both"/>
        <w:rPr>
          <w:b w:val="0"/>
          <w:szCs w:val="24"/>
          <w:lang w:val="en-AU"/>
        </w:rPr>
      </w:pPr>
      <w:r w:rsidRPr="00C23169">
        <w:rPr>
          <w:b w:val="0"/>
          <w:szCs w:val="24"/>
          <w:lang w:val="en-AU"/>
        </w:rPr>
        <w:t>has lost confidence in or mistrusts the Board or senior management of the life company.</w:t>
      </w:r>
    </w:p>
    <w:p w:rsidR="0070393A" w:rsidRPr="00C23169" w:rsidRDefault="0070393A" w:rsidP="00E555E0">
      <w:pPr>
        <w:pStyle w:val="Heading3"/>
      </w:pPr>
      <w:bookmarkStart w:id="64" w:name="_Toc248204423"/>
      <w:r w:rsidRPr="00C23169">
        <w:t>General requirements</w:t>
      </w:r>
      <w:bookmarkEnd w:id="64"/>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bookmarkStart w:id="65" w:name="_Ref214345145"/>
      <w:r w:rsidRPr="00C23169">
        <w:rPr>
          <w:b w:val="0"/>
          <w:szCs w:val="24"/>
          <w:lang w:val="en-AU"/>
        </w:rPr>
        <w:t>APRA liaison with an Appointed Actuary will normally be conducted under tripartite arrangements involving APRA, the life company and the Appointed Actuary. Notwithstanding the tripartite relationship, APRA and an Appointed Actuary may meet, at any time, on a bilateral basis at the request of either party.</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r w:rsidRPr="00C23169">
        <w:rPr>
          <w:b w:val="0"/>
          <w:szCs w:val="24"/>
          <w:lang w:val="en-AU"/>
        </w:rPr>
        <w:t xml:space="preserve">All working papers and other documentation of an Appointed Actuary or an actuary appointed under paragraph </w:t>
      </w:r>
      <w:r w:rsidR="00E0209F" w:rsidRPr="00C23169">
        <w:rPr>
          <w:b w:val="0"/>
          <w:szCs w:val="24"/>
          <w:lang w:val="en-AU"/>
        </w:rPr>
        <w:fldChar w:fldCharType="begin"/>
      </w:r>
      <w:r w:rsidR="00E0209F" w:rsidRPr="00C23169">
        <w:rPr>
          <w:b w:val="0"/>
          <w:szCs w:val="24"/>
          <w:lang w:val="en-AU"/>
        </w:rPr>
        <w:instrText xml:space="preserve"> REF _Ref319650759 \r \h  \* MERGEFORMAT </w:instrText>
      </w:r>
      <w:r w:rsidR="00E0209F" w:rsidRPr="00C23169">
        <w:rPr>
          <w:b w:val="0"/>
          <w:szCs w:val="24"/>
          <w:lang w:val="en-AU"/>
        </w:rPr>
      </w:r>
      <w:r w:rsidR="00E0209F" w:rsidRPr="00C23169">
        <w:rPr>
          <w:b w:val="0"/>
          <w:szCs w:val="24"/>
          <w:lang w:val="en-AU"/>
        </w:rPr>
        <w:fldChar w:fldCharType="separate"/>
      </w:r>
      <w:r w:rsidR="00515834">
        <w:rPr>
          <w:b w:val="0"/>
          <w:szCs w:val="24"/>
          <w:lang w:val="en-AU"/>
        </w:rPr>
        <w:t>29</w:t>
      </w:r>
      <w:r w:rsidR="00E0209F" w:rsidRPr="00C23169">
        <w:rPr>
          <w:b w:val="0"/>
          <w:szCs w:val="24"/>
          <w:lang w:val="en-AU"/>
        </w:rPr>
        <w:fldChar w:fldCharType="end"/>
      </w:r>
      <w:r w:rsidRPr="00C23169">
        <w:rPr>
          <w:b w:val="0"/>
          <w:szCs w:val="24"/>
          <w:lang w:val="en-AU"/>
        </w:rPr>
        <w:t xml:space="preserve">, in relation to prudential requirements of the life company, must be retained by the actuary’s employer where the actuary is externally </w:t>
      </w:r>
      <w:proofErr w:type="gramStart"/>
      <w:r w:rsidRPr="00C23169">
        <w:rPr>
          <w:b w:val="0"/>
          <w:szCs w:val="24"/>
          <w:lang w:val="en-AU"/>
        </w:rPr>
        <w:t>appointed,</w:t>
      </w:r>
      <w:proofErr w:type="gramEnd"/>
      <w:r w:rsidRPr="00C23169">
        <w:rPr>
          <w:b w:val="0"/>
          <w:szCs w:val="24"/>
          <w:lang w:val="en-AU"/>
        </w:rPr>
        <w:t xml:space="preserve"> or by the life company where the actuary is employed by the life company, for a period of seven years. </w:t>
      </w:r>
      <w:r w:rsidRPr="00C23169">
        <w:rPr>
          <w:b w:val="0"/>
          <w:szCs w:val="24"/>
        </w:rPr>
        <w:t>The person whose responsibility it is to hold the working papers must provide the working papers and other documentation to APRA where requested to do so in writing by APRA.</w:t>
      </w:r>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r w:rsidRPr="00C23169">
        <w:rPr>
          <w:b w:val="0"/>
        </w:rPr>
        <w:t>Persons involved in the provision of information should note that it is a serious offence under subsection</w:t>
      </w:r>
      <w:r w:rsidR="00C55D1B">
        <w:rPr>
          <w:b w:val="0"/>
        </w:rPr>
        <w:t>s</w:t>
      </w:r>
      <w:r w:rsidRPr="00C23169">
        <w:rPr>
          <w:b w:val="0"/>
        </w:rPr>
        <w:t xml:space="preserve"> 137.1 and 137.2 of the </w:t>
      </w:r>
      <w:r w:rsidRPr="00C23169">
        <w:rPr>
          <w:b w:val="0"/>
          <w:i/>
        </w:rPr>
        <w:t xml:space="preserve">Criminal Code 1995 </w:t>
      </w:r>
      <w:r w:rsidRPr="00C23169">
        <w:rPr>
          <w:b w:val="0"/>
        </w:rPr>
        <w:t>to provide, whether directly or indirectly, false or misleading documents to a Commonwealth entity such as APRA.</w:t>
      </w:r>
    </w:p>
    <w:p w:rsidR="0070393A" w:rsidRPr="00C23169" w:rsidRDefault="0070393A" w:rsidP="00E555E0">
      <w:pPr>
        <w:pStyle w:val="Heading3"/>
      </w:pPr>
      <w:bookmarkStart w:id="66" w:name="_Toc214338172"/>
      <w:bookmarkStart w:id="67" w:name="_Toc248204424"/>
      <w:bookmarkEnd w:id="65"/>
      <w:r w:rsidRPr="00C23169">
        <w:t xml:space="preserve">Adjustments and </w:t>
      </w:r>
      <w:r w:rsidR="00C55D1B">
        <w:t>e</w:t>
      </w:r>
      <w:r w:rsidRPr="00C23169">
        <w:t>xclusions</w:t>
      </w:r>
      <w:bookmarkEnd w:id="66"/>
      <w:bookmarkEnd w:id="67"/>
    </w:p>
    <w:p w:rsidR="0070393A" w:rsidRPr="00C23169" w:rsidRDefault="0070393A" w:rsidP="0070393A">
      <w:pPr>
        <w:pStyle w:val="BodyText"/>
        <w:numPr>
          <w:ilvl w:val="0"/>
          <w:numId w:val="30"/>
        </w:numPr>
        <w:tabs>
          <w:tab w:val="clear" w:pos="360"/>
          <w:tab w:val="num" w:pos="600"/>
        </w:tabs>
        <w:spacing w:after="240"/>
        <w:ind w:left="600" w:hanging="600"/>
        <w:jc w:val="both"/>
        <w:rPr>
          <w:b w:val="0"/>
          <w:szCs w:val="24"/>
          <w:lang w:val="en-AU"/>
        </w:rPr>
      </w:pPr>
      <w:r w:rsidRPr="00C23169">
        <w:rPr>
          <w:b w:val="0"/>
          <w:szCs w:val="24"/>
          <w:lang w:val="en-AU"/>
        </w:rPr>
        <w:t xml:space="preserve">APRA may, by notice in writing to a life company, adjust or exclude a specific requirement in this Prudential Standard in relation to that </w:t>
      </w:r>
      <w:r w:rsidR="004166F0" w:rsidRPr="00C23169">
        <w:rPr>
          <w:b w:val="0"/>
          <w:szCs w:val="24"/>
          <w:lang w:val="en-AU"/>
        </w:rPr>
        <w:t xml:space="preserve">life </w:t>
      </w:r>
      <w:r w:rsidRPr="00C23169">
        <w:rPr>
          <w:b w:val="0"/>
          <w:szCs w:val="24"/>
          <w:lang w:val="en-AU"/>
        </w:rPr>
        <w:t>company.</w:t>
      </w:r>
    </w:p>
    <w:p w:rsidR="0094015A" w:rsidRPr="00C23169" w:rsidRDefault="0094015A" w:rsidP="00E555E0">
      <w:pPr>
        <w:pStyle w:val="Heading3"/>
      </w:pPr>
      <w:r w:rsidRPr="00C23169">
        <w:t>Determinations made under previous prudential standards</w:t>
      </w:r>
    </w:p>
    <w:p w:rsidR="0070393A" w:rsidRPr="00C23169" w:rsidRDefault="0094015A" w:rsidP="0094015A">
      <w:pPr>
        <w:pStyle w:val="BodyText"/>
        <w:numPr>
          <w:ilvl w:val="0"/>
          <w:numId w:val="30"/>
        </w:numPr>
        <w:tabs>
          <w:tab w:val="clear" w:pos="360"/>
          <w:tab w:val="num" w:pos="600"/>
        </w:tabs>
        <w:spacing w:after="240"/>
        <w:ind w:left="600" w:hanging="600"/>
        <w:jc w:val="both"/>
        <w:rPr>
          <w:b w:val="0"/>
        </w:rPr>
      </w:pPr>
      <w:r w:rsidRPr="00C23169">
        <w:rPr>
          <w:b w:val="0"/>
          <w:szCs w:val="24"/>
          <w:lang w:val="en-AU"/>
        </w:rPr>
        <w:t>An exercise of APRA’s discretion (such as an approval, waiver or direction) under a previous version of this Prudential Standard continues to have effect as though exercised pursuant to a corresponding power (if any) exercisable by APRA under this Prudential Standard.</w:t>
      </w:r>
    </w:p>
    <w:sectPr w:rsidR="0070393A" w:rsidRPr="00C23169" w:rsidSect="00CB080F">
      <w:headerReference w:type="default" r:id="rId12"/>
      <w:footerReference w:type="default" r:id="rId13"/>
      <w:endnotePr>
        <w:numFmt w:val="decimal"/>
      </w:end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CD8" w:rsidRDefault="00A46CD8">
      <w:r>
        <w:separator/>
      </w:r>
    </w:p>
  </w:endnote>
  <w:endnote w:type="continuationSeparator" w:id="0">
    <w:p w:rsidR="00A46CD8" w:rsidRDefault="00A4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A6" w:rsidRPr="004850A6" w:rsidRDefault="004850A6">
    <w:pPr>
      <w:pStyle w:val="Footer"/>
      <w:jc w:val="right"/>
      <w:rPr>
        <w:b/>
      </w:rPr>
    </w:pPr>
  </w:p>
  <w:p w:rsidR="00945E0E" w:rsidRPr="00092414" w:rsidRDefault="00945E0E" w:rsidP="00CB080F">
    <w:pPr>
      <w:pStyle w:val="Footer"/>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761025352"/>
      <w:docPartObj>
        <w:docPartGallery w:val="Page Numbers (Bottom of Page)"/>
        <w:docPartUnique/>
      </w:docPartObj>
    </w:sdtPr>
    <w:sdtEndPr/>
    <w:sdtContent>
      <w:sdt>
        <w:sdtPr>
          <w:rPr>
            <w:b/>
          </w:rPr>
          <w:id w:val="-1608568776"/>
          <w:docPartObj>
            <w:docPartGallery w:val="Page Numbers (Top of Page)"/>
            <w:docPartUnique/>
          </w:docPartObj>
        </w:sdtPr>
        <w:sdtEndPr/>
        <w:sdtContent>
          <w:p w:rsidR="004850A6" w:rsidRPr="004850A6" w:rsidRDefault="004850A6">
            <w:pPr>
              <w:pStyle w:val="Footer"/>
              <w:jc w:val="right"/>
              <w:rPr>
                <w:b/>
              </w:rPr>
            </w:pPr>
            <w:r w:rsidRPr="004850A6">
              <w:rPr>
                <w:b/>
              </w:rPr>
              <w:t xml:space="preserve">LPS 320 - </w:t>
            </w:r>
            <w:r w:rsidRPr="004850A6">
              <w:rPr>
                <w:b/>
                <w:bCs/>
                <w:szCs w:val="24"/>
              </w:rPr>
              <w:fldChar w:fldCharType="begin"/>
            </w:r>
            <w:r w:rsidRPr="004850A6">
              <w:rPr>
                <w:b/>
                <w:bCs/>
              </w:rPr>
              <w:instrText xml:space="preserve"> PAGE </w:instrText>
            </w:r>
            <w:r w:rsidRPr="004850A6">
              <w:rPr>
                <w:b/>
                <w:bCs/>
                <w:szCs w:val="24"/>
              </w:rPr>
              <w:fldChar w:fldCharType="separate"/>
            </w:r>
            <w:r w:rsidR="00245A92">
              <w:rPr>
                <w:b/>
                <w:bCs/>
                <w:noProof/>
              </w:rPr>
              <w:t>8</w:t>
            </w:r>
            <w:r w:rsidRPr="004850A6">
              <w:rPr>
                <w:b/>
                <w:bCs/>
                <w:szCs w:val="24"/>
              </w:rPr>
              <w:fldChar w:fldCharType="end"/>
            </w:r>
          </w:p>
        </w:sdtContent>
      </w:sdt>
    </w:sdtContent>
  </w:sdt>
  <w:p w:rsidR="004850A6" w:rsidRPr="00092414" w:rsidRDefault="004850A6" w:rsidP="00CB080F">
    <w:pPr>
      <w:pStyle w:val="Foote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CD8" w:rsidRDefault="00A46CD8">
      <w:r>
        <w:separator/>
      </w:r>
    </w:p>
  </w:footnote>
  <w:footnote w:type="continuationSeparator" w:id="0">
    <w:p w:rsidR="00A46CD8" w:rsidRDefault="00A46CD8">
      <w:r>
        <w:continuationSeparator/>
      </w:r>
    </w:p>
  </w:footnote>
  <w:footnote w:id="1">
    <w:p w:rsidR="00945E0E" w:rsidRPr="007014A2" w:rsidRDefault="00945E0E" w:rsidP="0070393A">
      <w:pPr>
        <w:pStyle w:val="FootnoteText"/>
        <w:ind w:left="540" w:hanging="540"/>
        <w:jc w:val="both"/>
      </w:pPr>
      <w:r w:rsidRPr="007014A2">
        <w:rPr>
          <w:rStyle w:val="FootnoteReference"/>
        </w:rPr>
        <w:footnoteRef/>
      </w:r>
      <w:r w:rsidRPr="007014A2">
        <w:t xml:space="preserve"> </w:t>
      </w:r>
      <w:r w:rsidRPr="007014A2">
        <w:tab/>
        <w:t xml:space="preserve">Refer </w:t>
      </w:r>
      <w:r>
        <w:t>to sub</w:t>
      </w:r>
      <w:r w:rsidRPr="007014A2">
        <w:t>section</w:t>
      </w:r>
      <w:r>
        <w:t xml:space="preserve"> 21(1) </w:t>
      </w:r>
      <w:r w:rsidRPr="007014A2">
        <w:t>of the Act.</w:t>
      </w:r>
    </w:p>
  </w:footnote>
  <w:footnote w:id="2">
    <w:p w:rsidR="00945E0E" w:rsidRPr="007014A2" w:rsidRDefault="00945E0E" w:rsidP="0070393A">
      <w:pPr>
        <w:pStyle w:val="FootnoteText"/>
        <w:ind w:left="540" w:hanging="540"/>
        <w:jc w:val="both"/>
      </w:pPr>
      <w:r w:rsidRPr="007014A2">
        <w:rPr>
          <w:rStyle w:val="FootnoteReference"/>
        </w:rPr>
        <w:footnoteRef/>
      </w:r>
      <w:r w:rsidRPr="007014A2">
        <w:t xml:space="preserve"> </w:t>
      </w:r>
      <w:r w:rsidRPr="007014A2">
        <w:tab/>
        <w:t xml:space="preserve">Refer </w:t>
      </w:r>
      <w:r>
        <w:t>to sub</w:t>
      </w:r>
      <w:r w:rsidRPr="007014A2">
        <w:t xml:space="preserve">section </w:t>
      </w:r>
      <w:r>
        <w:t>93(1)</w:t>
      </w:r>
      <w:r w:rsidRPr="007014A2">
        <w:t xml:space="preserve"> of the Act.</w:t>
      </w:r>
    </w:p>
  </w:footnote>
  <w:footnote w:id="3">
    <w:p w:rsidR="00945E0E" w:rsidRPr="007014A2" w:rsidRDefault="00945E0E" w:rsidP="00A85802">
      <w:pPr>
        <w:pStyle w:val="FootnoteText"/>
        <w:tabs>
          <w:tab w:val="left" w:pos="567"/>
        </w:tabs>
        <w:ind w:left="567" w:hanging="567"/>
        <w:jc w:val="both"/>
      </w:pPr>
      <w:r w:rsidRPr="007014A2">
        <w:rPr>
          <w:rStyle w:val="FootnoteReference"/>
        </w:rPr>
        <w:footnoteRef/>
      </w:r>
      <w:r w:rsidRPr="007014A2">
        <w:t xml:space="preserve"> </w:t>
      </w:r>
      <w:r w:rsidRPr="007014A2">
        <w:tab/>
      </w:r>
      <w:r>
        <w:t>Note that under subsection</w:t>
      </w:r>
      <w:r w:rsidRPr="007014A2">
        <w:t xml:space="preserve"> </w:t>
      </w:r>
      <w:r>
        <w:t xml:space="preserve">97(2) </w:t>
      </w:r>
      <w:r w:rsidRPr="007014A2">
        <w:t>of the Act</w:t>
      </w:r>
      <w:r>
        <w:t xml:space="preserve"> a life comp</w:t>
      </w:r>
      <w:r w:rsidR="00A85802">
        <w:t xml:space="preserve">any must make any arrangements </w:t>
      </w:r>
      <w:r>
        <w:t>necessary to enable the actuary to perfor</w:t>
      </w:r>
      <w:smartTag w:uri="urn:schemas-microsoft-com:office:smarttags" w:element="stockticker">
        <w:r>
          <w:t>m t</w:t>
        </w:r>
      </w:smartTag>
      <w:r>
        <w:t>hese functions.</w:t>
      </w:r>
    </w:p>
  </w:footnote>
  <w:footnote w:id="4">
    <w:p w:rsidR="00945E0E" w:rsidRPr="007014A2" w:rsidRDefault="00945E0E" w:rsidP="0070393A">
      <w:pPr>
        <w:pStyle w:val="FootnoteText"/>
        <w:ind w:left="567" w:hanging="567"/>
        <w:jc w:val="both"/>
      </w:pPr>
      <w:r w:rsidRPr="007014A2">
        <w:rPr>
          <w:rStyle w:val="FootnoteReference"/>
        </w:rPr>
        <w:footnoteRef/>
      </w:r>
      <w:r w:rsidRPr="007014A2">
        <w:t xml:space="preserve"> </w:t>
      </w:r>
      <w:r w:rsidRPr="007014A2">
        <w:tab/>
      </w:r>
      <w:proofErr w:type="gramStart"/>
      <w:r>
        <w:t>Or, i</w:t>
      </w:r>
      <w:r w:rsidRPr="007014A2">
        <w:t xml:space="preserve">n the case of </w:t>
      </w:r>
      <w:r>
        <w:t xml:space="preserve">an </w:t>
      </w:r>
      <w:r w:rsidRPr="000B2F2E">
        <w:rPr>
          <w:b/>
        </w:rPr>
        <w:t>Eligible Foreign Life Insurance Company</w:t>
      </w:r>
      <w:r w:rsidRPr="007014A2">
        <w:t xml:space="preserve">, </w:t>
      </w:r>
      <w:r>
        <w:t>the Compliance Committee</w:t>
      </w:r>
      <w:r w:rsidRPr="007014A2">
        <w:rPr>
          <w:i/>
        </w:rPr>
        <w:t>.</w:t>
      </w:r>
      <w:proofErr w:type="gramEnd"/>
      <w:r w:rsidRPr="007014A2">
        <w:t xml:space="preserve"> </w:t>
      </w:r>
    </w:p>
  </w:footnote>
  <w:footnote w:id="5">
    <w:p w:rsidR="00945E0E" w:rsidRDefault="00945E0E" w:rsidP="00A31CA6">
      <w:pPr>
        <w:pStyle w:val="FootnoteText"/>
        <w:tabs>
          <w:tab w:val="left" w:pos="567"/>
        </w:tabs>
        <w:ind w:left="567" w:hanging="567"/>
        <w:jc w:val="both"/>
      </w:pPr>
      <w:r w:rsidRPr="002B4C2B">
        <w:rPr>
          <w:rStyle w:val="FootnoteReference"/>
        </w:rPr>
        <w:footnoteRef/>
      </w:r>
      <w:r w:rsidRPr="002B4C2B">
        <w:t xml:space="preserve"> </w:t>
      </w:r>
      <w:r w:rsidRPr="002B4C2B">
        <w:tab/>
        <w:t>Note that the Appointed Actuary is also required to give advice on the determination of surrender values as part of the advice on policies required in paragraph</w:t>
      </w:r>
      <w:r>
        <w:t xml:space="preserve"> </w:t>
      </w:r>
      <w:r w:rsidRPr="002B4C2B">
        <w:fldChar w:fldCharType="begin"/>
      </w:r>
      <w:r w:rsidRPr="002B4C2B">
        <w:instrText xml:space="preserve"> REF _Ref319596838 \r \h  \* MERGEFORMAT </w:instrText>
      </w:r>
      <w:r w:rsidRPr="002B4C2B">
        <w:fldChar w:fldCharType="separate"/>
      </w:r>
      <w:r w:rsidR="00515834">
        <w:t>24</w:t>
      </w:r>
      <w:r w:rsidRPr="002B4C2B">
        <w:fldChar w:fldCharType="end"/>
      </w:r>
      <w:r w:rsidRPr="002B4C2B">
        <w:fldChar w:fldCharType="begin"/>
      </w:r>
      <w:r w:rsidRPr="002B4C2B">
        <w:instrText xml:space="preserve"> REF _Ref319651829 \r \h  \* MERGEFORMAT </w:instrText>
      </w:r>
      <w:r w:rsidRPr="002B4C2B">
        <w:fldChar w:fldCharType="separate"/>
      </w:r>
      <w:r w:rsidR="00515834">
        <w:t>(a)</w:t>
      </w:r>
      <w:r w:rsidRPr="002B4C2B">
        <w:fldChar w:fldCharType="end"/>
      </w:r>
      <w:r w:rsidRPr="002B4C2B">
        <w:t>.</w:t>
      </w:r>
    </w:p>
  </w:footnote>
  <w:footnote w:id="6">
    <w:p w:rsidR="00945E0E" w:rsidRDefault="00945E0E" w:rsidP="0078354F">
      <w:pPr>
        <w:pStyle w:val="FootnoteText"/>
        <w:ind w:left="567" w:hanging="567"/>
      </w:pPr>
      <w:r>
        <w:rPr>
          <w:rStyle w:val="FootnoteReference"/>
        </w:rPr>
        <w:footnoteRef/>
      </w:r>
      <w:r>
        <w:t xml:space="preserve"> </w:t>
      </w:r>
      <w:r>
        <w:tab/>
        <w:t>Refer to part 10A of the Act.</w:t>
      </w:r>
    </w:p>
  </w:footnote>
  <w:footnote w:id="7">
    <w:p w:rsidR="00945E0E" w:rsidRDefault="00945E0E" w:rsidP="0078354F">
      <w:pPr>
        <w:pStyle w:val="FootnoteText"/>
        <w:ind w:left="567" w:hanging="567"/>
      </w:pPr>
      <w:r>
        <w:rPr>
          <w:rStyle w:val="FootnoteReference"/>
        </w:rPr>
        <w:footnoteRef/>
      </w:r>
      <w:r>
        <w:t xml:space="preserve"> </w:t>
      </w:r>
      <w:r>
        <w:tab/>
        <w:t>Refer to section 22 of the Act.</w:t>
      </w:r>
    </w:p>
  </w:footnote>
  <w:footnote w:id="8">
    <w:p w:rsidR="00945E0E" w:rsidRDefault="00945E0E" w:rsidP="0070393A">
      <w:pPr>
        <w:pStyle w:val="FootnoteText"/>
        <w:ind w:left="567" w:hanging="567"/>
        <w:jc w:val="both"/>
      </w:pPr>
      <w:r>
        <w:rPr>
          <w:rStyle w:val="FootnoteReference"/>
        </w:rPr>
        <w:footnoteRef/>
      </w:r>
      <w:r>
        <w:t xml:space="preserve"> </w:t>
      </w:r>
      <w:r>
        <w:tab/>
        <w:t>Refer to section 16ZE of the Act.</w:t>
      </w:r>
    </w:p>
  </w:footnote>
  <w:footnote w:id="9">
    <w:p w:rsidR="00945E0E" w:rsidRPr="00B3180A" w:rsidRDefault="00945E0E" w:rsidP="0070393A">
      <w:pPr>
        <w:pStyle w:val="FootnoteText"/>
        <w:ind w:left="567" w:hanging="567"/>
        <w:jc w:val="both"/>
        <w:rPr>
          <w:rStyle w:val="FootnoteReference"/>
        </w:rPr>
      </w:pPr>
      <w:r>
        <w:rPr>
          <w:rStyle w:val="FootnoteReference"/>
        </w:rPr>
        <w:footnoteRef/>
      </w:r>
      <w:r w:rsidRPr="00B3180A">
        <w:rPr>
          <w:rStyle w:val="FootnoteReference"/>
        </w:rPr>
        <w:t xml:space="preserve"> </w:t>
      </w:r>
      <w:r>
        <w:tab/>
      </w:r>
      <w:r w:rsidRPr="00B3180A">
        <w:t xml:space="preserve">‘Policy’ includes a life policy (section 9 of the Act), a sinking fund policy (referred to in section 11 of the Act) and a policy issued in respect of business declared to be life insurance business under section 12A or section 12B of the </w:t>
      </w:r>
      <w:r w:rsidRPr="007D6B9D">
        <w:t>Act.</w:t>
      </w:r>
      <w:r>
        <w:t xml:space="preserve"> </w:t>
      </w:r>
      <w:r w:rsidRPr="007D6B9D">
        <w:t xml:space="preserve">For friendly societies ‘policy’ has the same meaning as in section 16F of the Act. Note that friendly societies also have obligations under </w:t>
      </w:r>
      <w:r>
        <w:rPr>
          <w:i/>
        </w:rPr>
        <w:t xml:space="preserve">Prudential Standard </w:t>
      </w:r>
      <w:r w:rsidRPr="007D6B9D">
        <w:rPr>
          <w:i/>
        </w:rPr>
        <w:t xml:space="preserve">LPS 700 </w:t>
      </w:r>
      <w:r>
        <w:rPr>
          <w:i/>
        </w:rPr>
        <w:t xml:space="preserve">Friendly Society </w:t>
      </w:r>
      <w:r w:rsidRPr="007D6B9D">
        <w:rPr>
          <w:i/>
        </w:rPr>
        <w:t>Benefit Funds</w:t>
      </w:r>
      <w:r w:rsidRPr="007D6B9D">
        <w:t xml:space="preserve"> to</w:t>
      </w:r>
      <w:r w:rsidRPr="00B3180A">
        <w:t xml:space="preserve"> submit this advice to APRA.</w:t>
      </w:r>
    </w:p>
  </w:footnote>
  <w:footnote w:id="10">
    <w:p w:rsidR="00945E0E" w:rsidRDefault="00945E0E" w:rsidP="00A31CA6">
      <w:pPr>
        <w:pStyle w:val="FootnoteText"/>
        <w:ind w:left="540" w:hanging="540"/>
        <w:jc w:val="both"/>
      </w:pPr>
      <w:r w:rsidRPr="007014A2">
        <w:rPr>
          <w:rStyle w:val="FootnoteReference"/>
        </w:rPr>
        <w:footnoteRef/>
      </w:r>
      <w:r w:rsidRPr="007014A2">
        <w:t xml:space="preserve"> </w:t>
      </w:r>
      <w:r w:rsidRPr="007014A2">
        <w:tab/>
      </w:r>
      <w:r>
        <w:t>Refer to subsection 98(2) of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0E" w:rsidRDefault="00945E0E" w:rsidP="004E064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A6" w:rsidRDefault="004850A6" w:rsidP="004E064F">
    <w:pPr>
      <w:pStyle w:val="Header"/>
      <w:jc w:val="right"/>
    </w:pPr>
    <w:r>
      <w:t>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B6E"/>
    <w:multiLevelType w:val="hybridMultilevel"/>
    <w:tmpl w:val="0DEA1B94"/>
    <w:lvl w:ilvl="0" w:tplc="2320DC3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FF13B6"/>
    <w:multiLevelType w:val="hybridMultilevel"/>
    <w:tmpl w:val="A998C03A"/>
    <w:lvl w:ilvl="0" w:tplc="1FBA79E8">
      <w:start w:val="1"/>
      <w:numFmt w:val="decimal"/>
      <w:lvlText w:val="%1."/>
      <w:lvlJc w:val="left"/>
      <w:pPr>
        <w:tabs>
          <w:tab w:val="num" w:pos="360"/>
        </w:tabs>
        <w:ind w:left="360" w:hanging="360"/>
      </w:pPr>
      <w:rPr>
        <w:rFonts w:hint="default"/>
        <w:b w:val="0"/>
        <w:szCs w:val="24"/>
      </w:rPr>
    </w:lvl>
    <w:lvl w:ilvl="1" w:tplc="0C090019">
      <w:start w:val="1"/>
      <w:numFmt w:val="lowerLetter"/>
      <w:lvlText w:val="%2."/>
      <w:lvlJc w:val="left"/>
      <w:pPr>
        <w:tabs>
          <w:tab w:val="num" w:pos="1440"/>
        </w:tabs>
        <w:ind w:left="1440" w:hanging="360"/>
      </w:pPr>
      <w:rPr>
        <w:rFonts w:hint="default"/>
        <w:b w:val="0"/>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8014692"/>
    <w:multiLevelType w:val="hybridMultilevel"/>
    <w:tmpl w:val="9418D150"/>
    <w:lvl w:ilvl="0" w:tplc="CAF84A5E">
      <w:start w:val="1"/>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B0501E4"/>
    <w:multiLevelType w:val="hybridMultilevel"/>
    <w:tmpl w:val="CBF2BFB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945684"/>
    <w:multiLevelType w:val="hybridMultilevel"/>
    <w:tmpl w:val="01F6AA3A"/>
    <w:lvl w:ilvl="0" w:tplc="2320DC38">
      <w:start w:val="1"/>
      <w:numFmt w:val="lowerLetter"/>
      <w:lvlText w:val="(%1)"/>
      <w:lvlJc w:val="left"/>
      <w:pPr>
        <w:tabs>
          <w:tab w:val="num" w:pos="1134"/>
        </w:tabs>
        <w:ind w:left="1134" w:hanging="567"/>
      </w:pPr>
      <w:rPr>
        <w:rFonts w:hint="default"/>
      </w:rPr>
    </w:lvl>
    <w:lvl w:ilvl="1" w:tplc="03ECDDB0">
      <w:start w:val="1"/>
      <w:numFmt w:val="lowerRoman"/>
      <w:lvlText w:val="(%2)"/>
      <w:lvlJc w:val="left"/>
      <w:pPr>
        <w:tabs>
          <w:tab w:val="num" w:pos="1701"/>
        </w:tabs>
        <w:ind w:left="1701" w:hanging="567"/>
      </w:pPr>
      <w:rPr>
        <w:rFonts w:hint="default"/>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D483B15"/>
    <w:multiLevelType w:val="hybridMultilevel"/>
    <w:tmpl w:val="89D08E42"/>
    <w:lvl w:ilvl="0" w:tplc="EDD0F382">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0332E75"/>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7">
    <w:nsid w:val="126A22A9"/>
    <w:multiLevelType w:val="hybridMultilevel"/>
    <w:tmpl w:val="1A907D04"/>
    <w:lvl w:ilvl="0" w:tplc="2E062AB8">
      <w:start w:val="1"/>
      <w:numFmt w:val="decimal"/>
      <w:pStyle w:val="ListParagraph"/>
      <w:lvlText w:val="%1."/>
      <w:lvlJc w:val="left"/>
      <w:pPr>
        <w:ind w:left="1353"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737CCE20">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2D47222"/>
    <w:multiLevelType w:val="singleLevel"/>
    <w:tmpl w:val="077210B0"/>
    <w:lvl w:ilvl="0">
      <w:start w:val="1"/>
      <w:numFmt w:val="decimal"/>
      <w:pStyle w:val="BodyText"/>
      <w:lvlText w:val="%1."/>
      <w:lvlJc w:val="left"/>
      <w:pPr>
        <w:tabs>
          <w:tab w:val="num" w:pos="567"/>
        </w:tabs>
        <w:ind w:left="567" w:hanging="567"/>
      </w:pPr>
      <w:rPr>
        <w:rFonts w:ascii="Times New Roman" w:hAnsi="Times New Roman" w:hint="default"/>
        <w:b w:val="0"/>
        <w:i w:val="0"/>
        <w:sz w:val="24"/>
        <w:szCs w:val="24"/>
      </w:rPr>
    </w:lvl>
  </w:abstractNum>
  <w:abstractNum w:abstractNumId="9">
    <w:nsid w:val="1A35133A"/>
    <w:multiLevelType w:val="hybridMultilevel"/>
    <w:tmpl w:val="98D21884"/>
    <w:lvl w:ilvl="0" w:tplc="A01A8F4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AA85D99"/>
    <w:multiLevelType w:val="hybridMultilevel"/>
    <w:tmpl w:val="EE8AB3FE"/>
    <w:lvl w:ilvl="0" w:tplc="2320DC3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D8A00AC"/>
    <w:multiLevelType w:val="hybridMultilevel"/>
    <w:tmpl w:val="6E8E97EC"/>
    <w:lvl w:ilvl="0" w:tplc="CAF84A5E">
      <w:start w:val="1"/>
      <w:numFmt w:val="lowerRoman"/>
      <w:lvlText w:val="(%1)"/>
      <w:lvlJc w:val="left"/>
      <w:pPr>
        <w:tabs>
          <w:tab w:val="num" w:pos="1800"/>
        </w:tabs>
        <w:ind w:left="1800" w:hanging="720"/>
      </w:pPr>
      <w:rPr>
        <w:rFonts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2">
    <w:nsid w:val="1E5A162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3">
    <w:nsid w:val="277E4F48"/>
    <w:multiLevelType w:val="hybridMultilevel"/>
    <w:tmpl w:val="9CC0FFD8"/>
    <w:lvl w:ilvl="0" w:tplc="EDD0F382">
      <w:start w:val="1"/>
      <w:numFmt w:val="lowerLetter"/>
      <w:lvlText w:val="(%1)"/>
      <w:lvlJc w:val="left"/>
      <w:pPr>
        <w:tabs>
          <w:tab w:val="num" w:pos="922"/>
        </w:tabs>
        <w:ind w:left="922" w:hanging="360"/>
      </w:pPr>
      <w:rPr>
        <w:rFonts w:hint="default"/>
      </w:rPr>
    </w:lvl>
    <w:lvl w:ilvl="1" w:tplc="0C090019" w:tentative="1">
      <w:start w:val="1"/>
      <w:numFmt w:val="lowerLetter"/>
      <w:lvlText w:val="%2."/>
      <w:lvlJc w:val="left"/>
      <w:pPr>
        <w:tabs>
          <w:tab w:val="num" w:pos="1642"/>
        </w:tabs>
        <w:ind w:left="1642" w:hanging="360"/>
      </w:pPr>
    </w:lvl>
    <w:lvl w:ilvl="2" w:tplc="0C09001B" w:tentative="1">
      <w:start w:val="1"/>
      <w:numFmt w:val="lowerRoman"/>
      <w:lvlText w:val="%3."/>
      <w:lvlJc w:val="right"/>
      <w:pPr>
        <w:tabs>
          <w:tab w:val="num" w:pos="2362"/>
        </w:tabs>
        <w:ind w:left="2362" w:hanging="180"/>
      </w:pPr>
    </w:lvl>
    <w:lvl w:ilvl="3" w:tplc="0C09000F" w:tentative="1">
      <w:start w:val="1"/>
      <w:numFmt w:val="decimal"/>
      <w:lvlText w:val="%4."/>
      <w:lvlJc w:val="left"/>
      <w:pPr>
        <w:tabs>
          <w:tab w:val="num" w:pos="3082"/>
        </w:tabs>
        <w:ind w:left="3082" w:hanging="360"/>
      </w:pPr>
    </w:lvl>
    <w:lvl w:ilvl="4" w:tplc="0C090019" w:tentative="1">
      <w:start w:val="1"/>
      <w:numFmt w:val="lowerLetter"/>
      <w:lvlText w:val="%5."/>
      <w:lvlJc w:val="left"/>
      <w:pPr>
        <w:tabs>
          <w:tab w:val="num" w:pos="3802"/>
        </w:tabs>
        <w:ind w:left="3802" w:hanging="360"/>
      </w:pPr>
    </w:lvl>
    <w:lvl w:ilvl="5" w:tplc="0C09001B" w:tentative="1">
      <w:start w:val="1"/>
      <w:numFmt w:val="lowerRoman"/>
      <w:lvlText w:val="%6."/>
      <w:lvlJc w:val="right"/>
      <w:pPr>
        <w:tabs>
          <w:tab w:val="num" w:pos="4522"/>
        </w:tabs>
        <w:ind w:left="4522" w:hanging="180"/>
      </w:pPr>
    </w:lvl>
    <w:lvl w:ilvl="6" w:tplc="0C09000F" w:tentative="1">
      <w:start w:val="1"/>
      <w:numFmt w:val="decimal"/>
      <w:lvlText w:val="%7."/>
      <w:lvlJc w:val="left"/>
      <w:pPr>
        <w:tabs>
          <w:tab w:val="num" w:pos="5242"/>
        </w:tabs>
        <w:ind w:left="5242" w:hanging="360"/>
      </w:pPr>
    </w:lvl>
    <w:lvl w:ilvl="7" w:tplc="0C090019" w:tentative="1">
      <w:start w:val="1"/>
      <w:numFmt w:val="lowerLetter"/>
      <w:lvlText w:val="%8."/>
      <w:lvlJc w:val="left"/>
      <w:pPr>
        <w:tabs>
          <w:tab w:val="num" w:pos="5962"/>
        </w:tabs>
        <w:ind w:left="5962" w:hanging="360"/>
      </w:pPr>
    </w:lvl>
    <w:lvl w:ilvl="8" w:tplc="0C09001B" w:tentative="1">
      <w:start w:val="1"/>
      <w:numFmt w:val="lowerRoman"/>
      <w:lvlText w:val="%9."/>
      <w:lvlJc w:val="right"/>
      <w:pPr>
        <w:tabs>
          <w:tab w:val="num" w:pos="6682"/>
        </w:tabs>
        <w:ind w:left="6682" w:hanging="180"/>
      </w:pPr>
    </w:lvl>
  </w:abstractNum>
  <w:abstractNum w:abstractNumId="14">
    <w:nsid w:val="279120CF"/>
    <w:multiLevelType w:val="hybridMultilevel"/>
    <w:tmpl w:val="4614FC88"/>
    <w:lvl w:ilvl="0" w:tplc="EDD0F382">
      <w:start w:val="1"/>
      <w:numFmt w:val="lowerLetter"/>
      <w:lvlText w:val="(%1)"/>
      <w:lvlJc w:val="left"/>
      <w:pPr>
        <w:tabs>
          <w:tab w:val="num" w:pos="720"/>
        </w:tabs>
        <w:ind w:left="720" w:hanging="360"/>
      </w:pPr>
      <w:rPr>
        <w:rFonts w:hint="default"/>
      </w:rPr>
    </w:lvl>
    <w:lvl w:ilvl="1" w:tplc="CAF84A5E">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8295F61"/>
    <w:multiLevelType w:val="hybridMultilevel"/>
    <w:tmpl w:val="37CC0DAE"/>
    <w:lvl w:ilvl="0" w:tplc="FFFFFFFF">
      <w:start w:val="1"/>
      <w:numFmt w:val="bullet"/>
      <w:lvlText w:val=""/>
      <w:lvlJc w:val="left"/>
      <w:pPr>
        <w:tabs>
          <w:tab w:val="num" w:pos="360"/>
        </w:tabs>
        <w:ind w:left="360" w:hanging="360"/>
      </w:pPr>
      <w:rPr>
        <w:rFonts w:ascii="Symbol" w:hAnsi="Symbol" w:hint="default"/>
        <w:sz w:val="24"/>
        <w:szCs w:val="24"/>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7">
    <w:nsid w:val="2B67500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8">
    <w:nsid w:val="2C6F503C"/>
    <w:multiLevelType w:val="hybridMultilevel"/>
    <w:tmpl w:val="83FE0ECE"/>
    <w:lvl w:ilvl="0" w:tplc="2320DC3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EE70262"/>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0">
    <w:nsid w:val="36F233B6"/>
    <w:multiLevelType w:val="hybridMultilevel"/>
    <w:tmpl w:val="0A387E86"/>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4F47C8D"/>
    <w:multiLevelType w:val="hybridMultilevel"/>
    <w:tmpl w:val="62EC4C80"/>
    <w:lvl w:ilvl="0" w:tplc="DA881588">
      <w:start w:val="1"/>
      <w:numFmt w:val="decimal"/>
      <w:lvlText w:val="%1."/>
      <w:lvlJc w:val="left"/>
      <w:pPr>
        <w:tabs>
          <w:tab w:val="num" w:pos="360"/>
        </w:tabs>
        <w:ind w:left="360" w:hanging="360"/>
      </w:pPr>
      <w:rPr>
        <w:b w:val="0"/>
        <w:szCs w:val="24"/>
      </w:rPr>
    </w:lvl>
    <w:lvl w:ilvl="1" w:tplc="41FA6F2C">
      <w:start w:val="1"/>
      <w:numFmt w:val="lowerLetter"/>
      <w:lvlText w:val="(%2)"/>
      <w:lvlJc w:val="left"/>
      <w:pPr>
        <w:tabs>
          <w:tab w:val="num" w:pos="1135"/>
        </w:tabs>
        <w:ind w:left="1135" w:hanging="567"/>
      </w:pPr>
      <w:rPr>
        <w:rFonts w:ascii="Times New Roman" w:eastAsia="Times New Roman" w:hAnsi="Times New Roman" w:cs="Times New Roman"/>
        <w:b w:val="0"/>
        <w:szCs w:val="24"/>
      </w:rPr>
    </w:lvl>
    <w:lvl w:ilvl="2" w:tplc="CAF84A5E">
      <w:start w:val="1"/>
      <w:numFmt w:val="lowerRoman"/>
      <w:lvlText w:val="(%3)"/>
      <w:lvlJc w:val="left"/>
      <w:pPr>
        <w:tabs>
          <w:tab w:val="num" w:pos="3681"/>
        </w:tabs>
        <w:ind w:left="3681" w:hanging="567"/>
      </w:pPr>
      <w:rPr>
        <w:rFonts w:hint="default"/>
        <w:b w:val="0"/>
        <w:szCs w:val="24"/>
      </w:rPr>
    </w:lvl>
    <w:lvl w:ilvl="3" w:tplc="0C09000F">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2">
    <w:nsid w:val="45935561"/>
    <w:multiLevelType w:val="hybridMultilevel"/>
    <w:tmpl w:val="89D4F830"/>
    <w:lvl w:ilvl="0" w:tplc="A01A8F4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D771DE4"/>
    <w:multiLevelType w:val="hybridMultilevel"/>
    <w:tmpl w:val="BACA6DBE"/>
    <w:lvl w:ilvl="0" w:tplc="03ECDDB0">
      <w:start w:val="1"/>
      <w:numFmt w:val="lowerRoman"/>
      <w:lvlText w:val="(%1)"/>
      <w:lvlJc w:val="left"/>
      <w:pPr>
        <w:tabs>
          <w:tab w:val="num" w:pos="1767"/>
        </w:tabs>
        <w:ind w:left="1767" w:hanging="567"/>
      </w:pPr>
      <w:rPr>
        <w:rFonts w:hint="default"/>
        <w:sz w:val="24"/>
        <w:szCs w:val="24"/>
      </w:rPr>
    </w:lvl>
    <w:lvl w:ilvl="1" w:tplc="0C090019">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24">
    <w:nsid w:val="511B4ECB"/>
    <w:multiLevelType w:val="hybridMultilevel"/>
    <w:tmpl w:val="2D069F76"/>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38A14A8"/>
    <w:multiLevelType w:val="hybridMultilevel"/>
    <w:tmpl w:val="DDFCC090"/>
    <w:lvl w:ilvl="0" w:tplc="41907E00">
      <w:start w:val="1"/>
      <w:numFmt w:val="lowerLetter"/>
      <w:lvlText w:val="(%1)"/>
      <w:lvlJc w:val="left"/>
      <w:pPr>
        <w:ind w:left="720" w:hanging="360"/>
      </w:pPr>
      <w:rPr>
        <w:rFonts w:hint="default"/>
        <w:color w:val="auto"/>
      </w:rPr>
    </w:lvl>
    <w:lvl w:ilvl="1" w:tplc="989E7CA8">
      <w:start w:val="1"/>
      <w:numFmt w:val="lowerRoman"/>
      <w:lvlText w:val="(%2)"/>
      <w:lvlJc w:val="center"/>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6DD22C3"/>
    <w:multiLevelType w:val="hybridMultilevel"/>
    <w:tmpl w:val="7E6A3A30"/>
    <w:lvl w:ilvl="0" w:tplc="CAF84A5E">
      <w:start w:val="1"/>
      <w:numFmt w:val="lowerRoman"/>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8C7261C"/>
    <w:multiLevelType w:val="hybridMultilevel"/>
    <w:tmpl w:val="F3C8E6DE"/>
    <w:lvl w:ilvl="0" w:tplc="68F61DF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B063EBD"/>
    <w:multiLevelType w:val="hybridMultilevel"/>
    <w:tmpl w:val="40464CD0"/>
    <w:lvl w:ilvl="0" w:tplc="FFFFFFFF">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C5D1A4A"/>
    <w:multiLevelType w:val="hybridMultilevel"/>
    <w:tmpl w:val="6D1E940E"/>
    <w:lvl w:ilvl="0" w:tplc="50A897F4">
      <w:start w:val="1"/>
      <w:numFmt w:val="lowerLetter"/>
      <w:lvlText w:val="(%1)"/>
      <w:lvlJc w:val="left"/>
      <w:pPr>
        <w:tabs>
          <w:tab w:val="num" w:pos="1134"/>
        </w:tabs>
        <w:ind w:left="1134" w:hanging="567"/>
      </w:pPr>
      <w:rPr>
        <w:rFonts w:hint="default"/>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DA41BB6"/>
    <w:multiLevelType w:val="hybridMultilevel"/>
    <w:tmpl w:val="B55AEB34"/>
    <w:lvl w:ilvl="0" w:tplc="35C89DCA">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62720949"/>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2">
    <w:nsid w:val="6D4F33A8"/>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3">
    <w:nsid w:val="704A0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11F7D2B"/>
    <w:multiLevelType w:val="hybridMultilevel"/>
    <w:tmpl w:val="8174E3E4"/>
    <w:lvl w:ilvl="0" w:tplc="CAF84A5E">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5">
    <w:nsid w:val="71260604"/>
    <w:multiLevelType w:val="hybridMultilevel"/>
    <w:tmpl w:val="038454B8"/>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2086D74"/>
    <w:multiLevelType w:val="hybridMultilevel"/>
    <w:tmpl w:val="F3C8E6DE"/>
    <w:lvl w:ilvl="0" w:tplc="68F61DF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4535CF3"/>
    <w:multiLevelType w:val="hybridMultilevel"/>
    <w:tmpl w:val="5476AFB0"/>
    <w:lvl w:ilvl="0" w:tplc="FFFFFFFF">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E131F1"/>
    <w:multiLevelType w:val="singleLevel"/>
    <w:tmpl w:val="9A542436"/>
    <w:lvl w:ilvl="0">
      <w:start w:val="1"/>
      <w:numFmt w:val="decimal"/>
      <w:lvlText w:val="%1."/>
      <w:lvlJc w:val="left"/>
      <w:pPr>
        <w:tabs>
          <w:tab w:val="num" w:pos="567"/>
        </w:tabs>
        <w:ind w:left="567" w:hanging="567"/>
      </w:pPr>
      <w:rPr>
        <w:rFonts w:ascii="Times New Roman" w:hAnsi="Times New Roman" w:cs="Times New Roman" w:hint="default"/>
        <w:b w:val="0"/>
        <w:i w:val="0"/>
        <w:strike w:val="0"/>
      </w:rPr>
    </w:lvl>
  </w:abstractNum>
  <w:abstractNum w:abstractNumId="39">
    <w:nsid w:val="7BFD6E67"/>
    <w:multiLevelType w:val="hybridMultilevel"/>
    <w:tmpl w:val="464C4F96"/>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FF3730A"/>
    <w:multiLevelType w:val="singleLevel"/>
    <w:tmpl w:val="996A0BE8"/>
    <w:lvl w:ilvl="0">
      <w:start w:val="1"/>
      <w:numFmt w:val="decimal"/>
      <w:pStyle w:val="Normaltext"/>
      <w:lvlText w:val="%1."/>
      <w:lvlJc w:val="left"/>
      <w:pPr>
        <w:tabs>
          <w:tab w:val="num" w:pos="562"/>
        </w:tabs>
        <w:ind w:left="562" w:hanging="562"/>
      </w:pPr>
      <w:rPr>
        <w:rFonts w:hint="default"/>
        <w:sz w:val="24"/>
        <w:szCs w:val="24"/>
      </w:rPr>
    </w:lvl>
  </w:abstractNum>
  <w:num w:numId="1">
    <w:abstractNumId w:val="16"/>
  </w:num>
  <w:num w:numId="2">
    <w:abstractNumId w:val="6"/>
  </w:num>
  <w:num w:numId="3">
    <w:abstractNumId w:val="32"/>
  </w:num>
  <w:num w:numId="4">
    <w:abstractNumId w:val="19"/>
  </w:num>
  <w:num w:numId="5">
    <w:abstractNumId w:val="17"/>
  </w:num>
  <w:num w:numId="6">
    <w:abstractNumId w:val="12"/>
  </w:num>
  <w:num w:numId="7">
    <w:abstractNumId w:val="31"/>
  </w:num>
  <w:num w:numId="8">
    <w:abstractNumId w:val="33"/>
  </w:num>
  <w:num w:numId="9">
    <w:abstractNumId w:val="24"/>
  </w:num>
  <w:num w:numId="10">
    <w:abstractNumId w:val="14"/>
  </w:num>
  <w:num w:numId="11">
    <w:abstractNumId w:val="39"/>
  </w:num>
  <w:num w:numId="12">
    <w:abstractNumId w:val="35"/>
  </w:num>
  <w:num w:numId="13">
    <w:abstractNumId w:val="20"/>
  </w:num>
  <w:num w:numId="14">
    <w:abstractNumId w:val="5"/>
  </w:num>
  <w:num w:numId="15">
    <w:abstractNumId w:val="8"/>
  </w:num>
  <w:num w:numId="16">
    <w:abstractNumId w:val="11"/>
  </w:num>
  <w:num w:numId="17">
    <w:abstractNumId w:val="2"/>
  </w:num>
  <w:num w:numId="18">
    <w:abstractNumId w:val="34"/>
  </w:num>
  <w:num w:numId="19">
    <w:abstractNumId w:val="13"/>
  </w:num>
  <w:num w:numId="20">
    <w:abstractNumId w:val="15"/>
  </w:num>
  <w:num w:numId="21">
    <w:abstractNumId w:val="27"/>
  </w:num>
  <w:num w:numId="22">
    <w:abstractNumId w:val="9"/>
  </w:num>
  <w:num w:numId="23">
    <w:abstractNumId w:val="37"/>
  </w:num>
  <w:num w:numId="24">
    <w:abstractNumId w:val="0"/>
  </w:num>
  <w:num w:numId="25">
    <w:abstractNumId w:val="18"/>
  </w:num>
  <w:num w:numId="26">
    <w:abstractNumId w:val="10"/>
  </w:num>
  <w:num w:numId="27">
    <w:abstractNumId w:val="4"/>
  </w:num>
  <w:num w:numId="28">
    <w:abstractNumId w:val="29"/>
  </w:num>
  <w:num w:numId="29">
    <w:abstractNumId w:val="30"/>
  </w:num>
  <w:num w:numId="30">
    <w:abstractNumId w:val="1"/>
  </w:num>
  <w:num w:numId="31">
    <w:abstractNumId w:val="28"/>
  </w:num>
  <w:num w:numId="32">
    <w:abstractNumId w:val="22"/>
  </w:num>
  <w:num w:numId="33">
    <w:abstractNumId w:val="23"/>
  </w:num>
  <w:num w:numId="34">
    <w:abstractNumId w:val="8"/>
  </w:num>
  <w:num w:numId="35">
    <w:abstractNumId w:val="8"/>
  </w:num>
  <w:num w:numId="36">
    <w:abstractNumId w:val="7"/>
  </w:num>
  <w:num w:numId="37">
    <w:abstractNumId w:val="38"/>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
  </w:num>
  <w:num w:numId="42">
    <w:abstractNumId w:val="8"/>
  </w:num>
  <w:num w:numId="43">
    <w:abstractNumId w:val="8"/>
  </w:num>
  <w:num w:numId="44">
    <w:abstractNumId w:val="26"/>
  </w:num>
  <w:num w:numId="45">
    <w:abstractNumId w:val="8"/>
  </w:num>
  <w:num w:numId="46">
    <w:abstractNumId w:val="36"/>
  </w:num>
  <w:num w:numId="47">
    <w:abstractNumId w:val="21"/>
  </w:num>
  <w:num w:numId="48">
    <w:abstractNumId w:val="4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99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42"/>
    <w:rsid w:val="00001CE3"/>
    <w:rsid w:val="00006E6A"/>
    <w:rsid w:val="0002010C"/>
    <w:rsid w:val="00024A83"/>
    <w:rsid w:val="00026021"/>
    <w:rsid w:val="000305D6"/>
    <w:rsid w:val="00031F4A"/>
    <w:rsid w:val="00034FA2"/>
    <w:rsid w:val="00042DA5"/>
    <w:rsid w:val="00057B42"/>
    <w:rsid w:val="00065937"/>
    <w:rsid w:val="00066F3B"/>
    <w:rsid w:val="00073272"/>
    <w:rsid w:val="00083658"/>
    <w:rsid w:val="00085BCF"/>
    <w:rsid w:val="00087E73"/>
    <w:rsid w:val="00090162"/>
    <w:rsid w:val="00094045"/>
    <w:rsid w:val="000949A0"/>
    <w:rsid w:val="000A3E9C"/>
    <w:rsid w:val="000A6968"/>
    <w:rsid w:val="000A73C2"/>
    <w:rsid w:val="000A7C45"/>
    <w:rsid w:val="000B2F2E"/>
    <w:rsid w:val="000D27C0"/>
    <w:rsid w:val="000E0384"/>
    <w:rsid w:val="000E25AC"/>
    <w:rsid w:val="000E7CE9"/>
    <w:rsid w:val="000F0311"/>
    <w:rsid w:val="000F0B08"/>
    <w:rsid w:val="000F4BA6"/>
    <w:rsid w:val="000F53A9"/>
    <w:rsid w:val="00103103"/>
    <w:rsid w:val="00105AE9"/>
    <w:rsid w:val="00106296"/>
    <w:rsid w:val="00106CF8"/>
    <w:rsid w:val="00140C4E"/>
    <w:rsid w:val="00143168"/>
    <w:rsid w:val="0014664B"/>
    <w:rsid w:val="001507A0"/>
    <w:rsid w:val="001508ED"/>
    <w:rsid w:val="001576DD"/>
    <w:rsid w:val="00172D76"/>
    <w:rsid w:val="001730B0"/>
    <w:rsid w:val="00175C07"/>
    <w:rsid w:val="00183913"/>
    <w:rsid w:val="00193261"/>
    <w:rsid w:val="00193A33"/>
    <w:rsid w:val="001A309C"/>
    <w:rsid w:val="001A7263"/>
    <w:rsid w:val="001B0E97"/>
    <w:rsid w:val="001B1186"/>
    <w:rsid w:val="001C3F71"/>
    <w:rsid w:val="001C4AC4"/>
    <w:rsid w:val="001D050F"/>
    <w:rsid w:val="001E05BF"/>
    <w:rsid w:val="001E4B34"/>
    <w:rsid w:val="001E5A72"/>
    <w:rsid w:val="001E7B61"/>
    <w:rsid w:val="001F6801"/>
    <w:rsid w:val="001F6F99"/>
    <w:rsid w:val="00200D5B"/>
    <w:rsid w:val="00202EE0"/>
    <w:rsid w:val="00210CE3"/>
    <w:rsid w:val="0021341C"/>
    <w:rsid w:val="00214180"/>
    <w:rsid w:val="002212F3"/>
    <w:rsid w:val="00226DD1"/>
    <w:rsid w:val="0023104A"/>
    <w:rsid w:val="002311F4"/>
    <w:rsid w:val="00244418"/>
    <w:rsid w:val="00244E8B"/>
    <w:rsid w:val="00245369"/>
    <w:rsid w:val="00245A92"/>
    <w:rsid w:val="00252A54"/>
    <w:rsid w:val="002573F9"/>
    <w:rsid w:val="0026357F"/>
    <w:rsid w:val="00263ADD"/>
    <w:rsid w:val="00277383"/>
    <w:rsid w:val="002804B7"/>
    <w:rsid w:val="00290938"/>
    <w:rsid w:val="002A4A18"/>
    <w:rsid w:val="002B1275"/>
    <w:rsid w:val="002B4C2B"/>
    <w:rsid w:val="002B68F6"/>
    <w:rsid w:val="002D0BFB"/>
    <w:rsid w:val="002D3560"/>
    <w:rsid w:val="002D5919"/>
    <w:rsid w:val="002D5F0C"/>
    <w:rsid w:val="002E283E"/>
    <w:rsid w:val="002F7C57"/>
    <w:rsid w:val="00301741"/>
    <w:rsid w:val="00301D49"/>
    <w:rsid w:val="00303B95"/>
    <w:rsid w:val="003235E7"/>
    <w:rsid w:val="00325C37"/>
    <w:rsid w:val="00335C62"/>
    <w:rsid w:val="00337DBC"/>
    <w:rsid w:val="003407BB"/>
    <w:rsid w:val="00340ADB"/>
    <w:rsid w:val="003579D4"/>
    <w:rsid w:val="00360074"/>
    <w:rsid w:val="00365F78"/>
    <w:rsid w:val="003679E1"/>
    <w:rsid w:val="00374091"/>
    <w:rsid w:val="00381900"/>
    <w:rsid w:val="00383747"/>
    <w:rsid w:val="00385371"/>
    <w:rsid w:val="00385485"/>
    <w:rsid w:val="00386AB6"/>
    <w:rsid w:val="00387107"/>
    <w:rsid w:val="003911C8"/>
    <w:rsid w:val="003945EE"/>
    <w:rsid w:val="003977FA"/>
    <w:rsid w:val="003A228B"/>
    <w:rsid w:val="003B1F85"/>
    <w:rsid w:val="003B4094"/>
    <w:rsid w:val="003D1E06"/>
    <w:rsid w:val="003E4B9B"/>
    <w:rsid w:val="003E7BB3"/>
    <w:rsid w:val="003F01A2"/>
    <w:rsid w:val="003F0672"/>
    <w:rsid w:val="003F0C66"/>
    <w:rsid w:val="003F0E9C"/>
    <w:rsid w:val="003F63FA"/>
    <w:rsid w:val="004022F7"/>
    <w:rsid w:val="004116E8"/>
    <w:rsid w:val="00415AFA"/>
    <w:rsid w:val="004166F0"/>
    <w:rsid w:val="00420F04"/>
    <w:rsid w:val="004229FF"/>
    <w:rsid w:val="00435A5D"/>
    <w:rsid w:val="00440B90"/>
    <w:rsid w:val="00443181"/>
    <w:rsid w:val="00444C93"/>
    <w:rsid w:val="004506E8"/>
    <w:rsid w:val="00450946"/>
    <w:rsid w:val="004670A8"/>
    <w:rsid w:val="00476095"/>
    <w:rsid w:val="00477F94"/>
    <w:rsid w:val="00483086"/>
    <w:rsid w:val="004850A6"/>
    <w:rsid w:val="0049304A"/>
    <w:rsid w:val="00494161"/>
    <w:rsid w:val="00497E00"/>
    <w:rsid w:val="004A45B8"/>
    <w:rsid w:val="004B4F6C"/>
    <w:rsid w:val="004B56A7"/>
    <w:rsid w:val="004C3306"/>
    <w:rsid w:val="004C3B5F"/>
    <w:rsid w:val="004D2402"/>
    <w:rsid w:val="004D3C72"/>
    <w:rsid w:val="004D756D"/>
    <w:rsid w:val="004E064F"/>
    <w:rsid w:val="004E068F"/>
    <w:rsid w:val="004E0834"/>
    <w:rsid w:val="004E440A"/>
    <w:rsid w:val="00515834"/>
    <w:rsid w:val="00522A69"/>
    <w:rsid w:val="00535866"/>
    <w:rsid w:val="0053724A"/>
    <w:rsid w:val="00541F34"/>
    <w:rsid w:val="00545E32"/>
    <w:rsid w:val="00550FA2"/>
    <w:rsid w:val="005570AE"/>
    <w:rsid w:val="005626D3"/>
    <w:rsid w:val="00564D3C"/>
    <w:rsid w:val="00566BAF"/>
    <w:rsid w:val="00567FA3"/>
    <w:rsid w:val="00582C3C"/>
    <w:rsid w:val="005849E4"/>
    <w:rsid w:val="005849F6"/>
    <w:rsid w:val="00591850"/>
    <w:rsid w:val="005957F7"/>
    <w:rsid w:val="0059679E"/>
    <w:rsid w:val="00597777"/>
    <w:rsid w:val="005A3363"/>
    <w:rsid w:val="005B0987"/>
    <w:rsid w:val="005C6B36"/>
    <w:rsid w:val="005D201E"/>
    <w:rsid w:val="005D4D95"/>
    <w:rsid w:val="005D5A43"/>
    <w:rsid w:val="005E109D"/>
    <w:rsid w:val="005F3DBB"/>
    <w:rsid w:val="00600745"/>
    <w:rsid w:val="00601180"/>
    <w:rsid w:val="006015EA"/>
    <w:rsid w:val="00601FFF"/>
    <w:rsid w:val="00611F09"/>
    <w:rsid w:val="0061583D"/>
    <w:rsid w:val="00627424"/>
    <w:rsid w:val="00630677"/>
    <w:rsid w:val="0063216E"/>
    <w:rsid w:val="006429AB"/>
    <w:rsid w:val="00646507"/>
    <w:rsid w:val="00646A91"/>
    <w:rsid w:val="00646BD7"/>
    <w:rsid w:val="00647074"/>
    <w:rsid w:val="006509A4"/>
    <w:rsid w:val="00651CC4"/>
    <w:rsid w:val="006521BE"/>
    <w:rsid w:val="00656E47"/>
    <w:rsid w:val="006573AD"/>
    <w:rsid w:val="0066196A"/>
    <w:rsid w:val="00664F84"/>
    <w:rsid w:val="00671810"/>
    <w:rsid w:val="00672438"/>
    <w:rsid w:val="00674CAE"/>
    <w:rsid w:val="00682C85"/>
    <w:rsid w:val="00691F4D"/>
    <w:rsid w:val="006A3E08"/>
    <w:rsid w:val="006B00BA"/>
    <w:rsid w:val="006C6E60"/>
    <w:rsid w:val="006C7983"/>
    <w:rsid w:val="006D2BF9"/>
    <w:rsid w:val="006D574F"/>
    <w:rsid w:val="006E284E"/>
    <w:rsid w:val="006E2DC5"/>
    <w:rsid w:val="006E40BA"/>
    <w:rsid w:val="006E4E9B"/>
    <w:rsid w:val="006E72CC"/>
    <w:rsid w:val="006F39E9"/>
    <w:rsid w:val="006F78E8"/>
    <w:rsid w:val="0070393A"/>
    <w:rsid w:val="00703CB2"/>
    <w:rsid w:val="00706897"/>
    <w:rsid w:val="0070712A"/>
    <w:rsid w:val="007106FB"/>
    <w:rsid w:val="007140D9"/>
    <w:rsid w:val="00716951"/>
    <w:rsid w:val="00723AD7"/>
    <w:rsid w:val="00725488"/>
    <w:rsid w:val="00726250"/>
    <w:rsid w:val="00731686"/>
    <w:rsid w:val="007325A4"/>
    <w:rsid w:val="00735149"/>
    <w:rsid w:val="00751642"/>
    <w:rsid w:val="007521F9"/>
    <w:rsid w:val="00771DC5"/>
    <w:rsid w:val="00775E66"/>
    <w:rsid w:val="00776F62"/>
    <w:rsid w:val="00781462"/>
    <w:rsid w:val="0078354F"/>
    <w:rsid w:val="00785753"/>
    <w:rsid w:val="007912E8"/>
    <w:rsid w:val="007935C1"/>
    <w:rsid w:val="00797F11"/>
    <w:rsid w:val="007A00BE"/>
    <w:rsid w:val="007A19BF"/>
    <w:rsid w:val="007A235A"/>
    <w:rsid w:val="007A5753"/>
    <w:rsid w:val="007A6660"/>
    <w:rsid w:val="007A7FA3"/>
    <w:rsid w:val="007C244A"/>
    <w:rsid w:val="007C293E"/>
    <w:rsid w:val="007D61F2"/>
    <w:rsid w:val="007D6B9D"/>
    <w:rsid w:val="007E7630"/>
    <w:rsid w:val="007F1BCD"/>
    <w:rsid w:val="007F32B4"/>
    <w:rsid w:val="007F4095"/>
    <w:rsid w:val="00804162"/>
    <w:rsid w:val="00810DE6"/>
    <w:rsid w:val="008139A0"/>
    <w:rsid w:val="00821EF6"/>
    <w:rsid w:val="00832FD7"/>
    <w:rsid w:val="008330CF"/>
    <w:rsid w:val="00835DDE"/>
    <w:rsid w:val="0084571F"/>
    <w:rsid w:val="00845EBC"/>
    <w:rsid w:val="00851C8F"/>
    <w:rsid w:val="008553E2"/>
    <w:rsid w:val="00857428"/>
    <w:rsid w:val="00860FF1"/>
    <w:rsid w:val="008641FD"/>
    <w:rsid w:val="00873FCA"/>
    <w:rsid w:val="008805B7"/>
    <w:rsid w:val="008825B3"/>
    <w:rsid w:val="00885676"/>
    <w:rsid w:val="00892991"/>
    <w:rsid w:val="00895580"/>
    <w:rsid w:val="008964A7"/>
    <w:rsid w:val="008A6E4B"/>
    <w:rsid w:val="008A7043"/>
    <w:rsid w:val="008A7FCA"/>
    <w:rsid w:val="008B5297"/>
    <w:rsid w:val="008C0D31"/>
    <w:rsid w:val="008C495D"/>
    <w:rsid w:val="008C5A41"/>
    <w:rsid w:val="008C6BC0"/>
    <w:rsid w:val="008D3704"/>
    <w:rsid w:val="008E0BC8"/>
    <w:rsid w:val="008E51E4"/>
    <w:rsid w:val="008E571A"/>
    <w:rsid w:val="008E69A0"/>
    <w:rsid w:val="008F05C9"/>
    <w:rsid w:val="008F279D"/>
    <w:rsid w:val="008F48BE"/>
    <w:rsid w:val="008F4D79"/>
    <w:rsid w:val="009011ED"/>
    <w:rsid w:val="00903202"/>
    <w:rsid w:val="00915DCC"/>
    <w:rsid w:val="00924864"/>
    <w:rsid w:val="00930BC4"/>
    <w:rsid w:val="0094015A"/>
    <w:rsid w:val="00943418"/>
    <w:rsid w:val="00945E0E"/>
    <w:rsid w:val="00946458"/>
    <w:rsid w:val="00951F9B"/>
    <w:rsid w:val="00955AAE"/>
    <w:rsid w:val="00955C96"/>
    <w:rsid w:val="0095627F"/>
    <w:rsid w:val="00965B6D"/>
    <w:rsid w:val="0099129B"/>
    <w:rsid w:val="00992584"/>
    <w:rsid w:val="009947AE"/>
    <w:rsid w:val="009A5872"/>
    <w:rsid w:val="009B2A42"/>
    <w:rsid w:val="009C0FD9"/>
    <w:rsid w:val="009C1A3C"/>
    <w:rsid w:val="009C21FC"/>
    <w:rsid w:val="009D2BC5"/>
    <w:rsid w:val="009E1BE5"/>
    <w:rsid w:val="009E3674"/>
    <w:rsid w:val="009E5184"/>
    <w:rsid w:val="009F5F46"/>
    <w:rsid w:val="00A00285"/>
    <w:rsid w:val="00A041C2"/>
    <w:rsid w:val="00A06DBA"/>
    <w:rsid w:val="00A10879"/>
    <w:rsid w:val="00A14122"/>
    <w:rsid w:val="00A17EFA"/>
    <w:rsid w:val="00A26C3F"/>
    <w:rsid w:val="00A279C7"/>
    <w:rsid w:val="00A31CA6"/>
    <w:rsid w:val="00A340A8"/>
    <w:rsid w:val="00A46CD8"/>
    <w:rsid w:val="00A51BB0"/>
    <w:rsid w:val="00A52C96"/>
    <w:rsid w:val="00A55199"/>
    <w:rsid w:val="00A564B3"/>
    <w:rsid w:val="00A60F9F"/>
    <w:rsid w:val="00A61BBA"/>
    <w:rsid w:val="00A700DF"/>
    <w:rsid w:val="00A736E2"/>
    <w:rsid w:val="00A753CA"/>
    <w:rsid w:val="00A76810"/>
    <w:rsid w:val="00A85802"/>
    <w:rsid w:val="00A90A1A"/>
    <w:rsid w:val="00A923AC"/>
    <w:rsid w:val="00A97EB9"/>
    <w:rsid w:val="00AA2E61"/>
    <w:rsid w:val="00AD7D0C"/>
    <w:rsid w:val="00AE1B9E"/>
    <w:rsid w:val="00B03820"/>
    <w:rsid w:val="00B0404B"/>
    <w:rsid w:val="00B06DCD"/>
    <w:rsid w:val="00B10D09"/>
    <w:rsid w:val="00B11668"/>
    <w:rsid w:val="00B14912"/>
    <w:rsid w:val="00B14D74"/>
    <w:rsid w:val="00B15FE8"/>
    <w:rsid w:val="00B16C20"/>
    <w:rsid w:val="00B230A4"/>
    <w:rsid w:val="00B26A76"/>
    <w:rsid w:val="00B30487"/>
    <w:rsid w:val="00B32BBD"/>
    <w:rsid w:val="00B32ECD"/>
    <w:rsid w:val="00B3412B"/>
    <w:rsid w:val="00B374E8"/>
    <w:rsid w:val="00B42FC4"/>
    <w:rsid w:val="00B521F9"/>
    <w:rsid w:val="00B56A32"/>
    <w:rsid w:val="00B71582"/>
    <w:rsid w:val="00B728EF"/>
    <w:rsid w:val="00B73B83"/>
    <w:rsid w:val="00B76785"/>
    <w:rsid w:val="00B8464F"/>
    <w:rsid w:val="00B87471"/>
    <w:rsid w:val="00B9121A"/>
    <w:rsid w:val="00B921F7"/>
    <w:rsid w:val="00B93358"/>
    <w:rsid w:val="00B96FCE"/>
    <w:rsid w:val="00BA01B8"/>
    <w:rsid w:val="00BA07E1"/>
    <w:rsid w:val="00BA15D0"/>
    <w:rsid w:val="00BA724E"/>
    <w:rsid w:val="00BB0D9C"/>
    <w:rsid w:val="00BB1F85"/>
    <w:rsid w:val="00BB25CA"/>
    <w:rsid w:val="00BD4AEC"/>
    <w:rsid w:val="00BD656E"/>
    <w:rsid w:val="00BE3287"/>
    <w:rsid w:val="00BE5C13"/>
    <w:rsid w:val="00C01EC1"/>
    <w:rsid w:val="00C03590"/>
    <w:rsid w:val="00C03B4C"/>
    <w:rsid w:val="00C052F9"/>
    <w:rsid w:val="00C074EA"/>
    <w:rsid w:val="00C078EA"/>
    <w:rsid w:val="00C11CA3"/>
    <w:rsid w:val="00C1390A"/>
    <w:rsid w:val="00C23169"/>
    <w:rsid w:val="00C309DE"/>
    <w:rsid w:val="00C3641D"/>
    <w:rsid w:val="00C427B5"/>
    <w:rsid w:val="00C42E84"/>
    <w:rsid w:val="00C43D1E"/>
    <w:rsid w:val="00C4408A"/>
    <w:rsid w:val="00C53D7C"/>
    <w:rsid w:val="00C54222"/>
    <w:rsid w:val="00C55D1B"/>
    <w:rsid w:val="00C75A12"/>
    <w:rsid w:val="00C804A9"/>
    <w:rsid w:val="00C90CB1"/>
    <w:rsid w:val="00C92364"/>
    <w:rsid w:val="00CA2AB8"/>
    <w:rsid w:val="00CA5C92"/>
    <w:rsid w:val="00CB080F"/>
    <w:rsid w:val="00CB146D"/>
    <w:rsid w:val="00CB1EF0"/>
    <w:rsid w:val="00CC1704"/>
    <w:rsid w:val="00CC6F0A"/>
    <w:rsid w:val="00CD02B2"/>
    <w:rsid w:val="00CD4841"/>
    <w:rsid w:val="00CD5835"/>
    <w:rsid w:val="00CE7325"/>
    <w:rsid w:val="00CF1B0F"/>
    <w:rsid w:val="00CF4E4A"/>
    <w:rsid w:val="00D00BCE"/>
    <w:rsid w:val="00D10DE9"/>
    <w:rsid w:val="00D12E17"/>
    <w:rsid w:val="00D14E67"/>
    <w:rsid w:val="00D15932"/>
    <w:rsid w:val="00D20C75"/>
    <w:rsid w:val="00D23CCC"/>
    <w:rsid w:val="00D24397"/>
    <w:rsid w:val="00D35917"/>
    <w:rsid w:val="00D52A34"/>
    <w:rsid w:val="00D53CEF"/>
    <w:rsid w:val="00D6674F"/>
    <w:rsid w:val="00D720C6"/>
    <w:rsid w:val="00D8023E"/>
    <w:rsid w:val="00D817C3"/>
    <w:rsid w:val="00D87ECD"/>
    <w:rsid w:val="00D90E95"/>
    <w:rsid w:val="00D93711"/>
    <w:rsid w:val="00DA10CC"/>
    <w:rsid w:val="00DA2023"/>
    <w:rsid w:val="00DA6172"/>
    <w:rsid w:val="00DB0393"/>
    <w:rsid w:val="00DB3B8B"/>
    <w:rsid w:val="00DD49F0"/>
    <w:rsid w:val="00DD4AB4"/>
    <w:rsid w:val="00DE32F0"/>
    <w:rsid w:val="00DF4B1F"/>
    <w:rsid w:val="00DF545D"/>
    <w:rsid w:val="00E0209F"/>
    <w:rsid w:val="00E06956"/>
    <w:rsid w:val="00E07D38"/>
    <w:rsid w:val="00E12FCF"/>
    <w:rsid w:val="00E14F79"/>
    <w:rsid w:val="00E15414"/>
    <w:rsid w:val="00E15912"/>
    <w:rsid w:val="00E16883"/>
    <w:rsid w:val="00E257CC"/>
    <w:rsid w:val="00E2719B"/>
    <w:rsid w:val="00E35F1B"/>
    <w:rsid w:val="00E37BD3"/>
    <w:rsid w:val="00E41580"/>
    <w:rsid w:val="00E4176D"/>
    <w:rsid w:val="00E421C0"/>
    <w:rsid w:val="00E44F5E"/>
    <w:rsid w:val="00E52F83"/>
    <w:rsid w:val="00E555E0"/>
    <w:rsid w:val="00E57D7E"/>
    <w:rsid w:val="00E6156D"/>
    <w:rsid w:val="00E652CC"/>
    <w:rsid w:val="00E67ECB"/>
    <w:rsid w:val="00E7414F"/>
    <w:rsid w:val="00E7531C"/>
    <w:rsid w:val="00E77EAB"/>
    <w:rsid w:val="00E9198A"/>
    <w:rsid w:val="00E932BA"/>
    <w:rsid w:val="00E93B66"/>
    <w:rsid w:val="00EA061E"/>
    <w:rsid w:val="00EA14DD"/>
    <w:rsid w:val="00EA2FD3"/>
    <w:rsid w:val="00EA7453"/>
    <w:rsid w:val="00EB21FF"/>
    <w:rsid w:val="00EC0524"/>
    <w:rsid w:val="00EC1E96"/>
    <w:rsid w:val="00EC2276"/>
    <w:rsid w:val="00EC33A1"/>
    <w:rsid w:val="00ED2479"/>
    <w:rsid w:val="00ED76CF"/>
    <w:rsid w:val="00EE1744"/>
    <w:rsid w:val="00EE18B3"/>
    <w:rsid w:val="00EE30EA"/>
    <w:rsid w:val="00EE68C8"/>
    <w:rsid w:val="00EE6BA6"/>
    <w:rsid w:val="00EE7D2C"/>
    <w:rsid w:val="00EF355A"/>
    <w:rsid w:val="00F00863"/>
    <w:rsid w:val="00F02CEB"/>
    <w:rsid w:val="00F04EC6"/>
    <w:rsid w:val="00F07436"/>
    <w:rsid w:val="00F1022E"/>
    <w:rsid w:val="00F12F3D"/>
    <w:rsid w:val="00F16963"/>
    <w:rsid w:val="00F228D4"/>
    <w:rsid w:val="00F23C48"/>
    <w:rsid w:val="00F24031"/>
    <w:rsid w:val="00F3106D"/>
    <w:rsid w:val="00F33E04"/>
    <w:rsid w:val="00F36C44"/>
    <w:rsid w:val="00F43256"/>
    <w:rsid w:val="00F43F55"/>
    <w:rsid w:val="00F557E6"/>
    <w:rsid w:val="00F60E43"/>
    <w:rsid w:val="00F63DD9"/>
    <w:rsid w:val="00F65C0E"/>
    <w:rsid w:val="00F67309"/>
    <w:rsid w:val="00F67451"/>
    <w:rsid w:val="00F7621A"/>
    <w:rsid w:val="00F8709C"/>
    <w:rsid w:val="00F9057D"/>
    <w:rsid w:val="00F976D9"/>
    <w:rsid w:val="00FA3EB3"/>
    <w:rsid w:val="00FB0582"/>
    <w:rsid w:val="00FB12F1"/>
    <w:rsid w:val="00FB3B18"/>
    <w:rsid w:val="00FB4046"/>
    <w:rsid w:val="00FB4D5F"/>
    <w:rsid w:val="00FD49D7"/>
    <w:rsid w:val="00FE1E35"/>
    <w:rsid w:val="00FE2BC4"/>
    <w:rsid w:val="00FE64A6"/>
    <w:rsid w:val="00FF54DD"/>
    <w:rsid w:val="00FF6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60"/>
    <w:rPr>
      <w:sz w:val="24"/>
    </w:rPr>
  </w:style>
  <w:style w:type="paragraph" w:styleId="Heading1">
    <w:name w:val="heading 1"/>
    <w:basedOn w:val="Normal"/>
    <w:next w:val="Normal"/>
    <w:link w:val="Heading1Char"/>
    <w:qFormat/>
    <w:rsid w:val="007039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D4841"/>
    <w:pPr>
      <w:keepNext/>
      <w:spacing w:before="240" w:after="60"/>
      <w:outlineLvl w:val="1"/>
    </w:pPr>
    <w:rPr>
      <w:rFonts w:ascii="Cambria" w:hAnsi="Cambria"/>
      <w:b/>
      <w:bCs/>
      <w:i/>
      <w:iCs/>
      <w:sz w:val="28"/>
      <w:szCs w:val="28"/>
    </w:rPr>
  </w:style>
  <w:style w:type="paragraph" w:styleId="Heading3">
    <w:name w:val="heading 3"/>
    <w:basedOn w:val="Normal"/>
    <w:next w:val="Normal"/>
    <w:qFormat/>
    <w:rsid w:val="00E555E0"/>
    <w:pPr>
      <w:keepNext/>
      <w:spacing w:before="120" w:after="240" w:line="360" w:lineRule="auto"/>
      <w:jc w:val="both"/>
      <w:outlineLvl w:val="2"/>
    </w:pPr>
    <w:rPr>
      <w:rFonts w:ascii="Arial" w:hAnsi="Arial"/>
      <w:b/>
    </w:rPr>
  </w:style>
  <w:style w:type="paragraph" w:styleId="Heading5">
    <w:name w:val="heading 5"/>
    <w:basedOn w:val="Normal"/>
    <w:next w:val="Normal"/>
    <w:qFormat/>
    <w:rsid w:val="00A06DBA"/>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D7C"/>
    <w:pPr>
      <w:tabs>
        <w:tab w:val="center" w:pos="4153"/>
        <w:tab w:val="right" w:pos="8306"/>
      </w:tabs>
    </w:pPr>
  </w:style>
  <w:style w:type="paragraph" w:styleId="Footer">
    <w:name w:val="footer"/>
    <w:basedOn w:val="Normal"/>
    <w:link w:val="FooterChar"/>
    <w:uiPriority w:val="99"/>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link w:val="TitleChar"/>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character" w:styleId="PageNumber">
    <w:name w:val="page number"/>
    <w:basedOn w:val="DefaultParagraphFont"/>
    <w:rsid w:val="00541F34"/>
  </w:style>
  <w:style w:type="paragraph" w:styleId="BodyText">
    <w:name w:val="Body Text"/>
    <w:basedOn w:val="Normal"/>
    <w:rsid w:val="00A06DBA"/>
    <w:pPr>
      <w:numPr>
        <w:numId w:val="15"/>
      </w:numPr>
    </w:pPr>
    <w:rPr>
      <w:b/>
      <w:lang w:val="en-US"/>
    </w:rPr>
  </w:style>
  <w:style w:type="paragraph" w:styleId="FootnoteText">
    <w:name w:val="footnote text"/>
    <w:basedOn w:val="Normal"/>
    <w:semiHidden/>
    <w:rsid w:val="00A06DBA"/>
    <w:rPr>
      <w:sz w:val="20"/>
    </w:rPr>
  </w:style>
  <w:style w:type="character" w:styleId="FootnoteReference">
    <w:name w:val="footnote reference"/>
    <w:semiHidden/>
    <w:rsid w:val="00A06DBA"/>
    <w:rPr>
      <w:vertAlign w:val="superscript"/>
    </w:rPr>
  </w:style>
  <w:style w:type="character" w:styleId="Hyperlink">
    <w:name w:val="Hyperlink"/>
    <w:rsid w:val="00A06DBA"/>
    <w:rPr>
      <w:color w:val="0000FF"/>
      <w:u w:val="single"/>
    </w:rPr>
  </w:style>
  <w:style w:type="character" w:customStyle="1" w:styleId="EmailStyle34">
    <w:name w:val="EmailStyle34"/>
    <w:semiHidden/>
    <w:rsid w:val="00A06DBA"/>
    <w:rPr>
      <w:rFonts w:ascii="Verdana" w:hAnsi="Verdana"/>
      <w:b w:val="0"/>
      <w:bCs w:val="0"/>
      <w:i w:val="0"/>
      <w:iCs w:val="0"/>
      <w:strike w:val="0"/>
      <w:color w:val="auto"/>
      <w:sz w:val="20"/>
      <w:szCs w:val="20"/>
      <w:u w:val="none"/>
    </w:rPr>
  </w:style>
  <w:style w:type="paragraph" w:styleId="NormalWeb">
    <w:name w:val="Normal (Web)"/>
    <w:basedOn w:val="Normal"/>
    <w:rsid w:val="00B71582"/>
    <w:pPr>
      <w:spacing w:before="100" w:beforeAutospacing="1" w:after="100" w:afterAutospacing="1"/>
    </w:pPr>
    <w:rPr>
      <w:szCs w:val="24"/>
    </w:rPr>
  </w:style>
  <w:style w:type="paragraph" w:customStyle="1" w:styleId="AS">
    <w:name w:val="AS"/>
    <w:aliases w:val="Schedule title Amendment"/>
    <w:basedOn w:val="Normal"/>
    <w:next w:val="Normal"/>
    <w:rsid w:val="00E35F1B"/>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E35F1B"/>
  </w:style>
  <w:style w:type="character" w:styleId="CommentReference">
    <w:name w:val="annotation reference"/>
    <w:uiPriority w:val="99"/>
    <w:semiHidden/>
    <w:unhideWhenUsed/>
    <w:rsid w:val="005849E4"/>
    <w:rPr>
      <w:sz w:val="16"/>
      <w:szCs w:val="16"/>
    </w:rPr>
  </w:style>
  <w:style w:type="paragraph" w:styleId="CommentText">
    <w:name w:val="annotation text"/>
    <w:basedOn w:val="Normal"/>
    <w:link w:val="CommentTextChar"/>
    <w:uiPriority w:val="99"/>
    <w:semiHidden/>
    <w:unhideWhenUsed/>
    <w:rsid w:val="005849E4"/>
    <w:rPr>
      <w:sz w:val="20"/>
    </w:rPr>
  </w:style>
  <w:style w:type="character" w:customStyle="1" w:styleId="CommentTextChar">
    <w:name w:val="Comment Text Char"/>
    <w:basedOn w:val="DefaultParagraphFont"/>
    <w:link w:val="CommentText"/>
    <w:uiPriority w:val="99"/>
    <w:semiHidden/>
    <w:rsid w:val="005849E4"/>
  </w:style>
  <w:style w:type="paragraph" w:styleId="CommentSubject">
    <w:name w:val="annotation subject"/>
    <w:basedOn w:val="CommentText"/>
    <w:next w:val="CommentText"/>
    <w:link w:val="CommentSubjectChar"/>
    <w:uiPriority w:val="99"/>
    <w:semiHidden/>
    <w:unhideWhenUsed/>
    <w:rsid w:val="005849E4"/>
    <w:rPr>
      <w:b/>
      <w:bCs/>
    </w:rPr>
  </w:style>
  <w:style w:type="character" w:customStyle="1" w:styleId="CommentSubjectChar">
    <w:name w:val="Comment Subject Char"/>
    <w:link w:val="CommentSubject"/>
    <w:uiPriority w:val="99"/>
    <w:semiHidden/>
    <w:rsid w:val="005849E4"/>
    <w:rPr>
      <w:b/>
      <w:bCs/>
    </w:rPr>
  </w:style>
  <w:style w:type="character" w:customStyle="1" w:styleId="Heading1Char">
    <w:name w:val="Heading 1 Char"/>
    <w:link w:val="Heading1"/>
    <w:rsid w:val="0070393A"/>
    <w:rPr>
      <w:rFonts w:ascii="Arial" w:hAnsi="Arial" w:cs="Arial"/>
      <w:b/>
      <w:bCs/>
      <w:kern w:val="32"/>
      <w:sz w:val="32"/>
      <w:szCs w:val="32"/>
    </w:rPr>
  </w:style>
  <w:style w:type="paragraph" w:customStyle="1" w:styleId="Heading">
    <w:name w:val="Heading"/>
    <w:basedOn w:val="Normal"/>
    <w:rsid w:val="0070393A"/>
    <w:pPr>
      <w:keepNext/>
      <w:spacing w:before="240" w:after="60"/>
      <w:outlineLvl w:val="0"/>
    </w:pPr>
    <w:rPr>
      <w:rFonts w:cs="Arial"/>
      <w:b/>
      <w:kern w:val="32"/>
      <w:sz w:val="26"/>
      <w:szCs w:val="32"/>
    </w:rPr>
  </w:style>
  <w:style w:type="paragraph" w:customStyle="1" w:styleId="indenta">
    <w:name w:val="indent(a)"/>
    <w:aliases w:val="a,paragraph"/>
    <w:basedOn w:val="Normal"/>
    <w:rsid w:val="0070393A"/>
    <w:pPr>
      <w:tabs>
        <w:tab w:val="right" w:pos="1531"/>
      </w:tabs>
      <w:spacing w:before="40" w:line="260" w:lineRule="atLeast"/>
      <w:ind w:left="1644" w:hanging="1644"/>
      <w:jc w:val="both"/>
    </w:pPr>
    <w:rPr>
      <w:rFonts w:ascii="Times" w:hAnsi="Times"/>
      <w:sz w:val="22"/>
      <w:lang w:eastAsia="en-US"/>
    </w:rPr>
  </w:style>
  <w:style w:type="paragraph" w:styleId="TOC1">
    <w:name w:val="toc 1"/>
    <w:basedOn w:val="Normal"/>
    <w:next w:val="Normal"/>
    <w:autoRedefine/>
    <w:uiPriority w:val="39"/>
    <w:rsid w:val="0070393A"/>
    <w:pPr>
      <w:spacing w:before="120" w:after="120"/>
    </w:pPr>
    <w:rPr>
      <w:b/>
      <w:bCs/>
      <w:caps/>
      <w:sz w:val="20"/>
    </w:rPr>
  </w:style>
  <w:style w:type="paragraph" w:customStyle="1" w:styleId="paragraphsub">
    <w:name w:val="paragraphsub"/>
    <w:basedOn w:val="Normal"/>
    <w:rsid w:val="0070393A"/>
    <w:pPr>
      <w:spacing w:before="40"/>
      <w:ind w:left="2098" w:hanging="2098"/>
    </w:pPr>
    <w:rPr>
      <w:sz w:val="22"/>
      <w:szCs w:val="22"/>
    </w:rPr>
  </w:style>
  <w:style w:type="paragraph" w:styleId="ListParagraph">
    <w:name w:val="List Paragraph"/>
    <w:basedOn w:val="Normal"/>
    <w:uiPriority w:val="34"/>
    <w:qFormat/>
    <w:rsid w:val="00415AFA"/>
    <w:pPr>
      <w:numPr>
        <w:numId w:val="36"/>
      </w:numPr>
      <w:spacing w:after="240"/>
    </w:pPr>
  </w:style>
  <w:style w:type="character" w:customStyle="1" w:styleId="Heading2Char">
    <w:name w:val="Heading 2 Char"/>
    <w:link w:val="Heading2"/>
    <w:uiPriority w:val="9"/>
    <w:semiHidden/>
    <w:rsid w:val="00CD4841"/>
    <w:rPr>
      <w:rFonts w:ascii="Cambria" w:eastAsia="Times New Roman" w:hAnsi="Cambria" w:cs="Times New Roman"/>
      <w:b/>
      <w:bCs/>
      <w:i/>
      <w:iCs/>
      <w:sz w:val="28"/>
      <w:szCs w:val="28"/>
    </w:rPr>
  </w:style>
  <w:style w:type="character" w:customStyle="1" w:styleId="DeltaViewInsertion">
    <w:name w:val="DeltaView Insertion"/>
    <w:rsid w:val="003945EE"/>
    <w:rPr>
      <w:color w:val="0000FF"/>
      <w:spacing w:val="0"/>
      <w:u w:val="double"/>
    </w:rPr>
  </w:style>
  <w:style w:type="paragraph" w:styleId="Revision">
    <w:name w:val="Revision"/>
    <w:hidden/>
    <w:uiPriority w:val="99"/>
    <w:semiHidden/>
    <w:rsid w:val="00B73B83"/>
    <w:rPr>
      <w:sz w:val="24"/>
    </w:rPr>
  </w:style>
  <w:style w:type="character" w:customStyle="1" w:styleId="TitleChar">
    <w:name w:val="Title Char"/>
    <w:link w:val="Title"/>
    <w:rsid w:val="00B03820"/>
    <w:rPr>
      <w:rFonts w:ascii="Arial" w:hAnsi="Arial" w:cs="Arial"/>
      <w:b/>
      <w:bCs/>
      <w:sz w:val="40"/>
      <w:szCs w:val="40"/>
      <w:lang w:eastAsia="en-US"/>
    </w:rPr>
  </w:style>
  <w:style w:type="paragraph" w:customStyle="1" w:styleId="ASref">
    <w:name w:val="AS ref"/>
    <w:basedOn w:val="Normal"/>
    <w:next w:val="Normal"/>
    <w:rsid w:val="00B03820"/>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03820"/>
  </w:style>
  <w:style w:type="paragraph" w:customStyle="1" w:styleId="Normaltext">
    <w:name w:val="Normal text"/>
    <w:basedOn w:val="BodyText"/>
    <w:rsid w:val="00F67451"/>
    <w:pPr>
      <w:numPr>
        <w:numId w:val="48"/>
      </w:numPr>
      <w:spacing w:after="240"/>
      <w:jc w:val="both"/>
    </w:pPr>
    <w:rPr>
      <w:b w:val="0"/>
      <w:lang w:val="en-AU"/>
    </w:rPr>
  </w:style>
  <w:style w:type="character" w:customStyle="1" w:styleId="FooterChar">
    <w:name w:val="Footer Char"/>
    <w:basedOn w:val="DefaultParagraphFont"/>
    <w:link w:val="Footer"/>
    <w:uiPriority w:val="99"/>
    <w:rsid w:val="004850A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60"/>
    <w:rPr>
      <w:sz w:val="24"/>
    </w:rPr>
  </w:style>
  <w:style w:type="paragraph" w:styleId="Heading1">
    <w:name w:val="heading 1"/>
    <w:basedOn w:val="Normal"/>
    <w:next w:val="Normal"/>
    <w:link w:val="Heading1Char"/>
    <w:qFormat/>
    <w:rsid w:val="007039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D4841"/>
    <w:pPr>
      <w:keepNext/>
      <w:spacing w:before="240" w:after="60"/>
      <w:outlineLvl w:val="1"/>
    </w:pPr>
    <w:rPr>
      <w:rFonts w:ascii="Cambria" w:hAnsi="Cambria"/>
      <w:b/>
      <w:bCs/>
      <w:i/>
      <w:iCs/>
      <w:sz w:val="28"/>
      <w:szCs w:val="28"/>
    </w:rPr>
  </w:style>
  <w:style w:type="paragraph" w:styleId="Heading3">
    <w:name w:val="heading 3"/>
    <w:basedOn w:val="Normal"/>
    <w:next w:val="Normal"/>
    <w:qFormat/>
    <w:rsid w:val="00E555E0"/>
    <w:pPr>
      <w:keepNext/>
      <w:spacing w:before="120" w:after="240" w:line="360" w:lineRule="auto"/>
      <w:jc w:val="both"/>
      <w:outlineLvl w:val="2"/>
    </w:pPr>
    <w:rPr>
      <w:rFonts w:ascii="Arial" w:hAnsi="Arial"/>
      <w:b/>
    </w:rPr>
  </w:style>
  <w:style w:type="paragraph" w:styleId="Heading5">
    <w:name w:val="heading 5"/>
    <w:basedOn w:val="Normal"/>
    <w:next w:val="Normal"/>
    <w:qFormat/>
    <w:rsid w:val="00A06DBA"/>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D7C"/>
    <w:pPr>
      <w:tabs>
        <w:tab w:val="center" w:pos="4153"/>
        <w:tab w:val="right" w:pos="8306"/>
      </w:tabs>
    </w:pPr>
  </w:style>
  <w:style w:type="paragraph" w:styleId="Footer">
    <w:name w:val="footer"/>
    <w:basedOn w:val="Normal"/>
    <w:link w:val="FooterChar"/>
    <w:uiPriority w:val="99"/>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link w:val="TitleChar"/>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character" w:styleId="PageNumber">
    <w:name w:val="page number"/>
    <w:basedOn w:val="DefaultParagraphFont"/>
    <w:rsid w:val="00541F34"/>
  </w:style>
  <w:style w:type="paragraph" w:styleId="BodyText">
    <w:name w:val="Body Text"/>
    <w:basedOn w:val="Normal"/>
    <w:rsid w:val="00A06DBA"/>
    <w:pPr>
      <w:numPr>
        <w:numId w:val="15"/>
      </w:numPr>
    </w:pPr>
    <w:rPr>
      <w:b/>
      <w:lang w:val="en-US"/>
    </w:rPr>
  </w:style>
  <w:style w:type="paragraph" w:styleId="FootnoteText">
    <w:name w:val="footnote text"/>
    <w:basedOn w:val="Normal"/>
    <w:semiHidden/>
    <w:rsid w:val="00A06DBA"/>
    <w:rPr>
      <w:sz w:val="20"/>
    </w:rPr>
  </w:style>
  <w:style w:type="character" w:styleId="FootnoteReference">
    <w:name w:val="footnote reference"/>
    <w:semiHidden/>
    <w:rsid w:val="00A06DBA"/>
    <w:rPr>
      <w:vertAlign w:val="superscript"/>
    </w:rPr>
  </w:style>
  <w:style w:type="character" w:styleId="Hyperlink">
    <w:name w:val="Hyperlink"/>
    <w:rsid w:val="00A06DBA"/>
    <w:rPr>
      <w:color w:val="0000FF"/>
      <w:u w:val="single"/>
    </w:rPr>
  </w:style>
  <w:style w:type="character" w:customStyle="1" w:styleId="EmailStyle34">
    <w:name w:val="EmailStyle34"/>
    <w:semiHidden/>
    <w:rsid w:val="00A06DBA"/>
    <w:rPr>
      <w:rFonts w:ascii="Verdana" w:hAnsi="Verdana"/>
      <w:b w:val="0"/>
      <w:bCs w:val="0"/>
      <w:i w:val="0"/>
      <w:iCs w:val="0"/>
      <w:strike w:val="0"/>
      <w:color w:val="auto"/>
      <w:sz w:val="20"/>
      <w:szCs w:val="20"/>
      <w:u w:val="none"/>
    </w:rPr>
  </w:style>
  <w:style w:type="paragraph" w:styleId="NormalWeb">
    <w:name w:val="Normal (Web)"/>
    <w:basedOn w:val="Normal"/>
    <w:rsid w:val="00B71582"/>
    <w:pPr>
      <w:spacing w:before="100" w:beforeAutospacing="1" w:after="100" w:afterAutospacing="1"/>
    </w:pPr>
    <w:rPr>
      <w:szCs w:val="24"/>
    </w:rPr>
  </w:style>
  <w:style w:type="paragraph" w:customStyle="1" w:styleId="AS">
    <w:name w:val="AS"/>
    <w:aliases w:val="Schedule title Amendment"/>
    <w:basedOn w:val="Normal"/>
    <w:next w:val="Normal"/>
    <w:rsid w:val="00E35F1B"/>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E35F1B"/>
  </w:style>
  <w:style w:type="character" w:styleId="CommentReference">
    <w:name w:val="annotation reference"/>
    <w:uiPriority w:val="99"/>
    <w:semiHidden/>
    <w:unhideWhenUsed/>
    <w:rsid w:val="005849E4"/>
    <w:rPr>
      <w:sz w:val="16"/>
      <w:szCs w:val="16"/>
    </w:rPr>
  </w:style>
  <w:style w:type="paragraph" w:styleId="CommentText">
    <w:name w:val="annotation text"/>
    <w:basedOn w:val="Normal"/>
    <w:link w:val="CommentTextChar"/>
    <w:uiPriority w:val="99"/>
    <w:semiHidden/>
    <w:unhideWhenUsed/>
    <w:rsid w:val="005849E4"/>
    <w:rPr>
      <w:sz w:val="20"/>
    </w:rPr>
  </w:style>
  <w:style w:type="character" w:customStyle="1" w:styleId="CommentTextChar">
    <w:name w:val="Comment Text Char"/>
    <w:basedOn w:val="DefaultParagraphFont"/>
    <w:link w:val="CommentText"/>
    <w:uiPriority w:val="99"/>
    <w:semiHidden/>
    <w:rsid w:val="005849E4"/>
  </w:style>
  <w:style w:type="paragraph" w:styleId="CommentSubject">
    <w:name w:val="annotation subject"/>
    <w:basedOn w:val="CommentText"/>
    <w:next w:val="CommentText"/>
    <w:link w:val="CommentSubjectChar"/>
    <w:uiPriority w:val="99"/>
    <w:semiHidden/>
    <w:unhideWhenUsed/>
    <w:rsid w:val="005849E4"/>
    <w:rPr>
      <w:b/>
      <w:bCs/>
    </w:rPr>
  </w:style>
  <w:style w:type="character" w:customStyle="1" w:styleId="CommentSubjectChar">
    <w:name w:val="Comment Subject Char"/>
    <w:link w:val="CommentSubject"/>
    <w:uiPriority w:val="99"/>
    <w:semiHidden/>
    <w:rsid w:val="005849E4"/>
    <w:rPr>
      <w:b/>
      <w:bCs/>
    </w:rPr>
  </w:style>
  <w:style w:type="character" w:customStyle="1" w:styleId="Heading1Char">
    <w:name w:val="Heading 1 Char"/>
    <w:link w:val="Heading1"/>
    <w:rsid w:val="0070393A"/>
    <w:rPr>
      <w:rFonts w:ascii="Arial" w:hAnsi="Arial" w:cs="Arial"/>
      <w:b/>
      <w:bCs/>
      <w:kern w:val="32"/>
      <w:sz w:val="32"/>
      <w:szCs w:val="32"/>
    </w:rPr>
  </w:style>
  <w:style w:type="paragraph" w:customStyle="1" w:styleId="Heading">
    <w:name w:val="Heading"/>
    <w:basedOn w:val="Normal"/>
    <w:rsid w:val="0070393A"/>
    <w:pPr>
      <w:keepNext/>
      <w:spacing w:before="240" w:after="60"/>
      <w:outlineLvl w:val="0"/>
    </w:pPr>
    <w:rPr>
      <w:rFonts w:cs="Arial"/>
      <w:b/>
      <w:kern w:val="32"/>
      <w:sz w:val="26"/>
      <w:szCs w:val="32"/>
    </w:rPr>
  </w:style>
  <w:style w:type="paragraph" w:customStyle="1" w:styleId="indenta">
    <w:name w:val="indent(a)"/>
    <w:aliases w:val="a,paragraph"/>
    <w:basedOn w:val="Normal"/>
    <w:rsid w:val="0070393A"/>
    <w:pPr>
      <w:tabs>
        <w:tab w:val="right" w:pos="1531"/>
      </w:tabs>
      <w:spacing w:before="40" w:line="260" w:lineRule="atLeast"/>
      <w:ind w:left="1644" w:hanging="1644"/>
      <w:jc w:val="both"/>
    </w:pPr>
    <w:rPr>
      <w:rFonts w:ascii="Times" w:hAnsi="Times"/>
      <w:sz w:val="22"/>
      <w:lang w:eastAsia="en-US"/>
    </w:rPr>
  </w:style>
  <w:style w:type="paragraph" w:styleId="TOC1">
    <w:name w:val="toc 1"/>
    <w:basedOn w:val="Normal"/>
    <w:next w:val="Normal"/>
    <w:autoRedefine/>
    <w:uiPriority w:val="39"/>
    <w:rsid w:val="0070393A"/>
    <w:pPr>
      <w:spacing w:before="120" w:after="120"/>
    </w:pPr>
    <w:rPr>
      <w:b/>
      <w:bCs/>
      <w:caps/>
      <w:sz w:val="20"/>
    </w:rPr>
  </w:style>
  <w:style w:type="paragraph" w:customStyle="1" w:styleId="paragraphsub">
    <w:name w:val="paragraphsub"/>
    <w:basedOn w:val="Normal"/>
    <w:rsid w:val="0070393A"/>
    <w:pPr>
      <w:spacing w:before="40"/>
      <w:ind w:left="2098" w:hanging="2098"/>
    </w:pPr>
    <w:rPr>
      <w:sz w:val="22"/>
      <w:szCs w:val="22"/>
    </w:rPr>
  </w:style>
  <w:style w:type="paragraph" w:styleId="ListParagraph">
    <w:name w:val="List Paragraph"/>
    <w:basedOn w:val="Normal"/>
    <w:uiPriority w:val="34"/>
    <w:qFormat/>
    <w:rsid w:val="00415AFA"/>
    <w:pPr>
      <w:numPr>
        <w:numId w:val="36"/>
      </w:numPr>
      <w:spacing w:after="240"/>
    </w:pPr>
  </w:style>
  <w:style w:type="character" w:customStyle="1" w:styleId="Heading2Char">
    <w:name w:val="Heading 2 Char"/>
    <w:link w:val="Heading2"/>
    <w:uiPriority w:val="9"/>
    <w:semiHidden/>
    <w:rsid w:val="00CD4841"/>
    <w:rPr>
      <w:rFonts w:ascii="Cambria" w:eastAsia="Times New Roman" w:hAnsi="Cambria" w:cs="Times New Roman"/>
      <w:b/>
      <w:bCs/>
      <w:i/>
      <w:iCs/>
      <w:sz w:val="28"/>
      <w:szCs w:val="28"/>
    </w:rPr>
  </w:style>
  <w:style w:type="character" w:customStyle="1" w:styleId="DeltaViewInsertion">
    <w:name w:val="DeltaView Insertion"/>
    <w:rsid w:val="003945EE"/>
    <w:rPr>
      <w:color w:val="0000FF"/>
      <w:spacing w:val="0"/>
      <w:u w:val="double"/>
    </w:rPr>
  </w:style>
  <w:style w:type="paragraph" w:styleId="Revision">
    <w:name w:val="Revision"/>
    <w:hidden/>
    <w:uiPriority w:val="99"/>
    <w:semiHidden/>
    <w:rsid w:val="00B73B83"/>
    <w:rPr>
      <w:sz w:val="24"/>
    </w:rPr>
  </w:style>
  <w:style w:type="character" w:customStyle="1" w:styleId="TitleChar">
    <w:name w:val="Title Char"/>
    <w:link w:val="Title"/>
    <w:rsid w:val="00B03820"/>
    <w:rPr>
      <w:rFonts w:ascii="Arial" w:hAnsi="Arial" w:cs="Arial"/>
      <w:b/>
      <w:bCs/>
      <w:sz w:val="40"/>
      <w:szCs w:val="40"/>
      <w:lang w:eastAsia="en-US"/>
    </w:rPr>
  </w:style>
  <w:style w:type="paragraph" w:customStyle="1" w:styleId="ASref">
    <w:name w:val="AS ref"/>
    <w:basedOn w:val="Normal"/>
    <w:next w:val="Normal"/>
    <w:rsid w:val="00B03820"/>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03820"/>
  </w:style>
  <w:style w:type="paragraph" w:customStyle="1" w:styleId="Normaltext">
    <w:name w:val="Normal text"/>
    <w:basedOn w:val="BodyText"/>
    <w:rsid w:val="00F67451"/>
    <w:pPr>
      <w:numPr>
        <w:numId w:val="48"/>
      </w:numPr>
      <w:spacing w:after="240"/>
      <w:jc w:val="both"/>
    </w:pPr>
    <w:rPr>
      <w:b w:val="0"/>
      <w:lang w:val="en-AU"/>
    </w:rPr>
  </w:style>
  <w:style w:type="character" w:customStyle="1" w:styleId="FooterChar">
    <w:name w:val="Footer Char"/>
    <w:basedOn w:val="DefaultParagraphFont"/>
    <w:link w:val="Footer"/>
    <w:uiPriority w:val="99"/>
    <w:rsid w:val="004850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7032">
      <w:bodyDiv w:val="1"/>
      <w:marLeft w:val="0"/>
      <w:marRight w:val="0"/>
      <w:marTop w:val="0"/>
      <w:marBottom w:val="0"/>
      <w:divBdr>
        <w:top w:val="none" w:sz="0" w:space="0" w:color="auto"/>
        <w:left w:val="none" w:sz="0" w:space="0" w:color="auto"/>
        <w:bottom w:val="none" w:sz="0" w:space="0" w:color="auto"/>
        <w:right w:val="none" w:sz="0" w:space="0" w:color="auto"/>
      </w:divBdr>
    </w:div>
    <w:div w:id="827480743">
      <w:bodyDiv w:val="1"/>
      <w:marLeft w:val="0"/>
      <w:marRight w:val="0"/>
      <w:marTop w:val="0"/>
      <w:marBottom w:val="0"/>
      <w:divBdr>
        <w:top w:val="none" w:sz="0" w:space="0" w:color="auto"/>
        <w:left w:val="none" w:sz="0" w:space="0" w:color="auto"/>
        <w:bottom w:val="none" w:sz="0" w:space="0" w:color="auto"/>
        <w:right w:val="none" w:sz="0" w:space="0" w:color="auto"/>
      </w:divBdr>
    </w:div>
    <w:div w:id="983200448">
      <w:bodyDiv w:val="1"/>
      <w:marLeft w:val="0"/>
      <w:marRight w:val="0"/>
      <w:marTop w:val="0"/>
      <w:marBottom w:val="0"/>
      <w:divBdr>
        <w:top w:val="none" w:sz="0" w:space="0" w:color="auto"/>
        <w:left w:val="none" w:sz="0" w:space="0" w:color="auto"/>
        <w:bottom w:val="none" w:sz="0" w:space="0" w:color="auto"/>
        <w:right w:val="none" w:sz="0" w:space="0" w:color="auto"/>
      </w:divBdr>
    </w:div>
    <w:div w:id="1278945490">
      <w:bodyDiv w:val="1"/>
      <w:marLeft w:val="0"/>
      <w:marRight w:val="0"/>
      <w:marTop w:val="0"/>
      <w:marBottom w:val="0"/>
      <w:divBdr>
        <w:top w:val="none" w:sz="0" w:space="0" w:color="auto"/>
        <w:left w:val="none" w:sz="0" w:space="0" w:color="auto"/>
        <w:bottom w:val="none" w:sz="0" w:space="0" w:color="auto"/>
        <w:right w:val="none" w:sz="0" w:space="0" w:color="auto"/>
      </w:divBdr>
      <w:divsChild>
        <w:div w:id="543909617">
          <w:marLeft w:val="0"/>
          <w:marRight w:val="0"/>
          <w:marTop w:val="0"/>
          <w:marBottom w:val="0"/>
          <w:divBdr>
            <w:top w:val="none" w:sz="0" w:space="0" w:color="auto"/>
            <w:left w:val="none" w:sz="0" w:space="0" w:color="auto"/>
            <w:bottom w:val="single" w:sz="8" w:space="3" w:color="auto"/>
            <w:right w:val="none" w:sz="0" w:space="0" w:color="auto"/>
          </w:divBdr>
        </w:div>
      </w:divsChild>
    </w:div>
    <w:div w:id="20607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E11E-7E66-4E8C-AB0E-C13DC4D6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2733</Words>
  <Characters>14339</Characters>
  <Application>Microsoft Office Word</Application>
  <DocSecurity>4</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2014-12-03T20:44:00Z</dcterms:created>
  <dcterms:modified xsi:type="dcterms:W3CDTF">2014-12-03T20:44:00Z</dcterms:modified>
</cp:coreProperties>
</file>