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EB" w:rsidRPr="00A0074D" w:rsidRDefault="00BA21EB" w:rsidP="009F3C2B">
      <w:pPr>
        <w:pStyle w:val="Heading1"/>
        <w:spacing w:line="360" w:lineRule="auto"/>
        <w:ind w:left="-540"/>
        <w:rPr>
          <w:szCs w:val="24"/>
        </w:rPr>
      </w:pPr>
      <w:r w:rsidRPr="00A0074D">
        <w:rPr>
          <w:szCs w:val="24"/>
        </w:rPr>
        <w:t>EXPLANATORY STATEMENT</w:t>
      </w:r>
    </w:p>
    <w:p w:rsidR="009A4A83" w:rsidRDefault="009A4A83" w:rsidP="009F3C2B">
      <w:pPr>
        <w:pStyle w:val="Heading2"/>
        <w:spacing w:line="360" w:lineRule="auto"/>
        <w:ind w:left="-540" w:firstLine="0"/>
        <w:rPr>
          <w:i/>
          <w:szCs w:val="24"/>
        </w:rPr>
      </w:pPr>
    </w:p>
    <w:p w:rsidR="00BA21EB" w:rsidRPr="00A0074D" w:rsidRDefault="00BA21EB" w:rsidP="009F3C2B">
      <w:pPr>
        <w:pStyle w:val="Heading2"/>
        <w:spacing w:line="360" w:lineRule="auto"/>
        <w:ind w:left="-540" w:firstLine="0"/>
        <w:rPr>
          <w:i/>
          <w:szCs w:val="24"/>
        </w:rPr>
      </w:pPr>
      <w:r w:rsidRPr="00A0074D">
        <w:rPr>
          <w:i/>
          <w:szCs w:val="24"/>
        </w:rPr>
        <w:t>Migration Regulations 1994</w:t>
      </w:r>
    </w:p>
    <w:p w:rsidR="00BA21EB" w:rsidRPr="00A0074D" w:rsidRDefault="00BA21EB" w:rsidP="009F3C2B">
      <w:pPr>
        <w:ind w:left="-540"/>
        <w:jc w:val="center"/>
        <w:rPr>
          <w:i/>
          <w:sz w:val="24"/>
          <w:szCs w:val="24"/>
        </w:rPr>
      </w:pPr>
      <w:r w:rsidRPr="00A0074D">
        <w:rPr>
          <w:i/>
          <w:sz w:val="24"/>
          <w:szCs w:val="24"/>
        </w:rPr>
        <w:t>Migration Act 1958</w:t>
      </w:r>
    </w:p>
    <w:p w:rsidR="00BA21EB" w:rsidRPr="00A0074D" w:rsidRDefault="00BA21EB" w:rsidP="009F3C2B">
      <w:pPr>
        <w:ind w:left="-540"/>
        <w:jc w:val="center"/>
      </w:pPr>
    </w:p>
    <w:p w:rsidR="00EE2A4F" w:rsidRPr="00A0074D" w:rsidRDefault="00EE2A4F" w:rsidP="009F3C2B">
      <w:pPr>
        <w:ind w:left="-540"/>
        <w:jc w:val="center"/>
      </w:pPr>
    </w:p>
    <w:p w:rsidR="00BA21EB" w:rsidRPr="00A0074D" w:rsidRDefault="00BA21EB" w:rsidP="008A49B5">
      <w:pPr>
        <w:spacing w:line="360" w:lineRule="auto"/>
        <w:jc w:val="center"/>
        <w:rPr>
          <w:b/>
          <w:bCs/>
          <w:color w:val="000000"/>
          <w:sz w:val="24"/>
          <w:szCs w:val="24"/>
        </w:rPr>
      </w:pPr>
      <w:r w:rsidRPr="00A0074D">
        <w:rPr>
          <w:b/>
          <w:bCs/>
          <w:color w:val="000000"/>
          <w:sz w:val="24"/>
          <w:szCs w:val="24"/>
        </w:rPr>
        <w:t>EVIDENCE OF FUNCTIONAL ENGLISH LANGUAGE PROFICIENCY</w:t>
      </w:r>
      <w:r w:rsidR="00066DB2">
        <w:rPr>
          <w:b/>
          <w:bCs/>
          <w:color w:val="000000"/>
          <w:sz w:val="24"/>
          <w:szCs w:val="24"/>
        </w:rPr>
        <w:t xml:space="preserve"> 2015</w:t>
      </w:r>
      <w:bookmarkStart w:id="0" w:name="_GoBack"/>
      <w:bookmarkEnd w:id="0"/>
    </w:p>
    <w:p w:rsidR="00BA21EB" w:rsidRPr="00A0074D" w:rsidRDefault="00BA21EB" w:rsidP="008A49B5">
      <w:pPr>
        <w:ind w:hanging="27"/>
        <w:jc w:val="center"/>
        <w:rPr>
          <w:color w:val="000000"/>
          <w:sz w:val="24"/>
          <w:szCs w:val="24"/>
        </w:rPr>
      </w:pPr>
      <w:r w:rsidRPr="00A0074D">
        <w:rPr>
          <w:color w:val="000000"/>
          <w:sz w:val="24"/>
          <w:szCs w:val="24"/>
        </w:rPr>
        <w:t>(Regulation 5.17)</w:t>
      </w:r>
    </w:p>
    <w:p w:rsidR="00EE2A4F" w:rsidRPr="00A0074D" w:rsidRDefault="00EE2A4F" w:rsidP="0078423A">
      <w:pPr>
        <w:ind w:left="-540" w:hanging="23"/>
        <w:jc w:val="both"/>
        <w:rPr>
          <w:color w:val="000000"/>
          <w:sz w:val="24"/>
          <w:szCs w:val="24"/>
        </w:rPr>
      </w:pPr>
    </w:p>
    <w:p w:rsidR="00BA21EB" w:rsidRPr="00A0074D" w:rsidRDefault="00BA21EB" w:rsidP="008A49B5">
      <w:pPr>
        <w:ind w:hanging="23"/>
        <w:jc w:val="both"/>
        <w:rPr>
          <w:sz w:val="24"/>
          <w:szCs w:val="24"/>
        </w:rPr>
      </w:pPr>
    </w:p>
    <w:p w:rsidR="0078423A" w:rsidRDefault="00BA21EB" w:rsidP="0078423A">
      <w:pPr>
        <w:numPr>
          <w:ilvl w:val="0"/>
          <w:numId w:val="1"/>
        </w:numPr>
        <w:tabs>
          <w:tab w:val="clear" w:pos="720"/>
        </w:tabs>
        <w:spacing w:line="360" w:lineRule="auto"/>
        <w:ind w:left="709" w:hanging="709"/>
        <w:jc w:val="both"/>
        <w:rPr>
          <w:sz w:val="24"/>
          <w:szCs w:val="24"/>
        </w:rPr>
      </w:pPr>
      <w:r w:rsidRPr="00A0074D">
        <w:rPr>
          <w:sz w:val="24"/>
          <w:szCs w:val="24"/>
        </w:rPr>
        <w:t xml:space="preserve">This </w:t>
      </w:r>
      <w:r w:rsidR="00C106D5">
        <w:rPr>
          <w:sz w:val="24"/>
          <w:szCs w:val="24"/>
        </w:rPr>
        <w:t>I</w:t>
      </w:r>
      <w:r w:rsidRPr="00A0074D">
        <w:rPr>
          <w:sz w:val="24"/>
          <w:szCs w:val="24"/>
        </w:rPr>
        <w:t xml:space="preserve">nstrument is made under regulation 5.17 of the </w:t>
      </w:r>
      <w:r w:rsidRPr="00A0074D">
        <w:rPr>
          <w:i/>
          <w:sz w:val="24"/>
          <w:szCs w:val="24"/>
        </w:rPr>
        <w:t>Migration Regulations 1994</w:t>
      </w:r>
      <w:r w:rsidR="000F4678">
        <w:rPr>
          <w:sz w:val="24"/>
          <w:szCs w:val="24"/>
        </w:rPr>
        <w:t xml:space="preserve"> (the Regulations</w:t>
      </w:r>
      <w:r w:rsidRPr="00A0074D">
        <w:rPr>
          <w:sz w:val="24"/>
          <w:szCs w:val="24"/>
        </w:rPr>
        <w:t>).</w:t>
      </w:r>
      <w:r w:rsidR="00356862" w:rsidRPr="00A0074D">
        <w:rPr>
          <w:sz w:val="24"/>
          <w:szCs w:val="24"/>
        </w:rPr>
        <w:t xml:space="preserve"> </w:t>
      </w:r>
    </w:p>
    <w:p w:rsidR="008A49B5" w:rsidRDefault="008A49B5" w:rsidP="008A49B5">
      <w:pPr>
        <w:spacing w:line="360" w:lineRule="auto"/>
        <w:ind w:left="709"/>
        <w:jc w:val="both"/>
        <w:rPr>
          <w:sz w:val="24"/>
          <w:szCs w:val="24"/>
        </w:rPr>
      </w:pPr>
    </w:p>
    <w:p w:rsidR="00BA21EB" w:rsidRPr="00A0074D" w:rsidRDefault="00356862" w:rsidP="0078423A">
      <w:pPr>
        <w:numPr>
          <w:ilvl w:val="0"/>
          <w:numId w:val="1"/>
        </w:numPr>
        <w:spacing w:line="360" w:lineRule="auto"/>
        <w:ind w:left="709" w:hanging="709"/>
        <w:jc w:val="both"/>
        <w:rPr>
          <w:sz w:val="24"/>
          <w:szCs w:val="24"/>
        </w:rPr>
      </w:pPr>
      <w:r w:rsidRPr="00A0074D">
        <w:rPr>
          <w:sz w:val="24"/>
          <w:szCs w:val="24"/>
        </w:rPr>
        <w:t xml:space="preserve">It revokes Instrument IMMI </w:t>
      </w:r>
      <w:r w:rsidR="0078423A">
        <w:rPr>
          <w:sz w:val="24"/>
          <w:szCs w:val="24"/>
        </w:rPr>
        <w:t>14/055</w:t>
      </w:r>
      <w:r w:rsidRPr="00A0074D">
        <w:rPr>
          <w:sz w:val="24"/>
          <w:szCs w:val="24"/>
        </w:rPr>
        <w:t xml:space="preserve"> (F201</w:t>
      </w:r>
      <w:r w:rsidR="0078423A">
        <w:rPr>
          <w:sz w:val="24"/>
          <w:szCs w:val="24"/>
        </w:rPr>
        <w:t>4L01551</w:t>
      </w:r>
      <w:r w:rsidRPr="00A0074D">
        <w:rPr>
          <w:sz w:val="24"/>
          <w:szCs w:val="24"/>
        </w:rPr>
        <w:t xml:space="preserve">) signed on </w:t>
      </w:r>
      <w:r w:rsidR="0078423A">
        <w:rPr>
          <w:sz w:val="24"/>
          <w:szCs w:val="24"/>
        </w:rPr>
        <w:t>23 November 2014</w:t>
      </w:r>
      <w:r w:rsidRPr="00A0074D">
        <w:rPr>
          <w:sz w:val="24"/>
          <w:szCs w:val="24"/>
        </w:rPr>
        <w:t>.</w:t>
      </w:r>
      <w:r w:rsidR="00EE2A4F" w:rsidRPr="00A0074D">
        <w:rPr>
          <w:sz w:val="24"/>
          <w:szCs w:val="24"/>
        </w:rPr>
        <w:br/>
      </w:r>
    </w:p>
    <w:p w:rsidR="00BA21EB" w:rsidRPr="00A0074D" w:rsidRDefault="00BA21EB" w:rsidP="0078423A">
      <w:pPr>
        <w:numPr>
          <w:ilvl w:val="0"/>
          <w:numId w:val="1"/>
        </w:numPr>
        <w:spacing w:line="360" w:lineRule="auto"/>
        <w:ind w:left="709" w:hanging="709"/>
        <w:jc w:val="both"/>
        <w:rPr>
          <w:sz w:val="24"/>
          <w:szCs w:val="24"/>
        </w:rPr>
      </w:pPr>
      <w:r w:rsidRPr="00A0074D">
        <w:rPr>
          <w:sz w:val="24"/>
          <w:szCs w:val="24"/>
        </w:rPr>
        <w:t xml:space="preserve">The purpose of the </w:t>
      </w:r>
      <w:r w:rsidR="00C106D5">
        <w:rPr>
          <w:sz w:val="24"/>
          <w:szCs w:val="24"/>
        </w:rPr>
        <w:t>I</w:t>
      </w:r>
      <w:r w:rsidRPr="00A0074D">
        <w:rPr>
          <w:sz w:val="24"/>
          <w:szCs w:val="24"/>
        </w:rPr>
        <w:t>nstrument is to:</w:t>
      </w:r>
    </w:p>
    <w:p w:rsidR="00BA21EB" w:rsidRPr="00A0074D" w:rsidRDefault="00BA21EB" w:rsidP="0078423A">
      <w:pPr>
        <w:numPr>
          <w:ilvl w:val="0"/>
          <w:numId w:val="2"/>
        </w:numPr>
        <w:tabs>
          <w:tab w:val="clear" w:pos="1778"/>
        </w:tabs>
        <w:spacing w:line="360" w:lineRule="auto"/>
        <w:ind w:left="720" w:hanging="11"/>
        <w:jc w:val="both"/>
        <w:rPr>
          <w:sz w:val="24"/>
          <w:szCs w:val="24"/>
        </w:rPr>
      </w:pPr>
      <w:r w:rsidRPr="00A0074D">
        <w:rPr>
          <w:sz w:val="24"/>
          <w:szCs w:val="24"/>
        </w:rPr>
        <w:t>specify what qualifications or experience an applicant</w:t>
      </w:r>
      <w:r w:rsidR="005E3004" w:rsidRPr="00A0074D">
        <w:rPr>
          <w:sz w:val="24"/>
          <w:szCs w:val="24"/>
        </w:rPr>
        <w:t xml:space="preserve"> must have to</w:t>
      </w:r>
      <w:r w:rsidRPr="00A0074D">
        <w:rPr>
          <w:sz w:val="24"/>
          <w:szCs w:val="24"/>
        </w:rPr>
        <w:t xml:space="preserve"> meet the </w:t>
      </w:r>
      <w:r w:rsidR="0078423A">
        <w:rPr>
          <w:sz w:val="24"/>
          <w:szCs w:val="24"/>
        </w:rPr>
        <w:tab/>
      </w:r>
      <w:r w:rsidRPr="00A0074D">
        <w:rPr>
          <w:sz w:val="24"/>
          <w:szCs w:val="24"/>
        </w:rPr>
        <w:t>definition of functional English; and</w:t>
      </w:r>
    </w:p>
    <w:p w:rsidR="00BF6FA2" w:rsidRDefault="00356862" w:rsidP="0078423A">
      <w:pPr>
        <w:numPr>
          <w:ilvl w:val="0"/>
          <w:numId w:val="2"/>
        </w:numPr>
        <w:tabs>
          <w:tab w:val="clear" w:pos="1778"/>
        </w:tabs>
        <w:spacing w:line="360" w:lineRule="auto"/>
        <w:ind w:left="720" w:hanging="11"/>
        <w:jc w:val="both"/>
        <w:rPr>
          <w:sz w:val="24"/>
          <w:szCs w:val="24"/>
        </w:rPr>
      </w:pPr>
      <w:r w:rsidRPr="00A0074D">
        <w:rPr>
          <w:sz w:val="24"/>
          <w:szCs w:val="24"/>
        </w:rPr>
        <w:t>include</w:t>
      </w:r>
      <w:r w:rsidR="009F3C2B">
        <w:rPr>
          <w:sz w:val="24"/>
          <w:szCs w:val="24"/>
        </w:rPr>
        <w:t xml:space="preserve"> the Cambridge English: Advanced (CAE) test;</w:t>
      </w:r>
      <w:r w:rsidR="00BF6FA2">
        <w:rPr>
          <w:sz w:val="24"/>
          <w:szCs w:val="24"/>
        </w:rPr>
        <w:t xml:space="preserve"> and</w:t>
      </w:r>
    </w:p>
    <w:p w:rsidR="00356862" w:rsidRPr="00C106D5" w:rsidRDefault="00BF6FA2" w:rsidP="0078423A">
      <w:pPr>
        <w:numPr>
          <w:ilvl w:val="0"/>
          <w:numId w:val="2"/>
        </w:numPr>
        <w:tabs>
          <w:tab w:val="clear" w:pos="1778"/>
        </w:tabs>
        <w:spacing w:line="360" w:lineRule="auto"/>
        <w:ind w:left="720" w:hanging="11"/>
        <w:jc w:val="both"/>
        <w:rPr>
          <w:sz w:val="24"/>
          <w:szCs w:val="24"/>
        </w:rPr>
      </w:pPr>
      <w:proofErr w:type="gramStart"/>
      <w:r w:rsidRPr="00C106D5">
        <w:rPr>
          <w:sz w:val="24"/>
          <w:szCs w:val="24"/>
        </w:rPr>
        <w:t>specify</w:t>
      </w:r>
      <w:proofErr w:type="gramEnd"/>
      <w:r w:rsidRPr="00C106D5">
        <w:rPr>
          <w:sz w:val="24"/>
          <w:szCs w:val="24"/>
        </w:rPr>
        <w:t xml:space="preserve"> that</w:t>
      </w:r>
      <w:r w:rsidR="00C106D5" w:rsidRPr="00C106D5">
        <w:rPr>
          <w:sz w:val="24"/>
          <w:szCs w:val="24"/>
        </w:rPr>
        <w:t xml:space="preserve"> applicants who are citizens of and who hold a valid passport </w:t>
      </w:r>
      <w:r w:rsidR="0078423A">
        <w:rPr>
          <w:sz w:val="24"/>
          <w:szCs w:val="24"/>
        </w:rPr>
        <w:tab/>
      </w:r>
      <w:r w:rsidR="00C106D5" w:rsidRPr="00C106D5">
        <w:rPr>
          <w:sz w:val="24"/>
          <w:szCs w:val="24"/>
        </w:rPr>
        <w:t xml:space="preserve">issued by the United Kingdom, the United States of </w:t>
      </w:r>
      <w:r w:rsidRPr="00C106D5">
        <w:rPr>
          <w:sz w:val="24"/>
          <w:szCs w:val="24"/>
        </w:rPr>
        <w:t>America</w:t>
      </w:r>
      <w:r w:rsidR="00C106D5" w:rsidRPr="00C106D5">
        <w:rPr>
          <w:sz w:val="24"/>
          <w:szCs w:val="24"/>
        </w:rPr>
        <w:t>,</w:t>
      </w:r>
      <w:r w:rsidR="009A4A83" w:rsidRPr="00C106D5">
        <w:rPr>
          <w:sz w:val="24"/>
          <w:szCs w:val="24"/>
        </w:rPr>
        <w:t xml:space="preserve"> </w:t>
      </w:r>
      <w:r w:rsidRPr="00C106D5">
        <w:rPr>
          <w:sz w:val="24"/>
          <w:szCs w:val="24"/>
        </w:rPr>
        <w:t>Canada</w:t>
      </w:r>
      <w:r w:rsidR="00C106D5" w:rsidRPr="00C106D5">
        <w:rPr>
          <w:sz w:val="24"/>
          <w:szCs w:val="24"/>
        </w:rPr>
        <w:t xml:space="preserve">, or the </w:t>
      </w:r>
      <w:r w:rsidR="0078423A">
        <w:rPr>
          <w:sz w:val="24"/>
          <w:szCs w:val="24"/>
        </w:rPr>
        <w:tab/>
      </w:r>
      <w:r w:rsidR="00C106D5" w:rsidRPr="00C106D5">
        <w:rPr>
          <w:sz w:val="24"/>
          <w:szCs w:val="24"/>
        </w:rPr>
        <w:t>Republic of Ireland has</w:t>
      </w:r>
      <w:r w:rsidRPr="00C106D5">
        <w:rPr>
          <w:sz w:val="24"/>
          <w:szCs w:val="24"/>
        </w:rPr>
        <w:t xml:space="preserve"> been determined to have functional English language </w:t>
      </w:r>
      <w:r w:rsidR="0078423A">
        <w:rPr>
          <w:sz w:val="24"/>
          <w:szCs w:val="24"/>
        </w:rPr>
        <w:tab/>
      </w:r>
      <w:r w:rsidRPr="00C106D5">
        <w:rPr>
          <w:sz w:val="24"/>
          <w:szCs w:val="24"/>
        </w:rPr>
        <w:t>proficiency.</w:t>
      </w:r>
      <w:r w:rsidR="009E3F4A" w:rsidRPr="00C106D5">
        <w:rPr>
          <w:sz w:val="24"/>
          <w:szCs w:val="24"/>
        </w:rPr>
        <w:br/>
      </w:r>
    </w:p>
    <w:p w:rsidR="00C106D5" w:rsidRDefault="0078423A" w:rsidP="0078423A">
      <w:pPr>
        <w:spacing w:line="360" w:lineRule="auto"/>
        <w:ind w:left="709" w:hanging="709"/>
        <w:jc w:val="both"/>
        <w:rPr>
          <w:sz w:val="24"/>
          <w:szCs w:val="24"/>
        </w:rPr>
      </w:pPr>
      <w:r>
        <w:rPr>
          <w:sz w:val="24"/>
          <w:szCs w:val="24"/>
        </w:rPr>
        <w:t>4</w:t>
      </w:r>
      <w:r w:rsidR="00BA21EB" w:rsidRPr="00A0074D">
        <w:rPr>
          <w:sz w:val="24"/>
          <w:szCs w:val="24"/>
        </w:rPr>
        <w:t>.</w:t>
      </w:r>
      <w:r w:rsidR="00BA21EB" w:rsidRPr="00A0074D">
        <w:rPr>
          <w:sz w:val="24"/>
          <w:szCs w:val="24"/>
        </w:rPr>
        <w:tab/>
        <w:t xml:space="preserve">The </w:t>
      </w:r>
      <w:r w:rsidR="00C106D5">
        <w:rPr>
          <w:sz w:val="24"/>
          <w:szCs w:val="24"/>
        </w:rPr>
        <w:t>I</w:t>
      </w:r>
      <w:r w:rsidR="00BA21EB" w:rsidRPr="00A0074D">
        <w:rPr>
          <w:sz w:val="24"/>
          <w:szCs w:val="24"/>
        </w:rPr>
        <w:t>nstrument operates to specify the qualifications or experience necessary for the purposes of providing evidence of English language proficiency. This includes specifying educational experience and results obtained as a consequence of sitting specific English language tests including the International English Language Testing System (IELTS) Test</w:t>
      </w:r>
      <w:r w:rsidR="00356862" w:rsidRPr="00A0074D">
        <w:rPr>
          <w:sz w:val="24"/>
          <w:szCs w:val="24"/>
        </w:rPr>
        <w:t>, the Test of English as a Foreign Language int</w:t>
      </w:r>
      <w:r>
        <w:rPr>
          <w:sz w:val="24"/>
          <w:szCs w:val="24"/>
        </w:rPr>
        <w:t>ernet-based test (</w:t>
      </w:r>
      <w:proofErr w:type="spellStart"/>
      <w:r>
        <w:rPr>
          <w:sz w:val="24"/>
          <w:szCs w:val="24"/>
        </w:rPr>
        <w:t>TOEFL</w:t>
      </w:r>
      <w:proofErr w:type="spellEnd"/>
      <w:r>
        <w:rPr>
          <w:sz w:val="24"/>
          <w:szCs w:val="24"/>
        </w:rPr>
        <w:t xml:space="preserve"> </w:t>
      </w:r>
      <w:proofErr w:type="spellStart"/>
      <w:r>
        <w:rPr>
          <w:sz w:val="24"/>
          <w:szCs w:val="24"/>
        </w:rPr>
        <w:t>iBT</w:t>
      </w:r>
      <w:proofErr w:type="spellEnd"/>
      <w:r>
        <w:rPr>
          <w:sz w:val="24"/>
          <w:szCs w:val="24"/>
        </w:rPr>
        <w:t>),</w:t>
      </w:r>
      <w:r w:rsidR="00593EF1">
        <w:rPr>
          <w:sz w:val="24"/>
          <w:szCs w:val="24"/>
        </w:rPr>
        <w:t xml:space="preserve"> </w:t>
      </w:r>
      <w:r w:rsidR="00356862" w:rsidRPr="00A0074D">
        <w:rPr>
          <w:sz w:val="24"/>
          <w:szCs w:val="24"/>
        </w:rPr>
        <w:t>the Pearson Test of English Academic</w:t>
      </w:r>
      <w:r w:rsidR="00EE2A4F" w:rsidRPr="00A0074D">
        <w:rPr>
          <w:sz w:val="24"/>
          <w:szCs w:val="24"/>
        </w:rPr>
        <w:t xml:space="preserve"> (PTE Academic)</w:t>
      </w:r>
      <w:r>
        <w:rPr>
          <w:sz w:val="24"/>
          <w:szCs w:val="24"/>
        </w:rPr>
        <w:t xml:space="preserve"> and the Cambridge English: Advanced (CAE) test.</w:t>
      </w:r>
    </w:p>
    <w:p w:rsidR="00EE2A4F" w:rsidRPr="00A0074D" w:rsidRDefault="009A4A83" w:rsidP="0078423A">
      <w:pPr>
        <w:spacing w:line="360" w:lineRule="auto"/>
        <w:ind w:hanging="720"/>
        <w:jc w:val="both"/>
        <w:rPr>
          <w:sz w:val="24"/>
          <w:szCs w:val="24"/>
        </w:rPr>
      </w:pPr>
      <w:r>
        <w:rPr>
          <w:sz w:val="24"/>
          <w:szCs w:val="24"/>
        </w:rPr>
        <w:t xml:space="preserve"> </w:t>
      </w:r>
    </w:p>
    <w:p w:rsidR="008A49B5" w:rsidRPr="0026747D" w:rsidRDefault="0078423A" w:rsidP="004511E2">
      <w:pPr>
        <w:spacing w:line="360" w:lineRule="auto"/>
        <w:ind w:left="709" w:hanging="709"/>
        <w:jc w:val="both"/>
        <w:rPr>
          <w:sz w:val="24"/>
          <w:szCs w:val="24"/>
        </w:rPr>
      </w:pPr>
      <w:r>
        <w:rPr>
          <w:sz w:val="24"/>
          <w:szCs w:val="24"/>
        </w:rPr>
        <w:t>5</w:t>
      </w:r>
      <w:r w:rsidR="00BA21EB" w:rsidRPr="00A0074D">
        <w:rPr>
          <w:sz w:val="24"/>
          <w:szCs w:val="24"/>
        </w:rPr>
        <w:t>.</w:t>
      </w:r>
      <w:r w:rsidR="00BA21EB" w:rsidRPr="00A0074D">
        <w:rPr>
          <w:sz w:val="24"/>
          <w:szCs w:val="24"/>
        </w:rPr>
        <w:tab/>
      </w:r>
      <w:r w:rsidR="004511E2">
        <w:rPr>
          <w:sz w:val="24"/>
          <w:szCs w:val="24"/>
        </w:rPr>
        <w:t xml:space="preserve">The Instrument is of a minor or machinery nature and does not substantially alter existing arrangements.  Consultation was conducted with relevant internal and external stakeholders from the skilled migration officers group, the international education sector and other Commonwealth government agencies in addition to </w:t>
      </w:r>
      <w:r w:rsidR="004511E2">
        <w:rPr>
          <w:sz w:val="24"/>
          <w:szCs w:val="24"/>
        </w:rPr>
        <w:lastRenderedPageBreak/>
        <w:t>consultations as part of the broader consultation relating to the expansion of alternative English language tests across other visa programmes.</w:t>
      </w:r>
    </w:p>
    <w:p w:rsidR="00EE2A4F" w:rsidRPr="00A0074D" w:rsidRDefault="00EE2A4F" w:rsidP="008A49B5">
      <w:pPr>
        <w:spacing w:line="360" w:lineRule="auto"/>
        <w:ind w:left="709" w:hanging="709"/>
        <w:jc w:val="both"/>
        <w:rPr>
          <w:sz w:val="24"/>
        </w:rPr>
      </w:pPr>
    </w:p>
    <w:p w:rsidR="0078423A" w:rsidRDefault="0078423A" w:rsidP="0078423A">
      <w:pPr>
        <w:pStyle w:val="BodyTextIndent"/>
        <w:spacing w:line="360" w:lineRule="auto"/>
        <w:ind w:left="709" w:hanging="709"/>
      </w:pPr>
      <w:r>
        <w:t>6</w:t>
      </w:r>
      <w:r w:rsidR="00BA21EB" w:rsidRPr="00A0074D">
        <w:t>.</w:t>
      </w:r>
      <w:r w:rsidR="00BA21EB" w:rsidRPr="00A0074D">
        <w:tab/>
        <w:t>The Office of Best Practice Regulation has advised that a Regulatory Impact Statement is no</w:t>
      </w:r>
      <w:r w:rsidR="00356862" w:rsidRPr="00A0074D">
        <w:t xml:space="preserve">t required (OBPR Reference </w:t>
      </w:r>
      <w:r w:rsidR="004511E2">
        <w:t>16643</w:t>
      </w:r>
      <w:r w:rsidR="00EE2A4F" w:rsidRPr="00A0074D">
        <w:t>)</w:t>
      </w:r>
      <w:r w:rsidR="00BA21EB" w:rsidRPr="00A0074D">
        <w:t>.</w:t>
      </w:r>
    </w:p>
    <w:p w:rsidR="00BA21EB" w:rsidRPr="00A0074D" w:rsidRDefault="00BA21EB" w:rsidP="0078423A">
      <w:pPr>
        <w:pStyle w:val="BodyTextIndent"/>
        <w:spacing w:line="360" w:lineRule="auto"/>
        <w:ind w:left="709" w:hanging="709"/>
      </w:pPr>
    </w:p>
    <w:p w:rsidR="0078423A" w:rsidRDefault="0078423A" w:rsidP="0078423A">
      <w:pPr>
        <w:pStyle w:val="BodyTextIndent"/>
        <w:spacing w:line="360" w:lineRule="auto"/>
        <w:ind w:left="709" w:hanging="709"/>
      </w:pPr>
      <w:r>
        <w:t>7</w:t>
      </w:r>
      <w:r w:rsidR="00BA21EB" w:rsidRPr="00A0074D">
        <w:t>.</w:t>
      </w:r>
      <w:r w:rsidR="00BA21EB" w:rsidRPr="00A0074D">
        <w:tab/>
        <w:t xml:space="preserve">Under section 44 of the </w:t>
      </w:r>
      <w:r w:rsidR="00BA21EB" w:rsidRPr="00A0074D">
        <w:rPr>
          <w:i/>
        </w:rPr>
        <w:t>Legislative Instruments Act 2003</w:t>
      </w:r>
      <w:r w:rsidR="00BA21EB" w:rsidRPr="00A0074D">
        <w:t xml:space="preserve"> the Instrument is exempt from disallowance and therefore a</w:t>
      </w:r>
      <w:r w:rsidR="005E3004" w:rsidRPr="00A0074D">
        <w:t xml:space="preserve"> Statement of Compatibility with Human</w:t>
      </w:r>
      <w:r w:rsidR="00BA21EB" w:rsidRPr="00A0074D">
        <w:t xml:space="preserve"> R</w:t>
      </w:r>
      <w:r w:rsidR="005E3004" w:rsidRPr="00A0074D">
        <w:t>ights</w:t>
      </w:r>
      <w:r w:rsidR="00BA21EB" w:rsidRPr="00A0074D">
        <w:t xml:space="preserve"> is not</w:t>
      </w:r>
      <w:r>
        <w:t xml:space="preserve"> </w:t>
      </w:r>
      <w:r w:rsidR="00BA21EB" w:rsidRPr="00A0074D">
        <w:t>required.</w:t>
      </w:r>
    </w:p>
    <w:p w:rsidR="00BA21EB" w:rsidRPr="00A0074D" w:rsidRDefault="00BA21EB" w:rsidP="0078423A">
      <w:pPr>
        <w:pStyle w:val="BodyTextIndent"/>
        <w:spacing w:line="360" w:lineRule="auto"/>
        <w:ind w:left="709" w:hanging="709"/>
      </w:pPr>
    </w:p>
    <w:p w:rsidR="00306920" w:rsidRPr="00356862" w:rsidRDefault="0078423A" w:rsidP="0078423A">
      <w:pPr>
        <w:spacing w:line="360" w:lineRule="auto"/>
        <w:ind w:left="709" w:hanging="709"/>
        <w:jc w:val="both"/>
        <w:rPr>
          <w:sz w:val="24"/>
          <w:szCs w:val="24"/>
        </w:rPr>
      </w:pPr>
      <w:r>
        <w:rPr>
          <w:sz w:val="24"/>
          <w:szCs w:val="24"/>
        </w:rPr>
        <w:t>8</w:t>
      </w:r>
      <w:r w:rsidR="00356862" w:rsidRPr="00A0074D">
        <w:rPr>
          <w:sz w:val="24"/>
          <w:szCs w:val="24"/>
        </w:rPr>
        <w:t>.</w:t>
      </w:r>
      <w:r w:rsidR="00356862" w:rsidRPr="00A0074D">
        <w:rPr>
          <w:sz w:val="24"/>
          <w:szCs w:val="24"/>
        </w:rPr>
        <w:tab/>
        <w:t xml:space="preserve">The Instrument, IMMI </w:t>
      </w:r>
      <w:r>
        <w:rPr>
          <w:sz w:val="24"/>
          <w:szCs w:val="24"/>
        </w:rPr>
        <w:t>15/004</w:t>
      </w:r>
      <w:r w:rsidR="00356862" w:rsidRPr="00A0074D">
        <w:rPr>
          <w:sz w:val="24"/>
          <w:szCs w:val="24"/>
        </w:rPr>
        <w:t>, commences on</w:t>
      </w:r>
      <w:r>
        <w:rPr>
          <w:sz w:val="24"/>
          <w:szCs w:val="24"/>
        </w:rPr>
        <w:t xml:space="preserve"> 1 January 2015</w:t>
      </w:r>
      <w:r w:rsidR="00BA21EB" w:rsidRPr="00A0074D">
        <w:rPr>
          <w:sz w:val="24"/>
          <w:szCs w:val="24"/>
        </w:rPr>
        <w:t>.</w:t>
      </w:r>
    </w:p>
    <w:sectPr w:rsidR="00306920" w:rsidRPr="003568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EB" w:rsidRDefault="00BA21EB" w:rsidP="00BA21EB">
      <w:r>
        <w:separator/>
      </w:r>
    </w:p>
  </w:endnote>
  <w:endnote w:type="continuationSeparator" w:id="0">
    <w:p w:rsidR="00BA21EB" w:rsidRDefault="00BA21EB" w:rsidP="00BA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EB" w:rsidRDefault="00BA21EB" w:rsidP="00BA21EB">
      <w:r>
        <w:separator/>
      </w:r>
    </w:p>
  </w:footnote>
  <w:footnote w:type="continuationSeparator" w:id="0">
    <w:p w:rsidR="00BA21EB" w:rsidRDefault="00BA21EB" w:rsidP="00BA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EB" w:rsidRPr="00C106D5" w:rsidRDefault="00BA21EB">
    <w:pPr>
      <w:pStyle w:val="Header"/>
      <w:rPr>
        <w:i/>
      </w:rPr>
    </w:pPr>
    <w:r w:rsidRPr="00C106D5">
      <w:rPr>
        <w:i/>
      </w:rPr>
      <w:t xml:space="preserve">IMMI </w:t>
    </w:r>
    <w:r w:rsidR="0078423A">
      <w:rPr>
        <w:i/>
      </w:rPr>
      <w:t>15/004</w:t>
    </w:r>
  </w:p>
  <w:p w:rsidR="00BA21EB" w:rsidRDefault="00BA2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FFC"/>
    <w:multiLevelType w:val="hybridMultilevel"/>
    <w:tmpl w:val="788E7734"/>
    <w:lvl w:ilvl="0" w:tplc="0C09000F">
      <w:start w:val="1"/>
      <w:numFmt w:val="decimal"/>
      <w:lvlText w:val="%1."/>
      <w:lvlJc w:val="left"/>
      <w:pPr>
        <w:tabs>
          <w:tab w:val="num" w:pos="720"/>
        </w:tabs>
        <w:ind w:left="720" w:hanging="360"/>
      </w:p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23BB74D8"/>
    <w:multiLevelType w:val="hybridMultilevel"/>
    <w:tmpl w:val="6A42FF1E"/>
    <w:lvl w:ilvl="0" w:tplc="DFFC4E1E">
      <w:start w:val="1"/>
      <w:numFmt w:val="lowerLetter"/>
      <w:lvlText w:val="(%1)"/>
      <w:lvlJc w:val="left"/>
      <w:pPr>
        <w:tabs>
          <w:tab w:val="num" w:pos="1778"/>
        </w:tabs>
        <w:ind w:left="1778" w:hanging="360"/>
      </w:pPr>
    </w:lvl>
    <w:lvl w:ilvl="1" w:tplc="0C090019">
      <w:start w:val="1"/>
      <w:numFmt w:val="lowerLetter"/>
      <w:lvlText w:val="%2."/>
      <w:lvlJc w:val="left"/>
      <w:pPr>
        <w:tabs>
          <w:tab w:val="num" w:pos="2498"/>
        </w:tabs>
        <w:ind w:left="2498" w:hanging="360"/>
      </w:pPr>
    </w:lvl>
    <w:lvl w:ilvl="2" w:tplc="0C09001B">
      <w:start w:val="1"/>
      <w:numFmt w:val="lowerRoman"/>
      <w:lvlText w:val="%3."/>
      <w:lvlJc w:val="right"/>
      <w:pPr>
        <w:tabs>
          <w:tab w:val="num" w:pos="3218"/>
        </w:tabs>
        <w:ind w:left="3218" w:hanging="180"/>
      </w:pPr>
    </w:lvl>
    <w:lvl w:ilvl="3" w:tplc="0C09000F">
      <w:start w:val="1"/>
      <w:numFmt w:val="decimal"/>
      <w:lvlText w:val="%4."/>
      <w:lvlJc w:val="left"/>
      <w:pPr>
        <w:tabs>
          <w:tab w:val="num" w:pos="3938"/>
        </w:tabs>
        <w:ind w:left="3938" w:hanging="360"/>
      </w:pPr>
    </w:lvl>
    <w:lvl w:ilvl="4" w:tplc="0C090019">
      <w:start w:val="1"/>
      <w:numFmt w:val="lowerLetter"/>
      <w:lvlText w:val="%5."/>
      <w:lvlJc w:val="left"/>
      <w:pPr>
        <w:tabs>
          <w:tab w:val="num" w:pos="4658"/>
        </w:tabs>
        <w:ind w:left="4658" w:hanging="360"/>
      </w:pPr>
    </w:lvl>
    <w:lvl w:ilvl="5" w:tplc="0C09001B">
      <w:start w:val="1"/>
      <w:numFmt w:val="lowerRoman"/>
      <w:lvlText w:val="%6."/>
      <w:lvlJc w:val="right"/>
      <w:pPr>
        <w:tabs>
          <w:tab w:val="num" w:pos="5378"/>
        </w:tabs>
        <w:ind w:left="5378" w:hanging="180"/>
      </w:pPr>
    </w:lvl>
    <w:lvl w:ilvl="6" w:tplc="0C09000F">
      <w:start w:val="1"/>
      <w:numFmt w:val="decimal"/>
      <w:lvlText w:val="%7."/>
      <w:lvlJc w:val="left"/>
      <w:pPr>
        <w:tabs>
          <w:tab w:val="num" w:pos="6098"/>
        </w:tabs>
        <w:ind w:left="6098" w:hanging="360"/>
      </w:pPr>
    </w:lvl>
    <w:lvl w:ilvl="7" w:tplc="0C090019">
      <w:start w:val="1"/>
      <w:numFmt w:val="lowerLetter"/>
      <w:lvlText w:val="%8."/>
      <w:lvlJc w:val="left"/>
      <w:pPr>
        <w:tabs>
          <w:tab w:val="num" w:pos="6818"/>
        </w:tabs>
        <w:ind w:left="6818" w:hanging="360"/>
      </w:pPr>
    </w:lvl>
    <w:lvl w:ilvl="8" w:tplc="0C09001B">
      <w:start w:val="1"/>
      <w:numFmt w:val="lowerRoman"/>
      <w:lvlText w:val="%9."/>
      <w:lvlJc w:val="right"/>
      <w:pPr>
        <w:tabs>
          <w:tab w:val="num" w:pos="7538"/>
        </w:tabs>
        <w:ind w:left="7538" w:hanging="180"/>
      </w:pPr>
    </w:lvl>
  </w:abstractNum>
  <w:abstractNum w:abstractNumId="2">
    <w:nsid w:val="6F2D692E"/>
    <w:multiLevelType w:val="hybridMultilevel"/>
    <w:tmpl w:val="981A823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EB"/>
    <w:rsid w:val="00066DB2"/>
    <w:rsid w:val="000F4678"/>
    <w:rsid w:val="002A7CD0"/>
    <w:rsid w:val="003043B9"/>
    <w:rsid w:val="00306920"/>
    <w:rsid w:val="00356862"/>
    <w:rsid w:val="004511E2"/>
    <w:rsid w:val="005547D4"/>
    <w:rsid w:val="00593EF1"/>
    <w:rsid w:val="005E3004"/>
    <w:rsid w:val="0078423A"/>
    <w:rsid w:val="008A49B5"/>
    <w:rsid w:val="009A4A83"/>
    <w:rsid w:val="009E3F4A"/>
    <w:rsid w:val="009F3C2B"/>
    <w:rsid w:val="00A0074D"/>
    <w:rsid w:val="00BA21EB"/>
    <w:rsid w:val="00BF6FA2"/>
    <w:rsid w:val="00C106D5"/>
    <w:rsid w:val="00DC3D19"/>
    <w:rsid w:val="00EE2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E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BA21EB"/>
    <w:pPr>
      <w:keepNext/>
      <w:jc w:val="center"/>
      <w:outlineLvl w:val="0"/>
    </w:pPr>
    <w:rPr>
      <w:b/>
      <w:sz w:val="24"/>
      <w:u w:val="single"/>
    </w:rPr>
  </w:style>
  <w:style w:type="paragraph" w:styleId="Heading2">
    <w:name w:val="heading 2"/>
    <w:basedOn w:val="Normal"/>
    <w:next w:val="Normal"/>
    <w:link w:val="Heading2Char"/>
    <w:semiHidden/>
    <w:unhideWhenUsed/>
    <w:qFormat/>
    <w:rsid w:val="00BA21EB"/>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1EB"/>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BA21EB"/>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BA21EB"/>
    <w:pPr>
      <w:ind w:hanging="22"/>
      <w:jc w:val="both"/>
    </w:pPr>
    <w:rPr>
      <w:sz w:val="24"/>
    </w:rPr>
  </w:style>
  <w:style w:type="character" w:customStyle="1" w:styleId="BodyTextIndentChar">
    <w:name w:val="Body Text Indent Char"/>
    <w:basedOn w:val="DefaultParagraphFont"/>
    <w:link w:val="BodyTextIndent"/>
    <w:semiHidden/>
    <w:rsid w:val="00BA21E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BA21EB"/>
    <w:pPr>
      <w:tabs>
        <w:tab w:val="center" w:pos="4513"/>
        <w:tab w:val="right" w:pos="9026"/>
      </w:tabs>
    </w:pPr>
  </w:style>
  <w:style w:type="character" w:customStyle="1" w:styleId="HeaderChar">
    <w:name w:val="Header Char"/>
    <w:basedOn w:val="DefaultParagraphFont"/>
    <w:link w:val="Header"/>
    <w:uiPriority w:val="99"/>
    <w:rsid w:val="00BA21EB"/>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BA21EB"/>
    <w:pPr>
      <w:tabs>
        <w:tab w:val="center" w:pos="4513"/>
        <w:tab w:val="right" w:pos="9026"/>
      </w:tabs>
    </w:pPr>
  </w:style>
  <w:style w:type="character" w:customStyle="1" w:styleId="FooterChar">
    <w:name w:val="Footer Char"/>
    <w:basedOn w:val="DefaultParagraphFont"/>
    <w:link w:val="Footer"/>
    <w:uiPriority w:val="99"/>
    <w:rsid w:val="00BA21E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A21EB"/>
    <w:rPr>
      <w:rFonts w:ascii="Tahoma" w:hAnsi="Tahoma" w:cs="Tahoma"/>
      <w:sz w:val="16"/>
      <w:szCs w:val="16"/>
    </w:rPr>
  </w:style>
  <w:style w:type="character" w:customStyle="1" w:styleId="BalloonTextChar">
    <w:name w:val="Balloon Text Char"/>
    <w:basedOn w:val="DefaultParagraphFont"/>
    <w:link w:val="BalloonText"/>
    <w:uiPriority w:val="99"/>
    <w:semiHidden/>
    <w:rsid w:val="00BA21EB"/>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56862"/>
    <w:rPr>
      <w:sz w:val="16"/>
      <w:szCs w:val="16"/>
    </w:rPr>
  </w:style>
  <w:style w:type="paragraph" w:styleId="CommentText">
    <w:name w:val="annotation text"/>
    <w:basedOn w:val="Normal"/>
    <w:link w:val="CommentTextChar"/>
    <w:uiPriority w:val="99"/>
    <w:semiHidden/>
    <w:unhideWhenUsed/>
    <w:rsid w:val="00356862"/>
  </w:style>
  <w:style w:type="character" w:customStyle="1" w:styleId="CommentTextChar">
    <w:name w:val="Comment Text Char"/>
    <w:basedOn w:val="DefaultParagraphFont"/>
    <w:link w:val="CommentText"/>
    <w:uiPriority w:val="99"/>
    <w:semiHidden/>
    <w:rsid w:val="003568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56862"/>
    <w:rPr>
      <w:b/>
      <w:bCs/>
    </w:rPr>
  </w:style>
  <w:style w:type="character" w:customStyle="1" w:styleId="CommentSubjectChar">
    <w:name w:val="Comment Subject Char"/>
    <w:basedOn w:val="CommentTextChar"/>
    <w:link w:val="CommentSubject"/>
    <w:uiPriority w:val="99"/>
    <w:semiHidden/>
    <w:rsid w:val="0035686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9F3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E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BA21EB"/>
    <w:pPr>
      <w:keepNext/>
      <w:jc w:val="center"/>
      <w:outlineLvl w:val="0"/>
    </w:pPr>
    <w:rPr>
      <w:b/>
      <w:sz w:val="24"/>
      <w:u w:val="single"/>
    </w:rPr>
  </w:style>
  <w:style w:type="paragraph" w:styleId="Heading2">
    <w:name w:val="heading 2"/>
    <w:basedOn w:val="Normal"/>
    <w:next w:val="Normal"/>
    <w:link w:val="Heading2Char"/>
    <w:semiHidden/>
    <w:unhideWhenUsed/>
    <w:qFormat/>
    <w:rsid w:val="00BA21EB"/>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1EB"/>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BA21EB"/>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BA21EB"/>
    <w:pPr>
      <w:ind w:hanging="22"/>
      <w:jc w:val="both"/>
    </w:pPr>
    <w:rPr>
      <w:sz w:val="24"/>
    </w:rPr>
  </w:style>
  <w:style w:type="character" w:customStyle="1" w:styleId="BodyTextIndentChar">
    <w:name w:val="Body Text Indent Char"/>
    <w:basedOn w:val="DefaultParagraphFont"/>
    <w:link w:val="BodyTextIndent"/>
    <w:semiHidden/>
    <w:rsid w:val="00BA21E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BA21EB"/>
    <w:pPr>
      <w:tabs>
        <w:tab w:val="center" w:pos="4513"/>
        <w:tab w:val="right" w:pos="9026"/>
      </w:tabs>
    </w:pPr>
  </w:style>
  <w:style w:type="character" w:customStyle="1" w:styleId="HeaderChar">
    <w:name w:val="Header Char"/>
    <w:basedOn w:val="DefaultParagraphFont"/>
    <w:link w:val="Header"/>
    <w:uiPriority w:val="99"/>
    <w:rsid w:val="00BA21EB"/>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BA21EB"/>
    <w:pPr>
      <w:tabs>
        <w:tab w:val="center" w:pos="4513"/>
        <w:tab w:val="right" w:pos="9026"/>
      </w:tabs>
    </w:pPr>
  </w:style>
  <w:style w:type="character" w:customStyle="1" w:styleId="FooterChar">
    <w:name w:val="Footer Char"/>
    <w:basedOn w:val="DefaultParagraphFont"/>
    <w:link w:val="Footer"/>
    <w:uiPriority w:val="99"/>
    <w:rsid w:val="00BA21E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A21EB"/>
    <w:rPr>
      <w:rFonts w:ascii="Tahoma" w:hAnsi="Tahoma" w:cs="Tahoma"/>
      <w:sz w:val="16"/>
      <w:szCs w:val="16"/>
    </w:rPr>
  </w:style>
  <w:style w:type="character" w:customStyle="1" w:styleId="BalloonTextChar">
    <w:name w:val="Balloon Text Char"/>
    <w:basedOn w:val="DefaultParagraphFont"/>
    <w:link w:val="BalloonText"/>
    <w:uiPriority w:val="99"/>
    <w:semiHidden/>
    <w:rsid w:val="00BA21EB"/>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56862"/>
    <w:rPr>
      <w:sz w:val="16"/>
      <w:szCs w:val="16"/>
    </w:rPr>
  </w:style>
  <w:style w:type="paragraph" w:styleId="CommentText">
    <w:name w:val="annotation text"/>
    <w:basedOn w:val="Normal"/>
    <w:link w:val="CommentTextChar"/>
    <w:uiPriority w:val="99"/>
    <w:semiHidden/>
    <w:unhideWhenUsed/>
    <w:rsid w:val="00356862"/>
  </w:style>
  <w:style w:type="character" w:customStyle="1" w:styleId="CommentTextChar">
    <w:name w:val="Comment Text Char"/>
    <w:basedOn w:val="DefaultParagraphFont"/>
    <w:link w:val="CommentText"/>
    <w:uiPriority w:val="99"/>
    <w:semiHidden/>
    <w:rsid w:val="003568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56862"/>
    <w:rPr>
      <w:b/>
      <w:bCs/>
    </w:rPr>
  </w:style>
  <w:style w:type="character" w:customStyle="1" w:styleId="CommentSubjectChar">
    <w:name w:val="Comment Subject Char"/>
    <w:basedOn w:val="CommentTextChar"/>
    <w:link w:val="CommentSubject"/>
    <w:uiPriority w:val="99"/>
    <w:semiHidden/>
    <w:rsid w:val="0035686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9F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2856-83BE-4FF7-A1C4-13EE8457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Anna HUNTER</cp:lastModifiedBy>
  <cp:revision>19</cp:revision>
  <cp:lastPrinted>2014-11-26T21:56:00Z</cp:lastPrinted>
  <dcterms:created xsi:type="dcterms:W3CDTF">2014-06-23T03:54:00Z</dcterms:created>
  <dcterms:modified xsi:type="dcterms:W3CDTF">2014-12-01T05:32:00Z</dcterms:modified>
</cp:coreProperties>
</file>