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BD" w:rsidRPr="002C6D26" w:rsidRDefault="00A852FC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Banking, </w:t>
      </w:r>
      <w:r w:rsidR="00F80D17">
        <w:rPr>
          <w:rFonts w:ascii="Times New Roman" w:hAnsi="Times New Roman"/>
          <w:sz w:val="24"/>
          <w:szCs w:val="24"/>
        </w:rPr>
        <w:t>Insurance</w:t>
      </w:r>
      <w:r>
        <w:rPr>
          <w:rFonts w:ascii="Times New Roman" w:hAnsi="Times New Roman"/>
          <w:sz w:val="24"/>
          <w:szCs w:val="24"/>
        </w:rPr>
        <w:t xml:space="preserve"> and Life Insurance</w:t>
      </w:r>
      <w:r w:rsidR="002436BD" w:rsidRPr="002C6D26">
        <w:rPr>
          <w:rFonts w:ascii="Times New Roman" w:hAnsi="Times New Roman"/>
          <w:sz w:val="24"/>
          <w:szCs w:val="24"/>
        </w:rPr>
        <w:t xml:space="preserve"> (prudential standard) determination</w:t>
      </w:r>
      <w:r>
        <w:rPr>
          <w:rFonts w:ascii="Times New Roman" w:hAnsi="Times New Roman"/>
          <w:sz w:val="24"/>
          <w:szCs w:val="24"/>
        </w:rPr>
        <w:t>s</w:t>
      </w:r>
      <w:r w:rsidR="002436BD" w:rsidRPr="002C6D26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s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941CDE">
        <w:rPr>
          <w:rFonts w:ascii="Times New Roman" w:hAnsi="Times New Roman"/>
          <w:sz w:val="24"/>
          <w:szCs w:val="24"/>
        </w:rPr>
        <w:t>3</w:t>
      </w:r>
      <w:r w:rsidR="00941CDE"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41CDE">
        <w:rPr>
          <w:rFonts w:ascii="Times New Roman" w:hAnsi="Times New Roman"/>
          <w:sz w:val="24"/>
          <w:szCs w:val="24"/>
        </w:rPr>
        <w:t xml:space="preserve">4 </w:t>
      </w:r>
      <w:r w:rsidR="002436BD" w:rsidRPr="002C6D26">
        <w:rPr>
          <w:rFonts w:ascii="Times New Roman" w:hAnsi="Times New Roman"/>
          <w:sz w:val="24"/>
          <w:szCs w:val="24"/>
        </w:rPr>
        <w:t>of 20</w:t>
      </w:r>
      <w:r w:rsidR="00F80D17">
        <w:rPr>
          <w:rFonts w:ascii="Times New Roman" w:hAnsi="Times New Roman"/>
          <w:sz w:val="24"/>
          <w:szCs w:val="24"/>
        </w:rPr>
        <w:t>14</w:t>
      </w:r>
    </w:p>
    <w:p w:rsidR="002436BD" w:rsidRPr="002C6D26" w:rsidRDefault="002436BD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:rsidR="002436BD" w:rsidRPr="002C6D26" w:rsidRDefault="002436BD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:rsidR="00BB57BA" w:rsidRDefault="00BB57BA" w:rsidP="00970CEB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Banking Act 1959, </w:t>
      </w:r>
      <w:r>
        <w:rPr>
          <w:rFonts w:ascii="Times New Roman" w:hAnsi="Times New Roman"/>
          <w:b w:val="0"/>
          <w:sz w:val="24"/>
          <w:szCs w:val="24"/>
        </w:rPr>
        <w:t>subsections 11AF(1) and 11AF(3)</w:t>
      </w:r>
    </w:p>
    <w:p w:rsidR="002436BD" w:rsidRDefault="00F80D17" w:rsidP="00970CEB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Insurance Act 1973</w:t>
      </w:r>
      <w:r w:rsidR="002436BD"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="00BB57BA">
        <w:rPr>
          <w:rFonts w:ascii="Times New Roman" w:hAnsi="Times New Roman"/>
          <w:b w:val="0"/>
          <w:sz w:val="24"/>
          <w:szCs w:val="24"/>
        </w:rPr>
        <w:t>sub</w:t>
      </w:r>
      <w:r w:rsidR="002436BD" w:rsidRPr="002C6D26">
        <w:rPr>
          <w:rFonts w:ascii="Times New Roman" w:hAnsi="Times New Roman"/>
          <w:b w:val="0"/>
          <w:color w:val="000000"/>
          <w:sz w:val="24"/>
          <w:szCs w:val="24"/>
        </w:rPr>
        <w:t>section</w:t>
      </w:r>
      <w:r w:rsidR="00BB57BA">
        <w:rPr>
          <w:rFonts w:ascii="Times New Roman" w:hAnsi="Times New Roman"/>
          <w:b w:val="0"/>
          <w:color w:val="000000"/>
          <w:sz w:val="24"/>
          <w:szCs w:val="24"/>
        </w:rPr>
        <w:t>s</w:t>
      </w:r>
      <w:r w:rsidR="002436BD" w:rsidRPr="002C6D2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32</w:t>
      </w:r>
      <w:r w:rsidR="00BB57BA">
        <w:rPr>
          <w:rFonts w:ascii="Times New Roman" w:hAnsi="Times New Roman"/>
          <w:b w:val="0"/>
          <w:color w:val="000000"/>
          <w:sz w:val="24"/>
          <w:szCs w:val="24"/>
        </w:rPr>
        <w:t>(1) and 32(4)</w:t>
      </w:r>
    </w:p>
    <w:p w:rsidR="00BB57BA" w:rsidRDefault="00BB57BA" w:rsidP="00970CEB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Life Insurance Act 1995, </w:t>
      </w:r>
      <w:r>
        <w:rPr>
          <w:rFonts w:ascii="Times New Roman" w:hAnsi="Times New Roman"/>
          <w:b w:val="0"/>
          <w:color w:val="000000"/>
          <w:sz w:val="24"/>
          <w:szCs w:val="24"/>
        </w:rPr>
        <w:t>subsections 230A(1) and 230A(5)</w:t>
      </w:r>
    </w:p>
    <w:p w:rsidR="00BB57BA" w:rsidRPr="00970CEB" w:rsidRDefault="00BB57BA" w:rsidP="00970CEB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B57BA" w:rsidRPr="002C6D26" w:rsidRDefault="00BB57BA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</w:p>
    <w:p w:rsidR="00AC6943" w:rsidRDefault="00AC6943" w:rsidP="00DF7DA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>
        <w:rPr>
          <w:rFonts w:ascii="Times New Roman" w:hAnsi="Times New Roman"/>
          <w:sz w:val="24"/>
          <w:szCs w:val="24"/>
        </w:rPr>
        <w:t>APRA may, in writing, vary or revoke a prudential standard that applies to an APRA-regulated institution under:</w:t>
      </w:r>
    </w:p>
    <w:p w:rsidR="00AC6943" w:rsidRDefault="003C7875" w:rsidP="00AC6943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C6943">
        <w:rPr>
          <w:rFonts w:ascii="Times New Roman" w:hAnsi="Times New Roman"/>
          <w:sz w:val="24"/>
          <w:szCs w:val="24"/>
        </w:rPr>
        <w:t xml:space="preserve"> 11AF(3) of the </w:t>
      </w:r>
      <w:r w:rsidR="00AC6943">
        <w:rPr>
          <w:rFonts w:ascii="Times New Roman" w:hAnsi="Times New Roman"/>
          <w:i/>
          <w:sz w:val="24"/>
          <w:szCs w:val="24"/>
        </w:rPr>
        <w:t xml:space="preserve">Banking Act 1959 </w:t>
      </w:r>
      <w:r w:rsidR="00AC6943">
        <w:rPr>
          <w:rFonts w:ascii="Times New Roman" w:hAnsi="Times New Roman"/>
          <w:sz w:val="24"/>
          <w:szCs w:val="24"/>
        </w:rPr>
        <w:t>(Banking Act), in relation to authorised deposit-taking institutions (ADIs) and authorised non-operating holding companies (authorised banking NOHCs);</w:t>
      </w:r>
    </w:p>
    <w:p w:rsidR="00AC6943" w:rsidRDefault="003C7875" w:rsidP="00AC6943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C6943">
        <w:rPr>
          <w:rFonts w:ascii="Times New Roman" w:hAnsi="Times New Roman"/>
          <w:sz w:val="24"/>
          <w:szCs w:val="24"/>
        </w:rPr>
        <w:t xml:space="preserve"> 32(4) of the </w:t>
      </w:r>
      <w:r w:rsidR="00AC6943">
        <w:rPr>
          <w:rFonts w:ascii="Times New Roman" w:hAnsi="Times New Roman"/>
          <w:i/>
          <w:sz w:val="24"/>
          <w:szCs w:val="24"/>
        </w:rPr>
        <w:t>Insurance Act 1973</w:t>
      </w:r>
      <w:r w:rsidR="00AC6943">
        <w:rPr>
          <w:rFonts w:ascii="Times New Roman" w:hAnsi="Times New Roman"/>
          <w:sz w:val="24"/>
          <w:szCs w:val="24"/>
        </w:rPr>
        <w:t xml:space="preserve"> (Insurance Act), in relation to general insurers and authorised non-operating holding companies (authorised insurance NOHCs); and</w:t>
      </w:r>
    </w:p>
    <w:p w:rsidR="00AC6943" w:rsidRDefault="003C7875" w:rsidP="00AC6943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C6943">
        <w:rPr>
          <w:rFonts w:ascii="Times New Roman" w:hAnsi="Times New Roman"/>
          <w:sz w:val="24"/>
          <w:szCs w:val="24"/>
        </w:rPr>
        <w:t xml:space="preserve"> 230A(5) of the </w:t>
      </w:r>
      <w:r w:rsidR="00AC6943">
        <w:rPr>
          <w:rFonts w:ascii="Times New Roman" w:hAnsi="Times New Roman"/>
          <w:i/>
          <w:sz w:val="24"/>
          <w:szCs w:val="24"/>
        </w:rPr>
        <w:t xml:space="preserve">Life Insurance Act 1995 </w:t>
      </w:r>
      <w:r w:rsidR="00AC6943">
        <w:rPr>
          <w:rFonts w:ascii="Times New Roman" w:hAnsi="Times New Roman"/>
          <w:sz w:val="24"/>
          <w:szCs w:val="24"/>
        </w:rPr>
        <w:t>(Life Insurance Act), in relation to life companies (including friendly societies) and registered non-operating holding companies (registered life NOHCs).</w:t>
      </w:r>
    </w:p>
    <w:p w:rsidR="00AC6943" w:rsidRDefault="00AC6943" w:rsidP="00AC694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APRA may, in writing, determine a prudential standard that applies to </w:t>
      </w:r>
      <w:r w:rsidR="00A47D96">
        <w:rPr>
          <w:rFonts w:ascii="Times New Roman" w:hAnsi="Times New Roman"/>
          <w:sz w:val="24"/>
          <w:szCs w:val="24"/>
        </w:rPr>
        <w:t>an APRA-regulated institution under:</w:t>
      </w:r>
    </w:p>
    <w:p w:rsidR="00A47D96" w:rsidRDefault="003C7875" w:rsidP="00A47D96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47D96">
        <w:rPr>
          <w:rFonts w:ascii="Times New Roman" w:hAnsi="Times New Roman"/>
          <w:sz w:val="24"/>
          <w:szCs w:val="24"/>
        </w:rPr>
        <w:t xml:space="preserve"> 11AF(1) of the Banking Act, in relation to ADIs and authorised banking NOHCs;</w:t>
      </w:r>
    </w:p>
    <w:p w:rsidR="00A47D96" w:rsidRDefault="003C7875" w:rsidP="00A47D96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47D96">
        <w:rPr>
          <w:rFonts w:ascii="Times New Roman" w:hAnsi="Times New Roman"/>
          <w:sz w:val="24"/>
          <w:szCs w:val="24"/>
        </w:rPr>
        <w:t xml:space="preserve"> 32(1) of the Insurance Act, in relation to general insurers and authorised insurance NOHCs; and</w:t>
      </w:r>
    </w:p>
    <w:p w:rsidR="00A47D96" w:rsidRDefault="003C7875" w:rsidP="00A47D96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</w:t>
      </w:r>
      <w:r w:rsidR="00A47D96">
        <w:rPr>
          <w:rFonts w:ascii="Times New Roman" w:hAnsi="Times New Roman"/>
          <w:sz w:val="24"/>
          <w:szCs w:val="24"/>
        </w:rPr>
        <w:t xml:space="preserve"> 230A(1) of the Life Insurance Act, in relation to life companies (including friendly societies) and registered life NOHCs.</w:t>
      </w:r>
    </w:p>
    <w:p w:rsidR="00A47D96" w:rsidRPr="00A47D96" w:rsidRDefault="00A47D96" w:rsidP="00A47D96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F60B2" w:rsidRDefault="003F60B2" w:rsidP="003F60B2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0B48FB">
        <w:rPr>
          <w:rFonts w:ascii="Times New Roman" w:hAnsi="Times New Roman"/>
          <w:sz w:val="24"/>
          <w:szCs w:val="24"/>
        </w:rPr>
        <w:t>1 December</w:t>
      </w:r>
      <w:r>
        <w:rPr>
          <w:rFonts w:ascii="Times New Roman" w:hAnsi="Times New Roman"/>
          <w:sz w:val="24"/>
          <w:szCs w:val="24"/>
        </w:rPr>
        <w:t xml:space="preserve"> 2014, APRA made the following determinations (the instruments) under the relevant provisions of the </w:t>
      </w:r>
      <w:r w:rsidRPr="00835649">
        <w:rPr>
          <w:rFonts w:ascii="Times New Roman" w:hAnsi="Times New Roman"/>
          <w:sz w:val="24"/>
          <w:szCs w:val="24"/>
        </w:rPr>
        <w:t>Banking Act</w:t>
      </w:r>
      <w:r>
        <w:rPr>
          <w:rFonts w:ascii="Times New Roman" w:hAnsi="Times New Roman"/>
          <w:sz w:val="24"/>
          <w:szCs w:val="24"/>
        </w:rPr>
        <w:t>, Insurance Act and Life Insurance Act:</w:t>
      </w:r>
    </w:p>
    <w:p w:rsidR="003F60B2" w:rsidRDefault="003F60B2" w:rsidP="003F60B2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</w:p>
    <w:p w:rsidR="003F60B2" w:rsidRDefault="003F60B2" w:rsidP="003F60B2">
      <w:pPr>
        <w:pStyle w:val="ListParagraph"/>
        <w:numPr>
          <w:ilvl w:val="0"/>
          <w:numId w:val="12"/>
        </w:numPr>
        <w:spacing w:line="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Banking, Insurance and Life Insurance (prudential standard) determination No.</w:t>
      </w:r>
      <w:r w:rsidR="00941CD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of 2014, which revokes </w:t>
      </w:r>
      <w:r>
        <w:rPr>
          <w:rFonts w:ascii="Times New Roman" w:hAnsi="Times New Roman"/>
          <w:i/>
          <w:sz w:val="24"/>
          <w:szCs w:val="24"/>
        </w:rPr>
        <w:t xml:space="preserve">Prudential Standard GPS 220 Risk Management </w:t>
      </w:r>
      <w:r>
        <w:rPr>
          <w:rFonts w:ascii="Times New Roman" w:hAnsi="Times New Roman"/>
          <w:sz w:val="24"/>
          <w:szCs w:val="24"/>
        </w:rPr>
        <w:t xml:space="preserve">made on 30 November 2012 and </w:t>
      </w:r>
      <w:r>
        <w:rPr>
          <w:rFonts w:ascii="Times New Roman" w:hAnsi="Times New Roman"/>
          <w:i/>
          <w:sz w:val="24"/>
          <w:szCs w:val="24"/>
        </w:rPr>
        <w:t xml:space="preserve">Prudential Standard LPS 220 Risk Management </w:t>
      </w:r>
      <w:r>
        <w:rPr>
          <w:rFonts w:ascii="Times New Roman" w:hAnsi="Times New Roman"/>
          <w:sz w:val="24"/>
          <w:szCs w:val="24"/>
        </w:rPr>
        <w:t>made on 30 November 2012</w:t>
      </w:r>
      <w:r w:rsidR="00020162">
        <w:rPr>
          <w:rFonts w:ascii="Times New Roman" w:hAnsi="Times New Roman"/>
          <w:sz w:val="24"/>
          <w:szCs w:val="24"/>
        </w:rPr>
        <w:t xml:space="preserve">, and </w:t>
      </w:r>
      <w:r>
        <w:rPr>
          <w:rFonts w:ascii="Times New Roman" w:hAnsi="Times New Roman"/>
          <w:sz w:val="24"/>
          <w:szCs w:val="24"/>
        </w:rPr>
        <w:t>determines</w:t>
      </w:r>
      <w:r w:rsidR="00020162">
        <w:rPr>
          <w:rFonts w:ascii="Times New Roman" w:hAnsi="Times New Roman"/>
          <w:sz w:val="24"/>
          <w:szCs w:val="24"/>
        </w:rPr>
        <w:t xml:space="preserve"> </w:t>
      </w:r>
      <w:r w:rsidR="00020162">
        <w:rPr>
          <w:rFonts w:ascii="Times New Roman" w:hAnsi="Times New Roman"/>
          <w:i/>
          <w:sz w:val="24"/>
          <w:szCs w:val="24"/>
        </w:rPr>
        <w:t xml:space="preserve">Prudential Standard CPS 220 Risk Management </w:t>
      </w:r>
      <w:r w:rsidR="00020162">
        <w:rPr>
          <w:rFonts w:ascii="Times New Roman" w:hAnsi="Times New Roman"/>
          <w:sz w:val="24"/>
          <w:szCs w:val="24"/>
        </w:rPr>
        <w:t>(CPS 220)</w:t>
      </w:r>
      <w:r>
        <w:rPr>
          <w:rFonts w:ascii="Times New Roman" w:hAnsi="Times New Roman"/>
          <w:sz w:val="24"/>
          <w:szCs w:val="24"/>
        </w:rPr>
        <w:t>;</w:t>
      </w:r>
      <w:r w:rsidR="00B33BB3">
        <w:rPr>
          <w:rFonts w:ascii="Times New Roman" w:hAnsi="Times New Roman"/>
          <w:sz w:val="24"/>
          <w:szCs w:val="24"/>
        </w:rPr>
        <w:t xml:space="preserve"> and</w:t>
      </w:r>
    </w:p>
    <w:p w:rsidR="003F60B2" w:rsidRDefault="003F60B2" w:rsidP="003F60B2">
      <w:pPr>
        <w:pStyle w:val="ListParagraph"/>
        <w:spacing w:line="40" w:lineRule="atLeast"/>
        <w:jc w:val="both"/>
        <w:rPr>
          <w:rFonts w:ascii="Times New Roman" w:hAnsi="Times New Roman"/>
          <w:sz w:val="24"/>
          <w:szCs w:val="24"/>
        </w:rPr>
      </w:pPr>
    </w:p>
    <w:p w:rsidR="00B33BB3" w:rsidRPr="00A5253F" w:rsidRDefault="003F60B2" w:rsidP="00A5253F">
      <w:pPr>
        <w:pStyle w:val="ListParagraph"/>
        <w:numPr>
          <w:ilvl w:val="0"/>
          <w:numId w:val="12"/>
        </w:numPr>
        <w:spacing w:line="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Banking, Insurance and Life Insurance (prudential standard) determination No.</w:t>
      </w:r>
      <w:r w:rsidR="00941CDE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of 2014, which revokes </w:t>
      </w:r>
      <w:r w:rsidR="00020162">
        <w:rPr>
          <w:rFonts w:ascii="Times New Roman" w:hAnsi="Times New Roman"/>
          <w:i/>
          <w:sz w:val="24"/>
          <w:szCs w:val="24"/>
        </w:rPr>
        <w:t xml:space="preserve">Prudential Standard CPS 510 Governance </w:t>
      </w:r>
      <w:r w:rsidR="00020162">
        <w:rPr>
          <w:rFonts w:ascii="Times New Roman" w:hAnsi="Times New Roman"/>
          <w:sz w:val="24"/>
          <w:szCs w:val="24"/>
        </w:rPr>
        <w:t>(</w:t>
      </w:r>
      <w:r w:rsidR="00F25D54">
        <w:rPr>
          <w:rFonts w:ascii="Times New Roman" w:hAnsi="Times New Roman"/>
          <w:sz w:val="24"/>
          <w:szCs w:val="24"/>
        </w:rPr>
        <w:t xml:space="preserve">old </w:t>
      </w:r>
      <w:r>
        <w:rPr>
          <w:rFonts w:ascii="Times New Roman" w:hAnsi="Times New Roman"/>
          <w:sz w:val="24"/>
          <w:szCs w:val="24"/>
        </w:rPr>
        <w:t>CPS 510</w:t>
      </w:r>
      <w:r w:rsidR="000201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made on 30 November 2012 and determines a new </w:t>
      </w:r>
      <w:r w:rsidRPr="00FA3EFA">
        <w:rPr>
          <w:rFonts w:ascii="Times New Roman" w:hAnsi="Times New Roman"/>
          <w:i/>
          <w:sz w:val="24"/>
          <w:szCs w:val="24"/>
        </w:rPr>
        <w:t>CPS 510</w:t>
      </w:r>
      <w:r w:rsidR="00F25D54" w:rsidRPr="00FA3EFA">
        <w:rPr>
          <w:rFonts w:ascii="Times New Roman" w:hAnsi="Times New Roman"/>
          <w:i/>
          <w:sz w:val="24"/>
          <w:szCs w:val="24"/>
        </w:rPr>
        <w:t xml:space="preserve"> Governance </w:t>
      </w:r>
      <w:r w:rsidR="00F25D54">
        <w:rPr>
          <w:rFonts w:ascii="Times New Roman" w:hAnsi="Times New Roman"/>
          <w:sz w:val="24"/>
          <w:szCs w:val="24"/>
        </w:rPr>
        <w:t>(new CPS 510)</w:t>
      </w:r>
      <w:r>
        <w:rPr>
          <w:rFonts w:ascii="Times New Roman" w:hAnsi="Times New Roman"/>
          <w:sz w:val="24"/>
          <w:szCs w:val="24"/>
        </w:rPr>
        <w:t>.</w:t>
      </w:r>
    </w:p>
    <w:p w:rsidR="002436BD" w:rsidRDefault="00246723" w:rsidP="00A5253F">
      <w:pPr>
        <w:widowControl w:val="0"/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</w:t>
      </w:r>
      <w:r w:rsidR="00085C51">
        <w:rPr>
          <w:rFonts w:ascii="Times New Roman" w:hAnsi="Times New Roman"/>
          <w:sz w:val="24"/>
          <w:szCs w:val="24"/>
        </w:rPr>
        <w:t>s commence</w:t>
      </w:r>
      <w:r>
        <w:rPr>
          <w:rFonts w:ascii="Times New Roman" w:hAnsi="Times New Roman"/>
          <w:sz w:val="24"/>
          <w:szCs w:val="24"/>
        </w:rPr>
        <w:t xml:space="preserve"> </w:t>
      </w:r>
      <w:r w:rsidR="00B07796">
        <w:rPr>
          <w:rFonts w:ascii="Times New Roman" w:hAnsi="Times New Roman"/>
          <w:sz w:val="24"/>
          <w:szCs w:val="24"/>
        </w:rPr>
        <w:t>on 1 J</w:t>
      </w:r>
      <w:r w:rsidR="00085C51">
        <w:rPr>
          <w:rFonts w:ascii="Times New Roman" w:hAnsi="Times New Roman"/>
          <w:sz w:val="24"/>
          <w:szCs w:val="24"/>
        </w:rPr>
        <w:t>anuary 2015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</w:p>
    <w:p w:rsidR="00351408" w:rsidRPr="00E406B0" w:rsidRDefault="002436BD" w:rsidP="00E406B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:rsidR="00351408" w:rsidRPr="00E406B0" w:rsidRDefault="00351408" w:rsidP="00A5253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2"/>
        </w:rPr>
      </w:pPr>
      <w:r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APRA is committed to harmonising and consolidating its prudential standards across APRA-regulated industries, where appropriate. 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>APRA has already c</w:t>
      </w:r>
      <w:r w:rsidR="008D1DD5" w:rsidRPr="00E406B0">
        <w:rPr>
          <w:rFonts w:ascii="Times New Roman" w:eastAsia="Calibri" w:hAnsi="Times New Roman"/>
          <w:color w:val="000000"/>
          <w:sz w:val="24"/>
          <w:szCs w:val="22"/>
        </w:rPr>
        <w:t>o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>nsolidated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 xml:space="preserve"> a number of its ‘behavioural’ </w:t>
      </w:r>
      <w:r w:rsidR="008D1DD5" w:rsidRPr="00E406B0">
        <w:rPr>
          <w:rFonts w:ascii="Times New Roman" w:eastAsia="Calibri" w:hAnsi="Times New Roman"/>
          <w:color w:val="000000"/>
          <w:sz w:val="24"/>
          <w:szCs w:val="22"/>
        </w:rPr>
        <w:t>prudential standards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>, relating to</w:t>
      </w:r>
      <w:r w:rsidR="008D1DD5"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 outsourcing, business continuity management, governance, and fitness and propriety.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 xml:space="preserve"> These prudential standards apply eq</w:t>
      </w:r>
      <w:r w:rsidR="00CA50E8">
        <w:rPr>
          <w:rFonts w:ascii="Times New Roman" w:eastAsia="Calibri" w:hAnsi="Times New Roman"/>
          <w:color w:val="000000"/>
          <w:sz w:val="24"/>
          <w:szCs w:val="22"/>
        </w:rPr>
        <w:t>ually to ADIs, general insurers and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 xml:space="preserve"> life companies</w:t>
      </w:r>
      <w:r w:rsidR="00CA50E8">
        <w:rPr>
          <w:rFonts w:ascii="Times New Roman" w:eastAsia="Calibri" w:hAnsi="Times New Roman"/>
          <w:color w:val="000000"/>
          <w:sz w:val="24"/>
          <w:szCs w:val="22"/>
        </w:rPr>
        <w:t xml:space="preserve"> (‘insurers’)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 xml:space="preserve"> and authorised NOHCs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 xml:space="preserve"> (collectively </w:t>
      </w:r>
      <w:r w:rsidR="00CA50E8">
        <w:rPr>
          <w:rFonts w:ascii="Times New Roman" w:eastAsia="Calibri" w:hAnsi="Times New Roman"/>
          <w:color w:val="000000"/>
          <w:sz w:val="24"/>
          <w:szCs w:val="22"/>
        </w:rPr>
        <w:t>‘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>regulated institutions</w:t>
      </w:r>
      <w:r w:rsidR="00CA50E8">
        <w:rPr>
          <w:rFonts w:ascii="Times New Roman" w:eastAsia="Calibri" w:hAnsi="Times New Roman"/>
          <w:color w:val="000000"/>
          <w:sz w:val="24"/>
          <w:szCs w:val="22"/>
        </w:rPr>
        <w:t>’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>)</w:t>
      </w:r>
      <w:r w:rsidR="00E406B0">
        <w:rPr>
          <w:rFonts w:ascii="Times New Roman" w:eastAsia="Calibri" w:hAnsi="Times New Roman"/>
          <w:color w:val="000000"/>
          <w:sz w:val="24"/>
          <w:szCs w:val="22"/>
        </w:rPr>
        <w:t>.</w:t>
      </w:r>
    </w:p>
    <w:p w:rsidR="008D1DD5" w:rsidRPr="00E406B0" w:rsidRDefault="008D1DD5" w:rsidP="00F541FF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2"/>
        </w:rPr>
      </w:pPr>
    </w:p>
    <w:p w:rsidR="008D1DD5" w:rsidRPr="00E406B0" w:rsidRDefault="008D1DD5" w:rsidP="00F541FF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2"/>
        </w:rPr>
      </w:pPr>
      <w:r w:rsidRPr="00E406B0">
        <w:rPr>
          <w:rFonts w:ascii="Times New Roman" w:eastAsia="Calibri" w:hAnsi="Times New Roman"/>
          <w:color w:val="000000"/>
          <w:sz w:val="24"/>
          <w:szCs w:val="22"/>
        </w:rPr>
        <w:t>However, APRA’s requirements with regards to risk management were spread across multiple prudential standards, creating a number of issues:</w:t>
      </w:r>
    </w:p>
    <w:p w:rsidR="008D1DD5" w:rsidRPr="00E406B0" w:rsidRDefault="008D1DD5" w:rsidP="00F541FF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2"/>
        </w:rPr>
      </w:pPr>
    </w:p>
    <w:p w:rsidR="000852C3" w:rsidRPr="00E406B0" w:rsidRDefault="000852C3" w:rsidP="00E406B0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eastAsia="Calibri" w:hAnsi="Times New Roman"/>
          <w:color w:val="000000"/>
          <w:sz w:val="24"/>
          <w:szCs w:val="22"/>
        </w:rPr>
      </w:pPr>
      <w:r w:rsidRPr="00E406B0">
        <w:rPr>
          <w:rFonts w:ascii="Times New Roman" w:hAnsi="Times New Roman"/>
          <w:sz w:val="24"/>
          <w:szCs w:val="22"/>
        </w:rPr>
        <w:t>similar</w:t>
      </w:r>
      <w:r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 risks </w:t>
      </w:r>
      <w:r w:rsidR="008D1DD5" w:rsidRPr="00E406B0">
        <w:rPr>
          <w:rFonts w:ascii="Times New Roman" w:eastAsia="Calibri" w:hAnsi="Times New Roman"/>
          <w:color w:val="000000"/>
          <w:sz w:val="24"/>
          <w:szCs w:val="22"/>
        </w:rPr>
        <w:t>were</w:t>
      </w:r>
      <w:r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 treated in different ways depending on whether the institution 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>was</w:t>
      </w:r>
      <w:r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 an ADI</w:t>
      </w:r>
      <w:r w:rsidR="00E406B0"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 </w:t>
      </w:r>
      <w:r w:rsidR="00CA50E8">
        <w:rPr>
          <w:rFonts w:ascii="Times New Roman" w:eastAsia="Calibri" w:hAnsi="Times New Roman"/>
          <w:color w:val="000000"/>
          <w:sz w:val="24"/>
          <w:szCs w:val="22"/>
        </w:rPr>
        <w:t>or insurer</w:t>
      </w:r>
      <w:r w:rsidRPr="00E406B0">
        <w:rPr>
          <w:rFonts w:ascii="Times New Roman" w:eastAsia="Calibri" w:hAnsi="Times New Roman"/>
          <w:color w:val="000000"/>
          <w:sz w:val="24"/>
          <w:szCs w:val="22"/>
        </w:rPr>
        <w:t xml:space="preserve">; </w:t>
      </w:r>
    </w:p>
    <w:p w:rsidR="00E406B0" w:rsidRPr="00E406B0" w:rsidRDefault="000852C3" w:rsidP="00E406B0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2"/>
        </w:rPr>
      </w:pPr>
      <w:r w:rsidRPr="00E406B0">
        <w:rPr>
          <w:rFonts w:ascii="Times New Roman" w:hAnsi="Times New Roman"/>
          <w:sz w:val="24"/>
          <w:szCs w:val="22"/>
        </w:rPr>
        <w:t xml:space="preserve">the </w:t>
      </w:r>
      <w:r w:rsidR="008D1DD5" w:rsidRPr="00E406B0">
        <w:rPr>
          <w:rFonts w:ascii="Times New Roman" w:hAnsi="Times New Roman"/>
          <w:sz w:val="24"/>
          <w:szCs w:val="22"/>
        </w:rPr>
        <w:t>existing risk management</w:t>
      </w:r>
      <w:r w:rsidRPr="00E406B0">
        <w:rPr>
          <w:rFonts w:ascii="Times New Roman" w:hAnsi="Times New Roman"/>
          <w:sz w:val="24"/>
          <w:szCs w:val="22"/>
        </w:rPr>
        <w:t xml:space="preserve"> prudential standards d</w:t>
      </w:r>
      <w:r w:rsidR="008D1DD5" w:rsidRPr="00E406B0">
        <w:rPr>
          <w:rFonts w:ascii="Times New Roman" w:hAnsi="Times New Roman"/>
          <w:sz w:val="24"/>
          <w:szCs w:val="22"/>
        </w:rPr>
        <w:t>id</w:t>
      </w:r>
      <w:r w:rsidRPr="00E406B0">
        <w:rPr>
          <w:rFonts w:ascii="Times New Roman" w:hAnsi="Times New Roman"/>
          <w:sz w:val="24"/>
          <w:szCs w:val="22"/>
        </w:rPr>
        <w:t xml:space="preserve"> not reflect recent improvements in local and global risk management practices; </w:t>
      </w:r>
      <w:r w:rsidR="0016232B">
        <w:rPr>
          <w:rFonts w:ascii="Times New Roman" w:hAnsi="Times New Roman"/>
          <w:sz w:val="24"/>
          <w:szCs w:val="22"/>
        </w:rPr>
        <w:t>and</w:t>
      </w:r>
    </w:p>
    <w:p w:rsidR="000852C3" w:rsidRPr="00E406B0" w:rsidRDefault="008D1DD5" w:rsidP="00E406B0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2"/>
        </w:rPr>
      </w:pPr>
      <w:r w:rsidRPr="00E406B0">
        <w:rPr>
          <w:rFonts w:ascii="Times New Roman" w:hAnsi="Times New Roman"/>
          <w:sz w:val="24"/>
          <w:szCs w:val="22"/>
        </w:rPr>
        <w:t>without</w:t>
      </w:r>
      <w:r w:rsidR="000852C3" w:rsidRPr="00E406B0">
        <w:rPr>
          <w:rFonts w:ascii="Times New Roman" w:hAnsi="Times New Roman"/>
          <w:sz w:val="24"/>
          <w:szCs w:val="22"/>
        </w:rPr>
        <w:t xml:space="preserve"> harmonisation, </w:t>
      </w:r>
      <w:r w:rsidR="007E02A9">
        <w:rPr>
          <w:rFonts w:ascii="Times New Roman" w:hAnsi="Times New Roman"/>
          <w:sz w:val="24"/>
          <w:szCs w:val="22"/>
        </w:rPr>
        <w:t>there could have been</w:t>
      </w:r>
      <w:r w:rsidR="000852C3" w:rsidRPr="00E406B0">
        <w:rPr>
          <w:rFonts w:ascii="Times New Roman" w:hAnsi="Times New Roman"/>
          <w:sz w:val="24"/>
          <w:szCs w:val="22"/>
        </w:rPr>
        <w:t xml:space="preserve"> four near-identical </w:t>
      </w:r>
      <w:r w:rsidRPr="00E406B0">
        <w:rPr>
          <w:rFonts w:ascii="Times New Roman" w:hAnsi="Times New Roman"/>
          <w:sz w:val="24"/>
          <w:szCs w:val="22"/>
        </w:rPr>
        <w:t>industry</w:t>
      </w:r>
      <w:r w:rsidR="006B31EB">
        <w:rPr>
          <w:rFonts w:ascii="Times New Roman" w:hAnsi="Times New Roman"/>
          <w:sz w:val="24"/>
          <w:szCs w:val="22"/>
        </w:rPr>
        <w:t>-</w:t>
      </w:r>
      <w:r w:rsidRPr="00E406B0">
        <w:rPr>
          <w:rFonts w:ascii="Times New Roman" w:hAnsi="Times New Roman"/>
          <w:sz w:val="24"/>
          <w:szCs w:val="22"/>
        </w:rPr>
        <w:t xml:space="preserve">specific prudential </w:t>
      </w:r>
      <w:r w:rsidR="00E406B0" w:rsidRPr="00E406B0">
        <w:rPr>
          <w:rFonts w:ascii="Times New Roman" w:hAnsi="Times New Roman"/>
          <w:sz w:val="24"/>
          <w:szCs w:val="22"/>
        </w:rPr>
        <w:t>standards, where</w:t>
      </w:r>
      <w:r w:rsidR="000852C3" w:rsidRPr="00E406B0">
        <w:rPr>
          <w:rFonts w:ascii="Times New Roman" w:hAnsi="Times New Roman"/>
          <w:sz w:val="24"/>
          <w:szCs w:val="22"/>
        </w:rPr>
        <w:t xml:space="preserve"> one cross-industry standard would be more efficient. </w:t>
      </w:r>
    </w:p>
    <w:p w:rsidR="007172B7" w:rsidRDefault="004D3D2D" w:rsidP="00717AF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2"/>
        </w:rPr>
      </w:pPr>
      <w:r w:rsidRPr="004D3D2D">
        <w:rPr>
          <w:rFonts w:ascii="Times New Roman" w:eastAsia="Calibri" w:hAnsi="Times New Roman"/>
          <w:color w:val="000000"/>
          <w:sz w:val="24"/>
          <w:szCs w:val="22"/>
        </w:rPr>
        <w:t>To address these issues, APRA undertook a project to harmonise and enhance its risk management requirements to ensure that</w:t>
      </w:r>
      <w:r w:rsidR="00A5253F">
        <w:rPr>
          <w:rFonts w:ascii="Times New Roman" w:eastAsia="Calibri" w:hAnsi="Times New Roman"/>
          <w:color w:val="000000"/>
          <w:sz w:val="24"/>
          <w:szCs w:val="22"/>
        </w:rPr>
        <w:t>:</w:t>
      </w:r>
    </w:p>
    <w:p w:rsidR="004D3D2D" w:rsidRPr="004D3D2D" w:rsidRDefault="004D3D2D" w:rsidP="00717AF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2"/>
        </w:rPr>
      </w:pPr>
    </w:p>
    <w:p w:rsidR="002D6193" w:rsidRPr="004D3D2D" w:rsidRDefault="002D6193" w:rsidP="004D3D2D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eastAsia="Calibri" w:hAnsi="Times New Roman"/>
          <w:color w:val="000000"/>
          <w:sz w:val="24"/>
          <w:szCs w:val="22"/>
        </w:rPr>
      </w:pP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similar risks are treated in a similar way, whether the institution is an ADI </w:t>
      </w:r>
      <w:r w:rsidRPr="004D3D2D">
        <w:rPr>
          <w:rFonts w:ascii="Times New Roman" w:hAnsi="Times New Roman"/>
          <w:sz w:val="24"/>
          <w:szCs w:val="22"/>
        </w:rPr>
        <w:t>or</w:t>
      </w: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 insurer, or </w:t>
      </w:r>
      <w:r w:rsidR="007E02A9">
        <w:rPr>
          <w:rFonts w:ascii="Times New Roman" w:eastAsia="Calibri" w:hAnsi="Times New Roman"/>
          <w:color w:val="000000"/>
          <w:sz w:val="24"/>
          <w:szCs w:val="22"/>
        </w:rPr>
        <w:t xml:space="preserve">is a </w:t>
      </w: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stand-alone </w:t>
      </w:r>
      <w:r w:rsidR="007E02A9">
        <w:rPr>
          <w:rFonts w:ascii="Times New Roman" w:eastAsia="Calibri" w:hAnsi="Times New Roman"/>
          <w:color w:val="000000"/>
          <w:sz w:val="24"/>
          <w:szCs w:val="22"/>
        </w:rPr>
        <w:t xml:space="preserve">entity </w:t>
      </w: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or part of a group; </w:t>
      </w:r>
    </w:p>
    <w:p w:rsidR="002D6193" w:rsidRPr="004D3D2D" w:rsidRDefault="007E02A9" w:rsidP="004D3D2D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eastAsia="Calibri" w:hAnsi="Times New Roman"/>
          <w:color w:val="000000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consistent</w:t>
      </w:r>
      <w:r w:rsidR="002D6193"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 </w:t>
      </w:r>
      <w:r w:rsidR="00EF479E">
        <w:rPr>
          <w:rFonts w:ascii="Times New Roman" w:eastAsia="Calibri" w:hAnsi="Times New Roman"/>
          <w:color w:val="000000"/>
          <w:sz w:val="24"/>
          <w:szCs w:val="22"/>
        </w:rPr>
        <w:t xml:space="preserve">regulatory </w:t>
      </w:r>
      <w:r w:rsidR="002D6193"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language is </w:t>
      </w:r>
      <w:r>
        <w:rPr>
          <w:rFonts w:ascii="Times New Roman" w:eastAsia="Calibri" w:hAnsi="Times New Roman"/>
          <w:color w:val="000000"/>
          <w:sz w:val="24"/>
          <w:szCs w:val="22"/>
        </w:rPr>
        <w:t>used</w:t>
      </w:r>
      <w:r w:rsidR="002D6193"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 </w:t>
      </w:r>
      <w:r w:rsidR="002B0EDC">
        <w:rPr>
          <w:rFonts w:ascii="Times New Roman" w:eastAsia="Calibri" w:hAnsi="Times New Roman"/>
          <w:color w:val="000000"/>
          <w:sz w:val="24"/>
          <w:szCs w:val="22"/>
        </w:rPr>
        <w:t xml:space="preserve">in the prudential </w:t>
      </w:r>
      <w:r w:rsidR="002B0EDC" w:rsidRPr="0016232B">
        <w:rPr>
          <w:rFonts w:ascii="Times New Roman" w:eastAsia="Calibri" w:hAnsi="Times New Roman"/>
          <w:color w:val="000000"/>
          <w:sz w:val="24"/>
          <w:szCs w:val="22"/>
        </w:rPr>
        <w:t>standa</w:t>
      </w:r>
      <w:r w:rsidR="0016232B">
        <w:rPr>
          <w:rFonts w:ascii="Times New Roman" w:eastAsia="Calibri" w:hAnsi="Times New Roman"/>
          <w:color w:val="000000"/>
          <w:sz w:val="24"/>
          <w:szCs w:val="22"/>
        </w:rPr>
        <w:t>r</w:t>
      </w:r>
      <w:r w:rsidR="002B0EDC" w:rsidRPr="0016232B">
        <w:rPr>
          <w:rFonts w:ascii="Times New Roman" w:eastAsia="Calibri" w:hAnsi="Times New Roman"/>
          <w:color w:val="000000"/>
          <w:sz w:val="24"/>
          <w:szCs w:val="22"/>
        </w:rPr>
        <w:t>ds</w:t>
      </w:r>
      <w:r w:rsidR="002B0EDC">
        <w:rPr>
          <w:rFonts w:ascii="Times New Roman" w:eastAsia="Calibri" w:hAnsi="Times New Roman"/>
          <w:color w:val="000000"/>
          <w:sz w:val="24"/>
          <w:szCs w:val="22"/>
        </w:rPr>
        <w:t xml:space="preserve"> </w:t>
      </w:r>
      <w:r w:rsidR="002D6193"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and compliance with risk management requirements is simplified, particularly for groups that operate across regulated industries; and </w:t>
      </w:r>
    </w:p>
    <w:p w:rsidR="002D6193" w:rsidRPr="004D3D2D" w:rsidRDefault="002D6193" w:rsidP="004D3D2D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ascii="Times New Roman" w:eastAsia="Calibri" w:hAnsi="Times New Roman"/>
          <w:color w:val="000000"/>
          <w:sz w:val="24"/>
          <w:szCs w:val="22"/>
        </w:rPr>
      </w:pP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ADIs and insurers </w:t>
      </w:r>
      <w:r w:rsidR="00D5013E">
        <w:rPr>
          <w:rFonts w:ascii="Times New Roman" w:eastAsia="Calibri" w:hAnsi="Times New Roman"/>
          <w:color w:val="000000"/>
          <w:sz w:val="24"/>
          <w:szCs w:val="22"/>
        </w:rPr>
        <w:t xml:space="preserve">are required to </w:t>
      </w:r>
      <w:r w:rsidRPr="004D3D2D">
        <w:rPr>
          <w:rFonts w:ascii="Times New Roman" w:eastAsia="Calibri" w:hAnsi="Times New Roman"/>
          <w:color w:val="000000"/>
          <w:sz w:val="24"/>
          <w:szCs w:val="22"/>
        </w:rPr>
        <w:t xml:space="preserve">have sound risk management frameworks that reflect domestic and international best practice, ultimately to strengthen the interests of stakeholders and enhance the protection afforded to Australian depositors and/or policyholders. </w:t>
      </w:r>
    </w:p>
    <w:p w:rsidR="002436BD" w:rsidRDefault="002436BD" w:rsidP="00DF7DA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  <w:r w:rsidR="00FD646C">
        <w:rPr>
          <w:rFonts w:ascii="Times New Roman" w:hAnsi="Times New Roman"/>
          <w:sz w:val="24"/>
          <w:szCs w:val="24"/>
        </w:rPr>
        <w:t>s</w:t>
      </w:r>
    </w:p>
    <w:p w:rsidR="005E3E52" w:rsidRDefault="00FD646C" w:rsidP="003F3D18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bookmarkStart w:id="5" w:name="bkPurpose"/>
      <w:bookmarkEnd w:id="5"/>
      <w:r>
        <w:rPr>
          <w:rFonts w:ascii="Times New Roman" w:hAnsi="Times New Roman"/>
          <w:sz w:val="24"/>
          <w:szCs w:val="24"/>
        </w:rPr>
        <w:t>The purpose of making the</w:t>
      </w:r>
      <w:r w:rsidR="002D6193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instruments</w:t>
      </w:r>
      <w:r w:rsidR="001F485B">
        <w:rPr>
          <w:rFonts w:ascii="Times New Roman" w:hAnsi="Times New Roman"/>
          <w:sz w:val="24"/>
          <w:szCs w:val="24"/>
        </w:rPr>
        <w:t xml:space="preserve"> is</w:t>
      </w:r>
      <w:r w:rsidR="005E3E52">
        <w:rPr>
          <w:rFonts w:ascii="Times New Roman" w:hAnsi="Times New Roman"/>
          <w:sz w:val="24"/>
          <w:szCs w:val="24"/>
        </w:rPr>
        <w:t xml:space="preserve"> to harmonise and enhance risk management </w:t>
      </w:r>
      <w:r w:rsidR="00691E29">
        <w:rPr>
          <w:rFonts w:ascii="Times New Roman" w:hAnsi="Times New Roman"/>
          <w:sz w:val="24"/>
          <w:szCs w:val="24"/>
        </w:rPr>
        <w:t xml:space="preserve">and governance </w:t>
      </w:r>
      <w:r w:rsidR="005E3E52">
        <w:rPr>
          <w:rFonts w:ascii="Times New Roman" w:hAnsi="Times New Roman"/>
          <w:sz w:val="24"/>
          <w:szCs w:val="24"/>
        </w:rPr>
        <w:t xml:space="preserve">requirements for </w:t>
      </w:r>
      <w:r w:rsidR="00A5253F">
        <w:rPr>
          <w:rFonts w:ascii="Times New Roman" w:hAnsi="Times New Roman"/>
          <w:sz w:val="24"/>
          <w:szCs w:val="24"/>
        </w:rPr>
        <w:t>regulated institutions.</w:t>
      </w:r>
    </w:p>
    <w:p w:rsidR="005E3E52" w:rsidRDefault="005E3E52" w:rsidP="003F3D18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</w:p>
    <w:p w:rsidR="004D3D2D" w:rsidRDefault="005E3E52" w:rsidP="003F3D18">
      <w:pPr>
        <w:pStyle w:val="Pa2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One instrument</w:t>
      </w:r>
      <w:r w:rsidR="00F47E07">
        <w:rPr>
          <w:rFonts w:ascii="Times New Roman" w:hAnsi="Times New Roman"/>
        </w:rPr>
        <w:t xml:space="preserve"> </w:t>
      </w:r>
      <w:r w:rsidR="00F541FF">
        <w:rPr>
          <w:rFonts w:ascii="Times New Roman" w:hAnsi="Times New Roman"/>
        </w:rPr>
        <w:t xml:space="preserve">revokes existing industry specific risk management prudential standards for </w:t>
      </w:r>
      <w:r w:rsidR="00006F95">
        <w:rPr>
          <w:rFonts w:ascii="Times New Roman" w:hAnsi="Times New Roman"/>
        </w:rPr>
        <w:t xml:space="preserve">general </w:t>
      </w:r>
      <w:r w:rsidR="00CA50E8">
        <w:rPr>
          <w:rFonts w:ascii="Times New Roman" w:hAnsi="Times New Roman"/>
        </w:rPr>
        <w:t>insurers</w:t>
      </w:r>
      <w:r w:rsidR="00006F95">
        <w:rPr>
          <w:rFonts w:ascii="Times New Roman" w:hAnsi="Times New Roman"/>
        </w:rPr>
        <w:t>, authorised insurance NOHCs</w:t>
      </w:r>
      <w:r w:rsidR="00F541FF">
        <w:rPr>
          <w:rFonts w:ascii="Times New Roman" w:hAnsi="Times New Roman"/>
        </w:rPr>
        <w:t>,</w:t>
      </w:r>
      <w:r w:rsidR="00006F95">
        <w:rPr>
          <w:rFonts w:ascii="Times New Roman" w:hAnsi="Times New Roman"/>
        </w:rPr>
        <w:t xml:space="preserve"> life companies and </w:t>
      </w:r>
      <w:r w:rsidR="00006F95">
        <w:rPr>
          <w:rFonts w:ascii="Times New Roman" w:hAnsi="Times New Roman"/>
        </w:rPr>
        <w:lastRenderedPageBreak/>
        <w:t>registered life NOHCs</w:t>
      </w:r>
      <w:r w:rsidR="00F541FF">
        <w:rPr>
          <w:rFonts w:ascii="Times New Roman" w:hAnsi="Times New Roman"/>
        </w:rPr>
        <w:t xml:space="preserve"> and </w:t>
      </w:r>
      <w:r w:rsidR="00F47E07">
        <w:rPr>
          <w:rFonts w:ascii="Times New Roman" w:hAnsi="Times New Roman"/>
        </w:rPr>
        <w:t>determine</w:t>
      </w:r>
      <w:r>
        <w:rPr>
          <w:rFonts w:ascii="Times New Roman" w:hAnsi="Times New Roman"/>
        </w:rPr>
        <w:t>s</w:t>
      </w:r>
      <w:r w:rsidR="00F47E07">
        <w:rPr>
          <w:rFonts w:ascii="Times New Roman" w:hAnsi="Times New Roman"/>
        </w:rPr>
        <w:t xml:space="preserve"> </w:t>
      </w:r>
      <w:r w:rsidR="00F541FF">
        <w:rPr>
          <w:rFonts w:ascii="Times New Roman" w:hAnsi="Times New Roman"/>
        </w:rPr>
        <w:t>CPS 220</w:t>
      </w:r>
      <w:r w:rsidR="00F47E07">
        <w:rPr>
          <w:rFonts w:ascii="Times New Roman" w:hAnsi="Times New Roman"/>
        </w:rPr>
        <w:t xml:space="preserve">, </w:t>
      </w:r>
      <w:r w:rsidR="001F485B">
        <w:rPr>
          <w:rFonts w:ascii="Times New Roman" w:hAnsi="Times New Roman"/>
        </w:rPr>
        <w:t xml:space="preserve">a new </w:t>
      </w:r>
      <w:r w:rsidR="00FD646C">
        <w:rPr>
          <w:rFonts w:ascii="Times New Roman" w:hAnsi="Times New Roman"/>
        </w:rPr>
        <w:t>a cross-industry prudential standard</w:t>
      </w:r>
      <w:r w:rsidR="00006F95">
        <w:rPr>
          <w:rFonts w:ascii="Times New Roman" w:hAnsi="Times New Roman"/>
        </w:rPr>
        <w:t xml:space="preserve"> with respect to risk management</w:t>
      </w:r>
      <w:r w:rsidR="004D3D2D">
        <w:rPr>
          <w:rFonts w:ascii="Times New Roman" w:hAnsi="Times New Roman"/>
        </w:rPr>
        <w:t>.</w:t>
      </w:r>
      <w:r w:rsidR="001F485B">
        <w:rPr>
          <w:rFonts w:ascii="Times New Roman" w:hAnsi="Times New Roman"/>
        </w:rPr>
        <w:t xml:space="preserve"> </w:t>
      </w:r>
      <w:r w:rsidR="004D3D2D" w:rsidRPr="00085C51">
        <w:rPr>
          <w:rFonts w:ascii="Times New Roman" w:eastAsia="Times New Roman" w:hAnsi="Times New Roman"/>
        </w:rPr>
        <w:t xml:space="preserve">CPS 220 consolidates APRA’s existing risk management requirements for </w:t>
      </w:r>
      <w:r w:rsidR="00006F95">
        <w:rPr>
          <w:rFonts w:ascii="Times New Roman" w:eastAsia="Times New Roman" w:hAnsi="Times New Roman"/>
        </w:rPr>
        <w:t xml:space="preserve">general </w:t>
      </w:r>
      <w:r w:rsidR="00CA50E8">
        <w:rPr>
          <w:rFonts w:ascii="Times New Roman" w:eastAsia="Times New Roman" w:hAnsi="Times New Roman"/>
        </w:rPr>
        <w:t>insurers</w:t>
      </w:r>
      <w:r w:rsidR="004D3D2D">
        <w:rPr>
          <w:rFonts w:ascii="Times New Roman" w:eastAsia="Times New Roman" w:hAnsi="Times New Roman"/>
        </w:rPr>
        <w:t>,</w:t>
      </w:r>
      <w:r w:rsidR="004D3D2D" w:rsidRPr="00085C51">
        <w:rPr>
          <w:rFonts w:ascii="Times New Roman" w:eastAsia="Times New Roman" w:hAnsi="Times New Roman"/>
        </w:rPr>
        <w:t xml:space="preserve"> </w:t>
      </w:r>
      <w:r w:rsidR="00006F95">
        <w:rPr>
          <w:rFonts w:ascii="Times New Roman" w:hAnsi="Times New Roman"/>
        </w:rPr>
        <w:t>authorised insurance NOHCs, life companies and registered life NOHCs</w:t>
      </w:r>
      <w:r w:rsidR="00006F95">
        <w:rPr>
          <w:rFonts w:ascii="Times New Roman" w:eastAsia="Times New Roman" w:hAnsi="Times New Roman"/>
        </w:rPr>
        <w:t xml:space="preserve"> </w:t>
      </w:r>
      <w:r w:rsidR="004D3D2D">
        <w:rPr>
          <w:rFonts w:ascii="Times New Roman" w:eastAsia="Times New Roman" w:hAnsi="Times New Roman"/>
        </w:rPr>
        <w:t xml:space="preserve">and </w:t>
      </w:r>
      <w:r w:rsidR="004D3D2D" w:rsidRPr="00085C51">
        <w:rPr>
          <w:rFonts w:ascii="Times New Roman" w:eastAsia="Times New Roman" w:hAnsi="Times New Roman"/>
        </w:rPr>
        <w:t xml:space="preserve">replaces </w:t>
      </w:r>
      <w:r w:rsidR="00C44118">
        <w:rPr>
          <w:rFonts w:ascii="Times New Roman" w:eastAsia="Times New Roman" w:hAnsi="Times New Roman"/>
        </w:rPr>
        <w:t xml:space="preserve">and consolidates </w:t>
      </w:r>
      <w:r w:rsidR="004D3D2D" w:rsidRPr="00085C51">
        <w:rPr>
          <w:rFonts w:ascii="Times New Roman" w:eastAsia="Times New Roman" w:hAnsi="Times New Roman"/>
        </w:rPr>
        <w:t xml:space="preserve">ADI risk management requirements that were previously included in a number of ADI prudential standards. </w:t>
      </w:r>
    </w:p>
    <w:p w:rsidR="003F3D18" w:rsidRPr="003F3D18" w:rsidRDefault="003F3D18" w:rsidP="003F3D18"/>
    <w:p w:rsidR="004D3D2D" w:rsidRDefault="004D3D2D" w:rsidP="003F3D18">
      <w:pPr>
        <w:pStyle w:val="Pa2"/>
        <w:jc w:val="both"/>
        <w:rPr>
          <w:rFonts w:ascii="Times New Roman" w:eastAsia="Times New Roman" w:hAnsi="Times New Roman"/>
        </w:rPr>
      </w:pPr>
      <w:r w:rsidRPr="00085C51">
        <w:rPr>
          <w:rFonts w:ascii="Times New Roman" w:eastAsia="Times New Roman" w:hAnsi="Times New Roman"/>
        </w:rPr>
        <w:t>CPS 220 also includes a number of enhancements to APRA’s existing prudential requirements to reflect and make more explicit its heightened expectations in this area. In some respects</w:t>
      </w:r>
      <w:r>
        <w:rPr>
          <w:rFonts w:ascii="Times New Roman" w:eastAsia="Times New Roman" w:hAnsi="Times New Roman"/>
        </w:rPr>
        <w:t>,</w:t>
      </w:r>
      <w:r w:rsidRPr="00085C51">
        <w:rPr>
          <w:rFonts w:ascii="Times New Roman" w:eastAsia="Times New Roman" w:hAnsi="Times New Roman"/>
        </w:rPr>
        <w:t xml:space="preserve"> the enhancements underpin the improvements that have been made in risk management practices, locally and globally, in response to lessons learned in the global financial crisis.</w:t>
      </w:r>
      <w:r w:rsidRPr="007C7AB7">
        <w:rPr>
          <w:rFonts w:ascii="Times New Roman" w:eastAsia="Times New Roman" w:hAnsi="Times New Roman"/>
        </w:rPr>
        <w:t xml:space="preserve"> </w:t>
      </w:r>
    </w:p>
    <w:p w:rsidR="003F3D18" w:rsidRPr="003F3D18" w:rsidRDefault="003F3D18" w:rsidP="003F3D18"/>
    <w:p w:rsidR="007172B7" w:rsidRDefault="007C7AB7" w:rsidP="003F3D18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5E3E52">
        <w:rPr>
          <w:rFonts w:ascii="Times New Roman" w:hAnsi="Times New Roman"/>
          <w:sz w:val="24"/>
          <w:szCs w:val="24"/>
        </w:rPr>
        <w:t xml:space="preserve"> other instrument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F47E07">
        <w:rPr>
          <w:rFonts w:ascii="Times New Roman" w:hAnsi="Times New Roman"/>
          <w:sz w:val="24"/>
          <w:szCs w:val="24"/>
        </w:rPr>
        <w:t>revoke</w:t>
      </w:r>
      <w:r w:rsidR="005E3E52">
        <w:rPr>
          <w:rFonts w:ascii="Times New Roman" w:hAnsi="Times New Roman"/>
          <w:sz w:val="24"/>
          <w:szCs w:val="24"/>
        </w:rPr>
        <w:t>s</w:t>
      </w:r>
      <w:r w:rsidR="00F47E07">
        <w:rPr>
          <w:rFonts w:ascii="Times New Roman" w:hAnsi="Times New Roman"/>
          <w:sz w:val="24"/>
          <w:szCs w:val="24"/>
        </w:rPr>
        <w:t xml:space="preserve"> </w:t>
      </w:r>
      <w:r w:rsidR="00FA3EFA">
        <w:rPr>
          <w:rFonts w:ascii="Times New Roman" w:hAnsi="Times New Roman"/>
          <w:sz w:val="24"/>
          <w:szCs w:val="24"/>
        </w:rPr>
        <w:t xml:space="preserve">the </w:t>
      </w:r>
      <w:r w:rsidR="00691E29">
        <w:rPr>
          <w:rFonts w:ascii="Times New Roman" w:hAnsi="Times New Roman"/>
          <w:sz w:val="24"/>
          <w:szCs w:val="24"/>
        </w:rPr>
        <w:t xml:space="preserve">old CPS 510 </w:t>
      </w:r>
      <w:r w:rsidR="00F47E07">
        <w:rPr>
          <w:rFonts w:ascii="Times New Roman" w:hAnsi="Times New Roman"/>
          <w:sz w:val="24"/>
          <w:szCs w:val="24"/>
        </w:rPr>
        <w:t>and determine</w:t>
      </w:r>
      <w:r w:rsidR="005E3E52">
        <w:rPr>
          <w:rFonts w:ascii="Times New Roman" w:hAnsi="Times New Roman"/>
          <w:sz w:val="24"/>
          <w:szCs w:val="24"/>
        </w:rPr>
        <w:t>s</w:t>
      </w:r>
      <w:r w:rsidR="00F47E07">
        <w:rPr>
          <w:rFonts w:ascii="Times New Roman" w:hAnsi="Times New Roman"/>
          <w:sz w:val="24"/>
          <w:szCs w:val="24"/>
        </w:rPr>
        <w:t xml:space="preserve"> a new </w:t>
      </w:r>
      <w:r w:rsidR="00F541FF">
        <w:rPr>
          <w:rFonts w:ascii="Times New Roman" w:hAnsi="Times New Roman"/>
          <w:sz w:val="24"/>
          <w:szCs w:val="24"/>
        </w:rPr>
        <w:t>CPS 510</w:t>
      </w:r>
      <w:r w:rsidR="00A5253F">
        <w:rPr>
          <w:rFonts w:ascii="Times New Roman" w:hAnsi="Times New Roman"/>
          <w:sz w:val="24"/>
          <w:szCs w:val="24"/>
        </w:rPr>
        <w:t xml:space="preserve"> that</w:t>
      </w:r>
      <w:r w:rsidR="00F541FF">
        <w:rPr>
          <w:rFonts w:ascii="Times New Roman" w:hAnsi="Times New Roman"/>
          <w:sz w:val="24"/>
          <w:szCs w:val="24"/>
        </w:rPr>
        <w:t xml:space="preserve"> </w:t>
      </w:r>
      <w:r w:rsidR="00F47E07">
        <w:rPr>
          <w:rFonts w:ascii="Times New Roman" w:hAnsi="Times New Roman"/>
          <w:sz w:val="24"/>
          <w:szCs w:val="24"/>
        </w:rPr>
        <w:t>reflect</w:t>
      </w:r>
      <w:r w:rsidR="00A5253F">
        <w:rPr>
          <w:rFonts w:ascii="Times New Roman" w:hAnsi="Times New Roman"/>
          <w:sz w:val="24"/>
          <w:szCs w:val="24"/>
        </w:rPr>
        <w:t>s</w:t>
      </w:r>
      <w:r w:rsidR="00F47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new governance requirements resulting from </w:t>
      </w:r>
      <w:r w:rsidR="001B067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amended</w:t>
      </w:r>
      <w:r w:rsidR="00F00946">
        <w:rPr>
          <w:rFonts w:ascii="Times New Roman" w:hAnsi="Times New Roman"/>
          <w:sz w:val="24"/>
          <w:szCs w:val="24"/>
        </w:rPr>
        <w:t xml:space="preserve"> </w:t>
      </w:r>
      <w:r w:rsidR="00F47E07">
        <w:rPr>
          <w:rFonts w:ascii="Times New Roman" w:hAnsi="Times New Roman"/>
          <w:sz w:val="24"/>
          <w:szCs w:val="24"/>
        </w:rPr>
        <w:t>risk management</w:t>
      </w:r>
      <w:r w:rsidR="00F00946">
        <w:rPr>
          <w:rFonts w:ascii="Times New Roman" w:hAnsi="Times New Roman"/>
          <w:sz w:val="24"/>
          <w:szCs w:val="24"/>
        </w:rPr>
        <w:t xml:space="preserve"> requirements</w:t>
      </w:r>
      <w:r w:rsidR="00F47E07">
        <w:rPr>
          <w:rFonts w:ascii="Times New Roman" w:hAnsi="Times New Roman"/>
          <w:sz w:val="24"/>
          <w:szCs w:val="24"/>
        </w:rPr>
        <w:t>.</w:t>
      </w:r>
      <w:r w:rsidR="00CF0B40">
        <w:rPr>
          <w:rFonts w:ascii="Times New Roman" w:hAnsi="Times New Roman"/>
          <w:sz w:val="24"/>
          <w:szCs w:val="24"/>
        </w:rPr>
        <w:t xml:space="preserve"> </w:t>
      </w:r>
    </w:p>
    <w:p w:rsidR="00A5253F" w:rsidRDefault="00A5253F" w:rsidP="00C838BD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</w:p>
    <w:p w:rsidR="007172B7" w:rsidRPr="00ED779D" w:rsidRDefault="007172B7" w:rsidP="003F3D18">
      <w:pPr>
        <w:pStyle w:val="Pa2"/>
        <w:spacing w:after="240" w:line="240" w:lineRule="auto"/>
        <w:jc w:val="both"/>
        <w:rPr>
          <w:rFonts w:ascii="Times New Roman" w:eastAsia="Times New Roman" w:hAnsi="Times New Roman"/>
        </w:rPr>
      </w:pPr>
      <w:r w:rsidRPr="00ED779D">
        <w:rPr>
          <w:rFonts w:ascii="Times New Roman" w:eastAsia="Times New Roman" w:hAnsi="Times New Roman"/>
        </w:rPr>
        <w:t xml:space="preserve">The </w:t>
      </w:r>
      <w:r w:rsidR="00A5253F">
        <w:rPr>
          <w:rFonts w:ascii="Times New Roman" w:eastAsia="Times New Roman" w:hAnsi="Times New Roman"/>
        </w:rPr>
        <w:t>key aspects of the consolidation and enhancement of APRA’s</w:t>
      </w:r>
      <w:r w:rsidRPr="00ED779D">
        <w:rPr>
          <w:rFonts w:ascii="Times New Roman" w:eastAsia="Times New Roman" w:hAnsi="Times New Roman"/>
        </w:rPr>
        <w:t xml:space="preserve"> risk management </w:t>
      </w:r>
      <w:r w:rsidR="00C44118">
        <w:rPr>
          <w:rFonts w:ascii="Times New Roman" w:eastAsia="Times New Roman" w:hAnsi="Times New Roman"/>
        </w:rPr>
        <w:t xml:space="preserve">and governance </w:t>
      </w:r>
      <w:r w:rsidR="00A5253F">
        <w:rPr>
          <w:rFonts w:ascii="Times New Roman" w:eastAsia="Times New Roman" w:hAnsi="Times New Roman"/>
        </w:rPr>
        <w:t>requirements</w:t>
      </w:r>
      <w:r w:rsidRPr="00ED779D">
        <w:rPr>
          <w:rFonts w:ascii="Times New Roman" w:eastAsia="Times New Roman" w:hAnsi="Times New Roman"/>
        </w:rPr>
        <w:t xml:space="preserve"> are:</w:t>
      </w:r>
    </w:p>
    <w:p w:rsidR="007172B7" w:rsidRPr="00ED779D" w:rsidRDefault="007172B7" w:rsidP="003F3D18">
      <w:pPr>
        <w:pStyle w:val="ListParagraph"/>
        <w:widowControl w:val="0"/>
        <w:numPr>
          <w:ilvl w:val="0"/>
          <w:numId w:val="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779D">
        <w:rPr>
          <w:rFonts w:ascii="Times New Roman" w:hAnsi="Times New Roman"/>
          <w:sz w:val="24"/>
          <w:szCs w:val="24"/>
        </w:rPr>
        <w:t xml:space="preserve">the requirement that </w:t>
      </w:r>
      <w:r w:rsidR="00F36CA7">
        <w:rPr>
          <w:rFonts w:ascii="Times New Roman" w:hAnsi="Times New Roman"/>
          <w:sz w:val="24"/>
          <w:szCs w:val="24"/>
        </w:rPr>
        <w:t xml:space="preserve">regulated </w:t>
      </w:r>
      <w:r w:rsidRPr="00ED779D">
        <w:rPr>
          <w:rFonts w:ascii="Times New Roman" w:hAnsi="Times New Roman"/>
          <w:sz w:val="24"/>
          <w:szCs w:val="24"/>
        </w:rPr>
        <w:t>institutions have a Board Ri</w:t>
      </w:r>
      <w:r w:rsidR="00ED779D">
        <w:rPr>
          <w:rFonts w:ascii="Times New Roman" w:hAnsi="Times New Roman"/>
          <w:sz w:val="24"/>
          <w:szCs w:val="24"/>
        </w:rPr>
        <w:t>sk Committee that provides the b</w:t>
      </w:r>
      <w:r w:rsidRPr="00ED779D">
        <w:rPr>
          <w:rFonts w:ascii="Times New Roman" w:hAnsi="Times New Roman"/>
          <w:sz w:val="24"/>
          <w:szCs w:val="24"/>
        </w:rPr>
        <w:t>oard with objective non-executive oversight of the implementation and on-going operation of the</w:t>
      </w:r>
      <w:r w:rsidR="00F36CA7">
        <w:rPr>
          <w:rFonts w:ascii="Times New Roman" w:hAnsi="Times New Roman"/>
          <w:sz w:val="24"/>
          <w:szCs w:val="24"/>
        </w:rPr>
        <w:t xml:space="preserve"> regulated</w:t>
      </w:r>
      <w:r w:rsidRPr="00ED779D">
        <w:rPr>
          <w:rFonts w:ascii="Times New Roman" w:hAnsi="Times New Roman"/>
          <w:sz w:val="24"/>
          <w:szCs w:val="24"/>
        </w:rPr>
        <w:t xml:space="preserve"> institution’s risk management framework. This requirement </w:t>
      </w:r>
      <w:r w:rsidR="00F36CA7">
        <w:rPr>
          <w:rFonts w:ascii="Times New Roman" w:hAnsi="Times New Roman"/>
          <w:sz w:val="24"/>
          <w:szCs w:val="24"/>
        </w:rPr>
        <w:t>is located</w:t>
      </w:r>
      <w:r w:rsidR="00F541FF">
        <w:rPr>
          <w:rFonts w:ascii="Times New Roman" w:hAnsi="Times New Roman"/>
          <w:sz w:val="24"/>
          <w:szCs w:val="24"/>
        </w:rPr>
        <w:t xml:space="preserve"> in the </w:t>
      </w:r>
      <w:r w:rsidR="00691E29">
        <w:rPr>
          <w:rFonts w:ascii="Times New Roman" w:hAnsi="Times New Roman"/>
          <w:sz w:val="24"/>
          <w:szCs w:val="24"/>
        </w:rPr>
        <w:t>new</w:t>
      </w:r>
      <w:r w:rsidR="00F541FF">
        <w:rPr>
          <w:rFonts w:ascii="Times New Roman" w:hAnsi="Times New Roman"/>
          <w:sz w:val="24"/>
          <w:szCs w:val="24"/>
        </w:rPr>
        <w:t xml:space="preserve"> CPS 510;</w:t>
      </w:r>
    </w:p>
    <w:p w:rsidR="007172B7" w:rsidRPr="002D6193" w:rsidRDefault="007172B7" w:rsidP="007172B7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cs="Today SB"/>
          <w:color w:val="000000"/>
          <w:szCs w:val="22"/>
        </w:rPr>
      </w:pPr>
      <w:r w:rsidRPr="002D6193">
        <w:rPr>
          <w:rFonts w:ascii="Times New Roman" w:hAnsi="Times New Roman"/>
          <w:sz w:val="24"/>
          <w:szCs w:val="24"/>
        </w:rPr>
        <w:t xml:space="preserve">the requirement that </w:t>
      </w:r>
      <w:r w:rsidR="00F36CA7" w:rsidRPr="002D6193">
        <w:rPr>
          <w:rFonts w:ascii="Times New Roman" w:hAnsi="Times New Roman"/>
          <w:sz w:val="24"/>
          <w:szCs w:val="24"/>
        </w:rPr>
        <w:t xml:space="preserve">regulated </w:t>
      </w:r>
      <w:r w:rsidRPr="002D6193">
        <w:rPr>
          <w:rFonts w:ascii="Times New Roman" w:hAnsi="Times New Roman"/>
          <w:sz w:val="24"/>
          <w:szCs w:val="24"/>
        </w:rPr>
        <w:t xml:space="preserve">institutions designate a Chief Risk Officer (CRO) who is involved in, and provides effective challenge to, activities and decisions that may materially affect the risk profile of the </w:t>
      </w:r>
      <w:r w:rsidR="00F36CA7" w:rsidRPr="002D6193">
        <w:rPr>
          <w:rFonts w:ascii="Times New Roman" w:hAnsi="Times New Roman"/>
          <w:sz w:val="24"/>
          <w:szCs w:val="24"/>
        </w:rPr>
        <w:t xml:space="preserve">regulated </w:t>
      </w:r>
      <w:r w:rsidR="002D6193">
        <w:rPr>
          <w:rFonts w:ascii="Times New Roman" w:hAnsi="Times New Roman"/>
          <w:sz w:val="24"/>
          <w:szCs w:val="24"/>
        </w:rPr>
        <w:t>institution;</w:t>
      </w:r>
      <w:r w:rsidR="00F541FF">
        <w:rPr>
          <w:rFonts w:ascii="Times New Roman" w:hAnsi="Times New Roman"/>
          <w:sz w:val="24"/>
          <w:szCs w:val="24"/>
        </w:rPr>
        <w:t xml:space="preserve"> and</w:t>
      </w:r>
    </w:p>
    <w:p w:rsidR="002D6193" w:rsidRPr="002D6193" w:rsidRDefault="00FC3405" w:rsidP="007172B7">
      <w:pPr>
        <w:pStyle w:val="ListParagraph"/>
        <w:widowControl w:val="0"/>
        <w:numPr>
          <w:ilvl w:val="0"/>
          <w:numId w:val="9"/>
        </w:numPr>
        <w:spacing w:after="240"/>
        <w:jc w:val="both"/>
        <w:rPr>
          <w:rFonts w:cs="Today SB"/>
          <w:color w:val="000000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enhancements to the prudential standards that </w:t>
      </w:r>
      <w:r w:rsidR="002D6193">
        <w:rPr>
          <w:rFonts w:ascii="Times New Roman" w:hAnsi="Times New Roman"/>
          <w:sz w:val="24"/>
          <w:szCs w:val="24"/>
        </w:rPr>
        <w:t xml:space="preserve">clarify the role of </w:t>
      </w:r>
      <w:r w:rsidR="00F541FF">
        <w:rPr>
          <w:rFonts w:ascii="Times New Roman" w:hAnsi="Times New Roman"/>
          <w:sz w:val="24"/>
          <w:szCs w:val="24"/>
        </w:rPr>
        <w:t xml:space="preserve">the </w:t>
      </w:r>
      <w:r w:rsidR="002D6193">
        <w:rPr>
          <w:rFonts w:ascii="Times New Roman" w:hAnsi="Times New Roman"/>
          <w:sz w:val="24"/>
          <w:szCs w:val="24"/>
        </w:rPr>
        <w:t>board and senior management</w:t>
      </w:r>
      <w:r w:rsidR="00F541FF">
        <w:rPr>
          <w:rFonts w:ascii="Times New Roman" w:hAnsi="Times New Roman"/>
          <w:sz w:val="24"/>
          <w:szCs w:val="24"/>
        </w:rPr>
        <w:t xml:space="preserve"> with regards to risk management requirements.</w:t>
      </w:r>
    </w:p>
    <w:p w:rsidR="002436BD" w:rsidRDefault="002436BD" w:rsidP="00DF7DA0">
      <w:pPr>
        <w:pStyle w:val="Head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t>Consultation</w:t>
      </w:r>
    </w:p>
    <w:p w:rsidR="00914F06" w:rsidRDefault="00914F06" w:rsidP="00914F06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undertook consultation on the proposed changes to </w:t>
      </w:r>
      <w:r w:rsidR="008D324D">
        <w:rPr>
          <w:rFonts w:ascii="Times New Roman" w:hAnsi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sz w:val="24"/>
          <w:szCs w:val="24"/>
        </w:rPr>
        <w:t>risk management</w:t>
      </w:r>
      <w:r w:rsidR="008D324D">
        <w:rPr>
          <w:rFonts w:ascii="Times New Roman" w:hAnsi="Times New Roman"/>
          <w:b w:val="0"/>
          <w:sz w:val="24"/>
          <w:szCs w:val="24"/>
        </w:rPr>
        <w:t xml:space="preserve"> </w:t>
      </w:r>
      <w:r w:rsidR="00FA3EFA">
        <w:rPr>
          <w:rFonts w:ascii="Times New Roman" w:hAnsi="Times New Roman"/>
          <w:b w:val="0"/>
          <w:sz w:val="24"/>
          <w:szCs w:val="24"/>
        </w:rPr>
        <w:t xml:space="preserve">and governance </w:t>
      </w:r>
      <w:r w:rsidR="008D324D">
        <w:rPr>
          <w:rFonts w:ascii="Times New Roman" w:hAnsi="Times New Roman"/>
          <w:b w:val="0"/>
          <w:sz w:val="24"/>
          <w:szCs w:val="24"/>
        </w:rPr>
        <w:t xml:space="preserve">requirements between May 2013 and </w:t>
      </w:r>
      <w:r w:rsidR="000852C3">
        <w:rPr>
          <w:rFonts w:ascii="Times New Roman" w:hAnsi="Times New Roman"/>
          <w:b w:val="0"/>
          <w:sz w:val="24"/>
          <w:szCs w:val="24"/>
        </w:rPr>
        <w:t xml:space="preserve">November </w:t>
      </w:r>
      <w:r w:rsidR="008D324D">
        <w:rPr>
          <w:rFonts w:ascii="Times New Roman" w:hAnsi="Times New Roman"/>
          <w:b w:val="0"/>
          <w:sz w:val="24"/>
          <w:szCs w:val="24"/>
        </w:rPr>
        <w:t>2014, including four rounds of consultation.</w:t>
      </w:r>
    </w:p>
    <w:p w:rsidR="00914F06" w:rsidRDefault="00914F06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May 2013 - Discussion Paper ‘Harmonising cross-industry risk management requirements’</w:t>
      </w:r>
      <w:r w:rsidR="005C5CCB">
        <w:rPr>
          <w:rFonts w:ascii="Times New Roman" w:hAnsi="Times New Roman"/>
          <w:b w:val="0"/>
          <w:sz w:val="24"/>
          <w:szCs w:val="24"/>
        </w:rPr>
        <w:t xml:space="preserve"> – initial consultation</w:t>
      </w:r>
      <w:r w:rsidR="008D324D">
        <w:rPr>
          <w:rFonts w:ascii="Times New Roman" w:hAnsi="Times New Roman"/>
          <w:b w:val="0"/>
          <w:sz w:val="24"/>
          <w:szCs w:val="24"/>
        </w:rPr>
        <w:t xml:space="preserve"> on cross-industry risk management requirements, setting out APRA’s proposed approach to harmonising, consolidating and enhancing a number </w:t>
      </w:r>
      <w:r w:rsidR="00FC3405">
        <w:rPr>
          <w:rFonts w:ascii="Times New Roman" w:hAnsi="Times New Roman"/>
          <w:b w:val="0"/>
          <w:sz w:val="24"/>
          <w:szCs w:val="24"/>
        </w:rPr>
        <w:t>of risk management requirements. This consultation was</w:t>
      </w:r>
      <w:r w:rsidR="008D324D">
        <w:rPr>
          <w:rFonts w:ascii="Times New Roman" w:hAnsi="Times New Roman"/>
          <w:b w:val="0"/>
          <w:sz w:val="24"/>
          <w:szCs w:val="24"/>
        </w:rPr>
        <w:t xml:space="preserve"> paired with draft</w:t>
      </w:r>
      <w:r w:rsidR="00FC3405">
        <w:rPr>
          <w:rFonts w:ascii="Times New Roman" w:hAnsi="Times New Roman"/>
          <w:b w:val="0"/>
          <w:sz w:val="24"/>
          <w:szCs w:val="24"/>
        </w:rPr>
        <w:t>s of</w:t>
      </w:r>
      <w:r w:rsidR="008D324D">
        <w:rPr>
          <w:rFonts w:ascii="Times New Roman" w:hAnsi="Times New Roman"/>
          <w:b w:val="0"/>
          <w:sz w:val="24"/>
          <w:szCs w:val="24"/>
        </w:rPr>
        <w:t xml:space="preserve"> CPS 220 and CPS 510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914F06" w:rsidRDefault="00914F06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January 2014 – Response to Submissions ‘Harmonising cross-industry risk management requirements</w:t>
      </w:r>
      <w:r w:rsidR="00180655">
        <w:rPr>
          <w:rFonts w:ascii="Times New Roman" w:hAnsi="Times New Roman"/>
          <w:b w:val="0"/>
          <w:sz w:val="24"/>
          <w:szCs w:val="24"/>
        </w:rPr>
        <w:t>’</w:t>
      </w:r>
      <w:r w:rsidR="005C5CCB">
        <w:rPr>
          <w:rFonts w:ascii="Times New Roman" w:hAnsi="Times New Roman"/>
          <w:b w:val="0"/>
          <w:sz w:val="24"/>
          <w:szCs w:val="24"/>
        </w:rPr>
        <w:t xml:space="preserve"> – </w:t>
      </w:r>
      <w:r w:rsidR="008D324D">
        <w:rPr>
          <w:rFonts w:ascii="Times New Roman" w:hAnsi="Times New Roman"/>
          <w:b w:val="0"/>
          <w:sz w:val="24"/>
          <w:szCs w:val="24"/>
        </w:rPr>
        <w:t>APRA’</w:t>
      </w:r>
      <w:r w:rsidR="00A61C29">
        <w:rPr>
          <w:rFonts w:ascii="Times New Roman" w:hAnsi="Times New Roman"/>
          <w:b w:val="0"/>
          <w:sz w:val="24"/>
          <w:szCs w:val="24"/>
        </w:rPr>
        <w:t>s response</w:t>
      </w:r>
      <w:r w:rsidR="008D324D">
        <w:rPr>
          <w:rFonts w:ascii="Times New Roman" w:hAnsi="Times New Roman"/>
          <w:b w:val="0"/>
          <w:sz w:val="24"/>
          <w:szCs w:val="24"/>
        </w:rPr>
        <w:t xml:space="preserve"> to submissions received</w:t>
      </w:r>
      <w:r w:rsidR="00180655">
        <w:rPr>
          <w:rFonts w:ascii="Times New Roman" w:hAnsi="Times New Roman"/>
          <w:b w:val="0"/>
          <w:sz w:val="24"/>
          <w:szCs w:val="24"/>
        </w:rPr>
        <w:t xml:space="preserve"> on the proposed cross-industry risk management requirements, combined with </w:t>
      </w:r>
      <w:r w:rsidR="005C5CCB">
        <w:rPr>
          <w:rFonts w:ascii="Times New Roman" w:hAnsi="Times New Roman"/>
          <w:b w:val="0"/>
          <w:sz w:val="24"/>
          <w:szCs w:val="24"/>
        </w:rPr>
        <w:t>final version</w:t>
      </w:r>
      <w:r w:rsidR="00180655">
        <w:rPr>
          <w:rFonts w:ascii="Times New Roman" w:hAnsi="Times New Roman"/>
          <w:b w:val="0"/>
          <w:sz w:val="24"/>
          <w:szCs w:val="24"/>
        </w:rPr>
        <w:t>s</w:t>
      </w:r>
      <w:r w:rsidR="005C5CCB">
        <w:rPr>
          <w:rFonts w:ascii="Times New Roman" w:hAnsi="Times New Roman"/>
          <w:b w:val="0"/>
          <w:sz w:val="24"/>
          <w:szCs w:val="24"/>
        </w:rPr>
        <w:t xml:space="preserve"> of CPS 220</w:t>
      </w:r>
      <w:r w:rsidR="00180655">
        <w:rPr>
          <w:rFonts w:ascii="Times New Roman" w:hAnsi="Times New Roman"/>
          <w:b w:val="0"/>
          <w:sz w:val="24"/>
          <w:szCs w:val="24"/>
        </w:rPr>
        <w:t xml:space="preserve"> and CPS 510</w:t>
      </w:r>
      <w:r w:rsidR="00E17658">
        <w:rPr>
          <w:rFonts w:ascii="Times New Roman" w:hAnsi="Times New Roman"/>
          <w:b w:val="0"/>
          <w:sz w:val="24"/>
          <w:szCs w:val="24"/>
        </w:rPr>
        <w:t xml:space="preserve">. APRA also released </w:t>
      </w:r>
      <w:r w:rsidR="00A61C29">
        <w:rPr>
          <w:rFonts w:ascii="Times New Roman" w:hAnsi="Times New Roman"/>
          <w:b w:val="0"/>
          <w:sz w:val="24"/>
          <w:szCs w:val="24"/>
        </w:rPr>
        <w:t>draft CPG 220</w:t>
      </w:r>
      <w:r w:rsidR="00E17658">
        <w:rPr>
          <w:rFonts w:ascii="Times New Roman" w:hAnsi="Times New Roman"/>
          <w:b w:val="0"/>
          <w:sz w:val="24"/>
          <w:szCs w:val="24"/>
        </w:rPr>
        <w:t xml:space="preserve"> for consultation</w:t>
      </w:r>
      <w:r w:rsidR="00180655">
        <w:rPr>
          <w:rFonts w:ascii="Times New Roman" w:hAnsi="Times New Roman"/>
          <w:b w:val="0"/>
          <w:sz w:val="24"/>
          <w:szCs w:val="24"/>
        </w:rPr>
        <w:t>;</w:t>
      </w:r>
    </w:p>
    <w:p w:rsidR="00914F06" w:rsidRDefault="00E13BB1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May 2014 – Letter to industry ‘Risk Management’</w:t>
      </w:r>
      <w:r w:rsidR="005C5CCB">
        <w:rPr>
          <w:rFonts w:ascii="Times New Roman" w:hAnsi="Times New Roman"/>
          <w:b w:val="0"/>
          <w:sz w:val="24"/>
          <w:szCs w:val="24"/>
        </w:rPr>
        <w:t xml:space="preserve"> </w:t>
      </w:r>
      <w:r w:rsidR="00180655">
        <w:rPr>
          <w:rFonts w:ascii="Times New Roman" w:hAnsi="Times New Roman"/>
          <w:b w:val="0"/>
          <w:sz w:val="24"/>
          <w:szCs w:val="24"/>
        </w:rPr>
        <w:t>–</w:t>
      </w:r>
      <w:r w:rsidR="005C5CCB">
        <w:rPr>
          <w:rFonts w:ascii="Times New Roman" w:hAnsi="Times New Roman"/>
          <w:b w:val="0"/>
          <w:sz w:val="24"/>
          <w:szCs w:val="24"/>
        </w:rPr>
        <w:t xml:space="preserve"> </w:t>
      </w:r>
      <w:r w:rsidR="00A61C29">
        <w:rPr>
          <w:rFonts w:ascii="Times New Roman" w:hAnsi="Times New Roman"/>
          <w:b w:val="0"/>
          <w:sz w:val="24"/>
          <w:szCs w:val="24"/>
        </w:rPr>
        <w:t>letter clarif</w:t>
      </w:r>
      <w:r w:rsidR="00743DF9">
        <w:rPr>
          <w:rFonts w:ascii="Times New Roman" w:hAnsi="Times New Roman"/>
          <w:b w:val="0"/>
          <w:sz w:val="24"/>
          <w:szCs w:val="24"/>
        </w:rPr>
        <w:t>ying</w:t>
      </w:r>
      <w:r w:rsidR="00A61C29">
        <w:rPr>
          <w:rFonts w:ascii="Times New Roman" w:hAnsi="Times New Roman"/>
          <w:b w:val="0"/>
          <w:sz w:val="24"/>
          <w:szCs w:val="24"/>
        </w:rPr>
        <w:t xml:space="preserve"> APRA’s intent</w:t>
      </w:r>
      <w:r w:rsidR="00A74C42">
        <w:rPr>
          <w:rFonts w:ascii="Times New Roman" w:hAnsi="Times New Roman"/>
          <w:b w:val="0"/>
          <w:sz w:val="24"/>
          <w:szCs w:val="24"/>
        </w:rPr>
        <w:t xml:space="preserve"> regarding</w:t>
      </w:r>
      <w:r w:rsidR="002C6CAA">
        <w:rPr>
          <w:rFonts w:ascii="Times New Roman" w:hAnsi="Times New Roman"/>
          <w:b w:val="0"/>
          <w:sz w:val="24"/>
          <w:szCs w:val="24"/>
        </w:rPr>
        <w:t xml:space="preserve"> specific </w:t>
      </w:r>
      <w:r w:rsidR="00E17658">
        <w:rPr>
          <w:rFonts w:ascii="Times New Roman" w:hAnsi="Times New Roman"/>
          <w:b w:val="0"/>
          <w:sz w:val="24"/>
          <w:szCs w:val="24"/>
        </w:rPr>
        <w:t xml:space="preserve">aspects of draft CPG 220 </w:t>
      </w:r>
      <w:r w:rsidR="00EB55AC">
        <w:rPr>
          <w:rFonts w:ascii="Times New Roman" w:hAnsi="Times New Roman"/>
          <w:b w:val="0"/>
          <w:sz w:val="24"/>
          <w:szCs w:val="24"/>
        </w:rPr>
        <w:t>that also resulted in</w:t>
      </w:r>
      <w:r w:rsidR="00E17658">
        <w:rPr>
          <w:rFonts w:ascii="Times New Roman" w:hAnsi="Times New Roman"/>
          <w:b w:val="0"/>
          <w:sz w:val="24"/>
          <w:szCs w:val="24"/>
        </w:rPr>
        <w:t xml:space="preserve"> consequential changes to the final version of CPS 220. APRA requested comments on the proposed refinements to be considered in the finalisation of CPG 220;</w:t>
      </w:r>
    </w:p>
    <w:p w:rsidR="00A61C29" w:rsidRDefault="00180655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August 2014 – Response to Submissions ‘Supervision of conglomerate groups –</w:t>
      </w:r>
      <w:r w:rsidR="00EB55AC">
        <w:rPr>
          <w:rFonts w:ascii="Times New Roman" w:hAnsi="Times New Roman"/>
          <w:b w:val="0"/>
          <w:sz w:val="24"/>
          <w:szCs w:val="24"/>
        </w:rPr>
        <w:t xml:space="preserve"> 3.</w:t>
      </w:r>
      <w:r>
        <w:rPr>
          <w:rFonts w:ascii="Times New Roman" w:hAnsi="Times New Roman"/>
          <w:b w:val="0"/>
          <w:sz w:val="24"/>
          <w:szCs w:val="24"/>
        </w:rPr>
        <w:t xml:space="preserve"> Prudential standards and draft guidance’ </w:t>
      </w:r>
      <w:r w:rsidR="00717AF9">
        <w:rPr>
          <w:rFonts w:ascii="Times New Roman" w:hAnsi="Times New Roman"/>
          <w:b w:val="0"/>
          <w:sz w:val="24"/>
          <w:szCs w:val="24"/>
        </w:rPr>
        <w:t>–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17AF9">
        <w:rPr>
          <w:rFonts w:ascii="Times New Roman" w:hAnsi="Times New Roman"/>
          <w:b w:val="0"/>
          <w:sz w:val="24"/>
          <w:szCs w:val="24"/>
        </w:rPr>
        <w:t>APRA’</w:t>
      </w:r>
      <w:r w:rsidR="00A61C29">
        <w:rPr>
          <w:rFonts w:ascii="Times New Roman" w:hAnsi="Times New Roman"/>
          <w:b w:val="0"/>
          <w:sz w:val="24"/>
          <w:szCs w:val="24"/>
        </w:rPr>
        <w:t>s response</w:t>
      </w:r>
      <w:r w:rsidR="00717AF9">
        <w:rPr>
          <w:rFonts w:ascii="Times New Roman" w:hAnsi="Times New Roman"/>
          <w:b w:val="0"/>
          <w:sz w:val="24"/>
          <w:szCs w:val="24"/>
        </w:rPr>
        <w:t xml:space="preserve"> to submissions received on</w:t>
      </w:r>
      <w:r w:rsidR="00A61C29">
        <w:rPr>
          <w:rFonts w:ascii="Times New Roman" w:hAnsi="Times New Roman"/>
          <w:b w:val="0"/>
          <w:sz w:val="24"/>
          <w:szCs w:val="24"/>
        </w:rPr>
        <w:t xml:space="preserve"> the</w:t>
      </w:r>
      <w:r w:rsidR="00717AF9">
        <w:rPr>
          <w:rFonts w:ascii="Times New Roman" w:hAnsi="Times New Roman"/>
          <w:b w:val="0"/>
          <w:sz w:val="24"/>
          <w:szCs w:val="24"/>
        </w:rPr>
        <w:t xml:space="preserve"> draft Level 3 framework prudential standards, including </w:t>
      </w:r>
      <w:r w:rsidR="00A61C29">
        <w:rPr>
          <w:rFonts w:ascii="Times New Roman" w:hAnsi="Times New Roman"/>
          <w:b w:val="0"/>
          <w:sz w:val="24"/>
          <w:szCs w:val="24"/>
        </w:rPr>
        <w:t xml:space="preserve">an </w:t>
      </w:r>
      <w:r w:rsidR="00717AF9">
        <w:rPr>
          <w:rFonts w:ascii="Times New Roman" w:hAnsi="Times New Roman"/>
          <w:b w:val="0"/>
          <w:sz w:val="24"/>
          <w:szCs w:val="24"/>
        </w:rPr>
        <w:t xml:space="preserve">updated </w:t>
      </w:r>
      <w:r w:rsidR="00A61C29">
        <w:rPr>
          <w:rFonts w:ascii="Times New Roman" w:hAnsi="Times New Roman"/>
          <w:b w:val="0"/>
          <w:sz w:val="24"/>
          <w:szCs w:val="24"/>
        </w:rPr>
        <w:t>version of CPS 510 incorporating Level 3 specific aspects;</w:t>
      </w:r>
    </w:p>
    <w:p w:rsidR="005C5CCB" w:rsidRDefault="005C5CCB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October 2014 – Letter to industry ‘CPS 220 Risk Management / CPG 220 Risk Management’</w:t>
      </w:r>
      <w:r w:rsidR="00EB55AC">
        <w:rPr>
          <w:rFonts w:ascii="Times New Roman" w:hAnsi="Times New Roman"/>
          <w:b w:val="0"/>
          <w:sz w:val="24"/>
          <w:szCs w:val="24"/>
        </w:rPr>
        <w:t xml:space="preserve"> – APRA’s response to submissions received on draft CPG 220, including the aspects detailed in the May 2014 letter. A revised version CPS 220 and CPG 220 were released for consultation.</w:t>
      </w:r>
    </w:p>
    <w:p w:rsidR="00FC3405" w:rsidRDefault="009B7339" w:rsidP="00FD646C">
      <w:pPr>
        <w:pStyle w:val="Heading"/>
        <w:numPr>
          <w:ilvl w:val="0"/>
          <w:numId w:val="10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December </w:t>
      </w:r>
      <w:r w:rsidR="00FC3405">
        <w:rPr>
          <w:rFonts w:ascii="Times New Roman" w:hAnsi="Times New Roman"/>
          <w:b w:val="0"/>
          <w:sz w:val="24"/>
          <w:szCs w:val="24"/>
        </w:rPr>
        <w:t>2014 – Letter to industry ‘CPS 220 Risk Management / CPG 220 Risk Management’ – APRA’s response to submissions on the revised version of CPS 220 and CPG 220. Final versions of CPS 220 and CPG 220</w:t>
      </w:r>
      <w:r w:rsidR="00D12A9E">
        <w:rPr>
          <w:rFonts w:ascii="Times New Roman" w:hAnsi="Times New Roman"/>
          <w:b w:val="0"/>
          <w:sz w:val="24"/>
          <w:szCs w:val="24"/>
        </w:rPr>
        <w:t xml:space="preserve"> were also released</w:t>
      </w:r>
      <w:r w:rsidR="00FC3405">
        <w:rPr>
          <w:rFonts w:ascii="Times New Roman" w:hAnsi="Times New Roman"/>
          <w:b w:val="0"/>
          <w:sz w:val="24"/>
          <w:szCs w:val="24"/>
        </w:rPr>
        <w:t>, for implementation from 1 January 2015.</w:t>
      </w:r>
    </w:p>
    <w:p w:rsidR="00914F06" w:rsidRDefault="00FD646C" w:rsidP="00914F06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 has considered both formal and informal feedback from all relevant industries throughout the consultation process.</w:t>
      </w:r>
      <w:r w:rsidR="00FC3405">
        <w:rPr>
          <w:rFonts w:ascii="Times New Roman" w:hAnsi="Times New Roman"/>
          <w:b w:val="0"/>
          <w:sz w:val="24"/>
          <w:szCs w:val="24"/>
        </w:rPr>
        <w:t xml:space="preserve"> As a result, a number of amendments to the initial consultation documents </w:t>
      </w:r>
      <w:r w:rsidR="00CA50E8">
        <w:rPr>
          <w:rFonts w:ascii="Times New Roman" w:hAnsi="Times New Roman"/>
          <w:b w:val="0"/>
          <w:sz w:val="24"/>
          <w:szCs w:val="24"/>
        </w:rPr>
        <w:t>have been</w:t>
      </w:r>
      <w:r w:rsidR="00FC3405">
        <w:rPr>
          <w:rFonts w:ascii="Times New Roman" w:hAnsi="Times New Roman"/>
          <w:b w:val="0"/>
          <w:sz w:val="24"/>
          <w:szCs w:val="24"/>
        </w:rPr>
        <w:t xml:space="preserve"> made. These amendments sought to address industry feedback, while ensuring that APRA </w:t>
      </w:r>
      <w:r w:rsidR="00D12A9E">
        <w:rPr>
          <w:rFonts w:ascii="Times New Roman" w:hAnsi="Times New Roman"/>
          <w:b w:val="0"/>
          <w:sz w:val="24"/>
          <w:szCs w:val="24"/>
        </w:rPr>
        <w:t>maintained its objectives of having harmonised and robust risk management requirements.</w:t>
      </w:r>
    </w:p>
    <w:p w:rsidR="002436BD" w:rsidRDefault="00DF524E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bookmarkEnd w:id="10"/>
    <w:p w:rsidR="00885F41" w:rsidRDefault="00885F41" w:rsidP="00DF7DA0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885F41">
        <w:rPr>
          <w:rFonts w:ascii="Times New Roman" w:hAnsi="Times New Roman"/>
          <w:b w:val="0"/>
          <w:sz w:val="24"/>
          <w:szCs w:val="24"/>
        </w:rPr>
        <w:t xml:space="preserve">The Office of Best Practice Regulation has </w:t>
      </w:r>
      <w:r w:rsidR="00826C64">
        <w:rPr>
          <w:rFonts w:ascii="Times New Roman" w:hAnsi="Times New Roman"/>
          <w:b w:val="0"/>
          <w:sz w:val="24"/>
          <w:szCs w:val="24"/>
        </w:rPr>
        <w:t>informed APRA</w:t>
      </w:r>
      <w:r w:rsidRPr="00885F41">
        <w:rPr>
          <w:rFonts w:ascii="Times New Roman" w:hAnsi="Times New Roman"/>
          <w:b w:val="0"/>
          <w:sz w:val="24"/>
          <w:szCs w:val="24"/>
        </w:rPr>
        <w:t xml:space="preserve"> that a Regulation Impact Statement </w:t>
      </w:r>
      <w:r w:rsidR="00826C64">
        <w:rPr>
          <w:rFonts w:ascii="Times New Roman" w:hAnsi="Times New Roman"/>
          <w:b w:val="0"/>
          <w:sz w:val="24"/>
          <w:szCs w:val="24"/>
        </w:rPr>
        <w:t xml:space="preserve">(RIS) </w:t>
      </w:r>
      <w:r w:rsidRPr="00885F41">
        <w:rPr>
          <w:rFonts w:ascii="Times New Roman" w:hAnsi="Times New Roman"/>
          <w:b w:val="0"/>
          <w:sz w:val="24"/>
          <w:szCs w:val="24"/>
        </w:rPr>
        <w:t>is required for th</w:t>
      </w:r>
      <w:r w:rsidR="00FD646C">
        <w:rPr>
          <w:rFonts w:ascii="Times New Roman" w:hAnsi="Times New Roman"/>
          <w:b w:val="0"/>
          <w:sz w:val="24"/>
          <w:szCs w:val="24"/>
        </w:rPr>
        <w:t>e cross-industry risk management requirements</w:t>
      </w:r>
      <w:r w:rsidR="00FA3EFA">
        <w:rPr>
          <w:rFonts w:ascii="Times New Roman" w:hAnsi="Times New Roman"/>
          <w:b w:val="0"/>
          <w:sz w:val="24"/>
          <w:szCs w:val="24"/>
        </w:rPr>
        <w:t xml:space="preserve"> and the changes to the governance requirements</w:t>
      </w:r>
      <w:r w:rsidRPr="00885F41">
        <w:rPr>
          <w:rFonts w:ascii="Times New Roman" w:hAnsi="Times New Roman"/>
          <w:b w:val="0"/>
          <w:sz w:val="24"/>
          <w:szCs w:val="24"/>
        </w:rPr>
        <w:t>.</w:t>
      </w:r>
      <w:r w:rsidR="00FD646C">
        <w:rPr>
          <w:rFonts w:ascii="Times New Roman" w:hAnsi="Times New Roman"/>
          <w:b w:val="0"/>
          <w:sz w:val="24"/>
          <w:szCs w:val="24"/>
        </w:rPr>
        <w:t xml:space="preserve"> </w:t>
      </w:r>
      <w:r w:rsidR="00826C64">
        <w:rPr>
          <w:rFonts w:ascii="Times New Roman" w:hAnsi="Times New Roman"/>
          <w:b w:val="0"/>
          <w:sz w:val="24"/>
          <w:szCs w:val="24"/>
        </w:rPr>
        <w:t>An RIS</w:t>
      </w:r>
      <w:r w:rsidR="00FD646C">
        <w:rPr>
          <w:rFonts w:ascii="Times New Roman" w:hAnsi="Times New Roman"/>
          <w:b w:val="0"/>
          <w:sz w:val="24"/>
          <w:szCs w:val="24"/>
        </w:rPr>
        <w:t xml:space="preserve"> has</w:t>
      </w:r>
      <w:r w:rsidR="00161DD3">
        <w:rPr>
          <w:rFonts w:ascii="Times New Roman" w:hAnsi="Times New Roman"/>
          <w:b w:val="0"/>
          <w:sz w:val="24"/>
          <w:szCs w:val="24"/>
        </w:rPr>
        <w:t xml:space="preserve"> been</w:t>
      </w:r>
      <w:r w:rsidR="00FD646C">
        <w:rPr>
          <w:rFonts w:ascii="Times New Roman" w:hAnsi="Times New Roman"/>
          <w:b w:val="0"/>
          <w:sz w:val="24"/>
          <w:szCs w:val="24"/>
        </w:rPr>
        <w:t xml:space="preserve"> prepared and </w:t>
      </w:r>
      <w:r w:rsidR="00826C64">
        <w:rPr>
          <w:rFonts w:ascii="Times New Roman" w:hAnsi="Times New Roman"/>
          <w:b w:val="0"/>
          <w:sz w:val="24"/>
          <w:szCs w:val="24"/>
        </w:rPr>
        <w:t>is provided at Attachment B</w:t>
      </w:r>
      <w:r w:rsidR="00FD646C">
        <w:rPr>
          <w:rFonts w:ascii="Times New Roman" w:hAnsi="Times New Roman"/>
          <w:b w:val="0"/>
          <w:sz w:val="24"/>
          <w:szCs w:val="24"/>
        </w:rPr>
        <w:t xml:space="preserve"> </w:t>
      </w:r>
      <w:r w:rsidR="00826C64">
        <w:rPr>
          <w:rFonts w:ascii="Times New Roman" w:hAnsi="Times New Roman"/>
          <w:b w:val="0"/>
          <w:sz w:val="24"/>
          <w:szCs w:val="24"/>
        </w:rPr>
        <w:t xml:space="preserve">to this Explanatory Statement </w:t>
      </w:r>
      <w:r w:rsidR="00FD646C">
        <w:rPr>
          <w:rFonts w:ascii="Times New Roman" w:hAnsi="Times New Roman"/>
          <w:b w:val="0"/>
          <w:sz w:val="24"/>
          <w:szCs w:val="24"/>
        </w:rPr>
        <w:t>as supporting material.</w:t>
      </w:r>
    </w:p>
    <w:p w:rsidR="002436BD" w:rsidRPr="00B3165F" w:rsidRDefault="00DF524E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:rsidR="002436BD" w:rsidRDefault="0030506B" w:rsidP="00DF7DA0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:rsidR="008137C7" w:rsidRDefault="00813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7D71" w:rsidRPr="008137C7" w:rsidRDefault="008137C7" w:rsidP="00DF7DA0">
      <w:pPr>
        <w:pStyle w:val="Heading"/>
        <w:spacing w:after="240"/>
        <w:rPr>
          <w:rFonts w:ascii="Times New Roman" w:hAnsi="Times New Roman"/>
          <w:sz w:val="24"/>
          <w:szCs w:val="24"/>
        </w:rPr>
      </w:pPr>
      <w:r w:rsidRPr="008137C7">
        <w:rPr>
          <w:rFonts w:ascii="Times New Roman" w:hAnsi="Times New Roman"/>
          <w:sz w:val="24"/>
          <w:szCs w:val="24"/>
        </w:rPr>
        <w:lastRenderedPageBreak/>
        <w:t>Attachment A</w:t>
      </w:r>
    </w:p>
    <w:p w:rsidR="008137C7" w:rsidRPr="008137C7" w:rsidRDefault="008137C7" w:rsidP="008137C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8137C7">
        <w:rPr>
          <w:rFonts w:ascii="Times New Roman" w:hAnsi="Times New Roman"/>
          <w:sz w:val="24"/>
          <w:szCs w:val="24"/>
        </w:rPr>
        <w:t>Statement of Compatibility with Human Rights</w:t>
      </w:r>
    </w:p>
    <w:p w:rsidR="008137C7" w:rsidRPr="008137C7" w:rsidRDefault="008137C7" w:rsidP="008137C7">
      <w:pPr>
        <w:pStyle w:val="Heading"/>
        <w:spacing w:after="240"/>
        <w:rPr>
          <w:rFonts w:ascii="Times New Roman" w:hAnsi="Times New Roman"/>
          <w:b w:val="0"/>
          <w:i/>
          <w:sz w:val="24"/>
          <w:szCs w:val="24"/>
        </w:rPr>
      </w:pPr>
      <w:r w:rsidRPr="008137C7">
        <w:rPr>
          <w:rFonts w:ascii="Times New Roman" w:hAnsi="Times New Roman"/>
          <w:b w:val="0"/>
          <w:i/>
          <w:sz w:val="24"/>
          <w:szCs w:val="24"/>
        </w:rPr>
        <w:t>Prepared in accordance with Part 3 of the Human Rights (Parliamentary Scrutiny) Act 2011</w:t>
      </w:r>
    </w:p>
    <w:p w:rsidR="005F376C" w:rsidRPr="002C6D26" w:rsidRDefault="005F376C" w:rsidP="005F376C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Banking, Insurance and Life Insurance</w:t>
      </w:r>
      <w:r w:rsidRPr="002C6D26">
        <w:rPr>
          <w:rFonts w:ascii="Times New Roman" w:hAnsi="Times New Roman"/>
          <w:sz w:val="24"/>
          <w:szCs w:val="24"/>
        </w:rPr>
        <w:t xml:space="preserve"> (prudential standard) determination</w:t>
      </w:r>
      <w:r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. </w:t>
      </w:r>
      <w:r w:rsidR="00941CDE">
        <w:rPr>
          <w:rFonts w:ascii="Times New Roman" w:hAnsi="Times New Roman"/>
          <w:sz w:val="24"/>
          <w:szCs w:val="24"/>
        </w:rPr>
        <w:t>3</w:t>
      </w:r>
      <w:r w:rsidR="00941CDE"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41CDE">
        <w:rPr>
          <w:rFonts w:ascii="Times New Roman" w:hAnsi="Times New Roman"/>
          <w:sz w:val="24"/>
          <w:szCs w:val="24"/>
        </w:rPr>
        <w:t xml:space="preserve">4 </w:t>
      </w:r>
      <w:r w:rsidRPr="002C6D26">
        <w:rPr>
          <w:rFonts w:ascii="Times New Roman" w:hAnsi="Times New Roman"/>
          <w:sz w:val="24"/>
          <w:szCs w:val="24"/>
        </w:rPr>
        <w:t>of 20</w:t>
      </w:r>
      <w:r>
        <w:rPr>
          <w:rFonts w:ascii="Times New Roman" w:hAnsi="Times New Roman"/>
          <w:sz w:val="24"/>
          <w:szCs w:val="24"/>
        </w:rPr>
        <w:t>14</w:t>
      </w:r>
    </w:p>
    <w:p w:rsidR="00B04B20" w:rsidRDefault="00161DD3" w:rsidP="008137C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8137C7" w:rsidRPr="008137C7">
        <w:rPr>
          <w:rFonts w:ascii="Times New Roman" w:hAnsi="Times New Roman"/>
          <w:sz w:val="24"/>
          <w:szCs w:val="24"/>
        </w:rPr>
        <w:t xml:space="preserve"> Legislative Instrument</w:t>
      </w:r>
      <w:r>
        <w:rPr>
          <w:rFonts w:ascii="Times New Roman" w:hAnsi="Times New Roman"/>
          <w:sz w:val="24"/>
          <w:szCs w:val="24"/>
        </w:rPr>
        <w:t>s are</w:t>
      </w:r>
      <w:r w:rsidR="008137C7" w:rsidRPr="008137C7"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instruments listed in section 3 of the </w:t>
      </w:r>
      <w:r w:rsidR="008137C7" w:rsidRPr="00CC2F69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8137C7" w:rsidRPr="008137C7">
        <w:rPr>
          <w:rFonts w:ascii="Times New Roman" w:hAnsi="Times New Roman"/>
          <w:sz w:val="24"/>
          <w:szCs w:val="24"/>
        </w:rPr>
        <w:t xml:space="preserve"> (HRPS Act).</w:t>
      </w:r>
    </w:p>
    <w:p w:rsidR="008137C7" w:rsidRPr="000C380F" w:rsidRDefault="008137C7" w:rsidP="008137C7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C380F">
        <w:rPr>
          <w:rFonts w:ascii="Times New Roman" w:hAnsi="Times New Roman"/>
          <w:b/>
          <w:sz w:val="24"/>
          <w:szCs w:val="24"/>
        </w:rPr>
        <w:t xml:space="preserve">Overview of the Legislative Instrument </w:t>
      </w:r>
    </w:p>
    <w:p w:rsidR="008137C7" w:rsidRPr="00CC2F69" w:rsidRDefault="00161DD3" w:rsidP="00CC2F69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8137C7">
        <w:rPr>
          <w:rFonts w:ascii="Times New Roman" w:hAnsi="Times New Roman"/>
          <w:sz w:val="24"/>
          <w:szCs w:val="24"/>
        </w:rPr>
        <w:t xml:space="preserve"> Legislative Instrument</w:t>
      </w:r>
      <w:r>
        <w:rPr>
          <w:rFonts w:ascii="Times New Roman" w:hAnsi="Times New Roman"/>
          <w:sz w:val="24"/>
          <w:szCs w:val="24"/>
        </w:rPr>
        <w:t>s</w:t>
      </w:r>
      <w:r w:rsidR="00CC2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revoke GPS 220</w:t>
      </w:r>
      <w:r w:rsidR="003318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LPS 220 </w:t>
      </w:r>
      <w:r w:rsidR="00331822">
        <w:rPr>
          <w:rFonts w:ascii="Times New Roman" w:hAnsi="Times New Roman"/>
          <w:sz w:val="24"/>
          <w:szCs w:val="24"/>
        </w:rPr>
        <w:t>and CPS 510, while determining</w:t>
      </w:r>
      <w:r>
        <w:rPr>
          <w:rFonts w:ascii="Times New Roman" w:hAnsi="Times New Roman"/>
          <w:sz w:val="24"/>
          <w:szCs w:val="24"/>
        </w:rPr>
        <w:t xml:space="preserve"> </w:t>
      </w:r>
      <w:r w:rsidR="004D53F2">
        <w:rPr>
          <w:rFonts w:ascii="Times New Roman" w:hAnsi="Times New Roman"/>
          <w:sz w:val="24"/>
          <w:szCs w:val="24"/>
        </w:rPr>
        <w:t xml:space="preserve">a new cross-industry prudential standard </w:t>
      </w:r>
      <w:r>
        <w:rPr>
          <w:rFonts w:ascii="Times New Roman" w:hAnsi="Times New Roman"/>
          <w:sz w:val="24"/>
          <w:szCs w:val="24"/>
        </w:rPr>
        <w:t>CPS 220</w:t>
      </w:r>
      <w:r w:rsidR="00331822">
        <w:rPr>
          <w:rFonts w:ascii="Times New Roman" w:hAnsi="Times New Roman"/>
          <w:sz w:val="24"/>
          <w:szCs w:val="24"/>
        </w:rPr>
        <w:t xml:space="preserve"> and a </w:t>
      </w:r>
      <w:r w:rsidR="005F376C">
        <w:rPr>
          <w:rFonts w:ascii="Times New Roman" w:hAnsi="Times New Roman"/>
          <w:sz w:val="24"/>
          <w:szCs w:val="24"/>
        </w:rPr>
        <w:t>new</w:t>
      </w:r>
      <w:r w:rsidR="00331822">
        <w:rPr>
          <w:rFonts w:ascii="Times New Roman" w:hAnsi="Times New Roman"/>
          <w:sz w:val="24"/>
          <w:szCs w:val="24"/>
        </w:rPr>
        <w:t xml:space="preserve"> CPS 510</w:t>
      </w:r>
      <w:r w:rsidR="005F376C">
        <w:rPr>
          <w:rFonts w:ascii="Times New Roman" w:hAnsi="Times New Roman"/>
          <w:sz w:val="24"/>
          <w:szCs w:val="24"/>
        </w:rPr>
        <w:t xml:space="preserve"> to replace the existing CPS 510</w:t>
      </w:r>
      <w:r w:rsidR="00331822">
        <w:rPr>
          <w:rFonts w:ascii="Times New Roman" w:hAnsi="Times New Roman"/>
          <w:sz w:val="24"/>
          <w:szCs w:val="24"/>
        </w:rPr>
        <w:t>.</w:t>
      </w:r>
      <w:r w:rsidR="004D53F2">
        <w:rPr>
          <w:rFonts w:ascii="Times New Roman" w:hAnsi="Times New Roman"/>
          <w:sz w:val="24"/>
          <w:szCs w:val="24"/>
        </w:rPr>
        <w:t xml:space="preserve"> These changes </w:t>
      </w:r>
      <w:r w:rsidR="00CB4D9E">
        <w:rPr>
          <w:rFonts w:ascii="Times New Roman" w:hAnsi="Times New Roman"/>
          <w:sz w:val="24"/>
          <w:szCs w:val="24"/>
        </w:rPr>
        <w:t xml:space="preserve">introduce harmonised and enhanced risk management </w:t>
      </w:r>
      <w:r w:rsidR="00FA3EFA">
        <w:rPr>
          <w:rFonts w:ascii="Times New Roman" w:hAnsi="Times New Roman"/>
          <w:sz w:val="24"/>
          <w:szCs w:val="24"/>
        </w:rPr>
        <w:t xml:space="preserve">and governance </w:t>
      </w:r>
      <w:r w:rsidR="00CB4D9E">
        <w:rPr>
          <w:rFonts w:ascii="Times New Roman" w:hAnsi="Times New Roman"/>
          <w:sz w:val="24"/>
          <w:szCs w:val="24"/>
        </w:rPr>
        <w:t>requirements.</w:t>
      </w:r>
    </w:p>
    <w:p w:rsidR="008137C7" w:rsidRPr="008137C7" w:rsidRDefault="008137C7" w:rsidP="008137C7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8137C7">
        <w:rPr>
          <w:rFonts w:ascii="Times New Roman" w:hAnsi="Times New Roman"/>
          <w:b/>
          <w:sz w:val="24"/>
          <w:szCs w:val="24"/>
        </w:rPr>
        <w:t>Human rights implications</w:t>
      </w:r>
    </w:p>
    <w:p w:rsidR="008137C7" w:rsidRDefault="008137C7" w:rsidP="008137C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APRA has assessed th</w:t>
      </w:r>
      <w:r w:rsidR="00301DB6">
        <w:rPr>
          <w:rFonts w:ascii="Times New Roman" w:hAnsi="Times New Roman"/>
          <w:sz w:val="24"/>
          <w:szCs w:val="24"/>
        </w:rPr>
        <w:t>ese</w:t>
      </w:r>
      <w:r>
        <w:rPr>
          <w:rFonts w:ascii="Times New Roman" w:hAnsi="Times New Roman"/>
          <w:sz w:val="24"/>
          <w:szCs w:val="24"/>
        </w:rPr>
        <w:t xml:space="preserve"> Legislative Instrument</w:t>
      </w:r>
      <w:r w:rsidR="00301DB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is of the view that </w:t>
      </w:r>
      <w:r w:rsidR="00301DB6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do not engage any of the applicable rights or freedoms recognised or declared in the international instruments listed in section 3 of the HRPS Act. Accordingly, in APRA’s assessment, the instruments are compatible with human rights.</w:t>
      </w:r>
    </w:p>
    <w:p w:rsidR="008137C7" w:rsidRPr="008137C7" w:rsidRDefault="008137C7" w:rsidP="008137C7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8137C7">
        <w:rPr>
          <w:rFonts w:ascii="Times New Roman" w:hAnsi="Times New Roman"/>
          <w:b/>
          <w:sz w:val="24"/>
          <w:szCs w:val="24"/>
        </w:rPr>
        <w:t>Conclusion</w:t>
      </w:r>
    </w:p>
    <w:p w:rsidR="008137C7" w:rsidRPr="008137C7" w:rsidRDefault="008137C7" w:rsidP="008137C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301DB6">
        <w:rPr>
          <w:rFonts w:ascii="Times New Roman" w:hAnsi="Times New Roman"/>
          <w:sz w:val="24"/>
          <w:szCs w:val="24"/>
        </w:rPr>
        <w:t>ese</w:t>
      </w:r>
      <w:r>
        <w:rPr>
          <w:rFonts w:ascii="Times New Roman" w:hAnsi="Times New Roman"/>
          <w:sz w:val="24"/>
          <w:szCs w:val="24"/>
        </w:rPr>
        <w:t xml:space="preserve"> Legislative Instrument</w:t>
      </w:r>
      <w:r w:rsidR="00301DB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301DB6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compatible with human rights because </w:t>
      </w:r>
      <w:r w:rsidR="00301DB6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do not raise any human rights issues.</w:t>
      </w:r>
    </w:p>
    <w:p w:rsidR="008137C7" w:rsidRPr="008137C7" w:rsidRDefault="008137C7">
      <w:pPr>
        <w:spacing w:after="240"/>
        <w:rPr>
          <w:rFonts w:ascii="Times New Roman" w:hAnsi="Times New Roman"/>
        </w:rPr>
      </w:pPr>
    </w:p>
    <w:sectPr w:rsidR="008137C7" w:rsidRPr="008137C7" w:rsidSect="003D5032">
      <w:footerReference w:type="default" r:id="rId9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89" w:rsidRDefault="007A4689" w:rsidP="00DF7DA0">
      <w:r>
        <w:separator/>
      </w:r>
    </w:p>
  </w:endnote>
  <w:endnote w:type="continuationSeparator" w:id="0">
    <w:p w:rsidR="007A4689" w:rsidRDefault="007A4689" w:rsidP="00DF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 SB">
    <w:altName w:val="Today S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7DA0" w:rsidRPr="00DF7DA0" w:rsidRDefault="00DF7DA0" w:rsidP="00DF7DA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F7DA0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F7DA0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C07DD7">
          <w:rPr>
            <w:rFonts w:ascii="Times New Roman" w:hAnsi="Times New Roman"/>
            <w:bCs/>
            <w:noProof/>
            <w:sz w:val="24"/>
            <w:szCs w:val="24"/>
          </w:rPr>
          <w:t>2</w: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DF7DA0" w:rsidRDefault="00DF7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89" w:rsidRDefault="007A4689" w:rsidP="00DF7DA0">
      <w:r>
        <w:separator/>
      </w:r>
    </w:p>
  </w:footnote>
  <w:footnote w:type="continuationSeparator" w:id="0">
    <w:p w:rsidR="007A4689" w:rsidRDefault="007A4689" w:rsidP="00DF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2C060"/>
    <w:multiLevelType w:val="hybridMultilevel"/>
    <w:tmpl w:val="CBF02CE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DF2CB1"/>
    <w:multiLevelType w:val="hybridMultilevel"/>
    <w:tmpl w:val="76CE382A"/>
    <w:lvl w:ilvl="0" w:tplc="CDF02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A12DF"/>
    <w:multiLevelType w:val="hybridMultilevel"/>
    <w:tmpl w:val="9D7299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677E"/>
    <w:multiLevelType w:val="hybridMultilevel"/>
    <w:tmpl w:val="2700A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6E49"/>
    <w:multiLevelType w:val="hybridMultilevel"/>
    <w:tmpl w:val="F70A06DA"/>
    <w:lvl w:ilvl="0" w:tplc="771E19C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D4B43"/>
    <w:multiLevelType w:val="hybridMultilevel"/>
    <w:tmpl w:val="0B6A5AD4"/>
    <w:lvl w:ilvl="0" w:tplc="C1985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C090A"/>
    <w:multiLevelType w:val="hybridMultilevel"/>
    <w:tmpl w:val="2D8A7258"/>
    <w:lvl w:ilvl="0" w:tplc="CDF02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3D61"/>
    <w:multiLevelType w:val="hybridMultilevel"/>
    <w:tmpl w:val="16F87DAA"/>
    <w:lvl w:ilvl="0" w:tplc="7DCEE3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519A7"/>
    <w:multiLevelType w:val="hybridMultilevel"/>
    <w:tmpl w:val="2380426C"/>
    <w:lvl w:ilvl="0" w:tplc="CBE46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D3A20"/>
    <w:multiLevelType w:val="hybridMultilevel"/>
    <w:tmpl w:val="2380426C"/>
    <w:lvl w:ilvl="0" w:tplc="CBE46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7"/>
    <w:rsid w:val="00003D3A"/>
    <w:rsid w:val="00006F95"/>
    <w:rsid w:val="00006FF8"/>
    <w:rsid w:val="00020162"/>
    <w:rsid w:val="000401FC"/>
    <w:rsid w:val="00077D71"/>
    <w:rsid w:val="000852C3"/>
    <w:rsid w:val="00085C51"/>
    <w:rsid w:val="000A77AC"/>
    <w:rsid w:val="000B48FB"/>
    <w:rsid w:val="000C335F"/>
    <w:rsid w:val="000C380F"/>
    <w:rsid w:val="000E369C"/>
    <w:rsid w:val="00135C95"/>
    <w:rsid w:val="00155C61"/>
    <w:rsid w:val="00161DD3"/>
    <w:rsid w:val="0016232B"/>
    <w:rsid w:val="0016350D"/>
    <w:rsid w:val="00180655"/>
    <w:rsid w:val="00182FA1"/>
    <w:rsid w:val="001B067D"/>
    <w:rsid w:val="001E67C7"/>
    <w:rsid w:val="001F485B"/>
    <w:rsid w:val="002335BA"/>
    <w:rsid w:val="002436BD"/>
    <w:rsid w:val="00246723"/>
    <w:rsid w:val="002A73BD"/>
    <w:rsid w:val="002B0EDC"/>
    <w:rsid w:val="002C6CAA"/>
    <w:rsid w:val="002D6193"/>
    <w:rsid w:val="002E582A"/>
    <w:rsid w:val="00301DB6"/>
    <w:rsid w:val="0030506B"/>
    <w:rsid w:val="00322F04"/>
    <w:rsid w:val="00331822"/>
    <w:rsid w:val="00351408"/>
    <w:rsid w:val="00354CB8"/>
    <w:rsid w:val="00361841"/>
    <w:rsid w:val="00364664"/>
    <w:rsid w:val="0038613D"/>
    <w:rsid w:val="003866AD"/>
    <w:rsid w:val="003A6FE0"/>
    <w:rsid w:val="003C6920"/>
    <w:rsid w:val="003C7875"/>
    <w:rsid w:val="003D2309"/>
    <w:rsid w:val="003D5032"/>
    <w:rsid w:val="003F3D18"/>
    <w:rsid w:val="003F60B2"/>
    <w:rsid w:val="0040175E"/>
    <w:rsid w:val="00422164"/>
    <w:rsid w:val="0042324B"/>
    <w:rsid w:val="00443A02"/>
    <w:rsid w:val="00457C57"/>
    <w:rsid w:val="00470375"/>
    <w:rsid w:val="00493F5B"/>
    <w:rsid w:val="004C3D07"/>
    <w:rsid w:val="004D3D2D"/>
    <w:rsid w:val="004D53F2"/>
    <w:rsid w:val="004E2008"/>
    <w:rsid w:val="00507884"/>
    <w:rsid w:val="00534A2F"/>
    <w:rsid w:val="00551378"/>
    <w:rsid w:val="0056141D"/>
    <w:rsid w:val="005C5CCB"/>
    <w:rsid w:val="005E3E52"/>
    <w:rsid w:val="005E5910"/>
    <w:rsid w:val="005E594A"/>
    <w:rsid w:val="005F376C"/>
    <w:rsid w:val="005F70C6"/>
    <w:rsid w:val="00613CBF"/>
    <w:rsid w:val="00616A26"/>
    <w:rsid w:val="00622480"/>
    <w:rsid w:val="00647D58"/>
    <w:rsid w:val="00657678"/>
    <w:rsid w:val="0066349A"/>
    <w:rsid w:val="00682865"/>
    <w:rsid w:val="00684F73"/>
    <w:rsid w:val="0068592D"/>
    <w:rsid w:val="00691E29"/>
    <w:rsid w:val="006956E3"/>
    <w:rsid w:val="006B093F"/>
    <w:rsid w:val="006B31EB"/>
    <w:rsid w:val="006D6022"/>
    <w:rsid w:val="006E434A"/>
    <w:rsid w:val="007031F4"/>
    <w:rsid w:val="007049CF"/>
    <w:rsid w:val="007172B7"/>
    <w:rsid w:val="00717AF9"/>
    <w:rsid w:val="007368AD"/>
    <w:rsid w:val="007428D4"/>
    <w:rsid w:val="00743DF9"/>
    <w:rsid w:val="00747AFF"/>
    <w:rsid w:val="00770724"/>
    <w:rsid w:val="00785CDC"/>
    <w:rsid w:val="007A4689"/>
    <w:rsid w:val="007C7AB7"/>
    <w:rsid w:val="007E02A9"/>
    <w:rsid w:val="007E4B2A"/>
    <w:rsid w:val="007E7E72"/>
    <w:rsid w:val="008137C7"/>
    <w:rsid w:val="00826C64"/>
    <w:rsid w:val="00830F66"/>
    <w:rsid w:val="00835649"/>
    <w:rsid w:val="00845DEF"/>
    <w:rsid w:val="00885F41"/>
    <w:rsid w:val="008C0C2E"/>
    <w:rsid w:val="008D1DD5"/>
    <w:rsid w:val="008D324D"/>
    <w:rsid w:val="008D786A"/>
    <w:rsid w:val="00914F06"/>
    <w:rsid w:val="00932EFA"/>
    <w:rsid w:val="00941CDE"/>
    <w:rsid w:val="009669EA"/>
    <w:rsid w:val="00967D16"/>
    <w:rsid w:val="00970CEB"/>
    <w:rsid w:val="00981CF1"/>
    <w:rsid w:val="009927BF"/>
    <w:rsid w:val="009A2C39"/>
    <w:rsid w:val="009B7339"/>
    <w:rsid w:val="009C1DC7"/>
    <w:rsid w:val="009C5368"/>
    <w:rsid w:val="009C7C5A"/>
    <w:rsid w:val="00A279AF"/>
    <w:rsid w:val="00A4133B"/>
    <w:rsid w:val="00A47D96"/>
    <w:rsid w:val="00A5253F"/>
    <w:rsid w:val="00A573C7"/>
    <w:rsid w:val="00A61C29"/>
    <w:rsid w:val="00A6325C"/>
    <w:rsid w:val="00A63A2B"/>
    <w:rsid w:val="00A74C42"/>
    <w:rsid w:val="00A852FC"/>
    <w:rsid w:val="00A94110"/>
    <w:rsid w:val="00AC2517"/>
    <w:rsid w:val="00AC6943"/>
    <w:rsid w:val="00AC7A56"/>
    <w:rsid w:val="00AE1AC6"/>
    <w:rsid w:val="00B008E7"/>
    <w:rsid w:val="00B04B20"/>
    <w:rsid w:val="00B05209"/>
    <w:rsid w:val="00B07796"/>
    <w:rsid w:val="00B13209"/>
    <w:rsid w:val="00B33BB3"/>
    <w:rsid w:val="00B64B2E"/>
    <w:rsid w:val="00B714A6"/>
    <w:rsid w:val="00B85B6E"/>
    <w:rsid w:val="00BA28C7"/>
    <w:rsid w:val="00BB1678"/>
    <w:rsid w:val="00BB57BA"/>
    <w:rsid w:val="00BD71BB"/>
    <w:rsid w:val="00BF2953"/>
    <w:rsid w:val="00C07DD7"/>
    <w:rsid w:val="00C302FA"/>
    <w:rsid w:val="00C44118"/>
    <w:rsid w:val="00C838BD"/>
    <w:rsid w:val="00C948AA"/>
    <w:rsid w:val="00C95516"/>
    <w:rsid w:val="00CA50E8"/>
    <w:rsid w:val="00CA6CB3"/>
    <w:rsid w:val="00CB384A"/>
    <w:rsid w:val="00CB4D9E"/>
    <w:rsid w:val="00CC2F69"/>
    <w:rsid w:val="00CD1947"/>
    <w:rsid w:val="00CE1BB4"/>
    <w:rsid w:val="00CF0B40"/>
    <w:rsid w:val="00D053BD"/>
    <w:rsid w:val="00D12A9E"/>
    <w:rsid w:val="00D17ABC"/>
    <w:rsid w:val="00D409EC"/>
    <w:rsid w:val="00D5013E"/>
    <w:rsid w:val="00D64906"/>
    <w:rsid w:val="00D74E04"/>
    <w:rsid w:val="00D81CC2"/>
    <w:rsid w:val="00D87E36"/>
    <w:rsid w:val="00D92E16"/>
    <w:rsid w:val="00DF4C99"/>
    <w:rsid w:val="00DF524E"/>
    <w:rsid w:val="00DF7DA0"/>
    <w:rsid w:val="00E13BB1"/>
    <w:rsid w:val="00E15497"/>
    <w:rsid w:val="00E16789"/>
    <w:rsid w:val="00E17658"/>
    <w:rsid w:val="00E201A8"/>
    <w:rsid w:val="00E406B0"/>
    <w:rsid w:val="00E52DFE"/>
    <w:rsid w:val="00E758B5"/>
    <w:rsid w:val="00E90C89"/>
    <w:rsid w:val="00EB55AC"/>
    <w:rsid w:val="00EC5653"/>
    <w:rsid w:val="00EC724C"/>
    <w:rsid w:val="00ED779D"/>
    <w:rsid w:val="00EF12D3"/>
    <w:rsid w:val="00EF1CBC"/>
    <w:rsid w:val="00EF479E"/>
    <w:rsid w:val="00F00946"/>
    <w:rsid w:val="00F012F4"/>
    <w:rsid w:val="00F25D54"/>
    <w:rsid w:val="00F30C81"/>
    <w:rsid w:val="00F36CA7"/>
    <w:rsid w:val="00F436BC"/>
    <w:rsid w:val="00F47E07"/>
    <w:rsid w:val="00F541FF"/>
    <w:rsid w:val="00F7706D"/>
    <w:rsid w:val="00F80D17"/>
    <w:rsid w:val="00FA3EFA"/>
    <w:rsid w:val="00FA5345"/>
    <w:rsid w:val="00FC3405"/>
    <w:rsid w:val="00FC346E"/>
    <w:rsid w:val="00FC7A52"/>
    <w:rsid w:val="00FD5004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A0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A0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0C380F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80F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semiHidden/>
    <w:unhideWhenUsed/>
    <w:rsid w:val="000C380F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7172B7"/>
    <w:pPr>
      <w:autoSpaceDE w:val="0"/>
      <w:autoSpaceDN w:val="0"/>
      <w:adjustRightInd w:val="0"/>
      <w:spacing w:line="221" w:lineRule="atLeast"/>
    </w:pPr>
    <w:rPr>
      <w:rFonts w:ascii="Today SB" w:eastAsia="Calibri" w:hAnsi="Today SB"/>
      <w:sz w:val="24"/>
      <w:szCs w:val="24"/>
    </w:rPr>
  </w:style>
  <w:style w:type="paragraph" w:customStyle="1" w:styleId="Default">
    <w:name w:val="Default"/>
    <w:rsid w:val="007172B7"/>
    <w:pPr>
      <w:autoSpaceDE w:val="0"/>
      <w:autoSpaceDN w:val="0"/>
      <w:adjustRightInd w:val="0"/>
    </w:pPr>
    <w:rPr>
      <w:rFonts w:ascii="Today SB" w:hAnsi="Today SB" w:cs="Today 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A0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A0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0C380F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80F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semiHidden/>
    <w:unhideWhenUsed/>
    <w:rsid w:val="000C380F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7172B7"/>
    <w:pPr>
      <w:autoSpaceDE w:val="0"/>
      <w:autoSpaceDN w:val="0"/>
      <w:adjustRightInd w:val="0"/>
      <w:spacing w:line="221" w:lineRule="atLeast"/>
    </w:pPr>
    <w:rPr>
      <w:rFonts w:ascii="Today SB" w:eastAsia="Calibri" w:hAnsi="Today SB"/>
      <w:sz w:val="24"/>
      <w:szCs w:val="24"/>
    </w:rPr>
  </w:style>
  <w:style w:type="paragraph" w:customStyle="1" w:styleId="Default">
    <w:name w:val="Default"/>
    <w:rsid w:val="007172B7"/>
    <w:pPr>
      <w:autoSpaceDE w:val="0"/>
      <w:autoSpaceDN w:val="0"/>
      <w:adjustRightInd w:val="0"/>
    </w:pPr>
    <w:rPr>
      <w:rFonts w:ascii="Today SB" w:hAnsi="Today SB" w:cs="Today 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E7DC-1A74-467A-A6B8-CD933715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1538</Words>
  <Characters>8770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Blaser, Craig</dc:creator>
  <cp:lastModifiedBy>Antonietta Michalis</cp:lastModifiedBy>
  <cp:revision>2</cp:revision>
  <cp:lastPrinted>2014-12-01T02:21:00Z</cp:lastPrinted>
  <dcterms:created xsi:type="dcterms:W3CDTF">2014-12-01T02:25:00Z</dcterms:created>
  <dcterms:modified xsi:type="dcterms:W3CDTF">2014-12-01T02:25:00Z</dcterms:modified>
</cp:coreProperties>
</file>