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9AC" w:rsidRPr="00D727E4" w:rsidRDefault="00097318" w:rsidP="001D5FB5">
      <w:pPr>
        <w:jc w:val="center"/>
        <w:rPr>
          <w:b/>
          <w:bCs/>
          <w:sz w:val="24"/>
          <w:szCs w:val="24"/>
        </w:rPr>
      </w:pPr>
      <w:bookmarkStart w:id="0" w:name="_GoBack"/>
      <w:bookmarkEnd w:id="0"/>
      <w:r w:rsidRPr="00D727E4">
        <w:rPr>
          <w:b/>
          <w:bCs/>
          <w:sz w:val="24"/>
          <w:szCs w:val="24"/>
        </w:rPr>
        <w:t>EXPLANATORY STATEMENT</w:t>
      </w:r>
    </w:p>
    <w:p w:rsidR="00097318" w:rsidRDefault="00097318" w:rsidP="00E65DE5">
      <w:pPr>
        <w:rPr>
          <w:b/>
          <w:bCs/>
          <w:u w:val="single"/>
        </w:rPr>
      </w:pPr>
    </w:p>
    <w:p w:rsidR="00097318" w:rsidRDefault="004B4AD2" w:rsidP="001D5FB5">
      <w:pPr>
        <w:jc w:val="center"/>
        <w:rPr>
          <w:rFonts w:cs="Arial"/>
          <w:bCs/>
          <w:i/>
          <w:sz w:val="24"/>
          <w:szCs w:val="24"/>
        </w:rPr>
      </w:pPr>
      <w:r w:rsidRPr="009C1241">
        <w:rPr>
          <w:rFonts w:cs="Arial"/>
          <w:bCs/>
          <w:i/>
          <w:sz w:val="24"/>
          <w:szCs w:val="24"/>
        </w:rPr>
        <w:t>Guidelines issue</w:t>
      </w:r>
      <w:r w:rsidR="006311A2" w:rsidRPr="009C1241">
        <w:rPr>
          <w:rFonts w:cs="Arial"/>
          <w:bCs/>
          <w:i/>
          <w:sz w:val="24"/>
          <w:szCs w:val="24"/>
        </w:rPr>
        <w:t>d</w:t>
      </w:r>
      <w:r w:rsidRPr="009C1241">
        <w:rPr>
          <w:rFonts w:cs="Arial"/>
          <w:bCs/>
          <w:i/>
          <w:sz w:val="24"/>
          <w:szCs w:val="24"/>
        </w:rPr>
        <w:t xml:space="preserve"> under sectio</w:t>
      </w:r>
      <w:r w:rsidR="00F96EE6">
        <w:rPr>
          <w:rFonts w:cs="Arial"/>
          <w:bCs/>
          <w:i/>
          <w:sz w:val="24"/>
          <w:szCs w:val="24"/>
        </w:rPr>
        <w:t>n 238-10 of the Higher Education Support Act 2003</w:t>
      </w:r>
    </w:p>
    <w:p w:rsidR="00F96EE6" w:rsidRDefault="00F96EE6" w:rsidP="001D5FB5">
      <w:pPr>
        <w:jc w:val="center"/>
        <w:rPr>
          <w:rFonts w:cs="Arial"/>
          <w:bCs/>
          <w:sz w:val="24"/>
          <w:szCs w:val="24"/>
        </w:rPr>
      </w:pPr>
    </w:p>
    <w:p w:rsidR="00F96EE6" w:rsidRPr="009C1241" w:rsidRDefault="00884AF2" w:rsidP="001D5FB5">
      <w:pPr>
        <w:jc w:val="center"/>
        <w:rPr>
          <w:bCs/>
          <w:sz w:val="24"/>
          <w:szCs w:val="24"/>
        </w:rPr>
      </w:pPr>
      <w:r>
        <w:rPr>
          <w:rFonts w:cs="Arial"/>
          <w:bCs/>
          <w:sz w:val="24"/>
          <w:szCs w:val="24"/>
        </w:rPr>
        <w:t>Amendment No</w:t>
      </w:r>
      <w:r w:rsidR="00DA5665">
        <w:rPr>
          <w:rFonts w:cs="Arial"/>
          <w:bCs/>
          <w:sz w:val="24"/>
          <w:szCs w:val="24"/>
        </w:rPr>
        <w:t>.</w:t>
      </w:r>
      <w:r>
        <w:rPr>
          <w:rFonts w:cs="Arial"/>
          <w:bCs/>
          <w:sz w:val="24"/>
          <w:szCs w:val="24"/>
        </w:rPr>
        <w:t xml:space="preserve"> 3</w:t>
      </w:r>
      <w:r w:rsidR="00F96EE6">
        <w:rPr>
          <w:rFonts w:cs="Arial"/>
          <w:bCs/>
          <w:sz w:val="24"/>
          <w:szCs w:val="24"/>
        </w:rPr>
        <w:t xml:space="preserve"> to the </w:t>
      </w:r>
      <w:r w:rsidR="00F96EE6" w:rsidRPr="009C1241">
        <w:rPr>
          <w:rFonts w:cs="Arial"/>
          <w:bCs/>
          <w:i/>
          <w:sz w:val="24"/>
          <w:szCs w:val="24"/>
        </w:rPr>
        <w:t>Other Grants Guidelines (Education) 2012</w:t>
      </w:r>
    </w:p>
    <w:p w:rsidR="00097318" w:rsidRDefault="00097318" w:rsidP="00E65DE5">
      <w:pPr>
        <w:rPr>
          <w:b/>
          <w:bCs/>
          <w:sz w:val="24"/>
          <w:szCs w:val="24"/>
        </w:rPr>
      </w:pPr>
    </w:p>
    <w:p w:rsidR="00F96EE6" w:rsidRPr="009C1241" w:rsidRDefault="00F96EE6" w:rsidP="00E65DE5">
      <w:pPr>
        <w:rPr>
          <w:bCs/>
          <w:sz w:val="24"/>
          <w:szCs w:val="24"/>
          <w:u w:val="single"/>
        </w:rPr>
      </w:pPr>
      <w:r w:rsidRPr="009C1241">
        <w:rPr>
          <w:bCs/>
          <w:sz w:val="24"/>
          <w:szCs w:val="24"/>
          <w:u w:val="single"/>
        </w:rPr>
        <w:t>Issued by the authority of the Minister for Higher Education</w:t>
      </w:r>
    </w:p>
    <w:p w:rsidR="00F96EE6" w:rsidRDefault="00F96EE6" w:rsidP="00E65DE5">
      <w:pPr>
        <w:rPr>
          <w:bCs/>
          <w:sz w:val="24"/>
          <w:szCs w:val="24"/>
        </w:rPr>
      </w:pPr>
    </w:p>
    <w:p w:rsidR="00F96EE6" w:rsidRPr="009C1241" w:rsidRDefault="00F96EE6" w:rsidP="00E65DE5">
      <w:pPr>
        <w:rPr>
          <w:bCs/>
          <w:sz w:val="24"/>
          <w:szCs w:val="24"/>
        </w:rPr>
      </w:pPr>
      <w:r w:rsidRPr="0013596F">
        <w:rPr>
          <w:rFonts w:cs="Arial"/>
          <w:b/>
          <w:sz w:val="24"/>
          <w:szCs w:val="24"/>
        </w:rPr>
        <w:t>Subject</w:t>
      </w:r>
      <w:r>
        <w:rPr>
          <w:b/>
          <w:bCs/>
          <w:sz w:val="24"/>
          <w:szCs w:val="24"/>
        </w:rPr>
        <w:tab/>
      </w:r>
      <w:r>
        <w:rPr>
          <w:b/>
          <w:bCs/>
          <w:sz w:val="24"/>
          <w:szCs w:val="24"/>
        </w:rPr>
        <w:tab/>
      </w:r>
      <w:r w:rsidRPr="009C1241">
        <w:rPr>
          <w:bCs/>
          <w:sz w:val="24"/>
          <w:szCs w:val="24"/>
        </w:rPr>
        <w:t>Higher Education Support Act 2003</w:t>
      </w:r>
    </w:p>
    <w:p w:rsidR="00F96EE6" w:rsidRPr="009C1241" w:rsidRDefault="00F96EE6" w:rsidP="00E65DE5">
      <w:pPr>
        <w:rPr>
          <w:bCs/>
          <w:sz w:val="24"/>
          <w:szCs w:val="24"/>
        </w:rPr>
      </w:pPr>
      <w:r w:rsidRPr="009C1241">
        <w:rPr>
          <w:bCs/>
          <w:sz w:val="24"/>
          <w:szCs w:val="24"/>
        </w:rPr>
        <w:tab/>
      </w:r>
      <w:r w:rsidRPr="009C1241">
        <w:rPr>
          <w:bCs/>
          <w:sz w:val="24"/>
          <w:szCs w:val="24"/>
        </w:rPr>
        <w:tab/>
      </w:r>
      <w:r w:rsidRPr="009C1241">
        <w:rPr>
          <w:bCs/>
          <w:sz w:val="24"/>
          <w:szCs w:val="24"/>
        </w:rPr>
        <w:tab/>
        <w:t xml:space="preserve">Amendment </w:t>
      </w:r>
      <w:r>
        <w:rPr>
          <w:bCs/>
          <w:sz w:val="24"/>
          <w:szCs w:val="24"/>
        </w:rPr>
        <w:t>No</w:t>
      </w:r>
      <w:r w:rsidR="00DA5665">
        <w:rPr>
          <w:bCs/>
          <w:sz w:val="24"/>
          <w:szCs w:val="24"/>
        </w:rPr>
        <w:t>.</w:t>
      </w:r>
      <w:r>
        <w:rPr>
          <w:bCs/>
          <w:sz w:val="24"/>
          <w:szCs w:val="24"/>
        </w:rPr>
        <w:t xml:space="preserve"> </w:t>
      </w:r>
      <w:r w:rsidR="00884AF2">
        <w:rPr>
          <w:bCs/>
          <w:sz w:val="24"/>
          <w:szCs w:val="24"/>
        </w:rPr>
        <w:t>3</w:t>
      </w:r>
      <w:r>
        <w:rPr>
          <w:bCs/>
          <w:sz w:val="24"/>
          <w:szCs w:val="24"/>
        </w:rPr>
        <w:t xml:space="preserve"> to the Other Grants Guidelines (Education) 2012</w:t>
      </w:r>
    </w:p>
    <w:p w:rsidR="003349AC" w:rsidRPr="0013596F" w:rsidRDefault="00CE110B" w:rsidP="0013596F">
      <w:pPr>
        <w:spacing w:before="240" w:after="120"/>
        <w:rPr>
          <w:rFonts w:cs="Arial"/>
          <w:b/>
          <w:sz w:val="24"/>
          <w:szCs w:val="24"/>
        </w:rPr>
      </w:pPr>
      <w:r w:rsidRPr="0013596F">
        <w:rPr>
          <w:rFonts w:cs="Arial"/>
          <w:b/>
          <w:sz w:val="24"/>
          <w:szCs w:val="24"/>
        </w:rPr>
        <w:t>Authority</w:t>
      </w:r>
    </w:p>
    <w:p w:rsidR="009C1241" w:rsidRPr="009A53CD" w:rsidRDefault="009C1241" w:rsidP="0013596F">
      <w:pPr>
        <w:spacing w:before="120" w:after="120"/>
        <w:rPr>
          <w:rFonts w:cs="Arial"/>
          <w:i/>
        </w:rPr>
      </w:pPr>
      <w:r w:rsidRPr="00AA028C">
        <w:rPr>
          <w:rFonts w:cs="Arial"/>
        </w:rPr>
        <w:t xml:space="preserve">Section 238-10 of the </w:t>
      </w:r>
      <w:r w:rsidRPr="00AA028C">
        <w:rPr>
          <w:rFonts w:cs="Arial"/>
          <w:i/>
        </w:rPr>
        <w:t>Higher Education Support Act 2003</w:t>
      </w:r>
      <w:r w:rsidRPr="00AA028C">
        <w:rPr>
          <w:rFonts w:cs="Arial"/>
        </w:rPr>
        <w:t xml:space="preserve"> (the Act) provides that the Minister may make guidelines providing for matters required or permitted by the Act necessary or convenient to be provided in order to carry out or give effect to the Act. In particular item 8 of section 238-10 specifies the Minister may make</w:t>
      </w:r>
      <w:r w:rsidRPr="00AA028C">
        <w:rPr>
          <w:rFonts w:cs="Arial"/>
          <w:i/>
        </w:rPr>
        <w:t xml:space="preserve"> Other Grants Guidelines</w:t>
      </w:r>
      <w:r w:rsidRPr="00AA028C">
        <w:rPr>
          <w:rFonts w:cs="Arial"/>
        </w:rPr>
        <w:t xml:space="preserve"> to give effect to matters under Part 2-3 of the Act.</w:t>
      </w:r>
      <w:r w:rsidR="00896DB6">
        <w:rPr>
          <w:rFonts w:cs="Arial"/>
        </w:rPr>
        <w:t xml:space="preserve"> Subsection 33(3) of the </w:t>
      </w:r>
      <w:r w:rsidR="00896DB6">
        <w:rPr>
          <w:rFonts w:cs="Arial"/>
          <w:i/>
        </w:rPr>
        <w:t xml:space="preserve">Acts Interpretation Act 1901 </w:t>
      </w:r>
      <w:r w:rsidR="00896DB6" w:rsidRPr="009A53CD">
        <w:rPr>
          <w:rFonts w:cs="Arial"/>
        </w:rPr>
        <w:t>provides the power to vary the instrument</w:t>
      </w:r>
      <w:r w:rsidR="00503FB0">
        <w:rPr>
          <w:rFonts w:cs="Arial"/>
        </w:rPr>
        <w:t>.</w:t>
      </w:r>
    </w:p>
    <w:p w:rsidR="009C1241" w:rsidRDefault="009C1241" w:rsidP="0013596F">
      <w:pPr>
        <w:spacing w:before="120" w:after="120"/>
        <w:rPr>
          <w:rFonts w:cs="Arial"/>
        </w:rPr>
      </w:pPr>
      <w:r w:rsidRPr="00AA028C">
        <w:rPr>
          <w:rFonts w:cs="Arial"/>
        </w:rPr>
        <w:t>Section 41-15 of the Act provides that the Other Grants Guidelines may specify one or more program</w:t>
      </w:r>
      <w:r w:rsidR="006250DF">
        <w:rPr>
          <w:rFonts w:cs="Arial"/>
        </w:rPr>
        <w:t>me</w:t>
      </w:r>
      <w:r w:rsidRPr="00AA028C">
        <w:rPr>
          <w:rFonts w:cs="Arial"/>
        </w:rPr>
        <w:t>s under which grants for particular purposes specifie</w:t>
      </w:r>
      <w:r w:rsidR="007477EC">
        <w:rPr>
          <w:rFonts w:cs="Arial"/>
        </w:rPr>
        <w:t>d in the table in subsection 41</w:t>
      </w:r>
      <w:r w:rsidR="007477EC">
        <w:rPr>
          <w:rFonts w:cs="Arial"/>
        </w:rPr>
        <w:noBreakHyphen/>
      </w:r>
      <w:r w:rsidRPr="00AA028C">
        <w:rPr>
          <w:rFonts w:cs="Arial"/>
        </w:rPr>
        <w:t>10(1) are to be paid.</w:t>
      </w:r>
    </w:p>
    <w:p w:rsidR="00FD459A" w:rsidRPr="0013596F" w:rsidRDefault="001D5FB5" w:rsidP="0013596F">
      <w:pPr>
        <w:spacing w:before="240" w:after="120"/>
        <w:rPr>
          <w:rFonts w:cs="Arial"/>
          <w:b/>
          <w:sz w:val="24"/>
          <w:szCs w:val="24"/>
        </w:rPr>
      </w:pPr>
      <w:r w:rsidRPr="0013596F">
        <w:rPr>
          <w:rFonts w:cs="Arial"/>
          <w:b/>
          <w:sz w:val="24"/>
          <w:szCs w:val="24"/>
        </w:rPr>
        <w:t>Purpose</w:t>
      </w:r>
      <w:r w:rsidR="00930EA7" w:rsidRPr="0013596F">
        <w:rPr>
          <w:rFonts w:cs="Arial"/>
          <w:b/>
          <w:sz w:val="24"/>
          <w:szCs w:val="24"/>
        </w:rPr>
        <w:t xml:space="preserve"> </w:t>
      </w:r>
      <w:r w:rsidR="009C1241" w:rsidRPr="0013596F">
        <w:rPr>
          <w:rFonts w:cs="Arial"/>
          <w:b/>
          <w:sz w:val="24"/>
          <w:szCs w:val="24"/>
        </w:rPr>
        <w:t>and Operation</w:t>
      </w:r>
    </w:p>
    <w:p w:rsidR="006B7ACB" w:rsidRPr="00EF5752" w:rsidRDefault="006B7ACB" w:rsidP="006B7ACB">
      <w:pPr>
        <w:rPr>
          <w:rFonts w:cs="Arial"/>
          <w:b/>
        </w:rPr>
      </w:pPr>
      <w:r w:rsidRPr="00EF5752">
        <w:rPr>
          <w:rFonts w:cs="Arial"/>
        </w:rPr>
        <w:t xml:space="preserve">This legislative instrument amends the </w:t>
      </w:r>
      <w:r w:rsidRPr="00EF5752">
        <w:rPr>
          <w:rFonts w:cs="Arial"/>
          <w:i/>
        </w:rPr>
        <w:t xml:space="preserve">Other Grants Guidelines (Education) 2012 </w:t>
      </w:r>
      <w:r w:rsidRPr="00EF5752">
        <w:rPr>
          <w:rFonts w:cs="Arial"/>
        </w:rPr>
        <w:t xml:space="preserve">which was registered on </w:t>
      </w:r>
      <w:r w:rsidR="00884AF2">
        <w:rPr>
          <w:rFonts w:cs="Arial"/>
        </w:rPr>
        <w:t>13 February 2012 and commenced in 14 February 2012 (see F2012L00281</w:t>
      </w:r>
      <w:r w:rsidRPr="00EF5752">
        <w:rPr>
          <w:rFonts w:cs="Arial"/>
        </w:rPr>
        <w:t>).</w:t>
      </w:r>
    </w:p>
    <w:p w:rsidR="00E1560F" w:rsidRPr="0013596F" w:rsidRDefault="00671D14" w:rsidP="0013596F">
      <w:pPr>
        <w:spacing w:before="240" w:after="120"/>
        <w:rPr>
          <w:rFonts w:cs="Arial"/>
          <w:b/>
          <w:sz w:val="24"/>
          <w:szCs w:val="24"/>
        </w:rPr>
      </w:pPr>
      <w:r w:rsidRPr="0013596F">
        <w:rPr>
          <w:rFonts w:cs="Arial"/>
          <w:b/>
          <w:sz w:val="24"/>
          <w:szCs w:val="24"/>
        </w:rPr>
        <w:t xml:space="preserve">Commencement </w:t>
      </w:r>
    </w:p>
    <w:p w:rsidR="006B7ACB" w:rsidRPr="00EF5752" w:rsidRDefault="006B7ACB" w:rsidP="006B7ACB">
      <w:pPr>
        <w:rPr>
          <w:rFonts w:cs="Arial"/>
          <w:bCs/>
        </w:rPr>
      </w:pPr>
      <w:r w:rsidRPr="00EF5752">
        <w:rPr>
          <w:rFonts w:cs="Arial"/>
          <w:bCs/>
        </w:rPr>
        <w:t xml:space="preserve">This legislative instrument </w:t>
      </w:r>
      <w:r w:rsidR="00CA769E">
        <w:rPr>
          <w:rFonts w:cs="Arial"/>
          <w:bCs/>
        </w:rPr>
        <w:t>will</w:t>
      </w:r>
      <w:r w:rsidRPr="00EF5752">
        <w:rPr>
          <w:rFonts w:cs="Arial"/>
          <w:bCs/>
        </w:rPr>
        <w:t xml:space="preserve"> come into effect on the </w:t>
      </w:r>
      <w:r w:rsidR="001425AD" w:rsidRPr="00EF5752">
        <w:rPr>
          <w:rFonts w:cs="Arial"/>
          <w:bCs/>
        </w:rPr>
        <w:t>day</w:t>
      </w:r>
      <w:r w:rsidR="001425AD">
        <w:rPr>
          <w:rFonts w:cs="Arial"/>
          <w:bCs/>
        </w:rPr>
        <w:t xml:space="preserve"> </w:t>
      </w:r>
      <w:r w:rsidRPr="00EF5752">
        <w:rPr>
          <w:rFonts w:cs="Arial"/>
          <w:bCs/>
        </w:rPr>
        <w:t>it is registered on the Federal Register of Legislative Instruments.</w:t>
      </w:r>
    </w:p>
    <w:p w:rsidR="007A33D9" w:rsidRPr="00671D14" w:rsidRDefault="007A33D9" w:rsidP="0013596F">
      <w:pPr>
        <w:spacing w:before="240" w:after="120"/>
        <w:rPr>
          <w:rFonts w:cs="Arial"/>
          <w:b/>
          <w:sz w:val="24"/>
          <w:szCs w:val="24"/>
        </w:rPr>
      </w:pPr>
      <w:r w:rsidRPr="00671D14">
        <w:rPr>
          <w:rFonts w:cs="Arial"/>
          <w:b/>
          <w:sz w:val="24"/>
          <w:szCs w:val="24"/>
        </w:rPr>
        <w:t>Consultation</w:t>
      </w:r>
    </w:p>
    <w:p w:rsidR="007A33D9" w:rsidRPr="007A33D9" w:rsidRDefault="006B7ACB" w:rsidP="007A33D9">
      <w:pPr>
        <w:rPr>
          <w:rFonts w:cs="Arial"/>
          <w:sz w:val="24"/>
          <w:szCs w:val="24"/>
        </w:rPr>
      </w:pPr>
      <w:r w:rsidRPr="00EF5752">
        <w:rPr>
          <w:rFonts w:cs="Arial"/>
        </w:rPr>
        <w:t xml:space="preserve">Consultation on the amendments </w:t>
      </w:r>
      <w:r>
        <w:rPr>
          <w:rFonts w:cs="Arial"/>
        </w:rPr>
        <w:t>was not conside</w:t>
      </w:r>
      <w:r w:rsidR="00862843">
        <w:rPr>
          <w:rFonts w:cs="Arial"/>
        </w:rPr>
        <w:t xml:space="preserve">red necessary as the purpose of the amendments is to allow universities in New South Wales </w:t>
      </w:r>
      <w:r w:rsidR="00BD7BA7">
        <w:rPr>
          <w:rFonts w:cs="Arial"/>
        </w:rPr>
        <w:t>to receive grants under the Higher Education Superannuation Program</w:t>
      </w:r>
      <w:r w:rsidR="006250DF">
        <w:rPr>
          <w:rFonts w:cs="Arial"/>
        </w:rPr>
        <w:t>me</w:t>
      </w:r>
      <w:r w:rsidR="00BD7BA7">
        <w:rPr>
          <w:rFonts w:cs="Arial"/>
        </w:rPr>
        <w:t xml:space="preserve">. Further amendments involve </w:t>
      </w:r>
      <w:r w:rsidR="00126666">
        <w:rPr>
          <w:rFonts w:cs="Arial"/>
        </w:rPr>
        <w:t>clarifying</w:t>
      </w:r>
      <w:r w:rsidR="00BD7BA7">
        <w:rPr>
          <w:rFonts w:cs="Arial"/>
        </w:rPr>
        <w:t xml:space="preserve"> the </w:t>
      </w:r>
      <w:r w:rsidR="001425AD">
        <w:rPr>
          <w:rFonts w:cs="Arial"/>
        </w:rPr>
        <w:t xml:space="preserve">scope </w:t>
      </w:r>
      <w:r w:rsidR="00BD7BA7">
        <w:rPr>
          <w:rFonts w:cs="Arial"/>
        </w:rPr>
        <w:t>of the program</w:t>
      </w:r>
      <w:r w:rsidR="006250DF">
        <w:rPr>
          <w:rFonts w:cs="Arial"/>
        </w:rPr>
        <w:t>me</w:t>
      </w:r>
      <w:r w:rsidR="00BD7BA7">
        <w:rPr>
          <w:rFonts w:cs="Arial"/>
        </w:rPr>
        <w:t xml:space="preserve"> and </w:t>
      </w:r>
      <w:r w:rsidR="00126666">
        <w:rPr>
          <w:rFonts w:cs="Arial"/>
        </w:rPr>
        <w:t>setting out</w:t>
      </w:r>
      <w:r w:rsidR="00BD7BA7">
        <w:rPr>
          <w:rFonts w:cs="Arial"/>
        </w:rPr>
        <w:t xml:space="preserve"> the reporting and reconciliation processes </w:t>
      </w:r>
      <w:r w:rsidR="00126666">
        <w:rPr>
          <w:rFonts w:cs="Arial"/>
        </w:rPr>
        <w:t>necessary for program</w:t>
      </w:r>
      <w:r w:rsidR="006250DF">
        <w:rPr>
          <w:rFonts w:cs="Arial"/>
        </w:rPr>
        <w:t>me</w:t>
      </w:r>
      <w:r w:rsidR="00126666">
        <w:rPr>
          <w:rFonts w:cs="Arial"/>
        </w:rPr>
        <w:t xml:space="preserve"> administration.</w:t>
      </w:r>
    </w:p>
    <w:p w:rsidR="007A33D9" w:rsidRPr="00671D14" w:rsidRDefault="007A33D9" w:rsidP="0013596F">
      <w:pPr>
        <w:spacing w:before="240" w:after="120"/>
        <w:rPr>
          <w:rFonts w:cs="Arial"/>
          <w:b/>
          <w:sz w:val="24"/>
          <w:szCs w:val="24"/>
        </w:rPr>
      </w:pPr>
      <w:r w:rsidRPr="00671D14">
        <w:rPr>
          <w:rFonts w:cs="Arial"/>
          <w:b/>
          <w:sz w:val="24"/>
          <w:szCs w:val="24"/>
        </w:rPr>
        <w:t>Regulation Impact Statement</w:t>
      </w:r>
    </w:p>
    <w:p w:rsidR="007A33D9" w:rsidRPr="00A317E8" w:rsidRDefault="00503FB0" w:rsidP="007A33D9">
      <w:pPr>
        <w:rPr>
          <w:rFonts w:cs="Arial"/>
        </w:rPr>
      </w:pPr>
      <w:r>
        <w:rPr>
          <w:rFonts w:cs="Arial"/>
        </w:rPr>
        <w:t xml:space="preserve">The </w:t>
      </w:r>
      <w:r w:rsidR="007A33D9" w:rsidRPr="00A317E8">
        <w:rPr>
          <w:rFonts w:cs="Arial"/>
        </w:rPr>
        <w:t xml:space="preserve">Office of Best Practice </w:t>
      </w:r>
      <w:r>
        <w:rPr>
          <w:rFonts w:cs="Arial"/>
        </w:rPr>
        <w:t>R</w:t>
      </w:r>
      <w:r w:rsidRPr="00A317E8">
        <w:rPr>
          <w:rFonts w:cs="Arial"/>
        </w:rPr>
        <w:t xml:space="preserve">egulation </w:t>
      </w:r>
      <w:r w:rsidR="007A33D9" w:rsidRPr="00A317E8">
        <w:rPr>
          <w:rFonts w:cs="Arial"/>
        </w:rPr>
        <w:t xml:space="preserve">was consulted in the preparation of the </w:t>
      </w:r>
      <w:r w:rsidR="00A317E8" w:rsidRPr="00EF5752">
        <w:rPr>
          <w:rFonts w:cs="Arial"/>
          <w:i/>
        </w:rPr>
        <w:t xml:space="preserve">Other Grants Guidelines (Education) 2012 </w:t>
      </w:r>
      <w:r w:rsidR="007A33D9" w:rsidRPr="00A317E8">
        <w:rPr>
          <w:rFonts w:cs="Arial"/>
        </w:rPr>
        <w:t>and assessed</w:t>
      </w:r>
      <w:r w:rsidR="00836AF6">
        <w:rPr>
          <w:rFonts w:cs="Arial"/>
        </w:rPr>
        <w:t xml:space="preserve"> that a Regulation Impact statement was not required (ref 16827). </w:t>
      </w:r>
    </w:p>
    <w:p w:rsidR="0013596F" w:rsidRDefault="00BF7D20" w:rsidP="0013596F">
      <w:pPr>
        <w:spacing w:before="240" w:after="120"/>
        <w:rPr>
          <w:rFonts w:cs="Arial"/>
          <w:b/>
          <w:sz w:val="24"/>
          <w:szCs w:val="24"/>
        </w:rPr>
      </w:pPr>
      <w:r w:rsidRPr="00E96F71">
        <w:rPr>
          <w:rFonts w:cs="Arial"/>
          <w:b/>
          <w:sz w:val="24"/>
          <w:szCs w:val="24"/>
        </w:rPr>
        <w:t>Explanation of provisions</w:t>
      </w:r>
      <w:r w:rsidR="007308B9">
        <w:rPr>
          <w:rFonts w:cs="Arial"/>
          <w:b/>
          <w:sz w:val="24"/>
          <w:szCs w:val="24"/>
        </w:rPr>
        <w:t xml:space="preserve"> </w:t>
      </w:r>
    </w:p>
    <w:p w:rsidR="00503FB0" w:rsidRDefault="00503FB0" w:rsidP="00EC4CBB">
      <w:pPr>
        <w:rPr>
          <w:rFonts w:cs="Arial"/>
        </w:rPr>
      </w:pPr>
      <w:r>
        <w:rPr>
          <w:rFonts w:cs="Arial"/>
        </w:rPr>
        <w:t xml:space="preserve">Item 1 </w:t>
      </w:r>
      <w:r w:rsidR="00EC4CBB" w:rsidRPr="00EC4CBB">
        <w:rPr>
          <w:rFonts w:cs="Arial"/>
        </w:rPr>
        <w:t>repeal</w:t>
      </w:r>
      <w:r w:rsidR="00EC4CBB">
        <w:rPr>
          <w:rFonts w:cs="Arial"/>
        </w:rPr>
        <w:t>s</w:t>
      </w:r>
      <w:r w:rsidR="00EC4CBB" w:rsidRPr="00EC4CBB">
        <w:rPr>
          <w:rFonts w:cs="Arial"/>
        </w:rPr>
        <w:t xml:space="preserve"> </w:t>
      </w:r>
      <w:r w:rsidR="001425AD">
        <w:rPr>
          <w:rFonts w:cs="Arial"/>
        </w:rPr>
        <w:t xml:space="preserve">and substitutes </w:t>
      </w:r>
      <w:r w:rsidR="00EC4CBB" w:rsidRPr="00EC4CBB">
        <w:rPr>
          <w:rFonts w:cs="Arial"/>
        </w:rPr>
        <w:t xml:space="preserve">Chapter 4 of the </w:t>
      </w:r>
      <w:r w:rsidR="00EC4CBB" w:rsidRPr="00EC4CBB">
        <w:rPr>
          <w:rFonts w:cs="Arial"/>
          <w:i/>
        </w:rPr>
        <w:t>Other Grants Guidelines (Education) 2012</w:t>
      </w:r>
      <w:r w:rsidR="003F3458">
        <w:rPr>
          <w:rFonts w:cs="Arial"/>
        </w:rPr>
        <w:t xml:space="preserve">. </w:t>
      </w:r>
    </w:p>
    <w:p w:rsidR="00503FB0" w:rsidRDefault="00503FB0" w:rsidP="00EC4CBB">
      <w:pPr>
        <w:rPr>
          <w:rFonts w:cs="Arial"/>
        </w:rPr>
      </w:pPr>
    </w:p>
    <w:p w:rsidR="00EC4CBB" w:rsidRPr="0013596F" w:rsidRDefault="00503FB0" w:rsidP="00EC4CBB">
      <w:pPr>
        <w:rPr>
          <w:rFonts w:cs="Arial"/>
          <w:b/>
          <w:color w:val="FF0000"/>
          <w:sz w:val="24"/>
          <w:szCs w:val="24"/>
        </w:rPr>
      </w:pPr>
      <w:r>
        <w:rPr>
          <w:rFonts w:cs="Arial"/>
        </w:rPr>
        <w:t>New Chapter 4</w:t>
      </w:r>
      <w:r w:rsidR="0039206B">
        <w:rPr>
          <w:rFonts w:cs="Arial"/>
        </w:rPr>
        <w:t xml:space="preserve"> contains provisions as follows</w:t>
      </w:r>
      <w:r w:rsidR="001425AD">
        <w:rPr>
          <w:rFonts w:cs="Arial"/>
        </w:rPr>
        <w:t xml:space="preserve">: </w:t>
      </w:r>
    </w:p>
    <w:p w:rsidR="0045573F" w:rsidRPr="006250DF" w:rsidRDefault="001425AD" w:rsidP="006250DF">
      <w:pPr>
        <w:spacing w:before="240" w:after="120"/>
        <w:rPr>
          <w:rFonts w:cs="Arial"/>
        </w:rPr>
      </w:pPr>
      <w:r>
        <w:rPr>
          <w:rFonts w:cs="Arial"/>
          <w:u w:val="single"/>
        </w:rPr>
        <w:t>Paragraph</w:t>
      </w:r>
      <w:r w:rsidRPr="0045573F">
        <w:rPr>
          <w:rFonts w:cs="Arial"/>
          <w:u w:val="single"/>
        </w:rPr>
        <w:t xml:space="preserve"> </w:t>
      </w:r>
      <w:r w:rsidR="0045573F" w:rsidRPr="0045573F">
        <w:rPr>
          <w:rFonts w:cs="Arial"/>
          <w:u w:val="single"/>
        </w:rPr>
        <w:t xml:space="preserve">4.1 </w:t>
      </w:r>
      <w:r w:rsidRPr="006250DF">
        <w:rPr>
          <w:rFonts w:cs="Arial"/>
        </w:rPr>
        <w:t>sets out the purpose of the Higher Education Superannuation Programme (</w:t>
      </w:r>
      <w:proofErr w:type="spellStart"/>
      <w:r w:rsidRPr="006250DF">
        <w:rPr>
          <w:rFonts w:cs="Arial"/>
        </w:rPr>
        <w:t>HESP</w:t>
      </w:r>
      <w:proofErr w:type="spellEnd"/>
      <w:r w:rsidRPr="006250DF">
        <w:rPr>
          <w:rFonts w:cs="Arial"/>
        </w:rPr>
        <w:t>)</w:t>
      </w:r>
    </w:p>
    <w:p w:rsidR="00997314" w:rsidRDefault="00997314" w:rsidP="006250DF">
      <w:pPr>
        <w:spacing w:before="240" w:after="120"/>
        <w:rPr>
          <w:rFonts w:cs="Arial"/>
          <w:u w:val="single"/>
        </w:rPr>
      </w:pPr>
    </w:p>
    <w:p w:rsidR="00255FA4" w:rsidRDefault="001425AD" w:rsidP="006250DF">
      <w:pPr>
        <w:spacing w:before="240" w:after="120"/>
        <w:rPr>
          <w:rFonts w:cs="Arial"/>
        </w:rPr>
      </w:pPr>
      <w:r>
        <w:rPr>
          <w:rFonts w:cs="Arial"/>
          <w:u w:val="single"/>
        </w:rPr>
        <w:lastRenderedPageBreak/>
        <w:t>Paragraph</w:t>
      </w:r>
      <w:r w:rsidR="00255FA4">
        <w:rPr>
          <w:rFonts w:cs="Arial"/>
          <w:u w:val="single"/>
        </w:rPr>
        <w:t xml:space="preserve"> 4.2</w:t>
      </w:r>
      <w:r w:rsidR="0039206B">
        <w:rPr>
          <w:rFonts w:cs="Arial"/>
          <w:u w:val="single"/>
        </w:rPr>
        <w:t xml:space="preserve"> </w:t>
      </w:r>
      <w:r w:rsidR="0039206B" w:rsidRPr="006250DF">
        <w:rPr>
          <w:rFonts w:cs="Arial"/>
        </w:rPr>
        <w:t>sets out the program</w:t>
      </w:r>
      <w:r w:rsidR="006250DF">
        <w:rPr>
          <w:rFonts w:cs="Arial"/>
        </w:rPr>
        <w:t>me</w:t>
      </w:r>
      <w:r w:rsidR="0039206B" w:rsidRPr="006250DF">
        <w:rPr>
          <w:rFonts w:cs="Arial"/>
        </w:rPr>
        <w:t xml:space="preserve"> objectives. In particular, thi</w:t>
      </w:r>
      <w:r w:rsidR="0039206B">
        <w:rPr>
          <w:rFonts w:cs="Arial"/>
        </w:rPr>
        <w:t>s</w:t>
      </w:r>
      <w:r>
        <w:rPr>
          <w:rFonts w:cs="Arial"/>
        </w:rPr>
        <w:t xml:space="preserve"> paragraph substitutes reference to Table A providers with reference to higher education providers. </w:t>
      </w:r>
    </w:p>
    <w:p w:rsidR="00255FA4" w:rsidRPr="00347BF8" w:rsidRDefault="001425AD" w:rsidP="006250DF">
      <w:pPr>
        <w:spacing w:before="240" w:after="120"/>
        <w:rPr>
          <w:rFonts w:cs="Arial"/>
          <w:strike/>
        </w:rPr>
      </w:pPr>
      <w:r>
        <w:rPr>
          <w:rFonts w:cs="Arial"/>
        </w:rPr>
        <w:t xml:space="preserve">Subparagraph </w:t>
      </w:r>
      <w:r w:rsidR="00255FA4">
        <w:rPr>
          <w:rFonts w:cs="Arial"/>
        </w:rPr>
        <w:t xml:space="preserve">4.2.2 </w:t>
      </w:r>
      <w:r>
        <w:rPr>
          <w:rFonts w:cs="Arial"/>
        </w:rPr>
        <w:t xml:space="preserve">provides </w:t>
      </w:r>
      <w:r w:rsidR="00255FA4">
        <w:rPr>
          <w:rFonts w:cs="Arial"/>
        </w:rPr>
        <w:t xml:space="preserve">that </w:t>
      </w:r>
      <w:r>
        <w:rPr>
          <w:rFonts w:cs="Arial"/>
        </w:rPr>
        <w:t xml:space="preserve">a </w:t>
      </w:r>
      <w:r w:rsidR="00255FA4">
        <w:rPr>
          <w:rFonts w:cs="Arial"/>
        </w:rPr>
        <w:t xml:space="preserve">grant </w:t>
      </w:r>
      <w:r w:rsidR="00723EE8">
        <w:rPr>
          <w:rFonts w:cs="Arial"/>
        </w:rPr>
        <w:t xml:space="preserve">under this </w:t>
      </w:r>
      <w:r w:rsidR="006250DF" w:rsidRPr="006250DF">
        <w:rPr>
          <w:rFonts w:cs="Arial"/>
        </w:rPr>
        <w:t>program</w:t>
      </w:r>
      <w:r w:rsidR="006250DF">
        <w:rPr>
          <w:rFonts w:cs="Arial"/>
        </w:rPr>
        <w:t xml:space="preserve">me </w:t>
      </w:r>
      <w:r w:rsidR="00255FA4">
        <w:rPr>
          <w:rFonts w:cs="Arial"/>
        </w:rPr>
        <w:t xml:space="preserve">is </w:t>
      </w:r>
      <w:r>
        <w:rPr>
          <w:rFonts w:cs="Arial"/>
        </w:rPr>
        <w:t xml:space="preserve">only </w:t>
      </w:r>
      <w:r w:rsidR="00255FA4">
        <w:rPr>
          <w:rFonts w:cs="Arial"/>
        </w:rPr>
        <w:t xml:space="preserve">payable </w:t>
      </w:r>
      <w:r>
        <w:rPr>
          <w:rFonts w:cs="Arial"/>
        </w:rPr>
        <w:t xml:space="preserve">to </w:t>
      </w:r>
      <w:r w:rsidR="00255FA4">
        <w:rPr>
          <w:rFonts w:cs="Arial"/>
        </w:rPr>
        <w:t>former employee</w:t>
      </w:r>
      <w:r w:rsidR="005C1324">
        <w:rPr>
          <w:rFonts w:cs="Arial"/>
        </w:rPr>
        <w:t xml:space="preserve">s of </w:t>
      </w:r>
      <w:r>
        <w:rPr>
          <w:rFonts w:cs="Arial"/>
        </w:rPr>
        <w:t xml:space="preserve">an </w:t>
      </w:r>
      <w:r w:rsidR="005C1324">
        <w:rPr>
          <w:rFonts w:cs="Arial"/>
        </w:rPr>
        <w:t xml:space="preserve">eligible provider. </w:t>
      </w:r>
    </w:p>
    <w:p w:rsidR="005C1324" w:rsidRPr="00922B03" w:rsidRDefault="001425AD" w:rsidP="006250DF">
      <w:pPr>
        <w:spacing w:before="240" w:after="120"/>
        <w:rPr>
          <w:rFonts w:cs="Arial"/>
        </w:rPr>
      </w:pPr>
      <w:r>
        <w:rPr>
          <w:rFonts w:cs="Arial"/>
          <w:u w:val="single"/>
        </w:rPr>
        <w:t>Paragraph</w:t>
      </w:r>
      <w:r w:rsidR="0045573F" w:rsidRPr="0045573F">
        <w:rPr>
          <w:rFonts w:cs="Arial"/>
          <w:u w:val="single"/>
        </w:rPr>
        <w:t xml:space="preserve"> 4.3 </w:t>
      </w:r>
      <w:r w:rsidR="00701DE4">
        <w:rPr>
          <w:rFonts w:cs="Arial"/>
        </w:rPr>
        <w:t xml:space="preserve">prescribes the Higher Education Providers who are eligible to receive grants, as well as the eligible superannuation schemes or funds. </w:t>
      </w:r>
    </w:p>
    <w:p w:rsidR="00EE5A85" w:rsidRDefault="001425AD" w:rsidP="006250DF">
      <w:pPr>
        <w:spacing w:before="240" w:after="120"/>
        <w:rPr>
          <w:rFonts w:cs="Arial"/>
        </w:rPr>
      </w:pPr>
      <w:r>
        <w:rPr>
          <w:rFonts w:cs="Arial"/>
          <w:u w:val="single"/>
        </w:rPr>
        <w:t>Paragraph</w:t>
      </w:r>
      <w:r w:rsidR="0045573F" w:rsidRPr="0045573F">
        <w:rPr>
          <w:rFonts w:cs="Arial"/>
          <w:u w:val="single"/>
        </w:rPr>
        <w:t xml:space="preserve"> 4.4</w:t>
      </w:r>
      <w:r w:rsidR="0039206B">
        <w:rPr>
          <w:rFonts w:cs="Arial"/>
          <w:u w:val="single"/>
        </w:rPr>
        <w:t xml:space="preserve"> </w:t>
      </w:r>
      <w:r w:rsidR="00701DE4">
        <w:rPr>
          <w:rFonts w:cs="Arial"/>
        </w:rPr>
        <w:t xml:space="preserve">substitutes </w:t>
      </w:r>
      <w:r w:rsidR="00E04F92">
        <w:rPr>
          <w:rFonts w:cs="Arial"/>
        </w:rPr>
        <w:t xml:space="preserve">previous </w:t>
      </w:r>
      <w:r w:rsidR="00701DE4">
        <w:rPr>
          <w:rFonts w:cs="Arial"/>
        </w:rPr>
        <w:t xml:space="preserve">paragraph </w:t>
      </w:r>
      <w:r w:rsidR="00E04F92">
        <w:rPr>
          <w:rFonts w:cs="Arial"/>
        </w:rPr>
        <w:t>4.</w:t>
      </w:r>
      <w:r w:rsidR="00701DE4">
        <w:rPr>
          <w:rFonts w:cs="Arial"/>
        </w:rPr>
        <w:t xml:space="preserve">4 </w:t>
      </w:r>
      <w:r w:rsidR="00E04F92">
        <w:rPr>
          <w:rFonts w:cs="Arial"/>
        </w:rPr>
        <w:t xml:space="preserve">‘allocation of grants’. </w:t>
      </w:r>
      <w:r w:rsidR="00701DE4">
        <w:rPr>
          <w:rFonts w:cs="Arial"/>
        </w:rPr>
        <w:t>It prescribes the matters which grants made under this program</w:t>
      </w:r>
      <w:r w:rsidR="006250DF">
        <w:rPr>
          <w:rFonts w:cs="Arial"/>
        </w:rPr>
        <w:t>me</w:t>
      </w:r>
      <w:r w:rsidR="00701DE4">
        <w:rPr>
          <w:rFonts w:cs="Arial"/>
        </w:rPr>
        <w:t xml:space="preserve"> may cover. In addition, t</w:t>
      </w:r>
      <w:r w:rsidR="00982D67">
        <w:rPr>
          <w:rFonts w:cs="Arial"/>
        </w:rPr>
        <w:t>h</w:t>
      </w:r>
      <w:r w:rsidR="00701DE4">
        <w:rPr>
          <w:rFonts w:cs="Arial"/>
        </w:rPr>
        <w:t>is paragraph</w:t>
      </w:r>
      <w:r w:rsidR="00982D67">
        <w:rPr>
          <w:rFonts w:cs="Arial"/>
        </w:rPr>
        <w:t xml:space="preserve"> </w:t>
      </w:r>
      <w:r w:rsidR="00701DE4">
        <w:rPr>
          <w:rFonts w:cs="Arial"/>
        </w:rPr>
        <w:t xml:space="preserve">omits </w:t>
      </w:r>
      <w:r w:rsidR="00982D67">
        <w:rPr>
          <w:rFonts w:cs="Arial"/>
        </w:rPr>
        <w:t xml:space="preserve">reference to the Minister </w:t>
      </w:r>
      <w:r w:rsidR="00214D7A">
        <w:rPr>
          <w:rFonts w:cs="Arial"/>
        </w:rPr>
        <w:t>approving Administrative Information for Providers</w:t>
      </w:r>
      <w:r w:rsidR="00EE5A85">
        <w:rPr>
          <w:rFonts w:cs="Arial"/>
        </w:rPr>
        <w:t xml:space="preserve"> as the </w:t>
      </w:r>
      <w:r w:rsidR="00233907">
        <w:rPr>
          <w:rFonts w:cs="Arial"/>
        </w:rPr>
        <w:t>Administr</w:t>
      </w:r>
      <w:r w:rsidR="00EE5A85">
        <w:rPr>
          <w:rFonts w:cs="Arial"/>
        </w:rPr>
        <w:t xml:space="preserve">ative Information for Providers </w:t>
      </w:r>
      <w:r w:rsidR="00D23BC5">
        <w:rPr>
          <w:rFonts w:cs="Arial"/>
        </w:rPr>
        <w:t>is</w:t>
      </w:r>
      <w:r w:rsidR="00EE5A85">
        <w:rPr>
          <w:rFonts w:cs="Arial"/>
        </w:rPr>
        <w:t xml:space="preserve"> unrelated to </w:t>
      </w:r>
      <w:proofErr w:type="spellStart"/>
      <w:r w:rsidR="00EE5A85">
        <w:rPr>
          <w:rFonts w:cs="Arial"/>
        </w:rPr>
        <w:t>HESP</w:t>
      </w:r>
      <w:proofErr w:type="spellEnd"/>
      <w:r w:rsidR="00EE5A85">
        <w:rPr>
          <w:rFonts w:cs="Arial"/>
        </w:rPr>
        <w:t xml:space="preserve">. </w:t>
      </w:r>
    </w:p>
    <w:p w:rsidR="001C6AEA" w:rsidRDefault="001425AD" w:rsidP="006250DF">
      <w:pPr>
        <w:spacing w:before="240" w:after="120"/>
        <w:rPr>
          <w:rFonts w:cs="Arial"/>
        </w:rPr>
      </w:pPr>
      <w:r>
        <w:rPr>
          <w:rFonts w:cs="Arial"/>
          <w:u w:val="single"/>
        </w:rPr>
        <w:t>Paragraph</w:t>
      </w:r>
      <w:r w:rsidR="00E04F92" w:rsidRPr="001C6AEA">
        <w:rPr>
          <w:rFonts w:cs="Arial"/>
          <w:u w:val="single"/>
        </w:rPr>
        <w:t xml:space="preserve"> 4.5</w:t>
      </w:r>
      <w:r w:rsidR="00701DE4">
        <w:rPr>
          <w:rFonts w:cs="Arial"/>
        </w:rPr>
        <w:t xml:space="preserve"> </w:t>
      </w:r>
      <w:r w:rsidR="009666FD">
        <w:rPr>
          <w:rFonts w:cs="Arial"/>
        </w:rPr>
        <w:t>prescribes</w:t>
      </w:r>
      <w:r w:rsidR="00E04F92">
        <w:rPr>
          <w:rFonts w:cs="Arial"/>
        </w:rPr>
        <w:t xml:space="preserve"> the liabilities and expenses that are not covered under the </w:t>
      </w:r>
      <w:r w:rsidR="006250DF" w:rsidRPr="006250DF">
        <w:rPr>
          <w:rFonts w:cs="Arial"/>
        </w:rPr>
        <w:t>program</w:t>
      </w:r>
      <w:r w:rsidR="006250DF">
        <w:rPr>
          <w:rFonts w:cs="Arial"/>
        </w:rPr>
        <w:t>me</w:t>
      </w:r>
      <w:r w:rsidR="00E04F92">
        <w:rPr>
          <w:rFonts w:cs="Arial"/>
        </w:rPr>
        <w:t xml:space="preserve">.  </w:t>
      </w:r>
    </w:p>
    <w:p w:rsidR="00D67601" w:rsidRDefault="001425AD" w:rsidP="006250DF">
      <w:pPr>
        <w:spacing w:before="240" w:after="120"/>
        <w:rPr>
          <w:rFonts w:cs="Arial"/>
        </w:rPr>
      </w:pPr>
      <w:r>
        <w:rPr>
          <w:rFonts w:cs="Arial"/>
          <w:u w:val="single"/>
        </w:rPr>
        <w:t>Paragraphs</w:t>
      </w:r>
      <w:r w:rsidR="00D67601">
        <w:rPr>
          <w:rFonts w:cs="Arial"/>
          <w:u w:val="single"/>
        </w:rPr>
        <w:t xml:space="preserve"> 4.6</w:t>
      </w:r>
      <w:r w:rsidR="00F7450C">
        <w:rPr>
          <w:rFonts w:cs="Arial"/>
          <w:u w:val="single"/>
        </w:rPr>
        <w:t xml:space="preserve"> </w:t>
      </w:r>
      <w:r w:rsidR="009666FD">
        <w:rPr>
          <w:rFonts w:cs="Arial"/>
        </w:rPr>
        <w:t xml:space="preserve">provides that grants made under this </w:t>
      </w:r>
      <w:r w:rsidR="006250DF" w:rsidRPr="006250DF">
        <w:rPr>
          <w:rFonts w:cs="Arial"/>
        </w:rPr>
        <w:t>program</w:t>
      </w:r>
      <w:r w:rsidR="006250DF">
        <w:rPr>
          <w:rFonts w:cs="Arial"/>
        </w:rPr>
        <w:t xml:space="preserve">me </w:t>
      </w:r>
      <w:r w:rsidR="009666FD">
        <w:rPr>
          <w:rFonts w:cs="Arial"/>
        </w:rPr>
        <w:t>are to be approved by the Minister.</w:t>
      </w:r>
    </w:p>
    <w:p w:rsidR="006250DF" w:rsidRDefault="009666FD" w:rsidP="006250DF">
      <w:pPr>
        <w:spacing w:before="240" w:after="120"/>
        <w:rPr>
          <w:rFonts w:cs="Arial"/>
        </w:rPr>
      </w:pPr>
      <w:r>
        <w:rPr>
          <w:rFonts w:cs="Arial"/>
          <w:u w:val="single"/>
        </w:rPr>
        <w:t>Paragraphs 4.7</w:t>
      </w:r>
      <w:r w:rsidR="007252F2" w:rsidRPr="007252F2">
        <w:rPr>
          <w:rFonts w:cs="Arial"/>
        </w:rPr>
        <w:t xml:space="preserve"> </w:t>
      </w:r>
      <w:r w:rsidR="007252F2">
        <w:rPr>
          <w:rFonts w:cs="Arial"/>
        </w:rPr>
        <w:t xml:space="preserve">provides that grant amounts paid under this </w:t>
      </w:r>
      <w:r w:rsidR="006250DF" w:rsidRPr="006250DF">
        <w:rPr>
          <w:rFonts w:cs="Arial"/>
        </w:rPr>
        <w:t>program</w:t>
      </w:r>
      <w:r w:rsidR="006250DF">
        <w:rPr>
          <w:rFonts w:cs="Arial"/>
        </w:rPr>
        <w:t xml:space="preserve">me </w:t>
      </w:r>
      <w:r w:rsidR="007252F2">
        <w:rPr>
          <w:rFonts w:cs="Arial"/>
        </w:rPr>
        <w:t>will be determined by the Minister.</w:t>
      </w:r>
    </w:p>
    <w:p w:rsidR="00F7450C" w:rsidRPr="004742AD" w:rsidRDefault="007252F2" w:rsidP="006250DF">
      <w:pPr>
        <w:spacing w:before="240" w:after="120"/>
        <w:rPr>
          <w:rFonts w:cs="Arial"/>
        </w:rPr>
      </w:pPr>
      <w:r w:rsidRPr="006250DF">
        <w:rPr>
          <w:rFonts w:cs="Arial"/>
          <w:u w:val="single"/>
        </w:rPr>
        <w:t>P</w:t>
      </w:r>
      <w:r w:rsidR="009666FD" w:rsidRPr="006250DF">
        <w:rPr>
          <w:rFonts w:cs="Arial"/>
          <w:u w:val="single"/>
        </w:rPr>
        <w:t xml:space="preserve">aragraph </w:t>
      </w:r>
      <w:r w:rsidRPr="006250DF">
        <w:rPr>
          <w:rFonts w:cs="Arial"/>
          <w:u w:val="single"/>
        </w:rPr>
        <w:t>4.8</w:t>
      </w:r>
      <w:r>
        <w:rPr>
          <w:rFonts w:cs="Arial"/>
        </w:rPr>
        <w:t xml:space="preserve"> </w:t>
      </w:r>
      <w:r w:rsidR="009666FD">
        <w:rPr>
          <w:rFonts w:cs="Arial"/>
        </w:rPr>
        <w:t xml:space="preserve">provides that </w:t>
      </w:r>
      <w:r w:rsidR="00B03073">
        <w:rPr>
          <w:rFonts w:cs="Arial"/>
        </w:rPr>
        <w:t xml:space="preserve">the conditions applicable to grants made under this </w:t>
      </w:r>
      <w:r w:rsidR="006250DF" w:rsidRPr="006250DF">
        <w:rPr>
          <w:rFonts w:cs="Arial"/>
        </w:rPr>
        <w:t>program</w:t>
      </w:r>
      <w:r w:rsidR="006250DF">
        <w:rPr>
          <w:rFonts w:cs="Arial"/>
        </w:rPr>
        <w:t xml:space="preserve">me </w:t>
      </w:r>
      <w:r w:rsidR="00B03073">
        <w:rPr>
          <w:rFonts w:cs="Arial"/>
        </w:rPr>
        <w:t xml:space="preserve">will be determined by the Minister in accordance with Section 41-25 of the Act. </w:t>
      </w:r>
    </w:p>
    <w:p w:rsidR="0093448A" w:rsidRDefault="007252F2" w:rsidP="006250DF">
      <w:pPr>
        <w:spacing w:before="240" w:after="120"/>
        <w:rPr>
          <w:rFonts w:cs="Arial"/>
        </w:rPr>
      </w:pPr>
      <w:r w:rsidRPr="006250DF">
        <w:rPr>
          <w:rFonts w:cs="Arial"/>
          <w:u w:val="single"/>
        </w:rPr>
        <w:t>P</w:t>
      </w:r>
      <w:r w:rsidR="00B03073" w:rsidRPr="006250DF">
        <w:rPr>
          <w:rFonts w:cs="Arial"/>
          <w:u w:val="single"/>
        </w:rPr>
        <w:t>aragraph</w:t>
      </w:r>
      <w:r w:rsidR="00F62B78">
        <w:rPr>
          <w:rFonts w:cs="Arial"/>
          <w:u w:val="single"/>
        </w:rPr>
        <w:t xml:space="preserve"> 4.9</w:t>
      </w:r>
      <w:r w:rsidR="00B03073">
        <w:rPr>
          <w:rFonts w:cs="Arial"/>
        </w:rPr>
        <w:t xml:space="preserve"> </w:t>
      </w:r>
      <w:r w:rsidR="00F7450C">
        <w:rPr>
          <w:rFonts w:cs="Arial"/>
        </w:rPr>
        <w:t>specifies</w:t>
      </w:r>
      <w:r w:rsidR="00950EA6">
        <w:rPr>
          <w:rFonts w:cs="Arial"/>
        </w:rPr>
        <w:t xml:space="preserve"> </w:t>
      </w:r>
      <w:r w:rsidR="00382DA8">
        <w:rPr>
          <w:rFonts w:cs="Arial"/>
        </w:rPr>
        <w:t xml:space="preserve">the </w:t>
      </w:r>
      <w:r w:rsidR="00950EA6">
        <w:rPr>
          <w:rFonts w:cs="Arial"/>
        </w:rPr>
        <w:t xml:space="preserve">reconciliation process </w:t>
      </w:r>
      <w:r w:rsidR="00382DA8">
        <w:rPr>
          <w:rFonts w:cs="Arial"/>
        </w:rPr>
        <w:t xml:space="preserve">conducted for the </w:t>
      </w:r>
      <w:r w:rsidR="006250DF" w:rsidRPr="006250DF">
        <w:rPr>
          <w:rFonts w:cs="Arial"/>
        </w:rPr>
        <w:t>program</w:t>
      </w:r>
      <w:r w:rsidR="006250DF">
        <w:rPr>
          <w:rFonts w:cs="Arial"/>
        </w:rPr>
        <w:t xml:space="preserve">me </w:t>
      </w:r>
      <w:r w:rsidR="00B03073">
        <w:rPr>
          <w:rFonts w:cs="Arial"/>
        </w:rPr>
        <w:t>as well as the</w:t>
      </w:r>
      <w:r w:rsidR="00382DA8">
        <w:rPr>
          <w:rFonts w:cs="Arial"/>
        </w:rPr>
        <w:t xml:space="preserve"> supporting documentation required for this process. </w:t>
      </w:r>
    </w:p>
    <w:p w:rsidR="00030BA7" w:rsidRDefault="00030BA7" w:rsidP="006250DF">
      <w:pPr>
        <w:spacing w:before="240" w:after="120"/>
        <w:rPr>
          <w:rFonts w:cs="Arial"/>
        </w:rPr>
      </w:pPr>
    </w:p>
    <w:p w:rsidR="00030BA7" w:rsidRDefault="00030BA7">
      <w:pPr>
        <w:rPr>
          <w:rFonts w:cs="Arial"/>
        </w:rPr>
      </w:pPr>
      <w:r>
        <w:rPr>
          <w:rFonts w:cs="Arial"/>
        </w:rPr>
        <w:br w:type="page"/>
      </w:r>
    </w:p>
    <w:p w:rsidR="00030BA7" w:rsidRDefault="00030BA7" w:rsidP="00030BA7">
      <w:pPr>
        <w:jc w:val="center"/>
        <w:rPr>
          <w:rFonts w:cs="Arial"/>
          <w:b/>
          <w:szCs w:val="22"/>
        </w:rPr>
      </w:pPr>
      <w:r w:rsidRPr="00587407">
        <w:rPr>
          <w:rFonts w:cs="Arial"/>
          <w:b/>
          <w:szCs w:val="22"/>
        </w:rPr>
        <w:lastRenderedPageBreak/>
        <w:t>STATEMENT OF COMPATIBILITY WITH HUMAN RIGHTS</w:t>
      </w:r>
    </w:p>
    <w:p w:rsidR="00030BA7" w:rsidRPr="00941969" w:rsidRDefault="00030BA7" w:rsidP="00030BA7">
      <w:pPr>
        <w:jc w:val="center"/>
        <w:rPr>
          <w:rFonts w:asciiTheme="minorHAnsi" w:hAnsiTheme="minorHAnsi" w:cstheme="minorHAnsi"/>
          <w:b/>
          <w:sz w:val="24"/>
          <w:szCs w:val="24"/>
        </w:rPr>
      </w:pPr>
    </w:p>
    <w:p w:rsidR="00030BA7" w:rsidRPr="00587407" w:rsidRDefault="00030BA7" w:rsidP="00030BA7">
      <w:pPr>
        <w:jc w:val="center"/>
        <w:rPr>
          <w:rFonts w:cs="Arial"/>
          <w:szCs w:val="22"/>
        </w:rPr>
      </w:pPr>
      <w:r w:rsidRPr="00587407">
        <w:rPr>
          <w:rFonts w:cs="Arial"/>
          <w:szCs w:val="22"/>
        </w:rPr>
        <w:t xml:space="preserve">Prepared in accordance with Part 3 of the </w:t>
      </w:r>
      <w:r w:rsidRPr="00587407">
        <w:rPr>
          <w:rFonts w:cs="Arial"/>
          <w:i/>
          <w:szCs w:val="22"/>
        </w:rPr>
        <w:t>Human Rights (Parliamentary Scrutiny) Act 2011</w:t>
      </w:r>
    </w:p>
    <w:p w:rsidR="00030BA7" w:rsidRPr="00941969" w:rsidRDefault="00030BA7" w:rsidP="00030BA7">
      <w:pPr>
        <w:jc w:val="center"/>
        <w:rPr>
          <w:rFonts w:asciiTheme="minorHAnsi" w:hAnsiTheme="minorHAnsi" w:cstheme="minorHAnsi"/>
          <w:sz w:val="24"/>
          <w:szCs w:val="24"/>
        </w:rPr>
      </w:pPr>
    </w:p>
    <w:p w:rsidR="00030BA7" w:rsidRPr="00587407" w:rsidRDefault="00030BA7" w:rsidP="00030BA7">
      <w:pPr>
        <w:tabs>
          <w:tab w:val="left" w:pos="851"/>
        </w:tabs>
        <w:jc w:val="center"/>
        <w:rPr>
          <w:rFonts w:cs="Arial"/>
          <w:b/>
          <w:szCs w:val="22"/>
        </w:rPr>
      </w:pPr>
      <w:r w:rsidRPr="00587407">
        <w:rPr>
          <w:rFonts w:cs="Arial"/>
          <w:b/>
          <w:szCs w:val="22"/>
        </w:rPr>
        <w:t>Higher Education Support Act 2003</w:t>
      </w:r>
    </w:p>
    <w:p w:rsidR="00030BA7" w:rsidRPr="00587407" w:rsidRDefault="00030BA7" w:rsidP="00030BA7">
      <w:pPr>
        <w:tabs>
          <w:tab w:val="left" w:pos="851"/>
        </w:tabs>
        <w:jc w:val="center"/>
        <w:rPr>
          <w:rFonts w:cs="Arial"/>
          <w:b/>
          <w:szCs w:val="22"/>
        </w:rPr>
      </w:pPr>
    </w:p>
    <w:p w:rsidR="00030BA7" w:rsidRPr="00587407" w:rsidRDefault="00030BA7" w:rsidP="00030BA7">
      <w:pPr>
        <w:tabs>
          <w:tab w:val="left" w:pos="851"/>
        </w:tabs>
        <w:jc w:val="center"/>
        <w:rPr>
          <w:rFonts w:cs="Arial"/>
          <w:b/>
          <w:szCs w:val="22"/>
        </w:rPr>
      </w:pPr>
      <w:r w:rsidRPr="00587407">
        <w:rPr>
          <w:rFonts w:cs="Arial"/>
          <w:b/>
          <w:szCs w:val="22"/>
        </w:rPr>
        <w:t>OTHER GRANTS GUIDELINES (EDUCATION) 2012</w:t>
      </w:r>
    </w:p>
    <w:p w:rsidR="00030BA7" w:rsidRPr="00941969" w:rsidRDefault="00030BA7" w:rsidP="00030BA7">
      <w:pPr>
        <w:tabs>
          <w:tab w:val="left" w:pos="851"/>
        </w:tabs>
        <w:jc w:val="center"/>
        <w:rPr>
          <w:rFonts w:cs="Arial"/>
          <w:b/>
          <w:bCs/>
          <w:iCs/>
          <w:sz w:val="24"/>
          <w:szCs w:val="24"/>
        </w:rPr>
      </w:pPr>
    </w:p>
    <w:p w:rsidR="00030BA7" w:rsidRPr="00587407" w:rsidRDefault="00030BA7" w:rsidP="00030BA7">
      <w:pPr>
        <w:jc w:val="center"/>
        <w:rPr>
          <w:rFonts w:cs="Arial"/>
          <w:szCs w:val="22"/>
        </w:rPr>
      </w:pPr>
      <w:r w:rsidRPr="00587407">
        <w:rPr>
          <w:rFonts w:cs="Arial"/>
          <w:szCs w:val="22"/>
        </w:rPr>
        <w:t xml:space="preserve">Amendments to Guidelines made pursuant to section 238-10 of the </w:t>
      </w:r>
    </w:p>
    <w:p w:rsidR="00030BA7" w:rsidRPr="00587407" w:rsidRDefault="00030BA7" w:rsidP="00030BA7">
      <w:pPr>
        <w:jc w:val="center"/>
        <w:rPr>
          <w:rFonts w:cs="Arial"/>
          <w:i/>
          <w:szCs w:val="22"/>
        </w:rPr>
      </w:pPr>
      <w:r w:rsidRPr="00587407">
        <w:rPr>
          <w:rFonts w:cs="Arial"/>
          <w:i/>
          <w:szCs w:val="22"/>
        </w:rPr>
        <w:t>Higher Education Support Act 2003</w:t>
      </w:r>
    </w:p>
    <w:p w:rsidR="00030BA7" w:rsidRPr="00941969" w:rsidRDefault="00030BA7" w:rsidP="00030BA7">
      <w:pPr>
        <w:rPr>
          <w:rFonts w:asciiTheme="minorHAnsi" w:hAnsiTheme="minorHAnsi" w:cstheme="minorHAnsi"/>
          <w:b/>
          <w:sz w:val="24"/>
          <w:szCs w:val="24"/>
        </w:rPr>
      </w:pPr>
    </w:p>
    <w:p w:rsidR="00030BA7" w:rsidRPr="00941969" w:rsidRDefault="00030BA7" w:rsidP="00030BA7">
      <w:pPr>
        <w:spacing w:before="120" w:after="120"/>
        <w:rPr>
          <w:rFonts w:cs="Arial"/>
          <w:i/>
          <w:szCs w:val="22"/>
        </w:rPr>
      </w:pPr>
      <w:r w:rsidRPr="00941969">
        <w:rPr>
          <w:rFonts w:cs="Arial"/>
          <w:szCs w:val="22"/>
        </w:rPr>
        <w:t xml:space="preserve">This Instrument is compatible with the human rights and freedoms recognised or declared in the international instruments listed in section 3 of the </w:t>
      </w:r>
      <w:r w:rsidRPr="00941969">
        <w:rPr>
          <w:rFonts w:cs="Arial"/>
          <w:i/>
          <w:szCs w:val="22"/>
        </w:rPr>
        <w:t>Human Rights (Parliamentary Scrutiny) Act 2011.</w:t>
      </w:r>
    </w:p>
    <w:p w:rsidR="00030BA7" w:rsidRPr="00941969" w:rsidRDefault="00030BA7" w:rsidP="00030BA7">
      <w:pPr>
        <w:spacing w:before="240" w:after="120"/>
        <w:rPr>
          <w:rFonts w:cs="Arial"/>
          <w:b/>
          <w:szCs w:val="22"/>
        </w:rPr>
      </w:pPr>
      <w:r w:rsidRPr="00941969">
        <w:rPr>
          <w:rFonts w:cs="Arial"/>
          <w:b/>
          <w:szCs w:val="22"/>
        </w:rPr>
        <w:t>Overview of the Legislative Instrument</w:t>
      </w:r>
    </w:p>
    <w:p w:rsidR="00030BA7" w:rsidRPr="00941969" w:rsidRDefault="00030BA7" w:rsidP="00030BA7">
      <w:pPr>
        <w:spacing w:before="120" w:after="120"/>
        <w:rPr>
          <w:rFonts w:cs="Arial"/>
          <w:szCs w:val="22"/>
        </w:rPr>
      </w:pPr>
      <w:r w:rsidRPr="00941969">
        <w:rPr>
          <w:rFonts w:cs="Arial"/>
          <w:szCs w:val="22"/>
        </w:rPr>
        <w:t xml:space="preserve">The Instrument is made by the Minister under Section 238-10 of the </w:t>
      </w:r>
      <w:r w:rsidRPr="00587407">
        <w:rPr>
          <w:rFonts w:cs="Arial"/>
          <w:i/>
          <w:szCs w:val="22"/>
        </w:rPr>
        <w:t>Higher Education Support Act 2003 (</w:t>
      </w:r>
      <w:r w:rsidRPr="00941969">
        <w:rPr>
          <w:rFonts w:cs="Arial"/>
          <w:szCs w:val="22"/>
        </w:rPr>
        <w:t>the Act).  In particular item 8 of section 238-10 specifies</w:t>
      </w:r>
      <w:r>
        <w:rPr>
          <w:rFonts w:cs="Arial"/>
          <w:szCs w:val="22"/>
        </w:rPr>
        <w:t xml:space="preserve"> that</w:t>
      </w:r>
      <w:r w:rsidRPr="00941969">
        <w:rPr>
          <w:rFonts w:cs="Arial"/>
          <w:szCs w:val="22"/>
        </w:rPr>
        <w:t xml:space="preserve"> the Minister may make Other Grants Guidelines to give effect to matters under Part 2-3 of the Act.</w:t>
      </w:r>
    </w:p>
    <w:p w:rsidR="00030BA7" w:rsidRDefault="00030BA7" w:rsidP="00030BA7">
      <w:pPr>
        <w:spacing w:before="120" w:after="120"/>
        <w:rPr>
          <w:rFonts w:cs="Arial"/>
          <w:szCs w:val="22"/>
        </w:rPr>
      </w:pPr>
      <w:r w:rsidRPr="00941969">
        <w:rPr>
          <w:rFonts w:cs="Arial"/>
          <w:szCs w:val="22"/>
        </w:rPr>
        <w:t xml:space="preserve">The purpose of this legislative instrument is to </w:t>
      </w:r>
      <w:r>
        <w:rPr>
          <w:rFonts w:cs="Arial"/>
          <w:szCs w:val="22"/>
        </w:rPr>
        <w:t xml:space="preserve">amend the </w:t>
      </w:r>
      <w:r w:rsidRPr="003E6DE5">
        <w:rPr>
          <w:rFonts w:cs="Arial"/>
          <w:i/>
          <w:szCs w:val="22"/>
        </w:rPr>
        <w:t>Other Grants Guidelines (Education) 2012</w:t>
      </w:r>
      <w:r>
        <w:rPr>
          <w:rFonts w:cs="Arial"/>
          <w:szCs w:val="22"/>
        </w:rPr>
        <w:t xml:space="preserve"> to </w:t>
      </w:r>
      <w:r w:rsidRPr="00941969">
        <w:rPr>
          <w:rFonts w:cs="Arial"/>
          <w:szCs w:val="22"/>
        </w:rPr>
        <w:t xml:space="preserve">enable funds to be provided to </w:t>
      </w:r>
      <w:r>
        <w:rPr>
          <w:rFonts w:cs="Arial"/>
          <w:szCs w:val="22"/>
        </w:rPr>
        <w:t>eligible</w:t>
      </w:r>
      <w:r w:rsidRPr="00941969">
        <w:rPr>
          <w:rFonts w:cs="Arial"/>
          <w:szCs w:val="22"/>
        </w:rPr>
        <w:t xml:space="preserve"> New South Wales universities to assist with the cost of </w:t>
      </w:r>
      <w:r>
        <w:rPr>
          <w:rFonts w:cs="Arial"/>
          <w:szCs w:val="22"/>
        </w:rPr>
        <w:t>their</w:t>
      </w:r>
      <w:r w:rsidRPr="00941969">
        <w:rPr>
          <w:rFonts w:cs="Arial"/>
          <w:szCs w:val="22"/>
        </w:rPr>
        <w:t xml:space="preserve"> superannuation liabilities under the Higher Education Superannuation Program</w:t>
      </w:r>
      <w:r>
        <w:rPr>
          <w:rFonts w:cs="Arial"/>
          <w:szCs w:val="22"/>
        </w:rPr>
        <w:t>me</w:t>
      </w:r>
      <w:r w:rsidRPr="00941969">
        <w:rPr>
          <w:rFonts w:cs="Arial"/>
          <w:szCs w:val="22"/>
        </w:rPr>
        <w:t xml:space="preserve"> (</w:t>
      </w:r>
      <w:proofErr w:type="spellStart"/>
      <w:r w:rsidRPr="00941969">
        <w:rPr>
          <w:rFonts w:cs="Arial"/>
          <w:szCs w:val="22"/>
        </w:rPr>
        <w:t>HESP</w:t>
      </w:r>
      <w:proofErr w:type="spellEnd"/>
      <w:r w:rsidRPr="00941969">
        <w:rPr>
          <w:rFonts w:cs="Arial"/>
          <w:szCs w:val="22"/>
        </w:rPr>
        <w:t xml:space="preserve">). </w:t>
      </w:r>
    </w:p>
    <w:p w:rsidR="00030BA7" w:rsidRPr="00941969" w:rsidRDefault="00030BA7" w:rsidP="00030BA7">
      <w:pPr>
        <w:spacing w:before="120" w:after="120"/>
        <w:rPr>
          <w:rFonts w:cs="Arial"/>
          <w:szCs w:val="22"/>
        </w:rPr>
      </w:pPr>
      <w:r w:rsidRPr="00941969">
        <w:rPr>
          <w:rFonts w:cs="Arial"/>
          <w:szCs w:val="22"/>
        </w:rPr>
        <w:t>The 2014</w:t>
      </w:r>
      <w:r>
        <w:rPr>
          <w:rFonts w:cs="Arial"/>
          <w:szCs w:val="22"/>
        </w:rPr>
        <w:t xml:space="preserve"> </w:t>
      </w:r>
      <w:r w:rsidRPr="00941969">
        <w:rPr>
          <w:rFonts w:cs="Arial"/>
          <w:szCs w:val="22"/>
        </w:rPr>
        <w:t xml:space="preserve">-15 Budget includes provision for the resumption of the </w:t>
      </w:r>
      <w:proofErr w:type="spellStart"/>
      <w:r w:rsidRPr="00941969">
        <w:rPr>
          <w:rFonts w:cs="Arial"/>
          <w:szCs w:val="22"/>
        </w:rPr>
        <w:t>HESP</w:t>
      </w:r>
      <w:proofErr w:type="spellEnd"/>
      <w:r w:rsidRPr="00941969">
        <w:rPr>
          <w:rFonts w:cs="Arial"/>
          <w:szCs w:val="22"/>
        </w:rPr>
        <w:t xml:space="preserve"> to eligible universities, subject to agreement with the NSW Government</w:t>
      </w:r>
      <w:r>
        <w:rPr>
          <w:rFonts w:cs="Arial"/>
          <w:szCs w:val="22"/>
        </w:rPr>
        <w:t>.</w:t>
      </w:r>
    </w:p>
    <w:p w:rsidR="00030BA7" w:rsidRDefault="00030BA7" w:rsidP="00030BA7">
      <w:pPr>
        <w:spacing w:before="120" w:after="120"/>
        <w:rPr>
          <w:rFonts w:cs="Arial"/>
          <w:szCs w:val="22"/>
        </w:rPr>
      </w:pPr>
      <w:r w:rsidRPr="00941969">
        <w:rPr>
          <w:rFonts w:cs="Arial"/>
          <w:szCs w:val="22"/>
        </w:rPr>
        <w:t xml:space="preserve">The Department of Education is responsible for managing the supplementation of superannuation liabilities relating to former university employees who </w:t>
      </w:r>
      <w:r>
        <w:rPr>
          <w:rFonts w:cs="Arial"/>
          <w:szCs w:val="22"/>
        </w:rPr>
        <w:t xml:space="preserve">are members of </w:t>
      </w:r>
      <w:r w:rsidRPr="00941969">
        <w:rPr>
          <w:rFonts w:cs="Arial"/>
          <w:szCs w:val="22"/>
        </w:rPr>
        <w:t xml:space="preserve">State-based superannuation schemes.  </w:t>
      </w:r>
    </w:p>
    <w:p w:rsidR="00030BA7" w:rsidRPr="00941969" w:rsidRDefault="00030BA7" w:rsidP="00030BA7">
      <w:pPr>
        <w:spacing w:before="120" w:after="120"/>
        <w:rPr>
          <w:rFonts w:cs="Arial"/>
          <w:szCs w:val="22"/>
        </w:rPr>
      </w:pPr>
      <w:r w:rsidRPr="00941969">
        <w:rPr>
          <w:rFonts w:cs="Arial"/>
          <w:szCs w:val="22"/>
        </w:rPr>
        <w:t xml:space="preserve">The department provides supplementary financial assistance to universities through the </w:t>
      </w:r>
      <w:proofErr w:type="spellStart"/>
      <w:r>
        <w:rPr>
          <w:rFonts w:cs="Arial"/>
          <w:szCs w:val="22"/>
        </w:rPr>
        <w:t>HESP</w:t>
      </w:r>
      <w:proofErr w:type="spellEnd"/>
      <w:r w:rsidRPr="00941969">
        <w:rPr>
          <w:rFonts w:cs="Arial"/>
          <w:szCs w:val="22"/>
        </w:rPr>
        <w:t xml:space="preserve"> to meet annual expenses in respect of unfunded superannuation liabilities. A portion of the funding is recovered from participating States (Victoria, Western Australia, South Australia and Tasmania) under cost sharing arrangements.</w:t>
      </w:r>
    </w:p>
    <w:p w:rsidR="00030BA7" w:rsidRDefault="00030BA7" w:rsidP="00030BA7">
      <w:pPr>
        <w:spacing w:before="240" w:after="120"/>
        <w:rPr>
          <w:rFonts w:cs="Arial"/>
          <w:b/>
          <w:szCs w:val="22"/>
        </w:rPr>
      </w:pPr>
      <w:r w:rsidRPr="00941969">
        <w:rPr>
          <w:rFonts w:cs="Arial"/>
          <w:b/>
          <w:szCs w:val="22"/>
        </w:rPr>
        <w:t>Human rights implications</w:t>
      </w:r>
    </w:p>
    <w:p w:rsidR="00030BA7" w:rsidRPr="00804EFE" w:rsidRDefault="00030BA7" w:rsidP="00030BA7">
      <w:pPr>
        <w:spacing w:before="120" w:after="120"/>
        <w:rPr>
          <w:rFonts w:cs="Arial"/>
          <w:i/>
          <w:szCs w:val="22"/>
        </w:rPr>
      </w:pPr>
      <w:r>
        <w:rPr>
          <w:rFonts w:cs="Arial"/>
          <w:i/>
          <w:szCs w:val="22"/>
        </w:rPr>
        <w:t>Right to just and favourable working conditions.</w:t>
      </w:r>
    </w:p>
    <w:p w:rsidR="00030BA7" w:rsidRPr="00F438D0" w:rsidRDefault="00030BA7" w:rsidP="00030BA7">
      <w:pPr>
        <w:spacing w:before="120" w:after="120"/>
        <w:rPr>
          <w:rFonts w:cs="Arial"/>
          <w:szCs w:val="22"/>
        </w:rPr>
      </w:pPr>
      <w:r w:rsidRPr="00F438D0">
        <w:rPr>
          <w:rFonts w:cs="Arial"/>
          <w:szCs w:val="22"/>
        </w:rPr>
        <w:t xml:space="preserve">This Legislative Instrument engages the </w:t>
      </w:r>
      <w:r w:rsidRPr="00804EFE">
        <w:rPr>
          <w:rFonts w:cs="Arial"/>
          <w:color w:val="111111"/>
          <w:szCs w:val="22"/>
        </w:rPr>
        <w:t>right to just and favourable conditions of work</w:t>
      </w:r>
      <w:r w:rsidRPr="00F438D0">
        <w:rPr>
          <w:rFonts w:cs="Arial"/>
          <w:szCs w:val="22"/>
        </w:rPr>
        <w:t xml:space="preserve"> contained in </w:t>
      </w:r>
      <w:r w:rsidRPr="00804EFE">
        <w:rPr>
          <w:rFonts w:cs="Arial"/>
          <w:color w:val="111111"/>
          <w:szCs w:val="22"/>
        </w:rPr>
        <w:t>article 7 of the International Covenant on Economic, Social and Cultural Rights</w:t>
      </w:r>
      <w:r>
        <w:rPr>
          <w:rFonts w:cs="Arial"/>
          <w:szCs w:val="22"/>
        </w:rPr>
        <w:t xml:space="preserve"> (</w:t>
      </w:r>
      <w:proofErr w:type="spellStart"/>
      <w:r>
        <w:rPr>
          <w:rFonts w:cs="Arial"/>
          <w:szCs w:val="22"/>
        </w:rPr>
        <w:t>ICESCR</w:t>
      </w:r>
      <w:proofErr w:type="spellEnd"/>
      <w:r>
        <w:rPr>
          <w:rFonts w:cs="Arial"/>
          <w:szCs w:val="22"/>
        </w:rPr>
        <w:t xml:space="preserve">). </w:t>
      </w:r>
      <w:r w:rsidRPr="00F438D0">
        <w:rPr>
          <w:rFonts w:cs="Arial"/>
          <w:szCs w:val="22"/>
        </w:rPr>
        <w:t xml:space="preserve"> </w:t>
      </w:r>
    </w:p>
    <w:p w:rsidR="00030BA7" w:rsidRDefault="00030BA7" w:rsidP="00030BA7">
      <w:pPr>
        <w:spacing w:before="120" w:after="120"/>
        <w:rPr>
          <w:rFonts w:cs="Arial"/>
          <w:szCs w:val="22"/>
        </w:rPr>
      </w:pPr>
      <w:r w:rsidRPr="00804EFE">
        <w:rPr>
          <w:rFonts w:cs="Arial"/>
          <w:szCs w:val="22"/>
        </w:rPr>
        <w:t xml:space="preserve">To the extent that the right to </w:t>
      </w:r>
      <w:r w:rsidRPr="00804EFE">
        <w:rPr>
          <w:rFonts w:cs="Arial"/>
          <w:color w:val="111111"/>
          <w:szCs w:val="22"/>
        </w:rPr>
        <w:t>just and favourable conditions of work</w:t>
      </w:r>
      <w:r w:rsidRPr="00804EFE">
        <w:rPr>
          <w:rFonts w:cs="Arial"/>
          <w:szCs w:val="22"/>
        </w:rPr>
        <w:t xml:space="preserve"> is engaged, this right is </w:t>
      </w:r>
      <w:r>
        <w:rPr>
          <w:rFonts w:cs="Arial"/>
          <w:szCs w:val="22"/>
        </w:rPr>
        <w:t>protected and promoted</w:t>
      </w:r>
      <w:r w:rsidRPr="00804EFE">
        <w:rPr>
          <w:rFonts w:cs="Arial"/>
          <w:szCs w:val="22"/>
        </w:rPr>
        <w:t xml:space="preserve"> by the Instrument as the Instrument provides the basis for ongoing financial assistance to eligible universities to enable them to discharge their liability for their employees’ superannuation, thereby ensuring employees continue to receive just and favourable conditions of work.</w:t>
      </w:r>
    </w:p>
    <w:p w:rsidR="00030BA7" w:rsidRDefault="00030BA7" w:rsidP="00030BA7">
      <w:pPr>
        <w:spacing w:before="120" w:after="120"/>
        <w:rPr>
          <w:rFonts w:cs="Arial"/>
          <w:szCs w:val="22"/>
        </w:rPr>
      </w:pPr>
      <w:r>
        <w:rPr>
          <w:rFonts w:cs="Arial"/>
          <w:szCs w:val="22"/>
        </w:rPr>
        <w:t>This instrument is compatible with the right to just and favourable conditions of work.</w:t>
      </w:r>
    </w:p>
    <w:p w:rsidR="00030BA7" w:rsidRPr="00941969" w:rsidRDefault="00030BA7" w:rsidP="00030BA7">
      <w:pPr>
        <w:spacing w:before="240" w:after="120"/>
        <w:rPr>
          <w:rFonts w:cs="Arial"/>
          <w:b/>
          <w:szCs w:val="22"/>
        </w:rPr>
      </w:pPr>
      <w:r w:rsidRPr="00941969">
        <w:rPr>
          <w:rFonts w:cs="Arial"/>
          <w:b/>
          <w:szCs w:val="22"/>
        </w:rPr>
        <w:t>Conclusion</w:t>
      </w:r>
    </w:p>
    <w:p w:rsidR="00030BA7" w:rsidRDefault="00030BA7" w:rsidP="00030BA7">
      <w:pPr>
        <w:spacing w:before="120" w:after="120"/>
        <w:rPr>
          <w:rFonts w:cs="Arial"/>
          <w:szCs w:val="22"/>
        </w:rPr>
      </w:pPr>
      <w:r>
        <w:rPr>
          <w:rFonts w:cs="Arial"/>
          <w:szCs w:val="22"/>
        </w:rPr>
        <w:t xml:space="preserve">This </w:t>
      </w:r>
      <w:r w:rsidRPr="00941969">
        <w:rPr>
          <w:rFonts w:cs="Arial"/>
          <w:szCs w:val="22"/>
        </w:rPr>
        <w:t xml:space="preserve">Legislative Instrument is compatible with human </w:t>
      </w:r>
      <w:r w:rsidRPr="00DE7CC4">
        <w:rPr>
          <w:rFonts w:cs="Arial"/>
          <w:szCs w:val="22"/>
        </w:rPr>
        <w:t xml:space="preserve">rights </w:t>
      </w:r>
      <w:r w:rsidRPr="00804EFE">
        <w:rPr>
          <w:rFonts w:cs="Arial"/>
          <w:szCs w:val="22"/>
        </w:rPr>
        <w:t>because it advances the protection of human rights.</w:t>
      </w:r>
      <w:r w:rsidRPr="00941969" w:rsidDel="007D52BC">
        <w:rPr>
          <w:rFonts w:cs="Arial"/>
          <w:szCs w:val="22"/>
        </w:rPr>
        <w:t xml:space="preserve"> </w:t>
      </w:r>
    </w:p>
    <w:p w:rsidR="00030BA7" w:rsidRDefault="00030BA7" w:rsidP="00030BA7">
      <w:pPr>
        <w:spacing w:before="120" w:after="120"/>
        <w:rPr>
          <w:rFonts w:cs="Arial"/>
          <w:szCs w:val="22"/>
        </w:rPr>
      </w:pPr>
    </w:p>
    <w:p w:rsidR="00030BA7" w:rsidRDefault="00030BA7" w:rsidP="00030BA7">
      <w:pPr>
        <w:spacing w:before="120" w:after="120"/>
        <w:rPr>
          <w:rFonts w:cs="Arial"/>
          <w:szCs w:val="22"/>
        </w:rPr>
      </w:pPr>
      <w:r w:rsidRPr="00941969">
        <w:rPr>
          <w:rFonts w:cs="Arial"/>
          <w:szCs w:val="22"/>
        </w:rPr>
        <w:t xml:space="preserve">Christopher </w:t>
      </w:r>
      <w:proofErr w:type="spellStart"/>
      <w:r w:rsidRPr="00941969">
        <w:rPr>
          <w:rFonts w:cs="Arial"/>
          <w:szCs w:val="22"/>
        </w:rPr>
        <w:t>Pyne</w:t>
      </w:r>
      <w:proofErr w:type="spellEnd"/>
      <w:r>
        <w:rPr>
          <w:rFonts w:cs="Arial"/>
          <w:szCs w:val="22"/>
        </w:rPr>
        <w:t xml:space="preserve">,  </w:t>
      </w:r>
    </w:p>
    <w:p w:rsidR="00030BA7" w:rsidRPr="000F318F" w:rsidRDefault="00030BA7" w:rsidP="00030BA7">
      <w:pPr>
        <w:spacing w:before="120" w:after="120"/>
        <w:rPr>
          <w:rFonts w:cs="Arial"/>
        </w:rPr>
      </w:pPr>
      <w:r w:rsidRPr="00941969">
        <w:rPr>
          <w:rFonts w:cs="Arial"/>
          <w:szCs w:val="22"/>
        </w:rPr>
        <w:t>Minister for Education</w:t>
      </w:r>
    </w:p>
    <w:sectPr w:rsidR="00030BA7" w:rsidRPr="000F318F" w:rsidSect="00030BA7">
      <w:pgSz w:w="11906" w:h="16838" w:code="9"/>
      <w:pgMar w:top="1276" w:right="1134" w:bottom="851" w:left="1418"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16D0"/>
    <w:multiLevelType w:val="hybridMultilevel"/>
    <w:tmpl w:val="A11E943C"/>
    <w:lvl w:ilvl="0" w:tplc="D4DC9018">
      <w:start w:val="1"/>
      <w:numFmt w:val="bullet"/>
      <w:lvlText w:val=""/>
      <w:lvlJc w:val="left"/>
      <w:pPr>
        <w:tabs>
          <w:tab w:val="num" w:pos="2957"/>
        </w:tabs>
        <w:ind w:left="2957" w:hanging="360"/>
      </w:pPr>
      <w:rPr>
        <w:rFonts w:ascii="Symbol" w:hAnsi="Symbol" w:cs="Symbol" w:hint="default"/>
      </w:rPr>
    </w:lvl>
    <w:lvl w:ilvl="1" w:tplc="0C090003">
      <w:start w:val="1"/>
      <w:numFmt w:val="bullet"/>
      <w:lvlText w:val="o"/>
      <w:lvlJc w:val="left"/>
      <w:pPr>
        <w:tabs>
          <w:tab w:val="num" w:pos="4037"/>
        </w:tabs>
        <w:ind w:left="4037" w:hanging="360"/>
      </w:pPr>
      <w:rPr>
        <w:rFonts w:ascii="Courier New" w:hAnsi="Courier New" w:cs="Courier New" w:hint="default"/>
      </w:rPr>
    </w:lvl>
    <w:lvl w:ilvl="2" w:tplc="0C090005">
      <w:start w:val="1"/>
      <w:numFmt w:val="bullet"/>
      <w:lvlText w:val=""/>
      <w:lvlJc w:val="left"/>
      <w:pPr>
        <w:tabs>
          <w:tab w:val="num" w:pos="4757"/>
        </w:tabs>
        <w:ind w:left="4757" w:hanging="360"/>
      </w:pPr>
      <w:rPr>
        <w:rFonts w:ascii="Wingdings" w:hAnsi="Wingdings" w:cs="Wingdings" w:hint="default"/>
      </w:rPr>
    </w:lvl>
    <w:lvl w:ilvl="3" w:tplc="0C090001">
      <w:start w:val="1"/>
      <w:numFmt w:val="bullet"/>
      <w:lvlText w:val=""/>
      <w:lvlJc w:val="left"/>
      <w:pPr>
        <w:tabs>
          <w:tab w:val="num" w:pos="5477"/>
        </w:tabs>
        <w:ind w:left="5477" w:hanging="360"/>
      </w:pPr>
      <w:rPr>
        <w:rFonts w:ascii="Symbol" w:hAnsi="Symbol" w:cs="Symbol" w:hint="default"/>
      </w:rPr>
    </w:lvl>
    <w:lvl w:ilvl="4" w:tplc="0C090003">
      <w:start w:val="1"/>
      <w:numFmt w:val="bullet"/>
      <w:lvlText w:val="o"/>
      <w:lvlJc w:val="left"/>
      <w:pPr>
        <w:tabs>
          <w:tab w:val="num" w:pos="6197"/>
        </w:tabs>
        <w:ind w:left="6197" w:hanging="360"/>
      </w:pPr>
      <w:rPr>
        <w:rFonts w:ascii="Courier New" w:hAnsi="Courier New" w:cs="Courier New" w:hint="default"/>
      </w:rPr>
    </w:lvl>
    <w:lvl w:ilvl="5" w:tplc="0C090005">
      <w:start w:val="1"/>
      <w:numFmt w:val="bullet"/>
      <w:lvlText w:val=""/>
      <w:lvlJc w:val="left"/>
      <w:pPr>
        <w:tabs>
          <w:tab w:val="num" w:pos="6917"/>
        </w:tabs>
        <w:ind w:left="6917" w:hanging="360"/>
      </w:pPr>
      <w:rPr>
        <w:rFonts w:ascii="Wingdings" w:hAnsi="Wingdings" w:cs="Wingdings" w:hint="default"/>
      </w:rPr>
    </w:lvl>
    <w:lvl w:ilvl="6" w:tplc="0C090001">
      <w:start w:val="1"/>
      <w:numFmt w:val="bullet"/>
      <w:lvlText w:val=""/>
      <w:lvlJc w:val="left"/>
      <w:pPr>
        <w:tabs>
          <w:tab w:val="num" w:pos="7637"/>
        </w:tabs>
        <w:ind w:left="7637" w:hanging="360"/>
      </w:pPr>
      <w:rPr>
        <w:rFonts w:ascii="Symbol" w:hAnsi="Symbol" w:cs="Symbol" w:hint="default"/>
      </w:rPr>
    </w:lvl>
    <w:lvl w:ilvl="7" w:tplc="0C090003">
      <w:start w:val="1"/>
      <w:numFmt w:val="bullet"/>
      <w:lvlText w:val="o"/>
      <w:lvlJc w:val="left"/>
      <w:pPr>
        <w:tabs>
          <w:tab w:val="num" w:pos="8357"/>
        </w:tabs>
        <w:ind w:left="8357" w:hanging="360"/>
      </w:pPr>
      <w:rPr>
        <w:rFonts w:ascii="Courier New" w:hAnsi="Courier New" w:cs="Courier New" w:hint="default"/>
      </w:rPr>
    </w:lvl>
    <w:lvl w:ilvl="8" w:tplc="0C090005">
      <w:start w:val="1"/>
      <w:numFmt w:val="bullet"/>
      <w:lvlText w:val=""/>
      <w:lvlJc w:val="left"/>
      <w:pPr>
        <w:tabs>
          <w:tab w:val="num" w:pos="9077"/>
        </w:tabs>
        <w:ind w:left="9077" w:hanging="360"/>
      </w:pPr>
      <w:rPr>
        <w:rFonts w:ascii="Wingdings" w:hAnsi="Wingdings" w:cs="Wingdings" w:hint="default"/>
      </w:rPr>
    </w:lvl>
  </w:abstractNum>
  <w:abstractNum w:abstractNumId="1">
    <w:nsid w:val="1B23466D"/>
    <w:multiLevelType w:val="hybridMultilevel"/>
    <w:tmpl w:val="7512D158"/>
    <w:lvl w:ilvl="0" w:tplc="A9B28550">
      <w:start w:val="1"/>
      <w:numFmt w:val="decimal"/>
      <w:lvlText w:val="%1."/>
      <w:lvlJc w:val="left"/>
      <w:pPr>
        <w:ind w:left="720" w:hanging="360"/>
      </w:pPr>
      <w:rPr>
        <w:rFonts w:hint="default"/>
        <w:b w:val="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BE1304"/>
    <w:multiLevelType w:val="hybridMultilevel"/>
    <w:tmpl w:val="C8D66C54"/>
    <w:lvl w:ilvl="0" w:tplc="0C090017">
      <w:start w:val="1"/>
      <w:numFmt w:val="lowerLetter"/>
      <w:lvlText w:val="%1)"/>
      <w:lvlJc w:val="left"/>
      <w:pPr>
        <w:tabs>
          <w:tab w:val="num" w:pos="787"/>
        </w:tabs>
        <w:ind w:left="787" w:hanging="360"/>
      </w:p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3">
    <w:nsid w:val="36947EE4"/>
    <w:multiLevelType w:val="hybridMultilevel"/>
    <w:tmpl w:val="7A6CE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1BD11A6"/>
    <w:multiLevelType w:val="hybridMultilevel"/>
    <w:tmpl w:val="0E0AE28E"/>
    <w:lvl w:ilvl="0" w:tplc="10FA9880">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AC"/>
    <w:rsid w:val="0000418B"/>
    <w:rsid w:val="00025508"/>
    <w:rsid w:val="00030BA7"/>
    <w:rsid w:val="0003669E"/>
    <w:rsid w:val="00054018"/>
    <w:rsid w:val="00097318"/>
    <w:rsid w:val="000A6FE1"/>
    <w:rsid w:val="000B092B"/>
    <w:rsid w:val="000B6AC6"/>
    <w:rsid w:val="000B7C69"/>
    <w:rsid w:val="000C60F9"/>
    <w:rsid w:val="000E159C"/>
    <w:rsid w:val="000F318F"/>
    <w:rsid w:val="0010050A"/>
    <w:rsid w:val="00104831"/>
    <w:rsid w:val="00112BA3"/>
    <w:rsid w:val="00126666"/>
    <w:rsid w:val="0013596F"/>
    <w:rsid w:val="001425AD"/>
    <w:rsid w:val="00151E72"/>
    <w:rsid w:val="001601C1"/>
    <w:rsid w:val="001721AD"/>
    <w:rsid w:val="001B56BD"/>
    <w:rsid w:val="001C6AEA"/>
    <w:rsid w:val="001D5FB5"/>
    <w:rsid w:val="001E25F1"/>
    <w:rsid w:val="00210122"/>
    <w:rsid w:val="00214D7A"/>
    <w:rsid w:val="002217E5"/>
    <w:rsid w:val="00226F77"/>
    <w:rsid w:val="0023198A"/>
    <w:rsid w:val="00233907"/>
    <w:rsid w:val="00255FA4"/>
    <w:rsid w:val="00256897"/>
    <w:rsid w:val="002646A9"/>
    <w:rsid w:val="00266C74"/>
    <w:rsid w:val="002813B7"/>
    <w:rsid w:val="00287BA1"/>
    <w:rsid w:val="002A7332"/>
    <w:rsid w:val="0030101D"/>
    <w:rsid w:val="003035B5"/>
    <w:rsid w:val="00313CD2"/>
    <w:rsid w:val="003249A1"/>
    <w:rsid w:val="0033240B"/>
    <w:rsid w:val="003349AC"/>
    <w:rsid w:val="00340A35"/>
    <w:rsid w:val="00347BF8"/>
    <w:rsid w:val="00382DA8"/>
    <w:rsid w:val="0039206B"/>
    <w:rsid w:val="00394EF3"/>
    <w:rsid w:val="003E0521"/>
    <w:rsid w:val="003F3458"/>
    <w:rsid w:val="003F60C0"/>
    <w:rsid w:val="003F78FA"/>
    <w:rsid w:val="00423C68"/>
    <w:rsid w:val="004318C0"/>
    <w:rsid w:val="0045573F"/>
    <w:rsid w:val="00461D73"/>
    <w:rsid w:val="004742AD"/>
    <w:rsid w:val="004A179A"/>
    <w:rsid w:val="004A52BD"/>
    <w:rsid w:val="004A76DA"/>
    <w:rsid w:val="004B0427"/>
    <w:rsid w:val="004B4AD2"/>
    <w:rsid w:val="004C44C2"/>
    <w:rsid w:val="004C6141"/>
    <w:rsid w:val="004E1B70"/>
    <w:rsid w:val="004E2242"/>
    <w:rsid w:val="004E7CF2"/>
    <w:rsid w:val="004F44E2"/>
    <w:rsid w:val="00503FB0"/>
    <w:rsid w:val="00512557"/>
    <w:rsid w:val="005126AB"/>
    <w:rsid w:val="00514303"/>
    <w:rsid w:val="005335FD"/>
    <w:rsid w:val="0053555B"/>
    <w:rsid w:val="00537690"/>
    <w:rsid w:val="00546897"/>
    <w:rsid w:val="00553C47"/>
    <w:rsid w:val="00560EAD"/>
    <w:rsid w:val="005710E1"/>
    <w:rsid w:val="005837C6"/>
    <w:rsid w:val="005C1324"/>
    <w:rsid w:val="005D236C"/>
    <w:rsid w:val="0061113A"/>
    <w:rsid w:val="006222AD"/>
    <w:rsid w:val="006250DF"/>
    <w:rsid w:val="006311A2"/>
    <w:rsid w:val="00642486"/>
    <w:rsid w:val="00664E53"/>
    <w:rsid w:val="00671D14"/>
    <w:rsid w:val="006A11EB"/>
    <w:rsid w:val="006A3639"/>
    <w:rsid w:val="006B1B1C"/>
    <w:rsid w:val="006B7ACB"/>
    <w:rsid w:val="006C676D"/>
    <w:rsid w:val="006D11A9"/>
    <w:rsid w:val="006D7AC5"/>
    <w:rsid w:val="00701DE4"/>
    <w:rsid w:val="007234F2"/>
    <w:rsid w:val="00723C27"/>
    <w:rsid w:val="00723EE8"/>
    <w:rsid w:val="007252F2"/>
    <w:rsid w:val="007308B9"/>
    <w:rsid w:val="00732A1D"/>
    <w:rsid w:val="00737AB0"/>
    <w:rsid w:val="00745098"/>
    <w:rsid w:val="007477EC"/>
    <w:rsid w:val="00750D51"/>
    <w:rsid w:val="0075486C"/>
    <w:rsid w:val="00781474"/>
    <w:rsid w:val="007A33D9"/>
    <w:rsid w:val="007C2007"/>
    <w:rsid w:val="007C6D96"/>
    <w:rsid w:val="007D3DE9"/>
    <w:rsid w:val="007F01A2"/>
    <w:rsid w:val="0080542E"/>
    <w:rsid w:val="00823760"/>
    <w:rsid w:val="00827600"/>
    <w:rsid w:val="00836AF6"/>
    <w:rsid w:val="008533A7"/>
    <w:rsid w:val="00862843"/>
    <w:rsid w:val="008637A9"/>
    <w:rsid w:val="008647C9"/>
    <w:rsid w:val="00884AF2"/>
    <w:rsid w:val="008853BE"/>
    <w:rsid w:val="00887530"/>
    <w:rsid w:val="00896DB6"/>
    <w:rsid w:val="008E75C9"/>
    <w:rsid w:val="008E7EEB"/>
    <w:rsid w:val="00911A65"/>
    <w:rsid w:val="00922B03"/>
    <w:rsid w:val="00930EA7"/>
    <w:rsid w:val="0093448A"/>
    <w:rsid w:val="00950EA6"/>
    <w:rsid w:val="00964238"/>
    <w:rsid w:val="009666FD"/>
    <w:rsid w:val="0098148B"/>
    <w:rsid w:val="00982D67"/>
    <w:rsid w:val="009835B9"/>
    <w:rsid w:val="00997314"/>
    <w:rsid w:val="009A4B43"/>
    <w:rsid w:val="009A53CD"/>
    <w:rsid w:val="009A7101"/>
    <w:rsid w:val="009B10DE"/>
    <w:rsid w:val="009B172C"/>
    <w:rsid w:val="009C1241"/>
    <w:rsid w:val="00A24509"/>
    <w:rsid w:val="00A317E8"/>
    <w:rsid w:val="00A35BAC"/>
    <w:rsid w:val="00A453B7"/>
    <w:rsid w:val="00A5713B"/>
    <w:rsid w:val="00A92D9E"/>
    <w:rsid w:val="00AA19D4"/>
    <w:rsid w:val="00AB1CAA"/>
    <w:rsid w:val="00AF549F"/>
    <w:rsid w:val="00AF6C7C"/>
    <w:rsid w:val="00AF784F"/>
    <w:rsid w:val="00B03073"/>
    <w:rsid w:val="00B07208"/>
    <w:rsid w:val="00B17D21"/>
    <w:rsid w:val="00B4410E"/>
    <w:rsid w:val="00B5462F"/>
    <w:rsid w:val="00B56F6E"/>
    <w:rsid w:val="00B7301E"/>
    <w:rsid w:val="00B77DCD"/>
    <w:rsid w:val="00B90DB4"/>
    <w:rsid w:val="00BC3B2B"/>
    <w:rsid w:val="00BD7BA7"/>
    <w:rsid w:val="00BF7D20"/>
    <w:rsid w:val="00C15ED9"/>
    <w:rsid w:val="00C32C95"/>
    <w:rsid w:val="00C64661"/>
    <w:rsid w:val="00C64F61"/>
    <w:rsid w:val="00C67AB6"/>
    <w:rsid w:val="00C7392B"/>
    <w:rsid w:val="00CA769E"/>
    <w:rsid w:val="00CB063C"/>
    <w:rsid w:val="00CC7B57"/>
    <w:rsid w:val="00CE110B"/>
    <w:rsid w:val="00CE413C"/>
    <w:rsid w:val="00CE4230"/>
    <w:rsid w:val="00D0411B"/>
    <w:rsid w:val="00D14573"/>
    <w:rsid w:val="00D235A6"/>
    <w:rsid w:val="00D23BC5"/>
    <w:rsid w:val="00D23F45"/>
    <w:rsid w:val="00D37916"/>
    <w:rsid w:val="00D41BFA"/>
    <w:rsid w:val="00D67601"/>
    <w:rsid w:val="00D70983"/>
    <w:rsid w:val="00D727E4"/>
    <w:rsid w:val="00D73F28"/>
    <w:rsid w:val="00D830D5"/>
    <w:rsid w:val="00DA4AAF"/>
    <w:rsid w:val="00DA5665"/>
    <w:rsid w:val="00DB1391"/>
    <w:rsid w:val="00DD11A2"/>
    <w:rsid w:val="00E04F92"/>
    <w:rsid w:val="00E1090E"/>
    <w:rsid w:val="00E1560F"/>
    <w:rsid w:val="00E23614"/>
    <w:rsid w:val="00E25F4E"/>
    <w:rsid w:val="00E65DE5"/>
    <w:rsid w:val="00E93CBB"/>
    <w:rsid w:val="00E96F71"/>
    <w:rsid w:val="00EB36D1"/>
    <w:rsid w:val="00EC4CBB"/>
    <w:rsid w:val="00EC58B0"/>
    <w:rsid w:val="00ED5157"/>
    <w:rsid w:val="00EE245A"/>
    <w:rsid w:val="00EE5A85"/>
    <w:rsid w:val="00EE7081"/>
    <w:rsid w:val="00F2240D"/>
    <w:rsid w:val="00F26130"/>
    <w:rsid w:val="00F45B4A"/>
    <w:rsid w:val="00F574A8"/>
    <w:rsid w:val="00F62B78"/>
    <w:rsid w:val="00F732F7"/>
    <w:rsid w:val="00F7450C"/>
    <w:rsid w:val="00F752D7"/>
    <w:rsid w:val="00F847CB"/>
    <w:rsid w:val="00F915CB"/>
    <w:rsid w:val="00F96EE6"/>
    <w:rsid w:val="00FB2109"/>
    <w:rsid w:val="00FB3020"/>
    <w:rsid w:val="00FD16BC"/>
    <w:rsid w:val="00FD459A"/>
    <w:rsid w:val="00FD6C9D"/>
    <w:rsid w:val="00FF37A2"/>
    <w:rsid w:val="00FF57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332"/>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paragraph" w:styleId="Heading4">
    <w:name w:val="heading 4"/>
    <w:basedOn w:val="Normal"/>
    <w:link w:val="Heading4Char"/>
    <w:uiPriority w:val="9"/>
    <w:qFormat/>
    <w:rsid w:val="004A76DA"/>
    <w:pPr>
      <w:spacing w:before="100" w:beforeAutospacing="1" w:after="100" w:afterAutospacing="1"/>
      <w:outlineLvl w:val="3"/>
    </w:pPr>
    <w:rPr>
      <w:rFonts w:ascii="Times New Roman" w:hAnsi="Times New Roman"/>
      <w:b/>
      <w:bCs/>
      <w:sz w:val="24"/>
      <w:szCs w:val="24"/>
      <w:lang w:eastAsia="en-AU"/>
    </w:rPr>
  </w:style>
  <w:style w:type="paragraph" w:styleId="Heading5">
    <w:name w:val="heading 5"/>
    <w:basedOn w:val="Normal"/>
    <w:link w:val="Heading5Char"/>
    <w:uiPriority w:val="9"/>
    <w:qFormat/>
    <w:rsid w:val="004A76DA"/>
    <w:pPr>
      <w:spacing w:before="100" w:beforeAutospacing="1" w:after="100" w:afterAutospacing="1"/>
      <w:outlineLvl w:val="4"/>
    </w:pPr>
    <w:rPr>
      <w:rFonts w:ascii="Times New Roman" w:hAnsi="Times New Roman"/>
      <w:b/>
      <w:bCs/>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5B9"/>
    <w:rPr>
      <w:sz w:val="24"/>
    </w:rPr>
  </w:style>
  <w:style w:type="paragraph" w:customStyle="1" w:styleId="Default">
    <w:name w:val="Default"/>
    <w:rsid w:val="00CC7B5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66C74"/>
    <w:pPr>
      <w:spacing w:before="100" w:beforeAutospacing="1" w:after="100" w:afterAutospacing="1"/>
    </w:pPr>
    <w:rPr>
      <w:rFonts w:ascii="Times New Roman" w:hAnsi="Times New Roman"/>
      <w:sz w:val="24"/>
      <w:szCs w:val="24"/>
      <w:lang w:eastAsia="en-AU"/>
    </w:rPr>
  </w:style>
  <w:style w:type="character" w:customStyle="1" w:styleId="Heading4Char">
    <w:name w:val="Heading 4 Char"/>
    <w:basedOn w:val="DefaultParagraphFont"/>
    <w:link w:val="Heading4"/>
    <w:uiPriority w:val="9"/>
    <w:rsid w:val="004A76DA"/>
    <w:rPr>
      <w:b/>
      <w:bCs/>
      <w:sz w:val="24"/>
      <w:szCs w:val="24"/>
    </w:rPr>
  </w:style>
  <w:style w:type="character" w:customStyle="1" w:styleId="Heading5Char">
    <w:name w:val="Heading 5 Char"/>
    <w:basedOn w:val="DefaultParagraphFont"/>
    <w:link w:val="Heading5"/>
    <w:uiPriority w:val="9"/>
    <w:rsid w:val="004A76DA"/>
    <w:rPr>
      <w:b/>
      <w:bCs/>
    </w:rPr>
  </w:style>
  <w:style w:type="paragraph" w:styleId="BalloonText">
    <w:name w:val="Balloon Text"/>
    <w:basedOn w:val="Normal"/>
    <w:link w:val="BalloonTextChar"/>
    <w:uiPriority w:val="99"/>
    <w:semiHidden/>
    <w:unhideWhenUsed/>
    <w:rsid w:val="009B10DE"/>
    <w:rPr>
      <w:rFonts w:ascii="Tahoma" w:hAnsi="Tahoma" w:cs="Tahoma"/>
      <w:sz w:val="16"/>
      <w:szCs w:val="16"/>
    </w:rPr>
  </w:style>
  <w:style w:type="character" w:customStyle="1" w:styleId="BalloonTextChar">
    <w:name w:val="Balloon Text Char"/>
    <w:basedOn w:val="DefaultParagraphFont"/>
    <w:link w:val="BalloonText"/>
    <w:uiPriority w:val="99"/>
    <w:semiHidden/>
    <w:rsid w:val="009B10DE"/>
    <w:rPr>
      <w:rFonts w:ascii="Tahoma" w:hAnsi="Tahoma" w:cs="Tahoma"/>
      <w:sz w:val="16"/>
      <w:szCs w:val="16"/>
      <w:lang w:eastAsia="en-US"/>
    </w:rPr>
  </w:style>
  <w:style w:type="paragraph" w:styleId="ListParagraph">
    <w:name w:val="List Paragraph"/>
    <w:basedOn w:val="Normal"/>
    <w:uiPriority w:val="34"/>
    <w:qFormat/>
    <w:rsid w:val="00671D14"/>
    <w:pPr>
      <w:ind w:left="720"/>
      <w:contextualSpacing/>
    </w:pPr>
  </w:style>
  <w:style w:type="character" w:styleId="CommentReference">
    <w:name w:val="annotation reference"/>
    <w:basedOn w:val="DefaultParagraphFont"/>
    <w:uiPriority w:val="99"/>
    <w:semiHidden/>
    <w:unhideWhenUsed/>
    <w:rsid w:val="0039206B"/>
    <w:rPr>
      <w:sz w:val="16"/>
      <w:szCs w:val="16"/>
    </w:rPr>
  </w:style>
  <w:style w:type="paragraph" w:styleId="CommentText">
    <w:name w:val="annotation text"/>
    <w:basedOn w:val="Normal"/>
    <w:link w:val="CommentTextChar"/>
    <w:uiPriority w:val="99"/>
    <w:semiHidden/>
    <w:unhideWhenUsed/>
    <w:rsid w:val="0039206B"/>
    <w:rPr>
      <w:sz w:val="20"/>
    </w:rPr>
  </w:style>
  <w:style w:type="character" w:customStyle="1" w:styleId="CommentTextChar">
    <w:name w:val="Comment Text Char"/>
    <w:basedOn w:val="DefaultParagraphFont"/>
    <w:link w:val="CommentText"/>
    <w:uiPriority w:val="99"/>
    <w:semiHidden/>
    <w:rsid w:val="0039206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9206B"/>
    <w:rPr>
      <w:b/>
      <w:bCs/>
    </w:rPr>
  </w:style>
  <w:style w:type="character" w:customStyle="1" w:styleId="CommentSubjectChar">
    <w:name w:val="Comment Subject Char"/>
    <w:basedOn w:val="CommentTextChar"/>
    <w:link w:val="CommentSubject"/>
    <w:uiPriority w:val="99"/>
    <w:semiHidden/>
    <w:rsid w:val="0039206B"/>
    <w:rPr>
      <w:rFonts w:ascii="Arial" w:hAnsi="Arial"/>
      <w:b/>
      <w:bCs/>
      <w:lang w:eastAsia="en-US"/>
    </w:rPr>
  </w:style>
  <w:style w:type="paragraph" w:styleId="Revision">
    <w:name w:val="Revision"/>
    <w:hidden/>
    <w:uiPriority w:val="99"/>
    <w:semiHidden/>
    <w:rsid w:val="00347BF8"/>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332"/>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paragraph" w:styleId="Heading4">
    <w:name w:val="heading 4"/>
    <w:basedOn w:val="Normal"/>
    <w:link w:val="Heading4Char"/>
    <w:uiPriority w:val="9"/>
    <w:qFormat/>
    <w:rsid w:val="004A76DA"/>
    <w:pPr>
      <w:spacing w:before="100" w:beforeAutospacing="1" w:after="100" w:afterAutospacing="1"/>
      <w:outlineLvl w:val="3"/>
    </w:pPr>
    <w:rPr>
      <w:rFonts w:ascii="Times New Roman" w:hAnsi="Times New Roman"/>
      <w:b/>
      <w:bCs/>
      <w:sz w:val="24"/>
      <w:szCs w:val="24"/>
      <w:lang w:eastAsia="en-AU"/>
    </w:rPr>
  </w:style>
  <w:style w:type="paragraph" w:styleId="Heading5">
    <w:name w:val="heading 5"/>
    <w:basedOn w:val="Normal"/>
    <w:link w:val="Heading5Char"/>
    <w:uiPriority w:val="9"/>
    <w:qFormat/>
    <w:rsid w:val="004A76DA"/>
    <w:pPr>
      <w:spacing w:before="100" w:beforeAutospacing="1" w:after="100" w:afterAutospacing="1"/>
      <w:outlineLvl w:val="4"/>
    </w:pPr>
    <w:rPr>
      <w:rFonts w:ascii="Times New Roman" w:hAnsi="Times New Roman"/>
      <w:b/>
      <w:bCs/>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5B9"/>
    <w:rPr>
      <w:sz w:val="24"/>
    </w:rPr>
  </w:style>
  <w:style w:type="paragraph" w:customStyle="1" w:styleId="Default">
    <w:name w:val="Default"/>
    <w:rsid w:val="00CC7B5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66C74"/>
    <w:pPr>
      <w:spacing w:before="100" w:beforeAutospacing="1" w:after="100" w:afterAutospacing="1"/>
    </w:pPr>
    <w:rPr>
      <w:rFonts w:ascii="Times New Roman" w:hAnsi="Times New Roman"/>
      <w:sz w:val="24"/>
      <w:szCs w:val="24"/>
      <w:lang w:eastAsia="en-AU"/>
    </w:rPr>
  </w:style>
  <w:style w:type="character" w:customStyle="1" w:styleId="Heading4Char">
    <w:name w:val="Heading 4 Char"/>
    <w:basedOn w:val="DefaultParagraphFont"/>
    <w:link w:val="Heading4"/>
    <w:uiPriority w:val="9"/>
    <w:rsid w:val="004A76DA"/>
    <w:rPr>
      <w:b/>
      <w:bCs/>
      <w:sz w:val="24"/>
      <w:szCs w:val="24"/>
    </w:rPr>
  </w:style>
  <w:style w:type="character" w:customStyle="1" w:styleId="Heading5Char">
    <w:name w:val="Heading 5 Char"/>
    <w:basedOn w:val="DefaultParagraphFont"/>
    <w:link w:val="Heading5"/>
    <w:uiPriority w:val="9"/>
    <w:rsid w:val="004A76DA"/>
    <w:rPr>
      <w:b/>
      <w:bCs/>
    </w:rPr>
  </w:style>
  <w:style w:type="paragraph" w:styleId="BalloonText">
    <w:name w:val="Balloon Text"/>
    <w:basedOn w:val="Normal"/>
    <w:link w:val="BalloonTextChar"/>
    <w:uiPriority w:val="99"/>
    <w:semiHidden/>
    <w:unhideWhenUsed/>
    <w:rsid w:val="009B10DE"/>
    <w:rPr>
      <w:rFonts w:ascii="Tahoma" w:hAnsi="Tahoma" w:cs="Tahoma"/>
      <w:sz w:val="16"/>
      <w:szCs w:val="16"/>
    </w:rPr>
  </w:style>
  <w:style w:type="character" w:customStyle="1" w:styleId="BalloonTextChar">
    <w:name w:val="Balloon Text Char"/>
    <w:basedOn w:val="DefaultParagraphFont"/>
    <w:link w:val="BalloonText"/>
    <w:uiPriority w:val="99"/>
    <w:semiHidden/>
    <w:rsid w:val="009B10DE"/>
    <w:rPr>
      <w:rFonts w:ascii="Tahoma" w:hAnsi="Tahoma" w:cs="Tahoma"/>
      <w:sz w:val="16"/>
      <w:szCs w:val="16"/>
      <w:lang w:eastAsia="en-US"/>
    </w:rPr>
  </w:style>
  <w:style w:type="paragraph" w:styleId="ListParagraph">
    <w:name w:val="List Paragraph"/>
    <w:basedOn w:val="Normal"/>
    <w:uiPriority w:val="34"/>
    <w:qFormat/>
    <w:rsid w:val="00671D14"/>
    <w:pPr>
      <w:ind w:left="720"/>
      <w:contextualSpacing/>
    </w:pPr>
  </w:style>
  <w:style w:type="character" w:styleId="CommentReference">
    <w:name w:val="annotation reference"/>
    <w:basedOn w:val="DefaultParagraphFont"/>
    <w:uiPriority w:val="99"/>
    <w:semiHidden/>
    <w:unhideWhenUsed/>
    <w:rsid w:val="0039206B"/>
    <w:rPr>
      <w:sz w:val="16"/>
      <w:szCs w:val="16"/>
    </w:rPr>
  </w:style>
  <w:style w:type="paragraph" w:styleId="CommentText">
    <w:name w:val="annotation text"/>
    <w:basedOn w:val="Normal"/>
    <w:link w:val="CommentTextChar"/>
    <w:uiPriority w:val="99"/>
    <w:semiHidden/>
    <w:unhideWhenUsed/>
    <w:rsid w:val="0039206B"/>
    <w:rPr>
      <w:sz w:val="20"/>
    </w:rPr>
  </w:style>
  <w:style w:type="character" w:customStyle="1" w:styleId="CommentTextChar">
    <w:name w:val="Comment Text Char"/>
    <w:basedOn w:val="DefaultParagraphFont"/>
    <w:link w:val="CommentText"/>
    <w:uiPriority w:val="99"/>
    <w:semiHidden/>
    <w:rsid w:val="0039206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9206B"/>
    <w:rPr>
      <w:b/>
      <w:bCs/>
    </w:rPr>
  </w:style>
  <w:style w:type="character" w:customStyle="1" w:styleId="CommentSubjectChar">
    <w:name w:val="Comment Subject Char"/>
    <w:basedOn w:val="CommentTextChar"/>
    <w:link w:val="CommentSubject"/>
    <w:uiPriority w:val="99"/>
    <w:semiHidden/>
    <w:rsid w:val="0039206B"/>
    <w:rPr>
      <w:rFonts w:ascii="Arial" w:hAnsi="Arial"/>
      <w:b/>
      <w:bCs/>
      <w:lang w:eastAsia="en-US"/>
    </w:rPr>
  </w:style>
  <w:style w:type="paragraph" w:styleId="Revision">
    <w:name w:val="Revision"/>
    <w:hidden/>
    <w:uiPriority w:val="99"/>
    <w:semiHidden/>
    <w:rsid w:val="00347BF8"/>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0400">
      <w:bodyDiv w:val="1"/>
      <w:marLeft w:val="0"/>
      <w:marRight w:val="0"/>
      <w:marTop w:val="0"/>
      <w:marBottom w:val="0"/>
      <w:divBdr>
        <w:top w:val="none" w:sz="0" w:space="0" w:color="auto"/>
        <w:left w:val="none" w:sz="0" w:space="0" w:color="auto"/>
        <w:bottom w:val="none" w:sz="0" w:space="0" w:color="auto"/>
        <w:right w:val="none" w:sz="0" w:space="0" w:color="auto"/>
      </w:divBdr>
      <w:divsChild>
        <w:div w:id="162933443">
          <w:marLeft w:val="0"/>
          <w:marRight w:val="0"/>
          <w:marTop w:val="0"/>
          <w:marBottom w:val="0"/>
          <w:divBdr>
            <w:top w:val="none" w:sz="0" w:space="0" w:color="auto"/>
            <w:left w:val="none" w:sz="0" w:space="0" w:color="auto"/>
            <w:bottom w:val="none" w:sz="0" w:space="0" w:color="auto"/>
            <w:right w:val="none" w:sz="0" w:space="0" w:color="auto"/>
          </w:divBdr>
          <w:divsChild>
            <w:div w:id="1532259139">
              <w:marLeft w:val="0"/>
              <w:marRight w:val="0"/>
              <w:marTop w:val="0"/>
              <w:marBottom w:val="0"/>
              <w:divBdr>
                <w:top w:val="none" w:sz="0" w:space="0" w:color="auto"/>
                <w:left w:val="none" w:sz="0" w:space="0" w:color="auto"/>
                <w:bottom w:val="none" w:sz="0" w:space="0" w:color="auto"/>
                <w:right w:val="none" w:sz="0" w:space="0" w:color="auto"/>
              </w:divBdr>
              <w:divsChild>
                <w:div w:id="1670329166">
                  <w:marLeft w:val="0"/>
                  <w:marRight w:val="0"/>
                  <w:marTop w:val="0"/>
                  <w:marBottom w:val="0"/>
                  <w:divBdr>
                    <w:top w:val="none" w:sz="0" w:space="0" w:color="auto"/>
                    <w:left w:val="none" w:sz="0" w:space="0" w:color="auto"/>
                    <w:bottom w:val="none" w:sz="0" w:space="0" w:color="auto"/>
                    <w:right w:val="none" w:sz="0" w:space="0" w:color="auto"/>
                  </w:divBdr>
                  <w:divsChild>
                    <w:div w:id="1902787541">
                      <w:marLeft w:val="0"/>
                      <w:marRight w:val="0"/>
                      <w:marTop w:val="0"/>
                      <w:marBottom w:val="0"/>
                      <w:divBdr>
                        <w:top w:val="none" w:sz="0" w:space="0" w:color="auto"/>
                        <w:left w:val="none" w:sz="0" w:space="0" w:color="auto"/>
                        <w:bottom w:val="none" w:sz="0" w:space="0" w:color="auto"/>
                        <w:right w:val="none" w:sz="0" w:space="0" w:color="auto"/>
                      </w:divBdr>
                      <w:divsChild>
                        <w:div w:id="2023629809">
                          <w:marLeft w:val="0"/>
                          <w:marRight w:val="0"/>
                          <w:marTop w:val="0"/>
                          <w:marBottom w:val="0"/>
                          <w:divBdr>
                            <w:top w:val="single" w:sz="4" w:space="0" w:color="828282"/>
                            <w:left w:val="single" w:sz="4" w:space="0" w:color="828282"/>
                            <w:bottom w:val="single" w:sz="4" w:space="0" w:color="828282"/>
                            <w:right w:val="single" w:sz="4" w:space="0" w:color="828282"/>
                          </w:divBdr>
                          <w:divsChild>
                            <w:div w:id="1697543436">
                              <w:marLeft w:val="0"/>
                              <w:marRight w:val="0"/>
                              <w:marTop w:val="0"/>
                              <w:marBottom w:val="0"/>
                              <w:divBdr>
                                <w:top w:val="none" w:sz="0" w:space="0" w:color="auto"/>
                                <w:left w:val="none" w:sz="0" w:space="0" w:color="auto"/>
                                <w:bottom w:val="none" w:sz="0" w:space="0" w:color="auto"/>
                                <w:right w:val="none" w:sz="0" w:space="0" w:color="auto"/>
                              </w:divBdr>
                              <w:divsChild>
                                <w:div w:id="170880154">
                                  <w:marLeft w:val="0"/>
                                  <w:marRight w:val="0"/>
                                  <w:marTop w:val="0"/>
                                  <w:marBottom w:val="0"/>
                                  <w:divBdr>
                                    <w:top w:val="none" w:sz="0" w:space="0" w:color="auto"/>
                                    <w:left w:val="none" w:sz="0" w:space="0" w:color="auto"/>
                                    <w:bottom w:val="none" w:sz="0" w:space="0" w:color="auto"/>
                                    <w:right w:val="none" w:sz="0" w:space="0" w:color="auto"/>
                                  </w:divBdr>
                                  <w:divsChild>
                                    <w:div w:id="1393848445">
                                      <w:marLeft w:val="0"/>
                                      <w:marRight w:val="0"/>
                                      <w:marTop w:val="0"/>
                                      <w:marBottom w:val="0"/>
                                      <w:divBdr>
                                        <w:top w:val="none" w:sz="0" w:space="0" w:color="auto"/>
                                        <w:left w:val="none" w:sz="0" w:space="0" w:color="auto"/>
                                        <w:bottom w:val="none" w:sz="0" w:space="0" w:color="auto"/>
                                        <w:right w:val="none" w:sz="0" w:space="0" w:color="auto"/>
                                      </w:divBdr>
                                      <w:divsChild>
                                        <w:div w:id="1798909670">
                                          <w:marLeft w:val="0"/>
                                          <w:marRight w:val="0"/>
                                          <w:marTop w:val="0"/>
                                          <w:marBottom w:val="0"/>
                                          <w:divBdr>
                                            <w:top w:val="none" w:sz="0" w:space="0" w:color="auto"/>
                                            <w:left w:val="none" w:sz="0" w:space="0" w:color="auto"/>
                                            <w:bottom w:val="none" w:sz="0" w:space="0" w:color="auto"/>
                                            <w:right w:val="none" w:sz="0" w:space="0" w:color="auto"/>
                                          </w:divBdr>
                                          <w:divsChild>
                                            <w:div w:id="1254169378">
                                              <w:marLeft w:val="0"/>
                                              <w:marRight w:val="0"/>
                                              <w:marTop w:val="0"/>
                                              <w:marBottom w:val="0"/>
                                              <w:divBdr>
                                                <w:top w:val="none" w:sz="0" w:space="0" w:color="auto"/>
                                                <w:left w:val="none" w:sz="0" w:space="0" w:color="auto"/>
                                                <w:bottom w:val="none" w:sz="0" w:space="0" w:color="auto"/>
                                                <w:right w:val="none" w:sz="0" w:space="0" w:color="auto"/>
                                              </w:divBdr>
                                              <w:divsChild>
                                                <w:div w:id="14031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55709">
      <w:bodyDiv w:val="1"/>
      <w:marLeft w:val="0"/>
      <w:marRight w:val="0"/>
      <w:marTop w:val="0"/>
      <w:marBottom w:val="0"/>
      <w:divBdr>
        <w:top w:val="none" w:sz="0" w:space="0" w:color="auto"/>
        <w:left w:val="none" w:sz="0" w:space="0" w:color="auto"/>
        <w:bottom w:val="none" w:sz="0" w:space="0" w:color="auto"/>
        <w:right w:val="none" w:sz="0" w:space="0" w:color="auto"/>
      </w:divBdr>
      <w:divsChild>
        <w:div w:id="927613543">
          <w:marLeft w:val="0"/>
          <w:marRight w:val="0"/>
          <w:marTop w:val="0"/>
          <w:marBottom w:val="0"/>
          <w:divBdr>
            <w:top w:val="none" w:sz="0" w:space="0" w:color="auto"/>
            <w:left w:val="none" w:sz="0" w:space="0" w:color="auto"/>
            <w:bottom w:val="none" w:sz="0" w:space="0" w:color="auto"/>
            <w:right w:val="none" w:sz="0" w:space="0" w:color="auto"/>
          </w:divBdr>
          <w:divsChild>
            <w:div w:id="699354806">
              <w:marLeft w:val="0"/>
              <w:marRight w:val="0"/>
              <w:marTop w:val="0"/>
              <w:marBottom w:val="0"/>
              <w:divBdr>
                <w:top w:val="none" w:sz="0" w:space="0" w:color="auto"/>
                <w:left w:val="none" w:sz="0" w:space="0" w:color="auto"/>
                <w:bottom w:val="none" w:sz="0" w:space="0" w:color="auto"/>
                <w:right w:val="none" w:sz="0" w:space="0" w:color="auto"/>
              </w:divBdr>
              <w:divsChild>
                <w:div w:id="643391392">
                  <w:marLeft w:val="0"/>
                  <w:marRight w:val="0"/>
                  <w:marTop w:val="0"/>
                  <w:marBottom w:val="0"/>
                  <w:divBdr>
                    <w:top w:val="none" w:sz="0" w:space="0" w:color="auto"/>
                    <w:left w:val="none" w:sz="0" w:space="0" w:color="auto"/>
                    <w:bottom w:val="none" w:sz="0" w:space="0" w:color="auto"/>
                    <w:right w:val="none" w:sz="0" w:space="0" w:color="auto"/>
                  </w:divBdr>
                  <w:divsChild>
                    <w:div w:id="1460339333">
                      <w:marLeft w:val="0"/>
                      <w:marRight w:val="0"/>
                      <w:marTop w:val="0"/>
                      <w:marBottom w:val="0"/>
                      <w:divBdr>
                        <w:top w:val="none" w:sz="0" w:space="0" w:color="auto"/>
                        <w:left w:val="none" w:sz="0" w:space="0" w:color="auto"/>
                        <w:bottom w:val="none" w:sz="0" w:space="0" w:color="auto"/>
                        <w:right w:val="none" w:sz="0" w:space="0" w:color="auto"/>
                      </w:divBdr>
                      <w:divsChild>
                        <w:div w:id="1105421341">
                          <w:marLeft w:val="0"/>
                          <w:marRight w:val="0"/>
                          <w:marTop w:val="0"/>
                          <w:marBottom w:val="0"/>
                          <w:divBdr>
                            <w:top w:val="single" w:sz="4" w:space="0" w:color="828282"/>
                            <w:left w:val="single" w:sz="4" w:space="0" w:color="828282"/>
                            <w:bottom w:val="single" w:sz="4" w:space="0" w:color="828282"/>
                            <w:right w:val="single" w:sz="4" w:space="0" w:color="828282"/>
                          </w:divBdr>
                          <w:divsChild>
                            <w:div w:id="1923181767">
                              <w:marLeft w:val="0"/>
                              <w:marRight w:val="0"/>
                              <w:marTop w:val="0"/>
                              <w:marBottom w:val="0"/>
                              <w:divBdr>
                                <w:top w:val="none" w:sz="0" w:space="0" w:color="auto"/>
                                <w:left w:val="none" w:sz="0" w:space="0" w:color="auto"/>
                                <w:bottom w:val="none" w:sz="0" w:space="0" w:color="auto"/>
                                <w:right w:val="none" w:sz="0" w:space="0" w:color="auto"/>
                              </w:divBdr>
                              <w:divsChild>
                                <w:div w:id="468086097">
                                  <w:marLeft w:val="0"/>
                                  <w:marRight w:val="0"/>
                                  <w:marTop w:val="0"/>
                                  <w:marBottom w:val="0"/>
                                  <w:divBdr>
                                    <w:top w:val="none" w:sz="0" w:space="0" w:color="auto"/>
                                    <w:left w:val="none" w:sz="0" w:space="0" w:color="auto"/>
                                    <w:bottom w:val="none" w:sz="0" w:space="0" w:color="auto"/>
                                    <w:right w:val="none" w:sz="0" w:space="0" w:color="auto"/>
                                  </w:divBdr>
                                  <w:divsChild>
                                    <w:div w:id="1445150585">
                                      <w:marLeft w:val="0"/>
                                      <w:marRight w:val="0"/>
                                      <w:marTop w:val="0"/>
                                      <w:marBottom w:val="0"/>
                                      <w:divBdr>
                                        <w:top w:val="none" w:sz="0" w:space="0" w:color="auto"/>
                                        <w:left w:val="none" w:sz="0" w:space="0" w:color="auto"/>
                                        <w:bottom w:val="none" w:sz="0" w:space="0" w:color="auto"/>
                                        <w:right w:val="none" w:sz="0" w:space="0" w:color="auto"/>
                                      </w:divBdr>
                                      <w:divsChild>
                                        <w:div w:id="479343278">
                                          <w:marLeft w:val="0"/>
                                          <w:marRight w:val="0"/>
                                          <w:marTop w:val="0"/>
                                          <w:marBottom w:val="0"/>
                                          <w:divBdr>
                                            <w:top w:val="none" w:sz="0" w:space="0" w:color="auto"/>
                                            <w:left w:val="none" w:sz="0" w:space="0" w:color="auto"/>
                                            <w:bottom w:val="none" w:sz="0" w:space="0" w:color="auto"/>
                                            <w:right w:val="none" w:sz="0" w:space="0" w:color="auto"/>
                                          </w:divBdr>
                                          <w:divsChild>
                                            <w:div w:id="1512841332">
                                              <w:marLeft w:val="0"/>
                                              <w:marRight w:val="0"/>
                                              <w:marTop w:val="0"/>
                                              <w:marBottom w:val="0"/>
                                              <w:divBdr>
                                                <w:top w:val="none" w:sz="0" w:space="0" w:color="auto"/>
                                                <w:left w:val="none" w:sz="0" w:space="0" w:color="auto"/>
                                                <w:bottom w:val="none" w:sz="0" w:space="0" w:color="auto"/>
                                                <w:right w:val="none" w:sz="0" w:space="0" w:color="auto"/>
                                              </w:divBdr>
                                              <w:divsChild>
                                                <w:div w:id="1000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5589648">
      <w:bodyDiv w:val="1"/>
      <w:marLeft w:val="0"/>
      <w:marRight w:val="0"/>
      <w:marTop w:val="0"/>
      <w:marBottom w:val="0"/>
      <w:divBdr>
        <w:top w:val="none" w:sz="0" w:space="0" w:color="auto"/>
        <w:left w:val="none" w:sz="0" w:space="0" w:color="auto"/>
        <w:bottom w:val="none" w:sz="0" w:space="0" w:color="auto"/>
        <w:right w:val="none" w:sz="0" w:space="0" w:color="auto"/>
      </w:divBdr>
      <w:divsChild>
        <w:div w:id="1123427304">
          <w:marLeft w:val="0"/>
          <w:marRight w:val="0"/>
          <w:marTop w:val="0"/>
          <w:marBottom w:val="0"/>
          <w:divBdr>
            <w:top w:val="none" w:sz="0" w:space="0" w:color="auto"/>
            <w:left w:val="none" w:sz="0" w:space="0" w:color="auto"/>
            <w:bottom w:val="none" w:sz="0" w:space="0" w:color="auto"/>
            <w:right w:val="none" w:sz="0" w:space="0" w:color="auto"/>
          </w:divBdr>
          <w:divsChild>
            <w:div w:id="412510717">
              <w:marLeft w:val="0"/>
              <w:marRight w:val="0"/>
              <w:marTop w:val="0"/>
              <w:marBottom w:val="0"/>
              <w:divBdr>
                <w:top w:val="none" w:sz="0" w:space="0" w:color="auto"/>
                <w:left w:val="none" w:sz="0" w:space="0" w:color="auto"/>
                <w:bottom w:val="none" w:sz="0" w:space="0" w:color="auto"/>
                <w:right w:val="none" w:sz="0" w:space="0" w:color="auto"/>
              </w:divBdr>
              <w:divsChild>
                <w:div w:id="1225800639">
                  <w:marLeft w:val="0"/>
                  <w:marRight w:val="0"/>
                  <w:marTop w:val="0"/>
                  <w:marBottom w:val="0"/>
                  <w:divBdr>
                    <w:top w:val="none" w:sz="0" w:space="0" w:color="auto"/>
                    <w:left w:val="none" w:sz="0" w:space="0" w:color="auto"/>
                    <w:bottom w:val="none" w:sz="0" w:space="0" w:color="auto"/>
                    <w:right w:val="none" w:sz="0" w:space="0" w:color="auto"/>
                  </w:divBdr>
                  <w:divsChild>
                    <w:div w:id="893351452">
                      <w:marLeft w:val="0"/>
                      <w:marRight w:val="0"/>
                      <w:marTop w:val="0"/>
                      <w:marBottom w:val="0"/>
                      <w:divBdr>
                        <w:top w:val="none" w:sz="0" w:space="0" w:color="auto"/>
                        <w:left w:val="none" w:sz="0" w:space="0" w:color="auto"/>
                        <w:bottom w:val="none" w:sz="0" w:space="0" w:color="auto"/>
                        <w:right w:val="none" w:sz="0" w:space="0" w:color="auto"/>
                      </w:divBdr>
                      <w:divsChild>
                        <w:div w:id="1827090774">
                          <w:marLeft w:val="0"/>
                          <w:marRight w:val="0"/>
                          <w:marTop w:val="0"/>
                          <w:marBottom w:val="0"/>
                          <w:divBdr>
                            <w:top w:val="single" w:sz="4" w:space="0" w:color="828282"/>
                            <w:left w:val="single" w:sz="4" w:space="0" w:color="828282"/>
                            <w:bottom w:val="single" w:sz="4" w:space="0" w:color="828282"/>
                            <w:right w:val="single" w:sz="4" w:space="0" w:color="828282"/>
                          </w:divBdr>
                          <w:divsChild>
                            <w:div w:id="837237026">
                              <w:marLeft w:val="0"/>
                              <w:marRight w:val="0"/>
                              <w:marTop w:val="0"/>
                              <w:marBottom w:val="0"/>
                              <w:divBdr>
                                <w:top w:val="none" w:sz="0" w:space="0" w:color="auto"/>
                                <w:left w:val="none" w:sz="0" w:space="0" w:color="auto"/>
                                <w:bottom w:val="none" w:sz="0" w:space="0" w:color="auto"/>
                                <w:right w:val="none" w:sz="0" w:space="0" w:color="auto"/>
                              </w:divBdr>
                              <w:divsChild>
                                <w:div w:id="1452938049">
                                  <w:marLeft w:val="0"/>
                                  <w:marRight w:val="0"/>
                                  <w:marTop w:val="0"/>
                                  <w:marBottom w:val="0"/>
                                  <w:divBdr>
                                    <w:top w:val="none" w:sz="0" w:space="0" w:color="auto"/>
                                    <w:left w:val="none" w:sz="0" w:space="0" w:color="auto"/>
                                    <w:bottom w:val="none" w:sz="0" w:space="0" w:color="auto"/>
                                    <w:right w:val="none" w:sz="0" w:space="0" w:color="auto"/>
                                  </w:divBdr>
                                  <w:divsChild>
                                    <w:div w:id="1970894381">
                                      <w:marLeft w:val="0"/>
                                      <w:marRight w:val="0"/>
                                      <w:marTop w:val="0"/>
                                      <w:marBottom w:val="0"/>
                                      <w:divBdr>
                                        <w:top w:val="none" w:sz="0" w:space="0" w:color="auto"/>
                                        <w:left w:val="none" w:sz="0" w:space="0" w:color="auto"/>
                                        <w:bottom w:val="none" w:sz="0" w:space="0" w:color="auto"/>
                                        <w:right w:val="none" w:sz="0" w:space="0" w:color="auto"/>
                                      </w:divBdr>
                                      <w:divsChild>
                                        <w:div w:id="620234495">
                                          <w:marLeft w:val="0"/>
                                          <w:marRight w:val="0"/>
                                          <w:marTop w:val="0"/>
                                          <w:marBottom w:val="0"/>
                                          <w:divBdr>
                                            <w:top w:val="none" w:sz="0" w:space="0" w:color="auto"/>
                                            <w:left w:val="none" w:sz="0" w:space="0" w:color="auto"/>
                                            <w:bottom w:val="none" w:sz="0" w:space="0" w:color="auto"/>
                                            <w:right w:val="none" w:sz="0" w:space="0" w:color="auto"/>
                                          </w:divBdr>
                                          <w:divsChild>
                                            <w:div w:id="2026442520">
                                              <w:marLeft w:val="0"/>
                                              <w:marRight w:val="0"/>
                                              <w:marTop w:val="0"/>
                                              <w:marBottom w:val="0"/>
                                              <w:divBdr>
                                                <w:top w:val="none" w:sz="0" w:space="0" w:color="auto"/>
                                                <w:left w:val="none" w:sz="0" w:space="0" w:color="auto"/>
                                                <w:bottom w:val="none" w:sz="0" w:space="0" w:color="auto"/>
                                                <w:right w:val="none" w:sz="0" w:space="0" w:color="auto"/>
                                              </w:divBdr>
                                              <w:divsChild>
                                                <w:div w:id="5264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7056">
      <w:bodyDiv w:val="1"/>
      <w:marLeft w:val="0"/>
      <w:marRight w:val="0"/>
      <w:marTop w:val="0"/>
      <w:marBottom w:val="0"/>
      <w:divBdr>
        <w:top w:val="none" w:sz="0" w:space="0" w:color="auto"/>
        <w:left w:val="none" w:sz="0" w:space="0" w:color="auto"/>
        <w:bottom w:val="none" w:sz="0" w:space="0" w:color="auto"/>
        <w:right w:val="none" w:sz="0" w:space="0" w:color="auto"/>
      </w:divBdr>
      <w:divsChild>
        <w:div w:id="316032736">
          <w:marLeft w:val="0"/>
          <w:marRight w:val="0"/>
          <w:marTop w:val="0"/>
          <w:marBottom w:val="0"/>
          <w:divBdr>
            <w:top w:val="none" w:sz="0" w:space="0" w:color="auto"/>
            <w:left w:val="none" w:sz="0" w:space="0" w:color="auto"/>
            <w:bottom w:val="none" w:sz="0" w:space="0" w:color="auto"/>
            <w:right w:val="none" w:sz="0" w:space="0" w:color="auto"/>
          </w:divBdr>
          <w:divsChild>
            <w:div w:id="411204400">
              <w:marLeft w:val="0"/>
              <w:marRight w:val="0"/>
              <w:marTop w:val="0"/>
              <w:marBottom w:val="0"/>
              <w:divBdr>
                <w:top w:val="none" w:sz="0" w:space="0" w:color="auto"/>
                <w:left w:val="none" w:sz="0" w:space="0" w:color="auto"/>
                <w:bottom w:val="none" w:sz="0" w:space="0" w:color="auto"/>
                <w:right w:val="none" w:sz="0" w:space="0" w:color="auto"/>
              </w:divBdr>
              <w:divsChild>
                <w:div w:id="278267375">
                  <w:marLeft w:val="0"/>
                  <w:marRight w:val="0"/>
                  <w:marTop w:val="0"/>
                  <w:marBottom w:val="0"/>
                  <w:divBdr>
                    <w:top w:val="none" w:sz="0" w:space="0" w:color="auto"/>
                    <w:left w:val="none" w:sz="0" w:space="0" w:color="auto"/>
                    <w:bottom w:val="none" w:sz="0" w:space="0" w:color="auto"/>
                    <w:right w:val="none" w:sz="0" w:space="0" w:color="auto"/>
                  </w:divBdr>
                  <w:divsChild>
                    <w:div w:id="274675553">
                      <w:marLeft w:val="0"/>
                      <w:marRight w:val="0"/>
                      <w:marTop w:val="0"/>
                      <w:marBottom w:val="0"/>
                      <w:divBdr>
                        <w:top w:val="none" w:sz="0" w:space="0" w:color="auto"/>
                        <w:left w:val="none" w:sz="0" w:space="0" w:color="auto"/>
                        <w:bottom w:val="none" w:sz="0" w:space="0" w:color="auto"/>
                        <w:right w:val="none" w:sz="0" w:space="0" w:color="auto"/>
                      </w:divBdr>
                      <w:divsChild>
                        <w:div w:id="1550729297">
                          <w:marLeft w:val="0"/>
                          <w:marRight w:val="0"/>
                          <w:marTop w:val="0"/>
                          <w:marBottom w:val="0"/>
                          <w:divBdr>
                            <w:top w:val="single" w:sz="4" w:space="0" w:color="828282"/>
                            <w:left w:val="single" w:sz="4" w:space="0" w:color="828282"/>
                            <w:bottom w:val="single" w:sz="4" w:space="0" w:color="828282"/>
                            <w:right w:val="single" w:sz="4" w:space="0" w:color="828282"/>
                          </w:divBdr>
                          <w:divsChild>
                            <w:div w:id="1427769907">
                              <w:marLeft w:val="0"/>
                              <w:marRight w:val="0"/>
                              <w:marTop w:val="0"/>
                              <w:marBottom w:val="0"/>
                              <w:divBdr>
                                <w:top w:val="none" w:sz="0" w:space="0" w:color="auto"/>
                                <w:left w:val="none" w:sz="0" w:space="0" w:color="auto"/>
                                <w:bottom w:val="none" w:sz="0" w:space="0" w:color="auto"/>
                                <w:right w:val="none" w:sz="0" w:space="0" w:color="auto"/>
                              </w:divBdr>
                              <w:divsChild>
                                <w:div w:id="440615005">
                                  <w:marLeft w:val="0"/>
                                  <w:marRight w:val="0"/>
                                  <w:marTop w:val="0"/>
                                  <w:marBottom w:val="0"/>
                                  <w:divBdr>
                                    <w:top w:val="none" w:sz="0" w:space="0" w:color="auto"/>
                                    <w:left w:val="none" w:sz="0" w:space="0" w:color="auto"/>
                                    <w:bottom w:val="none" w:sz="0" w:space="0" w:color="auto"/>
                                    <w:right w:val="none" w:sz="0" w:space="0" w:color="auto"/>
                                  </w:divBdr>
                                  <w:divsChild>
                                    <w:div w:id="1967656771">
                                      <w:marLeft w:val="0"/>
                                      <w:marRight w:val="0"/>
                                      <w:marTop w:val="0"/>
                                      <w:marBottom w:val="0"/>
                                      <w:divBdr>
                                        <w:top w:val="none" w:sz="0" w:space="0" w:color="auto"/>
                                        <w:left w:val="none" w:sz="0" w:space="0" w:color="auto"/>
                                        <w:bottom w:val="none" w:sz="0" w:space="0" w:color="auto"/>
                                        <w:right w:val="none" w:sz="0" w:space="0" w:color="auto"/>
                                      </w:divBdr>
                                      <w:divsChild>
                                        <w:div w:id="1410888745">
                                          <w:marLeft w:val="0"/>
                                          <w:marRight w:val="0"/>
                                          <w:marTop w:val="0"/>
                                          <w:marBottom w:val="0"/>
                                          <w:divBdr>
                                            <w:top w:val="none" w:sz="0" w:space="0" w:color="auto"/>
                                            <w:left w:val="none" w:sz="0" w:space="0" w:color="auto"/>
                                            <w:bottom w:val="none" w:sz="0" w:space="0" w:color="auto"/>
                                            <w:right w:val="none" w:sz="0" w:space="0" w:color="auto"/>
                                          </w:divBdr>
                                          <w:divsChild>
                                            <w:div w:id="1138186792">
                                              <w:marLeft w:val="0"/>
                                              <w:marRight w:val="0"/>
                                              <w:marTop w:val="0"/>
                                              <w:marBottom w:val="0"/>
                                              <w:divBdr>
                                                <w:top w:val="none" w:sz="0" w:space="0" w:color="auto"/>
                                                <w:left w:val="none" w:sz="0" w:space="0" w:color="auto"/>
                                                <w:bottom w:val="none" w:sz="0" w:space="0" w:color="auto"/>
                                                <w:right w:val="none" w:sz="0" w:space="0" w:color="auto"/>
                                              </w:divBdr>
                                              <w:divsChild>
                                                <w:div w:id="20772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75177">
      <w:bodyDiv w:val="1"/>
      <w:marLeft w:val="0"/>
      <w:marRight w:val="0"/>
      <w:marTop w:val="0"/>
      <w:marBottom w:val="0"/>
      <w:divBdr>
        <w:top w:val="none" w:sz="0" w:space="0" w:color="auto"/>
        <w:left w:val="none" w:sz="0" w:space="0" w:color="auto"/>
        <w:bottom w:val="none" w:sz="0" w:space="0" w:color="auto"/>
        <w:right w:val="none" w:sz="0" w:space="0" w:color="auto"/>
      </w:divBdr>
      <w:divsChild>
        <w:div w:id="2071343706">
          <w:marLeft w:val="0"/>
          <w:marRight w:val="0"/>
          <w:marTop w:val="0"/>
          <w:marBottom w:val="0"/>
          <w:divBdr>
            <w:top w:val="none" w:sz="0" w:space="0" w:color="auto"/>
            <w:left w:val="none" w:sz="0" w:space="0" w:color="auto"/>
            <w:bottom w:val="none" w:sz="0" w:space="0" w:color="auto"/>
            <w:right w:val="none" w:sz="0" w:space="0" w:color="auto"/>
          </w:divBdr>
          <w:divsChild>
            <w:div w:id="298536418">
              <w:marLeft w:val="0"/>
              <w:marRight w:val="0"/>
              <w:marTop w:val="0"/>
              <w:marBottom w:val="0"/>
              <w:divBdr>
                <w:top w:val="none" w:sz="0" w:space="0" w:color="auto"/>
                <w:left w:val="none" w:sz="0" w:space="0" w:color="auto"/>
                <w:bottom w:val="none" w:sz="0" w:space="0" w:color="auto"/>
                <w:right w:val="none" w:sz="0" w:space="0" w:color="auto"/>
              </w:divBdr>
              <w:divsChild>
                <w:div w:id="238054965">
                  <w:marLeft w:val="0"/>
                  <w:marRight w:val="0"/>
                  <w:marTop w:val="0"/>
                  <w:marBottom w:val="0"/>
                  <w:divBdr>
                    <w:top w:val="none" w:sz="0" w:space="0" w:color="auto"/>
                    <w:left w:val="none" w:sz="0" w:space="0" w:color="auto"/>
                    <w:bottom w:val="none" w:sz="0" w:space="0" w:color="auto"/>
                    <w:right w:val="none" w:sz="0" w:space="0" w:color="auto"/>
                  </w:divBdr>
                  <w:divsChild>
                    <w:div w:id="272981386">
                      <w:marLeft w:val="0"/>
                      <w:marRight w:val="0"/>
                      <w:marTop w:val="0"/>
                      <w:marBottom w:val="0"/>
                      <w:divBdr>
                        <w:top w:val="none" w:sz="0" w:space="0" w:color="auto"/>
                        <w:left w:val="none" w:sz="0" w:space="0" w:color="auto"/>
                        <w:bottom w:val="none" w:sz="0" w:space="0" w:color="auto"/>
                        <w:right w:val="none" w:sz="0" w:space="0" w:color="auto"/>
                      </w:divBdr>
                      <w:divsChild>
                        <w:div w:id="456263541">
                          <w:marLeft w:val="0"/>
                          <w:marRight w:val="0"/>
                          <w:marTop w:val="0"/>
                          <w:marBottom w:val="0"/>
                          <w:divBdr>
                            <w:top w:val="single" w:sz="4" w:space="0" w:color="828282"/>
                            <w:left w:val="single" w:sz="4" w:space="0" w:color="828282"/>
                            <w:bottom w:val="single" w:sz="4" w:space="0" w:color="828282"/>
                            <w:right w:val="single" w:sz="4" w:space="0" w:color="828282"/>
                          </w:divBdr>
                          <w:divsChild>
                            <w:div w:id="319308732">
                              <w:marLeft w:val="0"/>
                              <w:marRight w:val="0"/>
                              <w:marTop w:val="0"/>
                              <w:marBottom w:val="0"/>
                              <w:divBdr>
                                <w:top w:val="none" w:sz="0" w:space="0" w:color="auto"/>
                                <w:left w:val="none" w:sz="0" w:space="0" w:color="auto"/>
                                <w:bottom w:val="none" w:sz="0" w:space="0" w:color="auto"/>
                                <w:right w:val="none" w:sz="0" w:space="0" w:color="auto"/>
                              </w:divBdr>
                              <w:divsChild>
                                <w:div w:id="936015007">
                                  <w:marLeft w:val="0"/>
                                  <w:marRight w:val="0"/>
                                  <w:marTop w:val="0"/>
                                  <w:marBottom w:val="0"/>
                                  <w:divBdr>
                                    <w:top w:val="none" w:sz="0" w:space="0" w:color="auto"/>
                                    <w:left w:val="none" w:sz="0" w:space="0" w:color="auto"/>
                                    <w:bottom w:val="none" w:sz="0" w:space="0" w:color="auto"/>
                                    <w:right w:val="none" w:sz="0" w:space="0" w:color="auto"/>
                                  </w:divBdr>
                                  <w:divsChild>
                                    <w:div w:id="1240676080">
                                      <w:marLeft w:val="0"/>
                                      <w:marRight w:val="0"/>
                                      <w:marTop w:val="0"/>
                                      <w:marBottom w:val="0"/>
                                      <w:divBdr>
                                        <w:top w:val="none" w:sz="0" w:space="0" w:color="auto"/>
                                        <w:left w:val="none" w:sz="0" w:space="0" w:color="auto"/>
                                        <w:bottom w:val="none" w:sz="0" w:space="0" w:color="auto"/>
                                        <w:right w:val="none" w:sz="0" w:space="0" w:color="auto"/>
                                      </w:divBdr>
                                      <w:divsChild>
                                        <w:div w:id="1181118117">
                                          <w:marLeft w:val="0"/>
                                          <w:marRight w:val="0"/>
                                          <w:marTop w:val="0"/>
                                          <w:marBottom w:val="0"/>
                                          <w:divBdr>
                                            <w:top w:val="none" w:sz="0" w:space="0" w:color="auto"/>
                                            <w:left w:val="none" w:sz="0" w:space="0" w:color="auto"/>
                                            <w:bottom w:val="none" w:sz="0" w:space="0" w:color="auto"/>
                                            <w:right w:val="none" w:sz="0" w:space="0" w:color="auto"/>
                                          </w:divBdr>
                                          <w:divsChild>
                                            <w:div w:id="2123382483">
                                              <w:marLeft w:val="0"/>
                                              <w:marRight w:val="0"/>
                                              <w:marTop w:val="0"/>
                                              <w:marBottom w:val="0"/>
                                              <w:divBdr>
                                                <w:top w:val="none" w:sz="0" w:space="0" w:color="auto"/>
                                                <w:left w:val="none" w:sz="0" w:space="0" w:color="auto"/>
                                                <w:bottom w:val="none" w:sz="0" w:space="0" w:color="auto"/>
                                                <w:right w:val="none" w:sz="0" w:space="0" w:color="auto"/>
                                              </w:divBdr>
                                              <w:divsChild>
                                                <w:div w:id="9002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497937">
      <w:bodyDiv w:val="1"/>
      <w:marLeft w:val="0"/>
      <w:marRight w:val="0"/>
      <w:marTop w:val="0"/>
      <w:marBottom w:val="0"/>
      <w:divBdr>
        <w:top w:val="none" w:sz="0" w:space="0" w:color="auto"/>
        <w:left w:val="none" w:sz="0" w:space="0" w:color="auto"/>
        <w:bottom w:val="none" w:sz="0" w:space="0" w:color="auto"/>
        <w:right w:val="none" w:sz="0" w:space="0" w:color="auto"/>
      </w:divBdr>
    </w:div>
    <w:div w:id="1465539395">
      <w:bodyDiv w:val="1"/>
      <w:marLeft w:val="0"/>
      <w:marRight w:val="0"/>
      <w:marTop w:val="0"/>
      <w:marBottom w:val="0"/>
      <w:divBdr>
        <w:top w:val="none" w:sz="0" w:space="0" w:color="auto"/>
        <w:left w:val="none" w:sz="0" w:space="0" w:color="auto"/>
        <w:bottom w:val="none" w:sz="0" w:space="0" w:color="auto"/>
        <w:right w:val="none" w:sz="0" w:space="0" w:color="auto"/>
      </w:divBdr>
      <w:divsChild>
        <w:div w:id="1794248650">
          <w:marLeft w:val="0"/>
          <w:marRight w:val="0"/>
          <w:marTop w:val="0"/>
          <w:marBottom w:val="0"/>
          <w:divBdr>
            <w:top w:val="none" w:sz="0" w:space="0" w:color="auto"/>
            <w:left w:val="none" w:sz="0" w:space="0" w:color="auto"/>
            <w:bottom w:val="none" w:sz="0" w:space="0" w:color="auto"/>
            <w:right w:val="none" w:sz="0" w:space="0" w:color="auto"/>
          </w:divBdr>
          <w:divsChild>
            <w:div w:id="527720811">
              <w:marLeft w:val="0"/>
              <w:marRight w:val="0"/>
              <w:marTop w:val="0"/>
              <w:marBottom w:val="0"/>
              <w:divBdr>
                <w:top w:val="none" w:sz="0" w:space="0" w:color="auto"/>
                <w:left w:val="none" w:sz="0" w:space="0" w:color="auto"/>
                <w:bottom w:val="none" w:sz="0" w:space="0" w:color="auto"/>
                <w:right w:val="none" w:sz="0" w:space="0" w:color="auto"/>
              </w:divBdr>
              <w:divsChild>
                <w:div w:id="1801536341">
                  <w:marLeft w:val="0"/>
                  <w:marRight w:val="0"/>
                  <w:marTop w:val="0"/>
                  <w:marBottom w:val="0"/>
                  <w:divBdr>
                    <w:top w:val="none" w:sz="0" w:space="0" w:color="auto"/>
                    <w:left w:val="none" w:sz="0" w:space="0" w:color="auto"/>
                    <w:bottom w:val="none" w:sz="0" w:space="0" w:color="auto"/>
                    <w:right w:val="none" w:sz="0" w:space="0" w:color="auto"/>
                  </w:divBdr>
                  <w:divsChild>
                    <w:div w:id="1915124180">
                      <w:marLeft w:val="0"/>
                      <w:marRight w:val="0"/>
                      <w:marTop w:val="0"/>
                      <w:marBottom w:val="0"/>
                      <w:divBdr>
                        <w:top w:val="none" w:sz="0" w:space="0" w:color="auto"/>
                        <w:left w:val="none" w:sz="0" w:space="0" w:color="auto"/>
                        <w:bottom w:val="none" w:sz="0" w:space="0" w:color="auto"/>
                        <w:right w:val="none" w:sz="0" w:space="0" w:color="auto"/>
                      </w:divBdr>
                      <w:divsChild>
                        <w:div w:id="1482775768">
                          <w:marLeft w:val="0"/>
                          <w:marRight w:val="0"/>
                          <w:marTop w:val="0"/>
                          <w:marBottom w:val="0"/>
                          <w:divBdr>
                            <w:top w:val="single" w:sz="4" w:space="0" w:color="828282"/>
                            <w:left w:val="single" w:sz="4" w:space="0" w:color="828282"/>
                            <w:bottom w:val="single" w:sz="4" w:space="0" w:color="828282"/>
                            <w:right w:val="single" w:sz="4" w:space="0" w:color="828282"/>
                          </w:divBdr>
                          <w:divsChild>
                            <w:div w:id="2017685064">
                              <w:marLeft w:val="0"/>
                              <w:marRight w:val="0"/>
                              <w:marTop w:val="0"/>
                              <w:marBottom w:val="0"/>
                              <w:divBdr>
                                <w:top w:val="none" w:sz="0" w:space="0" w:color="auto"/>
                                <w:left w:val="none" w:sz="0" w:space="0" w:color="auto"/>
                                <w:bottom w:val="none" w:sz="0" w:space="0" w:color="auto"/>
                                <w:right w:val="none" w:sz="0" w:space="0" w:color="auto"/>
                              </w:divBdr>
                              <w:divsChild>
                                <w:div w:id="1725181331">
                                  <w:marLeft w:val="0"/>
                                  <w:marRight w:val="0"/>
                                  <w:marTop w:val="0"/>
                                  <w:marBottom w:val="0"/>
                                  <w:divBdr>
                                    <w:top w:val="none" w:sz="0" w:space="0" w:color="auto"/>
                                    <w:left w:val="none" w:sz="0" w:space="0" w:color="auto"/>
                                    <w:bottom w:val="none" w:sz="0" w:space="0" w:color="auto"/>
                                    <w:right w:val="none" w:sz="0" w:space="0" w:color="auto"/>
                                  </w:divBdr>
                                  <w:divsChild>
                                    <w:div w:id="1294287489">
                                      <w:marLeft w:val="0"/>
                                      <w:marRight w:val="0"/>
                                      <w:marTop w:val="0"/>
                                      <w:marBottom w:val="0"/>
                                      <w:divBdr>
                                        <w:top w:val="none" w:sz="0" w:space="0" w:color="auto"/>
                                        <w:left w:val="none" w:sz="0" w:space="0" w:color="auto"/>
                                        <w:bottom w:val="none" w:sz="0" w:space="0" w:color="auto"/>
                                        <w:right w:val="none" w:sz="0" w:space="0" w:color="auto"/>
                                      </w:divBdr>
                                      <w:divsChild>
                                        <w:div w:id="1760590455">
                                          <w:marLeft w:val="0"/>
                                          <w:marRight w:val="0"/>
                                          <w:marTop w:val="0"/>
                                          <w:marBottom w:val="0"/>
                                          <w:divBdr>
                                            <w:top w:val="none" w:sz="0" w:space="0" w:color="auto"/>
                                            <w:left w:val="none" w:sz="0" w:space="0" w:color="auto"/>
                                            <w:bottom w:val="none" w:sz="0" w:space="0" w:color="auto"/>
                                            <w:right w:val="none" w:sz="0" w:space="0" w:color="auto"/>
                                          </w:divBdr>
                                          <w:divsChild>
                                            <w:div w:id="734863899">
                                              <w:marLeft w:val="0"/>
                                              <w:marRight w:val="0"/>
                                              <w:marTop w:val="0"/>
                                              <w:marBottom w:val="0"/>
                                              <w:divBdr>
                                                <w:top w:val="none" w:sz="0" w:space="0" w:color="auto"/>
                                                <w:left w:val="none" w:sz="0" w:space="0" w:color="auto"/>
                                                <w:bottom w:val="none" w:sz="0" w:space="0" w:color="auto"/>
                                                <w:right w:val="none" w:sz="0" w:space="0" w:color="auto"/>
                                              </w:divBdr>
                                              <w:divsChild>
                                                <w:div w:id="21311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4155409">
      <w:bodyDiv w:val="1"/>
      <w:marLeft w:val="0"/>
      <w:marRight w:val="0"/>
      <w:marTop w:val="0"/>
      <w:marBottom w:val="0"/>
      <w:divBdr>
        <w:top w:val="none" w:sz="0" w:space="0" w:color="auto"/>
        <w:left w:val="none" w:sz="0" w:space="0" w:color="auto"/>
        <w:bottom w:val="none" w:sz="0" w:space="0" w:color="auto"/>
        <w:right w:val="none" w:sz="0" w:space="0" w:color="auto"/>
      </w:divBdr>
    </w:div>
    <w:div w:id="2005817789">
      <w:bodyDiv w:val="1"/>
      <w:marLeft w:val="0"/>
      <w:marRight w:val="0"/>
      <w:marTop w:val="0"/>
      <w:marBottom w:val="0"/>
      <w:divBdr>
        <w:top w:val="none" w:sz="0" w:space="0" w:color="auto"/>
        <w:left w:val="none" w:sz="0" w:space="0" w:color="auto"/>
        <w:bottom w:val="none" w:sz="0" w:space="0" w:color="auto"/>
        <w:right w:val="none" w:sz="0" w:space="0" w:color="auto"/>
      </w:divBdr>
      <w:divsChild>
        <w:div w:id="1497767664">
          <w:marLeft w:val="0"/>
          <w:marRight w:val="0"/>
          <w:marTop w:val="0"/>
          <w:marBottom w:val="0"/>
          <w:divBdr>
            <w:top w:val="none" w:sz="0" w:space="0" w:color="auto"/>
            <w:left w:val="none" w:sz="0" w:space="0" w:color="auto"/>
            <w:bottom w:val="none" w:sz="0" w:space="0" w:color="auto"/>
            <w:right w:val="none" w:sz="0" w:space="0" w:color="auto"/>
          </w:divBdr>
          <w:divsChild>
            <w:div w:id="739135886">
              <w:marLeft w:val="0"/>
              <w:marRight w:val="0"/>
              <w:marTop w:val="0"/>
              <w:marBottom w:val="0"/>
              <w:divBdr>
                <w:top w:val="none" w:sz="0" w:space="0" w:color="auto"/>
                <w:left w:val="none" w:sz="0" w:space="0" w:color="auto"/>
                <w:bottom w:val="none" w:sz="0" w:space="0" w:color="auto"/>
                <w:right w:val="none" w:sz="0" w:space="0" w:color="auto"/>
              </w:divBdr>
              <w:divsChild>
                <w:div w:id="1416852869">
                  <w:marLeft w:val="0"/>
                  <w:marRight w:val="0"/>
                  <w:marTop w:val="0"/>
                  <w:marBottom w:val="0"/>
                  <w:divBdr>
                    <w:top w:val="none" w:sz="0" w:space="0" w:color="auto"/>
                    <w:left w:val="none" w:sz="0" w:space="0" w:color="auto"/>
                    <w:bottom w:val="none" w:sz="0" w:space="0" w:color="auto"/>
                    <w:right w:val="none" w:sz="0" w:space="0" w:color="auto"/>
                  </w:divBdr>
                  <w:divsChild>
                    <w:div w:id="784428542">
                      <w:marLeft w:val="0"/>
                      <w:marRight w:val="0"/>
                      <w:marTop w:val="0"/>
                      <w:marBottom w:val="0"/>
                      <w:divBdr>
                        <w:top w:val="none" w:sz="0" w:space="0" w:color="auto"/>
                        <w:left w:val="none" w:sz="0" w:space="0" w:color="auto"/>
                        <w:bottom w:val="none" w:sz="0" w:space="0" w:color="auto"/>
                        <w:right w:val="none" w:sz="0" w:space="0" w:color="auto"/>
                      </w:divBdr>
                      <w:divsChild>
                        <w:div w:id="645012643">
                          <w:marLeft w:val="0"/>
                          <w:marRight w:val="0"/>
                          <w:marTop w:val="0"/>
                          <w:marBottom w:val="0"/>
                          <w:divBdr>
                            <w:top w:val="single" w:sz="4" w:space="0" w:color="828282"/>
                            <w:left w:val="single" w:sz="4" w:space="0" w:color="828282"/>
                            <w:bottom w:val="single" w:sz="4" w:space="0" w:color="828282"/>
                            <w:right w:val="single" w:sz="4" w:space="0" w:color="828282"/>
                          </w:divBdr>
                          <w:divsChild>
                            <w:div w:id="527643606">
                              <w:marLeft w:val="0"/>
                              <w:marRight w:val="0"/>
                              <w:marTop w:val="0"/>
                              <w:marBottom w:val="0"/>
                              <w:divBdr>
                                <w:top w:val="none" w:sz="0" w:space="0" w:color="auto"/>
                                <w:left w:val="none" w:sz="0" w:space="0" w:color="auto"/>
                                <w:bottom w:val="none" w:sz="0" w:space="0" w:color="auto"/>
                                <w:right w:val="none" w:sz="0" w:space="0" w:color="auto"/>
                              </w:divBdr>
                              <w:divsChild>
                                <w:div w:id="890460254">
                                  <w:marLeft w:val="0"/>
                                  <w:marRight w:val="0"/>
                                  <w:marTop w:val="0"/>
                                  <w:marBottom w:val="0"/>
                                  <w:divBdr>
                                    <w:top w:val="none" w:sz="0" w:space="0" w:color="auto"/>
                                    <w:left w:val="none" w:sz="0" w:space="0" w:color="auto"/>
                                    <w:bottom w:val="none" w:sz="0" w:space="0" w:color="auto"/>
                                    <w:right w:val="none" w:sz="0" w:space="0" w:color="auto"/>
                                  </w:divBdr>
                                  <w:divsChild>
                                    <w:div w:id="1249341933">
                                      <w:marLeft w:val="0"/>
                                      <w:marRight w:val="0"/>
                                      <w:marTop w:val="0"/>
                                      <w:marBottom w:val="0"/>
                                      <w:divBdr>
                                        <w:top w:val="none" w:sz="0" w:space="0" w:color="auto"/>
                                        <w:left w:val="none" w:sz="0" w:space="0" w:color="auto"/>
                                        <w:bottom w:val="none" w:sz="0" w:space="0" w:color="auto"/>
                                        <w:right w:val="none" w:sz="0" w:space="0" w:color="auto"/>
                                      </w:divBdr>
                                      <w:divsChild>
                                        <w:div w:id="1449665077">
                                          <w:marLeft w:val="0"/>
                                          <w:marRight w:val="0"/>
                                          <w:marTop w:val="0"/>
                                          <w:marBottom w:val="0"/>
                                          <w:divBdr>
                                            <w:top w:val="none" w:sz="0" w:space="0" w:color="auto"/>
                                            <w:left w:val="none" w:sz="0" w:space="0" w:color="auto"/>
                                            <w:bottom w:val="none" w:sz="0" w:space="0" w:color="auto"/>
                                            <w:right w:val="none" w:sz="0" w:space="0" w:color="auto"/>
                                          </w:divBdr>
                                          <w:divsChild>
                                            <w:div w:id="1709795925">
                                              <w:marLeft w:val="0"/>
                                              <w:marRight w:val="0"/>
                                              <w:marTop w:val="0"/>
                                              <w:marBottom w:val="0"/>
                                              <w:divBdr>
                                                <w:top w:val="none" w:sz="0" w:space="0" w:color="auto"/>
                                                <w:left w:val="none" w:sz="0" w:space="0" w:color="auto"/>
                                                <w:bottom w:val="none" w:sz="0" w:space="0" w:color="auto"/>
                                                <w:right w:val="none" w:sz="0" w:space="0" w:color="auto"/>
                                              </w:divBdr>
                                              <w:divsChild>
                                                <w:div w:id="987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565139">
      <w:bodyDiv w:val="1"/>
      <w:marLeft w:val="0"/>
      <w:marRight w:val="0"/>
      <w:marTop w:val="0"/>
      <w:marBottom w:val="0"/>
      <w:divBdr>
        <w:top w:val="none" w:sz="0" w:space="0" w:color="auto"/>
        <w:left w:val="none" w:sz="0" w:space="0" w:color="auto"/>
        <w:bottom w:val="none" w:sz="0" w:space="0" w:color="auto"/>
        <w:right w:val="none" w:sz="0" w:space="0" w:color="auto"/>
      </w:divBdr>
    </w:div>
    <w:div w:id="21353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72E1E-58B4-4D6F-98B6-CFB15177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2014-12-04T04:34:00Z</dcterms:created>
  <dcterms:modified xsi:type="dcterms:W3CDTF">2014-12-04T04:34:00Z</dcterms:modified>
</cp:coreProperties>
</file>