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4E7EA4" w:rsidRDefault="00193461" w:rsidP="00C63713">
      <w:pPr>
        <w:rPr>
          <w:sz w:val="28"/>
        </w:rPr>
      </w:pPr>
      <w:bookmarkStart w:id="0" w:name="_GoBack"/>
      <w:bookmarkEnd w:id="0"/>
      <w:r w:rsidRPr="004E7EA4">
        <w:rPr>
          <w:noProof/>
          <w:lang w:eastAsia="en-AU"/>
        </w:rPr>
        <w:drawing>
          <wp:inline distT="0" distB="0" distL="0" distR="0" wp14:anchorId="20E868DC" wp14:editId="0F0B8DB3">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4E7EA4" w:rsidRDefault="0048364F" w:rsidP="0048364F">
      <w:pPr>
        <w:rPr>
          <w:sz w:val="19"/>
        </w:rPr>
      </w:pPr>
    </w:p>
    <w:p w:rsidR="0048364F" w:rsidRPr="004E7EA4" w:rsidRDefault="009F07C8" w:rsidP="0048364F">
      <w:pPr>
        <w:pStyle w:val="ShortT"/>
      </w:pPr>
      <w:r w:rsidRPr="004E7EA4">
        <w:t>Corporations Laws Amendment (2014 Measures No.</w:t>
      </w:r>
      <w:r w:rsidR="004E7EA4" w:rsidRPr="004E7EA4">
        <w:t> </w:t>
      </w:r>
      <w:r w:rsidRPr="004E7EA4">
        <w:t>3) Regulation</w:t>
      </w:r>
      <w:r w:rsidR="004E7EA4" w:rsidRPr="004E7EA4">
        <w:t> </w:t>
      </w:r>
      <w:r w:rsidRPr="004E7EA4">
        <w:t>2014</w:t>
      </w:r>
    </w:p>
    <w:p w:rsidR="0048364F" w:rsidRPr="004E7EA4" w:rsidRDefault="0048364F" w:rsidP="0048364F"/>
    <w:p w:rsidR="0048364F" w:rsidRPr="004E7EA4" w:rsidRDefault="00A4361F" w:rsidP="00680F17">
      <w:pPr>
        <w:pStyle w:val="InstNo"/>
      </w:pPr>
      <w:r w:rsidRPr="004E7EA4">
        <w:t>Select Legislative Instrument</w:t>
      </w:r>
      <w:r w:rsidR="00154EAC" w:rsidRPr="004E7EA4">
        <w:t xml:space="preserve"> </w:t>
      </w:r>
      <w:bookmarkStart w:id="1" w:name="BKCheck15B_1"/>
      <w:bookmarkEnd w:id="1"/>
      <w:r w:rsidR="00D0104A" w:rsidRPr="004E7EA4">
        <w:fldChar w:fldCharType="begin"/>
      </w:r>
      <w:r w:rsidR="00D0104A" w:rsidRPr="004E7EA4">
        <w:instrText xml:space="preserve"> DOCPROPERTY  ActNo </w:instrText>
      </w:r>
      <w:r w:rsidR="00D0104A" w:rsidRPr="004E7EA4">
        <w:fldChar w:fldCharType="separate"/>
      </w:r>
      <w:r w:rsidR="00381D2D">
        <w:t>No. 185, 2014</w:t>
      </w:r>
      <w:r w:rsidR="00D0104A" w:rsidRPr="004E7EA4">
        <w:fldChar w:fldCharType="end"/>
      </w:r>
    </w:p>
    <w:p w:rsidR="004D7AE7" w:rsidRPr="004E7EA4" w:rsidRDefault="004D7AE7" w:rsidP="004B3C3B">
      <w:pPr>
        <w:pStyle w:val="SignCoverPageStart"/>
        <w:spacing w:before="240"/>
        <w:rPr>
          <w:szCs w:val="22"/>
        </w:rPr>
      </w:pPr>
      <w:r w:rsidRPr="004E7EA4">
        <w:rPr>
          <w:szCs w:val="22"/>
        </w:rPr>
        <w:t>I, General the Honourable Sir Peter Cosgrove AK MC (</w:t>
      </w:r>
      <w:proofErr w:type="spellStart"/>
      <w:r w:rsidRPr="004E7EA4">
        <w:rPr>
          <w:szCs w:val="22"/>
        </w:rPr>
        <w:t>Ret’d</w:t>
      </w:r>
      <w:proofErr w:type="spellEnd"/>
      <w:r w:rsidRPr="004E7EA4">
        <w:rPr>
          <w:szCs w:val="22"/>
        </w:rPr>
        <w:t xml:space="preserve">), </w:t>
      </w:r>
      <w:r w:rsidR="004E7EA4" w:rsidRPr="004E7EA4">
        <w:rPr>
          <w:szCs w:val="22"/>
        </w:rPr>
        <w:t>Governor</w:t>
      </w:r>
      <w:r w:rsidR="004E7EA4">
        <w:rPr>
          <w:szCs w:val="22"/>
        </w:rPr>
        <w:noBreakHyphen/>
      </w:r>
      <w:r w:rsidR="004E7EA4" w:rsidRPr="004E7EA4">
        <w:rPr>
          <w:szCs w:val="22"/>
        </w:rPr>
        <w:t>General</w:t>
      </w:r>
      <w:r w:rsidRPr="004E7EA4">
        <w:rPr>
          <w:szCs w:val="22"/>
        </w:rPr>
        <w:t xml:space="preserve"> of the Commonwealth of Australia, acting with the advice of the Federal Executive Council, make the following regulation.</w:t>
      </w:r>
    </w:p>
    <w:p w:rsidR="004D7AE7" w:rsidRPr="004E7EA4" w:rsidRDefault="004D7AE7" w:rsidP="004B3C3B">
      <w:pPr>
        <w:keepNext/>
        <w:spacing w:before="720" w:line="240" w:lineRule="atLeast"/>
        <w:ind w:right="397"/>
        <w:jc w:val="both"/>
        <w:rPr>
          <w:szCs w:val="22"/>
        </w:rPr>
      </w:pPr>
      <w:r w:rsidRPr="004E7EA4">
        <w:rPr>
          <w:szCs w:val="22"/>
        </w:rPr>
        <w:t xml:space="preserve">Dated </w:t>
      </w:r>
      <w:bookmarkStart w:id="2" w:name="BKCheck15B_2"/>
      <w:bookmarkEnd w:id="2"/>
      <w:r w:rsidRPr="004E7EA4">
        <w:rPr>
          <w:szCs w:val="22"/>
        </w:rPr>
        <w:fldChar w:fldCharType="begin"/>
      </w:r>
      <w:r w:rsidRPr="004E7EA4">
        <w:rPr>
          <w:szCs w:val="22"/>
        </w:rPr>
        <w:instrText xml:space="preserve"> DOCPROPERTY  DateMade </w:instrText>
      </w:r>
      <w:r w:rsidRPr="004E7EA4">
        <w:rPr>
          <w:szCs w:val="22"/>
        </w:rPr>
        <w:fldChar w:fldCharType="separate"/>
      </w:r>
      <w:r w:rsidR="00381D2D">
        <w:rPr>
          <w:szCs w:val="22"/>
        </w:rPr>
        <w:t>27 November 2014</w:t>
      </w:r>
      <w:r w:rsidRPr="004E7EA4">
        <w:rPr>
          <w:szCs w:val="22"/>
        </w:rPr>
        <w:fldChar w:fldCharType="end"/>
      </w:r>
    </w:p>
    <w:p w:rsidR="004D7AE7" w:rsidRPr="004E7EA4" w:rsidRDefault="004D7AE7" w:rsidP="004B3C3B">
      <w:pPr>
        <w:keepNext/>
        <w:tabs>
          <w:tab w:val="left" w:pos="3402"/>
        </w:tabs>
        <w:spacing w:before="1080" w:line="300" w:lineRule="atLeast"/>
        <w:ind w:left="397" w:right="397"/>
        <w:jc w:val="right"/>
        <w:rPr>
          <w:szCs w:val="22"/>
        </w:rPr>
      </w:pPr>
      <w:r w:rsidRPr="004E7EA4">
        <w:rPr>
          <w:szCs w:val="22"/>
        </w:rPr>
        <w:t>Peter Cosgrove</w:t>
      </w:r>
    </w:p>
    <w:p w:rsidR="004D7AE7" w:rsidRPr="004E7EA4" w:rsidRDefault="004E7EA4" w:rsidP="004B3C3B">
      <w:pPr>
        <w:keepNext/>
        <w:tabs>
          <w:tab w:val="left" w:pos="3402"/>
        </w:tabs>
        <w:spacing w:line="300" w:lineRule="atLeast"/>
        <w:ind w:left="397" w:right="397"/>
        <w:jc w:val="right"/>
        <w:rPr>
          <w:szCs w:val="22"/>
        </w:rPr>
      </w:pPr>
      <w:r w:rsidRPr="004E7EA4">
        <w:rPr>
          <w:szCs w:val="22"/>
        </w:rPr>
        <w:t>Governor</w:t>
      </w:r>
      <w:r>
        <w:rPr>
          <w:szCs w:val="22"/>
        </w:rPr>
        <w:noBreakHyphen/>
      </w:r>
      <w:r w:rsidRPr="004E7EA4">
        <w:rPr>
          <w:szCs w:val="22"/>
        </w:rPr>
        <w:t>General</w:t>
      </w:r>
    </w:p>
    <w:p w:rsidR="004D7AE7" w:rsidRPr="004E7EA4" w:rsidRDefault="004D7AE7" w:rsidP="00B75012">
      <w:pPr>
        <w:keepNext/>
        <w:tabs>
          <w:tab w:val="left" w:pos="3402"/>
        </w:tabs>
        <w:spacing w:before="600" w:after="1080" w:line="300" w:lineRule="atLeast"/>
        <w:ind w:right="397"/>
        <w:rPr>
          <w:szCs w:val="22"/>
        </w:rPr>
      </w:pPr>
      <w:r w:rsidRPr="004E7EA4">
        <w:rPr>
          <w:szCs w:val="22"/>
        </w:rPr>
        <w:t>By His Excellency’s Command</w:t>
      </w:r>
    </w:p>
    <w:p w:rsidR="004D7AE7" w:rsidRPr="004E7EA4" w:rsidRDefault="00664615" w:rsidP="004B3C3B">
      <w:pPr>
        <w:keepNext/>
        <w:tabs>
          <w:tab w:val="left" w:pos="3402"/>
        </w:tabs>
        <w:spacing w:before="480" w:line="300" w:lineRule="atLeast"/>
        <w:ind w:right="397"/>
        <w:rPr>
          <w:szCs w:val="22"/>
        </w:rPr>
      </w:pPr>
      <w:r w:rsidRPr="004E7EA4">
        <w:rPr>
          <w:szCs w:val="22"/>
        </w:rPr>
        <w:t xml:space="preserve">Mathias </w:t>
      </w:r>
      <w:proofErr w:type="spellStart"/>
      <w:r w:rsidRPr="004E7EA4">
        <w:rPr>
          <w:szCs w:val="22"/>
        </w:rPr>
        <w:t>Cormann</w:t>
      </w:r>
      <w:proofErr w:type="spellEnd"/>
    </w:p>
    <w:p w:rsidR="004D7AE7" w:rsidRPr="004E7EA4" w:rsidRDefault="004D7AE7" w:rsidP="004B3C3B">
      <w:pPr>
        <w:pStyle w:val="SignCoverPageEnd"/>
        <w:rPr>
          <w:szCs w:val="22"/>
        </w:rPr>
      </w:pPr>
      <w:r w:rsidRPr="004E7EA4">
        <w:rPr>
          <w:szCs w:val="22"/>
        </w:rPr>
        <w:t>Minister for Finance</w:t>
      </w:r>
      <w:r w:rsidRPr="004E7EA4">
        <w:rPr>
          <w:szCs w:val="22"/>
        </w:rPr>
        <w:br/>
        <w:t>for the Treasurer</w:t>
      </w:r>
    </w:p>
    <w:p w:rsidR="004D7AE7" w:rsidRPr="004E7EA4" w:rsidRDefault="004D7AE7" w:rsidP="004D7AE7"/>
    <w:p w:rsidR="0048364F" w:rsidRPr="004E7EA4" w:rsidRDefault="0048364F" w:rsidP="0048364F">
      <w:pPr>
        <w:pStyle w:val="Header"/>
        <w:tabs>
          <w:tab w:val="clear" w:pos="4150"/>
          <w:tab w:val="clear" w:pos="8307"/>
        </w:tabs>
      </w:pPr>
      <w:r w:rsidRPr="004E7EA4">
        <w:rPr>
          <w:rStyle w:val="CharAmSchNo"/>
        </w:rPr>
        <w:t xml:space="preserve"> </w:t>
      </w:r>
      <w:r w:rsidRPr="004E7EA4">
        <w:rPr>
          <w:rStyle w:val="CharAmSchText"/>
        </w:rPr>
        <w:t xml:space="preserve"> </w:t>
      </w:r>
    </w:p>
    <w:p w:rsidR="0048364F" w:rsidRPr="004E7EA4" w:rsidRDefault="0048364F" w:rsidP="0048364F">
      <w:pPr>
        <w:pStyle w:val="Header"/>
        <w:tabs>
          <w:tab w:val="clear" w:pos="4150"/>
          <w:tab w:val="clear" w:pos="8307"/>
        </w:tabs>
      </w:pPr>
      <w:r w:rsidRPr="004E7EA4">
        <w:rPr>
          <w:rStyle w:val="CharAmPartNo"/>
        </w:rPr>
        <w:t xml:space="preserve"> </w:t>
      </w:r>
      <w:r w:rsidRPr="004E7EA4">
        <w:rPr>
          <w:rStyle w:val="CharAmPartText"/>
        </w:rPr>
        <w:t xml:space="preserve"> </w:t>
      </w:r>
    </w:p>
    <w:p w:rsidR="0048364F" w:rsidRPr="004E7EA4" w:rsidRDefault="0048364F" w:rsidP="0048364F">
      <w:pPr>
        <w:sectPr w:rsidR="0048364F" w:rsidRPr="004E7EA4" w:rsidSect="00CE1B19">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4E7EA4" w:rsidRDefault="0048364F" w:rsidP="00B75012">
      <w:pPr>
        <w:rPr>
          <w:sz w:val="36"/>
        </w:rPr>
      </w:pPr>
      <w:r w:rsidRPr="004E7EA4">
        <w:rPr>
          <w:sz w:val="36"/>
        </w:rPr>
        <w:lastRenderedPageBreak/>
        <w:t>Contents</w:t>
      </w:r>
    </w:p>
    <w:bookmarkStart w:id="3" w:name="BKCheck15B_3"/>
    <w:bookmarkEnd w:id="3"/>
    <w:p w:rsidR="004B3C3B" w:rsidRPr="004E7EA4" w:rsidRDefault="004B3C3B">
      <w:pPr>
        <w:pStyle w:val="TOC5"/>
        <w:rPr>
          <w:rFonts w:asciiTheme="minorHAnsi" w:eastAsiaTheme="minorEastAsia" w:hAnsiTheme="minorHAnsi" w:cstheme="minorBidi"/>
          <w:noProof/>
          <w:kern w:val="0"/>
          <w:sz w:val="22"/>
          <w:szCs w:val="22"/>
        </w:rPr>
      </w:pPr>
      <w:r w:rsidRPr="004E7EA4">
        <w:fldChar w:fldCharType="begin"/>
      </w:r>
      <w:r w:rsidRPr="004E7EA4">
        <w:instrText xml:space="preserve"> TOC \o "1-9" </w:instrText>
      </w:r>
      <w:r w:rsidRPr="004E7EA4">
        <w:fldChar w:fldCharType="separate"/>
      </w:r>
      <w:r w:rsidRPr="004E7EA4">
        <w:rPr>
          <w:noProof/>
        </w:rPr>
        <w:t>1</w:t>
      </w:r>
      <w:r w:rsidRPr="004E7EA4">
        <w:rPr>
          <w:noProof/>
        </w:rPr>
        <w:tab/>
        <w:t>Name</w:t>
      </w:r>
      <w:r w:rsidRPr="004E7EA4">
        <w:rPr>
          <w:noProof/>
        </w:rPr>
        <w:tab/>
      </w:r>
      <w:r w:rsidRPr="004E7EA4">
        <w:rPr>
          <w:noProof/>
        </w:rPr>
        <w:fldChar w:fldCharType="begin"/>
      </w:r>
      <w:r w:rsidRPr="004E7EA4">
        <w:rPr>
          <w:noProof/>
        </w:rPr>
        <w:instrText xml:space="preserve"> PAGEREF _Toc403564897 \h </w:instrText>
      </w:r>
      <w:r w:rsidRPr="004E7EA4">
        <w:rPr>
          <w:noProof/>
        </w:rPr>
      </w:r>
      <w:r w:rsidRPr="004E7EA4">
        <w:rPr>
          <w:noProof/>
        </w:rPr>
        <w:fldChar w:fldCharType="separate"/>
      </w:r>
      <w:r w:rsidR="00381D2D">
        <w:rPr>
          <w:noProof/>
        </w:rPr>
        <w:t>1</w:t>
      </w:r>
      <w:r w:rsidRPr="004E7EA4">
        <w:rPr>
          <w:noProof/>
        </w:rPr>
        <w:fldChar w:fldCharType="end"/>
      </w:r>
    </w:p>
    <w:p w:rsidR="004B3C3B" w:rsidRPr="004E7EA4" w:rsidRDefault="004B3C3B">
      <w:pPr>
        <w:pStyle w:val="TOC5"/>
        <w:rPr>
          <w:rFonts w:asciiTheme="minorHAnsi" w:eastAsiaTheme="minorEastAsia" w:hAnsiTheme="minorHAnsi" w:cstheme="minorBidi"/>
          <w:noProof/>
          <w:kern w:val="0"/>
          <w:sz w:val="22"/>
          <w:szCs w:val="22"/>
        </w:rPr>
      </w:pPr>
      <w:r w:rsidRPr="004E7EA4">
        <w:rPr>
          <w:noProof/>
        </w:rPr>
        <w:t>2</w:t>
      </w:r>
      <w:r w:rsidRPr="004E7EA4">
        <w:rPr>
          <w:noProof/>
        </w:rPr>
        <w:tab/>
        <w:t>Commencement</w:t>
      </w:r>
      <w:r w:rsidRPr="004E7EA4">
        <w:rPr>
          <w:noProof/>
        </w:rPr>
        <w:tab/>
      </w:r>
      <w:r w:rsidRPr="004E7EA4">
        <w:rPr>
          <w:noProof/>
        </w:rPr>
        <w:fldChar w:fldCharType="begin"/>
      </w:r>
      <w:r w:rsidRPr="004E7EA4">
        <w:rPr>
          <w:noProof/>
        </w:rPr>
        <w:instrText xml:space="preserve"> PAGEREF _Toc403564898 \h </w:instrText>
      </w:r>
      <w:r w:rsidRPr="004E7EA4">
        <w:rPr>
          <w:noProof/>
        </w:rPr>
      </w:r>
      <w:r w:rsidRPr="004E7EA4">
        <w:rPr>
          <w:noProof/>
        </w:rPr>
        <w:fldChar w:fldCharType="separate"/>
      </w:r>
      <w:r w:rsidR="00381D2D">
        <w:rPr>
          <w:noProof/>
        </w:rPr>
        <w:t>1</w:t>
      </w:r>
      <w:r w:rsidRPr="004E7EA4">
        <w:rPr>
          <w:noProof/>
        </w:rPr>
        <w:fldChar w:fldCharType="end"/>
      </w:r>
    </w:p>
    <w:p w:rsidR="004B3C3B" w:rsidRPr="004E7EA4" w:rsidRDefault="004B3C3B">
      <w:pPr>
        <w:pStyle w:val="TOC5"/>
        <w:rPr>
          <w:rFonts w:asciiTheme="minorHAnsi" w:eastAsiaTheme="minorEastAsia" w:hAnsiTheme="minorHAnsi" w:cstheme="minorBidi"/>
          <w:noProof/>
          <w:kern w:val="0"/>
          <w:sz w:val="22"/>
          <w:szCs w:val="22"/>
        </w:rPr>
      </w:pPr>
      <w:r w:rsidRPr="004E7EA4">
        <w:rPr>
          <w:noProof/>
        </w:rPr>
        <w:t>3</w:t>
      </w:r>
      <w:r w:rsidRPr="004E7EA4">
        <w:rPr>
          <w:noProof/>
        </w:rPr>
        <w:tab/>
        <w:t>Authority</w:t>
      </w:r>
      <w:r w:rsidRPr="004E7EA4">
        <w:rPr>
          <w:noProof/>
        </w:rPr>
        <w:tab/>
      </w:r>
      <w:r w:rsidRPr="004E7EA4">
        <w:rPr>
          <w:noProof/>
        </w:rPr>
        <w:fldChar w:fldCharType="begin"/>
      </w:r>
      <w:r w:rsidRPr="004E7EA4">
        <w:rPr>
          <w:noProof/>
        </w:rPr>
        <w:instrText xml:space="preserve"> PAGEREF _Toc403564899 \h </w:instrText>
      </w:r>
      <w:r w:rsidRPr="004E7EA4">
        <w:rPr>
          <w:noProof/>
        </w:rPr>
      </w:r>
      <w:r w:rsidRPr="004E7EA4">
        <w:rPr>
          <w:noProof/>
        </w:rPr>
        <w:fldChar w:fldCharType="separate"/>
      </w:r>
      <w:r w:rsidR="00381D2D">
        <w:rPr>
          <w:noProof/>
        </w:rPr>
        <w:t>1</w:t>
      </w:r>
      <w:r w:rsidRPr="004E7EA4">
        <w:rPr>
          <w:noProof/>
        </w:rPr>
        <w:fldChar w:fldCharType="end"/>
      </w:r>
    </w:p>
    <w:p w:rsidR="004B3C3B" w:rsidRPr="004E7EA4" w:rsidRDefault="004B3C3B">
      <w:pPr>
        <w:pStyle w:val="TOC5"/>
        <w:rPr>
          <w:rFonts w:asciiTheme="minorHAnsi" w:eastAsiaTheme="minorEastAsia" w:hAnsiTheme="minorHAnsi" w:cstheme="minorBidi"/>
          <w:noProof/>
          <w:kern w:val="0"/>
          <w:sz w:val="22"/>
          <w:szCs w:val="22"/>
        </w:rPr>
      </w:pPr>
      <w:r w:rsidRPr="004E7EA4">
        <w:rPr>
          <w:noProof/>
        </w:rPr>
        <w:t>4</w:t>
      </w:r>
      <w:r w:rsidRPr="004E7EA4">
        <w:rPr>
          <w:noProof/>
        </w:rPr>
        <w:tab/>
        <w:t>Schedules</w:t>
      </w:r>
      <w:r w:rsidRPr="004E7EA4">
        <w:rPr>
          <w:noProof/>
        </w:rPr>
        <w:tab/>
      </w:r>
      <w:r w:rsidRPr="004E7EA4">
        <w:rPr>
          <w:noProof/>
        </w:rPr>
        <w:fldChar w:fldCharType="begin"/>
      </w:r>
      <w:r w:rsidRPr="004E7EA4">
        <w:rPr>
          <w:noProof/>
        </w:rPr>
        <w:instrText xml:space="preserve"> PAGEREF _Toc403564900 \h </w:instrText>
      </w:r>
      <w:r w:rsidRPr="004E7EA4">
        <w:rPr>
          <w:noProof/>
        </w:rPr>
      </w:r>
      <w:r w:rsidRPr="004E7EA4">
        <w:rPr>
          <w:noProof/>
        </w:rPr>
        <w:fldChar w:fldCharType="separate"/>
      </w:r>
      <w:r w:rsidR="00381D2D">
        <w:rPr>
          <w:noProof/>
        </w:rPr>
        <w:t>1</w:t>
      </w:r>
      <w:r w:rsidRPr="004E7EA4">
        <w:rPr>
          <w:noProof/>
        </w:rPr>
        <w:fldChar w:fldCharType="end"/>
      </w:r>
    </w:p>
    <w:p w:rsidR="004B3C3B" w:rsidRPr="004E7EA4" w:rsidRDefault="004B3C3B">
      <w:pPr>
        <w:pStyle w:val="TOC6"/>
        <w:rPr>
          <w:rFonts w:asciiTheme="minorHAnsi" w:eastAsiaTheme="minorEastAsia" w:hAnsiTheme="minorHAnsi" w:cstheme="minorBidi"/>
          <w:b w:val="0"/>
          <w:noProof/>
          <w:kern w:val="0"/>
          <w:sz w:val="22"/>
          <w:szCs w:val="22"/>
        </w:rPr>
      </w:pPr>
      <w:r w:rsidRPr="004E7EA4">
        <w:rPr>
          <w:noProof/>
        </w:rPr>
        <w:t>Schedule</w:t>
      </w:r>
      <w:r w:rsidR="004E7EA4" w:rsidRPr="004E7EA4">
        <w:rPr>
          <w:noProof/>
        </w:rPr>
        <w:t> </w:t>
      </w:r>
      <w:r w:rsidRPr="004E7EA4">
        <w:rPr>
          <w:noProof/>
        </w:rPr>
        <w:t>1—Professional standards schemes</w:t>
      </w:r>
      <w:r w:rsidRPr="004E7EA4">
        <w:rPr>
          <w:b w:val="0"/>
          <w:noProof/>
          <w:sz w:val="18"/>
        </w:rPr>
        <w:tab/>
      </w:r>
      <w:r w:rsidRPr="004E7EA4">
        <w:rPr>
          <w:b w:val="0"/>
          <w:noProof/>
          <w:sz w:val="18"/>
        </w:rPr>
        <w:fldChar w:fldCharType="begin"/>
      </w:r>
      <w:r w:rsidRPr="004E7EA4">
        <w:rPr>
          <w:b w:val="0"/>
          <w:noProof/>
          <w:sz w:val="18"/>
        </w:rPr>
        <w:instrText xml:space="preserve"> PAGEREF _Toc403564901 \h </w:instrText>
      </w:r>
      <w:r w:rsidRPr="004E7EA4">
        <w:rPr>
          <w:b w:val="0"/>
          <w:noProof/>
          <w:sz w:val="18"/>
        </w:rPr>
      </w:r>
      <w:r w:rsidRPr="004E7EA4">
        <w:rPr>
          <w:b w:val="0"/>
          <w:noProof/>
          <w:sz w:val="18"/>
        </w:rPr>
        <w:fldChar w:fldCharType="separate"/>
      </w:r>
      <w:r w:rsidR="00381D2D">
        <w:rPr>
          <w:b w:val="0"/>
          <w:noProof/>
          <w:sz w:val="18"/>
        </w:rPr>
        <w:t>2</w:t>
      </w:r>
      <w:r w:rsidRPr="004E7EA4">
        <w:rPr>
          <w:b w:val="0"/>
          <w:noProof/>
          <w:sz w:val="18"/>
        </w:rPr>
        <w:fldChar w:fldCharType="end"/>
      </w:r>
    </w:p>
    <w:p w:rsidR="004B3C3B" w:rsidRPr="004E7EA4" w:rsidRDefault="004B3C3B">
      <w:pPr>
        <w:pStyle w:val="TOC9"/>
        <w:rPr>
          <w:rFonts w:asciiTheme="minorHAnsi" w:eastAsiaTheme="minorEastAsia" w:hAnsiTheme="minorHAnsi" w:cstheme="minorBidi"/>
          <w:i w:val="0"/>
          <w:noProof/>
          <w:kern w:val="0"/>
          <w:sz w:val="22"/>
          <w:szCs w:val="22"/>
        </w:rPr>
      </w:pPr>
      <w:r w:rsidRPr="004E7EA4">
        <w:rPr>
          <w:noProof/>
        </w:rPr>
        <w:t>Australian Securities and Investments Commission Regulations</w:t>
      </w:r>
      <w:r w:rsidR="004E7EA4" w:rsidRPr="004E7EA4">
        <w:rPr>
          <w:noProof/>
        </w:rPr>
        <w:t> </w:t>
      </w:r>
      <w:r w:rsidRPr="004E7EA4">
        <w:rPr>
          <w:noProof/>
        </w:rPr>
        <w:t>2001</w:t>
      </w:r>
      <w:r w:rsidRPr="004E7EA4">
        <w:rPr>
          <w:i w:val="0"/>
          <w:noProof/>
          <w:sz w:val="18"/>
        </w:rPr>
        <w:tab/>
      </w:r>
      <w:r w:rsidRPr="004E7EA4">
        <w:rPr>
          <w:i w:val="0"/>
          <w:noProof/>
          <w:sz w:val="18"/>
        </w:rPr>
        <w:fldChar w:fldCharType="begin"/>
      </w:r>
      <w:r w:rsidRPr="004E7EA4">
        <w:rPr>
          <w:i w:val="0"/>
          <w:noProof/>
          <w:sz w:val="18"/>
        </w:rPr>
        <w:instrText xml:space="preserve"> PAGEREF _Toc403564902 \h </w:instrText>
      </w:r>
      <w:r w:rsidRPr="004E7EA4">
        <w:rPr>
          <w:i w:val="0"/>
          <w:noProof/>
          <w:sz w:val="18"/>
        </w:rPr>
      </w:r>
      <w:r w:rsidRPr="004E7EA4">
        <w:rPr>
          <w:i w:val="0"/>
          <w:noProof/>
          <w:sz w:val="18"/>
        </w:rPr>
        <w:fldChar w:fldCharType="separate"/>
      </w:r>
      <w:r w:rsidR="00381D2D">
        <w:rPr>
          <w:i w:val="0"/>
          <w:noProof/>
          <w:sz w:val="18"/>
        </w:rPr>
        <w:t>2</w:t>
      </w:r>
      <w:r w:rsidRPr="004E7EA4">
        <w:rPr>
          <w:i w:val="0"/>
          <w:noProof/>
          <w:sz w:val="18"/>
        </w:rPr>
        <w:fldChar w:fldCharType="end"/>
      </w:r>
    </w:p>
    <w:p w:rsidR="004B3C3B" w:rsidRPr="004E7EA4" w:rsidRDefault="004B3C3B">
      <w:pPr>
        <w:pStyle w:val="TOC9"/>
        <w:rPr>
          <w:rFonts w:asciiTheme="minorHAnsi" w:eastAsiaTheme="minorEastAsia" w:hAnsiTheme="minorHAnsi" w:cstheme="minorBidi"/>
          <w:i w:val="0"/>
          <w:noProof/>
          <w:kern w:val="0"/>
          <w:sz w:val="22"/>
          <w:szCs w:val="22"/>
        </w:rPr>
      </w:pPr>
      <w:r w:rsidRPr="004E7EA4">
        <w:rPr>
          <w:noProof/>
        </w:rPr>
        <w:t>Competition and Consumer Regulations</w:t>
      </w:r>
      <w:r w:rsidR="004E7EA4" w:rsidRPr="004E7EA4">
        <w:rPr>
          <w:noProof/>
        </w:rPr>
        <w:t> </w:t>
      </w:r>
      <w:r w:rsidRPr="004E7EA4">
        <w:rPr>
          <w:noProof/>
        </w:rPr>
        <w:t>2010</w:t>
      </w:r>
      <w:r w:rsidRPr="004E7EA4">
        <w:rPr>
          <w:i w:val="0"/>
          <w:noProof/>
          <w:sz w:val="18"/>
        </w:rPr>
        <w:tab/>
      </w:r>
      <w:r w:rsidRPr="004E7EA4">
        <w:rPr>
          <w:i w:val="0"/>
          <w:noProof/>
          <w:sz w:val="18"/>
        </w:rPr>
        <w:fldChar w:fldCharType="begin"/>
      </w:r>
      <w:r w:rsidRPr="004E7EA4">
        <w:rPr>
          <w:i w:val="0"/>
          <w:noProof/>
          <w:sz w:val="18"/>
        </w:rPr>
        <w:instrText xml:space="preserve"> PAGEREF _Toc403564904 \h </w:instrText>
      </w:r>
      <w:r w:rsidRPr="004E7EA4">
        <w:rPr>
          <w:i w:val="0"/>
          <w:noProof/>
          <w:sz w:val="18"/>
        </w:rPr>
      </w:r>
      <w:r w:rsidRPr="004E7EA4">
        <w:rPr>
          <w:i w:val="0"/>
          <w:noProof/>
          <w:sz w:val="18"/>
        </w:rPr>
        <w:fldChar w:fldCharType="separate"/>
      </w:r>
      <w:r w:rsidR="00381D2D">
        <w:rPr>
          <w:i w:val="0"/>
          <w:noProof/>
          <w:sz w:val="18"/>
        </w:rPr>
        <w:t>4</w:t>
      </w:r>
      <w:r w:rsidRPr="004E7EA4">
        <w:rPr>
          <w:i w:val="0"/>
          <w:noProof/>
          <w:sz w:val="18"/>
        </w:rPr>
        <w:fldChar w:fldCharType="end"/>
      </w:r>
    </w:p>
    <w:p w:rsidR="004B3C3B" w:rsidRPr="004E7EA4" w:rsidRDefault="004B3C3B">
      <w:pPr>
        <w:pStyle w:val="TOC9"/>
        <w:rPr>
          <w:rFonts w:asciiTheme="minorHAnsi" w:eastAsiaTheme="minorEastAsia" w:hAnsiTheme="minorHAnsi" w:cstheme="minorBidi"/>
          <w:i w:val="0"/>
          <w:noProof/>
          <w:kern w:val="0"/>
          <w:sz w:val="22"/>
          <w:szCs w:val="22"/>
        </w:rPr>
      </w:pPr>
      <w:r w:rsidRPr="004E7EA4">
        <w:rPr>
          <w:noProof/>
        </w:rPr>
        <w:t>Corporations Regulations</w:t>
      </w:r>
      <w:r w:rsidR="004E7EA4" w:rsidRPr="004E7EA4">
        <w:rPr>
          <w:noProof/>
        </w:rPr>
        <w:t> </w:t>
      </w:r>
      <w:r w:rsidRPr="004E7EA4">
        <w:rPr>
          <w:noProof/>
        </w:rPr>
        <w:t>2001</w:t>
      </w:r>
      <w:r w:rsidRPr="004E7EA4">
        <w:rPr>
          <w:i w:val="0"/>
          <w:noProof/>
          <w:sz w:val="18"/>
        </w:rPr>
        <w:tab/>
      </w:r>
      <w:r w:rsidRPr="004E7EA4">
        <w:rPr>
          <w:i w:val="0"/>
          <w:noProof/>
          <w:sz w:val="18"/>
        </w:rPr>
        <w:fldChar w:fldCharType="begin"/>
      </w:r>
      <w:r w:rsidRPr="004E7EA4">
        <w:rPr>
          <w:i w:val="0"/>
          <w:noProof/>
          <w:sz w:val="18"/>
        </w:rPr>
        <w:instrText xml:space="preserve"> PAGEREF _Toc403564906 \h </w:instrText>
      </w:r>
      <w:r w:rsidRPr="004E7EA4">
        <w:rPr>
          <w:i w:val="0"/>
          <w:noProof/>
          <w:sz w:val="18"/>
        </w:rPr>
      </w:r>
      <w:r w:rsidRPr="004E7EA4">
        <w:rPr>
          <w:i w:val="0"/>
          <w:noProof/>
          <w:sz w:val="18"/>
        </w:rPr>
        <w:fldChar w:fldCharType="separate"/>
      </w:r>
      <w:r w:rsidR="00381D2D">
        <w:rPr>
          <w:i w:val="0"/>
          <w:noProof/>
          <w:sz w:val="18"/>
        </w:rPr>
        <w:t>8</w:t>
      </w:r>
      <w:r w:rsidRPr="004E7EA4">
        <w:rPr>
          <w:i w:val="0"/>
          <w:noProof/>
          <w:sz w:val="18"/>
        </w:rPr>
        <w:fldChar w:fldCharType="end"/>
      </w:r>
    </w:p>
    <w:p w:rsidR="004B3C3B" w:rsidRPr="004E7EA4" w:rsidRDefault="004B3C3B">
      <w:pPr>
        <w:pStyle w:val="TOC6"/>
        <w:rPr>
          <w:rFonts w:asciiTheme="minorHAnsi" w:eastAsiaTheme="minorEastAsia" w:hAnsiTheme="minorHAnsi" w:cstheme="minorBidi"/>
          <w:b w:val="0"/>
          <w:noProof/>
          <w:kern w:val="0"/>
          <w:sz w:val="22"/>
          <w:szCs w:val="22"/>
        </w:rPr>
      </w:pPr>
      <w:r w:rsidRPr="004E7EA4">
        <w:rPr>
          <w:noProof/>
        </w:rPr>
        <w:t>Schedule</w:t>
      </w:r>
      <w:r w:rsidR="004E7EA4" w:rsidRPr="004E7EA4">
        <w:rPr>
          <w:noProof/>
        </w:rPr>
        <w:t> </w:t>
      </w:r>
      <w:r w:rsidRPr="004E7EA4">
        <w:rPr>
          <w:noProof/>
        </w:rPr>
        <w:t>2—Central clearing and trade reporting</w:t>
      </w:r>
      <w:r w:rsidRPr="004E7EA4">
        <w:rPr>
          <w:b w:val="0"/>
          <w:noProof/>
          <w:sz w:val="18"/>
        </w:rPr>
        <w:tab/>
      </w:r>
      <w:r w:rsidRPr="004E7EA4">
        <w:rPr>
          <w:b w:val="0"/>
          <w:noProof/>
          <w:sz w:val="18"/>
        </w:rPr>
        <w:fldChar w:fldCharType="begin"/>
      </w:r>
      <w:r w:rsidRPr="004E7EA4">
        <w:rPr>
          <w:b w:val="0"/>
          <w:noProof/>
          <w:sz w:val="18"/>
        </w:rPr>
        <w:instrText xml:space="preserve"> PAGEREF _Toc403564908 \h </w:instrText>
      </w:r>
      <w:r w:rsidRPr="004E7EA4">
        <w:rPr>
          <w:b w:val="0"/>
          <w:noProof/>
          <w:sz w:val="18"/>
        </w:rPr>
      </w:r>
      <w:r w:rsidRPr="004E7EA4">
        <w:rPr>
          <w:b w:val="0"/>
          <w:noProof/>
          <w:sz w:val="18"/>
        </w:rPr>
        <w:fldChar w:fldCharType="separate"/>
      </w:r>
      <w:r w:rsidR="00381D2D">
        <w:rPr>
          <w:b w:val="0"/>
          <w:noProof/>
          <w:sz w:val="18"/>
        </w:rPr>
        <w:t>11</w:t>
      </w:r>
      <w:r w:rsidRPr="004E7EA4">
        <w:rPr>
          <w:b w:val="0"/>
          <w:noProof/>
          <w:sz w:val="18"/>
        </w:rPr>
        <w:fldChar w:fldCharType="end"/>
      </w:r>
    </w:p>
    <w:p w:rsidR="004B3C3B" w:rsidRPr="004E7EA4" w:rsidRDefault="004B3C3B">
      <w:pPr>
        <w:pStyle w:val="TOC9"/>
        <w:rPr>
          <w:rFonts w:asciiTheme="minorHAnsi" w:eastAsiaTheme="minorEastAsia" w:hAnsiTheme="minorHAnsi" w:cstheme="minorBidi"/>
          <w:i w:val="0"/>
          <w:noProof/>
          <w:kern w:val="0"/>
          <w:sz w:val="22"/>
          <w:szCs w:val="22"/>
        </w:rPr>
      </w:pPr>
      <w:r w:rsidRPr="004E7EA4">
        <w:rPr>
          <w:noProof/>
        </w:rPr>
        <w:t>Corporations Regulations</w:t>
      </w:r>
      <w:r w:rsidR="004E7EA4" w:rsidRPr="004E7EA4">
        <w:rPr>
          <w:noProof/>
        </w:rPr>
        <w:t> </w:t>
      </w:r>
      <w:r w:rsidRPr="004E7EA4">
        <w:rPr>
          <w:noProof/>
        </w:rPr>
        <w:t>2001</w:t>
      </w:r>
      <w:r w:rsidRPr="004E7EA4">
        <w:rPr>
          <w:i w:val="0"/>
          <w:noProof/>
          <w:sz w:val="18"/>
        </w:rPr>
        <w:tab/>
      </w:r>
      <w:r w:rsidRPr="004E7EA4">
        <w:rPr>
          <w:i w:val="0"/>
          <w:noProof/>
          <w:sz w:val="18"/>
        </w:rPr>
        <w:fldChar w:fldCharType="begin"/>
      </w:r>
      <w:r w:rsidRPr="004E7EA4">
        <w:rPr>
          <w:i w:val="0"/>
          <w:noProof/>
          <w:sz w:val="18"/>
        </w:rPr>
        <w:instrText xml:space="preserve"> PAGEREF _Toc403564909 \h </w:instrText>
      </w:r>
      <w:r w:rsidRPr="004E7EA4">
        <w:rPr>
          <w:i w:val="0"/>
          <w:noProof/>
          <w:sz w:val="18"/>
        </w:rPr>
      </w:r>
      <w:r w:rsidRPr="004E7EA4">
        <w:rPr>
          <w:i w:val="0"/>
          <w:noProof/>
          <w:sz w:val="18"/>
        </w:rPr>
        <w:fldChar w:fldCharType="separate"/>
      </w:r>
      <w:r w:rsidR="00381D2D">
        <w:rPr>
          <w:i w:val="0"/>
          <w:noProof/>
          <w:sz w:val="18"/>
        </w:rPr>
        <w:t>11</w:t>
      </w:r>
      <w:r w:rsidRPr="004E7EA4">
        <w:rPr>
          <w:i w:val="0"/>
          <w:noProof/>
          <w:sz w:val="18"/>
        </w:rPr>
        <w:fldChar w:fldCharType="end"/>
      </w:r>
    </w:p>
    <w:p w:rsidR="00833416" w:rsidRPr="004E7EA4" w:rsidRDefault="004B3C3B" w:rsidP="0048364F">
      <w:r w:rsidRPr="004E7EA4">
        <w:fldChar w:fldCharType="end"/>
      </w:r>
    </w:p>
    <w:p w:rsidR="00722023" w:rsidRPr="004E7EA4" w:rsidRDefault="00722023" w:rsidP="0048364F">
      <w:pPr>
        <w:sectPr w:rsidR="00722023" w:rsidRPr="004E7EA4" w:rsidSect="00CE1B19">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4E7EA4" w:rsidRDefault="0048364F" w:rsidP="0048364F">
      <w:pPr>
        <w:pStyle w:val="ActHead5"/>
      </w:pPr>
      <w:bookmarkStart w:id="4" w:name="_Toc403564897"/>
      <w:r w:rsidRPr="004E7EA4">
        <w:rPr>
          <w:rStyle w:val="CharSectno"/>
        </w:rPr>
        <w:lastRenderedPageBreak/>
        <w:t>1</w:t>
      </w:r>
      <w:r w:rsidRPr="004E7EA4">
        <w:t xml:space="preserve">  </w:t>
      </w:r>
      <w:r w:rsidR="004F676E" w:rsidRPr="004E7EA4">
        <w:t>Name</w:t>
      </w:r>
      <w:bookmarkEnd w:id="4"/>
    </w:p>
    <w:p w:rsidR="0048364F" w:rsidRPr="004E7EA4" w:rsidRDefault="0048364F" w:rsidP="0048364F">
      <w:pPr>
        <w:pStyle w:val="subsection"/>
      </w:pPr>
      <w:r w:rsidRPr="004E7EA4">
        <w:tab/>
      </w:r>
      <w:r w:rsidRPr="004E7EA4">
        <w:tab/>
        <w:t>Th</w:t>
      </w:r>
      <w:r w:rsidR="00F24C35" w:rsidRPr="004E7EA4">
        <w:t>is</w:t>
      </w:r>
      <w:r w:rsidRPr="004E7EA4">
        <w:t xml:space="preserve"> </w:t>
      </w:r>
      <w:r w:rsidR="00F24C35" w:rsidRPr="004E7EA4">
        <w:t>is</w:t>
      </w:r>
      <w:r w:rsidR="003801D0" w:rsidRPr="004E7EA4">
        <w:t xml:space="preserve"> the</w:t>
      </w:r>
      <w:r w:rsidRPr="004E7EA4">
        <w:t xml:space="preserve"> </w:t>
      </w:r>
      <w:bookmarkStart w:id="5" w:name="BKCheck15B_4"/>
      <w:bookmarkEnd w:id="5"/>
      <w:r w:rsidR="00CB0180" w:rsidRPr="004E7EA4">
        <w:rPr>
          <w:i/>
        </w:rPr>
        <w:fldChar w:fldCharType="begin"/>
      </w:r>
      <w:r w:rsidR="00CB0180" w:rsidRPr="004E7EA4">
        <w:rPr>
          <w:i/>
        </w:rPr>
        <w:instrText xml:space="preserve"> STYLEREF  ShortT </w:instrText>
      </w:r>
      <w:r w:rsidR="00CB0180" w:rsidRPr="004E7EA4">
        <w:rPr>
          <w:i/>
        </w:rPr>
        <w:fldChar w:fldCharType="separate"/>
      </w:r>
      <w:r w:rsidR="00381D2D">
        <w:rPr>
          <w:i/>
          <w:noProof/>
        </w:rPr>
        <w:t>Corporations Laws Amendment (2014 Measures No. 3) Regulation 2014</w:t>
      </w:r>
      <w:r w:rsidR="00CB0180" w:rsidRPr="004E7EA4">
        <w:rPr>
          <w:i/>
        </w:rPr>
        <w:fldChar w:fldCharType="end"/>
      </w:r>
      <w:r w:rsidRPr="004E7EA4">
        <w:t>.</w:t>
      </w:r>
    </w:p>
    <w:p w:rsidR="0048364F" w:rsidRPr="004E7EA4" w:rsidRDefault="0048364F" w:rsidP="0048364F">
      <w:pPr>
        <w:pStyle w:val="ActHead5"/>
      </w:pPr>
      <w:bookmarkStart w:id="6" w:name="_Toc403564898"/>
      <w:r w:rsidRPr="004E7EA4">
        <w:rPr>
          <w:rStyle w:val="CharSectno"/>
        </w:rPr>
        <w:t>2</w:t>
      </w:r>
      <w:r w:rsidRPr="004E7EA4">
        <w:t xml:space="preserve">  Commencement</w:t>
      </w:r>
      <w:bookmarkEnd w:id="6"/>
    </w:p>
    <w:p w:rsidR="000B688E" w:rsidRPr="004E7EA4" w:rsidRDefault="000B688E" w:rsidP="004B3C3B">
      <w:pPr>
        <w:pStyle w:val="subsection"/>
      </w:pPr>
      <w:r w:rsidRPr="004E7EA4">
        <w:tab/>
      </w:r>
      <w:r w:rsidRPr="004E7EA4">
        <w:tab/>
        <w:t>Each provision of this instrument specified in column 1 of the table commences, or is taken to have commenced, in accordance with column 2 of the table. Any other statement in column 2 has effect according to its terms.</w:t>
      </w:r>
    </w:p>
    <w:p w:rsidR="000B688E" w:rsidRPr="004E7EA4" w:rsidRDefault="000B688E" w:rsidP="004B3C3B">
      <w:pPr>
        <w:pStyle w:val="Tabletext"/>
      </w:pPr>
    </w:p>
    <w:tbl>
      <w:tblPr>
        <w:tblW w:w="4854" w:type="pct"/>
        <w:tblInd w:w="107" w:type="dxa"/>
        <w:tblLayout w:type="fixed"/>
        <w:tblCellMar>
          <w:left w:w="107" w:type="dxa"/>
          <w:right w:w="107" w:type="dxa"/>
        </w:tblCellMar>
        <w:tblLook w:val="04A0" w:firstRow="1" w:lastRow="0" w:firstColumn="1" w:lastColumn="0" w:noHBand="0" w:noVBand="1"/>
      </w:tblPr>
      <w:tblGrid>
        <w:gridCol w:w="2329"/>
        <w:gridCol w:w="4759"/>
      </w:tblGrid>
      <w:tr w:rsidR="000B688E" w:rsidRPr="004E7EA4" w:rsidTr="00544B48">
        <w:trPr>
          <w:cantSplit/>
          <w:tblHeader/>
        </w:trPr>
        <w:tc>
          <w:tcPr>
            <w:tcW w:w="7088" w:type="dxa"/>
            <w:gridSpan w:val="2"/>
            <w:tcBorders>
              <w:top w:val="single" w:sz="12" w:space="0" w:color="auto"/>
              <w:left w:val="nil"/>
              <w:bottom w:val="single" w:sz="6" w:space="0" w:color="auto"/>
              <w:right w:val="nil"/>
            </w:tcBorders>
            <w:hideMark/>
          </w:tcPr>
          <w:p w:rsidR="000B688E" w:rsidRPr="004E7EA4" w:rsidRDefault="000B688E" w:rsidP="004B3C3B">
            <w:pPr>
              <w:pStyle w:val="TableHeading"/>
            </w:pPr>
            <w:r w:rsidRPr="004E7EA4">
              <w:t>Commencement information</w:t>
            </w:r>
          </w:p>
        </w:tc>
      </w:tr>
      <w:tr w:rsidR="000B688E" w:rsidRPr="004E7EA4" w:rsidTr="00544B48">
        <w:trPr>
          <w:cantSplit/>
          <w:tblHeader/>
        </w:trPr>
        <w:tc>
          <w:tcPr>
            <w:tcW w:w="2329" w:type="dxa"/>
            <w:tcBorders>
              <w:top w:val="single" w:sz="6" w:space="0" w:color="auto"/>
              <w:left w:val="nil"/>
              <w:bottom w:val="single" w:sz="6" w:space="0" w:color="auto"/>
              <w:right w:val="nil"/>
            </w:tcBorders>
            <w:hideMark/>
          </w:tcPr>
          <w:p w:rsidR="000B688E" w:rsidRPr="004E7EA4" w:rsidRDefault="000B688E" w:rsidP="004B3C3B">
            <w:pPr>
              <w:pStyle w:val="TableHeading"/>
            </w:pPr>
            <w:r w:rsidRPr="004E7EA4">
              <w:t>Column 1</w:t>
            </w:r>
          </w:p>
        </w:tc>
        <w:tc>
          <w:tcPr>
            <w:tcW w:w="4759" w:type="dxa"/>
            <w:tcBorders>
              <w:top w:val="single" w:sz="6" w:space="0" w:color="auto"/>
              <w:left w:val="nil"/>
              <w:bottom w:val="single" w:sz="6" w:space="0" w:color="auto"/>
              <w:right w:val="nil"/>
            </w:tcBorders>
            <w:hideMark/>
          </w:tcPr>
          <w:p w:rsidR="000B688E" w:rsidRPr="004E7EA4" w:rsidRDefault="000B688E" w:rsidP="004B3C3B">
            <w:pPr>
              <w:pStyle w:val="TableHeading"/>
            </w:pPr>
            <w:r w:rsidRPr="004E7EA4">
              <w:t>Column 2</w:t>
            </w:r>
          </w:p>
        </w:tc>
      </w:tr>
      <w:tr w:rsidR="000B688E" w:rsidRPr="004E7EA4" w:rsidTr="00544B48">
        <w:trPr>
          <w:cantSplit/>
          <w:tblHeader/>
        </w:trPr>
        <w:tc>
          <w:tcPr>
            <w:tcW w:w="2329" w:type="dxa"/>
            <w:tcBorders>
              <w:top w:val="single" w:sz="6" w:space="0" w:color="auto"/>
              <w:left w:val="nil"/>
              <w:bottom w:val="single" w:sz="12" w:space="0" w:color="auto"/>
              <w:right w:val="nil"/>
            </w:tcBorders>
            <w:hideMark/>
          </w:tcPr>
          <w:p w:rsidR="000B688E" w:rsidRPr="004E7EA4" w:rsidRDefault="000B688E" w:rsidP="004B3C3B">
            <w:pPr>
              <w:pStyle w:val="TableHeading"/>
            </w:pPr>
            <w:r w:rsidRPr="004E7EA4">
              <w:t>Provisions</w:t>
            </w:r>
          </w:p>
        </w:tc>
        <w:tc>
          <w:tcPr>
            <w:tcW w:w="4759" w:type="dxa"/>
            <w:tcBorders>
              <w:top w:val="single" w:sz="6" w:space="0" w:color="auto"/>
              <w:left w:val="nil"/>
              <w:bottom w:val="single" w:sz="12" w:space="0" w:color="auto"/>
              <w:right w:val="nil"/>
            </w:tcBorders>
            <w:hideMark/>
          </w:tcPr>
          <w:p w:rsidR="000B688E" w:rsidRPr="004E7EA4" w:rsidRDefault="000B688E" w:rsidP="004B3C3B">
            <w:pPr>
              <w:pStyle w:val="TableHeading"/>
            </w:pPr>
            <w:r w:rsidRPr="004E7EA4">
              <w:t>Commencement</w:t>
            </w:r>
          </w:p>
        </w:tc>
      </w:tr>
      <w:tr w:rsidR="000B688E" w:rsidRPr="004E7EA4" w:rsidTr="00544B48">
        <w:trPr>
          <w:cantSplit/>
        </w:trPr>
        <w:tc>
          <w:tcPr>
            <w:tcW w:w="2329" w:type="dxa"/>
            <w:tcBorders>
              <w:top w:val="single" w:sz="12" w:space="0" w:color="auto"/>
              <w:left w:val="nil"/>
              <w:bottom w:val="single" w:sz="2" w:space="0" w:color="auto"/>
              <w:right w:val="nil"/>
            </w:tcBorders>
            <w:hideMark/>
          </w:tcPr>
          <w:p w:rsidR="000B688E" w:rsidRPr="004E7EA4" w:rsidRDefault="000B688E" w:rsidP="004B3C3B">
            <w:pPr>
              <w:pStyle w:val="Tabletext"/>
            </w:pPr>
            <w:r w:rsidRPr="004E7EA4">
              <w:t>1.  Sections</w:t>
            </w:r>
            <w:r w:rsidR="004E7EA4" w:rsidRPr="004E7EA4">
              <w:t> </w:t>
            </w:r>
            <w:r w:rsidRPr="004E7EA4">
              <w:t>1 to 4 and anything in this instrument not elsewhere covered by this table</w:t>
            </w:r>
          </w:p>
        </w:tc>
        <w:tc>
          <w:tcPr>
            <w:tcW w:w="4759" w:type="dxa"/>
            <w:tcBorders>
              <w:top w:val="single" w:sz="12" w:space="0" w:color="auto"/>
              <w:left w:val="nil"/>
              <w:bottom w:val="single" w:sz="2" w:space="0" w:color="auto"/>
              <w:right w:val="nil"/>
            </w:tcBorders>
            <w:hideMark/>
          </w:tcPr>
          <w:p w:rsidR="000B688E" w:rsidRPr="004E7EA4" w:rsidRDefault="000B688E" w:rsidP="004B3C3B">
            <w:pPr>
              <w:pStyle w:val="Tabletext"/>
            </w:pPr>
            <w:r w:rsidRPr="004E7EA4">
              <w:t>The day after this instrument is registered.</w:t>
            </w:r>
          </w:p>
        </w:tc>
      </w:tr>
      <w:tr w:rsidR="000B688E" w:rsidRPr="004E7EA4" w:rsidTr="00544B48">
        <w:trPr>
          <w:cantSplit/>
        </w:trPr>
        <w:tc>
          <w:tcPr>
            <w:tcW w:w="2329" w:type="dxa"/>
            <w:tcBorders>
              <w:top w:val="single" w:sz="2" w:space="0" w:color="auto"/>
              <w:left w:val="nil"/>
              <w:bottom w:val="single" w:sz="2" w:space="0" w:color="auto"/>
              <w:right w:val="nil"/>
            </w:tcBorders>
            <w:hideMark/>
          </w:tcPr>
          <w:p w:rsidR="000B688E" w:rsidRPr="004E7EA4" w:rsidRDefault="000B688E" w:rsidP="004B3C3B">
            <w:pPr>
              <w:pStyle w:val="Tabletext"/>
            </w:pPr>
            <w:r w:rsidRPr="004E7EA4">
              <w:t>2.  Schedule</w:t>
            </w:r>
            <w:r w:rsidR="004E7EA4" w:rsidRPr="004E7EA4">
              <w:t> </w:t>
            </w:r>
            <w:r w:rsidRPr="004E7EA4">
              <w:t>1</w:t>
            </w:r>
          </w:p>
        </w:tc>
        <w:tc>
          <w:tcPr>
            <w:tcW w:w="4759" w:type="dxa"/>
            <w:tcBorders>
              <w:top w:val="single" w:sz="2" w:space="0" w:color="auto"/>
              <w:left w:val="nil"/>
              <w:bottom w:val="single" w:sz="2" w:space="0" w:color="auto"/>
              <w:right w:val="nil"/>
            </w:tcBorders>
          </w:tcPr>
          <w:p w:rsidR="000B688E" w:rsidRPr="004E7EA4" w:rsidRDefault="000B688E" w:rsidP="004B3C3B">
            <w:pPr>
              <w:pStyle w:val="Tabletext"/>
            </w:pPr>
            <w:r w:rsidRPr="004E7EA4">
              <w:t>1</w:t>
            </w:r>
            <w:r w:rsidR="004E7EA4" w:rsidRPr="004E7EA4">
              <w:t> </w:t>
            </w:r>
            <w:r w:rsidRPr="004E7EA4">
              <w:t>December 2014.</w:t>
            </w:r>
          </w:p>
        </w:tc>
      </w:tr>
      <w:tr w:rsidR="000B688E" w:rsidRPr="004E7EA4" w:rsidTr="00544B48">
        <w:trPr>
          <w:cantSplit/>
        </w:trPr>
        <w:tc>
          <w:tcPr>
            <w:tcW w:w="2329" w:type="dxa"/>
            <w:tcBorders>
              <w:top w:val="single" w:sz="2" w:space="0" w:color="auto"/>
              <w:left w:val="nil"/>
              <w:bottom w:val="single" w:sz="12" w:space="0" w:color="auto"/>
              <w:right w:val="nil"/>
            </w:tcBorders>
            <w:hideMark/>
          </w:tcPr>
          <w:p w:rsidR="000B688E" w:rsidRPr="004E7EA4" w:rsidRDefault="00AE1433" w:rsidP="004B3C3B">
            <w:pPr>
              <w:pStyle w:val="Tabletext"/>
            </w:pPr>
            <w:r w:rsidRPr="004E7EA4">
              <w:t>3</w:t>
            </w:r>
            <w:r w:rsidR="000B688E" w:rsidRPr="004E7EA4">
              <w:t>.  Schedule</w:t>
            </w:r>
            <w:r w:rsidR="004E7EA4" w:rsidRPr="004E7EA4">
              <w:t> </w:t>
            </w:r>
            <w:r w:rsidR="000B688E" w:rsidRPr="004E7EA4">
              <w:t>2</w:t>
            </w:r>
          </w:p>
        </w:tc>
        <w:tc>
          <w:tcPr>
            <w:tcW w:w="4759" w:type="dxa"/>
            <w:tcBorders>
              <w:top w:val="single" w:sz="2" w:space="0" w:color="auto"/>
              <w:left w:val="nil"/>
              <w:bottom w:val="single" w:sz="12" w:space="0" w:color="auto"/>
              <w:right w:val="nil"/>
            </w:tcBorders>
          </w:tcPr>
          <w:p w:rsidR="000B688E" w:rsidRPr="004E7EA4" w:rsidRDefault="000B688E" w:rsidP="004B3C3B">
            <w:pPr>
              <w:pStyle w:val="Tabletext"/>
            </w:pPr>
            <w:r w:rsidRPr="004E7EA4">
              <w:t>The day after this instrument is registered.</w:t>
            </w:r>
          </w:p>
        </w:tc>
      </w:tr>
    </w:tbl>
    <w:p w:rsidR="007769D4" w:rsidRPr="004E7EA4" w:rsidRDefault="007769D4" w:rsidP="007769D4">
      <w:pPr>
        <w:pStyle w:val="ActHead5"/>
      </w:pPr>
      <w:bookmarkStart w:id="7" w:name="_Toc403564899"/>
      <w:r w:rsidRPr="004E7EA4">
        <w:rPr>
          <w:rStyle w:val="CharSectno"/>
        </w:rPr>
        <w:t>3</w:t>
      </w:r>
      <w:r w:rsidRPr="004E7EA4">
        <w:t xml:space="preserve">  Authority</w:t>
      </w:r>
      <w:bookmarkEnd w:id="7"/>
    </w:p>
    <w:p w:rsidR="00AE1433" w:rsidRPr="004E7EA4" w:rsidRDefault="007769D4" w:rsidP="007769D4">
      <w:pPr>
        <w:pStyle w:val="subsection"/>
      </w:pPr>
      <w:r w:rsidRPr="004E7EA4">
        <w:tab/>
      </w:r>
      <w:r w:rsidRPr="004E7EA4">
        <w:tab/>
      </w:r>
      <w:r w:rsidR="00AF0336" w:rsidRPr="004E7EA4">
        <w:t xml:space="preserve">This </w:t>
      </w:r>
      <w:r w:rsidR="00011222" w:rsidRPr="004E7EA4">
        <w:t>instrument</w:t>
      </w:r>
      <w:r w:rsidR="00AF0336" w:rsidRPr="004E7EA4">
        <w:t xml:space="preserve"> is made under the </w:t>
      </w:r>
      <w:r w:rsidR="00AE1433" w:rsidRPr="004E7EA4">
        <w:t>following Acts:</w:t>
      </w:r>
    </w:p>
    <w:p w:rsidR="00AE1433" w:rsidRPr="004E7EA4" w:rsidRDefault="00AE1433" w:rsidP="00AE1433">
      <w:pPr>
        <w:pStyle w:val="paragraph"/>
      </w:pPr>
      <w:r w:rsidRPr="004E7EA4">
        <w:tab/>
        <w:t>(a)</w:t>
      </w:r>
      <w:r w:rsidRPr="004E7EA4">
        <w:tab/>
        <w:t xml:space="preserve">the </w:t>
      </w:r>
      <w:r w:rsidR="009F07C8" w:rsidRPr="004E7EA4">
        <w:rPr>
          <w:i/>
        </w:rPr>
        <w:t>Australian Securities and Investments Commission Act 2001</w:t>
      </w:r>
      <w:r w:rsidR="009F07C8" w:rsidRPr="004E7EA4">
        <w:t>;</w:t>
      </w:r>
    </w:p>
    <w:p w:rsidR="00AE1433" w:rsidRPr="004E7EA4" w:rsidRDefault="00AE1433" w:rsidP="00AE1433">
      <w:pPr>
        <w:pStyle w:val="paragraph"/>
      </w:pPr>
      <w:r w:rsidRPr="004E7EA4">
        <w:tab/>
        <w:t>(b)</w:t>
      </w:r>
      <w:r w:rsidRPr="004E7EA4">
        <w:tab/>
        <w:t>the</w:t>
      </w:r>
      <w:r w:rsidR="009F07C8" w:rsidRPr="004E7EA4">
        <w:rPr>
          <w:i/>
        </w:rPr>
        <w:t xml:space="preserve"> Competition and Consumer Act 2010</w:t>
      </w:r>
      <w:r w:rsidRPr="004E7EA4">
        <w:t>;</w:t>
      </w:r>
    </w:p>
    <w:p w:rsidR="007769D4" w:rsidRPr="004E7EA4" w:rsidRDefault="00AE1433" w:rsidP="00AE1433">
      <w:pPr>
        <w:pStyle w:val="paragraph"/>
      </w:pPr>
      <w:r w:rsidRPr="004E7EA4">
        <w:tab/>
        <w:t>(c)</w:t>
      </w:r>
      <w:r w:rsidRPr="004E7EA4">
        <w:tab/>
        <w:t xml:space="preserve">the </w:t>
      </w:r>
      <w:r w:rsidR="009F07C8" w:rsidRPr="004E7EA4">
        <w:rPr>
          <w:i/>
        </w:rPr>
        <w:t>Corporations Act 2001</w:t>
      </w:r>
      <w:r w:rsidR="00D83D21" w:rsidRPr="004E7EA4">
        <w:t>.</w:t>
      </w:r>
    </w:p>
    <w:p w:rsidR="00557C7A" w:rsidRPr="004E7EA4" w:rsidRDefault="007769D4" w:rsidP="00557C7A">
      <w:pPr>
        <w:pStyle w:val="ActHead5"/>
      </w:pPr>
      <w:bookmarkStart w:id="8" w:name="_Toc403564900"/>
      <w:r w:rsidRPr="004E7EA4">
        <w:rPr>
          <w:rStyle w:val="CharSectno"/>
        </w:rPr>
        <w:t>4</w:t>
      </w:r>
      <w:r w:rsidR="00557C7A" w:rsidRPr="004E7EA4">
        <w:t xml:space="preserve">  </w:t>
      </w:r>
      <w:r w:rsidR="00B332B8" w:rsidRPr="004E7EA4">
        <w:t>Schedules</w:t>
      </w:r>
      <w:bookmarkEnd w:id="8"/>
    </w:p>
    <w:p w:rsidR="00557C7A" w:rsidRPr="004E7EA4" w:rsidRDefault="00557C7A" w:rsidP="00557C7A">
      <w:pPr>
        <w:pStyle w:val="subsection"/>
      </w:pPr>
      <w:r w:rsidRPr="004E7EA4">
        <w:tab/>
      </w:r>
      <w:r w:rsidRPr="004E7EA4">
        <w:tab/>
      </w:r>
      <w:r w:rsidR="00CD7ECB" w:rsidRPr="004E7EA4">
        <w:t xml:space="preserve">Each instrument that is specified in a Schedule to </w:t>
      </w:r>
      <w:r w:rsidR="009F07C8" w:rsidRPr="004E7EA4">
        <w:t>this instrument</w:t>
      </w:r>
      <w:r w:rsidR="00C814F5" w:rsidRPr="004E7EA4">
        <w:t xml:space="preserve"> </w:t>
      </w:r>
      <w:r w:rsidR="00CD7ECB" w:rsidRPr="004E7EA4">
        <w:t xml:space="preserve">is amended or repealed as set out in the applicable items in the Schedule concerned, and any other item in a Schedule to </w:t>
      </w:r>
      <w:r w:rsidR="009F07C8" w:rsidRPr="004E7EA4">
        <w:t>this instrument</w:t>
      </w:r>
      <w:r w:rsidR="00CD7ECB" w:rsidRPr="004E7EA4">
        <w:t xml:space="preserve"> has effect according to its terms.</w:t>
      </w:r>
    </w:p>
    <w:p w:rsidR="00EF3FD3" w:rsidRPr="004E7EA4" w:rsidRDefault="00EF3FD3" w:rsidP="00EF3FD3">
      <w:pPr>
        <w:pStyle w:val="ActHead6"/>
        <w:pageBreakBefore/>
      </w:pPr>
      <w:bookmarkStart w:id="9" w:name="_Toc403564901"/>
      <w:bookmarkStart w:id="10" w:name="opcAmSched"/>
      <w:r w:rsidRPr="004E7EA4">
        <w:rPr>
          <w:rStyle w:val="CharAmSchNo"/>
        </w:rPr>
        <w:lastRenderedPageBreak/>
        <w:t>Schedule</w:t>
      </w:r>
      <w:r w:rsidR="004E7EA4" w:rsidRPr="004E7EA4">
        <w:rPr>
          <w:rStyle w:val="CharAmSchNo"/>
        </w:rPr>
        <w:t> </w:t>
      </w:r>
      <w:r w:rsidRPr="004E7EA4">
        <w:rPr>
          <w:rStyle w:val="CharAmSchNo"/>
        </w:rPr>
        <w:t>1</w:t>
      </w:r>
      <w:r w:rsidRPr="004E7EA4">
        <w:t>—</w:t>
      </w:r>
      <w:r w:rsidR="009A3FC8" w:rsidRPr="004E7EA4">
        <w:rPr>
          <w:rStyle w:val="CharAmSchText"/>
        </w:rPr>
        <w:t>Professional standards schemes</w:t>
      </w:r>
      <w:bookmarkEnd w:id="9"/>
    </w:p>
    <w:bookmarkEnd w:id="10"/>
    <w:p w:rsidR="00EF3FD3" w:rsidRPr="004E7EA4" w:rsidRDefault="00EF3FD3" w:rsidP="00EF3FD3">
      <w:pPr>
        <w:pStyle w:val="Header"/>
      </w:pPr>
      <w:r w:rsidRPr="004E7EA4">
        <w:rPr>
          <w:rStyle w:val="CharAmPartNo"/>
        </w:rPr>
        <w:t xml:space="preserve"> </w:t>
      </w:r>
      <w:r w:rsidRPr="004E7EA4">
        <w:rPr>
          <w:rStyle w:val="CharAmPartText"/>
        </w:rPr>
        <w:t xml:space="preserve"> </w:t>
      </w:r>
    </w:p>
    <w:p w:rsidR="00EF3FD3" w:rsidRPr="004E7EA4" w:rsidRDefault="00EF3FD3" w:rsidP="00EF3FD3">
      <w:pPr>
        <w:pStyle w:val="ActHead9"/>
      </w:pPr>
      <w:bookmarkStart w:id="11" w:name="_Toc403564902"/>
      <w:r w:rsidRPr="004E7EA4">
        <w:t>Australian Securities and Investments Commission Regulations</w:t>
      </w:r>
      <w:r w:rsidR="004E7EA4" w:rsidRPr="004E7EA4">
        <w:t> </w:t>
      </w:r>
      <w:r w:rsidRPr="004E7EA4">
        <w:t>2001</w:t>
      </w:r>
      <w:bookmarkEnd w:id="11"/>
    </w:p>
    <w:p w:rsidR="00EF3FD3" w:rsidRPr="004E7EA4" w:rsidRDefault="00EF3FD3" w:rsidP="00EF3FD3">
      <w:pPr>
        <w:pStyle w:val="ItemHead"/>
      </w:pPr>
      <w:r w:rsidRPr="004E7EA4">
        <w:t>1  Regulation</w:t>
      </w:r>
      <w:r w:rsidR="004E7EA4" w:rsidRPr="004E7EA4">
        <w:t> </w:t>
      </w:r>
      <w:r w:rsidRPr="004E7EA4">
        <w:t>3A</w:t>
      </w:r>
    </w:p>
    <w:p w:rsidR="00EF3FD3" w:rsidRPr="004E7EA4" w:rsidRDefault="00EF3FD3" w:rsidP="00EF3FD3">
      <w:pPr>
        <w:pStyle w:val="Item"/>
      </w:pPr>
      <w:r w:rsidRPr="004E7EA4">
        <w:t>Repeal the regulation, substitute:</w:t>
      </w:r>
    </w:p>
    <w:p w:rsidR="00EF3FD3" w:rsidRPr="004E7EA4" w:rsidRDefault="00EF3FD3" w:rsidP="00EF3FD3">
      <w:pPr>
        <w:pStyle w:val="ActHead5"/>
      </w:pPr>
      <w:bookmarkStart w:id="12" w:name="_Toc403564903"/>
      <w:r w:rsidRPr="004E7EA4">
        <w:rPr>
          <w:rStyle w:val="CharSectno"/>
        </w:rPr>
        <w:t>3A</w:t>
      </w:r>
      <w:r w:rsidRPr="004E7EA4">
        <w:t xml:space="preserve">  Professional standards schemes</w:t>
      </w:r>
      <w:bookmarkEnd w:id="12"/>
    </w:p>
    <w:p w:rsidR="00EF3FD3" w:rsidRPr="004E7EA4" w:rsidRDefault="00EF3FD3" w:rsidP="00EF3FD3">
      <w:pPr>
        <w:pStyle w:val="subsection"/>
      </w:pPr>
      <w:r w:rsidRPr="004E7EA4">
        <w:tab/>
      </w:r>
      <w:r w:rsidRPr="004E7EA4">
        <w:tab/>
        <w:t>For subsection</w:t>
      </w:r>
      <w:r w:rsidR="004E7EA4" w:rsidRPr="004E7EA4">
        <w:t> </w:t>
      </w:r>
      <w:r w:rsidRPr="004E7EA4">
        <w:t>12GNA(2) of the Act, a scheme and any modifications to the scheme set out in the following table are prescribed.</w:t>
      </w:r>
    </w:p>
    <w:p w:rsidR="00EF3FD3" w:rsidRPr="004E7EA4" w:rsidRDefault="00EF3FD3" w:rsidP="00EF3FD3">
      <w:pPr>
        <w:pStyle w:val="notetext"/>
      </w:pPr>
      <w:r w:rsidRPr="004E7EA4">
        <w:t>Note:</w:t>
      </w:r>
      <w:r w:rsidRPr="004E7EA4">
        <w:tab/>
        <w:t>Column 2 of the table below is included for information only.</w:t>
      </w:r>
    </w:p>
    <w:p w:rsidR="00EF3FD3" w:rsidRPr="004E7EA4" w:rsidRDefault="00EF3FD3" w:rsidP="00EF3FD3">
      <w:pPr>
        <w:pStyle w:val="Tabletext"/>
      </w:pPr>
    </w:p>
    <w:tbl>
      <w:tblPr>
        <w:tblW w:w="7196" w:type="dxa"/>
        <w:tblBorders>
          <w:top w:val="single" w:sz="4" w:space="0" w:color="auto"/>
          <w:bottom w:val="single" w:sz="2" w:space="0" w:color="auto"/>
          <w:insideH w:val="single" w:sz="4" w:space="0" w:color="auto"/>
        </w:tblBorders>
        <w:tblLook w:val="01E0" w:firstRow="1" w:lastRow="1" w:firstColumn="1" w:lastColumn="1" w:noHBand="0" w:noVBand="0"/>
      </w:tblPr>
      <w:tblGrid>
        <w:gridCol w:w="675"/>
        <w:gridCol w:w="4536"/>
        <w:gridCol w:w="1985"/>
      </w:tblGrid>
      <w:tr w:rsidR="00EF3FD3" w:rsidRPr="004E7EA4" w:rsidTr="004B3C3B">
        <w:trPr>
          <w:tblHeader/>
        </w:trPr>
        <w:tc>
          <w:tcPr>
            <w:tcW w:w="7196" w:type="dxa"/>
            <w:gridSpan w:val="3"/>
            <w:tcBorders>
              <w:top w:val="single" w:sz="12" w:space="0" w:color="auto"/>
              <w:bottom w:val="single" w:sz="6" w:space="0" w:color="auto"/>
            </w:tcBorders>
            <w:shd w:val="clear" w:color="auto" w:fill="auto"/>
          </w:tcPr>
          <w:p w:rsidR="00EF3FD3" w:rsidRPr="004E7EA4" w:rsidRDefault="00EF3FD3" w:rsidP="004B3C3B">
            <w:pPr>
              <w:pStyle w:val="TableHeading"/>
            </w:pPr>
            <w:r w:rsidRPr="004E7EA4">
              <w:t>Prescribed professional standards schemes</w:t>
            </w:r>
          </w:p>
        </w:tc>
      </w:tr>
      <w:tr w:rsidR="00EF3FD3" w:rsidRPr="004E7EA4" w:rsidTr="004B3C3B">
        <w:trPr>
          <w:tblHeader/>
        </w:trPr>
        <w:tc>
          <w:tcPr>
            <w:tcW w:w="675" w:type="dxa"/>
            <w:tcBorders>
              <w:top w:val="single" w:sz="6" w:space="0" w:color="auto"/>
              <w:bottom w:val="single" w:sz="12" w:space="0" w:color="auto"/>
            </w:tcBorders>
            <w:shd w:val="clear" w:color="auto" w:fill="auto"/>
          </w:tcPr>
          <w:p w:rsidR="00EF3FD3" w:rsidRPr="004E7EA4" w:rsidRDefault="00EF3FD3" w:rsidP="004B3C3B">
            <w:pPr>
              <w:pStyle w:val="TableHeading"/>
            </w:pPr>
            <w:r w:rsidRPr="004E7EA4">
              <w:t>Item</w:t>
            </w:r>
          </w:p>
        </w:tc>
        <w:tc>
          <w:tcPr>
            <w:tcW w:w="4536" w:type="dxa"/>
            <w:tcBorders>
              <w:top w:val="single" w:sz="6" w:space="0" w:color="auto"/>
              <w:bottom w:val="single" w:sz="12" w:space="0" w:color="auto"/>
            </w:tcBorders>
            <w:shd w:val="clear" w:color="auto" w:fill="auto"/>
          </w:tcPr>
          <w:p w:rsidR="00EF3FD3" w:rsidRPr="004E7EA4" w:rsidRDefault="00EF3FD3" w:rsidP="004B3C3B">
            <w:pPr>
              <w:pStyle w:val="TableHeading"/>
            </w:pPr>
            <w:r w:rsidRPr="004E7EA4">
              <w:t>Column 1</w:t>
            </w:r>
            <w:r w:rsidRPr="004E7EA4">
              <w:br/>
              <w:t>Scheme</w:t>
            </w:r>
          </w:p>
        </w:tc>
        <w:tc>
          <w:tcPr>
            <w:tcW w:w="1985" w:type="dxa"/>
            <w:tcBorders>
              <w:top w:val="single" w:sz="6" w:space="0" w:color="auto"/>
              <w:bottom w:val="single" w:sz="12" w:space="0" w:color="auto"/>
            </w:tcBorders>
          </w:tcPr>
          <w:p w:rsidR="00EF3FD3" w:rsidRPr="004E7EA4" w:rsidRDefault="00EF3FD3" w:rsidP="004B3C3B">
            <w:pPr>
              <w:pStyle w:val="TableHeading"/>
            </w:pPr>
            <w:r w:rsidRPr="004E7EA4">
              <w:t>Column 2</w:t>
            </w:r>
            <w:r w:rsidRPr="004E7EA4">
              <w:br/>
              <w:t>Date prescribed</w:t>
            </w:r>
          </w:p>
        </w:tc>
      </w:tr>
      <w:tr w:rsidR="00EF3FD3" w:rsidRPr="004E7EA4" w:rsidTr="004B3C3B">
        <w:tc>
          <w:tcPr>
            <w:tcW w:w="675" w:type="dxa"/>
            <w:tcBorders>
              <w:top w:val="single" w:sz="12" w:space="0" w:color="auto"/>
            </w:tcBorders>
            <w:shd w:val="clear" w:color="auto" w:fill="auto"/>
          </w:tcPr>
          <w:p w:rsidR="00EF3FD3" w:rsidRPr="004E7EA4" w:rsidRDefault="00EF3FD3" w:rsidP="004B3C3B">
            <w:pPr>
              <w:pStyle w:val="Tabletext"/>
            </w:pPr>
            <w:r w:rsidRPr="004E7EA4">
              <w:t>1</w:t>
            </w:r>
          </w:p>
        </w:tc>
        <w:tc>
          <w:tcPr>
            <w:tcW w:w="4536" w:type="dxa"/>
            <w:tcBorders>
              <w:top w:val="single" w:sz="12" w:space="0" w:color="auto"/>
            </w:tcBorders>
            <w:shd w:val="clear" w:color="auto" w:fill="auto"/>
          </w:tcPr>
          <w:p w:rsidR="00EF3FD3" w:rsidRPr="004E7EA4" w:rsidRDefault="00EF3FD3" w:rsidP="004B3C3B">
            <w:pPr>
              <w:pStyle w:val="Tabletext"/>
            </w:pPr>
            <w:r w:rsidRPr="004E7EA4">
              <w:t>The Institute of Chartered Accountants in Australia Professional Standards Scheme (NSW), published in the New South Wales Government Gazette No.</w:t>
            </w:r>
            <w:r w:rsidR="004E7EA4" w:rsidRPr="004E7EA4">
              <w:t> </w:t>
            </w:r>
            <w:r w:rsidRPr="004E7EA4">
              <w:t>70, 22</w:t>
            </w:r>
            <w:r w:rsidR="004E7EA4" w:rsidRPr="004E7EA4">
              <w:t> </w:t>
            </w:r>
            <w:r w:rsidRPr="004E7EA4">
              <w:t>August 2014</w:t>
            </w:r>
          </w:p>
        </w:tc>
        <w:tc>
          <w:tcPr>
            <w:tcW w:w="1985" w:type="dxa"/>
            <w:tcBorders>
              <w:top w:val="single" w:sz="12" w:space="0" w:color="auto"/>
            </w:tcBorders>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2</w:t>
            </w:r>
          </w:p>
        </w:tc>
        <w:tc>
          <w:tcPr>
            <w:tcW w:w="4536" w:type="dxa"/>
            <w:shd w:val="clear" w:color="auto" w:fill="auto"/>
          </w:tcPr>
          <w:p w:rsidR="00EF3FD3" w:rsidRPr="004E7EA4" w:rsidRDefault="00EF3FD3" w:rsidP="004B3C3B">
            <w:pPr>
              <w:pStyle w:val="Tabletext"/>
            </w:pPr>
            <w:r w:rsidRPr="004E7EA4">
              <w:t>The Law Society of New South Wales Scheme, published in the New South Wales Government Gazette No.</w:t>
            </w:r>
            <w:r w:rsidR="004E7EA4" w:rsidRPr="004E7EA4">
              <w:t> </w:t>
            </w:r>
            <w:r w:rsidRPr="004E7EA4">
              <w:t>78, 27</w:t>
            </w:r>
            <w:r w:rsidR="004E7EA4" w:rsidRPr="004E7EA4">
              <w:t> </w:t>
            </w:r>
            <w:r w:rsidRPr="004E7EA4">
              <w:t>July 2012</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c>
          <w:tcPr>
            <w:tcW w:w="675" w:type="dxa"/>
            <w:shd w:val="clear" w:color="auto" w:fill="auto"/>
          </w:tcPr>
          <w:p w:rsidR="00EF3FD3" w:rsidRPr="004E7EA4" w:rsidRDefault="00EF3FD3" w:rsidP="004B3C3B">
            <w:pPr>
              <w:pStyle w:val="Tabletext"/>
            </w:pPr>
            <w:r w:rsidRPr="004E7EA4">
              <w:t>3</w:t>
            </w:r>
          </w:p>
        </w:tc>
        <w:tc>
          <w:tcPr>
            <w:tcW w:w="4536" w:type="dxa"/>
            <w:shd w:val="clear" w:color="auto" w:fill="auto"/>
          </w:tcPr>
          <w:p w:rsidR="00EF3FD3" w:rsidRPr="004E7EA4" w:rsidRDefault="00EF3FD3" w:rsidP="004B3C3B">
            <w:pPr>
              <w:pStyle w:val="Tabletext"/>
            </w:pPr>
            <w:r w:rsidRPr="004E7EA4">
              <w:t>The New South Wales Bar Association Scheme, published in the New South Wales Government Gazette No.</w:t>
            </w:r>
            <w:r w:rsidR="004E7EA4" w:rsidRPr="004E7EA4">
              <w:t> </w:t>
            </w:r>
            <w:r w:rsidRPr="004E7EA4">
              <w:t>84, 25</w:t>
            </w:r>
            <w:r w:rsidR="004E7EA4" w:rsidRPr="004E7EA4">
              <w:t> </w:t>
            </w:r>
            <w:r w:rsidRPr="004E7EA4">
              <w:t>June 2010</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c>
          <w:tcPr>
            <w:tcW w:w="675" w:type="dxa"/>
            <w:shd w:val="clear" w:color="auto" w:fill="auto"/>
          </w:tcPr>
          <w:p w:rsidR="00EF3FD3" w:rsidRPr="004E7EA4" w:rsidRDefault="00EF3FD3" w:rsidP="004B3C3B">
            <w:pPr>
              <w:pStyle w:val="Tabletext"/>
            </w:pPr>
            <w:r w:rsidRPr="004E7EA4">
              <w:t>4</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(Victoria), published in the Victoria Government Gazette No. S 264, 5</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5</w:t>
            </w:r>
          </w:p>
        </w:tc>
        <w:tc>
          <w:tcPr>
            <w:tcW w:w="4536" w:type="dxa"/>
            <w:shd w:val="clear" w:color="auto" w:fill="auto"/>
          </w:tcPr>
          <w:p w:rsidR="00EF3FD3" w:rsidRPr="004E7EA4" w:rsidRDefault="00EF3FD3" w:rsidP="004B3C3B">
            <w:pPr>
              <w:pStyle w:val="Tabletext"/>
            </w:pPr>
            <w:r w:rsidRPr="004E7EA4">
              <w:t>The Law Institute of Victoria Limited Sc</w:t>
            </w:r>
            <w:r w:rsidR="00F22479" w:rsidRPr="004E7EA4">
              <w:t>heme, published in the Victoria</w:t>
            </w:r>
            <w:r w:rsidRPr="004E7EA4">
              <w:t xml:space="preserve"> Government Gazette No. G 10, 11</w:t>
            </w:r>
            <w:r w:rsidR="004E7EA4" w:rsidRPr="004E7EA4">
              <w:t> </w:t>
            </w:r>
            <w:r w:rsidRPr="004E7EA4">
              <w:t>March 2010, and the following modifications:</w:t>
            </w:r>
          </w:p>
          <w:p w:rsidR="00EF3FD3" w:rsidRPr="004E7EA4" w:rsidRDefault="00EF3FD3" w:rsidP="004B3C3B">
            <w:pPr>
              <w:pStyle w:val="Tablea"/>
            </w:pPr>
            <w:r w:rsidRPr="004E7EA4">
              <w:t>(a) the amendments made by instr</w:t>
            </w:r>
            <w:r w:rsidR="00F22479" w:rsidRPr="004E7EA4">
              <w:t>ument published in the Victoria</w:t>
            </w:r>
            <w:r w:rsidRPr="004E7EA4">
              <w:t xml:space="preserve"> Government Gazette No. S 164, 1</w:t>
            </w:r>
            <w:r w:rsidR="004E7EA4" w:rsidRPr="004E7EA4">
              <w:t> </w:t>
            </w:r>
            <w:r w:rsidRPr="004E7EA4">
              <w:t>May 2013;</w:t>
            </w:r>
          </w:p>
          <w:p w:rsidR="00EF3FD3" w:rsidRPr="004E7EA4" w:rsidRDefault="00EF3FD3" w:rsidP="004B3C3B">
            <w:pPr>
              <w:pStyle w:val="Tablea"/>
            </w:pPr>
            <w:r w:rsidRPr="004E7EA4">
              <w:lastRenderedPageBreak/>
              <w:t>(b) the amendments made by instr</w:t>
            </w:r>
            <w:r w:rsidR="00F22479" w:rsidRPr="004E7EA4">
              <w:t>ument published in the Victoria</w:t>
            </w:r>
            <w:r w:rsidRPr="004E7EA4">
              <w:t xml:space="preserve"> Government Gazette No. G 36, 5</w:t>
            </w:r>
            <w:r w:rsidR="004E7EA4" w:rsidRPr="004E7EA4">
              <w:t> </w:t>
            </w:r>
            <w:r w:rsidRPr="004E7EA4">
              <w:t>September 2013</w:t>
            </w:r>
          </w:p>
        </w:tc>
        <w:tc>
          <w:tcPr>
            <w:tcW w:w="1985" w:type="dxa"/>
          </w:tcPr>
          <w:p w:rsidR="00EF3FD3" w:rsidRPr="004E7EA4" w:rsidRDefault="00EF3FD3" w:rsidP="004B3C3B">
            <w:pPr>
              <w:pStyle w:val="Tabletext"/>
            </w:pPr>
            <w:r w:rsidRPr="004E7EA4">
              <w:lastRenderedPageBreak/>
              <w:t>The scheme—1</w:t>
            </w:r>
            <w:r w:rsidR="004E7EA4" w:rsidRPr="004E7EA4">
              <w:t> </w:t>
            </w:r>
            <w:r w:rsidR="00F22479" w:rsidRPr="004E7EA4">
              <w:t>November 2012</w:t>
            </w:r>
          </w:p>
          <w:p w:rsidR="00EF3FD3" w:rsidRPr="004E7EA4" w:rsidRDefault="00EF3FD3" w:rsidP="004B3C3B">
            <w:pPr>
              <w:pStyle w:val="Tabletext"/>
            </w:pPr>
            <w:r w:rsidRPr="004E7EA4">
              <w:t>The amendments mentioned in:</w:t>
            </w:r>
          </w:p>
          <w:p w:rsidR="00EF3FD3" w:rsidRPr="004E7EA4" w:rsidRDefault="00EF3FD3" w:rsidP="004B3C3B">
            <w:pPr>
              <w:pStyle w:val="Tablea"/>
            </w:pPr>
            <w:r w:rsidRPr="004E7EA4">
              <w:t xml:space="preserve">(a) </w:t>
            </w:r>
            <w:r w:rsidR="004E7EA4" w:rsidRPr="004E7EA4">
              <w:t>paragraph (</w:t>
            </w:r>
            <w:r w:rsidRPr="004E7EA4">
              <w:t xml:space="preserve">a) of column 1 of this </w:t>
            </w:r>
            <w:r w:rsidRPr="004E7EA4">
              <w:lastRenderedPageBreak/>
              <w:t>item—15</w:t>
            </w:r>
            <w:r w:rsidR="004E7EA4" w:rsidRPr="004E7EA4">
              <w:t> </w:t>
            </w:r>
            <w:r w:rsidRPr="004E7EA4">
              <w:t>March 2014; and</w:t>
            </w:r>
          </w:p>
          <w:p w:rsidR="00EF3FD3" w:rsidRPr="004E7EA4" w:rsidRDefault="00EF3FD3" w:rsidP="004B3C3B">
            <w:pPr>
              <w:pStyle w:val="Tablea"/>
            </w:pPr>
            <w:r w:rsidRPr="004E7EA4">
              <w:t xml:space="preserve">(b) </w:t>
            </w:r>
            <w:r w:rsidR="004E7EA4" w:rsidRPr="004E7EA4">
              <w:t>paragraph (</w:t>
            </w:r>
            <w:r w:rsidRPr="004E7EA4">
              <w:t>b) of column 1 of this item—15</w:t>
            </w:r>
            <w:r w:rsidR="004E7EA4" w:rsidRPr="004E7EA4">
              <w:t> </w:t>
            </w:r>
            <w:r w:rsidRPr="004E7EA4">
              <w:t>March 2014</w:t>
            </w:r>
          </w:p>
        </w:tc>
      </w:tr>
      <w:tr w:rsidR="00EF3FD3" w:rsidRPr="004E7EA4" w:rsidTr="004B3C3B">
        <w:tc>
          <w:tcPr>
            <w:tcW w:w="675" w:type="dxa"/>
            <w:shd w:val="clear" w:color="auto" w:fill="auto"/>
          </w:tcPr>
          <w:p w:rsidR="00EF3FD3" w:rsidRPr="004E7EA4" w:rsidRDefault="00EF3FD3" w:rsidP="004B3C3B">
            <w:pPr>
              <w:pStyle w:val="Tabletext"/>
            </w:pPr>
            <w:r w:rsidRPr="004E7EA4">
              <w:lastRenderedPageBreak/>
              <w:t>6</w:t>
            </w:r>
          </w:p>
        </w:tc>
        <w:tc>
          <w:tcPr>
            <w:tcW w:w="4536" w:type="dxa"/>
            <w:shd w:val="clear" w:color="auto" w:fill="auto"/>
          </w:tcPr>
          <w:p w:rsidR="00EF3FD3" w:rsidRPr="004E7EA4" w:rsidRDefault="00EF3FD3" w:rsidP="004B3C3B">
            <w:pPr>
              <w:pStyle w:val="Tabletext"/>
            </w:pPr>
            <w:r w:rsidRPr="004E7EA4">
              <w:t>The Victorian Bar Professional Standards Sc</w:t>
            </w:r>
            <w:r w:rsidR="00F22479" w:rsidRPr="004E7EA4">
              <w:t>heme, published in the Victoria</w:t>
            </w:r>
            <w:r w:rsidRPr="004E7EA4">
              <w:t xml:space="preserve"> Government Gazette No. S 134, 24</w:t>
            </w:r>
            <w:r w:rsidR="004E7EA4" w:rsidRPr="004E7EA4">
              <w:t> </w:t>
            </w:r>
            <w:r w:rsidRPr="004E7EA4">
              <w:t>April 2014</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675" w:type="dxa"/>
            <w:shd w:val="clear" w:color="auto" w:fill="auto"/>
          </w:tcPr>
          <w:p w:rsidR="00EF3FD3" w:rsidRPr="004E7EA4" w:rsidRDefault="00EF3FD3" w:rsidP="004B3C3B">
            <w:pPr>
              <w:pStyle w:val="Tabletext"/>
            </w:pPr>
            <w:r w:rsidRPr="004E7EA4">
              <w:t>7</w:t>
            </w:r>
          </w:p>
        </w:tc>
        <w:tc>
          <w:tcPr>
            <w:tcW w:w="4536" w:type="dxa"/>
            <w:shd w:val="clear" w:color="auto" w:fill="auto"/>
          </w:tcPr>
          <w:p w:rsidR="00EF3FD3" w:rsidRPr="004E7EA4" w:rsidRDefault="00EF3FD3" w:rsidP="004B3C3B">
            <w:pPr>
              <w:pStyle w:val="Tabletext"/>
            </w:pPr>
            <w:r w:rsidRPr="004E7EA4">
              <w:t>The Bar Association of Queensland Scheme, published in the Queensland Government Gazette No.</w:t>
            </w:r>
            <w:r w:rsidR="004E7EA4" w:rsidRPr="004E7EA4">
              <w:t> </w:t>
            </w:r>
            <w:r w:rsidRPr="004E7EA4">
              <w:t>40, 24</w:t>
            </w:r>
            <w:r w:rsidR="004E7EA4" w:rsidRPr="004E7EA4">
              <w:t> </w:t>
            </w:r>
            <w:r w:rsidRPr="004E7EA4">
              <w:t>June 2013</w:t>
            </w:r>
          </w:p>
        </w:tc>
        <w:tc>
          <w:tcPr>
            <w:tcW w:w="1985" w:type="dxa"/>
          </w:tcPr>
          <w:p w:rsidR="00EF3FD3" w:rsidRPr="004E7EA4" w:rsidRDefault="00EF3FD3" w:rsidP="004B3C3B">
            <w:pPr>
              <w:pStyle w:val="Tabletext"/>
            </w:pPr>
            <w:r w:rsidRPr="004E7EA4">
              <w:t>15</w:t>
            </w:r>
            <w:r w:rsidR="004E7EA4" w:rsidRPr="004E7EA4">
              <w:t> </w:t>
            </w:r>
            <w:r w:rsidRPr="004E7EA4">
              <w:t>March 2014</w:t>
            </w:r>
          </w:p>
        </w:tc>
      </w:tr>
      <w:tr w:rsidR="00EF3FD3" w:rsidRPr="004E7EA4" w:rsidTr="004B3C3B">
        <w:tc>
          <w:tcPr>
            <w:tcW w:w="675" w:type="dxa"/>
            <w:shd w:val="clear" w:color="auto" w:fill="auto"/>
          </w:tcPr>
          <w:p w:rsidR="00EF3FD3" w:rsidRPr="004E7EA4" w:rsidRDefault="00EF3FD3" w:rsidP="004B3C3B">
            <w:pPr>
              <w:pStyle w:val="Tabletext"/>
            </w:pPr>
            <w:r w:rsidRPr="004E7EA4">
              <w:t>8</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(Queensland), notified by the Queensland Government on 29</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9</w:t>
            </w:r>
          </w:p>
        </w:tc>
        <w:tc>
          <w:tcPr>
            <w:tcW w:w="4536" w:type="dxa"/>
            <w:shd w:val="clear" w:color="auto" w:fill="auto"/>
          </w:tcPr>
          <w:p w:rsidR="00EF3FD3" w:rsidRPr="004E7EA4" w:rsidRDefault="00EF3FD3" w:rsidP="004B3C3B">
            <w:pPr>
              <w:pStyle w:val="Tabletext"/>
            </w:pPr>
            <w:r w:rsidRPr="004E7EA4">
              <w:t>The Queensland Law Society Scheme, published in the Queensland Government Gazette No.</w:t>
            </w:r>
            <w:r w:rsidR="004E7EA4" w:rsidRPr="004E7EA4">
              <w:t> </w:t>
            </w:r>
            <w:r w:rsidRPr="004E7EA4">
              <w:t>64, 25</w:t>
            </w:r>
            <w:r w:rsidR="004E7EA4" w:rsidRPr="004E7EA4">
              <w:t> </w:t>
            </w:r>
            <w:r w:rsidRPr="004E7EA4">
              <w:t>June 2010</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c>
          <w:tcPr>
            <w:tcW w:w="675" w:type="dxa"/>
            <w:shd w:val="clear" w:color="auto" w:fill="auto"/>
          </w:tcPr>
          <w:p w:rsidR="00EF3FD3" w:rsidRPr="004E7EA4" w:rsidRDefault="00EF3FD3" w:rsidP="004B3C3B">
            <w:pPr>
              <w:pStyle w:val="Tabletext"/>
            </w:pPr>
            <w:r w:rsidRPr="004E7EA4">
              <w:t>10</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(WA), published in the Western Australian Government Gazette No.</w:t>
            </w:r>
            <w:r w:rsidR="004E7EA4" w:rsidRPr="004E7EA4">
              <w:t> </w:t>
            </w:r>
            <w:r w:rsidRPr="004E7EA4">
              <w:t>122, 8</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11</w:t>
            </w:r>
          </w:p>
        </w:tc>
        <w:tc>
          <w:tcPr>
            <w:tcW w:w="4536" w:type="dxa"/>
            <w:shd w:val="clear" w:color="auto" w:fill="auto"/>
          </w:tcPr>
          <w:p w:rsidR="00EF3FD3" w:rsidRPr="004E7EA4" w:rsidRDefault="00EF3FD3" w:rsidP="004B3C3B">
            <w:pPr>
              <w:pStyle w:val="Tabletext"/>
            </w:pPr>
            <w:r w:rsidRPr="004E7EA4">
              <w:t>The Law Society of Western Australia Scheme, published in the Western Australian Government Gazette No.</w:t>
            </w:r>
            <w:r w:rsidR="004E7EA4" w:rsidRPr="004E7EA4">
              <w:t> </w:t>
            </w:r>
            <w:r w:rsidRPr="004E7EA4">
              <w:t>54, 11</w:t>
            </w:r>
            <w:r w:rsidR="004E7EA4" w:rsidRPr="004E7EA4">
              <w:t> </w:t>
            </w:r>
            <w:r w:rsidRPr="004E7EA4">
              <w:t>April 2014</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675" w:type="dxa"/>
            <w:shd w:val="clear" w:color="auto" w:fill="auto"/>
          </w:tcPr>
          <w:p w:rsidR="00EF3FD3" w:rsidRPr="004E7EA4" w:rsidRDefault="00EF3FD3" w:rsidP="004B3C3B">
            <w:pPr>
              <w:pStyle w:val="Tabletext"/>
            </w:pPr>
            <w:r w:rsidRPr="004E7EA4">
              <w:t>12</w:t>
            </w:r>
          </w:p>
        </w:tc>
        <w:tc>
          <w:tcPr>
            <w:tcW w:w="4536" w:type="dxa"/>
            <w:shd w:val="clear" w:color="auto" w:fill="auto"/>
          </w:tcPr>
          <w:p w:rsidR="00EF3FD3" w:rsidRPr="004E7EA4" w:rsidRDefault="00EF3FD3" w:rsidP="004B3C3B">
            <w:pPr>
              <w:pStyle w:val="Tabletext"/>
            </w:pPr>
            <w:r w:rsidRPr="004E7EA4">
              <w:t>The Western Australian Bar Association Scheme, published in the Western Australian Government Gazette No.</w:t>
            </w:r>
            <w:r w:rsidR="004E7EA4" w:rsidRPr="004E7EA4">
              <w:t> </w:t>
            </w:r>
            <w:r w:rsidRPr="004E7EA4">
              <w:t>57, 17</w:t>
            </w:r>
            <w:r w:rsidR="004E7EA4" w:rsidRPr="004E7EA4">
              <w:t> </w:t>
            </w:r>
            <w:r w:rsidRPr="004E7EA4">
              <w:t>April 2014</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675" w:type="dxa"/>
            <w:shd w:val="clear" w:color="auto" w:fill="auto"/>
          </w:tcPr>
          <w:p w:rsidR="00EF3FD3" w:rsidRPr="004E7EA4" w:rsidRDefault="00EF3FD3" w:rsidP="004B3C3B">
            <w:pPr>
              <w:pStyle w:val="Tabletext"/>
            </w:pPr>
            <w:r w:rsidRPr="004E7EA4">
              <w:t>13</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(SA), published in the South Australian Government Gazette No.</w:t>
            </w:r>
            <w:r w:rsidR="004E7EA4" w:rsidRPr="004E7EA4">
              <w:t> </w:t>
            </w:r>
            <w:r w:rsidRPr="004E7EA4">
              <w:t>63, 21</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14</w:t>
            </w:r>
          </w:p>
        </w:tc>
        <w:tc>
          <w:tcPr>
            <w:tcW w:w="4536" w:type="dxa"/>
            <w:shd w:val="clear" w:color="auto" w:fill="auto"/>
          </w:tcPr>
          <w:p w:rsidR="00EF3FD3" w:rsidRPr="004E7EA4" w:rsidRDefault="00EF3FD3" w:rsidP="004B3C3B">
            <w:pPr>
              <w:pStyle w:val="Tabletext"/>
            </w:pPr>
            <w:r w:rsidRPr="004E7EA4">
              <w:t>The Law Society of South Australia Professional Standards Scheme, published in the South Australian Government Gazette No.</w:t>
            </w:r>
            <w:r w:rsidR="004E7EA4" w:rsidRPr="004E7EA4">
              <w:t> </w:t>
            </w:r>
            <w:r w:rsidRPr="004E7EA4">
              <w:t>76, 3</w:t>
            </w:r>
            <w:r w:rsidR="004E7EA4" w:rsidRPr="004E7EA4">
              <w:t> </w:t>
            </w:r>
            <w:r w:rsidRPr="004E7EA4">
              <w:t>November 2011</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c>
          <w:tcPr>
            <w:tcW w:w="675" w:type="dxa"/>
            <w:shd w:val="clear" w:color="auto" w:fill="auto"/>
          </w:tcPr>
          <w:p w:rsidR="00EF3FD3" w:rsidRPr="004E7EA4" w:rsidRDefault="00EF3FD3" w:rsidP="004B3C3B">
            <w:pPr>
              <w:pStyle w:val="Tabletext"/>
            </w:pPr>
            <w:r w:rsidRPr="004E7EA4">
              <w:t>15</w:t>
            </w:r>
          </w:p>
        </w:tc>
        <w:tc>
          <w:tcPr>
            <w:tcW w:w="4536" w:type="dxa"/>
            <w:shd w:val="clear" w:color="auto" w:fill="auto"/>
          </w:tcPr>
          <w:p w:rsidR="00EF3FD3" w:rsidRPr="004E7EA4" w:rsidRDefault="00EF3FD3" w:rsidP="004B3C3B">
            <w:pPr>
              <w:pStyle w:val="Tabletext"/>
            </w:pPr>
            <w:r w:rsidRPr="004E7EA4">
              <w:t>The South</w:t>
            </w:r>
            <w:r w:rsidR="00F22479" w:rsidRPr="004E7EA4">
              <w:t xml:space="preserve"> Australian Bar Association </w:t>
            </w:r>
            <w:proofErr w:type="spellStart"/>
            <w:r w:rsidR="00F22479" w:rsidRPr="004E7EA4">
              <w:t>Inc</w:t>
            </w:r>
            <w:proofErr w:type="spellEnd"/>
            <w:r w:rsidRPr="004E7EA4">
              <w:t xml:space="preserve"> Scheme, published in the South Australian Government </w:t>
            </w:r>
            <w:r w:rsidRPr="004E7EA4">
              <w:lastRenderedPageBreak/>
              <w:t>Gazette No.</w:t>
            </w:r>
            <w:r w:rsidR="004E7EA4" w:rsidRPr="004E7EA4">
              <w:t> </w:t>
            </w:r>
            <w:r w:rsidRPr="004E7EA4">
              <w:t>76, 3</w:t>
            </w:r>
            <w:r w:rsidR="004E7EA4" w:rsidRPr="004E7EA4">
              <w:t> </w:t>
            </w:r>
            <w:r w:rsidRPr="004E7EA4">
              <w:t>November 2011</w:t>
            </w:r>
          </w:p>
        </w:tc>
        <w:tc>
          <w:tcPr>
            <w:tcW w:w="1985" w:type="dxa"/>
          </w:tcPr>
          <w:p w:rsidR="00EF3FD3" w:rsidRPr="004E7EA4" w:rsidRDefault="00EF3FD3" w:rsidP="004B3C3B">
            <w:pPr>
              <w:pStyle w:val="Tabletext"/>
            </w:pPr>
            <w:r w:rsidRPr="004E7EA4">
              <w:lastRenderedPageBreak/>
              <w:t>1</w:t>
            </w:r>
            <w:r w:rsidR="004E7EA4" w:rsidRPr="004E7EA4">
              <w:t> </w:t>
            </w:r>
            <w:r w:rsidRPr="004E7EA4">
              <w:t>March 2013</w:t>
            </w:r>
          </w:p>
        </w:tc>
      </w:tr>
      <w:tr w:rsidR="00EF3FD3" w:rsidRPr="004E7EA4" w:rsidTr="004B3C3B">
        <w:trPr>
          <w:cantSplit/>
        </w:trPr>
        <w:tc>
          <w:tcPr>
            <w:tcW w:w="675" w:type="dxa"/>
            <w:shd w:val="clear" w:color="auto" w:fill="auto"/>
          </w:tcPr>
          <w:p w:rsidR="00EF3FD3" w:rsidRPr="004E7EA4" w:rsidRDefault="00EF3FD3" w:rsidP="004B3C3B">
            <w:pPr>
              <w:pStyle w:val="Tabletext"/>
            </w:pPr>
            <w:r w:rsidRPr="004E7EA4">
              <w:lastRenderedPageBreak/>
              <w:t>16</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(ACT), approved on 14</w:t>
            </w:r>
            <w:r w:rsidR="004E7EA4" w:rsidRPr="004E7EA4">
              <w:t> </w:t>
            </w:r>
            <w:r w:rsidRPr="004E7EA4">
              <w:t>July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rPr>
          <w:cantSplit/>
        </w:trPr>
        <w:tc>
          <w:tcPr>
            <w:tcW w:w="675" w:type="dxa"/>
            <w:tcBorders>
              <w:bottom w:val="single" w:sz="12" w:space="0" w:color="auto"/>
            </w:tcBorders>
            <w:shd w:val="clear" w:color="auto" w:fill="auto"/>
          </w:tcPr>
          <w:p w:rsidR="00EF3FD3" w:rsidRPr="004E7EA4" w:rsidRDefault="00EF3FD3" w:rsidP="004B3C3B">
            <w:pPr>
              <w:pStyle w:val="Tabletext"/>
            </w:pPr>
            <w:r w:rsidRPr="004E7EA4">
              <w:t>17</w:t>
            </w:r>
          </w:p>
        </w:tc>
        <w:tc>
          <w:tcPr>
            <w:tcW w:w="4536" w:type="dxa"/>
            <w:tcBorders>
              <w:bottom w:val="single" w:sz="12" w:space="0" w:color="auto"/>
            </w:tcBorders>
            <w:shd w:val="clear" w:color="auto" w:fill="auto"/>
          </w:tcPr>
          <w:p w:rsidR="00EF3FD3" w:rsidRPr="004E7EA4" w:rsidRDefault="00EF3FD3" w:rsidP="004B3C3B">
            <w:pPr>
              <w:pStyle w:val="Tabletext"/>
            </w:pPr>
            <w:r w:rsidRPr="004E7EA4">
              <w:t>The Institute of Chartered Accountants in Australia Professional Standards Scheme (NT), published in the Northern Territory Government Gazette No. S84, 17</w:t>
            </w:r>
            <w:r w:rsidR="004E7EA4" w:rsidRPr="004E7EA4">
              <w:t> </w:t>
            </w:r>
            <w:r w:rsidRPr="004E7EA4">
              <w:t>September 2014</w:t>
            </w:r>
          </w:p>
        </w:tc>
        <w:tc>
          <w:tcPr>
            <w:tcW w:w="1985" w:type="dxa"/>
            <w:tcBorders>
              <w:bottom w:val="single" w:sz="12" w:space="0" w:color="auto"/>
            </w:tcBorders>
          </w:tcPr>
          <w:p w:rsidR="00EF3FD3" w:rsidRPr="004E7EA4" w:rsidRDefault="00EF3FD3" w:rsidP="004B3C3B">
            <w:pPr>
              <w:pStyle w:val="Tabletext"/>
            </w:pPr>
            <w:r w:rsidRPr="004E7EA4">
              <w:t>1</w:t>
            </w:r>
            <w:r w:rsidR="004E7EA4" w:rsidRPr="004E7EA4">
              <w:t> </w:t>
            </w:r>
            <w:r w:rsidRPr="004E7EA4">
              <w:t>December 2014</w:t>
            </w:r>
          </w:p>
        </w:tc>
      </w:tr>
    </w:tbl>
    <w:p w:rsidR="00EF3FD3" w:rsidRPr="004E7EA4" w:rsidRDefault="00EF3FD3" w:rsidP="00EF3FD3">
      <w:pPr>
        <w:pStyle w:val="ActHead9"/>
      </w:pPr>
      <w:bookmarkStart w:id="13" w:name="_Toc403564904"/>
      <w:r w:rsidRPr="004E7EA4">
        <w:t>Competition and Consumer Regulations</w:t>
      </w:r>
      <w:r w:rsidR="004E7EA4" w:rsidRPr="004E7EA4">
        <w:t> </w:t>
      </w:r>
      <w:r w:rsidRPr="004E7EA4">
        <w:t>2010</w:t>
      </w:r>
      <w:bookmarkEnd w:id="13"/>
    </w:p>
    <w:p w:rsidR="00EF3FD3" w:rsidRPr="004E7EA4" w:rsidRDefault="00EF3FD3" w:rsidP="00EF3FD3">
      <w:pPr>
        <w:pStyle w:val="ItemHead"/>
      </w:pPr>
      <w:r w:rsidRPr="004E7EA4">
        <w:t>2  Regulation</w:t>
      </w:r>
      <w:r w:rsidR="004E7EA4" w:rsidRPr="004E7EA4">
        <w:t> </w:t>
      </w:r>
      <w:r w:rsidRPr="004E7EA4">
        <w:t>8A</w:t>
      </w:r>
    </w:p>
    <w:p w:rsidR="00EF3FD3" w:rsidRPr="004E7EA4" w:rsidRDefault="00EF3FD3" w:rsidP="00EF3FD3">
      <w:pPr>
        <w:pStyle w:val="Item"/>
      </w:pPr>
      <w:r w:rsidRPr="004E7EA4">
        <w:t>Repeal the regulation, substitute:</w:t>
      </w:r>
    </w:p>
    <w:p w:rsidR="00EF3FD3" w:rsidRPr="004E7EA4" w:rsidRDefault="00EF3FD3" w:rsidP="00EF3FD3">
      <w:pPr>
        <w:pStyle w:val="ActHead5"/>
      </w:pPr>
      <w:bookmarkStart w:id="14" w:name="_Toc403564905"/>
      <w:r w:rsidRPr="004E7EA4">
        <w:rPr>
          <w:rStyle w:val="CharSectno"/>
        </w:rPr>
        <w:t>8A</w:t>
      </w:r>
      <w:r w:rsidRPr="004E7EA4">
        <w:t xml:space="preserve">  Professional standards schemes</w:t>
      </w:r>
      <w:bookmarkEnd w:id="14"/>
    </w:p>
    <w:p w:rsidR="00EF3FD3" w:rsidRPr="004E7EA4" w:rsidRDefault="00EF3FD3" w:rsidP="00EF3FD3">
      <w:pPr>
        <w:pStyle w:val="subsection"/>
      </w:pPr>
      <w:r w:rsidRPr="004E7EA4">
        <w:tab/>
      </w:r>
      <w:r w:rsidRPr="004E7EA4">
        <w:tab/>
        <w:t>For subsection</w:t>
      </w:r>
      <w:r w:rsidR="004E7EA4" w:rsidRPr="004E7EA4">
        <w:t> </w:t>
      </w:r>
      <w:r w:rsidRPr="004E7EA4">
        <w:t>137(2) of the Act, a scheme and any modifications to the scheme set out in the following table are prescribed.</w:t>
      </w:r>
    </w:p>
    <w:p w:rsidR="00EF3FD3" w:rsidRPr="004E7EA4" w:rsidRDefault="00EF3FD3" w:rsidP="00EF3FD3">
      <w:pPr>
        <w:pStyle w:val="notetext"/>
      </w:pPr>
      <w:r w:rsidRPr="004E7EA4">
        <w:t>Note:</w:t>
      </w:r>
      <w:r w:rsidRPr="004E7EA4">
        <w:tab/>
        <w:t>Column 2 of the table below is included for information only.</w:t>
      </w:r>
    </w:p>
    <w:p w:rsidR="00EF3FD3" w:rsidRPr="004E7EA4" w:rsidRDefault="00EF3FD3" w:rsidP="00EF3FD3">
      <w:pPr>
        <w:pStyle w:val="Tabletext"/>
      </w:pPr>
    </w:p>
    <w:tbl>
      <w:tblPr>
        <w:tblW w:w="7230" w:type="dxa"/>
        <w:tblInd w:w="-34" w:type="dxa"/>
        <w:tblBorders>
          <w:top w:val="single" w:sz="4" w:space="0" w:color="auto"/>
          <w:bottom w:val="single" w:sz="2" w:space="0" w:color="auto"/>
          <w:insideH w:val="single" w:sz="4" w:space="0" w:color="auto"/>
        </w:tblBorders>
        <w:tblLook w:val="01E0" w:firstRow="1" w:lastRow="1" w:firstColumn="1" w:lastColumn="1" w:noHBand="0" w:noVBand="0"/>
      </w:tblPr>
      <w:tblGrid>
        <w:gridCol w:w="709"/>
        <w:gridCol w:w="4536"/>
        <w:gridCol w:w="1985"/>
      </w:tblGrid>
      <w:tr w:rsidR="00EF3FD3" w:rsidRPr="004E7EA4" w:rsidTr="004B3C3B">
        <w:trPr>
          <w:tblHeader/>
        </w:trPr>
        <w:tc>
          <w:tcPr>
            <w:tcW w:w="7230" w:type="dxa"/>
            <w:gridSpan w:val="3"/>
            <w:tcBorders>
              <w:top w:val="single" w:sz="12" w:space="0" w:color="auto"/>
              <w:bottom w:val="single" w:sz="6" w:space="0" w:color="auto"/>
            </w:tcBorders>
            <w:shd w:val="clear" w:color="auto" w:fill="auto"/>
          </w:tcPr>
          <w:p w:rsidR="00EF3FD3" w:rsidRPr="004E7EA4" w:rsidRDefault="00EF3FD3" w:rsidP="004B3C3B">
            <w:pPr>
              <w:pStyle w:val="TableHeading"/>
              <w:keepLines/>
            </w:pPr>
            <w:r w:rsidRPr="004E7EA4">
              <w:t>Prescribed professional standards schemes</w:t>
            </w:r>
          </w:p>
        </w:tc>
      </w:tr>
      <w:tr w:rsidR="00EF3FD3" w:rsidRPr="004E7EA4" w:rsidTr="004B3C3B">
        <w:trPr>
          <w:tblHeader/>
        </w:trPr>
        <w:tc>
          <w:tcPr>
            <w:tcW w:w="709" w:type="dxa"/>
            <w:tcBorders>
              <w:top w:val="single" w:sz="6" w:space="0" w:color="auto"/>
              <w:bottom w:val="single" w:sz="12" w:space="0" w:color="auto"/>
            </w:tcBorders>
            <w:shd w:val="clear" w:color="auto" w:fill="auto"/>
          </w:tcPr>
          <w:p w:rsidR="00EF3FD3" w:rsidRPr="004E7EA4" w:rsidRDefault="00EF3FD3" w:rsidP="004B3C3B">
            <w:pPr>
              <w:pStyle w:val="TableHeading"/>
              <w:keepLines/>
            </w:pPr>
            <w:r w:rsidRPr="004E7EA4">
              <w:t>Item</w:t>
            </w:r>
          </w:p>
        </w:tc>
        <w:tc>
          <w:tcPr>
            <w:tcW w:w="4536" w:type="dxa"/>
            <w:tcBorders>
              <w:top w:val="single" w:sz="6" w:space="0" w:color="auto"/>
              <w:bottom w:val="single" w:sz="12" w:space="0" w:color="auto"/>
            </w:tcBorders>
            <w:shd w:val="clear" w:color="auto" w:fill="auto"/>
          </w:tcPr>
          <w:p w:rsidR="00EF3FD3" w:rsidRPr="004E7EA4" w:rsidRDefault="00EF3FD3" w:rsidP="004B3C3B">
            <w:pPr>
              <w:pStyle w:val="TableHeading"/>
              <w:keepLines/>
            </w:pPr>
            <w:r w:rsidRPr="004E7EA4">
              <w:t>Column 1</w:t>
            </w:r>
            <w:r w:rsidRPr="004E7EA4">
              <w:br/>
              <w:t>Scheme</w:t>
            </w:r>
          </w:p>
        </w:tc>
        <w:tc>
          <w:tcPr>
            <w:tcW w:w="1985" w:type="dxa"/>
            <w:tcBorders>
              <w:top w:val="single" w:sz="6" w:space="0" w:color="auto"/>
              <w:bottom w:val="single" w:sz="12" w:space="0" w:color="auto"/>
            </w:tcBorders>
          </w:tcPr>
          <w:p w:rsidR="00EF3FD3" w:rsidRPr="004E7EA4" w:rsidRDefault="00EF3FD3" w:rsidP="004B3C3B">
            <w:pPr>
              <w:pStyle w:val="TableHeading"/>
              <w:keepLines/>
            </w:pPr>
            <w:r w:rsidRPr="004E7EA4">
              <w:t>Column 2</w:t>
            </w:r>
            <w:r w:rsidRPr="004E7EA4">
              <w:br/>
              <w:t>Date prescribed</w:t>
            </w:r>
          </w:p>
        </w:tc>
      </w:tr>
      <w:tr w:rsidR="00EF3FD3" w:rsidRPr="004E7EA4" w:rsidTr="004B3C3B">
        <w:tc>
          <w:tcPr>
            <w:tcW w:w="709" w:type="dxa"/>
            <w:tcBorders>
              <w:top w:val="single" w:sz="12" w:space="0" w:color="auto"/>
            </w:tcBorders>
            <w:shd w:val="clear" w:color="auto" w:fill="auto"/>
          </w:tcPr>
          <w:p w:rsidR="00EF3FD3" w:rsidRPr="004E7EA4" w:rsidRDefault="00EF3FD3" w:rsidP="004B3C3B">
            <w:pPr>
              <w:pStyle w:val="Tabletext"/>
              <w:keepNext/>
              <w:keepLines/>
            </w:pPr>
            <w:r w:rsidRPr="004E7EA4">
              <w:t>1</w:t>
            </w:r>
          </w:p>
        </w:tc>
        <w:tc>
          <w:tcPr>
            <w:tcW w:w="4536" w:type="dxa"/>
            <w:tcBorders>
              <w:top w:val="single" w:sz="12" w:space="0" w:color="auto"/>
            </w:tcBorders>
            <w:shd w:val="clear" w:color="auto" w:fill="auto"/>
          </w:tcPr>
          <w:p w:rsidR="00EF3FD3" w:rsidRPr="004E7EA4" w:rsidRDefault="00EF3FD3" w:rsidP="004B3C3B">
            <w:pPr>
              <w:pStyle w:val="Tabletext"/>
              <w:keepNext/>
              <w:keepLines/>
            </w:pPr>
            <w:r w:rsidRPr="004E7EA4">
              <w:t>The ACS Limited Liability (NSW) Scheme, published in the New South Wales Government Gazette No.</w:t>
            </w:r>
            <w:r w:rsidR="004E7EA4" w:rsidRPr="004E7EA4">
              <w:t> </w:t>
            </w:r>
            <w:r w:rsidRPr="004E7EA4">
              <w:t>207, 18</w:t>
            </w:r>
            <w:r w:rsidR="004E7EA4" w:rsidRPr="004E7EA4">
              <w:t> </w:t>
            </w:r>
            <w:r w:rsidRPr="004E7EA4">
              <w:t>December 2009</w:t>
            </w:r>
          </w:p>
        </w:tc>
        <w:tc>
          <w:tcPr>
            <w:tcW w:w="1985" w:type="dxa"/>
            <w:tcBorders>
              <w:top w:val="single" w:sz="12" w:space="0" w:color="auto"/>
            </w:tcBorders>
          </w:tcPr>
          <w:p w:rsidR="00EF3FD3" w:rsidRPr="004E7EA4" w:rsidRDefault="00EF3FD3" w:rsidP="004B3C3B">
            <w:pPr>
              <w:pStyle w:val="Tabletext"/>
              <w:keepNext/>
              <w:keepLines/>
            </w:pPr>
            <w:r w:rsidRPr="004E7EA4">
              <w:t>8</w:t>
            </w:r>
            <w:r w:rsidR="004E7EA4" w:rsidRPr="004E7EA4">
              <w:t> </w:t>
            </w:r>
            <w:r w:rsidRPr="004E7EA4">
              <w:t>June 2010</w:t>
            </w:r>
          </w:p>
        </w:tc>
      </w:tr>
      <w:tr w:rsidR="00EF3FD3" w:rsidRPr="004E7EA4" w:rsidTr="004B3C3B">
        <w:tc>
          <w:tcPr>
            <w:tcW w:w="709" w:type="dxa"/>
            <w:shd w:val="clear" w:color="auto" w:fill="auto"/>
          </w:tcPr>
          <w:p w:rsidR="00EF3FD3" w:rsidRPr="004E7EA4" w:rsidRDefault="00EF3FD3" w:rsidP="004B3C3B">
            <w:pPr>
              <w:pStyle w:val="Tabletext"/>
            </w:pPr>
            <w:r w:rsidRPr="004E7EA4">
              <w:t>2</w:t>
            </w:r>
          </w:p>
        </w:tc>
        <w:tc>
          <w:tcPr>
            <w:tcW w:w="4536" w:type="dxa"/>
            <w:shd w:val="clear" w:color="auto" w:fill="auto"/>
          </w:tcPr>
          <w:p w:rsidR="00EF3FD3" w:rsidRPr="004E7EA4" w:rsidRDefault="00EF3FD3" w:rsidP="004B3C3B">
            <w:pPr>
              <w:pStyle w:val="Tabletext"/>
            </w:pPr>
            <w:r w:rsidRPr="004E7EA4">
              <w:t xml:space="preserve">The Australian Property Institute </w:t>
            </w:r>
            <w:proofErr w:type="spellStart"/>
            <w:r w:rsidRPr="004E7EA4">
              <w:t>Valuers</w:t>
            </w:r>
            <w:proofErr w:type="spellEnd"/>
            <w:r w:rsidRPr="004E7EA4">
              <w:t xml:space="preserve"> Limited Scheme, published in the New South Wales Government Gazette No.</w:t>
            </w:r>
            <w:r w:rsidR="004E7EA4" w:rsidRPr="004E7EA4">
              <w:t> </w:t>
            </w:r>
            <w:r w:rsidRPr="004E7EA4">
              <w:t>108, 27</w:t>
            </w:r>
            <w:r w:rsidR="004E7EA4" w:rsidRPr="004E7EA4">
              <w:t> </w:t>
            </w:r>
            <w:r w:rsidRPr="004E7EA4">
              <w:t>August 2010</w:t>
            </w:r>
          </w:p>
        </w:tc>
        <w:tc>
          <w:tcPr>
            <w:tcW w:w="1985" w:type="dxa"/>
          </w:tcPr>
          <w:p w:rsidR="00EF3FD3" w:rsidRPr="004E7EA4" w:rsidRDefault="00EF3FD3" w:rsidP="004B3C3B">
            <w:pPr>
              <w:pStyle w:val="Tabletext"/>
            </w:pPr>
            <w:r w:rsidRPr="004E7EA4">
              <w:t>14</w:t>
            </w:r>
            <w:r w:rsidR="004E7EA4" w:rsidRPr="004E7EA4">
              <w:t> </w:t>
            </w:r>
            <w:r w:rsidRPr="004E7EA4">
              <w:t>December 2010</w:t>
            </w:r>
          </w:p>
        </w:tc>
      </w:tr>
      <w:tr w:rsidR="00EF3FD3" w:rsidRPr="004E7EA4" w:rsidTr="004B3C3B">
        <w:tc>
          <w:tcPr>
            <w:tcW w:w="709" w:type="dxa"/>
            <w:shd w:val="clear" w:color="auto" w:fill="auto"/>
          </w:tcPr>
          <w:p w:rsidR="00EF3FD3" w:rsidRPr="004E7EA4" w:rsidRDefault="00EF3FD3" w:rsidP="004B3C3B">
            <w:pPr>
              <w:pStyle w:val="Tabletext"/>
            </w:pPr>
            <w:r w:rsidRPr="004E7EA4">
              <w:t>3</w:t>
            </w:r>
          </w:p>
        </w:tc>
        <w:tc>
          <w:tcPr>
            <w:tcW w:w="4536" w:type="dxa"/>
            <w:shd w:val="clear" w:color="auto" w:fill="auto"/>
          </w:tcPr>
          <w:p w:rsidR="00EF3FD3" w:rsidRPr="004E7EA4" w:rsidRDefault="00EF3FD3" w:rsidP="004B3C3B">
            <w:pPr>
              <w:pStyle w:val="Tabletext"/>
            </w:pPr>
            <w:r w:rsidRPr="004E7EA4">
              <w:t xml:space="preserve">The Australian </w:t>
            </w:r>
            <w:proofErr w:type="spellStart"/>
            <w:r w:rsidRPr="004E7EA4">
              <w:t>Valuers</w:t>
            </w:r>
            <w:proofErr w:type="spellEnd"/>
            <w:r w:rsidRPr="004E7EA4">
              <w:t xml:space="preserve"> Institute (NSW) Scheme, published in the New South Wales Government Gazette No.</w:t>
            </w:r>
            <w:r w:rsidR="004E7EA4" w:rsidRPr="004E7EA4">
              <w:t> </w:t>
            </w:r>
            <w:r w:rsidRPr="004E7EA4">
              <w:t>83, 29</w:t>
            </w:r>
            <w:r w:rsidR="004E7EA4" w:rsidRPr="004E7EA4">
              <w:t> </w:t>
            </w:r>
            <w:r w:rsidRPr="004E7EA4">
              <w:t>June 2007</w:t>
            </w:r>
          </w:p>
        </w:tc>
        <w:tc>
          <w:tcPr>
            <w:tcW w:w="1985" w:type="dxa"/>
          </w:tcPr>
          <w:p w:rsidR="00EF3FD3" w:rsidRPr="004E7EA4" w:rsidRDefault="00EF3FD3" w:rsidP="004B3C3B">
            <w:pPr>
              <w:pStyle w:val="Tabletext"/>
            </w:pPr>
            <w:r w:rsidRPr="004E7EA4">
              <w:t>5</w:t>
            </w:r>
            <w:r w:rsidR="004E7EA4" w:rsidRPr="004E7EA4">
              <w:t> </w:t>
            </w:r>
            <w:r w:rsidRPr="004E7EA4">
              <w:t>October 2007</w:t>
            </w:r>
          </w:p>
        </w:tc>
      </w:tr>
      <w:tr w:rsidR="00EF3FD3" w:rsidRPr="004E7EA4" w:rsidTr="004B3C3B">
        <w:tc>
          <w:tcPr>
            <w:tcW w:w="709" w:type="dxa"/>
            <w:shd w:val="clear" w:color="auto" w:fill="auto"/>
          </w:tcPr>
          <w:p w:rsidR="00EF3FD3" w:rsidRPr="004E7EA4" w:rsidRDefault="00EF3FD3" w:rsidP="004B3C3B">
            <w:pPr>
              <w:pStyle w:val="Tabletext"/>
            </w:pPr>
            <w:r w:rsidRPr="004E7EA4">
              <w:t>4</w:t>
            </w:r>
          </w:p>
        </w:tc>
        <w:tc>
          <w:tcPr>
            <w:tcW w:w="4536" w:type="dxa"/>
            <w:shd w:val="clear" w:color="auto" w:fill="auto"/>
          </w:tcPr>
          <w:p w:rsidR="00EF3FD3" w:rsidRPr="004E7EA4" w:rsidRDefault="00EF3FD3" w:rsidP="004B3C3B">
            <w:pPr>
              <w:pStyle w:val="Tabletext"/>
            </w:pPr>
            <w:r w:rsidRPr="004E7EA4">
              <w:t>The College of Investigative and Remedial Consulting Engineers Australia Professional Standards Scheme, published in the New South Wales Government Gazette No.</w:t>
            </w:r>
            <w:r w:rsidR="004E7EA4" w:rsidRPr="004E7EA4">
              <w:t> </w:t>
            </w:r>
            <w:r w:rsidRPr="004E7EA4">
              <w:t>135, 28</w:t>
            </w:r>
            <w:r w:rsidR="004E7EA4" w:rsidRPr="004E7EA4">
              <w:t> </w:t>
            </w:r>
            <w:r w:rsidRPr="004E7EA4">
              <w:t xml:space="preserve">December </w:t>
            </w:r>
            <w:r w:rsidRPr="004E7EA4">
              <w:lastRenderedPageBreak/>
              <w:t>2012</w:t>
            </w:r>
          </w:p>
        </w:tc>
        <w:tc>
          <w:tcPr>
            <w:tcW w:w="1985" w:type="dxa"/>
          </w:tcPr>
          <w:p w:rsidR="00EF3FD3" w:rsidRPr="004E7EA4" w:rsidRDefault="00EF3FD3" w:rsidP="004B3C3B">
            <w:pPr>
              <w:pStyle w:val="Tabletext"/>
            </w:pPr>
            <w:r w:rsidRPr="004E7EA4">
              <w:lastRenderedPageBreak/>
              <w:t>5</w:t>
            </w:r>
            <w:r w:rsidR="004E7EA4" w:rsidRPr="004E7EA4">
              <w:t> </w:t>
            </w:r>
            <w:r w:rsidRPr="004E7EA4">
              <w:t>July 2013</w:t>
            </w:r>
          </w:p>
        </w:tc>
      </w:tr>
      <w:tr w:rsidR="00EF3FD3" w:rsidRPr="004E7EA4" w:rsidTr="004B3C3B">
        <w:tc>
          <w:tcPr>
            <w:tcW w:w="709" w:type="dxa"/>
            <w:shd w:val="clear" w:color="auto" w:fill="auto"/>
          </w:tcPr>
          <w:p w:rsidR="00EF3FD3" w:rsidRPr="004E7EA4" w:rsidRDefault="00EF3FD3" w:rsidP="004B3C3B">
            <w:pPr>
              <w:pStyle w:val="Tabletext"/>
            </w:pPr>
            <w:r w:rsidRPr="004E7EA4">
              <w:lastRenderedPageBreak/>
              <w:t>5</w:t>
            </w:r>
          </w:p>
        </w:tc>
        <w:tc>
          <w:tcPr>
            <w:tcW w:w="4536" w:type="dxa"/>
            <w:shd w:val="clear" w:color="auto" w:fill="auto"/>
          </w:tcPr>
          <w:p w:rsidR="00EF3FD3" w:rsidRPr="004E7EA4" w:rsidRDefault="00EF3FD3" w:rsidP="00F22479">
            <w:pPr>
              <w:pStyle w:val="Tabletext"/>
            </w:pPr>
            <w:r w:rsidRPr="004E7EA4">
              <w:t>The CPA Australia Limited Professional Standards Scheme, published in the New South Wales Government Gazette No.</w:t>
            </w:r>
            <w:r w:rsidR="004E7EA4" w:rsidRPr="004E7EA4">
              <w:t> </w:t>
            </w:r>
            <w:r w:rsidR="00F22479" w:rsidRPr="004E7EA4">
              <w:t>124</w:t>
            </w:r>
            <w:r w:rsidRPr="004E7EA4">
              <w:t>, 4</w:t>
            </w:r>
            <w:r w:rsidR="004E7EA4" w:rsidRPr="004E7EA4">
              <w:t> </w:t>
            </w:r>
            <w:r w:rsidRPr="004E7EA4">
              <w:t>October 2013 and amended by instrument published in the New South Wales Government Gazette No.</w:t>
            </w:r>
            <w:r w:rsidR="004E7EA4" w:rsidRPr="004E7EA4">
              <w:t> </w:t>
            </w:r>
            <w:r w:rsidRPr="004E7EA4">
              <w:t>13, 31</w:t>
            </w:r>
            <w:r w:rsidR="004E7EA4" w:rsidRPr="004E7EA4">
              <w:t> </w:t>
            </w:r>
            <w:r w:rsidRPr="004E7EA4">
              <w:t>January 2014</w:t>
            </w:r>
          </w:p>
        </w:tc>
        <w:tc>
          <w:tcPr>
            <w:tcW w:w="1985" w:type="dxa"/>
          </w:tcPr>
          <w:p w:rsidR="00EF3FD3" w:rsidRPr="004E7EA4" w:rsidRDefault="00EF3FD3" w:rsidP="004B3C3B">
            <w:pPr>
              <w:pStyle w:val="Tabletext"/>
            </w:pPr>
            <w:r w:rsidRPr="004E7EA4">
              <w:t>15</w:t>
            </w:r>
            <w:r w:rsidR="004E7EA4" w:rsidRPr="004E7EA4">
              <w:t> </w:t>
            </w:r>
            <w:r w:rsidRPr="004E7EA4">
              <w:t>March 2014</w:t>
            </w:r>
          </w:p>
        </w:tc>
      </w:tr>
      <w:tr w:rsidR="00EF3FD3" w:rsidRPr="004E7EA4" w:rsidTr="004B3C3B">
        <w:tc>
          <w:tcPr>
            <w:tcW w:w="709" w:type="dxa"/>
            <w:shd w:val="clear" w:color="auto" w:fill="auto"/>
          </w:tcPr>
          <w:p w:rsidR="00EF3FD3" w:rsidRPr="004E7EA4" w:rsidRDefault="00EF3FD3" w:rsidP="004B3C3B">
            <w:pPr>
              <w:pStyle w:val="Tabletext"/>
            </w:pPr>
            <w:r w:rsidRPr="004E7EA4">
              <w:t>6</w:t>
            </w:r>
          </w:p>
        </w:tc>
        <w:tc>
          <w:tcPr>
            <w:tcW w:w="4536" w:type="dxa"/>
            <w:shd w:val="clear" w:color="auto" w:fill="auto"/>
          </w:tcPr>
          <w:p w:rsidR="00EF3FD3" w:rsidRPr="004E7EA4" w:rsidRDefault="00EF3FD3" w:rsidP="004B3C3B">
            <w:pPr>
              <w:pStyle w:val="Tabletext"/>
            </w:pPr>
            <w:r w:rsidRPr="004E7EA4">
              <w:t>The Engineers Australia (NSW) Scheme, published in the New South Wales Government Gazette No.</w:t>
            </w:r>
            <w:r w:rsidR="004E7EA4" w:rsidRPr="004E7EA4">
              <w:t> </w:t>
            </w:r>
            <w:r w:rsidRPr="004E7EA4">
              <w:t>32, 16</w:t>
            </w:r>
            <w:r w:rsidR="004E7EA4" w:rsidRPr="004E7EA4">
              <w:t> </w:t>
            </w:r>
            <w:r w:rsidRPr="004E7EA4">
              <w:t>February 2007 and amended by instrument published in the New South Wales Government Gazette No.</w:t>
            </w:r>
            <w:r w:rsidR="004E7EA4" w:rsidRPr="004E7EA4">
              <w:t> </w:t>
            </w:r>
            <w:r w:rsidRPr="004E7EA4">
              <w:t>157, 12</w:t>
            </w:r>
            <w:r w:rsidR="004E7EA4" w:rsidRPr="004E7EA4">
              <w:t> </w:t>
            </w:r>
            <w:r w:rsidRPr="004E7EA4">
              <w:t>December 2008</w:t>
            </w:r>
          </w:p>
        </w:tc>
        <w:tc>
          <w:tcPr>
            <w:tcW w:w="1985" w:type="dxa"/>
          </w:tcPr>
          <w:p w:rsidR="00EF3FD3" w:rsidRPr="004E7EA4" w:rsidRDefault="00EF3FD3" w:rsidP="004B3C3B">
            <w:pPr>
              <w:pStyle w:val="Tabletext"/>
            </w:pPr>
            <w:r w:rsidRPr="004E7EA4">
              <w:t>13</w:t>
            </w:r>
            <w:r w:rsidR="004E7EA4" w:rsidRPr="004E7EA4">
              <w:t> </w:t>
            </w:r>
            <w:r w:rsidRPr="004E7EA4">
              <w:t>June 2009</w:t>
            </w:r>
          </w:p>
        </w:tc>
      </w:tr>
      <w:tr w:rsidR="00EF3FD3" w:rsidRPr="004E7EA4" w:rsidTr="004B3C3B">
        <w:tc>
          <w:tcPr>
            <w:tcW w:w="709" w:type="dxa"/>
            <w:shd w:val="clear" w:color="auto" w:fill="auto"/>
          </w:tcPr>
          <w:p w:rsidR="00EF3FD3" w:rsidRPr="004E7EA4" w:rsidRDefault="00EF3FD3" w:rsidP="004B3C3B">
            <w:pPr>
              <w:pStyle w:val="Tabletext"/>
            </w:pPr>
            <w:r w:rsidRPr="004E7EA4">
              <w:t>7</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(NSW), published in the New South Wales Government Gazette No.</w:t>
            </w:r>
            <w:r w:rsidR="004E7EA4" w:rsidRPr="004E7EA4">
              <w:t> </w:t>
            </w:r>
            <w:r w:rsidRPr="004E7EA4">
              <w:t>70, 22</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709" w:type="dxa"/>
            <w:shd w:val="clear" w:color="auto" w:fill="auto"/>
          </w:tcPr>
          <w:p w:rsidR="00EF3FD3" w:rsidRPr="004E7EA4" w:rsidRDefault="00EF3FD3" w:rsidP="004B3C3B">
            <w:pPr>
              <w:pStyle w:val="Tabletext"/>
            </w:pPr>
            <w:r w:rsidRPr="004E7EA4">
              <w:t>8</w:t>
            </w:r>
          </w:p>
        </w:tc>
        <w:tc>
          <w:tcPr>
            <w:tcW w:w="4536" w:type="dxa"/>
            <w:shd w:val="clear" w:color="auto" w:fill="auto"/>
          </w:tcPr>
          <w:p w:rsidR="00EF3FD3" w:rsidRPr="004E7EA4" w:rsidRDefault="00EF3FD3" w:rsidP="004B3C3B">
            <w:pPr>
              <w:pStyle w:val="Tabletext"/>
            </w:pPr>
            <w:r w:rsidRPr="004E7EA4">
              <w:t>The Law Society of New South Wales Scheme, published in the New South Wales Government Gazette No.</w:t>
            </w:r>
            <w:r w:rsidR="004E7EA4" w:rsidRPr="004E7EA4">
              <w:t> </w:t>
            </w:r>
            <w:r w:rsidRPr="004E7EA4">
              <w:t>78, 27</w:t>
            </w:r>
            <w:r w:rsidR="004E7EA4" w:rsidRPr="004E7EA4">
              <w:t> </w:t>
            </w:r>
            <w:r w:rsidRPr="004E7EA4">
              <w:t>July 2012</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709" w:type="dxa"/>
            <w:shd w:val="clear" w:color="auto" w:fill="auto"/>
          </w:tcPr>
          <w:p w:rsidR="00EF3FD3" w:rsidRPr="004E7EA4" w:rsidRDefault="00EF3FD3" w:rsidP="004B3C3B">
            <w:pPr>
              <w:pStyle w:val="Tabletext"/>
            </w:pPr>
            <w:r w:rsidRPr="004E7EA4">
              <w:t>9</w:t>
            </w:r>
          </w:p>
        </w:tc>
        <w:tc>
          <w:tcPr>
            <w:tcW w:w="4536" w:type="dxa"/>
            <w:shd w:val="clear" w:color="auto" w:fill="auto"/>
          </w:tcPr>
          <w:p w:rsidR="00EF3FD3" w:rsidRPr="004E7EA4" w:rsidRDefault="00EF3FD3" w:rsidP="004B3C3B">
            <w:pPr>
              <w:pStyle w:val="Tabletext"/>
            </w:pPr>
            <w:r w:rsidRPr="004E7EA4">
              <w:t>The New South Wales Bar Association Scheme, published in the New South Wales Government Gazette No.</w:t>
            </w:r>
            <w:r w:rsidR="004E7EA4" w:rsidRPr="004E7EA4">
              <w:t> </w:t>
            </w:r>
            <w:r w:rsidRPr="004E7EA4">
              <w:t>84, 25</w:t>
            </w:r>
            <w:r w:rsidR="004E7EA4" w:rsidRPr="004E7EA4">
              <w:t> </w:t>
            </w:r>
            <w:r w:rsidRPr="004E7EA4">
              <w:t>June 2010</w:t>
            </w:r>
          </w:p>
        </w:tc>
        <w:tc>
          <w:tcPr>
            <w:tcW w:w="1985" w:type="dxa"/>
          </w:tcPr>
          <w:p w:rsidR="00EF3FD3" w:rsidRPr="004E7EA4" w:rsidRDefault="00EF3FD3" w:rsidP="004B3C3B">
            <w:pPr>
              <w:pStyle w:val="Tabletext"/>
            </w:pPr>
            <w:r w:rsidRPr="004E7EA4">
              <w:t>14</w:t>
            </w:r>
            <w:r w:rsidR="004E7EA4" w:rsidRPr="004E7EA4">
              <w:t> </w:t>
            </w:r>
            <w:r w:rsidRPr="004E7EA4">
              <w:t>December 2010</w:t>
            </w:r>
          </w:p>
        </w:tc>
      </w:tr>
      <w:tr w:rsidR="00EF3FD3" w:rsidRPr="004E7EA4" w:rsidTr="004B3C3B">
        <w:tc>
          <w:tcPr>
            <w:tcW w:w="709" w:type="dxa"/>
            <w:shd w:val="clear" w:color="auto" w:fill="auto"/>
          </w:tcPr>
          <w:p w:rsidR="00EF3FD3" w:rsidRPr="004E7EA4" w:rsidRDefault="00EF3FD3" w:rsidP="004B3C3B">
            <w:pPr>
              <w:pStyle w:val="Tabletext"/>
            </w:pPr>
            <w:r w:rsidRPr="004E7EA4">
              <w:t>10</w:t>
            </w:r>
          </w:p>
        </w:tc>
        <w:tc>
          <w:tcPr>
            <w:tcW w:w="4536" w:type="dxa"/>
            <w:shd w:val="clear" w:color="auto" w:fill="auto"/>
          </w:tcPr>
          <w:p w:rsidR="00EF3FD3" w:rsidRPr="004E7EA4" w:rsidRDefault="00EF3FD3" w:rsidP="004B3C3B">
            <w:pPr>
              <w:pStyle w:val="Tabletext"/>
            </w:pPr>
            <w:r w:rsidRPr="004E7EA4">
              <w:t>The Professional Surveyors Occupational Association Scheme, published in the New South Wales Government Gazette No.</w:t>
            </w:r>
            <w:r w:rsidR="004E7EA4" w:rsidRPr="004E7EA4">
              <w:t> </w:t>
            </w:r>
            <w:r w:rsidRPr="004E7EA4">
              <w:t>147, 1</w:t>
            </w:r>
            <w:r w:rsidR="004E7EA4" w:rsidRPr="004E7EA4">
              <w:t> </w:t>
            </w:r>
            <w:r w:rsidRPr="004E7EA4">
              <w:t>November 2013</w:t>
            </w:r>
          </w:p>
        </w:tc>
        <w:tc>
          <w:tcPr>
            <w:tcW w:w="1985" w:type="dxa"/>
          </w:tcPr>
          <w:p w:rsidR="00EF3FD3" w:rsidRPr="004E7EA4" w:rsidRDefault="00EF3FD3" w:rsidP="004B3C3B">
            <w:pPr>
              <w:pStyle w:val="Tabletext"/>
            </w:pPr>
            <w:r w:rsidRPr="004E7EA4">
              <w:t>15</w:t>
            </w:r>
            <w:r w:rsidR="004E7EA4" w:rsidRPr="004E7EA4">
              <w:t> </w:t>
            </w:r>
            <w:r w:rsidRPr="004E7EA4">
              <w:t>March 2014</w:t>
            </w:r>
          </w:p>
        </w:tc>
      </w:tr>
      <w:tr w:rsidR="00EF3FD3" w:rsidRPr="004E7EA4" w:rsidTr="004B3C3B">
        <w:tc>
          <w:tcPr>
            <w:tcW w:w="709" w:type="dxa"/>
            <w:shd w:val="clear" w:color="auto" w:fill="auto"/>
          </w:tcPr>
          <w:p w:rsidR="00EF3FD3" w:rsidRPr="004E7EA4" w:rsidRDefault="00EF3FD3" w:rsidP="004B3C3B">
            <w:pPr>
              <w:pStyle w:val="Tabletext"/>
            </w:pPr>
            <w:r w:rsidRPr="004E7EA4">
              <w:t>11</w:t>
            </w:r>
          </w:p>
        </w:tc>
        <w:tc>
          <w:tcPr>
            <w:tcW w:w="4536" w:type="dxa"/>
            <w:shd w:val="clear" w:color="auto" w:fill="auto"/>
          </w:tcPr>
          <w:p w:rsidR="00EF3FD3" w:rsidRPr="004E7EA4" w:rsidRDefault="00EF3FD3" w:rsidP="004B3C3B">
            <w:pPr>
              <w:pStyle w:val="Tabletext"/>
            </w:pPr>
            <w:r w:rsidRPr="004E7EA4">
              <w:t xml:space="preserve">The </w:t>
            </w:r>
            <w:proofErr w:type="spellStart"/>
            <w:r w:rsidRPr="004E7EA4">
              <w:t>ATMA</w:t>
            </w:r>
            <w:proofErr w:type="spellEnd"/>
            <w:r w:rsidRPr="004E7EA4">
              <w:t xml:space="preserve"> Scheme, prepared by the Association of Taxation and Management Accountant</w:t>
            </w:r>
            <w:r w:rsidR="00F22479" w:rsidRPr="004E7EA4">
              <w:t>s and published in the Victoria</w:t>
            </w:r>
            <w:r w:rsidRPr="004E7EA4">
              <w:t xml:space="preserve"> Government Gazette No. S 361, 29</w:t>
            </w:r>
            <w:r w:rsidR="004E7EA4" w:rsidRPr="004E7EA4">
              <w:t> </w:t>
            </w:r>
            <w:r w:rsidRPr="004E7EA4">
              <w:t>October 2012</w:t>
            </w:r>
          </w:p>
        </w:tc>
        <w:tc>
          <w:tcPr>
            <w:tcW w:w="1985" w:type="dxa"/>
          </w:tcPr>
          <w:p w:rsidR="00EF3FD3" w:rsidRPr="004E7EA4" w:rsidRDefault="00EF3FD3" w:rsidP="004B3C3B">
            <w:pPr>
              <w:pStyle w:val="Tabletext"/>
            </w:pPr>
            <w:r w:rsidRPr="004E7EA4">
              <w:t>15</w:t>
            </w:r>
            <w:r w:rsidR="004E7EA4" w:rsidRPr="004E7EA4">
              <w:t> </w:t>
            </w:r>
            <w:r w:rsidRPr="004E7EA4">
              <w:t>February 2013</w:t>
            </w:r>
          </w:p>
        </w:tc>
      </w:tr>
      <w:tr w:rsidR="00EF3FD3" w:rsidRPr="004E7EA4" w:rsidTr="004B3C3B">
        <w:tc>
          <w:tcPr>
            <w:tcW w:w="709" w:type="dxa"/>
            <w:shd w:val="clear" w:color="auto" w:fill="auto"/>
          </w:tcPr>
          <w:p w:rsidR="00EF3FD3" w:rsidRPr="004E7EA4" w:rsidRDefault="00EF3FD3" w:rsidP="004B3C3B">
            <w:pPr>
              <w:pStyle w:val="Tabletext"/>
            </w:pPr>
            <w:r w:rsidRPr="004E7EA4">
              <w:t>12</w:t>
            </w:r>
          </w:p>
        </w:tc>
        <w:tc>
          <w:tcPr>
            <w:tcW w:w="4536" w:type="dxa"/>
            <w:shd w:val="clear" w:color="auto" w:fill="auto"/>
          </w:tcPr>
          <w:p w:rsidR="00EF3FD3" w:rsidRPr="004E7EA4" w:rsidRDefault="00EF3FD3" w:rsidP="004B3C3B">
            <w:pPr>
              <w:pStyle w:val="Tabletext"/>
            </w:pPr>
            <w:r w:rsidRPr="004E7EA4">
              <w:t>The Engineers Australia (Victoria) Sc</w:t>
            </w:r>
            <w:r w:rsidR="00F22479" w:rsidRPr="004E7EA4">
              <w:t>heme, published in the Victoria</w:t>
            </w:r>
            <w:r w:rsidRPr="004E7EA4">
              <w:t xml:space="preserve"> Government Gazette No. G 47, 19</w:t>
            </w:r>
            <w:r w:rsidR="004E7EA4" w:rsidRPr="004E7EA4">
              <w:t> </w:t>
            </w:r>
            <w:r w:rsidRPr="004E7EA4">
              <w:t>November 2009</w:t>
            </w:r>
          </w:p>
        </w:tc>
        <w:tc>
          <w:tcPr>
            <w:tcW w:w="1985" w:type="dxa"/>
          </w:tcPr>
          <w:p w:rsidR="00EF3FD3" w:rsidRPr="004E7EA4" w:rsidRDefault="00EF3FD3" w:rsidP="004B3C3B">
            <w:pPr>
              <w:pStyle w:val="Tabletext"/>
            </w:pPr>
            <w:r w:rsidRPr="004E7EA4">
              <w:t>8</w:t>
            </w:r>
            <w:r w:rsidR="004E7EA4" w:rsidRPr="004E7EA4">
              <w:t> </w:t>
            </w:r>
            <w:r w:rsidRPr="004E7EA4">
              <w:t>June 2010</w:t>
            </w:r>
          </w:p>
        </w:tc>
      </w:tr>
      <w:tr w:rsidR="00EF3FD3" w:rsidRPr="004E7EA4" w:rsidTr="004B3C3B">
        <w:tc>
          <w:tcPr>
            <w:tcW w:w="709" w:type="dxa"/>
            <w:shd w:val="clear" w:color="auto" w:fill="auto"/>
          </w:tcPr>
          <w:p w:rsidR="00EF3FD3" w:rsidRPr="004E7EA4" w:rsidRDefault="00EF3FD3" w:rsidP="004B3C3B">
            <w:pPr>
              <w:pStyle w:val="Tabletext"/>
            </w:pPr>
            <w:r w:rsidRPr="004E7EA4">
              <w:t>13</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(Victoria), published in the Victoria Government Gazette No. S 264, 5</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709" w:type="dxa"/>
            <w:shd w:val="clear" w:color="auto" w:fill="auto"/>
          </w:tcPr>
          <w:p w:rsidR="00EF3FD3" w:rsidRPr="004E7EA4" w:rsidRDefault="00EF3FD3" w:rsidP="004B3C3B">
            <w:pPr>
              <w:pStyle w:val="Tabletext"/>
            </w:pPr>
            <w:r w:rsidRPr="004E7EA4">
              <w:t>14</w:t>
            </w:r>
          </w:p>
        </w:tc>
        <w:tc>
          <w:tcPr>
            <w:tcW w:w="4536" w:type="dxa"/>
            <w:shd w:val="clear" w:color="auto" w:fill="auto"/>
          </w:tcPr>
          <w:p w:rsidR="00EF3FD3" w:rsidRPr="004E7EA4" w:rsidRDefault="00EF3FD3" w:rsidP="004B3C3B">
            <w:pPr>
              <w:pStyle w:val="Tabletext"/>
            </w:pPr>
            <w:r w:rsidRPr="004E7EA4">
              <w:t>The Law Institute of Victoria Limited Sc</w:t>
            </w:r>
            <w:r w:rsidR="00F22479" w:rsidRPr="004E7EA4">
              <w:t>heme, published in the Victoria</w:t>
            </w:r>
            <w:r w:rsidRPr="004E7EA4">
              <w:t xml:space="preserve"> Government Gazette No. G </w:t>
            </w:r>
            <w:r w:rsidRPr="004E7EA4">
              <w:lastRenderedPageBreak/>
              <w:t>10, 11</w:t>
            </w:r>
            <w:r w:rsidR="004E7EA4" w:rsidRPr="004E7EA4">
              <w:t> </w:t>
            </w:r>
            <w:r w:rsidRPr="004E7EA4">
              <w:t>March 2010, and the following modifications:</w:t>
            </w:r>
          </w:p>
          <w:p w:rsidR="00EF3FD3" w:rsidRPr="004E7EA4" w:rsidRDefault="00EF3FD3" w:rsidP="004B3C3B">
            <w:pPr>
              <w:pStyle w:val="Tablea"/>
            </w:pPr>
            <w:r w:rsidRPr="004E7EA4">
              <w:t>(a) the amendments made by instr</w:t>
            </w:r>
            <w:r w:rsidR="00F22479" w:rsidRPr="004E7EA4">
              <w:t>ument published in the Victoria</w:t>
            </w:r>
            <w:r w:rsidRPr="004E7EA4">
              <w:t xml:space="preserve"> Government Gazette No. S 164, 1</w:t>
            </w:r>
            <w:r w:rsidR="004E7EA4" w:rsidRPr="004E7EA4">
              <w:t> </w:t>
            </w:r>
            <w:r w:rsidRPr="004E7EA4">
              <w:t>May 2013;</w:t>
            </w:r>
          </w:p>
          <w:p w:rsidR="00EF3FD3" w:rsidRPr="004E7EA4" w:rsidRDefault="00EF3FD3" w:rsidP="004B3C3B">
            <w:pPr>
              <w:pStyle w:val="Tablea"/>
            </w:pPr>
            <w:r w:rsidRPr="004E7EA4">
              <w:t>(b) the amendments made by instr</w:t>
            </w:r>
            <w:r w:rsidR="00F22479" w:rsidRPr="004E7EA4">
              <w:t>ument published in the Victoria</w:t>
            </w:r>
            <w:r w:rsidRPr="004E7EA4">
              <w:t xml:space="preserve"> Government Gazette No. G 36, 5</w:t>
            </w:r>
            <w:r w:rsidR="004E7EA4" w:rsidRPr="004E7EA4">
              <w:t> </w:t>
            </w:r>
            <w:r w:rsidRPr="004E7EA4">
              <w:t>September 2013</w:t>
            </w:r>
          </w:p>
        </w:tc>
        <w:tc>
          <w:tcPr>
            <w:tcW w:w="1985" w:type="dxa"/>
          </w:tcPr>
          <w:p w:rsidR="00EF3FD3" w:rsidRPr="004E7EA4" w:rsidRDefault="00EF3FD3" w:rsidP="004B3C3B">
            <w:pPr>
              <w:pStyle w:val="Tabletext"/>
            </w:pPr>
            <w:r w:rsidRPr="004E7EA4">
              <w:lastRenderedPageBreak/>
              <w:t>The scheme—1</w:t>
            </w:r>
            <w:r w:rsidR="004E7EA4" w:rsidRPr="004E7EA4">
              <w:t> </w:t>
            </w:r>
            <w:r w:rsidR="00F22479" w:rsidRPr="004E7EA4">
              <w:t>July 2010</w:t>
            </w:r>
          </w:p>
          <w:p w:rsidR="00EF3FD3" w:rsidRPr="004E7EA4" w:rsidRDefault="00EF3FD3" w:rsidP="004B3C3B">
            <w:pPr>
              <w:pStyle w:val="Tabletext"/>
            </w:pPr>
            <w:r w:rsidRPr="004E7EA4">
              <w:lastRenderedPageBreak/>
              <w:t>The amendments mentioned in:</w:t>
            </w:r>
          </w:p>
          <w:p w:rsidR="00EF3FD3" w:rsidRPr="004E7EA4" w:rsidRDefault="00EF3FD3" w:rsidP="004B3C3B">
            <w:pPr>
              <w:pStyle w:val="Tablea"/>
            </w:pPr>
            <w:r w:rsidRPr="004E7EA4">
              <w:t xml:space="preserve">(a) </w:t>
            </w:r>
            <w:r w:rsidR="004E7EA4" w:rsidRPr="004E7EA4">
              <w:t>paragraph (</w:t>
            </w:r>
            <w:r w:rsidRPr="004E7EA4">
              <w:t>a) of column 1 of this item—15</w:t>
            </w:r>
            <w:r w:rsidR="004E7EA4" w:rsidRPr="004E7EA4">
              <w:t> </w:t>
            </w:r>
            <w:r w:rsidRPr="004E7EA4">
              <w:t>March 2014; and</w:t>
            </w:r>
          </w:p>
          <w:p w:rsidR="00EF3FD3" w:rsidRPr="004E7EA4" w:rsidRDefault="00EF3FD3" w:rsidP="004B3C3B">
            <w:pPr>
              <w:pStyle w:val="Tablea"/>
            </w:pPr>
            <w:r w:rsidRPr="004E7EA4">
              <w:t xml:space="preserve">(b) </w:t>
            </w:r>
            <w:r w:rsidR="004E7EA4" w:rsidRPr="004E7EA4">
              <w:t>paragraph (</w:t>
            </w:r>
            <w:r w:rsidRPr="004E7EA4">
              <w:t>b) of column 1 of this item—15</w:t>
            </w:r>
            <w:r w:rsidR="004E7EA4" w:rsidRPr="004E7EA4">
              <w:t> </w:t>
            </w:r>
            <w:r w:rsidRPr="004E7EA4">
              <w:t>March 2014</w:t>
            </w:r>
          </w:p>
        </w:tc>
      </w:tr>
      <w:tr w:rsidR="00EF3FD3" w:rsidRPr="004E7EA4" w:rsidTr="004B3C3B">
        <w:tc>
          <w:tcPr>
            <w:tcW w:w="709" w:type="dxa"/>
            <w:shd w:val="clear" w:color="auto" w:fill="auto"/>
          </w:tcPr>
          <w:p w:rsidR="00EF3FD3" w:rsidRPr="004E7EA4" w:rsidRDefault="00EF3FD3" w:rsidP="004B3C3B">
            <w:pPr>
              <w:pStyle w:val="Tabletext"/>
            </w:pPr>
            <w:r w:rsidRPr="004E7EA4">
              <w:lastRenderedPageBreak/>
              <w:t>15</w:t>
            </w:r>
          </w:p>
        </w:tc>
        <w:tc>
          <w:tcPr>
            <w:tcW w:w="4536" w:type="dxa"/>
            <w:shd w:val="clear" w:color="auto" w:fill="auto"/>
          </w:tcPr>
          <w:p w:rsidR="00EF3FD3" w:rsidRPr="004E7EA4" w:rsidRDefault="00EF3FD3" w:rsidP="00764550">
            <w:pPr>
              <w:pStyle w:val="Tabletext"/>
            </w:pPr>
            <w:r w:rsidRPr="004E7EA4">
              <w:t>The Victorian Bar Professional Standards Sc</w:t>
            </w:r>
            <w:r w:rsidR="00F22479" w:rsidRPr="004E7EA4">
              <w:t>heme, published in the Victoria</w:t>
            </w:r>
            <w:r w:rsidRPr="004E7EA4">
              <w:t xml:space="preserve"> Government Gazette No. S 134, 24</w:t>
            </w:r>
            <w:r w:rsidR="004E7EA4" w:rsidRPr="004E7EA4">
              <w:t> </w:t>
            </w:r>
            <w:r w:rsidRPr="004E7EA4">
              <w:t>April 2014</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709" w:type="dxa"/>
            <w:shd w:val="clear" w:color="auto" w:fill="auto"/>
          </w:tcPr>
          <w:p w:rsidR="00EF3FD3" w:rsidRPr="004E7EA4" w:rsidRDefault="00EF3FD3" w:rsidP="004B3C3B">
            <w:pPr>
              <w:pStyle w:val="Tabletext"/>
            </w:pPr>
            <w:r w:rsidRPr="004E7EA4">
              <w:t>16</w:t>
            </w:r>
          </w:p>
        </w:tc>
        <w:tc>
          <w:tcPr>
            <w:tcW w:w="4536" w:type="dxa"/>
            <w:shd w:val="clear" w:color="auto" w:fill="auto"/>
          </w:tcPr>
          <w:p w:rsidR="00EF3FD3" w:rsidRPr="004E7EA4" w:rsidRDefault="00EF3FD3" w:rsidP="004B3C3B">
            <w:pPr>
              <w:pStyle w:val="Tabletext"/>
            </w:pPr>
            <w:r w:rsidRPr="004E7EA4">
              <w:t>The Bar Association of Queensland Scheme, published in the Queensland Government Gazette No.</w:t>
            </w:r>
            <w:r w:rsidR="004E7EA4" w:rsidRPr="004E7EA4">
              <w:t> </w:t>
            </w:r>
            <w:r w:rsidRPr="004E7EA4">
              <w:t>40, 24</w:t>
            </w:r>
            <w:r w:rsidR="004E7EA4" w:rsidRPr="004E7EA4">
              <w:t> </w:t>
            </w:r>
            <w:r w:rsidRPr="004E7EA4">
              <w:t>June 2013</w:t>
            </w:r>
          </w:p>
        </w:tc>
        <w:tc>
          <w:tcPr>
            <w:tcW w:w="1985" w:type="dxa"/>
          </w:tcPr>
          <w:p w:rsidR="00EF3FD3" w:rsidRPr="004E7EA4" w:rsidRDefault="00EF3FD3" w:rsidP="004B3C3B">
            <w:pPr>
              <w:pStyle w:val="Tabletext"/>
            </w:pPr>
            <w:r w:rsidRPr="004E7EA4">
              <w:t>15</w:t>
            </w:r>
            <w:r w:rsidR="004E7EA4" w:rsidRPr="004E7EA4">
              <w:t> </w:t>
            </w:r>
            <w:r w:rsidRPr="004E7EA4">
              <w:t>March 2014</w:t>
            </w:r>
          </w:p>
        </w:tc>
      </w:tr>
      <w:tr w:rsidR="00EF3FD3" w:rsidRPr="004E7EA4" w:rsidTr="004B3C3B">
        <w:tc>
          <w:tcPr>
            <w:tcW w:w="709" w:type="dxa"/>
            <w:shd w:val="clear" w:color="auto" w:fill="auto"/>
          </w:tcPr>
          <w:p w:rsidR="00EF3FD3" w:rsidRPr="004E7EA4" w:rsidRDefault="00EF3FD3" w:rsidP="004B3C3B">
            <w:pPr>
              <w:pStyle w:val="Tabletext"/>
            </w:pPr>
            <w:r w:rsidRPr="004E7EA4">
              <w:t>17</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(Queensland), notified by the Queensland Government on 29</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709" w:type="dxa"/>
            <w:shd w:val="clear" w:color="auto" w:fill="auto"/>
          </w:tcPr>
          <w:p w:rsidR="00EF3FD3" w:rsidRPr="004E7EA4" w:rsidRDefault="00EF3FD3" w:rsidP="004B3C3B">
            <w:pPr>
              <w:pStyle w:val="Tabletext"/>
            </w:pPr>
            <w:r w:rsidRPr="004E7EA4">
              <w:t>18</w:t>
            </w:r>
          </w:p>
        </w:tc>
        <w:tc>
          <w:tcPr>
            <w:tcW w:w="4536" w:type="dxa"/>
            <w:shd w:val="clear" w:color="auto" w:fill="auto"/>
          </w:tcPr>
          <w:p w:rsidR="00EF3FD3" w:rsidRPr="004E7EA4" w:rsidRDefault="00EF3FD3" w:rsidP="004B3C3B">
            <w:pPr>
              <w:pStyle w:val="Tabletext"/>
            </w:pPr>
            <w:r w:rsidRPr="004E7EA4">
              <w:t>The Institution of Engineers Australia (Queensland) Scheme, published in the Queensland Government Gazette No.</w:t>
            </w:r>
            <w:r w:rsidR="004E7EA4" w:rsidRPr="004E7EA4">
              <w:t> </w:t>
            </w:r>
            <w:r w:rsidRPr="004E7EA4">
              <w:t>111, 19</w:t>
            </w:r>
            <w:r w:rsidR="004E7EA4" w:rsidRPr="004E7EA4">
              <w:t> </w:t>
            </w:r>
            <w:r w:rsidRPr="004E7EA4">
              <w:t>December 2008</w:t>
            </w:r>
          </w:p>
        </w:tc>
        <w:tc>
          <w:tcPr>
            <w:tcW w:w="1985" w:type="dxa"/>
          </w:tcPr>
          <w:p w:rsidR="00EF3FD3" w:rsidRPr="004E7EA4" w:rsidRDefault="00EF3FD3" w:rsidP="004B3C3B">
            <w:pPr>
              <w:pStyle w:val="Tabletext"/>
            </w:pPr>
            <w:r w:rsidRPr="004E7EA4">
              <w:t>13</w:t>
            </w:r>
            <w:r w:rsidR="004E7EA4" w:rsidRPr="004E7EA4">
              <w:t> </w:t>
            </w:r>
            <w:r w:rsidRPr="004E7EA4">
              <w:t>June 2009</w:t>
            </w:r>
          </w:p>
        </w:tc>
      </w:tr>
      <w:tr w:rsidR="00EF3FD3" w:rsidRPr="004E7EA4" w:rsidTr="004B3C3B">
        <w:tc>
          <w:tcPr>
            <w:tcW w:w="709" w:type="dxa"/>
            <w:shd w:val="clear" w:color="auto" w:fill="auto"/>
          </w:tcPr>
          <w:p w:rsidR="00EF3FD3" w:rsidRPr="004E7EA4" w:rsidRDefault="00EF3FD3" w:rsidP="004B3C3B">
            <w:pPr>
              <w:pStyle w:val="Tabletext"/>
            </w:pPr>
            <w:r w:rsidRPr="004E7EA4">
              <w:t>19</w:t>
            </w:r>
          </w:p>
        </w:tc>
        <w:tc>
          <w:tcPr>
            <w:tcW w:w="4536" w:type="dxa"/>
            <w:shd w:val="clear" w:color="auto" w:fill="auto"/>
          </w:tcPr>
          <w:p w:rsidR="00EF3FD3" w:rsidRPr="004E7EA4" w:rsidRDefault="00EF3FD3" w:rsidP="004B3C3B">
            <w:pPr>
              <w:pStyle w:val="Tabletext"/>
            </w:pPr>
            <w:r w:rsidRPr="004E7EA4">
              <w:t>The Queensland Law Society Scheme, published in the Queensland Government Gazette No.</w:t>
            </w:r>
            <w:r w:rsidR="004E7EA4" w:rsidRPr="004E7EA4">
              <w:t> </w:t>
            </w:r>
            <w:r w:rsidRPr="004E7EA4">
              <w:t>64, 25</w:t>
            </w:r>
            <w:r w:rsidR="004E7EA4" w:rsidRPr="004E7EA4">
              <w:t> </w:t>
            </w:r>
            <w:r w:rsidRPr="004E7EA4">
              <w:t>June 2010</w:t>
            </w:r>
          </w:p>
        </w:tc>
        <w:tc>
          <w:tcPr>
            <w:tcW w:w="1985" w:type="dxa"/>
          </w:tcPr>
          <w:p w:rsidR="00EF3FD3" w:rsidRPr="004E7EA4" w:rsidRDefault="00EF3FD3" w:rsidP="004B3C3B">
            <w:pPr>
              <w:pStyle w:val="Tabletext"/>
            </w:pPr>
            <w:r w:rsidRPr="004E7EA4">
              <w:t>14</w:t>
            </w:r>
            <w:r w:rsidR="004E7EA4" w:rsidRPr="004E7EA4">
              <w:t> </w:t>
            </w:r>
            <w:r w:rsidRPr="004E7EA4">
              <w:t>December 2010</w:t>
            </w:r>
          </w:p>
        </w:tc>
      </w:tr>
      <w:tr w:rsidR="00EF3FD3" w:rsidRPr="004E7EA4" w:rsidTr="004B3C3B">
        <w:tc>
          <w:tcPr>
            <w:tcW w:w="709" w:type="dxa"/>
            <w:shd w:val="clear" w:color="auto" w:fill="auto"/>
          </w:tcPr>
          <w:p w:rsidR="00EF3FD3" w:rsidRPr="004E7EA4" w:rsidRDefault="00EF3FD3" w:rsidP="004B3C3B">
            <w:pPr>
              <w:pStyle w:val="Tabletext"/>
            </w:pPr>
            <w:r w:rsidRPr="004E7EA4">
              <w:t>20</w:t>
            </w:r>
          </w:p>
        </w:tc>
        <w:tc>
          <w:tcPr>
            <w:tcW w:w="4536" w:type="dxa"/>
            <w:shd w:val="clear" w:color="auto" w:fill="auto"/>
          </w:tcPr>
          <w:p w:rsidR="00EF3FD3" w:rsidRPr="004E7EA4" w:rsidRDefault="00EF3FD3" w:rsidP="004B3C3B">
            <w:pPr>
              <w:pStyle w:val="Tabletext"/>
            </w:pPr>
            <w:r w:rsidRPr="004E7EA4">
              <w:t>The Engineers Australia Western Australia Scheme, published in the Western Australian Government Gazette No.</w:t>
            </w:r>
            <w:r w:rsidR="004E7EA4" w:rsidRPr="004E7EA4">
              <w:t> </w:t>
            </w:r>
            <w:r w:rsidRPr="004E7EA4">
              <w:t>207, 9</w:t>
            </w:r>
            <w:r w:rsidR="004E7EA4" w:rsidRPr="004E7EA4">
              <w:t> </w:t>
            </w:r>
            <w:r w:rsidRPr="004E7EA4">
              <w:t>December 2008</w:t>
            </w:r>
          </w:p>
        </w:tc>
        <w:tc>
          <w:tcPr>
            <w:tcW w:w="1985" w:type="dxa"/>
          </w:tcPr>
          <w:p w:rsidR="00EF3FD3" w:rsidRPr="004E7EA4" w:rsidRDefault="00EF3FD3" w:rsidP="004B3C3B">
            <w:pPr>
              <w:pStyle w:val="Tabletext"/>
            </w:pPr>
            <w:r w:rsidRPr="004E7EA4">
              <w:t>13</w:t>
            </w:r>
            <w:r w:rsidR="004E7EA4" w:rsidRPr="004E7EA4">
              <w:t> </w:t>
            </w:r>
            <w:r w:rsidRPr="004E7EA4">
              <w:t>June 2009</w:t>
            </w:r>
          </w:p>
        </w:tc>
      </w:tr>
      <w:tr w:rsidR="00EF3FD3" w:rsidRPr="004E7EA4" w:rsidTr="004B3C3B">
        <w:tc>
          <w:tcPr>
            <w:tcW w:w="709" w:type="dxa"/>
            <w:shd w:val="clear" w:color="auto" w:fill="auto"/>
          </w:tcPr>
          <w:p w:rsidR="00EF3FD3" w:rsidRPr="004E7EA4" w:rsidRDefault="00EF3FD3" w:rsidP="004B3C3B">
            <w:pPr>
              <w:pStyle w:val="Tabletext"/>
            </w:pPr>
            <w:r w:rsidRPr="004E7EA4">
              <w:t>21</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(WA), published in the Western Australian Government Gazette No.</w:t>
            </w:r>
            <w:r w:rsidR="004E7EA4" w:rsidRPr="004E7EA4">
              <w:t> </w:t>
            </w:r>
            <w:r w:rsidRPr="004E7EA4">
              <w:t>122, 8</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709" w:type="dxa"/>
            <w:shd w:val="clear" w:color="auto" w:fill="auto"/>
          </w:tcPr>
          <w:p w:rsidR="00EF3FD3" w:rsidRPr="004E7EA4" w:rsidRDefault="00EF3FD3" w:rsidP="004B3C3B">
            <w:pPr>
              <w:pStyle w:val="Tabletext"/>
            </w:pPr>
            <w:r w:rsidRPr="004E7EA4">
              <w:t>22</w:t>
            </w:r>
          </w:p>
        </w:tc>
        <w:tc>
          <w:tcPr>
            <w:tcW w:w="4536" w:type="dxa"/>
            <w:shd w:val="clear" w:color="auto" w:fill="auto"/>
          </w:tcPr>
          <w:p w:rsidR="00EF3FD3" w:rsidRPr="004E7EA4" w:rsidRDefault="00EF3FD3" w:rsidP="004B3C3B">
            <w:pPr>
              <w:pStyle w:val="Tabletext"/>
            </w:pPr>
            <w:r w:rsidRPr="004E7EA4">
              <w:t>The Law Society of Western Australia Scheme, published in the Western Australian Government Gazette No.</w:t>
            </w:r>
            <w:r w:rsidR="004E7EA4" w:rsidRPr="004E7EA4">
              <w:t> </w:t>
            </w:r>
            <w:r w:rsidRPr="004E7EA4">
              <w:t>54, 11</w:t>
            </w:r>
            <w:r w:rsidR="004E7EA4" w:rsidRPr="004E7EA4">
              <w:t> </w:t>
            </w:r>
            <w:r w:rsidRPr="004E7EA4">
              <w:t>April 2014</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709" w:type="dxa"/>
            <w:shd w:val="clear" w:color="auto" w:fill="auto"/>
          </w:tcPr>
          <w:p w:rsidR="00EF3FD3" w:rsidRPr="004E7EA4" w:rsidRDefault="00EF3FD3" w:rsidP="004B3C3B">
            <w:pPr>
              <w:pStyle w:val="Tabletext"/>
            </w:pPr>
            <w:r w:rsidRPr="004E7EA4">
              <w:t>23</w:t>
            </w:r>
          </w:p>
        </w:tc>
        <w:tc>
          <w:tcPr>
            <w:tcW w:w="4536" w:type="dxa"/>
            <w:shd w:val="clear" w:color="auto" w:fill="auto"/>
          </w:tcPr>
          <w:p w:rsidR="00EF3FD3" w:rsidRPr="004E7EA4" w:rsidRDefault="00EF3FD3" w:rsidP="004B3C3B">
            <w:pPr>
              <w:pStyle w:val="Tabletext"/>
            </w:pPr>
            <w:r w:rsidRPr="004E7EA4">
              <w:t xml:space="preserve">The Western Australian Bar Association Scheme, </w:t>
            </w:r>
            <w:r w:rsidRPr="004E7EA4">
              <w:lastRenderedPageBreak/>
              <w:t>published in the Western Australian Government Gazette No.</w:t>
            </w:r>
            <w:r w:rsidR="004E7EA4" w:rsidRPr="004E7EA4">
              <w:t> </w:t>
            </w:r>
            <w:r w:rsidRPr="004E7EA4">
              <w:t>57, 17</w:t>
            </w:r>
            <w:r w:rsidR="004E7EA4" w:rsidRPr="004E7EA4">
              <w:t> </w:t>
            </w:r>
            <w:r w:rsidRPr="004E7EA4">
              <w:t>April 2014</w:t>
            </w:r>
          </w:p>
        </w:tc>
        <w:tc>
          <w:tcPr>
            <w:tcW w:w="1985" w:type="dxa"/>
          </w:tcPr>
          <w:p w:rsidR="00EF3FD3" w:rsidRPr="004E7EA4" w:rsidRDefault="00EF3FD3" w:rsidP="004B3C3B">
            <w:pPr>
              <w:pStyle w:val="Tabletext"/>
            </w:pPr>
            <w:r w:rsidRPr="004E7EA4">
              <w:lastRenderedPageBreak/>
              <w:t>14</w:t>
            </w:r>
            <w:r w:rsidR="004E7EA4" w:rsidRPr="004E7EA4">
              <w:t> </w:t>
            </w:r>
            <w:r w:rsidRPr="004E7EA4">
              <w:t>June 2014</w:t>
            </w:r>
          </w:p>
        </w:tc>
      </w:tr>
      <w:tr w:rsidR="00EF3FD3" w:rsidRPr="004E7EA4" w:rsidTr="004B3C3B">
        <w:tc>
          <w:tcPr>
            <w:tcW w:w="709" w:type="dxa"/>
            <w:shd w:val="clear" w:color="auto" w:fill="auto"/>
          </w:tcPr>
          <w:p w:rsidR="00EF3FD3" w:rsidRPr="004E7EA4" w:rsidRDefault="00EF3FD3" w:rsidP="004B3C3B">
            <w:pPr>
              <w:pStyle w:val="Tabletext"/>
            </w:pPr>
            <w:r w:rsidRPr="004E7EA4">
              <w:lastRenderedPageBreak/>
              <w:t>24</w:t>
            </w:r>
          </w:p>
        </w:tc>
        <w:tc>
          <w:tcPr>
            <w:tcW w:w="4536" w:type="dxa"/>
            <w:shd w:val="clear" w:color="auto" w:fill="auto"/>
          </w:tcPr>
          <w:p w:rsidR="00EF3FD3" w:rsidRPr="004E7EA4" w:rsidRDefault="00EF3FD3" w:rsidP="004B3C3B">
            <w:pPr>
              <w:pStyle w:val="Tabletext"/>
            </w:pPr>
            <w:r w:rsidRPr="004E7EA4">
              <w:t>The Engineers Australia South Australia Scheme, published in the South Australian Government Gazette No.</w:t>
            </w:r>
            <w:r w:rsidR="004E7EA4" w:rsidRPr="004E7EA4">
              <w:t> </w:t>
            </w:r>
            <w:r w:rsidRPr="004E7EA4">
              <w:t>59, 20</w:t>
            </w:r>
            <w:r w:rsidR="004E7EA4" w:rsidRPr="004E7EA4">
              <w:t> </w:t>
            </w:r>
            <w:r w:rsidRPr="004E7EA4">
              <w:t>August 2009</w:t>
            </w:r>
          </w:p>
        </w:tc>
        <w:tc>
          <w:tcPr>
            <w:tcW w:w="1985" w:type="dxa"/>
          </w:tcPr>
          <w:p w:rsidR="00EF3FD3" w:rsidRPr="004E7EA4" w:rsidRDefault="00EF3FD3" w:rsidP="004B3C3B">
            <w:pPr>
              <w:pStyle w:val="Tabletext"/>
            </w:pPr>
            <w:r w:rsidRPr="004E7EA4">
              <w:t>8</w:t>
            </w:r>
            <w:r w:rsidR="004E7EA4" w:rsidRPr="004E7EA4">
              <w:t> </w:t>
            </w:r>
            <w:r w:rsidRPr="004E7EA4">
              <w:t>June 2010</w:t>
            </w:r>
          </w:p>
        </w:tc>
      </w:tr>
      <w:tr w:rsidR="00EF3FD3" w:rsidRPr="004E7EA4" w:rsidTr="004B3C3B">
        <w:tc>
          <w:tcPr>
            <w:tcW w:w="709" w:type="dxa"/>
            <w:shd w:val="clear" w:color="auto" w:fill="auto"/>
          </w:tcPr>
          <w:p w:rsidR="00EF3FD3" w:rsidRPr="004E7EA4" w:rsidRDefault="00EF3FD3" w:rsidP="004B3C3B">
            <w:pPr>
              <w:pStyle w:val="Tabletext"/>
            </w:pPr>
            <w:r w:rsidRPr="004E7EA4">
              <w:t>25</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(SA), published in the South Australian Government Gazette No.</w:t>
            </w:r>
            <w:r w:rsidR="004E7EA4" w:rsidRPr="004E7EA4">
              <w:t> </w:t>
            </w:r>
            <w:r w:rsidRPr="004E7EA4">
              <w:t>63, 21</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709" w:type="dxa"/>
            <w:shd w:val="clear" w:color="auto" w:fill="auto"/>
          </w:tcPr>
          <w:p w:rsidR="00EF3FD3" w:rsidRPr="004E7EA4" w:rsidRDefault="00EF3FD3" w:rsidP="004B3C3B">
            <w:pPr>
              <w:pStyle w:val="Tabletext"/>
            </w:pPr>
            <w:r w:rsidRPr="004E7EA4">
              <w:t>26</w:t>
            </w:r>
          </w:p>
        </w:tc>
        <w:tc>
          <w:tcPr>
            <w:tcW w:w="4536" w:type="dxa"/>
            <w:shd w:val="clear" w:color="auto" w:fill="auto"/>
          </w:tcPr>
          <w:p w:rsidR="00EF3FD3" w:rsidRPr="004E7EA4" w:rsidRDefault="00EF3FD3" w:rsidP="004B3C3B">
            <w:pPr>
              <w:pStyle w:val="Tabletext"/>
            </w:pPr>
            <w:r w:rsidRPr="004E7EA4">
              <w:t>The Law Society of South Australia Professional Standards Scheme, published in the South Australian Government Gazette No.</w:t>
            </w:r>
            <w:r w:rsidR="004E7EA4" w:rsidRPr="004E7EA4">
              <w:t> </w:t>
            </w:r>
            <w:r w:rsidRPr="004E7EA4">
              <w:t>76, 3</w:t>
            </w:r>
            <w:r w:rsidR="004E7EA4" w:rsidRPr="004E7EA4">
              <w:t> </w:t>
            </w:r>
            <w:r w:rsidRPr="004E7EA4">
              <w:t>November 2011</w:t>
            </w:r>
          </w:p>
        </w:tc>
        <w:tc>
          <w:tcPr>
            <w:tcW w:w="1985" w:type="dxa"/>
          </w:tcPr>
          <w:p w:rsidR="00EF3FD3" w:rsidRPr="004E7EA4" w:rsidRDefault="00EF3FD3" w:rsidP="004B3C3B">
            <w:pPr>
              <w:pStyle w:val="Tabletext"/>
            </w:pPr>
            <w:r w:rsidRPr="004E7EA4">
              <w:t>1</w:t>
            </w:r>
            <w:r w:rsidR="004E7EA4" w:rsidRPr="004E7EA4">
              <w:t> </w:t>
            </w:r>
            <w:r w:rsidRPr="004E7EA4">
              <w:t>January 2012</w:t>
            </w:r>
          </w:p>
        </w:tc>
      </w:tr>
      <w:tr w:rsidR="00EF3FD3" w:rsidRPr="004E7EA4" w:rsidTr="004B3C3B">
        <w:tc>
          <w:tcPr>
            <w:tcW w:w="709" w:type="dxa"/>
            <w:shd w:val="clear" w:color="auto" w:fill="auto"/>
          </w:tcPr>
          <w:p w:rsidR="00EF3FD3" w:rsidRPr="004E7EA4" w:rsidRDefault="00EF3FD3" w:rsidP="004B3C3B">
            <w:pPr>
              <w:pStyle w:val="Tabletext"/>
            </w:pPr>
            <w:r w:rsidRPr="004E7EA4">
              <w:t>27</w:t>
            </w:r>
          </w:p>
        </w:tc>
        <w:tc>
          <w:tcPr>
            <w:tcW w:w="4536" w:type="dxa"/>
            <w:shd w:val="clear" w:color="auto" w:fill="auto"/>
          </w:tcPr>
          <w:p w:rsidR="00EF3FD3" w:rsidRPr="004E7EA4" w:rsidRDefault="00EF3FD3" w:rsidP="00F22479">
            <w:pPr>
              <w:pStyle w:val="Tabletext"/>
            </w:pPr>
            <w:r w:rsidRPr="004E7EA4">
              <w:t xml:space="preserve">The South Australian Bar Association </w:t>
            </w:r>
            <w:proofErr w:type="spellStart"/>
            <w:r w:rsidRPr="004E7EA4">
              <w:t>Inc</w:t>
            </w:r>
            <w:proofErr w:type="spellEnd"/>
            <w:r w:rsidRPr="004E7EA4">
              <w:t xml:space="preserve"> Scheme, published in the South Australian Government Gazette No.</w:t>
            </w:r>
            <w:r w:rsidR="004E7EA4" w:rsidRPr="004E7EA4">
              <w:t> </w:t>
            </w:r>
            <w:r w:rsidRPr="004E7EA4">
              <w:t>76, 3</w:t>
            </w:r>
            <w:r w:rsidR="004E7EA4" w:rsidRPr="004E7EA4">
              <w:t> </w:t>
            </w:r>
            <w:r w:rsidRPr="004E7EA4">
              <w:t>November 2011</w:t>
            </w:r>
          </w:p>
        </w:tc>
        <w:tc>
          <w:tcPr>
            <w:tcW w:w="1985" w:type="dxa"/>
          </w:tcPr>
          <w:p w:rsidR="00EF3FD3" w:rsidRPr="004E7EA4" w:rsidRDefault="00EF3FD3" w:rsidP="004B3C3B">
            <w:pPr>
              <w:pStyle w:val="Tabletext"/>
            </w:pPr>
            <w:r w:rsidRPr="004E7EA4">
              <w:t>1</w:t>
            </w:r>
            <w:r w:rsidR="004E7EA4" w:rsidRPr="004E7EA4">
              <w:t> </w:t>
            </w:r>
            <w:r w:rsidRPr="004E7EA4">
              <w:t>January 2012</w:t>
            </w:r>
          </w:p>
        </w:tc>
      </w:tr>
      <w:tr w:rsidR="00EF3FD3" w:rsidRPr="004E7EA4" w:rsidTr="004B3C3B">
        <w:tc>
          <w:tcPr>
            <w:tcW w:w="709" w:type="dxa"/>
            <w:shd w:val="clear" w:color="auto" w:fill="auto"/>
          </w:tcPr>
          <w:p w:rsidR="00EF3FD3" w:rsidRPr="004E7EA4" w:rsidRDefault="00EF3FD3" w:rsidP="004B3C3B">
            <w:pPr>
              <w:pStyle w:val="Tabletext"/>
            </w:pPr>
            <w:r w:rsidRPr="004E7EA4">
              <w:t>28</w:t>
            </w:r>
          </w:p>
        </w:tc>
        <w:tc>
          <w:tcPr>
            <w:tcW w:w="4536" w:type="dxa"/>
            <w:shd w:val="clear" w:color="auto" w:fill="auto"/>
          </w:tcPr>
          <w:p w:rsidR="00EF3FD3" w:rsidRPr="004E7EA4" w:rsidRDefault="00EF3FD3" w:rsidP="004B3C3B">
            <w:pPr>
              <w:pStyle w:val="Tabletext"/>
            </w:pPr>
            <w:r w:rsidRPr="004E7EA4">
              <w:t>The Engineers Australia Tasmania Scheme, published in the Tasmanian Government Gazette No.</w:t>
            </w:r>
            <w:r w:rsidR="004E7EA4" w:rsidRPr="004E7EA4">
              <w:t> </w:t>
            </w:r>
            <w:r w:rsidRPr="004E7EA4">
              <w:t>20</w:t>
            </w:r>
            <w:r w:rsidR="004E7EA4" w:rsidRPr="004E7EA4">
              <w:t> </w:t>
            </w:r>
            <w:r w:rsidRPr="004E7EA4">
              <w:t>929, 1</w:t>
            </w:r>
            <w:r w:rsidR="004E7EA4" w:rsidRPr="004E7EA4">
              <w:t> </w:t>
            </w:r>
            <w:r w:rsidRPr="004E7EA4">
              <w:t>April 2009</w:t>
            </w:r>
          </w:p>
        </w:tc>
        <w:tc>
          <w:tcPr>
            <w:tcW w:w="1985" w:type="dxa"/>
          </w:tcPr>
          <w:p w:rsidR="00EF3FD3" w:rsidRPr="004E7EA4" w:rsidRDefault="00EF3FD3" w:rsidP="004B3C3B">
            <w:pPr>
              <w:pStyle w:val="Tabletext"/>
            </w:pPr>
            <w:r w:rsidRPr="004E7EA4">
              <w:t>8</w:t>
            </w:r>
            <w:r w:rsidR="004E7EA4" w:rsidRPr="004E7EA4">
              <w:t> </w:t>
            </w:r>
            <w:r w:rsidRPr="004E7EA4">
              <w:t>June 2010</w:t>
            </w:r>
          </w:p>
        </w:tc>
      </w:tr>
      <w:tr w:rsidR="00EF3FD3" w:rsidRPr="004E7EA4" w:rsidTr="004B3C3B">
        <w:tc>
          <w:tcPr>
            <w:tcW w:w="709" w:type="dxa"/>
            <w:shd w:val="clear" w:color="auto" w:fill="auto"/>
          </w:tcPr>
          <w:p w:rsidR="00EF3FD3" w:rsidRPr="004E7EA4" w:rsidRDefault="00EF3FD3" w:rsidP="004B3C3B">
            <w:pPr>
              <w:pStyle w:val="Tabletext"/>
            </w:pPr>
            <w:r w:rsidRPr="004E7EA4">
              <w:t>29</w:t>
            </w:r>
          </w:p>
        </w:tc>
        <w:tc>
          <w:tcPr>
            <w:tcW w:w="4536" w:type="dxa"/>
            <w:shd w:val="clear" w:color="auto" w:fill="auto"/>
          </w:tcPr>
          <w:p w:rsidR="00EF3FD3" w:rsidRPr="004E7EA4" w:rsidRDefault="00EF3FD3" w:rsidP="004B3C3B">
            <w:pPr>
              <w:pStyle w:val="Tabletext"/>
            </w:pPr>
            <w:r w:rsidRPr="004E7EA4">
              <w:t>The Engineers Australia (ACT) Scheme, approved on 17</w:t>
            </w:r>
            <w:r w:rsidR="004E7EA4" w:rsidRPr="004E7EA4">
              <w:t> </w:t>
            </w:r>
            <w:r w:rsidRPr="004E7EA4">
              <w:t>December 2008</w:t>
            </w:r>
          </w:p>
        </w:tc>
        <w:tc>
          <w:tcPr>
            <w:tcW w:w="1985" w:type="dxa"/>
          </w:tcPr>
          <w:p w:rsidR="00EF3FD3" w:rsidRPr="004E7EA4" w:rsidRDefault="00EF3FD3" w:rsidP="004B3C3B">
            <w:pPr>
              <w:pStyle w:val="Tabletext"/>
            </w:pPr>
            <w:r w:rsidRPr="004E7EA4">
              <w:t>13</w:t>
            </w:r>
            <w:r w:rsidR="004E7EA4" w:rsidRPr="004E7EA4">
              <w:t> </w:t>
            </w:r>
            <w:r w:rsidRPr="004E7EA4">
              <w:t>June 2009</w:t>
            </w:r>
          </w:p>
        </w:tc>
      </w:tr>
      <w:tr w:rsidR="00EF3FD3" w:rsidRPr="004E7EA4" w:rsidTr="004B3C3B">
        <w:tc>
          <w:tcPr>
            <w:tcW w:w="709" w:type="dxa"/>
            <w:shd w:val="clear" w:color="auto" w:fill="auto"/>
          </w:tcPr>
          <w:p w:rsidR="00EF3FD3" w:rsidRPr="004E7EA4" w:rsidRDefault="00EF3FD3" w:rsidP="004B3C3B">
            <w:pPr>
              <w:pStyle w:val="Tabletext"/>
            </w:pPr>
            <w:r w:rsidRPr="004E7EA4">
              <w:t>30</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(ACT), approved on 14</w:t>
            </w:r>
            <w:r w:rsidR="004E7EA4" w:rsidRPr="004E7EA4">
              <w:t> </w:t>
            </w:r>
            <w:r w:rsidRPr="004E7EA4">
              <w:t>July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709" w:type="dxa"/>
            <w:shd w:val="clear" w:color="auto" w:fill="auto"/>
          </w:tcPr>
          <w:p w:rsidR="00EF3FD3" w:rsidRPr="004E7EA4" w:rsidRDefault="00EF3FD3" w:rsidP="004B3C3B">
            <w:pPr>
              <w:pStyle w:val="Tabletext"/>
            </w:pPr>
            <w:r w:rsidRPr="004E7EA4">
              <w:t>31</w:t>
            </w:r>
          </w:p>
        </w:tc>
        <w:tc>
          <w:tcPr>
            <w:tcW w:w="4536" w:type="dxa"/>
            <w:shd w:val="clear" w:color="auto" w:fill="auto"/>
          </w:tcPr>
          <w:p w:rsidR="00EF3FD3" w:rsidRPr="004E7EA4" w:rsidRDefault="00EF3FD3" w:rsidP="00F22479">
            <w:pPr>
              <w:pStyle w:val="Tabletext"/>
            </w:pPr>
            <w:r w:rsidRPr="004E7EA4">
              <w:t xml:space="preserve">Engineers Australia Northern Territory Professional Standards Scheme, published in the Northern Territory Government Gazette </w:t>
            </w:r>
            <w:r w:rsidR="00F22479" w:rsidRPr="004E7EA4">
              <w:t>No. S53, 27</w:t>
            </w:r>
            <w:r w:rsidR="004E7EA4" w:rsidRPr="004E7EA4">
              <w:t> </w:t>
            </w:r>
            <w:r w:rsidR="00F22479" w:rsidRPr="004E7EA4">
              <w:t xml:space="preserve">October 2010 and amended as published in the Northern Territory Government Gazette </w:t>
            </w:r>
            <w:r w:rsidRPr="004E7EA4">
              <w:t>No. S73, 23</w:t>
            </w:r>
            <w:r w:rsidR="004E7EA4" w:rsidRPr="004E7EA4">
              <w:t> </w:t>
            </w:r>
            <w:r w:rsidRPr="004E7EA4">
              <w:t>December 2013</w:t>
            </w:r>
          </w:p>
        </w:tc>
        <w:tc>
          <w:tcPr>
            <w:tcW w:w="1985" w:type="dxa"/>
          </w:tcPr>
          <w:p w:rsidR="00EF3FD3" w:rsidRPr="004E7EA4" w:rsidRDefault="00EF3FD3" w:rsidP="004B3C3B">
            <w:pPr>
              <w:pStyle w:val="Tabletext"/>
            </w:pPr>
            <w:r w:rsidRPr="004E7EA4">
              <w:t>15</w:t>
            </w:r>
            <w:r w:rsidR="004E7EA4" w:rsidRPr="004E7EA4">
              <w:t> </w:t>
            </w:r>
            <w:r w:rsidRPr="004E7EA4">
              <w:t>March 2014</w:t>
            </w:r>
          </w:p>
        </w:tc>
      </w:tr>
      <w:tr w:rsidR="00EF3FD3" w:rsidRPr="004E7EA4" w:rsidTr="004B3C3B">
        <w:tc>
          <w:tcPr>
            <w:tcW w:w="709" w:type="dxa"/>
            <w:tcBorders>
              <w:bottom w:val="single" w:sz="12" w:space="0" w:color="auto"/>
            </w:tcBorders>
            <w:shd w:val="clear" w:color="auto" w:fill="auto"/>
          </w:tcPr>
          <w:p w:rsidR="00EF3FD3" w:rsidRPr="004E7EA4" w:rsidRDefault="00EF3FD3" w:rsidP="004B3C3B">
            <w:pPr>
              <w:pStyle w:val="Tabletext"/>
            </w:pPr>
            <w:r w:rsidRPr="004E7EA4">
              <w:t>32</w:t>
            </w:r>
          </w:p>
        </w:tc>
        <w:tc>
          <w:tcPr>
            <w:tcW w:w="4536" w:type="dxa"/>
            <w:tcBorders>
              <w:bottom w:val="single" w:sz="12" w:space="0" w:color="auto"/>
            </w:tcBorders>
            <w:shd w:val="clear" w:color="auto" w:fill="auto"/>
          </w:tcPr>
          <w:p w:rsidR="00EF3FD3" w:rsidRPr="004E7EA4" w:rsidRDefault="00EF3FD3" w:rsidP="004B3C3B">
            <w:pPr>
              <w:pStyle w:val="Tabletext"/>
            </w:pPr>
            <w:r w:rsidRPr="004E7EA4">
              <w:t>The Institute of Chartered Accountants in Australia Professional Standards Scheme (NT), published in the Northern Territory Government Gazette No. S84, 17</w:t>
            </w:r>
            <w:r w:rsidR="004E7EA4" w:rsidRPr="004E7EA4">
              <w:t> </w:t>
            </w:r>
            <w:r w:rsidRPr="004E7EA4">
              <w:t>September 2014</w:t>
            </w:r>
          </w:p>
        </w:tc>
        <w:tc>
          <w:tcPr>
            <w:tcW w:w="1985" w:type="dxa"/>
            <w:tcBorders>
              <w:bottom w:val="single" w:sz="12" w:space="0" w:color="auto"/>
            </w:tcBorders>
          </w:tcPr>
          <w:p w:rsidR="00EF3FD3" w:rsidRPr="004E7EA4" w:rsidRDefault="00EF3FD3" w:rsidP="004B3C3B">
            <w:pPr>
              <w:pStyle w:val="Tabletext"/>
            </w:pPr>
            <w:r w:rsidRPr="004E7EA4">
              <w:t>1</w:t>
            </w:r>
            <w:r w:rsidR="004E7EA4" w:rsidRPr="004E7EA4">
              <w:t> </w:t>
            </w:r>
            <w:r w:rsidRPr="004E7EA4">
              <w:t>December 2014</w:t>
            </w:r>
          </w:p>
        </w:tc>
      </w:tr>
    </w:tbl>
    <w:p w:rsidR="00EF3FD3" w:rsidRPr="004E7EA4" w:rsidRDefault="00EF3FD3" w:rsidP="00EF3FD3">
      <w:pPr>
        <w:pStyle w:val="ActHead9"/>
      </w:pPr>
      <w:bookmarkStart w:id="15" w:name="_Toc403564906"/>
      <w:r w:rsidRPr="004E7EA4">
        <w:lastRenderedPageBreak/>
        <w:t>Corporations Regulations</w:t>
      </w:r>
      <w:r w:rsidR="004E7EA4" w:rsidRPr="004E7EA4">
        <w:t> </w:t>
      </w:r>
      <w:r w:rsidRPr="004E7EA4">
        <w:t>2001</w:t>
      </w:r>
      <w:bookmarkEnd w:id="15"/>
    </w:p>
    <w:p w:rsidR="00EF3FD3" w:rsidRPr="004E7EA4" w:rsidRDefault="00EF3FD3" w:rsidP="00EF3FD3">
      <w:pPr>
        <w:pStyle w:val="ItemHead"/>
      </w:pPr>
      <w:r w:rsidRPr="004E7EA4">
        <w:t>3  Regulation</w:t>
      </w:r>
      <w:r w:rsidR="004E7EA4" w:rsidRPr="004E7EA4">
        <w:t> </w:t>
      </w:r>
      <w:r w:rsidRPr="004E7EA4">
        <w:t>7.10.02</w:t>
      </w:r>
    </w:p>
    <w:p w:rsidR="00EF3FD3" w:rsidRPr="004E7EA4" w:rsidRDefault="00EF3FD3" w:rsidP="00EF3FD3">
      <w:pPr>
        <w:pStyle w:val="Item"/>
      </w:pPr>
      <w:r w:rsidRPr="004E7EA4">
        <w:t>Repeal the regulation, substitute:</w:t>
      </w:r>
    </w:p>
    <w:p w:rsidR="00EF3FD3" w:rsidRPr="004E7EA4" w:rsidRDefault="00EF3FD3" w:rsidP="00EF3FD3">
      <w:pPr>
        <w:pStyle w:val="ActHead5"/>
      </w:pPr>
      <w:bookmarkStart w:id="16" w:name="_Toc403564907"/>
      <w:r w:rsidRPr="004E7EA4">
        <w:rPr>
          <w:rStyle w:val="CharSectno"/>
        </w:rPr>
        <w:t>7.10.02</w:t>
      </w:r>
      <w:r w:rsidRPr="004E7EA4">
        <w:t xml:space="preserve">  Professional standards schemes</w:t>
      </w:r>
      <w:bookmarkEnd w:id="16"/>
    </w:p>
    <w:p w:rsidR="00EF3FD3" w:rsidRPr="004E7EA4" w:rsidRDefault="00EF3FD3" w:rsidP="00EF3FD3">
      <w:pPr>
        <w:pStyle w:val="subsection"/>
      </w:pPr>
      <w:r w:rsidRPr="004E7EA4">
        <w:tab/>
      </w:r>
      <w:r w:rsidRPr="004E7EA4">
        <w:tab/>
        <w:t>For subsection</w:t>
      </w:r>
      <w:r w:rsidR="004E7EA4" w:rsidRPr="004E7EA4">
        <w:t> </w:t>
      </w:r>
      <w:r w:rsidRPr="004E7EA4">
        <w:t>1044B(2) of the Act, a scheme and any modifications to the scheme set out in the following table are prescribed.</w:t>
      </w:r>
    </w:p>
    <w:p w:rsidR="00EF3FD3" w:rsidRPr="004E7EA4" w:rsidRDefault="00EF3FD3" w:rsidP="00EF3FD3">
      <w:pPr>
        <w:pStyle w:val="notetext"/>
      </w:pPr>
      <w:r w:rsidRPr="004E7EA4">
        <w:t>Note:</w:t>
      </w:r>
      <w:r w:rsidRPr="004E7EA4">
        <w:tab/>
        <w:t>Column 2 of the table below is included for information only.</w:t>
      </w:r>
    </w:p>
    <w:p w:rsidR="00EF3FD3" w:rsidRPr="004E7EA4" w:rsidRDefault="00EF3FD3" w:rsidP="00EF3FD3">
      <w:pPr>
        <w:pStyle w:val="Tabletext"/>
      </w:pPr>
    </w:p>
    <w:tbl>
      <w:tblPr>
        <w:tblW w:w="7196" w:type="dxa"/>
        <w:tblBorders>
          <w:top w:val="single" w:sz="4" w:space="0" w:color="auto"/>
          <w:bottom w:val="single" w:sz="2" w:space="0" w:color="auto"/>
          <w:insideH w:val="single" w:sz="4" w:space="0" w:color="auto"/>
        </w:tblBorders>
        <w:tblLook w:val="01E0" w:firstRow="1" w:lastRow="1" w:firstColumn="1" w:lastColumn="1" w:noHBand="0" w:noVBand="0"/>
      </w:tblPr>
      <w:tblGrid>
        <w:gridCol w:w="675"/>
        <w:gridCol w:w="4536"/>
        <w:gridCol w:w="1985"/>
      </w:tblGrid>
      <w:tr w:rsidR="00EF3FD3" w:rsidRPr="004E7EA4" w:rsidTr="004B3C3B">
        <w:trPr>
          <w:tblHeader/>
        </w:trPr>
        <w:tc>
          <w:tcPr>
            <w:tcW w:w="7196" w:type="dxa"/>
            <w:gridSpan w:val="3"/>
            <w:tcBorders>
              <w:top w:val="single" w:sz="12" w:space="0" w:color="auto"/>
              <w:bottom w:val="single" w:sz="6" w:space="0" w:color="auto"/>
            </w:tcBorders>
            <w:shd w:val="clear" w:color="auto" w:fill="auto"/>
          </w:tcPr>
          <w:p w:rsidR="00EF3FD3" w:rsidRPr="004E7EA4" w:rsidRDefault="00EF3FD3" w:rsidP="004B3C3B">
            <w:pPr>
              <w:pStyle w:val="TableHeading"/>
            </w:pPr>
            <w:r w:rsidRPr="004E7EA4">
              <w:t>Prescribed professional standards schemes</w:t>
            </w:r>
          </w:p>
        </w:tc>
      </w:tr>
      <w:tr w:rsidR="00EF3FD3" w:rsidRPr="004E7EA4" w:rsidTr="004B3C3B">
        <w:trPr>
          <w:tblHeader/>
        </w:trPr>
        <w:tc>
          <w:tcPr>
            <w:tcW w:w="675" w:type="dxa"/>
            <w:tcBorders>
              <w:top w:val="single" w:sz="6" w:space="0" w:color="auto"/>
              <w:bottom w:val="single" w:sz="12" w:space="0" w:color="auto"/>
            </w:tcBorders>
            <w:shd w:val="clear" w:color="auto" w:fill="auto"/>
          </w:tcPr>
          <w:p w:rsidR="00EF3FD3" w:rsidRPr="004E7EA4" w:rsidRDefault="00EF3FD3" w:rsidP="004B3C3B">
            <w:pPr>
              <w:pStyle w:val="TableHeading"/>
            </w:pPr>
            <w:r w:rsidRPr="004E7EA4">
              <w:t>Item</w:t>
            </w:r>
          </w:p>
        </w:tc>
        <w:tc>
          <w:tcPr>
            <w:tcW w:w="4536" w:type="dxa"/>
            <w:tcBorders>
              <w:top w:val="single" w:sz="6" w:space="0" w:color="auto"/>
              <w:bottom w:val="single" w:sz="12" w:space="0" w:color="auto"/>
            </w:tcBorders>
            <w:shd w:val="clear" w:color="auto" w:fill="auto"/>
          </w:tcPr>
          <w:p w:rsidR="00EF3FD3" w:rsidRPr="004E7EA4" w:rsidRDefault="00EF3FD3" w:rsidP="004B3C3B">
            <w:pPr>
              <w:pStyle w:val="TableHeading"/>
            </w:pPr>
            <w:r w:rsidRPr="004E7EA4">
              <w:t>Column 1</w:t>
            </w:r>
            <w:r w:rsidRPr="004E7EA4">
              <w:br/>
              <w:t>Scheme</w:t>
            </w:r>
          </w:p>
        </w:tc>
        <w:tc>
          <w:tcPr>
            <w:tcW w:w="1985" w:type="dxa"/>
            <w:tcBorders>
              <w:top w:val="single" w:sz="6" w:space="0" w:color="auto"/>
              <w:bottom w:val="single" w:sz="12" w:space="0" w:color="auto"/>
            </w:tcBorders>
          </w:tcPr>
          <w:p w:rsidR="00EF3FD3" w:rsidRPr="004E7EA4" w:rsidRDefault="00EF3FD3" w:rsidP="004B3C3B">
            <w:pPr>
              <w:pStyle w:val="TableHeading"/>
            </w:pPr>
            <w:r w:rsidRPr="004E7EA4">
              <w:t>Column 2</w:t>
            </w:r>
            <w:r w:rsidRPr="004E7EA4">
              <w:br/>
              <w:t>Date prescribed</w:t>
            </w:r>
          </w:p>
        </w:tc>
      </w:tr>
      <w:tr w:rsidR="00EF3FD3" w:rsidRPr="004E7EA4" w:rsidTr="004B3C3B">
        <w:tc>
          <w:tcPr>
            <w:tcW w:w="675" w:type="dxa"/>
            <w:tcBorders>
              <w:top w:val="single" w:sz="12" w:space="0" w:color="auto"/>
            </w:tcBorders>
            <w:shd w:val="clear" w:color="auto" w:fill="auto"/>
          </w:tcPr>
          <w:p w:rsidR="00EF3FD3" w:rsidRPr="004E7EA4" w:rsidRDefault="00EF3FD3" w:rsidP="004B3C3B">
            <w:pPr>
              <w:pStyle w:val="Tabletext"/>
            </w:pPr>
            <w:r w:rsidRPr="004E7EA4">
              <w:t>1</w:t>
            </w:r>
          </w:p>
        </w:tc>
        <w:tc>
          <w:tcPr>
            <w:tcW w:w="4536" w:type="dxa"/>
            <w:tcBorders>
              <w:top w:val="single" w:sz="12" w:space="0" w:color="auto"/>
            </w:tcBorders>
            <w:shd w:val="clear" w:color="auto" w:fill="auto"/>
          </w:tcPr>
          <w:p w:rsidR="00EF3FD3" w:rsidRPr="004E7EA4" w:rsidRDefault="00EF3FD3" w:rsidP="004B3C3B">
            <w:pPr>
              <w:pStyle w:val="Tabletext"/>
            </w:pPr>
            <w:r w:rsidRPr="004E7EA4">
              <w:t>The Institute of Chartered Accountants in Australia Professional Standards Scheme (NSW), published in the New South Wales Government Gazette No.</w:t>
            </w:r>
            <w:r w:rsidR="004E7EA4" w:rsidRPr="004E7EA4">
              <w:t> </w:t>
            </w:r>
            <w:r w:rsidRPr="004E7EA4">
              <w:t>70, 22</w:t>
            </w:r>
            <w:r w:rsidR="004E7EA4" w:rsidRPr="004E7EA4">
              <w:t> </w:t>
            </w:r>
            <w:r w:rsidRPr="004E7EA4">
              <w:t>August 2014</w:t>
            </w:r>
          </w:p>
        </w:tc>
        <w:tc>
          <w:tcPr>
            <w:tcW w:w="1985" w:type="dxa"/>
            <w:tcBorders>
              <w:top w:val="single" w:sz="12" w:space="0" w:color="auto"/>
            </w:tcBorders>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2</w:t>
            </w:r>
          </w:p>
        </w:tc>
        <w:tc>
          <w:tcPr>
            <w:tcW w:w="4536" w:type="dxa"/>
            <w:shd w:val="clear" w:color="auto" w:fill="auto"/>
          </w:tcPr>
          <w:p w:rsidR="00EF3FD3" w:rsidRPr="004E7EA4" w:rsidRDefault="00EF3FD3" w:rsidP="004B3C3B">
            <w:pPr>
              <w:pStyle w:val="Tabletext"/>
            </w:pPr>
            <w:r w:rsidRPr="004E7EA4">
              <w:t>The Law Society of New South Wales Scheme, published in the New South Wales Government Gazette No.</w:t>
            </w:r>
            <w:r w:rsidR="004E7EA4" w:rsidRPr="004E7EA4">
              <w:t> </w:t>
            </w:r>
            <w:r w:rsidRPr="004E7EA4">
              <w:t>78, 27</w:t>
            </w:r>
            <w:r w:rsidR="004E7EA4" w:rsidRPr="004E7EA4">
              <w:t> </w:t>
            </w:r>
            <w:r w:rsidRPr="004E7EA4">
              <w:t>July 2012</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c>
          <w:tcPr>
            <w:tcW w:w="675" w:type="dxa"/>
            <w:shd w:val="clear" w:color="auto" w:fill="auto"/>
          </w:tcPr>
          <w:p w:rsidR="00EF3FD3" w:rsidRPr="004E7EA4" w:rsidRDefault="00EF3FD3" w:rsidP="004B3C3B">
            <w:pPr>
              <w:pStyle w:val="Tabletext"/>
            </w:pPr>
            <w:r w:rsidRPr="004E7EA4">
              <w:t>3</w:t>
            </w:r>
          </w:p>
        </w:tc>
        <w:tc>
          <w:tcPr>
            <w:tcW w:w="4536" w:type="dxa"/>
            <w:shd w:val="clear" w:color="auto" w:fill="auto"/>
          </w:tcPr>
          <w:p w:rsidR="00EF3FD3" w:rsidRPr="004E7EA4" w:rsidRDefault="00EF3FD3" w:rsidP="004B3C3B">
            <w:pPr>
              <w:pStyle w:val="Tabletext"/>
            </w:pPr>
            <w:r w:rsidRPr="004E7EA4">
              <w:t>The New South Wales Bar Association Scheme, published in the New South Wales Government Gazette No.</w:t>
            </w:r>
            <w:r w:rsidR="004E7EA4" w:rsidRPr="004E7EA4">
              <w:t> </w:t>
            </w:r>
            <w:r w:rsidRPr="004E7EA4">
              <w:t>84, 25</w:t>
            </w:r>
            <w:r w:rsidR="004E7EA4" w:rsidRPr="004E7EA4">
              <w:t> </w:t>
            </w:r>
            <w:r w:rsidRPr="004E7EA4">
              <w:t>June 2010</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c>
          <w:tcPr>
            <w:tcW w:w="675" w:type="dxa"/>
            <w:shd w:val="clear" w:color="auto" w:fill="auto"/>
          </w:tcPr>
          <w:p w:rsidR="00EF3FD3" w:rsidRPr="004E7EA4" w:rsidRDefault="00EF3FD3" w:rsidP="004B3C3B">
            <w:pPr>
              <w:pStyle w:val="Tabletext"/>
            </w:pPr>
            <w:r w:rsidRPr="004E7EA4">
              <w:t>4</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(Victoria), published in the Victoria Government Gazette No. S 264, 5</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5</w:t>
            </w:r>
          </w:p>
        </w:tc>
        <w:tc>
          <w:tcPr>
            <w:tcW w:w="4536" w:type="dxa"/>
            <w:shd w:val="clear" w:color="auto" w:fill="auto"/>
          </w:tcPr>
          <w:p w:rsidR="00EF3FD3" w:rsidRPr="004E7EA4" w:rsidRDefault="00EF3FD3" w:rsidP="004B3C3B">
            <w:pPr>
              <w:pStyle w:val="Tabletext"/>
            </w:pPr>
            <w:r w:rsidRPr="004E7EA4">
              <w:t>The Law Institute of Victoria Limited Sc</w:t>
            </w:r>
            <w:r w:rsidR="00AD67A7" w:rsidRPr="004E7EA4">
              <w:t>heme, published in the Victoria</w:t>
            </w:r>
            <w:r w:rsidRPr="004E7EA4">
              <w:t xml:space="preserve"> Government Gazette No. G 10, 11</w:t>
            </w:r>
            <w:r w:rsidR="004E7EA4" w:rsidRPr="004E7EA4">
              <w:t> </w:t>
            </w:r>
            <w:r w:rsidRPr="004E7EA4">
              <w:t>March 2010, and the following modifications:</w:t>
            </w:r>
          </w:p>
          <w:p w:rsidR="00EF3FD3" w:rsidRPr="004E7EA4" w:rsidRDefault="00EF3FD3" w:rsidP="004B3C3B">
            <w:pPr>
              <w:pStyle w:val="Tablea"/>
            </w:pPr>
            <w:r w:rsidRPr="004E7EA4">
              <w:t>(a) the amendments made by instr</w:t>
            </w:r>
            <w:r w:rsidR="00AD67A7" w:rsidRPr="004E7EA4">
              <w:t>ument published in the Victoria</w:t>
            </w:r>
            <w:r w:rsidRPr="004E7EA4">
              <w:t xml:space="preserve"> Government Gazette No. S 164, 1</w:t>
            </w:r>
            <w:r w:rsidR="004E7EA4" w:rsidRPr="004E7EA4">
              <w:t> </w:t>
            </w:r>
            <w:r w:rsidRPr="004E7EA4">
              <w:t>May 2013;</w:t>
            </w:r>
          </w:p>
          <w:p w:rsidR="00EF3FD3" w:rsidRPr="004E7EA4" w:rsidRDefault="00EF3FD3" w:rsidP="004B3C3B">
            <w:pPr>
              <w:pStyle w:val="Tablea"/>
            </w:pPr>
            <w:r w:rsidRPr="004E7EA4">
              <w:t>(b) the amendments made by instr</w:t>
            </w:r>
            <w:r w:rsidR="00AD67A7" w:rsidRPr="004E7EA4">
              <w:t>ument published in the Victoria</w:t>
            </w:r>
            <w:r w:rsidRPr="004E7EA4">
              <w:t xml:space="preserve"> Government Gazette No. G 36, 5</w:t>
            </w:r>
            <w:r w:rsidR="004E7EA4" w:rsidRPr="004E7EA4">
              <w:t> </w:t>
            </w:r>
            <w:r w:rsidRPr="004E7EA4">
              <w:t>September 2013</w:t>
            </w:r>
          </w:p>
        </w:tc>
        <w:tc>
          <w:tcPr>
            <w:tcW w:w="1985" w:type="dxa"/>
          </w:tcPr>
          <w:p w:rsidR="00EF3FD3" w:rsidRPr="004E7EA4" w:rsidRDefault="00EF3FD3" w:rsidP="004B3C3B">
            <w:pPr>
              <w:pStyle w:val="Tabletext"/>
            </w:pPr>
            <w:r w:rsidRPr="004E7EA4">
              <w:t>The scheme—1</w:t>
            </w:r>
            <w:r w:rsidR="004E7EA4" w:rsidRPr="004E7EA4">
              <w:t> </w:t>
            </w:r>
            <w:r w:rsidR="00AD67A7" w:rsidRPr="004E7EA4">
              <w:t>November 2012</w:t>
            </w:r>
          </w:p>
          <w:p w:rsidR="00EF3FD3" w:rsidRPr="004E7EA4" w:rsidRDefault="00EF3FD3" w:rsidP="004B3C3B">
            <w:pPr>
              <w:pStyle w:val="Tabletext"/>
            </w:pPr>
            <w:r w:rsidRPr="004E7EA4">
              <w:t>The amendments mentioned in:</w:t>
            </w:r>
          </w:p>
          <w:p w:rsidR="00EF3FD3" w:rsidRPr="004E7EA4" w:rsidRDefault="00EF3FD3" w:rsidP="004B3C3B">
            <w:pPr>
              <w:pStyle w:val="Tablea"/>
            </w:pPr>
            <w:r w:rsidRPr="004E7EA4">
              <w:t xml:space="preserve">(a) </w:t>
            </w:r>
            <w:r w:rsidR="004E7EA4" w:rsidRPr="004E7EA4">
              <w:t>paragraph (</w:t>
            </w:r>
            <w:r w:rsidRPr="004E7EA4">
              <w:t>a) of column 1 of this item—15</w:t>
            </w:r>
            <w:r w:rsidR="004E7EA4" w:rsidRPr="004E7EA4">
              <w:t> </w:t>
            </w:r>
            <w:r w:rsidRPr="004E7EA4">
              <w:t>March 2014; and</w:t>
            </w:r>
          </w:p>
          <w:p w:rsidR="00EF3FD3" w:rsidRPr="004E7EA4" w:rsidRDefault="00EF3FD3" w:rsidP="004B3C3B">
            <w:pPr>
              <w:pStyle w:val="Tablea"/>
            </w:pPr>
            <w:r w:rsidRPr="004E7EA4">
              <w:t xml:space="preserve">(b) </w:t>
            </w:r>
            <w:r w:rsidR="004E7EA4" w:rsidRPr="004E7EA4">
              <w:t>paragraph (</w:t>
            </w:r>
            <w:r w:rsidRPr="004E7EA4">
              <w:t>b) of column 1 of this item—15</w:t>
            </w:r>
            <w:r w:rsidR="004E7EA4" w:rsidRPr="004E7EA4">
              <w:t> </w:t>
            </w:r>
            <w:r w:rsidRPr="004E7EA4">
              <w:t xml:space="preserve">March </w:t>
            </w:r>
            <w:r w:rsidRPr="004E7EA4">
              <w:lastRenderedPageBreak/>
              <w:t>2014</w:t>
            </w:r>
          </w:p>
        </w:tc>
      </w:tr>
      <w:tr w:rsidR="00EF3FD3" w:rsidRPr="004E7EA4" w:rsidTr="004B3C3B">
        <w:tc>
          <w:tcPr>
            <w:tcW w:w="675" w:type="dxa"/>
            <w:shd w:val="clear" w:color="auto" w:fill="auto"/>
          </w:tcPr>
          <w:p w:rsidR="00EF3FD3" w:rsidRPr="004E7EA4" w:rsidRDefault="00EF3FD3" w:rsidP="004B3C3B">
            <w:pPr>
              <w:pStyle w:val="Tabletext"/>
            </w:pPr>
            <w:r w:rsidRPr="004E7EA4">
              <w:lastRenderedPageBreak/>
              <w:t>6</w:t>
            </w:r>
          </w:p>
        </w:tc>
        <w:tc>
          <w:tcPr>
            <w:tcW w:w="4536" w:type="dxa"/>
            <w:shd w:val="clear" w:color="auto" w:fill="auto"/>
          </w:tcPr>
          <w:p w:rsidR="00EF3FD3" w:rsidRPr="004E7EA4" w:rsidRDefault="00EF3FD3" w:rsidP="004B3C3B">
            <w:pPr>
              <w:pStyle w:val="Tabletext"/>
            </w:pPr>
            <w:r w:rsidRPr="004E7EA4">
              <w:t>The Victorian Bar Professional Standards Sc</w:t>
            </w:r>
            <w:r w:rsidR="00AD67A7" w:rsidRPr="004E7EA4">
              <w:t>heme, published in the Victoria</w:t>
            </w:r>
            <w:r w:rsidRPr="004E7EA4">
              <w:t xml:space="preserve"> Government Gazette No. S 134, 24</w:t>
            </w:r>
            <w:r w:rsidR="004E7EA4" w:rsidRPr="004E7EA4">
              <w:t> </w:t>
            </w:r>
            <w:r w:rsidRPr="004E7EA4">
              <w:t>April 2014</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675" w:type="dxa"/>
            <w:shd w:val="clear" w:color="auto" w:fill="auto"/>
          </w:tcPr>
          <w:p w:rsidR="00EF3FD3" w:rsidRPr="004E7EA4" w:rsidRDefault="00EF3FD3" w:rsidP="004B3C3B">
            <w:pPr>
              <w:pStyle w:val="Tabletext"/>
            </w:pPr>
            <w:r w:rsidRPr="004E7EA4">
              <w:t>7</w:t>
            </w:r>
          </w:p>
        </w:tc>
        <w:tc>
          <w:tcPr>
            <w:tcW w:w="4536" w:type="dxa"/>
            <w:shd w:val="clear" w:color="auto" w:fill="auto"/>
          </w:tcPr>
          <w:p w:rsidR="00EF3FD3" w:rsidRPr="004E7EA4" w:rsidRDefault="00EF3FD3" w:rsidP="004B3C3B">
            <w:pPr>
              <w:pStyle w:val="Tabletext"/>
            </w:pPr>
            <w:r w:rsidRPr="004E7EA4">
              <w:t>The Bar Association of Queensland Scheme, published in the Queensland Government Gazette No.</w:t>
            </w:r>
            <w:r w:rsidR="004E7EA4" w:rsidRPr="004E7EA4">
              <w:t> </w:t>
            </w:r>
            <w:r w:rsidRPr="004E7EA4">
              <w:t>40, 24</w:t>
            </w:r>
            <w:r w:rsidR="004E7EA4" w:rsidRPr="004E7EA4">
              <w:t> </w:t>
            </w:r>
            <w:r w:rsidRPr="004E7EA4">
              <w:t>June 2013</w:t>
            </w:r>
          </w:p>
        </w:tc>
        <w:tc>
          <w:tcPr>
            <w:tcW w:w="1985" w:type="dxa"/>
          </w:tcPr>
          <w:p w:rsidR="00EF3FD3" w:rsidRPr="004E7EA4" w:rsidRDefault="00EF3FD3" w:rsidP="004B3C3B">
            <w:pPr>
              <w:pStyle w:val="Tabletext"/>
            </w:pPr>
            <w:r w:rsidRPr="004E7EA4">
              <w:t>15</w:t>
            </w:r>
            <w:r w:rsidR="004E7EA4" w:rsidRPr="004E7EA4">
              <w:t> </w:t>
            </w:r>
            <w:r w:rsidRPr="004E7EA4">
              <w:t>March 2014</w:t>
            </w:r>
          </w:p>
        </w:tc>
      </w:tr>
      <w:tr w:rsidR="00EF3FD3" w:rsidRPr="004E7EA4" w:rsidTr="004B3C3B">
        <w:tc>
          <w:tcPr>
            <w:tcW w:w="675" w:type="dxa"/>
            <w:shd w:val="clear" w:color="auto" w:fill="auto"/>
          </w:tcPr>
          <w:p w:rsidR="00EF3FD3" w:rsidRPr="004E7EA4" w:rsidRDefault="00EF3FD3" w:rsidP="004B3C3B">
            <w:pPr>
              <w:pStyle w:val="Tabletext"/>
            </w:pPr>
            <w:r w:rsidRPr="004E7EA4">
              <w:t>8</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(Queensland), notified by the Queensland Government on 29</w:t>
            </w:r>
            <w:r w:rsidR="004E7EA4" w:rsidRPr="004E7EA4">
              <w:t> </w:t>
            </w:r>
            <w:r w:rsidRPr="004E7EA4">
              <w:t>August 2014</w:t>
            </w:r>
          </w:p>
        </w:tc>
        <w:tc>
          <w:tcPr>
            <w:tcW w:w="1985" w:type="dxa"/>
          </w:tcPr>
          <w:p w:rsidR="00EF3FD3" w:rsidRPr="004E7EA4" w:rsidRDefault="00EF3FD3" w:rsidP="004B3C3B">
            <w:pPr>
              <w:pStyle w:val="Tabletext"/>
              <w:rPr>
                <w:b/>
              </w:rPr>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9</w:t>
            </w:r>
          </w:p>
        </w:tc>
        <w:tc>
          <w:tcPr>
            <w:tcW w:w="4536" w:type="dxa"/>
            <w:shd w:val="clear" w:color="auto" w:fill="auto"/>
          </w:tcPr>
          <w:p w:rsidR="00EF3FD3" w:rsidRPr="004E7EA4" w:rsidRDefault="00EF3FD3" w:rsidP="004B3C3B">
            <w:pPr>
              <w:pStyle w:val="Tabletext"/>
            </w:pPr>
            <w:r w:rsidRPr="004E7EA4">
              <w:t>The Queensland Law Society Scheme, published in the Queensland Government Gazette No.</w:t>
            </w:r>
            <w:r w:rsidR="004E7EA4" w:rsidRPr="004E7EA4">
              <w:t> </w:t>
            </w:r>
            <w:r w:rsidRPr="004E7EA4">
              <w:t>64, 25</w:t>
            </w:r>
            <w:r w:rsidR="004E7EA4" w:rsidRPr="004E7EA4">
              <w:t> </w:t>
            </w:r>
            <w:r w:rsidRPr="004E7EA4">
              <w:t>June 2010</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c>
          <w:tcPr>
            <w:tcW w:w="675" w:type="dxa"/>
            <w:shd w:val="clear" w:color="auto" w:fill="auto"/>
          </w:tcPr>
          <w:p w:rsidR="00EF3FD3" w:rsidRPr="004E7EA4" w:rsidRDefault="00EF3FD3" w:rsidP="004B3C3B">
            <w:pPr>
              <w:pStyle w:val="Tabletext"/>
            </w:pPr>
            <w:r w:rsidRPr="004E7EA4">
              <w:t>10</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(WA), published in the Western Australian Government Gazette No.</w:t>
            </w:r>
            <w:r w:rsidR="004E7EA4" w:rsidRPr="004E7EA4">
              <w:t> </w:t>
            </w:r>
            <w:r w:rsidRPr="004E7EA4">
              <w:t>122, 8</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11</w:t>
            </w:r>
          </w:p>
        </w:tc>
        <w:tc>
          <w:tcPr>
            <w:tcW w:w="4536" w:type="dxa"/>
            <w:shd w:val="clear" w:color="auto" w:fill="auto"/>
          </w:tcPr>
          <w:p w:rsidR="00EF3FD3" w:rsidRPr="004E7EA4" w:rsidRDefault="00EF3FD3" w:rsidP="004B3C3B">
            <w:pPr>
              <w:pStyle w:val="Tabletext"/>
            </w:pPr>
            <w:r w:rsidRPr="004E7EA4">
              <w:t>The Law Society of Western Australia Scheme, published in the Western Australian Government Gazette No.</w:t>
            </w:r>
            <w:r w:rsidR="004E7EA4" w:rsidRPr="004E7EA4">
              <w:t> </w:t>
            </w:r>
            <w:r w:rsidRPr="004E7EA4">
              <w:t>54, 11</w:t>
            </w:r>
            <w:r w:rsidR="004E7EA4" w:rsidRPr="004E7EA4">
              <w:t> </w:t>
            </w:r>
            <w:r w:rsidRPr="004E7EA4">
              <w:t>April 2014</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675" w:type="dxa"/>
            <w:shd w:val="clear" w:color="auto" w:fill="auto"/>
          </w:tcPr>
          <w:p w:rsidR="00EF3FD3" w:rsidRPr="004E7EA4" w:rsidRDefault="00EF3FD3" w:rsidP="004B3C3B">
            <w:pPr>
              <w:pStyle w:val="Tabletext"/>
            </w:pPr>
            <w:r w:rsidRPr="004E7EA4">
              <w:t>12</w:t>
            </w:r>
          </w:p>
        </w:tc>
        <w:tc>
          <w:tcPr>
            <w:tcW w:w="4536" w:type="dxa"/>
            <w:shd w:val="clear" w:color="auto" w:fill="auto"/>
          </w:tcPr>
          <w:p w:rsidR="00EF3FD3" w:rsidRPr="004E7EA4" w:rsidRDefault="00EF3FD3" w:rsidP="004B3C3B">
            <w:pPr>
              <w:pStyle w:val="Tabletext"/>
            </w:pPr>
            <w:r w:rsidRPr="004E7EA4">
              <w:t>The Western Australian Bar Association Scheme, published in the Western Australian Government Gazette No.</w:t>
            </w:r>
            <w:r w:rsidR="004E7EA4" w:rsidRPr="004E7EA4">
              <w:t> </w:t>
            </w:r>
            <w:r w:rsidRPr="004E7EA4">
              <w:t>57, 17</w:t>
            </w:r>
            <w:r w:rsidR="004E7EA4" w:rsidRPr="004E7EA4">
              <w:t> </w:t>
            </w:r>
            <w:r w:rsidRPr="004E7EA4">
              <w:t>April 2014</w:t>
            </w:r>
          </w:p>
        </w:tc>
        <w:tc>
          <w:tcPr>
            <w:tcW w:w="1985" w:type="dxa"/>
          </w:tcPr>
          <w:p w:rsidR="00EF3FD3" w:rsidRPr="004E7EA4" w:rsidRDefault="00EF3FD3" w:rsidP="004B3C3B">
            <w:pPr>
              <w:pStyle w:val="Tabletext"/>
            </w:pPr>
            <w:r w:rsidRPr="004E7EA4">
              <w:t>14</w:t>
            </w:r>
            <w:r w:rsidR="004E7EA4" w:rsidRPr="004E7EA4">
              <w:t> </w:t>
            </w:r>
            <w:r w:rsidRPr="004E7EA4">
              <w:t>June 2014</w:t>
            </w:r>
          </w:p>
        </w:tc>
      </w:tr>
      <w:tr w:rsidR="00EF3FD3" w:rsidRPr="004E7EA4" w:rsidTr="004B3C3B">
        <w:tc>
          <w:tcPr>
            <w:tcW w:w="675" w:type="dxa"/>
            <w:shd w:val="clear" w:color="auto" w:fill="auto"/>
          </w:tcPr>
          <w:p w:rsidR="00EF3FD3" w:rsidRPr="004E7EA4" w:rsidRDefault="00EF3FD3" w:rsidP="004B3C3B">
            <w:pPr>
              <w:pStyle w:val="Tabletext"/>
            </w:pPr>
            <w:r w:rsidRPr="004E7EA4">
              <w:t>13</w:t>
            </w:r>
          </w:p>
        </w:tc>
        <w:tc>
          <w:tcPr>
            <w:tcW w:w="4536" w:type="dxa"/>
            <w:shd w:val="clear" w:color="auto" w:fill="auto"/>
          </w:tcPr>
          <w:p w:rsidR="00EF3FD3" w:rsidRPr="004E7EA4" w:rsidRDefault="00EF3FD3" w:rsidP="004B3C3B">
            <w:pPr>
              <w:pStyle w:val="Tabletext"/>
            </w:pPr>
            <w:r w:rsidRPr="004E7EA4">
              <w:t>The Institute of Chartered Accountants in Australia Professional Standards Scheme (SA), published in the South Australian Government Gazette No.</w:t>
            </w:r>
            <w:r w:rsidR="004E7EA4" w:rsidRPr="004E7EA4">
              <w:t> </w:t>
            </w:r>
            <w:r w:rsidRPr="004E7EA4">
              <w:t>63, 21</w:t>
            </w:r>
            <w:r w:rsidR="004E7EA4" w:rsidRPr="004E7EA4">
              <w:t> </w:t>
            </w:r>
            <w:r w:rsidRPr="004E7EA4">
              <w:t>August 2014</w:t>
            </w:r>
          </w:p>
        </w:tc>
        <w:tc>
          <w:tcPr>
            <w:tcW w:w="1985" w:type="dxa"/>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shd w:val="clear" w:color="auto" w:fill="auto"/>
          </w:tcPr>
          <w:p w:rsidR="00EF3FD3" w:rsidRPr="004E7EA4" w:rsidRDefault="00EF3FD3" w:rsidP="004B3C3B">
            <w:pPr>
              <w:pStyle w:val="Tabletext"/>
            </w:pPr>
            <w:r w:rsidRPr="004E7EA4">
              <w:t>14</w:t>
            </w:r>
          </w:p>
        </w:tc>
        <w:tc>
          <w:tcPr>
            <w:tcW w:w="4536" w:type="dxa"/>
            <w:shd w:val="clear" w:color="auto" w:fill="auto"/>
          </w:tcPr>
          <w:p w:rsidR="00EF3FD3" w:rsidRPr="004E7EA4" w:rsidRDefault="00EF3FD3" w:rsidP="004B3C3B">
            <w:pPr>
              <w:pStyle w:val="Tabletext"/>
            </w:pPr>
            <w:r w:rsidRPr="004E7EA4">
              <w:t>The Law Society of South Australia Professional Standards Scheme, published in the South Australian Government Gazette No.</w:t>
            </w:r>
            <w:r w:rsidR="004E7EA4" w:rsidRPr="004E7EA4">
              <w:t> </w:t>
            </w:r>
            <w:r w:rsidRPr="004E7EA4">
              <w:t>76, 3</w:t>
            </w:r>
            <w:r w:rsidR="004E7EA4" w:rsidRPr="004E7EA4">
              <w:t> </w:t>
            </w:r>
            <w:r w:rsidRPr="004E7EA4">
              <w:t>November 2011</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rPr>
          <w:cantSplit/>
        </w:trPr>
        <w:tc>
          <w:tcPr>
            <w:tcW w:w="675" w:type="dxa"/>
            <w:shd w:val="clear" w:color="auto" w:fill="auto"/>
          </w:tcPr>
          <w:p w:rsidR="00EF3FD3" w:rsidRPr="004E7EA4" w:rsidRDefault="00EF3FD3" w:rsidP="004B3C3B">
            <w:pPr>
              <w:pStyle w:val="Tabletext"/>
            </w:pPr>
            <w:r w:rsidRPr="004E7EA4">
              <w:t>15</w:t>
            </w:r>
          </w:p>
        </w:tc>
        <w:tc>
          <w:tcPr>
            <w:tcW w:w="4536" w:type="dxa"/>
            <w:shd w:val="clear" w:color="auto" w:fill="auto"/>
          </w:tcPr>
          <w:p w:rsidR="00EF3FD3" w:rsidRPr="004E7EA4" w:rsidRDefault="00EF3FD3" w:rsidP="004B3C3B">
            <w:pPr>
              <w:pStyle w:val="Tabletext"/>
            </w:pPr>
            <w:r w:rsidRPr="004E7EA4">
              <w:t xml:space="preserve">The South Australian Bar </w:t>
            </w:r>
            <w:r w:rsidR="00AD67A7" w:rsidRPr="004E7EA4">
              <w:t xml:space="preserve">Association </w:t>
            </w:r>
            <w:proofErr w:type="spellStart"/>
            <w:r w:rsidR="00AD67A7" w:rsidRPr="004E7EA4">
              <w:t>Inc</w:t>
            </w:r>
            <w:proofErr w:type="spellEnd"/>
            <w:r w:rsidRPr="004E7EA4">
              <w:t xml:space="preserve"> Scheme, published in the South Australian Government Gazette No.</w:t>
            </w:r>
            <w:r w:rsidR="004E7EA4" w:rsidRPr="004E7EA4">
              <w:t> </w:t>
            </w:r>
            <w:r w:rsidRPr="004E7EA4">
              <w:t>76, 3</w:t>
            </w:r>
            <w:r w:rsidR="004E7EA4" w:rsidRPr="004E7EA4">
              <w:t> </w:t>
            </w:r>
            <w:r w:rsidRPr="004E7EA4">
              <w:t>November 2011</w:t>
            </w:r>
          </w:p>
        </w:tc>
        <w:tc>
          <w:tcPr>
            <w:tcW w:w="1985" w:type="dxa"/>
          </w:tcPr>
          <w:p w:rsidR="00EF3FD3" w:rsidRPr="004E7EA4" w:rsidRDefault="00EF3FD3" w:rsidP="004B3C3B">
            <w:pPr>
              <w:pStyle w:val="Tabletext"/>
            </w:pPr>
            <w:r w:rsidRPr="004E7EA4">
              <w:t>1</w:t>
            </w:r>
            <w:r w:rsidR="004E7EA4" w:rsidRPr="004E7EA4">
              <w:t> </w:t>
            </w:r>
            <w:r w:rsidRPr="004E7EA4">
              <w:t>March 2013</w:t>
            </w:r>
          </w:p>
        </w:tc>
      </w:tr>
      <w:tr w:rsidR="00EF3FD3" w:rsidRPr="004E7EA4" w:rsidTr="004B3C3B">
        <w:tc>
          <w:tcPr>
            <w:tcW w:w="675" w:type="dxa"/>
            <w:tcBorders>
              <w:bottom w:val="single" w:sz="4" w:space="0" w:color="auto"/>
            </w:tcBorders>
            <w:shd w:val="clear" w:color="auto" w:fill="auto"/>
          </w:tcPr>
          <w:p w:rsidR="00EF3FD3" w:rsidRPr="004E7EA4" w:rsidRDefault="00EF3FD3" w:rsidP="004B3C3B">
            <w:pPr>
              <w:pStyle w:val="Tabletext"/>
            </w:pPr>
            <w:r w:rsidRPr="004E7EA4">
              <w:t>16</w:t>
            </w:r>
          </w:p>
        </w:tc>
        <w:tc>
          <w:tcPr>
            <w:tcW w:w="4536" w:type="dxa"/>
            <w:tcBorders>
              <w:bottom w:val="single" w:sz="4" w:space="0" w:color="auto"/>
            </w:tcBorders>
            <w:shd w:val="clear" w:color="auto" w:fill="auto"/>
          </w:tcPr>
          <w:p w:rsidR="00EF3FD3" w:rsidRPr="004E7EA4" w:rsidRDefault="00EF3FD3" w:rsidP="004B3C3B">
            <w:pPr>
              <w:pStyle w:val="Tabletext"/>
            </w:pPr>
            <w:r w:rsidRPr="004E7EA4">
              <w:t>The Institute of Chartered Accountants in Australia Professional Standards Scheme (ACT), approved on 14</w:t>
            </w:r>
            <w:r w:rsidR="004E7EA4" w:rsidRPr="004E7EA4">
              <w:t> </w:t>
            </w:r>
            <w:r w:rsidRPr="004E7EA4">
              <w:t>July 2014</w:t>
            </w:r>
          </w:p>
        </w:tc>
        <w:tc>
          <w:tcPr>
            <w:tcW w:w="1985" w:type="dxa"/>
            <w:tcBorders>
              <w:bottom w:val="single" w:sz="4" w:space="0" w:color="auto"/>
            </w:tcBorders>
          </w:tcPr>
          <w:p w:rsidR="00EF3FD3" w:rsidRPr="004E7EA4" w:rsidRDefault="00EF3FD3" w:rsidP="004B3C3B">
            <w:pPr>
              <w:pStyle w:val="Tabletext"/>
            </w:pPr>
            <w:r w:rsidRPr="004E7EA4">
              <w:t>1</w:t>
            </w:r>
            <w:r w:rsidR="004E7EA4" w:rsidRPr="004E7EA4">
              <w:t> </w:t>
            </w:r>
            <w:r w:rsidRPr="004E7EA4">
              <w:t>December 2014</w:t>
            </w:r>
          </w:p>
        </w:tc>
      </w:tr>
      <w:tr w:rsidR="00EF3FD3" w:rsidRPr="004E7EA4" w:rsidTr="004B3C3B">
        <w:tc>
          <w:tcPr>
            <w:tcW w:w="675" w:type="dxa"/>
            <w:tcBorders>
              <w:bottom w:val="single" w:sz="12" w:space="0" w:color="auto"/>
            </w:tcBorders>
            <w:shd w:val="clear" w:color="auto" w:fill="auto"/>
          </w:tcPr>
          <w:p w:rsidR="00EF3FD3" w:rsidRPr="004E7EA4" w:rsidRDefault="00EF3FD3" w:rsidP="004B3C3B">
            <w:pPr>
              <w:pStyle w:val="Tabletext"/>
            </w:pPr>
            <w:r w:rsidRPr="004E7EA4">
              <w:lastRenderedPageBreak/>
              <w:t>17</w:t>
            </w:r>
          </w:p>
        </w:tc>
        <w:tc>
          <w:tcPr>
            <w:tcW w:w="4536" w:type="dxa"/>
            <w:tcBorders>
              <w:bottom w:val="single" w:sz="12" w:space="0" w:color="auto"/>
            </w:tcBorders>
            <w:shd w:val="clear" w:color="auto" w:fill="auto"/>
          </w:tcPr>
          <w:p w:rsidR="00EF3FD3" w:rsidRPr="004E7EA4" w:rsidRDefault="00EF3FD3" w:rsidP="004B3C3B">
            <w:pPr>
              <w:pStyle w:val="Tabletext"/>
            </w:pPr>
            <w:r w:rsidRPr="004E7EA4">
              <w:t>The Institute of Chartered Accountants in Australia Professional Standards Scheme (NT), published in the Northern Territory Government Gazette No. S84, 17</w:t>
            </w:r>
            <w:r w:rsidR="004E7EA4" w:rsidRPr="004E7EA4">
              <w:t> </w:t>
            </w:r>
            <w:r w:rsidRPr="004E7EA4">
              <w:t>September 2014</w:t>
            </w:r>
          </w:p>
        </w:tc>
        <w:tc>
          <w:tcPr>
            <w:tcW w:w="1985" w:type="dxa"/>
            <w:tcBorders>
              <w:bottom w:val="single" w:sz="12" w:space="0" w:color="auto"/>
            </w:tcBorders>
          </w:tcPr>
          <w:p w:rsidR="00EF3FD3" w:rsidRPr="004E7EA4" w:rsidRDefault="00EF3FD3" w:rsidP="004B3C3B">
            <w:pPr>
              <w:pStyle w:val="Tabletext"/>
            </w:pPr>
            <w:r w:rsidRPr="004E7EA4">
              <w:t>1</w:t>
            </w:r>
            <w:r w:rsidR="004E7EA4" w:rsidRPr="004E7EA4">
              <w:t> </w:t>
            </w:r>
            <w:r w:rsidRPr="004E7EA4">
              <w:t>December 2014</w:t>
            </w:r>
          </w:p>
        </w:tc>
      </w:tr>
    </w:tbl>
    <w:p w:rsidR="00EF3FD3" w:rsidRPr="004E7EA4" w:rsidRDefault="00EF3FD3" w:rsidP="00EF3FD3">
      <w:pPr>
        <w:pStyle w:val="Tabletext"/>
      </w:pPr>
    </w:p>
    <w:p w:rsidR="00EF3FD3" w:rsidRPr="004E7EA4" w:rsidRDefault="00EF3FD3" w:rsidP="00EF3FD3">
      <w:pPr>
        <w:pStyle w:val="ActHead6"/>
        <w:pageBreakBefore/>
      </w:pPr>
      <w:bookmarkStart w:id="17" w:name="_Toc403564908"/>
      <w:bookmarkStart w:id="18" w:name="opcCurrentFind"/>
      <w:r w:rsidRPr="004E7EA4">
        <w:rPr>
          <w:rStyle w:val="CharAmSchNo"/>
        </w:rPr>
        <w:lastRenderedPageBreak/>
        <w:t>Schedule</w:t>
      </w:r>
      <w:r w:rsidR="004E7EA4" w:rsidRPr="004E7EA4">
        <w:rPr>
          <w:rStyle w:val="CharAmSchNo"/>
        </w:rPr>
        <w:t> </w:t>
      </w:r>
      <w:r w:rsidR="006A22EC" w:rsidRPr="004E7EA4">
        <w:rPr>
          <w:rStyle w:val="CharAmSchNo"/>
        </w:rPr>
        <w:t>2</w:t>
      </w:r>
      <w:r w:rsidRPr="004E7EA4">
        <w:t>—</w:t>
      </w:r>
      <w:r w:rsidR="009A3FC8" w:rsidRPr="004E7EA4">
        <w:rPr>
          <w:rStyle w:val="CharAmSchText"/>
        </w:rPr>
        <w:t>Central clearing and trade reporting</w:t>
      </w:r>
      <w:bookmarkEnd w:id="17"/>
    </w:p>
    <w:bookmarkEnd w:id="18"/>
    <w:p w:rsidR="00EF3FD3" w:rsidRPr="004E7EA4" w:rsidRDefault="00EF3FD3" w:rsidP="00EF3FD3">
      <w:pPr>
        <w:pStyle w:val="Header"/>
      </w:pPr>
      <w:r w:rsidRPr="004E7EA4">
        <w:rPr>
          <w:rStyle w:val="CharAmPartNo"/>
        </w:rPr>
        <w:t xml:space="preserve"> </w:t>
      </w:r>
      <w:r w:rsidRPr="004E7EA4">
        <w:rPr>
          <w:rStyle w:val="CharAmPartText"/>
        </w:rPr>
        <w:t xml:space="preserve"> </w:t>
      </w:r>
    </w:p>
    <w:p w:rsidR="00EF3FD3" w:rsidRPr="004E7EA4" w:rsidRDefault="00EF3FD3" w:rsidP="00EF3FD3">
      <w:pPr>
        <w:pStyle w:val="ActHead9"/>
      </w:pPr>
      <w:bookmarkStart w:id="19" w:name="_Toc403564909"/>
      <w:r w:rsidRPr="004E7EA4">
        <w:t>Corporations Regulations</w:t>
      </w:r>
      <w:r w:rsidR="004E7EA4" w:rsidRPr="004E7EA4">
        <w:t> </w:t>
      </w:r>
      <w:r w:rsidRPr="004E7EA4">
        <w:t>2001</w:t>
      </w:r>
      <w:bookmarkEnd w:id="19"/>
    </w:p>
    <w:p w:rsidR="00EF3FD3" w:rsidRPr="004E7EA4" w:rsidRDefault="00EF3FD3" w:rsidP="00EF3FD3">
      <w:pPr>
        <w:pStyle w:val="ItemHead"/>
        <w:tabs>
          <w:tab w:val="left" w:pos="6663"/>
        </w:tabs>
      </w:pPr>
      <w:r w:rsidRPr="004E7EA4">
        <w:t xml:space="preserve">1  </w:t>
      </w:r>
      <w:proofErr w:type="spellStart"/>
      <w:r w:rsidRPr="004E7EA4">
        <w:t>Subregulation</w:t>
      </w:r>
      <w:proofErr w:type="spellEnd"/>
      <w:r w:rsidR="004E7EA4" w:rsidRPr="004E7EA4">
        <w:t> </w:t>
      </w:r>
      <w:r w:rsidRPr="004E7EA4">
        <w:t>7.5A.50(4)</w:t>
      </w:r>
    </w:p>
    <w:p w:rsidR="00EF3FD3" w:rsidRPr="004E7EA4" w:rsidRDefault="00EF3FD3" w:rsidP="00EF3FD3">
      <w:pPr>
        <w:pStyle w:val="Item"/>
      </w:pPr>
      <w:r w:rsidRPr="004E7EA4">
        <w:t>Repeal the regulation.</w:t>
      </w:r>
    </w:p>
    <w:p w:rsidR="00EF3FD3" w:rsidRPr="004E7EA4" w:rsidRDefault="00EF3FD3" w:rsidP="00EF3FD3">
      <w:pPr>
        <w:pStyle w:val="ItemHead"/>
      </w:pPr>
      <w:r w:rsidRPr="004E7EA4">
        <w:t>2  Regulations</w:t>
      </w:r>
      <w:r w:rsidR="004E7EA4" w:rsidRPr="004E7EA4">
        <w:t> </w:t>
      </w:r>
      <w:r w:rsidRPr="004E7EA4">
        <w:t>7.5A.150A and 7.5A.150B</w:t>
      </w:r>
    </w:p>
    <w:p w:rsidR="00EF3FD3" w:rsidRPr="004E7EA4" w:rsidRDefault="00EF3FD3" w:rsidP="00EF3FD3">
      <w:pPr>
        <w:pStyle w:val="Item"/>
      </w:pPr>
      <w:r w:rsidRPr="004E7EA4">
        <w:t>Repeal the regulations, substitute:</w:t>
      </w:r>
    </w:p>
    <w:p w:rsidR="00EF3FD3" w:rsidRPr="004E7EA4" w:rsidRDefault="00EF3FD3" w:rsidP="00EF3FD3">
      <w:pPr>
        <w:pStyle w:val="ActHead5"/>
      </w:pPr>
      <w:bookmarkStart w:id="20" w:name="_Toc403564910"/>
      <w:r w:rsidRPr="004E7EA4">
        <w:rPr>
          <w:rStyle w:val="CharSectno"/>
        </w:rPr>
        <w:t>7.5A.150A</w:t>
      </w:r>
      <w:r w:rsidRPr="004E7EA4">
        <w:t xml:space="preserve">  European Union requests for derivative trade data</w:t>
      </w:r>
      <w:bookmarkEnd w:id="20"/>
    </w:p>
    <w:p w:rsidR="00EF3FD3" w:rsidRPr="004E7EA4" w:rsidRDefault="00EF3FD3" w:rsidP="00EF3FD3">
      <w:pPr>
        <w:pStyle w:val="subsection"/>
      </w:pPr>
      <w:r w:rsidRPr="004E7EA4">
        <w:tab/>
        <w:t>(1)</w:t>
      </w:r>
      <w:r w:rsidRPr="004E7EA4">
        <w:tab/>
        <w:t>For paragraph</w:t>
      </w:r>
      <w:r w:rsidR="004E7EA4" w:rsidRPr="004E7EA4">
        <w:t> </w:t>
      </w:r>
      <w:r w:rsidRPr="004E7EA4">
        <w:t>904B(2)(d) of the Act, the persons or bodies mentioned in Article 81(3)(a) to (e), (g), (h) and (j) of Regulation (EU) No 648/2012 of the European Parliament and the Council of the European Union, dated 4</w:t>
      </w:r>
      <w:r w:rsidR="004E7EA4" w:rsidRPr="004E7EA4">
        <w:t> </w:t>
      </w:r>
      <w:r w:rsidRPr="004E7EA4">
        <w:t>July 2012, may request a derivative trade repository licensee to provide the person or body with derivative trade data that is retained in the derivative trade repository.</w:t>
      </w:r>
    </w:p>
    <w:p w:rsidR="00EF3FD3" w:rsidRPr="004E7EA4" w:rsidRDefault="00EF3FD3" w:rsidP="00EF3FD3">
      <w:pPr>
        <w:pStyle w:val="subsection"/>
      </w:pPr>
      <w:r w:rsidRPr="004E7EA4">
        <w:tab/>
        <w:t>(2)</w:t>
      </w:r>
      <w:r w:rsidRPr="004E7EA4">
        <w:tab/>
        <w:t>For subsection</w:t>
      </w:r>
      <w:r w:rsidR="004E7EA4" w:rsidRPr="004E7EA4">
        <w:t> </w:t>
      </w:r>
      <w:r w:rsidRPr="004E7EA4">
        <w:t xml:space="preserve">904B(4) of the Act, information must not be included in derivative trade data provided in response to a request under </w:t>
      </w:r>
      <w:proofErr w:type="spellStart"/>
      <w:r w:rsidRPr="004E7EA4">
        <w:t>subregulation</w:t>
      </w:r>
      <w:proofErr w:type="spellEnd"/>
      <w:r w:rsidR="004E7EA4" w:rsidRPr="004E7EA4">
        <w:t> </w:t>
      </w:r>
      <w:r w:rsidRPr="004E7EA4">
        <w:t>(1) unless:</w:t>
      </w:r>
    </w:p>
    <w:p w:rsidR="00EF3FD3" w:rsidRPr="004E7EA4" w:rsidRDefault="00EF3FD3" w:rsidP="00EF3FD3">
      <w:pPr>
        <w:pStyle w:val="paragraph"/>
      </w:pPr>
      <w:r w:rsidRPr="004E7EA4">
        <w:tab/>
        <w:t>(a)</w:t>
      </w:r>
      <w:r w:rsidRPr="004E7EA4">
        <w:tab/>
        <w:t>the information relates to a transaction or position that is required to be reported under either of the following:</w:t>
      </w:r>
    </w:p>
    <w:p w:rsidR="00EF3FD3" w:rsidRPr="004E7EA4" w:rsidRDefault="00EF3FD3" w:rsidP="00EF3FD3">
      <w:pPr>
        <w:pStyle w:val="paragraphsub"/>
      </w:pPr>
      <w:r w:rsidRPr="004E7EA4">
        <w:tab/>
        <w:t>(</w:t>
      </w:r>
      <w:proofErr w:type="spellStart"/>
      <w:r w:rsidRPr="004E7EA4">
        <w:t>i</w:t>
      </w:r>
      <w:proofErr w:type="spellEnd"/>
      <w:r w:rsidRPr="004E7EA4">
        <w:t>)</w:t>
      </w:r>
      <w:r w:rsidRPr="004E7EA4">
        <w:tab/>
        <w:t>rules made under paragraph</w:t>
      </w:r>
      <w:r w:rsidR="004E7EA4" w:rsidRPr="004E7EA4">
        <w:t> </w:t>
      </w:r>
      <w:r w:rsidRPr="004E7EA4">
        <w:t xml:space="preserve">901A(2)(b) of the </w:t>
      </w:r>
      <w:r w:rsidRPr="004E7EA4">
        <w:rPr>
          <w:i/>
        </w:rPr>
        <w:t>Corporations Act 2001</w:t>
      </w:r>
      <w:r w:rsidRPr="004E7EA4">
        <w:t>;</w:t>
      </w:r>
    </w:p>
    <w:p w:rsidR="00EF3FD3" w:rsidRPr="004E7EA4" w:rsidRDefault="00EF3FD3" w:rsidP="00EF3FD3">
      <w:pPr>
        <w:pStyle w:val="paragraphsub"/>
      </w:pPr>
      <w:r w:rsidRPr="004E7EA4">
        <w:tab/>
        <w:t>(ii)</w:t>
      </w:r>
      <w:r w:rsidRPr="004E7EA4">
        <w:tab/>
        <w:t>the conditions of an exemption given under section</w:t>
      </w:r>
      <w:r w:rsidR="004E7EA4" w:rsidRPr="004E7EA4">
        <w:t> </w:t>
      </w:r>
      <w:r w:rsidRPr="004E7EA4">
        <w:t xml:space="preserve">907D of the </w:t>
      </w:r>
      <w:r w:rsidRPr="004E7EA4">
        <w:rPr>
          <w:i/>
        </w:rPr>
        <w:t>Corporations Act 2001</w:t>
      </w:r>
      <w:r w:rsidRPr="004E7EA4">
        <w:t>; and</w:t>
      </w:r>
    </w:p>
    <w:p w:rsidR="00EF3FD3" w:rsidRPr="004E7EA4" w:rsidRDefault="00EF3FD3" w:rsidP="00EF3FD3">
      <w:pPr>
        <w:pStyle w:val="paragraph"/>
      </w:pPr>
      <w:r w:rsidRPr="004E7EA4">
        <w:tab/>
        <w:t>(b)</w:t>
      </w:r>
      <w:r w:rsidRPr="004E7EA4">
        <w:tab/>
      </w:r>
      <w:proofErr w:type="spellStart"/>
      <w:r w:rsidRPr="004E7EA4">
        <w:t>subregulation</w:t>
      </w:r>
      <w:proofErr w:type="spellEnd"/>
      <w:r w:rsidR="004E7EA4" w:rsidRPr="004E7EA4">
        <w:t> </w:t>
      </w:r>
      <w:r w:rsidRPr="004E7EA4">
        <w:t>(3) or (4) applies.</w:t>
      </w:r>
    </w:p>
    <w:p w:rsidR="00EF3FD3" w:rsidRPr="004E7EA4" w:rsidRDefault="00EF3FD3" w:rsidP="00EF3FD3">
      <w:pPr>
        <w:pStyle w:val="subsection"/>
      </w:pPr>
      <w:r w:rsidRPr="004E7EA4">
        <w:tab/>
        <w:t>(3)</w:t>
      </w:r>
      <w:r w:rsidRPr="004E7EA4">
        <w:tab/>
        <w:t xml:space="preserve">This </w:t>
      </w:r>
      <w:proofErr w:type="spellStart"/>
      <w:r w:rsidRPr="004E7EA4">
        <w:t>subregulation</w:t>
      </w:r>
      <w:proofErr w:type="spellEnd"/>
      <w:r w:rsidR="004E7EA4" w:rsidRPr="004E7EA4">
        <w:t> </w:t>
      </w:r>
      <w:r w:rsidRPr="004E7EA4">
        <w:t>applies if the information relates to a transaction or position that would, but for mutual regulatory recognition arrangements, be required to be reported under one or more of the following:</w:t>
      </w:r>
    </w:p>
    <w:p w:rsidR="00EF3FD3" w:rsidRPr="004E7EA4" w:rsidRDefault="00EF3FD3" w:rsidP="00EF3FD3">
      <w:pPr>
        <w:pStyle w:val="paragraph"/>
      </w:pPr>
      <w:r w:rsidRPr="004E7EA4">
        <w:tab/>
        <w:t>(a)</w:t>
      </w:r>
      <w:r w:rsidRPr="004E7EA4">
        <w:tab/>
        <w:t>Regulation (EU) No 648/2012 of the European Parliament and the Council of the European Union dated 4</w:t>
      </w:r>
      <w:r w:rsidR="004E7EA4" w:rsidRPr="004E7EA4">
        <w:t> </w:t>
      </w:r>
      <w:r w:rsidRPr="004E7EA4">
        <w:t>July 2012;</w:t>
      </w:r>
    </w:p>
    <w:p w:rsidR="00EF3FD3" w:rsidRPr="004E7EA4" w:rsidRDefault="00EF3FD3" w:rsidP="00EF3FD3">
      <w:pPr>
        <w:pStyle w:val="paragraph"/>
      </w:pPr>
      <w:r w:rsidRPr="004E7EA4">
        <w:lastRenderedPageBreak/>
        <w:tab/>
        <w:t>(b)</w:t>
      </w:r>
      <w:r w:rsidRPr="004E7EA4">
        <w:tab/>
        <w:t>Commission Implementing Regulation (EU) No 1247/2012 of the European Parliament and the Council of the European Union, dated 19</w:t>
      </w:r>
      <w:r w:rsidR="004E7EA4" w:rsidRPr="004E7EA4">
        <w:t> </w:t>
      </w:r>
      <w:r w:rsidRPr="004E7EA4">
        <w:t>December 2012;</w:t>
      </w:r>
    </w:p>
    <w:p w:rsidR="00EF3FD3" w:rsidRPr="004E7EA4" w:rsidRDefault="00EF3FD3" w:rsidP="00EF3FD3">
      <w:pPr>
        <w:pStyle w:val="paragraph"/>
      </w:pPr>
      <w:r w:rsidRPr="004E7EA4">
        <w:tab/>
        <w:t>(c)</w:t>
      </w:r>
      <w:r w:rsidRPr="004E7EA4">
        <w:tab/>
        <w:t>Commission Delegated Regulation (EU) No 148/2013 of the European Commission, dated 19</w:t>
      </w:r>
      <w:r w:rsidR="004E7EA4" w:rsidRPr="004E7EA4">
        <w:t> </w:t>
      </w:r>
      <w:r w:rsidRPr="004E7EA4">
        <w:t>December 2012.</w:t>
      </w:r>
    </w:p>
    <w:p w:rsidR="00EF3FD3" w:rsidRPr="004E7EA4" w:rsidRDefault="00EF3FD3" w:rsidP="00EF3FD3">
      <w:pPr>
        <w:pStyle w:val="subsection"/>
      </w:pPr>
      <w:r w:rsidRPr="004E7EA4">
        <w:tab/>
        <w:t>(4)</w:t>
      </w:r>
      <w:r w:rsidRPr="004E7EA4">
        <w:tab/>
        <w:t xml:space="preserve">This </w:t>
      </w:r>
      <w:proofErr w:type="spellStart"/>
      <w:r w:rsidRPr="004E7EA4">
        <w:t>subregulation</w:t>
      </w:r>
      <w:proofErr w:type="spellEnd"/>
      <w:r w:rsidR="004E7EA4" w:rsidRPr="004E7EA4">
        <w:t> </w:t>
      </w:r>
      <w:r w:rsidRPr="004E7EA4">
        <w:t>applies if the information:</w:t>
      </w:r>
    </w:p>
    <w:p w:rsidR="00EF3FD3" w:rsidRPr="004E7EA4" w:rsidRDefault="00EF3FD3" w:rsidP="00EF3FD3">
      <w:pPr>
        <w:pStyle w:val="paragraph"/>
      </w:pPr>
      <w:r w:rsidRPr="004E7EA4">
        <w:tab/>
        <w:t>(a)</w:t>
      </w:r>
      <w:r w:rsidRPr="004E7EA4">
        <w:tab/>
        <w:t>relates to a European Union or European Economic Area underlying asset, index, rate or currency; and</w:t>
      </w:r>
    </w:p>
    <w:p w:rsidR="00EF3FD3" w:rsidRPr="004E7EA4" w:rsidRDefault="00EF3FD3" w:rsidP="00EF3FD3">
      <w:pPr>
        <w:pStyle w:val="paragraph"/>
      </w:pPr>
      <w:r w:rsidRPr="004E7EA4">
        <w:tab/>
        <w:t>(b)</w:t>
      </w:r>
      <w:r w:rsidRPr="004E7EA4">
        <w:tab/>
        <w:t xml:space="preserve">is not covered by </w:t>
      </w:r>
      <w:proofErr w:type="spellStart"/>
      <w:r w:rsidRPr="004E7EA4">
        <w:t>subregulation</w:t>
      </w:r>
      <w:proofErr w:type="spellEnd"/>
      <w:r w:rsidR="004E7EA4" w:rsidRPr="004E7EA4">
        <w:t> </w:t>
      </w:r>
      <w:r w:rsidRPr="004E7EA4">
        <w:t>(3).</w:t>
      </w:r>
    </w:p>
    <w:p w:rsidR="00EF3FD3" w:rsidRPr="004E7EA4" w:rsidRDefault="00EF3FD3" w:rsidP="00EF3FD3">
      <w:pPr>
        <w:pStyle w:val="ActHead5"/>
      </w:pPr>
      <w:bookmarkStart w:id="21" w:name="_Toc403564911"/>
      <w:r w:rsidRPr="004E7EA4">
        <w:rPr>
          <w:rStyle w:val="CharSectno"/>
        </w:rPr>
        <w:t>7.5A.150B</w:t>
      </w:r>
      <w:r w:rsidRPr="004E7EA4">
        <w:t xml:space="preserve">  Other requests for derivative trade data</w:t>
      </w:r>
      <w:bookmarkEnd w:id="21"/>
    </w:p>
    <w:p w:rsidR="00EF3FD3" w:rsidRPr="004E7EA4" w:rsidRDefault="00EF3FD3" w:rsidP="00EF3FD3">
      <w:pPr>
        <w:pStyle w:val="subsection"/>
      </w:pPr>
      <w:r w:rsidRPr="004E7EA4">
        <w:tab/>
        <w:t>(1)</w:t>
      </w:r>
      <w:r w:rsidRPr="004E7EA4">
        <w:tab/>
        <w:t>For paragraph</w:t>
      </w:r>
      <w:r w:rsidR="004E7EA4" w:rsidRPr="004E7EA4">
        <w:t> </w:t>
      </w:r>
      <w:r w:rsidRPr="004E7EA4">
        <w:t>904B(2)(d) of the Act, the Monetary Authority of Singapore may request a derivative trade repository licensee to provide the Monetary Authority of Singapore with derivative trade data that is retained in the derivative trade repository.</w:t>
      </w:r>
    </w:p>
    <w:p w:rsidR="00EF3FD3" w:rsidRPr="004E7EA4" w:rsidRDefault="00EF3FD3" w:rsidP="00EF3FD3">
      <w:pPr>
        <w:pStyle w:val="subsection"/>
      </w:pPr>
      <w:r w:rsidRPr="004E7EA4">
        <w:tab/>
        <w:t>(2)</w:t>
      </w:r>
      <w:r w:rsidRPr="004E7EA4">
        <w:tab/>
        <w:t>The request must be made in accordance with the standards set out in the report “Authorities’ access to trade repository data”:</w:t>
      </w:r>
    </w:p>
    <w:p w:rsidR="00EF3FD3" w:rsidRPr="004E7EA4" w:rsidRDefault="00EF3FD3" w:rsidP="00EF3FD3">
      <w:pPr>
        <w:pStyle w:val="paragraph"/>
      </w:pPr>
      <w:r w:rsidRPr="004E7EA4">
        <w:tab/>
        <w:t>(a)</w:t>
      </w:r>
      <w:r w:rsidRPr="004E7EA4">
        <w:tab/>
        <w:t xml:space="preserve">issued jointly by the Committee on Payment and Settlement Systems (the </w:t>
      </w:r>
      <w:proofErr w:type="spellStart"/>
      <w:r w:rsidRPr="004E7EA4">
        <w:rPr>
          <w:b/>
          <w:i/>
        </w:rPr>
        <w:t>CPSS</w:t>
      </w:r>
      <w:proofErr w:type="spellEnd"/>
      <w:r w:rsidRPr="004E7EA4">
        <w:t xml:space="preserve">) and the International Organization of Securities Commissions (the </w:t>
      </w:r>
      <w:proofErr w:type="spellStart"/>
      <w:r w:rsidRPr="004E7EA4">
        <w:rPr>
          <w:b/>
          <w:i/>
        </w:rPr>
        <w:t>IOSCO</w:t>
      </w:r>
      <w:proofErr w:type="spellEnd"/>
      <w:r w:rsidRPr="004E7EA4">
        <w:t>); and</w:t>
      </w:r>
    </w:p>
    <w:p w:rsidR="00EF3FD3" w:rsidRPr="004E7EA4" w:rsidRDefault="00EF3FD3" w:rsidP="00EF3FD3">
      <w:pPr>
        <w:pStyle w:val="paragraph"/>
      </w:pPr>
      <w:r w:rsidRPr="004E7EA4">
        <w:tab/>
        <w:t>(b)</w:t>
      </w:r>
      <w:r w:rsidRPr="004E7EA4">
        <w:tab/>
        <w:t xml:space="preserve">as supplemented, superseded or modified from time to time by principles, recommendations or standards issued by the </w:t>
      </w:r>
      <w:proofErr w:type="spellStart"/>
      <w:r w:rsidRPr="004E7EA4">
        <w:t>CPSS</w:t>
      </w:r>
      <w:proofErr w:type="spellEnd"/>
      <w:r w:rsidRPr="004E7EA4">
        <w:t xml:space="preserve"> or </w:t>
      </w:r>
      <w:proofErr w:type="spellStart"/>
      <w:r w:rsidRPr="004E7EA4">
        <w:t>IOSCO</w:t>
      </w:r>
      <w:proofErr w:type="spellEnd"/>
      <w:r w:rsidRPr="004E7EA4">
        <w:t xml:space="preserve"> (or a successor of the </w:t>
      </w:r>
      <w:proofErr w:type="spellStart"/>
      <w:r w:rsidRPr="004E7EA4">
        <w:t>CPSS</w:t>
      </w:r>
      <w:proofErr w:type="spellEnd"/>
      <w:r w:rsidRPr="004E7EA4">
        <w:t xml:space="preserve"> or </w:t>
      </w:r>
      <w:proofErr w:type="spellStart"/>
      <w:r w:rsidRPr="004E7EA4">
        <w:t>IOSCO</w:t>
      </w:r>
      <w:proofErr w:type="spellEnd"/>
      <w:r w:rsidRPr="004E7EA4">
        <w:t>).</w:t>
      </w:r>
    </w:p>
    <w:p w:rsidR="00EF3FD3" w:rsidRPr="004E7EA4" w:rsidRDefault="00EF3FD3" w:rsidP="00EF3FD3">
      <w:pPr>
        <w:pStyle w:val="subsection"/>
      </w:pPr>
      <w:r w:rsidRPr="004E7EA4">
        <w:tab/>
        <w:t>(3)</w:t>
      </w:r>
      <w:r w:rsidRPr="004E7EA4">
        <w:tab/>
        <w:t xml:space="preserve">If part of a request under </w:t>
      </w:r>
      <w:proofErr w:type="spellStart"/>
      <w:r w:rsidRPr="004E7EA4">
        <w:t>subregulation</w:t>
      </w:r>
      <w:proofErr w:type="spellEnd"/>
      <w:r w:rsidR="004E7EA4" w:rsidRPr="004E7EA4">
        <w:t> </w:t>
      </w:r>
      <w:r w:rsidRPr="004E7EA4">
        <w:t xml:space="preserve">(1) is made </w:t>
      </w:r>
      <w:r w:rsidR="009A3FC8" w:rsidRPr="004E7EA4">
        <w:t xml:space="preserve">in </w:t>
      </w:r>
      <w:r w:rsidRPr="004E7EA4">
        <w:t xml:space="preserve">accordance with the standards mentioned in </w:t>
      </w:r>
      <w:proofErr w:type="spellStart"/>
      <w:r w:rsidRPr="004E7EA4">
        <w:t>subregulation</w:t>
      </w:r>
      <w:proofErr w:type="spellEnd"/>
      <w:r w:rsidR="004E7EA4" w:rsidRPr="004E7EA4">
        <w:t> </w:t>
      </w:r>
      <w:r w:rsidRPr="004E7EA4">
        <w:t>(2), the part is taken to be a request for the purpose of this regulation.</w:t>
      </w:r>
    </w:p>
    <w:p w:rsidR="00EF3FD3" w:rsidRPr="004E7EA4" w:rsidRDefault="00EF3FD3" w:rsidP="00EF3FD3">
      <w:pPr>
        <w:pStyle w:val="subsection"/>
      </w:pPr>
      <w:r w:rsidRPr="004E7EA4">
        <w:tab/>
        <w:t>(4)</w:t>
      </w:r>
      <w:r w:rsidRPr="004E7EA4">
        <w:tab/>
        <w:t>For subsection</w:t>
      </w:r>
      <w:r w:rsidR="004E7EA4" w:rsidRPr="004E7EA4">
        <w:t> </w:t>
      </w:r>
      <w:r w:rsidRPr="004E7EA4">
        <w:t xml:space="preserve">904B(4) of the Act, information must not be included in derivative trade data provided to a person or body in response to a request under </w:t>
      </w:r>
      <w:proofErr w:type="spellStart"/>
      <w:r w:rsidRPr="004E7EA4">
        <w:t>subregulation</w:t>
      </w:r>
      <w:proofErr w:type="spellEnd"/>
      <w:r w:rsidR="004E7EA4" w:rsidRPr="004E7EA4">
        <w:t> </w:t>
      </w:r>
      <w:r w:rsidRPr="004E7EA4">
        <w:t>(1) unless:</w:t>
      </w:r>
    </w:p>
    <w:p w:rsidR="00EF3FD3" w:rsidRPr="004E7EA4" w:rsidRDefault="00EF3FD3" w:rsidP="00EF3FD3">
      <w:pPr>
        <w:pStyle w:val="paragraph"/>
      </w:pPr>
      <w:r w:rsidRPr="004E7EA4">
        <w:tab/>
        <w:t>(a)</w:t>
      </w:r>
      <w:r w:rsidRPr="004E7EA4">
        <w:tab/>
      </w:r>
      <w:r w:rsidR="009A3FC8" w:rsidRPr="004E7EA4">
        <w:t xml:space="preserve">the information </w:t>
      </w:r>
      <w:r w:rsidRPr="004E7EA4">
        <w:t>relates to a transaction or position that is required to be reported under either of the following:</w:t>
      </w:r>
    </w:p>
    <w:p w:rsidR="00EF3FD3" w:rsidRPr="004E7EA4" w:rsidRDefault="00EF3FD3" w:rsidP="00EF3FD3">
      <w:pPr>
        <w:pStyle w:val="paragraphsub"/>
      </w:pPr>
      <w:r w:rsidRPr="004E7EA4">
        <w:tab/>
        <w:t>(</w:t>
      </w:r>
      <w:proofErr w:type="spellStart"/>
      <w:r w:rsidRPr="004E7EA4">
        <w:t>i</w:t>
      </w:r>
      <w:proofErr w:type="spellEnd"/>
      <w:r w:rsidRPr="004E7EA4">
        <w:t>)</w:t>
      </w:r>
      <w:r w:rsidRPr="004E7EA4">
        <w:tab/>
        <w:t>rules made under paragraph</w:t>
      </w:r>
      <w:r w:rsidR="004E7EA4" w:rsidRPr="004E7EA4">
        <w:t> </w:t>
      </w:r>
      <w:r w:rsidRPr="004E7EA4">
        <w:t xml:space="preserve">901A(2)(b) of the </w:t>
      </w:r>
      <w:r w:rsidRPr="004E7EA4">
        <w:rPr>
          <w:i/>
        </w:rPr>
        <w:t>Corporations Act 2001</w:t>
      </w:r>
      <w:r w:rsidRPr="004E7EA4">
        <w:t>;</w:t>
      </w:r>
    </w:p>
    <w:p w:rsidR="00EF3FD3" w:rsidRPr="004E7EA4" w:rsidRDefault="00EF3FD3" w:rsidP="00EF3FD3">
      <w:pPr>
        <w:pStyle w:val="paragraphsub"/>
      </w:pPr>
      <w:r w:rsidRPr="004E7EA4">
        <w:tab/>
        <w:t>(ii)</w:t>
      </w:r>
      <w:r w:rsidRPr="004E7EA4">
        <w:tab/>
        <w:t>the conditions of an exemption given under section</w:t>
      </w:r>
      <w:r w:rsidR="004E7EA4" w:rsidRPr="004E7EA4">
        <w:t> </w:t>
      </w:r>
      <w:r w:rsidRPr="004E7EA4">
        <w:t xml:space="preserve">907D of the </w:t>
      </w:r>
      <w:r w:rsidRPr="004E7EA4">
        <w:rPr>
          <w:i/>
        </w:rPr>
        <w:t>Corporations Act 2001</w:t>
      </w:r>
      <w:r w:rsidRPr="004E7EA4">
        <w:t>; and</w:t>
      </w:r>
    </w:p>
    <w:p w:rsidR="00EF3FD3" w:rsidRPr="004E7EA4" w:rsidRDefault="00EF3FD3" w:rsidP="00EF3FD3">
      <w:pPr>
        <w:pStyle w:val="paragraph"/>
      </w:pPr>
      <w:r w:rsidRPr="004E7EA4">
        <w:tab/>
        <w:t>(b)</w:t>
      </w:r>
      <w:r w:rsidRPr="004E7EA4">
        <w:tab/>
      </w:r>
      <w:proofErr w:type="spellStart"/>
      <w:r w:rsidRPr="004E7EA4">
        <w:t>subregulation</w:t>
      </w:r>
      <w:proofErr w:type="spellEnd"/>
      <w:r w:rsidR="004E7EA4" w:rsidRPr="004E7EA4">
        <w:t> </w:t>
      </w:r>
      <w:r w:rsidRPr="004E7EA4">
        <w:t>(5) or (6) applies.</w:t>
      </w:r>
    </w:p>
    <w:p w:rsidR="00EF3FD3" w:rsidRPr="004E7EA4" w:rsidRDefault="00EF3FD3" w:rsidP="00EF3FD3">
      <w:pPr>
        <w:pStyle w:val="subsection"/>
      </w:pPr>
      <w:r w:rsidRPr="004E7EA4">
        <w:lastRenderedPageBreak/>
        <w:tab/>
        <w:t>(5)</w:t>
      </w:r>
      <w:r w:rsidRPr="004E7EA4">
        <w:tab/>
        <w:t xml:space="preserve">This </w:t>
      </w:r>
      <w:proofErr w:type="spellStart"/>
      <w:r w:rsidRPr="004E7EA4">
        <w:t>subregulation</w:t>
      </w:r>
      <w:proofErr w:type="spellEnd"/>
      <w:r w:rsidR="004E7EA4" w:rsidRPr="004E7EA4">
        <w:t> </w:t>
      </w:r>
      <w:r w:rsidRPr="004E7EA4">
        <w:t>applies if the information:</w:t>
      </w:r>
    </w:p>
    <w:p w:rsidR="00EF3FD3" w:rsidRPr="004E7EA4" w:rsidRDefault="00EF3FD3" w:rsidP="00EF3FD3">
      <w:pPr>
        <w:pStyle w:val="paragraph"/>
      </w:pPr>
      <w:r w:rsidRPr="004E7EA4">
        <w:tab/>
        <w:t>(a)</w:t>
      </w:r>
      <w:r w:rsidRPr="004E7EA4">
        <w:tab/>
        <w:t>relates to a transaction or position that is, or would be, but for mutual regulatory recognition arrangements, required to be reported under the laws of the jurisdiction in which the person or body is located; and</w:t>
      </w:r>
    </w:p>
    <w:p w:rsidR="00EF3FD3" w:rsidRPr="004E7EA4" w:rsidRDefault="00EF3FD3" w:rsidP="00EF3FD3">
      <w:pPr>
        <w:pStyle w:val="paragraph"/>
      </w:pPr>
      <w:r w:rsidRPr="004E7EA4">
        <w:tab/>
        <w:t>(b)</w:t>
      </w:r>
      <w:r w:rsidRPr="004E7EA4">
        <w:tab/>
        <w:t>is required by the person or body as part of the performance of its functions or exercise of its powers.</w:t>
      </w:r>
    </w:p>
    <w:p w:rsidR="00EF3FD3" w:rsidRPr="004E7EA4" w:rsidRDefault="00EF3FD3" w:rsidP="00EF3FD3">
      <w:pPr>
        <w:pStyle w:val="subsection"/>
      </w:pPr>
      <w:r w:rsidRPr="004E7EA4">
        <w:tab/>
        <w:t>(6)</w:t>
      </w:r>
      <w:r w:rsidRPr="004E7EA4">
        <w:tab/>
        <w:t xml:space="preserve">This </w:t>
      </w:r>
      <w:proofErr w:type="spellStart"/>
      <w:r w:rsidRPr="004E7EA4">
        <w:t>subregulation</w:t>
      </w:r>
      <w:proofErr w:type="spellEnd"/>
      <w:r w:rsidR="004E7EA4" w:rsidRPr="004E7EA4">
        <w:t> </w:t>
      </w:r>
      <w:r w:rsidRPr="004E7EA4">
        <w:t>applies if the information:</w:t>
      </w:r>
    </w:p>
    <w:p w:rsidR="00AA3B56" w:rsidRPr="004E7EA4" w:rsidRDefault="00EF3FD3" w:rsidP="00EF3FD3">
      <w:pPr>
        <w:pStyle w:val="paragraph"/>
      </w:pPr>
      <w:r w:rsidRPr="004E7EA4">
        <w:tab/>
        <w:t>(a)</w:t>
      </w:r>
      <w:r w:rsidRPr="004E7EA4">
        <w:tab/>
      </w:r>
      <w:r w:rsidR="00AA3B56" w:rsidRPr="004E7EA4">
        <w:t>either:</w:t>
      </w:r>
    </w:p>
    <w:p w:rsidR="00EF3FD3" w:rsidRPr="004E7EA4" w:rsidRDefault="00AA3B56" w:rsidP="00AA3B56">
      <w:pPr>
        <w:pStyle w:val="paragraphsub"/>
      </w:pPr>
      <w:r w:rsidRPr="004E7EA4">
        <w:tab/>
        <w:t>(</w:t>
      </w:r>
      <w:proofErr w:type="spellStart"/>
      <w:r w:rsidRPr="004E7EA4">
        <w:t>i</w:t>
      </w:r>
      <w:proofErr w:type="spellEnd"/>
      <w:r w:rsidRPr="004E7EA4">
        <w:t>)</w:t>
      </w:r>
      <w:r w:rsidRPr="004E7EA4">
        <w:tab/>
      </w:r>
      <w:r w:rsidR="00EF3FD3" w:rsidRPr="004E7EA4">
        <w:t xml:space="preserve">relates to an underlying asset, index, rate or currency of the jurisdiction in which the person or body is located; </w:t>
      </w:r>
      <w:r w:rsidRPr="004E7EA4">
        <w:t>or</w:t>
      </w:r>
    </w:p>
    <w:p w:rsidR="00EF3FD3" w:rsidRPr="004E7EA4" w:rsidRDefault="00AA3B56" w:rsidP="00AA3B56">
      <w:pPr>
        <w:pStyle w:val="paragraphsub"/>
      </w:pPr>
      <w:r w:rsidRPr="004E7EA4">
        <w:tab/>
        <w:t>(ii</w:t>
      </w:r>
      <w:r w:rsidR="00EF3FD3" w:rsidRPr="004E7EA4">
        <w:t>)</w:t>
      </w:r>
      <w:r w:rsidR="00EF3FD3" w:rsidRPr="004E7EA4">
        <w:tab/>
        <w:t>relates to a counterparty located in the jurisdiction in which the person or body is located; and</w:t>
      </w:r>
    </w:p>
    <w:p w:rsidR="00EF3FD3" w:rsidRPr="004E7EA4" w:rsidRDefault="00AA3B56" w:rsidP="00EF3FD3">
      <w:pPr>
        <w:pStyle w:val="paragraph"/>
      </w:pPr>
      <w:r w:rsidRPr="004E7EA4">
        <w:tab/>
        <w:t>(b</w:t>
      </w:r>
      <w:r w:rsidR="00EF3FD3" w:rsidRPr="004E7EA4">
        <w:t>)</w:t>
      </w:r>
      <w:r w:rsidR="00EF3FD3" w:rsidRPr="004E7EA4">
        <w:tab/>
        <w:t>is required by the person or body as part of the performance of its functions or exercise of its powers; and</w:t>
      </w:r>
    </w:p>
    <w:p w:rsidR="004D7AE7" w:rsidRPr="004E7EA4" w:rsidRDefault="00AA3B56" w:rsidP="00EF3FD3">
      <w:pPr>
        <w:pStyle w:val="paragraph"/>
      </w:pPr>
      <w:r w:rsidRPr="004E7EA4">
        <w:tab/>
        <w:t>(c</w:t>
      </w:r>
      <w:r w:rsidR="00EF3FD3" w:rsidRPr="004E7EA4">
        <w:t>)</w:t>
      </w:r>
      <w:r w:rsidR="00EF3FD3" w:rsidRPr="004E7EA4">
        <w:tab/>
        <w:t xml:space="preserve">is not covered by </w:t>
      </w:r>
      <w:proofErr w:type="spellStart"/>
      <w:r w:rsidR="00EF3FD3" w:rsidRPr="004E7EA4">
        <w:t>subregulation</w:t>
      </w:r>
      <w:proofErr w:type="spellEnd"/>
      <w:r w:rsidR="004E7EA4" w:rsidRPr="004E7EA4">
        <w:t> </w:t>
      </w:r>
      <w:r w:rsidR="00EF3FD3" w:rsidRPr="004E7EA4">
        <w:t>(5).</w:t>
      </w:r>
    </w:p>
    <w:sectPr w:rsidR="004D7AE7" w:rsidRPr="004E7EA4" w:rsidSect="00CE1B19">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DF" w:rsidRDefault="000858DF" w:rsidP="0048364F">
      <w:pPr>
        <w:spacing w:line="240" w:lineRule="auto"/>
      </w:pPr>
      <w:r>
        <w:separator/>
      </w:r>
    </w:p>
  </w:endnote>
  <w:endnote w:type="continuationSeparator" w:id="0">
    <w:p w:rsidR="000858DF" w:rsidRDefault="000858D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CE1B19" w:rsidRDefault="000858DF" w:rsidP="00CE1B19">
    <w:pPr>
      <w:pStyle w:val="Footer"/>
      <w:tabs>
        <w:tab w:val="clear" w:pos="4153"/>
        <w:tab w:val="clear" w:pos="8306"/>
        <w:tab w:val="center" w:pos="4150"/>
        <w:tab w:val="right" w:pos="8307"/>
      </w:tabs>
      <w:spacing w:before="120"/>
      <w:rPr>
        <w:i/>
        <w:sz w:val="18"/>
      </w:rPr>
    </w:pPr>
    <w:r w:rsidRPr="00CE1B19">
      <w:rPr>
        <w:i/>
        <w:sz w:val="18"/>
      </w:rPr>
      <w:t xml:space="preserve"> </w:t>
    </w:r>
    <w:r w:rsidR="00CE1B19" w:rsidRPr="00CE1B19">
      <w:rPr>
        <w:i/>
        <w:sz w:val="18"/>
      </w:rPr>
      <w:t>OPC60928 -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19" w:rsidRDefault="00CE1B19" w:rsidP="00CE1B19">
    <w:pPr>
      <w:pStyle w:val="Footer"/>
    </w:pPr>
    <w:r w:rsidRPr="00CE1B19">
      <w:rPr>
        <w:i/>
        <w:sz w:val="18"/>
      </w:rPr>
      <w:t>OPC60928 -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CE1B19" w:rsidRDefault="000858DF" w:rsidP="00486382">
    <w:pPr>
      <w:pStyle w:val="Footer"/>
      <w:rPr>
        <w:sz w:val="18"/>
      </w:rPr>
    </w:pPr>
  </w:p>
  <w:p w:rsidR="000858DF" w:rsidRPr="00CE1B19" w:rsidRDefault="00CE1B19" w:rsidP="00CE1B19">
    <w:pPr>
      <w:pStyle w:val="Footer"/>
      <w:rPr>
        <w:sz w:val="18"/>
      </w:rPr>
    </w:pPr>
    <w:r w:rsidRPr="00CE1B19">
      <w:rPr>
        <w:i/>
        <w:sz w:val="18"/>
      </w:rPr>
      <w:t>OPC60928 -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CE1B19" w:rsidRDefault="000858DF"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0858DF" w:rsidRPr="00CE1B19" w:rsidTr="00E33C1C">
      <w:tc>
        <w:tcPr>
          <w:tcW w:w="533" w:type="dxa"/>
          <w:tcBorders>
            <w:top w:val="nil"/>
            <w:left w:val="nil"/>
            <w:bottom w:val="nil"/>
            <w:right w:val="nil"/>
          </w:tcBorders>
        </w:tcPr>
        <w:p w:rsidR="000858DF" w:rsidRPr="00CE1B19" w:rsidRDefault="000858DF" w:rsidP="00E33C1C">
          <w:pPr>
            <w:spacing w:line="0" w:lineRule="atLeast"/>
            <w:rPr>
              <w:rFonts w:cs="Times New Roman"/>
              <w:i/>
              <w:sz w:val="18"/>
            </w:rPr>
          </w:pPr>
          <w:r w:rsidRPr="00CE1B19">
            <w:rPr>
              <w:rFonts w:cs="Times New Roman"/>
              <w:i/>
              <w:sz w:val="18"/>
            </w:rPr>
            <w:fldChar w:fldCharType="begin"/>
          </w:r>
          <w:r w:rsidRPr="00CE1B19">
            <w:rPr>
              <w:rFonts w:cs="Times New Roman"/>
              <w:i/>
              <w:sz w:val="18"/>
            </w:rPr>
            <w:instrText xml:space="preserve"> PAGE </w:instrText>
          </w:r>
          <w:r w:rsidRPr="00CE1B19">
            <w:rPr>
              <w:rFonts w:cs="Times New Roman"/>
              <w:i/>
              <w:sz w:val="18"/>
            </w:rPr>
            <w:fldChar w:fldCharType="separate"/>
          </w:r>
          <w:r w:rsidR="001948F9">
            <w:rPr>
              <w:rFonts w:cs="Times New Roman"/>
              <w:i/>
              <w:noProof/>
              <w:sz w:val="18"/>
            </w:rPr>
            <w:t>xi</w:t>
          </w:r>
          <w:r w:rsidRPr="00CE1B19">
            <w:rPr>
              <w:rFonts w:cs="Times New Roman"/>
              <w:i/>
              <w:sz w:val="18"/>
            </w:rPr>
            <w:fldChar w:fldCharType="end"/>
          </w:r>
        </w:p>
      </w:tc>
      <w:tc>
        <w:tcPr>
          <w:tcW w:w="5387" w:type="dxa"/>
          <w:tcBorders>
            <w:top w:val="nil"/>
            <w:left w:val="nil"/>
            <w:bottom w:val="nil"/>
            <w:right w:val="nil"/>
          </w:tcBorders>
        </w:tcPr>
        <w:p w:rsidR="000858DF" w:rsidRPr="00CE1B19" w:rsidRDefault="000858DF" w:rsidP="00E33C1C">
          <w:pPr>
            <w:spacing w:line="0" w:lineRule="atLeast"/>
            <w:jc w:val="center"/>
            <w:rPr>
              <w:rFonts w:cs="Times New Roman"/>
              <w:i/>
              <w:sz w:val="18"/>
            </w:rPr>
          </w:pPr>
          <w:r w:rsidRPr="00CE1B19">
            <w:rPr>
              <w:rFonts w:cs="Times New Roman"/>
              <w:i/>
              <w:sz w:val="18"/>
            </w:rPr>
            <w:fldChar w:fldCharType="begin"/>
          </w:r>
          <w:r w:rsidRPr="00CE1B19">
            <w:rPr>
              <w:rFonts w:cs="Times New Roman"/>
              <w:i/>
              <w:sz w:val="18"/>
            </w:rPr>
            <w:instrText xml:space="preserve"> DOCPROPERTY ShortT </w:instrText>
          </w:r>
          <w:r w:rsidRPr="00CE1B19">
            <w:rPr>
              <w:rFonts w:cs="Times New Roman"/>
              <w:i/>
              <w:sz w:val="18"/>
            </w:rPr>
            <w:fldChar w:fldCharType="separate"/>
          </w:r>
          <w:r w:rsidR="00381D2D">
            <w:rPr>
              <w:rFonts w:cs="Times New Roman"/>
              <w:i/>
              <w:sz w:val="18"/>
            </w:rPr>
            <w:t>Corporations Laws Amendment (2014 Measures No. 3) Regulation 2014</w:t>
          </w:r>
          <w:r w:rsidRPr="00CE1B19">
            <w:rPr>
              <w:rFonts w:cs="Times New Roman"/>
              <w:i/>
              <w:sz w:val="18"/>
            </w:rPr>
            <w:fldChar w:fldCharType="end"/>
          </w:r>
        </w:p>
      </w:tc>
      <w:tc>
        <w:tcPr>
          <w:tcW w:w="1383" w:type="dxa"/>
          <w:tcBorders>
            <w:top w:val="nil"/>
            <w:left w:val="nil"/>
            <w:bottom w:val="nil"/>
            <w:right w:val="nil"/>
          </w:tcBorders>
        </w:tcPr>
        <w:p w:rsidR="000858DF" w:rsidRPr="00CE1B19" w:rsidRDefault="000858DF" w:rsidP="00E33C1C">
          <w:pPr>
            <w:spacing w:line="0" w:lineRule="atLeast"/>
            <w:jc w:val="right"/>
            <w:rPr>
              <w:rFonts w:cs="Times New Roman"/>
              <w:i/>
              <w:sz w:val="18"/>
            </w:rPr>
          </w:pPr>
          <w:r w:rsidRPr="00CE1B19">
            <w:rPr>
              <w:rFonts w:cs="Times New Roman"/>
              <w:i/>
              <w:sz w:val="18"/>
            </w:rPr>
            <w:fldChar w:fldCharType="begin"/>
          </w:r>
          <w:r w:rsidRPr="00CE1B19">
            <w:rPr>
              <w:rFonts w:cs="Times New Roman"/>
              <w:i/>
              <w:sz w:val="18"/>
            </w:rPr>
            <w:instrText xml:space="preserve"> DOCPROPERTY ActNo </w:instrText>
          </w:r>
          <w:r w:rsidRPr="00CE1B19">
            <w:rPr>
              <w:rFonts w:cs="Times New Roman"/>
              <w:i/>
              <w:sz w:val="18"/>
            </w:rPr>
            <w:fldChar w:fldCharType="separate"/>
          </w:r>
          <w:r w:rsidR="00381D2D">
            <w:rPr>
              <w:rFonts w:cs="Times New Roman"/>
              <w:i/>
              <w:sz w:val="18"/>
            </w:rPr>
            <w:t>No. 185, 2014</w:t>
          </w:r>
          <w:r w:rsidRPr="00CE1B19">
            <w:rPr>
              <w:rFonts w:cs="Times New Roman"/>
              <w:i/>
              <w:sz w:val="18"/>
            </w:rPr>
            <w:fldChar w:fldCharType="end"/>
          </w:r>
        </w:p>
      </w:tc>
    </w:tr>
  </w:tbl>
  <w:p w:rsidR="000858DF" w:rsidRPr="00CE1B19" w:rsidRDefault="00CE1B19" w:rsidP="00CE1B19">
    <w:pPr>
      <w:rPr>
        <w:rFonts w:cs="Times New Roman"/>
        <w:i/>
        <w:sz w:val="18"/>
      </w:rPr>
    </w:pPr>
    <w:r w:rsidRPr="00CE1B19">
      <w:rPr>
        <w:rFonts w:cs="Times New Roman"/>
        <w:i/>
        <w:sz w:val="18"/>
      </w:rPr>
      <w:t>OPC60928 -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E33C1C" w:rsidRDefault="000858DF"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0858DF" w:rsidTr="00E33C1C">
      <w:tc>
        <w:tcPr>
          <w:tcW w:w="1383" w:type="dxa"/>
          <w:tcBorders>
            <w:top w:val="nil"/>
            <w:left w:val="nil"/>
            <w:bottom w:val="nil"/>
            <w:right w:val="nil"/>
          </w:tcBorders>
        </w:tcPr>
        <w:p w:rsidR="000858DF" w:rsidRDefault="000858DF"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381D2D">
            <w:rPr>
              <w:i/>
              <w:sz w:val="18"/>
            </w:rPr>
            <w:t>No. 185, 2014</w:t>
          </w:r>
          <w:r w:rsidRPr="007A1328">
            <w:rPr>
              <w:i/>
              <w:sz w:val="18"/>
            </w:rPr>
            <w:fldChar w:fldCharType="end"/>
          </w:r>
        </w:p>
      </w:tc>
      <w:tc>
        <w:tcPr>
          <w:tcW w:w="5387" w:type="dxa"/>
          <w:tcBorders>
            <w:top w:val="nil"/>
            <w:left w:val="nil"/>
            <w:bottom w:val="nil"/>
            <w:right w:val="nil"/>
          </w:tcBorders>
        </w:tcPr>
        <w:p w:rsidR="000858DF" w:rsidRDefault="000858DF"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1D2D">
            <w:rPr>
              <w:i/>
              <w:sz w:val="18"/>
            </w:rPr>
            <w:t>Corporations Laws Amendment (2014 Measures No. 3) Regulation 2014</w:t>
          </w:r>
          <w:r w:rsidRPr="007A1328">
            <w:rPr>
              <w:i/>
              <w:sz w:val="18"/>
            </w:rPr>
            <w:fldChar w:fldCharType="end"/>
          </w:r>
        </w:p>
      </w:tc>
      <w:tc>
        <w:tcPr>
          <w:tcW w:w="533" w:type="dxa"/>
          <w:tcBorders>
            <w:top w:val="nil"/>
            <w:left w:val="nil"/>
            <w:bottom w:val="nil"/>
            <w:right w:val="nil"/>
          </w:tcBorders>
        </w:tcPr>
        <w:p w:rsidR="000858DF" w:rsidRDefault="000858DF"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1D2D">
            <w:rPr>
              <w:i/>
              <w:noProof/>
              <w:sz w:val="18"/>
            </w:rPr>
            <w:t>i</w:t>
          </w:r>
          <w:r w:rsidRPr="00ED79B6">
            <w:rPr>
              <w:i/>
              <w:sz w:val="18"/>
            </w:rPr>
            <w:fldChar w:fldCharType="end"/>
          </w:r>
        </w:p>
      </w:tc>
    </w:tr>
  </w:tbl>
  <w:p w:rsidR="000858DF" w:rsidRPr="00ED79B6" w:rsidRDefault="00CE1B19" w:rsidP="00CE1B19">
    <w:pPr>
      <w:rPr>
        <w:i/>
        <w:sz w:val="18"/>
      </w:rPr>
    </w:pPr>
    <w:r w:rsidRPr="00CE1B19">
      <w:rPr>
        <w:rFonts w:cs="Times New Roman"/>
        <w:i/>
        <w:sz w:val="18"/>
      </w:rPr>
      <w:t>OPC60928 -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CE1B19" w:rsidRDefault="000858DF"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0858DF" w:rsidRPr="00CE1B19" w:rsidTr="00E33C1C">
      <w:tc>
        <w:tcPr>
          <w:tcW w:w="533" w:type="dxa"/>
          <w:tcBorders>
            <w:top w:val="nil"/>
            <w:left w:val="nil"/>
            <w:bottom w:val="nil"/>
            <w:right w:val="nil"/>
          </w:tcBorders>
        </w:tcPr>
        <w:p w:rsidR="000858DF" w:rsidRPr="00CE1B19" w:rsidRDefault="000858DF" w:rsidP="00E33C1C">
          <w:pPr>
            <w:spacing w:line="0" w:lineRule="atLeast"/>
            <w:rPr>
              <w:rFonts w:cs="Times New Roman"/>
              <w:i/>
              <w:sz w:val="18"/>
            </w:rPr>
          </w:pPr>
          <w:r w:rsidRPr="00CE1B19">
            <w:rPr>
              <w:rFonts w:cs="Times New Roman"/>
              <w:i/>
              <w:sz w:val="18"/>
            </w:rPr>
            <w:fldChar w:fldCharType="begin"/>
          </w:r>
          <w:r w:rsidRPr="00CE1B19">
            <w:rPr>
              <w:rFonts w:cs="Times New Roman"/>
              <w:i/>
              <w:sz w:val="18"/>
            </w:rPr>
            <w:instrText xml:space="preserve"> PAGE </w:instrText>
          </w:r>
          <w:r w:rsidRPr="00CE1B19">
            <w:rPr>
              <w:rFonts w:cs="Times New Roman"/>
              <w:i/>
              <w:sz w:val="18"/>
            </w:rPr>
            <w:fldChar w:fldCharType="separate"/>
          </w:r>
          <w:r w:rsidR="00381D2D">
            <w:rPr>
              <w:rFonts w:cs="Times New Roman"/>
              <w:i/>
              <w:noProof/>
              <w:sz w:val="18"/>
            </w:rPr>
            <w:t>12</w:t>
          </w:r>
          <w:r w:rsidRPr="00CE1B19">
            <w:rPr>
              <w:rFonts w:cs="Times New Roman"/>
              <w:i/>
              <w:sz w:val="18"/>
            </w:rPr>
            <w:fldChar w:fldCharType="end"/>
          </w:r>
        </w:p>
      </w:tc>
      <w:tc>
        <w:tcPr>
          <w:tcW w:w="5387" w:type="dxa"/>
          <w:tcBorders>
            <w:top w:val="nil"/>
            <w:left w:val="nil"/>
            <w:bottom w:val="nil"/>
            <w:right w:val="nil"/>
          </w:tcBorders>
        </w:tcPr>
        <w:p w:rsidR="000858DF" w:rsidRPr="00CE1B19" w:rsidRDefault="000858DF" w:rsidP="00E33C1C">
          <w:pPr>
            <w:spacing w:line="0" w:lineRule="atLeast"/>
            <w:jc w:val="center"/>
            <w:rPr>
              <w:rFonts w:cs="Times New Roman"/>
              <w:i/>
              <w:sz w:val="18"/>
            </w:rPr>
          </w:pPr>
          <w:r w:rsidRPr="00CE1B19">
            <w:rPr>
              <w:rFonts w:cs="Times New Roman"/>
              <w:i/>
              <w:sz w:val="18"/>
            </w:rPr>
            <w:fldChar w:fldCharType="begin"/>
          </w:r>
          <w:r w:rsidRPr="00CE1B19">
            <w:rPr>
              <w:rFonts w:cs="Times New Roman"/>
              <w:i/>
              <w:sz w:val="18"/>
            </w:rPr>
            <w:instrText xml:space="preserve"> DOCPROPERTY ShortT </w:instrText>
          </w:r>
          <w:r w:rsidRPr="00CE1B19">
            <w:rPr>
              <w:rFonts w:cs="Times New Roman"/>
              <w:i/>
              <w:sz w:val="18"/>
            </w:rPr>
            <w:fldChar w:fldCharType="separate"/>
          </w:r>
          <w:r w:rsidR="00381D2D">
            <w:rPr>
              <w:rFonts w:cs="Times New Roman"/>
              <w:i/>
              <w:sz w:val="18"/>
            </w:rPr>
            <w:t>Corporations Laws Amendment (2014 Measures No. 3) Regulation 2014</w:t>
          </w:r>
          <w:r w:rsidRPr="00CE1B19">
            <w:rPr>
              <w:rFonts w:cs="Times New Roman"/>
              <w:i/>
              <w:sz w:val="18"/>
            </w:rPr>
            <w:fldChar w:fldCharType="end"/>
          </w:r>
        </w:p>
      </w:tc>
      <w:tc>
        <w:tcPr>
          <w:tcW w:w="1383" w:type="dxa"/>
          <w:tcBorders>
            <w:top w:val="nil"/>
            <w:left w:val="nil"/>
            <w:bottom w:val="nil"/>
            <w:right w:val="nil"/>
          </w:tcBorders>
        </w:tcPr>
        <w:p w:rsidR="000858DF" w:rsidRPr="00CE1B19" w:rsidRDefault="000858DF" w:rsidP="00E33C1C">
          <w:pPr>
            <w:spacing w:line="0" w:lineRule="atLeast"/>
            <w:jc w:val="right"/>
            <w:rPr>
              <w:rFonts w:cs="Times New Roman"/>
              <w:i/>
              <w:sz w:val="18"/>
            </w:rPr>
          </w:pPr>
          <w:r w:rsidRPr="00CE1B19">
            <w:rPr>
              <w:rFonts w:cs="Times New Roman"/>
              <w:i/>
              <w:sz w:val="18"/>
            </w:rPr>
            <w:fldChar w:fldCharType="begin"/>
          </w:r>
          <w:r w:rsidRPr="00CE1B19">
            <w:rPr>
              <w:rFonts w:cs="Times New Roman"/>
              <w:i/>
              <w:sz w:val="18"/>
            </w:rPr>
            <w:instrText xml:space="preserve"> DOCPROPERTY ActNo </w:instrText>
          </w:r>
          <w:r w:rsidRPr="00CE1B19">
            <w:rPr>
              <w:rFonts w:cs="Times New Roman"/>
              <w:i/>
              <w:sz w:val="18"/>
            </w:rPr>
            <w:fldChar w:fldCharType="separate"/>
          </w:r>
          <w:r w:rsidR="00381D2D">
            <w:rPr>
              <w:rFonts w:cs="Times New Roman"/>
              <w:i/>
              <w:sz w:val="18"/>
            </w:rPr>
            <w:t>No. 185, 2014</w:t>
          </w:r>
          <w:r w:rsidRPr="00CE1B19">
            <w:rPr>
              <w:rFonts w:cs="Times New Roman"/>
              <w:i/>
              <w:sz w:val="18"/>
            </w:rPr>
            <w:fldChar w:fldCharType="end"/>
          </w:r>
        </w:p>
      </w:tc>
    </w:tr>
  </w:tbl>
  <w:p w:rsidR="000858DF" w:rsidRPr="00CE1B19" w:rsidRDefault="00CE1B19" w:rsidP="00CE1B19">
    <w:pPr>
      <w:rPr>
        <w:rFonts w:cs="Times New Roman"/>
        <w:i/>
        <w:sz w:val="18"/>
      </w:rPr>
    </w:pPr>
    <w:r w:rsidRPr="00CE1B19">
      <w:rPr>
        <w:rFonts w:cs="Times New Roman"/>
        <w:i/>
        <w:sz w:val="18"/>
      </w:rPr>
      <w:t>OPC60928 -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E33C1C" w:rsidRDefault="000858DF"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0858DF" w:rsidTr="00E33C1C">
      <w:tc>
        <w:tcPr>
          <w:tcW w:w="1383" w:type="dxa"/>
          <w:tcBorders>
            <w:top w:val="nil"/>
            <w:left w:val="nil"/>
            <w:bottom w:val="nil"/>
            <w:right w:val="nil"/>
          </w:tcBorders>
        </w:tcPr>
        <w:p w:rsidR="000858DF" w:rsidRDefault="000858DF"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381D2D">
            <w:rPr>
              <w:i/>
              <w:sz w:val="18"/>
            </w:rPr>
            <w:t>No. 185, 2014</w:t>
          </w:r>
          <w:r w:rsidRPr="007A1328">
            <w:rPr>
              <w:i/>
              <w:sz w:val="18"/>
            </w:rPr>
            <w:fldChar w:fldCharType="end"/>
          </w:r>
        </w:p>
      </w:tc>
      <w:tc>
        <w:tcPr>
          <w:tcW w:w="5387" w:type="dxa"/>
          <w:tcBorders>
            <w:top w:val="nil"/>
            <w:left w:val="nil"/>
            <w:bottom w:val="nil"/>
            <w:right w:val="nil"/>
          </w:tcBorders>
        </w:tcPr>
        <w:p w:rsidR="000858DF" w:rsidRDefault="000858DF"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1D2D">
            <w:rPr>
              <w:i/>
              <w:sz w:val="18"/>
            </w:rPr>
            <w:t>Corporations Laws Amendment (2014 Measures No. 3) Regulation 2014</w:t>
          </w:r>
          <w:r w:rsidRPr="007A1328">
            <w:rPr>
              <w:i/>
              <w:sz w:val="18"/>
            </w:rPr>
            <w:fldChar w:fldCharType="end"/>
          </w:r>
        </w:p>
      </w:tc>
      <w:tc>
        <w:tcPr>
          <w:tcW w:w="533" w:type="dxa"/>
          <w:tcBorders>
            <w:top w:val="nil"/>
            <w:left w:val="nil"/>
            <w:bottom w:val="nil"/>
            <w:right w:val="nil"/>
          </w:tcBorders>
        </w:tcPr>
        <w:p w:rsidR="000858DF" w:rsidRDefault="000858DF"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81D2D">
            <w:rPr>
              <w:i/>
              <w:noProof/>
              <w:sz w:val="18"/>
            </w:rPr>
            <w:t>1</w:t>
          </w:r>
          <w:r w:rsidRPr="00ED79B6">
            <w:rPr>
              <w:i/>
              <w:sz w:val="18"/>
            </w:rPr>
            <w:fldChar w:fldCharType="end"/>
          </w:r>
        </w:p>
      </w:tc>
    </w:tr>
  </w:tbl>
  <w:p w:rsidR="000858DF" w:rsidRPr="00ED79B6" w:rsidRDefault="00CE1B19" w:rsidP="00CE1B19">
    <w:pPr>
      <w:rPr>
        <w:i/>
        <w:sz w:val="18"/>
      </w:rPr>
    </w:pPr>
    <w:r w:rsidRPr="00CE1B19">
      <w:rPr>
        <w:rFonts w:cs="Times New Roman"/>
        <w:i/>
        <w:sz w:val="18"/>
      </w:rPr>
      <w:t>OPC60928 -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E33C1C" w:rsidRDefault="000858DF"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0858DF" w:rsidTr="004B3C3B">
      <w:tc>
        <w:tcPr>
          <w:tcW w:w="1383" w:type="dxa"/>
          <w:tcBorders>
            <w:top w:val="nil"/>
            <w:left w:val="nil"/>
            <w:bottom w:val="nil"/>
            <w:right w:val="nil"/>
          </w:tcBorders>
        </w:tcPr>
        <w:p w:rsidR="000858DF" w:rsidRDefault="000858DF" w:rsidP="004B3C3B">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381D2D">
            <w:rPr>
              <w:i/>
              <w:sz w:val="18"/>
            </w:rPr>
            <w:t>No. 185, 2014</w:t>
          </w:r>
          <w:r w:rsidRPr="007A1328">
            <w:rPr>
              <w:i/>
              <w:sz w:val="18"/>
            </w:rPr>
            <w:fldChar w:fldCharType="end"/>
          </w:r>
        </w:p>
      </w:tc>
      <w:tc>
        <w:tcPr>
          <w:tcW w:w="5387" w:type="dxa"/>
          <w:tcBorders>
            <w:top w:val="nil"/>
            <w:left w:val="nil"/>
            <w:bottom w:val="nil"/>
            <w:right w:val="nil"/>
          </w:tcBorders>
        </w:tcPr>
        <w:p w:rsidR="000858DF" w:rsidRDefault="000858DF" w:rsidP="004B3C3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81D2D">
            <w:rPr>
              <w:i/>
              <w:sz w:val="18"/>
            </w:rPr>
            <w:t>Corporations Laws Amendment (2014 Measures No. 3) Regulation 2014</w:t>
          </w:r>
          <w:r w:rsidRPr="007A1328">
            <w:rPr>
              <w:i/>
              <w:sz w:val="18"/>
            </w:rPr>
            <w:fldChar w:fldCharType="end"/>
          </w:r>
        </w:p>
      </w:tc>
      <w:tc>
        <w:tcPr>
          <w:tcW w:w="533" w:type="dxa"/>
          <w:tcBorders>
            <w:top w:val="nil"/>
            <w:left w:val="nil"/>
            <w:bottom w:val="nil"/>
            <w:right w:val="nil"/>
          </w:tcBorders>
        </w:tcPr>
        <w:p w:rsidR="000858DF" w:rsidRDefault="000858DF" w:rsidP="004B3C3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948F9">
            <w:rPr>
              <w:i/>
              <w:noProof/>
              <w:sz w:val="18"/>
            </w:rPr>
            <w:t>11</w:t>
          </w:r>
          <w:r w:rsidRPr="00ED79B6">
            <w:rPr>
              <w:i/>
              <w:sz w:val="18"/>
            </w:rPr>
            <w:fldChar w:fldCharType="end"/>
          </w:r>
        </w:p>
      </w:tc>
    </w:tr>
  </w:tbl>
  <w:p w:rsidR="000858DF" w:rsidRPr="00ED79B6" w:rsidRDefault="000858DF"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DF" w:rsidRDefault="000858DF" w:rsidP="0048364F">
      <w:pPr>
        <w:spacing w:line="240" w:lineRule="auto"/>
      </w:pPr>
      <w:r>
        <w:separator/>
      </w:r>
    </w:p>
  </w:footnote>
  <w:footnote w:type="continuationSeparator" w:id="0">
    <w:p w:rsidR="000858DF" w:rsidRDefault="000858D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5F1388" w:rsidRDefault="000858DF"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5F1388" w:rsidRDefault="000858DF"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5F1388" w:rsidRDefault="000858D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ED79B6" w:rsidRDefault="000858DF"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ED79B6" w:rsidRDefault="000858DF"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ED79B6" w:rsidRDefault="000858D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A961C4" w:rsidRDefault="000858DF" w:rsidP="00B63BDE">
    <w:pPr>
      <w:rPr>
        <w:b/>
        <w:sz w:val="20"/>
      </w:rPr>
    </w:pPr>
    <w:r>
      <w:rPr>
        <w:b/>
        <w:sz w:val="20"/>
      </w:rPr>
      <w:fldChar w:fldCharType="begin"/>
    </w:r>
    <w:r>
      <w:rPr>
        <w:b/>
        <w:sz w:val="20"/>
      </w:rPr>
      <w:instrText xml:space="preserve"> STYLEREF CharAmSchNo </w:instrText>
    </w:r>
    <w:r w:rsidR="00381D2D">
      <w:rPr>
        <w:b/>
        <w:sz w:val="20"/>
      </w:rPr>
      <w:fldChar w:fldCharType="separate"/>
    </w:r>
    <w:r w:rsidR="00381D2D">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81D2D">
      <w:rPr>
        <w:sz w:val="20"/>
      </w:rPr>
      <w:fldChar w:fldCharType="separate"/>
    </w:r>
    <w:r w:rsidR="00381D2D">
      <w:rPr>
        <w:noProof/>
        <w:sz w:val="20"/>
      </w:rPr>
      <w:t>Central clearing and trade reporting</w:t>
    </w:r>
    <w:r>
      <w:rPr>
        <w:sz w:val="20"/>
      </w:rPr>
      <w:fldChar w:fldCharType="end"/>
    </w:r>
  </w:p>
  <w:p w:rsidR="000858DF" w:rsidRPr="00A961C4" w:rsidRDefault="000858DF"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0858DF" w:rsidRPr="00A961C4" w:rsidRDefault="000858DF"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A961C4" w:rsidRDefault="000858DF"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0858DF" w:rsidRPr="00A961C4" w:rsidRDefault="000858DF"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858DF" w:rsidRPr="00A961C4" w:rsidRDefault="000858DF"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DF" w:rsidRPr="00A961C4" w:rsidRDefault="000858DF"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C8"/>
    <w:rsid w:val="000041C6"/>
    <w:rsid w:val="000063E4"/>
    <w:rsid w:val="00011222"/>
    <w:rsid w:val="000113BC"/>
    <w:rsid w:val="000136AF"/>
    <w:rsid w:val="00025060"/>
    <w:rsid w:val="0004044E"/>
    <w:rsid w:val="000614BF"/>
    <w:rsid w:val="000858DF"/>
    <w:rsid w:val="000A182C"/>
    <w:rsid w:val="000B688E"/>
    <w:rsid w:val="000C4E79"/>
    <w:rsid w:val="000D05EF"/>
    <w:rsid w:val="000F21C1"/>
    <w:rsid w:val="000F7427"/>
    <w:rsid w:val="0010745C"/>
    <w:rsid w:val="00116975"/>
    <w:rsid w:val="00126F1A"/>
    <w:rsid w:val="00154EAC"/>
    <w:rsid w:val="001643C9"/>
    <w:rsid w:val="00165568"/>
    <w:rsid w:val="00166C2F"/>
    <w:rsid w:val="001716C9"/>
    <w:rsid w:val="00171EAE"/>
    <w:rsid w:val="00191859"/>
    <w:rsid w:val="00193461"/>
    <w:rsid w:val="001939E1"/>
    <w:rsid w:val="001948F9"/>
    <w:rsid w:val="00195382"/>
    <w:rsid w:val="001B3097"/>
    <w:rsid w:val="001B3347"/>
    <w:rsid w:val="001B7A5D"/>
    <w:rsid w:val="001C69C4"/>
    <w:rsid w:val="001C7D1F"/>
    <w:rsid w:val="001D17B2"/>
    <w:rsid w:val="001D4229"/>
    <w:rsid w:val="001D7F83"/>
    <w:rsid w:val="001E16D0"/>
    <w:rsid w:val="001E3590"/>
    <w:rsid w:val="001E562E"/>
    <w:rsid w:val="001E7407"/>
    <w:rsid w:val="001F6924"/>
    <w:rsid w:val="00201D27"/>
    <w:rsid w:val="00231427"/>
    <w:rsid w:val="00240749"/>
    <w:rsid w:val="00265FBC"/>
    <w:rsid w:val="00266D05"/>
    <w:rsid w:val="002932B1"/>
    <w:rsid w:val="00295408"/>
    <w:rsid w:val="00297ECB"/>
    <w:rsid w:val="002A0FFD"/>
    <w:rsid w:val="002A13CE"/>
    <w:rsid w:val="002B2731"/>
    <w:rsid w:val="002B5B89"/>
    <w:rsid w:val="002B7D96"/>
    <w:rsid w:val="002D043A"/>
    <w:rsid w:val="00304E75"/>
    <w:rsid w:val="003072FA"/>
    <w:rsid w:val="0031713F"/>
    <w:rsid w:val="003415D3"/>
    <w:rsid w:val="00352B0F"/>
    <w:rsid w:val="00361BD9"/>
    <w:rsid w:val="00363549"/>
    <w:rsid w:val="003801D0"/>
    <w:rsid w:val="00381D2D"/>
    <w:rsid w:val="0039228E"/>
    <w:rsid w:val="003926B5"/>
    <w:rsid w:val="003B04EC"/>
    <w:rsid w:val="003C2355"/>
    <w:rsid w:val="003C5F2B"/>
    <w:rsid w:val="003D0BFE"/>
    <w:rsid w:val="003D5700"/>
    <w:rsid w:val="003E5FB8"/>
    <w:rsid w:val="003E5FF5"/>
    <w:rsid w:val="003F4CA9"/>
    <w:rsid w:val="003F567B"/>
    <w:rsid w:val="004010E7"/>
    <w:rsid w:val="00401403"/>
    <w:rsid w:val="004116CD"/>
    <w:rsid w:val="00412B83"/>
    <w:rsid w:val="00424CA9"/>
    <w:rsid w:val="00433910"/>
    <w:rsid w:val="0044291A"/>
    <w:rsid w:val="004541B9"/>
    <w:rsid w:val="00460499"/>
    <w:rsid w:val="00480FB9"/>
    <w:rsid w:val="0048364F"/>
    <w:rsid w:val="00486382"/>
    <w:rsid w:val="00496F97"/>
    <w:rsid w:val="004A2484"/>
    <w:rsid w:val="004B3C3B"/>
    <w:rsid w:val="004C0255"/>
    <w:rsid w:val="004C442F"/>
    <w:rsid w:val="004C5B5A"/>
    <w:rsid w:val="004C6444"/>
    <w:rsid w:val="004C6DE1"/>
    <w:rsid w:val="004D7AE7"/>
    <w:rsid w:val="004E7EA4"/>
    <w:rsid w:val="004F1FAC"/>
    <w:rsid w:val="004F3A90"/>
    <w:rsid w:val="004F676E"/>
    <w:rsid w:val="00506C2F"/>
    <w:rsid w:val="00516B8D"/>
    <w:rsid w:val="00537FBC"/>
    <w:rsid w:val="00543469"/>
    <w:rsid w:val="00544B48"/>
    <w:rsid w:val="00557C7A"/>
    <w:rsid w:val="00584811"/>
    <w:rsid w:val="005851A5"/>
    <w:rsid w:val="0058646E"/>
    <w:rsid w:val="00591E07"/>
    <w:rsid w:val="00593AA6"/>
    <w:rsid w:val="00594161"/>
    <w:rsid w:val="00594749"/>
    <w:rsid w:val="005B4067"/>
    <w:rsid w:val="005C12DE"/>
    <w:rsid w:val="005C3F41"/>
    <w:rsid w:val="005E552A"/>
    <w:rsid w:val="00600219"/>
    <w:rsid w:val="006249E6"/>
    <w:rsid w:val="00630733"/>
    <w:rsid w:val="0064468A"/>
    <w:rsid w:val="00654CCA"/>
    <w:rsid w:val="00656DE9"/>
    <w:rsid w:val="00663BDD"/>
    <w:rsid w:val="00664615"/>
    <w:rsid w:val="00677CC2"/>
    <w:rsid w:val="00680F17"/>
    <w:rsid w:val="00685F42"/>
    <w:rsid w:val="0069207B"/>
    <w:rsid w:val="006937E2"/>
    <w:rsid w:val="0069392E"/>
    <w:rsid w:val="006977FB"/>
    <w:rsid w:val="006A22EC"/>
    <w:rsid w:val="006B262A"/>
    <w:rsid w:val="006B6E3A"/>
    <w:rsid w:val="006C2C12"/>
    <w:rsid w:val="006C3FFF"/>
    <w:rsid w:val="006C7F8C"/>
    <w:rsid w:val="006D3667"/>
    <w:rsid w:val="006D4E91"/>
    <w:rsid w:val="006E004B"/>
    <w:rsid w:val="006E7147"/>
    <w:rsid w:val="00700B2C"/>
    <w:rsid w:val="00701E6A"/>
    <w:rsid w:val="00713084"/>
    <w:rsid w:val="00722023"/>
    <w:rsid w:val="00731E00"/>
    <w:rsid w:val="007440B7"/>
    <w:rsid w:val="007634AD"/>
    <w:rsid w:val="00764550"/>
    <w:rsid w:val="007715C9"/>
    <w:rsid w:val="00774EDD"/>
    <w:rsid w:val="007757EC"/>
    <w:rsid w:val="007769D4"/>
    <w:rsid w:val="00785AFA"/>
    <w:rsid w:val="007903AC"/>
    <w:rsid w:val="007A7F9F"/>
    <w:rsid w:val="007E7D4A"/>
    <w:rsid w:val="00826DA5"/>
    <w:rsid w:val="00833416"/>
    <w:rsid w:val="00845509"/>
    <w:rsid w:val="00856A31"/>
    <w:rsid w:val="008604FF"/>
    <w:rsid w:val="00874B69"/>
    <w:rsid w:val="008754D0"/>
    <w:rsid w:val="00877D48"/>
    <w:rsid w:val="00880795"/>
    <w:rsid w:val="0089783B"/>
    <w:rsid w:val="008B36D5"/>
    <w:rsid w:val="008D0EE0"/>
    <w:rsid w:val="008F07E3"/>
    <w:rsid w:val="008F4F1C"/>
    <w:rsid w:val="00907271"/>
    <w:rsid w:val="00932377"/>
    <w:rsid w:val="00932A33"/>
    <w:rsid w:val="00933CB1"/>
    <w:rsid w:val="009848EC"/>
    <w:rsid w:val="009A3FC8"/>
    <w:rsid w:val="009B3629"/>
    <w:rsid w:val="009C49D8"/>
    <w:rsid w:val="009E3601"/>
    <w:rsid w:val="009F07C8"/>
    <w:rsid w:val="009F727E"/>
    <w:rsid w:val="00A077EA"/>
    <w:rsid w:val="00A1027A"/>
    <w:rsid w:val="00A14760"/>
    <w:rsid w:val="00A2057D"/>
    <w:rsid w:val="00A231E2"/>
    <w:rsid w:val="00A2550D"/>
    <w:rsid w:val="00A26DBE"/>
    <w:rsid w:val="00A326A4"/>
    <w:rsid w:val="00A4169B"/>
    <w:rsid w:val="00A4361F"/>
    <w:rsid w:val="00A5197F"/>
    <w:rsid w:val="00A64912"/>
    <w:rsid w:val="00A70A74"/>
    <w:rsid w:val="00A71C4E"/>
    <w:rsid w:val="00A87AB9"/>
    <w:rsid w:val="00AA3B56"/>
    <w:rsid w:val="00AB3315"/>
    <w:rsid w:val="00AB7B41"/>
    <w:rsid w:val="00AC06B3"/>
    <w:rsid w:val="00AD5641"/>
    <w:rsid w:val="00AD67A7"/>
    <w:rsid w:val="00AE1433"/>
    <w:rsid w:val="00AE50A2"/>
    <w:rsid w:val="00AF0336"/>
    <w:rsid w:val="00AF6613"/>
    <w:rsid w:val="00B00902"/>
    <w:rsid w:val="00B032D8"/>
    <w:rsid w:val="00B067A6"/>
    <w:rsid w:val="00B332B8"/>
    <w:rsid w:val="00B33B3C"/>
    <w:rsid w:val="00B61D2C"/>
    <w:rsid w:val="00B63BDE"/>
    <w:rsid w:val="00B75012"/>
    <w:rsid w:val="00BA3283"/>
    <w:rsid w:val="00BA5026"/>
    <w:rsid w:val="00BB6E79"/>
    <w:rsid w:val="00BC4F91"/>
    <w:rsid w:val="00BD60E6"/>
    <w:rsid w:val="00BE253A"/>
    <w:rsid w:val="00BE719A"/>
    <w:rsid w:val="00BE720A"/>
    <w:rsid w:val="00BF05B2"/>
    <w:rsid w:val="00BF4533"/>
    <w:rsid w:val="00C067E5"/>
    <w:rsid w:val="00C15528"/>
    <w:rsid w:val="00C164CA"/>
    <w:rsid w:val="00C214D7"/>
    <w:rsid w:val="00C21B63"/>
    <w:rsid w:val="00C42BF8"/>
    <w:rsid w:val="00C460AE"/>
    <w:rsid w:val="00C50043"/>
    <w:rsid w:val="00C63713"/>
    <w:rsid w:val="00C7573B"/>
    <w:rsid w:val="00C76CF3"/>
    <w:rsid w:val="00C77E30"/>
    <w:rsid w:val="00C814F5"/>
    <w:rsid w:val="00CB0180"/>
    <w:rsid w:val="00CB3470"/>
    <w:rsid w:val="00CD606E"/>
    <w:rsid w:val="00CD7ECB"/>
    <w:rsid w:val="00CE1B19"/>
    <w:rsid w:val="00CF0BB2"/>
    <w:rsid w:val="00D0104A"/>
    <w:rsid w:val="00D13441"/>
    <w:rsid w:val="00D17B17"/>
    <w:rsid w:val="00D243A3"/>
    <w:rsid w:val="00D333D9"/>
    <w:rsid w:val="00D33440"/>
    <w:rsid w:val="00D40403"/>
    <w:rsid w:val="00D52EFE"/>
    <w:rsid w:val="00D63EF6"/>
    <w:rsid w:val="00D70DFB"/>
    <w:rsid w:val="00D766DF"/>
    <w:rsid w:val="00D83D21"/>
    <w:rsid w:val="00D84B58"/>
    <w:rsid w:val="00D925D1"/>
    <w:rsid w:val="00DE481F"/>
    <w:rsid w:val="00DF0510"/>
    <w:rsid w:val="00E05704"/>
    <w:rsid w:val="00E05C46"/>
    <w:rsid w:val="00E30206"/>
    <w:rsid w:val="00E33C1C"/>
    <w:rsid w:val="00E443FC"/>
    <w:rsid w:val="00E45FE7"/>
    <w:rsid w:val="00E476B8"/>
    <w:rsid w:val="00E54292"/>
    <w:rsid w:val="00E55BCD"/>
    <w:rsid w:val="00E73EC4"/>
    <w:rsid w:val="00E74DC7"/>
    <w:rsid w:val="00E76FAB"/>
    <w:rsid w:val="00E83E2E"/>
    <w:rsid w:val="00E84B32"/>
    <w:rsid w:val="00E87699"/>
    <w:rsid w:val="00ED3A7D"/>
    <w:rsid w:val="00EF2E3A"/>
    <w:rsid w:val="00EF3FD3"/>
    <w:rsid w:val="00F047E2"/>
    <w:rsid w:val="00F078DC"/>
    <w:rsid w:val="00F10CE3"/>
    <w:rsid w:val="00F13E86"/>
    <w:rsid w:val="00F22479"/>
    <w:rsid w:val="00F24C35"/>
    <w:rsid w:val="00F56759"/>
    <w:rsid w:val="00F677A9"/>
    <w:rsid w:val="00F84CF5"/>
    <w:rsid w:val="00FA420B"/>
    <w:rsid w:val="00FB03B3"/>
    <w:rsid w:val="00FB192C"/>
    <w:rsid w:val="00FD7CFE"/>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7EA4"/>
    <w:pPr>
      <w:spacing w:line="260" w:lineRule="atLeast"/>
    </w:pPr>
    <w:rPr>
      <w:sz w:val="22"/>
    </w:rPr>
  </w:style>
  <w:style w:type="paragraph" w:styleId="Heading1">
    <w:name w:val="heading 1"/>
    <w:basedOn w:val="Normal"/>
    <w:next w:val="Normal"/>
    <w:link w:val="Heading1Char"/>
    <w:uiPriority w:val="9"/>
    <w:qFormat/>
    <w:rsid w:val="000B6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6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68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68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68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68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68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68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B68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E7EA4"/>
  </w:style>
  <w:style w:type="paragraph" w:customStyle="1" w:styleId="OPCParaBase">
    <w:name w:val="OPCParaBase"/>
    <w:qFormat/>
    <w:rsid w:val="004E7EA4"/>
    <w:pPr>
      <w:spacing w:line="260" w:lineRule="atLeast"/>
    </w:pPr>
    <w:rPr>
      <w:rFonts w:eastAsia="Times New Roman" w:cs="Times New Roman"/>
      <w:sz w:val="22"/>
      <w:lang w:eastAsia="en-AU"/>
    </w:rPr>
  </w:style>
  <w:style w:type="paragraph" w:customStyle="1" w:styleId="ShortT">
    <w:name w:val="ShortT"/>
    <w:basedOn w:val="OPCParaBase"/>
    <w:next w:val="Normal"/>
    <w:qFormat/>
    <w:rsid w:val="004E7EA4"/>
    <w:pPr>
      <w:spacing w:line="240" w:lineRule="auto"/>
    </w:pPr>
    <w:rPr>
      <w:b/>
      <w:sz w:val="40"/>
    </w:rPr>
  </w:style>
  <w:style w:type="paragraph" w:customStyle="1" w:styleId="ActHead1">
    <w:name w:val="ActHead 1"/>
    <w:aliases w:val="c"/>
    <w:basedOn w:val="OPCParaBase"/>
    <w:next w:val="Normal"/>
    <w:qFormat/>
    <w:rsid w:val="004E7E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E7E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E7E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E7E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E7E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E7E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E7E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E7E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E7E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E7EA4"/>
  </w:style>
  <w:style w:type="paragraph" w:customStyle="1" w:styleId="Blocks">
    <w:name w:val="Blocks"/>
    <w:aliases w:val="bb"/>
    <w:basedOn w:val="OPCParaBase"/>
    <w:qFormat/>
    <w:rsid w:val="004E7EA4"/>
    <w:pPr>
      <w:spacing w:line="240" w:lineRule="auto"/>
    </w:pPr>
    <w:rPr>
      <w:sz w:val="24"/>
    </w:rPr>
  </w:style>
  <w:style w:type="paragraph" w:customStyle="1" w:styleId="BoxText">
    <w:name w:val="BoxText"/>
    <w:aliases w:val="bt"/>
    <w:basedOn w:val="OPCParaBase"/>
    <w:qFormat/>
    <w:rsid w:val="004E7E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E7EA4"/>
    <w:rPr>
      <w:b/>
    </w:rPr>
  </w:style>
  <w:style w:type="paragraph" w:customStyle="1" w:styleId="BoxHeadItalic">
    <w:name w:val="BoxHeadItalic"/>
    <w:aliases w:val="bhi"/>
    <w:basedOn w:val="BoxText"/>
    <w:next w:val="BoxStep"/>
    <w:qFormat/>
    <w:rsid w:val="004E7EA4"/>
    <w:rPr>
      <w:i/>
    </w:rPr>
  </w:style>
  <w:style w:type="paragraph" w:customStyle="1" w:styleId="BoxList">
    <w:name w:val="BoxList"/>
    <w:aliases w:val="bl"/>
    <w:basedOn w:val="BoxText"/>
    <w:qFormat/>
    <w:rsid w:val="004E7EA4"/>
    <w:pPr>
      <w:ind w:left="1559" w:hanging="425"/>
    </w:pPr>
  </w:style>
  <w:style w:type="paragraph" w:customStyle="1" w:styleId="BoxNote">
    <w:name w:val="BoxNote"/>
    <w:aliases w:val="bn"/>
    <w:basedOn w:val="BoxText"/>
    <w:qFormat/>
    <w:rsid w:val="004E7EA4"/>
    <w:pPr>
      <w:tabs>
        <w:tab w:val="left" w:pos="1985"/>
      </w:tabs>
      <w:spacing w:before="122" w:line="198" w:lineRule="exact"/>
      <w:ind w:left="2948" w:hanging="1814"/>
    </w:pPr>
    <w:rPr>
      <w:sz w:val="18"/>
    </w:rPr>
  </w:style>
  <w:style w:type="paragraph" w:customStyle="1" w:styleId="BoxPara">
    <w:name w:val="BoxPara"/>
    <w:aliases w:val="bp"/>
    <w:basedOn w:val="BoxText"/>
    <w:qFormat/>
    <w:rsid w:val="004E7EA4"/>
    <w:pPr>
      <w:tabs>
        <w:tab w:val="right" w:pos="2268"/>
      </w:tabs>
      <w:ind w:left="2552" w:hanging="1418"/>
    </w:pPr>
  </w:style>
  <w:style w:type="paragraph" w:customStyle="1" w:styleId="BoxStep">
    <w:name w:val="BoxStep"/>
    <w:aliases w:val="bs"/>
    <w:basedOn w:val="BoxText"/>
    <w:qFormat/>
    <w:rsid w:val="004E7EA4"/>
    <w:pPr>
      <w:ind w:left="1985" w:hanging="851"/>
    </w:pPr>
  </w:style>
  <w:style w:type="character" w:customStyle="1" w:styleId="CharAmPartNo">
    <w:name w:val="CharAmPartNo"/>
    <w:basedOn w:val="OPCCharBase"/>
    <w:qFormat/>
    <w:rsid w:val="004E7EA4"/>
  </w:style>
  <w:style w:type="character" w:customStyle="1" w:styleId="CharAmPartText">
    <w:name w:val="CharAmPartText"/>
    <w:basedOn w:val="OPCCharBase"/>
    <w:qFormat/>
    <w:rsid w:val="004E7EA4"/>
  </w:style>
  <w:style w:type="character" w:customStyle="1" w:styleId="CharAmSchNo">
    <w:name w:val="CharAmSchNo"/>
    <w:basedOn w:val="OPCCharBase"/>
    <w:qFormat/>
    <w:rsid w:val="004E7EA4"/>
  </w:style>
  <w:style w:type="character" w:customStyle="1" w:styleId="CharAmSchText">
    <w:name w:val="CharAmSchText"/>
    <w:basedOn w:val="OPCCharBase"/>
    <w:qFormat/>
    <w:rsid w:val="004E7EA4"/>
  </w:style>
  <w:style w:type="character" w:customStyle="1" w:styleId="CharBoldItalic">
    <w:name w:val="CharBoldItalic"/>
    <w:basedOn w:val="OPCCharBase"/>
    <w:uiPriority w:val="1"/>
    <w:qFormat/>
    <w:rsid w:val="004E7EA4"/>
    <w:rPr>
      <w:b/>
      <w:i/>
    </w:rPr>
  </w:style>
  <w:style w:type="character" w:customStyle="1" w:styleId="CharChapNo">
    <w:name w:val="CharChapNo"/>
    <w:basedOn w:val="OPCCharBase"/>
    <w:uiPriority w:val="1"/>
    <w:qFormat/>
    <w:rsid w:val="004E7EA4"/>
  </w:style>
  <w:style w:type="character" w:customStyle="1" w:styleId="CharChapText">
    <w:name w:val="CharChapText"/>
    <w:basedOn w:val="OPCCharBase"/>
    <w:uiPriority w:val="1"/>
    <w:qFormat/>
    <w:rsid w:val="004E7EA4"/>
  </w:style>
  <w:style w:type="character" w:customStyle="1" w:styleId="CharDivNo">
    <w:name w:val="CharDivNo"/>
    <w:basedOn w:val="OPCCharBase"/>
    <w:uiPriority w:val="1"/>
    <w:qFormat/>
    <w:rsid w:val="004E7EA4"/>
  </w:style>
  <w:style w:type="character" w:customStyle="1" w:styleId="CharDivText">
    <w:name w:val="CharDivText"/>
    <w:basedOn w:val="OPCCharBase"/>
    <w:uiPriority w:val="1"/>
    <w:qFormat/>
    <w:rsid w:val="004E7EA4"/>
  </w:style>
  <w:style w:type="character" w:customStyle="1" w:styleId="CharItalic">
    <w:name w:val="CharItalic"/>
    <w:basedOn w:val="OPCCharBase"/>
    <w:uiPriority w:val="1"/>
    <w:qFormat/>
    <w:rsid w:val="004E7EA4"/>
    <w:rPr>
      <w:i/>
    </w:rPr>
  </w:style>
  <w:style w:type="character" w:customStyle="1" w:styleId="CharPartNo">
    <w:name w:val="CharPartNo"/>
    <w:basedOn w:val="OPCCharBase"/>
    <w:uiPriority w:val="1"/>
    <w:qFormat/>
    <w:rsid w:val="004E7EA4"/>
  </w:style>
  <w:style w:type="character" w:customStyle="1" w:styleId="CharPartText">
    <w:name w:val="CharPartText"/>
    <w:basedOn w:val="OPCCharBase"/>
    <w:uiPriority w:val="1"/>
    <w:qFormat/>
    <w:rsid w:val="004E7EA4"/>
  </w:style>
  <w:style w:type="character" w:customStyle="1" w:styleId="CharSectno">
    <w:name w:val="CharSectno"/>
    <w:basedOn w:val="OPCCharBase"/>
    <w:qFormat/>
    <w:rsid w:val="004E7EA4"/>
  </w:style>
  <w:style w:type="character" w:customStyle="1" w:styleId="CharSubdNo">
    <w:name w:val="CharSubdNo"/>
    <w:basedOn w:val="OPCCharBase"/>
    <w:uiPriority w:val="1"/>
    <w:qFormat/>
    <w:rsid w:val="004E7EA4"/>
  </w:style>
  <w:style w:type="character" w:customStyle="1" w:styleId="CharSubdText">
    <w:name w:val="CharSubdText"/>
    <w:basedOn w:val="OPCCharBase"/>
    <w:uiPriority w:val="1"/>
    <w:qFormat/>
    <w:rsid w:val="004E7EA4"/>
  </w:style>
  <w:style w:type="paragraph" w:customStyle="1" w:styleId="CTA--">
    <w:name w:val="CTA --"/>
    <w:basedOn w:val="OPCParaBase"/>
    <w:next w:val="Normal"/>
    <w:rsid w:val="004E7EA4"/>
    <w:pPr>
      <w:spacing w:before="60" w:line="240" w:lineRule="atLeast"/>
      <w:ind w:left="142" w:hanging="142"/>
    </w:pPr>
    <w:rPr>
      <w:sz w:val="20"/>
    </w:rPr>
  </w:style>
  <w:style w:type="paragraph" w:customStyle="1" w:styleId="CTA-">
    <w:name w:val="CTA -"/>
    <w:basedOn w:val="OPCParaBase"/>
    <w:rsid w:val="004E7EA4"/>
    <w:pPr>
      <w:spacing w:before="60" w:line="240" w:lineRule="atLeast"/>
      <w:ind w:left="85" w:hanging="85"/>
    </w:pPr>
    <w:rPr>
      <w:sz w:val="20"/>
    </w:rPr>
  </w:style>
  <w:style w:type="paragraph" w:customStyle="1" w:styleId="CTA---">
    <w:name w:val="CTA ---"/>
    <w:basedOn w:val="OPCParaBase"/>
    <w:next w:val="Normal"/>
    <w:rsid w:val="004E7EA4"/>
    <w:pPr>
      <w:spacing w:before="60" w:line="240" w:lineRule="atLeast"/>
      <w:ind w:left="198" w:hanging="198"/>
    </w:pPr>
    <w:rPr>
      <w:sz w:val="20"/>
    </w:rPr>
  </w:style>
  <w:style w:type="paragraph" w:customStyle="1" w:styleId="CTA----">
    <w:name w:val="CTA ----"/>
    <w:basedOn w:val="OPCParaBase"/>
    <w:next w:val="Normal"/>
    <w:rsid w:val="004E7EA4"/>
    <w:pPr>
      <w:spacing w:before="60" w:line="240" w:lineRule="atLeast"/>
      <w:ind w:left="255" w:hanging="255"/>
    </w:pPr>
    <w:rPr>
      <w:sz w:val="20"/>
    </w:rPr>
  </w:style>
  <w:style w:type="paragraph" w:customStyle="1" w:styleId="CTA1a">
    <w:name w:val="CTA 1(a)"/>
    <w:basedOn w:val="OPCParaBase"/>
    <w:rsid w:val="004E7EA4"/>
    <w:pPr>
      <w:tabs>
        <w:tab w:val="right" w:pos="414"/>
      </w:tabs>
      <w:spacing w:before="40" w:line="240" w:lineRule="atLeast"/>
      <w:ind w:left="675" w:hanging="675"/>
    </w:pPr>
    <w:rPr>
      <w:sz w:val="20"/>
    </w:rPr>
  </w:style>
  <w:style w:type="paragraph" w:customStyle="1" w:styleId="CTA1ai">
    <w:name w:val="CTA 1(a)(i)"/>
    <w:basedOn w:val="OPCParaBase"/>
    <w:rsid w:val="004E7EA4"/>
    <w:pPr>
      <w:tabs>
        <w:tab w:val="right" w:pos="1004"/>
      </w:tabs>
      <w:spacing w:before="40" w:line="240" w:lineRule="atLeast"/>
      <w:ind w:left="1253" w:hanging="1253"/>
    </w:pPr>
    <w:rPr>
      <w:sz w:val="20"/>
    </w:rPr>
  </w:style>
  <w:style w:type="paragraph" w:customStyle="1" w:styleId="CTA2a">
    <w:name w:val="CTA 2(a)"/>
    <w:basedOn w:val="OPCParaBase"/>
    <w:rsid w:val="004E7EA4"/>
    <w:pPr>
      <w:tabs>
        <w:tab w:val="right" w:pos="482"/>
      </w:tabs>
      <w:spacing w:before="40" w:line="240" w:lineRule="atLeast"/>
      <w:ind w:left="748" w:hanging="748"/>
    </w:pPr>
    <w:rPr>
      <w:sz w:val="20"/>
    </w:rPr>
  </w:style>
  <w:style w:type="paragraph" w:customStyle="1" w:styleId="CTA2ai">
    <w:name w:val="CTA 2(a)(i)"/>
    <w:basedOn w:val="OPCParaBase"/>
    <w:rsid w:val="004E7EA4"/>
    <w:pPr>
      <w:tabs>
        <w:tab w:val="right" w:pos="1089"/>
      </w:tabs>
      <w:spacing w:before="40" w:line="240" w:lineRule="atLeast"/>
      <w:ind w:left="1327" w:hanging="1327"/>
    </w:pPr>
    <w:rPr>
      <w:sz w:val="20"/>
    </w:rPr>
  </w:style>
  <w:style w:type="paragraph" w:customStyle="1" w:styleId="CTA3a">
    <w:name w:val="CTA 3(a)"/>
    <w:basedOn w:val="OPCParaBase"/>
    <w:rsid w:val="004E7EA4"/>
    <w:pPr>
      <w:tabs>
        <w:tab w:val="right" w:pos="556"/>
      </w:tabs>
      <w:spacing w:before="40" w:line="240" w:lineRule="atLeast"/>
      <w:ind w:left="805" w:hanging="805"/>
    </w:pPr>
    <w:rPr>
      <w:sz w:val="20"/>
    </w:rPr>
  </w:style>
  <w:style w:type="paragraph" w:customStyle="1" w:styleId="CTA3ai">
    <w:name w:val="CTA 3(a)(i)"/>
    <w:basedOn w:val="OPCParaBase"/>
    <w:rsid w:val="004E7EA4"/>
    <w:pPr>
      <w:tabs>
        <w:tab w:val="right" w:pos="1140"/>
      </w:tabs>
      <w:spacing w:before="40" w:line="240" w:lineRule="atLeast"/>
      <w:ind w:left="1361" w:hanging="1361"/>
    </w:pPr>
    <w:rPr>
      <w:sz w:val="20"/>
    </w:rPr>
  </w:style>
  <w:style w:type="paragraph" w:customStyle="1" w:styleId="CTA4a">
    <w:name w:val="CTA 4(a)"/>
    <w:basedOn w:val="OPCParaBase"/>
    <w:rsid w:val="004E7EA4"/>
    <w:pPr>
      <w:tabs>
        <w:tab w:val="right" w:pos="624"/>
      </w:tabs>
      <w:spacing w:before="40" w:line="240" w:lineRule="atLeast"/>
      <w:ind w:left="873" w:hanging="873"/>
    </w:pPr>
    <w:rPr>
      <w:sz w:val="20"/>
    </w:rPr>
  </w:style>
  <w:style w:type="paragraph" w:customStyle="1" w:styleId="CTA4ai">
    <w:name w:val="CTA 4(a)(i)"/>
    <w:basedOn w:val="OPCParaBase"/>
    <w:rsid w:val="004E7EA4"/>
    <w:pPr>
      <w:tabs>
        <w:tab w:val="right" w:pos="1213"/>
      </w:tabs>
      <w:spacing w:before="40" w:line="240" w:lineRule="atLeast"/>
      <w:ind w:left="1452" w:hanging="1452"/>
    </w:pPr>
    <w:rPr>
      <w:sz w:val="20"/>
    </w:rPr>
  </w:style>
  <w:style w:type="paragraph" w:customStyle="1" w:styleId="CTACAPS">
    <w:name w:val="CTA CAPS"/>
    <w:basedOn w:val="OPCParaBase"/>
    <w:rsid w:val="004E7EA4"/>
    <w:pPr>
      <w:spacing w:before="60" w:line="240" w:lineRule="atLeast"/>
    </w:pPr>
    <w:rPr>
      <w:sz w:val="20"/>
    </w:rPr>
  </w:style>
  <w:style w:type="paragraph" w:customStyle="1" w:styleId="CTAright">
    <w:name w:val="CTA right"/>
    <w:basedOn w:val="OPCParaBase"/>
    <w:rsid w:val="004E7EA4"/>
    <w:pPr>
      <w:spacing w:before="60" w:line="240" w:lineRule="auto"/>
      <w:jc w:val="right"/>
    </w:pPr>
    <w:rPr>
      <w:sz w:val="20"/>
    </w:rPr>
  </w:style>
  <w:style w:type="paragraph" w:customStyle="1" w:styleId="subsection">
    <w:name w:val="subsection"/>
    <w:aliases w:val="ss"/>
    <w:basedOn w:val="OPCParaBase"/>
    <w:link w:val="subsectionChar"/>
    <w:rsid w:val="004E7EA4"/>
    <w:pPr>
      <w:tabs>
        <w:tab w:val="right" w:pos="1021"/>
      </w:tabs>
      <w:spacing w:before="180" w:line="240" w:lineRule="auto"/>
      <w:ind w:left="1134" w:hanging="1134"/>
    </w:pPr>
  </w:style>
  <w:style w:type="paragraph" w:customStyle="1" w:styleId="Definition">
    <w:name w:val="Definition"/>
    <w:aliases w:val="dd"/>
    <w:basedOn w:val="OPCParaBase"/>
    <w:rsid w:val="004E7EA4"/>
    <w:pPr>
      <w:spacing w:before="180" w:line="240" w:lineRule="auto"/>
      <w:ind w:left="1134"/>
    </w:pPr>
  </w:style>
  <w:style w:type="paragraph" w:customStyle="1" w:styleId="ETAsubitem">
    <w:name w:val="ETA(subitem)"/>
    <w:basedOn w:val="OPCParaBase"/>
    <w:rsid w:val="004E7EA4"/>
    <w:pPr>
      <w:tabs>
        <w:tab w:val="right" w:pos="340"/>
      </w:tabs>
      <w:spacing w:before="60" w:line="240" w:lineRule="auto"/>
      <w:ind w:left="454" w:hanging="454"/>
    </w:pPr>
    <w:rPr>
      <w:sz w:val="20"/>
    </w:rPr>
  </w:style>
  <w:style w:type="paragraph" w:customStyle="1" w:styleId="ETApara">
    <w:name w:val="ETA(para)"/>
    <w:basedOn w:val="OPCParaBase"/>
    <w:rsid w:val="004E7EA4"/>
    <w:pPr>
      <w:tabs>
        <w:tab w:val="right" w:pos="754"/>
      </w:tabs>
      <w:spacing w:before="60" w:line="240" w:lineRule="auto"/>
      <w:ind w:left="828" w:hanging="828"/>
    </w:pPr>
    <w:rPr>
      <w:sz w:val="20"/>
    </w:rPr>
  </w:style>
  <w:style w:type="paragraph" w:customStyle="1" w:styleId="ETAsubpara">
    <w:name w:val="ETA(subpara)"/>
    <w:basedOn w:val="OPCParaBase"/>
    <w:rsid w:val="004E7EA4"/>
    <w:pPr>
      <w:tabs>
        <w:tab w:val="right" w:pos="1083"/>
      </w:tabs>
      <w:spacing w:before="60" w:line="240" w:lineRule="auto"/>
      <w:ind w:left="1191" w:hanging="1191"/>
    </w:pPr>
    <w:rPr>
      <w:sz w:val="20"/>
    </w:rPr>
  </w:style>
  <w:style w:type="paragraph" w:customStyle="1" w:styleId="ETAsub-subpara">
    <w:name w:val="ETA(sub-subpara)"/>
    <w:basedOn w:val="OPCParaBase"/>
    <w:rsid w:val="004E7EA4"/>
    <w:pPr>
      <w:tabs>
        <w:tab w:val="right" w:pos="1412"/>
      </w:tabs>
      <w:spacing w:before="60" w:line="240" w:lineRule="auto"/>
      <w:ind w:left="1525" w:hanging="1525"/>
    </w:pPr>
    <w:rPr>
      <w:sz w:val="20"/>
    </w:rPr>
  </w:style>
  <w:style w:type="paragraph" w:customStyle="1" w:styleId="Formula">
    <w:name w:val="Formula"/>
    <w:basedOn w:val="OPCParaBase"/>
    <w:rsid w:val="004E7EA4"/>
    <w:pPr>
      <w:spacing w:line="240" w:lineRule="auto"/>
      <w:ind w:left="1134"/>
    </w:pPr>
    <w:rPr>
      <w:sz w:val="20"/>
    </w:rPr>
  </w:style>
  <w:style w:type="paragraph" w:styleId="Header">
    <w:name w:val="header"/>
    <w:basedOn w:val="OPCParaBase"/>
    <w:link w:val="HeaderChar"/>
    <w:unhideWhenUsed/>
    <w:rsid w:val="004E7EA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E7EA4"/>
    <w:rPr>
      <w:rFonts w:eastAsia="Times New Roman" w:cs="Times New Roman"/>
      <w:sz w:val="16"/>
      <w:lang w:eastAsia="en-AU"/>
    </w:rPr>
  </w:style>
  <w:style w:type="paragraph" w:customStyle="1" w:styleId="House">
    <w:name w:val="House"/>
    <w:basedOn w:val="OPCParaBase"/>
    <w:rsid w:val="004E7EA4"/>
    <w:pPr>
      <w:spacing w:line="240" w:lineRule="auto"/>
    </w:pPr>
    <w:rPr>
      <w:sz w:val="28"/>
    </w:rPr>
  </w:style>
  <w:style w:type="paragraph" w:customStyle="1" w:styleId="Item">
    <w:name w:val="Item"/>
    <w:aliases w:val="i"/>
    <w:basedOn w:val="OPCParaBase"/>
    <w:next w:val="ItemHead"/>
    <w:rsid w:val="004E7EA4"/>
    <w:pPr>
      <w:keepLines/>
      <w:spacing w:before="80" w:line="240" w:lineRule="auto"/>
      <w:ind w:left="709"/>
    </w:pPr>
  </w:style>
  <w:style w:type="paragraph" w:customStyle="1" w:styleId="ItemHead">
    <w:name w:val="ItemHead"/>
    <w:aliases w:val="ih"/>
    <w:basedOn w:val="OPCParaBase"/>
    <w:next w:val="Item"/>
    <w:rsid w:val="004E7E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E7EA4"/>
    <w:pPr>
      <w:spacing w:line="240" w:lineRule="auto"/>
    </w:pPr>
    <w:rPr>
      <w:b/>
      <w:sz w:val="32"/>
    </w:rPr>
  </w:style>
  <w:style w:type="paragraph" w:customStyle="1" w:styleId="notedraft">
    <w:name w:val="note(draft)"/>
    <w:aliases w:val="nd"/>
    <w:basedOn w:val="OPCParaBase"/>
    <w:rsid w:val="004E7EA4"/>
    <w:pPr>
      <w:spacing w:before="240" w:line="240" w:lineRule="auto"/>
      <w:ind w:left="284" w:hanging="284"/>
    </w:pPr>
    <w:rPr>
      <w:i/>
      <w:sz w:val="24"/>
    </w:rPr>
  </w:style>
  <w:style w:type="paragraph" w:customStyle="1" w:styleId="notemargin">
    <w:name w:val="note(margin)"/>
    <w:aliases w:val="nm"/>
    <w:basedOn w:val="OPCParaBase"/>
    <w:rsid w:val="004E7EA4"/>
    <w:pPr>
      <w:tabs>
        <w:tab w:val="left" w:pos="709"/>
      </w:tabs>
      <w:spacing w:before="122" w:line="198" w:lineRule="exact"/>
      <w:ind w:left="709" w:hanging="709"/>
    </w:pPr>
    <w:rPr>
      <w:sz w:val="18"/>
    </w:rPr>
  </w:style>
  <w:style w:type="paragraph" w:customStyle="1" w:styleId="noteToPara">
    <w:name w:val="noteToPara"/>
    <w:aliases w:val="ntp"/>
    <w:basedOn w:val="OPCParaBase"/>
    <w:rsid w:val="004E7EA4"/>
    <w:pPr>
      <w:spacing w:before="122" w:line="198" w:lineRule="exact"/>
      <w:ind w:left="2353" w:hanging="709"/>
    </w:pPr>
    <w:rPr>
      <w:sz w:val="18"/>
    </w:rPr>
  </w:style>
  <w:style w:type="paragraph" w:customStyle="1" w:styleId="noteParlAmend">
    <w:name w:val="note(ParlAmend)"/>
    <w:aliases w:val="npp"/>
    <w:basedOn w:val="OPCParaBase"/>
    <w:next w:val="ParlAmend"/>
    <w:rsid w:val="004E7EA4"/>
    <w:pPr>
      <w:spacing w:line="240" w:lineRule="auto"/>
      <w:jc w:val="right"/>
    </w:pPr>
    <w:rPr>
      <w:rFonts w:ascii="Arial" w:hAnsi="Arial"/>
      <w:b/>
      <w:i/>
    </w:rPr>
  </w:style>
  <w:style w:type="paragraph" w:customStyle="1" w:styleId="Page1">
    <w:name w:val="Page1"/>
    <w:basedOn w:val="OPCParaBase"/>
    <w:rsid w:val="004E7EA4"/>
    <w:pPr>
      <w:spacing w:before="5600" w:line="240" w:lineRule="auto"/>
    </w:pPr>
    <w:rPr>
      <w:b/>
      <w:sz w:val="32"/>
    </w:rPr>
  </w:style>
  <w:style w:type="paragraph" w:customStyle="1" w:styleId="PageBreak">
    <w:name w:val="PageBreak"/>
    <w:aliases w:val="pb"/>
    <w:basedOn w:val="OPCParaBase"/>
    <w:rsid w:val="004E7EA4"/>
    <w:pPr>
      <w:spacing w:line="240" w:lineRule="auto"/>
    </w:pPr>
    <w:rPr>
      <w:sz w:val="20"/>
    </w:rPr>
  </w:style>
  <w:style w:type="paragraph" w:customStyle="1" w:styleId="paragraphsub">
    <w:name w:val="paragraph(sub)"/>
    <w:aliases w:val="aa"/>
    <w:basedOn w:val="OPCParaBase"/>
    <w:rsid w:val="004E7EA4"/>
    <w:pPr>
      <w:tabs>
        <w:tab w:val="right" w:pos="1985"/>
      </w:tabs>
      <w:spacing w:before="40" w:line="240" w:lineRule="auto"/>
      <w:ind w:left="2098" w:hanging="2098"/>
    </w:pPr>
  </w:style>
  <w:style w:type="paragraph" w:customStyle="1" w:styleId="paragraphsub-sub">
    <w:name w:val="paragraph(sub-sub)"/>
    <w:aliases w:val="aaa"/>
    <w:basedOn w:val="OPCParaBase"/>
    <w:rsid w:val="004E7EA4"/>
    <w:pPr>
      <w:tabs>
        <w:tab w:val="right" w:pos="2722"/>
      </w:tabs>
      <w:spacing w:before="40" w:line="240" w:lineRule="auto"/>
      <w:ind w:left="2835" w:hanging="2835"/>
    </w:pPr>
  </w:style>
  <w:style w:type="paragraph" w:customStyle="1" w:styleId="paragraph">
    <w:name w:val="paragraph"/>
    <w:aliases w:val="a"/>
    <w:basedOn w:val="OPCParaBase"/>
    <w:rsid w:val="004E7EA4"/>
    <w:pPr>
      <w:tabs>
        <w:tab w:val="right" w:pos="1531"/>
      </w:tabs>
      <w:spacing w:before="40" w:line="240" w:lineRule="auto"/>
      <w:ind w:left="1644" w:hanging="1644"/>
    </w:pPr>
  </w:style>
  <w:style w:type="paragraph" w:customStyle="1" w:styleId="ParlAmend">
    <w:name w:val="ParlAmend"/>
    <w:aliases w:val="pp"/>
    <w:basedOn w:val="OPCParaBase"/>
    <w:rsid w:val="004E7EA4"/>
    <w:pPr>
      <w:spacing w:before="240" w:line="240" w:lineRule="atLeast"/>
      <w:ind w:hanging="567"/>
    </w:pPr>
    <w:rPr>
      <w:sz w:val="24"/>
    </w:rPr>
  </w:style>
  <w:style w:type="paragraph" w:customStyle="1" w:styleId="Penalty">
    <w:name w:val="Penalty"/>
    <w:basedOn w:val="OPCParaBase"/>
    <w:rsid w:val="004E7EA4"/>
    <w:pPr>
      <w:tabs>
        <w:tab w:val="left" w:pos="2977"/>
      </w:tabs>
      <w:spacing w:before="180" w:line="240" w:lineRule="auto"/>
      <w:ind w:left="1985" w:hanging="851"/>
    </w:pPr>
  </w:style>
  <w:style w:type="paragraph" w:customStyle="1" w:styleId="Portfolio">
    <w:name w:val="Portfolio"/>
    <w:basedOn w:val="OPCParaBase"/>
    <w:rsid w:val="004E7EA4"/>
    <w:pPr>
      <w:spacing w:line="240" w:lineRule="auto"/>
    </w:pPr>
    <w:rPr>
      <w:i/>
      <w:sz w:val="20"/>
    </w:rPr>
  </w:style>
  <w:style w:type="paragraph" w:customStyle="1" w:styleId="Preamble">
    <w:name w:val="Preamble"/>
    <w:basedOn w:val="OPCParaBase"/>
    <w:next w:val="Normal"/>
    <w:rsid w:val="004E7E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E7EA4"/>
    <w:pPr>
      <w:spacing w:line="240" w:lineRule="auto"/>
    </w:pPr>
    <w:rPr>
      <w:i/>
      <w:sz w:val="20"/>
    </w:rPr>
  </w:style>
  <w:style w:type="paragraph" w:customStyle="1" w:styleId="Session">
    <w:name w:val="Session"/>
    <w:basedOn w:val="OPCParaBase"/>
    <w:rsid w:val="004E7EA4"/>
    <w:pPr>
      <w:spacing w:line="240" w:lineRule="auto"/>
    </w:pPr>
    <w:rPr>
      <w:sz w:val="28"/>
    </w:rPr>
  </w:style>
  <w:style w:type="paragraph" w:customStyle="1" w:styleId="Sponsor">
    <w:name w:val="Sponsor"/>
    <w:basedOn w:val="OPCParaBase"/>
    <w:rsid w:val="004E7EA4"/>
    <w:pPr>
      <w:spacing w:line="240" w:lineRule="auto"/>
    </w:pPr>
    <w:rPr>
      <w:i/>
    </w:rPr>
  </w:style>
  <w:style w:type="paragraph" w:customStyle="1" w:styleId="Subitem">
    <w:name w:val="Subitem"/>
    <w:aliases w:val="iss"/>
    <w:basedOn w:val="OPCParaBase"/>
    <w:rsid w:val="004E7EA4"/>
    <w:pPr>
      <w:spacing w:before="180" w:line="240" w:lineRule="auto"/>
      <w:ind w:left="709" w:hanging="709"/>
    </w:pPr>
  </w:style>
  <w:style w:type="paragraph" w:customStyle="1" w:styleId="SubitemHead">
    <w:name w:val="SubitemHead"/>
    <w:aliases w:val="issh"/>
    <w:basedOn w:val="OPCParaBase"/>
    <w:rsid w:val="004E7E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E7EA4"/>
    <w:pPr>
      <w:spacing w:before="40" w:line="240" w:lineRule="auto"/>
      <w:ind w:left="1134"/>
    </w:pPr>
  </w:style>
  <w:style w:type="paragraph" w:customStyle="1" w:styleId="SubsectionHead">
    <w:name w:val="SubsectionHead"/>
    <w:aliases w:val="ssh"/>
    <w:basedOn w:val="OPCParaBase"/>
    <w:next w:val="subsection"/>
    <w:rsid w:val="004E7EA4"/>
    <w:pPr>
      <w:keepNext/>
      <w:keepLines/>
      <w:spacing w:before="240" w:line="240" w:lineRule="auto"/>
      <w:ind w:left="1134"/>
    </w:pPr>
    <w:rPr>
      <w:i/>
    </w:rPr>
  </w:style>
  <w:style w:type="paragraph" w:customStyle="1" w:styleId="Tablea">
    <w:name w:val="Table(a)"/>
    <w:aliases w:val="ta"/>
    <w:basedOn w:val="OPCParaBase"/>
    <w:rsid w:val="004E7EA4"/>
    <w:pPr>
      <w:spacing w:before="60" w:line="240" w:lineRule="auto"/>
      <w:ind w:left="284" w:hanging="284"/>
    </w:pPr>
    <w:rPr>
      <w:sz w:val="20"/>
    </w:rPr>
  </w:style>
  <w:style w:type="paragraph" w:customStyle="1" w:styleId="TableAA">
    <w:name w:val="Table(AA)"/>
    <w:aliases w:val="taaa"/>
    <w:basedOn w:val="OPCParaBase"/>
    <w:rsid w:val="004E7E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E7E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E7EA4"/>
    <w:pPr>
      <w:spacing w:before="60" w:line="240" w:lineRule="atLeast"/>
    </w:pPr>
    <w:rPr>
      <w:sz w:val="20"/>
    </w:rPr>
  </w:style>
  <w:style w:type="paragraph" w:customStyle="1" w:styleId="TLPBoxTextnote">
    <w:name w:val="TLPBoxText(note"/>
    <w:aliases w:val="right)"/>
    <w:basedOn w:val="OPCParaBase"/>
    <w:rsid w:val="004E7E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E7E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E7EA4"/>
    <w:pPr>
      <w:spacing w:before="122" w:line="198" w:lineRule="exact"/>
      <w:ind w:left="1985" w:hanging="851"/>
      <w:jc w:val="right"/>
    </w:pPr>
    <w:rPr>
      <w:sz w:val="18"/>
    </w:rPr>
  </w:style>
  <w:style w:type="paragraph" w:customStyle="1" w:styleId="TLPTableBullet">
    <w:name w:val="TLPTableBullet"/>
    <w:aliases w:val="ttb"/>
    <w:basedOn w:val="OPCParaBase"/>
    <w:rsid w:val="004E7EA4"/>
    <w:pPr>
      <w:spacing w:line="240" w:lineRule="exact"/>
      <w:ind w:left="284" w:hanging="284"/>
    </w:pPr>
    <w:rPr>
      <w:sz w:val="20"/>
    </w:rPr>
  </w:style>
  <w:style w:type="paragraph" w:styleId="TOC1">
    <w:name w:val="toc 1"/>
    <w:basedOn w:val="OPCParaBase"/>
    <w:next w:val="Normal"/>
    <w:uiPriority w:val="39"/>
    <w:semiHidden/>
    <w:unhideWhenUsed/>
    <w:rsid w:val="004E7EA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E7EA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E7EA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E7EA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E7EA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E7EA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E7EA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E7EA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E7EA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E7EA4"/>
    <w:pPr>
      <w:keepLines/>
      <w:spacing w:before="240" w:after="120" w:line="240" w:lineRule="auto"/>
      <w:ind w:left="794"/>
    </w:pPr>
    <w:rPr>
      <w:b/>
      <w:kern w:val="28"/>
      <w:sz w:val="20"/>
    </w:rPr>
  </w:style>
  <w:style w:type="paragraph" w:customStyle="1" w:styleId="TofSectsHeading">
    <w:name w:val="TofSects(Heading)"/>
    <w:basedOn w:val="OPCParaBase"/>
    <w:rsid w:val="004E7EA4"/>
    <w:pPr>
      <w:spacing w:before="240" w:after="120" w:line="240" w:lineRule="auto"/>
    </w:pPr>
    <w:rPr>
      <w:b/>
      <w:sz w:val="24"/>
    </w:rPr>
  </w:style>
  <w:style w:type="paragraph" w:customStyle="1" w:styleId="TofSectsSection">
    <w:name w:val="TofSects(Section)"/>
    <w:basedOn w:val="OPCParaBase"/>
    <w:rsid w:val="004E7EA4"/>
    <w:pPr>
      <w:keepLines/>
      <w:spacing w:before="40" w:line="240" w:lineRule="auto"/>
      <w:ind w:left="1588" w:hanging="794"/>
    </w:pPr>
    <w:rPr>
      <w:kern w:val="28"/>
      <w:sz w:val="18"/>
    </w:rPr>
  </w:style>
  <w:style w:type="paragraph" w:customStyle="1" w:styleId="TofSectsSubdiv">
    <w:name w:val="TofSects(Subdiv)"/>
    <w:basedOn w:val="OPCParaBase"/>
    <w:rsid w:val="004E7EA4"/>
    <w:pPr>
      <w:keepLines/>
      <w:spacing w:before="80" w:line="240" w:lineRule="auto"/>
      <w:ind w:left="1588" w:hanging="794"/>
    </w:pPr>
    <w:rPr>
      <w:kern w:val="28"/>
    </w:rPr>
  </w:style>
  <w:style w:type="paragraph" w:customStyle="1" w:styleId="WRStyle">
    <w:name w:val="WR Style"/>
    <w:aliases w:val="WR"/>
    <w:basedOn w:val="OPCParaBase"/>
    <w:rsid w:val="004E7EA4"/>
    <w:pPr>
      <w:spacing w:before="240" w:line="240" w:lineRule="auto"/>
      <w:ind w:left="284" w:hanging="284"/>
    </w:pPr>
    <w:rPr>
      <w:b/>
      <w:i/>
      <w:kern w:val="28"/>
      <w:sz w:val="24"/>
    </w:rPr>
  </w:style>
  <w:style w:type="paragraph" w:customStyle="1" w:styleId="notepara">
    <w:name w:val="note(para)"/>
    <w:aliases w:val="na"/>
    <w:basedOn w:val="OPCParaBase"/>
    <w:rsid w:val="004E7EA4"/>
    <w:pPr>
      <w:spacing w:before="40" w:line="198" w:lineRule="exact"/>
      <w:ind w:left="2354" w:hanging="369"/>
    </w:pPr>
    <w:rPr>
      <w:sz w:val="18"/>
    </w:rPr>
  </w:style>
  <w:style w:type="paragraph" w:styleId="Footer">
    <w:name w:val="footer"/>
    <w:link w:val="FooterChar"/>
    <w:rsid w:val="004E7EA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E7EA4"/>
    <w:rPr>
      <w:rFonts w:eastAsia="Times New Roman" w:cs="Times New Roman"/>
      <w:sz w:val="22"/>
      <w:szCs w:val="24"/>
      <w:lang w:eastAsia="en-AU"/>
    </w:rPr>
  </w:style>
  <w:style w:type="character" w:styleId="LineNumber">
    <w:name w:val="line number"/>
    <w:basedOn w:val="OPCCharBase"/>
    <w:uiPriority w:val="99"/>
    <w:semiHidden/>
    <w:unhideWhenUsed/>
    <w:rsid w:val="004E7EA4"/>
    <w:rPr>
      <w:sz w:val="16"/>
    </w:rPr>
  </w:style>
  <w:style w:type="table" w:customStyle="1" w:styleId="CFlag">
    <w:name w:val="CFlag"/>
    <w:basedOn w:val="TableNormal"/>
    <w:uiPriority w:val="99"/>
    <w:rsid w:val="004E7EA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E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A4"/>
    <w:rPr>
      <w:rFonts w:ascii="Tahoma" w:hAnsi="Tahoma" w:cs="Tahoma"/>
      <w:sz w:val="16"/>
      <w:szCs w:val="16"/>
    </w:rPr>
  </w:style>
  <w:style w:type="character" w:styleId="Hyperlink">
    <w:name w:val="Hyperlink"/>
    <w:basedOn w:val="DefaultParagraphFont"/>
    <w:rsid w:val="004E7EA4"/>
    <w:rPr>
      <w:color w:val="0000FF"/>
      <w:u w:val="single"/>
    </w:rPr>
  </w:style>
  <w:style w:type="table" w:styleId="TableGrid">
    <w:name w:val="Table Grid"/>
    <w:basedOn w:val="TableNormal"/>
    <w:uiPriority w:val="59"/>
    <w:rsid w:val="004E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4E7EA4"/>
    <w:rPr>
      <w:b/>
      <w:sz w:val="28"/>
      <w:szCs w:val="32"/>
    </w:rPr>
  </w:style>
  <w:style w:type="paragraph" w:customStyle="1" w:styleId="TerritoryT">
    <w:name w:val="TerritoryT"/>
    <w:basedOn w:val="OPCParaBase"/>
    <w:next w:val="Normal"/>
    <w:rsid w:val="004E7EA4"/>
    <w:rPr>
      <w:b/>
      <w:sz w:val="32"/>
    </w:rPr>
  </w:style>
  <w:style w:type="paragraph" w:customStyle="1" w:styleId="LegislationMadeUnder">
    <w:name w:val="LegislationMadeUnder"/>
    <w:basedOn w:val="OPCParaBase"/>
    <w:next w:val="Normal"/>
    <w:rsid w:val="004E7EA4"/>
    <w:rPr>
      <w:i/>
      <w:sz w:val="32"/>
      <w:szCs w:val="32"/>
    </w:rPr>
  </w:style>
  <w:style w:type="paragraph" w:customStyle="1" w:styleId="SignCoverPageEnd">
    <w:name w:val="SignCoverPageEnd"/>
    <w:basedOn w:val="OPCParaBase"/>
    <w:next w:val="Normal"/>
    <w:rsid w:val="004E7EA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E7EA4"/>
    <w:pPr>
      <w:pBdr>
        <w:top w:val="single" w:sz="4" w:space="1" w:color="auto"/>
      </w:pBdr>
      <w:spacing w:before="360"/>
      <w:ind w:right="397"/>
      <w:jc w:val="both"/>
    </w:pPr>
  </w:style>
  <w:style w:type="paragraph" w:customStyle="1" w:styleId="NotesHeading1">
    <w:name w:val="NotesHeading 1"/>
    <w:basedOn w:val="OPCParaBase"/>
    <w:next w:val="Normal"/>
    <w:rsid w:val="004E7EA4"/>
    <w:rPr>
      <w:b/>
      <w:sz w:val="28"/>
      <w:szCs w:val="28"/>
    </w:rPr>
  </w:style>
  <w:style w:type="paragraph" w:customStyle="1" w:styleId="NotesHeading2">
    <w:name w:val="NotesHeading 2"/>
    <w:basedOn w:val="OPCParaBase"/>
    <w:next w:val="Normal"/>
    <w:rsid w:val="004E7EA4"/>
    <w:rPr>
      <w:b/>
      <w:sz w:val="28"/>
      <w:szCs w:val="28"/>
    </w:rPr>
  </w:style>
  <w:style w:type="paragraph" w:customStyle="1" w:styleId="ENotesText">
    <w:name w:val="ENotesText"/>
    <w:basedOn w:val="OPCParaBase"/>
    <w:next w:val="Normal"/>
    <w:rsid w:val="004E7EA4"/>
  </w:style>
  <w:style w:type="paragraph" w:customStyle="1" w:styleId="CompiledActNo">
    <w:name w:val="CompiledActNo"/>
    <w:basedOn w:val="OPCParaBase"/>
    <w:next w:val="Normal"/>
    <w:rsid w:val="004E7EA4"/>
    <w:rPr>
      <w:b/>
      <w:sz w:val="24"/>
      <w:szCs w:val="24"/>
    </w:rPr>
  </w:style>
  <w:style w:type="paragraph" w:customStyle="1" w:styleId="CompiledMadeUnder">
    <w:name w:val="CompiledMadeUnder"/>
    <w:basedOn w:val="OPCParaBase"/>
    <w:next w:val="Normal"/>
    <w:rsid w:val="004E7EA4"/>
    <w:rPr>
      <w:i/>
      <w:sz w:val="24"/>
      <w:szCs w:val="24"/>
    </w:rPr>
  </w:style>
  <w:style w:type="paragraph" w:customStyle="1" w:styleId="Paragraphsub-sub-sub">
    <w:name w:val="Paragraph(sub-sub-sub)"/>
    <w:aliases w:val="aaaa"/>
    <w:basedOn w:val="OPCParaBase"/>
    <w:rsid w:val="004E7EA4"/>
    <w:pPr>
      <w:tabs>
        <w:tab w:val="right" w:pos="3402"/>
      </w:tabs>
      <w:spacing w:before="40" w:line="240" w:lineRule="auto"/>
      <w:ind w:left="3402" w:hanging="3402"/>
    </w:pPr>
  </w:style>
  <w:style w:type="paragraph" w:customStyle="1" w:styleId="NoteToSubpara">
    <w:name w:val="NoteToSubpara"/>
    <w:aliases w:val="nts"/>
    <w:basedOn w:val="OPCParaBase"/>
    <w:rsid w:val="004E7EA4"/>
    <w:pPr>
      <w:spacing w:before="40" w:line="198" w:lineRule="exact"/>
      <w:ind w:left="2835" w:hanging="709"/>
    </w:pPr>
    <w:rPr>
      <w:sz w:val="18"/>
    </w:rPr>
  </w:style>
  <w:style w:type="paragraph" w:customStyle="1" w:styleId="EndNotespara">
    <w:name w:val="EndNotes(para)"/>
    <w:aliases w:val="eta"/>
    <w:basedOn w:val="OPCParaBase"/>
    <w:next w:val="Normal"/>
    <w:rsid w:val="004E7E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E7E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4E7E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E7EA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4E7EA4"/>
    <w:pPr>
      <w:keepNext/>
      <w:spacing w:before="60" w:line="240" w:lineRule="atLeast"/>
    </w:pPr>
    <w:rPr>
      <w:rFonts w:ascii="Arial" w:hAnsi="Arial"/>
      <w:b/>
      <w:sz w:val="16"/>
    </w:rPr>
  </w:style>
  <w:style w:type="paragraph" w:customStyle="1" w:styleId="ENoteTTi">
    <w:name w:val="ENoteTTi"/>
    <w:aliases w:val="entti"/>
    <w:basedOn w:val="OPCParaBase"/>
    <w:rsid w:val="004E7EA4"/>
    <w:pPr>
      <w:keepNext/>
      <w:spacing w:before="60" w:line="240" w:lineRule="atLeast"/>
      <w:ind w:left="170"/>
    </w:pPr>
    <w:rPr>
      <w:sz w:val="16"/>
    </w:rPr>
  </w:style>
  <w:style w:type="paragraph" w:customStyle="1" w:styleId="ENotesHeading1">
    <w:name w:val="ENotesHeading 1"/>
    <w:aliases w:val="Enh1"/>
    <w:basedOn w:val="OPCParaBase"/>
    <w:next w:val="Normal"/>
    <w:rsid w:val="004E7EA4"/>
    <w:pPr>
      <w:spacing w:before="120"/>
      <w:outlineLvl w:val="1"/>
    </w:pPr>
    <w:rPr>
      <w:b/>
      <w:sz w:val="28"/>
      <w:szCs w:val="28"/>
    </w:rPr>
  </w:style>
  <w:style w:type="paragraph" w:customStyle="1" w:styleId="ENotesHeading2">
    <w:name w:val="ENotesHeading 2"/>
    <w:aliases w:val="Enh2"/>
    <w:basedOn w:val="OPCParaBase"/>
    <w:next w:val="Normal"/>
    <w:rsid w:val="004E7EA4"/>
    <w:pPr>
      <w:spacing w:before="120" w:after="120"/>
      <w:outlineLvl w:val="2"/>
    </w:pPr>
    <w:rPr>
      <w:b/>
      <w:sz w:val="24"/>
      <w:szCs w:val="28"/>
    </w:rPr>
  </w:style>
  <w:style w:type="paragraph" w:customStyle="1" w:styleId="ENoteTTIndentHeading">
    <w:name w:val="ENoteTTIndentHeading"/>
    <w:aliases w:val="enTTHi"/>
    <w:basedOn w:val="OPCParaBase"/>
    <w:rsid w:val="004E7E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E7EA4"/>
    <w:pPr>
      <w:spacing w:before="60" w:line="240" w:lineRule="atLeast"/>
    </w:pPr>
    <w:rPr>
      <w:sz w:val="16"/>
    </w:rPr>
  </w:style>
  <w:style w:type="paragraph" w:customStyle="1" w:styleId="MadeunderText">
    <w:name w:val="MadeunderText"/>
    <w:basedOn w:val="OPCParaBase"/>
    <w:next w:val="CompiledMadeUnder"/>
    <w:rsid w:val="004E7EA4"/>
    <w:pPr>
      <w:spacing w:before="240"/>
    </w:pPr>
    <w:rPr>
      <w:sz w:val="24"/>
      <w:szCs w:val="24"/>
    </w:rPr>
  </w:style>
  <w:style w:type="paragraph" w:customStyle="1" w:styleId="ENotesHeading3">
    <w:name w:val="ENotesHeading 3"/>
    <w:aliases w:val="Enh3"/>
    <w:basedOn w:val="OPCParaBase"/>
    <w:next w:val="Normal"/>
    <w:rsid w:val="004E7EA4"/>
    <w:pPr>
      <w:keepNext/>
      <w:spacing w:before="120" w:line="240" w:lineRule="auto"/>
      <w:outlineLvl w:val="4"/>
    </w:pPr>
    <w:rPr>
      <w:b/>
      <w:szCs w:val="24"/>
    </w:rPr>
  </w:style>
  <w:style w:type="character" w:customStyle="1" w:styleId="CharSubPartTextCASA">
    <w:name w:val="CharSubPartText(CASA)"/>
    <w:basedOn w:val="OPCCharBase"/>
    <w:uiPriority w:val="1"/>
    <w:rsid w:val="004E7EA4"/>
  </w:style>
  <w:style w:type="character" w:customStyle="1" w:styleId="CharSubPartNoCASA">
    <w:name w:val="CharSubPartNo(CASA)"/>
    <w:basedOn w:val="OPCCharBase"/>
    <w:uiPriority w:val="1"/>
    <w:rsid w:val="004E7EA4"/>
  </w:style>
  <w:style w:type="paragraph" w:customStyle="1" w:styleId="ENoteTTIndentHeadingSub">
    <w:name w:val="ENoteTTIndentHeadingSub"/>
    <w:aliases w:val="enTTHis"/>
    <w:basedOn w:val="OPCParaBase"/>
    <w:rsid w:val="004E7EA4"/>
    <w:pPr>
      <w:keepNext/>
      <w:spacing w:before="60" w:line="240" w:lineRule="atLeast"/>
      <w:ind w:left="340"/>
    </w:pPr>
    <w:rPr>
      <w:b/>
      <w:sz w:val="16"/>
    </w:rPr>
  </w:style>
  <w:style w:type="paragraph" w:customStyle="1" w:styleId="ENoteTTiSub">
    <w:name w:val="ENoteTTiSub"/>
    <w:aliases w:val="enttis"/>
    <w:basedOn w:val="OPCParaBase"/>
    <w:rsid w:val="004E7EA4"/>
    <w:pPr>
      <w:keepNext/>
      <w:spacing w:before="60" w:line="240" w:lineRule="atLeast"/>
      <w:ind w:left="340"/>
    </w:pPr>
    <w:rPr>
      <w:sz w:val="16"/>
    </w:rPr>
  </w:style>
  <w:style w:type="paragraph" w:customStyle="1" w:styleId="SubDivisionMigration">
    <w:name w:val="SubDivisionMigration"/>
    <w:aliases w:val="sdm"/>
    <w:basedOn w:val="OPCParaBase"/>
    <w:rsid w:val="004E7E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E7EA4"/>
    <w:pPr>
      <w:keepNext/>
      <w:keepLines/>
      <w:spacing w:before="240" w:line="240" w:lineRule="auto"/>
      <w:ind w:left="1134" w:hanging="1134"/>
    </w:pPr>
    <w:rPr>
      <w:b/>
      <w:sz w:val="28"/>
    </w:rPr>
  </w:style>
  <w:style w:type="paragraph" w:customStyle="1" w:styleId="notetext">
    <w:name w:val="note(text)"/>
    <w:aliases w:val="n"/>
    <w:basedOn w:val="OPCParaBase"/>
    <w:rsid w:val="004E7EA4"/>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4E7EA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E7EA4"/>
    <w:rPr>
      <w:sz w:val="22"/>
    </w:rPr>
  </w:style>
  <w:style w:type="paragraph" w:customStyle="1" w:styleId="SOTextNote">
    <w:name w:val="SO TextNote"/>
    <w:aliases w:val="sont"/>
    <w:basedOn w:val="SOText"/>
    <w:qFormat/>
    <w:rsid w:val="004E7EA4"/>
    <w:pPr>
      <w:spacing w:before="122" w:line="198" w:lineRule="exact"/>
      <w:ind w:left="1843" w:hanging="709"/>
    </w:pPr>
    <w:rPr>
      <w:sz w:val="18"/>
    </w:rPr>
  </w:style>
  <w:style w:type="paragraph" w:customStyle="1" w:styleId="SOPara">
    <w:name w:val="SO Para"/>
    <w:aliases w:val="soa"/>
    <w:basedOn w:val="SOText"/>
    <w:link w:val="SOParaChar"/>
    <w:qFormat/>
    <w:rsid w:val="004E7EA4"/>
    <w:pPr>
      <w:tabs>
        <w:tab w:val="right" w:pos="1786"/>
      </w:tabs>
      <w:spacing w:before="40"/>
      <w:ind w:left="2070" w:hanging="936"/>
    </w:pPr>
  </w:style>
  <w:style w:type="character" w:customStyle="1" w:styleId="SOParaChar">
    <w:name w:val="SO Para Char"/>
    <w:aliases w:val="soa Char"/>
    <w:basedOn w:val="DefaultParagraphFont"/>
    <w:link w:val="SOPara"/>
    <w:rsid w:val="004E7EA4"/>
    <w:rPr>
      <w:sz w:val="22"/>
    </w:rPr>
  </w:style>
  <w:style w:type="paragraph" w:customStyle="1" w:styleId="FileName">
    <w:name w:val="FileName"/>
    <w:basedOn w:val="Normal"/>
    <w:rsid w:val="004E7EA4"/>
  </w:style>
  <w:style w:type="paragraph" w:customStyle="1" w:styleId="TableHeading">
    <w:name w:val="TableHeading"/>
    <w:aliases w:val="th"/>
    <w:basedOn w:val="OPCParaBase"/>
    <w:next w:val="Tabletext"/>
    <w:rsid w:val="004E7EA4"/>
    <w:pPr>
      <w:keepNext/>
      <w:spacing w:before="60" w:line="240" w:lineRule="atLeast"/>
    </w:pPr>
    <w:rPr>
      <w:b/>
      <w:sz w:val="20"/>
    </w:rPr>
  </w:style>
  <w:style w:type="paragraph" w:customStyle="1" w:styleId="SOHeadBold">
    <w:name w:val="SO HeadBold"/>
    <w:aliases w:val="sohb"/>
    <w:basedOn w:val="SOText"/>
    <w:next w:val="SOText"/>
    <w:link w:val="SOHeadBoldChar"/>
    <w:qFormat/>
    <w:rsid w:val="004E7EA4"/>
    <w:rPr>
      <w:b/>
    </w:rPr>
  </w:style>
  <w:style w:type="character" w:customStyle="1" w:styleId="SOHeadBoldChar">
    <w:name w:val="SO HeadBold Char"/>
    <w:aliases w:val="sohb Char"/>
    <w:basedOn w:val="DefaultParagraphFont"/>
    <w:link w:val="SOHeadBold"/>
    <w:rsid w:val="004E7EA4"/>
    <w:rPr>
      <w:b/>
      <w:sz w:val="22"/>
    </w:rPr>
  </w:style>
  <w:style w:type="paragraph" w:customStyle="1" w:styleId="SOHeadItalic">
    <w:name w:val="SO HeadItalic"/>
    <w:aliases w:val="sohi"/>
    <w:basedOn w:val="SOText"/>
    <w:next w:val="SOText"/>
    <w:link w:val="SOHeadItalicChar"/>
    <w:qFormat/>
    <w:rsid w:val="004E7EA4"/>
    <w:rPr>
      <w:i/>
    </w:rPr>
  </w:style>
  <w:style w:type="character" w:customStyle="1" w:styleId="SOHeadItalicChar">
    <w:name w:val="SO HeadItalic Char"/>
    <w:aliases w:val="sohi Char"/>
    <w:basedOn w:val="DefaultParagraphFont"/>
    <w:link w:val="SOHeadItalic"/>
    <w:rsid w:val="004E7EA4"/>
    <w:rPr>
      <w:i/>
      <w:sz w:val="22"/>
    </w:rPr>
  </w:style>
  <w:style w:type="paragraph" w:customStyle="1" w:styleId="SOBullet">
    <w:name w:val="SO Bullet"/>
    <w:aliases w:val="sotb"/>
    <w:basedOn w:val="SOText"/>
    <w:link w:val="SOBulletChar"/>
    <w:qFormat/>
    <w:rsid w:val="004E7EA4"/>
    <w:pPr>
      <w:ind w:left="1559" w:hanging="425"/>
    </w:pPr>
  </w:style>
  <w:style w:type="character" w:customStyle="1" w:styleId="SOBulletChar">
    <w:name w:val="SO Bullet Char"/>
    <w:aliases w:val="sotb Char"/>
    <w:basedOn w:val="DefaultParagraphFont"/>
    <w:link w:val="SOBullet"/>
    <w:rsid w:val="004E7EA4"/>
    <w:rPr>
      <w:sz w:val="22"/>
    </w:rPr>
  </w:style>
  <w:style w:type="paragraph" w:customStyle="1" w:styleId="SOBulletNote">
    <w:name w:val="SO BulletNote"/>
    <w:aliases w:val="sonb"/>
    <w:basedOn w:val="SOTextNote"/>
    <w:link w:val="SOBulletNoteChar"/>
    <w:qFormat/>
    <w:rsid w:val="004E7EA4"/>
    <w:pPr>
      <w:tabs>
        <w:tab w:val="left" w:pos="1560"/>
      </w:tabs>
      <w:ind w:left="2268" w:hanging="1134"/>
    </w:pPr>
  </w:style>
  <w:style w:type="character" w:customStyle="1" w:styleId="SOBulletNoteChar">
    <w:name w:val="SO BulletNote Char"/>
    <w:aliases w:val="sonb Char"/>
    <w:basedOn w:val="DefaultParagraphFont"/>
    <w:link w:val="SOBulletNote"/>
    <w:rsid w:val="004E7EA4"/>
    <w:rPr>
      <w:sz w:val="18"/>
    </w:rPr>
  </w:style>
  <w:style w:type="paragraph" w:customStyle="1" w:styleId="SOText2">
    <w:name w:val="SO Text2"/>
    <w:aliases w:val="sot2"/>
    <w:basedOn w:val="Normal"/>
    <w:next w:val="SOText"/>
    <w:link w:val="SOText2Char"/>
    <w:rsid w:val="004E7EA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E7EA4"/>
    <w:rPr>
      <w:sz w:val="22"/>
    </w:rPr>
  </w:style>
  <w:style w:type="paragraph" w:customStyle="1" w:styleId="SubPartCASA">
    <w:name w:val="SubPart(CASA)"/>
    <w:aliases w:val="csp"/>
    <w:basedOn w:val="OPCParaBase"/>
    <w:next w:val="ActHead3"/>
    <w:rsid w:val="004E7EA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B688E"/>
    <w:rPr>
      <w:rFonts w:eastAsia="Times New Roman" w:cs="Times New Roman"/>
      <w:sz w:val="22"/>
      <w:lang w:eastAsia="en-AU"/>
    </w:rPr>
  </w:style>
  <w:style w:type="character" w:customStyle="1" w:styleId="Heading1Char">
    <w:name w:val="Heading 1 Char"/>
    <w:basedOn w:val="DefaultParagraphFont"/>
    <w:link w:val="Heading1"/>
    <w:uiPriority w:val="9"/>
    <w:rsid w:val="000B68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68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688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B688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B688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B688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B688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B68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B688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7EA4"/>
    <w:pPr>
      <w:spacing w:line="260" w:lineRule="atLeast"/>
    </w:pPr>
    <w:rPr>
      <w:sz w:val="22"/>
    </w:rPr>
  </w:style>
  <w:style w:type="paragraph" w:styleId="Heading1">
    <w:name w:val="heading 1"/>
    <w:basedOn w:val="Normal"/>
    <w:next w:val="Normal"/>
    <w:link w:val="Heading1Char"/>
    <w:uiPriority w:val="9"/>
    <w:qFormat/>
    <w:rsid w:val="000B6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6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68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68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68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68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68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688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B688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E7EA4"/>
  </w:style>
  <w:style w:type="paragraph" w:customStyle="1" w:styleId="OPCParaBase">
    <w:name w:val="OPCParaBase"/>
    <w:qFormat/>
    <w:rsid w:val="004E7EA4"/>
    <w:pPr>
      <w:spacing w:line="260" w:lineRule="atLeast"/>
    </w:pPr>
    <w:rPr>
      <w:rFonts w:eastAsia="Times New Roman" w:cs="Times New Roman"/>
      <w:sz w:val="22"/>
      <w:lang w:eastAsia="en-AU"/>
    </w:rPr>
  </w:style>
  <w:style w:type="paragraph" w:customStyle="1" w:styleId="ShortT">
    <w:name w:val="ShortT"/>
    <w:basedOn w:val="OPCParaBase"/>
    <w:next w:val="Normal"/>
    <w:qFormat/>
    <w:rsid w:val="004E7EA4"/>
    <w:pPr>
      <w:spacing w:line="240" w:lineRule="auto"/>
    </w:pPr>
    <w:rPr>
      <w:b/>
      <w:sz w:val="40"/>
    </w:rPr>
  </w:style>
  <w:style w:type="paragraph" w:customStyle="1" w:styleId="ActHead1">
    <w:name w:val="ActHead 1"/>
    <w:aliases w:val="c"/>
    <w:basedOn w:val="OPCParaBase"/>
    <w:next w:val="Normal"/>
    <w:qFormat/>
    <w:rsid w:val="004E7E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E7E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E7E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E7E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E7E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E7E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E7E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E7E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E7E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E7EA4"/>
  </w:style>
  <w:style w:type="paragraph" w:customStyle="1" w:styleId="Blocks">
    <w:name w:val="Blocks"/>
    <w:aliases w:val="bb"/>
    <w:basedOn w:val="OPCParaBase"/>
    <w:qFormat/>
    <w:rsid w:val="004E7EA4"/>
    <w:pPr>
      <w:spacing w:line="240" w:lineRule="auto"/>
    </w:pPr>
    <w:rPr>
      <w:sz w:val="24"/>
    </w:rPr>
  </w:style>
  <w:style w:type="paragraph" w:customStyle="1" w:styleId="BoxText">
    <w:name w:val="BoxText"/>
    <w:aliases w:val="bt"/>
    <w:basedOn w:val="OPCParaBase"/>
    <w:qFormat/>
    <w:rsid w:val="004E7E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E7EA4"/>
    <w:rPr>
      <w:b/>
    </w:rPr>
  </w:style>
  <w:style w:type="paragraph" w:customStyle="1" w:styleId="BoxHeadItalic">
    <w:name w:val="BoxHeadItalic"/>
    <w:aliases w:val="bhi"/>
    <w:basedOn w:val="BoxText"/>
    <w:next w:val="BoxStep"/>
    <w:qFormat/>
    <w:rsid w:val="004E7EA4"/>
    <w:rPr>
      <w:i/>
    </w:rPr>
  </w:style>
  <w:style w:type="paragraph" w:customStyle="1" w:styleId="BoxList">
    <w:name w:val="BoxList"/>
    <w:aliases w:val="bl"/>
    <w:basedOn w:val="BoxText"/>
    <w:qFormat/>
    <w:rsid w:val="004E7EA4"/>
    <w:pPr>
      <w:ind w:left="1559" w:hanging="425"/>
    </w:pPr>
  </w:style>
  <w:style w:type="paragraph" w:customStyle="1" w:styleId="BoxNote">
    <w:name w:val="BoxNote"/>
    <w:aliases w:val="bn"/>
    <w:basedOn w:val="BoxText"/>
    <w:qFormat/>
    <w:rsid w:val="004E7EA4"/>
    <w:pPr>
      <w:tabs>
        <w:tab w:val="left" w:pos="1985"/>
      </w:tabs>
      <w:spacing w:before="122" w:line="198" w:lineRule="exact"/>
      <w:ind w:left="2948" w:hanging="1814"/>
    </w:pPr>
    <w:rPr>
      <w:sz w:val="18"/>
    </w:rPr>
  </w:style>
  <w:style w:type="paragraph" w:customStyle="1" w:styleId="BoxPara">
    <w:name w:val="BoxPara"/>
    <w:aliases w:val="bp"/>
    <w:basedOn w:val="BoxText"/>
    <w:qFormat/>
    <w:rsid w:val="004E7EA4"/>
    <w:pPr>
      <w:tabs>
        <w:tab w:val="right" w:pos="2268"/>
      </w:tabs>
      <w:ind w:left="2552" w:hanging="1418"/>
    </w:pPr>
  </w:style>
  <w:style w:type="paragraph" w:customStyle="1" w:styleId="BoxStep">
    <w:name w:val="BoxStep"/>
    <w:aliases w:val="bs"/>
    <w:basedOn w:val="BoxText"/>
    <w:qFormat/>
    <w:rsid w:val="004E7EA4"/>
    <w:pPr>
      <w:ind w:left="1985" w:hanging="851"/>
    </w:pPr>
  </w:style>
  <w:style w:type="character" w:customStyle="1" w:styleId="CharAmPartNo">
    <w:name w:val="CharAmPartNo"/>
    <w:basedOn w:val="OPCCharBase"/>
    <w:qFormat/>
    <w:rsid w:val="004E7EA4"/>
  </w:style>
  <w:style w:type="character" w:customStyle="1" w:styleId="CharAmPartText">
    <w:name w:val="CharAmPartText"/>
    <w:basedOn w:val="OPCCharBase"/>
    <w:qFormat/>
    <w:rsid w:val="004E7EA4"/>
  </w:style>
  <w:style w:type="character" w:customStyle="1" w:styleId="CharAmSchNo">
    <w:name w:val="CharAmSchNo"/>
    <w:basedOn w:val="OPCCharBase"/>
    <w:qFormat/>
    <w:rsid w:val="004E7EA4"/>
  </w:style>
  <w:style w:type="character" w:customStyle="1" w:styleId="CharAmSchText">
    <w:name w:val="CharAmSchText"/>
    <w:basedOn w:val="OPCCharBase"/>
    <w:qFormat/>
    <w:rsid w:val="004E7EA4"/>
  </w:style>
  <w:style w:type="character" w:customStyle="1" w:styleId="CharBoldItalic">
    <w:name w:val="CharBoldItalic"/>
    <w:basedOn w:val="OPCCharBase"/>
    <w:uiPriority w:val="1"/>
    <w:qFormat/>
    <w:rsid w:val="004E7EA4"/>
    <w:rPr>
      <w:b/>
      <w:i/>
    </w:rPr>
  </w:style>
  <w:style w:type="character" w:customStyle="1" w:styleId="CharChapNo">
    <w:name w:val="CharChapNo"/>
    <w:basedOn w:val="OPCCharBase"/>
    <w:uiPriority w:val="1"/>
    <w:qFormat/>
    <w:rsid w:val="004E7EA4"/>
  </w:style>
  <w:style w:type="character" w:customStyle="1" w:styleId="CharChapText">
    <w:name w:val="CharChapText"/>
    <w:basedOn w:val="OPCCharBase"/>
    <w:uiPriority w:val="1"/>
    <w:qFormat/>
    <w:rsid w:val="004E7EA4"/>
  </w:style>
  <w:style w:type="character" w:customStyle="1" w:styleId="CharDivNo">
    <w:name w:val="CharDivNo"/>
    <w:basedOn w:val="OPCCharBase"/>
    <w:uiPriority w:val="1"/>
    <w:qFormat/>
    <w:rsid w:val="004E7EA4"/>
  </w:style>
  <w:style w:type="character" w:customStyle="1" w:styleId="CharDivText">
    <w:name w:val="CharDivText"/>
    <w:basedOn w:val="OPCCharBase"/>
    <w:uiPriority w:val="1"/>
    <w:qFormat/>
    <w:rsid w:val="004E7EA4"/>
  </w:style>
  <w:style w:type="character" w:customStyle="1" w:styleId="CharItalic">
    <w:name w:val="CharItalic"/>
    <w:basedOn w:val="OPCCharBase"/>
    <w:uiPriority w:val="1"/>
    <w:qFormat/>
    <w:rsid w:val="004E7EA4"/>
    <w:rPr>
      <w:i/>
    </w:rPr>
  </w:style>
  <w:style w:type="character" w:customStyle="1" w:styleId="CharPartNo">
    <w:name w:val="CharPartNo"/>
    <w:basedOn w:val="OPCCharBase"/>
    <w:uiPriority w:val="1"/>
    <w:qFormat/>
    <w:rsid w:val="004E7EA4"/>
  </w:style>
  <w:style w:type="character" w:customStyle="1" w:styleId="CharPartText">
    <w:name w:val="CharPartText"/>
    <w:basedOn w:val="OPCCharBase"/>
    <w:uiPriority w:val="1"/>
    <w:qFormat/>
    <w:rsid w:val="004E7EA4"/>
  </w:style>
  <w:style w:type="character" w:customStyle="1" w:styleId="CharSectno">
    <w:name w:val="CharSectno"/>
    <w:basedOn w:val="OPCCharBase"/>
    <w:qFormat/>
    <w:rsid w:val="004E7EA4"/>
  </w:style>
  <w:style w:type="character" w:customStyle="1" w:styleId="CharSubdNo">
    <w:name w:val="CharSubdNo"/>
    <w:basedOn w:val="OPCCharBase"/>
    <w:uiPriority w:val="1"/>
    <w:qFormat/>
    <w:rsid w:val="004E7EA4"/>
  </w:style>
  <w:style w:type="character" w:customStyle="1" w:styleId="CharSubdText">
    <w:name w:val="CharSubdText"/>
    <w:basedOn w:val="OPCCharBase"/>
    <w:uiPriority w:val="1"/>
    <w:qFormat/>
    <w:rsid w:val="004E7EA4"/>
  </w:style>
  <w:style w:type="paragraph" w:customStyle="1" w:styleId="CTA--">
    <w:name w:val="CTA --"/>
    <w:basedOn w:val="OPCParaBase"/>
    <w:next w:val="Normal"/>
    <w:rsid w:val="004E7EA4"/>
    <w:pPr>
      <w:spacing w:before="60" w:line="240" w:lineRule="atLeast"/>
      <w:ind w:left="142" w:hanging="142"/>
    </w:pPr>
    <w:rPr>
      <w:sz w:val="20"/>
    </w:rPr>
  </w:style>
  <w:style w:type="paragraph" w:customStyle="1" w:styleId="CTA-">
    <w:name w:val="CTA -"/>
    <w:basedOn w:val="OPCParaBase"/>
    <w:rsid w:val="004E7EA4"/>
    <w:pPr>
      <w:spacing w:before="60" w:line="240" w:lineRule="atLeast"/>
      <w:ind w:left="85" w:hanging="85"/>
    </w:pPr>
    <w:rPr>
      <w:sz w:val="20"/>
    </w:rPr>
  </w:style>
  <w:style w:type="paragraph" w:customStyle="1" w:styleId="CTA---">
    <w:name w:val="CTA ---"/>
    <w:basedOn w:val="OPCParaBase"/>
    <w:next w:val="Normal"/>
    <w:rsid w:val="004E7EA4"/>
    <w:pPr>
      <w:spacing w:before="60" w:line="240" w:lineRule="atLeast"/>
      <w:ind w:left="198" w:hanging="198"/>
    </w:pPr>
    <w:rPr>
      <w:sz w:val="20"/>
    </w:rPr>
  </w:style>
  <w:style w:type="paragraph" w:customStyle="1" w:styleId="CTA----">
    <w:name w:val="CTA ----"/>
    <w:basedOn w:val="OPCParaBase"/>
    <w:next w:val="Normal"/>
    <w:rsid w:val="004E7EA4"/>
    <w:pPr>
      <w:spacing w:before="60" w:line="240" w:lineRule="atLeast"/>
      <w:ind w:left="255" w:hanging="255"/>
    </w:pPr>
    <w:rPr>
      <w:sz w:val="20"/>
    </w:rPr>
  </w:style>
  <w:style w:type="paragraph" w:customStyle="1" w:styleId="CTA1a">
    <w:name w:val="CTA 1(a)"/>
    <w:basedOn w:val="OPCParaBase"/>
    <w:rsid w:val="004E7EA4"/>
    <w:pPr>
      <w:tabs>
        <w:tab w:val="right" w:pos="414"/>
      </w:tabs>
      <w:spacing w:before="40" w:line="240" w:lineRule="atLeast"/>
      <w:ind w:left="675" w:hanging="675"/>
    </w:pPr>
    <w:rPr>
      <w:sz w:val="20"/>
    </w:rPr>
  </w:style>
  <w:style w:type="paragraph" w:customStyle="1" w:styleId="CTA1ai">
    <w:name w:val="CTA 1(a)(i)"/>
    <w:basedOn w:val="OPCParaBase"/>
    <w:rsid w:val="004E7EA4"/>
    <w:pPr>
      <w:tabs>
        <w:tab w:val="right" w:pos="1004"/>
      </w:tabs>
      <w:spacing w:before="40" w:line="240" w:lineRule="atLeast"/>
      <w:ind w:left="1253" w:hanging="1253"/>
    </w:pPr>
    <w:rPr>
      <w:sz w:val="20"/>
    </w:rPr>
  </w:style>
  <w:style w:type="paragraph" w:customStyle="1" w:styleId="CTA2a">
    <w:name w:val="CTA 2(a)"/>
    <w:basedOn w:val="OPCParaBase"/>
    <w:rsid w:val="004E7EA4"/>
    <w:pPr>
      <w:tabs>
        <w:tab w:val="right" w:pos="482"/>
      </w:tabs>
      <w:spacing w:before="40" w:line="240" w:lineRule="atLeast"/>
      <w:ind w:left="748" w:hanging="748"/>
    </w:pPr>
    <w:rPr>
      <w:sz w:val="20"/>
    </w:rPr>
  </w:style>
  <w:style w:type="paragraph" w:customStyle="1" w:styleId="CTA2ai">
    <w:name w:val="CTA 2(a)(i)"/>
    <w:basedOn w:val="OPCParaBase"/>
    <w:rsid w:val="004E7EA4"/>
    <w:pPr>
      <w:tabs>
        <w:tab w:val="right" w:pos="1089"/>
      </w:tabs>
      <w:spacing w:before="40" w:line="240" w:lineRule="atLeast"/>
      <w:ind w:left="1327" w:hanging="1327"/>
    </w:pPr>
    <w:rPr>
      <w:sz w:val="20"/>
    </w:rPr>
  </w:style>
  <w:style w:type="paragraph" w:customStyle="1" w:styleId="CTA3a">
    <w:name w:val="CTA 3(a)"/>
    <w:basedOn w:val="OPCParaBase"/>
    <w:rsid w:val="004E7EA4"/>
    <w:pPr>
      <w:tabs>
        <w:tab w:val="right" w:pos="556"/>
      </w:tabs>
      <w:spacing w:before="40" w:line="240" w:lineRule="atLeast"/>
      <w:ind w:left="805" w:hanging="805"/>
    </w:pPr>
    <w:rPr>
      <w:sz w:val="20"/>
    </w:rPr>
  </w:style>
  <w:style w:type="paragraph" w:customStyle="1" w:styleId="CTA3ai">
    <w:name w:val="CTA 3(a)(i)"/>
    <w:basedOn w:val="OPCParaBase"/>
    <w:rsid w:val="004E7EA4"/>
    <w:pPr>
      <w:tabs>
        <w:tab w:val="right" w:pos="1140"/>
      </w:tabs>
      <w:spacing w:before="40" w:line="240" w:lineRule="atLeast"/>
      <w:ind w:left="1361" w:hanging="1361"/>
    </w:pPr>
    <w:rPr>
      <w:sz w:val="20"/>
    </w:rPr>
  </w:style>
  <w:style w:type="paragraph" w:customStyle="1" w:styleId="CTA4a">
    <w:name w:val="CTA 4(a)"/>
    <w:basedOn w:val="OPCParaBase"/>
    <w:rsid w:val="004E7EA4"/>
    <w:pPr>
      <w:tabs>
        <w:tab w:val="right" w:pos="624"/>
      </w:tabs>
      <w:spacing w:before="40" w:line="240" w:lineRule="atLeast"/>
      <w:ind w:left="873" w:hanging="873"/>
    </w:pPr>
    <w:rPr>
      <w:sz w:val="20"/>
    </w:rPr>
  </w:style>
  <w:style w:type="paragraph" w:customStyle="1" w:styleId="CTA4ai">
    <w:name w:val="CTA 4(a)(i)"/>
    <w:basedOn w:val="OPCParaBase"/>
    <w:rsid w:val="004E7EA4"/>
    <w:pPr>
      <w:tabs>
        <w:tab w:val="right" w:pos="1213"/>
      </w:tabs>
      <w:spacing w:before="40" w:line="240" w:lineRule="atLeast"/>
      <w:ind w:left="1452" w:hanging="1452"/>
    </w:pPr>
    <w:rPr>
      <w:sz w:val="20"/>
    </w:rPr>
  </w:style>
  <w:style w:type="paragraph" w:customStyle="1" w:styleId="CTACAPS">
    <w:name w:val="CTA CAPS"/>
    <w:basedOn w:val="OPCParaBase"/>
    <w:rsid w:val="004E7EA4"/>
    <w:pPr>
      <w:spacing w:before="60" w:line="240" w:lineRule="atLeast"/>
    </w:pPr>
    <w:rPr>
      <w:sz w:val="20"/>
    </w:rPr>
  </w:style>
  <w:style w:type="paragraph" w:customStyle="1" w:styleId="CTAright">
    <w:name w:val="CTA right"/>
    <w:basedOn w:val="OPCParaBase"/>
    <w:rsid w:val="004E7EA4"/>
    <w:pPr>
      <w:spacing w:before="60" w:line="240" w:lineRule="auto"/>
      <w:jc w:val="right"/>
    </w:pPr>
    <w:rPr>
      <w:sz w:val="20"/>
    </w:rPr>
  </w:style>
  <w:style w:type="paragraph" w:customStyle="1" w:styleId="subsection">
    <w:name w:val="subsection"/>
    <w:aliases w:val="ss"/>
    <w:basedOn w:val="OPCParaBase"/>
    <w:link w:val="subsectionChar"/>
    <w:rsid w:val="004E7EA4"/>
    <w:pPr>
      <w:tabs>
        <w:tab w:val="right" w:pos="1021"/>
      </w:tabs>
      <w:spacing w:before="180" w:line="240" w:lineRule="auto"/>
      <w:ind w:left="1134" w:hanging="1134"/>
    </w:pPr>
  </w:style>
  <w:style w:type="paragraph" w:customStyle="1" w:styleId="Definition">
    <w:name w:val="Definition"/>
    <w:aliases w:val="dd"/>
    <w:basedOn w:val="OPCParaBase"/>
    <w:rsid w:val="004E7EA4"/>
    <w:pPr>
      <w:spacing w:before="180" w:line="240" w:lineRule="auto"/>
      <w:ind w:left="1134"/>
    </w:pPr>
  </w:style>
  <w:style w:type="paragraph" w:customStyle="1" w:styleId="ETAsubitem">
    <w:name w:val="ETA(subitem)"/>
    <w:basedOn w:val="OPCParaBase"/>
    <w:rsid w:val="004E7EA4"/>
    <w:pPr>
      <w:tabs>
        <w:tab w:val="right" w:pos="340"/>
      </w:tabs>
      <w:spacing w:before="60" w:line="240" w:lineRule="auto"/>
      <w:ind w:left="454" w:hanging="454"/>
    </w:pPr>
    <w:rPr>
      <w:sz w:val="20"/>
    </w:rPr>
  </w:style>
  <w:style w:type="paragraph" w:customStyle="1" w:styleId="ETApara">
    <w:name w:val="ETA(para)"/>
    <w:basedOn w:val="OPCParaBase"/>
    <w:rsid w:val="004E7EA4"/>
    <w:pPr>
      <w:tabs>
        <w:tab w:val="right" w:pos="754"/>
      </w:tabs>
      <w:spacing w:before="60" w:line="240" w:lineRule="auto"/>
      <w:ind w:left="828" w:hanging="828"/>
    </w:pPr>
    <w:rPr>
      <w:sz w:val="20"/>
    </w:rPr>
  </w:style>
  <w:style w:type="paragraph" w:customStyle="1" w:styleId="ETAsubpara">
    <w:name w:val="ETA(subpara)"/>
    <w:basedOn w:val="OPCParaBase"/>
    <w:rsid w:val="004E7EA4"/>
    <w:pPr>
      <w:tabs>
        <w:tab w:val="right" w:pos="1083"/>
      </w:tabs>
      <w:spacing w:before="60" w:line="240" w:lineRule="auto"/>
      <w:ind w:left="1191" w:hanging="1191"/>
    </w:pPr>
    <w:rPr>
      <w:sz w:val="20"/>
    </w:rPr>
  </w:style>
  <w:style w:type="paragraph" w:customStyle="1" w:styleId="ETAsub-subpara">
    <w:name w:val="ETA(sub-subpara)"/>
    <w:basedOn w:val="OPCParaBase"/>
    <w:rsid w:val="004E7EA4"/>
    <w:pPr>
      <w:tabs>
        <w:tab w:val="right" w:pos="1412"/>
      </w:tabs>
      <w:spacing w:before="60" w:line="240" w:lineRule="auto"/>
      <w:ind w:left="1525" w:hanging="1525"/>
    </w:pPr>
    <w:rPr>
      <w:sz w:val="20"/>
    </w:rPr>
  </w:style>
  <w:style w:type="paragraph" w:customStyle="1" w:styleId="Formula">
    <w:name w:val="Formula"/>
    <w:basedOn w:val="OPCParaBase"/>
    <w:rsid w:val="004E7EA4"/>
    <w:pPr>
      <w:spacing w:line="240" w:lineRule="auto"/>
      <w:ind w:left="1134"/>
    </w:pPr>
    <w:rPr>
      <w:sz w:val="20"/>
    </w:rPr>
  </w:style>
  <w:style w:type="paragraph" w:styleId="Header">
    <w:name w:val="header"/>
    <w:basedOn w:val="OPCParaBase"/>
    <w:link w:val="HeaderChar"/>
    <w:unhideWhenUsed/>
    <w:rsid w:val="004E7EA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E7EA4"/>
    <w:rPr>
      <w:rFonts w:eastAsia="Times New Roman" w:cs="Times New Roman"/>
      <w:sz w:val="16"/>
      <w:lang w:eastAsia="en-AU"/>
    </w:rPr>
  </w:style>
  <w:style w:type="paragraph" w:customStyle="1" w:styleId="House">
    <w:name w:val="House"/>
    <w:basedOn w:val="OPCParaBase"/>
    <w:rsid w:val="004E7EA4"/>
    <w:pPr>
      <w:spacing w:line="240" w:lineRule="auto"/>
    </w:pPr>
    <w:rPr>
      <w:sz w:val="28"/>
    </w:rPr>
  </w:style>
  <w:style w:type="paragraph" w:customStyle="1" w:styleId="Item">
    <w:name w:val="Item"/>
    <w:aliases w:val="i"/>
    <w:basedOn w:val="OPCParaBase"/>
    <w:next w:val="ItemHead"/>
    <w:rsid w:val="004E7EA4"/>
    <w:pPr>
      <w:keepLines/>
      <w:spacing w:before="80" w:line="240" w:lineRule="auto"/>
      <w:ind w:left="709"/>
    </w:pPr>
  </w:style>
  <w:style w:type="paragraph" w:customStyle="1" w:styleId="ItemHead">
    <w:name w:val="ItemHead"/>
    <w:aliases w:val="ih"/>
    <w:basedOn w:val="OPCParaBase"/>
    <w:next w:val="Item"/>
    <w:rsid w:val="004E7E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E7EA4"/>
    <w:pPr>
      <w:spacing w:line="240" w:lineRule="auto"/>
    </w:pPr>
    <w:rPr>
      <w:b/>
      <w:sz w:val="32"/>
    </w:rPr>
  </w:style>
  <w:style w:type="paragraph" w:customStyle="1" w:styleId="notedraft">
    <w:name w:val="note(draft)"/>
    <w:aliases w:val="nd"/>
    <w:basedOn w:val="OPCParaBase"/>
    <w:rsid w:val="004E7EA4"/>
    <w:pPr>
      <w:spacing w:before="240" w:line="240" w:lineRule="auto"/>
      <w:ind w:left="284" w:hanging="284"/>
    </w:pPr>
    <w:rPr>
      <w:i/>
      <w:sz w:val="24"/>
    </w:rPr>
  </w:style>
  <w:style w:type="paragraph" w:customStyle="1" w:styleId="notemargin">
    <w:name w:val="note(margin)"/>
    <w:aliases w:val="nm"/>
    <w:basedOn w:val="OPCParaBase"/>
    <w:rsid w:val="004E7EA4"/>
    <w:pPr>
      <w:tabs>
        <w:tab w:val="left" w:pos="709"/>
      </w:tabs>
      <w:spacing w:before="122" w:line="198" w:lineRule="exact"/>
      <w:ind w:left="709" w:hanging="709"/>
    </w:pPr>
    <w:rPr>
      <w:sz w:val="18"/>
    </w:rPr>
  </w:style>
  <w:style w:type="paragraph" w:customStyle="1" w:styleId="noteToPara">
    <w:name w:val="noteToPara"/>
    <w:aliases w:val="ntp"/>
    <w:basedOn w:val="OPCParaBase"/>
    <w:rsid w:val="004E7EA4"/>
    <w:pPr>
      <w:spacing w:before="122" w:line="198" w:lineRule="exact"/>
      <w:ind w:left="2353" w:hanging="709"/>
    </w:pPr>
    <w:rPr>
      <w:sz w:val="18"/>
    </w:rPr>
  </w:style>
  <w:style w:type="paragraph" w:customStyle="1" w:styleId="noteParlAmend">
    <w:name w:val="note(ParlAmend)"/>
    <w:aliases w:val="npp"/>
    <w:basedOn w:val="OPCParaBase"/>
    <w:next w:val="ParlAmend"/>
    <w:rsid w:val="004E7EA4"/>
    <w:pPr>
      <w:spacing w:line="240" w:lineRule="auto"/>
      <w:jc w:val="right"/>
    </w:pPr>
    <w:rPr>
      <w:rFonts w:ascii="Arial" w:hAnsi="Arial"/>
      <w:b/>
      <w:i/>
    </w:rPr>
  </w:style>
  <w:style w:type="paragraph" w:customStyle="1" w:styleId="Page1">
    <w:name w:val="Page1"/>
    <w:basedOn w:val="OPCParaBase"/>
    <w:rsid w:val="004E7EA4"/>
    <w:pPr>
      <w:spacing w:before="5600" w:line="240" w:lineRule="auto"/>
    </w:pPr>
    <w:rPr>
      <w:b/>
      <w:sz w:val="32"/>
    </w:rPr>
  </w:style>
  <w:style w:type="paragraph" w:customStyle="1" w:styleId="PageBreak">
    <w:name w:val="PageBreak"/>
    <w:aliases w:val="pb"/>
    <w:basedOn w:val="OPCParaBase"/>
    <w:rsid w:val="004E7EA4"/>
    <w:pPr>
      <w:spacing w:line="240" w:lineRule="auto"/>
    </w:pPr>
    <w:rPr>
      <w:sz w:val="20"/>
    </w:rPr>
  </w:style>
  <w:style w:type="paragraph" w:customStyle="1" w:styleId="paragraphsub">
    <w:name w:val="paragraph(sub)"/>
    <w:aliases w:val="aa"/>
    <w:basedOn w:val="OPCParaBase"/>
    <w:rsid w:val="004E7EA4"/>
    <w:pPr>
      <w:tabs>
        <w:tab w:val="right" w:pos="1985"/>
      </w:tabs>
      <w:spacing w:before="40" w:line="240" w:lineRule="auto"/>
      <w:ind w:left="2098" w:hanging="2098"/>
    </w:pPr>
  </w:style>
  <w:style w:type="paragraph" w:customStyle="1" w:styleId="paragraphsub-sub">
    <w:name w:val="paragraph(sub-sub)"/>
    <w:aliases w:val="aaa"/>
    <w:basedOn w:val="OPCParaBase"/>
    <w:rsid w:val="004E7EA4"/>
    <w:pPr>
      <w:tabs>
        <w:tab w:val="right" w:pos="2722"/>
      </w:tabs>
      <w:spacing w:before="40" w:line="240" w:lineRule="auto"/>
      <w:ind w:left="2835" w:hanging="2835"/>
    </w:pPr>
  </w:style>
  <w:style w:type="paragraph" w:customStyle="1" w:styleId="paragraph">
    <w:name w:val="paragraph"/>
    <w:aliases w:val="a"/>
    <w:basedOn w:val="OPCParaBase"/>
    <w:rsid w:val="004E7EA4"/>
    <w:pPr>
      <w:tabs>
        <w:tab w:val="right" w:pos="1531"/>
      </w:tabs>
      <w:spacing w:before="40" w:line="240" w:lineRule="auto"/>
      <w:ind w:left="1644" w:hanging="1644"/>
    </w:pPr>
  </w:style>
  <w:style w:type="paragraph" w:customStyle="1" w:styleId="ParlAmend">
    <w:name w:val="ParlAmend"/>
    <w:aliases w:val="pp"/>
    <w:basedOn w:val="OPCParaBase"/>
    <w:rsid w:val="004E7EA4"/>
    <w:pPr>
      <w:spacing w:before="240" w:line="240" w:lineRule="atLeast"/>
      <w:ind w:hanging="567"/>
    </w:pPr>
    <w:rPr>
      <w:sz w:val="24"/>
    </w:rPr>
  </w:style>
  <w:style w:type="paragraph" w:customStyle="1" w:styleId="Penalty">
    <w:name w:val="Penalty"/>
    <w:basedOn w:val="OPCParaBase"/>
    <w:rsid w:val="004E7EA4"/>
    <w:pPr>
      <w:tabs>
        <w:tab w:val="left" w:pos="2977"/>
      </w:tabs>
      <w:spacing w:before="180" w:line="240" w:lineRule="auto"/>
      <w:ind w:left="1985" w:hanging="851"/>
    </w:pPr>
  </w:style>
  <w:style w:type="paragraph" w:customStyle="1" w:styleId="Portfolio">
    <w:name w:val="Portfolio"/>
    <w:basedOn w:val="OPCParaBase"/>
    <w:rsid w:val="004E7EA4"/>
    <w:pPr>
      <w:spacing w:line="240" w:lineRule="auto"/>
    </w:pPr>
    <w:rPr>
      <w:i/>
      <w:sz w:val="20"/>
    </w:rPr>
  </w:style>
  <w:style w:type="paragraph" w:customStyle="1" w:styleId="Preamble">
    <w:name w:val="Preamble"/>
    <w:basedOn w:val="OPCParaBase"/>
    <w:next w:val="Normal"/>
    <w:rsid w:val="004E7E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E7EA4"/>
    <w:pPr>
      <w:spacing w:line="240" w:lineRule="auto"/>
    </w:pPr>
    <w:rPr>
      <w:i/>
      <w:sz w:val="20"/>
    </w:rPr>
  </w:style>
  <w:style w:type="paragraph" w:customStyle="1" w:styleId="Session">
    <w:name w:val="Session"/>
    <w:basedOn w:val="OPCParaBase"/>
    <w:rsid w:val="004E7EA4"/>
    <w:pPr>
      <w:spacing w:line="240" w:lineRule="auto"/>
    </w:pPr>
    <w:rPr>
      <w:sz w:val="28"/>
    </w:rPr>
  </w:style>
  <w:style w:type="paragraph" w:customStyle="1" w:styleId="Sponsor">
    <w:name w:val="Sponsor"/>
    <w:basedOn w:val="OPCParaBase"/>
    <w:rsid w:val="004E7EA4"/>
    <w:pPr>
      <w:spacing w:line="240" w:lineRule="auto"/>
    </w:pPr>
    <w:rPr>
      <w:i/>
    </w:rPr>
  </w:style>
  <w:style w:type="paragraph" w:customStyle="1" w:styleId="Subitem">
    <w:name w:val="Subitem"/>
    <w:aliases w:val="iss"/>
    <w:basedOn w:val="OPCParaBase"/>
    <w:rsid w:val="004E7EA4"/>
    <w:pPr>
      <w:spacing w:before="180" w:line="240" w:lineRule="auto"/>
      <w:ind w:left="709" w:hanging="709"/>
    </w:pPr>
  </w:style>
  <w:style w:type="paragraph" w:customStyle="1" w:styleId="SubitemHead">
    <w:name w:val="SubitemHead"/>
    <w:aliases w:val="issh"/>
    <w:basedOn w:val="OPCParaBase"/>
    <w:rsid w:val="004E7E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E7EA4"/>
    <w:pPr>
      <w:spacing w:before="40" w:line="240" w:lineRule="auto"/>
      <w:ind w:left="1134"/>
    </w:pPr>
  </w:style>
  <w:style w:type="paragraph" w:customStyle="1" w:styleId="SubsectionHead">
    <w:name w:val="SubsectionHead"/>
    <w:aliases w:val="ssh"/>
    <w:basedOn w:val="OPCParaBase"/>
    <w:next w:val="subsection"/>
    <w:rsid w:val="004E7EA4"/>
    <w:pPr>
      <w:keepNext/>
      <w:keepLines/>
      <w:spacing w:before="240" w:line="240" w:lineRule="auto"/>
      <w:ind w:left="1134"/>
    </w:pPr>
    <w:rPr>
      <w:i/>
    </w:rPr>
  </w:style>
  <w:style w:type="paragraph" w:customStyle="1" w:styleId="Tablea">
    <w:name w:val="Table(a)"/>
    <w:aliases w:val="ta"/>
    <w:basedOn w:val="OPCParaBase"/>
    <w:rsid w:val="004E7EA4"/>
    <w:pPr>
      <w:spacing w:before="60" w:line="240" w:lineRule="auto"/>
      <w:ind w:left="284" w:hanging="284"/>
    </w:pPr>
    <w:rPr>
      <w:sz w:val="20"/>
    </w:rPr>
  </w:style>
  <w:style w:type="paragraph" w:customStyle="1" w:styleId="TableAA">
    <w:name w:val="Table(AA)"/>
    <w:aliases w:val="taaa"/>
    <w:basedOn w:val="OPCParaBase"/>
    <w:rsid w:val="004E7E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E7E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E7EA4"/>
    <w:pPr>
      <w:spacing w:before="60" w:line="240" w:lineRule="atLeast"/>
    </w:pPr>
    <w:rPr>
      <w:sz w:val="20"/>
    </w:rPr>
  </w:style>
  <w:style w:type="paragraph" w:customStyle="1" w:styleId="TLPBoxTextnote">
    <w:name w:val="TLPBoxText(note"/>
    <w:aliases w:val="right)"/>
    <w:basedOn w:val="OPCParaBase"/>
    <w:rsid w:val="004E7E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E7E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E7EA4"/>
    <w:pPr>
      <w:spacing w:before="122" w:line="198" w:lineRule="exact"/>
      <w:ind w:left="1985" w:hanging="851"/>
      <w:jc w:val="right"/>
    </w:pPr>
    <w:rPr>
      <w:sz w:val="18"/>
    </w:rPr>
  </w:style>
  <w:style w:type="paragraph" w:customStyle="1" w:styleId="TLPTableBullet">
    <w:name w:val="TLPTableBullet"/>
    <w:aliases w:val="ttb"/>
    <w:basedOn w:val="OPCParaBase"/>
    <w:rsid w:val="004E7EA4"/>
    <w:pPr>
      <w:spacing w:line="240" w:lineRule="exact"/>
      <w:ind w:left="284" w:hanging="284"/>
    </w:pPr>
    <w:rPr>
      <w:sz w:val="20"/>
    </w:rPr>
  </w:style>
  <w:style w:type="paragraph" w:styleId="TOC1">
    <w:name w:val="toc 1"/>
    <w:basedOn w:val="OPCParaBase"/>
    <w:next w:val="Normal"/>
    <w:uiPriority w:val="39"/>
    <w:semiHidden/>
    <w:unhideWhenUsed/>
    <w:rsid w:val="004E7EA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4E7EA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4E7EA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4E7EA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E7EA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E7EA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E7EA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E7EA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E7EA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E7EA4"/>
    <w:pPr>
      <w:keepLines/>
      <w:spacing w:before="240" w:after="120" w:line="240" w:lineRule="auto"/>
      <w:ind w:left="794"/>
    </w:pPr>
    <w:rPr>
      <w:b/>
      <w:kern w:val="28"/>
      <w:sz w:val="20"/>
    </w:rPr>
  </w:style>
  <w:style w:type="paragraph" w:customStyle="1" w:styleId="TofSectsHeading">
    <w:name w:val="TofSects(Heading)"/>
    <w:basedOn w:val="OPCParaBase"/>
    <w:rsid w:val="004E7EA4"/>
    <w:pPr>
      <w:spacing w:before="240" w:after="120" w:line="240" w:lineRule="auto"/>
    </w:pPr>
    <w:rPr>
      <w:b/>
      <w:sz w:val="24"/>
    </w:rPr>
  </w:style>
  <w:style w:type="paragraph" w:customStyle="1" w:styleId="TofSectsSection">
    <w:name w:val="TofSects(Section)"/>
    <w:basedOn w:val="OPCParaBase"/>
    <w:rsid w:val="004E7EA4"/>
    <w:pPr>
      <w:keepLines/>
      <w:spacing w:before="40" w:line="240" w:lineRule="auto"/>
      <w:ind w:left="1588" w:hanging="794"/>
    </w:pPr>
    <w:rPr>
      <w:kern w:val="28"/>
      <w:sz w:val="18"/>
    </w:rPr>
  </w:style>
  <w:style w:type="paragraph" w:customStyle="1" w:styleId="TofSectsSubdiv">
    <w:name w:val="TofSects(Subdiv)"/>
    <w:basedOn w:val="OPCParaBase"/>
    <w:rsid w:val="004E7EA4"/>
    <w:pPr>
      <w:keepLines/>
      <w:spacing w:before="80" w:line="240" w:lineRule="auto"/>
      <w:ind w:left="1588" w:hanging="794"/>
    </w:pPr>
    <w:rPr>
      <w:kern w:val="28"/>
    </w:rPr>
  </w:style>
  <w:style w:type="paragraph" w:customStyle="1" w:styleId="WRStyle">
    <w:name w:val="WR Style"/>
    <w:aliases w:val="WR"/>
    <w:basedOn w:val="OPCParaBase"/>
    <w:rsid w:val="004E7EA4"/>
    <w:pPr>
      <w:spacing w:before="240" w:line="240" w:lineRule="auto"/>
      <w:ind w:left="284" w:hanging="284"/>
    </w:pPr>
    <w:rPr>
      <w:b/>
      <w:i/>
      <w:kern w:val="28"/>
      <w:sz w:val="24"/>
    </w:rPr>
  </w:style>
  <w:style w:type="paragraph" w:customStyle="1" w:styleId="notepara">
    <w:name w:val="note(para)"/>
    <w:aliases w:val="na"/>
    <w:basedOn w:val="OPCParaBase"/>
    <w:rsid w:val="004E7EA4"/>
    <w:pPr>
      <w:spacing w:before="40" w:line="198" w:lineRule="exact"/>
      <w:ind w:left="2354" w:hanging="369"/>
    </w:pPr>
    <w:rPr>
      <w:sz w:val="18"/>
    </w:rPr>
  </w:style>
  <w:style w:type="paragraph" w:styleId="Footer">
    <w:name w:val="footer"/>
    <w:link w:val="FooterChar"/>
    <w:rsid w:val="004E7EA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E7EA4"/>
    <w:rPr>
      <w:rFonts w:eastAsia="Times New Roman" w:cs="Times New Roman"/>
      <w:sz w:val="22"/>
      <w:szCs w:val="24"/>
      <w:lang w:eastAsia="en-AU"/>
    </w:rPr>
  </w:style>
  <w:style w:type="character" w:styleId="LineNumber">
    <w:name w:val="line number"/>
    <w:basedOn w:val="OPCCharBase"/>
    <w:uiPriority w:val="99"/>
    <w:semiHidden/>
    <w:unhideWhenUsed/>
    <w:rsid w:val="004E7EA4"/>
    <w:rPr>
      <w:sz w:val="16"/>
    </w:rPr>
  </w:style>
  <w:style w:type="table" w:customStyle="1" w:styleId="CFlag">
    <w:name w:val="CFlag"/>
    <w:basedOn w:val="TableNormal"/>
    <w:uiPriority w:val="99"/>
    <w:rsid w:val="004E7EA4"/>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E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A4"/>
    <w:rPr>
      <w:rFonts w:ascii="Tahoma" w:hAnsi="Tahoma" w:cs="Tahoma"/>
      <w:sz w:val="16"/>
      <w:szCs w:val="16"/>
    </w:rPr>
  </w:style>
  <w:style w:type="character" w:styleId="Hyperlink">
    <w:name w:val="Hyperlink"/>
    <w:basedOn w:val="DefaultParagraphFont"/>
    <w:rsid w:val="004E7EA4"/>
    <w:rPr>
      <w:color w:val="0000FF"/>
      <w:u w:val="single"/>
    </w:rPr>
  </w:style>
  <w:style w:type="table" w:styleId="TableGrid">
    <w:name w:val="Table Grid"/>
    <w:basedOn w:val="TableNormal"/>
    <w:uiPriority w:val="59"/>
    <w:rsid w:val="004E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4E7EA4"/>
    <w:rPr>
      <w:b/>
      <w:sz w:val="28"/>
      <w:szCs w:val="32"/>
    </w:rPr>
  </w:style>
  <w:style w:type="paragraph" w:customStyle="1" w:styleId="TerritoryT">
    <w:name w:val="TerritoryT"/>
    <w:basedOn w:val="OPCParaBase"/>
    <w:next w:val="Normal"/>
    <w:rsid w:val="004E7EA4"/>
    <w:rPr>
      <w:b/>
      <w:sz w:val="32"/>
    </w:rPr>
  </w:style>
  <w:style w:type="paragraph" w:customStyle="1" w:styleId="LegislationMadeUnder">
    <w:name w:val="LegislationMadeUnder"/>
    <w:basedOn w:val="OPCParaBase"/>
    <w:next w:val="Normal"/>
    <w:rsid w:val="004E7EA4"/>
    <w:rPr>
      <w:i/>
      <w:sz w:val="32"/>
      <w:szCs w:val="32"/>
    </w:rPr>
  </w:style>
  <w:style w:type="paragraph" w:customStyle="1" w:styleId="SignCoverPageEnd">
    <w:name w:val="SignCoverPageEnd"/>
    <w:basedOn w:val="OPCParaBase"/>
    <w:next w:val="Normal"/>
    <w:rsid w:val="004E7EA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E7EA4"/>
    <w:pPr>
      <w:pBdr>
        <w:top w:val="single" w:sz="4" w:space="1" w:color="auto"/>
      </w:pBdr>
      <w:spacing w:before="360"/>
      <w:ind w:right="397"/>
      <w:jc w:val="both"/>
    </w:pPr>
  </w:style>
  <w:style w:type="paragraph" w:customStyle="1" w:styleId="NotesHeading1">
    <w:name w:val="NotesHeading 1"/>
    <w:basedOn w:val="OPCParaBase"/>
    <w:next w:val="Normal"/>
    <w:rsid w:val="004E7EA4"/>
    <w:rPr>
      <w:b/>
      <w:sz w:val="28"/>
      <w:szCs w:val="28"/>
    </w:rPr>
  </w:style>
  <w:style w:type="paragraph" w:customStyle="1" w:styleId="NotesHeading2">
    <w:name w:val="NotesHeading 2"/>
    <w:basedOn w:val="OPCParaBase"/>
    <w:next w:val="Normal"/>
    <w:rsid w:val="004E7EA4"/>
    <w:rPr>
      <w:b/>
      <w:sz w:val="28"/>
      <w:szCs w:val="28"/>
    </w:rPr>
  </w:style>
  <w:style w:type="paragraph" w:customStyle="1" w:styleId="ENotesText">
    <w:name w:val="ENotesText"/>
    <w:basedOn w:val="OPCParaBase"/>
    <w:next w:val="Normal"/>
    <w:rsid w:val="004E7EA4"/>
  </w:style>
  <w:style w:type="paragraph" w:customStyle="1" w:styleId="CompiledActNo">
    <w:name w:val="CompiledActNo"/>
    <w:basedOn w:val="OPCParaBase"/>
    <w:next w:val="Normal"/>
    <w:rsid w:val="004E7EA4"/>
    <w:rPr>
      <w:b/>
      <w:sz w:val="24"/>
      <w:szCs w:val="24"/>
    </w:rPr>
  </w:style>
  <w:style w:type="paragraph" w:customStyle="1" w:styleId="CompiledMadeUnder">
    <w:name w:val="CompiledMadeUnder"/>
    <w:basedOn w:val="OPCParaBase"/>
    <w:next w:val="Normal"/>
    <w:rsid w:val="004E7EA4"/>
    <w:rPr>
      <w:i/>
      <w:sz w:val="24"/>
      <w:szCs w:val="24"/>
    </w:rPr>
  </w:style>
  <w:style w:type="paragraph" w:customStyle="1" w:styleId="Paragraphsub-sub-sub">
    <w:name w:val="Paragraph(sub-sub-sub)"/>
    <w:aliases w:val="aaaa"/>
    <w:basedOn w:val="OPCParaBase"/>
    <w:rsid w:val="004E7EA4"/>
    <w:pPr>
      <w:tabs>
        <w:tab w:val="right" w:pos="3402"/>
      </w:tabs>
      <w:spacing w:before="40" w:line="240" w:lineRule="auto"/>
      <w:ind w:left="3402" w:hanging="3402"/>
    </w:pPr>
  </w:style>
  <w:style w:type="paragraph" w:customStyle="1" w:styleId="NoteToSubpara">
    <w:name w:val="NoteToSubpara"/>
    <w:aliases w:val="nts"/>
    <w:basedOn w:val="OPCParaBase"/>
    <w:rsid w:val="004E7EA4"/>
    <w:pPr>
      <w:spacing w:before="40" w:line="198" w:lineRule="exact"/>
      <w:ind w:left="2835" w:hanging="709"/>
    </w:pPr>
    <w:rPr>
      <w:sz w:val="18"/>
    </w:rPr>
  </w:style>
  <w:style w:type="paragraph" w:customStyle="1" w:styleId="EndNotespara">
    <w:name w:val="EndNotes(para)"/>
    <w:aliases w:val="eta"/>
    <w:basedOn w:val="OPCParaBase"/>
    <w:next w:val="Normal"/>
    <w:rsid w:val="004E7E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E7E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4E7E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E7EA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4E7EA4"/>
    <w:pPr>
      <w:keepNext/>
      <w:spacing w:before="60" w:line="240" w:lineRule="atLeast"/>
    </w:pPr>
    <w:rPr>
      <w:rFonts w:ascii="Arial" w:hAnsi="Arial"/>
      <w:b/>
      <w:sz w:val="16"/>
    </w:rPr>
  </w:style>
  <w:style w:type="paragraph" w:customStyle="1" w:styleId="ENoteTTi">
    <w:name w:val="ENoteTTi"/>
    <w:aliases w:val="entti"/>
    <w:basedOn w:val="OPCParaBase"/>
    <w:rsid w:val="004E7EA4"/>
    <w:pPr>
      <w:keepNext/>
      <w:spacing w:before="60" w:line="240" w:lineRule="atLeast"/>
      <w:ind w:left="170"/>
    </w:pPr>
    <w:rPr>
      <w:sz w:val="16"/>
    </w:rPr>
  </w:style>
  <w:style w:type="paragraph" w:customStyle="1" w:styleId="ENotesHeading1">
    <w:name w:val="ENotesHeading 1"/>
    <w:aliases w:val="Enh1"/>
    <w:basedOn w:val="OPCParaBase"/>
    <w:next w:val="Normal"/>
    <w:rsid w:val="004E7EA4"/>
    <w:pPr>
      <w:spacing w:before="120"/>
      <w:outlineLvl w:val="1"/>
    </w:pPr>
    <w:rPr>
      <w:b/>
      <w:sz w:val="28"/>
      <w:szCs w:val="28"/>
    </w:rPr>
  </w:style>
  <w:style w:type="paragraph" w:customStyle="1" w:styleId="ENotesHeading2">
    <w:name w:val="ENotesHeading 2"/>
    <w:aliases w:val="Enh2"/>
    <w:basedOn w:val="OPCParaBase"/>
    <w:next w:val="Normal"/>
    <w:rsid w:val="004E7EA4"/>
    <w:pPr>
      <w:spacing w:before="120" w:after="120"/>
      <w:outlineLvl w:val="2"/>
    </w:pPr>
    <w:rPr>
      <w:b/>
      <w:sz w:val="24"/>
      <w:szCs w:val="28"/>
    </w:rPr>
  </w:style>
  <w:style w:type="paragraph" w:customStyle="1" w:styleId="ENoteTTIndentHeading">
    <w:name w:val="ENoteTTIndentHeading"/>
    <w:aliases w:val="enTTHi"/>
    <w:basedOn w:val="OPCParaBase"/>
    <w:rsid w:val="004E7E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E7EA4"/>
    <w:pPr>
      <w:spacing w:before="60" w:line="240" w:lineRule="atLeast"/>
    </w:pPr>
    <w:rPr>
      <w:sz w:val="16"/>
    </w:rPr>
  </w:style>
  <w:style w:type="paragraph" w:customStyle="1" w:styleId="MadeunderText">
    <w:name w:val="MadeunderText"/>
    <w:basedOn w:val="OPCParaBase"/>
    <w:next w:val="CompiledMadeUnder"/>
    <w:rsid w:val="004E7EA4"/>
    <w:pPr>
      <w:spacing w:before="240"/>
    </w:pPr>
    <w:rPr>
      <w:sz w:val="24"/>
      <w:szCs w:val="24"/>
    </w:rPr>
  </w:style>
  <w:style w:type="paragraph" w:customStyle="1" w:styleId="ENotesHeading3">
    <w:name w:val="ENotesHeading 3"/>
    <w:aliases w:val="Enh3"/>
    <w:basedOn w:val="OPCParaBase"/>
    <w:next w:val="Normal"/>
    <w:rsid w:val="004E7EA4"/>
    <w:pPr>
      <w:keepNext/>
      <w:spacing w:before="120" w:line="240" w:lineRule="auto"/>
      <w:outlineLvl w:val="4"/>
    </w:pPr>
    <w:rPr>
      <w:b/>
      <w:szCs w:val="24"/>
    </w:rPr>
  </w:style>
  <w:style w:type="character" w:customStyle="1" w:styleId="CharSubPartTextCASA">
    <w:name w:val="CharSubPartText(CASA)"/>
    <w:basedOn w:val="OPCCharBase"/>
    <w:uiPriority w:val="1"/>
    <w:rsid w:val="004E7EA4"/>
  </w:style>
  <w:style w:type="character" w:customStyle="1" w:styleId="CharSubPartNoCASA">
    <w:name w:val="CharSubPartNo(CASA)"/>
    <w:basedOn w:val="OPCCharBase"/>
    <w:uiPriority w:val="1"/>
    <w:rsid w:val="004E7EA4"/>
  </w:style>
  <w:style w:type="paragraph" w:customStyle="1" w:styleId="ENoteTTIndentHeadingSub">
    <w:name w:val="ENoteTTIndentHeadingSub"/>
    <w:aliases w:val="enTTHis"/>
    <w:basedOn w:val="OPCParaBase"/>
    <w:rsid w:val="004E7EA4"/>
    <w:pPr>
      <w:keepNext/>
      <w:spacing w:before="60" w:line="240" w:lineRule="atLeast"/>
      <w:ind w:left="340"/>
    </w:pPr>
    <w:rPr>
      <w:b/>
      <w:sz w:val="16"/>
    </w:rPr>
  </w:style>
  <w:style w:type="paragraph" w:customStyle="1" w:styleId="ENoteTTiSub">
    <w:name w:val="ENoteTTiSub"/>
    <w:aliases w:val="enttis"/>
    <w:basedOn w:val="OPCParaBase"/>
    <w:rsid w:val="004E7EA4"/>
    <w:pPr>
      <w:keepNext/>
      <w:spacing w:before="60" w:line="240" w:lineRule="atLeast"/>
      <w:ind w:left="340"/>
    </w:pPr>
    <w:rPr>
      <w:sz w:val="16"/>
    </w:rPr>
  </w:style>
  <w:style w:type="paragraph" w:customStyle="1" w:styleId="SubDivisionMigration">
    <w:name w:val="SubDivisionMigration"/>
    <w:aliases w:val="sdm"/>
    <w:basedOn w:val="OPCParaBase"/>
    <w:rsid w:val="004E7E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E7EA4"/>
    <w:pPr>
      <w:keepNext/>
      <w:keepLines/>
      <w:spacing w:before="240" w:line="240" w:lineRule="auto"/>
      <w:ind w:left="1134" w:hanging="1134"/>
    </w:pPr>
    <w:rPr>
      <w:b/>
      <w:sz w:val="28"/>
    </w:rPr>
  </w:style>
  <w:style w:type="paragraph" w:customStyle="1" w:styleId="notetext">
    <w:name w:val="note(text)"/>
    <w:aliases w:val="n"/>
    <w:basedOn w:val="OPCParaBase"/>
    <w:rsid w:val="004E7EA4"/>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4E7EA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E7EA4"/>
    <w:rPr>
      <w:sz w:val="22"/>
    </w:rPr>
  </w:style>
  <w:style w:type="paragraph" w:customStyle="1" w:styleId="SOTextNote">
    <w:name w:val="SO TextNote"/>
    <w:aliases w:val="sont"/>
    <w:basedOn w:val="SOText"/>
    <w:qFormat/>
    <w:rsid w:val="004E7EA4"/>
    <w:pPr>
      <w:spacing w:before="122" w:line="198" w:lineRule="exact"/>
      <w:ind w:left="1843" w:hanging="709"/>
    </w:pPr>
    <w:rPr>
      <w:sz w:val="18"/>
    </w:rPr>
  </w:style>
  <w:style w:type="paragraph" w:customStyle="1" w:styleId="SOPara">
    <w:name w:val="SO Para"/>
    <w:aliases w:val="soa"/>
    <w:basedOn w:val="SOText"/>
    <w:link w:val="SOParaChar"/>
    <w:qFormat/>
    <w:rsid w:val="004E7EA4"/>
    <w:pPr>
      <w:tabs>
        <w:tab w:val="right" w:pos="1786"/>
      </w:tabs>
      <w:spacing w:before="40"/>
      <w:ind w:left="2070" w:hanging="936"/>
    </w:pPr>
  </w:style>
  <w:style w:type="character" w:customStyle="1" w:styleId="SOParaChar">
    <w:name w:val="SO Para Char"/>
    <w:aliases w:val="soa Char"/>
    <w:basedOn w:val="DefaultParagraphFont"/>
    <w:link w:val="SOPara"/>
    <w:rsid w:val="004E7EA4"/>
    <w:rPr>
      <w:sz w:val="22"/>
    </w:rPr>
  </w:style>
  <w:style w:type="paragraph" w:customStyle="1" w:styleId="FileName">
    <w:name w:val="FileName"/>
    <w:basedOn w:val="Normal"/>
    <w:rsid w:val="004E7EA4"/>
  </w:style>
  <w:style w:type="paragraph" w:customStyle="1" w:styleId="TableHeading">
    <w:name w:val="TableHeading"/>
    <w:aliases w:val="th"/>
    <w:basedOn w:val="OPCParaBase"/>
    <w:next w:val="Tabletext"/>
    <w:rsid w:val="004E7EA4"/>
    <w:pPr>
      <w:keepNext/>
      <w:spacing w:before="60" w:line="240" w:lineRule="atLeast"/>
    </w:pPr>
    <w:rPr>
      <w:b/>
      <w:sz w:val="20"/>
    </w:rPr>
  </w:style>
  <w:style w:type="paragraph" w:customStyle="1" w:styleId="SOHeadBold">
    <w:name w:val="SO HeadBold"/>
    <w:aliases w:val="sohb"/>
    <w:basedOn w:val="SOText"/>
    <w:next w:val="SOText"/>
    <w:link w:val="SOHeadBoldChar"/>
    <w:qFormat/>
    <w:rsid w:val="004E7EA4"/>
    <w:rPr>
      <w:b/>
    </w:rPr>
  </w:style>
  <w:style w:type="character" w:customStyle="1" w:styleId="SOHeadBoldChar">
    <w:name w:val="SO HeadBold Char"/>
    <w:aliases w:val="sohb Char"/>
    <w:basedOn w:val="DefaultParagraphFont"/>
    <w:link w:val="SOHeadBold"/>
    <w:rsid w:val="004E7EA4"/>
    <w:rPr>
      <w:b/>
      <w:sz w:val="22"/>
    </w:rPr>
  </w:style>
  <w:style w:type="paragraph" w:customStyle="1" w:styleId="SOHeadItalic">
    <w:name w:val="SO HeadItalic"/>
    <w:aliases w:val="sohi"/>
    <w:basedOn w:val="SOText"/>
    <w:next w:val="SOText"/>
    <w:link w:val="SOHeadItalicChar"/>
    <w:qFormat/>
    <w:rsid w:val="004E7EA4"/>
    <w:rPr>
      <w:i/>
    </w:rPr>
  </w:style>
  <w:style w:type="character" w:customStyle="1" w:styleId="SOHeadItalicChar">
    <w:name w:val="SO HeadItalic Char"/>
    <w:aliases w:val="sohi Char"/>
    <w:basedOn w:val="DefaultParagraphFont"/>
    <w:link w:val="SOHeadItalic"/>
    <w:rsid w:val="004E7EA4"/>
    <w:rPr>
      <w:i/>
      <w:sz w:val="22"/>
    </w:rPr>
  </w:style>
  <w:style w:type="paragraph" w:customStyle="1" w:styleId="SOBullet">
    <w:name w:val="SO Bullet"/>
    <w:aliases w:val="sotb"/>
    <w:basedOn w:val="SOText"/>
    <w:link w:val="SOBulletChar"/>
    <w:qFormat/>
    <w:rsid w:val="004E7EA4"/>
    <w:pPr>
      <w:ind w:left="1559" w:hanging="425"/>
    </w:pPr>
  </w:style>
  <w:style w:type="character" w:customStyle="1" w:styleId="SOBulletChar">
    <w:name w:val="SO Bullet Char"/>
    <w:aliases w:val="sotb Char"/>
    <w:basedOn w:val="DefaultParagraphFont"/>
    <w:link w:val="SOBullet"/>
    <w:rsid w:val="004E7EA4"/>
    <w:rPr>
      <w:sz w:val="22"/>
    </w:rPr>
  </w:style>
  <w:style w:type="paragraph" w:customStyle="1" w:styleId="SOBulletNote">
    <w:name w:val="SO BulletNote"/>
    <w:aliases w:val="sonb"/>
    <w:basedOn w:val="SOTextNote"/>
    <w:link w:val="SOBulletNoteChar"/>
    <w:qFormat/>
    <w:rsid w:val="004E7EA4"/>
    <w:pPr>
      <w:tabs>
        <w:tab w:val="left" w:pos="1560"/>
      </w:tabs>
      <w:ind w:left="2268" w:hanging="1134"/>
    </w:pPr>
  </w:style>
  <w:style w:type="character" w:customStyle="1" w:styleId="SOBulletNoteChar">
    <w:name w:val="SO BulletNote Char"/>
    <w:aliases w:val="sonb Char"/>
    <w:basedOn w:val="DefaultParagraphFont"/>
    <w:link w:val="SOBulletNote"/>
    <w:rsid w:val="004E7EA4"/>
    <w:rPr>
      <w:sz w:val="18"/>
    </w:rPr>
  </w:style>
  <w:style w:type="paragraph" w:customStyle="1" w:styleId="SOText2">
    <w:name w:val="SO Text2"/>
    <w:aliases w:val="sot2"/>
    <w:basedOn w:val="Normal"/>
    <w:next w:val="SOText"/>
    <w:link w:val="SOText2Char"/>
    <w:rsid w:val="004E7EA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E7EA4"/>
    <w:rPr>
      <w:sz w:val="22"/>
    </w:rPr>
  </w:style>
  <w:style w:type="paragraph" w:customStyle="1" w:styleId="SubPartCASA">
    <w:name w:val="SubPart(CASA)"/>
    <w:aliases w:val="csp"/>
    <w:basedOn w:val="OPCParaBase"/>
    <w:next w:val="ActHead3"/>
    <w:rsid w:val="004E7EA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B688E"/>
    <w:rPr>
      <w:rFonts w:eastAsia="Times New Roman" w:cs="Times New Roman"/>
      <w:sz w:val="22"/>
      <w:lang w:eastAsia="en-AU"/>
    </w:rPr>
  </w:style>
  <w:style w:type="character" w:customStyle="1" w:styleId="Heading1Char">
    <w:name w:val="Heading 1 Char"/>
    <w:basedOn w:val="DefaultParagraphFont"/>
    <w:link w:val="Heading1"/>
    <w:uiPriority w:val="9"/>
    <w:rsid w:val="000B68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68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688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B688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B688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B688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B688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B68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B688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17</Pages>
  <Words>4075</Words>
  <Characters>15283</Characters>
  <Application>Microsoft Office Word</Application>
  <DocSecurity>0</DocSecurity>
  <PresentationFormat/>
  <Lines>5094</Lines>
  <Paragraphs>2150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2014-11-24T04:48:00Z</dcterms:created>
  <dcterms:modified xsi:type="dcterms:W3CDTF">2014-11-25T02:46:00Z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185, 2014</vt:lpwstr>
  </property>
  <property fmtid="{D5CDD505-2E9C-101B-9397-08002B2CF9AE}" pid="3" name="ShortT">
    <vt:lpwstr>Corporations Laws Amendment (2014 Measures No. 3) Regulation 2014</vt:lpwstr>
  </property>
  <property fmtid="{D5CDD505-2E9C-101B-9397-08002B2CF9AE}" pid="4" name="Class">
    <vt:lpwstr>Regulation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27 November 2014</vt:lpwstr>
  </property>
  <property fmtid="{D5CDD505-2E9C-101B-9397-08002B2CF9AE}" pid="10" name="Authority">
    <vt:lpwstr/>
  </property>
  <property fmtid="{D5CDD505-2E9C-101B-9397-08002B2CF9AE}" pid="11" name="ID">
    <vt:lpwstr>OPC60928</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Australian Securities and Investments Commission Act 2001; Competition and Consumer Act 2010; 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27 November 2014</vt:lpwstr>
  </property>
</Properties>
</file>