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85" w:rsidRPr="0041615C" w:rsidRDefault="00FA6E85" w:rsidP="0041615C">
      <w:pPr>
        <w:tabs>
          <w:tab w:val="center" w:pos="4156"/>
          <w:tab w:val="left" w:pos="6834"/>
        </w:tabs>
        <w:autoSpaceDE w:val="0"/>
        <w:autoSpaceDN w:val="0"/>
        <w:spacing w:after="120"/>
        <w:jc w:val="center"/>
        <w:rPr>
          <w:b/>
          <w:u w:val="single"/>
        </w:rPr>
      </w:pPr>
      <w:r w:rsidRPr="0041615C">
        <w:rPr>
          <w:b/>
          <w:u w:val="single"/>
        </w:rPr>
        <w:t>EXPLANATORY STATEMENT</w:t>
      </w:r>
    </w:p>
    <w:p w:rsidR="0041615C" w:rsidRPr="0041615C" w:rsidRDefault="0041615C" w:rsidP="0041615C">
      <w:pPr>
        <w:autoSpaceDE w:val="0"/>
        <w:autoSpaceDN w:val="0"/>
        <w:spacing w:before="160" w:after="40"/>
        <w:jc w:val="center"/>
      </w:pPr>
      <w:r w:rsidRPr="0041615C">
        <w:t>Issued by the authority of the Australian Public Service Commissioner</w:t>
      </w:r>
    </w:p>
    <w:p w:rsidR="00FA6E85" w:rsidRDefault="00FA6E85" w:rsidP="00FA6E85">
      <w:pPr>
        <w:spacing w:before="100" w:beforeAutospacing="1" w:after="240"/>
        <w:jc w:val="center"/>
      </w:pPr>
      <w:r>
        <w:rPr>
          <w:i/>
          <w:iCs/>
        </w:rPr>
        <w:t>Public Service Act 1999</w:t>
      </w:r>
    </w:p>
    <w:p w:rsidR="00FA6E85" w:rsidRPr="00E14E21" w:rsidRDefault="00FA6E85" w:rsidP="00FA6E85">
      <w:pPr>
        <w:spacing w:before="100" w:beforeAutospacing="1" w:after="240"/>
        <w:jc w:val="center"/>
      </w:pPr>
      <w:r>
        <w:rPr>
          <w:b/>
          <w:bCs/>
        </w:rPr>
        <w:t xml:space="preserve">Public Service Classification </w:t>
      </w:r>
      <w:r w:rsidR="00E14E21">
        <w:rPr>
          <w:b/>
          <w:bCs/>
        </w:rPr>
        <w:t>Amendment (Work Level Standards and Other Measures)</w:t>
      </w:r>
      <w:r>
        <w:rPr>
          <w:b/>
          <w:bCs/>
        </w:rPr>
        <w:t xml:space="preserve"> </w:t>
      </w:r>
      <w:r w:rsidR="00E14E21" w:rsidRPr="00E14E21">
        <w:rPr>
          <w:b/>
          <w:bCs/>
        </w:rPr>
        <w:t xml:space="preserve">Rule </w:t>
      </w:r>
      <w:r w:rsidRPr="00E14E21">
        <w:rPr>
          <w:b/>
          <w:bCs/>
        </w:rPr>
        <w:t>201</w:t>
      </w:r>
      <w:r w:rsidR="00D31D65" w:rsidRPr="00E14E21">
        <w:rPr>
          <w:b/>
          <w:bCs/>
        </w:rPr>
        <w:t>4</w:t>
      </w:r>
    </w:p>
    <w:p w:rsidR="00FD2EC4" w:rsidRPr="00102898" w:rsidRDefault="00FD2EC4" w:rsidP="00823206">
      <w:pPr>
        <w:spacing w:before="120" w:after="120"/>
        <w:rPr>
          <w:b/>
          <w:lang w:val="en-US"/>
        </w:rPr>
      </w:pPr>
      <w:r w:rsidRPr="00102898">
        <w:rPr>
          <w:b/>
          <w:lang w:val="en-US"/>
        </w:rPr>
        <w:t>Authority</w:t>
      </w:r>
    </w:p>
    <w:p w:rsidR="00FD2EC4" w:rsidRDefault="00FD2EC4" w:rsidP="00FD2EC4">
      <w:pPr>
        <w:spacing w:before="120" w:after="120"/>
      </w:pPr>
      <w:r>
        <w:t xml:space="preserve">Subsection 23(1) of the </w:t>
      </w:r>
      <w:r w:rsidRPr="00DB6FF6">
        <w:rPr>
          <w:i/>
        </w:rPr>
        <w:t>Public Service Act 1999</w:t>
      </w:r>
      <w:r>
        <w:t xml:space="preserve"> (PS Act) provides that the Australian Public Service Commissioner (the Commissioner) may</w:t>
      </w:r>
      <w:r w:rsidR="00916547">
        <w:t>,</w:t>
      </w:r>
      <w:r>
        <w:t xml:space="preserve"> by legislative instrument</w:t>
      </w:r>
      <w:r w:rsidR="00916547">
        <w:t>,</w:t>
      </w:r>
      <w:r>
        <w:t xml:space="preserve"> make rules about classifications of </w:t>
      </w:r>
      <w:r w:rsidR="007B5A78">
        <w:t>Australian Public Service (A</w:t>
      </w:r>
      <w:r>
        <w:t>PS</w:t>
      </w:r>
      <w:r w:rsidR="007B5A78">
        <w:t>)</w:t>
      </w:r>
      <w:r w:rsidR="00647248">
        <w:t xml:space="preserve"> employees.</w:t>
      </w:r>
    </w:p>
    <w:p w:rsidR="00DB6FF6" w:rsidRPr="00F63828" w:rsidRDefault="00DB6FF6" w:rsidP="00F63828">
      <w:pPr>
        <w:spacing w:before="120" w:after="120"/>
        <w:rPr>
          <w:b/>
          <w:lang w:val="en-US"/>
        </w:rPr>
      </w:pPr>
      <w:r w:rsidRPr="00F63828">
        <w:rPr>
          <w:b/>
          <w:lang w:val="en-US"/>
        </w:rPr>
        <w:t>Background</w:t>
      </w:r>
    </w:p>
    <w:p w:rsidR="00DB6FF6" w:rsidRDefault="00DB6FF6" w:rsidP="00C0438B">
      <w:pPr>
        <w:spacing w:before="120" w:after="120"/>
      </w:pPr>
      <w:r>
        <w:t xml:space="preserve">The </w:t>
      </w:r>
      <w:r w:rsidR="000F49C8">
        <w:t xml:space="preserve">PS </w:t>
      </w:r>
      <w:r>
        <w:t xml:space="preserve">Act provides for the establishment and management of the APS. </w:t>
      </w:r>
    </w:p>
    <w:p w:rsidR="00DD5296" w:rsidRDefault="00DB6FF6" w:rsidP="00C0438B">
      <w:pPr>
        <w:spacing w:before="120" w:after="120"/>
        <w:rPr>
          <w:lang w:val="en-US"/>
        </w:rPr>
      </w:pPr>
      <w:r w:rsidRPr="001141B4">
        <w:rPr>
          <w:lang w:val="en-US"/>
        </w:rPr>
        <w:t xml:space="preserve">The </w:t>
      </w:r>
      <w:r w:rsidRPr="001141B4">
        <w:rPr>
          <w:i/>
          <w:lang w:val="en-US"/>
        </w:rPr>
        <w:t>Public Service Classification Rules 2000</w:t>
      </w:r>
      <w:r w:rsidRPr="001141B4">
        <w:rPr>
          <w:lang w:val="en-US"/>
        </w:rPr>
        <w:t xml:space="preserve"> (</w:t>
      </w:r>
      <w:r w:rsidR="00D136EE" w:rsidRPr="001141B4">
        <w:rPr>
          <w:lang w:val="en-US"/>
        </w:rPr>
        <w:t xml:space="preserve">the </w:t>
      </w:r>
      <w:r w:rsidRPr="001141B4">
        <w:rPr>
          <w:lang w:val="en-US"/>
        </w:rPr>
        <w:t>Classification Rules)</w:t>
      </w:r>
      <w:r w:rsidRPr="00DB6FF6">
        <w:rPr>
          <w:lang w:val="en-US"/>
        </w:rPr>
        <w:t xml:space="preserve"> </w:t>
      </w:r>
      <w:r w:rsidR="001141B4">
        <w:rPr>
          <w:lang w:val="en-US"/>
        </w:rPr>
        <w:t xml:space="preserve">made under subsection 23(1) of the PS Act </w:t>
      </w:r>
      <w:r w:rsidR="00DE7528" w:rsidRPr="00DE7528">
        <w:rPr>
          <w:lang w:val="en-US"/>
        </w:rPr>
        <w:t>provide a systematic</w:t>
      </w:r>
      <w:r w:rsidR="005D34A0">
        <w:rPr>
          <w:lang w:val="en-US"/>
        </w:rPr>
        <w:t>,</w:t>
      </w:r>
      <w:r w:rsidR="00DE7528" w:rsidRPr="00DE7528">
        <w:rPr>
          <w:lang w:val="en-US"/>
        </w:rPr>
        <w:t xml:space="preserve"> APS-wide </w:t>
      </w:r>
      <w:r w:rsidR="00D136EE">
        <w:rPr>
          <w:lang w:val="en-US"/>
        </w:rPr>
        <w:t>a</w:t>
      </w:r>
      <w:r w:rsidR="00DD5296" w:rsidRPr="00DD5296">
        <w:rPr>
          <w:lang w:val="en-US"/>
        </w:rPr>
        <w:t>pproach to the classification of</w:t>
      </w:r>
      <w:r w:rsidR="00793E7B">
        <w:rPr>
          <w:lang w:val="en-US"/>
        </w:rPr>
        <w:t xml:space="preserve"> duties (or</w:t>
      </w:r>
      <w:r w:rsidR="00DD5296" w:rsidRPr="00DD5296">
        <w:rPr>
          <w:lang w:val="en-US"/>
        </w:rPr>
        <w:t xml:space="preserve"> jobs</w:t>
      </w:r>
      <w:r w:rsidR="00793E7B">
        <w:rPr>
          <w:lang w:val="en-US"/>
        </w:rPr>
        <w:t>)</w:t>
      </w:r>
      <w:r w:rsidR="00DD5296" w:rsidRPr="00DD5296">
        <w:rPr>
          <w:lang w:val="en-US"/>
        </w:rPr>
        <w:t xml:space="preserve"> in the APS</w:t>
      </w:r>
      <w:r w:rsidR="00793E7B">
        <w:rPr>
          <w:lang w:val="en-US"/>
        </w:rPr>
        <w:t xml:space="preserve"> with work value as the underlying basis</w:t>
      </w:r>
      <w:r w:rsidR="0092694F" w:rsidRPr="0092694F">
        <w:rPr>
          <w:lang w:val="en-US"/>
        </w:rPr>
        <w:t>.</w:t>
      </w:r>
      <w:r w:rsidR="0092694F">
        <w:rPr>
          <w:lang w:val="en-US"/>
        </w:rPr>
        <w:t xml:space="preserve"> The Classification Rules</w:t>
      </w:r>
      <w:r w:rsidR="00DD5296" w:rsidRPr="00DD5296">
        <w:rPr>
          <w:lang w:val="en-US"/>
        </w:rPr>
        <w:t xml:space="preserve"> </w:t>
      </w:r>
      <w:r w:rsidR="00793E7B">
        <w:rPr>
          <w:lang w:val="en-US"/>
        </w:rPr>
        <w:t>are integral to the structure of the APS workforc</w:t>
      </w:r>
      <w:r w:rsidR="00910B87">
        <w:rPr>
          <w:lang w:val="en-US"/>
        </w:rPr>
        <w:t>e</w:t>
      </w:r>
      <w:r w:rsidR="00DD5296" w:rsidRPr="00DD5296">
        <w:rPr>
          <w:lang w:val="en-US"/>
        </w:rPr>
        <w:t xml:space="preserve"> and facilitate mobility in the APS.</w:t>
      </w:r>
    </w:p>
    <w:p w:rsidR="0068774A" w:rsidRDefault="00793E7B" w:rsidP="00C0438B">
      <w:pPr>
        <w:spacing w:before="120" w:after="120"/>
        <w:rPr>
          <w:lang w:val="en-US"/>
        </w:rPr>
      </w:pPr>
      <w:r>
        <w:rPr>
          <w:lang w:val="en-US"/>
        </w:rPr>
        <w:t>The Classifi</w:t>
      </w:r>
      <w:r w:rsidR="00910B87">
        <w:rPr>
          <w:lang w:val="en-US"/>
        </w:rPr>
        <w:t>cation Rules require an Agency H</w:t>
      </w:r>
      <w:r>
        <w:rPr>
          <w:lang w:val="en-US"/>
        </w:rPr>
        <w:t>ead to allocate an approved classification to each group of duties to be performed in the Agency and to allocate an approved classification to each APS employee based on the group of duties to be performed by the</w:t>
      </w:r>
      <w:r w:rsidR="00910B87">
        <w:rPr>
          <w:lang w:val="en-US"/>
        </w:rPr>
        <w:t xml:space="preserve"> employee</w:t>
      </w:r>
      <w:r w:rsidR="00FA3DD4">
        <w:rPr>
          <w:lang w:val="en-US"/>
        </w:rPr>
        <w:t>.</w:t>
      </w:r>
      <w:r w:rsidR="00910B87">
        <w:rPr>
          <w:lang w:val="en-US"/>
        </w:rPr>
        <w:t xml:space="preserve"> </w:t>
      </w:r>
      <w:r>
        <w:rPr>
          <w:lang w:val="en-US"/>
        </w:rPr>
        <w:t xml:space="preserve">Allocation of a classification to a group of duties is based on the work value of the duties.  Work value is assessed by reference to work level standards. </w:t>
      </w:r>
    </w:p>
    <w:p w:rsidR="00C66C85" w:rsidRDefault="004643A4" w:rsidP="00C0438B">
      <w:pPr>
        <w:spacing w:before="120" w:after="120"/>
        <w:rPr>
          <w:lang w:val="en-US"/>
        </w:rPr>
      </w:pPr>
      <w:r>
        <w:rPr>
          <w:lang w:val="en-US"/>
        </w:rPr>
        <w:t>The Classification Rules are being amended</w:t>
      </w:r>
      <w:r w:rsidR="00863C75">
        <w:rPr>
          <w:lang w:val="en-US"/>
        </w:rPr>
        <w:t xml:space="preserve"> </w:t>
      </w:r>
      <w:r>
        <w:rPr>
          <w:lang w:val="en-US"/>
        </w:rPr>
        <w:t xml:space="preserve">to </w:t>
      </w:r>
      <w:r w:rsidR="00863C75">
        <w:rPr>
          <w:lang w:val="en-US"/>
        </w:rPr>
        <w:t>strengthen</w:t>
      </w:r>
      <w:r w:rsidR="00793E7B">
        <w:rPr>
          <w:lang w:val="en-US"/>
        </w:rPr>
        <w:t xml:space="preserve"> the integrity of the classification system and achieve greater consistency in classification across the APS</w:t>
      </w:r>
      <w:r>
        <w:rPr>
          <w:lang w:val="en-US"/>
        </w:rPr>
        <w:t>. Th</w:t>
      </w:r>
      <w:r w:rsidR="007C48E3">
        <w:rPr>
          <w:lang w:val="en-US"/>
        </w:rPr>
        <w:t>is</w:t>
      </w:r>
      <w:r>
        <w:rPr>
          <w:lang w:val="en-US"/>
        </w:rPr>
        <w:t xml:space="preserve"> Amendment </w:t>
      </w:r>
      <w:r w:rsidR="00863C75">
        <w:rPr>
          <w:lang w:val="en-US"/>
        </w:rPr>
        <w:t xml:space="preserve"> </w:t>
      </w:r>
      <w:r w:rsidR="0068774A">
        <w:rPr>
          <w:lang w:val="en-US"/>
        </w:rPr>
        <w:t>require</w:t>
      </w:r>
      <w:r w:rsidR="00B728F4">
        <w:rPr>
          <w:lang w:val="en-US"/>
        </w:rPr>
        <w:t>s</w:t>
      </w:r>
      <w:r w:rsidR="0068774A">
        <w:rPr>
          <w:lang w:val="en-US"/>
        </w:rPr>
        <w:t xml:space="preserve"> </w:t>
      </w:r>
      <w:r w:rsidR="00B728F4">
        <w:rPr>
          <w:lang w:val="en-US"/>
        </w:rPr>
        <w:t>A</w:t>
      </w:r>
      <w:r w:rsidR="005E119E">
        <w:rPr>
          <w:lang w:val="en-US"/>
        </w:rPr>
        <w:t>gency Heads</w:t>
      </w:r>
      <w:r w:rsidR="0068774A">
        <w:rPr>
          <w:lang w:val="en-US"/>
        </w:rPr>
        <w:t xml:space="preserve"> use work level standards issued by the Commissioner when </w:t>
      </w:r>
      <w:r w:rsidR="00180525">
        <w:rPr>
          <w:lang w:val="en-US"/>
        </w:rPr>
        <w:t xml:space="preserve">allocating </w:t>
      </w:r>
      <w:r w:rsidR="001977C4">
        <w:rPr>
          <w:lang w:val="en-US"/>
        </w:rPr>
        <w:t xml:space="preserve">APS </w:t>
      </w:r>
      <w:r w:rsidR="005F1854">
        <w:rPr>
          <w:lang w:val="en-US"/>
        </w:rPr>
        <w:t>L</w:t>
      </w:r>
      <w:r w:rsidR="001977C4">
        <w:rPr>
          <w:lang w:val="en-US"/>
        </w:rPr>
        <w:t xml:space="preserve">evel and Executive </w:t>
      </w:r>
      <w:r w:rsidR="005F1854">
        <w:rPr>
          <w:lang w:val="en-US"/>
        </w:rPr>
        <w:t>L</w:t>
      </w:r>
      <w:r w:rsidR="001977C4">
        <w:rPr>
          <w:lang w:val="en-US"/>
        </w:rPr>
        <w:t>evel</w:t>
      </w:r>
      <w:r w:rsidR="00226E4B">
        <w:rPr>
          <w:lang w:val="en-US"/>
        </w:rPr>
        <w:t xml:space="preserve"> classifications</w:t>
      </w:r>
      <w:r w:rsidR="002126BB">
        <w:rPr>
          <w:lang w:val="en-US"/>
        </w:rPr>
        <w:t xml:space="preserve"> (APS work level standards)</w:t>
      </w:r>
      <w:r w:rsidR="00910B87">
        <w:rPr>
          <w:lang w:val="en-US"/>
        </w:rPr>
        <w:t xml:space="preserve">. </w:t>
      </w:r>
    </w:p>
    <w:p w:rsidR="002126BB" w:rsidRDefault="002126BB" w:rsidP="00C0438B">
      <w:pPr>
        <w:spacing w:before="120" w:after="120"/>
        <w:rPr>
          <w:lang w:val="en-US"/>
        </w:rPr>
      </w:pPr>
      <w:r>
        <w:rPr>
          <w:lang w:val="en-US"/>
        </w:rPr>
        <w:t xml:space="preserve">In 2013, the Australian Public Service Commission published the APS work level standards and agencies were encouraged to adopt them. </w:t>
      </w:r>
      <w:r w:rsidRPr="002126BB">
        <w:rPr>
          <w:lang w:val="en-US"/>
        </w:rPr>
        <w:t xml:space="preserve">In March 2014, it was indicated in the </w:t>
      </w:r>
      <w:r w:rsidRPr="002126BB">
        <w:rPr>
          <w:i/>
          <w:lang w:val="en-US"/>
        </w:rPr>
        <w:t>Australian Government Public Sector Workplace Bargaining Policy</w:t>
      </w:r>
      <w:r>
        <w:rPr>
          <w:i/>
          <w:lang w:val="en-US"/>
        </w:rPr>
        <w:t xml:space="preserve"> </w:t>
      </w:r>
      <w:r w:rsidRPr="002126BB">
        <w:rPr>
          <w:lang w:val="en-US"/>
        </w:rPr>
        <w:t>that the Commissioner intended to mandate the APS work level standards through changes to the Classification Rules</w:t>
      </w:r>
      <w:r w:rsidR="00511B7C">
        <w:rPr>
          <w:lang w:val="en-US"/>
        </w:rPr>
        <w:t>.</w:t>
      </w:r>
    </w:p>
    <w:p w:rsidR="006459DB" w:rsidRPr="002126BB" w:rsidRDefault="006459DB" w:rsidP="00C0438B">
      <w:pPr>
        <w:spacing w:before="120" w:after="120"/>
        <w:rPr>
          <w:lang w:val="en-US"/>
        </w:rPr>
      </w:pPr>
      <w:r w:rsidRPr="006459DB">
        <w:rPr>
          <w:lang w:val="en-US"/>
        </w:rPr>
        <w:t xml:space="preserve">Requiring that Agency Heads use the APS work level standards issued by the Commissioner for </w:t>
      </w:r>
      <w:r w:rsidR="00FD6D2D">
        <w:rPr>
          <w:lang w:val="en-US"/>
        </w:rPr>
        <w:t xml:space="preserve">allocating classifications to </w:t>
      </w:r>
      <w:r w:rsidRPr="006459DB">
        <w:rPr>
          <w:lang w:val="en-US"/>
        </w:rPr>
        <w:t>APS Level and Executive Level jobs</w:t>
      </w:r>
      <w:r w:rsidR="00FA4D8D">
        <w:rPr>
          <w:lang w:val="en-US"/>
        </w:rPr>
        <w:t>—</w:t>
      </w:r>
      <w:r w:rsidRPr="006459DB">
        <w:rPr>
          <w:lang w:val="en-US"/>
        </w:rPr>
        <w:t xml:space="preserve"> rather than agency specific work level standards</w:t>
      </w:r>
      <w:r w:rsidR="00FA4D8D">
        <w:rPr>
          <w:lang w:val="en-US"/>
        </w:rPr>
        <w:t>—</w:t>
      </w:r>
      <w:r w:rsidRPr="006459DB">
        <w:rPr>
          <w:lang w:val="en-US"/>
        </w:rPr>
        <w:t xml:space="preserve">is consistent with the approach for Senior Executive Service </w:t>
      </w:r>
      <w:r w:rsidR="00E15370">
        <w:rPr>
          <w:lang w:val="en-US"/>
        </w:rPr>
        <w:t xml:space="preserve">(SES) </w:t>
      </w:r>
      <w:r w:rsidRPr="006459DB">
        <w:rPr>
          <w:lang w:val="en-US"/>
        </w:rPr>
        <w:t>work level standards issued by the Commissioner  and mandated through changes to the Classification Rules on 5 December 2012</w:t>
      </w:r>
      <w:r>
        <w:rPr>
          <w:lang w:val="en-US"/>
        </w:rPr>
        <w:t>.</w:t>
      </w:r>
    </w:p>
    <w:p w:rsidR="009949F5" w:rsidRPr="009949F5" w:rsidRDefault="00D91B9F" w:rsidP="009949F5">
      <w:pPr>
        <w:spacing w:before="120" w:after="120"/>
        <w:rPr>
          <w:lang w:val="en-US"/>
        </w:rPr>
      </w:pPr>
      <w:r>
        <w:rPr>
          <w:lang w:val="en-US"/>
        </w:rPr>
        <w:t>Under this Amendment, a</w:t>
      </w:r>
      <w:r w:rsidR="002E2E44">
        <w:rPr>
          <w:lang w:val="en-US"/>
        </w:rPr>
        <w:t xml:space="preserve">gencies </w:t>
      </w:r>
      <w:r w:rsidR="0076280F">
        <w:rPr>
          <w:lang w:val="en-US"/>
        </w:rPr>
        <w:t>are</w:t>
      </w:r>
      <w:r w:rsidR="002E2E44">
        <w:rPr>
          <w:lang w:val="en-US"/>
        </w:rPr>
        <w:t xml:space="preserve"> not required</w:t>
      </w:r>
      <w:r w:rsidR="009949F5" w:rsidRPr="009949F5">
        <w:rPr>
          <w:lang w:val="en-US"/>
        </w:rPr>
        <w:t xml:space="preserve"> to evaluate existing </w:t>
      </w:r>
      <w:r w:rsidR="00916547">
        <w:rPr>
          <w:lang w:val="en-US"/>
        </w:rPr>
        <w:t xml:space="preserve">jobs </w:t>
      </w:r>
      <w:r w:rsidR="009949F5" w:rsidRPr="009949F5">
        <w:rPr>
          <w:lang w:val="en-US"/>
        </w:rPr>
        <w:t xml:space="preserve">against work level standards issued by the Commissioner for APS </w:t>
      </w:r>
      <w:r w:rsidR="009949F5">
        <w:rPr>
          <w:lang w:val="en-US"/>
        </w:rPr>
        <w:t xml:space="preserve">Level and </w:t>
      </w:r>
      <w:r w:rsidR="009949F5" w:rsidRPr="009949F5">
        <w:rPr>
          <w:lang w:val="en-US"/>
        </w:rPr>
        <w:t>Executive Level classifications.</w:t>
      </w:r>
    </w:p>
    <w:p w:rsidR="009949F5" w:rsidRDefault="009949F5" w:rsidP="009949F5">
      <w:pPr>
        <w:spacing w:before="120" w:after="120"/>
        <w:rPr>
          <w:lang w:val="en-US"/>
        </w:rPr>
      </w:pPr>
      <w:r w:rsidRPr="009949F5">
        <w:rPr>
          <w:lang w:val="en-US"/>
        </w:rPr>
        <w:t>Agenc</w:t>
      </w:r>
      <w:r w:rsidR="00541E45">
        <w:rPr>
          <w:lang w:val="en-US"/>
        </w:rPr>
        <w:t>y Heads</w:t>
      </w:r>
      <w:r w:rsidRPr="009949F5">
        <w:rPr>
          <w:lang w:val="en-US"/>
        </w:rPr>
        <w:t xml:space="preserve"> are required, however, to use the work level standards issued by the Commissioner whenever assessing work value and allocating an approved classification for an APS </w:t>
      </w:r>
      <w:r>
        <w:rPr>
          <w:lang w:val="en-US"/>
        </w:rPr>
        <w:t xml:space="preserve">Level </w:t>
      </w:r>
      <w:r w:rsidRPr="009949F5">
        <w:rPr>
          <w:lang w:val="en-US"/>
        </w:rPr>
        <w:t xml:space="preserve">or Executive Level </w:t>
      </w:r>
      <w:r w:rsidR="00916547">
        <w:rPr>
          <w:lang w:val="en-US"/>
        </w:rPr>
        <w:t>job</w:t>
      </w:r>
      <w:r w:rsidRPr="009949F5">
        <w:rPr>
          <w:lang w:val="en-US"/>
        </w:rPr>
        <w:t>, from 1 December 2014.</w:t>
      </w:r>
    </w:p>
    <w:p w:rsidR="00DA24A5" w:rsidRPr="00755626" w:rsidRDefault="00DA24A5" w:rsidP="00F63828">
      <w:pPr>
        <w:spacing w:before="120" w:after="120"/>
        <w:rPr>
          <w:b/>
          <w:lang w:val="en-US"/>
        </w:rPr>
      </w:pPr>
      <w:r w:rsidRPr="00755626">
        <w:rPr>
          <w:b/>
          <w:lang w:val="en-US"/>
        </w:rPr>
        <w:t>Purpose of these amendments</w:t>
      </w:r>
    </w:p>
    <w:p w:rsidR="00097069" w:rsidRPr="00260FFC" w:rsidRDefault="00DA24A5" w:rsidP="002A2ECE">
      <w:pPr>
        <w:spacing w:before="100" w:after="40"/>
        <w:rPr>
          <w:lang w:val="en-US"/>
        </w:rPr>
      </w:pPr>
      <w:r w:rsidRPr="00DA24A5">
        <w:rPr>
          <w:lang w:val="en-US"/>
        </w:rPr>
        <w:t xml:space="preserve">The </w:t>
      </w:r>
      <w:r w:rsidR="00623793">
        <w:rPr>
          <w:lang w:val="en-US"/>
        </w:rPr>
        <w:t xml:space="preserve">main </w:t>
      </w:r>
      <w:r w:rsidRPr="00DA24A5">
        <w:rPr>
          <w:lang w:val="en-US"/>
        </w:rPr>
        <w:t xml:space="preserve">purpose of the </w:t>
      </w:r>
      <w:r w:rsidR="00EE3C77" w:rsidRPr="00EE3C77">
        <w:rPr>
          <w:i/>
          <w:lang w:val="en-US"/>
        </w:rPr>
        <w:t>Public Service Classification Amendment (Work Level Standards and Other Measures) Rule 2014</w:t>
      </w:r>
      <w:r w:rsidR="00A17072">
        <w:rPr>
          <w:lang w:val="en-US"/>
        </w:rPr>
        <w:t xml:space="preserve"> </w:t>
      </w:r>
      <w:r w:rsidRPr="00DA24A5">
        <w:rPr>
          <w:lang w:val="en-US"/>
        </w:rPr>
        <w:t>is to amend the Classification Rules to</w:t>
      </w:r>
      <w:r w:rsidR="002A2ECE">
        <w:rPr>
          <w:lang w:val="en-US"/>
        </w:rPr>
        <w:t xml:space="preserve"> </w:t>
      </w:r>
      <w:r w:rsidR="00097069" w:rsidRPr="00910B87">
        <w:rPr>
          <w:lang w:val="en-US"/>
        </w:rPr>
        <w:t>require that, from</w:t>
      </w:r>
      <w:r w:rsidR="00647248">
        <w:rPr>
          <w:lang w:val="en-US"/>
        </w:rPr>
        <w:t xml:space="preserve"> 1 </w:t>
      </w:r>
      <w:r w:rsidR="00097069" w:rsidRPr="00910B87">
        <w:rPr>
          <w:lang w:val="en-US"/>
        </w:rPr>
        <w:t xml:space="preserve">December 2014, whenever an </w:t>
      </w:r>
      <w:r w:rsidR="00910B87">
        <w:rPr>
          <w:lang w:val="en-US"/>
        </w:rPr>
        <w:t>A</w:t>
      </w:r>
      <w:r w:rsidR="00097069" w:rsidRPr="00910B87">
        <w:rPr>
          <w:lang w:val="en-US"/>
        </w:rPr>
        <w:t xml:space="preserve">gency </w:t>
      </w:r>
      <w:r w:rsidR="00910B87">
        <w:rPr>
          <w:lang w:val="en-US"/>
        </w:rPr>
        <w:t>H</w:t>
      </w:r>
      <w:r w:rsidR="00097069" w:rsidRPr="00910B87">
        <w:rPr>
          <w:lang w:val="en-US"/>
        </w:rPr>
        <w:t>ead allocates</w:t>
      </w:r>
      <w:r w:rsidR="00707048" w:rsidRPr="00910B87">
        <w:rPr>
          <w:lang w:val="en-US"/>
        </w:rPr>
        <w:t xml:space="preserve"> an</w:t>
      </w:r>
      <w:r w:rsidR="00097069" w:rsidRPr="00910B87">
        <w:rPr>
          <w:lang w:val="en-US"/>
        </w:rPr>
        <w:t xml:space="preserve"> </w:t>
      </w:r>
      <w:r w:rsidR="004B52DD" w:rsidRPr="00910B87">
        <w:rPr>
          <w:lang w:val="en-US"/>
        </w:rPr>
        <w:t xml:space="preserve">APS Level, Executive Level or SES </w:t>
      </w:r>
      <w:r w:rsidR="004B52DD" w:rsidRPr="00910B87">
        <w:rPr>
          <w:lang w:val="en-US"/>
        </w:rPr>
        <w:lastRenderedPageBreak/>
        <w:t>classification to a group of duties</w:t>
      </w:r>
      <w:r w:rsidR="00097069" w:rsidRPr="00910B87">
        <w:rPr>
          <w:lang w:val="en-US"/>
        </w:rPr>
        <w:t>, it must be in accordance with work level standards issued in writing</w:t>
      </w:r>
      <w:r w:rsidR="00910B87">
        <w:rPr>
          <w:lang w:val="en-US"/>
        </w:rPr>
        <w:t xml:space="preserve"> by</w:t>
      </w:r>
      <w:r w:rsidR="00097069" w:rsidRPr="00910B87">
        <w:rPr>
          <w:lang w:val="en-US"/>
        </w:rPr>
        <w:t xml:space="preserve"> </w:t>
      </w:r>
      <w:r w:rsidR="00097069" w:rsidRPr="00260FFC">
        <w:rPr>
          <w:lang w:val="en-US"/>
        </w:rPr>
        <w:t>the Commissioner</w:t>
      </w:r>
      <w:r w:rsidR="00260FFC">
        <w:rPr>
          <w:lang w:val="en-US"/>
        </w:rPr>
        <w:t xml:space="preserve"> as those standards exist on 1 December 2014</w:t>
      </w:r>
      <w:r w:rsidR="00556F98">
        <w:rPr>
          <w:lang w:val="en-US"/>
        </w:rPr>
        <w:t>.</w:t>
      </w:r>
    </w:p>
    <w:p w:rsidR="003F6446" w:rsidRPr="003F6446" w:rsidRDefault="00623793" w:rsidP="00647248">
      <w:pPr>
        <w:pStyle w:val="ListParagraph"/>
        <w:numPr>
          <w:ilvl w:val="0"/>
          <w:numId w:val="2"/>
        </w:numPr>
        <w:spacing w:before="40" w:after="40"/>
        <w:contextualSpacing w:val="0"/>
        <w:rPr>
          <w:lang w:val="en-US"/>
        </w:rPr>
      </w:pPr>
      <w:r>
        <w:rPr>
          <w:lang w:val="en-US"/>
        </w:rPr>
        <w:t xml:space="preserve">These work level standards are published </w:t>
      </w:r>
      <w:r w:rsidR="00E43412">
        <w:rPr>
          <w:lang w:val="en-US"/>
        </w:rPr>
        <w:t>in document</w:t>
      </w:r>
      <w:r w:rsidR="0068774A">
        <w:rPr>
          <w:lang w:val="en-US"/>
        </w:rPr>
        <w:t>s</w:t>
      </w:r>
      <w:r w:rsidR="00E43412">
        <w:rPr>
          <w:lang w:val="en-US"/>
        </w:rPr>
        <w:t xml:space="preserve"> titled </w:t>
      </w:r>
      <w:r w:rsidR="00E43412" w:rsidRPr="00E43412">
        <w:rPr>
          <w:i/>
          <w:lang w:val="en-US"/>
        </w:rPr>
        <w:t>Australian Public Service Work level standards APS Level and Executive Level classification</w:t>
      </w:r>
      <w:r w:rsidR="003F6446">
        <w:rPr>
          <w:i/>
          <w:lang w:val="en-US"/>
        </w:rPr>
        <w:t>s</w:t>
      </w:r>
      <w:r w:rsidR="0068774A" w:rsidRPr="00A270ED">
        <w:rPr>
          <w:lang w:val="en-US"/>
        </w:rPr>
        <w:t xml:space="preserve"> </w:t>
      </w:r>
      <w:r w:rsidR="005A58B1">
        <w:rPr>
          <w:lang w:val="en-US"/>
        </w:rPr>
        <w:t xml:space="preserve">(APS Work level standards) </w:t>
      </w:r>
      <w:r w:rsidR="0068774A" w:rsidRPr="00A270ED">
        <w:rPr>
          <w:lang w:val="en-US"/>
        </w:rPr>
        <w:t>and</w:t>
      </w:r>
      <w:r w:rsidR="0068774A">
        <w:rPr>
          <w:lang w:val="en-US"/>
        </w:rPr>
        <w:t xml:space="preserve"> </w:t>
      </w:r>
      <w:r w:rsidR="0068774A">
        <w:rPr>
          <w:i/>
          <w:lang w:val="en-US"/>
        </w:rPr>
        <w:t xml:space="preserve">APS </w:t>
      </w:r>
      <w:r w:rsidR="00553835">
        <w:rPr>
          <w:i/>
          <w:lang w:val="en-US"/>
        </w:rPr>
        <w:t xml:space="preserve">Senior Executive Service </w:t>
      </w:r>
      <w:r w:rsidR="0068774A">
        <w:rPr>
          <w:i/>
          <w:lang w:val="en-US"/>
        </w:rPr>
        <w:t>Work Level Standard</w:t>
      </w:r>
      <w:r w:rsidR="00546D23">
        <w:rPr>
          <w:i/>
          <w:lang w:val="en-US"/>
        </w:rPr>
        <w:t>s</w:t>
      </w:r>
      <w:r w:rsidR="0011465B">
        <w:rPr>
          <w:i/>
          <w:lang w:val="en-US"/>
        </w:rPr>
        <w:t xml:space="preserve"> </w:t>
      </w:r>
      <w:r w:rsidR="005A58B1" w:rsidRPr="005A58B1">
        <w:rPr>
          <w:lang w:val="en-US"/>
        </w:rPr>
        <w:t>(SES Wor</w:t>
      </w:r>
      <w:r w:rsidR="005A58B1">
        <w:rPr>
          <w:lang w:val="en-US"/>
        </w:rPr>
        <w:t>k</w:t>
      </w:r>
      <w:r w:rsidR="005A58B1" w:rsidRPr="005A58B1">
        <w:rPr>
          <w:lang w:val="en-US"/>
        </w:rPr>
        <w:t xml:space="preserve"> level standards)</w:t>
      </w:r>
      <w:r w:rsidR="00E43412" w:rsidRPr="005A58B1">
        <w:rPr>
          <w:lang w:val="en-US"/>
        </w:rPr>
        <w:t>.</w:t>
      </w:r>
      <w:r w:rsidR="00E43412">
        <w:rPr>
          <w:i/>
          <w:lang w:val="en-US"/>
        </w:rPr>
        <w:t xml:space="preserve"> </w:t>
      </w:r>
    </w:p>
    <w:p w:rsidR="00623793" w:rsidRPr="00F17105" w:rsidRDefault="00260FFC" w:rsidP="00647248">
      <w:pPr>
        <w:pStyle w:val="ListParagraph"/>
        <w:numPr>
          <w:ilvl w:val="0"/>
          <w:numId w:val="2"/>
        </w:numPr>
        <w:spacing w:before="40" w:after="40"/>
        <w:contextualSpacing w:val="0"/>
        <w:rPr>
          <w:rStyle w:val="Hyperlink"/>
          <w:color w:val="auto"/>
          <w:u w:val="none"/>
          <w:lang w:val="en-US"/>
        </w:rPr>
      </w:pPr>
      <w:r>
        <w:rPr>
          <w:lang w:val="en-US"/>
        </w:rPr>
        <w:t xml:space="preserve">Links to the </w:t>
      </w:r>
      <w:r w:rsidR="005A58B1">
        <w:rPr>
          <w:lang w:val="en-US"/>
        </w:rPr>
        <w:t xml:space="preserve">APS Work level standards </w:t>
      </w:r>
      <w:r>
        <w:rPr>
          <w:lang w:val="en-US"/>
        </w:rPr>
        <w:t xml:space="preserve"> as at 1 December 2014, </w:t>
      </w:r>
      <w:r w:rsidR="00E43412" w:rsidRPr="00E43412">
        <w:rPr>
          <w:lang w:val="en-US"/>
        </w:rPr>
        <w:t xml:space="preserve"> can be found at</w:t>
      </w:r>
      <w:r w:rsidR="00E43412">
        <w:rPr>
          <w:i/>
          <w:lang w:val="en-US"/>
        </w:rPr>
        <w:t xml:space="preserve"> </w:t>
      </w:r>
      <w:hyperlink r:id="rId9" w:history="1">
        <w:r w:rsidR="00E43412" w:rsidRPr="0042486B">
          <w:rPr>
            <w:rStyle w:val="Hyperlink"/>
            <w:lang w:val="en-US"/>
          </w:rPr>
          <w:t>http://www.apsc.go</w:t>
        </w:r>
        <w:r w:rsidR="00E43412" w:rsidRPr="0042486B">
          <w:rPr>
            <w:rStyle w:val="Hyperlink"/>
            <w:lang w:val="en-US"/>
          </w:rPr>
          <w:t>v</w:t>
        </w:r>
        <w:r w:rsidR="00E43412" w:rsidRPr="0042486B">
          <w:rPr>
            <w:rStyle w:val="Hyperlink"/>
            <w:lang w:val="en-US"/>
          </w:rPr>
          <w:t>.au/publications-and-media/c</w:t>
        </w:r>
        <w:r w:rsidR="00E43412" w:rsidRPr="0042486B">
          <w:rPr>
            <w:rStyle w:val="Hyperlink"/>
            <w:lang w:val="en-US"/>
          </w:rPr>
          <w:t>u</w:t>
        </w:r>
        <w:r w:rsidR="00E43412" w:rsidRPr="0042486B">
          <w:rPr>
            <w:rStyle w:val="Hyperlink"/>
            <w:lang w:val="en-US"/>
          </w:rPr>
          <w:t>rrent-publications/worklevel-standards</w:t>
        </w:r>
      </w:hyperlink>
    </w:p>
    <w:p w:rsidR="005A58B1" w:rsidRPr="00647248" w:rsidRDefault="005A58B1" w:rsidP="00647248">
      <w:pPr>
        <w:pStyle w:val="ListParagraph"/>
        <w:numPr>
          <w:ilvl w:val="0"/>
          <w:numId w:val="2"/>
        </w:numPr>
        <w:spacing w:before="40" w:after="40"/>
        <w:contextualSpacing w:val="0"/>
        <w:rPr>
          <w:rStyle w:val="Hyperlink"/>
          <w:color w:val="auto"/>
          <w:u w:val="none"/>
          <w:lang w:val="en-US"/>
        </w:rPr>
      </w:pPr>
      <w:r w:rsidRPr="00647248">
        <w:rPr>
          <w:rStyle w:val="Hyperlink"/>
          <w:color w:val="auto"/>
          <w:u w:val="none"/>
          <w:lang w:val="en-US"/>
        </w:rPr>
        <w:t xml:space="preserve">Links to the </w:t>
      </w:r>
      <w:r w:rsidR="002F7D42" w:rsidRPr="00647248">
        <w:rPr>
          <w:rStyle w:val="Hyperlink"/>
          <w:color w:val="auto"/>
          <w:u w:val="none"/>
          <w:lang w:val="en-US"/>
        </w:rPr>
        <w:t xml:space="preserve">SES Work level standards </w:t>
      </w:r>
      <w:r w:rsidR="00257EE1" w:rsidRPr="00647248">
        <w:rPr>
          <w:rStyle w:val="Hyperlink"/>
          <w:color w:val="auto"/>
          <w:u w:val="none"/>
          <w:lang w:val="en-US"/>
        </w:rPr>
        <w:t xml:space="preserve">as at 1 December 2014 </w:t>
      </w:r>
      <w:r w:rsidR="002F7D42" w:rsidRPr="00647248">
        <w:rPr>
          <w:rStyle w:val="Hyperlink"/>
          <w:color w:val="auto"/>
          <w:u w:val="none"/>
          <w:lang w:val="en-US"/>
        </w:rPr>
        <w:t xml:space="preserve">can be found at </w:t>
      </w:r>
      <w:hyperlink r:id="rId10" w:history="1">
        <w:r w:rsidR="000D19E5" w:rsidRPr="00647248">
          <w:rPr>
            <w:rStyle w:val="Hyperlink"/>
            <w:lang w:val="en-US"/>
          </w:rPr>
          <w:t>http://www.apsc.gov.au/aps-employment-policy-and-advice/s</w:t>
        </w:r>
        <w:bookmarkStart w:id="0" w:name="_GoBack"/>
        <w:bookmarkEnd w:id="0"/>
        <w:r w:rsidR="000D19E5" w:rsidRPr="00647248">
          <w:rPr>
            <w:rStyle w:val="Hyperlink"/>
            <w:lang w:val="en-US"/>
          </w:rPr>
          <w:t>e</w:t>
        </w:r>
        <w:r w:rsidR="000D19E5" w:rsidRPr="00647248">
          <w:rPr>
            <w:rStyle w:val="Hyperlink"/>
            <w:lang w:val="en-US"/>
          </w:rPr>
          <w:t>s/ses-classifications</w:t>
        </w:r>
      </w:hyperlink>
    </w:p>
    <w:p w:rsidR="00910B87" w:rsidRDefault="00260FFC" w:rsidP="00A270ED">
      <w:pPr>
        <w:pStyle w:val="ListParagraph"/>
        <w:spacing w:before="40" w:after="40"/>
        <w:ind w:left="0"/>
        <w:contextualSpacing w:val="0"/>
        <w:rPr>
          <w:lang w:val="en-US"/>
        </w:rPr>
      </w:pPr>
      <w:r>
        <w:rPr>
          <w:lang w:val="en-US"/>
        </w:rPr>
        <w:t>In addition the amendments:</w:t>
      </w:r>
    </w:p>
    <w:p w:rsidR="001D7B50" w:rsidRPr="00647248" w:rsidRDefault="001D7B50" w:rsidP="00647248">
      <w:pPr>
        <w:pStyle w:val="ListParagraph"/>
        <w:numPr>
          <w:ilvl w:val="0"/>
          <w:numId w:val="4"/>
        </w:numPr>
        <w:spacing w:before="40" w:after="40"/>
        <w:rPr>
          <w:lang w:val="en-US"/>
        </w:rPr>
      </w:pPr>
      <w:r w:rsidRPr="00647248">
        <w:rPr>
          <w:lang w:val="en-US"/>
        </w:rPr>
        <w:t>provide transitional arrangements</w:t>
      </w:r>
      <w:r w:rsidR="00F1042F" w:rsidRPr="00647248">
        <w:rPr>
          <w:lang w:val="en-US"/>
        </w:rPr>
        <w:t>;</w:t>
      </w:r>
    </w:p>
    <w:p w:rsidR="00D12DC8" w:rsidRPr="00647248" w:rsidRDefault="00344382" w:rsidP="00647248">
      <w:pPr>
        <w:pStyle w:val="ListParagraph"/>
        <w:numPr>
          <w:ilvl w:val="0"/>
          <w:numId w:val="4"/>
        </w:numPr>
        <w:spacing w:before="40" w:after="40"/>
        <w:rPr>
          <w:lang w:val="en-US"/>
        </w:rPr>
      </w:pPr>
      <w:r w:rsidRPr="00647248">
        <w:rPr>
          <w:lang w:val="en-US"/>
        </w:rPr>
        <w:t>make technical changes so that the term ‘work value’ is consistently applied</w:t>
      </w:r>
      <w:r w:rsidR="002B7822" w:rsidRPr="00647248">
        <w:rPr>
          <w:lang w:val="en-US"/>
        </w:rPr>
        <w:t xml:space="preserve">; </w:t>
      </w:r>
    </w:p>
    <w:p w:rsidR="00344382" w:rsidRPr="00647248" w:rsidRDefault="00D12DC8" w:rsidP="00647248">
      <w:pPr>
        <w:pStyle w:val="ListParagraph"/>
        <w:numPr>
          <w:ilvl w:val="0"/>
          <w:numId w:val="4"/>
        </w:numPr>
        <w:spacing w:before="40" w:after="40"/>
        <w:rPr>
          <w:lang w:val="en-US"/>
        </w:rPr>
      </w:pPr>
      <w:r w:rsidRPr="00647248">
        <w:rPr>
          <w:lang w:val="en-US"/>
        </w:rPr>
        <w:t xml:space="preserve">make a technical change so that the term ‘broadband’ is more clearly defined; </w:t>
      </w:r>
      <w:r w:rsidR="002B7822" w:rsidRPr="00647248">
        <w:rPr>
          <w:lang w:val="en-US"/>
        </w:rPr>
        <w:t>and</w:t>
      </w:r>
    </w:p>
    <w:p w:rsidR="00466E20" w:rsidRPr="00647248" w:rsidRDefault="00466E20" w:rsidP="00647248">
      <w:pPr>
        <w:pStyle w:val="ListParagraph"/>
        <w:numPr>
          <w:ilvl w:val="0"/>
          <w:numId w:val="4"/>
        </w:numPr>
        <w:spacing w:before="40" w:after="40"/>
        <w:rPr>
          <w:lang w:val="en-US"/>
        </w:rPr>
      </w:pPr>
      <w:proofErr w:type="gramStart"/>
      <w:r w:rsidRPr="00647248">
        <w:rPr>
          <w:lang w:val="en-US"/>
        </w:rPr>
        <w:t>make</w:t>
      </w:r>
      <w:proofErr w:type="gramEnd"/>
      <w:r w:rsidRPr="00647248">
        <w:rPr>
          <w:lang w:val="en-US"/>
        </w:rPr>
        <w:t xml:space="preserve"> it clear that</w:t>
      </w:r>
      <w:r w:rsidR="0032611E" w:rsidRPr="00647248">
        <w:rPr>
          <w:lang w:val="en-US"/>
        </w:rPr>
        <w:t xml:space="preserve"> all APS employees</w:t>
      </w:r>
      <w:r w:rsidRPr="00647248">
        <w:rPr>
          <w:lang w:val="en-US"/>
        </w:rPr>
        <w:t xml:space="preserve"> who </w:t>
      </w:r>
      <w:r w:rsidR="005A2AB5" w:rsidRPr="00647248">
        <w:rPr>
          <w:lang w:val="en-US"/>
        </w:rPr>
        <w:t xml:space="preserve">are allocated a training </w:t>
      </w:r>
      <w:r w:rsidR="0032611E" w:rsidRPr="00647248">
        <w:rPr>
          <w:lang w:val="en-US"/>
        </w:rPr>
        <w:t>classification will</w:t>
      </w:r>
      <w:r w:rsidR="00F77C26" w:rsidRPr="00647248">
        <w:rPr>
          <w:lang w:val="en-US"/>
        </w:rPr>
        <w:t>—</w:t>
      </w:r>
      <w:r w:rsidR="0032611E" w:rsidRPr="00647248">
        <w:rPr>
          <w:lang w:val="en-US"/>
        </w:rPr>
        <w:t xml:space="preserve">at the </w:t>
      </w:r>
      <w:r w:rsidR="008E5A33" w:rsidRPr="00647248">
        <w:rPr>
          <w:lang w:val="en-US"/>
        </w:rPr>
        <w:t>satisfactory</w:t>
      </w:r>
      <w:r w:rsidR="0032611E" w:rsidRPr="00647248">
        <w:rPr>
          <w:lang w:val="en-US"/>
        </w:rPr>
        <w:t xml:space="preserve"> completion of the </w:t>
      </w:r>
      <w:r w:rsidR="008E5A33" w:rsidRPr="00647248">
        <w:rPr>
          <w:lang w:val="en-US"/>
        </w:rPr>
        <w:t xml:space="preserve">relevant </w:t>
      </w:r>
      <w:r w:rsidR="0032611E" w:rsidRPr="00647248">
        <w:rPr>
          <w:lang w:val="en-US"/>
        </w:rPr>
        <w:t>training requirements</w:t>
      </w:r>
      <w:r w:rsidR="00F77C26" w:rsidRPr="00647248">
        <w:rPr>
          <w:lang w:val="en-US"/>
        </w:rPr>
        <w:t>—</w:t>
      </w:r>
      <w:r w:rsidR="0032611E" w:rsidRPr="00647248">
        <w:rPr>
          <w:lang w:val="en-US"/>
        </w:rPr>
        <w:t>be allocated a specified operational classification</w:t>
      </w:r>
      <w:r w:rsidR="00C640CB" w:rsidRPr="00647248">
        <w:rPr>
          <w:lang w:val="en-US"/>
        </w:rPr>
        <w:t>.</w:t>
      </w:r>
    </w:p>
    <w:p w:rsidR="00C13465" w:rsidRDefault="00C13465" w:rsidP="00F63828">
      <w:pPr>
        <w:spacing w:before="120" w:after="120"/>
        <w:rPr>
          <w:b/>
          <w:lang w:val="en-US"/>
        </w:rPr>
      </w:pPr>
      <w:r w:rsidRPr="004D0763">
        <w:rPr>
          <w:b/>
          <w:lang w:val="en-US"/>
        </w:rPr>
        <w:t>Consultation</w:t>
      </w:r>
    </w:p>
    <w:p w:rsidR="002E6EE6" w:rsidRPr="004D0763" w:rsidRDefault="002E6EE6" w:rsidP="00F63828">
      <w:pPr>
        <w:spacing w:before="120" w:after="120"/>
        <w:rPr>
          <w:b/>
          <w:lang w:val="en-US"/>
        </w:rPr>
      </w:pPr>
      <w:r w:rsidRPr="002E6EE6">
        <w:rPr>
          <w:lang w:val="en-US"/>
        </w:rPr>
        <w:t>Consultation was undertaken in the development of the APS work level standards, and APS agencies and staff associations were invited to contribute their views. The APS work level standards have been extensively trialed and endorsed by agencies across a wide range of duties. The proposal to mandate the APS work level standards was endorsed by agencies and discussed with those staff associations that had engaged in their development</w:t>
      </w:r>
      <w:r w:rsidRPr="002E6EE6">
        <w:rPr>
          <w:b/>
          <w:lang w:val="en-US"/>
        </w:rPr>
        <w:t>.</w:t>
      </w:r>
    </w:p>
    <w:p w:rsidR="00771A0D" w:rsidRDefault="00C13465" w:rsidP="00F63828">
      <w:pPr>
        <w:spacing w:before="120" w:after="120"/>
        <w:rPr>
          <w:b/>
          <w:lang w:val="en-US"/>
        </w:rPr>
      </w:pPr>
      <w:r w:rsidRPr="00294098">
        <w:rPr>
          <w:b/>
          <w:lang w:val="en-US"/>
        </w:rPr>
        <w:t>Regulation Impact Statement</w:t>
      </w:r>
      <w:r w:rsidR="005574EB">
        <w:rPr>
          <w:b/>
          <w:lang w:val="en-US"/>
        </w:rPr>
        <w:t xml:space="preserve"> </w:t>
      </w:r>
    </w:p>
    <w:p w:rsidR="00C46953" w:rsidRDefault="00C46953" w:rsidP="00C46953">
      <w:r>
        <w:t xml:space="preserve">As these regulatory changes relate to intra-governmental public sector employment and have no effect on business or the not-for-profit sector no </w:t>
      </w:r>
      <w:r w:rsidR="001D3D41">
        <w:t xml:space="preserve">regulatory impact </w:t>
      </w:r>
      <w:r>
        <w:t>consultation process is required. The Office of Best Practice Regulation has granted a ‘carve out’ from the requirement to undertake preliminary assessments in these circumstances (</w:t>
      </w:r>
      <w:proofErr w:type="spellStart"/>
      <w:r>
        <w:t>OBPR</w:t>
      </w:r>
      <w:proofErr w:type="spellEnd"/>
      <w:r>
        <w:t xml:space="preserve"> ref 16985).</w:t>
      </w:r>
    </w:p>
    <w:p w:rsidR="00771A0D" w:rsidRDefault="00C13465" w:rsidP="00F63828">
      <w:pPr>
        <w:spacing w:before="120" w:after="120"/>
        <w:rPr>
          <w:b/>
          <w:lang w:val="en-US"/>
        </w:rPr>
      </w:pPr>
      <w:r w:rsidRPr="00B200BF">
        <w:rPr>
          <w:b/>
          <w:lang w:val="en-US"/>
        </w:rPr>
        <w:t>Statement of Compatibility with Human Rights</w:t>
      </w:r>
      <w:r w:rsidR="005574EB">
        <w:rPr>
          <w:b/>
          <w:lang w:val="en-US"/>
        </w:rPr>
        <w:t xml:space="preserve"> </w:t>
      </w:r>
    </w:p>
    <w:p w:rsidR="00046504" w:rsidRDefault="00C13465" w:rsidP="00F63828">
      <w:pPr>
        <w:spacing w:before="120" w:after="120"/>
      </w:pPr>
      <w:r w:rsidRPr="00581CAB">
        <w:t xml:space="preserve">The Classification Rules are not a disallowable legislative instrument and therefore do not fall within the scope of section 9 of the </w:t>
      </w:r>
      <w:r w:rsidRPr="00811B41">
        <w:rPr>
          <w:i/>
        </w:rPr>
        <w:t>Human Rights (Parliamentary Scrutiny) Act 2011</w:t>
      </w:r>
      <w:r w:rsidR="00647248">
        <w:t>.</w:t>
      </w:r>
    </w:p>
    <w:p w:rsidR="00FA6E85" w:rsidRPr="003458BE" w:rsidRDefault="00FA6E85" w:rsidP="00F63828">
      <w:pPr>
        <w:spacing w:before="120" w:after="120"/>
        <w:rPr>
          <w:b/>
          <w:lang w:val="en-US"/>
        </w:rPr>
      </w:pPr>
      <w:r w:rsidRPr="003458BE">
        <w:rPr>
          <w:b/>
          <w:lang w:val="en-US"/>
        </w:rPr>
        <w:t>Notes</w:t>
      </w:r>
      <w:r w:rsidR="00B02B65">
        <w:rPr>
          <w:b/>
          <w:lang w:val="en-US"/>
        </w:rPr>
        <w:t xml:space="preserve"> on clauses</w:t>
      </w:r>
    </w:p>
    <w:p w:rsidR="00BE5DBF" w:rsidRDefault="00966D75" w:rsidP="00BE5DBF">
      <w:pPr>
        <w:spacing w:before="120" w:after="120"/>
      </w:pPr>
      <w:r w:rsidRPr="004340DC">
        <w:rPr>
          <w:b/>
        </w:rPr>
        <w:t xml:space="preserve">Clause </w:t>
      </w:r>
      <w:r w:rsidR="00BE5DBF" w:rsidRPr="004340DC">
        <w:rPr>
          <w:b/>
        </w:rPr>
        <w:t>1</w:t>
      </w:r>
      <w:r w:rsidR="00BE5DBF">
        <w:t xml:space="preserve"> set</w:t>
      </w:r>
      <w:r w:rsidR="001F6D72">
        <w:t>s</w:t>
      </w:r>
      <w:r w:rsidR="00BE5DBF">
        <w:t xml:space="preserve"> out the name of the instrument.</w:t>
      </w:r>
    </w:p>
    <w:p w:rsidR="00BE5DBF" w:rsidRDefault="00966D75" w:rsidP="00BE5DBF">
      <w:pPr>
        <w:spacing w:before="120" w:after="120"/>
      </w:pPr>
      <w:r w:rsidRPr="004340DC">
        <w:rPr>
          <w:b/>
        </w:rPr>
        <w:t xml:space="preserve">Clause </w:t>
      </w:r>
      <w:r w:rsidR="00BE5DBF" w:rsidRPr="004340DC">
        <w:rPr>
          <w:b/>
        </w:rPr>
        <w:t>2</w:t>
      </w:r>
      <w:r w:rsidR="00BE5DBF">
        <w:t xml:space="preserve"> provides that the </w:t>
      </w:r>
      <w:r w:rsidR="00B6094F">
        <w:t>instrument</w:t>
      </w:r>
      <w:r w:rsidR="00BE5DBF">
        <w:t xml:space="preserve"> commences on 1 December 2014.</w:t>
      </w:r>
    </w:p>
    <w:p w:rsidR="00BE5DBF" w:rsidRDefault="00966D75" w:rsidP="00BE5DBF">
      <w:pPr>
        <w:spacing w:before="120" w:after="120"/>
      </w:pPr>
      <w:r w:rsidRPr="004340DC">
        <w:rPr>
          <w:b/>
        </w:rPr>
        <w:t>Clause</w:t>
      </w:r>
      <w:r w:rsidR="00BE5DBF" w:rsidRPr="004340DC">
        <w:rPr>
          <w:b/>
        </w:rPr>
        <w:t xml:space="preserve"> 3</w:t>
      </w:r>
      <w:r w:rsidR="00BE5DBF">
        <w:t xml:space="preserve"> specifies the authority for making the instrument.</w:t>
      </w:r>
    </w:p>
    <w:p w:rsidR="00BE5DBF" w:rsidRDefault="00966D75" w:rsidP="00BE5DBF">
      <w:pPr>
        <w:spacing w:before="120" w:after="120"/>
      </w:pPr>
      <w:r w:rsidRPr="004340DC">
        <w:rPr>
          <w:b/>
        </w:rPr>
        <w:t>Clause</w:t>
      </w:r>
      <w:r w:rsidR="00BE5DBF" w:rsidRPr="004340DC">
        <w:rPr>
          <w:b/>
        </w:rPr>
        <w:t xml:space="preserve"> 4</w:t>
      </w:r>
      <w:r w:rsidR="00BE5DBF">
        <w:t xml:space="preserve"> provides that Schedule 1 amends the </w:t>
      </w:r>
      <w:r w:rsidR="00C92A6A">
        <w:t>Classification Rules</w:t>
      </w:r>
      <w:r w:rsidR="00BE5DBF">
        <w:t>.</w:t>
      </w:r>
    </w:p>
    <w:p w:rsidR="003D7394" w:rsidRPr="004340DC" w:rsidRDefault="009A7716" w:rsidP="00F63828">
      <w:pPr>
        <w:spacing w:before="120" w:after="120"/>
        <w:rPr>
          <w:b/>
        </w:rPr>
      </w:pPr>
      <w:r w:rsidRPr="004340DC">
        <w:rPr>
          <w:b/>
        </w:rPr>
        <w:t xml:space="preserve">Schedule </w:t>
      </w:r>
      <w:r w:rsidR="00461E5E" w:rsidRPr="004340DC">
        <w:rPr>
          <w:b/>
        </w:rPr>
        <w:t>1</w:t>
      </w:r>
      <w:r w:rsidRPr="004340DC">
        <w:rPr>
          <w:b/>
        </w:rPr>
        <w:t>—Amendments</w:t>
      </w:r>
    </w:p>
    <w:p w:rsidR="003A58A8" w:rsidRDefault="000874B8" w:rsidP="00B82200">
      <w:pPr>
        <w:spacing w:before="120" w:after="120"/>
      </w:pPr>
      <w:r w:rsidRPr="004340DC">
        <w:rPr>
          <w:b/>
        </w:rPr>
        <w:t>Item 1</w:t>
      </w:r>
      <w:r>
        <w:t xml:space="preserve"> </w:t>
      </w:r>
      <w:r w:rsidR="001141B4">
        <w:t xml:space="preserve">of Schedule 1 </w:t>
      </w:r>
      <w:r w:rsidR="001000FD">
        <w:t>s</w:t>
      </w:r>
      <w:r>
        <w:t xml:space="preserve">ubstitutes </w:t>
      </w:r>
      <w:proofErr w:type="spellStart"/>
      <w:r w:rsidR="00A17072">
        <w:t>s</w:t>
      </w:r>
      <w:r w:rsidR="0077781E" w:rsidRPr="00E8669B">
        <w:t>ubrule</w:t>
      </w:r>
      <w:r w:rsidR="00067B65">
        <w:t>s</w:t>
      </w:r>
      <w:proofErr w:type="spellEnd"/>
      <w:r w:rsidR="0077781E" w:rsidRPr="00E8669B">
        <w:t xml:space="preserve"> 9(2)</w:t>
      </w:r>
      <w:r w:rsidR="00067B65">
        <w:t xml:space="preserve"> and 9(</w:t>
      </w:r>
      <w:proofErr w:type="spellStart"/>
      <w:r w:rsidR="00067B65">
        <w:t>2A</w:t>
      </w:r>
      <w:proofErr w:type="spellEnd"/>
      <w:r w:rsidR="00067B65">
        <w:t>)</w:t>
      </w:r>
      <w:r>
        <w:t xml:space="preserve"> with new provision</w:t>
      </w:r>
      <w:r w:rsidR="00067B65">
        <w:t xml:space="preserve">s. </w:t>
      </w:r>
    </w:p>
    <w:p w:rsidR="003A58A8" w:rsidRDefault="00067B65" w:rsidP="00B82200">
      <w:pPr>
        <w:spacing w:before="120" w:after="120"/>
      </w:pPr>
      <w:r>
        <w:t xml:space="preserve">Subrule 9(2) has been amended to </w:t>
      </w:r>
      <w:r w:rsidR="000874B8">
        <w:t xml:space="preserve">make </w:t>
      </w:r>
      <w:r w:rsidR="00AE20EA" w:rsidRPr="00E8669B">
        <w:t>it clear that the allocation of an approved classification to a group of duties must be based on the work value of the group of duties</w:t>
      </w:r>
      <w:r w:rsidR="000650F5">
        <w:t>.</w:t>
      </w:r>
      <w:r>
        <w:t xml:space="preserve"> </w:t>
      </w:r>
    </w:p>
    <w:p w:rsidR="00E8669B" w:rsidRDefault="00067B65" w:rsidP="00B82200">
      <w:pPr>
        <w:spacing w:before="120" w:after="120"/>
        <w:rPr>
          <w:highlight w:val="yellow"/>
        </w:rPr>
      </w:pPr>
      <w:proofErr w:type="spellStart"/>
      <w:r>
        <w:t>Subrule</w:t>
      </w:r>
      <w:proofErr w:type="spellEnd"/>
      <w:r>
        <w:t xml:space="preserve"> 9(</w:t>
      </w:r>
      <w:proofErr w:type="spellStart"/>
      <w:r>
        <w:t>2A</w:t>
      </w:r>
      <w:proofErr w:type="spellEnd"/>
      <w:r>
        <w:t>)</w:t>
      </w:r>
      <w:r w:rsidR="003D027B">
        <w:t>, which previously only referred to SES classifications</w:t>
      </w:r>
      <w:r w:rsidR="00C46953">
        <w:t>,</w:t>
      </w:r>
      <w:r w:rsidR="0077781E" w:rsidRPr="00C67590">
        <w:t xml:space="preserve"> </w:t>
      </w:r>
      <w:r w:rsidR="0053524A" w:rsidRPr="00C67590">
        <w:t>ha</w:t>
      </w:r>
      <w:r w:rsidR="00E8669B" w:rsidRPr="00C67590">
        <w:t>s been amended to require that, when</w:t>
      </w:r>
      <w:r w:rsidR="00C46953">
        <w:t>ever</w:t>
      </w:r>
      <w:r w:rsidR="00E8669B" w:rsidRPr="00C67590">
        <w:t xml:space="preserve"> there is an allocation of</w:t>
      </w:r>
      <w:r w:rsidR="00E8669B">
        <w:t xml:space="preserve"> an </w:t>
      </w:r>
      <w:r w:rsidR="00E8669B" w:rsidRPr="00E8669B">
        <w:t>APS</w:t>
      </w:r>
      <w:r w:rsidR="00E8669B">
        <w:t xml:space="preserve"> </w:t>
      </w:r>
      <w:r w:rsidR="00E8669B" w:rsidRPr="00E8669B">
        <w:t>Level</w:t>
      </w:r>
      <w:r w:rsidR="00E8669B">
        <w:t>,</w:t>
      </w:r>
      <w:r w:rsidR="00E8669B" w:rsidRPr="00E8669B">
        <w:t xml:space="preserve"> Executive Level </w:t>
      </w:r>
      <w:r w:rsidR="00E8669B">
        <w:t xml:space="preserve">or </w:t>
      </w:r>
      <w:r w:rsidR="00C46953">
        <w:t>SES</w:t>
      </w:r>
      <w:r w:rsidR="00E8669B">
        <w:t xml:space="preserve"> classification to a group of duties,</w:t>
      </w:r>
      <w:r w:rsidR="00E8669B" w:rsidRPr="00E8669B">
        <w:t xml:space="preserve"> it must be </w:t>
      </w:r>
      <w:r w:rsidR="00E8669B">
        <w:t xml:space="preserve">based on the work value of the group of duties </w:t>
      </w:r>
      <w:r w:rsidR="00E8669B">
        <w:lastRenderedPageBreak/>
        <w:t>described in the work level standards for that classification</w:t>
      </w:r>
      <w:r w:rsidR="00E8669B" w:rsidRPr="00E8669B">
        <w:t xml:space="preserve"> issued</w:t>
      </w:r>
      <w:r w:rsidR="00E01736">
        <w:t xml:space="preserve"> </w:t>
      </w:r>
      <w:r w:rsidR="00E8669B" w:rsidRPr="00E8669B">
        <w:t>by the Commissioner</w:t>
      </w:r>
      <w:r w:rsidR="00CB5345">
        <w:t>,</w:t>
      </w:r>
      <w:r w:rsidR="00EF04D3">
        <w:t xml:space="preserve"> as those standards exist at</w:t>
      </w:r>
      <w:r w:rsidR="00CB5345">
        <w:t xml:space="preserve"> </w:t>
      </w:r>
      <w:r w:rsidR="00EF04D3">
        <w:t>1 December 2014.</w:t>
      </w:r>
      <w:r w:rsidR="00E8669B" w:rsidRPr="00E8669B">
        <w:t xml:space="preserve"> </w:t>
      </w:r>
    </w:p>
    <w:p w:rsidR="00D8147D" w:rsidRDefault="001000FD" w:rsidP="00B82200">
      <w:pPr>
        <w:spacing w:before="120" w:after="120"/>
      </w:pPr>
      <w:r w:rsidRPr="00AF41FB">
        <w:rPr>
          <w:b/>
        </w:rPr>
        <w:t>Item 2</w:t>
      </w:r>
      <w:r w:rsidR="00D8147D">
        <w:t xml:space="preserve"> </w:t>
      </w:r>
      <w:r w:rsidR="001141B4">
        <w:t xml:space="preserve">of Schedule 1 </w:t>
      </w:r>
      <w:r w:rsidR="00D8147D">
        <w:t xml:space="preserve">amends </w:t>
      </w:r>
      <w:r w:rsidR="003D027B">
        <w:t>s</w:t>
      </w:r>
      <w:r w:rsidR="00A8140B">
        <w:t xml:space="preserve">ubrule 9(3) </w:t>
      </w:r>
      <w:r w:rsidR="00D8147D">
        <w:t>to</w:t>
      </w:r>
      <w:r w:rsidR="00F9621A">
        <w:t xml:space="preserve"> omit reference to </w:t>
      </w:r>
      <w:r w:rsidR="00D8147D">
        <w:t>‘the group of duties’ and replace it with reference to ‘a group of duties’, to provide clarity and consistency with other provisions.</w:t>
      </w:r>
    </w:p>
    <w:p w:rsidR="00C028BE" w:rsidRDefault="00757F5E" w:rsidP="00B82200">
      <w:pPr>
        <w:spacing w:before="120" w:after="120"/>
      </w:pPr>
      <w:r w:rsidRPr="008A5618">
        <w:rPr>
          <w:b/>
        </w:rPr>
        <w:t>Item 3</w:t>
      </w:r>
      <w:r>
        <w:t xml:space="preserve"> </w:t>
      </w:r>
      <w:r w:rsidR="001141B4">
        <w:t xml:space="preserve">of Schedule 1 </w:t>
      </w:r>
      <w:r w:rsidR="007E1A9E">
        <w:t>replaces</w:t>
      </w:r>
      <w:r>
        <w:t xml:space="preserve"> </w:t>
      </w:r>
      <w:r w:rsidR="003D027B">
        <w:t>s</w:t>
      </w:r>
      <w:r w:rsidR="00312001" w:rsidRPr="000650F5">
        <w:t>ubrule 9(4)</w:t>
      </w:r>
      <w:r w:rsidR="000650F5" w:rsidRPr="000650F5">
        <w:t xml:space="preserve"> </w:t>
      </w:r>
      <w:r w:rsidR="0029623E">
        <w:t>with a new provision</w:t>
      </w:r>
      <w:r w:rsidR="00F276AA">
        <w:t xml:space="preserve"> to </w:t>
      </w:r>
      <w:r w:rsidR="004302D5">
        <w:t>provide clarity</w:t>
      </w:r>
      <w:r w:rsidR="00F276AA">
        <w:t xml:space="preserve"> </w:t>
      </w:r>
      <w:r w:rsidR="0029623E">
        <w:t xml:space="preserve"> that </w:t>
      </w:r>
      <w:r w:rsidR="00B31CC7">
        <w:t xml:space="preserve"> </w:t>
      </w:r>
      <w:r w:rsidR="0029623E">
        <w:t xml:space="preserve">an Agency </w:t>
      </w:r>
      <w:r w:rsidR="00C028BE">
        <w:t>H</w:t>
      </w:r>
      <w:r w:rsidR="0029623E">
        <w:t>ead may</w:t>
      </w:r>
      <w:r w:rsidR="0029623E" w:rsidRPr="0029623E">
        <w:t xml:space="preserve"> allocate more than one classification to</w:t>
      </w:r>
      <w:r w:rsidR="007E07D0">
        <w:t xml:space="preserve"> </w:t>
      </w:r>
      <w:r w:rsidR="003A2A48">
        <w:t>a</w:t>
      </w:r>
      <w:r w:rsidR="0029623E" w:rsidRPr="0029623E">
        <w:t xml:space="preserve"> group of duties</w:t>
      </w:r>
      <w:r w:rsidR="00B31CC7">
        <w:t xml:space="preserve"> to be performed in an Agency</w:t>
      </w:r>
      <w:r w:rsidR="00C028BE">
        <w:t xml:space="preserve">, and that this is called </w:t>
      </w:r>
      <w:r w:rsidR="003D027B">
        <w:t>‘</w:t>
      </w:r>
      <w:r w:rsidR="00C028BE">
        <w:t>a broadband</w:t>
      </w:r>
      <w:r w:rsidR="003D027B">
        <w:t>’</w:t>
      </w:r>
      <w:r w:rsidR="00C028BE">
        <w:t>.</w:t>
      </w:r>
      <w:r w:rsidR="00350A87">
        <w:t xml:space="preserve"> </w:t>
      </w:r>
    </w:p>
    <w:p w:rsidR="00AD316F" w:rsidRDefault="003A2A48" w:rsidP="006C35E0">
      <w:pPr>
        <w:spacing w:before="120" w:after="120"/>
      </w:pPr>
      <w:r w:rsidRPr="008A5618">
        <w:rPr>
          <w:b/>
        </w:rPr>
        <w:t>Item 4</w:t>
      </w:r>
      <w:r>
        <w:t xml:space="preserve"> </w:t>
      </w:r>
      <w:r w:rsidR="001141B4">
        <w:t xml:space="preserve">of Schedule 1 </w:t>
      </w:r>
      <w:r w:rsidR="007E1A9E">
        <w:t>replaces</w:t>
      </w:r>
      <w:r>
        <w:t xml:space="preserve"> </w:t>
      </w:r>
      <w:r w:rsidR="009E4B1A" w:rsidRPr="009E4B1A">
        <w:t>previous</w:t>
      </w:r>
      <w:r>
        <w:t xml:space="preserve"> </w:t>
      </w:r>
      <w:r w:rsidR="00C46953">
        <w:t>r</w:t>
      </w:r>
      <w:r>
        <w:t>ule 10</w:t>
      </w:r>
      <w:r w:rsidR="008D3CF0" w:rsidRPr="00EC3FCF">
        <w:t xml:space="preserve"> </w:t>
      </w:r>
      <w:r w:rsidR="00035EA7">
        <w:t xml:space="preserve">with a new provision that </w:t>
      </w:r>
      <w:r w:rsidR="003D027B">
        <w:t>provides</w:t>
      </w:r>
      <w:r w:rsidR="0025247F">
        <w:t xml:space="preserve"> </w:t>
      </w:r>
      <w:r w:rsidR="00207C55">
        <w:t>that the requirement for Agency Heads to issue w</w:t>
      </w:r>
      <w:r w:rsidR="00BF592E" w:rsidRPr="00EC3FCF">
        <w:t xml:space="preserve">ork level standards </w:t>
      </w:r>
      <w:r w:rsidR="00E01736">
        <w:t xml:space="preserve">remains for </w:t>
      </w:r>
      <w:r w:rsidR="001D3D41">
        <w:t>certain</w:t>
      </w:r>
      <w:r w:rsidR="00A52A24">
        <w:t xml:space="preserve"> </w:t>
      </w:r>
      <w:r w:rsidR="003D027B">
        <w:t xml:space="preserve">approved classifications that are </w:t>
      </w:r>
      <w:r w:rsidR="00207C55">
        <w:t xml:space="preserve">not </w:t>
      </w:r>
      <w:r w:rsidR="00207C55" w:rsidRPr="00207C55">
        <w:t>APS</w:t>
      </w:r>
      <w:r w:rsidR="004302D5">
        <w:t xml:space="preserve"> Level</w:t>
      </w:r>
      <w:r w:rsidR="00207C55" w:rsidRPr="00207C55">
        <w:t>, Executive Level or SES classifications</w:t>
      </w:r>
      <w:r w:rsidR="00682EDC">
        <w:t xml:space="preserve"> (f</w:t>
      </w:r>
      <w:r w:rsidR="00A52A24">
        <w:t>or example, Medical Officer</w:t>
      </w:r>
      <w:r w:rsidR="00682EDC">
        <w:t>).</w:t>
      </w:r>
    </w:p>
    <w:p w:rsidR="003A58A8" w:rsidRDefault="006C35E0" w:rsidP="00B82200">
      <w:pPr>
        <w:spacing w:before="120" w:after="120"/>
      </w:pPr>
      <w:r w:rsidRPr="006D4608">
        <w:rPr>
          <w:b/>
        </w:rPr>
        <w:t>Item 5</w:t>
      </w:r>
      <w:r>
        <w:t xml:space="preserve"> </w:t>
      </w:r>
      <w:r w:rsidR="001141B4">
        <w:t xml:space="preserve">of Schedule 1 </w:t>
      </w:r>
      <w:r>
        <w:t xml:space="preserve">inserts </w:t>
      </w:r>
      <w:r w:rsidR="00C46953">
        <w:t>r</w:t>
      </w:r>
      <w:r w:rsidR="00302522" w:rsidRPr="00EC3FCF">
        <w:t>ule 14</w:t>
      </w:r>
      <w:r>
        <w:t xml:space="preserve">. This is a </w:t>
      </w:r>
      <w:r w:rsidR="00302522" w:rsidRPr="00EC3FCF">
        <w:t xml:space="preserve">new rule that </w:t>
      </w:r>
      <w:r w:rsidR="00D46C15" w:rsidRPr="00EC3FCF">
        <w:t xml:space="preserve">provides transitional </w:t>
      </w:r>
      <w:r w:rsidR="00EC3FCF" w:rsidRPr="00EC3FCF">
        <w:t>arrangements</w:t>
      </w:r>
      <w:r w:rsidR="00453548">
        <w:t xml:space="preserve">. </w:t>
      </w:r>
    </w:p>
    <w:p w:rsidR="003A58A8" w:rsidRDefault="00453548" w:rsidP="00B82200">
      <w:pPr>
        <w:spacing w:before="120" w:after="120"/>
      </w:pPr>
      <w:r>
        <w:t>Subrule 14(1</w:t>
      </w:r>
      <w:proofErr w:type="gramStart"/>
      <w:r>
        <w:t>)(</w:t>
      </w:r>
      <w:proofErr w:type="gramEnd"/>
      <w:r>
        <w:t xml:space="preserve">a) provides </w:t>
      </w:r>
      <w:r w:rsidR="00AC3266">
        <w:t>that a</w:t>
      </w:r>
      <w:r w:rsidR="00DE5C03">
        <w:t>n approved classification that ha</w:t>
      </w:r>
      <w:r w:rsidR="00132689">
        <w:t>s</w:t>
      </w:r>
      <w:r w:rsidR="00DE5C03">
        <w:t xml:space="preserve"> been allocated to a group of duties prior to 1 December 2014 </w:t>
      </w:r>
      <w:r w:rsidR="007952ED">
        <w:t>will continue to have effect</w:t>
      </w:r>
      <w:r w:rsidR="00AC3266">
        <w:t xml:space="preserve">. </w:t>
      </w:r>
    </w:p>
    <w:p w:rsidR="00DE5C03" w:rsidRDefault="00BE357E" w:rsidP="00B82200">
      <w:pPr>
        <w:spacing w:before="120" w:after="120"/>
      </w:pPr>
      <w:r>
        <w:t>Subrule 14(1</w:t>
      </w:r>
      <w:proofErr w:type="gramStart"/>
      <w:r>
        <w:t>)(</w:t>
      </w:r>
      <w:proofErr w:type="gramEnd"/>
      <w:r w:rsidR="00595B41">
        <w:t>b</w:t>
      </w:r>
      <w:r>
        <w:t xml:space="preserve">) provides that </w:t>
      </w:r>
      <w:r w:rsidR="00AC3266">
        <w:t xml:space="preserve">work level standards </w:t>
      </w:r>
      <w:r w:rsidR="00BA74FB">
        <w:t>issued by an Agency Head prior to</w:t>
      </w:r>
      <w:r w:rsidR="00647248">
        <w:t xml:space="preserve"> 1 </w:t>
      </w:r>
      <w:r w:rsidR="00BA74FB">
        <w:t xml:space="preserve">December 2014 </w:t>
      </w:r>
      <w:r w:rsidR="00AC3266">
        <w:t xml:space="preserve">for </w:t>
      </w:r>
      <w:r w:rsidR="00BA74FB">
        <w:t xml:space="preserve">classifications other than </w:t>
      </w:r>
      <w:r w:rsidR="00AC3266">
        <w:t>APS Level, Executive Level and SES classifications will continue t</w:t>
      </w:r>
      <w:r w:rsidR="00320777">
        <w:t>o</w:t>
      </w:r>
      <w:r w:rsidR="00AC3266">
        <w:t xml:space="preserve"> have effect</w:t>
      </w:r>
      <w:r w:rsidR="000B764F">
        <w:t>.</w:t>
      </w:r>
      <w:r w:rsidR="00AC3266">
        <w:t xml:space="preserve">  </w:t>
      </w:r>
    </w:p>
    <w:p w:rsidR="00A820EC" w:rsidRDefault="00BE357E" w:rsidP="00B82200">
      <w:pPr>
        <w:spacing w:before="120" w:after="120"/>
      </w:pPr>
      <w:r>
        <w:t>Subrule 14(2)</w:t>
      </w:r>
      <w:r w:rsidR="00E77A59">
        <w:t xml:space="preserve"> </w:t>
      </w:r>
      <w:r>
        <w:t>provides that</w:t>
      </w:r>
      <w:r w:rsidR="000B764F">
        <w:t>, when</w:t>
      </w:r>
      <w:r w:rsidR="00E01736">
        <w:t>ever</w:t>
      </w:r>
      <w:r w:rsidR="000B764F">
        <w:t xml:space="preserve"> an agency head allocates an APS Level, Executive Level or SES classification </w:t>
      </w:r>
      <w:r w:rsidR="00B31007">
        <w:t xml:space="preserve">to a group of duties </w:t>
      </w:r>
      <w:r w:rsidR="000B764F">
        <w:t xml:space="preserve">on or after 1 December 2014, the allocation must </w:t>
      </w:r>
      <w:r w:rsidR="00032D8F">
        <w:t>be based on the work value of the group of duties described in the work level standards for the relevant classification issued</w:t>
      </w:r>
      <w:r w:rsidR="007F16B5">
        <w:t xml:space="preserve"> </w:t>
      </w:r>
      <w:r w:rsidR="00032D8F">
        <w:t>by the Commissioner</w:t>
      </w:r>
      <w:r w:rsidR="003052D7">
        <w:t>, as th</w:t>
      </w:r>
      <w:r w:rsidR="00195B5B">
        <w:t xml:space="preserve">ose standards </w:t>
      </w:r>
      <w:r w:rsidR="003052D7">
        <w:t>exist on 1 December 2014.</w:t>
      </w:r>
    </w:p>
    <w:p w:rsidR="00BD5932" w:rsidRDefault="00195B5B" w:rsidP="00B82200">
      <w:pPr>
        <w:spacing w:before="120" w:after="120"/>
      </w:pPr>
      <w:r w:rsidRPr="00C94B8D">
        <w:rPr>
          <w:b/>
        </w:rPr>
        <w:t>Item 6</w:t>
      </w:r>
      <w:r>
        <w:t xml:space="preserve"> </w:t>
      </w:r>
      <w:r w:rsidR="001141B4">
        <w:t xml:space="preserve">of Schedule 1 </w:t>
      </w:r>
      <w:r w:rsidR="00C07202">
        <w:t>specifies each of the classification levels included in</w:t>
      </w:r>
      <w:r w:rsidR="00BD5932" w:rsidRPr="00BD5932">
        <w:t xml:space="preserve"> APS Level classification</w:t>
      </w:r>
      <w:r w:rsidR="00C07202">
        <w:t>s</w:t>
      </w:r>
      <w:r w:rsidR="00BD5932" w:rsidRPr="00BD5932">
        <w:t xml:space="preserve"> and Executive Level classification</w:t>
      </w:r>
      <w:r w:rsidR="00C07202">
        <w:t xml:space="preserve">s and inserts them </w:t>
      </w:r>
      <w:r>
        <w:t xml:space="preserve">into </w:t>
      </w:r>
      <w:r w:rsidRPr="00195B5B">
        <w:t>the Dictionary to the Classification Rules</w:t>
      </w:r>
      <w:r>
        <w:t>.</w:t>
      </w:r>
    </w:p>
    <w:p w:rsidR="00ED4C2D" w:rsidRDefault="001F6D72" w:rsidP="00B82200">
      <w:pPr>
        <w:spacing w:before="120" w:after="120"/>
      </w:pPr>
      <w:r w:rsidRPr="004B2D71">
        <w:rPr>
          <w:b/>
        </w:rPr>
        <w:t>Item 7</w:t>
      </w:r>
      <w:r>
        <w:t xml:space="preserve"> </w:t>
      </w:r>
      <w:r w:rsidR="001141B4">
        <w:t xml:space="preserve">of Schedule 1 </w:t>
      </w:r>
      <w:r w:rsidR="00B31007">
        <w:t xml:space="preserve">is a technical amendment which </w:t>
      </w:r>
      <w:r w:rsidR="00653549">
        <w:t xml:space="preserve">repeals </w:t>
      </w:r>
      <w:r w:rsidR="00C46953">
        <w:t>r</w:t>
      </w:r>
      <w:r w:rsidR="00ED4C2D">
        <w:t xml:space="preserve">ule 3 </w:t>
      </w:r>
      <w:r w:rsidR="00B31007">
        <w:t xml:space="preserve">of the Classification Rules </w:t>
      </w:r>
      <w:r w:rsidR="00ED4C2D">
        <w:t xml:space="preserve">as </w:t>
      </w:r>
      <w:r w:rsidR="00A2169C">
        <w:t xml:space="preserve">it no longer </w:t>
      </w:r>
      <w:r w:rsidR="00B31007">
        <w:t>has any application</w:t>
      </w:r>
      <w:r w:rsidR="00647248">
        <w:t>.</w:t>
      </w:r>
    </w:p>
    <w:p w:rsidR="00ED4C2D" w:rsidRDefault="00382791" w:rsidP="00B82200">
      <w:pPr>
        <w:spacing w:before="120" w:after="120"/>
      </w:pPr>
      <w:r w:rsidRPr="004B2D71">
        <w:rPr>
          <w:b/>
        </w:rPr>
        <w:t>Item 8</w:t>
      </w:r>
      <w:r>
        <w:t xml:space="preserve"> </w:t>
      </w:r>
      <w:r w:rsidR="001141B4">
        <w:t xml:space="preserve">of Schedule 1 </w:t>
      </w:r>
      <w:r w:rsidR="00B31007">
        <w:t xml:space="preserve">is a technical amendment which </w:t>
      </w:r>
      <w:r w:rsidR="005650EC">
        <w:t>repe</w:t>
      </w:r>
      <w:r w:rsidR="00626D2A">
        <w:t>a</w:t>
      </w:r>
      <w:r w:rsidR="005650EC">
        <w:t xml:space="preserve">ls </w:t>
      </w:r>
      <w:r w:rsidR="00E01736">
        <w:t>subr</w:t>
      </w:r>
      <w:r w:rsidR="00ED4C2D">
        <w:t>ule 4(2)</w:t>
      </w:r>
      <w:r w:rsidR="00B31007">
        <w:t xml:space="preserve"> of the Classification Rules</w:t>
      </w:r>
      <w:r w:rsidR="00532BE5">
        <w:t xml:space="preserve"> as it no longer applies</w:t>
      </w:r>
      <w:r w:rsidR="00B31007">
        <w:t xml:space="preserve">, given </w:t>
      </w:r>
      <w:r w:rsidR="001D3D41">
        <w:t xml:space="preserve">that </w:t>
      </w:r>
      <w:r w:rsidR="004B2D71">
        <w:t>the</w:t>
      </w:r>
      <w:r w:rsidR="00B31007">
        <w:t xml:space="preserve"> Dictionary to the Classification Rules </w:t>
      </w:r>
      <w:r w:rsidR="00532BE5">
        <w:t>has been amended to comply with drafting conventions</w:t>
      </w:r>
      <w:r w:rsidR="00B82200">
        <w:t xml:space="preserve"> – see </w:t>
      </w:r>
      <w:r w:rsidR="00B31007">
        <w:t xml:space="preserve">Items </w:t>
      </w:r>
      <w:r w:rsidR="00B82200">
        <w:t>10, 11 and 12.</w:t>
      </w:r>
    </w:p>
    <w:p w:rsidR="009E4B1A" w:rsidRDefault="004C1407" w:rsidP="00B82200">
      <w:pPr>
        <w:spacing w:before="120" w:after="120"/>
      </w:pPr>
      <w:r w:rsidRPr="001A5721">
        <w:rPr>
          <w:b/>
        </w:rPr>
        <w:t>Item 9</w:t>
      </w:r>
      <w:r>
        <w:t xml:space="preserve"> </w:t>
      </w:r>
      <w:r w:rsidR="001141B4">
        <w:t xml:space="preserve">of Schedule 1 </w:t>
      </w:r>
      <w:r w:rsidR="0002376E">
        <w:t>amends</w:t>
      </w:r>
      <w:r>
        <w:t xml:space="preserve"> </w:t>
      </w:r>
      <w:r w:rsidR="00564EBE">
        <w:t>s</w:t>
      </w:r>
      <w:r>
        <w:t>ubrule</w:t>
      </w:r>
      <w:r w:rsidR="00695630" w:rsidRPr="00695630">
        <w:t xml:space="preserve"> 11(1) </w:t>
      </w:r>
      <w:r w:rsidR="00E01736">
        <w:t>which relates to the advancement of a person in a training classification to a higher classification on completion of training</w:t>
      </w:r>
      <w:r w:rsidR="0002376E">
        <w:t xml:space="preserve">.  It is a technical </w:t>
      </w:r>
      <w:r w:rsidR="00E01736">
        <w:t xml:space="preserve">amendment </w:t>
      </w:r>
      <w:r w:rsidR="0002376E">
        <w:t xml:space="preserve">that </w:t>
      </w:r>
      <w:r w:rsidR="00E01736">
        <w:t>clarifies that rule 11 applies to</w:t>
      </w:r>
      <w:r w:rsidR="009E4B1A">
        <w:t xml:space="preserve"> </w:t>
      </w:r>
      <w:r w:rsidR="0002376E">
        <w:t xml:space="preserve">all </w:t>
      </w:r>
      <w:r w:rsidR="009E4B1A">
        <w:t>APS employee</w:t>
      </w:r>
      <w:r w:rsidR="0002376E">
        <w:t>s who undertakes training in a training classification</w:t>
      </w:r>
      <w:r w:rsidR="009E4B1A">
        <w:t xml:space="preserve">, and </w:t>
      </w:r>
      <w:r w:rsidR="00E01736">
        <w:t xml:space="preserve">is not </w:t>
      </w:r>
      <w:r w:rsidR="009E4B1A">
        <w:t>restrict</w:t>
      </w:r>
      <w:r w:rsidR="00E01736">
        <w:t>ed</w:t>
      </w:r>
      <w:r w:rsidR="009E4B1A">
        <w:t xml:space="preserve"> to employees who were engaged</w:t>
      </w:r>
      <w:r w:rsidR="00E01736">
        <w:t xml:space="preserve"> under the PS Act</w:t>
      </w:r>
      <w:r w:rsidR="009E4B1A">
        <w:t xml:space="preserve"> at a training classification.</w:t>
      </w:r>
    </w:p>
    <w:p w:rsidR="00780550" w:rsidRDefault="00F5128D" w:rsidP="00FA4D8D">
      <w:pPr>
        <w:spacing w:before="120" w:after="120"/>
      </w:pPr>
      <w:r w:rsidRPr="001A5721">
        <w:rPr>
          <w:b/>
        </w:rPr>
        <w:t xml:space="preserve">Item </w:t>
      </w:r>
      <w:r w:rsidR="00564EBE">
        <w:rPr>
          <w:b/>
        </w:rPr>
        <w:t xml:space="preserve">10, </w:t>
      </w:r>
      <w:r w:rsidRPr="001A5721">
        <w:rPr>
          <w:b/>
        </w:rPr>
        <w:t>11 and 12</w:t>
      </w:r>
      <w:r>
        <w:t xml:space="preserve"> </w:t>
      </w:r>
      <w:r w:rsidR="001141B4">
        <w:t xml:space="preserve">of Schedule 1 </w:t>
      </w:r>
      <w:r w:rsidR="00564EBE">
        <w:t xml:space="preserve">are technical amendments </w:t>
      </w:r>
      <w:r>
        <w:t>amend</w:t>
      </w:r>
      <w:r w:rsidR="00564EBE">
        <w:t>ing</w:t>
      </w:r>
      <w:r>
        <w:t xml:space="preserve"> </w:t>
      </w:r>
      <w:r w:rsidR="00564EBE">
        <w:t>the Dictionary to the Classification Rules</w:t>
      </w:r>
      <w:r w:rsidR="0002376E">
        <w:t xml:space="preserve"> </w:t>
      </w:r>
      <w:r>
        <w:t>in</w:t>
      </w:r>
      <w:r w:rsidR="00AD3EA2">
        <w:t xml:space="preserve"> accordance with drafting conventions, </w:t>
      </w:r>
      <w:r w:rsidR="00564EBE">
        <w:t xml:space="preserve">mainly to remove </w:t>
      </w:r>
      <w:r w:rsidR="001D3D41">
        <w:t>terms that are defined</w:t>
      </w:r>
      <w:r w:rsidR="00BE5DBF">
        <w:t xml:space="preserve"> in the </w:t>
      </w:r>
      <w:r w:rsidR="00BE5DBF" w:rsidRPr="00BE5DBF">
        <w:rPr>
          <w:i/>
        </w:rPr>
        <w:t>Public Service Act 1999</w:t>
      </w:r>
      <w:r w:rsidR="00BE5DBF">
        <w:t>.</w:t>
      </w:r>
    </w:p>
    <w:sectPr w:rsidR="00780550" w:rsidSect="0044203F">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13A" w:rsidRDefault="0085613A" w:rsidP="00B82200">
      <w:r>
        <w:separator/>
      </w:r>
    </w:p>
  </w:endnote>
  <w:endnote w:type="continuationSeparator" w:id="0">
    <w:p w:rsidR="0085613A" w:rsidRDefault="0085613A" w:rsidP="00B8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13A" w:rsidRDefault="0085613A" w:rsidP="00B82200">
      <w:r>
        <w:separator/>
      </w:r>
    </w:p>
  </w:footnote>
  <w:footnote w:type="continuationSeparator" w:id="0">
    <w:p w:rsidR="0085613A" w:rsidRDefault="0085613A" w:rsidP="00B82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88" w:rsidRDefault="00E73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7CF1"/>
    <w:multiLevelType w:val="hybridMultilevel"/>
    <w:tmpl w:val="1A02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B736D8"/>
    <w:multiLevelType w:val="multilevel"/>
    <w:tmpl w:val="8F1E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C76EB"/>
    <w:multiLevelType w:val="hybridMultilevel"/>
    <w:tmpl w:val="E51AC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7F1E67"/>
    <w:multiLevelType w:val="hybridMultilevel"/>
    <w:tmpl w:val="30B4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34"/>
    <w:rsid w:val="00002CCD"/>
    <w:rsid w:val="000207B8"/>
    <w:rsid w:val="000209C2"/>
    <w:rsid w:val="00020E82"/>
    <w:rsid w:val="00022E96"/>
    <w:rsid w:val="0002376E"/>
    <w:rsid w:val="00030875"/>
    <w:rsid w:val="00032D8F"/>
    <w:rsid w:val="00034FA2"/>
    <w:rsid w:val="00035EA7"/>
    <w:rsid w:val="00046504"/>
    <w:rsid w:val="00047BD9"/>
    <w:rsid w:val="00060070"/>
    <w:rsid w:val="000650F5"/>
    <w:rsid w:val="00067B65"/>
    <w:rsid w:val="00073E8F"/>
    <w:rsid w:val="0008294C"/>
    <w:rsid w:val="0008311A"/>
    <w:rsid w:val="000874B8"/>
    <w:rsid w:val="0009121F"/>
    <w:rsid w:val="00097069"/>
    <w:rsid w:val="000B21E3"/>
    <w:rsid w:val="000B764F"/>
    <w:rsid w:val="000D19E5"/>
    <w:rsid w:val="000E47A3"/>
    <w:rsid w:val="000F49C8"/>
    <w:rsid w:val="000F6AE4"/>
    <w:rsid w:val="001000FD"/>
    <w:rsid w:val="001014FA"/>
    <w:rsid w:val="00102898"/>
    <w:rsid w:val="00104322"/>
    <w:rsid w:val="00112C1B"/>
    <w:rsid w:val="001141B4"/>
    <w:rsid w:val="0011465B"/>
    <w:rsid w:val="001209B4"/>
    <w:rsid w:val="00121316"/>
    <w:rsid w:val="00126028"/>
    <w:rsid w:val="00132689"/>
    <w:rsid w:val="0013301E"/>
    <w:rsid w:val="00144785"/>
    <w:rsid w:val="00150227"/>
    <w:rsid w:val="00155597"/>
    <w:rsid w:val="00165968"/>
    <w:rsid w:val="00173247"/>
    <w:rsid w:val="00180525"/>
    <w:rsid w:val="001845FD"/>
    <w:rsid w:val="00184AB9"/>
    <w:rsid w:val="001871A2"/>
    <w:rsid w:val="00195B5B"/>
    <w:rsid w:val="001977C4"/>
    <w:rsid w:val="001A2E8B"/>
    <w:rsid w:val="001A3131"/>
    <w:rsid w:val="001A5721"/>
    <w:rsid w:val="001A7F12"/>
    <w:rsid w:val="001B34F1"/>
    <w:rsid w:val="001D3D41"/>
    <w:rsid w:val="001D3D94"/>
    <w:rsid w:val="001D6B61"/>
    <w:rsid w:val="001D7B50"/>
    <w:rsid w:val="001E0C70"/>
    <w:rsid w:val="001F20AC"/>
    <w:rsid w:val="001F6D72"/>
    <w:rsid w:val="00204FEB"/>
    <w:rsid w:val="00207C55"/>
    <w:rsid w:val="002126BB"/>
    <w:rsid w:val="002137F7"/>
    <w:rsid w:val="00216F1E"/>
    <w:rsid w:val="00221014"/>
    <w:rsid w:val="00221FBE"/>
    <w:rsid w:val="00222AD8"/>
    <w:rsid w:val="00224624"/>
    <w:rsid w:val="00226E4B"/>
    <w:rsid w:val="0024188A"/>
    <w:rsid w:val="00250259"/>
    <w:rsid w:val="0025247F"/>
    <w:rsid w:val="00257EE1"/>
    <w:rsid w:val="00260FFC"/>
    <w:rsid w:val="002769CE"/>
    <w:rsid w:val="00294098"/>
    <w:rsid w:val="00295085"/>
    <w:rsid w:val="0029623E"/>
    <w:rsid w:val="002A2ECE"/>
    <w:rsid w:val="002A7BA7"/>
    <w:rsid w:val="002B7822"/>
    <w:rsid w:val="002C09EE"/>
    <w:rsid w:val="002C16CE"/>
    <w:rsid w:val="002D1D12"/>
    <w:rsid w:val="002D74AE"/>
    <w:rsid w:val="002E2E44"/>
    <w:rsid w:val="002E6EE6"/>
    <w:rsid w:val="002F5B73"/>
    <w:rsid w:val="002F7D42"/>
    <w:rsid w:val="00302522"/>
    <w:rsid w:val="003052D7"/>
    <w:rsid w:val="00310E41"/>
    <w:rsid w:val="00312001"/>
    <w:rsid w:val="0031203E"/>
    <w:rsid w:val="00320777"/>
    <w:rsid w:val="0032611E"/>
    <w:rsid w:val="00335C2B"/>
    <w:rsid w:val="00342BEA"/>
    <w:rsid w:val="00344382"/>
    <w:rsid w:val="003450E5"/>
    <w:rsid w:val="003458BE"/>
    <w:rsid w:val="00350A87"/>
    <w:rsid w:val="00361D12"/>
    <w:rsid w:val="00363500"/>
    <w:rsid w:val="00364064"/>
    <w:rsid w:val="00367C9E"/>
    <w:rsid w:val="00375432"/>
    <w:rsid w:val="00382791"/>
    <w:rsid w:val="00391434"/>
    <w:rsid w:val="003A0D29"/>
    <w:rsid w:val="003A2A48"/>
    <w:rsid w:val="003A4623"/>
    <w:rsid w:val="003A493A"/>
    <w:rsid w:val="003A58A8"/>
    <w:rsid w:val="003A6EC6"/>
    <w:rsid w:val="003C08FE"/>
    <w:rsid w:val="003C1854"/>
    <w:rsid w:val="003C5F62"/>
    <w:rsid w:val="003D027B"/>
    <w:rsid w:val="003D6404"/>
    <w:rsid w:val="003D7394"/>
    <w:rsid w:val="003E3AD6"/>
    <w:rsid w:val="003E51D8"/>
    <w:rsid w:val="003F106E"/>
    <w:rsid w:val="003F6446"/>
    <w:rsid w:val="003F7488"/>
    <w:rsid w:val="004035CF"/>
    <w:rsid w:val="00407E74"/>
    <w:rsid w:val="0041615C"/>
    <w:rsid w:val="004229AE"/>
    <w:rsid w:val="004302D5"/>
    <w:rsid w:val="004340DC"/>
    <w:rsid w:val="0044203F"/>
    <w:rsid w:val="00443F9A"/>
    <w:rsid w:val="00453548"/>
    <w:rsid w:val="00461E5E"/>
    <w:rsid w:val="004643A4"/>
    <w:rsid w:val="0046697F"/>
    <w:rsid w:val="00466E20"/>
    <w:rsid w:val="00492AB7"/>
    <w:rsid w:val="00493E86"/>
    <w:rsid w:val="004A653A"/>
    <w:rsid w:val="004B2D71"/>
    <w:rsid w:val="004B493A"/>
    <w:rsid w:val="004B52DD"/>
    <w:rsid w:val="004B52F8"/>
    <w:rsid w:val="004C1407"/>
    <w:rsid w:val="004C2635"/>
    <w:rsid w:val="004D0763"/>
    <w:rsid w:val="004D39D8"/>
    <w:rsid w:val="004D791A"/>
    <w:rsid w:val="004E0D7C"/>
    <w:rsid w:val="004F2FFE"/>
    <w:rsid w:val="00504666"/>
    <w:rsid w:val="00511B7C"/>
    <w:rsid w:val="00513AC6"/>
    <w:rsid w:val="00532BE5"/>
    <w:rsid w:val="0053524A"/>
    <w:rsid w:val="00541E45"/>
    <w:rsid w:val="00546B63"/>
    <w:rsid w:val="00546D23"/>
    <w:rsid w:val="00551332"/>
    <w:rsid w:val="00553835"/>
    <w:rsid w:val="00556F98"/>
    <w:rsid w:val="005574EB"/>
    <w:rsid w:val="00564EBE"/>
    <w:rsid w:val="005650EC"/>
    <w:rsid w:val="00581CAB"/>
    <w:rsid w:val="00595B41"/>
    <w:rsid w:val="00595F40"/>
    <w:rsid w:val="005A2AB5"/>
    <w:rsid w:val="005A3285"/>
    <w:rsid w:val="005A58B1"/>
    <w:rsid w:val="005C089E"/>
    <w:rsid w:val="005D0634"/>
    <w:rsid w:val="005D1819"/>
    <w:rsid w:val="005D34A0"/>
    <w:rsid w:val="005E119E"/>
    <w:rsid w:val="005E1C5D"/>
    <w:rsid w:val="005E1DE2"/>
    <w:rsid w:val="005E2A31"/>
    <w:rsid w:val="005F1854"/>
    <w:rsid w:val="005F5F38"/>
    <w:rsid w:val="00603FF8"/>
    <w:rsid w:val="00611DB5"/>
    <w:rsid w:val="00623793"/>
    <w:rsid w:val="00625016"/>
    <w:rsid w:val="0062546A"/>
    <w:rsid w:val="00626D2A"/>
    <w:rsid w:val="00627EE7"/>
    <w:rsid w:val="00634DBF"/>
    <w:rsid w:val="00640065"/>
    <w:rsid w:val="006459DB"/>
    <w:rsid w:val="00647248"/>
    <w:rsid w:val="00653549"/>
    <w:rsid w:val="00660E07"/>
    <w:rsid w:val="00660F1B"/>
    <w:rsid w:val="00663FE8"/>
    <w:rsid w:val="0066618E"/>
    <w:rsid w:val="006705B0"/>
    <w:rsid w:val="00674BA9"/>
    <w:rsid w:val="00675E69"/>
    <w:rsid w:val="00676F2F"/>
    <w:rsid w:val="00682EDC"/>
    <w:rsid w:val="0068774A"/>
    <w:rsid w:val="00694044"/>
    <w:rsid w:val="00695630"/>
    <w:rsid w:val="006C35E0"/>
    <w:rsid w:val="006C7E67"/>
    <w:rsid w:val="006D0ED9"/>
    <w:rsid w:val="006D4608"/>
    <w:rsid w:val="006D6662"/>
    <w:rsid w:val="006E0650"/>
    <w:rsid w:val="006E4FF1"/>
    <w:rsid w:val="00707048"/>
    <w:rsid w:val="0070743E"/>
    <w:rsid w:val="00716D60"/>
    <w:rsid w:val="007256B9"/>
    <w:rsid w:val="00730F86"/>
    <w:rsid w:val="007517CF"/>
    <w:rsid w:val="007523AE"/>
    <w:rsid w:val="00755626"/>
    <w:rsid w:val="00757F5E"/>
    <w:rsid w:val="0076280F"/>
    <w:rsid w:val="00762F26"/>
    <w:rsid w:val="00771A0D"/>
    <w:rsid w:val="007759BF"/>
    <w:rsid w:val="0077781E"/>
    <w:rsid w:val="00780550"/>
    <w:rsid w:val="00793E7B"/>
    <w:rsid w:val="007952ED"/>
    <w:rsid w:val="007B09BF"/>
    <w:rsid w:val="007B3F26"/>
    <w:rsid w:val="007B5A78"/>
    <w:rsid w:val="007C0990"/>
    <w:rsid w:val="007C48E3"/>
    <w:rsid w:val="007C5216"/>
    <w:rsid w:val="007D040D"/>
    <w:rsid w:val="007D0FA0"/>
    <w:rsid w:val="007E07D0"/>
    <w:rsid w:val="007E1A9E"/>
    <w:rsid w:val="007F16B5"/>
    <w:rsid w:val="00811B41"/>
    <w:rsid w:val="00813096"/>
    <w:rsid w:val="00815452"/>
    <w:rsid w:val="00816D41"/>
    <w:rsid w:val="00820199"/>
    <w:rsid w:val="00820DDE"/>
    <w:rsid w:val="00823206"/>
    <w:rsid w:val="008243C9"/>
    <w:rsid w:val="0082591E"/>
    <w:rsid w:val="00833F44"/>
    <w:rsid w:val="0085613A"/>
    <w:rsid w:val="00863C75"/>
    <w:rsid w:val="008A28AA"/>
    <w:rsid w:val="008A5618"/>
    <w:rsid w:val="008A67A7"/>
    <w:rsid w:val="008B0893"/>
    <w:rsid w:val="008B25BE"/>
    <w:rsid w:val="008D22B3"/>
    <w:rsid w:val="008D3CF0"/>
    <w:rsid w:val="008D48A6"/>
    <w:rsid w:val="008E3775"/>
    <w:rsid w:val="008E5A33"/>
    <w:rsid w:val="008F3179"/>
    <w:rsid w:val="008F77FC"/>
    <w:rsid w:val="00904F91"/>
    <w:rsid w:val="00905AF2"/>
    <w:rsid w:val="00906A26"/>
    <w:rsid w:val="00910B87"/>
    <w:rsid w:val="0091215B"/>
    <w:rsid w:val="00916547"/>
    <w:rsid w:val="009259DE"/>
    <w:rsid w:val="0092694F"/>
    <w:rsid w:val="00966D75"/>
    <w:rsid w:val="00971B87"/>
    <w:rsid w:val="00986472"/>
    <w:rsid w:val="009949F5"/>
    <w:rsid w:val="00995F80"/>
    <w:rsid w:val="0099602D"/>
    <w:rsid w:val="009A7716"/>
    <w:rsid w:val="009B5CDD"/>
    <w:rsid w:val="009C0F10"/>
    <w:rsid w:val="009C7D48"/>
    <w:rsid w:val="009D1967"/>
    <w:rsid w:val="009E4B1A"/>
    <w:rsid w:val="00A04686"/>
    <w:rsid w:val="00A06B81"/>
    <w:rsid w:val="00A16166"/>
    <w:rsid w:val="00A16CCA"/>
    <w:rsid w:val="00A17072"/>
    <w:rsid w:val="00A2169C"/>
    <w:rsid w:val="00A270ED"/>
    <w:rsid w:val="00A33FCF"/>
    <w:rsid w:val="00A41857"/>
    <w:rsid w:val="00A4590E"/>
    <w:rsid w:val="00A52A24"/>
    <w:rsid w:val="00A56625"/>
    <w:rsid w:val="00A6302E"/>
    <w:rsid w:val="00A75204"/>
    <w:rsid w:val="00A767A9"/>
    <w:rsid w:val="00A77542"/>
    <w:rsid w:val="00A8140B"/>
    <w:rsid w:val="00A820EC"/>
    <w:rsid w:val="00A82146"/>
    <w:rsid w:val="00A86BE8"/>
    <w:rsid w:val="00AA14A1"/>
    <w:rsid w:val="00AC3266"/>
    <w:rsid w:val="00AC468E"/>
    <w:rsid w:val="00AD316F"/>
    <w:rsid w:val="00AD3EA2"/>
    <w:rsid w:val="00AD6C94"/>
    <w:rsid w:val="00AD6E6D"/>
    <w:rsid w:val="00AE20EA"/>
    <w:rsid w:val="00AF30F6"/>
    <w:rsid w:val="00AF3550"/>
    <w:rsid w:val="00AF41FB"/>
    <w:rsid w:val="00AF796A"/>
    <w:rsid w:val="00B02B65"/>
    <w:rsid w:val="00B200BF"/>
    <w:rsid w:val="00B27A0F"/>
    <w:rsid w:val="00B31007"/>
    <w:rsid w:val="00B31CC7"/>
    <w:rsid w:val="00B50DF8"/>
    <w:rsid w:val="00B525E6"/>
    <w:rsid w:val="00B56E11"/>
    <w:rsid w:val="00B57719"/>
    <w:rsid w:val="00B6094F"/>
    <w:rsid w:val="00B71481"/>
    <w:rsid w:val="00B7208D"/>
    <w:rsid w:val="00B728F4"/>
    <w:rsid w:val="00B778A0"/>
    <w:rsid w:val="00B82200"/>
    <w:rsid w:val="00BA74FB"/>
    <w:rsid w:val="00BC3056"/>
    <w:rsid w:val="00BC7FAE"/>
    <w:rsid w:val="00BD5932"/>
    <w:rsid w:val="00BE357E"/>
    <w:rsid w:val="00BE5DBF"/>
    <w:rsid w:val="00BF592E"/>
    <w:rsid w:val="00BF671E"/>
    <w:rsid w:val="00C028BE"/>
    <w:rsid w:val="00C0438B"/>
    <w:rsid w:val="00C05CFC"/>
    <w:rsid w:val="00C07202"/>
    <w:rsid w:val="00C13465"/>
    <w:rsid w:val="00C13980"/>
    <w:rsid w:val="00C155AC"/>
    <w:rsid w:val="00C26485"/>
    <w:rsid w:val="00C27F81"/>
    <w:rsid w:val="00C3085B"/>
    <w:rsid w:val="00C3492F"/>
    <w:rsid w:val="00C42099"/>
    <w:rsid w:val="00C46953"/>
    <w:rsid w:val="00C53CB9"/>
    <w:rsid w:val="00C53D0E"/>
    <w:rsid w:val="00C56319"/>
    <w:rsid w:val="00C640CB"/>
    <w:rsid w:val="00C66C85"/>
    <w:rsid w:val="00C67590"/>
    <w:rsid w:val="00C75052"/>
    <w:rsid w:val="00C80BFA"/>
    <w:rsid w:val="00C82753"/>
    <w:rsid w:val="00C92A6A"/>
    <w:rsid w:val="00C94B8D"/>
    <w:rsid w:val="00C95ADA"/>
    <w:rsid w:val="00CA20C9"/>
    <w:rsid w:val="00CA7614"/>
    <w:rsid w:val="00CB5345"/>
    <w:rsid w:val="00CC32B6"/>
    <w:rsid w:val="00CD1175"/>
    <w:rsid w:val="00CD4F2C"/>
    <w:rsid w:val="00CE5E77"/>
    <w:rsid w:val="00CE77B1"/>
    <w:rsid w:val="00D03050"/>
    <w:rsid w:val="00D12DC8"/>
    <w:rsid w:val="00D136EE"/>
    <w:rsid w:val="00D16FCF"/>
    <w:rsid w:val="00D203F9"/>
    <w:rsid w:val="00D25638"/>
    <w:rsid w:val="00D25838"/>
    <w:rsid w:val="00D31D65"/>
    <w:rsid w:val="00D339D0"/>
    <w:rsid w:val="00D37BBB"/>
    <w:rsid w:val="00D40D94"/>
    <w:rsid w:val="00D46C15"/>
    <w:rsid w:val="00D5024F"/>
    <w:rsid w:val="00D52833"/>
    <w:rsid w:val="00D71978"/>
    <w:rsid w:val="00D7326C"/>
    <w:rsid w:val="00D75EF7"/>
    <w:rsid w:val="00D7714E"/>
    <w:rsid w:val="00D8147D"/>
    <w:rsid w:val="00D8150C"/>
    <w:rsid w:val="00D91B9F"/>
    <w:rsid w:val="00D958C5"/>
    <w:rsid w:val="00D96C05"/>
    <w:rsid w:val="00DA24A5"/>
    <w:rsid w:val="00DA7C29"/>
    <w:rsid w:val="00DB2320"/>
    <w:rsid w:val="00DB6FF6"/>
    <w:rsid w:val="00DC1763"/>
    <w:rsid w:val="00DD34CD"/>
    <w:rsid w:val="00DD5253"/>
    <w:rsid w:val="00DD5296"/>
    <w:rsid w:val="00DE5C03"/>
    <w:rsid w:val="00DE7528"/>
    <w:rsid w:val="00DE786F"/>
    <w:rsid w:val="00DF3D05"/>
    <w:rsid w:val="00DF6447"/>
    <w:rsid w:val="00E01736"/>
    <w:rsid w:val="00E02D64"/>
    <w:rsid w:val="00E03F2B"/>
    <w:rsid w:val="00E12352"/>
    <w:rsid w:val="00E14E21"/>
    <w:rsid w:val="00E15370"/>
    <w:rsid w:val="00E165D9"/>
    <w:rsid w:val="00E21526"/>
    <w:rsid w:val="00E24058"/>
    <w:rsid w:val="00E30F40"/>
    <w:rsid w:val="00E43412"/>
    <w:rsid w:val="00E4442F"/>
    <w:rsid w:val="00E5246A"/>
    <w:rsid w:val="00E72189"/>
    <w:rsid w:val="00E725F3"/>
    <w:rsid w:val="00E73288"/>
    <w:rsid w:val="00E77A59"/>
    <w:rsid w:val="00E854D4"/>
    <w:rsid w:val="00E8669B"/>
    <w:rsid w:val="00E87853"/>
    <w:rsid w:val="00EA3310"/>
    <w:rsid w:val="00EA6C48"/>
    <w:rsid w:val="00EB4E23"/>
    <w:rsid w:val="00EC3FCF"/>
    <w:rsid w:val="00EC53D8"/>
    <w:rsid w:val="00ED4C2D"/>
    <w:rsid w:val="00EE3C77"/>
    <w:rsid w:val="00EE7214"/>
    <w:rsid w:val="00EF04D3"/>
    <w:rsid w:val="00F00876"/>
    <w:rsid w:val="00F042D5"/>
    <w:rsid w:val="00F102D2"/>
    <w:rsid w:val="00F1042F"/>
    <w:rsid w:val="00F10AF0"/>
    <w:rsid w:val="00F13541"/>
    <w:rsid w:val="00F17105"/>
    <w:rsid w:val="00F20E41"/>
    <w:rsid w:val="00F23158"/>
    <w:rsid w:val="00F23E70"/>
    <w:rsid w:val="00F240F1"/>
    <w:rsid w:val="00F276AA"/>
    <w:rsid w:val="00F436A4"/>
    <w:rsid w:val="00F5128D"/>
    <w:rsid w:val="00F53F19"/>
    <w:rsid w:val="00F63828"/>
    <w:rsid w:val="00F653CA"/>
    <w:rsid w:val="00F7099D"/>
    <w:rsid w:val="00F77C26"/>
    <w:rsid w:val="00F960EE"/>
    <w:rsid w:val="00F9621A"/>
    <w:rsid w:val="00FA2324"/>
    <w:rsid w:val="00FA3DD4"/>
    <w:rsid w:val="00FA4D8D"/>
    <w:rsid w:val="00FA6101"/>
    <w:rsid w:val="00FA6E85"/>
    <w:rsid w:val="00FB7BC2"/>
    <w:rsid w:val="00FC7CFB"/>
    <w:rsid w:val="00FD23BF"/>
    <w:rsid w:val="00FD2EC4"/>
    <w:rsid w:val="00FD6D2D"/>
    <w:rsid w:val="00FD6F30"/>
    <w:rsid w:val="00FF00CC"/>
    <w:rsid w:val="00FF6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41"/>
    <w:pPr>
      <w:ind w:left="720"/>
      <w:contextualSpacing/>
    </w:pPr>
  </w:style>
  <w:style w:type="character" w:styleId="Hyperlink">
    <w:name w:val="Hyperlink"/>
    <w:basedOn w:val="DefaultParagraphFont"/>
    <w:rsid w:val="00E43412"/>
    <w:rPr>
      <w:color w:val="0000FF" w:themeColor="hyperlink"/>
      <w:u w:val="single"/>
    </w:rPr>
  </w:style>
  <w:style w:type="character" w:styleId="FollowedHyperlink">
    <w:name w:val="FollowedHyperlink"/>
    <w:basedOn w:val="DefaultParagraphFont"/>
    <w:rsid w:val="00E43412"/>
    <w:rPr>
      <w:color w:val="800080" w:themeColor="followedHyperlink"/>
      <w:u w:val="single"/>
    </w:rPr>
  </w:style>
  <w:style w:type="paragraph" w:styleId="EndnoteText">
    <w:name w:val="endnote text"/>
    <w:basedOn w:val="Normal"/>
    <w:link w:val="EndnoteTextChar"/>
    <w:rsid w:val="00B82200"/>
    <w:rPr>
      <w:sz w:val="20"/>
      <w:szCs w:val="20"/>
    </w:rPr>
  </w:style>
  <w:style w:type="character" w:customStyle="1" w:styleId="EndnoteTextChar">
    <w:name w:val="Endnote Text Char"/>
    <w:basedOn w:val="DefaultParagraphFont"/>
    <w:link w:val="EndnoteText"/>
    <w:rsid w:val="00B82200"/>
  </w:style>
  <w:style w:type="character" w:styleId="EndnoteReference">
    <w:name w:val="endnote reference"/>
    <w:basedOn w:val="DefaultParagraphFont"/>
    <w:rsid w:val="00B82200"/>
    <w:rPr>
      <w:vertAlign w:val="superscript"/>
    </w:rPr>
  </w:style>
  <w:style w:type="paragraph" w:styleId="Header">
    <w:name w:val="header"/>
    <w:basedOn w:val="Normal"/>
    <w:link w:val="HeaderChar"/>
    <w:rsid w:val="00E73288"/>
    <w:pPr>
      <w:tabs>
        <w:tab w:val="center" w:pos="4513"/>
        <w:tab w:val="right" w:pos="9026"/>
      </w:tabs>
    </w:pPr>
  </w:style>
  <w:style w:type="character" w:customStyle="1" w:styleId="HeaderChar">
    <w:name w:val="Header Char"/>
    <w:basedOn w:val="DefaultParagraphFont"/>
    <w:link w:val="Header"/>
    <w:rsid w:val="00E73288"/>
    <w:rPr>
      <w:sz w:val="24"/>
      <w:szCs w:val="24"/>
    </w:rPr>
  </w:style>
  <w:style w:type="paragraph" w:styleId="Footer">
    <w:name w:val="footer"/>
    <w:basedOn w:val="Normal"/>
    <w:link w:val="FooterChar"/>
    <w:rsid w:val="00E73288"/>
    <w:pPr>
      <w:tabs>
        <w:tab w:val="center" w:pos="4513"/>
        <w:tab w:val="right" w:pos="9026"/>
      </w:tabs>
    </w:pPr>
  </w:style>
  <w:style w:type="character" w:customStyle="1" w:styleId="FooterChar">
    <w:name w:val="Footer Char"/>
    <w:basedOn w:val="DefaultParagraphFont"/>
    <w:link w:val="Footer"/>
    <w:rsid w:val="00E73288"/>
    <w:rPr>
      <w:sz w:val="24"/>
      <w:szCs w:val="24"/>
    </w:rPr>
  </w:style>
  <w:style w:type="paragraph" w:styleId="BalloonText">
    <w:name w:val="Balloon Text"/>
    <w:basedOn w:val="Normal"/>
    <w:link w:val="BalloonTextChar"/>
    <w:rsid w:val="0068774A"/>
    <w:rPr>
      <w:rFonts w:ascii="Tahoma" w:hAnsi="Tahoma" w:cs="Tahoma"/>
      <w:sz w:val="16"/>
      <w:szCs w:val="16"/>
    </w:rPr>
  </w:style>
  <w:style w:type="character" w:customStyle="1" w:styleId="BalloonTextChar">
    <w:name w:val="Balloon Text Char"/>
    <w:basedOn w:val="DefaultParagraphFont"/>
    <w:link w:val="BalloonText"/>
    <w:rsid w:val="0068774A"/>
    <w:rPr>
      <w:rFonts w:ascii="Tahoma" w:hAnsi="Tahoma" w:cs="Tahoma"/>
      <w:sz w:val="16"/>
      <w:szCs w:val="16"/>
    </w:rPr>
  </w:style>
  <w:style w:type="character" w:styleId="CommentReference">
    <w:name w:val="annotation reference"/>
    <w:basedOn w:val="DefaultParagraphFont"/>
    <w:rsid w:val="00553835"/>
    <w:rPr>
      <w:sz w:val="16"/>
      <w:szCs w:val="16"/>
    </w:rPr>
  </w:style>
  <w:style w:type="paragraph" w:styleId="CommentText">
    <w:name w:val="annotation text"/>
    <w:basedOn w:val="Normal"/>
    <w:link w:val="CommentTextChar"/>
    <w:rsid w:val="00553835"/>
    <w:rPr>
      <w:sz w:val="20"/>
      <w:szCs w:val="20"/>
    </w:rPr>
  </w:style>
  <w:style w:type="character" w:customStyle="1" w:styleId="CommentTextChar">
    <w:name w:val="Comment Text Char"/>
    <w:basedOn w:val="DefaultParagraphFont"/>
    <w:link w:val="CommentText"/>
    <w:rsid w:val="00553835"/>
  </w:style>
  <w:style w:type="paragraph" w:styleId="CommentSubject">
    <w:name w:val="annotation subject"/>
    <w:basedOn w:val="CommentText"/>
    <w:next w:val="CommentText"/>
    <w:link w:val="CommentSubjectChar"/>
    <w:rsid w:val="00553835"/>
    <w:rPr>
      <w:b/>
      <w:bCs/>
    </w:rPr>
  </w:style>
  <w:style w:type="character" w:customStyle="1" w:styleId="CommentSubjectChar">
    <w:name w:val="Comment Subject Char"/>
    <w:basedOn w:val="CommentTextChar"/>
    <w:link w:val="CommentSubject"/>
    <w:rsid w:val="005538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41"/>
    <w:pPr>
      <w:ind w:left="720"/>
      <w:contextualSpacing/>
    </w:pPr>
  </w:style>
  <w:style w:type="character" w:styleId="Hyperlink">
    <w:name w:val="Hyperlink"/>
    <w:basedOn w:val="DefaultParagraphFont"/>
    <w:rsid w:val="00E43412"/>
    <w:rPr>
      <w:color w:val="0000FF" w:themeColor="hyperlink"/>
      <w:u w:val="single"/>
    </w:rPr>
  </w:style>
  <w:style w:type="character" w:styleId="FollowedHyperlink">
    <w:name w:val="FollowedHyperlink"/>
    <w:basedOn w:val="DefaultParagraphFont"/>
    <w:rsid w:val="00E43412"/>
    <w:rPr>
      <w:color w:val="800080" w:themeColor="followedHyperlink"/>
      <w:u w:val="single"/>
    </w:rPr>
  </w:style>
  <w:style w:type="paragraph" w:styleId="EndnoteText">
    <w:name w:val="endnote text"/>
    <w:basedOn w:val="Normal"/>
    <w:link w:val="EndnoteTextChar"/>
    <w:rsid w:val="00B82200"/>
    <w:rPr>
      <w:sz w:val="20"/>
      <w:szCs w:val="20"/>
    </w:rPr>
  </w:style>
  <w:style w:type="character" w:customStyle="1" w:styleId="EndnoteTextChar">
    <w:name w:val="Endnote Text Char"/>
    <w:basedOn w:val="DefaultParagraphFont"/>
    <w:link w:val="EndnoteText"/>
    <w:rsid w:val="00B82200"/>
  </w:style>
  <w:style w:type="character" w:styleId="EndnoteReference">
    <w:name w:val="endnote reference"/>
    <w:basedOn w:val="DefaultParagraphFont"/>
    <w:rsid w:val="00B82200"/>
    <w:rPr>
      <w:vertAlign w:val="superscript"/>
    </w:rPr>
  </w:style>
  <w:style w:type="paragraph" w:styleId="Header">
    <w:name w:val="header"/>
    <w:basedOn w:val="Normal"/>
    <w:link w:val="HeaderChar"/>
    <w:rsid w:val="00E73288"/>
    <w:pPr>
      <w:tabs>
        <w:tab w:val="center" w:pos="4513"/>
        <w:tab w:val="right" w:pos="9026"/>
      </w:tabs>
    </w:pPr>
  </w:style>
  <w:style w:type="character" w:customStyle="1" w:styleId="HeaderChar">
    <w:name w:val="Header Char"/>
    <w:basedOn w:val="DefaultParagraphFont"/>
    <w:link w:val="Header"/>
    <w:rsid w:val="00E73288"/>
    <w:rPr>
      <w:sz w:val="24"/>
      <w:szCs w:val="24"/>
    </w:rPr>
  </w:style>
  <w:style w:type="paragraph" w:styleId="Footer">
    <w:name w:val="footer"/>
    <w:basedOn w:val="Normal"/>
    <w:link w:val="FooterChar"/>
    <w:rsid w:val="00E73288"/>
    <w:pPr>
      <w:tabs>
        <w:tab w:val="center" w:pos="4513"/>
        <w:tab w:val="right" w:pos="9026"/>
      </w:tabs>
    </w:pPr>
  </w:style>
  <w:style w:type="character" w:customStyle="1" w:styleId="FooterChar">
    <w:name w:val="Footer Char"/>
    <w:basedOn w:val="DefaultParagraphFont"/>
    <w:link w:val="Footer"/>
    <w:rsid w:val="00E73288"/>
    <w:rPr>
      <w:sz w:val="24"/>
      <w:szCs w:val="24"/>
    </w:rPr>
  </w:style>
  <w:style w:type="paragraph" w:styleId="BalloonText">
    <w:name w:val="Balloon Text"/>
    <w:basedOn w:val="Normal"/>
    <w:link w:val="BalloonTextChar"/>
    <w:rsid w:val="0068774A"/>
    <w:rPr>
      <w:rFonts w:ascii="Tahoma" w:hAnsi="Tahoma" w:cs="Tahoma"/>
      <w:sz w:val="16"/>
      <w:szCs w:val="16"/>
    </w:rPr>
  </w:style>
  <w:style w:type="character" w:customStyle="1" w:styleId="BalloonTextChar">
    <w:name w:val="Balloon Text Char"/>
    <w:basedOn w:val="DefaultParagraphFont"/>
    <w:link w:val="BalloonText"/>
    <w:rsid w:val="0068774A"/>
    <w:rPr>
      <w:rFonts w:ascii="Tahoma" w:hAnsi="Tahoma" w:cs="Tahoma"/>
      <w:sz w:val="16"/>
      <w:szCs w:val="16"/>
    </w:rPr>
  </w:style>
  <w:style w:type="character" w:styleId="CommentReference">
    <w:name w:val="annotation reference"/>
    <w:basedOn w:val="DefaultParagraphFont"/>
    <w:rsid w:val="00553835"/>
    <w:rPr>
      <w:sz w:val="16"/>
      <w:szCs w:val="16"/>
    </w:rPr>
  </w:style>
  <w:style w:type="paragraph" w:styleId="CommentText">
    <w:name w:val="annotation text"/>
    <w:basedOn w:val="Normal"/>
    <w:link w:val="CommentTextChar"/>
    <w:rsid w:val="00553835"/>
    <w:rPr>
      <w:sz w:val="20"/>
      <w:szCs w:val="20"/>
    </w:rPr>
  </w:style>
  <w:style w:type="character" w:customStyle="1" w:styleId="CommentTextChar">
    <w:name w:val="Comment Text Char"/>
    <w:basedOn w:val="DefaultParagraphFont"/>
    <w:link w:val="CommentText"/>
    <w:rsid w:val="00553835"/>
  </w:style>
  <w:style w:type="paragraph" w:styleId="CommentSubject">
    <w:name w:val="annotation subject"/>
    <w:basedOn w:val="CommentText"/>
    <w:next w:val="CommentText"/>
    <w:link w:val="CommentSubjectChar"/>
    <w:rsid w:val="00553835"/>
    <w:rPr>
      <w:b/>
      <w:bCs/>
    </w:rPr>
  </w:style>
  <w:style w:type="character" w:customStyle="1" w:styleId="CommentSubjectChar">
    <w:name w:val="Comment Subject Char"/>
    <w:basedOn w:val="CommentTextChar"/>
    <w:link w:val="CommentSubject"/>
    <w:rsid w:val="005538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8780">
      <w:bodyDiv w:val="1"/>
      <w:marLeft w:val="0"/>
      <w:marRight w:val="0"/>
      <w:marTop w:val="0"/>
      <w:marBottom w:val="0"/>
      <w:divBdr>
        <w:top w:val="none" w:sz="0" w:space="0" w:color="auto"/>
        <w:left w:val="none" w:sz="0" w:space="0" w:color="auto"/>
        <w:bottom w:val="none" w:sz="0" w:space="0" w:color="auto"/>
        <w:right w:val="none" w:sz="0" w:space="0" w:color="auto"/>
      </w:divBdr>
    </w:div>
    <w:div w:id="1093284490">
      <w:bodyDiv w:val="1"/>
      <w:marLeft w:val="0"/>
      <w:marRight w:val="0"/>
      <w:marTop w:val="0"/>
      <w:marBottom w:val="0"/>
      <w:divBdr>
        <w:top w:val="none" w:sz="0" w:space="0" w:color="auto"/>
        <w:left w:val="none" w:sz="0" w:space="0" w:color="auto"/>
        <w:bottom w:val="none" w:sz="0" w:space="0" w:color="auto"/>
        <w:right w:val="none" w:sz="0" w:space="0" w:color="auto"/>
      </w:divBdr>
      <w:divsChild>
        <w:div w:id="1950353740">
          <w:marLeft w:val="0"/>
          <w:marRight w:val="0"/>
          <w:marTop w:val="0"/>
          <w:marBottom w:val="0"/>
          <w:divBdr>
            <w:top w:val="none" w:sz="0" w:space="0" w:color="auto"/>
            <w:left w:val="none" w:sz="0" w:space="0" w:color="auto"/>
            <w:bottom w:val="none" w:sz="0" w:space="0" w:color="auto"/>
            <w:right w:val="none" w:sz="0" w:space="0" w:color="auto"/>
          </w:divBdr>
          <w:divsChild>
            <w:div w:id="149055758">
              <w:marLeft w:val="0"/>
              <w:marRight w:val="0"/>
              <w:marTop w:val="0"/>
              <w:marBottom w:val="0"/>
              <w:divBdr>
                <w:top w:val="none" w:sz="0" w:space="0" w:color="auto"/>
                <w:left w:val="none" w:sz="0" w:space="0" w:color="auto"/>
                <w:bottom w:val="none" w:sz="0" w:space="0" w:color="auto"/>
                <w:right w:val="none" w:sz="0" w:space="0" w:color="auto"/>
              </w:divBdr>
              <w:divsChild>
                <w:div w:id="1904294983">
                  <w:marLeft w:val="0"/>
                  <w:marRight w:val="0"/>
                  <w:marTop w:val="0"/>
                  <w:marBottom w:val="0"/>
                  <w:divBdr>
                    <w:top w:val="none" w:sz="0" w:space="0" w:color="auto"/>
                    <w:left w:val="none" w:sz="0" w:space="0" w:color="auto"/>
                    <w:bottom w:val="none" w:sz="0" w:space="0" w:color="auto"/>
                    <w:right w:val="none" w:sz="0" w:space="0" w:color="auto"/>
                  </w:divBdr>
                  <w:divsChild>
                    <w:div w:id="1606695729">
                      <w:marLeft w:val="0"/>
                      <w:marRight w:val="0"/>
                      <w:marTop w:val="0"/>
                      <w:marBottom w:val="0"/>
                      <w:divBdr>
                        <w:top w:val="none" w:sz="0" w:space="0" w:color="auto"/>
                        <w:left w:val="none" w:sz="0" w:space="0" w:color="auto"/>
                        <w:bottom w:val="none" w:sz="0" w:space="0" w:color="auto"/>
                        <w:right w:val="none" w:sz="0" w:space="0" w:color="auto"/>
                      </w:divBdr>
                      <w:divsChild>
                        <w:div w:id="2004889202">
                          <w:marLeft w:val="0"/>
                          <w:marRight w:val="0"/>
                          <w:marTop w:val="0"/>
                          <w:marBottom w:val="0"/>
                          <w:divBdr>
                            <w:top w:val="single" w:sz="6" w:space="0" w:color="828282"/>
                            <w:left w:val="single" w:sz="6" w:space="0" w:color="828282"/>
                            <w:bottom w:val="single" w:sz="6" w:space="0" w:color="828282"/>
                            <w:right w:val="single" w:sz="6" w:space="0" w:color="828282"/>
                          </w:divBdr>
                          <w:divsChild>
                            <w:div w:id="426849860">
                              <w:marLeft w:val="0"/>
                              <w:marRight w:val="0"/>
                              <w:marTop w:val="0"/>
                              <w:marBottom w:val="0"/>
                              <w:divBdr>
                                <w:top w:val="none" w:sz="0" w:space="0" w:color="auto"/>
                                <w:left w:val="none" w:sz="0" w:space="0" w:color="auto"/>
                                <w:bottom w:val="none" w:sz="0" w:space="0" w:color="auto"/>
                                <w:right w:val="none" w:sz="0" w:space="0" w:color="auto"/>
                              </w:divBdr>
                              <w:divsChild>
                                <w:div w:id="534316904">
                                  <w:marLeft w:val="0"/>
                                  <w:marRight w:val="0"/>
                                  <w:marTop w:val="0"/>
                                  <w:marBottom w:val="0"/>
                                  <w:divBdr>
                                    <w:top w:val="none" w:sz="0" w:space="0" w:color="auto"/>
                                    <w:left w:val="none" w:sz="0" w:space="0" w:color="auto"/>
                                    <w:bottom w:val="none" w:sz="0" w:space="0" w:color="auto"/>
                                    <w:right w:val="none" w:sz="0" w:space="0" w:color="auto"/>
                                  </w:divBdr>
                                  <w:divsChild>
                                    <w:div w:id="1165318838">
                                      <w:marLeft w:val="0"/>
                                      <w:marRight w:val="0"/>
                                      <w:marTop w:val="0"/>
                                      <w:marBottom w:val="0"/>
                                      <w:divBdr>
                                        <w:top w:val="none" w:sz="0" w:space="0" w:color="auto"/>
                                        <w:left w:val="none" w:sz="0" w:space="0" w:color="auto"/>
                                        <w:bottom w:val="none" w:sz="0" w:space="0" w:color="auto"/>
                                        <w:right w:val="none" w:sz="0" w:space="0" w:color="auto"/>
                                      </w:divBdr>
                                      <w:divsChild>
                                        <w:div w:id="1737505965">
                                          <w:marLeft w:val="0"/>
                                          <w:marRight w:val="0"/>
                                          <w:marTop w:val="0"/>
                                          <w:marBottom w:val="0"/>
                                          <w:divBdr>
                                            <w:top w:val="none" w:sz="0" w:space="0" w:color="auto"/>
                                            <w:left w:val="none" w:sz="0" w:space="0" w:color="auto"/>
                                            <w:bottom w:val="none" w:sz="0" w:space="0" w:color="auto"/>
                                            <w:right w:val="none" w:sz="0" w:space="0" w:color="auto"/>
                                          </w:divBdr>
                                          <w:divsChild>
                                            <w:div w:id="1441072077">
                                              <w:marLeft w:val="0"/>
                                              <w:marRight w:val="0"/>
                                              <w:marTop w:val="0"/>
                                              <w:marBottom w:val="0"/>
                                              <w:divBdr>
                                                <w:top w:val="none" w:sz="0" w:space="0" w:color="auto"/>
                                                <w:left w:val="none" w:sz="0" w:space="0" w:color="auto"/>
                                                <w:bottom w:val="none" w:sz="0" w:space="0" w:color="auto"/>
                                                <w:right w:val="none" w:sz="0" w:space="0" w:color="auto"/>
                                              </w:divBdr>
                                              <w:divsChild>
                                                <w:div w:id="19097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351992">
      <w:bodyDiv w:val="1"/>
      <w:marLeft w:val="0"/>
      <w:marRight w:val="0"/>
      <w:marTop w:val="0"/>
      <w:marBottom w:val="0"/>
      <w:divBdr>
        <w:top w:val="none" w:sz="0" w:space="0" w:color="auto"/>
        <w:left w:val="none" w:sz="0" w:space="0" w:color="auto"/>
        <w:bottom w:val="none" w:sz="0" w:space="0" w:color="auto"/>
        <w:right w:val="none" w:sz="0" w:space="0" w:color="auto"/>
      </w:divBdr>
      <w:divsChild>
        <w:div w:id="1670600212">
          <w:marLeft w:val="0"/>
          <w:marRight w:val="0"/>
          <w:marTop w:val="0"/>
          <w:marBottom w:val="0"/>
          <w:divBdr>
            <w:top w:val="none" w:sz="0" w:space="0" w:color="auto"/>
            <w:left w:val="none" w:sz="0" w:space="0" w:color="auto"/>
            <w:bottom w:val="none" w:sz="0" w:space="0" w:color="auto"/>
            <w:right w:val="none" w:sz="0" w:space="0" w:color="auto"/>
          </w:divBdr>
          <w:divsChild>
            <w:div w:id="1492913559">
              <w:marLeft w:val="0"/>
              <w:marRight w:val="0"/>
              <w:marTop w:val="0"/>
              <w:marBottom w:val="0"/>
              <w:divBdr>
                <w:top w:val="none" w:sz="0" w:space="0" w:color="auto"/>
                <w:left w:val="none" w:sz="0" w:space="0" w:color="auto"/>
                <w:bottom w:val="none" w:sz="0" w:space="0" w:color="auto"/>
                <w:right w:val="none" w:sz="0" w:space="0" w:color="auto"/>
              </w:divBdr>
              <w:divsChild>
                <w:div w:id="1223517267">
                  <w:marLeft w:val="0"/>
                  <w:marRight w:val="0"/>
                  <w:marTop w:val="0"/>
                  <w:marBottom w:val="0"/>
                  <w:divBdr>
                    <w:top w:val="none" w:sz="0" w:space="0" w:color="auto"/>
                    <w:left w:val="none" w:sz="0" w:space="0" w:color="auto"/>
                    <w:bottom w:val="none" w:sz="0" w:space="0" w:color="auto"/>
                    <w:right w:val="none" w:sz="0" w:space="0" w:color="auto"/>
                  </w:divBdr>
                  <w:divsChild>
                    <w:div w:id="1146898395">
                      <w:marLeft w:val="0"/>
                      <w:marRight w:val="0"/>
                      <w:marTop w:val="0"/>
                      <w:marBottom w:val="0"/>
                      <w:divBdr>
                        <w:top w:val="none" w:sz="0" w:space="0" w:color="auto"/>
                        <w:left w:val="none" w:sz="0" w:space="0" w:color="auto"/>
                        <w:bottom w:val="none" w:sz="0" w:space="0" w:color="auto"/>
                        <w:right w:val="none" w:sz="0" w:space="0" w:color="auto"/>
                      </w:divBdr>
                      <w:divsChild>
                        <w:div w:id="1037122219">
                          <w:marLeft w:val="0"/>
                          <w:marRight w:val="0"/>
                          <w:marTop w:val="0"/>
                          <w:marBottom w:val="0"/>
                          <w:divBdr>
                            <w:top w:val="single" w:sz="6" w:space="0" w:color="828282"/>
                            <w:left w:val="single" w:sz="6" w:space="0" w:color="828282"/>
                            <w:bottom w:val="single" w:sz="6" w:space="0" w:color="828282"/>
                            <w:right w:val="single" w:sz="6" w:space="0" w:color="828282"/>
                          </w:divBdr>
                          <w:divsChild>
                            <w:div w:id="105850938">
                              <w:marLeft w:val="0"/>
                              <w:marRight w:val="0"/>
                              <w:marTop w:val="0"/>
                              <w:marBottom w:val="0"/>
                              <w:divBdr>
                                <w:top w:val="none" w:sz="0" w:space="0" w:color="auto"/>
                                <w:left w:val="none" w:sz="0" w:space="0" w:color="auto"/>
                                <w:bottom w:val="none" w:sz="0" w:space="0" w:color="auto"/>
                                <w:right w:val="none" w:sz="0" w:space="0" w:color="auto"/>
                              </w:divBdr>
                              <w:divsChild>
                                <w:div w:id="1548641754">
                                  <w:marLeft w:val="0"/>
                                  <w:marRight w:val="0"/>
                                  <w:marTop w:val="0"/>
                                  <w:marBottom w:val="0"/>
                                  <w:divBdr>
                                    <w:top w:val="none" w:sz="0" w:space="0" w:color="auto"/>
                                    <w:left w:val="none" w:sz="0" w:space="0" w:color="auto"/>
                                    <w:bottom w:val="none" w:sz="0" w:space="0" w:color="auto"/>
                                    <w:right w:val="none" w:sz="0" w:space="0" w:color="auto"/>
                                  </w:divBdr>
                                  <w:divsChild>
                                    <w:div w:id="785933075">
                                      <w:marLeft w:val="0"/>
                                      <w:marRight w:val="0"/>
                                      <w:marTop w:val="0"/>
                                      <w:marBottom w:val="0"/>
                                      <w:divBdr>
                                        <w:top w:val="none" w:sz="0" w:space="0" w:color="auto"/>
                                        <w:left w:val="none" w:sz="0" w:space="0" w:color="auto"/>
                                        <w:bottom w:val="none" w:sz="0" w:space="0" w:color="auto"/>
                                        <w:right w:val="none" w:sz="0" w:space="0" w:color="auto"/>
                                      </w:divBdr>
                                      <w:divsChild>
                                        <w:div w:id="1505821277">
                                          <w:marLeft w:val="0"/>
                                          <w:marRight w:val="0"/>
                                          <w:marTop w:val="0"/>
                                          <w:marBottom w:val="0"/>
                                          <w:divBdr>
                                            <w:top w:val="none" w:sz="0" w:space="0" w:color="auto"/>
                                            <w:left w:val="none" w:sz="0" w:space="0" w:color="auto"/>
                                            <w:bottom w:val="none" w:sz="0" w:space="0" w:color="auto"/>
                                            <w:right w:val="none" w:sz="0" w:space="0" w:color="auto"/>
                                          </w:divBdr>
                                          <w:divsChild>
                                            <w:div w:id="2099279656">
                                              <w:marLeft w:val="0"/>
                                              <w:marRight w:val="0"/>
                                              <w:marTop w:val="0"/>
                                              <w:marBottom w:val="0"/>
                                              <w:divBdr>
                                                <w:top w:val="none" w:sz="0" w:space="0" w:color="auto"/>
                                                <w:left w:val="none" w:sz="0" w:space="0" w:color="auto"/>
                                                <w:bottom w:val="none" w:sz="0" w:space="0" w:color="auto"/>
                                                <w:right w:val="none" w:sz="0" w:space="0" w:color="auto"/>
                                              </w:divBdr>
                                              <w:divsChild>
                                                <w:div w:id="709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psc.gov.au/aps-employment-policy-and-advice/ses/ses-classifications" TargetMode="External"/><Relationship Id="rId4" Type="http://schemas.microsoft.com/office/2007/relationships/stylesWithEffects" Target="stylesWithEffects.xml"/><Relationship Id="rId9" Type="http://schemas.openxmlformats.org/officeDocument/2006/relationships/hyperlink" Target="http://www.apsc.gov.au/publications-and-media/current-publications/worklevel-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B8A58-6641-4364-A4B8-CEF76538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1A009F72.dotm</Template>
  <TotalTime>9</TotalTime>
  <Pages>3</Pages>
  <Words>1414</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Baz</dc:creator>
  <cp:lastModifiedBy>Chris Luton</cp:lastModifiedBy>
  <cp:revision>4</cp:revision>
  <cp:lastPrinted>2014-11-17T05:39:00Z</cp:lastPrinted>
  <dcterms:created xsi:type="dcterms:W3CDTF">2014-11-27T22:29:00Z</dcterms:created>
  <dcterms:modified xsi:type="dcterms:W3CDTF">2014-11-27T23:06:00Z</dcterms:modified>
</cp:coreProperties>
</file>