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70" w:rsidRPr="00977D04" w:rsidRDefault="00952ED1" w:rsidP="00515B8E">
      <w:pPr>
        <w:pStyle w:val="Heading1"/>
        <w:spacing w:before="120" w:after="240"/>
        <w:jc w:val="center"/>
        <w:rPr>
          <w:rFonts w:ascii="Times New Roman" w:hAnsi="Times New Roman" w:cs="Times New Roman"/>
          <w:sz w:val="24"/>
          <w:szCs w:val="24"/>
        </w:rPr>
      </w:pPr>
      <w:r w:rsidRPr="00977D04">
        <w:rPr>
          <w:rFonts w:ascii="Times New Roman" w:hAnsi="Times New Roman" w:cs="Times New Roman"/>
          <w:sz w:val="24"/>
          <w:szCs w:val="24"/>
        </w:rPr>
        <w:t>E</w:t>
      </w:r>
      <w:r w:rsidR="00BA0BF3" w:rsidRPr="00977D04">
        <w:rPr>
          <w:rFonts w:ascii="Times New Roman" w:hAnsi="Times New Roman" w:cs="Times New Roman"/>
          <w:sz w:val="24"/>
          <w:szCs w:val="24"/>
        </w:rPr>
        <w:t>XPLANATORY STATEMENT</w:t>
      </w:r>
    </w:p>
    <w:p w:rsidR="006A749C" w:rsidRPr="00977D04" w:rsidRDefault="00474C20">
      <w:pPr>
        <w:jc w:val="center"/>
        <w:rPr>
          <w:b/>
        </w:rPr>
      </w:pPr>
      <w:r w:rsidRPr="00977D04">
        <w:rPr>
          <w:b/>
        </w:rPr>
        <w:t>Issued by the Authority of the Minister for Finance</w:t>
      </w:r>
    </w:p>
    <w:p w:rsidR="006A749C" w:rsidRPr="00977D04" w:rsidRDefault="006A749C">
      <w:pPr>
        <w:jc w:val="center"/>
        <w:rPr>
          <w:b/>
        </w:rPr>
      </w:pPr>
    </w:p>
    <w:p w:rsidR="006A749C" w:rsidRDefault="00474C20">
      <w:pPr>
        <w:jc w:val="center"/>
        <w:rPr>
          <w:i/>
        </w:rPr>
      </w:pPr>
      <w:r w:rsidRPr="00977D04">
        <w:rPr>
          <w:i/>
        </w:rPr>
        <w:t>Public Governance, Performance and Accountability Act 2013</w:t>
      </w:r>
    </w:p>
    <w:p w:rsidR="00596CD4" w:rsidRPr="00977D04" w:rsidRDefault="00596CD4">
      <w:pPr>
        <w:jc w:val="center"/>
        <w:rPr>
          <w:i/>
        </w:rPr>
      </w:pPr>
      <w:r>
        <w:rPr>
          <w:i/>
        </w:rPr>
        <w:t xml:space="preserve">            Public Governance, Performance and Accountability (Consequential and Transitional Provisions) Act 2014</w:t>
      </w:r>
    </w:p>
    <w:p w:rsidR="006A749C" w:rsidRPr="00977D04" w:rsidRDefault="006A749C">
      <w:pPr>
        <w:jc w:val="center"/>
        <w:rPr>
          <w:i/>
        </w:rPr>
      </w:pPr>
    </w:p>
    <w:p w:rsidR="00BB53D3" w:rsidRDefault="00596CD4" w:rsidP="00596CD4">
      <w:pPr>
        <w:jc w:val="center"/>
        <w:rPr>
          <w:i/>
        </w:rPr>
      </w:pPr>
      <w:r>
        <w:rPr>
          <w:i/>
        </w:rPr>
        <w:t xml:space="preserve">Public Governance, Performance and Accountability Legislation </w:t>
      </w:r>
    </w:p>
    <w:p w:rsidR="006A749C" w:rsidRPr="00977D04" w:rsidRDefault="00596CD4" w:rsidP="00596CD4">
      <w:pPr>
        <w:jc w:val="center"/>
        <w:rPr>
          <w:i/>
        </w:rPr>
      </w:pPr>
      <w:r>
        <w:rPr>
          <w:i/>
        </w:rPr>
        <w:t xml:space="preserve">Amendment </w:t>
      </w:r>
      <w:r w:rsidR="00F276BB">
        <w:rPr>
          <w:i/>
        </w:rPr>
        <w:t xml:space="preserve">(RBA and Other Measures) </w:t>
      </w:r>
      <w:r>
        <w:rPr>
          <w:i/>
        </w:rPr>
        <w:t>Rule 2014</w:t>
      </w:r>
    </w:p>
    <w:p w:rsidR="006A749C" w:rsidRPr="00977D04" w:rsidRDefault="006A749C">
      <w:pPr>
        <w:jc w:val="center"/>
        <w:rPr>
          <w:i/>
        </w:rPr>
      </w:pPr>
    </w:p>
    <w:p w:rsidR="003561C5" w:rsidRPr="00596CD4" w:rsidRDefault="003561C5" w:rsidP="003561C5">
      <w:pPr>
        <w:rPr>
          <w:lang w:val="en-AU"/>
        </w:rPr>
      </w:pPr>
      <w:r w:rsidRPr="00977D04">
        <w:rPr>
          <w:lang w:val="en-AU"/>
        </w:rPr>
        <w:t xml:space="preserve">The </w:t>
      </w:r>
      <w:r w:rsidRPr="00977D04">
        <w:rPr>
          <w:i/>
          <w:lang w:val="en-AU"/>
        </w:rPr>
        <w:t>Public Governance, Performance and Accountability Act 2013</w:t>
      </w:r>
      <w:r>
        <w:rPr>
          <w:lang w:val="en-AU"/>
        </w:rPr>
        <w:t xml:space="preserve"> (PGPA Act) sets</w:t>
      </w:r>
      <w:r w:rsidRPr="00977D04">
        <w:rPr>
          <w:lang w:val="en-AU"/>
        </w:rPr>
        <w:t xml:space="preserve"> out a framework for regulating resource management by the Commonwealth and relevant entities</w:t>
      </w:r>
      <w:r w:rsidR="00561ED6">
        <w:rPr>
          <w:lang w:val="en-AU"/>
        </w:rPr>
        <w:t xml:space="preserve">.  </w:t>
      </w:r>
      <w:r w:rsidRPr="00596CD4">
        <w:t>Section 101 of the PGPA Act provides that the Finance Minister may make rules by legislative instrument to prescribe matters giving effect to the Act.</w:t>
      </w:r>
    </w:p>
    <w:p w:rsidR="003561C5" w:rsidRDefault="003561C5" w:rsidP="003561C5">
      <w:pPr>
        <w:tabs>
          <w:tab w:val="left" w:pos="567"/>
          <w:tab w:val="left" w:pos="1276"/>
        </w:tabs>
      </w:pPr>
    </w:p>
    <w:p w:rsidR="003561C5" w:rsidRDefault="003561C5" w:rsidP="003561C5">
      <w:pPr>
        <w:tabs>
          <w:tab w:val="left" w:pos="567"/>
          <w:tab w:val="left" w:pos="1276"/>
        </w:tabs>
      </w:pPr>
      <w:r w:rsidRPr="00977D04">
        <w:t xml:space="preserve">The </w:t>
      </w:r>
      <w:r w:rsidRPr="00977D04">
        <w:rPr>
          <w:i/>
        </w:rPr>
        <w:t>Public Governance, Performance and Accountability (Consequential and Transitional Provisions) Act 2014</w:t>
      </w:r>
      <w:r w:rsidRPr="00977D04">
        <w:t xml:space="preserve"> </w:t>
      </w:r>
      <w:r>
        <w:t>(CTP Act) amended</w:t>
      </w:r>
      <w:r w:rsidRPr="00977D04">
        <w:t xml:space="preserve"> </w:t>
      </w:r>
      <w:r>
        <w:t xml:space="preserve">242 </w:t>
      </w:r>
      <w:r w:rsidRPr="00977D04">
        <w:t xml:space="preserve">Acts across the Commonwealth to support the implementation of </w:t>
      </w:r>
      <w:r w:rsidR="008F1ABF">
        <w:t xml:space="preserve">the </w:t>
      </w:r>
      <w:r>
        <w:t>PGPA Act</w:t>
      </w:r>
      <w:r w:rsidRPr="00977D04">
        <w:t xml:space="preserve"> and its related rules and instruments</w:t>
      </w:r>
      <w:r w:rsidR="00561ED6">
        <w:t xml:space="preserve">. </w:t>
      </w:r>
      <w:r>
        <w:t xml:space="preserve"> Item 6 of Schedule 14 of </w:t>
      </w:r>
      <w:r w:rsidRPr="00977D04">
        <w:t xml:space="preserve">the </w:t>
      </w:r>
      <w:r w:rsidRPr="000C0E45">
        <w:t>CTP Act</w:t>
      </w:r>
      <w:r>
        <w:rPr>
          <w:i/>
        </w:rPr>
        <w:t xml:space="preserve"> </w:t>
      </w:r>
      <w:r w:rsidRPr="00977D04">
        <w:t>provides that the Finance Minister may, by legislative instrument, make rules prescribing matters required or permitted by th</w:t>
      </w:r>
      <w:r>
        <w:t>e CTP</w:t>
      </w:r>
      <w:r w:rsidRPr="00977D04">
        <w:t xml:space="preserve"> Act to be prescribed by the rules, or necessary or convenient to be prescribed for carry</w:t>
      </w:r>
      <w:r>
        <w:t>ing out or giving effect to the CTP Act and the PGPA </w:t>
      </w:r>
      <w:r w:rsidRPr="00977D04">
        <w:t>Act.</w:t>
      </w:r>
    </w:p>
    <w:p w:rsidR="003561C5" w:rsidRDefault="003561C5" w:rsidP="00596CD4">
      <w:pPr>
        <w:rPr>
          <w:lang w:val="en-AU"/>
        </w:rPr>
      </w:pPr>
    </w:p>
    <w:p w:rsidR="00596CD4" w:rsidRPr="004310CB" w:rsidRDefault="00F770B3" w:rsidP="002519C6">
      <w:r w:rsidRPr="001F74A6">
        <w:t xml:space="preserve">The </w:t>
      </w:r>
      <w:r w:rsidR="00DC53C0" w:rsidRPr="00DC53C0">
        <w:rPr>
          <w:i/>
        </w:rPr>
        <w:t>Public Governance, Performance and Accountability Legislation Amendment (RBA and Other Measures) Rule 2014</w:t>
      </w:r>
      <w:r w:rsidR="00BB53D3">
        <w:t xml:space="preserve"> </w:t>
      </w:r>
      <w:r w:rsidR="004310CB" w:rsidRPr="001F74A6">
        <w:t>(</w:t>
      </w:r>
      <w:r w:rsidR="005C29D9">
        <w:t>RBA and Other Measure</w:t>
      </w:r>
      <w:r w:rsidR="00856924">
        <w:t>s</w:t>
      </w:r>
      <w:r w:rsidR="005C29D9">
        <w:t xml:space="preserve"> </w:t>
      </w:r>
      <w:r w:rsidR="004310CB" w:rsidRPr="001F74A6">
        <w:t>Amendment R</w:t>
      </w:r>
      <w:r w:rsidR="00596CD4" w:rsidRPr="001F74A6">
        <w:t>ule</w:t>
      </w:r>
      <w:r w:rsidR="001C2785">
        <w:t>)</w:t>
      </w:r>
      <w:r w:rsidR="00596CD4" w:rsidRPr="001F74A6">
        <w:t xml:space="preserve"> is being made to amend the rules instruments made under t</w:t>
      </w:r>
      <w:r w:rsidR="002519C6">
        <w:t xml:space="preserve">he PGPA Act and the CTP </w:t>
      </w:r>
      <w:r w:rsidR="00596CD4" w:rsidRPr="001F74A6">
        <w:t>Act</w:t>
      </w:r>
      <w:r w:rsidR="00561ED6">
        <w:t xml:space="preserve">.  </w:t>
      </w:r>
      <w:r w:rsidR="004310CB">
        <w:t xml:space="preserve">These rules instruments are </w:t>
      </w:r>
      <w:r w:rsidR="004310CB">
        <w:rPr>
          <w:lang w:val="en-AU"/>
        </w:rPr>
        <w:t xml:space="preserve">the </w:t>
      </w:r>
      <w:r w:rsidR="004310CB" w:rsidRPr="004310CB">
        <w:rPr>
          <w:i/>
          <w:lang w:val="en-AU"/>
        </w:rPr>
        <w:t>Public Governance, Performance and Accountability Rule 2014</w:t>
      </w:r>
      <w:r w:rsidR="004310CB">
        <w:rPr>
          <w:lang w:val="en-AU"/>
        </w:rPr>
        <w:t xml:space="preserve"> (PGPA Rule) and </w:t>
      </w:r>
      <w:r w:rsidR="004310CB">
        <w:t xml:space="preserve">the </w:t>
      </w:r>
      <w:r w:rsidR="004310CB" w:rsidRPr="004310CB">
        <w:rPr>
          <w:i/>
          <w:lang w:val="en-AU"/>
        </w:rPr>
        <w:t>Public Governance, Performance and Accountability (Consequential and Transitional Provisions) Rule 2014</w:t>
      </w:r>
      <w:r w:rsidR="004310CB">
        <w:rPr>
          <w:lang w:val="en-AU"/>
        </w:rPr>
        <w:t xml:space="preserve"> (</w:t>
      </w:r>
      <w:r w:rsidR="004E1285">
        <w:rPr>
          <w:lang w:val="en-AU"/>
        </w:rPr>
        <w:t xml:space="preserve">CTP </w:t>
      </w:r>
      <w:r w:rsidR="004310CB">
        <w:rPr>
          <w:lang w:val="en-AU"/>
        </w:rPr>
        <w:t>Rule)</w:t>
      </w:r>
      <w:r w:rsidR="00561ED6">
        <w:rPr>
          <w:lang w:val="en-AU"/>
        </w:rPr>
        <w:t xml:space="preserve">.  </w:t>
      </w:r>
    </w:p>
    <w:p w:rsidR="002519C6" w:rsidRDefault="002519C6" w:rsidP="002519C6"/>
    <w:p w:rsidR="006A749C" w:rsidRPr="00977D04" w:rsidRDefault="0025196F">
      <w:pPr>
        <w:spacing w:after="120"/>
      </w:pPr>
      <w:r w:rsidRPr="00977D04">
        <w:t xml:space="preserve">The </w:t>
      </w:r>
      <w:r w:rsidR="005C29D9">
        <w:t>RBA and Other Measure</w:t>
      </w:r>
      <w:r w:rsidR="00856924">
        <w:t>s</w:t>
      </w:r>
      <w:r w:rsidR="005C29D9">
        <w:t xml:space="preserve"> </w:t>
      </w:r>
      <w:r w:rsidR="005C29D9" w:rsidRPr="001F74A6">
        <w:t>Amendment Rule</w:t>
      </w:r>
      <w:r w:rsidR="005C29D9" w:rsidRPr="00977D04">
        <w:t xml:space="preserve"> </w:t>
      </w:r>
      <w:r w:rsidRPr="00977D04">
        <w:t xml:space="preserve">contains </w:t>
      </w:r>
      <w:r w:rsidR="00281515" w:rsidRPr="00977D04">
        <w:t xml:space="preserve">provisions </w:t>
      </w:r>
      <w:r w:rsidR="00FA2C06" w:rsidRPr="00977D04">
        <w:rPr>
          <w:rFonts w:eastAsia="Times New Roman"/>
          <w:color w:val="000000" w:themeColor="text1"/>
          <w:lang w:val="en-AU" w:bidi="ar-SA"/>
        </w:rPr>
        <w:t>that</w:t>
      </w:r>
      <w:r w:rsidR="009C0A93" w:rsidRPr="00977D04">
        <w:rPr>
          <w:rFonts w:eastAsia="Times New Roman"/>
          <w:color w:val="000000" w:themeColor="text1"/>
          <w:lang w:val="en-AU" w:bidi="ar-SA"/>
        </w:rPr>
        <w:t>:</w:t>
      </w:r>
      <w:r w:rsidR="00916010" w:rsidRPr="00977D04">
        <w:rPr>
          <w:rFonts w:eastAsia="Times New Roman"/>
          <w:color w:val="000000" w:themeColor="text1"/>
          <w:lang w:val="en-AU" w:bidi="ar-SA"/>
        </w:rPr>
        <w:t xml:space="preserve"> </w:t>
      </w:r>
    </w:p>
    <w:p w:rsidR="009E5F39" w:rsidRDefault="009E5F39" w:rsidP="009E5F39">
      <w:pPr>
        <w:pStyle w:val="ListParagraph"/>
        <w:numPr>
          <w:ilvl w:val="0"/>
          <w:numId w:val="15"/>
        </w:numPr>
        <w:spacing w:after="120"/>
      </w:pPr>
      <w:r>
        <w:t>provide for the continuation of disclosure of interest arrangements in the CTP Rule, that were in place for the Reserve Bank of Australia under</w:t>
      </w:r>
      <w:r w:rsidR="00CA4C3F">
        <w:t xml:space="preserve"> the </w:t>
      </w:r>
      <w:r w:rsidR="00CA4C3F" w:rsidRPr="00CA4C3F">
        <w:rPr>
          <w:i/>
        </w:rPr>
        <w:t>Reserve Bank Act 195</w:t>
      </w:r>
      <w:r w:rsidR="00CA4C3F" w:rsidRPr="007167D5">
        <w:rPr>
          <w:i/>
        </w:rPr>
        <w:t>9</w:t>
      </w:r>
      <w:r w:rsidRPr="007167D5">
        <w:rPr>
          <w:i/>
        </w:rPr>
        <w:t xml:space="preserve"> Act</w:t>
      </w:r>
      <w:r>
        <w:t xml:space="preserve"> </w:t>
      </w:r>
      <w:r w:rsidR="00341D38">
        <w:t xml:space="preserve">and </w:t>
      </w:r>
      <w:r w:rsidR="00341D38">
        <w:rPr>
          <w:i/>
        </w:rPr>
        <w:t xml:space="preserve">Commonwealth Authorities and Companies Act </w:t>
      </w:r>
      <w:r w:rsidR="00341D38">
        <w:t xml:space="preserve">(CAC Act) </w:t>
      </w:r>
      <w:r>
        <w:t>prior to the commencement of t</w:t>
      </w:r>
      <w:r w:rsidR="00077550">
        <w:t>he PGPA legislative framework</w:t>
      </w:r>
      <w:r>
        <w:t>;</w:t>
      </w:r>
    </w:p>
    <w:p w:rsidR="00A07924" w:rsidRDefault="00A07924" w:rsidP="00A07924">
      <w:pPr>
        <w:pStyle w:val="ListParagraph"/>
        <w:numPr>
          <w:ilvl w:val="0"/>
          <w:numId w:val="15"/>
        </w:numPr>
        <w:spacing w:before="120"/>
        <w:contextualSpacing w:val="0"/>
      </w:pPr>
      <w:r>
        <w:t xml:space="preserve">provide a mechanism </w:t>
      </w:r>
      <w:r w:rsidR="00F5454F">
        <w:t>for the preparation of financial statements should</w:t>
      </w:r>
      <w:r w:rsidRPr="00FD1020">
        <w:t xml:space="preserve"> section 17A of the </w:t>
      </w:r>
      <w:r w:rsidRPr="006D51B5">
        <w:rPr>
          <w:i/>
        </w:rPr>
        <w:t>Public Governance, Performance and Accountability Rule 2014</w:t>
      </w:r>
      <w:r w:rsidR="00F5454F">
        <w:t xml:space="preserve"> require</w:t>
      </w:r>
      <w:r w:rsidRPr="00FD1020">
        <w:t xml:space="preserve"> financial statements to be prepared for a Commonwealth entity </w:t>
      </w:r>
      <w:r>
        <w:t>which has been abolished</w:t>
      </w:r>
      <w:r w:rsidR="00077550">
        <w:t xml:space="preserve"> before the financial reporting rule is settled</w:t>
      </w:r>
      <w:r>
        <w:t>;</w:t>
      </w:r>
    </w:p>
    <w:p w:rsidR="009E5F39" w:rsidRDefault="009E5F39" w:rsidP="009E5F39">
      <w:pPr>
        <w:pStyle w:val="ListParagraph"/>
        <w:numPr>
          <w:ilvl w:val="0"/>
          <w:numId w:val="15"/>
        </w:numPr>
        <w:spacing w:after="120"/>
      </w:pPr>
      <w:r>
        <w:t xml:space="preserve">repeal a subparagraph of the PGPA Rule to align the effect of the provision with the initial policy intention not to change requirements </w:t>
      </w:r>
      <w:r w:rsidR="00077550">
        <w:t xml:space="preserve">for modification of terms and conditions of amounts payable to the Commonwealth </w:t>
      </w:r>
      <w:r>
        <w:t xml:space="preserve">from what was imposed under the </w:t>
      </w:r>
      <w:r w:rsidR="00ED376C" w:rsidRPr="00C874C4">
        <w:rPr>
          <w:i/>
        </w:rPr>
        <w:t>Financial Management and Accountability Act 1997</w:t>
      </w:r>
      <w:r w:rsidR="00ED376C">
        <w:t xml:space="preserve"> (FMA </w:t>
      </w:r>
      <w:r w:rsidR="00ED376C" w:rsidRPr="00C874C4">
        <w:t>Act)</w:t>
      </w:r>
      <w:r>
        <w:t>; and</w:t>
      </w:r>
    </w:p>
    <w:p w:rsidR="009E5F39" w:rsidRPr="00977D04" w:rsidRDefault="009E5F39" w:rsidP="009E5F39">
      <w:pPr>
        <w:pStyle w:val="ListParagraph"/>
        <w:numPr>
          <w:ilvl w:val="0"/>
          <w:numId w:val="15"/>
        </w:numPr>
        <w:spacing w:after="240"/>
        <w:ind w:left="714" w:hanging="357"/>
      </w:pPr>
      <w:r>
        <w:t>correct a drafting error in the PGPA Rule</w:t>
      </w:r>
      <w:r w:rsidR="00077550">
        <w:t xml:space="preserve"> in relation to the listing of the Seafarers Safety, Rehabilitation and Compensation Authority</w:t>
      </w:r>
      <w:r>
        <w:t>.</w:t>
      </w:r>
    </w:p>
    <w:p w:rsidR="005C5470" w:rsidRPr="00977D04" w:rsidRDefault="00301C10">
      <w:pPr>
        <w:pStyle w:val="ParaNumbering"/>
        <w:rPr>
          <w:szCs w:val="24"/>
        </w:rPr>
      </w:pPr>
      <w:r w:rsidRPr="00977D04">
        <w:rPr>
          <w:szCs w:val="24"/>
        </w:rPr>
        <w:t xml:space="preserve">Details of the </w:t>
      </w:r>
      <w:r w:rsidR="005C29D9">
        <w:t>RBA and Other Measure</w:t>
      </w:r>
      <w:r w:rsidR="00856924">
        <w:t>s</w:t>
      </w:r>
      <w:r w:rsidR="005C29D9">
        <w:t xml:space="preserve"> </w:t>
      </w:r>
      <w:r w:rsidR="005C29D9" w:rsidRPr="001F74A6">
        <w:t>Amendment Rule</w:t>
      </w:r>
      <w:r w:rsidR="005C29D9" w:rsidRPr="00977D04">
        <w:rPr>
          <w:szCs w:val="24"/>
        </w:rPr>
        <w:t xml:space="preserve"> </w:t>
      </w:r>
      <w:r w:rsidR="0004247F" w:rsidRPr="00977D04">
        <w:rPr>
          <w:szCs w:val="24"/>
        </w:rPr>
        <w:t>are</w:t>
      </w:r>
      <w:r w:rsidRPr="00977D04">
        <w:rPr>
          <w:szCs w:val="24"/>
        </w:rPr>
        <w:t xml:space="preserve"> set out at </w:t>
      </w:r>
      <w:r w:rsidRPr="00977D04">
        <w:rPr>
          <w:szCs w:val="24"/>
          <w:u w:val="single"/>
        </w:rPr>
        <w:t>Attachment A</w:t>
      </w:r>
      <w:r w:rsidR="00561ED6">
        <w:rPr>
          <w:szCs w:val="24"/>
        </w:rPr>
        <w:t xml:space="preserve">.  </w:t>
      </w:r>
      <w:r w:rsidRPr="00977D04">
        <w:rPr>
          <w:szCs w:val="24"/>
        </w:rPr>
        <w:t xml:space="preserve">A </w:t>
      </w:r>
      <w:r w:rsidR="002E307D" w:rsidRPr="00977D04">
        <w:rPr>
          <w:szCs w:val="24"/>
        </w:rPr>
        <w:t>s</w:t>
      </w:r>
      <w:r w:rsidRPr="00977D04">
        <w:rPr>
          <w:szCs w:val="24"/>
        </w:rPr>
        <w:t xml:space="preserve">tatement of </w:t>
      </w:r>
      <w:r w:rsidR="002E307D" w:rsidRPr="00977D04">
        <w:rPr>
          <w:szCs w:val="24"/>
        </w:rPr>
        <w:t>c</w:t>
      </w:r>
      <w:r w:rsidRPr="00977D04">
        <w:rPr>
          <w:szCs w:val="24"/>
        </w:rPr>
        <w:t xml:space="preserve">ompatibility with </w:t>
      </w:r>
      <w:r w:rsidR="002E307D" w:rsidRPr="00977D04">
        <w:rPr>
          <w:szCs w:val="24"/>
        </w:rPr>
        <w:t>h</w:t>
      </w:r>
      <w:r w:rsidRPr="00977D04">
        <w:rPr>
          <w:szCs w:val="24"/>
        </w:rPr>
        <w:t xml:space="preserve">uman </w:t>
      </w:r>
      <w:r w:rsidR="002E307D" w:rsidRPr="00977D04">
        <w:rPr>
          <w:szCs w:val="24"/>
        </w:rPr>
        <w:t>r</w:t>
      </w:r>
      <w:r w:rsidRPr="00977D04">
        <w:rPr>
          <w:szCs w:val="24"/>
        </w:rPr>
        <w:t xml:space="preserve">ights is at </w:t>
      </w:r>
      <w:r w:rsidRPr="00977D04">
        <w:rPr>
          <w:szCs w:val="24"/>
          <w:u w:val="single"/>
        </w:rPr>
        <w:t>Attachment B</w:t>
      </w:r>
      <w:r w:rsidR="00561ED6">
        <w:rPr>
          <w:szCs w:val="24"/>
        </w:rPr>
        <w:t xml:space="preserve">.  </w:t>
      </w:r>
    </w:p>
    <w:p w:rsidR="005C5470" w:rsidRPr="00977D04" w:rsidRDefault="005C5470">
      <w:pPr>
        <w:pStyle w:val="ParaNumbering"/>
        <w:rPr>
          <w:szCs w:val="24"/>
        </w:rPr>
      </w:pPr>
    </w:p>
    <w:p w:rsidR="005C5470" w:rsidRDefault="00301C10">
      <w:pPr>
        <w:pStyle w:val="ParaNumbering"/>
        <w:rPr>
          <w:i/>
          <w:szCs w:val="24"/>
        </w:rPr>
      </w:pPr>
      <w:r w:rsidRPr="00977D04">
        <w:rPr>
          <w:szCs w:val="24"/>
        </w:rPr>
        <w:t xml:space="preserve">The </w:t>
      </w:r>
      <w:r w:rsidR="005C29D9">
        <w:t>RBA and Other Measure</w:t>
      </w:r>
      <w:r w:rsidR="00856924">
        <w:t>s</w:t>
      </w:r>
      <w:r w:rsidR="005C29D9">
        <w:t xml:space="preserve"> </w:t>
      </w:r>
      <w:r w:rsidR="005C29D9" w:rsidRPr="001F74A6">
        <w:t>Amendment Rule</w:t>
      </w:r>
      <w:r w:rsidR="005C29D9" w:rsidRPr="00977D04">
        <w:rPr>
          <w:szCs w:val="24"/>
        </w:rPr>
        <w:t xml:space="preserve"> </w:t>
      </w:r>
      <w:r w:rsidRPr="00977D04">
        <w:rPr>
          <w:szCs w:val="24"/>
        </w:rPr>
        <w:t>is a legislative instrument for the purposes of the</w:t>
      </w:r>
      <w:r w:rsidRPr="00977D04">
        <w:rPr>
          <w:i/>
          <w:szCs w:val="24"/>
        </w:rPr>
        <w:t xml:space="preserve"> Legislative Instruments Act 2003</w:t>
      </w:r>
      <w:r w:rsidR="00561ED6">
        <w:rPr>
          <w:i/>
          <w:szCs w:val="24"/>
        </w:rPr>
        <w:t xml:space="preserve">.  </w:t>
      </w:r>
    </w:p>
    <w:p w:rsidR="008F1ABF" w:rsidRDefault="008F1ABF">
      <w:pPr>
        <w:pStyle w:val="ParaNumbering"/>
        <w:rPr>
          <w:i/>
          <w:szCs w:val="24"/>
        </w:rPr>
      </w:pPr>
    </w:p>
    <w:p w:rsidR="004816AF" w:rsidRDefault="00A53E39" w:rsidP="004816AF">
      <w:pPr>
        <w:pStyle w:val="Heading2"/>
        <w:spacing w:before="0"/>
        <w:rPr>
          <w:rFonts w:ascii="Times New Roman" w:hAnsi="Times New Roman" w:cs="Times New Roman"/>
          <w:sz w:val="24"/>
          <w:szCs w:val="24"/>
        </w:rPr>
      </w:pPr>
      <w:r w:rsidRPr="009F3AB5">
        <w:rPr>
          <w:rFonts w:ascii="Times New Roman" w:hAnsi="Times New Roman" w:cs="Times New Roman"/>
          <w:sz w:val="24"/>
          <w:szCs w:val="24"/>
        </w:rPr>
        <w:t>Consultation</w:t>
      </w:r>
    </w:p>
    <w:p w:rsidR="00725A1C" w:rsidRDefault="00725A1C"/>
    <w:p w:rsidR="009F3AB5" w:rsidRPr="00C432B5" w:rsidRDefault="00452242" w:rsidP="009F3AB5">
      <w:r w:rsidRPr="00C432B5">
        <w:rPr>
          <w:lang w:val="en-AU"/>
        </w:rPr>
        <w:t>T</w:t>
      </w:r>
      <w:r w:rsidR="009F3AB5" w:rsidRPr="00C432B5">
        <w:t xml:space="preserve">he Department of Finance </w:t>
      </w:r>
      <w:r w:rsidR="008F1ABF">
        <w:t xml:space="preserve">(Finance) </w:t>
      </w:r>
      <w:r w:rsidR="009F3AB5" w:rsidRPr="00C432B5">
        <w:t>consulted stakeholders from across the Commonwealth in the development of the PGPA Rule</w:t>
      </w:r>
      <w:r w:rsidR="00561ED6">
        <w:t xml:space="preserve">.  </w:t>
      </w:r>
      <w:r w:rsidR="009F3AB5" w:rsidRPr="00C432B5">
        <w:t>A project board chaired by Finance oversaw the development process and five steering committees were constituted to work on specific subjects under the framework</w:t>
      </w:r>
      <w:r w:rsidR="00561ED6">
        <w:t xml:space="preserve">.  </w:t>
      </w:r>
      <w:r w:rsidR="009F3AB5" w:rsidRPr="00C432B5">
        <w:t>Membership of the steering committees was drawn from a wide range of Commonwealth entities and Commonwealth companies</w:t>
      </w:r>
      <w:r w:rsidR="00561ED6">
        <w:t xml:space="preserve">.  </w:t>
      </w:r>
      <w:r w:rsidR="009F3AB5" w:rsidRPr="00C432B5">
        <w:t>Consultation was also undertaken with key stakeholders in regional and remote communities and in Sydney, Melbourne and Adelaide</w:t>
      </w:r>
      <w:r w:rsidR="00561ED6">
        <w:t xml:space="preserve">.  </w:t>
      </w:r>
    </w:p>
    <w:p w:rsidR="00C351ED" w:rsidRPr="00C432B5" w:rsidRDefault="00C351ED" w:rsidP="00C351ED">
      <w:pPr>
        <w:pStyle w:val="ParaNumbering"/>
        <w:rPr>
          <w:szCs w:val="24"/>
        </w:rPr>
      </w:pPr>
    </w:p>
    <w:p w:rsidR="004816AF" w:rsidRPr="00C432B5" w:rsidRDefault="00203F10" w:rsidP="00C351ED">
      <w:pPr>
        <w:pStyle w:val="ParaNumbering"/>
        <w:rPr>
          <w:szCs w:val="24"/>
        </w:rPr>
      </w:pPr>
      <w:r w:rsidRPr="00C432B5">
        <w:rPr>
          <w:szCs w:val="24"/>
        </w:rPr>
        <w:t xml:space="preserve">Development of the </w:t>
      </w:r>
      <w:r w:rsidR="004E1285" w:rsidRPr="00C432B5">
        <w:rPr>
          <w:szCs w:val="24"/>
        </w:rPr>
        <w:t xml:space="preserve">CTP </w:t>
      </w:r>
      <w:r w:rsidR="00C13594" w:rsidRPr="00C432B5">
        <w:rPr>
          <w:szCs w:val="24"/>
        </w:rPr>
        <w:t>Rule</w:t>
      </w:r>
      <w:r w:rsidRPr="00C432B5">
        <w:rPr>
          <w:szCs w:val="24"/>
        </w:rPr>
        <w:t xml:space="preserve"> </w:t>
      </w:r>
      <w:r w:rsidR="00C13594" w:rsidRPr="00C432B5">
        <w:rPr>
          <w:szCs w:val="24"/>
        </w:rPr>
        <w:t>has been closely connected with the process of th</w:t>
      </w:r>
      <w:r w:rsidR="004E1285" w:rsidRPr="00C432B5">
        <w:rPr>
          <w:szCs w:val="24"/>
        </w:rPr>
        <w:t xml:space="preserve">e development of the CTP </w:t>
      </w:r>
      <w:r w:rsidR="00C13594" w:rsidRPr="00C432B5">
        <w:rPr>
          <w:szCs w:val="24"/>
        </w:rPr>
        <w:t xml:space="preserve">Act, which </w:t>
      </w:r>
      <w:r w:rsidRPr="00C432B5">
        <w:rPr>
          <w:szCs w:val="24"/>
        </w:rPr>
        <w:t xml:space="preserve">has required consultation with all Commonwealth entities and </w:t>
      </w:r>
      <w:r w:rsidR="00452242" w:rsidRPr="00C432B5">
        <w:rPr>
          <w:szCs w:val="24"/>
        </w:rPr>
        <w:t xml:space="preserve">Commonwealth </w:t>
      </w:r>
      <w:r w:rsidRPr="00C432B5">
        <w:rPr>
          <w:szCs w:val="24"/>
        </w:rPr>
        <w:t>companies subject to enabling legislation to ensure understanding of the operation of the legislation and how it impacts on the operation of their organisation</w:t>
      </w:r>
      <w:r w:rsidR="00561ED6">
        <w:rPr>
          <w:szCs w:val="24"/>
        </w:rPr>
        <w:t xml:space="preserve">.  </w:t>
      </w:r>
      <w:r w:rsidRPr="00C432B5">
        <w:rPr>
          <w:szCs w:val="24"/>
        </w:rPr>
        <w:t xml:space="preserve"> </w:t>
      </w:r>
    </w:p>
    <w:p w:rsidR="00C351ED" w:rsidRPr="00C432B5" w:rsidRDefault="00C351ED" w:rsidP="00C351ED">
      <w:pPr>
        <w:pStyle w:val="ParaNumbering"/>
        <w:rPr>
          <w:szCs w:val="24"/>
        </w:rPr>
      </w:pPr>
    </w:p>
    <w:p w:rsidR="004816AF" w:rsidRPr="00C351ED" w:rsidRDefault="009F3AB5" w:rsidP="00C351ED">
      <w:pPr>
        <w:pStyle w:val="ParaNumbering"/>
        <w:rPr>
          <w:szCs w:val="24"/>
        </w:rPr>
      </w:pPr>
      <w:r w:rsidRPr="00C432B5">
        <w:rPr>
          <w:szCs w:val="24"/>
        </w:rPr>
        <w:t>T</w:t>
      </w:r>
      <w:r w:rsidR="00203F10" w:rsidRPr="00C432B5">
        <w:rPr>
          <w:szCs w:val="24"/>
        </w:rPr>
        <w:t>he</w:t>
      </w:r>
      <w:r w:rsidRPr="00C432B5">
        <w:rPr>
          <w:szCs w:val="24"/>
        </w:rPr>
        <w:t xml:space="preserve"> commencement of substantive provisions of the PGPA Act and associated legislation was accompanied by an extensive programme of training and guidance to assist entities to </w:t>
      </w:r>
      <w:r w:rsidR="00B464B5" w:rsidRPr="00C432B5">
        <w:rPr>
          <w:szCs w:val="24"/>
        </w:rPr>
        <w:t>comply with the new framework</w:t>
      </w:r>
      <w:r w:rsidR="00561ED6">
        <w:rPr>
          <w:szCs w:val="24"/>
        </w:rPr>
        <w:t xml:space="preserve">.  </w:t>
      </w:r>
      <w:r w:rsidR="00B464B5" w:rsidRPr="00C432B5">
        <w:rPr>
          <w:szCs w:val="24"/>
        </w:rPr>
        <w:t xml:space="preserve">Feedback from entities </w:t>
      </w:r>
      <w:r w:rsidR="003E39C3" w:rsidRPr="00C432B5">
        <w:rPr>
          <w:szCs w:val="24"/>
        </w:rPr>
        <w:t xml:space="preserve">during this initial implementation process </w:t>
      </w:r>
      <w:r w:rsidR="00B464B5" w:rsidRPr="00C432B5">
        <w:rPr>
          <w:szCs w:val="24"/>
        </w:rPr>
        <w:t>has led to the development of</w:t>
      </w:r>
      <w:r w:rsidR="00203F10" w:rsidRPr="00C432B5">
        <w:rPr>
          <w:szCs w:val="24"/>
        </w:rPr>
        <w:t xml:space="preserve"> </w:t>
      </w:r>
      <w:r w:rsidR="003E39C3" w:rsidRPr="00C432B5">
        <w:rPr>
          <w:szCs w:val="24"/>
        </w:rPr>
        <w:t xml:space="preserve">further </w:t>
      </w:r>
      <w:r w:rsidR="00203F10" w:rsidRPr="00C432B5">
        <w:rPr>
          <w:szCs w:val="24"/>
        </w:rPr>
        <w:t xml:space="preserve">legislative amendments </w:t>
      </w:r>
      <w:r w:rsidR="00B464B5" w:rsidRPr="00C432B5">
        <w:rPr>
          <w:szCs w:val="24"/>
        </w:rPr>
        <w:t xml:space="preserve">with </w:t>
      </w:r>
      <w:r w:rsidR="00203F10" w:rsidRPr="00C432B5">
        <w:rPr>
          <w:szCs w:val="24"/>
        </w:rPr>
        <w:t>the O</w:t>
      </w:r>
      <w:r w:rsidR="00B464B5" w:rsidRPr="00C432B5">
        <w:rPr>
          <w:szCs w:val="24"/>
        </w:rPr>
        <w:t>ffice of Parliamentary Counsel</w:t>
      </w:r>
      <w:r w:rsidR="00561ED6">
        <w:rPr>
          <w:szCs w:val="24"/>
        </w:rPr>
        <w:t xml:space="preserve">.  </w:t>
      </w:r>
      <w:r w:rsidR="00B464B5" w:rsidRPr="00C432B5">
        <w:rPr>
          <w:szCs w:val="24"/>
        </w:rPr>
        <w:t xml:space="preserve">The </w:t>
      </w:r>
      <w:r w:rsidR="00203F10" w:rsidRPr="00C432B5">
        <w:rPr>
          <w:szCs w:val="24"/>
        </w:rPr>
        <w:t>advice of the Australian Government Solicitor has also been sought.</w:t>
      </w:r>
    </w:p>
    <w:p w:rsidR="004835F5" w:rsidRPr="00C351ED" w:rsidRDefault="004835F5" w:rsidP="00C351ED">
      <w:pPr>
        <w:pStyle w:val="ParaNumbering"/>
        <w:rPr>
          <w:szCs w:val="24"/>
        </w:rPr>
        <w:sectPr w:rsidR="004835F5" w:rsidRPr="00C351ED" w:rsidSect="004835F5">
          <w:headerReference w:type="default" r:id="rId8"/>
          <w:pgSz w:w="11906" w:h="16838"/>
          <w:pgMar w:top="1440" w:right="1440" w:bottom="1440" w:left="1440" w:header="708" w:footer="514" w:gutter="0"/>
          <w:cols w:space="708"/>
          <w:titlePg/>
          <w:docGrid w:linePitch="360"/>
        </w:sectPr>
      </w:pPr>
    </w:p>
    <w:p w:rsidR="00F276BB" w:rsidRDefault="00F276BB" w:rsidP="00F276BB">
      <w:pPr>
        <w:pStyle w:val="Heading2"/>
        <w:jc w:val="right"/>
        <w:rPr>
          <w:rFonts w:ascii="Times New Roman" w:hAnsi="Times New Roman" w:cs="Times New Roman"/>
          <w:sz w:val="24"/>
          <w:szCs w:val="24"/>
          <w:u w:val="single"/>
        </w:rPr>
      </w:pPr>
      <w:r w:rsidRPr="00BF1181">
        <w:rPr>
          <w:rFonts w:ascii="Times New Roman" w:hAnsi="Times New Roman" w:cs="Times New Roman"/>
          <w:sz w:val="24"/>
          <w:szCs w:val="24"/>
          <w:u w:val="single"/>
        </w:rPr>
        <w:lastRenderedPageBreak/>
        <w:t xml:space="preserve">Attachment </w:t>
      </w:r>
      <w:r>
        <w:rPr>
          <w:rFonts w:ascii="Times New Roman" w:hAnsi="Times New Roman" w:cs="Times New Roman"/>
          <w:sz w:val="24"/>
          <w:szCs w:val="24"/>
          <w:u w:val="single"/>
        </w:rPr>
        <w:t>A</w:t>
      </w:r>
    </w:p>
    <w:p w:rsidR="00F276BB" w:rsidRDefault="00F276BB">
      <w:pPr>
        <w:rPr>
          <w:b/>
          <w:u w:val="single"/>
        </w:rPr>
      </w:pPr>
    </w:p>
    <w:p w:rsidR="00725A1C" w:rsidRDefault="00474C20">
      <w:pPr>
        <w:spacing w:before="200"/>
        <w:rPr>
          <w:b/>
          <w:i/>
          <w:u w:val="single"/>
        </w:rPr>
      </w:pPr>
      <w:r w:rsidRPr="00977D04">
        <w:rPr>
          <w:b/>
          <w:u w:val="single"/>
        </w:rPr>
        <w:t xml:space="preserve">Details of the </w:t>
      </w:r>
      <w:r w:rsidR="00DC53C0" w:rsidRPr="00DC53C0">
        <w:rPr>
          <w:b/>
          <w:i/>
          <w:u w:val="single"/>
        </w:rPr>
        <w:t>Public Governance, Performance and Accountability Legislation Amendment (RBA and Other Measures) Rule 2014</w:t>
      </w:r>
    </w:p>
    <w:p w:rsidR="0035416D" w:rsidRPr="00977D04" w:rsidRDefault="0035416D" w:rsidP="005C5470">
      <w:pPr>
        <w:pStyle w:val="Heading2"/>
        <w:spacing w:before="0"/>
        <w:rPr>
          <w:rFonts w:ascii="Times New Roman" w:hAnsi="Times New Roman" w:cs="Times New Roman"/>
          <w:sz w:val="24"/>
          <w:szCs w:val="24"/>
        </w:rPr>
      </w:pPr>
    </w:p>
    <w:p w:rsidR="003C0A8B" w:rsidRPr="00984450" w:rsidRDefault="004816AF">
      <w:pPr>
        <w:rPr>
          <w:b/>
          <w:lang w:val="en-AU"/>
        </w:rPr>
      </w:pPr>
      <w:r w:rsidRPr="004816AF">
        <w:rPr>
          <w:b/>
          <w:lang w:val="en-AU"/>
        </w:rPr>
        <w:t xml:space="preserve">Section 1—Name of </w:t>
      </w:r>
      <w:r w:rsidR="00452242">
        <w:rPr>
          <w:b/>
          <w:lang w:val="en-AU"/>
        </w:rPr>
        <w:t>instrument</w:t>
      </w:r>
    </w:p>
    <w:p w:rsidR="003C0A8B" w:rsidRPr="00977D04" w:rsidRDefault="003C0A8B">
      <w:pPr>
        <w:rPr>
          <w:lang w:val="en-AU"/>
        </w:rPr>
      </w:pPr>
    </w:p>
    <w:p w:rsidR="003C0A8B" w:rsidRPr="00977D04" w:rsidRDefault="008F323F">
      <w:pPr>
        <w:rPr>
          <w:lang w:val="en-AU"/>
        </w:rPr>
      </w:pPr>
      <w:r w:rsidRPr="00977D04">
        <w:rPr>
          <w:lang w:val="en-AU"/>
        </w:rPr>
        <w:t xml:space="preserve">This section provides that the title of the </w:t>
      </w:r>
      <w:r w:rsidR="00452242">
        <w:rPr>
          <w:lang w:val="en-AU"/>
        </w:rPr>
        <w:t>instrument</w:t>
      </w:r>
      <w:r w:rsidRPr="00977D04">
        <w:rPr>
          <w:lang w:val="en-AU"/>
        </w:rPr>
        <w:t xml:space="preserve"> is the </w:t>
      </w:r>
      <w:r w:rsidR="00DC53C0" w:rsidRPr="00DC53C0">
        <w:rPr>
          <w:i/>
        </w:rPr>
        <w:t>Public Governance, Performance and Accountability Legislation Amendment (RBA and Other Measures) Rule 2014</w:t>
      </w:r>
      <w:r w:rsidR="00DC53C0">
        <w:rPr>
          <w:lang w:val="en-AU"/>
        </w:rPr>
        <w:t xml:space="preserve"> </w:t>
      </w:r>
      <w:r w:rsidR="0096391F">
        <w:rPr>
          <w:lang w:val="en-AU"/>
        </w:rPr>
        <w:t>(</w:t>
      </w:r>
      <w:r w:rsidR="005C29D9">
        <w:t>RBA and Other Measure</w:t>
      </w:r>
      <w:r w:rsidR="00856924">
        <w:t>s</w:t>
      </w:r>
      <w:r w:rsidR="005C29D9">
        <w:t xml:space="preserve"> </w:t>
      </w:r>
      <w:r w:rsidR="005C29D9" w:rsidRPr="001F74A6">
        <w:t>Amendment Rule</w:t>
      </w:r>
      <w:r w:rsidR="00FF2457">
        <w:rPr>
          <w:lang w:val="en-AU"/>
        </w:rPr>
        <w:t>).</w:t>
      </w:r>
    </w:p>
    <w:p w:rsidR="003C0A8B" w:rsidRPr="00977D04" w:rsidRDefault="003C0A8B">
      <w:pPr>
        <w:rPr>
          <w:lang w:val="en-AU"/>
        </w:rPr>
      </w:pPr>
    </w:p>
    <w:p w:rsidR="003C0A8B" w:rsidRPr="00984450" w:rsidRDefault="004816AF">
      <w:pPr>
        <w:rPr>
          <w:b/>
          <w:lang w:val="en-AU"/>
        </w:rPr>
      </w:pPr>
      <w:r w:rsidRPr="004816AF">
        <w:rPr>
          <w:b/>
          <w:lang w:val="en-AU"/>
        </w:rPr>
        <w:t xml:space="preserve">Section 2—Commencement </w:t>
      </w:r>
    </w:p>
    <w:p w:rsidR="003C0A8B" w:rsidRPr="00977D04" w:rsidRDefault="003C0A8B">
      <w:pPr>
        <w:rPr>
          <w:lang w:val="en-AU"/>
        </w:rPr>
      </w:pPr>
    </w:p>
    <w:p w:rsidR="003C0A8B" w:rsidRPr="00977D04" w:rsidRDefault="008F323F">
      <w:pPr>
        <w:rPr>
          <w:lang w:val="en-AU"/>
        </w:rPr>
      </w:pPr>
      <w:r w:rsidRPr="00977D04">
        <w:rPr>
          <w:lang w:val="en-AU"/>
        </w:rPr>
        <w:t xml:space="preserve">This section </w:t>
      </w:r>
      <w:r w:rsidR="00F826B8">
        <w:rPr>
          <w:lang w:val="en-AU"/>
        </w:rPr>
        <w:t>provides that t</w:t>
      </w:r>
      <w:r w:rsidR="006A749C" w:rsidRPr="00977D04">
        <w:rPr>
          <w:lang w:val="en-AU"/>
        </w:rPr>
        <w:t xml:space="preserve">he </w:t>
      </w:r>
      <w:r w:rsidR="00452242">
        <w:rPr>
          <w:lang w:val="en-AU"/>
        </w:rPr>
        <w:t>instrument</w:t>
      </w:r>
      <w:r w:rsidR="006A749C" w:rsidRPr="00977D04">
        <w:rPr>
          <w:lang w:val="en-AU"/>
        </w:rPr>
        <w:t xml:space="preserve"> </w:t>
      </w:r>
      <w:r w:rsidR="006A749C" w:rsidRPr="00977D04">
        <w:t xml:space="preserve">commences </w:t>
      </w:r>
      <w:r w:rsidR="0096391F">
        <w:t>on the day after it is registered.</w:t>
      </w:r>
    </w:p>
    <w:p w:rsidR="003C0A8B" w:rsidRPr="00977D04" w:rsidRDefault="003C0A8B">
      <w:pPr>
        <w:rPr>
          <w:lang w:val="en-AU"/>
        </w:rPr>
      </w:pPr>
    </w:p>
    <w:p w:rsidR="003C0A8B" w:rsidRPr="00984450" w:rsidRDefault="004816AF">
      <w:pPr>
        <w:rPr>
          <w:b/>
          <w:i/>
          <w:lang w:val="en-AU"/>
        </w:rPr>
      </w:pPr>
      <w:r w:rsidRPr="004816AF">
        <w:rPr>
          <w:b/>
          <w:lang w:val="en-AU"/>
        </w:rPr>
        <w:t>Section 3—Authority</w:t>
      </w:r>
      <w:r w:rsidRPr="004816AF">
        <w:rPr>
          <w:b/>
          <w:i/>
          <w:lang w:val="en-AU"/>
        </w:rPr>
        <w:t xml:space="preserve"> </w:t>
      </w:r>
    </w:p>
    <w:p w:rsidR="003C0A8B" w:rsidRPr="00977D04" w:rsidRDefault="003C0A8B">
      <w:pPr>
        <w:rPr>
          <w:lang w:val="en-AU"/>
        </w:rPr>
      </w:pPr>
    </w:p>
    <w:p w:rsidR="003C0A8B" w:rsidRPr="00B46CA4" w:rsidRDefault="008F323F">
      <w:pPr>
        <w:rPr>
          <w:lang w:val="en-AU"/>
        </w:rPr>
      </w:pPr>
      <w:r w:rsidRPr="00977D04">
        <w:rPr>
          <w:lang w:val="en-AU"/>
        </w:rPr>
        <w:t xml:space="preserve">This section </w:t>
      </w:r>
      <w:r w:rsidR="001E087F" w:rsidRPr="00977D04">
        <w:rPr>
          <w:lang w:val="en-AU"/>
        </w:rPr>
        <w:t xml:space="preserve">states </w:t>
      </w:r>
      <w:r w:rsidRPr="00977D04">
        <w:rPr>
          <w:lang w:val="en-AU"/>
        </w:rPr>
        <w:t>that the</w:t>
      </w:r>
      <w:r w:rsidR="00F826B8">
        <w:rPr>
          <w:lang w:val="en-AU"/>
        </w:rPr>
        <w:t xml:space="preserve"> </w:t>
      </w:r>
      <w:r w:rsidR="00E00FD6">
        <w:rPr>
          <w:lang w:val="en-AU"/>
        </w:rPr>
        <w:t>instrument</w:t>
      </w:r>
      <w:r w:rsidRPr="00977D04">
        <w:rPr>
          <w:lang w:val="en-AU"/>
        </w:rPr>
        <w:t xml:space="preserve"> is made under the</w:t>
      </w:r>
      <w:r w:rsidR="00E00FD6" w:rsidRPr="00E00FD6">
        <w:rPr>
          <w:i/>
          <w:lang w:val="en-AU"/>
        </w:rPr>
        <w:t xml:space="preserve"> </w:t>
      </w:r>
      <w:r w:rsidR="00E00FD6">
        <w:rPr>
          <w:i/>
          <w:lang w:val="en-AU"/>
        </w:rPr>
        <w:t>Public Governance, Performance and Accountability Act 2013</w:t>
      </w:r>
      <w:r w:rsidR="00E00FD6">
        <w:rPr>
          <w:lang w:val="en-AU"/>
        </w:rPr>
        <w:t xml:space="preserve"> (PGPA Act)</w:t>
      </w:r>
      <w:r w:rsidRPr="00977D04">
        <w:rPr>
          <w:lang w:val="en-AU"/>
        </w:rPr>
        <w:t xml:space="preserve"> </w:t>
      </w:r>
      <w:r w:rsidR="00E00FD6">
        <w:rPr>
          <w:lang w:val="en-AU"/>
        </w:rPr>
        <w:t xml:space="preserve">and the </w:t>
      </w:r>
      <w:r w:rsidR="006A749C" w:rsidRPr="00977D04">
        <w:rPr>
          <w:i/>
        </w:rPr>
        <w:t>Public Governance, Performance and Accountability (Consequential and Transitional Provisions) Act 2014</w:t>
      </w:r>
      <w:r w:rsidR="0096391F">
        <w:rPr>
          <w:lang w:val="en-AU"/>
        </w:rPr>
        <w:t xml:space="preserve"> </w:t>
      </w:r>
      <w:r w:rsidR="004E1285">
        <w:rPr>
          <w:lang w:val="en-AU"/>
        </w:rPr>
        <w:t>(CTP</w:t>
      </w:r>
      <w:r w:rsidR="00B46CA4">
        <w:rPr>
          <w:lang w:val="en-AU"/>
        </w:rPr>
        <w:t xml:space="preserve"> Act)</w:t>
      </w:r>
      <w:r w:rsidR="0000625E">
        <w:rPr>
          <w:lang w:val="en-AU"/>
        </w:rPr>
        <w:t>.</w:t>
      </w:r>
    </w:p>
    <w:p w:rsidR="003C0A8B" w:rsidRPr="00977D04" w:rsidRDefault="003C0A8B">
      <w:pPr>
        <w:rPr>
          <w:lang w:val="en-AU"/>
        </w:rPr>
      </w:pPr>
    </w:p>
    <w:p w:rsidR="003C0A8B" w:rsidRPr="00984450" w:rsidRDefault="0096391F">
      <w:pPr>
        <w:rPr>
          <w:b/>
          <w:i/>
          <w:lang w:val="en-AU"/>
        </w:rPr>
      </w:pPr>
      <w:r>
        <w:rPr>
          <w:b/>
          <w:lang w:val="en-AU"/>
        </w:rPr>
        <w:t>Section 4—Schedules</w:t>
      </w:r>
      <w:r w:rsidR="004816AF" w:rsidRPr="004816AF">
        <w:rPr>
          <w:b/>
          <w:i/>
          <w:lang w:val="en-AU"/>
        </w:rPr>
        <w:t xml:space="preserve"> </w:t>
      </w:r>
    </w:p>
    <w:p w:rsidR="003C0A8B" w:rsidRPr="00977D04" w:rsidRDefault="003C0A8B">
      <w:pPr>
        <w:rPr>
          <w:lang w:val="en-AU"/>
        </w:rPr>
      </w:pPr>
    </w:p>
    <w:p w:rsidR="007F23C3" w:rsidRDefault="00296D46" w:rsidP="0096391F">
      <w:r w:rsidRPr="00977D04">
        <w:rPr>
          <w:lang w:val="en-AU"/>
        </w:rPr>
        <w:t xml:space="preserve">This section </w:t>
      </w:r>
      <w:r w:rsidR="0096391F">
        <w:rPr>
          <w:lang w:val="en-AU"/>
        </w:rPr>
        <w:t xml:space="preserve">provides that </w:t>
      </w:r>
      <w:r w:rsidR="00E00FD6">
        <w:rPr>
          <w:lang w:val="en-AU"/>
        </w:rPr>
        <w:t>each</w:t>
      </w:r>
      <w:r w:rsidR="0096391F">
        <w:rPr>
          <w:lang w:val="en-AU"/>
        </w:rPr>
        <w:t xml:space="preserve"> legislative instrument</w:t>
      </w:r>
      <w:r w:rsidR="00E00FD6">
        <w:rPr>
          <w:lang w:val="en-AU"/>
        </w:rPr>
        <w:t xml:space="preserve"> that is</w:t>
      </w:r>
      <w:r w:rsidR="0096391F">
        <w:rPr>
          <w:lang w:val="en-AU"/>
        </w:rPr>
        <w:t xml:space="preserve"> specified in a Schedule to this </w:t>
      </w:r>
      <w:r w:rsidR="0096391F">
        <w:t>Rule is amended or repealed as set out</w:t>
      </w:r>
      <w:r w:rsidR="00561ED6">
        <w:t xml:space="preserve">, and that any other item in has effect according to its terms.  </w:t>
      </w:r>
    </w:p>
    <w:p w:rsidR="007F23C3" w:rsidRDefault="007F23C3">
      <w:pPr>
        <w:rPr>
          <w:lang w:val="en-AU"/>
        </w:rPr>
      </w:pPr>
    </w:p>
    <w:p w:rsidR="00984450" w:rsidRDefault="0096391F">
      <w:pPr>
        <w:rPr>
          <w:b/>
          <w:lang w:val="en-AU"/>
        </w:rPr>
      </w:pPr>
      <w:r>
        <w:rPr>
          <w:b/>
          <w:lang w:val="en-AU"/>
        </w:rPr>
        <w:t>Schedule 1</w:t>
      </w:r>
      <w:r w:rsidRPr="004816AF">
        <w:rPr>
          <w:b/>
          <w:lang w:val="en-AU"/>
        </w:rPr>
        <w:t>—</w:t>
      </w:r>
      <w:r>
        <w:rPr>
          <w:b/>
          <w:lang w:val="en-AU"/>
        </w:rPr>
        <w:t>Amendments</w:t>
      </w:r>
    </w:p>
    <w:p w:rsidR="0096391F" w:rsidRPr="00977D04" w:rsidRDefault="0096391F">
      <w:pPr>
        <w:rPr>
          <w:lang w:val="en-AU"/>
        </w:rPr>
      </w:pPr>
    </w:p>
    <w:p w:rsidR="0096391F" w:rsidRPr="00F54C58" w:rsidRDefault="0096391F" w:rsidP="00977D04">
      <w:pPr>
        <w:rPr>
          <w:b/>
        </w:rPr>
      </w:pPr>
      <w:bookmarkStart w:id="0" w:name="_Toc391472743"/>
      <w:r w:rsidRPr="00F54C58">
        <w:rPr>
          <w:b/>
          <w:i/>
        </w:rPr>
        <w:t>Public Governance, Performance and Accountability (Consequential and Transitional Provisions) Rule 2014</w:t>
      </w:r>
      <w:r w:rsidR="004E1285" w:rsidRPr="00F54C58">
        <w:rPr>
          <w:b/>
        </w:rPr>
        <w:t xml:space="preserve"> (CTP Rule)</w:t>
      </w:r>
    </w:p>
    <w:p w:rsidR="0096391F" w:rsidRDefault="0096391F" w:rsidP="00977D04">
      <w:pPr>
        <w:rPr>
          <w:b/>
          <w:lang w:val="en-AU"/>
        </w:rPr>
      </w:pPr>
    </w:p>
    <w:p w:rsidR="00376F24" w:rsidRDefault="0096391F" w:rsidP="00977D04">
      <w:pPr>
        <w:rPr>
          <w:b/>
          <w:lang w:val="en-AU"/>
        </w:rPr>
      </w:pPr>
      <w:r>
        <w:rPr>
          <w:b/>
          <w:lang w:val="en-AU"/>
        </w:rPr>
        <w:t>Item 1</w:t>
      </w:r>
      <w:bookmarkEnd w:id="0"/>
      <w:r w:rsidR="00F5454F">
        <w:rPr>
          <w:b/>
          <w:lang w:val="en-AU"/>
        </w:rPr>
        <w:t xml:space="preserve"> – at the end of the rule </w:t>
      </w:r>
    </w:p>
    <w:p w:rsidR="00F852B8" w:rsidRDefault="00F852B8" w:rsidP="00977D04">
      <w:pPr>
        <w:rPr>
          <w:b/>
          <w:lang w:val="en-AU"/>
        </w:rPr>
      </w:pPr>
    </w:p>
    <w:p w:rsidR="00F852B8" w:rsidRPr="00F852B8" w:rsidRDefault="00F5454F" w:rsidP="00977D04">
      <w:pPr>
        <w:rPr>
          <w:lang w:val="en-AU"/>
        </w:rPr>
      </w:pPr>
      <w:r>
        <w:rPr>
          <w:lang w:val="en-AU"/>
        </w:rPr>
        <w:t>This i</w:t>
      </w:r>
      <w:r w:rsidR="00F852B8">
        <w:rPr>
          <w:lang w:val="en-AU"/>
        </w:rPr>
        <w:t>nserts at the end of Division 1 o</w:t>
      </w:r>
      <w:r w:rsidR="00077550">
        <w:rPr>
          <w:lang w:val="en-AU"/>
        </w:rPr>
        <w:t>f</w:t>
      </w:r>
      <w:r w:rsidR="00F852B8">
        <w:rPr>
          <w:lang w:val="en-AU"/>
        </w:rPr>
        <w:t xml:space="preserve"> Part 2, a new section 9 to provide for the application of disclosure of interests for members of the Reserve Band Board and the Payments System Board.  The item has the effect that the following sections 7B and 7C </w:t>
      </w:r>
      <w:r w:rsidR="008F0A5C">
        <w:rPr>
          <w:lang w:val="en-AU"/>
        </w:rPr>
        <w:t>apply from a reporting period that commences on or after 1 July 2014.</w:t>
      </w:r>
    </w:p>
    <w:p w:rsidR="00F852B8" w:rsidRDefault="00F852B8" w:rsidP="00977D04">
      <w:pPr>
        <w:rPr>
          <w:b/>
          <w:lang w:val="en-AU"/>
        </w:rPr>
      </w:pPr>
    </w:p>
    <w:p w:rsidR="008D492F" w:rsidRDefault="00873E70" w:rsidP="00977D04">
      <w:pPr>
        <w:rPr>
          <w:b/>
          <w:lang w:val="en-AU"/>
        </w:rPr>
      </w:pPr>
      <w:r>
        <w:rPr>
          <w:b/>
          <w:lang w:val="en-AU"/>
        </w:rPr>
        <w:t>S</w:t>
      </w:r>
      <w:r w:rsidR="008D492F">
        <w:rPr>
          <w:b/>
          <w:lang w:val="en-AU"/>
        </w:rPr>
        <w:t>ection 7B</w:t>
      </w:r>
    </w:p>
    <w:p w:rsidR="008D492F" w:rsidRDefault="008D492F" w:rsidP="00977D04">
      <w:pPr>
        <w:rPr>
          <w:b/>
          <w:lang w:val="en-AU"/>
        </w:rPr>
      </w:pPr>
    </w:p>
    <w:p w:rsidR="00F56D3A" w:rsidRDefault="008F0A5C" w:rsidP="00F56D3A">
      <w:pPr>
        <w:pStyle w:val="Normal1"/>
        <w:widowControl w:val="0"/>
        <w:numPr>
          <w:ilvl w:val="0"/>
          <w:numId w:val="0"/>
        </w:numPr>
        <w:spacing w:after="0"/>
        <w:rPr>
          <w:rFonts w:eastAsia="Times New Roman"/>
          <w:color w:val="000000"/>
          <w:szCs w:val="24"/>
          <w:u w:val="none"/>
          <w:lang w:eastAsia="en-AU"/>
        </w:rPr>
      </w:pPr>
      <w:r w:rsidRPr="00E5082B">
        <w:rPr>
          <w:u w:val="none"/>
        </w:rPr>
        <w:t>Section 7B sets the</w:t>
      </w:r>
      <w:r w:rsidR="00F56D3A" w:rsidRPr="00E5082B">
        <w:rPr>
          <w:rFonts w:eastAsia="Times New Roman"/>
          <w:color w:val="000000"/>
          <w:szCs w:val="24"/>
          <w:u w:val="none"/>
          <w:lang w:eastAsia="en-AU"/>
        </w:rPr>
        <w:t xml:space="preserve"> disclosure of interest requirements for me</w:t>
      </w:r>
      <w:r w:rsidRPr="00E5082B">
        <w:rPr>
          <w:rFonts w:eastAsia="Times New Roman"/>
          <w:color w:val="000000"/>
          <w:szCs w:val="24"/>
          <w:u w:val="none"/>
          <w:lang w:eastAsia="en-AU"/>
        </w:rPr>
        <w:t xml:space="preserve">mbers of the Reserve Bank Board </w:t>
      </w:r>
      <w:r w:rsidR="00F56D3A" w:rsidRPr="00E5082B">
        <w:rPr>
          <w:rFonts w:eastAsia="Times New Roman"/>
          <w:color w:val="000000"/>
          <w:szCs w:val="24"/>
          <w:u w:val="none"/>
          <w:lang w:eastAsia="en-AU"/>
        </w:rPr>
        <w:t>in relation to</w:t>
      </w:r>
      <w:r w:rsidR="00E5082B" w:rsidRPr="00E5082B">
        <w:rPr>
          <w:rFonts w:eastAsia="Times New Roman"/>
          <w:color w:val="000000"/>
          <w:szCs w:val="24"/>
          <w:u w:val="none"/>
          <w:lang w:eastAsia="en-AU"/>
        </w:rPr>
        <w:t xml:space="preserve"> matters being considered by the Board involving</w:t>
      </w:r>
      <w:r w:rsidR="00F56D3A" w:rsidRPr="00E5082B">
        <w:rPr>
          <w:rFonts w:eastAsia="Times New Roman"/>
          <w:color w:val="000000"/>
          <w:szCs w:val="24"/>
          <w:u w:val="none"/>
          <w:lang w:eastAsia="en-AU"/>
        </w:rPr>
        <w:t xml:space="preserve"> monetary policy </w:t>
      </w:r>
      <w:r w:rsidRPr="00E5082B">
        <w:rPr>
          <w:rFonts w:eastAsia="Times New Roman"/>
          <w:color w:val="000000"/>
          <w:szCs w:val="24"/>
          <w:u w:val="none"/>
          <w:lang w:eastAsia="en-AU"/>
        </w:rPr>
        <w:t xml:space="preserve">and financial system stability. </w:t>
      </w:r>
      <w:r w:rsidR="00561ED6" w:rsidRPr="00E5082B">
        <w:rPr>
          <w:rFonts w:eastAsia="Times New Roman"/>
          <w:color w:val="000000"/>
          <w:szCs w:val="24"/>
          <w:u w:val="none"/>
          <w:lang w:eastAsia="en-AU"/>
        </w:rPr>
        <w:t xml:space="preserve"> </w:t>
      </w:r>
      <w:r w:rsidR="00E5082B" w:rsidRPr="00E5082B">
        <w:rPr>
          <w:rFonts w:eastAsia="Times New Roman"/>
          <w:color w:val="000000"/>
          <w:szCs w:val="24"/>
          <w:u w:val="none"/>
          <w:lang w:eastAsia="en-AU"/>
        </w:rPr>
        <w:t xml:space="preserve"> The arrangements allow for the Board’s role in relation to these matters.  </w:t>
      </w:r>
      <w:r w:rsidRPr="00E5082B">
        <w:rPr>
          <w:rFonts w:eastAsia="Times New Roman"/>
          <w:color w:val="000000"/>
          <w:szCs w:val="24"/>
          <w:u w:val="none"/>
          <w:lang w:eastAsia="en-AU"/>
        </w:rPr>
        <w:t>These arrangements are</w:t>
      </w:r>
      <w:r w:rsidR="00F56D3A" w:rsidRPr="00E5082B">
        <w:rPr>
          <w:rFonts w:eastAsia="Times New Roman"/>
          <w:color w:val="000000"/>
          <w:szCs w:val="24"/>
          <w:u w:val="none"/>
          <w:lang w:eastAsia="en-AU"/>
        </w:rPr>
        <w:t xml:space="preserve"> consistent with the former arrangements under the </w:t>
      </w:r>
      <w:r w:rsidR="00104D0C">
        <w:rPr>
          <w:rFonts w:eastAsia="Times New Roman"/>
          <w:color w:val="000000"/>
          <w:szCs w:val="24"/>
          <w:u w:val="none"/>
          <w:lang w:eastAsia="en-AU"/>
        </w:rPr>
        <w:t>RBA</w:t>
      </w:r>
      <w:r w:rsidR="00F56D3A" w:rsidRPr="00E5082B">
        <w:rPr>
          <w:rFonts w:eastAsia="Times New Roman"/>
          <w:color w:val="000000"/>
          <w:szCs w:val="24"/>
          <w:u w:val="none"/>
          <w:lang w:eastAsia="en-AU"/>
        </w:rPr>
        <w:t xml:space="preserve"> Act and the CAC Act class order issued by previous Treasurers.</w:t>
      </w:r>
      <w:r>
        <w:rPr>
          <w:rFonts w:eastAsia="Times New Roman"/>
          <w:color w:val="000000"/>
          <w:szCs w:val="24"/>
          <w:u w:val="none"/>
          <w:lang w:eastAsia="en-AU"/>
        </w:rPr>
        <w:t xml:space="preserve">  </w:t>
      </w:r>
    </w:p>
    <w:p w:rsidR="00E5082B" w:rsidRDefault="00E5082B" w:rsidP="008F20E7">
      <w:pPr>
        <w:spacing w:after="120" w:line="276" w:lineRule="auto"/>
        <w:rPr>
          <w:lang w:val="en-AU"/>
        </w:rPr>
      </w:pPr>
    </w:p>
    <w:p w:rsidR="00077550" w:rsidRDefault="00077550" w:rsidP="008F20E7">
      <w:pPr>
        <w:spacing w:after="120" w:line="276" w:lineRule="auto"/>
        <w:rPr>
          <w:lang w:val="en-AU"/>
        </w:rPr>
      </w:pPr>
    </w:p>
    <w:p w:rsidR="008F0A5C" w:rsidRDefault="008F0A5C" w:rsidP="00E5082B">
      <w:pPr>
        <w:spacing w:after="120" w:line="276" w:lineRule="auto"/>
        <w:rPr>
          <w:b/>
          <w:lang w:val="en-AU"/>
        </w:rPr>
      </w:pPr>
      <w:r>
        <w:rPr>
          <w:b/>
          <w:lang w:val="en-AU"/>
        </w:rPr>
        <w:t>Section 7C</w:t>
      </w:r>
    </w:p>
    <w:p w:rsidR="00E5082B" w:rsidRDefault="008F0A5C" w:rsidP="00C874C4">
      <w:pPr>
        <w:pStyle w:val="ParaNumbering"/>
        <w:rPr>
          <w:szCs w:val="24"/>
        </w:rPr>
      </w:pPr>
      <w:r w:rsidRPr="00C874C4">
        <w:rPr>
          <w:szCs w:val="24"/>
        </w:rPr>
        <w:t xml:space="preserve">This section sets the </w:t>
      </w:r>
      <w:r w:rsidR="00E5082B" w:rsidRPr="00C874C4">
        <w:rPr>
          <w:szCs w:val="24"/>
        </w:rPr>
        <w:t xml:space="preserve">disclosure of interest </w:t>
      </w:r>
      <w:r w:rsidRPr="00C874C4">
        <w:rPr>
          <w:szCs w:val="24"/>
        </w:rPr>
        <w:t>arrangements for the Reserve Bank Board and the Payments Sys</w:t>
      </w:r>
      <w:r w:rsidR="00E5082B" w:rsidRPr="00C874C4">
        <w:rPr>
          <w:szCs w:val="24"/>
        </w:rPr>
        <w:t>tem Board in relation</w:t>
      </w:r>
      <w:r w:rsidRPr="00C874C4">
        <w:rPr>
          <w:szCs w:val="24"/>
        </w:rPr>
        <w:t xml:space="preserve"> </w:t>
      </w:r>
      <w:r w:rsidR="00E5082B" w:rsidRPr="00C874C4">
        <w:rPr>
          <w:szCs w:val="24"/>
        </w:rPr>
        <w:t xml:space="preserve">matters being considered by the Board, other than monetary policy and financial system stability.  These arrangements are consistent with the former arrangements under the </w:t>
      </w:r>
      <w:r w:rsidR="00104D0C">
        <w:rPr>
          <w:szCs w:val="24"/>
        </w:rPr>
        <w:t>RBA</w:t>
      </w:r>
      <w:r w:rsidR="00E5082B" w:rsidRPr="00C874C4">
        <w:rPr>
          <w:szCs w:val="24"/>
        </w:rPr>
        <w:t xml:space="preserve"> Act and the CAC Act class order issued by previous Treasurers.  </w:t>
      </w:r>
    </w:p>
    <w:p w:rsidR="00C874C4" w:rsidRPr="00C874C4" w:rsidRDefault="00C874C4" w:rsidP="00C874C4">
      <w:pPr>
        <w:pStyle w:val="ParaNumbering"/>
        <w:rPr>
          <w:szCs w:val="24"/>
        </w:rPr>
      </w:pPr>
    </w:p>
    <w:p w:rsidR="005F0FE5" w:rsidRDefault="00D60A4D" w:rsidP="008F0A5C">
      <w:pPr>
        <w:rPr>
          <w:lang w:val="en-AU"/>
        </w:rPr>
      </w:pPr>
      <w:bookmarkStart w:id="1" w:name="_Toc391472746"/>
      <w:r w:rsidRPr="00D60A4D">
        <w:rPr>
          <w:lang w:val="en-AU"/>
        </w:rPr>
        <w:t xml:space="preserve">This </w:t>
      </w:r>
      <w:r>
        <w:rPr>
          <w:lang w:val="en-AU"/>
        </w:rPr>
        <w:t xml:space="preserve">item </w:t>
      </w:r>
      <w:r w:rsidR="00F5454F">
        <w:rPr>
          <w:lang w:val="en-AU"/>
        </w:rPr>
        <w:t xml:space="preserve">also </w:t>
      </w:r>
      <w:r>
        <w:rPr>
          <w:lang w:val="en-AU"/>
        </w:rPr>
        <w:t xml:space="preserve">inserts, at the end of the CTP Rule, a new section </w:t>
      </w:r>
      <w:r w:rsidR="00F56D3A">
        <w:rPr>
          <w:lang w:val="en-AU"/>
        </w:rPr>
        <w:t>10</w:t>
      </w:r>
      <w:r>
        <w:rPr>
          <w:lang w:val="en-AU"/>
        </w:rPr>
        <w:t xml:space="preserve"> </w:t>
      </w:r>
      <w:r w:rsidR="00F56D3A">
        <w:rPr>
          <w:lang w:val="en-AU"/>
        </w:rPr>
        <w:t xml:space="preserve">which will </w:t>
      </w:r>
      <w:r w:rsidR="00F56D3A">
        <w:t>apply</w:t>
      </w:r>
      <w:r w:rsidR="00F56D3A" w:rsidRPr="00FD1020">
        <w:t xml:space="preserve"> if section 17A of the </w:t>
      </w:r>
      <w:r w:rsidR="00856924" w:rsidRPr="00856924">
        <w:t>PGPA Rule</w:t>
      </w:r>
      <w:r w:rsidR="00F56D3A" w:rsidRPr="00FD1020">
        <w:t xml:space="preserve"> requires financial statements to be prepared for a Commonwealth entity </w:t>
      </w:r>
      <w:r w:rsidR="00F56D3A">
        <w:t>which has been abolished</w:t>
      </w:r>
      <w:r w:rsidR="00561ED6">
        <w:t xml:space="preserve">.  </w:t>
      </w:r>
      <w:r w:rsidR="00F56D3A">
        <w:t xml:space="preserve">The Rule requires the statements to </w:t>
      </w:r>
      <w:r w:rsidR="00F56D3A" w:rsidRPr="00FD1020">
        <w:t>be prepared in the same way that the annual financial statements for the entity</w:t>
      </w:r>
      <w:r w:rsidR="00F56D3A" w:rsidRPr="00FD1020">
        <w:rPr>
          <w:i/>
        </w:rPr>
        <w:t xml:space="preserve"> </w:t>
      </w:r>
      <w:r w:rsidR="00F56D3A" w:rsidRPr="00FD1020">
        <w:t>were required by the FMA Act or CAC Act for the previous reporting period</w:t>
      </w:r>
      <w:r w:rsidR="00376F24">
        <w:t xml:space="preserve"> and that the statements </w:t>
      </w:r>
      <w:r w:rsidR="00376F24" w:rsidRPr="00FD1020">
        <w:t xml:space="preserve">include the same matters that </w:t>
      </w:r>
      <w:r w:rsidR="00376F24">
        <w:t xml:space="preserve">were </w:t>
      </w:r>
      <w:r w:rsidR="00376F24" w:rsidRPr="00FD1020">
        <w:t>by the FMA Act or CAC Act for the previous reporting period</w:t>
      </w:r>
      <w:r w:rsidR="00376F24">
        <w:t>.</w:t>
      </w:r>
      <w:bookmarkEnd w:id="1"/>
    </w:p>
    <w:p w:rsidR="008F0A5C" w:rsidRPr="008F0A5C" w:rsidRDefault="008F0A5C" w:rsidP="008F0A5C">
      <w:pPr>
        <w:rPr>
          <w:lang w:val="en-AU"/>
        </w:rPr>
      </w:pPr>
    </w:p>
    <w:p w:rsidR="00376F24" w:rsidRPr="00F54C58" w:rsidRDefault="00376F24" w:rsidP="00376F24">
      <w:pPr>
        <w:rPr>
          <w:b/>
        </w:rPr>
      </w:pPr>
      <w:r w:rsidRPr="00F54C58">
        <w:rPr>
          <w:b/>
          <w:i/>
        </w:rPr>
        <w:t>Public Governance, Performance and Accountability Rule 2014</w:t>
      </w:r>
      <w:r w:rsidRPr="00F54C58">
        <w:rPr>
          <w:b/>
        </w:rPr>
        <w:t xml:space="preserve"> (</w:t>
      </w:r>
      <w:r>
        <w:rPr>
          <w:b/>
        </w:rPr>
        <w:t xml:space="preserve">PGPA </w:t>
      </w:r>
      <w:r w:rsidRPr="00F54C58">
        <w:rPr>
          <w:b/>
        </w:rPr>
        <w:t>Rule)</w:t>
      </w:r>
    </w:p>
    <w:p w:rsidR="00376F24" w:rsidRDefault="00376F24" w:rsidP="00376F24">
      <w:pPr>
        <w:rPr>
          <w:b/>
          <w:lang w:val="en-AU"/>
        </w:rPr>
      </w:pPr>
    </w:p>
    <w:p w:rsidR="00376F24" w:rsidRPr="00376F24" w:rsidRDefault="00376F24" w:rsidP="00376F24">
      <w:pPr>
        <w:rPr>
          <w:b/>
          <w:lang w:val="en-AU"/>
        </w:rPr>
      </w:pPr>
      <w:r w:rsidRPr="00376F24">
        <w:rPr>
          <w:b/>
          <w:lang w:val="en-AU"/>
        </w:rPr>
        <w:t xml:space="preserve">Item 2 – </w:t>
      </w:r>
      <w:r w:rsidRPr="00376F24">
        <w:rPr>
          <w:b/>
        </w:rPr>
        <w:t>Subparagraph 24(1)(a)(ii)</w:t>
      </w:r>
      <w:r w:rsidRPr="00376F24">
        <w:rPr>
          <w:b/>
          <w:lang w:val="en-AU"/>
        </w:rPr>
        <w:t xml:space="preserve"> </w:t>
      </w:r>
    </w:p>
    <w:p w:rsidR="00376F24" w:rsidRDefault="00376F24" w:rsidP="00376F24">
      <w:pPr>
        <w:rPr>
          <w:b/>
          <w:lang w:val="en-AU"/>
        </w:rPr>
      </w:pPr>
    </w:p>
    <w:p w:rsidR="00C874C4" w:rsidRPr="00C874C4" w:rsidRDefault="00C874C4" w:rsidP="00C432B5">
      <w:r w:rsidRPr="00C874C4">
        <w:t>Item 2 repeal</w:t>
      </w:r>
      <w:r w:rsidR="00CA4C3F">
        <w:t>s</w:t>
      </w:r>
      <w:r w:rsidRPr="00C874C4">
        <w:t xml:space="preserve"> this subparagraph.  When</w:t>
      </w:r>
      <w:r w:rsidR="006471E4">
        <w:t xml:space="preserve"> section 24 of the PGPA R</w:t>
      </w:r>
      <w:r w:rsidR="00376F24" w:rsidRPr="00C874C4">
        <w:t xml:space="preserve">ule </w:t>
      </w:r>
      <w:r w:rsidRPr="00C874C4">
        <w:t xml:space="preserve">was developed, </w:t>
      </w:r>
      <w:r w:rsidR="00376F24" w:rsidRPr="00C874C4">
        <w:t xml:space="preserve">there was no intention to change the requirements </w:t>
      </w:r>
      <w:r w:rsidRPr="00C874C4">
        <w:t>imposed on</w:t>
      </w:r>
      <w:r w:rsidR="00376F24" w:rsidRPr="00C874C4">
        <w:t xml:space="preserve"> entities </w:t>
      </w:r>
      <w:r w:rsidR="00077550">
        <w:t xml:space="preserve">in relation to the modification of terms and conditions of amounts owing to the Commonwealth </w:t>
      </w:r>
      <w:r w:rsidRPr="00C874C4">
        <w:t xml:space="preserve">from those that were previously </w:t>
      </w:r>
      <w:r w:rsidR="00376F24" w:rsidRPr="00C874C4">
        <w:t>imposed through the</w:t>
      </w:r>
      <w:r w:rsidR="00ED376C">
        <w:t xml:space="preserve"> FMA Act</w:t>
      </w:r>
      <w:r w:rsidRPr="00C874C4">
        <w:t xml:space="preserve">. </w:t>
      </w:r>
      <w:r w:rsidR="00376F24" w:rsidRPr="00C874C4">
        <w:t xml:space="preserve"> </w:t>
      </w:r>
      <w:r w:rsidRPr="00C874C4">
        <w:t>Rather, t</w:t>
      </w:r>
      <w:r w:rsidR="00C432B5" w:rsidRPr="00C874C4">
        <w:t xml:space="preserve">he provision sought to </w:t>
      </w:r>
      <w:r w:rsidR="00376F24" w:rsidRPr="00C874C4">
        <w:t>recast</w:t>
      </w:r>
      <w:r w:rsidR="00C432B5" w:rsidRPr="00C874C4">
        <w:t xml:space="preserve"> </w:t>
      </w:r>
      <w:r w:rsidR="00376F24" w:rsidRPr="00C874C4">
        <w:t xml:space="preserve">requirements </w:t>
      </w:r>
      <w:r w:rsidR="00C432B5" w:rsidRPr="00C874C4">
        <w:t xml:space="preserve">of the </w:t>
      </w:r>
      <w:r w:rsidR="00077550">
        <w:t>FMA Act</w:t>
      </w:r>
      <w:r w:rsidRPr="00C874C4">
        <w:t xml:space="preserve"> </w:t>
      </w:r>
      <w:r w:rsidR="00376F24" w:rsidRPr="00C874C4">
        <w:t xml:space="preserve">to </w:t>
      </w:r>
      <w:r w:rsidRPr="00C874C4">
        <w:t xml:space="preserve">continue to operate under </w:t>
      </w:r>
      <w:r w:rsidR="00C432B5" w:rsidRPr="00C874C4">
        <w:t>the PGPA Act</w:t>
      </w:r>
      <w:r w:rsidRPr="00C874C4">
        <w:t xml:space="preserve"> framework</w:t>
      </w:r>
      <w:r w:rsidR="00E5082B" w:rsidRPr="00C874C4">
        <w:t>.</w:t>
      </w:r>
      <w:r w:rsidR="00C432B5" w:rsidRPr="00C874C4">
        <w:t xml:space="preserve"> </w:t>
      </w:r>
      <w:r w:rsidR="00E5082B" w:rsidRPr="00C874C4">
        <w:t xml:space="preserve"> </w:t>
      </w:r>
    </w:p>
    <w:p w:rsidR="00C874C4" w:rsidRPr="00C874C4" w:rsidRDefault="00C874C4" w:rsidP="00C432B5"/>
    <w:p w:rsidR="00376F24" w:rsidRDefault="00C874C4" w:rsidP="00C432B5">
      <w:pPr>
        <w:rPr>
          <w:i/>
          <w:iCs/>
        </w:rPr>
      </w:pPr>
      <w:r w:rsidRPr="00C874C4">
        <w:t xml:space="preserve">However, </w:t>
      </w:r>
      <w:r w:rsidR="00C432B5" w:rsidRPr="00C874C4">
        <w:t>subparagraph 24(1)(a)(ii)</w:t>
      </w:r>
      <w:r w:rsidR="00C432B5" w:rsidRPr="00C874C4">
        <w:rPr>
          <w:lang w:val="en-AU"/>
        </w:rPr>
        <w:t xml:space="preserve"> </w:t>
      </w:r>
      <w:r w:rsidRPr="00C874C4">
        <w:rPr>
          <w:lang w:val="en-AU"/>
        </w:rPr>
        <w:t>has been found to extend</w:t>
      </w:r>
      <w:r w:rsidR="00C432B5" w:rsidRPr="00C874C4">
        <w:rPr>
          <w:lang w:val="en-AU"/>
        </w:rPr>
        <w:t xml:space="preserve"> the</w:t>
      </w:r>
      <w:r w:rsidRPr="00C874C4">
        <w:rPr>
          <w:lang w:val="en-AU"/>
        </w:rPr>
        <w:t xml:space="preserve"> scope of the</w:t>
      </w:r>
      <w:r w:rsidR="00C432B5" w:rsidRPr="00C874C4">
        <w:rPr>
          <w:lang w:val="en-AU"/>
        </w:rPr>
        <w:t xml:space="preserve"> requirements </w:t>
      </w:r>
      <w:r w:rsidRPr="00C874C4">
        <w:rPr>
          <w:lang w:val="en-AU"/>
        </w:rPr>
        <w:t xml:space="preserve">from </w:t>
      </w:r>
      <w:r w:rsidR="00A07924">
        <w:rPr>
          <w:lang w:val="en-AU"/>
        </w:rPr>
        <w:t xml:space="preserve">that </w:t>
      </w:r>
      <w:r w:rsidRPr="00C874C4">
        <w:rPr>
          <w:lang w:val="en-AU"/>
        </w:rPr>
        <w:t xml:space="preserve">required under the </w:t>
      </w:r>
      <w:r w:rsidR="00C432B5" w:rsidRPr="00C874C4">
        <w:rPr>
          <w:lang w:val="en-AU"/>
        </w:rPr>
        <w:t>FMA Act</w:t>
      </w:r>
      <w:r w:rsidRPr="00C874C4">
        <w:rPr>
          <w:lang w:val="en-AU"/>
        </w:rPr>
        <w:t>.</w:t>
      </w:r>
      <w:r w:rsidR="00376F24" w:rsidRPr="00C874C4">
        <w:t xml:space="preserve"> </w:t>
      </w:r>
      <w:r w:rsidRPr="00C874C4">
        <w:t xml:space="preserve"> </w:t>
      </w:r>
      <w:r w:rsidR="00A07924">
        <w:rPr>
          <w:bCs/>
        </w:rPr>
        <w:t>C</w:t>
      </w:r>
      <w:r w:rsidR="00A07924" w:rsidRPr="008D3D38">
        <w:rPr>
          <w:bCs/>
        </w:rPr>
        <w:t>ontrol</w:t>
      </w:r>
      <w:r w:rsidR="00A07924">
        <w:rPr>
          <w:bCs/>
        </w:rPr>
        <w:t>s</w:t>
      </w:r>
      <w:r w:rsidR="00A07924" w:rsidRPr="008D3D38">
        <w:rPr>
          <w:bCs/>
        </w:rPr>
        <w:t xml:space="preserve"> </w:t>
      </w:r>
      <w:r w:rsidR="003D1C4D">
        <w:rPr>
          <w:bCs/>
        </w:rPr>
        <w:t>on</w:t>
      </w:r>
      <w:r w:rsidR="00A07924" w:rsidRPr="008D3D38">
        <w:rPr>
          <w:bCs/>
        </w:rPr>
        <w:t xml:space="preserve"> this are</w:t>
      </w:r>
      <w:r w:rsidR="00A07924">
        <w:rPr>
          <w:bCs/>
        </w:rPr>
        <w:t>a</w:t>
      </w:r>
      <w:r w:rsidR="00A07924" w:rsidRPr="008D3D38">
        <w:rPr>
          <w:bCs/>
        </w:rPr>
        <w:t xml:space="preserve"> of the resource management framework </w:t>
      </w:r>
      <w:r w:rsidR="00A07924">
        <w:rPr>
          <w:bCs/>
        </w:rPr>
        <w:t xml:space="preserve">are maintained through the </w:t>
      </w:r>
      <w:r w:rsidR="00A07924" w:rsidRPr="008D3D38">
        <w:rPr>
          <w:bCs/>
          <w:i/>
        </w:rPr>
        <w:t>Public Governance, Performance and Accountability (Finance Minister to Accountable Authorities of Non-Corporate Commonwealth Entities) Delegation 2014</w:t>
      </w:r>
      <w:r w:rsidR="00A07924">
        <w:rPr>
          <w:bCs/>
        </w:rPr>
        <w:t xml:space="preserve"> which provides </w:t>
      </w:r>
      <w:r w:rsidR="00077550">
        <w:rPr>
          <w:bCs/>
        </w:rPr>
        <w:t xml:space="preserve">clear </w:t>
      </w:r>
      <w:r w:rsidR="00A07924">
        <w:rPr>
          <w:bCs/>
        </w:rPr>
        <w:t>directions to delegates in relation to the modification of the terms and conditions of amounts owing to the Commonwealth</w:t>
      </w:r>
      <w:r w:rsidR="00C432B5" w:rsidRPr="00C874C4">
        <w:rPr>
          <w:i/>
          <w:iCs/>
        </w:rPr>
        <w:t>.</w:t>
      </w:r>
    </w:p>
    <w:p w:rsidR="00C432B5" w:rsidRDefault="00C432B5" w:rsidP="00C432B5"/>
    <w:p w:rsidR="00376F24" w:rsidRPr="00376F24" w:rsidRDefault="00376F24" w:rsidP="00376F24">
      <w:pPr>
        <w:rPr>
          <w:b/>
          <w:lang w:val="en-AU"/>
        </w:rPr>
      </w:pPr>
      <w:r w:rsidRPr="00376F24">
        <w:rPr>
          <w:b/>
          <w:lang w:val="en-AU"/>
        </w:rPr>
        <w:t xml:space="preserve">Item 3 – </w:t>
      </w:r>
      <w:r w:rsidRPr="00376F24">
        <w:rPr>
          <w:b/>
        </w:rPr>
        <w:t>Subparagraph 21(c)(iii) of Schedule 1</w:t>
      </w:r>
    </w:p>
    <w:p w:rsidR="00376F24" w:rsidRDefault="00376F24" w:rsidP="00376F24">
      <w:pPr>
        <w:rPr>
          <w:b/>
          <w:lang w:val="en-AU"/>
        </w:rPr>
      </w:pPr>
    </w:p>
    <w:p w:rsidR="00376F24" w:rsidRPr="009B446D" w:rsidRDefault="00C874C4" w:rsidP="00376F24">
      <w:pPr>
        <w:rPr>
          <w:rFonts w:eastAsia="Times New Roman"/>
          <w:color w:val="000000"/>
          <w:lang w:eastAsia="en-AU"/>
        </w:rPr>
      </w:pPr>
      <w:r>
        <w:rPr>
          <w:rFonts w:eastAsia="Times New Roman"/>
          <w:color w:val="000000"/>
          <w:lang w:eastAsia="en-AU"/>
        </w:rPr>
        <w:t>Item 3 a</w:t>
      </w:r>
      <w:r w:rsidR="00376F24" w:rsidRPr="009B446D">
        <w:rPr>
          <w:rFonts w:eastAsia="Times New Roman"/>
          <w:color w:val="000000"/>
          <w:lang w:eastAsia="en-AU"/>
        </w:rPr>
        <w:t xml:space="preserve">mends </w:t>
      </w:r>
      <w:r w:rsidR="00104D0C">
        <w:rPr>
          <w:rFonts w:eastAsia="Times New Roman"/>
          <w:color w:val="000000"/>
          <w:lang w:eastAsia="en-AU"/>
        </w:rPr>
        <w:t>sub</w:t>
      </w:r>
      <w:r w:rsidR="00376F24" w:rsidRPr="009B446D">
        <w:rPr>
          <w:rFonts w:eastAsia="Times New Roman"/>
          <w:color w:val="000000"/>
          <w:lang w:eastAsia="en-AU"/>
        </w:rPr>
        <w:t>paragraph 21(c)(iii)</w:t>
      </w:r>
      <w:r w:rsidR="00C432B5" w:rsidRPr="009B446D">
        <w:rPr>
          <w:rFonts w:eastAsia="Times New Roman"/>
          <w:color w:val="000000"/>
          <w:lang w:eastAsia="en-AU"/>
        </w:rPr>
        <w:t xml:space="preserve"> of </w:t>
      </w:r>
      <w:r>
        <w:rPr>
          <w:rFonts w:eastAsia="Times New Roman"/>
          <w:color w:val="000000"/>
          <w:lang w:eastAsia="en-AU"/>
        </w:rPr>
        <w:t>Schedul</w:t>
      </w:r>
      <w:r w:rsidR="00077550">
        <w:rPr>
          <w:rFonts w:eastAsia="Times New Roman"/>
          <w:color w:val="000000"/>
          <w:lang w:eastAsia="en-AU"/>
        </w:rPr>
        <w:t>e 1 to correct a drafting error i</w:t>
      </w:r>
      <w:r>
        <w:rPr>
          <w:rFonts w:eastAsia="Times New Roman"/>
          <w:color w:val="000000"/>
          <w:lang w:eastAsia="en-AU"/>
        </w:rPr>
        <w:t xml:space="preserve">n relation to </w:t>
      </w:r>
      <w:r w:rsidR="00C432B5" w:rsidRPr="009B446D">
        <w:rPr>
          <w:rFonts w:eastAsia="Times New Roman"/>
          <w:color w:val="000000"/>
          <w:lang w:eastAsia="en-AU"/>
        </w:rPr>
        <w:t xml:space="preserve">the listing for the Seafarers Safety, </w:t>
      </w:r>
      <w:r w:rsidR="009B446D" w:rsidRPr="009B446D">
        <w:rPr>
          <w:rFonts w:eastAsia="Times New Roman"/>
          <w:color w:val="000000"/>
          <w:lang w:eastAsia="en-AU"/>
        </w:rPr>
        <w:t>Rehabilitation</w:t>
      </w:r>
      <w:r w:rsidR="00C432B5" w:rsidRPr="009B446D">
        <w:rPr>
          <w:rFonts w:eastAsia="Times New Roman"/>
          <w:color w:val="000000"/>
          <w:lang w:eastAsia="en-AU"/>
        </w:rPr>
        <w:t xml:space="preserve"> and Safety Authority</w:t>
      </w:r>
      <w:r w:rsidR="00077550">
        <w:rPr>
          <w:rFonts w:eastAsia="Times New Roman"/>
          <w:color w:val="000000"/>
          <w:lang w:eastAsia="en-AU"/>
        </w:rPr>
        <w:t>. S</w:t>
      </w:r>
      <w:r w:rsidR="00104D0C">
        <w:rPr>
          <w:rFonts w:eastAsia="Times New Roman"/>
          <w:color w:val="000000"/>
          <w:lang w:eastAsia="en-AU"/>
        </w:rPr>
        <w:t>ub</w:t>
      </w:r>
      <w:r w:rsidR="00104D0C" w:rsidRPr="009B446D">
        <w:rPr>
          <w:rFonts w:eastAsia="Times New Roman"/>
          <w:color w:val="000000"/>
          <w:lang w:eastAsia="en-AU"/>
        </w:rPr>
        <w:t xml:space="preserve">paragraph 21(c)(iii) of </w:t>
      </w:r>
      <w:r w:rsidR="00104D0C">
        <w:rPr>
          <w:rFonts w:eastAsia="Times New Roman"/>
          <w:color w:val="000000"/>
          <w:lang w:eastAsia="en-AU"/>
        </w:rPr>
        <w:t xml:space="preserve">Schedule </w:t>
      </w:r>
      <w:r w:rsidR="00376F24" w:rsidRPr="009B446D">
        <w:rPr>
          <w:rFonts w:eastAsia="Times New Roman"/>
          <w:color w:val="000000"/>
          <w:lang w:eastAsia="en-AU"/>
        </w:rPr>
        <w:t>refer</w:t>
      </w:r>
      <w:r w:rsidR="00104D0C">
        <w:rPr>
          <w:rFonts w:eastAsia="Times New Roman"/>
          <w:color w:val="000000"/>
          <w:lang w:eastAsia="en-AU"/>
        </w:rPr>
        <w:t>s</w:t>
      </w:r>
      <w:r w:rsidR="00376F24" w:rsidRPr="009B446D">
        <w:rPr>
          <w:rFonts w:eastAsia="Times New Roman"/>
          <w:color w:val="000000"/>
          <w:lang w:eastAsia="en-AU"/>
        </w:rPr>
        <w:t xml:space="preserve"> to section 125(1) of the </w:t>
      </w:r>
      <w:r w:rsidR="00376F24" w:rsidRPr="009B446D">
        <w:rPr>
          <w:rFonts w:eastAsia="Times New Roman"/>
          <w:i/>
          <w:color w:val="000000"/>
          <w:lang w:eastAsia="en-AU"/>
        </w:rPr>
        <w:t>Seafarers Rehabilitation and Compensation Act 1992</w:t>
      </w:r>
      <w:r w:rsidR="00561ED6">
        <w:rPr>
          <w:rFonts w:eastAsia="Times New Roman"/>
          <w:color w:val="000000"/>
          <w:lang w:eastAsia="en-AU"/>
        </w:rPr>
        <w:t xml:space="preserve">.  </w:t>
      </w:r>
      <w:r w:rsidR="00C432B5" w:rsidRPr="009B446D">
        <w:rPr>
          <w:rFonts w:eastAsia="Times New Roman"/>
          <w:color w:val="000000"/>
          <w:lang w:eastAsia="en-AU"/>
        </w:rPr>
        <w:t>The initial version of</w:t>
      </w:r>
      <w:r w:rsidR="00376F24" w:rsidRPr="009B446D">
        <w:rPr>
          <w:rFonts w:eastAsia="Times New Roman"/>
          <w:color w:val="000000"/>
          <w:lang w:eastAsia="en-AU"/>
        </w:rPr>
        <w:t xml:space="preserve"> paragraph 21(c)(iii) incorre</w:t>
      </w:r>
      <w:r w:rsidR="00C432B5" w:rsidRPr="009B446D">
        <w:rPr>
          <w:rFonts w:eastAsia="Times New Roman"/>
          <w:color w:val="000000"/>
          <w:lang w:eastAsia="en-AU"/>
        </w:rPr>
        <w:t xml:space="preserve">ctly </w:t>
      </w:r>
      <w:r w:rsidR="009B446D" w:rsidRPr="009B446D">
        <w:rPr>
          <w:rFonts w:eastAsia="Times New Roman"/>
          <w:color w:val="000000"/>
          <w:lang w:eastAsia="en-AU"/>
        </w:rPr>
        <w:t>referred</w:t>
      </w:r>
      <w:r w:rsidR="00376F24" w:rsidRPr="009B446D">
        <w:rPr>
          <w:rFonts w:eastAsia="Times New Roman"/>
          <w:color w:val="000000"/>
          <w:lang w:eastAsia="en-AU"/>
        </w:rPr>
        <w:t xml:space="preserve"> to the </w:t>
      </w:r>
      <w:r w:rsidR="00376F24" w:rsidRPr="009B446D">
        <w:rPr>
          <w:rFonts w:eastAsia="Times New Roman"/>
          <w:i/>
          <w:color w:val="000000"/>
          <w:lang w:eastAsia="en-AU"/>
        </w:rPr>
        <w:t>Safety Rehabilitation and Compensation Act 1988</w:t>
      </w:r>
      <w:r w:rsidR="00376F24" w:rsidRPr="009B446D">
        <w:rPr>
          <w:rFonts w:eastAsia="Times New Roman"/>
          <w:color w:val="000000"/>
          <w:lang w:eastAsia="en-AU"/>
        </w:rPr>
        <w:t>.</w:t>
      </w:r>
    </w:p>
    <w:p w:rsidR="004E45B0" w:rsidRDefault="004E45B0" w:rsidP="00376F24">
      <w:pPr>
        <w:pStyle w:val="Normal1"/>
        <w:widowControl w:val="0"/>
        <w:numPr>
          <w:ilvl w:val="0"/>
          <w:numId w:val="0"/>
        </w:numPr>
        <w:spacing w:after="0"/>
        <w:rPr>
          <w:u w:val="none"/>
        </w:rPr>
        <w:sectPr w:rsidR="004E45B0" w:rsidSect="00AE08B4">
          <w:headerReference w:type="default" r:id="rId9"/>
          <w:pgSz w:w="11906" w:h="16838"/>
          <w:pgMar w:top="1440" w:right="1440" w:bottom="1440" w:left="1440" w:header="708" w:footer="514" w:gutter="0"/>
          <w:pgNumType w:start="1"/>
          <w:cols w:space="708"/>
          <w:titlePg/>
          <w:docGrid w:linePitch="360"/>
        </w:sectPr>
      </w:pPr>
    </w:p>
    <w:p w:rsidR="00BF1181" w:rsidRDefault="00BF1181" w:rsidP="00BF1181">
      <w:pPr>
        <w:pStyle w:val="Heading2"/>
        <w:jc w:val="right"/>
        <w:rPr>
          <w:rFonts w:ascii="Times New Roman" w:hAnsi="Times New Roman" w:cs="Times New Roman"/>
          <w:sz w:val="24"/>
          <w:szCs w:val="24"/>
          <w:u w:val="single"/>
        </w:rPr>
      </w:pPr>
      <w:r w:rsidRPr="00BF1181">
        <w:rPr>
          <w:rFonts w:ascii="Times New Roman" w:hAnsi="Times New Roman" w:cs="Times New Roman"/>
          <w:sz w:val="24"/>
          <w:szCs w:val="24"/>
          <w:u w:val="single"/>
        </w:rPr>
        <w:t>Attachment B</w:t>
      </w:r>
    </w:p>
    <w:p w:rsidR="004E45B0" w:rsidRPr="004E45B0" w:rsidRDefault="004E45B0" w:rsidP="004E45B0"/>
    <w:p w:rsidR="00A609F2" w:rsidRDefault="00167E2E" w:rsidP="007E6A30">
      <w:pPr>
        <w:pStyle w:val="Heading2"/>
        <w:jc w:val="center"/>
        <w:rPr>
          <w:rFonts w:ascii="Times New Roman" w:hAnsi="Times New Roman" w:cs="Times New Roman"/>
          <w:sz w:val="24"/>
          <w:szCs w:val="24"/>
        </w:rPr>
      </w:pPr>
      <w:r w:rsidRPr="00977D04">
        <w:rPr>
          <w:rFonts w:ascii="Times New Roman" w:hAnsi="Times New Roman" w:cs="Times New Roman"/>
          <w:sz w:val="24"/>
          <w:szCs w:val="24"/>
        </w:rPr>
        <w:t xml:space="preserve">Statement of </w:t>
      </w:r>
      <w:r w:rsidR="00D75AD5">
        <w:rPr>
          <w:rFonts w:ascii="Times New Roman" w:hAnsi="Times New Roman" w:cs="Times New Roman"/>
          <w:sz w:val="24"/>
          <w:szCs w:val="24"/>
        </w:rPr>
        <w:t>C</w:t>
      </w:r>
      <w:r w:rsidR="00D75AD5" w:rsidRPr="00977D04">
        <w:rPr>
          <w:rFonts w:ascii="Times New Roman" w:hAnsi="Times New Roman" w:cs="Times New Roman"/>
          <w:sz w:val="24"/>
          <w:szCs w:val="24"/>
        </w:rPr>
        <w:t xml:space="preserve">ompatibility </w:t>
      </w:r>
      <w:r w:rsidRPr="00977D04">
        <w:rPr>
          <w:rFonts w:ascii="Times New Roman" w:hAnsi="Times New Roman" w:cs="Times New Roman"/>
          <w:sz w:val="24"/>
          <w:szCs w:val="24"/>
        </w:rPr>
        <w:t xml:space="preserve">with </w:t>
      </w:r>
      <w:r w:rsidR="00D75AD5">
        <w:rPr>
          <w:rFonts w:ascii="Times New Roman" w:hAnsi="Times New Roman" w:cs="Times New Roman"/>
          <w:sz w:val="24"/>
          <w:szCs w:val="24"/>
        </w:rPr>
        <w:t>H</w:t>
      </w:r>
      <w:r w:rsidR="00D75AD5" w:rsidRPr="00977D04">
        <w:rPr>
          <w:rFonts w:ascii="Times New Roman" w:hAnsi="Times New Roman" w:cs="Times New Roman"/>
          <w:sz w:val="24"/>
          <w:szCs w:val="24"/>
        </w:rPr>
        <w:t xml:space="preserve">uman </w:t>
      </w:r>
      <w:r w:rsidR="00D75AD5">
        <w:rPr>
          <w:rFonts w:ascii="Times New Roman" w:hAnsi="Times New Roman" w:cs="Times New Roman"/>
          <w:sz w:val="24"/>
          <w:szCs w:val="24"/>
        </w:rPr>
        <w:t>R</w:t>
      </w:r>
      <w:r w:rsidR="00D75AD5" w:rsidRPr="00977D04">
        <w:rPr>
          <w:rFonts w:ascii="Times New Roman" w:hAnsi="Times New Roman" w:cs="Times New Roman"/>
          <w:sz w:val="24"/>
          <w:szCs w:val="24"/>
        </w:rPr>
        <w:t>ights</w:t>
      </w:r>
    </w:p>
    <w:p w:rsidR="007E6A30" w:rsidRPr="007E6A30" w:rsidRDefault="007E6A30" w:rsidP="007E6A30"/>
    <w:p w:rsidR="00C445FC" w:rsidRPr="00C445FC" w:rsidRDefault="00C445FC" w:rsidP="00C445FC"/>
    <w:p w:rsidR="003C49CD" w:rsidRDefault="00167E2E" w:rsidP="00D976E6">
      <w:pPr>
        <w:rPr>
          <w:i/>
        </w:rPr>
      </w:pPr>
      <w:r w:rsidRPr="00977D04">
        <w:t xml:space="preserve">Prepared in accordance with Part 3 of the </w:t>
      </w:r>
      <w:r w:rsidRPr="00977D04">
        <w:rPr>
          <w:i/>
        </w:rPr>
        <w:t>Human Rights (Parliamentary Scrutiny) Act 2011</w:t>
      </w:r>
    </w:p>
    <w:p w:rsidR="009C481F" w:rsidRPr="00977D04" w:rsidRDefault="009C481F" w:rsidP="00D976E6"/>
    <w:p w:rsidR="003C49CD" w:rsidRPr="00DC53C0" w:rsidRDefault="00DC53C0" w:rsidP="00D976E6">
      <w:pPr>
        <w:rPr>
          <w:b/>
          <w:i/>
        </w:rPr>
      </w:pPr>
      <w:r w:rsidRPr="00DC53C0">
        <w:rPr>
          <w:b/>
          <w:i/>
        </w:rPr>
        <w:t>Public Governance, Performance and Accountability Legislation Amendment (RBA and Other Measures) Rule 2014</w:t>
      </w:r>
    </w:p>
    <w:p w:rsidR="009C481F" w:rsidRPr="00977D04" w:rsidRDefault="009C481F" w:rsidP="00D976E6"/>
    <w:p w:rsidR="00A609F2" w:rsidRPr="00977D04" w:rsidRDefault="00E00E37" w:rsidP="00D976E6">
      <w:pPr>
        <w:rPr>
          <w:i/>
        </w:rPr>
      </w:pPr>
      <w:r w:rsidRPr="00977D04">
        <w:t xml:space="preserve">The </w:t>
      </w:r>
      <w:r w:rsidR="00DC53C0" w:rsidRPr="00DC53C0">
        <w:rPr>
          <w:i/>
        </w:rPr>
        <w:t>Public Governance, Performance and Accountability Legislation Amendment (RBA and Other Measures) Rule 2014</w:t>
      </w:r>
      <w:r w:rsidR="00DC53C0" w:rsidRPr="00977D04">
        <w:t xml:space="preserve"> </w:t>
      </w:r>
      <w:r w:rsidR="0092738C" w:rsidRPr="00977D04">
        <w:t>(</w:t>
      </w:r>
      <w:r w:rsidR="005C29D9">
        <w:t>RBA and Other Measure</w:t>
      </w:r>
      <w:r w:rsidR="00856924">
        <w:t>s</w:t>
      </w:r>
      <w:r w:rsidR="005C29D9">
        <w:t xml:space="preserve"> </w:t>
      </w:r>
      <w:r w:rsidR="005C29D9" w:rsidRPr="001F74A6">
        <w:t>Amendment Rule</w:t>
      </w:r>
      <w:r w:rsidR="0092738C" w:rsidRPr="00977D04">
        <w:t xml:space="preserve">) </w:t>
      </w:r>
      <w:r w:rsidRPr="00977D04">
        <w:t xml:space="preserve">is compatible with the human rights and freedoms recognised or declared in the international instruments listed in section 3 of the </w:t>
      </w:r>
      <w:r w:rsidRPr="00977D04">
        <w:rPr>
          <w:i/>
        </w:rPr>
        <w:t>Human Rights (Parliamentary Scrutiny) Act 2011.</w:t>
      </w:r>
    </w:p>
    <w:p w:rsidR="009C481F" w:rsidRPr="00977D04" w:rsidRDefault="009C481F" w:rsidP="00D976E6"/>
    <w:p w:rsidR="00E00E37" w:rsidRDefault="00661056" w:rsidP="00D976E6">
      <w:pPr>
        <w:rPr>
          <w:b/>
          <w:lang w:val="en-AU"/>
        </w:rPr>
      </w:pPr>
      <w:r w:rsidRPr="00977D04">
        <w:rPr>
          <w:b/>
          <w:lang w:val="en-AU"/>
        </w:rPr>
        <w:t>Overview</w:t>
      </w:r>
      <w:r w:rsidR="00474C20" w:rsidRPr="00977D04">
        <w:rPr>
          <w:b/>
          <w:lang w:val="en-AU"/>
        </w:rPr>
        <w:t xml:space="preserve"> of the legislative instrument</w:t>
      </w:r>
    </w:p>
    <w:p w:rsidR="00C351ED" w:rsidRPr="00977D04" w:rsidRDefault="00C351ED" w:rsidP="00D976E6">
      <w:pPr>
        <w:rPr>
          <w:b/>
          <w:lang w:val="en-AU"/>
        </w:rPr>
      </w:pPr>
    </w:p>
    <w:p w:rsidR="00A609F2" w:rsidRPr="00596CD4" w:rsidRDefault="00A609F2" w:rsidP="00A609F2">
      <w:pPr>
        <w:rPr>
          <w:lang w:val="en-AU"/>
        </w:rPr>
      </w:pPr>
      <w:r w:rsidRPr="00977D04">
        <w:rPr>
          <w:lang w:val="en-AU"/>
        </w:rPr>
        <w:t xml:space="preserve">The </w:t>
      </w:r>
      <w:r w:rsidRPr="00977D04">
        <w:rPr>
          <w:i/>
          <w:lang w:val="en-AU"/>
        </w:rPr>
        <w:t>Public Governance, Performance and Accountability Act 2013</w:t>
      </w:r>
      <w:r>
        <w:rPr>
          <w:lang w:val="en-AU"/>
        </w:rPr>
        <w:t xml:space="preserve"> (PGPA Act) sets</w:t>
      </w:r>
      <w:r w:rsidRPr="00977D04">
        <w:rPr>
          <w:lang w:val="en-AU"/>
        </w:rPr>
        <w:t xml:space="preserve"> out a framework for regulating resource management by the Commonwealth and relevant entities</w:t>
      </w:r>
      <w:r w:rsidR="00561ED6">
        <w:rPr>
          <w:lang w:val="en-AU"/>
        </w:rPr>
        <w:t xml:space="preserve">.  </w:t>
      </w:r>
      <w:r w:rsidRPr="00596CD4">
        <w:t>Section 101 of the PGPA Act provides that the Finance Minister may make rules by legislative instrument to prescribe matters giving effect to the Act.</w:t>
      </w:r>
    </w:p>
    <w:p w:rsidR="000C0E45" w:rsidRDefault="000C0E45" w:rsidP="000C0E45">
      <w:pPr>
        <w:tabs>
          <w:tab w:val="left" w:pos="567"/>
          <w:tab w:val="left" w:pos="1276"/>
        </w:tabs>
      </w:pPr>
    </w:p>
    <w:p w:rsidR="004816AF" w:rsidRDefault="000C0E45" w:rsidP="000C0E45">
      <w:pPr>
        <w:tabs>
          <w:tab w:val="left" w:pos="567"/>
          <w:tab w:val="left" w:pos="1276"/>
        </w:tabs>
      </w:pPr>
      <w:r w:rsidRPr="00977D04">
        <w:t xml:space="preserve">The </w:t>
      </w:r>
      <w:r w:rsidRPr="00977D04">
        <w:rPr>
          <w:i/>
        </w:rPr>
        <w:t>Public Governance, Performance and Accountability (Consequential and Transitional Provisions) Act 2014</w:t>
      </w:r>
      <w:r w:rsidRPr="00977D04">
        <w:t xml:space="preserve"> </w:t>
      </w:r>
      <w:r>
        <w:t xml:space="preserve">(CTP Act) </w:t>
      </w:r>
      <w:r w:rsidR="00233481">
        <w:t>amended</w:t>
      </w:r>
      <w:r w:rsidRPr="00977D04">
        <w:t xml:space="preserve"> </w:t>
      </w:r>
      <w:r w:rsidR="00AB5C04">
        <w:t xml:space="preserve">242 </w:t>
      </w:r>
      <w:r w:rsidRPr="00977D04">
        <w:t xml:space="preserve">Acts across the Commonwealth to support the implementation of </w:t>
      </w:r>
      <w:r>
        <w:t>PGPA Act</w:t>
      </w:r>
      <w:r w:rsidRPr="00977D04">
        <w:t xml:space="preserve"> and its related rules and instruments</w:t>
      </w:r>
      <w:r w:rsidR="00561ED6">
        <w:t xml:space="preserve">.  </w:t>
      </w:r>
      <w:r w:rsidR="00297EE9">
        <w:t xml:space="preserve">Item 6 of Schedule 14 of </w:t>
      </w:r>
      <w:r w:rsidR="008C4D2C" w:rsidRPr="00977D04">
        <w:t xml:space="preserve">the </w:t>
      </w:r>
      <w:r w:rsidRPr="000C0E45">
        <w:t>CTP Act</w:t>
      </w:r>
      <w:r>
        <w:rPr>
          <w:i/>
        </w:rPr>
        <w:t xml:space="preserve"> </w:t>
      </w:r>
      <w:r w:rsidR="009C0A93" w:rsidRPr="00977D04">
        <w:t xml:space="preserve">provides that the </w:t>
      </w:r>
      <w:r w:rsidR="008C4D2C" w:rsidRPr="00977D04">
        <w:t>Finance Minister may, by legislative instrument, make rules prescribing matters required or permitted by th</w:t>
      </w:r>
      <w:r w:rsidR="00AB5C04">
        <w:t>e CTP</w:t>
      </w:r>
      <w:r w:rsidR="008C4D2C" w:rsidRPr="00977D04">
        <w:t xml:space="preserve"> Act to be prescribed by the rules, or necessary or convenient to be prescribed for carry</w:t>
      </w:r>
      <w:r w:rsidR="00297EE9">
        <w:t>ing out or giving effect to the CTP Act and the PGPA </w:t>
      </w:r>
      <w:r w:rsidR="008C4D2C" w:rsidRPr="00977D04">
        <w:t>Act.</w:t>
      </w:r>
    </w:p>
    <w:p w:rsidR="004816AF" w:rsidRDefault="004816AF" w:rsidP="004816AF"/>
    <w:p w:rsidR="00C874C4" w:rsidRDefault="005C29D9" w:rsidP="006471E4">
      <w:pPr>
        <w:rPr>
          <w:lang w:val="en-AU"/>
        </w:rPr>
      </w:pPr>
      <w:r>
        <w:t>RBA and Other Measure</w:t>
      </w:r>
      <w:r w:rsidR="00856924">
        <w:t>s</w:t>
      </w:r>
      <w:r>
        <w:t xml:space="preserve"> </w:t>
      </w:r>
      <w:r w:rsidRPr="001F74A6">
        <w:t>Amendment Rule</w:t>
      </w:r>
      <w:r>
        <w:t xml:space="preserve"> </w:t>
      </w:r>
      <w:r w:rsidR="00C874C4">
        <w:t>is intended</w:t>
      </w:r>
      <w:r w:rsidR="00A609F2">
        <w:t xml:space="preserve"> to amend the rules instruments made under </w:t>
      </w:r>
      <w:r w:rsidR="007E6A30">
        <w:t>PGPA Act and the CTP Act,</w:t>
      </w:r>
      <w:r w:rsidR="00A609F2">
        <w:t xml:space="preserve"> to support the implementation of the PGPA legislative framework</w:t>
      </w:r>
      <w:r w:rsidR="00561ED6">
        <w:t xml:space="preserve">.  </w:t>
      </w:r>
      <w:r w:rsidR="00A609F2">
        <w:t xml:space="preserve">These rules instruments are </w:t>
      </w:r>
      <w:r w:rsidR="00A609F2">
        <w:rPr>
          <w:lang w:val="en-AU"/>
        </w:rPr>
        <w:t xml:space="preserve">the </w:t>
      </w:r>
      <w:r w:rsidR="00A609F2" w:rsidRPr="004310CB">
        <w:rPr>
          <w:i/>
          <w:lang w:val="en-AU"/>
        </w:rPr>
        <w:t>Public Governance, Performance and Accountability Rule 2014</w:t>
      </w:r>
      <w:r w:rsidR="00A609F2">
        <w:rPr>
          <w:lang w:val="en-AU"/>
        </w:rPr>
        <w:t xml:space="preserve"> (PGPA Rule) and </w:t>
      </w:r>
      <w:r w:rsidR="00A609F2">
        <w:t xml:space="preserve">the </w:t>
      </w:r>
      <w:r w:rsidR="00A609F2" w:rsidRPr="004310CB">
        <w:rPr>
          <w:i/>
          <w:lang w:val="en-AU"/>
        </w:rPr>
        <w:t>Public Governance, Performance and Accountability (Consequential and Transitional Provisions) Rule 2014</w:t>
      </w:r>
      <w:r w:rsidR="00A609F2">
        <w:rPr>
          <w:lang w:val="en-AU"/>
        </w:rPr>
        <w:t xml:space="preserve"> (CTP Rule)</w:t>
      </w:r>
      <w:r w:rsidR="00561ED6">
        <w:rPr>
          <w:lang w:val="en-AU"/>
        </w:rPr>
        <w:t xml:space="preserve">.  </w:t>
      </w:r>
    </w:p>
    <w:p w:rsidR="006471E4" w:rsidRPr="00C874C4" w:rsidRDefault="006471E4" w:rsidP="006471E4">
      <w:pPr>
        <w:rPr>
          <w:lang w:val="en-AU"/>
        </w:rPr>
      </w:pPr>
    </w:p>
    <w:p w:rsidR="00C874C4" w:rsidRDefault="00A609F2" w:rsidP="00A609F2">
      <w:pPr>
        <w:spacing w:after="120"/>
        <w:rPr>
          <w:rFonts w:eastAsia="Times New Roman"/>
          <w:color w:val="000000" w:themeColor="text1"/>
          <w:lang w:val="en-AU" w:bidi="ar-SA"/>
        </w:rPr>
      </w:pPr>
      <w:r w:rsidRPr="00977D04">
        <w:t xml:space="preserve">The </w:t>
      </w:r>
      <w:r w:rsidR="00856924">
        <w:t xml:space="preserve">RBA and Other Measures </w:t>
      </w:r>
      <w:r w:rsidR="00856924" w:rsidRPr="001F74A6">
        <w:t>Amendment Rule</w:t>
      </w:r>
      <w:r w:rsidR="00856924">
        <w:t xml:space="preserve"> </w:t>
      </w:r>
      <w:r w:rsidRPr="00977D04">
        <w:t xml:space="preserve">contains provisions </w:t>
      </w:r>
      <w:r w:rsidRPr="00977D04">
        <w:rPr>
          <w:rFonts w:eastAsia="Times New Roman"/>
          <w:color w:val="000000" w:themeColor="text1"/>
          <w:lang w:val="en-AU" w:bidi="ar-SA"/>
        </w:rPr>
        <w:t>that:</w:t>
      </w:r>
    </w:p>
    <w:p w:rsidR="00A609F2" w:rsidRDefault="00F276BB" w:rsidP="00C874C4">
      <w:pPr>
        <w:pStyle w:val="ListParagraph"/>
        <w:numPr>
          <w:ilvl w:val="0"/>
          <w:numId w:val="15"/>
        </w:numPr>
        <w:spacing w:after="120"/>
      </w:pPr>
      <w:r>
        <w:t xml:space="preserve">Provide </w:t>
      </w:r>
      <w:r w:rsidR="006471E4">
        <w:t xml:space="preserve">for </w:t>
      </w:r>
      <w:r w:rsidR="00077550">
        <w:t xml:space="preserve">the continuation of disclosure of interest arrangements in the CTP Rule, that were in place for the Reserve Bank of Australia under the </w:t>
      </w:r>
      <w:r w:rsidR="00077550" w:rsidRPr="00CA4C3F">
        <w:rPr>
          <w:i/>
        </w:rPr>
        <w:t>Reserve Bank Act 195</w:t>
      </w:r>
      <w:r w:rsidR="00077550" w:rsidRPr="007167D5">
        <w:rPr>
          <w:i/>
        </w:rPr>
        <w:t>9 Act</w:t>
      </w:r>
      <w:r w:rsidR="00077550">
        <w:t xml:space="preserve"> and </w:t>
      </w:r>
      <w:r w:rsidR="00077550">
        <w:rPr>
          <w:i/>
        </w:rPr>
        <w:t xml:space="preserve">Commonwealth Authorities and Companies Act </w:t>
      </w:r>
      <w:r w:rsidR="00077550">
        <w:t>(CAC Act) prior to the commencement of the PGPA legislative framework</w:t>
      </w:r>
      <w:r w:rsidR="00C874C4">
        <w:t>;</w:t>
      </w:r>
    </w:p>
    <w:p w:rsidR="00A07924" w:rsidRDefault="00F5454F" w:rsidP="00A07924">
      <w:pPr>
        <w:pStyle w:val="ListParagraph"/>
        <w:numPr>
          <w:ilvl w:val="0"/>
          <w:numId w:val="15"/>
        </w:numPr>
        <w:spacing w:before="120"/>
        <w:contextualSpacing w:val="0"/>
      </w:pPr>
      <w:r>
        <w:t xml:space="preserve">Provide a </w:t>
      </w:r>
      <w:r w:rsidR="00077550">
        <w:t>mechanism for the preparation of financial statements should</w:t>
      </w:r>
      <w:r w:rsidR="00077550" w:rsidRPr="00FD1020">
        <w:t xml:space="preserve"> section 17A of the </w:t>
      </w:r>
      <w:r w:rsidR="00077550" w:rsidRPr="006D51B5">
        <w:rPr>
          <w:i/>
        </w:rPr>
        <w:t>Public Governance, Performance and Accountability Rule 2014</w:t>
      </w:r>
      <w:r w:rsidR="00077550">
        <w:t xml:space="preserve"> require</w:t>
      </w:r>
      <w:r w:rsidR="00077550" w:rsidRPr="00FD1020">
        <w:t xml:space="preserve"> financial statements to be prepared for a Commonwealth entity </w:t>
      </w:r>
      <w:r w:rsidR="00077550">
        <w:t>which has been abolished before the financial reporting rule is settled</w:t>
      </w:r>
      <w:r w:rsidR="00A07924">
        <w:t>;</w:t>
      </w:r>
    </w:p>
    <w:p w:rsidR="00C874C4" w:rsidRDefault="006471E4" w:rsidP="00C874C4">
      <w:pPr>
        <w:pStyle w:val="ListParagraph"/>
        <w:numPr>
          <w:ilvl w:val="0"/>
          <w:numId w:val="15"/>
        </w:numPr>
        <w:spacing w:after="120"/>
      </w:pPr>
      <w:r>
        <w:t xml:space="preserve">Repeal </w:t>
      </w:r>
      <w:r w:rsidR="00077550">
        <w:t xml:space="preserve">a subparagraph of the PGPA Rule to align the effect of the provision with the initial policy intention not to change requirements for modification of terms and conditions of amounts payable to the Commonwealth from what was imposed under the </w:t>
      </w:r>
      <w:r w:rsidR="00077550" w:rsidRPr="00C874C4">
        <w:rPr>
          <w:i/>
        </w:rPr>
        <w:t>Financial Management and Accountability Act 1997</w:t>
      </w:r>
      <w:r w:rsidR="00077550">
        <w:t xml:space="preserve"> (FMA </w:t>
      </w:r>
      <w:r w:rsidR="00077550" w:rsidRPr="00C874C4">
        <w:t>Act)</w:t>
      </w:r>
      <w:r>
        <w:t>; and</w:t>
      </w:r>
    </w:p>
    <w:p w:rsidR="006471E4" w:rsidRPr="00977D04" w:rsidRDefault="006471E4" w:rsidP="00C874C4">
      <w:pPr>
        <w:pStyle w:val="ListParagraph"/>
        <w:numPr>
          <w:ilvl w:val="0"/>
          <w:numId w:val="15"/>
        </w:numPr>
        <w:spacing w:after="120"/>
      </w:pPr>
      <w:r>
        <w:t xml:space="preserve">Correct a </w:t>
      </w:r>
      <w:r w:rsidR="00077550">
        <w:t>drafting error in the PGPA Rule in relation to the listing of the Seafarers Safety, Rehabilitation and Compensation Authority</w:t>
      </w:r>
      <w:r>
        <w:t>.</w:t>
      </w:r>
    </w:p>
    <w:p w:rsidR="00A609F2" w:rsidRDefault="00A609F2" w:rsidP="00D75AD5">
      <w:pPr>
        <w:pStyle w:val="ListParagraph"/>
      </w:pPr>
    </w:p>
    <w:p w:rsidR="007E6A30" w:rsidRPr="00977D04" w:rsidRDefault="007E6A30" w:rsidP="00D75AD5">
      <w:pPr>
        <w:pStyle w:val="ListParagraph"/>
      </w:pPr>
    </w:p>
    <w:p w:rsidR="00167E2E" w:rsidRPr="00977D04" w:rsidRDefault="00474C20" w:rsidP="00D976E6">
      <w:pPr>
        <w:rPr>
          <w:b/>
        </w:rPr>
      </w:pPr>
      <w:r w:rsidRPr="00977D04">
        <w:rPr>
          <w:b/>
        </w:rPr>
        <w:t>Human rights implications</w:t>
      </w:r>
    </w:p>
    <w:p w:rsidR="009C481F" w:rsidRPr="00977D04" w:rsidRDefault="009C481F" w:rsidP="007E6A30"/>
    <w:p w:rsidR="00167E2E" w:rsidRPr="00977D04" w:rsidRDefault="00167E2E" w:rsidP="00D976E6">
      <w:r w:rsidRPr="00977D04">
        <w:t>Th</w:t>
      </w:r>
      <w:r w:rsidR="005503F7" w:rsidRPr="00977D04">
        <w:t>e</w:t>
      </w:r>
      <w:r w:rsidRPr="00977D04">
        <w:t xml:space="preserve"> </w:t>
      </w:r>
      <w:r w:rsidR="0092738C" w:rsidRPr="00977D04">
        <w:t>l</w:t>
      </w:r>
      <w:r w:rsidRPr="00977D04">
        <w:t xml:space="preserve">egislative </w:t>
      </w:r>
      <w:r w:rsidR="0092738C" w:rsidRPr="00977D04">
        <w:t>i</w:t>
      </w:r>
      <w:r w:rsidRPr="00977D04">
        <w:t>nstrument do</w:t>
      </w:r>
      <w:r w:rsidR="005503F7" w:rsidRPr="00977D04">
        <w:t>es</w:t>
      </w:r>
      <w:r w:rsidRPr="00977D04">
        <w:t xml:space="preserve"> not engage any of the applicable rights or freedoms.</w:t>
      </w:r>
    </w:p>
    <w:p w:rsidR="00A609F2" w:rsidRDefault="00A609F2" w:rsidP="00D976E6">
      <w:pPr>
        <w:rPr>
          <w:b/>
        </w:rPr>
      </w:pPr>
    </w:p>
    <w:p w:rsidR="00167E2E" w:rsidRPr="00977D04" w:rsidRDefault="00474C20" w:rsidP="00D976E6">
      <w:pPr>
        <w:rPr>
          <w:b/>
        </w:rPr>
      </w:pPr>
      <w:r w:rsidRPr="00977D04">
        <w:rPr>
          <w:b/>
        </w:rPr>
        <w:t>Conclusion</w:t>
      </w:r>
    </w:p>
    <w:p w:rsidR="009C481F" w:rsidRPr="00977D04" w:rsidRDefault="009C481F" w:rsidP="00D976E6"/>
    <w:p w:rsidR="009C481F" w:rsidRPr="00977D04" w:rsidRDefault="00167E2E" w:rsidP="00D976E6">
      <w:r w:rsidRPr="00977D04">
        <w:t>Th</w:t>
      </w:r>
      <w:r w:rsidR="005503F7" w:rsidRPr="00977D04">
        <w:t>e</w:t>
      </w:r>
      <w:r w:rsidRPr="00977D04">
        <w:t xml:space="preserve"> </w:t>
      </w:r>
      <w:r w:rsidR="0092738C" w:rsidRPr="00977D04">
        <w:t>l</w:t>
      </w:r>
      <w:r w:rsidRPr="00977D04">
        <w:t xml:space="preserve">egislative </w:t>
      </w:r>
      <w:r w:rsidR="0092738C" w:rsidRPr="00977D04">
        <w:t>i</w:t>
      </w:r>
      <w:r w:rsidRPr="00977D04">
        <w:t>nstrumen</w:t>
      </w:r>
      <w:r w:rsidR="006A6ED3" w:rsidRPr="00977D04">
        <w:t>t</w:t>
      </w:r>
      <w:r w:rsidR="005503F7" w:rsidRPr="00977D04">
        <w:t xml:space="preserve"> i</w:t>
      </w:r>
      <w:r w:rsidR="006A6ED3" w:rsidRPr="00977D04">
        <w:t>s</w:t>
      </w:r>
      <w:r w:rsidRPr="00977D04">
        <w:t xml:space="preserve"> compatible with human rights as </w:t>
      </w:r>
      <w:r w:rsidR="0092738C" w:rsidRPr="00977D04">
        <w:t xml:space="preserve">it </w:t>
      </w:r>
      <w:r w:rsidR="001C68FE" w:rsidRPr="00977D04">
        <w:t>do</w:t>
      </w:r>
      <w:r w:rsidR="0092738C" w:rsidRPr="00977D04">
        <w:t>es</w:t>
      </w:r>
      <w:r w:rsidR="001C68FE" w:rsidRPr="00977D04">
        <w:t xml:space="preserve"> </w:t>
      </w:r>
      <w:r w:rsidRPr="00977D04">
        <w:t>not</w:t>
      </w:r>
      <w:r w:rsidR="00C874C4">
        <w:t xml:space="preserve"> raise any human rights issues.</w:t>
      </w:r>
    </w:p>
    <w:p w:rsidR="00B328B9" w:rsidRPr="00977D04" w:rsidRDefault="00B328B9" w:rsidP="00D976E6"/>
    <w:p w:rsidR="00661056" w:rsidRPr="00977D04" w:rsidRDefault="00661056" w:rsidP="00661056">
      <w:pPr>
        <w:pStyle w:val="paranumbering0"/>
        <w:spacing w:before="0" w:beforeAutospacing="0" w:after="0" w:afterAutospacing="0"/>
        <w:jc w:val="center"/>
        <w:rPr>
          <w:b/>
        </w:rPr>
      </w:pPr>
      <w:r w:rsidRPr="00977D04">
        <w:rPr>
          <w:b/>
        </w:rPr>
        <w:t>Senator the Hon Mathias Cormann</w:t>
      </w:r>
    </w:p>
    <w:p w:rsidR="00661056" w:rsidRPr="00977D04" w:rsidRDefault="00661056" w:rsidP="00661056">
      <w:pPr>
        <w:pStyle w:val="paranumbering0"/>
        <w:spacing w:before="0" w:beforeAutospacing="0" w:after="0" w:afterAutospacing="0"/>
        <w:jc w:val="center"/>
        <w:rPr>
          <w:b/>
        </w:rPr>
      </w:pPr>
      <w:r w:rsidRPr="00977D04">
        <w:rPr>
          <w:b/>
        </w:rPr>
        <w:t>Minister for Finance</w:t>
      </w:r>
    </w:p>
    <w:p w:rsidR="00BE3437" w:rsidRPr="00977D04" w:rsidRDefault="00BE3437" w:rsidP="00D976E6"/>
    <w:sectPr w:rsidR="00BE3437" w:rsidRPr="00977D04" w:rsidSect="00AE08B4">
      <w:pgSz w:w="11906" w:h="16838"/>
      <w:pgMar w:top="1440" w:right="1440" w:bottom="1440" w:left="1440" w:header="708" w:footer="51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550" w:rsidRDefault="00077550" w:rsidP="00D976E6">
      <w:r>
        <w:separator/>
      </w:r>
    </w:p>
    <w:p w:rsidR="00077550" w:rsidRDefault="00077550" w:rsidP="00D976E6"/>
  </w:endnote>
  <w:endnote w:type="continuationSeparator" w:id="0">
    <w:p w:rsidR="00077550" w:rsidRDefault="00077550" w:rsidP="00D976E6">
      <w:r>
        <w:continuationSeparator/>
      </w:r>
    </w:p>
    <w:p w:rsidR="00077550" w:rsidRDefault="00077550" w:rsidP="00D976E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550" w:rsidRDefault="00077550" w:rsidP="00D976E6">
      <w:r>
        <w:separator/>
      </w:r>
    </w:p>
    <w:p w:rsidR="00077550" w:rsidRDefault="00077550" w:rsidP="00D976E6"/>
  </w:footnote>
  <w:footnote w:type="continuationSeparator" w:id="0">
    <w:p w:rsidR="00077550" w:rsidRDefault="00077550" w:rsidP="00D976E6">
      <w:r>
        <w:continuationSeparator/>
      </w:r>
    </w:p>
    <w:p w:rsidR="00077550" w:rsidRDefault="00077550" w:rsidP="00D976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414669"/>
      <w:docPartObj>
        <w:docPartGallery w:val="Page Numbers (Top of Page)"/>
        <w:docPartUnique/>
      </w:docPartObj>
    </w:sdtPr>
    <w:sdtContent>
      <w:p w:rsidR="00077550" w:rsidRDefault="00401D20">
        <w:pPr>
          <w:pStyle w:val="Header"/>
          <w:jc w:val="center"/>
        </w:pPr>
        <w:fldSimple w:instr=" PAGE   \* MERGEFORMAT ">
          <w:r w:rsidR="00F86F00">
            <w:rPr>
              <w:noProof/>
            </w:rPr>
            <w:t>2</w:t>
          </w:r>
        </w:fldSimple>
      </w:p>
    </w:sdtContent>
  </w:sdt>
  <w:p w:rsidR="00077550" w:rsidRDefault="000775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6691"/>
      <w:docPartObj>
        <w:docPartGallery w:val="Page Numbers (Top of Page)"/>
        <w:docPartUnique/>
      </w:docPartObj>
    </w:sdtPr>
    <w:sdtContent>
      <w:p w:rsidR="00077550" w:rsidRDefault="00401D20">
        <w:pPr>
          <w:pStyle w:val="Header"/>
          <w:jc w:val="center"/>
        </w:pPr>
        <w:fldSimple w:instr=" PAGE   \* MERGEFORMAT ">
          <w:r w:rsidR="00F86F00">
            <w:rPr>
              <w:noProof/>
            </w:rPr>
            <w:t>2</w:t>
          </w:r>
        </w:fldSimple>
      </w:p>
    </w:sdtContent>
  </w:sdt>
  <w:p w:rsidR="00077550" w:rsidRPr="0054075E" w:rsidRDefault="00077550" w:rsidP="005407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031"/>
    <w:multiLevelType w:val="hybridMultilevel"/>
    <w:tmpl w:val="15FCD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CD3AFC"/>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FAE497E"/>
    <w:multiLevelType w:val="hybridMultilevel"/>
    <w:tmpl w:val="4B12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04248B"/>
    <w:multiLevelType w:val="hybridMultilevel"/>
    <w:tmpl w:val="3298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0F213D"/>
    <w:multiLevelType w:val="hybridMultilevel"/>
    <w:tmpl w:val="AEE8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1B0648"/>
    <w:multiLevelType w:val="hybridMultilevel"/>
    <w:tmpl w:val="5380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666CDE"/>
    <w:multiLevelType w:val="hybridMultilevel"/>
    <w:tmpl w:val="C21C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11697D"/>
    <w:multiLevelType w:val="hybridMultilevel"/>
    <w:tmpl w:val="376A4044"/>
    <w:lvl w:ilvl="0" w:tplc="ADF8B48A">
      <w:start w:val="1"/>
      <w:numFmt w:val="bullet"/>
      <w:lvlText w:val=""/>
      <w:lvlJc w:val="left"/>
      <w:pPr>
        <w:ind w:left="720" w:hanging="360"/>
      </w:pPr>
      <w:rPr>
        <w:rFonts w:ascii="Symbol" w:hAnsi="Symbol" w:hint="default"/>
      </w:rPr>
    </w:lvl>
    <w:lvl w:ilvl="1" w:tplc="0C09000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8">
    <w:nsid w:val="22F546B2"/>
    <w:multiLevelType w:val="hybridMultilevel"/>
    <w:tmpl w:val="9D949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6B2655"/>
    <w:multiLevelType w:val="hybridMultilevel"/>
    <w:tmpl w:val="6E2AC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1823EE"/>
    <w:multiLevelType w:val="hybridMultilevel"/>
    <w:tmpl w:val="55A406C2"/>
    <w:lvl w:ilvl="0" w:tplc="F176C90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C93026"/>
    <w:multiLevelType w:val="hybridMultilevel"/>
    <w:tmpl w:val="7BC834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4E7879"/>
    <w:multiLevelType w:val="hybridMultilevel"/>
    <w:tmpl w:val="0CE2A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C0D2622"/>
    <w:multiLevelType w:val="hybridMultilevel"/>
    <w:tmpl w:val="1C6E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1B3D1C"/>
    <w:multiLevelType w:val="hybridMultilevel"/>
    <w:tmpl w:val="2896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8F1422"/>
    <w:multiLevelType w:val="hybridMultilevel"/>
    <w:tmpl w:val="057A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1F6947"/>
    <w:multiLevelType w:val="hybridMultilevel"/>
    <w:tmpl w:val="2E1AFA2E"/>
    <w:lvl w:ilvl="0" w:tplc="0C090001">
      <w:start w:val="1"/>
      <w:numFmt w:val="bullet"/>
      <w:lvlText w:val=""/>
      <w:lvlJc w:val="left"/>
      <w:pPr>
        <w:ind w:left="2718" w:hanging="360"/>
      </w:pPr>
      <w:rPr>
        <w:rFonts w:ascii="Symbol" w:hAnsi="Symbol" w:hint="default"/>
      </w:rPr>
    </w:lvl>
    <w:lvl w:ilvl="1" w:tplc="0C090003">
      <w:start w:val="1"/>
      <w:numFmt w:val="bullet"/>
      <w:lvlText w:val="o"/>
      <w:lvlJc w:val="left"/>
      <w:pPr>
        <w:ind w:left="3438" w:hanging="360"/>
      </w:pPr>
      <w:rPr>
        <w:rFonts w:ascii="Courier New" w:hAnsi="Courier New" w:cs="Courier New" w:hint="default"/>
      </w:rPr>
    </w:lvl>
    <w:lvl w:ilvl="2" w:tplc="0C090005" w:tentative="1">
      <w:start w:val="1"/>
      <w:numFmt w:val="bullet"/>
      <w:lvlText w:val=""/>
      <w:lvlJc w:val="left"/>
      <w:pPr>
        <w:ind w:left="4158" w:hanging="360"/>
      </w:pPr>
      <w:rPr>
        <w:rFonts w:ascii="Wingdings" w:hAnsi="Wingdings" w:hint="default"/>
      </w:rPr>
    </w:lvl>
    <w:lvl w:ilvl="3" w:tplc="0C090001" w:tentative="1">
      <w:start w:val="1"/>
      <w:numFmt w:val="bullet"/>
      <w:lvlText w:val=""/>
      <w:lvlJc w:val="left"/>
      <w:pPr>
        <w:ind w:left="4878" w:hanging="360"/>
      </w:pPr>
      <w:rPr>
        <w:rFonts w:ascii="Symbol" w:hAnsi="Symbol" w:hint="default"/>
      </w:rPr>
    </w:lvl>
    <w:lvl w:ilvl="4" w:tplc="0C090003" w:tentative="1">
      <w:start w:val="1"/>
      <w:numFmt w:val="bullet"/>
      <w:lvlText w:val="o"/>
      <w:lvlJc w:val="left"/>
      <w:pPr>
        <w:ind w:left="5598" w:hanging="360"/>
      </w:pPr>
      <w:rPr>
        <w:rFonts w:ascii="Courier New" w:hAnsi="Courier New" w:cs="Courier New" w:hint="default"/>
      </w:rPr>
    </w:lvl>
    <w:lvl w:ilvl="5" w:tplc="0C090005" w:tentative="1">
      <w:start w:val="1"/>
      <w:numFmt w:val="bullet"/>
      <w:lvlText w:val=""/>
      <w:lvlJc w:val="left"/>
      <w:pPr>
        <w:ind w:left="6318" w:hanging="360"/>
      </w:pPr>
      <w:rPr>
        <w:rFonts w:ascii="Wingdings" w:hAnsi="Wingdings" w:hint="default"/>
      </w:rPr>
    </w:lvl>
    <w:lvl w:ilvl="6" w:tplc="0C090001" w:tentative="1">
      <w:start w:val="1"/>
      <w:numFmt w:val="bullet"/>
      <w:lvlText w:val=""/>
      <w:lvlJc w:val="left"/>
      <w:pPr>
        <w:ind w:left="7038" w:hanging="360"/>
      </w:pPr>
      <w:rPr>
        <w:rFonts w:ascii="Symbol" w:hAnsi="Symbol" w:hint="default"/>
      </w:rPr>
    </w:lvl>
    <w:lvl w:ilvl="7" w:tplc="0C090003" w:tentative="1">
      <w:start w:val="1"/>
      <w:numFmt w:val="bullet"/>
      <w:lvlText w:val="o"/>
      <w:lvlJc w:val="left"/>
      <w:pPr>
        <w:ind w:left="7758" w:hanging="360"/>
      </w:pPr>
      <w:rPr>
        <w:rFonts w:ascii="Courier New" w:hAnsi="Courier New" w:cs="Courier New" w:hint="default"/>
      </w:rPr>
    </w:lvl>
    <w:lvl w:ilvl="8" w:tplc="0C090005" w:tentative="1">
      <w:start w:val="1"/>
      <w:numFmt w:val="bullet"/>
      <w:lvlText w:val=""/>
      <w:lvlJc w:val="left"/>
      <w:pPr>
        <w:ind w:left="8478" w:hanging="360"/>
      </w:pPr>
      <w:rPr>
        <w:rFonts w:ascii="Wingdings" w:hAnsi="Wingdings" w:hint="default"/>
      </w:rPr>
    </w:lvl>
  </w:abstractNum>
  <w:abstractNum w:abstractNumId="17">
    <w:nsid w:val="428F39F1"/>
    <w:multiLevelType w:val="hybridMultilevel"/>
    <w:tmpl w:val="00843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6A1B10"/>
    <w:multiLevelType w:val="hybridMultilevel"/>
    <w:tmpl w:val="42088F62"/>
    <w:lvl w:ilvl="0" w:tplc="0C09000F">
      <w:start w:val="1"/>
      <w:numFmt w:val="decimal"/>
      <w:lvlText w:val="%1."/>
      <w:lvlJc w:val="left"/>
      <w:pPr>
        <w:ind w:left="360" w:hanging="360"/>
      </w:pPr>
    </w:lvl>
    <w:lvl w:ilvl="1" w:tplc="07F0C41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4CF04FB0"/>
    <w:multiLevelType w:val="hybridMultilevel"/>
    <w:tmpl w:val="878C6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24E3A18"/>
    <w:multiLevelType w:val="hybridMultilevel"/>
    <w:tmpl w:val="963CF9CE"/>
    <w:lvl w:ilvl="0" w:tplc="AFDC0F36">
      <w:start w:val="1"/>
      <w:numFmt w:val="bullet"/>
      <w:pStyle w:val="Normal1"/>
      <w:lvlText w:val=""/>
      <w:lvlJc w:val="left"/>
      <w:pPr>
        <w:ind w:left="720" w:hanging="360"/>
      </w:pPr>
      <w:rPr>
        <w:rFonts w:ascii="Symbol" w:hAnsi="Symbol" w:hint="default"/>
        <w:color w:val="auto"/>
      </w:rPr>
    </w:lvl>
    <w:lvl w:ilvl="1" w:tplc="FB00C5A4">
      <w:start w:val="1"/>
      <w:numFmt w:val="bullet"/>
      <w:pStyle w:val="Style5"/>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2E2032"/>
    <w:multiLevelType w:val="hybridMultilevel"/>
    <w:tmpl w:val="1B2E2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64B5657"/>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D112858"/>
    <w:multiLevelType w:val="hybridMultilevel"/>
    <w:tmpl w:val="F382560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nsid w:val="5DBA7EFB"/>
    <w:multiLevelType w:val="hybridMultilevel"/>
    <w:tmpl w:val="5B8A3F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5E2871E8"/>
    <w:multiLevelType w:val="hybridMultilevel"/>
    <w:tmpl w:val="5958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7E32F79"/>
    <w:multiLevelType w:val="hybridMultilevel"/>
    <w:tmpl w:val="E2B02A8A"/>
    <w:lvl w:ilvl="0" w:tplc="5DBA05AA">
      <w:start w:val="1"/>
      <w:numFmt w:val="decimal"/>
      <w:lvlText w:val="%1."/>
      <w:lvlJc w:val="left"/>
      <w:pPr>
        <w:ind w:left="1854" w:hanging="360"/>
      </w:pPr>
      <w:rPr>
        <w:rFonts w:hint="default"/>
        <w:b w:val="0"/>
        <w:i w:val="0"/>
      </w:rPr>
    </w:lvl>
    <w:lvl w:ilvl="1" w:tplc="0C090001">
      <w:start w:val="1"/>
      <w:numFmt w:val="decimal"/>
      <w:lvlText w:val="%2."/>
      <w:lvlJc w:val="left"/>
      <w:pPr>
        <w:tabs>
          <w:tab w:val="num" w:pos="2574"/>
        </w:tabs>
        <w:ind w:left="2574" w:hanging="360"/>
      </w:pPr>
    </w:lvl>
    <w:lvl w:ilvl="2" w:tplc="0C09001B">
      <w:start w:val="1"/>
      <w:numFmt w:val="decimal"/>
      <w:lvlText w:val="%3."/>
      <w:lvlJc w:val="left"/>
      <w:pPr>
        <w:tabs>
          <w:tab w:val="num" w:pos="3294"/>
        </w:tabs>
        <w:ind w:left="3294" w:hanging="360"/>
      </w:pPr>
    </w:lvl>
    <w:lvl w:ilvl="3" w:tplc="0C09000F">
      <w:start w:val="1"/>
      <w:numFmt w:val="decimal"/>
      <w:lvlText w:val="%4."/>
      <w:lvlJc w:val="left"/>
      <w:pPr>
        <w:tabs>
          <w:tab w:val="num" w:pos="4014"/>
        </w:tabs>
        <w:ind w:left="4014" w:hanging="360"/>
      </w:pPr>
    </w:lvl>
    <w:lvl w:ilvl="4" w:tplc="0C090019">
      <w:start w:val="1"/>
      <w:numFmt w:val="decimal"/>
      <w:lvlText w:val="%5."/>
      <w:lvlJc w:val="left"/>
      <w:pPr>
        <w:tabs>
          <w:tab w:val="num" w:pos="4734"/>
        </w:tabs>
        <w:ind w:left="4734" w:hanging="360"/>
      </w:pPr>
    </w:lvl>
    <w:lvl w:ilvl="5" w:tplc="0C09001B">
      <w:start w:val="1"/>
      <w:numFmt w:val="decimal"/>
      <w:lvlText w:val="%6."/>
      <w:lvlJc w:val="left"/>
      <w:pPr>
        <w:tabs>
          <w:tab w:val="num" w:pos="5454"/>
        </w:tabs>
        <w:ind w:left="5454" w:hanging="360"/>
      </w:pPr>
    </w:lvl>
    <w:lvl w:ilvl="6" w:tplc="0C09000F">
      <w:start w:val="1"/>
      <w:numFmt w:val="decimal"/>
      <w:lvlText w:val="%7."/>
      <w:lvlJc w:val="left"/>
      <w:pPr>
        <w:tabs>
          <w:tab w:val="num" w:pos="6174"/>
        </w:tabs>
        <w:ind w:left="6174" w:hanging="360"/>
      </w:pPr>
    </w:lvl>
    <w:lvl w:ilvl="7" w:tplc="0C090019">
      <w:start w:val="1"/>
      <w:numFmt w:val="decimal"/>
      <w:lvlText w:val="%8."/>
      <w:lvlJc w:val="left"/>
      <w:pPr>
        <w:tabs>
          <w:tab w:val="num" w:pos="6894"/>
        </w:tabs>
        <w:ind w:left="6894" w:hanging="360"/>
      </w:pPr>
    </w:lvl>
    <w:lvl w:ilvl="8" w:tplc="0C09001B">
      <w:start w:val="1"/>
      <w:numFmt w:val="decimal"/>
      <w:lvlText w:val="%9."/>
      <w:lvlJc w:val="left"/>
      <w:pPr>
        <w:tabs>
          <w:tab w:val="num" w:pos="7614"/>
        </w:tabs>
        <w:ind w:left="7614" w:hanging="360"/>
      </w:pPr>
    </w:lvl>
  </w:abstractNum>
  <w:abstractNum w:abstractNumId="27">
    <w:nsid w:val="6A7E2E8A"/>
    <w:multiLevelType w:val="hybridMultilevel"/>
    <w:tmpl w:val="4DCCDC9C"/>
    <w:lvl w:ilvl="0" w:tplc="7288685A">
      <w:start w:val="2"/>
      <w:numFmt w:val="decimal"/>
      <w:lvlText w:val="%1."/>
      <w:lvlJc w:val="left"/>
      <w:pPr>
        <w:ind w:left="360" w:hanging="360"/>
      </w:pPr>
      <w:rPr>
        <w:rFonts w:hint="default"/>
        <w:b w:val="0"/>
        <w:color w:val="auto"/>
      </w:rPr>
    </w:lvl>
    <w:lvl w:ilvl="1" w:tplc="823CB3F4">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AEF0FE8"/>
    <w:multiLevelType w:val="hybridMultilevel"/>
    <w:tmpl w:val="B47C7A96"/>
    <w:lvl w:ilvl="0" w:tplc="0C090001">
      <w:start w:val="1"/>
      <w:numFmt w:val="decimal"/>
      <w:lvlText w:val="%1."/>
      <w:lvlJc w:val="left"/>
      <w:pPr>
        <w:ind w:left="786" w:hanging="360"/>
      </w:pPr>
    </w:lvl>
    <w:lvl w:ilvl="1" w:tplc="0C090003">
      <w:start w:val="1"/>
      <w:numFmt w:val="bullet"/>
      <w:lvlText w:val=""/>
      <w:lvlJc w:val="left"/>
      <w:pPr>
        <w:ind w:left="1440" w:hanging="360"/>
      </w:pPr>
      <w:rPr>
        <w:rFonts w:ascii="Symbol" w:hAnsi="Symbol" w:hint="default"/>
      </w:rPr>
    </w:lvl>
    <w:lvl w:ilvl="2" w:tplc="0C090005">
      <w:numFmt w:val="bullet"/>
      <w:lvlText w:val="•"/>
      <w:lvlJc w:val="left"/>
      <w:pPr>
        <w:ind w:left="2700" w:hanging="720"/>
      </w:pPr>
      <w:rPr>
        <w:rFonts w:ascii="Calibri" w:eastAsiaTheme="minorHAnsi" w:hAnsi="Calibri" w:cstheme="minorBidi" w:hint="default"/>
      </w:r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9">
    <w:nsid w:val="7070388C"/>
    <w:multiLevelType w:val="hybridMultilevel"/>
    <w:tmpl w:val="06E24C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73704D8D"/>
    <w:multiLevelType w:val="hybridMultilevel"/>
    <w:tmpl w:val="C8E44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B4C7752"/>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BC20DEC"/>
    <w:multiLevelType w:val="hybridMultilevel"/>
    <w:tmpl w:val="7CA2BFA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nsid w:val="7D161472"/>
    <w:multiLevelType w:val="hybridMultilevel"/>
    <w:tmpl w:val="41A02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1"/>
  </w:num>
  <w:num w:numId="4">
    <w:abstractNumId w:val="12"/>
  </w:num>
  <w:num w:numId="5">
    <w:abstractNumId w:val="3"/>
  </w:num>
  <w:num w:numId="6">
    <w:abstractNumId w:val="33"/>
  </w:num>
  <w:num w:numId="7">
    <w:abstractNumId w:val="0"/>
  </w:num>
  <w:num w:numId="8">
    <w:abstractNumId w:val="13"/>
  </w:num>
  <w:num w:numId="9">
    <w:abstractNumId w:val="14"/>
  </w:num>
  <w:num w:numId="10">
    <w:abstractNumId w:val="8"/>
  </w:num>
  <w:num w:numId="11">
    <w:abstractNumId w:val="4"/>
  </w:num>
  <w:num w:numId="12">
    <w:abstractNumId w:val="6"/>
  </w:num>
  <w:num w:numId="13">
    <w:abstractNumId w:val="17"/>
  </w:num>
  <w:num w:numId="14">
    <w:abstractNumId w:val="9"/>
  </w:num>
  <w:num w:numId="15">
    <w:abstractNumId w:val="19"/>
  </w:num>
  <w:num w:numId="16">
    <w:abstractNumId w:val="25"/>
  </w:num>
  <w:num w:numId="17">
    <w:abstractNumId w:val="5"/>
  </w:num>
  <w:num w:numId="18">
    <w:abstractNumId w:val="31"/>
  </w:num>
  <w:num w:numId="19">
    <w:abstractNumId w:val="22"/>
  </w:num>
  <w:num w:numId="20">
    <w:abstractNumId w:val="28"/>
  </w:num>
  <w:num w:numId="21">
    <w:abstractNumId w:val="16"/>
  </w:num>
  <w:num w:numId="22">
    <w:abstractNumId w:val="10"/>
  </w:num>
  <w:num w:numId="23">
    <w:abstractNumId w:val="1"/>
  </w:num>
  <w:num w:numId="24">
    <w:abstractNumId w:val="2"/>
  </w:num>
  <w:num w:numId="25">
    <w:abstractNumId w:val="29"/>
  </w:num>
  <w:num w:numId="26">
    <w:abstractNumId w:val="24"/>
  </w:num>
  <w:num w:numId="27">
    <w:abstractNumId w:val="30"/>
  </w:num>
  <w:num w:numId="28">
    <w:abstractNumId w:val="15"/>
  </w:num>
  <w:num w:numId="29">
    <w:abstractNumId w:val="26"/>
  </w:num>
  <w:num w:numId="30">
    <w:abstractNumId w:val="7"/>
  </w:num>
  <w:num w:numId="31">
    <w:abstractNumId w:val="27"/>
  </w:num>
  <w:num w:numId="32">
    <w:abstractNumId w:val="23"/>
  </w:num>
  <w:num w:numId="33">
    <w:abstractNumId w:val="20"/>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doNotDisplayPageBoundaries/>
  <w:proofState w:spelling="clean" w:grammar="clean"/>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
  <w:rsids>
    <w:rsidRoot w:val="00452D0D"/>
    <w:rsid w:val="00000A08"/>
    <w:rsid w:val="000034CC"/>
    <w:rsid w:val="000043E7"/>
    <w:rsid w:val="00005815"/>
    <w:rsid w:val="0000625E"/>
    <w:rsid w:val="00007FE2"/>
    <w:rsid w:val="0001085E"/>
    <w:rsid w:val="0001195F"/>
    <w:rsid w:val="00011FEC"/>
    <w:rsid w:val="00012890"/>
    <w:rsid w:val="000128B4"/>
    <w:rsid w:val="0001494F"/>
    <w:rsid w:val="00016A7B"/>
    <w:rsid w:val="00016E00"/>
    <w:rsid w:val="00021B4D"/>
    <w:rsid w:val="00021D8B"/>
    <w:rsid w:val="00021EF2"/>
    <w:rsid w:val="00022030"/>
    <w:rsid w:val="00022317"/>
    <w:rsid w:val="00023434"/>
    <w:rsid w:val="000261AD"/>
    <w:rsid w:val="00026944"/>
    <w:rsid w:val="00026BC5"/>
    <w:rsid w:val="0003418C"/>
    <w:rsid w:val="00034E7B"/>
    <w:rsid w:val="00037239"/>
    <w:rsid w:val="000373C0"/>
    <w:rsid w:val="00037A61"/>
    <w:rsid w:val="00040627"/>
    <w:rsid w:val="0004247F"/>
    <w:rsid w:val="000433F3"/>
    <w:rsid w:val="00044073"/>
    <w:rsid w:val="000465AC"/>
    <w:rsid w:val="00050EC4"/>
    <w:rsid w:val="000512E1"/>
    <w:rsid w:val="00051C48"/>
    <w:rsid w:val="00053353"/>
    <w:rsid w:val="00053B13"/>
    <w:rsid w:val="0005407E"/>
    <w:rsid w:val="000554B7"/>
    <w:rsid w:val="00057D2F"/>
    <w:rsid w:val="0006098E"/>
    <w:rsid w:val="00061B95"/>
    <w:rsid w:val="00063152"/>
    <w:rsid w:val="00064FA4"/>
    <w:rsid w:val="00066013"/>
    <w:rsid w:val="000678F3"/>
    <w:rsid w:val="000717A8"/>
    <w:rsid w:val="000718DC"/>
    <w:rsid w:val="00076A90"/>
    <w:rsid w:val="00076B6F"/>
    <w:rsid w:val="0007737C"/>
    <w:rsid w:val="00077550"/>
    <w:rsid w:val="000801D8"/>
    <w:rsid w:val="00080476"/>
    <w:rsid w:val="00080A2B"/>
    <w:rsid w:val="0008188E"/>
    <w:rsid w:val="00085E21"/>
    <w:rsid w:val="00090136"/>
    <w:rsid w:val="00090756"/>
    <w:rsid w:val="00091186"/>
    <w:rsid w:val="00093909"/>
    <w:rsid w:val="000969F7"/>
    <w:rsid w:val="00097075"/>
    <w:rsid w:val="000A5518"/>
    <w:rsid w:val="000A5D25"/>
    <w:rsid w:val="000A6F15"/>
    <w:rsid w:val="000B09EC"/>
    <w:rsid w:val="000B280B"/>
    <w:rsid w:val="000B332F"/>
    <w:rsid w:val="000B64FC"/>
    <w:rsid w:val="000B693D"/>
    <w:rsid w:val="000B7217"/>
    <w:rsid w:val="000C009F"/>
    <w:rsid w:val="000C0E45"/>
    <w:rsid w:val="000C1985"/>
    <w:rsid w:val="000C2407"/>
    <w:rsid w:val="000D076A"/>
    <w:rsid w:val="000D0AB1"/>
    <w:rsid w:val="000D15D9"/>
    <w:rsid w:val="000D2ED1"/>
    <w:rsid w:val="000D455D"/>
    <w:rsid w:val="000D4F6A"/>
    <w:rsid w:val="000D5C03"/>
    <w:rsid w:val="000D67F0"/>
    <w:rsid w:val="000E0B88"/>
    <w:rsid w:val="000E3A7C"/>
    <w:rsid w:val="000E540D"/>
    <w:rsid w:val="000E54FC"/>
    <w:rsid w:val="000F1205"/>
    <w:rsid w:val="000F1F20"/>
    <w:rsid w:val="000F687D"/>
    <w:rsid w:val="000F6A2C"/>
    <w:rsid w:val="000F7101"/>
    <w:rsid w:val="001019A4"/>
    <w:rsid w:val="00103D96"/>
    <w:rsid w:val="00104D0C"/>
    <w:rsid w:val="00106AFA"/>
    <w:rsid w:val="0011290B"/>
    <w:rsid w:val="00114A68"/>
    <w:rsid w:val="00117851"/>
    <w:rsid w:val="001220A9"/>
    <w:rsid w:val="00125A1D"/>
    <w:rsid w:val="00132DCA"/>
    <w:rsid w:val="00132F9A"/>
    <w:rsid w:val="00134A1D"/>
    <w:rsid w:val="0013538B"/>
    <w:rsid w:val="00135B9F"/>
    <w:rsid w:val="00140166"/>
    <w:rsid w:val="00144068"/>
    <w:rsid w:val="00144EA6"/>
    <w:rsid w:val="00146231"/>
    <w:rsid w:val="00146277"/>
    <w:rsid w:val="0014629D"/>
    <w:rsid w:val="00157EBE"/>
    <w:rsid w:val="001616B6"/>
    <w:rsid w:val="0016392F"/>
    <w:rsid w:val="00163ADB"/>
    <w:rsid w:val="0016479C"/>
    <w:rsid w:val="001647FC"/>
    <w:rsid w:val="00165F95"/>
    <w:rsid w:val="001677F9"/>
    <w:rsid w:val="00167E2E"/>
    <w:rsid w:val="00170890"/>
    <w:rsid w:val="001709E7"/>
    <w:rsid w:val="00176D5D"/>
    <w:rsid w:val="00177D59"/>
    <w:rsid w:val="00180197"/>
    <w:rsid w:val="0018067C"/>
    <w:rsid w:val="0018527C"/>
    <w:rsid w:val="00185E46"/>
    <w:rsid w:val="001861C4"/>
    <w:rsid w:val="00186FE6"/>
    <w:rsid w:val="00191999"/>
    <w:rsid w:val="00191A27"/>
    <w:rsid w:val="00195261"/>
    <w:rsid w:val="00196919"/>
    <w:rsid w:val="0019709B"/>
    <w:rsid w:val="00197283"/>
    <w:rsid w:val="00197F02"/>
    <w:rsid w:val="001A019D"/>
    <w:rsid w:val="001A06F8"/>
    <w:rsid w:val="001A09DE"/>
    <w:rsid w:val="001A1EBC"/>
    <w:rsid w:val="001A228A"/>
    <w:rsid w:val="001A60F4"/>
    <w:rsid w:val="001A745A"/>
    <w:rsid w:val="001B18DD"/>
    <w:rsid w:val="001B24D6"/>
    <w:rsid w:val="001B2F5D"/>
    <w:rsid w:val="001B7ECD"/>
    <w:rsid w:val="001C0A53"/>
    <w:rsid w:val="001C0D33"/>
    <w:rsid w:val="001C2785"/>
    <w:rsid w:val="001C2D98"/>
    <w:rsid w:val="001C3154"/>
    <w:rsid w:val="001C4F31"/>
    <w:rsid w:val="001C57A1"/>
    <w:rsid w:val="001C5E34"/>
    <w:rsid w:val="001C612A"/>
    <w:rsid w:val="001C68FE"/>
    <w:rsid w:val="001D182C"/>
    <w:rsid w:val="001D1914"/>
    <w:rsid w:val="001D551C"/>
    <w:rsid w:val="001D638D"/>
    <w:rsid w:val="001D6578"/>
    <w:rsid w:val="001D73B8"/>
    <w:rsid w:val="001D7E5A"/>
    <w:rsid w:val="001E087F"/>
    <w:rsid w:val="001E0982"/>
    <w:rsid w:val="001E1224"/>
    <w:rsid w:val="001E34BC"/>
    <w:rsid w:val="001E40D6"/>
    <w:rsid w:val="001E4518"/>
    <w:rsid w:val="001E4CEA"/>
    <w:rsid w:val="001E5E26"/>
    <w:rsid w:val="001E75C1"/>
    <w:rsid w:val="001F07AD"/>
    <w:rsid w:val="001F2529"/>
    <w:rsid w:val="001F400C"/>
    <w:rsid w:val="001F5359"/>
    <w:rsid w:val="001F590C"/>
    <w:rsid w:val="001F687E"/>
    <w:rsid w:val="001F72A9"/>
    <w:rsid w:val="001F74A6"/>
    <w:rsid w:val="002032FC"/>
    <w:rsid w:val="00203F10"/>
    <w:rsid w:val="0020484A"/>
    <w:rsid w:val="00206192"/>
    <w:rsid w:val="00206508"/>
    <w:rsid w:val="00206C2D"/>
    <w:rsid w:val="00207B5F"/>
    <w:rsid w:val="00207C29"/>
    <w:rsid w:val="00210EFB"/>
    <w:rsid w:val="0021459A"/>
    <w:rsid w:val="00216919"/>
    <w:rsid w:val="0021740E"/>
    <w:rsid w:val="00220F02"/>
    <w:rsid w:val="002226FB"/>
    <w:rsid w:val="00222981"/>
    <w:rsid w:val="00222F07"/>
    <w:rsid w:val="00223932"/>
    <w:rsid w:val="0022412F"/>
    <w:rsid w:val="002246AE"/>
    <w:rsid w:val="002265B9"/>
    <w:rsid w:val="002272EA"/>
    <w:rsid w:val="00233481"/>
    <w:rsid w:val="00236791"/>
    <w:rsid w:val="00243BAA"/>
    <w:rsid w:val="00246632"/>
    <w:rsid w:val="00251841"/>
    <w:rsid w:val="0025196F"/>
    <w:rsid w:val="002519C6"/>
    <w:rsid w:val="00257472"/>
    <w:rsid w:val="00260183"/>
    <w:rsid w:val="002609DC"/>
    <w:rsid w:val="00261293"/>
    <w:rsid w:val="002616FA"/>
    <w:rsid w:val="00261B84"/>
    <w:rsid w:val="00262235"/>
    <w:rsid w:val="00266A8E"/>
    <w:rsid w:val="00266B6D"/>
    <w:rsid w:val="00267D8A"/>
    <w:rsid w:val="002711F5"/>
    <w:rsid w:val="00272007"/>
    <w:rsid w:val="002728D1"/>
    <w:rsid w:val="00274B9C"/>
    <w:rsid w:val="00274CAE"/>
    <w:rsid w:val="002772BE"/>
    <w:rsid w:val="0028025B"/>
    <w:rsid w:val="00281515"/>
    <w:rsid w:val="002818AD"/>
    <w:rsid w:val="002839A5"/>
    <w:rsid w:val="002843D1"/>
    <w:rsid w:val="002853A5"/>
    <w:rsid w:val="0028727F"/>
    <w:rsid w:val="00287772"/>
    <w:rsid w:val="00287F5F"/>
    <w:rsid w:val="002908A1"/>
    <w:rsid w:val="002918CE"/>
    <w:rsid w:val="002934AF"/>
    <w:rsid w:val="0029535F"/>
    <w:rsid w:val="00296D46"/>
    <w:rsid w:val="00297EE9"/>
    <w:rsid w:val="00297FF2"/>
    <w:rsid w:val="002A1A8B"/>
    <w:rsid w:val="002A24AD"/>
    <w:rsid w:val="002A282E"/>
    <w:rsid w:val="002A49B0"/>
    <w:rsid w:val="002A6402"/>
    <w:rsid w:val="002A65CB"/>
    <w:rsid w:val="002A666E"/>
    <w:rsid w:val="002B1949"/>
    <w:rsid w:val="002C0A4C"/>
    <w:rsid w:val="002C1217"/>
    <w:rsid w:val="002C20D1"/>
    <w:rsid w:val="002C21C1"/>
    <w:rsid w:val="002C6606"/>
    <w:rsid w:val="002D004B"/>
    <w:rsid w:val="002D36F0"/>
    <w:rsid w:val="002D51B2"/>
    <w:rsid w:val="002D6258"/>
    <w:rsid w:val="002E01CE"/>
    <w:rsid w:val="002E0D75"/>
    <w:rsid w:val="002E0F3C"/>
    <w:rsid w:val="002E136B"/>
    <w:rsid w:val="002E2701"/>
    <w:rsid w:val="002E307D"/>
    <w:rsid w:val="002F214A"/>
    <w:rsid w:val="002F2EC8"/>
    <w:rsid w:val="002F77DE"/>
    <w:rsid w:val="00301C10"/>
    <w:rsid w:val="00306D19"/>
    <w:rsid w:val="00310587"/>
    <w:rsid w:val="0031099E"/>
    <w:rsid w:val="00312581"/>
    <w:rsid w:val="0031473F"/>
    <w:rsid w:val="00315546"/>
    <w:rsid w:val="00315A11"/>
    <w:rsid w:val="00315E9C"/>
    <w:rsid w:val="00322CAC"/>
    <w:rsid w:val="003233A0"/>
    <w:rsid w:val="0032354D"/>
    <w:rsid w:val="00323A1A"/>
    <w:rsid w:val="00324047"/>
    <w:rsid w:val="00326483"/>
    <w:rsid w:val="0032663B"/>
    <w:rsid w:val="003267C3"/>
    <w:rsid w:val="003313DE"/>
    <w:rsid w:val="00332640"/>
    <w:rsid w:val="003327B3"/>
    <w:rsid w:val="00333469"/>
    <w:rsid w:val="0033754A"/>
    <w:rsid w:val="00341D38"/>
    <w:rsid w:val="00342EC7"/>
    <w:rsid w:val="003437FF"/>
    <w:rsid w:val="003458B4"/>
    <w:rsid w:val="00347CC6"/>
    <w:rsid w:val="0035248E"/>
    <w:rsid w:val="003533EA"/>
    <w:rsid w:val="0035416D"/>
    <w:rsid w:val="003549E2"/>
    <w:rsid w:val="003561C5"/>
    <w:rsid w:val="00356CCE"/>
    <w:rsid w:val="00357216"/>
    <w:rsid w:val="00362A63"/>
    <w:rsid w:val="0036443A"/>
    <w:rsid w:val="00365F54"/>
    <w:rsid w:val="003704E8"/>
    <w:rsid w:val="00370F50"/>
    <w:rsid w:val="00376F24"/>
    <w:rsid w:val="003804F8"/>
    <w:rsid w:val="0038080A"/>
    <w:rsid w:val="00380B15"/>
    <w:rsid w:val="00382FEA"/>
    <w:rsid w:val="0038485E"/>
    <w:rsid w:val="0038530C"/>
    <w:rsid w:val="003954A0"/>
    <w:rsid w:val="00395C9F"/>
    <w:rsid w:val="00395EB4"/>
    <w:rsid w:val="003A2566"/>
    <w:rsid w:val="003A5D56"/>
    <w:rsid w:val="003A5DB3"/>
    <w:rsid w:val="003A657C"/>
    <w:rsid w:val="003A6FF0"/>
    <w:rsid w:val="003B0C6F"/>
    <w:rsid w:val="003B1654"/>
    <w:rsid w:val="003B4161"/>
    <w:rsid w:val="003B611F"/>
    <w:rsid w:val="003B72D5"/>
    <w:rsid w:val="003B738F"/>
    <w:rsid w:val="003C0972"/>
    <w:rsid w:val="003C0A8B"/>
    <w:rsid w:val="003C226F"/>
    <w:rsid w:val="003C2CC2"/>
    <w:rsid w:val="003C3575"/>
    <w:rsid w:val="003C49CD"/>
    <w:rsid w:val="003C4BF6"/>
    <w:rsid w:val="003C6CB8"/>
    <w:rsid w:val="003C6DB3"/>
    <w:rsid w:val="003D1C4D"/>
    <w:rsid w:val="003D21CC"/>
    <w:rsid w:val="003E052E"/>
    <w:rsid w:val="003E179E"/>
    <w:rsid w:val="003E3538"/>
    <w:rsid w:val="003E39C3"/>
    <w:rsid w:val="003E3C8A"/>
    <w:rsid w:val="003F5656"/>
    <w:rsid w:val="00401D20"/>
    <w:rsid w:val="004062D7"/>
    <w:rsid w:val="00406CDE"/>
    <w:rsid w:val="00406EB7"/>
    <w:rsid w:val="004111A2"/>
    <w:rsid w:val="00411D73"/>
    <w:rsid w:val="00413BD9"/>
    <w:rsid w:val="00413ED9"/>
    <w:rsid w:val="004146F9"/>
    <w:rsid w:val="00415B3F"/>
    <w:rsid w:val="004165B9"/>
    <w:rsid w:val="00417420"/>
    <w:rsid w:val="0042298C"/>
    <w:rsid w:val="0042359C"/>
    <w:rsid w:val="0042666E"/>
    <w:rsid w:val="00427E4B"/>
    <w:rsid w:val="004310CB"/>
    <w:rsid w:val="00431E77"/>
    <w:rsid w:val="00431F5D"/>
    <w:rsid w:val="00431FB8"/>
    <w:rsid w:val="004342C0"/>
    <w:rsid w:val="00434E5C"/>
    <w:rsid w:val="004367A4"/>
    <w:rsid w:val="004378A0"/>
    <w:rsid w:val="0044131F"/>
    <w:rsid w:val="00443844"/>
    <w:rsid w:val="00446662"/>
    <w:rsid w:val="00446A8A"/>
    <w:rsid w:val="00447E0E"/>
    <w:rsid w:val="00450C7D"/>
    <w:rsid w:val="00451CCE"/>
    <w:rsid w:val="00452242"/>
    <w:rsid w:val="00452D0D"/>
    <w:rsid w:val="00455DF8"/>
    <w:rsid w:val="00457F89"/>
    <w:rsid w:val="00461A2C"/>
    <w:rsid w:val="00467BD0"/>
    <w:rsid w:val="00471841"/>
    <w:rsid w:val="004725C6"/>
    <w:rsid w:val="00474C20"/>
    <w:rsid w:val="004766F4"/>
    <w:rsid w:val="004770DC"/>
    <w:rsid w:val="0048100E"/>
    <w:rsid w:val="004816AF"/>
    <w:rsid w:val="004835F5"/>
    <w:rsid w:val="004856FC"/>
    <w:rsid w:val="00487238"/>
    <w:rsid w:val="00495107"/>
    <w:rsid w:val="00496EDF"/>
    <w:rsid w:val="00497509"/>
    <w:rsid w:val="004A039A"/>
    <w:rsid w:val="004A12BF"/>
    <w:rsid w:val="004A1967"/>
    <w:rsid w:val="004A1BDD"/>
    <w:rsid w:val="004A43A6"/>
    <w:rsid w:val="004A5CD4"/>
    <w:rsid w:val="004A6F55"/>
    <w:rsid w:val="004A7B43"/>
    <w:rsid w:val="004B1905"/>
    <w:rsid w:val="004B3ED8"/>
    <w:rsid w:val="004B6092"/>
    <w:rsid w:val="004B798B"/>
    <w:rsid w:val="004C041D"/>
    <w:rsid w:val="004C243D"/>
    <w:rsid w:val="004C474E"/>
    <w:rsid w:val="004C4D35"/>
    <w:rsid w:val="004C54D6"/>
    <w:rsid w:val="004C5940"/>
    <w:rsid w:val="004C5D10"/>
    <w:rsid w:val="004C72F0"/>
    <w:rsid w:val="004D0B37"/>
    <w:rsid w:val="004D102D"/>
    <w:rsid w:val="004D5837"/>
    <w:rsid w:val="004E11C1"/>
    <w:rsid w:val="004E1285"/>
    <w:rsid w:val="004E1C3D"/>
    <w:rsid w:val="004E2F91"/>
    <w:rsid w:val="004E3AC2"/>
    <w:rsid w:val="004E45B0"/>
    <w:rsid w:val="004F0ADE"/>
    <w:rsid w:val="004F0C0F"/>
    <w:rsid w:val="004F312F"/>
    <w:rsid w:val="004F55AD"/>
    <w:rsid w:val="00503225"/>
    <w:rsid w:val="00503562"/>
    <w:rsid w:val="00504022"/>
    <w:rsid w:val="00505B3D"/>
    <w:rsid w:val="00507E7A"/>
    <w:rsid w:val="00511E7E"/>
    <w:rsid w:val="00514B3D"/>
    <w:rsid w:val="00515980"/>
    <w:rsid w:val="00515B8E"/>
    <w:rsid w:val="005219AA"/>
    <w:rsid w:val="00524376"/>
    <w:rsid w:val="00527EA6"/>
    <w:rsid w:val="00530040"/>
    <w:rsid w:val="0053006C"/>
    <w:rsid w:val="0053458D"/>
    <w:rsid w:val="005354CD"/>
    <w:rsid w:val="0054075E"/>
    <w:rsid w:val="005417A4"/>
    <w:rsid w:val="00542D61"/>
    <w:rsid w:val="005503F7"/>
    <w:rsid w:val="00550D2A"/>
    <w:rsid w:val="00551496"/>
    <w:rsid w:val="00552876"/>
    <w:rsid w:val="005532B4"/>
    <w:rsid w:val="005542C1"/>
    <w:rsid w:val="00554901"/>
    <w:rsid w:val="00554BFE"/>
    <w:rsid w:val="0055596F"/>
    <w:rsid w:val="0056043B"/>
    <w:rsid w:val="005614D0"/>
    <w:rsid w:val="00561ED6"/>
    <w:rsid w:val="00562BEB"/>
    <w:rsid w:val="00563C05"/>
    <w:rsid w:val="00563E7F"/>
    <w:rsid w:val="005667AA"/>
    <w:rsid w:val="00567785"/>
    <w:rsid w:val="00567DFD"/>
    <w:rsid w:val="005702E5"/>
    <w:rsid w:val="00572508"/>
    <w:rsid w:val="00573DF1"/>
    <w:rsid w:val="005746B4"/>
    <w:rsid w:val="00577587"/>
    <w:rsid w:val="00581920"/>
    <w:rsid w:val="00582A7D"/>
    <w:rsid w:val="0058397C"/>
    <w:rsid w:val="00584F3E"/>
    <w:rsid w:val="005860DE"/>
    <w:rsid w:val="00590BAA"/>
    <w:rsid w:val="005918B5"/>
    <w:rsid w:val="00594706"/>
    <w:rsid w:val="00594933"/>
    <w:rsid w:val="005956AC"/>
    <w:rsid w:val="00595983"/>
    <w:rsid w:val="00596CD4"/>
    <w:rsid w:val="005972A3"/>
    <w:rsid w:val="005A1339"/>
    <w:rsid w:val="005A21CF"/>
    <w:rsid w:val="005A6D76"/>
    <w:rsid w:val="005B0034"/>
    <w:rsid w:val="005B01BF"/>
    <w:rsid w:val="005B3CB2"/>
    <w:rsid w:val="005B544C"/>
    <w:rsid w:val="005B7B3F"/>
    <w:rsid w:val="005C29D9"/>
    <w:rsid w:val="005C31A3"/>
    <w:rsid w:val="005C3715"/>
    <w:rsid w:val="005C5470"/>
    <w:rsid w:val="005C6557"/>
    <w:rsid w:val="005D04AF"/>
    <w:rsid w:val="005D1B5E"/>
    <w:rsid w:val="005D2C2A"/>
    <w:rsid w:val="005D3750"/>
    <w:rsid w:val="005D6969"/>
    <w:rsid w:val="005E10A2"/>
    <w:rsid w:val="005E4FAF"/>
    <w:rsid w:val="005E5F49"/>
    <w:rsid w:val="005E6A8D"/>
    <w:rsid w:val="005E7912"/>
    <w:rsid w:val="005F0FE5"/>
    <w:rsid w:val="005F23EF"/>
    <w:rsid w:val="005F3DBF"/>
    <w:rsid w:val="005F7A45"/>
    <w:rsid w:val="0060219B"/>
    <w:rsid w:val="006068AF"/>
    <w:rsid w:val="00610B00"/>
    <w:rsid w:val="0061335A"/>
    <w:rsid w:val="00614B21"/>
    <w:rsid w:val="006158C8"/>
    <w:rsid w:val="00616C5D"/>
    <w:rsid w:val="00622157"/>
    <w:rsid w:val="00626265"/>
    <w:rsid w:val="006332BD"/>
    <w:rsid w:val="0063433B"/>
    <w:rsid w:val="00634667"/>
    <w:rsid w:val="00637F44"/>
    <w:rsid w:val="00640FC7"/>
    <w:rsid w:val="006450F3"/>
    <w:rsid w:val="006461B9"/>
    <w:rsid w:val="00646F27"/>
    <w:rsid w:val="00646F88"/>
    <w:rsid w:val="006471E4"/>
    <w:rsid w:val="006514A0"/>
    <w:rsid w:val="00653702"/>
    <w:rsid w:val="00656E73"/>
    <w:rsid w:val="00657759"/>
    <w:rsid w:val="00657C55"/>
    <w:rsid w:val="00661056"/>
    <w:rsid w:val="00661076"/>
    <w:rsid w:val="006632FE"/>
    <w:rsid w:val="006639E8"/>
    <w:rsid w:val="0066606C"/>
    <w:rsid w:val="006674F1"/>
    <w:rsid w:val="00667DEE"/>
    <w:rsid w:val="00670482"/>
    <w:rsid w:val="006714A5"/>
    <w:rsid w:val="0067186D"/>
    <w:rsid w:val="00672661"/>
    <w:rsid w:val="00672D48"/>
    <w:rsid w:val="00673473"/>
    <w:rsid w:val="00673D80"/>
    <w:rsid w:val="0068160B"/>
    <w:rsid w:val="00687021"/>
    <w:rsid w:val="006915E2"/>
    <w:rsid w:val="006919AB"/>
    <w:rsid w:val="0069366D"/>
    <w:rsid w:val="00693FB0"/>
    <w:rsid w:val="00695A8B"/>
    <w:rsid w:val="00695EA2"/>
    <w:rsid w:val="00697C43"/>
    <w:rsid w:val="00697F48"/>
    <w:rsid w:val="006A07A6"/>
    <w:rsid w:val="006A20A1"/>
    <w:rsid w:val="006A3C08"/>
    <w:rsid w:val="006A417C"/>
    <w:rsid w:val="006A50A9"/>
    <w:rsid w:val="006A642D"/>
    <w:rsid w:val="006A6ED3"/>
    <w:rsid w:val="006A6F84"/>
    <w:rsid w:val="006A749C"/>
    <w:rsid w:val="006B09C1"/>
    <w:rsid w:val="006B1670"/>
    <w:rsid w:val="006B30DE"/>
    <w:rsid w:val="006B3772"/>
    <w:rsid w:val="006B38D6"/>
    <w:rsid w:val="006B3E56"/>
    <w:rsid w:val="006B7B43"/>
    <w:rsid w:val="006C0FE5"/>
    <w:rsid w:val="006C120B"/>
    <w:rsid w:val="006C7E51"/>
    <w:rsid w:val="006D077B"/>
    <w:rsid w:val="006D2212"/>
    <w:rsid w:val="006D258C"/>
    <w:rsid w:val="006D36F5"/>
    <w:rsid w:val="006D38D2"/>
    <w:rsid w:val="006D46D6"/>
    <w:rsid w:val="006D4BCA"/>
    <w:rsid w:val="006D5003"/>
    <w:rsid w:val="006D5420"/>
    <w:rsid w:val="006E0413"/>
    <w:rsid w:val="006E2791"/>
    <w:rsid w:val="006E43DE"/>
    <w:rsid w:val="006E5D24"/>
    <w:rsid w:val="006F47D9"/>
    <w:rsid w:val="006F6C87"/>
    <w:rsid w:val="006F7B99"/>
    <w:rsid w:val="00700652"/>
    <w:rsid w:val="0070485F"/>
    <w:rsid w:val="00704FFE"/>
    <w:rsid w:val="00712114"/>
    <w:rsid w:val="00714068"/>
    <w:rsid w:val="007149B1"/>
    <w:rsid w:val="0071583C"/>
    <w:rsid w:val="007167D5"/>
    <w:rsid w:val="0071739C"/>
    <w:rsid w:val="00723465"/>
    <w:rsid w:val="007251D8"/>
    <w:rsid w:val="00725A1C"/>
    <w:rsid w:val="00727540"/>
    <w:rsid w:val="007314B5"/>
    <w:rsid w:val="007328D3"/>
    <w:rsid w:val="0073452A"/>
    <w:rsid w:val="00737470"/>
    <w:rsid w:val="00737824"/>
    <w:rsid w:val="00737F7A"/>
    <w:rsid w:val="00741A77"/>
    <w:rsid w:val="00742842"/>
    <w:rsid w:val="00742C87"/>
    <w:rsid w:val="00743C7A"/>
    <w:rsid w:val="007466FE"/>
    <w:rsid w:val="007470A4"/>
    <w:rsid w:val="007478DD"/>
    <w:rsid w:val="007504F7"/>
    <w:rsid w:val="00750F20"/>
    <w:rsid w:val="00757A24"/>
    <w:rsid w:val="00760C51"/>
    <w:rsid w:val="00760CA3"/>
    <w:rsid w:val="00763F72"/>
    <w:rsid w:val="007643A5"/>
    <w:rsid w:val="00765F0B"/>
    <w:rsid w:val="00767345"/>
    <w:rsid w:val="00770245"/>
    <w:rsid w:val="00770F4E"/>
    <w:rsid w:val="007714FF"/>
    <w:rsid w:val="0077298B"/>
    <w:rsid w:val="00776833"/>
    <w:rsid w:val="00784041"/>
    <w:rsid w:val="0078464F"/>
    <w:rsid w:val="00786CC5"/>
    <w:rsid w:val="00790DFE"/>
    <w:rsid w:val="00791817"/>
    <w:rsid w:val="00792471"/>
    <w:rsid w:val="00793904"/>
    <w:rsid w:val="00794FCA"/>
    <w:rsid w:val="007A0D3C"/>
    <w:rsid w:val="007A0DA6"/>
    <w:rsid w:val="007A2C4E"/>
    <w:rsid w:val="007A40CE"/>
    <w:rsid w:val="007A5801"/>
    <w:rsid w:val="007A70F1"/>
    <w:rsid w:val="007B011B"/>
    <w:rsid w:val="007B04BD"/>
    <w:rsid w:val="007B05A1"/>
    <w:rsid w:val="007B0A15"/>
    <w:rsid w:val="007B3498"/>
    <w:rsid w:val="007B5455"/>
    <w:rsid w:val="007B54F1"/>
    <w:rsid w:val="007B7C4B"/>
    <w:rsid w:val="007C1962"/>
    <w:rsid w:val="007D1AD7"/>
    <w:rsid w:val="007D5B8F"/>
    <w:rsid w:val="007D5C88"/>
    <w:rsid w:val="007D7A27"/>
    <w:rsid w:val="007E0308"/>
    <w:rsid w:val="007E37F9"/>
    <w:rsid w:val="007E5747"/>
    <w:rsid w:val="007E6382"/>
    <w:rsid w:val="007E6A30"/>
    <w:rsid w:val="007E7C9D"/>
    <w:rsid w:val="007F12AE"/>
    <w:rsid w:val="007F23C3"/>
    <w:rsid w:val="007F31F9"/>
    <w:rsid w:val="007F42B1"/>
    <w:rsid w:val="007F4473"/>
    <w:rsid w:val="007F4937"/>
    <w:rsid w:val="007F5EDB"/>
    <w:rsid w:val="008005CE"/>
    <w:rsid w:val="008008C1"/>
    <w:rsid w:val="00802C95"/>
    <w:rsid w:val="008042C5"/>
    <w:rsid w:val="00805160"/>
    <w:rsid w:val="00805A50"/>
    <w:rsid w:val="00806A5C"/>
    <w:rsid w:val="00807264"/>
    <w:rsid w:val="00807B22"/>
    <w:rsid w:val="00812870"/>
    <w:rsid w:val="008141C4"/>
    <w:rsid w:val="008160E7"/>
    <w:rsid w:val="008171FB"/>
    <w:rsid w:val="00820BA6"/>
    <w:rsid w:val="0082495E"/>
    <w:rsid w:val="00827DFA"/>
    <w:rsid w:val="008302C6"/>
    <w:rsid w:val="008323B2"/>
    <w:rsid w:val="00833282"/>
    <w:rsid w:val="00840A19"/>
    <w:rsid w:val="008422E2"/>
    <w:rsid w:val="008438DF"/>
    <w:rsid w:val="00845110"/>
    <w:rsid w:val="008454FC"/>
    <w:rsid w:val="00855BE9"/>
    <w:rsid w:val="00856924"/>
    <w:rsid w:val="008569EB"/>
    <w:rsid w:val="00856F7C"/>
    <w:rsid w:val="008576AD"/>
    <w:rsid w:val="00862F91"/>
    <w:rsid w:val="00864A15"/>
    <w:rsid w:val="008668A7"/>
    <w:rsid w:val="00870CE6"/>
    <w:rsid w:val="00872841"/>
    <w:rsid w:val="00873E70"/>
    <w:rsid w:val="00875805"/>
    <w:rsid w:val="008765B6"/>
    <w:rsid w:val="00880333"/>
    <w:rsid w:val="008833A8"/>
    <w:rsid w:val="008857DB"/>
    <w:rsid w:val="00886297"/>
    <w:rsid w:val="00891623"/>
    <w:rsid w:val="008940E3"/>
    <w:rsid w:val="008A2D7B"/>
    <w:rsid w:val="008A5901"/>
    <w:rsid w:val="008A610C"/>
    <w:rsid w:val="008B0C66"/>
    <w:rsid w:val="008B1CF2"/>
    <w:rsid w:val="008B229B"/>
    <w:rsid w:val="008B2D4A"/>
    <w:rsid w:val="008B7511"/>
    <w:rsid w:val="008B7CF5"/>
    <w:rsid w:val="008C016F"/>
    <w:rsid w:val="008C04FE"/>
    <w:rsid w:val="008C0D55"/>
    <w:rsid w:val="008C2DBE"/>
    <w:rsid w:val="008C4D2C"/>
    <w:rsid w:val="008C5E3C"/>
    <w:rsid w:val="008D0485"/>
    <w:rsid w:val="008D1AC7"/>
    <w:rsid w:val="008D22B4"/>
    <w:rsid w:val="008D492F"/>
    <w:rsid w:val="008E21FF"/>
    <w:rsid w:val="008E24F3"/>
    <w:rsid w:val="008E74E6"/>
    <w:rsid w:val="008F0A5C"/>
    <w:rsid w:val="008F1ABF"/>
    <w:rsid w:val="008F209C"/>
    <w:rsid w:val="008F20E7"/>
    <w:rsid w:val="008F2166"/>
    <w:rsid w:val="008F323F"/>
    <w:rsid w:val="008F4F61"/>
    <w:rsid w:val="008F5EC7"/>
    <w:rsid w:val="008F67EE"/>
    <w:rsid w:val="009002E4"/>
    <w:rsid w:val="009015C3"/>
    <w:rsid w:val="00902FEF"/>
    <w:rsid w:val="0090333B"/>
    <w:rsid w:val="0090363A"/>
    <w:rsid w:val="0090543F"/>
    <w:rsid w:val="00906220"/>
    <w:rsid w:val="00916010"/>
    <w:rsid w:val="00916BD3"/>
    <w:rsid w:val="0092041D"/>
    <w:rsid w:val="00921772"/>
    <w:rsid w:val="009221E2"/>
    <w:rsid w:val="009238AC"/>
    <w:rsid w:val="00925B37"/>
    <w:rsid w:val="00925FB7"/>
    <w:rsid w:val="009261A1"/>
    <w:rsid w:val="0092738C"/>
    <w:rsid w:val="00930168"/>
    <w:rsid w:val="009321E5"/>
    <w:rsid w:val="00932527"/>
    <w:rsid w:val="009328FC"/>
    <w:rsid w:val="00937AA1"/>
    <w:rsid w:val="009421E1"/>
    <w:rsid w:val="00943E09"/>
    <w:rsid w:val="00944272"/>
    <w:rsid w:val="0094557D"/>
    <w:rsid w:val="00947605"/>
    <w:rsid w:val="00952ED1"/>
    <w:rsid w:val="00952FA3"/>
    <w:rsid w:val="009542CF"/>
    <w:rsid w:val="00954A43"/>
    <w:rsid w:val="009556C2"/>
    <w:rsid w:val="00961021"/>
    <w:rsid w:val="0096391F"/>
    <w:rsid w:val="00965A32"/>
    <w:rsid w:val="00970FA8"/>
    <w:rsid w:val="00972689"/>
    <w:rsid w:val="00973426"/>
    <w:rsid w:val="009735BA"/>
    <w:rsid w:val="0097482E"/>
    <w:rsid w:val="00976674"/>
    <w:rsid w:val="00977650"/>
    <w:rsid w:val="0097797C"/>
    <w:rsid w:val="00977D04"/>
    <w:rsid w:val="00980415"/>
    <w:rsid w:val="0098153F"/>
    <w:rsid w:val="0098200D"/>
    <w:rsid w:val="0098225E"/>
    <w:rsid w:val="009831BA"/>
    <w:rsid w:val="0098379F"/>
    <w:rsid w:val="009839E5"/>
    <w:rsid w:val="00983DFB"/>
    <w:rsid w:val="00984450"/>
    <w:rsid w:val="00986D43"/>
    <w:rsid w:val="009877E2"/>
    <w:rsid w:val="0099057E"/>
    <w:rsid w:val="00990BB2"/>
    <w:rsid w:val="009910AE"/>
    <w:rsid w:val="0099342F"/>
    <w:rsid w:val="009935C5"/>
    <w:rsid w:val="009A1C81"/>
    <w:rsid w:val="009A31BF"/>
    <w:rsid w:val="009A3369"/>
    <w:rsid w:val="009A3C5A"/>
    <w:rsid w:val="009A3D01"/>
    <w:rsid w:val="009B00DD"/>
    <w:rsid w:val="009B1CD2"/>
    <w:rsid w:val="009B41D9"/>
    <w:rsid w:val="009B446D"/>
    <w:rsid w:val="009B476F"/>
    <w:rsid w:val="009B5BC0"/>
    <w:rsid w:val="009C0A93"/>
    <w:rsid w:val="009C16CF"/>
    <w:rsid w:val="009C2D4F"/>
    <w:rsid w:val="009C449A"/>
    <w:rsid w:val="009C4556"/>
    <w:rsid w:val="009C481F"/>
    <w:rsid w:val="009C75A8"/>
    <w:rsid w:val="009D1475"/>
    <w:rsid w:val="009D2EC9"/>
    <w:rsid w:val="009D319D"/>
    <w:rsid w:val="009D3A00"/>
    <w:rsid w:val="009E0210"/>
    <w:rsid w:val="009E3017"/>
    <w:rsid w:val="009E5F39"/>
    <w:rsid w:val="009F00B0"/>
    <w:rsid w:val="009F2A78"/>
    <w:rsid w:val="009F3AB5"/>
    <w:rsid w:val="009F44AA"/>
    <w:rsid w:val="009F4A79"/>
    <w:rsid w:val="009F6A71"/>
    <w:rsid w:val="009F6E07"/>
    <w:rsid w:val="009F7BDA"/>
    <w:rsid w:val="00A0063A"/>
    <w:rsid w:val="00A01C71"/>
    <w:rsid w:val="00A036AC"/>
    <w:rsid w:val="00A0393E"/>
    <w:rsid w:val="00A03A50"/>
    <w:rsid w:val="00A03C3E"/>
    <w:rsid w:val="00A068E4"/>
    <w:rsid w:val="00A07268"/>
    <w:rsid w:val="00A07924"/>
    <w:rsid w:val="00A106AB"/>
    <w:rsid w:val="00A113B5"/>
    <w:rsid w:val="00A134EB"/>
    <w:rsid w:val="00A15A5F"/>
    <w:rsid w:val="00A160A6"/>
    <w:rsid w:val="00A201D2"/>
    <w:rsid w:val="00A21DC0"/>
    <w:rsid w:val="00A26E77"/>
    <w:rsid w:val="00A26FA9"/>
    <w:rsid w:val="00A31D84"/>
    <w:rsid w:val="00A34934"/>
    <w:rsid w:val="00A35A63"/>
    <w:rsid w:val="00A37534"/>
    <w:rsid w:val="00A461E3"/>
    <w:rsid w:val="00A507E4"/>
    <w:rsid w:val="00A5154B"/>
    <w:rsid w:val="00A535AE"/>
    <w:rsid w:val="00A53E39"/>
    <w:rsid w:val="00A54EBB"/>
    <w:rsid w:val="00A5559B"/>
    <w:rsid w:val="00A56A24"/>
    <w:rsid w:val="00A601D6"/>
    <w:rsid w:val="00A609F2"/>
    <w:rsid w:val="00A61374"/>
    <w:rsid w:val="00A61470"/>
    <w:rsid w:val="00A63EDE"/>
    <w:rsid w:val="00A669BE"/>
    <w:rsid w:val="00A66CF7"/>
    <w:rsid w:val="00A66D05"/>
    <w:rsid w:val="00A67933"/>
    <w:rsid w:val="00A74C4D"/>
    <w:rsid w:val="00A74EDA"/>
    <w:rsid w:val="00A77863"/>
    <w:rsid w:val="00A812DF"/>
    <w:rsid w:val="00A87B4E"/>
    <w:rsid w:val="00A87C84"/>
    <w:rsid w:val="00A93E8E"/>
    <w:rsid w:val="00A951A2"/>
    <w:rsid w:val="00AA0DBC"/>
    <w:rsid w:val="00AA2057"/>
    <w:rsid w:val="00AA721B"/>
    <w:rsid w:val="00AB095D"/>
    <w:rsid w:val="00AB440B"/>
    <w:rsid w:val="00AB58F2"/>
    <w:rsid w:val="00AB5C04"/>
    <w:rsid w:val="00AB5C8F"/>
    <w:rsid w:val="00AB7D1D"/>
    <w:rsid w:val="00AC24C5"/>
    <w:rsid w:val="00AC574E"/>
    <w:rsid w:val="00AC60B9"/>
    <w:rsid w:val="00AC6670"/>
    <w:rsid w:val="00AD2131"/>
    <w:rsid w:val="00AD45EA"/>
    <w:rsid w:val="00AD7797"/>
    <w:rsid w:val="00AE08B4"/>
    <w:rsid w:val="00AE14FC"/>
    <w:rsid w:val="00AE2D3B"/>
    <w:rsid w:val="00AE55F9"/>
    <w:rsid w:val="00AE6BCD"/>
    <w:rsid w:val="00AF1B33"/>
    <w:rsid w:val="00AF2F58"/>
    <w:rsid w:val="00AF36CB"/>
    <w:rsid w:val="00AF3CF2"/>
    <w:rsid w:val="00AF4566"/>
    <w:rsid w:val="00AF474A"/>
    <w:rsid w:val="00AF6D8D"/>
    <w:rsid w:val="00AF7658"/>
    <w:rsid w:val="00B0140C"/>
    <w:rsid w:val="00B043E9"/>
    <w:rsid w:val="00B0788B"/>
    <w:rsid w:val="00B107AC"/>
    <w:rsid w:val="00B128A6"/>
    <w:rsid w:val="00B1348A"/>
    <w:rsid w:val="00B21A17"/>
    <w:rsid w:val="00B2203F"/>
    <w:rsid w:val="00B224C0"/>
    <w:rsid w:val="00B23DEA"/>
    <w:rsid w:val="00B26533"/>
    <w:rsid w:val="00B26826"/>
    <w:rsid w:val="00B30CE7"/>
    <w:rsid w:val="00B31116"/>
    <w:rsid w:val="00B31308"/>
    <w:rsid w:val="00B31B0C"/>
    <w:rsid w:val="00B31EE3"/>
    <w:rsid w:val="00B3209C"/>
    <w:rsid w:val="00B328B9"/>
    <w:rsid w:val="00B33F89"/>
    <w:rsid w:val="00B36AF8"/>
    <w:rsid w:val="00B37F9F"/>
    <w:rsid w:val="00B41BDA"/>
    <w:rsid w:val="00B4482B"/>
    <w:rsid w:val="00B464B5"/>
    <w:rsid w:val="00B46CA4"/>
    <w:rsid w:val="00B472AE"/>
    <w:rsid w:val="00B50230"/>
    <w:rsid w:val="00B515B3"/>
    <w:rsid w:val="00B5536C"/>
    <w:rsid w:val="00B60293"/>
    <w:rsid w:val="00B62B01"/>
    <w:rsid w:val="00B668FB"/>
    <w:rsid w:val="00B67849"/>
    <w:rsid w:val="00B71A39"/>
    <w:rsid w:val="00B76B30"/>
    <w:rsid w:val="00B7735C"/>
    <w:rsid w:val="00B77392"/>
    <w:rsid w:val="00B808DC"/>
    <w:rsid w:val="00B81DCF"/>
    <w:rsid w:val="00B82319"/>
    <w:rsid w:val="00B85851"/>
    <w:rsid w:val="00B85E06"/>
    <w:rsid w:val="00B872EA"/>
    <w:rsid w:val="00B932BD"/>
    <w:rsid w:val="00B96770"/>
    <w:rsid w:val="00B97CF7"/>
    <w:rsid w:val="00BA011E"/>
    <w:rsid w:val="00BA097C"/>
    <w:rsid w:val="00BA0BF3"/>
    <w:rsid w:val="00BA1001"/>
    <w:rsid w:val="00BA1763"/>
    <w:rsid w:val="00BA293D"/>
    <w:rsid w:val="00BA5077"/>
    <w:rsid w:val="00BA6EFD"/>
    <w:rsid w:val="00BA78F7"/>
    <w:rsid w:val="00BB0E7B"/>
    <w:rsid w:val="00BB12C2"/>
    <w:rsid w:val="00BB16BA"/>
    <w:rsid w:val="00BB53D3"/>
    <w:rsid w:val="00BB6960"/>
    <w:rsid w:val="00BC2158"/>
    <w:rsid w:val="00BC2A56"/>
    <w:rsid w:val="00BC4568"/>
    <w:rsid w:val="00BC4CDF"/>
    <w:rsid w:val="00BC75E6"/>
    <w:rsid w:val="00BD0493"/>
    <w:rsid w:val="00BD0539"/>
    <w:rsid w:val="00BD12DC"/>
    <w:rsid w:val="00BD1E94"/>
    <w:rsid w:val="00BD32FD"/>
    <w:rsid w:val="00BD48A6"/>
    <w:rsid w:val="00BD4D4A"/>
    <w:rsid w:val="00BE3437"/>
    <w:rsid w:val="00BE7066"/>
    <w:rsid w:val="00BF036C"/>
    <w:rsid w:val="00BF1181"/>
    <w:rsid w:val="00BF32B9"/>
    <w:rsid w:val="00C10296"/>
    <w:rsid w:val="00C122F3"/>
    <w:rsid w:val="00C1311B"/>
    <w:rsid w:val="00C13594"/>
    <w:rsid w:val="00C135D5"/>
    <w:rsid w:val="00C1421A"/>
    <w:rsid w:val="00C142D8"/>
    <w:rsid w:val="00C17205"/>
    <w:rsid w:val="00C176B4"/>
    <w:rsid w:val="00C200AC"/>
    <w:rsid w:val="00C22C59"/>
    <w:rsid w:val="00C23E8A"/>
    <w:rsid w:val="00C24A3A"/>
    <w:rsid w:val="00C24E0A"/>
    <w:rsid w:val="00C24E61"/>
    <w:rsid w:val="00C30C40"/>
    <w:rsid w:val="00C32450"/>
    <w:rsid w:val="00C351ED"/>
    <w:rsid w:val="00C3782D"/>
    <w:rsid w:val="00C37D30"/>
    <w:rsid w:val="00C413D7"/>
    <w:rsid w:val="00C432B5"/>
    <w:rsid w:val="00C445FC"/>
    <w:rsid w:val="00C46EF6"/>
    <w:rsid w:val="00C510F2"/>
    <w:rsid w:val="00C52A14"/>
    <w:rsid w:val="00C52B6B"/>
    <w:rsid w:val="00C5484B"/>
    <w:rsid w:val="00C54C9F"/>
    <w:rsid w:val="00C57055"/>
    <w:rsid w:val="00C60565"/>
    <w:rsid w:val="00C61633"/>
    <w:rsid w:val="00C622A5"/>
    <w:rsid w:val="00C62FC6"/>
    <w:rsid w:val="00C65056"/>
    <w:rsid w:val="00C67025"/>
    <w:rsid w:val="00C71E62"/>
    <w:rsid w:val="00C72BCD"/>
    <w:rsid w:val="00C72EC5"/>
    <w:rsid w:val="00C733E5"/>
    <w:rsid w:val="00C761CE"/>
    <w:rsid w:val="00C765A9"/>
    <w:rsid w:val="00C7759D"/>
    <w:rsid w:val="00C77A77"/>
    <w:rsid w:val="00C827CD"/>
    <w:rsid w:val="00C8485D"/>
    <w:rsid w:val="00C857DE"/>
    <w:rsid w:val="00C874C4"/>
    <w:rsid w:val="00C91892"/>
    <w:rsid w:val="00CA02BB"/>
    <w:rsid w:val="00CA2FAE"/>
    <w:rsid w:val="00CA35E3"/>
    <w:rsid w:val="00CA4984"/>
    <w:rsid w:val="00CA4C3F"/>
    <w:rsid w:val="00CA629D"/>
    <w:rsid w:val="00CA7EEE"/>
    <w:rsid w:val="00CB0175"/>
    <w:rsid w:val="00CB1C6A"/>
    <w:rsid w:val="00CB2FD4"/>
    <w:rsid w:val="00CB6F34"/>
    <w:rsid w:val="00CB7846"/>
    <w:rsid w:val="00CC02A2"/>
    <w:rsid w:val="00CC4C4B"/>
    <w:rsid w:val="00CC5033"/>
    <w:rsid w:val="00CC601F"/>
    <w:rsid w:val="00CC7D02"/>
    <w:rsid w:val="00CD268A"/>
    <w:rsid w:val="00CE1C74"/>
    <w:rsid w:val="00CE34DB"/>
    <w:rsid w:val="00CE5699"/>
    <w:rsid w:val="00CE5AE7"/>
    <w:rsid w:val="00CE750C"/>
    <w:rsid w:val="00CE7CE8"/>
    <w:rsid w:val="00CF5055"/>
    <w:rsid w:val="00CF7820"/>
    <w:rsid w:val="00D0194F"/>
    <w:rsid w:val="00D05FB3"/>
    <w:rsid w:val="00D072F1"/>
    <w:rsid w:val="00D077A9"/>
    <w:rsid w:val="00D10316"/>
    <w:rsid w:val="00D14961"/>
    <w:rsid w:val="00D15892"/>
    <w:rsid w:val="00D17345"/>
    <w:rsid w:val="00D1787F"/>
    <w:rsid w:val="00D17999"/>
    <w:rsid w:val="00D2189E"/>
    <w:rsid w:val="00D24861"/>
    <w:rsid w:val="00D35E0C"/>
    <w:rsid w:val="00D3655B"/>
    <w:rsid w:val="00D43942"/>
    <w:rsid w:val="00D43C69"/>
    <w:rsid w:val="00D44C6C"/>
    <w:rsid w:val="00D531F3"/>
    <w:rsid w:val="00D55978"/>
    <w:rsid w:val="00D56F87"/>
    <w:rsid w:val="00D60A4D"/>
    <w:rsid w:val="00D615B4"/>
    <w:rsid w:val="00D61DD7"/>
    <w:rsid w:val="00D62D8C"/>
    <w:rsid w:val="00D64ECC"/>
    <w:rsid w:val="00D65DBE"/>
    <w:rsid w:val="00D66929"/>
    <w:rsid w:val="00D721AD"/>
    <w:rsid w:val="00D73A2C"/>
    <w:rsid w:val="00D7410D"/>
    <w:rsid w:val="00D747DC"/>
    <w:rsid w:val="00D7569F"/>
    <w:rsid w:val="00D75AD5"/>
    <w:rsid w:val="00D76CB0"/>
    <w:rsid w:val="00D83186"/>
    <w:rsid w:val="00D8500C"/>
    <w:rsid w:val="00D865BD"/>
    <w:rsid w:val="00D87FE8"/>
    <w:rsid w:val="00D90DDF"/>
    <w:rsid w:val="00D9282C"/>
    <w:rsid w:val="00D92C1F"/>
    <w:rsid w:val="00D954CF"/>
    <w:rsid w:val="00D95C57"/>
    <w:rsid w:val="00D970BC"/>
    <w:rsid w:val="00D976E6"/>
    <w:rsid w:val="00DA2476"/>
    <w:rsid w:val="00DA4AE0"/>
    <w:rsid w:val="00DA6917"/>
    <w:rsid w:val="00DA6E5D"/>
    <w:rsid w:val="00DA7A40"/>
    <w:rsid w:val="00DA7D04"/>
    <w:rsid w:val="00DA7D55"/>
    <w:rsid w:val="00DB393C"/>
    <w:rsid w:val="00DC0627"/>
    <w:rsid w:val="00DC44A8"/>
    <w:rsid w:val="00DC53C0"/>
    <w:rsid w:val="00DC6867"/>
    <w:rsid w:val="00DC7576"/>
    <w:rsid w:val="00DC7CBC"/>
    <w:rsid w:val="00DD03A4"/>
    <w:rsid w:val="00DD3E47"/>
    <w:rsid w:val="00DD4F80"/>
    <w:rsid w:val="00DD513B"/>
    <w:rsid w:val="00DE1573"/>
    <w:rsid w:val="00DE1752"/>
    <w:rsid w:val="00DE37E4"/>
    <w:rsid w:val="00DE45C0"/>
    <w:rsid w:val="00DE4D9D"/>
    <w:rsid w:val="00DE5AD0"/>
    <w:rsid w:val="00DE7F94"/>
    <w:rsid w:val="00DF0800"/>
    <w:rsid w:val="00DF1BDD"/>
    <w:rsid w:val="00DF2942"/>
    <w:rsid w:val="00DF441E"/>
    <w:rsid w:val="00DF4F3B"/>
    <w:rsid w:val="00DF5AEA"/>
    <w:rsid w:val="00DF72BA"/>
    <w:rsid w:val="00E00144"/>
    <w:rsid w:val="00E00E37"/>
    <w:rsid w:val="00E00FD6"/>
    <w:rsid w:val="00E01AFB"/>
    <w:rsid w:val="00E0251A"/>
    <w:rsid w:val="00E04F1E"/>
    <w:rsid w:val="00E05043"/>
    <w:rsid w:val="00E0539D"/>
    <w:rsid w:val="00E06FED"/>
    <w:rsid w:val="00E079BE"/>
    <w:rsid w:val="00E07A94"/>
    <w:rsid w:val="00E1052A"/>
    <w:rsid w:val="00E10565"/>
    <w:rsid w:val="00E13CAB"/>
    <w:rsid w:val="00E15A6B"/>
    <w:rsid w:val="00E22CAC"/>
    <w:rsid w:val="00E233F0"/>
    <w:rsid w:val="00E23DE5"/>
    <w:rsid w:val="00E23F04"/>
    <w:rsid w:val="00E26BDA"/>
    <w:rsid w:val="00E27103"/>
    <w:rsid w:val="00E27EEF"/>
    <w:rsid w:val="00E30392"/>
    <w:rsid w:val="00E31D0C"/>
    <w:rsid w:val="00E32E37"/>
    <w:rsid w:val="00E3511D"/>
    <w:rsid w:val="00E35F90"/>
    <w:rsid w:val="00E44FC5"/>
    <w:rsid w:val="00E45CC6"/>
    <w:rsid w:val="00E46ACA"/>
    <w:rsid w:val="00E46B72"/>
    <w:rsid w:val="00E47963"/>
    <w:rsid w:val="00E5020D"/>
    <w:rsid w:val="00E5082B"/>
    <w:rsid w:val="00E512C6"/>
    <w:rsid w:val="00E5134D"/>
    <w:rsid w:val="00E5200E"/>
    <w:rsid w:val="00E52593"/>
    <w:rsid w:val="00E529C6"/>
    <w:rsid w:val="00E547F2"/>
    <w:rsid w:val="00E5507F"/>
    <w:rsid w:val="00E577BB"/>
    <w:rsid w:val="00E661AC"/>
    <w:rsid w:val="00E677A6"/>
    <w:rsid w:val="00E7012B"/>
    <w:rsid w:val="00E702CA"/>
    <w:rsid w:val="00E71F41"/>
    <w:rsid w:val="00E722D3"/>
    <w:rsid w:val="00E72F6D"/>
    <w:rsid w:val="00E7439B"/>
    <w:rsid w:val="00E77A64"/>
    <w:rsid w:val="00E80978"/>
    <w:rsid w:val="00E817CC"/>
    <w:rsid w:val="00E851CB"/>
    <w:rsid w:val="00E85AEB"/>
    <w:rsid w:val="00E85EB4"/>
    <w:rsid w:val="00E869EE"/>
    <w:rsid w:val="00E93916"/>
    <w:rsid w:val="00E94BCC"/>
    <w:rsid w:val="00E95352"/>
    <w:rsid w:val="00E96A40"/>
    <w:rsid w:val="00E96BA1"/>
    <w:rsid w:val="00E978C4"/>
    <w:rsid w:val="00EA0CCB"/>
    <w:rsid w:val="00EA2575"/>
    <w:rsid w:val="00EA269B"/>
    <w:rsid w:val="00EA56D9"/>
    <w:rsid w:val="00EA75F5"/>
    <w:rsid w:val="00EB3435"/>
    <w:rsid w:val="00EB371B"/>
    <w:rsid w:val="00EB5BE7"/>
    <w:rsid w:val="00EB6FA4"/>
    <w:rsid w:val="00EB7010"/>
    <w:rsid w:val="00EC0CB5"/>
    <w:rsid w:val="00EC3ABF"/>
    <w:rsid w:val="00EC3CBE"/>
    <w:rsid w:val="00EC52D0"/>
    <w:rsid w:val="00EC58D6"/>
    <w:rsid w:val="00ED376C"/>
    <w:rsid w:val="00ED49E8"/>
    <w:rsid w:val="00ED5767"/>
    <w:rsid w:val="00EE0899"/>
    <w:rsid w:val="00EE26F4"/>
    <w:rsid w:val="00EE37FE"/>
    <w:rsid w:val="00EE3CD0"/>
    <w:rsid w:val="00EE3FFA"/>
    <w:rsid w:val="00EE41EC"/>
    <w:rsid w:val="00EE66A0"/>
    <w:rsid w:val="00EE75F7"/>
    <w:rsid w:val="00EF0821"/>
    <w:rsid w:val="00EF2329"/>
    <w:rsid w:val="00EF6EA2"/>
    <w:rsid w:val="00F016F1"/>
    <w:rsid w:val="00F01D95"/>
    <w:rsid w:val="00F056D1"/>
    <w:rsid w:val="00F06173"/>
    <w:rsid w:val="00F075BE"/>
    <w:rsid w:val="00F11B14"/>
    <w:rsid w:val="00F12AF3"/>
    <w:rsid w:val="00F13281"/>
    <w:rsid w:val="00F132DF"/>
    <w:rsid w:val="00F13BAE"/>
    <w:rsid w:val="00F22A7A"/>
    <w:rsid w:val="00F2377C"/>
    <w:rsid w:val="00F23E79"/>
    <w:rsid w:val="00F2560A"/>
    <w:rsid w:val="00F2702D"/>
    <w:rsid w:val="00F274A9"/>
    <w:rsid w:val="00F276BB"/>
    <w:rsid w:val="00F30A3A"/>
    <w:rsid w:val="00F334CA"/>
    <w:rsid w:val="00F34A83"/>
    <w:rsid w:val="00F3586D"/>
    <w:rsid w:val="00F362CD"/>
    <w:rsid w:val="00F37299"/>
    <w:rsid w:val="00F4112E"/>
    <w:rsid w:val="00F411A8"/>
    <w:rsid w:val="00F41398"/>
    <w:rsid w:val="00F430D9"/>
    <w:rsid w:val="00F44D19"/>
    <w:rsid w:val="00F46201"/>
    <w:rsid w:val="00F470B7"/>
    <w:rsid w:val="00F4797F"/>
    <w:rsid w:val="00F518FA"/>
    <w:rsid w:val="00F529BA"/>
    <w:rsid w:val="00F532A9"/>
    <w:rsid w:val="00F5454F"/>
    <w:rsid w:val="00F54C58"/>
    <w:rsid w:val="00F55794"/>
    <w:rsid w:val="00F56D3A"/>
    <w:rsid w:val="00F56EA9"/>
    <w:rsid w:val="00F60016"/>
    <w:rsid w:val="00F60224"/>
    <w:rsid w:val="00F63555"/>
    <w:rsid w:val="00F64ABE"/>
    <w:rsid w:val="00F71353"/>
    <w:rsid w:val="00F74EDD"/>
    <w:rsid w:val="00F770B3"/>
    <w:rsid w:val="00F80D27"/>
    <w:rsid w:val="00F811C7"/>
    <w:rsid w:val="00F81851"/>
    <w:rsid w:val="00F826B8"/>
    <w:rsid w:val="00F83E96"/>
    <w:rsid w:val="00F84C29"/>
    <w:rsid w:val="00F852B8"/>
    <w:rsid w:val="00F86B20"/>
    <w:rsid w:val="00F86F00"/>
    <w:rsid w:val="00F9060C"/>
    <w:rsid w:val="00F90877"/>
    <w:rsid w:val="00F935E6"/>
    <w:rsid w:val="00F93C3D"/>
    <w:rsid w:val="00F95375"/>
    <w:rsid w:val="00F95FE8"/>
    <w:rsid w:val="00F9627C"/>
    <w:rsid w:val="00FA0AFE"/>
    <w:rsid w:val="00FA0E5E"/>
    <w:rsid w:val="00FA1CC7"/>
    <w:rsid w:val="00FA2C06"/>
    <w:rsid w:val="00FA62A1"/>
    <w:rsid w:val="00FA66F3"/>
    <w:rsid w:val="00FA6B79"/>
    <w:rsid w:val="00FB03BF"/>
    <w:rsid w:val="00FB3297"/>
    <w:rsid w:val="00FB5F28"/>
    <w:rsid w:val="00FB60A4"/>
    <w:rsid w:val="00FB724C"/>
    <w:rsid w:val="00FB778F"/>
    <w:rsid w:val="00FC309B"/>
    <w:rsid w:val="00FC3A9E"/>
    <w:rsid w:val="00FC789C"/>
    <w:rsid w:val="00FC7A7C"/>
    <w:rsid w:val="00FD24F6"/>
    <w:rsid w:val="00FD3642"/>
    <w:rsid w:val="00FD372A"/>
    <w:rsid w:val="00FD3C56"/>
    <w:rsid w:val="00FD4113"/>
    <w:rsid w:val="00FD4A07"/>
    <w:rsid w:val="00FD659B"/>
    <w:rsid w:val="00FD6EC5"/>
    <w:rsid w:val="00FE05F4"/>
    <w:rsid w:val="00FE26A8"/>
    <w:rsid w:val="00FE355B"/>
    <w:rsid w:val="00FE6224"/>
    <w:rsid w:val="00FE6723"/>
    <w:rsid w:val="00FE6737"/>
    <w:rsid w:val="00FF13AE"/>
    <w:rsid w:val="00FF1A86"/>
    <w:rsid w:val="00FF2457"/>
    <w:rsid w:val="00FF3444"/>
    <w:rsid w:val="00FF37CC"/>
    <w:rsid w:val="00FF56E6"/>
    <w:rsid w:val="00FF778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6E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141C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141C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141C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141C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141C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141C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141C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41C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141C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
    <w:basedOn w:val="Normal"/>
    <w:link w:val="ListParagraphChar"/>
    <w:uiPriority w:val="34"/>
    <w:qFormat/>
    <w:rsid w:val="008141C4"/>
    <w:pPr>
      <w:ind w:left="720"/>
      <w:contextualSpacing/>
    </w:p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952ED1"/>
  </w:style>
  <w:style w:type="character" w:customStyle="1" w:styleId="Heading1Char">
    <w:name w:val="Heading 1 Char"/>
    <w:basedOn w:val="DefaultParagraphFont"/>
    <w:link w:val="Heading1"/>
    <w:uiPriority w:val="9"/>
    <w:rsid w:val="008141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141C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141C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141C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141C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141C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141C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41C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41C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141C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141C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141C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141C4"/>
    <w:rPr>
      <w:rFonts w:asciiTheme="majorHAnsi" w:eastAsiaTheme="majorEastAsia" w:hAnsiTheme="majorHAnsi" w:cstheme="majorBidi"/>
      <w:i/>
      <w:iCs/>
      <w:spacing w:val="13"/>
      <w:sz w:val="24"/>
      <w:szCs w:val="24"/>
    </w:rPr>
  </w:style>
  <w:style w:type="character" w:styleId="Strong">
    <w:name w:val="Strong"/>
    <w:uiPriority w:val="22"/>
    <w:qFormat/>
    <w:rsid w:val="008141C4"/>
    <w:rPr>
      <w:b/>
      <w:bCs/>
    </w:rPr>
  </w:style>
  <w:style w:type="character" w:styleId="Emphasis">
    <w:name w:val="Emphasis"/>
    <w:uiPriority w:val="20"/>
    <w:qFormat/>
    <w:rsid w:val="008141C4"/>
    <w:rPr>
      <w:b/>
      <w:bCs/>
      <w:i/>
      <w:iCs/>
      <w:spacing w:val="10"/>
      <w:bdr w:val="none" w:sz="0" w:space="0" w:color="auto"/>
      <w:shd w:val="clear" w:color="auto" w:fill="auto"/>
    </w:rPr>
  </w:style>
  <w:style w:type="paragraph" w:styleId="NoSpacing">
    <w:name w:val="No Spacing"/>
    <w:basedOn w:val="Normal"/>
    <w:uiPriority w:val="1"/>
    <w:qFormat/>
    <w:rsid w:val="008141C4"/>
  </w:style>
  <w:style w:type="paragraph" w:styleId="Quote">
    <w:name w:val="Quote"/>
    <w:basedOn w:val="Normal"/>
    <w:next w:val="Normal"/>
    <w:link w:val="QuoteChar"/>
    <w:uiPriority w:val="29"/>
    <w:qFormat/>
    <w:rsid w:val="008141C4"/>
    <w:pPr>
      <w:spacing w:before="200"/>
      <w:ind w:left="360" w:right="360"/>
    </w:pPr>
    <w:rPr>
      <w:i/>
      <w:iCs/>
    </w:rPr>
  </w:style>
  <w:style w:type="character" w:customStyle="1" w:styleId="QuoteChar">
    <w:name w:val="Quote Char"/>
    <w:basedOn w:val="DefaultParagraphFont"/>
    <w:link w:val="Quote"/>
    <w:uiPriority w:val="29"/>
    <w:rsid w:val="008141C4"/>
    <w:rPr>
      <w:i/>
      <w:iCs/>
    </w:rPr>
  </w:style>
  <w:style w:type="paragraph" w:styleId="IntenseQuote">
    <w:name w:val="Intense Quote"/>
    <w:basedOn w:val="Normal"/>
    <w:next w:val="Normal"/>
    <w:link w:val="IntenseQuoteChar"/>
    <w:uiPriority w:val="30"/>
    <w:qFormat/>
    <w:rsid w:val="008141C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41C4"/>
    <w:rPr>
      <w:b/>
      <w:bCs/>
      <w:i/>
      <w:iCs/>
    </w:rPr>
  </w:style>
  <w:style w:type="character" w:styleId="SubtleEmphasis">
    <w:name w:val="Subtle Emphasis"/>
    <w:uiPriority w:val="19"/>
    <w:qFormat/>
    <w:rsid w:val="008141C4"/>
    <w:rPr>
      <w:i/>
      <w:iCs/>
    </w:rPr>
  </w:style>
  <w:style w:type="character" w:styleId="IntenseEmphasis">
    <w:name w:val="Intense Emphasis"/>
    <w:uiPriority w:val="21"/>
    <w:qFormat/>
    <w:rsid w:val="008141C4"/>
    <w:rPr>
      <w:b/>
      <w:bCs/>
    </w:rPr>
  </w:style>
  <w:style w:type="character" w:styleId="SubtleReference">
    <w:name w:val="Subtle Reference"/>
    <w:uiPriority w:val="31"/>
    <w:qFormat/>
    <w:rsid w:val="008141C4"/>
    <w:rPr>
      <w:smallCaps/>
    </w:rPr>
  </w:style>
  <w:style w:type="character" w:styleId="IntenseReference">
    <w:name w:val="Intense Reference"/>
    <w:uiPriority w:val="32"/>
    <w:qFormat/>
    <w:rsid w:val="008141C4"/>
    <w:rPr>
      <w:smallCaps/>
      <w:spacing w:val="5"/>
      <w:u w:val="single"/>
    </w:rPr>
  </w:style>
  <w:style w:type="character" w:styleId="BookTitle">
    <w:name w:val="Book Title"/>
    <w:uiPriority w:val="33"/>
    <w:qFormat/>
    <w:rsid w:val="008141C4"/>
    <w:rPr>
      <w:i/>
      <w:iCs/>
      <w:smallCaps/>
      <w:spacing w:val="5"/>
    </w:rPr>
  </w:style>
  <w:style w:type="paragraph" w:styleId="TOCHeading">
    <w:name w:val="TOC Heading"/>
    <w:basedOn w:val="Heading1"/>
    <w:next w:val="Normal"/>
    <w:uiPriority w:val="39"/>
    <w:semiHidden/>
    <w:unhideWhenUsed/>
    <w:qFormat/>
    <w:rsid w:val="008141C4"/>
    <w:pPr>
      <w:outlineLvl w:val="9"/>
    </w:pPr>
  </w:style>
  <w:style w:type="paragraph" w:styleId="Header">
    <w:name w:val="header"/>
    <w:basedOn w:val="Normal"/>
    <w:link w:val="HeaderChar"/>
    <w:uiPriority w:val="99"/>
    <w:unhideWhenUsed/>
    <w:rsid w:val="00452D0D"/>
    <w:pPr>
      <w:tabs>
        <w:tab w:val="center" w:pos="4513"/>
        <w:tab w:val="right" w:pos="9026"/>
      </w:tabs>
    </w:pPr>
  </w:style>
  <w:style w:type="character" w:customStyle="1" w:styleId="HeaderChar">
    <w:name w:val="Header Char"/>
    <w:basedOn w:val="DefaultParagraphFont"/>
    <w:link w:val="Header"/>
    <w:uiPriority w:val="99"/>
    <w:rsid w:val="00452D0D"/>
    <w:rPr>
      <w:sz w:val="24"/>
    </w:rPr>
  </w:style>
  <w:style w:type="paragraph" w:styleId="Footer">
    <w:name w:val="footer"/>
    <w:basedOn w:val="Normal"/>
    <w:link w:val="FooterChar"/>
    <w:uiPriority w:val="99"/>
    <w:unhideWhenUsed/>
    <w:rsid w:val="00452D0D"/>
    <w:pPr>
      <w:tabs>
        <w:tab w:val="center" w:pos="4513"/>
        <w:tab w:val="right" w:pos="9026"/>
      </w:tabs>
    </w:pPr>
  </w:style>
  <w:style w:type="character" w:customStyle="1" w:styleId="FooterChar">
    <w:name w:val="Footer Char"/>
    <w:basedOn w:val="DefaultParagraphFont"/>
    <w:link w:val="Footer"/>
    <w:uiPriority w:val="99"/>
    <w:rsid w:val="00452D0D"/>
    <w:rPr>
      <w:sz w:val="24"/>
    </w:rPr>
  </w:style>
  <w:style w:type="paragraph" w:customStyle="1" w:styleId="ParaNumbering">
    <w:name w:val="Para Numbering"/>
    <w:basedOn w:val="Normal"/>
    <w:rsid w:val="00301C10"/>
    <w:pPr>
      <w:tabs>
        <w:tab w:val="num" w:pos="360"/>
        <w:tab w:val="left" w:pos="567"/>
      </w:tabs>
      <w:spacing w:line="240" w:lineRule="atLeast"/>
    </w:pPr>
    <w:rPr>
      <w:rFonts w:eastAsia="Times New Roman"/>
      <w:szCs w:val="20"/>
      <w:lang w:val="en-AU" w:bidi="ar-SA"/>
    </w:rPr>
  </w:style>
  <w:style w:type="character" w:styleId="Hyperlink">
    <w:name w:val="Hyperlink"/>
    <w:basedOn w:val="DefaultParagraphFont"/>
    <w:uiPriority w:val="99"/>
    <w:unhideWhenUsed/>
    <w:rsid w:val="00132DCA"/>
    <w:rPr>
      <w:color w:val="0000FF" w:themeColor="hyperlink"/>
      <w:u w:val="single"/>
    </w:rPr>
  </w:style>
  <w:style w:type="paragraph" w:styleId="BalloonText">
    <w:name w:val="Balloon Text"/>
    <w:basedOn w:val="Normal"/>
    <w:link w:val="BalloonTextChar"/>
    <w:uiPriority w:val="99"/>
    <w:semiHidden/>
    <w:unhideWhenUsed/>
    <w:rsid w:val="00012890"/>
    <w:rPr>
      <w:rFonts w:ascii="Tahoma" w:hAnsi="Tahoma" w:cs="Tahoma"/>
      <w:sz w:val="16"/>
      <w:szCs w:val="16"/>
    </w:rPr>
  </w:style>
  <w:style w:type="character" w:customStyle="1" w:styleId="BalloonTextChar">
    <w:name w:val="Balloon Text Char"/>
    <w:basedOn w:val="DefaultParagraphFont"/>
    <w:link w:val="BalloonText"/>
    <w:uiPriority w:val="99"/>
    <w:semiHidden/>
    <w:rsid w:val="00012890"/>
    <w:rPr>
      <w:rFonts w:ascii="Tahoma" w:hAnsi="Tahoma" w:cs="Tahoma"/>
      <w:sz w:val="16"/>
      <w:szCs w:val="16"/>
    </w:rPr>
  </w:style>
  <w:style w:type="character" w:styleId="CommentReference">
    <w:name w:val="annotation reference"/>
    <w:basedOn w:val="DefaultParagraphFont"/>
    <w:uiPriority w:val="99"/>
    <w:semiHidden/>
    <w:unhideWhenUsed/>
    <w:rsid w:val="00916010"/>
    <w:rPr>
      <w:sz w:val="16"/>
      <w:szCs w:val="16"/>
    </w:rPr>
  </w:style>
  <w:style w:type="paragraph" w:styleId="CommentText">
    <w:name w:val="annotation text"/>
    <w:basedOn w:val="Normal"/>
    <w:link w:val="CommentTextChar"/>
    <w:uiPriority w:val="99"/>
    <w:unhideWhenUsed/>
    <w:rsid w:val="00916010"/>
    <w:rPr>
      <w:sz w:val="20"/>
      <w:szCs w:val="20"/>
    </w:rPr>
  </w:style>
  <w:style w:type="character" w:customStyle="1" w:styleId="CommentTextChar">
    <w:name w:val="Comment Text Char"/>
    <w:basedOn w:val="DefaultParagraphFont"/>
    <w:link w:val="CommentText"/>
    <w:uiPriority w:val="99"/>
    <w:rsid w:val="00916010"/>
    <w:rPr>
      <w:sz w:val="20"/>
      <w:szCs w:val="20"/>
    </w:rPr>
  </w:style>
  <w:style w:type="paragraph" w:styleId="CommentSubject">
    <w:name w:val="annotation subject"/>
    <w:basedOn w:val="CommentText"/>
    <w:next w:val="CommentText"/>
    <w:link w:val="CommentSubjectChar"/>
    <w:uiPriority w:val="99"/>
    <w:semiHidden/>
    <w:unhideWhenUsed/>
    <w:rsid w:val="00916010"/>
    <w:rPr>
      <w:b/>
      <w:bCs/>
    </w:rPr>
  </w:style>
  <w:style w:type="character" w:customStyle="1" w:styleId="CommentSubjectChar">
    <w:name w:val="Comment Subject Char"/>
    <w:basedOn w:val="CommentTextChar"/>
    <w:link w:val="CommentSubject"/>
    <w:uiPriority w:val="99"/>
    <w:semiHidden/>
    <w:rsid w:val="00916010"/>
    <w:rPr>
      <w:b/>
      <w:bCs/>
      <w:sz w:val="20"/>
      <w:szCs w:val="20"/>
    </w:rPr>
  </w:style>
  <w:style w:type="paragraph" w:customStyle="1" w:styleId="definition">
    <w:name w:val="definition"/>
    <w:basedOn w:val="Normal"/>
    <w:rsid w:val="00D976E6"/>
    <w:pPr>
      <w:spacing w:before="100" w:beforeAutospacing="1" w:after="100" w:afterAutospacing="1"/>
    </w:pPr>
    <w:rPr>
      <w:rFonts w:eastAsia="Times New Roman"/>
      <w:lang w:val="en-AU" w:eastAsia="en-AU" w:bidi="ar-SA"/>
    </w:rPr>
  </w:style>
  <w:style w:type="paragraph" w:customStyle="1" w:styleId="paragraph">
    <w:name w:val="paragraph"/>
    <w:aliases w:val="a"/>
    <w:basedOn w:val="Normal"/>
    <w:link w:val="paragraphChar"/>
    <w:rsid w:val="00D976E6"/>
    <w:pPr>
      <w:spacing w:before="100" w:beforeAutospacing="1" w:after="100" w:afterAutospacing="1"/>
    </w:pPr>
    <w:rPr>
      <w:rFonts w:eastAsia="Times New Roman"/>
      <w:lang w:val="en-AU" w:eastAsia="en-AU" w:bidi="ar-SA"/>
    </w:rPr>
  </w:style>
  <w:style w:type="character" w:customStyle="1" w:styleId="paragraphChar">
    <w:name w:val="paragraph Char"/>
    <w:aliases w:val="a Char"/>
    <w:link w:val="paragraph"/>
    <w:rsid w:val="00EC3ABF"/>
    <w:rPr>
      <w:rFonts w:ascii="Times New Roman" w:eastAsia="Times New Roman" w:hAnsi="Times New Roman" w:cs="Times New Roman"/>
      <w:sz w:val="24"/>
      <w:szCs w:val="24"/>
      <w:lang w:val="en-AU" w:eastAsia="en-AU" w:bidi="ar-SA"/>
    </w:rPr>
  </w:style>
  <w:style w:type="paragraph" w:customStyle="1" w:styleId="paranumbering0">
    <w:name w:val="paranumbering"/>
    <w:basedOn w:val="Normal"/>
    <w:uiPriority w:val="99"/>
    <w:rsid w:val="00661056"/>
    <w:pPr>
      <w:spacing w:before="100" w:beforeAutospacing="1" w:after="100" w:afterAutospacing="1"/>
    </w:pPr>
    <w:rPr>
      <w:rFonts w:eastAsiaTheme="minorHAnsi"/>
      <w:lang w:val="en-AU" w:eastAsia="en-AU" w:bidi="ar-SA"/>
    </w:rPr>
  </w:style>
  <w:style w:type="paragraph" w:customStyle="1" w:styleId="Subitem">
    <w:name w:val="Subitem"/>
    <w:aliases w:val="iss"/>
    <w:basedOn w:val="Normal"/>
    <w:rsid w:val="008C4D2C"/>
    <w:pPr>
      <w:spacing w:before="180"/>
      <w:ind w:left="709" w:hanging="709"/>
    </w:pPr>
    <w:rPr>
      <w:rFonts w:eastAsia="Times New Roman"/>
      <w:sz w:val="22"/>
      <w:szCs w:val="20"/>
      <w:lang w:val="en-AU" w:eastAsia="en-AU" w:bidi="ar-SA"/>
    </w:rPr>
  </w:style>
  <w:style w:type="paragraph" w:customStyle="1" w:styleId="ActHead5">
    <w:name w:val="ActHead 5"/>
    <w:aliases w:val="s"/>
    <w:basedOn w:val="Normal"/>
    <w:next w:val="subsection"/>
    <w:qFormat/>
    <w:rsid w:val="00977D04"/>
    <w:pPr>
      <w:keepNext/>
      <w:keepLines/>
      <w:spacing w:before="280"/>
      <w:ind w:left="1134" w:hanging="1134"/>
      <w:outlineLvl w:val="4"/>
    </w:pPr>
    <w:rPr>
      <w:rFonts w:eastAsia="Times New Roman"/>
      <w:b/>
      <w:kern w:val="28"/>
      <w:szCs w:val="20"/>
      <w:lang w:val="en-AU" w:eastAsia="en-AU" w:bidi="ar-SA"/>
    </w:rPr>
  </w:style>
  <w:style w:type="character" w:customStyle="1" w:styleId="CharDivNo">
    <w:name w:val="CharDivNo"/>
    <w:basedOn w:val="DefaultParagraphFont"/>
    <w:qFormat/>
    <w:rsid w:val="00977D04"/>
  </w:style>
  <w:style w:type="character" w:customStyle="1" w:styleId="CharDivText">
    <w:name w:val="CharDivText"/>
    <w:basedOn w:val="DefaultParagraphFont"/>
    <w:qFormat/>
    <w:rsid w:val="00977D04"/>
  </w:style>
  <w:style w:type="character" w:customStyle="1" w:styleId="CharSectno">
    <w:name w:val="CharSectno"/>
    <w:basedOn w:val="DefaultParagraphFont"/>
    <w:qFormat/>
    <w:rsid w:val="00977D04"/>
  </w:style>
  <w:style w:type="paragraph" w:customStyle="1" w:styleId="subsection">
    <w:name w:val="subsection"/>
    <w:aliases w:val="ss"/>
    <w:basedOn w:val="Normal"/>
    <w:rsid w:val="00977D04"/>
    <w:pPr>
      <w:tabs>
        <w:tab w:val="right" w:pos="1021"/>
      </w:tabs>
      <w:spacing w:before="180"/>
      <w:ind w:left="1134" w:hanging="1134"/>
    </w:pPr>
    <w:rPr>
      <w:rFonts w:eastAsia="Times New Roman"/>
      <w:sz w:val="22"/>
      <w:szCs w:val="20"/>
      <w:lang w:val="en-AU" w:eastAsia="en-AU" w:bidi="ar-SA"/>
    </w:rPr>
  </w:style>
  <w:style w:type="paragraph" w:customStyle="1" w:styleId="notedraft">
    <w:name w:val="note(draft)"/>
    <w:aliases w:val="nd"/>
    <w:basedOn w:val="Normal"/>
    <w:rsid w:val="00977D04"/>
    <w:pPr>
      <w:spacing w:before="240"/>
      <w:ind w:left="284" w:hanging="284"/>
    </w:pPr>
    <w:rPr>
      <w:rFonts w:eastAsia="Times New Roman"/>
      <w:i/>
      <w:szCs w:val="20"/>
      <w:lang w:val="en-AU" w:eastAsia="en-AU" w:bidi="ar-SA"/>
    </w:rPr>
  </w:style>
  <w:style w:type="paragraph" w:customStyle="1" w:styleId="notetext">
    <w:name w:val="note(text)"/>
    <w:aliases w:val="n"/>
    <w:basedOn w:val="Normal"/>
    <w:rsid w:val="00977D04"/>
    <w:pPr>
      <w:spacing w:before="122"/>
      <w:ind w:left="1985" w:hanging="851"/>
    </w:pPr>
    <w:rPr>
      <w:rFonts w:eastAsia="Times New Roman"/>
      <w:sz w:val="18"/>
      <w:szCs w:val="20"/>
      <w:lang w:val="en-AU" w:eastAsia="en-AU" w:bidi="ar-SA"/>
    </w:rPr>
  </w:style>
  <w:style w:type="paragraph" w:customStyle="1" w:styleId="ActHead9">
    <w:name w:val="ActHead 9"/>
    <w:aliases w:val="aat"/>
    <w:basedOn w:val="Normal"/>
    <w:next w:val="Normal"/>
    <w:qFormat/>
    <w:rsid w:val="008C5E3C"/>
    <w:pPr>
      <w:keepNext/>
      <w:keepLines/>
      <w:spacing w:before="280"/>
      <w:ind w:left="1134" w:hanging="1134"/>
      <w:outlineLvl w:val="8"/>
    </w:pPr>
    <w:rPr>
      <w:rFonts w:eastAsia="Times New Roman"/>
      <w:b/>
      <w:i/>
      <w:kern w:val="28"/>
      <w:sz w:val="28"/>
      <w:szCs w:val="20"/>
      <w:lang w:val="en-AU" w:eastAsia="en-AU" w:bidi="ar-SA"/>
    </w:rPr>
  </w:style>
  <w:style w:type="paragraph" w:customStyle="1" w:styleId="Normal1">
    <w:name w:val="Normal1"/>
    <w:basedOn w:val="ListParagraph"/>
    <w:link w:val="NormalChar"/>
    <w:qFormat/>
    <w:rsid w:val="00F56D3A"/>
    <w:pPr>
      <w:numPr>
        <w:numId w:val="33"/>
      </w:numPr>
      <w:tabs>
        <w:tab w:val="left" w:pos="426"/>
      </w:tabs>
      <w:spacing w:after="120"/>
    </w:pPr>
    <w:rPr>
      <w:rFonts w:eastAsiaTheme="minorHAnsi"/>
      <w:szCs w:val="28"/>
      <w:u w:val="single"/>
      <w:lang w:val="en-AU" w:bidi="ar-SA"/>
    </w:rPr>
  </w:style>
  <w:style w:type="paragraph" w:customStyle="1" w:styleId="Style5">
    <w:name w:val="Style5"/>
    <w:basedOn w:val="Normal1"/>
    <w:qFormat/>
    <w:rsid w:val="00F56D3A"/>
    <w:pPr>
      <w:numPr>
        <w:ilvl w:val="1"/>
      </w:numPr>
      <w:tabs>
        <w:tab w:val="clear" w:pos="426"/>
        <w:tab w:val="left" w:pos="1276"/>
      </w:tabs>
      <w:ind w:left="754" w:hanging="397"/>
    </w:pPr>
  </w:style>
  <w:style w:type="character" w:customStyle="1" w:styleId="NormalChar">
    <w:name w:val="Normal Char"/>
    <w:basedOn w:val="DefaultParagraphFont"/>
    <w:link w:val="Normal1"/>
    <w:locked/>
    <w:rsid w:val="00F56D3A"/>
    <w:rPr>
      <w:rFonts w:ascii="Times New Roman" w:eastAsiaTheme="minorHAnsi" w:hAnsi="Times New Roman" w:cs="Times New Roman"/>
      <w:sz w:val="24"/>
      <w:szCs w:val="28"/>
      <w:u w:val="single"/>
      <w:lang w:val="en-AU" w:bidi="ar-SA"/>
    </w:rPr>
  </w:style>
</w:styles>
</file>

<file path=word/webSettings.xml><?xml version="1.0" encoding="utf-8"?>
<w:webSettings xmlns:r="http://schemas.openxmlformats.org/officeDocument/2006/relationships" xmlns:w="http://schemas.openxmlformats.org/wordprocessingml/2006/main">
  <w:divs>
    <w:div w:id="37554410">
      <w:bodyDiv w:val="1"/>
      <w:marLeft w:val="0"/>
      <w:marRight w:val="0"/>
      <w:marTop w:val="0"/>
      <w:marBottom w:val="0"/>
      <w:divBdr>
        <w:top w:val="none" w:sz="0" w:space="0" w:color="auto"/>
        <w:left w:val="none" w:sz="0" w:space="0" w:color="auto"/>
        <w:bottom w:val="none" w:sz="0" w:space="0" w:color="auto"/>
        <w:right w:val="none" w:sz="0" w:space="0" w:color="auto"/>
      </w:divBdr>
      <w:divsChild>
        <w:div w:id="285357597">
          <w:marLeft w:val="0"/>
          <w:marRight w:val="0"/>
          <w:marTop w:val="0"/>
          <w:marBottom w:val="0"/>
          <w:divBdr>
            <w:top w:val="none" w:sz="0" w:space="0" w:color="auto"/>
            <w:left w:val="none" w:sz="0" w:space="0" w:color="auto"/>
            <w:bottom w:val="none" w:sz="0" w:space="0" w:color="auto"/>
            <w:right w:val="none" w:sz="0" w:space="0" w:color="auto"/>
          </w:divBdr>
          <w:divsChild>
            <w:div w:id="1035928580">
              <w:marLeft w:val="0"/>
              <w:marRight w:val="0"/>
              <w:marTop w:val="0"/>
              <w:marBottom w:val="305"/>
              <w:divBdr>
                <w:top w:val="none" w:sz="0" w:space="0" w:color="auto"/>
                <w:left w:val="none" w:sz="0" w:space="0" w:color="auto"/>
                <w:bottom w:val="none" w:sz="0" w:space="0" w:color="auto"/>
                <w:right w:val="none" w:sz="0" w:space="0" w:color="auto"/>
              </w:divBdr>
              <w:divsChild>
                <w:div w:id="958146925">
                  <w:marLeft w:val="0"/>
                  <w:marRight w:val="0"/>
                  <w:marTop w:val="0"/>
                  <w:marBottom w:val="0"/>
                  <w:divBdr>
                    <w:top w:val="none" w:sz="0" w:space="0" w:color="auto"/>
                    <w:left w:val="none" w:sz="0" w:space="0" w:color="auto"/>
                    <w:bottom w:val="none" w:sz="0" w:space="0" w:color="auto"/>
                    <w:right w:val="none" w:sz="0" w:space="0" w:color="auto"/>
                  </w:divBdr>
                  <w:divsChild>
                    <w:div w:id="1746760763">
                      <w:marLeft w:val="0"/>
                      <w:marRight w:val="0"/>
                      <w:marTop w:val="0"/>
                      <w:marBottom w:val="0"/>
                      <w:divBdr>
                        <w:top w:val="none" w:sz="0" w:space="0" w:color="auto"/>
                        <w:left w:val="single" w:sz="4" w:space="0" w:color="F69C31"/>
                        <w:bottom w:val="none" w:sz="0" w:space="0" w:color="auto"/>
                        <w:right w:val="none" w:sz="0" w:space="0" w:color="auto"/>
                      </w:divBdr>
                      <w:divsChild>
                        <w:div w:id="1974748017">
                          <w:marLeft w:val="0"/>
                          <w:marRight w:val="0"/>
                          <w:marTop w:val="0"/>
                          <w:marBottom w:val="0"/>
                          <w:divBdr>
                            <w:top w:val="none" w:sz="0" w:space="0" w:color="auto"/>
                            <w:left w:val="none" w:sz="0" w:space="0" w:color="auto"/>
                            <w:bottom w:val="none" w:sz="0" w:space="0" w:color="auto"/>
                            <w:right w:val="none" w:sz="0" w:space="0" w:color="auto"/>
                          </w:divBdr>
                          <w:divsChild>
                            <w:div w:id="1759869326">
                              <w:marLeft w:val="0"/>
                              <w:marRight w:val="0"/>
                              <w:marTop w:val="0"/>
                              <w:marBottom w:val="0"/>
                              <w:divBdr>
                                <w:top w:val="none" w:sz="0" w:space="0" w:color="auto"/>
                                <w:left w:val="none" w:sz="0" w:space="0" w:color="auto"/>
                                <w:bottom w:val="none" w:sz="0" w:space="0" w:color="auto"/>
                                <w:right w:val="none" w:sz="0" w:space="0" w:color="auto"/>
                              </w:divBdr>
                              <w:divsChild>
                                <w:div w:id="39369684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138331">
      <w:bodyDiv w:val="1"/>
      <w:marLeft w:val="0"/>
      <w:marRight w:val="0"/>
      <w:marTop w:val="0"/>
      <w:marBottom w:val="0"/>
      <w:divBdr>
        <w:top w:val="none" w:sz="0" w:space="0" w:color="auto"/>
        <w:left w:val="none" w:sz="0" w:space="0" w:color="auto"/>
        <w:bottom w:val="none" w:sz="0" w:space="0" w:color="auto"/>
        <w:right w:val="none" w:sz="0" w:space="0" w:color="auto"/>
      </w:divBdr>
      <w:divsChild>
        <w:div w:id="18898191">
          <w:marLeft w:val="0"/>
          <w:marRight w:val="0"/>
          <w:marTop w:val="0"/>
          <w:marBottom w:val="0"/>
          <w:divBdr>
            <w:top w:val="none" w:sz="0" w:space="0" w:color="auto"/>
            <w:left w:val="none" w:sz="0" w:space="0" w:color="auto"/>
            <w:bottom w:val="none" w:sz="0" w:space="0" w:color="auto"/>
            <w:right w:val="none" w:sz="0" w:space="0" w:color="auto"/>
          </w:divBdr>
          <w:divsChild>
            <w:div w:id="819226441">
              <w:marLeft w:val="0"/>
              <w:marRight w:val="0"/>
              <w:marTop w:val="0"/>
              <w:marBottom w:val="0"/>
              <w:divBdr>
                <w:top w:val="none" w:sz="0" w:space="0" w:color="auto"/>
                <w:left w:val="none" w:sz="0" w:space="0" w:color="auto"/>
                <w:bottom w:val="none" w:sz="0" w:space="0" w:color="auto"/>
                <w:right w:val="none" w:sz="0" w:space="0" w:color="auto"/>
              </w:divBdr>
              <w:divsChild>
                <w:div w:id="1274675728">
                  <w:marLeft w:val="0"/>
                  <w:marRight w:val="0"/>
                  <w:marTop w:val="0"/>
                  <w:marBottom w:val="0"/>
                  <w:divBdr>
                    <w:top w:val="none" w:sz="0" w:space="0" w:color="auto"/>
                    <w:left w:val="none" w:sz="0" w:space="0" w:color="auto"/>
                    <w:bottom w:val="none" w:sz="0" w:space="0" w:color="auto"/>
                    <w:right w:val="none" w:sz="0" w:space="0" w:color="auto"/>
                  </w:divBdr>
                  <w:divsChild>
                    <w:div w:id="867837513">
                      <w:marLeft w:val="0"/>
                      <w:marRight w:val="0"/>
                      <w:marTop w:val="0"/>
                      <w:marBottom w:val="0"/>
                      <w:divBdr>
                        <w:top w:val="none" w:sz="0" w:space="0" w:color="auto"/>
                        <w:left w:val="none" w:sz="0" w:space="0" w:color="auto"/>
                        <w:bottom w:val="none" w:sz="0" w:space="0" w:color="auto"/>
                        <w:right w:val="none" w:sz="0" w:space="0" w:color="auto"/>
                      </w:divBdr>
                      <w:divsChild>
                        <w:div w:id="56823603">
                          <w:marLeft w:val="0"/>
                          <w:marRight w:val="0"/>
                          <w:marTop w:val="0"/>
                          <w:marBottom w:val="0"/>
                          <w:divBdr>
                            <w:top w:val="single" w:sz="4" w:space="0" w:color="828282"/>
                            <w:left w:val="single" w:sz="4" w:space="0" w:color="828282"/>
                            <w:bottom w:val="single" w:sz="4" w:space="0" w:color="828282"/>
                            <w:right w:val="single" w:sz="4" w:space="0" w:color="828282"/>
                          </w:divBdr>
                          <w:divsChild>
                            <w:div w:id="599721157">
                              <w:marLeft w:val="0"/>
                              <w:marRight w:val="0"/>
                              <w:marTop w:val="0"/>
                              <w:marBottom w:val="0"/>
                              <w:divBdr>
                                <w:top w:val="none" w:sz="0" w:space="0" w:color="auto"/>
                                <w:left w:val="none" w:sz="0" w:space="0" w:color="auto"/>
                                <w:bottom w:val="none" w:sz="0" w:space="0" w:color="auto"/>
                                <w:right w:val="none" w:sz="0" w:space="0" w:color="auto"/>
                              </w:divBdr>
                              <w:divsChild>
                                <w:div w:id="866260674">
                                  <w:marLeft w:val="0"/>
                                  <w:marRight w:val="0"/>
                                  <w:marTop w:val="0"/>
                                  <w:marBottom w:val="0"/>
                                  <w:divBdr>
                                    <w:top w:val="none" w:sz="0" w:space="0" w:color="auto"/>
                                    <w:left w:val="none" w:sz="0" w:space="0" w:color="auto"/>
                                    <w:bottom w:val="none" w:sz="0" w:space="0" w:color="auto"/>
                                    <w:right w:val="none" w:sz="0" w:space="0" w:color="auto"/>
                                  </w:divBdr>
                                  <w:divsChild>
                                    <w:div w:id="1595432958">
                                      <w:marLeft w:val="0"/>
                                      <w:marRight w:val="0"/>
                                      <w:marTop w:val="0"/>
                                      <w:marBottom w:val="0"/>
                                      <w:divBdr>
                                        <w:top w:val="none" w:sz="0" w:space="0" w:color="auto"/>
                                        <w:left w:val="none" w:sz="0" w:space="0" w:color="auto"/>
                                        <w:bottom w:val="none" w:sz="0" w:space="0" w:color="auto"/>
                                        <w:right w:val="none" w:sz="0" w:space="0" w:color="auto"/>
                                      </w:divBdr>
                                      <w:divsChild>
                                        <w:div w:id="844127955">
                                          <w:marLeft w:val="0"/>
                                          <w:marRight w:val="0"/>
                                          <w:marTop w:val="0"/>
                                          <w:marBottom w:val="0"/>
                                          <w:divBdr>
                                            <w:top w:val="none" w:sz="0" w:space="0" w:color="auto"/>
                                            <w:left w:val="none" w:sz="0" w:space="0" w:color="auto"/>
                                            <w:bottom w:val="none" w:sz="0" w:space="0" w:color="auto"/>
                                            <w:right w:val="none" w:sz="0" w:space="0" w:color="auto"/>
                                          </w:divBdr>
                                          <w:divsChild>
                                            <w:div w:id="1584072222">
                                              <w:marLeft w:val="0"/>
                                              <w:marRight w:val="0"/>
                                              <w:marTop w:val="0"/>
                                              <w:marBottom w:val="0"/>
                                              <w:divBdr>
                                                <w:top w:val="none" w:sz="0" w:space="0" w:color="auto"/>
                                                <w:left w:val="none" w:sz="0" w:space="0" w:color="auto"/>
                                                <w:bottom w:val="none" w:sz="0" w:space="0" w:color="auto"/>
                                                <w:right w:val="none" w:sz="0" w:space="0" w:color="auto"/>
                                              </w:divBdr>
                                              <w:divsChild>
                                                <w:div w:id="7276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871119">
      <w:bodyDiv w:val="1"/>
      <w:marLeft w:val="0"/>
      <w:marRight w:val="0"/>
      <w:marTop w:val="0"/>
      <w:marBottom w:val="0"/>
      <w:divBdr>
        <w:top w:val="none" w:sz="0" w:space="0" w:color="auto"/>
        <w:left w:val="none" w:sz="0" w:space="0" w:color="auto"/>
        <w:bottom w:val="none" w:sz="0" w:space="0" w:color="auto"/>
        <w:right w:val="none" w:sz="0" w:space="0" w:color="auto"/>
      </w:divBdr>
      <w:divsChild>
        <w:div w:id="2103405273">
          <w:marLeft w:val="0"/>
          <w:marRight w:val="0"/>
          <w:marTop w:val="0"/>
          <w:marBottom w:val="0"/>
          <w:divBdr>
            <w:top w:val="none" w:sz="0" w:space="0" w:color="auto"/>
            <w:left w:val="none" w:sz="0" w:space="0" w:color="auto"/>
            <w:bottom w:val="none" w:sz="0" w:space="0" w:color="auto"/>
            <w:right w:val="none" w:sz="0" w:space="0" w:color="auto"/>
          </w:divBdr>
          <w:divsChild>
            <w:div w:id="1926300902">
              <w:marLeft w:val="0"/>
              <w:marRight w:val="0"/>
              <w:marTop w:val="0"/>
              <w:marBottom w:val="305"/>
              <w:divBdr>
                <w:top w:val="none" w:sz="0" w:space="0" w:color="auto"/>
                <w:left w:val="none" w:sz="0" w:space="0" w:color="auto"/>
                <w:bottom w:val="none" w:sz="0" w:space="0" w:color="auto"/>
                <w:right w:val="none" w:sz="0" w:space="0" w:color="auto"/>
              </w:divBdr>
              <w:divsChild>
                <w:div w:id="820659344">
                  <w:marLeft w:val="0"/>
                  <w:marRight w:val="0"/>
                  <w:marTop w:val="0"/>
                  <w:marBottom w:val="0"/>
                  <w:divBdr>
                    <w:top w:val="none" w:sz="0" w:space="0" w:color="auto"/>
                    <w:left w:val="none" w:sz="0" w:space="0" w:color="auto"/>
                    <w:bottom w:val="none" w:sz="0" w:space="0" w:color="auto"/>
                    <w:right w:val="none" w:sz="0" w:space="0" w:color="auto"/>
                  </w:divBdr>
                  <w:divsChild>
                    <w:div w:id="1914856376">
                      <w:marLeft w:val="0"/>
                      <w:marRight w:val="0"/>
                      <w:marTop w:val="0"/>
                      <w:marBottom w:val="0"/>
                      <w:divBdr>
                        <w:top w:val="none" w:sz="0" w:space="0" w:color="auto"/>
                        <w:left w:val="single" w:sz="4" w:space="0" w:color="F69C31"/>
                        <w:bottom w:val="none" w:sz="0" w:space="0" w:color="auto"/>
                        <w:right w:val="none" w:sz="0" w:space="0" w:color="auto"/>
                      </w:divBdr>
                      <w:divsChild>
                        <w:div w:id="474685505">
                          <w:marLeft w:val="0"/>
                          <w:marRight w:val="0"/>
                          <w:marTop w:val="0"/>
                          <w:marBottom w:val="0"/>
                          <w:divBdr>
                            <w:top w:val="none" w:sz="0" w:space="0" w:color="auto"/>
                            <w:left w:val="none" w:sz="0" w:space="0" w:color="auto"/>
                            <w:bottom w:val="none" w:sz="0" w:space="0" w:color="auto"/>
                            <w:right w:val="none" w:sz="0" w:space="0" w:color="auto"/>
                          </w:divBdr>
                          <w:divsChild>
                            <w:div w:id="1507941149">
                              <w:marLeft w:val="0"/>
                              <w:marRight w:val="0"/>
                              <w:marTop w:val="0"/>
                              <w:marBottom w:val="0"/>
                              <w:divBdr>
                                <w:top w:val="none" w:sz="0" w:space="0" w:color="auto"/>
                                <w:left w:val="none" w:sz="0" w:space="0" w:color="auto"/>
                                <w:bottom w:val="none" w:sz="0" w:space="0" w:color="auto"/>
                                <w:right w:val="none" w:sz="0" w:space="0" w:color="auto"/>
                              </w:divBdr>
                              <w:divsChild>
                                <w:div w:id="1950963113">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73499">
      <w:bodyDiv w:val="1"/>
      <w:marLeft w:val="0"/>
      <w:marRight w:val="0"/>
      <w:marTop w:val="0"/>
      <w:marBottom w:val="0"/>
      <w:divBdr>
        <w:top w:val="none" w:sz="0" w:space="0" w:color="auto"/>
        <w:left w:val="none" w:sz="0" w:space="0" w:color="auto"/>
        <w:bottom w:val="none" w:sz="0" w:space="0" w:color="auto"/>
        <w:right w:val="none" w:sz="0" w:space="0" w:color="auto"/>
      </w:divBdr>
      <w:divsChild>
        <w:div w:id="1931624743">
          <w:marLeft w:val="0"/>
          <w:marRight w:val="0"/>
          <w:marTop w:val="0"/>
          <w:marBottom w:val="0"/>
          <w:divBdr>
            <w:top w:val="none" w:sz="0" w:space="0" w:color="auto"/>
            <w:left w:val="none" w:sz="0" w:space="0" w:color="auto"/>
            <w:bottom w:val="none" w:sz="0" w:space="0" w:color="auto"/>
            <w:right w:val="none" w:sz="0" w:space="0" w:color="auto"/>
          </w:divBdr>
          <w:divsChild>
            <w:div w:id="1454905482">
              <w:marLeft w:val="0"/>
              <w:marRight w:val="0"/>
              <w:marTop w:val="0"/>
              <w:marBottom w:val="0"/>
              <w:divBdr>
                <w:top w:val="none" w:sz="0" w:space="0" w:color="auto"/>
                <w:left w:val="none" w:sz="0" w:space="0" w:color="auto"/>
                <w:bottom w:val="none" w:sz="0" w:space="0" w:color="auto"/>
                <w:right w:val="none" w:sz="0" w:space="0" w:color="auto"/>
              </w:divBdr>
              <w:divsChild>
                <w:div w:id="1034771451">
                  <w:marLeft w:val="10"/>
                  <w:marRight w:val="10"/>
                  <w:marTop w:val="0"/>
                  <w:marBottom w:val="0"/>
                  <w:divBdr>
                    <w:top w:val="single" w:sz="4" w:space="0" w:color="FFFFFF"/>
                    <w:left w:val="single" w:sz="4" w:space="0" w:color="FFFFFF"/>
                    <w:bottom w:val="single" w:sz="4" w:space="8" w:color="FFFFFF"/>
                    <w:right w:val="single" w:sz="4" w:space="0" w:color="FFFFFF"/>
                  </w:divBdr>
                  <w:divsChild>
                    <w:div w:id="1391999525">
                      <w:marLeft w:val="200"/>
                      <w:marRight w:val="20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 w:id="1197428883">
      <w:bodyDiv w:val="1"/>
      <w:marLeft w:val="0"/>
      <w:marRight w:val="0"/>
      <w:marTop w:val="0"/>
      <w:marBottom w:val="0"/>
      <w:divBdr>
        <w:top w:val="none" w:sz="0" w:space="0" w:color="auto"/>
        <w:left w:val="none" w:sz="0" w:space="0" w:color="auto"/>
        <w:bottom w:val="none" w:sz="0" w:space="0" w:color="auto"/>
        <w:right w:val="none" w:sz="0" w:space="0" w:color="auto"/>
      </w:divBdr>
      <w:divsChild>
        <w:div w:id="892931088">
          <w:marLeft w:val="0"/>
          <w:marRight w:val="0"/>
          <w:marTop w:val="0"/>
          <w:marBottom w:val="0"/>
          <w:divBdr>
            <w:top w:val="none" w:sz="0" w:space="0" w:color="auto"/>
            <w:left w:val="none" w:sz="0" w:space="0" w:color="auto"/>
            <w:bottom w:val="none" w:sz="0" w:space="0" w:color="auto"/>
            <w:right w:val="none" w:sz="0" w:space="0" w:color="auto"/>
          </w:divBdr>
          <w:divsChild>
            <w:div w:id="730344853">
              <w:marLeft w:val="0"/>
              <w:marRight w:val="0"/>
              <w:marTop w:val="0"/>
              <w:marBottom w:val="0"/>
              <w:divBdr>
                <w:top w:val="none" w:sz="0" w:space="0" w:color="auto"/>
                <w:left w:val="none" w:sz="0" w:space="0" w:color="auto"/>
                <w:bottom w:val="none" w:sz="0" w:space="0" w:color="auto"/>
                <w:right w:val="none" w:sz="0" w:space="0" w:color="auto"/>
              </w:divBdr>
              <w:divsChild>
                <w:div w:id="1852068367">
                  <w:marLeft w:val="0"/>
                  <w:marRight w:val="0"/>
                  <w:marTop w:val="0"/>
                  <w:marBottom w:val="0"/>
                  <w:divBdr>
                    <w:top w:val="none" w:sz="0" w:space="0" w:color="auto"/>
                    <w:left w:val="none" w:sz="0" w:space="0" w:color="auto"/>
                    <w:bottom w:val="none" w:sz="0" w:space="0" w:color="auto"/>
                    <w:right w:val="none" w:sz="0" w:space="0" w:color="auto"/>
                  </w:divBdr>
                  <w:divsChild>
                    <w:div w:id="1731613985">
                      <w:marLeft w:val="0"/>
                      <w:marRight w:val="0"/>
                      <w:marTop w:val="0"/>
                      <w:marBottom w:val="0"/>
                      <w:divBdr>
                        <w:top w:val="none" w:sz="0" w:space="0" w:color="auto"/>
                        <w:left w:val="none" w:sz="0" w:space="0" w:color="auto"/>
                        <w:bottom w:val="none" w:sz="0" w:space="0" w:color="auto"/>
                        <w:right w:val="none" w:sz="0" w:space="0" w:color="auto"/>
                      </w:divBdr>
                      <w:divsChild>
                        <w:div w:id="1882940652">
                          <w:marLeft w:val="0"/>
                          <w:marRight w:val="0"/>
                          <w:marTop w:val="0"/>
                          <w:marBottom w:val="0"/>
                          <w:divBdr>
                            <w:top w:val="single" w:sz="6" w:space="0" w:color="828282"/>
                            <w:left w:val="single" w:sz="6" w:space="0" w:color="828282"/>
                            <w:bottom w:val="single" w:sz="6" w:space="0" w:color="828282"/>
                            <w:right w:val="single" w:sz="6" w:space="0" w:color="828282"/>
                          </w:divBdr>
                          <w:divsChild>
                            <w:div w:id="860512799">
                              <w:marLeft w:val="0"/>
                              <w:marRight w:val="0"/>
                              <w:marTop w:val="0"/>
                              <w:marBottom w:val="0"/>
                              <w:divBdr>
                                <w:top w:val="none" w:sz="0" w:space="0" w:color="auto"/>
                                <w:left w:val="none" w:sz="0" w:space="0" w:color="auto"/>
                                <w:bottom w:val="none" w:sz="0" w:space="0" w:color="auto"/>
                                <w:right w:val="none" w:sz="0" w:space="0" w:color="auto"/>
                              </w:divBdr>
                              <w:divsChild>
                                <w:div w:id="260185932">
                                  <w:marLeft w:val="0"/>
                                  <w:marRight w:val="0"/>
                                  <w:marTop w:val="0"/>
                                  <w:marBottom w:val="0"/>
                                  <w:divBdr>
                                    <w:top w:val="none" w:sz="0" w:space="0" w:color="auto"/>
                                    <w:left w:val="none" w:sz="0" w:space="0" w:color="auto"/>
                                    <w:bottom w:val="none" w:sz="0" w:space="0" w:color="auto"/>
                                    <w:right w:val="none" w:sz="0" w:space="0" w:color="auto"/>
                                  </w:divBdr>
                                  <w:divsChild>
                                    <w:div w:id="555049347">
                                      <w:marLeft w:val="0"/>
                                      <w:marRight w:val="0"/>
                                      <w:marTop w:val="0"/>
                                      <w:marBottom w:val="0"/>
                                      <w:divBdr>
                                        <w:top w:val="none" w:sz="0" w:space="0" w:color="auto"/>
                                        <w:left w:val="none" w:sz="0" w:space="0" w:color="auto"/>
                                        <w:bottom w:val="none" w:sz="0" w:space="0" w:color="auto"/>
                                        <w:right w:val="none" w:sz="0" w:space="0" w:color="auto"/>
                                      </w:divBdr>
                                      <w:divsChild>
                                        <w:div w:id="997731018">
                                          <w:marLeft w:val="0"/>
                                          <w:marRight w:val="0"/>
                                          <w:marTop w:val="0"/>
                                          <w:marBottom w:val="0"/>
                                          <w:divBdr>
                                            <w:top w:val="none" w:sz="0" w:space="0" w:color="auto"/>
                                            <w:left w:val="none" w:sz="0" w:space="0" w:color="auto"/>
                                            <w:bottom w:val="none" w:sz="0" w:space="0" w:color="auto"/>
                                            <w:right w:val="none" w:sz="0" w:space="0" w:color="auto"/>
                                          </w:divBdr>
                                          <w:divsChild>
                                            <w:div w:id="574585546">
                                              <w:marLeft w:val="0"/>
                                              <w:marRight w:val="0"/>
                                              <w:marTop w:val="0"/>
                                              <w:marBottom w:val="0"/>
                                              <w:divBdr>
                                                <w:top w:val="none" w:sz="0" w:space="0" w:color="auto"/>
                                                <w:left w:val="none" w:sz="0" w:space="0" w:color="auto"/>
                                                <w:bottom w:val="none" w:sz="0" w:space="0" w:color="auto"/>
                                                <w:right w:val="none" w:sz="0" w:space="0" w:color="auto"/>
                                              </w:divBdr>
                                              <w:divsChild>
                                                <w:div w:id="18150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771355">
      <w:bodyDiv w:val="1"/>
      <w:marLeft w:val="0"/>
      <w:marRight w:val="0"/>
      <w:marTop w:val="0"/>
      <w:marBottom w:val="0"/>
      <w:divBdr>
        <w:top w:val="none" w:sz="0" w:space="0" w:color="auto"/>
        <w:left w:val="none" w:sz="0" w:space="0" w:color="auto"/>
        <w:bottom w:val="none" w:sz="0" w:space="0" w:color="auto"/>
        <w:right w:val="none" w:sz="0" w:space="0" w:color="auto"/>
      </w:divBdr>
      <w:divsChild>
        <w:div w:id="1247378480">
          <w:marLeft w:val="0"/>
          <w:marRight w:val="0"/>
          <w:marTop w:val="0"/>
          <w:marBottom w:val="0"/>
          <w:divBdr>
            <w:top w:val="none" w:sz="0" w:space="0" w:color="auto"/>
            <w:left w:val="none" w:sz="0" w:space="0" w:color="auto"/>
            <w:bottom w:val="none" w:sz="0" w:space="0" w:color="auto"/>
            <w:right w:val="none" w:sz="0" w:space="0" w:color="auto"/>
          </w:divBdr>
          <w:divsChild>
            <w:div w:id="2134399394">
              <w:marLeft w:val="0"/>
              <w:marRight w:val="0"/>
              <w:marTop w:val="0"/>
              <w:marBottom w:val="0"/>
              <w:divBdr>
                <w:top w:val="none" w:sz="0" w:space="0" w:color="auto"/>
                <w:left w:val="none" w:sz="0" w:space="0" w:color="auto"/>
                <w:bottom w:val="none" w:sz="0" w:space="0" w:color="auto"/>
                <w:right w:val="none" w:sz="0" w:space="0" w:color="auto"/>
              </w:divBdr>
              <w:divsChild>
                <w:div w:id="1965231005">
                  <w:marLeft w:val="0"/>
                  <w:marRight w:val="0"/>
                  <w:marTop w:val="0"/>
                  <w:marBottom w:val="0"/>
                  <w:divBdr>
                    <w:top w:val="none" w:sz="0" w:space="0" w:color="auto"/>
                    <w:left w:val="none" w:sz="0" w:space="0" w:color="auto"/>
                    <w:bottom w:val="none" w:sz="0" w:space="0" w:color="auto"/>
                    <w:right w:val="none" w:sz="0" w:space="0" w:color="auto"/>
                  </w:divBdr>
                  <w:divsChild>
                    <w:div w:id="2005011660">
                      <w:marLeft w:val="0"/>
                      <w:marRight w:val="0"/>
                      <w:marTop w:val="0"/>
                      <w:marBottom w:val="0"/>
                      <w:divBdr>
                        <w:top w:val="none" w:sz="0" w:space="0" w:color="auto"/>
                        <w:left w:val="none" w:sz="0" w:space="0" w:color="auto"/>
                        <w:bottom w:val="none" w:sz="0" w:space="0" w:color="auto"/>
                        <w:right w:val="none" w:sz="0" w:space="0" w:color="auto"/>
                      </w:divBdr>
                      <w:divsChild>
                        <w:div w:id="21322771">
                          <w:marLeft w:val="0"/>
                          <w:marRight w:val="0"/>
                          <w:marTop w:val="0"/>
                          <w:marBottom w:val="0"/>
                          <w:divBdr>
                            <w:top w:val="single" w:sz="6" w:space="0" w:color="828282"/>
                            <w:left w:val="single" w:sz="6" w:space="0" w:color="828282"/>
                            <w:bottom w:val="single" w:sz="6" w:space="0" w:color="828282"/>
                            <w:right w:val="single" w:sz="6" w:space="0" w:color="828282"/>
                          </w:divBdr>
                          <w:divsChild>
                            <w:div w:id="2010670924">
                              <w:marLeft w:val="0"/>
                              <w:marRight w:val="0"/>
                              <w:marTop w:val="0"/>
                              <w:marBottom w:val="0"/>
                              <w:divBdr>
                                <w:top w:val="none" w:sz="0" w:space="0" w:color="auto"/>
                                <w:left w:val="none" w:sz="0" w:space="0" w:color="auto"/>
                                <w:bottom w:val="none" w:sz="0" w:space="0" w:color="auto"/>
                                <w:right w:val="none" w:sz="0" w:space="0" w:color="auto"/>
                              </w:divBdr>
                              <w:divsChild>
                                <w:div w:id="133764441">
                                  <w:marLeft w:val="0"/>
                                  <w:marRight w:val="0"/>
                                  <w:marTop w:val="0"/>
                                  <w:marBottom w:val="0"/>
                                  <w:divBdr>
                                    <w:top w:val="none" w:sz="0" w:space="0" w:color="auto"/>
                                    <w:left w:val="none" w:sz="0" w:space="0" w:color="auto"/>
                                    <w:bottom w:val="none" w:sz="0" w:space="0" w:color="auto"/>
                                    <w:right w:val="none" w:sz="0" w:space="0" w:color="auto"/>
                                  </w:divBdr>
                                  <w:divsChild>
                                    <w:div w:id="147357288">
                                      <w:marLeft w:val="0"/>
                                      <w:marRight w:val="0"/>
                                      <w:marTop w:val="0"/>
                                      <w:marBottom w:val="0"/>
                                      <w:divBdr>
                                        <w:top w:val="none" w:sz="0" w:space="0" w:color="auto"/>
                                        <w:left w:val="none" w:sz="0" w:space="0" w:color="auto"/>
                                        <w:bottom w:val="none" w:sz="0" w:space="0" w:color="auto"/>
                                        <w:right w:val="none" w:sz="0" w:space="0" w:color="auto"/>
                                      </w:divBdr>
                                      <w:divsChild>
                                        <w:div w:id="2067874854">
                                          <w:marLeft w:val="0"/>
                                          <w:marRight w:val="0"/>
                                          <w:marTop w:val="0"/>
                                          <w:marBottom w:val="0"/>
                                          <w:divBdr>
                                            <w:top w:val="none" w:sz="0" w:space="0" w:color="auto"/>
                                            <w:left w:val="none" w:sz="0" w:space="0" w:color="auto"/>
                                            <w:bottom w:val="none" w:sz="0" w:space="0" w:color="auto"/>
                                            <w:right w:val="none" w:sz="0" w:space="0" w:color="auto"/>
                                          </w:divBdr>
                                          <w:divsChild>
                                            <w:div w:id="2018918925">
                                              <w:marLeft w:val="0"/>
                                              <w:marRight w:val="0"/>
                                              <w:marTop w:val="0"/>
                                              <w:marBottom w:val="0"/>
                                              <w:divBdr>
                                                <w:top w:val="none" w:sz="0" w:space="0" w:color="auto"/>
                                                <w:left w:val="none" w:sz="0" w:space="0" w:color="auto"/>
                                                <w:bottom w:val="none" w:sz="0" w:space="0" w:color="auto"/>
                                                <w:right w:val="none" w:sz="0" w:space="0" w:color="auto"/>
                                              </w:divBdr>
                                              <w:divsChild>
                                                <w:div w:id="494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4C991-5D30-4EB7-9BBF-A1191F2C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1808</Words>
  <Characters>10310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12094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smydan</dc:creator>
  <cp:lastModifiedBy>Richard Murphy</cp:lastModifiedBy>
  <cp:revision>2</cp:revision>
  <cp:lastPrinted>2014-10-30T04:08:00Z</cp:lastPrinted>
  <dcterms:created xsi:type="dcterms:W3CDTF">2014-11-25T00:55:00Z</dcterms:created>
  <dcterms:modified xsi:type="dcterms:W3CDTF">2014-11-25T00:55:00Z</dcterms:modified>
</cp:coreProperties>
</file>