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865A3" w14:textId="77777777" w:rsidR="00D1347D" w:rsidRPr="00A64716" w:rsidRDefault="00834556" w:rsidP="00D1347D">
      <w:pPr>
        <w:spacing w:before="80"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>EXPLANATORY STATEMENT</w:t>
      </w:r>
    </w:p>
    <w:p w14:paraId="58501460" w14:textId="77777777" w:rsidR="00D1347D" w:rsidRPr="00A64716" w:rsidRDefault="00D1347D" w:rsidP="00D1347D">
      <w:pPr>
        <w:spacing w:before="80"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>Issued by the Australian Comm</w:t>
      </w:r>
      <w:r w:rsidR="00834556" w:rsidRPr="00A64716">
        <w:rPr>
          <w:rFonts w:ascii="Arial" w:hAnsi="Arial" w:cs="Arial"/>
          <w:b/>
          <w:sz w:val="20"/>
          <w:szCs w:val="20"/>
        </w:rPr>
        <w:t>u</w:t>
      </w:r>
      <w:r w:rsidRPr="00A64716">
        <w:rPr>
          <w:rFonts w:ascii="Arial" w:hAnsi="Arial" w:cs="Arial"/>
          <w:b/>
          <w:sz w:val="20"/>
          <w:szCs w:val="20"/>
        </w:rPr>
        <w:t>nications and Media Authority</w:t>
      </w:r>
    </w:p>
    <w:p w14:paraId="0608FA3E" w14:textId="77777777" w:rsidR="00D226C0" w:rsidRPr="00A64716" w:rsidRDefault="00D226C0" w:rsidP="00834556">
      <w:pPr>
        <w:spacing w:after="0" w:line="280" w:lineRule="atLeast"/>
        <w:jc w:val="center"/>
        <w:rPr>
          <w:rFonts w:ascii="Arial" w:hAnsi="Arial" w:cs="Arial"/>
          <w:b/>
          <w:i/>
          <w:sz w:val="20"/>
          <w:szCs w:val="20"/>
        </w:rPr>
      </w:pPr>
      <w:bookmarkStart w:id="0" w:name="OLE_LINK1"/>
      <w:bookmarkStart w:id="1" w:name="OLE_LINK2"/>
      <w:r w:rsidRPr="00A64716">
        <w:rPr>
          <w:rFonts w:ascii="Arial" w:hAnsi="Arial" w:cs="Arial"/>
          <w:b/>
          <w:i/>
          <w:sz w:val="20"/>
          <w:szCs w:val="20"/>
        </w:rPr>
        <w:t>Radiocommunications (Foreign Space Objects) Determination 2014</w:t>
      </w:r>
    </w:p>
    <w:p w14:paraId="5C1304D5" w14:textId="77777777" w:rsidR="00E57CA1" w:rsidRDefault="00E57CA1" w:rsidP="00834556">
      <w:pPr>
        <w:spacing w:after="0" w:line="28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14:paraId="632DE068" w14:textId="2174D3E6" w:rsidR="00834556" w:rsidRPr="00A64716" w:rsidRDefault="00834556" w:rsidP="00834556">
      <w:pPr>
        <w:spacing w:after="0" w:line="280" w:lineRule="atLeast"/>
        <w:jc w:val="center"/>
        <w:rPr>
          <w:rFonts w:ascii="Arial" w:hAnsi="Arial" w:cs="Arial"/>
          <w:b/>
          <w:i/>
          <w:sz w:val="20"/>
          <w:szCs w:val="20"/>
        </w:rPr>
      </w:pPr>
      <w:r w:rsidRPr="00A64716">
        <w:rPr>
          <w:rFonts w:ascii="Arial" w:hAnsi="Arial" w:cs="Arial"/>
          <w:b/>
          <w:i/>
          <w:sz w:val="20"/>
          <w:szCs w:val="20"/>
        </w:rPr>
        <w:t>Radiocommunications Act 1992</w:t>
      </w:r>
    </w:p>
    <w:bookmarkEnd w:id="0"/>
    <w:bookmarkEnd w:id="1"/>
    <w:p w14:paraId="7206DA68" w14:textId="77777777" w:rsidR="00834556" w:rsidRPr="00A64716" w:rsidRDefault="00834556" w:rsidP="00D1347D">
      <w:pPr>
        <w:spacing w:before="80" w:after="12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BF5C5D0" w14:textId="77777777" w:rsidR="00D1347D" w:rsidRPr="00A64716" w:rsidRDefault="00D1347D" w:rsidP="00D1347D">
      <w:pPr>
        <w:tabs>
          <w:tab w:val="center" w:pos="4513"/>
        </w:tabs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br/>
        <w:t>Purpose</w:t>
      </w:r>
      <w:r w:rsidRPr="00A64716">
        <w:rPr>
          <w:rFonts w:ascii="Arial" w:hAnsi="Arial" w:cs="Arial"/>
          <w:b/>
          <w:sz w:val="20"/>
          <w:szCs w:val="20"/>
        </w:rPr>
        <w:tab/>
      </w:r>
    </w:p>
    <w:p w14:paraId="6EB2841E" w14:textId="60AD4A00" w:rsidR="00D1347D" w:rsidRPr="00A64716" w:rsidRDefault="00733808" w:rsidP="00D1347D">
      <w:pPr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>T</w:t>
      </w:r>
      <w:r w:rsidR="00D1347D" w:rsidRPr="00A64716">
        <w:rPr>
          <w:rFonts w:ascii="Arial" w:hAnsi="Arial" w:cs="Arial"/>
          <w:sz w:val="20"/>
          <w:szCs w:val="20"/>
        </w:rPr>
        <w:t xml:space="preserve">he Australian Communications and Media Authority (the ACMA) </w:t>
      </w:r>
      <w:r w:rsidRPr="00A64716">
        <w:rPr>
          <w:rFonts w:ascii="Arial" w:hAnsi="Arial" w:cs="Arial"/>
          <w:sz w:val="20"/>
          <w:szCs w:val="20"/>
        </w:rPr>
        <w:t xml:space="preserve">has </w:t>
      </w:r>
      <w:r w:rsidR="00D1347D" w:rsidRPr="00A64716">
        <w:rPr>
          <w:rFonts w:ascii="Arial" w:hAnsi="Arial" w:cs="Arial"/>
          <w:sz w:val="20"/>
          <w:szCs w:val="20"/>
        </w:rPr>
        <w:t>made the</w:t>
      </w:r>
      <w:r w:rsidR="00E37214" w:rsidRPr="00A64716">
        <w:rPr>
          <w:rFonts w:ascii="Arial" w:hAnsi="Arial" w:cs="Arial"/>
          <w:sz w:val="20"/>
          <w:szCs w:val="20"/>
        </w:rPr>
        <w:t xml:space="preserve"> </w:t>
      </w:r>
      <w:r w:rsidR="00E37214" w:rsidRPr="00A64716">
        <w:rPr>
          <w:rFonts w:ascii="Arial" w:hAnsi="Arial" w:cs="Arial"/>
          <w:i/>
          <w:sz w:val="20"/>
          <w:szCs w:val="20"/>
        </w:rPr>
        <w:t xml:space="preserve">Radiocommunications </w:t>
      </w:r>
      <w:r w:rsidR="00EA4EA7" w:rsidRPr="00A64716">
        <w:rPr>
          <w:rFonts w:ascii="Arial" w:hAnsi="Arial" w:cs="Arial"/>
          <w:i/>
          <w:sz w:val="20"/>
          <w:szCs w:val="20"/>
        </w:rPr>
        <w:t>(Foreign Space Objects) Determination 2014</w:t>
      </w:r>
      <w:r w:rsidR="00E37214" w:rsidRPr="00A64716">
        <w:rPr>
          <w:rFonts w:ascii="Arial" w:hAnsi="Arial" w:cs="Arial"/>
          <w:b/>
          <w:i/>
          <w:sz w:val="20"/>
          <w:szCs w:val="20"/>
        </w:rPr>
        <w:t xml:space="preserve"> </w:t>
      </w:r>
      <w:r w:rsidR="00E37214" w:rsidRPr="00A64716">
        <w:rPr>
          <w:rFonts w:ascii="Arial" w:hAnsi="Arial" w:cs="Arial"/>
          <w:sz w:val="20"/>
          <w:szCs w:val="20"/>
        </w:rPr>
        <w:t>(the</w:t>
      </w:r>
      <w:r w:rsidR="00EA4EA7" w:rsidRPr="00A64716">
        <w:rPr>
          <w:rFonts w:ascii="Arial" w:hAnsi="Arial" w:cs="Arial"/>
          <w:sz w:val="20"/>
          <w:szCs w:val="20"/>
        </w:rPr>
        <w:t xml:space="preserve"> 2014 Determination</w:t>
      </w:r>
      <w:r w:rsidR="00E37214" w:rsidRPr="00A64716">
        <w:rPr>
          <w:rFonts w:ascii="Arial" w:hAnsi="Arial" w:cs="Arial"/>
          <w:sz w:val="20"/>
          <w:szCs w:val="20"/>
        </w:rPr>
        <w:t xml:space="preserve">) </w:t>
      </w:r>
      <w:r w:rsidR="002A78F0" w:rsidRPr="00A64716">
        <w:rPr>
          <w:rFonts w:ascii="Arial" w:hAnsi="Arial" w:cs="Arial"/>
          <w:sz w:val="20"/>
          <w:szCs w:val="20"/>
        </w:rPr>
        <w:t xml:space="preserve">to </w:t>
      </w:r>
      <w:r w:rsidR="00E57CA1">
        <w:rPr>
          <w:rFonts w:ascii="Arial" w:hAnsi="Arial" w:cs="Arial"/>
          <w:sz w:val="20"/>
          <w:szCs w:val="20"/>
        </w:rPr>
        <w:t xml:space="preserve">revoke and </w:t>
      </w:r>
      <w:r w:rsidR="00D1347D" w:rsidRPr="00A64716">
        <w:rPr>
          <w:rFonts w:ascii="Arial" w:hAnsi="Arial" w:cs="Arial"/>
          <w:sz w:val="20"/>
          <w:szCs w:val="20"/>
        </w:rPr>
        <w:t xml:space="preserve">replace the </w:t>
      </w:r>
      <w:r w:rsidR="00D1347D" w:rsidRPr="00A64716">
        <w:rPr>
          <w:rFonts w:ascii="Arial" w:hAnsi="Arial" w:cs="Arial"/>
          <w:i/>
          <w:sz w:val="20"/>
          <w:szCs w:val="20"/>
        </w:rPr>
        <w:t xml:space="preserve">Radiocommunications </w:t>
      </w:r>
      <w:r w:rsidR="00EA4EA7" w:rsidRPr="00A64716">
        <w:rPr>
          <w:rFonts w:ascii="Arial" w:hAnsi="Arial" w:cs="Arial"/>
          <w:i/>
          <w:sz w:val="20"/>
          <w:szCs w:val="20"/>
        </w:rPr>
        <w:t xml:space="preserve">(Foreign Space Objects) Determination </w:t>
      </w:r>
      <w:r w:rsidR="00D1347D" w:rsidRPr="00A64716">
        <w:rPr>
          <w:rFonts w:ascii="Arial" w:hAnsi="Arial" w:cs="Arial"/>
          <w:i/>
          <w:sz w:val="20"/>
          <w:szCs w:val="20"/>
        </w:rPr>
        <w:t>200</w:t>
      </w:r>
      <w:r w:rsidR="00EA4EA7" w:rsidRPr="00A64716">
        <w:rPr>
          <w:rFonts w:ascii="Arial" w:hAnsi="Arial" w:cs="Arial"/>
          <w:i/>
          <w:sz w:val="20"/>
          <w:szCs w:val="20"/>
        </w:rPr>
        <w:t>0</w:t>
      </w:r>
      <w:r w:rsidR="00D1347D" w:rsidRPr="00A64716">
        <w:rPr>
          <w:rFonts w:ascii="Arial" w:hAnsi="Arial" w:cs="Arial"/>
          <w:i/>
          <w:sz w:val="20"/>
          <w:szCs w:val="20"/>
        </w:rPr>
        <w:t xml:space="preserve"> </w:t>
      </w:r>
      <w:r w:rsidR="00D1347D" w:rsidRPr="00A64716">
        <w:rPr>
          <w:rFonts w:ascii="Arial" w:hAnsi="Arial" w:cs="Arial"/>
          <w:sz w:val="20"/>
          <w:szCs w:val="20"/>
        </w:rPr>
        <w:t xml:space="preserve">(the </w:t>
      </w:r>
      <w:r w:rsidR="00D1347D" w:rsidRPr="0051052B">
        <w:rPr>
          <w:rFonts w:ascii="Arial" w:hAnsi="Arial" w:cs="Arial"/>
          <w:sz w:val="20"/>
          <w:szCs w:val="20"/>
        </w:rPr>
        <w:t>200</w:t>
      </w:r>
      <w:r w:rsidR="00EA4EA7" w:rsidRPr="0051052B">
        <w:rPr>
          <w:rFonts w:ascii="Arial" w:hAnsi="Arial" w:cs="Arial"/>
          <w:sz w:val="20"/>
          <w:szCs w:val="20"/>
        </w:rPr>
        <w:t>0</w:t>
      </w:r>
      <w:r w:rsidR="00D1347D" w:rsidRPr="0051052B">
        <w:rPr>
          <w:rFonts w:ascii="Arial" w:hAnsi="Arial" w:cs="Arial"/>
          <w:sz w:val="20"/>
          <w:szCs w:val="20"/>
        </w:rPr>
        <w:t xml:space="preserve"> </w:t>
      </w:r>
      <w:r w:rsidR="00EA4EA7" w:rsidRPr="0051052B">
        <w:rPr>
          <w:rFonts w:ascii="Arial" w:hAnsi="Arial" w:cs="Arial"/>
          <w:sz w:val="20"/>
          <w:szCs w:val="20"/>
        </w:rPr>
        <w:t>Determination</w:t>
      </w:r>
      <w:r w:rsidR="00D1347D" w:rsidRPr="00A64716">
        <w:rPr>
          <w:rFonts w:ascii="Arial" w:hAnsi="Arial" w:cs="Arial"/>
          <w:sz w:val="20"/>
          <w:szCs w:val="20"/>
        </w:rPr>
        <w:t>)</w:t>
      </w:r>
      <w:r w:rsidR="00E37214" w:rsidRPr="00A64716">
        <w:rPr>
          <w:rFonts w:ascii="Arial" w:hAnsi="Arial" w:cs="Arial"/>
          <w:sz w:val="20"/>
          <w:szCs w:val="20"/>
        </w:rPr>
        <w:t xml:space="preserve"> without making any significant changes to the regulatory arrangements created by the 200</w:t>
      </w:r>
      <w:r w:rsidR="00EA4EA7" w:rsidRPr="00A64716">
        <w:rPr>
          <w:rFonts w:ascii="Arial" w:hAnsi="Arial" w:cs="Arial"/>
          <w:sz w:val="20"/>
          <w:szCs w:val="20"/>
        </w:rPr>
        <w:t>0 Determination</w:t>
      </w:r>
      <w:r w:rsidR="00D1347D" w:rsidRPr="00A64716">
        <w:rPr>
          <w:rFonts w:ascii="Arial" w:hAnsi="Arial" w:cs="Arial"/>
          <w:sz w:val="20"/>
          <w:szCs w:val="20"/>
        </w:rPr>
        <w:t xml:space="preserve">.  </w:t>
      </w:r>
    </w:p>
    <w:p w14:paraId="51835EA5" w14:textId="19EC7463" w:rsidR="00D1347D" w:rsidRPr="00A64716" w:rsidRDefault="00D1347D" w:rsidP="00D1347D">
      <w:pPr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 xml:space="preserve">The ACMA has made the </w:t>
      </w:r>
      <w:r w:rsidR="00F931D2" w:rsidRPr="00A64716">
        <w:rPr>
          <w:rFonts w:ascii="Arial" w:hAnsi="Arial" w:cs="Arial"/>
          <w:sz w:val="20"/>
          <w:szCs w:val="20"/>
        </w:rPr>
        <w:t>2014</w:t>
      </w:r>
      <w:r w:rsidR="00EA4EA7" w:rsidRPr="00A64716">
        <w:rPr>
          <w:rFonts w:ascii="Arial" w:hAnsi="Arial" w:cs="Arial"/>
          <w:sz w:val="20"/>
          <w:szCs w:val="20"/>
        </w:rPr>
        <w:t xml:space="preserve"> Determination</w:t>
      </w:r>
      <w:r w:rsidRPr="00A64716">
        <w:rPr>
          <w:rFonts w:ascii="Arial" w:hAnsi="Arial" w:cs="Arial"/>
          <w:sz w:val="20"/>
          <w:szCs w:val="20"/>
        </w:rPr>
        <w:t xml:space="preserve"> as the </w:t>
      </w:r>
      <w:r w:rsidR="0031604B" w:rsidRPr="00A64716">
        <w:rPr>
          <w:rFonts w:ascii="Arial" w:hAnsi="Arial" w:cs="Arial"/>
          <w:sz w:val="20"/>
          <w:szCs w:val="20"/>
        </w:rPr>
        <w:t>200</w:t>
      </w:r>
      <w:r w:rsidR="00EA4EA7" w:rsidRPr="00A64716">
        <w:rPr>
          <w:rFonts w:ascii="Arial" w:hAnsi="Arial" w:cs="Arial"/>
          <w:sz w:val="20"/>
          <w:szCs w:val="20"/>
        </w:rPr>
        <w:t>0</w:t>
      </w:r>
      <w:r w:rsidR="0031604B" w:rsidRPr="00A64716">
        <w:rPr>
          <w:rFonts w:ascii="Arial" w:hAnsi="Arial" w:cs="Arial"/>
          <w:sz w:val="20"/>
          <w:szCs w:val="20"/>
        </w:rPr>
        <w:t xml:space="preserve"> </w:t>
      </w:r>
      <w:r w:rsidR="00EA4EA7" w:rsidRPr="00A64716">
        <w:rPr>
          <w:rFonts w:ascii="Arial" w:hAnsi="Arial" w:cs="Arial"/>
          <w:sz w:val="20"/>
          <w:szCs w:val="20"/>
        </w:rPr>
        <w:t>Determination</w:t>
      </w:r>
      <w:r w:rsidRPr="00A64716">
        <w:rPr>
          <w:rFonts w:ascii="Arial" w:hAnsi="Arial" w:cs="Arial"/>
          <w:sz w:val="20"/>
          <w:szCs w:val="20"/>
        </w:rPr>
        <w:t xml:space="preserve"> </w:t>
      </w:r>
      <w:r w:rsidR="00077075" w:rsidRPr="00A64716">
        <w:rPr>
          <w:rFonts w:ascii="Arial" w:hAnsi="Arial" w:cs="Arial"/>
          <w:sz w:val="20"/>
          <w:szCs w:val="20"/>
        </w:rPr>
        <w:t>wa</w:t>
      </w:r>
      <w:r w:rsidR="002A78F0" w:rsidRPr="00A64716">
        <w:rPr>
          <w:rFonts w:ascii="Arial" w:hAnsi="Arial" w:cs="Arial"/>
          <w:sz w:val="20"/>
          <w:szCs w:val="20"/>
        </w:rPr>
        <w:t>s</w:t>
      </w:r>
      <w:r w:rsidRPr="00A64716">
        <w:rPr>
          <w:rFonts w:ascii="Arial" w:hAnsi="Arial" w:cs="Arial"/>
          <w:sz w:val="20"/>
          <w:szCs w:val="20"/>
        </w:rPr>
        <w:t xml:space="preserve"> due to be aut</w:t>
      </w:r>
      <w:r w:rsidR="0014018A" w:rsidRPr="00A64716">
        <w:rPr>
          <w:rFonts w:ascii="Arial" w:hAnsi="Arial" w:cs="Arial"/>
          <w:sz w:val="20"/>
          <w:szCs w:val="20"/>
        </w:rPr>
        <w:t>omatically repealed on 1 October</w:t>
      </w:r>
      <w:r w:rsidR="00B04F09" w:rsidRPr="00A64716">
        <w:rPr>
          <w:rFonts w:ascii="Arial" w:hAnsi="Arial" w:cs="Arial"/>
          <w:sz w:val="20"/>
          <w:szCs w:val="20"/>
        </w:rPr>
        <w:t xml:space="preserve"> </w:t>
      </w:r>
      <w:r w:rsidRPr="00A64716">
        <w:rPr>
          <w:rFonts w:ascii="Arial" w:hAnsi="Arial" w:cs="Arial"/>
          <w:sz w:val="20"/>
          <w:szCs w:val="20"/>
        </w:rPr>
        <w:t xml:space="preserve">2015, in accordance with Part 6 of the </w:t>
      </w:r>
      <w:r w:rsidRPr="00A64716">
        <w:rPr>
          <w:rFonts w:ascii="Arial" w:hAnsi="Arial" w:cs="Arial"/>
          <w:i/>
          <w:sz w:val="20"/>
          <w:szCs w:val="20"/>
        </w:rPr>
        <w:t>Legislative Instruments Act 2003</w:t>
      </w:r>
      <w:r w:rsidRPr="00A64716">
        <w:rPr>
          <w:rFonts w:ascii="Arial" w:hAnsi="Arial" w:cs="Arial"/>
          <w:sz w:val="20"/>
          <w:szCs w:val="20"/>
        </w:rPr>
        <w:t xml:space="preserve"> (</w:t>
      </w:r>
      <w:r w:rsidRPr="0051052B">
        <w:rPr>
          <w:rFonts w:ascii="Arial" w:hAnsi="Arial" w:cs="Arial"/>
          <w:sz w:val="20"/>
          <w:szCs w:val="20"/>
        </w:rPr>
        <w:t>the LIA</w:t>
      </w:r>
      <w:r w:rsidRPr="00A64716">
        <w:rPr>
          <w:rFonts w:ascii="Arial" w:hAnsi="Arial" w:cs="Arial"/>
          <w:sz w:val="20"/>
          <w:szCs w:val="20"/>
        </w:rPr>
        <w:t xml:space="preserve">). </w:t>
      </w:r>
    </w:p>
    <w:p w14:paraId="37D2C193" w14:textId="77777777" w:rsidR="00D1347D" w:rsidRPr="00A64716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Legislative Provisions </w:t>
      </w:r>
    </w:p>
    <w:p w14:paraId="4268ECB2" w14:textId="04F60995" w:rsidR="003A48EC" w:rsidRPr="00A64716" w:rsidRDefault="003A48EC" w:rsidP="003A48EC">
      <w:pPr>
        <w:rPr>
          <w:rFonts w:ascii="Arial" w:hAnsi="Arial" w:cs="Arial"/>
          <w:snapToGrid w:val="0"/>
          <w:sz w:val="20"/>
          <w:szCs w:val="20"/>
        </w:rPr>
      </w:pPr>
      <w:r w:rsidRPr="00A64716">
        <w:rPr>
          <w:rFonts w:ascii="Arial" w:hAnsi="Arial" w:cs="Arial"/>
          <w:snapToGrid w:val="0"/>
          <w:sz w:val="20"/>
          <w:szCs w:val="20"/>
        </w:rPr>
        <w:t xml:space="preserve">Subsection 16(1)(ca) of the </w:t>
      </w:r>
      <w:r w:rsidRPr="00B707A2">
        <w:rPr>
          <w:rFonts w:ascii="Arial" w:hAnsi="Arial" w:cs="Arial"/>
          <w:i/>
          <w:snapToGrid w:val="0"/>
          <w:sz w:val="20"/>
          <w:szCs w:val="20"/>
        </w:rPr>
        <w:t xml:space="preserve">Radiocommunications Act 1992 </w:t>
      </w:r>
      <w:r w:rsidRPr="00B127F3">
        <w:rPr>
          <w:rFonts w:ascii="Arial" w:hAnsi="Arial" w:cs="Arial"/>
          <w:snapToGrid w:val="0"/>
          <w:sz w:val="20"/>
          <w:szCs w:val="20"/>
        </w:rPr>
        <w:t>(the Act)</w:t>
      </w:r>
      <w:r w:rsidR="00E57CA1">
        <w:rPr>
          <w:rFonts w:ascii="Arial" w:hAnsi="Arial" w:cs="Arial"/>
          <w:snapToGrid w:val="0"/>
          <w:sz w:val="20"/>
          <w:szCs w:val="20"/>
        </w:rPr>
        <w:t xml:space="preserve"> gives</w:t>
      </w:r>
      <w:r w:rsidRPr="00A64716">
        <w:rPr>
          <w:rFonts w:ascii="Arial" w:hAnsi="Arial" w:cs="Arial"/>
          <w:snapToGrid w:val="0"/>
          <w:sz w:val="20"/>
          <w:szCs w:val="20"/>
        </w:rPr>
        <w:t xml:space="preserve"> the </w:t>
      </w:r>
      <w:r w:rsidR="00F02777" w:rsidRPr="00A64716">
        <w:rPr>
          <w:rFonts w:ascii="Arial" w:hAnsi="Arial" w:cs="Arial"/>
          <w:snapToGrid w:val="0"/>
          <w:sz w:val="20"/>
          <w:szCs w:val="20"/>
        </w:rPr>
        <w:t>ACMA</w:t>
      </w:r>
      <w:r w:rsidRPr="00A64716">
        <w:rPr>
          <w:rFonts w:ascii="Arial" w:hAnsi="Arial" w:cs="Arial"/>
          <w:snapToGrid w:val="0"/>
          <w:sz w:val="20"/>
          <w:szCs w:val="20"/>
        </w:rPr>
        <w:t xml:space="preserve"> t</w:t>
      </w:r>
      <w:r w:rsidR="00E57CA1">
        <w:rPr>
          <w:rFonts w:ascii="Arial" w:hAnsi="Arial" w:cs="Arial"/>
          <w:snapToGrid w:val="0"/>
          <w:sz w:val="20"/>
          <w:szCs w:val="20"/>
        </w:rPr>
        <w:t>he power t</w:t>
      </w:r>
      <w:r w:rsidRPr="00A64716">
        <w:rPr>
          <w:rFonts w:ascii="Arial" w:hAnsi="Arial" w:cs="Arial"/>
          <w:snapToGrid w:val="0"/>
          <w:sz w:val="20"/>
          <w:szCs w:val="20"/>
        </w:rPr>
        <w:t>o specify in a determination the circumstances in which foreign space objects are subject to the Act.</w:t>
      </w:r>
    </w:p>
    <w:p w14:paraId="2B58F1E1" w14:textId="6D126CF3" w:rsidR="00D1347D" w:rsidRPr="00A64716" w:rsidRDefault="003A48EC" w:rsidP="003A48EC">
      <w:pPr>
        <w:rPr>
          <w:rFonts w:ascii="Arial" w:hAnsi="Arial" w:cs="Arial"/>
          <w:snapToGrid w:val="0"/>
          <w:sz w:val="20"/>
          <w:szCs w:val="20"/>
        </w:rPr>
      </w:pPr>
      <w:r w:rsidRPr="00A64716">
        <w:rPr>
          <w:rFonts w:ascii="Arial" w:hAnsi="Arial" w:cs="Arial"/>
          <w:snapToGrid w:val="0"/>
          <w:sz w:val="20"/>
          <w:szCs w:val="20"/>
        </w:rPr>
        <w:t xml:space="preserve">A determination made under paragraph 16(1)(ca) of the Act is a </w:t>
      </w:r>
      <w:r w:rsidR="00E57CA1">
        <w:rPr>
          <w:rFonts w:ascii="Arial" w:hAnsi="Arial" w:cs="Arial"/>
          <w:snapToGrid w:val="0"/>
          <w:sz w:val="20"/>
          <w:szCs w:val="20"/>
        </w:rPr>
        <w:t>legislative</w:t>
      </w:r>
      <w:r w:rsidR="00E57CA1" w:rsidRPr="00A64716">
        <w:rPr>
          <w:rFonts w:ascii="Arial" w:hAnsi="Arial" w:cs="Arial"/>
          <w:snapToGrid w:val="0"/>
          <w:sz w:val="20"/>
          <w:szCs w:val="20"/>
        </w:rPr>
        <w:t xml:space="preserve"> </w:t>
      </w:r>
      <w:r w:rsidRPr="00A64716">
        <w:rPr>
          <w:rFonts w:ascii="Arial" w:hAnsi="Arial" w:cs="Arial"/>
          <w:snapToGrid w:val="0"/>
          <w:sz w:val="20"/>
          <w:szCs w:val="20"/>
        </w:rPr>
        <w:t xml:space="preserve">instrument </w:t>
      </w:r>
      <w:r w:rsidR="00E57CA1">
        <w:rPr>
          <w:rFonts w:ascii="Arial" w:hAnsi="Arial" w:cs="Arial"/>
          <w:snapToGrid w:val="0"/>
          <w:sz w:val="20"/>
          <w:szCs w:val="20"/>
        </w:rPr>
        <w:t>and may be subject to disallowance in accordance with section 42 of the LIA.</w:t>
      </w:r>
      <w:r w:rsidR="00D1347D" w:rsidRPr="00A64716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A74F15C" w14:textId="061763C8" w:rsidR="00D1347D" w:rsidRPr="00A64716" w:rsidRDefault="00D1347D" w:rsidP="00D1347D">
      <w:pPr>
        <w:spacing w:before="80" w:after="120" w:line="280" w:lineRule="atLeast"/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 xml:space="preserve">Subsection 33(3) of the </w:t>
      </w:r>
      <w:r w:rsidRPr="00A64716">
        <w:rPr>
          <w:rFonts w:ascii="Arial" w:hAnsi="Arial" w:cs="Arial"/>
          <w:i/>
          <w:sz w:val="20"/>
          <w:szCs w:val="20"/>
        </w:rPr>
        <w:t>Acts Interpretation Act 1901</w:t>
      </w:r>
      <w:r w:rsidRPr="00A64716">
        <w:rPr>
          <w:rFonts w:ascii="Arial" w:hAnsi="Arial" w:cs="Arial"/>
          <w:sz w:val="20"/>
          <w:szCs w:val="20"/>
        </w:rPr>
        <w:t xml:space="preserve"> provides that where an Act confers a power to make a legislative instrument, the power shall be construed to include a power exercisable in the like manner and subject to the like conditions (if any) to repeal, rescind, revoke, amend or vary any such instrument.</w:t>
      </w:r>
    </w:p>
    <w:p w14:paraId="435C016E" w14:textId="77777777" w:rsidR="00D1347D" w:rsidRPr="00A64716" w:rsidRDefault="00D1347D" w:rsidP="00D1347D">
      <w:pPr>
        <w:pStyle w:val="ACMABodyText"/>
        <w:rPr>
          <w:rFonts w:ascii="Arial" w:eastAsiaTheme="minorHAnsi" w:hAnsi="Arial" w:cs="Arial"/>
          <w:b/>
          <w:snapToGrid/>
          <w:sz w:val="20"/>
        </w:rPr>
      </w:pPr>
      <w:r w:rsidRPr="00A64716">
        <w:rPr>
          <w:rFonts w:ascii="Arial" w:eastAsiaTheme="minorHAnsi" w:hAnsi="Arial" w:cs="Arial"/>
          <w:b/>
          <w:snapToGrid/>
          <w:sz w:val="20"/>
        </w:rPr>
        <w:t>Background</w:t>
      </w:r>
    </w:p>
    <w:p w14:paraId="21AC0E61" w14:textId="714F09E5" w:rsidR="004F0540" w:rsidRPr="004F0540" w:rsidRDefault="004F0540" w:rsidP="004F0540">
      <w:pPr>
        <w:pStyle w:val="ACMABodyText"/>
        <w:rPr>
          <w:rFonts w:ascii="Arial" w:eastAsiaTheme="minorHAnsi" w:hAnsi="Arial" w:cs="Arial"/>
          <w:sz w:val="20"/>
        </w:rPr>
      </w:pPr>
      <w:r w:rsidRPr="004F0540">
        <w:rPr>
          <w:rFonts w:ascii="Arial" w:eastAsiaTheme="minorHAnsi" w:hAnsi="Arial" w:cs="Arial"/>
          <w:sz w:val="20"/>
        </w:rPr>
        <w:t xml:space="preserve">Under section 5 of the Act, a foreign space object is a ‘space object that is not an Australian space object.’ </w:t>
      </w:r>
      <w:r w:rsidR="00EE5A9B">
        <w:rPr>
          <w:rFonts w:ascii="Arial" w:eastAsiaTheme="minorHAnsi" w:hAnsi="Arial" w:cs="Arial"/>
          <w:sz w:val="20"/>
        </w:rPr>
        <w:t>Paragraph</w:t>
      </w:r>
      <w:r w:rsidR="009D421A">
        <w:rPr>
          <w:rFonts w:ascii="Arial" w:eastAsiaTheme="minorHAnsi" w:hAnsi="Arial" w:cs="Arial"/>
          <w:sz w:val="20"/>
        </w:rPr>
        <w:t xml:space="preserve"> 16(1)(ca)</w:t>
      </w:r>
      <w:bookmarkStart w:id="2" w:name="_GoBack"/>
      <w:bookmarkEnd w:id="2"/>
      <w:r w:rsidRPr="004F0540">
        <w:rPr>
          <w:rFonts w:ascii="Arial" w:eastAsiaTheme="minorHAnsi" w:hAnsi="Arial" w:cs="Arial"/>
          <w:sz w:val="20"/>
        </w:rPr>
        <w:t xml:space="preserve"> </w:t>
      </w:r>
      <w:r w:rsidR="00EE5A9B">
        <w:rPr>
          <w:rFonts w:ascii="Arial" w:eastAsiaTheme="minorHAnsi" w:hAnsi="Arial" w:cs="Arial"/>
          <w:sz w:val="20"/>
        </w:rPr>
        <w:t xml:space="preserve">provides that the Act </w:t>
      </w:r>
      <w:r w:rsidRPr="004F0540">
        <w:rPr>
          <w:rFonts w:ascii="Arial" w:eastAsiaTheme="minorHAnsi" w:hAnsi="Arial" w:cs="Arial"/>
          <w:sz w:val="20"/>
        </w:rPr>
        <w:t xml:space="preserve">applies outside Australia to ‘foreign space objects, in the circumstances specified in a written determination by the ACMA’; consequently </w:t>
      </w:r>
      <w:r w:rsidR="00EE5A9B">
        <w:rPr>
          <w:rFonts w:ascii="Arial" w:eastAsiaTheme="minorHAnsi" w:hAnsi="Arial" w:cs="Arial"/>
          <w:sz w:val="20"/>
        </w:rPr>
        <w:t>the 2014 Determination</w:t>
      </w:r>
      <w:r w:rsidRPr="004F0540">
        <w:rPr>
          <w:rFonts w:ascii="Arial" w:eastAsiaTheme="minorHAnsi" w:hAnsi="Arial" w:cs="Arial"/>
          <w:sz w:val="20"/>
        </w:rPr>
        <w:t xml:space="preserve"> extends application of the Act</w:t>
      </w:r>
      <w:r w:rsidR="00EE5A9B">
        <w:rPr>
          <w:rFonts w:ascii="Arial" w:eastAsiaTheme="minorHAnsi" w:hAnsi="Arial" w:cs="Arial"/>
          <w:sz w:val="20"/>
        </w:rPr>
        <w:t xml:space="preserve"> to the</w:t>
      </w:r>
      <w:r w:rsidR="00600A25">
        <w:rPr>
          <w:rFonts w:ascii="Arial" w:eastAsiaTheme="minorHAnsi" w:hAnsi="Arial" w:cs="Arial"/>
          <w:sz w:val="20"/>
        </w:rPr>
        <w:t xml:space="preserve"> foreign</w:t>
      </w:r>
      <w:r w:rsidR="00EE5A9B">
        <w:rPr>
          <w:rFonts w:ascii="Arial" w:eastAsiaTheme="minorHAnsi" w:hAnsi="Arial" w:cs="Arial"/>
          <w:sz w:val="20"/>
        </w:rPr>
        <w:t xml:space="preserve"> space objects listed in the </w:t>
      </w:r>
      <w:r w:rsidR="00757012">
        <w:rPr>
          <w:rFonts w:ascii="Arial" w:eastAsiaTheme="minorHAnsi" w:hAnsi="Arial" w:cs="Arial"/>
          <w:sz w:val="20"/>
        </w:rPr>
        <w:t xml:space="preserve">2014 </w:t>
      </w:r>
      <w:r w:rsidR="00EE5A9B">
        <w:rPr>
          <w:rFonts w:ascii="Arial" w:eastAsiaTheme="minorHAnsi" w:hAnsi="Arial" w:cs="Arial"/>
          <w:sz w:val="20"/>
        </w:rPr>
        <w:t>Determination</w:t>
      </w:r>
      <w:r w:rsidR="00757012">
        <w:rPr>
          <w:rFonts w:ascii="Arial" w:eastAsiaTheme="minorHAnsi" w:hAnsi="Arial" w:cs="Arial"/>
          <w:sz w:val="20"/>
        </w:rPr>
        <w:t xml:space="preserve"> in the circumstances specified in the 2014 Determination</w:t>
      </w:r>
      <w:r w:rsidR="003904B7">
        <w:rPr>
          <w:rFonts w:ascii="Arial" w:eastAsiaTheme="minorHAnsi" w:hAnsi="Arial" w:cs="Arial"/>
          <w:sz w:val="20"/>
        </w:rPr>
        <w:t>.</w:t>
      </w:r>
    </w:p>
    <w:p w14:paraId="526EBD0A" w14:textId="15712DA4" w:rsidR="005F4F56" w:rsidRDefault="004B7190" w:rsidP="00D1347D">
      <w:pPr>
        <w:rPr>
          <w:rFonts w:ascii="Arial" w:hAnsi="Arial" w:cs="Arial"/>
          <w:snapToGrid w:val="0"/>
          <w:sz w:val="20"/>
          <w:szCs w:val="20"/>
        </w:rPr>
      </w:pPr>
      <w:r w:rsidRPr="00A64716">
        <w:rPr>
          <w:rFonts w:ascii="Arial" w:hAnsi="Arial" w:cs="Arial"/>
          <w:snapToGrid w:val="0"/>
          <w:sz w:val="20"/>
          <w:szCs w:val="20"/>
        </w:rPr>
        <w:t xml:space="preserve">In making </w:t>
      </w:r>
      <w:r w:rsidR="003904B7">
        <w:rPr>
          <w:rFonts w:ascii="Arial" w:hAnsi="Arial" w:cs="Arial"/>
          <w:snapToGrid w:val="0"/>
          <w:sz w:val="20"/>
          <w:szCs w:val="20"/>
        </w:rPr>
        <w:t xml:space="preserve">the </w:t>
      </w:r>
      <w:r w:rsidR="00757012">
        <w:rPr>
          <w:rFonts w:ascii="Arial" w:hAnsi="Arial" w:cs="Arial"/>
          <w:snapToGrid w:val="0"/>
          <w:sz w:val="20"/>
          <w:szCs w:val="20"/>
        </w:rPr>
        <w:t xml:space="preserve">2014 </w:t>
      </w:r>
      <w:r w:rsidR="003904B7">
        <w:rPr>
          <w:rFonts w:ascii="Arial" w:hAnsi="Arial" w:cs="Arial"/>
          <w:snapToGrid w:val="0"/>
          <w:sz w:val="20"/>
          <w:szCs w:val="20"/>
        </w:rPr>
        <w:t>Determination</w:t>
      </w:r>
      <w:r w:rsidRPr="00A64716">
        <w:rPr>
          <w:rFonts w:ascii="Arial" w:hAnsi="Arial" w:cs="Arial"/>
          <w:snapToGrid w:val="0"/>
          <w:sz w:val="20"/>
          <w:szCs w:val="20"/>
        </w:rPr>
        <w:t xml:space="preserve">, the objective is to regulate foreign space objects to the extent necessary to license </w:t>
      </w:r>
      <w:r w:rsidR="00BB1028">
        <w:rPr>
          <w:rFonts w:ascii="Arial" w:hAnsi="Arial" w:cs="Arial"/>
          <w:snapToGrid w:val="0"/>
          <w:sz w:val="20"/>
          <w:szCs w:val="20"/>
        </w:rPr>
        <w:t xml:space="preserve">communications to and from Australia. </w:t>
      </w:r>
      <w:r w:rsidR="003904B7">
        <w:rPr>
          <w:rFonts w:ascii="Arial" w:hAnsi="Arial" w:cs="Arial"/>
          <w:snapToGrid w:val="0"/>
          <w:sz w:val="20"/>
          <w:szCs w:val="20"/>
        </w:rPr>
        <w:t xml:space="preserve">Extending the application of the Act allows satellite operators to apply to the ACMA for space and/or space receive apparatus licences in relation to the </w:t>
      </w:r>
      <w:r w:rsidR="005F4F56">
        <w:rPr>
          <w:rFonts w:ascii="Arial" w:hAnsi="Arial" w:cs="Arial"/>
          <w:snapToGrid w:val="0"/>
          <w:sz w:val="20"/>
          <w:szCs w:val="20"/>
        </w:rPr>
        <w:t xml:space="preserve">foreign </w:t>
      </w:r>
      <w:r w:rsidR="003904B7">
        <w:rPr>
          <w:rFonts w:ascii="Arial" w:hAnsi="Arial" w:cs="Arial"/>
          <w:snapToGrid w:val="0"/>
          <w:sz w:val="20"/>
          <w:szCs w:val="20"/>
        </w:rPr>
        <w:t xml:space="preserve">space objects listed in the </w:t>
      </w:r>
      <w:r w:rsidR="00757012">
        <w:rPr>
          <w:rFonts w:ascii="Arial" w:hAnsi="Arial" w:cs="Arial"/>
          <w:snapToGrid w:val="0"/>
          <w:sz w:val="20"/>
          <w:szCs w:val="20"/>
        </w:rPr>
        <w:t xml:space="preserve">2014 </w:t>
      </w:r>
      <w:r w:rsidR="003904B7">
        <w:rPr>
          <w:rFonts w:ascii="Arial" w:hAnsi="Arial" w:cs="Arial"/>
          <w:snapToGrid w:val="0"/>
          <w:sz w:val="20"/>
          <w:szCs w:val="20"/>
        </w:rPr>
        <w:t xml:space="preserve">Determination. </w:t>
      </w:r>
    </w:p>
    <w:p w14:paraId="4E57301E" w14:textId="345FCEB5" w:rsidR="00F76718" w:rsidRPr="00A64716" w:rsidRDefault="00F76718" w:rsidP="0051052B">
      <w:pPr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>From time to time</w:t>
      </w:r>
      <w:r w:rsidR="00D60198">
        <w:rPr>
          <w:rFonts w:ascii="Arial" w:hAnsi="Arial" w:cs="Arial"/>
          <w:sz w:val="20"/>
          <w:szCs w:val="20"/>
        </w:rPr>
        <w:t>,</w:t>
      </w:r>
      <w:r w:rsidRPr="00A64716">
        <w:rPr>
          <w:rFonts w:ascii="Arial" w:hAnsi="Arial" w:cs="Arial"/>
          <w:sz w:val="20"/>
          <w:szCs w:val="20"/>
        </w:rPr>
        <w:t xml:space="preserve"> the circumstances specified in the </w:t>
      </w:r>
      <w:r w:rsidR="00757012">
        <w:rPr>
          <w:rFonts w:ascii="Arial" w:hAnsi="Arial" w:cs="Arial"/>
          <w:sz w:val="20"/>
          <w:szCs w:val="20"/>
        </w:rPr>
        <w:t xml:space="preserve">2014 </w:t>
      </w:r>
      <w:r w:rsidRPr="00A64716">
        <w:rPr>
          <w:rFonts w:ascii="Arial" w:hAnsi="Arial" w:cs="Arial"/>
          <w:sz w:val="20"/>
          <w:szCs w:val="20"/>
        </w:rPr>
        <w:t xml:space="preserve">Determination </w:t>
      </w:r>
      <w:r w:rsidR="00757012">
        <w:rPr>
          <w:rFonts w:ascii="Arial" w:hAnsi="Arial" w:cs="Arial"/>
          <w:sz w:val="20"/>
          <w:szCs w:val="20"/>
        </w:rPr>
        <w:t xml:space="preserve">may </w:t>
      </w:r>
      <w:r w:rsidRPr="00A64716">
        <w:rPr>
          <w:rFonts w:ascii="Arial" w:hAnsi="Arial" w:cs="Arial"/>
          <w:sz w:val="20"/>
          <w:szCs w:val="20"/>
        </w:rPr>
        <w:t xml:space="preserve">change. Amendments to the </w:t>
      </w:r>
      <w:r w:rsidR="00757012">
        <w:rPr>
          <w:rFonts w:ascii="Arial" w:hAnsi="Arial" w:cs="Arial"/>
          <w:sz w:val="20"/>
          <w:szCs w:val="20"/>
        </w:rPr>
        <w:t xml:space="preserve">2014 </w:t>
      </w:r>
      <w:r w:rsidRPr="00A64716">
        <w:rPr>
          <w:rFonts w:ascii="Arial" w:hAnsi="Arial" w:cs="Arial"/>
          <w:sz w:val="20"/>
          <w:szCs w:val="20"/>
        </w:rPr>
        <w:t xml:space="preserve">Determination </w:t>
      </w:r>
      <w:r w:rsidR="00757012">
        <w:rPr>
          <w:rFonts w:ascii="Arial" w:hAnsi="Arial" w:cs="Arial"/>
          <w:sz w:val="20"/>
          <w:szCs w:val="20"/>
        </w:rPr>
        <w:t>will be</w:t>
      </w:r>
      <w:r w:rsidRPr="00A64716">
        <w:rPr>
          <w:rFonts w:ascii="Arial" w:hAnsi="Arial" w:cs="Arial"/>
          <w:sz w:val="20"/>
          <w:szCs w:val="20"/>
        </w:rPr>
        <w:t xml:space="preserve"> made when considered necessary in order to reflect such changes and maintain the accuracy of the information specified in the </w:t>
      </w:r>
      <w:r w:rsidR="00757012">
        <w:rPr>
          <w:rFonts w:ascii="Arial" w:hAnsi="Arial" w:cs="Arial"/>
          <w:sz w:val="20"/>
          <w:szCs w:val="20"/>
        </w:rPr>
        <w:t xml:space="preserve">2014 </w:t>
      </w:r>
      <w:r w:rsidRPr="00A64716">
        <w:rPr>
          <w:rFonts w:ascii="Arial" w:hAnsi="Arial" w:cs="Arial"/>
          <w:sz w:val="20"/>
          <w:szCs w:val="20"/>
        </w:rPr>
        <w:t>Determination.</w:t>
      </w:r>
    </w:p>
    <w:p w14:paraId="619B8A20" w14:textId="4CBFBCD9" w:rsidR="00BD513B" w:rsidRPr="0051052B" w:rsidRDefault="00D1347D" w:rsidP="005D3EEE">
      <w:pPr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>Following review and consultation, the ACMA formed the view that the 200</w:t>
      </w:r>
      <w:r w:rsidR="008A21A9" w:rsidRPr="00A64716">
        <w:rPr>
          <w:rFonts w:ascii="Arial" w:hAnsi="Arial" w:cs="Arial"/>
          <w:sz w:val="20"/>
          <w:szCs w:val="20"/>
        </w:rPr>
        <w:t>0 Determination</w:t>
      </w:r>
      <w:r w:rsidRPr="00A64716">
        <w:rPr>
          <w:rFonts w:ascii="Arial" w:hAnsi="Arial" w:cs="Arial"/>
          <w:sz w:val="20"/>
          <w:szCs w:val="20"/>
        </w:rPr>
        <w:t xml:space="preserve"> was operating effectively and efficiently, and continued to form a necessary part of the legislative framework. Accordingly, the ACMA decided to make </w:t>
      </w:r>
      <w:r w:rsidR="002204AF" w:rsidRPr="00A64716">
        <w:rPr>
          <w:rFonts w:ascii="Arial" w:hAnsi="Arial" w:cs="Arial"/>
          <w:sz w:val="20"/>
          <w:szCs w:val="20"/>
        </w:rPr>
        <w:t xml:space="preserve">the 2014 </w:t>
      </w:r>
      <w:r w:rsidR="00E829EE" w:rsidRPr="00A64716">
        <w:rPr>
          <w:rFonts w:ascii="Arial" w:hAnsi="Arial" w:cs="Arial"/>
          <w:sz w:val="20"/>
          <w:szCs w:val="20"/>
        </w:rPr>
        <w:t>Determination</w:t>
      </w:r>
      <w:r w:rsidR="002204AF" w:rsidRPr="00A64716">
        <w:rPr>
          <w:rFonts w:ascii="Arial" w:hAnsi="Arial" w:cs="Arial"/>
          <w:sz w:val="20"/>
          <w:szCs w:val="20"/>
        </w:rPr>
        <w:t xml:space="preserve"> to replace the 200</w:t>
      </w:r>
      <w:r w:rsidR="002B5C5B" w:rsidRPr="00A64716">
        <w:rPr>
          <w:rFonts w:ascii="Arial" w:hAnsi="Arial" w:cs="Arial"/>
          <w:sz w:val="20"/>
          <w:szCs w:val="20"/>
        </w:rPr>
        <w:t xml:space="preserve">0 </w:t>
      </w:r>
      <w:r w:rsidR="002B5C5B" w:rsidRPr="00A64716">
        <w:rPr>
          <w:rFonts w:ascii="Arial" w:hAnsi="Arial" w:cs="Arial"/>
          <w:sz w:val="20"/>
          <w:szCs w:val="20"/>
        </w:rPr>
        <w:lastRenderedPageBreak/>
        <w:t>Determination</w:t>
      </w:r>
      <w:r w:rsidR="002204AF" w:rsidRPr="00A64716">
        <w:rPr>
          <w:rFonts w:ascii="Arial" w:hAnsi="Arial" w:cs="Arial"/>
          <w:sz w:val="20"/>
          <w:szCs w:val="20"/>
        </w:rPr>
        <w:t xml:space="preserve"> without making any significant changes to the regulatory arrangements created by the </w:t>
      </w:r>
      <w:r w:rsidR="005A4607">
        <w:rPr>
          <w:rFonts w:ascii="Arial" w:hAnsi="Arial" w:cs="Arial"/>
          <w:sz w:val="20"/>
          <w:szCs w:val="20"/>
        </w:rPr>
        <w:t xml:space="preserve">2000 </w:t>
      </w:r>
      <w:r w:rsidR="00184E51">
        <w:rPr>
          <w:rFonts w:ascii="Arial" w:hAnsi="Arial" w:cs="Arial"/>
          <w:sz w:val="20"/>
          <w:szCs w:val="20"/>
        </w:rPr>
        <w:t>Determination</w:t>
      </w:r>
      <w:r w:rsidR="002204AF" w:rsidRPr="00A64716">
        <w:rPr>
          <w:rFonts w:ascii="Arial" w:hAnsi="Arial" w:cs="Arial"/>
          <w:sz w:val="20"/>
          <w:szCs w:val="20"/>
        </w:rPr>
        <w:t xml:space="preserve"> so that</w:t>
      </w:r>
      <w:r w:rsidR="00885322" w:rsidRPr="00A64716">
        <w:rPr>
          <w:rFonts w:ascii="Arial" w:hAnsi="Arial" w:cs="Arial"/>
          <w:sz w:val="20"/>
          <w:szCs w:val="20"/>
        </w:rPr>
        <w:t xml:space="preserve"> its</w:t>
      </w:r>
      <w:r w:rsidR="002204AF" w:rsidRPr="00A64716">
        <w:rPr>
          <w:rFonts w:ascii="Arial" w:hAnsi="Arial" w:cs="Arial"/>
          <w:sz w:val="20"/>
          <w:szCs w:val="20"/>
        </w:rPr>
        <w:t xml:space="preserve"> ongoing effect is preserved.</w:t>
      </w:r>
    </w:p>
    <w:p w14:paraId="270EC8E4" w14:textId="44249400" w:rsidR="00D1347D" w:rsidRPr="00A64716" w:rsidRDefault="00D1347D" w:rsidP="007407BB">
      <w:pPr>
        <w:keepNext/>
        <w:rPr>
          <w:rFonts w:ascii="Arial" w:hAnsi="Arial" w:cs="Arial"/>
          <w:b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Consultation </w:t>
      </w:r>
    </w:p>
    <w:p w14:paraId="5F0B0CC6" w14:textId="77777777" w:rsidR="00D1347D" w:rsidRPr="00A64716" w:rsidRDefault="00D1347D" w:rsidP="00D1347D">
      <w:pPr>
        <w:rPr>
          <w:rFonts w:ascii="Arial" w:hAnsi="Arial" w:cs="Arial"/>
          <w:snapToGrid w:val="0"/>
          <w:sz w:val="20"/>
          <w:szCs w:val="20"/>
        </w:rPr>
      </w:pPr>
      <w:r w:rsidRPr="00A64716">
        <w:rPr>
          <w:rFonts w:ascii="Arial" w:hAnsi="Arial" w:cs="Arial"/>
          <w:snapToGrid w:val="0"/>
          <w:sz w:val="20"/>
          <w:szCs w:val="20"/>
        </w:rPr>
        <w:t xml:space="preserve">Subsection 17(1) of the LIA requires that, before the ACMA makes a legislative instrument, it must be satisfied that any consultation that the ACMA considers is appropriate and reasonably practicable to undertake, has been undertaken. </w:t>
      </w:r>
    </w:p>
    <w:p w14:paraId="45F603DC" w14:textId="7C97D845" w:rsidR="00D1347D" w:rsidRPr="00A64716" w:rsidRDefault="00C83067" w:rsidP="00D1347D">
      <w:pPr>
        <w:pStyle w:val="Default"/>
        <w:spacing w:after="200" w:line="276" w:lineRule="auto"/>
        <w:rPr>
          <w:snapToGrid w:val="0"/>
          <w:color w:val="auto"/>
          <w:sz w:val="20"/>
          <w:szCs w:val="20"/>
        </w:rPr>
      </w:pPr>
      <w:r w:rsidRPr="00A64716">
        <w:rPr>
          <w:snapToGrid w:val="0"/>
          <w:color w:val="auto"/>
          <w:sz w:val="20"/>
          <w:szCs w:val="20"/>
        </w:rPr>
        <w:t>Between 28 July 2014 and 8 September</w:t>
      </w:r>
      <w:r w:rsidR="00D1347D" w:rsidRPr="00A64716">
        <w:rPr>
          <w:snapToGrid w:val="0"/>
          <w:color w:val="auto"/>
          <w:sz w:val="20"/>
          <w:szCs w:val="20"/>
        </w:rPr>
        <w:t xml:space="preserve"> 2014, the ACMA conducted a </w:t>
      </w:r>
      <w:r w:rsidR="00545A06">
        <w:rPr>
          <w:snapToGrid w:val="0"/>
          <w:color w:val="auto"/>
          <w:sz w:val="20"/>
          <w:szCs w:val="20"/>
        </w:rPr>
        <w:t xml:space="preserve">formal </w:t>
      </w:r>
      <w:r w:rsidR="00D1347D" w:rsidRPr="00A64716">
        <w:rPr>
          <w:snapToGrid w:val="0"/>
          <w:color w:val="auto"/>
          <w:sz w:val="20"/>
          <w:szCs w:val="20"/>
        </w:rPr>
        <w:t xml:space="preserve">public consultation process </w:t>
      </w:r>
      <w:r w:rsidR="005A4607">
        <w:rPr>
          <w:snapToGrid w:val="0"/>
          <w:color w:val="auto"/>
          <w:sz w:val="20"/>
          <w:szCs w:val="20"/>
        </w:rPr>
        <w:t>in relation to the Determination</w:t>
      </w:r>
      <w:r w:rsidR="00A364D4" w:rsidRPr="00A64716">
        <w:rPr>
          <w:snapToGrid w:val="0"/>
          <w:color w:val="auto"/>
          <w:sz w:val="20"/>
          <w:szCs w:val="20"/>
        </w:rPr>
        <w:t xml:space="preserve">. </w:t>
      </w:r>
      <w:r w:rsidR="00B631DD" w:rsidRPr="00A64716">
        <w:rPr>
          <w:snapToGrid w:val="0"/>
          <w:color w:val="auto"/>
          <w:sz w:val="20"/>
          <w:szCs w:val="20"/>
        </w:rPr>
        <w:t xml:space="preserve">A </w:t>
      </w:r>
      <w:r w:rsidR="00F931D2" w:rsidRPr="00A64716">
        <w:rPr>
          <w:snapToGrid w:val="0"/>
          <w:color w:val="auto"/>
          <w:sz w:val="20"/>
          <w:szCs w:val="20"/>
        </w:rPr>
        <w:t>consultation</w:t>
      </w:r>
      <w:r w:rsidR="00B631DD" w:rsidRPr="00A64716">
        <w:rPr>
          <w:snapToGrid w:val="0"/>
          <w:color w:val="auto"/>
          <w:sz w:val="20"/>
          <w:szCs w:val="20"/>
        </w:rPr>
        <w:t xml:space="preserve"> paper </w:t>
      </w:r>
      <w:r w:rsidR="00A364D4" w:rsidRPr="00A64716">
        <w:rPr>
          <w:snapToGrid w:val="0"/>
          <w:color w:val="auto"/>
          <w:sz w:val="20"/>
          <w:szCs w:val="20"/>
        </w:rPr>
        <w:t>was</w:t>
      </w:r>
      <w:r w:rsidR="00B631DD" w:rsidRPr="00A64716">
        <w:rPr>
          <w:snapToGrid w:val="0"/>
          <w:color w:val="auto"/>
          <w:sz w:val="20"/>
          <w:szCs w:val="20"/>
        </w:rPr>
        <w:t xml:space="preserve"> made</w:t>
      </w:r>
      <w:r w:rsidR="00355A2C" w:rsidRPr="00A64716">
        <w:rPr>
          <w:snapToGrid w:val="0"/>
          <w:color w:val="auto"/>
          <w:sz w:val="20"/>
          <w:szCs w:val="20"/>
        </w:rPr>
        <w:t xml:space="preserve"> </w:t>
      </w:r>
      <w:r w:rsidR="00D1347D" w:rsidRPr="00A64716">
        <w:rPr>
          <w:snapToGrid w:val="0"/>
          <w:color w:val="auto"/>
          <w:sz w:val="20"/>
          <w:szCs w:val="20"/>
        </w:rPr>
        <w:t xml:space="preserve">available on the ACMA website. </w:t>
      </w:r>
      <w:r w:rsidR="00355A2C" w:rsidRPr="00A64716">
        <w:rPr>
          <w:snapToGrid w:val="0"/>
          <w:color w:val="auto"/>
          <w:sz w:val="20"/>
          <w:szCs w:val="20"/>
        </w:rPr>
        <w:t>The</w:t>
      </w:r>
      <w:r w:rsidR="00D1347D" w:rsidRPr="00A64716">
        <w:rPr>
          <w:snapToGrid w:val="0"/>
          <w:color w:val="auto"/>
          <w:sz w:val="20"/>
          <w:szCs w:val="20"/>
        </w:rPr>
        <w:t xml:space="preserve"> </w:t>
      </w:r>
      <w:r w:rsidR="00F931D2" w:rsidRPr="00A64716">
        <w:rPr>
          <w:snapToGrid w:val="0"/>
          <w:color w:val="auto"/>
          <w:sz w:val="20"/>
          <w:szCs w:val="20"/>
        </w:rPr>
        <w:t>consultation</w:t>
      </w:r>
      <w:r w:rsidR="00D1347D" w:rsidRPr="00A64716">
        <w:rPr>
          <w:snapToGrid w:val="0"/>
          <w:color w:val="auto"/>
          <w:sz w:val="20"/>
          <w:szCs w:val="20"/>
        </w:rPr>
        <w:t xml:space="preserve"> paper explained the sunsetting </w:t>
      </w:r>
      <w:r w:rsidR="00466CCA" w:rsidRPr="00A64716">
        <w:rPr>
          <w:snapToGrid w:val="0"/>
          <w:color w:val="auto"/>
          <w:sz w:val="20"/>
          <w:szCs w:val="20"/>
        </w:rPr>
        <w:t xml:space="preserve">(automatic repeal) </w:t>
      </w:r>
      <w:r w:rsidR="00D1347D" w:rsidRPr="00A64716">
        <w:rPr>
          <w:snapToGrid w:val="0"/>
          <w:color w:val="auto"/>
          <w:sz w:val="20"/>
          <w:szCs w:val="20"/>
        </w:rPr>
        <w:t xml:space="preserve">process and the ACMA’s preliminary view that the existing arrangements should be </w:t>
      </w:r>
      <w:r w:rsidR="005A4607">
        <w:rPr>
          <w:snapToGrid w:val="0"/>
          <w:color w:val="auto"/>
          <w:sz w:val="20"/>
          <w:szCs w:val="20"/>
        </w:rPr>
        <w:t>saved from automatic repeal and remade</w:t>
      </w:r>
      <w:r w:rsidR="00466CCA" w:rsidRPr="00A64716">
        <w:rPr>
          <w:snapToGrid w:val="0"/>
          <w:color w:val="auto"/>
          <w:sz w:val="20"/>
          <w:szCs w:val="20"/>
        </w:rPr>
        <w:t xml:space="preserve"> </w:t>
      </w:r>
      <w:r w:rsidR="00D1347D" w:rsidRPr="00A64716">
        <w:rPr>
          <w:snapToGrid w:val="0"/>
          <w:color w:val="auto"/>
          <w:sz w:val="20"/>
          <w:szCs w:val="20"/>
        </w:rPr>
        <w:t>without any significant changes. Interested parties were notified of the release of the</w:t>
      </w:r>
      <w:r w:rsidR="00B631DD" w:rsidRPr="00A64716">
        <w:rPr>
          <w:snapToGrid w:val="0"/>
          <w:color w:val="auto"/>
          <w:sz w:val="20"/>
          <w:szCs w:val="20"/>
        </w:rPr>
        <w:t xml:space="preserve"> </w:t>
      </w:r>
      <w:r w:rsidR="005A4607">
        <w:rPr>
          <w:snapToGrid w:val="0"/>
          <w:color w:val="auto"/>
          <w:sz w:val="20"/>
          <w:szCs w:val="20"/>
        </w:rPr>
        <w:t xml:space="preserve">consultation </w:t>
      </w:r>
      <w:r w:rsidR="00D1347D" w:rsidRPr="00A64716">
        <w:rPr>
          <w:snapToGrid w:val="0"/>
          <w:color w:val="auto"/>
          <w:sz w:val="20"/>
          <w:szCs w:val="20"/>
        </w:rPr>
        <w:t xml:space="preserve">paper and invited to comment. </w:t>
      </w:r>
    </w:p>
    <w:p w14:paraId="47D7533C" w14:textId="03F2AD6D" w:rsidR="00922D2F" w:rsidRPr="00A64716" w:rsidRDefault="00D1347D" w:rsidP="00D1347D">
      <w:pPr>
        <w:pStyle w:val="Default"/>
        <w:spacing w:after="200" w:line="276" w:lineRule="auto"/>
        <w:rPr>
          <w:snapToGrid w:val="0"/>
          <w:color w:val="auto"/>
          <w:sz w:val="20"/>
          <w:szCs w:val="20"/>
        </w:rPr>
      </w:pPr>
      <w:r w:rsidRPr="00A64716">
        <w:rPr>
          <w:snapToGrid w:val="0"/>
          <w:color w:val="auto"/>
          <w:sz w:val="20"/>
          <w:szCs w:val="20"/>
        </w:rPr>
        <w:t xml:space="preserve">The ACMA received </w:t>
      </w:r>
      <w:r w:rsidR="00CB3C29" w:rsidRPr="00A64716">
        <w:rPr>
          <w:snapToGrid w:val="0"/>
          <w:color w:val="auto"/>
          <w:sz w:val="20"/>
          <w:szCs w:val="20"/>
        </w:rPr>
        <w:t>1</w:t>
      </w:r>
      <w:r w:rsidR="00545A06">
        <w:rPr>
          <w:snapToGrid w:val="0"/>
          <w:color w:val="auto"/>
          <w:sz w:val="20"/>
          <w:szCs w:val="20"/>
        </w:rPr>
        <w:t>3</w:t>
      </w:r>
      <w:r w:rsidRPr="00A64716">
        <w:rPr>
          <w:snapToGrid w:val="0"/>
          <w:color w:val="auto"/>
          <w:sz w:val="20"/>
          <w:szCs w:val="20"/>
        </w:rPr>
        <w:t xml:space="preserve"> </w:t>
      </w:r>
      <w:r w:rsidR="00247C48">
        <w:rPr>
          <w:snapToGrid w:val="0"/>
          <w:color w:val="auto"/>
          <w:sz w:val="20"/>
          <w:szCs w:val="20"/>
        </w:rPr>
        <w:t xml:space="preserve">written </w:t>
      </w:r>
      <w:r w:rsidRPr="00A64716">
        <w:rPr>
          <w:snapToGrid w:val="0"/>
          <w:color w:val="auto"/>
          <w:sz w:val="20"/>
          <w:szCs w:val="20"/>
        </w:rPr>
        <w:t>submissions</w:t>
      </w:r>
      <w:r w:rsidR="008C24B7" w:rsidRPr="00A64716">
        <w:rPr>
          <w:snapToGrid w:val="0"/>
          <w:color w:val="auto"/>
          <w:sz w:val="20"/>
          <w:szCs w:val="20"/>
        </w:rPr>
        <w:t xml:space="preserve"> </w:t>
      </w:r>
      <w:r w:rsidRPr="00A64716">
        <w:rPr>
          <w:snapToGrid w:val="0"/>
          <w:color w:val="auto"/>
          <w:sz w:val="20"/>
          <w:szCs w:val="20"/>
        </w:rPr>
        <w:t xml:space="preserve">in response to the consultation paper and </w:t>
      </w:r>
      <w:r w:rsidR="00B80A91">
        <w:rPr>
          <w:snapToGrid w:val="0"/>
          <w:color w:val="auto"/>
          <w:sz w:val="20"/>
          <w:szCs w:val="20"/>
        </w:rPr>
        <w:t>all submissions</w:t>
      </w:r>
      <w:r w:rsidR="008C246A" w:rsidRPr="00A64716">
        <w:rPr>
          <w:snapToGrid w:val="0"/>
          <w:color w:val="auto"/>
          <w:sz w:val="20"/>
          <w:szCs w:val="20"/>
        </w:rPr>
        <w:t xml:space="preserve"> </w:t>
      </w:r>
      <w:r w:rsidRPr="00A64716">
        <w:rPr>
          <w:snapToGrid w:val="0"/>
          <w:color w:val="auto"/>
          <w:sz w:val="20"/>
          <w:szCs w:val="20"/>
        </w:rPr>
        <w:t xml:space="preserve">were considered when making the </w:t>
      </w:r>
      <w:r w:rsidR="00352C0C" w:rsidRPr="00A64716">
        <w:rPr>
          <w:snapToGrid w:val="0"/>
          <w:color w:val="auto"/>
          <w:sz w:val="20"/>
          <w:szCs w:val="20"/>
        </w:rPr>
        <w:t xml:space="preserve">2014 </w:t>
      </w:r>
      <w:r w:rsidR="00CB3C29" w:rsidRPr="00A64716">
        <w:rPr>
          <w:snapToGrid w:val="0"/>
          <w:color w:val="auto"/>
          <w:sz w:val="20"/>
          <w:szCs w:val="20"/>
        </w:rPr>
        <w:t>Determination</w:t>
      </w:r>
      <w:r w:rsidRPr="00A64716">
        <w:rPr>
          <w:snapToGrid w:val="0"/>
          <w:color w:val="auto"/>
          <w:sz w:val="20"/>
          <w:szCs w:val="20"/>
        </w:rPr>
        <w:t xml:space="preserve">. </w:t>
      </w:r>
    </w:p>
    <w:p w14:paraId="15B275CE" w14:textId="77777777" w:rsidR="00D1347D" w:rsidRPr="00A64716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Regulation Impact </w:t>
      </w:r>
    </w:p>
    <w:p w14:paraId="3631E3B1" w14:textId="0FF3EEE4" w:rsidR="00E9357C" w:rsidRPr="00A64716" w:rsidRDefault="00D1347D" w:rsidP="00D1347D">
      <w:pPr>
        <w:pStyle w:val="PlainText"/>
        <w:spacing w:after="200" w:line="276" w:lineRule="auto"/>
        <w:rPr>
          <w:rFonts w:ascii="Arial" w:hAnsi="Arial" w:cs="Arial"/>
          <w:snapToGrid w:val="0"/>
          <w:sz w:val="20"/>
          <w:szCs w:val="20"/>
          <w:lang w:eastAsia="en-US"/>
        </w:rPr>
      </w:pPr>
      <w:r w:rsidRPr="00A64716">
        <w:rPr>
          <w:rFonts w:ascii="Arial" w:hAnsi="Arial" w:cs="Arial"/>
          <w:snapToGrid w:val="0"/>
          <w:sz w:val="20"/>
          <w:szCs w:val="20"/>
          <w:lang w:eastAsia="en-US"/>
        </w:rPr>
        <w:t>The Office of Best Practice Regulation (</w:t>
      </w:r>
      <w:r w:rsidRPr="00A64716">
        <w:rPr>
          <w:rFonts w:ascii="Arial" w:hAnsi="Arial" w:cs="Arial"/>
          <w:b/>
          <w:snapToGrid w:val="0"/>
          <w:sz w:val="20"/>
          <w:szCs w:val="20"/>
          <w:lang w:eastAsia="en-US"/>
        </w:rPr>
        <w:t>OBPR</w:t>
      </w:r>
      <w:r w:rsidRPr="00A64716">
        <w:rPr>
          <w:rFonts w:ascii="Arial" w:hAnsi="Arial" w:cs="Arial"/>
          <w:snapToGrid w:val="0"/>
          <w:sz w:val="20"/>
          <w:szCs w:val="20"/>
          <w:lang w:eastAsia="en-US"/>
        </w:rPr>
        <w:t xml:space="preserve">) has considered the matter and formed the opinion that </w:t>
      </w:r>
      <w:r w:rsidR="00545A06">
        <w:rPr>
          <w:rFonts w:ascii="Arial" w:hAnsi="Arial" w:cs="Arial"/>
          <w:snapToGrid w:val="0"/>
          <w:sz w:val="20"/>
          <w:szCs w:val="20"/>
          <w:lang w:eastAsia="en-US"/>
        </w:rPr>
        <w:t xml:space="preserve">the proposed </w:t>
      </w:r>
      <w:r w:rsidR="00C7265F">
        <w:rPr>
          <w:rFonts w:ascii="Arial" w:hAnsi="Arial" w:cs="Arial"/>
          <w:snapToGrid w:val="0"/>
          <w:sz w:val="20"/>
          <w:szCs w:val="20"/>
          <w:lang w:eastAsia="en-US"/>
        </w:rPr>
        <w:t>updates</w:t>
      </w:r>
      <w:r w:rsidR="00545A06">
        <w:rPr>
          <w:rFonts w:ascii="Arial" w:hAnsi="Arial" w:cs="Arial"/>
          <w:snapToGrid w:val="0"/>
          <w:sz w:val="20"/>
          <w:szCs w:val="20"/>
          <w:lang w:eastAsia="en-US"/>
        </w:rPr>
        <w:t xml:space="preserve"> d</w:t>
      </w:r>
      <w:r w:rsidR="00C7265F">
        <w:rPr>
          <w:rFonts w:ascii="Arial" w:hAnsi="Arial" w:cs="Arial"/>
          <w:snapToGrid w:val="0"/>
          <w:sz w:val="20"/>
          <w:szCs w:val="20"/>
          <w:lang w:eastAsia="en-US"/>
        </w:rPr>
        <w:t>id</w:t>
      </w:r>
      <w:r w:rsidR="00545A06">
        <w:rPr>
          <w:rFonts w:ascii="Arial" w:hAnsi="Arial" w:cs="Arial"/>
          <w:snapToGrid w:val="0"/>
          <w:sz w:val="20"/>
          <w:szCs w:val="20"/>
          <w:lang w:eastAsia="en-US"/>
        </w:rPr>
        <w:t xml:space="preserve"> not have more than minor regulatory impact.</w:t>
      </w:r>
      <w:r w:rsidRPr="00A64716">
        <w:rPr>
          <w:rFonts w:ascii="Arial" w:hAnsi="Arial" w:cs="Arial"/>
          <w:snapToGrid w:val="0"/>
          <w:sz w:val="20"/>
          <w:szCs w:val="20"/>
          <w:lang w:eastAsia="en-US"/>
        </w:rPr>
        <w:t xml:space="preserve">  Accordingly, OBPR advised that </w:t>
      </w:r>
      <w:r w:rsidR="00545A06">
        <w:rPr>
          <w:rFonts w:ascii="Arial" w:hAnsi="Arial" w:cs="Arial"/>
          <w:snapToGrid w:val="0"/>
          <w:sz w:val="20"/>
          <w:szCs w:val="20"/>
          <w:lang w:eastAsia="en-US"/>
        </w:rPr>
        <w:t>a</w:t>
      </w:r>
      <w:r w:rsidR="00C7265F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A64716">
        <w:rPr>
          <w:rFonts w:ascii="Arial" w:hAnsi="Arial" w:cs="Arial"/>
          <w:snapToGrid w:val="0"/>
          <w:sz w:val="20"/>
          <w:szCs w:val="20"/>
          <w:lang w:eastAsia="en-US"/>
        </w:rPr>
        <w:t xml:space="preserve">Regulation Impact Statement was </w:t>
      </w:r>
      <w:r w:rsidR="00545A06">
        <w:rPr>
          <w:rFonts w:ascii="Arial" w:hAnsi="Arial" w:cs="Arial"/>
          <w:snapToGrid w:val="0"/>
          <w:sz w:val="20"/>
          <w:szCs w:val="20"/>
          <w:lang w:eastAsia="en-US"/>
        </w:rPr>
        <w:t xml:space="preserve">not </w:t>
      </w:r>
      <w:r w:rsidRPr="00A64716">
        <w:rPr>
          <w:rFonts w:ascii="Arial" w:hAnsi="Arial" w:cs="Arial"/>
          <w:snapToGrid w:val="0"/>
          <w:sz w:val="20"/>
          <w:szCs w:val="20"/>
          <w:lang w:eastAsia="en-US"/>
        </w:rPr>
        <w:t>required.  The O</w:t>
      </w:r>
      <w:r w:rsidR="00F9774A" w:rsidRPr="00A64716">
        <w:rPr>
          <w:rFonts w:ascii="Arial" w:hAnsi="Arial" w:cs="Arial"/>
          <w:snapToGrid w:val="0"/>
          <w:sz w:val="20"/>
          <w:szCs w:val="20"/>
          <w:lang w:eastAsia="en-US"/>
        </w:rPr>
        <w:t xml:space="preserve">BPR exemption number is ID </w:t>
      </w:r>
      <w:r w:rsidR="00545A06">
        <w:rPr>
          <w:rFonts w:ascii="Arial" w:hAnsi="Arial" w:cs="Arial"/>
          <w:snapToGrid w:val="0"/>
          <w:sz w:val="20"/>
          <w:szCs w:val="20"/>
          <w:lang w:eastAsia="en-US"/>
        </w:rPr>
        <w:t>17009</w:t>
      </w:r>
      <w:r w:rsidRPr="00A64716">
        <w:rPr>
          <w:rFonts w:ascii="Arial" w:hAnsi="Arial" w:cs="Arial"/>
          <w:snapToGrid w:val="0"/>
          <w:sz w:val="20"/>
          <w:szCs w:val="20"/>
          <w:lang w:eastAsia="en-US"/>
        </w:rPr>
        <w:t>.</w:t>
      </w:r>
    </w:p>
    <w:p w14:paraId="433823F3" w14:textId="36B46860" w:rsidR="00E30483" w:rsidRPr="00A64716" w:rsidRDefault="00352C0C" w:rsidP="000C3813">
      <w:pPr>
        <w:rPr>
          <w:rFonts w:ascii="Arial" w:hAnsi="Arial" w:cs="Arial"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Detailed </w:t>
      </w:r>
      <w:r w:rsidR="003E7728" w:rsidRPr="00A64716">
        <w:rPr>
          <w:rFonts w:ascii="Arial" w:hAnsi="Arial" w:cs="Arial"/>
          <w:b/>
          <w:snapToGrid w:val="0"/>
          <w:sz w:val="20"/>
          <w:szCs w:val="20"/>
        </w:rPr>
        <w:t>description of the 2014 Determination</w:t>
      </w:r>
    </w:p>
    <w:p w14:paraId="32F8C96E" w14:textId="0F8C012E" w:rsidR="00E9357C" w:rsidRPr="00922D2F" w:rsidRDefault="003E7728" w:rsidP="000C3813">
      <w:pPr>
        <w:rPr>
          <w:rFonts w:ascii="Arial" w:hAnsi="Arial" w:cs="Arial"/>
          <w:snapToGrid w:val="0"/>
          <w:sz w:val="20"/>
          <w:szCs w:val="20"/>
        </w:rPr>
      </w:pPr>
      <w:r w:rsidRPr="00A64716">
        <w:rPr>
          <w:rFonts w:ascii="Arial" w:hAnsi="Arial" w:cs="Arial"/>
          <w:snapToGrid w:val="0"/>
          <w:sz w:val="20"/>
          <w:szCs w:val="20"/>
        </w:rPr>
        <w:t>Details of the 2014 Determination</w:t>
      </w:r>
      <w:r w:rsidR="00352C0C" w:rsidRPr="00A64716">
        <w:rPr>
          <w:rFonts w:ascii="Arial" w:hAnsi="Arial" w:cs="Arial"/>
          <w:snapToGrid w:val="0"/>
          <w:sz w:val="20"/>
          <w:szCs w:val="20"/>
        </w:rPr>
        <w:t xml:space="preserve"> are</w:t>
      </w:r>
      <w:r w:rsidR="00B80A91">
        <w:rPr>
          <w:rFonts w:ascii="Arial" w:hAnsi="Arial" w:cs="Arial"/>
          <w:snapToGrid w:val="0"/>
          <w:sz w:val="20"/>
          <w:szCs w:val="20"/>
        </w:rPr>
        <w:t xml:space="preserve"> set out</w:t>
      </w:r>
      <w:r w:rsidR="00352C0C" w:rsidRPr="00A64716">
        <w:rPr>
          <w:rFonts w:ascii="Arial" w:hAnsi="Arial" w:cs="Arial"/>
          <w:snapToGrid w:val="0"/>
          <w:sz w:val="20"/>
          <w:szCs w:val="20"/>
        </w:rPr>
        <w:t xml:space="preserve"> in </w:t>
      </w:r>
      <w:r w:rsidR="00352C0C" w:rsidRPr="00B443B3">
        <w:rPr>
          <w:rFonts w:ascii="Arial" w:hAnsi="Arial" w:cs="Arial"/>
          <w:b/>
          <w:snapToGrid w:val="0"/>
          <w:sz w:val="20"/>
          <w:szCs w:val="20"/>
        </w:rPr>
        <w:t>Attachment A.</w:t>
      </w:r>
      <w:r w:rsidR="00352C0C" w:rsidRPr="00A64716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5A718EF6" w14:textId="1E6ED019" w:rsidR="00D1347D" w:rsidRPr="00A64716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Documents </w:t>
      </w:r>
      <w:r w:rsidR="0044064C" w:rsidRPr="00A64716">
        <w:rPr>
          <w:rFonts w:ascii="Arial" w:hAnsi="Arial" w:cs="Arial"/>
          <w:b/>
          <w:snapToGrid w:val="0"/>
          <w:sz w:val="20"/>
          <w:szCs w:val="20"/>
        </w:rPr>
        <w:t>i</w:t>
      </w:r>
      <w:r w:rsidRPr="00A64716">
        <w:rPr>
          <w:rFonts w:ascii="Arial" w:hAnsi="Arial" w:cs="Arial"/>
          <w:b/>
          <w:snapToGrid w:val="0"/>
          <w:sz w:val="20"/>
          <w:szCs w:val="20"/>
        </w:rPr>
        <w:t>ncorporated in th</w:t>
      </w:r>
      <w:r w:rsidR="00CE0E1F" w:rsidRPr="00A64716">
        <w:rPr>
          <w:rFonts w:ascii="Arial" w:hAnsi="Arial" w:cs="Arial"/>
          <w:b/>
          <w:snapToGrid w:val="0"/>
          <w:sz w:val="20"/>
          <w:szCs w:val="20"/>
        </w:rPr>
        <w:t xml:space="preserve">e 2014 </w:t>
      </w:r>
      <w:r w:rsidR="00422187">
        <w:rPr>
          <w:rFonts w:ascii="Arial" w:hAnsi="Arial" w:cs="Arial"/>
          <w:b/>
          <w:snapToGrid w:val="0"/>
          <w:sz w:val="20"/>
          <w:szCs w:val="20"/>
        </w:rPr>
        <w:t>Determination</w:t>
      </w:r>
      <w:r w:rsidR="00422187" w:rsidRPr="00A64716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by </w:t>
      </w:r>
      <w:r w:rsidR="00CE0E1F" w:rsidRPr="00A64716">
        <w:rPr>
          <w:rFonts w:ascii="Arial" w:hAnsi="Arial" w:cs="Arial"/>
          <w:b/>
          <w:snapToGrid w:val="0"/>
          <w:sz w:val="20"/>
          <w:szCs w:val="20"/>
        </w:rPr>
        <w:t xml:space="preserve">reference </w:t>
      </w:r>
    </w:p>
    <w:p w14:paraId="51866A81" w14:textId="45D63D43" w:rsidR="00EE151C" w:rsidRPr="00A64716" w:rsidRDefault="00EE151C" w:rsidP="00EE151C">
      <w:pPr>
        <w:pStyle w:val="ACMABodyText"/>
        <w:jc w:val="both"/>
        <w:rPr>
          <w:rFonts w:ascii="Arial" w:hAnsi="Arial" w:cs="Arial"/>
          <w:sz w:val="20"/>
          <w:lang w:val="en-US"/>
        </w:rPr>
      </w:pPr>
      <w:r w:rsidRPr="00A64716">
        <w:rPr>
          <w:rFonts w:ascii="Arial" w:hAnsi="Arial" w:cs="Arial"/>
          <w:sz w:val="20"/>
          <w:lang w:val="en-US"/>
        </w:rPr>
        <w:t xml:space="preserve">The </w:t>
      </w:r>
      <w:r w:rsidR="00CE0E1F" w:rsidRPr="00A64716">
        <w:rPr>
          <w:rFonts w:ascii="Arial" w:hAnsi="Arial" w:cs="Arial"/>
          <w:sz w:val="20"/>
          <w:lang w:val="en-US"/>
        </w:rPr>
        <w:t xml:space="preserve">2014 </w:t>
      </w:r>
      <w:r w:rsidR="00686D36" w:rsidRPr="00A64716">
        <w:rPr>
          <w:rFonts w:ascii="Arial" w:hAnsi="Arial" w:cs="Arial"/>
          <w:sz w:val="20"/>
          <w:lang w:val="en-US"/>
        </w:rPr>
        <w:t>Determination</w:t>
      </w:r>
      <w:r w:rsidR="00CE0E1F" w:rsidRPr="00A64716">
        <w:rPr>
          <w:rFonts w:ascii="Arial" w:hAnsi="Arial" w:cs="Arial"/>
          <w:sz w:val="20"/>
          <w:lang w:val="en-US"/>
        </w:rPr>
        <w:t xml:space="preserve"> </w:t>
      </w:r>
      <w:r w:rsidRPr="00A64716">
        <w:rPr>
          <w:rFonts w:ascii="Arial" w:hAnsi="Arial" w:cs="Arial"/>
          <w:sz w:val="20"/>
          <w:lang w:val="en-US"/>
        </w:rPr>
        <w:t>incorporates the following document by reference:</w:t>
      </w:r>
    </w:p>
    <w:p w14:paraId="105E07BD" w14:textId="7496CA59" w:rsidR="00EE151C" w:rsidRPr="00A64716" w:rsidRDefault="009A1664" w:rsidP="00422187">
      <w:pPr>
        <w:pStyle w:val="ACMABodyText"/>
        <w:numPr>
          <w:ilvl w:val="0"/>
          <w:numId w:val="1"/>
        </w:numPr>
        <w:rPr>
          <w:rFonts w:ascii="Arial" w:hAnsi="Arial" w:cs="Arial"/>
          <w:sz w:val="20"/>
        </w:rPr>
      </w:pPr>
      <w:r w:rsidRPr="00A64716">
        <w:rPr>
          <w:rFonts w:ascii="Arial" w:hAnsi="Arial" w:cs="Arial"/>
          <w:sz w:val="20"/>
          <w:lang w:val="en-US"/>
        </w:rPr>
        <w:t xml:space="preserve">the </w:t>
      </w:r>
      <w:r w:rsidR="00422187" w:rsidRPr="00B443B3">
        <w:rPr>
          <w:rFonts w:ascii="Arial" w:hAnsi="Arial" w:cs="Arial"/>
          <w:i/>
          <w:sz w:val="20"/>
          <w:lang w:val="en-US"/>
        </w:rPr>
        <w:t>Radiocommunications (Communication with Space Object) Class Licence 1998.</w:t>
      </w:r>
    </w:p>
    <w:p w14:paraId="19B3C1E0" w14:textId="0B3534DA" w:rsidR="00922D2F" w:rsidRPr="00A64716" w:rsidRDefault="00EE151C" w:rsidP="00543229">
      <w:pPr>
        <w:rPr>
          <w:rFonts w:ascii="Arial" w:hAnsi="Arial" w:cs="Arial"/>
          <w:sz w:val="20"/>
          <w:szCs w:val="20"/>
          <w:lang w:val="en-US"/>
        </w:rPr>
      </w:pPr>
      <w:r w:rsidRPr="00A64716">
        <w:rPr>
          <w:rFonts w:ascii="Arial" w:hAnsi="Arial" w:cs="Arial"/>
          <w:sz w:val="20"/>
          <w:szCs w:val="20"/>
          <w:lang w:val="en-US"/>
        </w:rPr>
        <w:t>Th</w:t>
      </w:r>
      <w:r w:rsidR="00757012">
        <w:rPr>
          <w:rFonts w:ascii="Arial" w:hAnsi="Arial" w:cs="Arial"/>
          <w:sz w:val="20"/>
          <w:szCs w:val="20"/>
          <w:lang w:val="en-US"/>
        </w:rPr>
        <w:t xml:space="preserve">is </w:t>
      </w:r>
      <w:r w:rsidR="003753C0" w:rsidRPr="00A64716">
        <w:rPr>
          <w:rFonts w:ascii="Arial" w:hAnsi="Arial" w:cs="Arial"/>
          <w:sz w:val="20"/>
          <w:szCs w:val="20"/>
          <w:lang w:val="en-US"/>
        </w:rPr>
        <w:t xml:space="preserve">Class Licence </w:t>
      </w:r>
      <w:r w:rsidRPr="00A64716">
        <w:rPr>
          <w:rFonts w:ascii="Arial" w:hAnsi="Arial" w:cs="Arial"/>
          <w:sz w:val="20"/>
          <w:szCs w:val="20"/>
          <w:lang w:val="en-US"/>
        </w:rPr>
        <w:t xml:space="preserve">can be found on the Australian </w:t>
      </w:r>
      <w:r w:rsidRPr="00543229">
        <w:rPr>
          <w:rFonts w:ascii="Arial" w:hAnsi="Arial" w:cs="Arial"/>
          <w:sz w:val="20"/>
          <w:szCs w:val="20"/>
        </w:rPr>
        <w:t>Government’s</w:t>
      </w:r>
      <w:r w:rsidRPr="00A64716">
        <w:rPr>
          <w:rFonts w:ascii="Arial" w:hAnsi="Arial" w:cs="Arial"/>
          <w:sz w:val="20"/>
          <w:szCs w:val="20"/>
          <w:lang w:val="en-US"/>
        </w:rPr>
        <w:t xml:space="preserve"> ComLaw website (</w:t>
      </w:r>
      <w:hyperlink r:id="rId12" w:history="1">
        <w:r w:rsidRPr="00A64716">
          <w:rPr>
            <w:rFonts w:ascii="Arial" w:hAnsi="Arial" w:cs="Arial"/>
            <w:sz w:val="20"/>
            <w:szCs w:val="20"/>
          </w:rPr>
          <w:t>http://www.comlaw.gov.au/</w:t>
        </w:r>
      </w:hyperlink>
      <w:r w:rsidRPr="00A64716">
        <w:rPr>
          <w:rFonts w:ascii="Arial" w:hAnsi="Arial" w:cs="Arial"/>
          <w:sz w:val="20"/>
          <w:szCs w:val="20"/>
          <w:lang w:val="en-US"/>
        </w:rPr>
        <w:t>).</w:t>
      </w:r>
    </w:p>
    <w:p w14:paraId="15E635D2" w14:textId="5363FAD0" w:rsidR="00352C0C" w:rsidRPr="00A64716" w:rsidRDefault="00352C0C" w:rsidP="00D4005E">
      <w:pPr>
        <w:keepNext/>
        <w:rPr>
          <w:rFonts w:ascii="Arial" w:hAnsi="Arial" w:cs="Arial"/>
          <w:b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Statement of </w:t>
      </w:r>
      <w:r w:rsidR="00B80A91">
        <w:rPr>
          <w:rFonts w:ascii="Arial" w:hAnsi="Arial" w:cs="Arial"/>
          <w:b/>
          <w:snapToGrid w:val="0"/>
          <w:sz w:val="20"/>
          <w:szCs w:val="20"/>
        </w:rPr>
        <w:t>C</w:t>
      </w:r>
      <w:r w:rsidR="00B80A91" w:rsidRPr="00A64716">
        <w:rPr>
          <w:rFonts w:ascii="Arial" w:hAnsi="Arial" w:cs="Arial"/>
          <w:b/>
          <w:snapToGrid w:val="0"/>
          <w:sz w:val="20"/>
          <w:szCs w:val="20"/>
        </w:rPr>
        <w:t xml:space="preserve">ompatibility </w:t>
      </w:r>
      <w:r w:rsidRPr="00A64716">
        <w:rPr>
          <w:rFonts w:ascii="Arial" w:hAnsi="Arial" w:cs="Arial"/>
          <w:b/>
          <w:snapToGrid w:val="0"/>
          <w:sz w:val="20"/>
          <w:szCs w:val="20"/>
        </w:rPr>
        <w:t xml:space="preserve">with </w:t>
      </w:r>
      <w:r w:rsidR="00B80A91">
        <w:rPr>
          <w:rFonts w:ascii="Arial" w:hAnsi="Arial" w:cs="Arial"/>
          <w:b/>
          <w:snapToGrid w:val="0"/>
          <w:sz w:val="20"/>
          <w:szCs w:val="20"/>
        </w:rPr>
        <w:t>H</w:t>
      </w:r>
      <w:r w:rsidR="00B80A91" w:rsidRPr="00A64716">
        <w:rPr>
          <w:rFonts w:ascii="Arial" w:hAnsi="Arial" w:cs="Arial"/>
          <w:b/>
          <w:snapToGrid w:val="0"/>
          <w:sz w:val="20"/>
          <w:szCs w:val="20"/>
        </w:rPr>
        <w:t xml:space="preserve">uman </w:t>
      </w:r>
      <w:r w:rsidR="00B80A91">
        <w:rPr>
          <w:rFonts w:ascii="Arial" w:hAnsi="Arial" w:cs="Arial"/>
          <w:b/>
          <w:snapToGrid w:val="0"/>
          <w:sz w:val="20"/>
          <w:szCs w:val="20"/>
        </w:rPr>
        <w:t>R</w:t>
      </w:r>
      <w:r w:rsidR="00B80A91" w:rsidRPr="00A64716">
        <w:rPr>
          <w:rFonts w:ascii="Arial" w:hAnsi="Arial" w:cs="Arial"/>
          <w:b/>
          <w:snapToGrid w:val="0"/>
          <w:sz w:val="20"/>
          <w:szCs w:val="20"/>
        </w:rPr>
        <w:t xml:space="preserve">ights </w:t>
      </w:r>
    </w:p>
    <w:p w14:paraId="4A056C3F" w14:textId="77777777" w:rsidR="000816DC" w:rsidRDefault="000816DC" w:rsidP="00D1347D">
      <w:pPr>
        <w:rPr>
          <w:rFonts w:ascii="Arial" w:hAnsi="Arial" w:cs="Arial"/>
          <w:sz w:val="20"/>
        </w:rPr>
      </w:pPr>
      <w:r w:rsidRPr="000816DC">
        <w:rPr>
          <w:rFonts w:ascii="Arial" w:hAnsi="Arial" w:cs="Arial"/>
          <w:sz w:val="20"/>
        </w:rPr>
        <w:t xml:space="preserve">As required under the </w:t>
      </w:r>
      <w:r w:rsidRPr="00B443B3">
        <w:rPr>
          <w:rFonts w:ascii="Arial" w:hAnsi="Arial" w:cs="Arial"/>
          <w:i/>
          <w:sz w:val="20"/>
        </w:rPr>
        <w:t>Human Rights (Parliamentary Scrutiny) Act 2011</w:t>
      </w:r>
      <w:r w:rsidRPr="000816DC">
        <w:rPr>
          <w:rFonts w:ascii="Arial" w:hAnsi="Arial" w:cs="Arial"/>
          <w:sz w:val="20"/>
        </w:rPr>
        <w:t xml:space="preserve">, a Statement of Compatibility with Human Rights has been prepared by the ACMA and is at </w:t>
      </w:r>
      <w:r w:rsidRPr="00B443B3">
        <w:rPr>
          <w:rFonts w:ascii="Arial" w:hAnsi="Arial" w:cs="Arial"/>
          <w:b/>
          <w:sz w:val="20"/>
        </w:rPr>
        <w:t>Attachment B.</w:t>
      </w:r>
    </w:p>
    <w:p w14:paraId="76CAC1C1" w14:textId="77777777" w:rsidR="000816DC" w:rsidRDefault="00081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8106594" w14:textId="77777777" w:rsidR="00352C0C" w:rsidRPr="00A64716" w:rsidRDefault="00834556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lastRenderedPageBreak/>
        <w:t>Attachment A</w:t>
      </w:r>
    </w:p>
    <w:p w14:paraId="5815CC76" w14:textId="212B91AE" w:rsidR="00D1347D" w:rsidRPr="00A64716" w:rsidRDefault="00834556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A64716">
        <w:rPr>
          <w:rFonts w:ascii="Arial" w:hAnsi="Arial" w:cs="Arial"/>
          <w:b/>
          <w:snapToGrid w:val="0"/>
          <w:sz w:val="20"/>
          <w:szCs w:val="20"/>
        </w:rPr>
        <w:t>Detailed description of th</w:t>
      </w:r>
      <w:r w:rsidR="00B34E27" w:rsidRPr="00A64716">
        <w:rPr>
          <w:rFonts w:ascii="Arial" w:hAnsi="Arial" w:cs="Arial"/>
          <w:b/>
          <w:snapToGrid w:val="0"/>
          <w:sz w:val="20"/>
          <w:szCs w:val="20"/>
        </w:rPr>
        <w:t xml:space="preserve">e </w:t>
      </w:r>
      <w:r w:rsidR="000816DC" w:rsidRPr="00B443B3">
        <w:rPr>
          <w:rFonts w:ascii="Arial" w:hAnsi="Arial" w:cs="Arial"/>
          <w:b/>
          <w:i/>
          <w:snapToGrid w:val="0"/>
          <w:sz w:val="20"/>
          <w:szCs w:val="20"/>
        </w:rPr>
        <w:t>Radiocommunications (Foreign Space Objects) Determination 2014</w:t>
      </w:r>
      <w:r w:rsidRPr="00B443B3">
        <w:rPr>
          <w:rFonts w:ascii="Arial" w:hAnsi="Arial" w:cs="Arial"/>
          <w:b/>
          <w:i/>
          <w:snapToGrid w:val="0"/>
          <w:sz w:val="20"/>
          <w:szCs w:val="20"/>
        </w:rPr>
        <w:t xml:space="preserve"> </w:t>
      </w:r>
    </w:p>
    <w:p w14:paraId="5751A1B5" w14:textId="700ED3C2" w:rsidR="00D1347D" w:rsidRPr="00A64716" w:rsidRDefault="00B34E27" w:rsidP="00D1347D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>Section 1</w:t>
      </w:r>
      <w:r w:rsidRPr="00A64716">
        <w:rPr>
          <w:rFonts w:ascii="Arial" w:hAnsi="Arial" w:cs="Arial"/>
          <w:b/>
          <w:sz w:val="20"/>
          <w:szCs w:val="20"/>
        </w:rPr>
        <w:tab/>
        <w:t>Name of Determination</w:t>
      </w:r>
    </w:p>
    <w:p w14:paraId="71B58A99" w14:textId="13393A6F" w:rsidR="00D1347D" w:rsidRPr="00A64716" w:rsidRDefault="00B2389E" w:rsidP="00D1347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 provides that</w:t>
      </w:r>
      <w:r w:rsidR="004C6EC1" w:rsidRPr="00A64716">
        <w:rPr>
          <w:rFonts w:ascii="Arial" w:hAnsi="Arial" w:cs="Arial"/>
          <w:sz w:val="20"/>
          <w:szCs w:val="20"/>
        </w:rPr>
        <w:t xml:space="preserve"> the </w:t>
      </w:r>
      <w:r w:rsidR="00757012">
        <w:rPr>
          <w:rFonts w:ascii="Arial" w:hAnsi="Arial" w:cs="Arial"/>
          <w:sz w:val="20"/>
          <w:szCs w:val="20"/>
        </w:rPr>
        <w:t xml:space="preserve">2014 </w:t>
      </w:r>
      <w:r w:rsidR="00B34E27" w:rsidRPr="00A64716">
        <w:rPr>
          <w:rFonts w:ascii="Arial" w:hAnsi="Arial" w:cs="Arial"/>
          <w:sz w:val="20"/>
          <w:szCs w:val="20"/>
        </w:rPr>
        <w:t>Determination</w:t>
      </w:r>
      <w:r w:rsidR="004C6EC1" w:rsidRPr="00A647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 w:rsidRPr="00A64716">
        <w:rPr>
          <w:rFonts w:ascii="Arial" w:hAnsi="Arial" w:cs="Arial"/>
          <w:sz w:val="20"/>
          <w:szCs w:val="20"/>
        </w:rPr>
        <w:t xml:space="preserve"> </w:t>
      </w:r>
      <w:r w:rsidR="004C6EC1" w:rsidRPr="00A64716">
        <w:rPr>
          <w:rFonts w:ascii="Arial" w:hAnsi="Arial" w:cs="Arial"/>
          <w:sz w:val="20"/>
          <w:szCs w:val="20"/>
        </w:rPr>
        <w:t xml:space="preserve">the </w:t>
      </w:r>
      <w:r w:rsidR="00D1347D" w:rsidRPr="00A64716">
        <w:rPr>
          <w:rFonts w:ascii="Arial" w:hAnsi="Arial" w:cs="Arial"/>
          <w:i/>
          <w:sz w:val="20"/>
          <w:szCs w:val="20"/>
        </w:rPr>
        <w:t>Radiocommunications (</w:t>
      </w:r>
      <w:r w:rsidR="00B34E27" w:rsidRPr="00A64716">
        <w:rPr>
          <w:rFonts w:ascii="Arial" w:hAnsi="Arial" w:cs="Arial"/>
          <w:i/>
          <w:sz w:val="20"/>
          <w:szCs w:val="20"/>
        </w:rPr>
        <w:t>Foreign Space Objects) Determination</w:t>
      </w:r>
      <w:r w:rsidR="00D1347D" w:rsidRPr="00A64716">
        <w:rPr>
          <w:rFonts w:ascii="Arial" w:hAnsi="Arial" w:cs="Arial"/>
          <w:i/>
          <w:sz w:val="20"/>
          <w:szCs w:val="20"/>
        </w:rPr>
        <w:t xml:space="preserve"> 2014.</w:t>
      </w:r>
    </w:p>
    <w:p w14:paraId="5C92F45C" w14:textId="77777777" w:rsidR="00D1347D" w:rsidRPr="00A64716" w:rsidRDefault="00D1347D" w:rsidP="00D1347D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>Section 2</w:t>
      </w:r>
      <w:r w:rsidRPr="00A64716">
        <w:rPr>
          <w:rFonts w:ascii="Arial" w:hAnsi="Arial" w:cs="Arial"/>
          <w:b/>
          <w:sz w:val="20"/>
          <w:szCs w:val="20"/>
        </w:rPr>
        <w:tab/>
        <w:t xml:space="preserve">Commencement </w:t>
      </w:r>
    </w:p>
    <w:p w14:paraId="0CB5531A" w14:textId="15836063" w:rsidR="00D1347D" w:rsidRPr="00A64716" w:rsidRDefault="00B2389E" w:rsidP="00D13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</w:t>
      </w:r>
      <w:r w:rsidR="00D1347D" w:rsidRPr="00A64716">
        <w:rPr>
          <w:rFonts w:ascii="Arial" w:hAnsi="Arial" w:cs="Arial"/>
          <w:sz w:val="20"/>
          <w:szCs w:val="20"/>
        </w:rPr>
        <w:t xml:space="preserve"> provides that the </w:t>
      </w:r>
      <w:r w:rsidR="00757012">
        <w:rPr>
          <w:rFonts w:ascii="Arial" w:hAnsi="Arial" w:cs="Arial"/>
          <w:sz w:val="20"/>
          <w:szCs w:val="20"/>
        </w:rPr>
        <w:t xml:space="preserve">2014 </w:t>
      </w:r>
      <w:r w:rsidR="00B34E27" w:rsidRPr="00A64716">
        <w:rPr>
          <w:rFonts w:ascii="Arial" w:hAnsi="Arial" w:cs="Arial"/>
          <w:sz w:val="20"/>
          <w:szCs w:val="20"/>
        </w:rPr>
        <w:t>Determination</w:t>
      </w:r>
      <w:r w:rsidR="00D1347D" w:rsidRPr="00A64716">
        <w:rPr>
          <w:rFonts w:ascii="Arial" w:hAnsi="Arial" w:cs="Arial"/>
          <w:sz w:val="20"/>
          <w:szCs w:val="20"/>
        </w:rPr>
        <w:t xml:space="preserve"> commences on the day after it is registered on the Federal Register of Legislative Instruments.  </w:t>
      </w:r>
    </w:p>
    <w:p w14:paraId="4FE772D1" w14:textId="4E4A66AE" w:rsidR="00B34E27" w:rsidRPr="00A64716" w:rsidRDefault="00B34E27" w:rsidP="00B34E27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 xml:space="preserve">Section </w:t>
      </w:r>
      <w:r w:rsidR="00757012">
        <w:rPr>
          <w:rFonts w:ascii="Arial" w:hAnsi="Arial" w:cs="Arial"/>
          <w:b/>
          <w:sz w:val="20"/>
          <w:szCs w:val="20"/>
        </w:rPr>
        <w:t>3</w:t>
      </w:r>
      <w:r w:rsidRPr="00A64716">
        <w:rPr>
          <w:rFonts w:ascii="Arial" w:hAnsi="Arial" w:cs="Arial"/>
          <w:b/>
          <w:sz w:val="20"/>
          <w:szCs w:val="20"/>
        </w:rPr>
        <w:tab/>
        <w:t xml:space="preserve">Definitions </w:t>
      </w:r>
    </w:p>
    <w:p w14:paraId="44E60239" w14:textId="41120C61" w:rsidR="00B34E27" w:rsidRPr="00A64716" w:rsidRDefault="00B2389E" w:rsidP="00D13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</w:t>
      </w:r>
      <w:r w:rsidR="00757012">
        <w:rPr>
          <w:rFonts w:ascii="Arial" w:hAnsi="Arial" w:cs="Arial"/>
          <w:sz w:val="20"/>
          <w:szCs w:val="20"/>
        </w:rPr>
        <w:t>3</w:t>
      </w:r>
      <w:r w:rsidR="0077399B" w:rsidRPr="00A64716">
        <w:rPr>
          <w:rFonts w:ascii="Arial" w:hAnsi="Arial" w:cs="Arial"/>
          <w:sz w:val="20"/>
          <w:szCs w:val="20"/>
        </w:rPr>
        <w:t xml:space="preserve"> defines </w:t>
      </w:r>
      <w:r>
        <w:rPr>
          <w:rFonts w:ascii="Arial" w:hAnsi="Arial" w:cs="Arial"/>
          <w:sz w:val="20"/>
          <w:szCs w:val="20"/>
        </w:rPr>
        <w:t xml:space="preserve">various </w:t>
      </w:r>
      <w:r w:rsidR="0077399B" w:rsidRPr="00A64716">
        <w:rPr>
          <w:rFonts w:ascii="Arial" w:hAnsi="Arial" w:cs="Arial"/>
          <w:sz w:val="20"/>
          <w:szCs w:val="20"/>
        </w:rPr>
        <w:t xml:space="preserve">terms used </w:t>
      </w:r>
      <w:r>
        <w:rPr>
          <w:rFonts w:ascii="Arial" w:hAnsi="Arial" w:cs="Arial"/>
          <w:sz w:val="20"/>
          <w:szCs w:val="20"/>
        </w:rPr>
        <w:t>in the</w:t>
      </w:r>
      <w:r w:rsidR="0077399B" w:rsidRPr="00A64716">
        <w:rPr>
          <w:rFonts w:ascii="Arial" w:hAnsi="Arial" w:cs="Arial"/>
          <w:sz w:val="20"/>
          <w:szCs w:val="20"/>
        </w:rPr>
        <w:t xml:space="preserve"> Determination</w:t>
      </w:r>
      <w:r>
        <w:rPr>
          <w:rFonts w:ascii="Arial" w:hAnsi="Arial" w:cs="Arial"/>
          <w:sz w:val="20"/>
          <w:szCs w:val="20"/>
        </w:rPr>
        <w:t>.</w:t>
      </w:r>
    </w:p>
    <w:p w14:paraId="2B41CF7C" w14:textId="6368AC2D" w:rsidR="00B34E27" w:rsidRPr="00A64716" w:rsidRDefault="00B34E27" w:rsidP="00B34E27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 xml:space="preserve">Section </w:t>
      </w:r>
      <w:r w:rsidR="00757012">
        <w:rPr>
          <w:rFonts w:ascii="Arial" w:hAnsi="Arial" w:cs="Arial"/>
          <w:b/>
          <w:sz w:val="20"/>
          <w:szCs w:val="20"/>
        </w:rPr>
        <w:t>4</w:t>
      </w:r>
      <w:r w:rsidRPr="00A64716">
        <w:rPr>
          <w:rFonts w:ascii="Arial" w:hAnsi="Arial" w:cs="Arial"/>
          <w:b/>
          <w:sz w:val="20"/>
          <w:szCs w:val="20"/>
        </w:rPr>
        <w:tab/>
        <w:t xml:space="preserve">Application of Act outside Australia – foreign space </w:t>
      </w:r>
      <w:r w:rsidR="00A06B00" w:rsidRPr="00A64716">
        <w:rPr>
          <w:rFonts w:ascii="Arial" w:hAnsi="Arial" w:cs="Arial"/>
          <w:b/>
          <w:sz w:val="20"/>
          <w:szCs w:val="20"/>
        </w:rPr>
        <w:t>objects</w:t>
      </w:r>
      <w:r w:rsidRPr="00A64716">
        <w:rPr>
          <w:rFonts w:ascii="Arial" w:hAnsi="Arial" w:cs="Arial"/>
          <w:b/>
          <w:sz w:val="20"/>
          <w:szCs w:val="20"/>
        </w:rPr>
        <w:t xml:space="preserve"> operating in frequency range mentioned in class licence </w:t>
      </w:r>
    </w:p>
    <w:p w14:paraId="23014D71" w14:textId="051222E7" w:rsidR="00B34E27" w:rsidRPr="00A64716" w:rsidRDefault="0000663E" w:rsidP="00B443B3">
      <w:r>
        <w:rPr>
          <w:rFonts w:ascii="Arial" w:hAnsi="Arial" w:cs="Arial"/>
          <w:sz w:val="20"/>
          <w:szCs w:val="20"/>
        </w:rPr>
        <w:t xml:space="preserve">Section </w:t>
      </w:r>
      <w:r w:rsidR="00757012">
        <w:rPr>
          <w:rFonts w:ascii="Arial" w:hAnsi="Arial" w:cs="Arial"/>
          <w:sz w:val="20"/>
          <w:szCs w:val="20"/>
        </w:rPr>
        <w:t>4</w:t>
      </w:r>
      <w:r w:rsidR="0077399B" w:rsidRPr="00A647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lists the</w:t>
      </w:r>
      <w:r w:rsidRPr="00A64716">
        <w:rPr>
          <w:rFonts w:ascii="Arial" w:hAnsi="Arial" w:cs="Arial"/>
          <w:sz w:val="20"/>
          <w:szCs w:val="20"/>
        </w:rPr>
        <w:t xml:space="preserve"> </w:t>
      </w:r>
      <w:r w:rsidR="0077399B" w:rsidRPr="00A64716">
        <w:rPr>
          <w:rFonts w:ascii="Arial" w:hAnsi="Arial" w:cs="Arial"/>
          <w:sz w:val="20"/>
          <w:szCs w:val="20"/>
        </w:rPr>
        <w:t>foreign space objects</w:t>
      </w:r>
      <w:r w:rsidR="00652316">
        <w:rPr>
          <w:rFonts w:ascii="Arial" w:hAnsi="Arial" w:cs="Arial"/>
          <w:sz w:val="20"/>
          <w:szCs w:val="20"/>
        </w:rPr>
        <w:t xml:space="preserve"> </w:t>
      </w:r>
      <w:r w:rsidR="005E79B2">
        <w:rPr>
          <w:rFonts w:ascii="Arial" w:hAnsi="Arial" w:cs="Arial"/>
          <w:sz w:val="20"/>
          <w:szCs w:val="20"/>
        </w:rPr>
        <w:t xml:space="preserve">operating in the frequency range mentioned in the </w:t>
      </w:r>
      <w:r w:rsidR="00652316" w:rsidRPr="00B443B3">
        <w:rPr>
          <w:rFonts w:ascii="Arial" w:hAnsi="Arial" w:cs="Arial"/>
          <w:i/>
          <w:sz w:val="20"/>
          <w:szCs w:val="20"/>
        </w:rPr>
        <w:t>Radiocommunications (Communication with Space Object) Class Licence 1998</w:t>
      </w:r>
      <w:r w:rsidR="00652316">
        <w:rPr>
          <w:rFonts w:ascii="Arial" w:hAnsi="Arial" w:cs="Arial"/>
          <w:sz w:val="20"/>
          <w:szCs w:val="20"/>
        </w:rPr>
        <w:t xml:space="preserve"> (the Class Licence)</w:t>
      </w:r>
      <w:r w:rsidR="0077399B" w:rsidRPr="00A64716">
        <w:rPr>
          <w:rFonts w:ascii="Arial" w:hAnsi="Arial" w:cs="Arial"/>
          <w:sz w:val="20"/>
          <w:szCs w:val="20"/>
        </w:rPr>
        <w:t xml:space="preserve"> </w:t>
      </w:r>
      <w:r w:rsidR="005E79B2">
        <w:rPr>
          <w:rFonts w:ascii="Arial" w:hAnsi="Arial" w:cs="Arial"/>
          <w:sz w:val="20"/>
          <w:szCs w:val="20"/>
        </w:rPr>
        <w:t>to which the Act applies</w:t>
      </w:r>
      <w:r w:rsidR="002F365F">
        <w:rPr>
          <w:rFonts w:ascii="Arial" w:hAnsi="Arial" w:cs="Arial"/>
          <w:sz w:val="20"/>
          <w:szCs w:val="20"/>
        </w:rPr>
        <w:t xml:space="preserve">. These are </w:t>
      </w:r>
      <w:r w:rsidR="00B53CF8">
        <w:rPr>
          <w:rFonts w:ascii="Arial" w:hAnsi="Arial" w:cs="Arial"/>
          <w:sz w:val="20"/>
          <w:szCs w:val="20"/>
        </w:rPr>
        <w:t>mentioned in Schedules 1 and 2.</w:t>
      </w:r>
    </w:p>
    <w:p w14:paraId="2DE9EFF5" w14:textId="49B1A934" w:rsidR="00B34E27" w:rsidRPr="00A64716" w:rsidRDefault="00B34E27" w:rsidP="00B34E27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 xml:space="preserve">Section </w:t>
      </w:r>
      <w:r w:rsidR="00757012">
        <w:rPr>
          <w:rFonts w:ascii="Arial" w:hAnsi="Arial" w:cs="Arial"/>
          <w:b/>
          <w:sz w:val="20"/>
          <w:szCs w:val="20"/>
        </w:rPr>
        <w:t>5</w:t>
      </w:r>
      <w:r w:rsidRPr="00A64716">
        <w:rPr>
          <w:rFonts w:ascii="Arial" w:hAnsi="Arial" w:cs="Arial"/>
          <w:b/>
          <w:sz w:val="20"/>
          <w:szCs w:val="20"/>
        </w:rPr>
        <w:tab/>
        <w:t xml:space="preserve">Application of Act outside Australia – other foreign space objects </w:t>
      </w:r>
    </w:p>
    <w:p w14:paraId="02249151" w14:textId="219BC7D0" w:rsidR="00B34E27" w:rsidRPr="00A64716" w:rsidRDefault="00B97D96" w:rsidP="00D13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</w:t>
      </w:r>
      <w:r w:rsidR="0075701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lists other </w:t>
      </w:r>
      <w:r w:rsidR="00A06B00" w:rsidRPr="00A64716">
        <w:rPr>
          <w:rFonts w:ascii="Arial" w:hAnsi="Arial" w:cs="Arial"/>
          <w:sz w:val="20"/>
          <w:szCs w:val="20"/>
        </w:rPr>
        <w:t xml:space="preserve">foreign space objects </w:t>
      </w:r>
      <w:r>
        <w:rPr>
          <w:rFonts w:ascii="Arial" w:hAnsi="Arial" w:cs="Arial"/>
          <w:sz w:val="20"/>
          <w:szCs w:val="20"/>
        </w:rPr>
        <w:t>to</w:t>
      </w:r>
      <w:r w:rsidR="00A06B00" w:rsidRPr="00A64716">
        <w:rPr>
          <w:rFonts w:ascii="Arial" w:hAnsi="Arial" w:cs="Arial"/>
          <w:sz w:val="20"/>
          <w:szCs w:val="20"/>
        </w:rPr>
        <w:t xml:space="preserve"> which the Act </w:t>
      </w:r>
      <w:r>
        <w:rPr>
          <w:rFonts w:ascii="Arial" w:hAnsi="Arial" w:cs="Arial"/>
          <w:sz w:val="20"/>
          <w:szCs w:val="20"/>
        </w:rPr>
        <w:t>applies</w:t>
      </w:r>
      <w:r w:rsidR="002F365F">
        <w:rPr>
          <w:rFonts w:ascii="Arial" w:hAnsi="Arial" w:cs="Arial"/>
          <w:sz w:val="20"/>
          <w:szCs w:val="20"/>
        </w:rPr>
        <w:t>. These are</w:t>
      </w:r>
      <w:r w:rsidR="00B53CF8">
        <w:rPr>
          <w:rFonts w:ascii="Arial" w:hAnsi="Arial" w:cs="Arial"/>
          <w:sz w:val="20"/>
          <w:szCs w:val="20"/>
        </w:rPr>
        <w:t xml:space="preserve"> mentioned in Schedule 3.</w:t>
      </w:r>
    </w:p>
    <w:p w14:paraId="2341D295" w14:textId="60B6553A" w:rsidR="00D1347D" w:rsidRPr="00A64716" w:rsidRDefault="00B34E27" w:rsidP="00D1347D">
      <w:pPr>
        <w:rPr>
          <w:rFonts w:ascii="Arial" w:hAnsi="Arial" w:cs="Arial"/>
          <w:b/>
          <w:i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 xml:space="preserve">Section </w:t>
      </w:r>
      <w:r w:rsidR="00757012">
        <w:rPr>
          <w:rFonts w:ascii="Arial" w:hAnsi="Arial" w:cs="Arial"/>
          <w:b/>
          <w:sz w:val="20"/>
          <w:szCs w:val="20"/>
        </w:rPr>
        <w:t>6</w:t>
      </w:r>
      <w:r w:rsidR="00D1347D" w:rsidRPr="00A64716">
        <w:rPr>
          <w:rFonts w:ascii="Arial" w:hAnsi="Arial" w:cs="Arial"/>
          <w:b/>
          <w:sz w:val="20"/>
          <w:szCs w:val="20"/>
        </w:rPr>
        <w:tab/>
        <w:t>Revocation</w:t>
      </w:r>
      <w:r w:rsidR="00B97D96">
        <w:rPr>
          <w:rFonts w:ascii="Arial" w:hAnsi="Arial" w:cs="Arial"/>
          <w:b/>
          <w:sz w:val="20"/>
          <w:szCs w:val="20"/>
        </w:rPr>
        <w:t xml:space="preserve"> of previous Determination</w:t>
      </w:r>
      <w:r w:rsidR="00D1347D" w:rsidRPr="00A64716">
        <w:rPr>
          <w:rFonts w:ascii="Arial" w:hAnsi="Arial" w:cs="Arial"/>
          <w:b/>
          <w:sz w:val="20"/>
          <w:szCs w:val="20"/>
        </w:rPr>
        <w:t xml:space="preserve"> </w:t>
      </w:r>
    </w:p>
    <w:p w14:paraId="2F385235" w14:textId="1DE0FEDE" w:rsidR="00D1347D" w:rsidRPr="00A64716" w:rsidRDefault="00B97D96" w:rsidP="00D1347D">
      <w:pPr>
        <w:pStyle w:val="paragraph"/>
        <w:ind w:left="0"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Section </w:t>
      </w:r>
      <w:r w:rsidR="00757012">
        <w:rPr>
          <w:rFonts w:ascii="Arial" w:hAnsi="Arial" w:cs="Arial"/>
          <w:sz w:val="20"/>
        </w:rPr>
        <w:t>6</w:t>
      </w:r>
      <w:r w:rsidR="004C6EC1" w:rsidRPr="00A64716">
        <w:rPr>
          <w:rFonts w:ascii="Arial" w:hAnsi="Arial" w:cs="Arial"/>
          <w:sz w:val="20"/>
        </w:rPr>
        <w:t xml:space="preserve"> </w:t>
      </w:r>
      <w:r w:rsidR="00D1347D" w:rsidRPr="00A64716">
        <w:rPr>
          <w:rFonts w:ascii="Arial" w:hAnsi="Arial" w:cs="Arial"/>
          <w:sz w:val="20"/>
        </w:rPr>
        <w:t xml:space="preserve">revokes </w:t>
      </w:r>
      <w:r w:rsidR="00160903" w:rsidRPr="00A64716">
        <w:rPr>
          <w:rFonts w:ascii="Arial" w:hAnsi="Arial" w:cs="Arial"/>
          <w:sz w:val="20"/>
        </w:rPr>
        <w:t>the</w:t>
      </w:r>
      <w:r w:rsidR="00D1347D" w:rsidRPr="00A64716">
        <w:rPr>
          <w:rFonts w:ascii="Arial" w:hAnsi="Arial" w:cs="Arial"/>
          <w:sz w:val="20"/>
        </w:rPr>
        <w:t xml:space="preserve"> </w:t>
      </w:r>
      <w:r w:rsidR="00D1347D" w:rsidRPr="00A64716">
        <w:rPr>
          <w:rFonts w:ascii="Arial" w:hAnsi="Arial" w:cs="Arial"/>
          <w:i/>
          <w:sz w:val="20"/>
        </w:rPr>
        <w:t>Radiocommunications (</w:t>
      </w:r>
      <w:r w:rsidR="00B34E27" w:rsidRPr="00A64716">
        <w:rPr>
          <w:rFonts w:ascii="Arial" w:hAnsi="Arial" w:cs="Arial"/>
          <w:i/>
          <w:sz w:val="20"/>
        </w:rPr>
        <w:t>Foreign Space Objects</w:t>
      </w:r>
      <w:r w:rsidR="008A7494" w:rsidRPr="00A64716">
        <w:rPr>
          <w:rFonts w:ascii="Arial" w:hAnsi="Arial" w:cs="Arial"/>
          <w:i/>
          <w:sz w:val="20"/>
        </w:rPr>
        <w:t xml:space="preserve">) </w:t>
      </w:r>
      <w:r w:rsidR="00B34E27" w:rsidRPr="00A64716">
        <w:rPr>
          <w:rFonts w:ascii="Arial" w:hAnsi="Arial" w:cs="Arial"/>
          <w:i/>
          <w:sz w:val="20"/>
        </w:rPr>
        <w:t>Determination</w:t>
      </w:r>
      <w:r w:rsidR="00D1347D" w:rsidRPr="00A64716">
        <w:rPr>
          <w:rFonts w:ascii="Arial" w:hAnsi="Arial" w:cs="Arial"/>
          <w:i/>
          <w:sz w:val="20"/>
        </w:rPr>
        <w:t xml:space="preserve"> 200</w:t>
      </w:r>
      <w:r w:rsidR="00B34E27" w:rsidRPr="00A64716">
        <w:rPr>
          <w:rFonts w:ascii="Arial" w:hAnsi="Arial" w:cs="Arial"/>
          <w:i/>
          <w:sz w:val="20"/>
        </w:rPr>
        <w:t>0</w:t>
      </w:r>
      <w:r>
        <w:rPr>
          <w:rFonts w:ascii="Arial" w:hAnsi="Arial" w:cs="Arial"/>
          <w:i/>
          <w:sz w:val="20"/>
        </w:rPr>
        <w:t>.</w:t>
      </w:r>
      <w:r w:rsidR="00D1347D" w:rsidRPr="00A64716">
        <w:rPr>
          <w:rFonts w:ascii="Arial" w:hAnsi="Arial" w:cs="Arial"/>
          <w:sz w:val="20"/>
        </w:rPr>
        <w:t xml:space="preserve"> </w:t>
      </w:r>
      <w:r w:rsidR="00D1347D" w:rsidRPr="00A64716">
        <w:rPr>
          <w:rFonts w:ascii="Arial" w:hAnsi="Arial" w:cs="Arial"/>
          <w:i/>
          <w:sz w:val="20"/>
        </w:rPr>
        <w:t xml:space="preserve"> </w:t>
      </w:r>
    </w:p>
    <w:p w14:paraId="1EB677F3" w14:textId="77777777" w:rsidR="00D1347D" w:rsidRPr="00A64716" w:rsidRDefault="00D1347D" w:rsidP="00D1347D">
      <w:pPr>
        <w:pStyle w:val="paragraph"/>
        <w:ind w:left="0" w:firstLine="0"/>
        <w:rPr>
          <w:rFonts w:ascii="Arial" w:hAnsi="Arial" w:cs="Arial"/>
          <w:i/>
          <w:sz w:val="20"/>
        </w:rPr>
      </w:pPr>
    </w:p>
    <w:p w14:paraId="290AC839" w14:textId="1599DD8F" w:rsidR="005C3E3D" w:rsidRPr="00A64716" w:rsidRDefault="005C3E3D" w:rsidP="005C3E3D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>Schedule 1</w:t>
      </w:r>
      <w:r w:rsidR="004F332E" w:rsidRPr="00A64716">
        <w:rPr>
          <w:rFonts w:ascii="Arial" w:hAnsi="Arial" w:cs="Arial"/>
          <w:b/>
          <w:sz w:val="20"/>
          <w:szCs w:val="20"/>
        </w:rPr>
        <w:tab/>
      </w:r>
    </w:p>
    <w:p w14:paraId="36209C0E" w14:textId="598582D9" w:rsidR="005C3E3D" w:rsidRPr="00A64716" w:rsidRDefault="00743B27" w:rsidP="005C3E3D">
      <w:pPr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>Schedule 1 lists</w:t>
      </w:r>
      <w:r w:rsidR="005C3E3D" w:rsidRPr="00A64716">
        <w:rPr>
          <w:rFonts w:ascii="Arial" w:hAnsi="Arial" w:cs="Arial"/>
          <w:sz w:val="20"/>
          <w:szCs w:val="20"/>
        </w:rPr>
        <w:t xml:space="preserve"> </w:t>
      </w:r>
      <w:r w:rsidR="00B53CF8">
        <w:rPr>
          <w:rFonts w:ascii="Arial" w:hAnsi="Arial" w:cs="Arial"/>
          <w:sz w:val="20"/>
          <w:szCs w:val="20"/>
        </w:rPr>
        <w:t>the</w:t>
      </w:r>
      <w:r w:rsidR="00F45A21" w:rsidRPr="00A64716">
        <w:rPr>
          <w:rFonts w:ascii="Arial" w:hAnsi="Arial" w:cs="Arial"/>
          <w:sz w:val="20"/>
          <w:szCs w:val="20"/>
        </w:rPr>
        <w:t xml:space="preserve"> owners, controllers or operators of </w:t>
      </w:r>
      <w:r w:rsidRPr="00A64716">
        <w:rPr>
          <w:rFonts w:ascii="Arial" w:hAnsi="Arial" w:cs="Arial"/>
          <w:sz w:val="20"/>
          <w:szCs w:val="20"/>
        </w:rPr>
        <w:t>foreign</w:t>
      </w:r>
      <w:r w:rsidR="00F45A21" w:rsidRPr="00A64716">
        <w:rPr>
          <w:rFonts w:ascii="Arial" w:hAnsi="Arial" w:cs="Arial"/>
          <w:sz w:val="20"/>
          <w:szCs w:val="20"/>
        </w:rPr>
        <w:t xml:space="preserve"> </w:t>
      </w:r>
      <w:r w:rsidR="00BC29E1" w:rsidRPr="00A64716">
        <w:rPr>
          <w:rFonts w:ascii="Arial" w:hAnsi="Arial" w:cs="Arial"/>
          <w:sz w:val="20"/>
          <w:szCs w:val="20"/>
        </w:rPr>
        <w:t>space objects</w:t>
      </w:r>
      <w:r w:rsidR="00F45A21" w:rsidRPr="00A64716">
        <w:rPr>
          <w:rFonts w:ascii="Arial" w:hAnsi="Arial" w:cs="Arial"/>
          <w:sz w:val="20"/>
          <w:szCs w:val="20"/>
        </w:rPr>
        <w:t xml:space="preserve"> operating in </w:t>
      </w:r>
      <w:r w:rsidR="00B53CF8">
        <w:rPr>
          <w:rFonts w:ascii="Arial" w:hAnsi="Arial" w:cs="Arial"/>
          <w:sz w:val="20"/>
          <w:szCs w:val="20"/>
        </w:rPr>
        <w:t xml:space="preserve">the </w:t>
      </w:r>
      <w:r w:rsidR="00F45A21" w:rsidRPr="00A64716">
        <w:rPr>
          <w:rFonts w:ascii="Arial" w:hAnsi="Arial" w:cs="Arial"/>
          <w:sz w:val="20"/>
          <w:szCs w:val="20"/>
        </w:rPr>
        <w:t>fr</w:t>
      </w:r>
      <w:r w:rsidR="00655463" w:rsidRPr="00A64716">
        <w:rPr>
          <w:rFonts w:ascii="Arial" w:hAnsi="Arial" w:cs="Arial"/>
          <w:sz w:val="20"/>
          <w:szCs w:val="20"/>
        </w:rPr>
        <w:t>equency range mentioned in the C</w:t>
      </w:r>
      <w:r w:rsidR="00F45A21" w:rsidRPr="00A64716">
        <w:rPr>
          <w:rFonts w:ascii="Arial" w:hAnsi="Arial" w:cs="Arial"/>
          <w:sz w:val="20"/>
          <w:szCs w:val="20"/>
        </w:rPr>
        <w:t>la</w:t>
      </w:r>
      <w:r w:rsidR="00655463" w:rsidRPr="00A64716">
        <w:rPr>
          <w:rFonts w:ascii="Arial" w:hAnsi="Arial" w:cs="Arial"/>
          <w:sz w:val="20"/>
          <w:szCs w:val="20"/>
        </w:rPr>
        <w:t>ss L</w:t>
      </w:r>
      <w:r w:rsidR="00F45A21" w:rsidRPr="00A64716">
        <w:rPr>
          <w:rFonts w:ascii="Arial" w:hAnsi="Arial" w:cs="Arial"/>
          <w:sz w:val="20"/>
          <w:szCs w:val="20"/>
        </w:rPr>
        <w:t>icence</w:t>
      </w:r>
      <w:r w:rsidR="005C3E3D" w:rsidRPr="00A64716">
        <w:rPr>
          <w:rFonts w:ascii="Arial" w:hAnsi="Arial" w:cs="Arial"/>
          <w:sz w:val="20"/>
          <w:szCs w:val="20"/>
        </w:rPr>
        <w:t xml:space="preserve">.  </w:t>
      </w:r>
    </w:p>
    <w:p w14:paraId="2C2207AE" w14:textId="7A9F8F67" w:rsidR="00B34E27" w:rsidRPr="00A64716" w:rsidRDefault="007A3C1F" w:rsidP="00B34E27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>Schedule 2</w:t>
      </w:r>
      <w:r w:rsidR="004F332E" w:rsidRPr="00A64716">
        <w:rPr>
          <w:rFonts w:ascii="Arial" w:hAnsi="Arial" w:cs="Arial"/>
          <w:b/>
          <w:sz w:val="20"/>
          <w:szCs w:val="20"/>
        </w:rPr>
        <w:tab/>
      </w:r>
    </w:p>
    <w:p w14:paraId="308D5C8D" w14:textId="06FFEFE8" w:rsidR="00B34E27" w:rsidRPr="00A64716" w:rsidRDefault="003C0269" w:rsidP="00EE5A34">
      <w:pPr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>Schedule 2 lists</w:t>
      </w:r>
      <w:r w:rsidR="00743B27" w:rsidRPr="00A64716">
        <w:rPr>
          <w:rFonts w:ascii="Arial" w:hAnsi="Arial" w:cs="Arial"/>
          <w:sz w:val="20"/>
          <w:szCs w:val="20"/>
        </w:rPr>
        <w:t xml:space="preserve"> </w:t>
      </w:r>
      <w:r w:rsidR="00B53CF8">
        <w:rPr>
          <w:rFonts w:ascii="Arial" w:hAnsi="Arial" w:cs="Arial"/>
          <w:sz w:val="20"/>
          <w:szCs w:val="20"/>
        </w:rPr>
        <w:t xml:space="preserve">other </w:t>
      </w:r>
      <w:r w:rsidR="00743B27" w:rsidRPr="00A64716">
        <w:rPr>
          <w:rFonts w:ascii="Arial" w:hAnsi="Arial" w:cs="Arial"/>
          <w:sz w:val="20"/>
          <w:szCs w:val="20"/>
        </w:rPr>
        <w:t xml:space="preserve">foreign space objects operating in </w:t>
      </w:r>
      <w:r w:rsidR="00B53CF8">
        <w:rPr>
          <w:rFonts w:ascii="Arial" w:hAnsi="Arial" w:cs="Arial"/>
          <w:sz w:val="20"/>
          <w:szCs w:val="20"/>
        </w:rPr>
        <w:t xml:space="preserve">the </w:t>
      </w:r>
      <w:r w:rsidR="00743B27" w:rsidRPr="00A64716">
        <w:rPr>
          <w:rFonts w:ascii="Arial" w:hAnsi="Arial" w:cs="Arial"/>
          <w:sz w:val="20"/>
          <w:szCs w:val="20"/>
        </w:rPr>
        <w:t>fr</w:t>
      </w:r>
      <w:r w:rsidR="00655463" w:rsidRPr="00A64716">
        <w:rPr>
          <w:rFonts w:ascii="Arial" w:hAnsi="Arial" w:cs="Arial"/>
          <w:sz w:val="20"/>
          <w:szCs w:val="20"/>
        </w:rPr>
        <w:t>equency range mentioned in the Class L</w:t>
      </w:r>
      <w:r w:rsidR="00743B27" w:rsidRPr="00A64716">
        <w:rPr>
          <w:rFonts w:ascii="Arial" w:hAnsi="Arial" w:cs="Arial"/>
          <w:sz w:val="20"/>
          <w:szCs w:val="20"/>
        </w:rPr>
        <w:t>icence.</w:t>
      </w:r>
    </w:p>
    <w:p w14:paraId="24EC36B1" w14:textId="6EF3205B" w:rsidR="00B34E27" w:rsidRPr="00A64716" w:rsidRDefault="007A3C1F" w:rsidP="00B34E27">
      <w:pPr>
        <w:rPr>
          <w:rFonts w:ascii="Arial" w:hAnsi="Arial" w:cs="Arial"/>
          <w:b/>
          <w:sz w:val="20"/>
          <w:szCs w:val="20"/>
        </w:rPr>
      </w:pPr>
      <w:r w:rsidRPr="00A64716">
        <w:rPr>
          <w:rFonts w:ascii="Arial" w:hAnsi="Arial" w:cs="Arial"/>
          <w:b/>
          <w:sz w:val="20"/>
          <w:szCs w:val="20"/>
        </w:rPr>
        <w:t>Schedule 3</w:t>
      </w:r>
      <w:r w:rsidR="004F332E" w:rsidRPr="00A64716">
        <w:rPr>
          <w:rFonts w:ascii="Arial" w:hAnsi="Arial" w:cs="Arial"/>
          <w:b/>
          <w:sz w:val="20"/>
          <w:szCs w:val="20"/>
        </w:rPr>
        <w:tab/>
      </w:r>
    </w:p>
    <w:p w14:paraId="6EABCBE3" w14:textId="71F99333" w:rsidR="00873030" w:rsidRDefault="003C0269" w:rsidP="00EE5A34">
      <w:pPr>
        <w:rPr>
          <w:rFonts w:ascii="Arial" w:hAnsi="Arial" w:cs="Arial"/>
          <w:sz w:val="20"/>
          <w:szCs w:val="20"/>
        </w:rPr>
      </w:pPr>
      <w:r w:rsidRPr="00A64716">
        <w:rPr>
          <w:rFonts w:ascii="Arial" w:hAnsi="Arial" w:cs="Arial"/>
          <w:sz w:val="20"/>
          <w:szCs w:val="20"/>
        </w:rPr>
        <w:t xml:space="preserve">Schedule 3 lists </w:t>
      </w:r>
      <w:r w:rsidR="00873030">
        <w:rPr>
          <w:rFonts w:ascii="Arial" w:hAnsi="Arial" w:cs="Arial"/>
          <w:sz w:val="20"/>
          <w:szCs w:val="20"/>
        </w:rPr>
        <w:t xml:space="preserve">the </w:t>
      </w:r>
      <w:r w:rsidRPr="00A64716">
        <w:rPr>
          <w:rFonts w:ascii="Arial" w:hAnsi="Arial" w:cs="Arial"/>
          <w:sz w:val="20"/>
          <w:szCs w:val="20"/>
        </w:rPr>
        <w:t xml:space="preserve">owners, controllers or operators of other foreign space objects. </w:t>
      </w:r>
    </w:p>
    <w:p w14:paraId="79CF8D2B" w14:textId="77777777" w:rsidR="00873030" w:rsidRDefault="00873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8659A9" w14:textId="77777777" w:rsidR="00873030" w:rsidRPr="00CA5B66" w:rsidRDefault="00873030" w:rsidP="00873030">
      <w:pPr>
        <w:rPr>
          <w:rFonts w:ascii="Arial" w:eastAsia="Calibri" w:hAnsi="Arial" w:cs="Arial"/>
          <w:b/>
          <w:sz w:val="20"/>
          <w:szCs w:val="20"/>
        </w:rPr>
      </w:pPr>
      <w:r w:rsidRPr="00CA5B66">
        <w:rPr>
          <w:rFonts w:ascii="Arial" w:eastAsia="Calibri" w:hAnsi="Arial" w:cs="Arial"/>
          <w:b/>
          <w:sz w:val="20"/>
          <w:szCs w:val="20"/>
        </w:rPr>
        <w:lastRenderedPageBreak/>
        <w:t>Attachment B</w:t>
      </w:r>
    </w:p>
    <w:p w14:paraId="232A671D" w14:textId="77777777" w:rsidR="00873030" w:rsidRPr="00CA5B66" w:rsidRDefault="00873030" w:rsidP="00873030">
      <w:pPr>
        <w:spacing w:after="80" w:line="240" w:lineRule="atLeast"/>
        <w:ind w:left="72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CC27849" w14:textId="77777777" w:rsidR="00873030" w:rsidRPr="00CA5B66" w:rsidRDefault="00873030" w:rsidP="00873030">
      <w:pPr>
        <w:spacing w:before="120" w:after="120" w:line="26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CA5B66">
        <w:rPr>
          <w:rFonts w:ascii="Arial" w:eastAsia="Calibri" w:hAnsi="Arial" w:cs="Arial"/>
          <w:b/>
          <w:sz w:val="20"/>
          <w:szCs w:val="20"/>
        </w:rPr>
        <w:t>Statement of Compatibility with Human Rights</w:t>
      </w:r>
    </w:p>
    <w:p w14:paraId="3B8D5D90" w14:textId="77777777" w:rsidR="00873030" w:rsidRPr="00CA5B66" w:rsidRDefault="00873030" w:rsidP="00873030">
      <w:pPr>
        <w:spacing w:after="80" w:line="240" w:lineRule="atLeast"/>
        <w:ind w:left="720"/>
        <w:jc w:val="center"/>
        <w:rPr>
          <w:rFonts w:ascii="Arial" w:eastAsia="Times New Roman" w:hAnsi="Arial" w:cs="Arial"/>
          <w:i/>
          <w:sz w:val="20"/>
          <w:szCs w:val="20"/>
          <w:lang w:eastAsia="en-AU"/>
        </w:rPr>
      </w:pPr>
      <w:r w:rsidRPr="00CA5B66">
        <w:rPr>
          <w:rFonts w:ascii="Arial" w:eastAsia="Times New Roman" w:hAnsi="Arial" w:cs="Arial"/>
          <w:sz w:val="20"/>
          <w:szCs w:val="20"/>
          <w:lang w:eastAsia="en-AU"/>
        </w:rPr>
        <w:t xml:space="preserve">Prepared in accordance with Part 3 of the 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>Human Rights (Parliamentary Scrutiny) Act 2011</w:t>
      </w:r>
    </w:p>
    <w:p w14:paraId="394B3D5F" w14:textId="77777777" w:rsidR="00873030" w:rsidRPr="00CA5B66" w:rsidRDefault="00873030" w:rsidP="00873030">
      <w:pPr>
        <w:spacing w:after="80" w:line="240" w:lineRule="atLeast"/>
        <w:ind w:left="720"/>
        <w:jc w:val="center"/>
        <w:rPr>
          <w:rFonts w:ascii="Arial" w:eastAsia="Times New Roman" w:hAnsi="Arial" w:cs="Arial"/>
          <w:i/>
          <w:sz w:val="20"/>
          <w:szCs w:val="20"/>
          <w:lang w:eastAsia="en-AU"/>
        </w:rPr>
      </w:pPr>
    </w:p>
    <w:p w14:paraId="167E3A1C" w14:textId="39546AD8" w:rsidR="00873030" w:rsidRPr="00CA5B66" w:rsidRDefault="00873030" w:rsidP="00873030">
      <w:pPr>
        <w:spacing w:after="80" w:line="240" w:lineRule="atLeast"/>
        <w:ind w:left="720"/>
        <w:jc w:val="center"/>
        <w:rPr>
          <w:rFonts w:ascii="Arial" w:eastAsia="Times New Roman" w:hAnsi="Arial" w:cs="Arial"/>
          <w:b/>
          <w:i/>
          <w:sz w:val="20"/>
          <w:szCs w:val="20"/>
          <w:lang w:eastAsia="en-AU"/>
        </w:rPr>
      </w:pPr>
      <w:r w:rsidRPr="00CA5B66">
        <w:rPr>
          <w:rFonts w:ascii="Arial" w:eastAsia="Times New Roman" w:hAnsi="Arial" w:cs="Arial"/>
          <w:b/>
          <w:i/>
          <w:sz w:val="20"/>
          <w:szCs w:val="20"/>
          <w:lang w:eastAsia="en-AU"/>
        </w:rPr>
        <w:t xml:space="preserve">Radiocommunications </w:t>
      </w:r>
      <w:r>
        <w:rPr>
          <w:rFonts w:ascii="Arial" w:eastAsia="Times New Roman" w:hAnsi="Arial" w:cs="Arial"/>
          <w:b/>
          <w:i/>
          <w:sz w:val="20"/>
          <w:szCs w:val="20"/>
          <w:lang w:eastAsia="en-AU"/>
        </w:rPr>
        <w:t>(Foreign Space Objects) Determination 2014</w:t>
      </w:r>
    </w:p>
    <w:p w14:paraId="0387FA6D" w14:textId="77777777" w:rsidR="00873030" w:rsidRPr="00CA5B66" w:rsidRDefault="00873030" w:rsidP="00873030">
      <w:pPr>
        <w:spacing w:after="80" w:line="240" w:lineRule="atLeast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29EC832" w14:textId="77777777" w:rsidR="00873030" w:rsidRPr="00CA5B66" w:rsidRDefault="00873030" w:rsidP="00873030">
      <w:pPr>
        <w:spacing w:line="240" w:lineRule="atLeast"/>
        <w:rPr>
          <w:rFonts w:ascii="Arial" w:eastAsia="Times New Roman" w:hAnsi="Arial" w:cs="Arial"/>
          <w:i/>
          <w:sz w:val="20"/>
          <w:szCs w:val="20"/>
          <w:lang w:eastAsia="en-AU"/>
        </w:rPr>
      </w:pPr>
      <w:r w:rsidRPr="00CA5B66">
        <w:rPr>
          <w:rFonts w:ascii="Arial" w:eastAsia="Times New Roman" w:hAnsi="Arial" w:cs="Arial"/>
          <w:sz w:val="20"/>
          <w:szCs w:val="20"/>
          <w:lang w:eastAsia="en-AU"/>
        </w:rPr>
        <w:t xml:space="preserve">The legislative instrument is compatible with the human rights and freedoms recognised or declared in the international instruments listed in section 3 of the 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>Human Rights (Parliamentary Scrutiny) Act 2011.</w:t>
      </w:r>
    </w:p>
    <w:p w14:paraId="7072DA29" w14:textId="77777777" w:rsidR="00873030" w:rsidRPr="00CA5B66" w:rsidRDefault="00873030" w:rsidP="00873030">
      <w:p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CA5B66">
        <w:rPr>
          <w:rFonts w:ascii="Arial" w:eastAsia="Calibri" w:hAnsi="Arial" w:cs="Arial"/>
          <w:b/>
          <w:sz w:val="20"/>
          <w:szCs w:val="20"/>
        </w:rPr>
        <w:t>Overview of the Legislative Instrument</w:t>
      </w:r>
    </w:p>
    <w:p w14:paraId="01285959" w14:textId="564C2522" w:rsidR="00873030" w:rsidRPr="00CA5B66" w:rsidRDefault="00873030" w:rsidP="00873030">
      <w:pPr>
        <w:spacing w:line="24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CA5B66">
        <w:rPr>
          <w:rFonts w:ascii="Arial" w:eastAsia="Times New Roman" w:hAnsi="Arial" w:cs="Arial"/>
          <w:sz w:val="20"/>
          <w:szCs w:val="20"/>
          <w:lang w:eastAsia="en-AU"/>
        </w:rPr>
        <w:t xml:space="preserve">The 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Radiocommunications </w:t>
      </w:r>
      <w:r>
        <w:rPr>
          <w:rFonts w:ascii="Arial" w:eastAsia="Times New Roman" w:hAnsi="Arial" w:cs="Arial"/>
          <w:i/>
          <w:sz w:val="20"/>
          <w:szCs w:val="20"/>
          <w:lang w:eastAsia="en-AU"/>
        </w:rPr>
        <w:t>(Foreign Space Objects) Determination 2014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r w:rsidRPr="00CA5B66">
        <w:rPr>
          <w:rFonts w:ascii="Arial" w:eastAsia="Times New Roman" w:hAnsi="Arial" w:cs="Arial"/>
          <w:sz w:val="20"/>
          <w:szCs w:val="20"/>
          <w:lang w:eastAsia="en-AU"/>
        </w:rPr>
        <w:t xml:space="preserve">revokes and replaces the 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Radiocommunications </w:t>
      </w:r>
      <w:r>
        <w:rPr>
          <w:rFonts w:ascii="Arial" w:eastAsia="Times New Roman" w:hAnsi="Arial" w:cs="Arial"/>
          <w:i/>
          <w:sz w:val="20"/>
          <w:szCs w:val="20"/>
          <w:lang w:eastAsia="en-AU"/>
        </w:rPr>
        <w:t>(Foreign Space Objects) Determination 2000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r w:rsidRPr="00CA5B66">
        <w:rPr>
          <w:rFonts w:ascii="Arial" w:eastAsia="Times New Roman" w:hAnsi="Arial" w:cs="Arial"/>
          <w:sz w:val="20"/>
          <w:szCs w:val="20"/>
          <w:lang w:eastAsia="en-AU"/>
        </w:rPr>
        <w:t>without making any significant changes to the regulatory arrangements created by that instrument.</w:t>
      </w:r>
    </w:p>
    <w:p w14:paraId="03F867F4" w14:textId="3AB79D5F" w:rsidR="00873030" w:rsidRPr="00CA5B66" w:rsidRDefault="00873030" w:rsidP="00873030">
      <w:pPr>
        <w:spacing w:line="24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CA5B66">
        <w:rPr>
          <w:rFonts w:ascii="Arial" w:eastAsia="Times New Roman" w:hAnsi="Arial" w:cs="Arial"/>
          <w:sz w:val="20"/>
          <w:szCs w:val="20"/>
          <w:lang w:eastAsia="en-AU"/>
        </w:rPr>
        <w:t xml:space="preserve">The 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Radiocommunications </w:t>
      </w:r>
      <w:r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(Foreign Space Objects) Determination 2014 </w:t>
      </w:r>
      <w:r>
        <w:rPr>
          <w:rFonts w:ascii="Arial" w:eastAsia="Times New Roman" w:hAnsi="Arial" w:cs="Arial"/>
          <w:sz w:val="20"/>
          <w:szCs w:val="20"/>
          <w:lang w:eastAsia="en-AU"/>
        </w:rPr>
        <w:t>lists</w:t>
      </w:r>
      <w:r w:rsidRPr="00CA5B66"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F23614">
        <w:rPr>
          <w:rFonts w:ascii="Arial" w:eastAsia="Times New Roman" w:hAnsi="Arial" w:cs="Arial"/>
          <w:sz w:val="20"/>
          <w:szCs w:val="20"/>
          <w:lang w:eastAsia="en-AU"/>
        </w:rPr>
        <w:t xml:space="preserve">foreign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space objects </w:t>
      </w:r>
      <w:r w:rsidR="00F23614">
        <w:rPr>
          <w:rFonts w:ascii="Arial" w:eastAsia="Times New Roman" w:hAnsi="Arial" w:cs="Arial"/>
          <w:sz w:val="20"/>
          <w:szCs w:val="20"/>
          <w:lang w:eastAsia="en-AU"/>
        </w:rPr>
        <w:t>to which the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CA5B66">
        <w:rPr>
          <w:rFonts w:ascii="Arial" w:eastAsia="Times New Roman" w:hAnsi="Arial" w:cs="Arial"/>
          <w:i/>
          <w:sz w:val="20"/>
          <w:szCs w:val="20"/>
          <w:lang w:eastAsia="en-AU"/>
        </w:rPr>
        <w:t>Radiocommunications Act 1992</w:t>
      </w:r>
      <w:r w:rsidR="00F23614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r w:rsidR="00F23614" w:rsidRPr="00B443B3">
        <w:rPr>
          <w:rFonts w:ascii="Arial" w:eastAsia="Times New Roman" w:hAnsi="Arial" w:cs="Arial"/>
          <w:sz w:val="20"/>
          <w:szCs w:val="20"/>
          <w:lang w:eastAsia="en-AU"/>
        </w:rPr>
        <w:t>applies.</w:t>
      </w:r>
    </w:p>
    <w:p w14:paraId="6BB8AD18" w14:textId="77777777" w:rsidR="00873030" w:rsidRPr="00CA5B66" w:rsidRDefault="00873030" w:rsidP="00873030">
      <w:p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CA5B66">
        <w:rPr>
          <w:rFonts w:ascii="Arial" w:eastAsia="Calibri" w:hAnsi="Arial" w:cs="Arial"/>
          <w:b/>
          <w:sz w:val="20"/>
          <w:szCs w:val="20"/>
        </w:rPr>
        <w:t>Human Rights Implications</w:t>
      </w:r>
    </w:p>
    <w:p w14:paraId="26D55290" w14:textId="77777777" w:rsidR="00873030" w:rsidRPr="00CA5B66" w:rsidRDefault="00873030" w:rsidP="00873030">
      <w:pPr>
        <w:spacing w:line="24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CA5B66">
        <w:rPr>
          <w:rFonts w:ascii="Arial" w:eastAsia="Times New Roman" w:hAnsi="Arial" w:cs="Arial"/>
          <w:sz w:val="20"/>
          <w:szCs w:val="20"/>
          <w:lang w:eastAsia="en-AU"/>
        </w:rPr>
        <w:t>The legislative instrument does not engage any of the applicable rights or freedoms.</w:t>
      </w:r>
    </w:p>
    <w:p w14:paraId="60CD14A2" w14:textId="77777777" w:rsidR="00873030" w:rsidRPr="00CA5B66" w:rsidRDefault="00873030" w:rsidP="00873030">
      <w:p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CA5B66">
        <w:rPr>
          <w:rFonts w:ascii="Arial" w:eastAsia="Calibri" w:hAnsi="Arial" w:cs="Arial"/>
          <w:b/>
          <w:sz w:val="20"/>
          <w:szCs w:val="20"/>
        </w:rPr>
        <w:t>Conclusion</w:t>
      </w:r>
    </w:p>
    <w:p w14:paraId="369D7F24" w14:textId="77777777" w:rsidR="00873030" w:rsidRPr="00CA5B66" w:rsidRDefault="00873030" w:rsidP="00873030">
      <w:pPr>
        <w:spacing w:line="24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CA5B66">
        <w:rPr>
          <w:rFonts w:ascii="Arial" w:eastAsia="Times New Roman" w:hAnsi="Arial" w:cs="Arial"/>
          <w:sz w:val="20"/>
          <w:szCs w:val="20"/>
          <w:lang w:eastAsia="en-AU"/>
        </w:rPr>
        <w:t>The legislative instrument is compatible with human rights as it does not raise any human rights issues.</w:t>
      </w:r>
    </w:p>
    <w:p w14:paraId="53235E52" w14:textId="77777777" w:rsidR="00873030" w:rsidRPr="00A64716" w:rsidRDefault="00873030" w:rsidP="00873030">
      <w:pPr>
        <w:pStyle w:val="paragraph"/>
        <w:ind w:left="0" w:firstLine="0"/>
        <w:rPr>
          <w:rFonts w:ascii="Arial" w:hAnsi="Arial" w:cs="Arial"/>
          <w:i/>
          <w:sz w:val="20"/>
        </w:rPr>
      </w:pPr>
    </w:p>
    <w:p w14:paraId="0EE64C41" w14:textId="77777777" w:rsidR="00873030" w:rsidRPr="00A64716" w:rsidRDefault="00873030" w:rsidP="00873030">
      <w:pPr>
        <w:pStyle w:val="paragraph"/>
        <w:ind w:left="0" w:firstLine="0"/>
        <w:rPr>
          <w:rFonts w:ascii="Arial" w:hAnsi="Arial" w:cs="Arial"/>
          <w:i/>
          <w:sz w:val="20"/>
        </w:rPr>
      </w:pPr>
    </w:p>
    <w:p w14:paraId="21926E5E" w14:textId="77777777" w:rsidR="00B34E27" w:rsidRPr="00A64716" w:rsidRDefault="00B34E27" w:rsidP="00EE5A34">
      <w:pPr>
        <w:rPr>
          <w:rFonts w:ascii="Arial" w:hAnsi="Arial" w:cs="Arial"/>
          <w:sz w:val="20"/>
          <w:szCs w:val="20"/>
        </w:rPr>
      </w:pPr>
    </w:p>
    <w:sectPr w:rsidR="00B34E27" w:rsidRPr="00A64716" w:rsidSect="0004553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EF7DA" w14:textId="77777777" w:rsidR="00995085" w:rsidRDefault="00995085" w:rsidP="000B38DD">
      <w:pPr>
        <w:spacing w:after="0" w:line="240" w:lineRule="auto"/>
      </w:pPr>
      <w:r>
        <w:separator/>
      </w:r>
    </w:p>
  </w:endnote>
  <w:endnote w:type="continuationSeparator" w:id="0">
    <w:p w14:paraId="01EF2BB9" w14:textId="77777777" w:rsidR="00995085" w:rsidRDefault="00995085" w:rsidP="000B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983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E1C2" w14:textId="2E9ECF3C" w:rsidR="000B38DD" w:rsidRDefault="000B38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2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C680B" w14:textId="77777777" w:rsidR="000B38DD" w:rsidRDefault="000B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F605A" w14:textId="77777777" w:rsidR="00995085" w:rsidRDefault="00995085" w:rsidP="000B38DD">
      <w:pPr>
        <w:spacing w:after="0" w:line="240" w:lineRule="auto"/>
      </w:pPr>
      <w:r>
        <w:separator/>
      </w:r>
    </w:p>
  </w:footnote>
  <w:footnote w:type="continuationSeparator" w:id="0">
    <w:p w14:paraId="05205DFC" w14:textId="77777777" w:rsidR="00995085" w:rsidRDefault="00995085" w:rsidP="000B3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CE2"/>
    <w:multiLevelType w:val="hybridMultilevel"/>
    <w:tmpl w:val="EFB44A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5C49E3"/>
    <w:multiLevelType w:val="hybridMultilevel"/>
    <w:tmpl w:val="B7A6D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26751"/>
    <w:multiLevelType w:val="hybridMultilevel"/>
    <w:tmpl w:val="91F0361A"/>
    <w:lvl w:ilvl="0" w:tplc="E3B2E8C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93DA1"/>
    <w:multiLevelType w:val="hybridMultilevel"/>
    <w:tmpl w:val="EE8C20B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0184343"/>
    <w:multiLevelType w:val="hybridMultilevel"/>
    <w:tmpl w:val="6B1EDC3A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>
    <w:nsid w:val="36BA29E4"/>
    <w:multiLevelType w:val="hybridMultilevel"/>
    <w:tmpl w:val="B76883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C2443"/>
    <w:multiLevelType w:val="hybridMultilevel"/>
    <w:tmpl w:val="AFDAB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C87F49"/>
    <w:multiLevelType w:val="hybridMultilevel"/>
    <w:tmpl w:val="CF00E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3E08ED"/>
    <w:multiLevelType w:val="hybridMultilevel"/>
    <w:tmpl w:val="37DC4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77374"/>
    <w:multiLevelType w:val="hybridMultilevel"/>
    <w:tmpl w:val="36641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7D"/>
    <w:rsid w:val="00000BA8"/>
    <w:rsid w:val="0000663E"/>
    <w:rsid w:val="0001151E"/>
    <w:rsid w:val="00021B31"/>
    <w:rsid w:val="000430A2"/>
    <w:rsid w:val="00043884"/>
    <w:rsid w:val="0004553A"/>
    <w:rsid w:val="00060FB4"/>
    <w:rsid w:val="00064509"/>
    <w:rsid w:val="00071921"/>
    <w:rsid w:val="00077075"/>
    <w:rsid w:val="000811CD"/>
    <w:rsid w:val="000816DC"/>
    <w:rsid w:val="00084C9E"/>
    <w:rsid w:val="00086375"/>
    <w:rsid w:val="0008642C"/>
    <w:rsid w:val="00097487"/>
    <w:rsid w:val="000A515B"/>
    <w:rsid w:val="000B38DD"/>
    <w:rsid w:val="000C1C00"/>
    <w:rsid w:val="000C3813"/>
    <w:rsid w:val="000C5C97"/>
    <w:rsid w:val="000C6E74"/>
    <w:rsid w:val="000D2383"/>
    <w:rsid w:val="000F2C95"/>
    <w:rsid w:val="001219A6"/>
    <w:rsid w:val="00124212"/>
    <w:rsid w:val="001277D3"/>
    <w:rsid w:val="0014018A"/>
    <w:rsid w:val="00154848"/>
    <w:rsid w:val="0015513F"/>
    <w:rsid w:val="00160903"/>
    <w:rsid w:val="00161B2C"/>
    <w:rsid w:val="00170B8B"/>
    <w:rsid w:val="00173CCA"/>
    <w:rsid w:val="00184E51"/>
    <w:rsid w:val="00185305"/>
    <w:rsid w:val="001D1895"/>
    <w:rsid w:val="001D6A3D"/>
    <w:rsid w:val="00210373"/>
    <w:rsid w:val="002115B1"/>
    <w:rsid w:val="002204AF"/>
    <w:rsid w:val="00221C7E"/>
    <w:rsid w:val="00231303"/>
    <w:rsid w:val="00235FDA"/>
    <w:rsid w:val="002438D6"/>
    <w:rsid w:val="00247C48"/>
    <w:rsid w:val="00257DAE"/>
    <w:rsid w:val="00260A84"/>
    <w:rsid w:val="00260F51"/>
    <w:rsid w:val="00261AF5"/>
    <w:rsid w:val="00263CD3"/>
    <w:rsid w:val="0026515D"/>
    <w:rsid w:val="00281DA6"/>
    <w:rsid w:val="00284764"/>
    <w:rsid w:val="00284B20"/>
    <w:rsid w:val="0028560D"/>
    <w:rsid w:val="00285813"/>
    <w:rsid w:val="002A2249"/>
    <w:rsid w:val="002A44E3"/>
    <w:rsid w:val="002A78F0"/>
    <w:rsid w:val="002B5C5B"/>
    <w:rsid w:val="002D3D18"/>
    <w:rsid w:val="002E2C41"/>
    <w:rsid w:val="002E3D5D"/>
    <w:rsid w:val="002F365F"/>
    <w:rsid w:val="003076A7"/>
    <w:rsid w:val="00310D89"/>
    <w:rsid w:val="0031573C"/>
    <w:rsid w:val="0031604B"/>
    <w:rsid w:val="0031639B"/>
    <w:rsid w:val="00322836"/>
    <w:rsid w:val="0032288E"/>
    <w:rsid w:val="0034011F"/>
    <w:rsid w:val="00344FBE"/>
    <w:rsid w:val="00346649"/>
    <w:rsid w:val="00352C0C"/>
    <w:rsid w:val="00353155"/>
    <w:rsid w:val="00355A2C"/>
    <w:rsid w:val="00360A79"/>
    <w:rsid w:val="00372378"/>
    <w:rsid w:val="003741FF"/>
    <w:rsid w:val="003753C0"/>
    <w:rsid w:val="00376C4A"/>
    <w:rsid w:val="00381AEB"/>
    <w:rsid w:val="003904B7"/>
    <w:rsid w:val="003966C3"/>
    <w:rsid w:val="003A11BA"/>
    <w:rsid w:val="003A2121"/>
    <w:rsid w:val="003A48EC"/>
    <w:rsid w:val="003B1F6B"/>
    <w:rsid w:val="003C0269"/>
    <w:rsid w:val="003C20B3"/>
    <w:rsid w:val="003E6F77"/>
    <w:rsid w:val="003E7728"/>
    <w:rsid w:val="003E7EBB"/>
    <w:rsid w:val="00400CA4"/>
    <w:rsid w:val="00410239"/>
    <w:rsid w:val="00421363"/>
    <w:rsid w:val="00422187"/>
    <w:rsid w:val="00422BB1"/>
    <w:rsid w:val="00436569"/>
    <w:rsid w:val="0044064C"/>
    <w:rsid w:val="00443358"/>
    <w:rsid w:val="00452E07"/>
    <w:rsid w:val="00456250"/>
    <w:rsid w:val="004568E6"/>
    <w:rsid w:val="004608AA"/>
    <w:rsid w:val="00466CCA"/>
    <w:rsid w:val="00472062"/>
    <w:rsid w:val="00485F24"/>
    <w:rsid w:val="004B246D"/>
    <w:rsid w:val="004B7190"/>
    <w:rsid w:val="004C5255"/>
    <w:rsid w:val="004C6EC1"/>
    <w:rsid w:val="004D0EB6"/>
    <w:rsid w:val="004D5D6C"/>
    <w:rsid w:val="004D7D67"/>
    <w:rsid w:val="004E28DB"/>
    <w:rsid w:val="004F0084"/>
    <w:rsid w:val="004F0540"/>
    <w:rsid w:val="004F1927"/>
    <w:rsid w:val="004F2617"/>
    <w:rsid w:val="004F332E"/>
    <w:rsid w:val="00505519"/>
    <w:rsid w:val="00507B18"/>
    <w:rsid w:val="0051052B"/>
    <w:rsid w:val="00512A66"/>
    <w:rsid w:val="00530407"/>
    <w:rsid w:val="0053142A"/>
    <w:rsid w:val="00536E84"/>
    <w:rsid w:val="00541F13"/>
    <w:rsid w:val="00543229"/>
    <w:rsid w:val="00545A06"/>
    <w:rsid w:val="005552AF"/>
    <w:rsid w:val="005608A1"/>
    <w:rsid w:val="005675A5"/>
    <w:rsid w:val="005723AB"/>
    <w:rsid w:val="00573357"/>
    <w:rsid w:val="00576229"/>
    <w:rsid w:val="00580EFA"/>
    <w:rsid w:val="00594E30"/>
    <w:rsid w:val="005A4607"/>
    <w:rsid w:val="005B3E1D"/>
    <w:rsid w:val="005B55E3"/>
    <w:rsid w:val="005C20FC"/>
    <w:rsid w:val="005C3C8C"/>
    <w:rsid w:val="005C3E3D"/>
    <w:rsid w:val="005D3EEE"/>
    <w:rsid w:val="005D4B73"/>
    <w:rsid w:val="005D6C27"/>
    <w:rsid w:val="005D7CEF"/>
    <w:rsid w:val="005E0FF6"/>
    <w:rsid w:val="005E28FD"/>
    <w:rsid w:val="005E79B2"/>
    <w:rsid w:val="005F4BD5"/>
    <w:rsid w:val="005F4E85"/>
    <w:rsid w:val="005F4F56"/>
    <w:rsid w:val="00600A25"/>
    <w:rsid w:val="00607523"/>
    <w:rsid w:val="006255B0"/>
    <w:rsid w:val="00625803"/>
    <w:rsid w:val="006328BA"/>
    <w:rsid w:val="00636F50"/>
    <w:rsid w:val="00641963"/>
    <w:rsid w:val="00643B35"/>
    <w:rsid w:val="00646ECA"/>
    <w:rsid w:val="00647AD9"/>
    <w:rsid w:val="00652316"/>
    <w:rsid w:val="00655463"/>
    <w:rsid w:val="0067027F"/>
    <w:rsid w:val="00670DEB"/>
    <w:rsid w:val="0067485D"/>
    <w:rsid w:val="006822D9"/>
    <w:rsid w:val="00686D36"/>
    <w:rsid w:val="00692E77"/>
    <w:rsid w:val="006931EC"/>
    <w:rsid w:val="006A40E4"/>
    <w:rsid w:val="006A517B"/>
    <w:rsid w:val="006B624A"/>
    <w:rsid w:val="006C3850"/>
    <w:rsid w:val="006C61DA"/>
    <w:rsid w:val="006E5EA2"/>
    <w:rsid w:val="006F3AF6"/>
    <w:rsid w:val="006F3FF7"/>
    <w:rsid w:val="0072018D"/>
    <w:rsid w:val="00726CA4"/>
    <w:rsid w:val="00733808"/>
    <w:rsid w:val="00734750"/>
    <w:rsid w:val="007407BB"/>
    <w:rsid w:val="00743B27"/>
    <w:rsid w:val="007447F3"/>
    <w:rsid w:val="00744C34"/>
    <w:rsid w:val="00756689"/>
    <w:rsid w:val="00757012"/>
    <w:rsid w:val="00772001"/>
    <w:rsid w:val="0077202E"/>
    <w:rsid w:val="0077399B"/>
    <w:rsid w:val="00785622"/>
    <w:rsid w:val="007932C2"/>
    <w:rsid w:val="007A3C1F"/>
    <w:rsid w:val="007B0DC1"/>
    <w:rsid w:val="007B6861"/>
    <w:rsid w:val="007C71E5"/>
    <w:rsid w:val="007D0EE7"/>
    <w:rsid w:val="007D5B3C"/>
    <w:rsid w:val="007D6F35"/>
    <w:rsid w:val="007F1CAA"/>
    <w:rsid w:val="007F2667"/>
    <w:rsid w:val="007F2820"/>
    <w:rsid w:val="00806051"/>
    <w:rsid w:val="008066BB"/>
    <w:rsid w:val="00810693"/>
    <w:rsid w:val="00813FED"/>
    <w:rsid w:val="0081547C"/>
    <w:rsid w:val="008169F5"/>
    <w:rsid w:val="00822B1E"/>
    <w:rsid w:val="008237CD"/>
    <w:rsid w:val="0082636E"/>
    <w:rsid w:val="00834556"/>
    <w:rsid w:val="00834A1B"/>
    <w:rsid w:val="00840361"/>
    <w:rsid w:val="00846514"/>
    <w:rsid w:val="00846F70"/>
    <w:rsid w:val="0085466B"/>
    <w:rsid w:val="008548EB"/>
    <w:rsid w:val="0085699F"/>
    <w:rsid w:val="00867CC9"/>
    <w:rsid w:val="00870610"/>
    <w:rsid w:val="00873030"/>
    <w:rsid w:val="0087460A"/>
    <w:rsid w:val="00877D80"/>
    <w:rsid w:val="0088340D"/>
    <w:rsid w:val="00885322"/>
    <w:rsid w:val="008A21A9"/>
    <w:rsid w:val="008A3571"/>
    <w:rsid w:val="008A6A0B"/>
    <w:rsid w:val="008A6A6A"/>
    <w:rsid w:val="008A7494"/>
    <w:rsid w:val="008B1810"/>
    <w:rsid w:val="008C246A"/>
    <w:rsid w:val="008C24B7"/>
    <w:rsid w:val="008D5CC2"/>
    <w:rsid w:val="00905C59"/>
    <w:rsid w:val="00912A3A"/>
    <w:rsid w:val="0091336B"/>
    <w:rsid w:val="00922D2F"/>
    <w:rsid w:val="00923EC3"/>
    <w:rsid w:val="009247E3"/>
    <w:rsid w:val="00936BA6"/>
    <w:rsid w:val="00950CA4"/>
    <w:rsid w:val="00957B0F"/>
    <w:rsid w:val="00962F4F"/>
    <w:rsid w:val="009676B5"/>
    <w:rsid w:val="00977DE6"/>
    <w:rsid w:val="00991A95"/>
    <w:rsid w:val="00992EB4"/>
    <w:rsid w:val="00995085"/>
    <w:rsid w:val="00995C03"/>
    <w:rsid w:val="009A1664"/>
    <w:rsid w:val="009A21FA"/>
    <w:rsid w:val="009B1F69"/>
    <w:rsid w:val="009D09D5"/>
    <w:rsid w:val="009D421A"/>
    <w:rsid w:val="009E0F46"/>
    <w:rsid w:val="009E7260"/>
    <w:rsid w:val="009F5EC8"/>
    <w:rsid w:val="009F6556"/>
    <w:rsid w:val="00A05322"/>
    <w:rsid w:val="00A06B00"/>
    <w:rsid w:val="00A075A5"/>
    <w:rsid w:val="00A12B5B"/>
    <w:rsid w:val="00A155A5"/>
    <w:rsid w:val="00A26D7D"/>
    <w:rsid w:val="00A30DE5"/>
    <w:rsid w:val="00A364D4"/>
    <w:rsid w:val="00A370A3"/>
    <w:rsid w:val="00A40920"/>
    <w:rsid w:val="00A43795"/>
    <w:rsid w:val="00A532A3"/>
    <w:rsid w:val="00A555AF"/>
    <w:rsid w:val="00A64716"/>
    <w:rsid w:val="00A64E06"/>
    <w:rsid w:val="00A671A6"/>
    <w:rsid w:val="00A742E1"/>
    <w:rsid w:val="00A7511A"/>
    <w:rsid w:val="00A75445"/>
    <w:rsid w:val="00A87229"/>
    <w:rsid w:val="00A90C3D"/>
    <w:rsid w:val="00A92CB0"/>
    <w:rsid w:val="00AA1144"/>
    <w:rsid w:val="00AA5375"/>
    <w:rsid w:val="00AB295A"/>
    <w:rsid w:val="00AB4B83"/>
    <w:rsid w:val="00AB65F9"/>
    <w:rsid w:val="00AC4F5F"/>
    <w:rsid w:val="00AC5B7E"/>
    <w:rsid w:val="00AD7FC6"/>
    <w:rsid w:val="00AE08EF"/>
    <w:rsid w:val="00AE10C7"/>
    <w:rsid w:val="00AE300C"/>
    <w:rsid w:val="00AF4E9C"/>
    <w:rsid w:val="00B04F09"/>
    <w:rsid w:val="00B127F3"/>
    <w:rsid w:val="00B2389E"/>
    <w:rsid w:val="00B34E27"/>
    <w:rsid w:val="00B3697F"/>
    <w:rsid w:val="00B42AE4"/>
    <w:rsid w:val="00B42DE5"/>
    <w:rsid w:val="00B443B3"/>
    <w:rsid w:val="00B45E11"/>
    <w:rsid w:val="00B4604C"/>
    <w:rsid w:val="00B47B66"/>
    <w:rsid w:val="00B50AE2"/>
    <w:rsid w:val="00B50DD7"/>
    <w:rsid w:val="00B53CF8"/>
    <w:rsid w:val="00B631DD"/>
    <w:rsid w:val="00B668B3"/>
    <w:rsid w:val="00B70489"/>
    <w:rsid w:val="00B707A2"/>
    <w:rsid w:val="00B72718"/>
    <w:rsid w:val="00B7325E"/>
    <w:rsid w:val="00B776E0"/>
    <w:rsid w:val="00B80A91"/>
    <w:rsid w:val="00B81064"/>
    <w:rsid w:val="00B858A6"/>
    <w:rsid w:val="00B86A28"/>
    <w:rsid w:val="00B9222B"/>
    <w:rsid w:val="00B95385"/>
    <w:rsid w:val="00B97D96"/>
    <w:rsid w:val="00BA7179"/>
    <w:rsid w:val="00BA71E0"/>
    <w:rsid w:val="00BB1028"/>
    <w:rsid w:val="00BB4120"/>
    <w:rsid w:val="00BB69B6"/>
    <w:rsid w:val="00BB74E4"/>
    <w:rsid w:val="00BC19B0"/>
    <w:rsid w:val="00BC29E1"/>
    <w:rsid w:val="00BC2D94"/>
    <w:rsid w:val="00BD3A4D"/>
    <w:rsid w:val="00BD513B"/>
    <w:rsid w:val="00BD7451"/>
    <w:rsid w:val="00BE336B"/>
    <w:rsid w:val="00BE44C4"/>
    <w:rsid w:val="00BF1F49"/>
    <w:rsid w:val="00C01543"/>
    <w:rsid w:val="00C16DD7"/>
    <w:rsid w:val="00C4278C"/>
    <w:rsid w:val="00C45791"/>
    <w:rsid w:val="00C46E77"/>
    <w:rsid w:val="00C51096"/>
    <w:rsid w:val="00C639CD"/>
    <w:rsid w:val="00C679B8"/>
    <w:rsid w:val="00C71C2C"/>
    <w:rsid w:val="00C7265F"/>
    <w:rsid w:val="00C76916"/>
    <w:rsid w:val="00C81018"/>
    <w:rsid w:val="00C8149B"/>
    <w:rsid w:val="00C82F88"/>
    <w:rsid w:val="00C83067"/>
    <w:rsid w:val="00C83D45"/>
    <w:rsid w:val="00C84FA5"/>
    <w:rsid w:val="00C9077B"/>
    <w:rsid w:val="00C91F18"/>
    <w:rsid w:val="00C9208B"/>
    <w:rsid w:val="00C92F9C"/>
    <w:rsid w:val="00C932BA"/>
    <w:rsid w:val="00C93772"/>
    <w:rsid w:val="00CB2B0B"/>
    <w:rsid w:val="00CB3C29"/>
    <w:rsid w:val="00CB52D2"/>
    <w:rsid w:val="00CB65F9"/>
    <w:rsid w:val="00CB7041"/>
    <w:rsid w:val="00CB7A07"/>
    <w:rsid w:val="00CD3AFC"/>
    <w:rsid w:val="00CE0E1F"/>
    <w:rsid w:val="00CE136B"/>
    <w:rsid w:val="00CE2CB9"/>
    <w:rsid w:val="00CE4D45"/>
    <w:rsid w:val="00CF064E"/>
    <w:rsid w:val="00CF7D1C"/>
    <w:rsid w:val="00CF7F85"/>
    <w:rsid w:val="00D04165"/>
    <w:rsid w:val="00D06271"/>
    <w:rsid w:val="00D06315"/>
    <w:rsid w:val="00D079BC"/>
    <w:rsid w:val="00D07E26"/>
    <w:rsid w:val="00D10419"/>
    <w:rsid w:val="00D13040"/>
    <w:rsid w:val="00D1347D"/>
    <w:rsid w:val="00D20002"/>
    <w:rsid w:val="00D226C0"/>
    <w:rsid w:val="00D22E19"/>
    <w:rsid w:val="00D261FD"/>
    <w:rsid w:val="00D4005E"/>
    <w:rsid w:val="00D41502"/>
    <w:rsid w:val="00D436F4"/>
    <w:rsid w:val="00D51A7A"/>
    <w:rsid w:val="00D522EE"/>
    <w:rsid w:val="00D56F0D"/>
    <w:rsid w:val="00D60198"/>
    <w:rsid w:val="00D64983"/>
    <w:rsid w:val="00D7023F"/>
    <w:rsid w:val="00D85EC1"/>
    <w:rsid w:val="00DA39E4"/>
    <w:rsid w:val="00DA5D7B"/>
    <w:rsid w:val="00DB215C"/>
    <w:rsid w:val="00DB5A96"/>
    <w:rsid w:val="00DE121E"/>
    <w:rsid w:val="00DF0BE7"/>
    <w:rsid w:val="00DF0FA8"/>
    <w:rsid w:val="00E0772F"/>
    <w:rsid w:val="00E15F03"/>
    <w:rsid w:val="00E210C4"/>
    <w:rsid w:val="00E26E1B"/>
    <w:rsid w:val="00E30483"/>
    <w:rsid w:val="00E3112C"/>
    <w:rsid w:val="00E37214"/>
    <w:rsid w:val="00E436BF"/>
    <w:rsid w:val="00E44F24"/>
    <w:rsid w:val="00E45344"/>
    <w:rsid w:val="00E57CA1"/>
    <w:rsid w:val="00E60880"/>
    <w:rsid w:val="00E829EE"/>
    <w:rsid w:val="00E83377"/>
    <w:rsid w:val="00E8585C"/>
    <w:rsid w:val="00E866EC"/>
    <w:rsid w:val="00E9357C"/>
    <w:rsid w:val="00E95C22"/>
    <w:rsid w:val="00EA10B2"/>
    <w:rsid w:val="00EA1F59"/>
    <w:rsid w:val="00EA4EA7"/>
    <w:rsid w:val="00EC5540"/>
    <w:rsid w:val="00ED13F0"/>
    <w:rsid w:val="00EE151C"/>
    <w:rsid w:val="00EE42C6"/>
    <w:rsid w:val="00EE5A34"/>
    <w:rsid w:val="00EE5A9B"/>
    <w:rsid w:val="00EF0BB3"/>
    <w:rsid w:val="00EF7F7F"/>
    <w:rsid w:val="00F01398"/>
    <w:rsid w:val="00F0203F"/>
    <w:rsid w:val="00F02777"/>
    <w:rsid w:val="00F064E5"/>
    <w:rsid w:val="00F1685E"/>
    <w:rsid w:val="00F2358A"/>
    <w:rsid w:val="00F23614"/>
    <w:rsid w:val="00F31BFA"/>
    <w:rsid w:val="00F33AFD"/>
    <w:rsid w:val="00F33FFA"/>
    <w:rsid w:val="00F3575A"/>
    <w:rsid w:val="00F401C5"/>
    <w:rsid w:val="00F45A21"/>
    <w:rsid w:val="00F5362A"/>
    <w:rsid w:val="00F54BC6"/>
    <w:rsid w:val="00F57547"/>
    <w:rsid w:val="00F6212A"/>
    <w:rsid w:val="00F76718"/>
    <w:rsid w:val="00F84B23"/>
    <w:rsid w:val="00F900A6"/>
    <w:rsid w:val="00F900DE"/>
    <w:rsid w:val="00F90ECC"/>
    <w:rsid w:val="00F92E06"/>
    <w:rsid w:val="00F931D2"/>
    <w:rsid w:val="00F94FD4"/>
    <w:rsid w:val="00F9774A"/>
    <w:rsid w:val="00FA0E38"/>
    <w:rsid w:val="00FA2A63"/>
    <w:rsid w:val="00FA7959"/>
    <w:rsid w:val="00FB1862"/>
    <w:rsid w:val="00FB5F49"/>
    <w:rsid w:val="00FC463C"/>
    <w:rsid w:val="00FC517B"/>
    <w:rsid w:val="00FD557F"/>
    <w:rsid w:val="00FE06C4"/>
    <w:rsid w:val="00FE3F45"/>
    <w:rsid w:val="00FE5A7D"/>
    <w:rsid w:val="00FF036C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4A639D"/>
  <w15:docId w15:val="{56E30EF0-13CE-48DE-8A39-698E064B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47D"/>
    <w:rPr>
      <w:color w:val="0000FF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D1347D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1347D"/>
    <w:rPr>
      <w:i/>
      <w:iCs/>
    </w:rPr>
  </w:style>
  <w:style w:type="paragraph" w:styleId="ListParagraph">
    <w:name w:val="List Paragraph"/>
    <w:basedOn w:val="Normal"/>
    <w:uiPriority w:val="34"/>
    <w:qFormat/>
    <w:rsid w:val="00D134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efault">
    <w:name w:val="Default"/>
    <w:rsid w:val="00D13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1347D"/>
    <w:pPr>
      <w:spacing w:after="0" w:line="240" w:lineRule="auto"/>
    </w:pPr>
    <w:rPr>
      <w:rFonts w:ascii="Consolas" w:hAnsi="Consolas" w:cs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1347D"/>
    <w:rPr>
      <w:rFonts w:ascii="Consolas" w:hAnsi="Consolas" w:cs="Consolas"/>
      <w:sz w:val="21"/>
      <w:szCs w:val="21"/>
      <w:lang w:eastAsia="en-AU"/>
    </w:rPr>
  </w:style>
  <w:style w:type="character" w:customStyle="1" w:styleId="ACMABodyTextChar1">
    <w:name w:val="ACMA Body Text Char1"/>
    <w:basedOn w:val="DefaultParagraphFont"/>
    <w:link w:val="ACMABodyText"/>
    <w:uiPriority w:val="99"/>
    <w:rsid w:val="00D1347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aragraph">
    <w:name w:val="paragraph"/>
    <w:aliases w:val="a"/>
    <w:basedOn w:val="Normal"/>
    <w:rsid w:val="00D1347D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D134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3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34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47B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B47B6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">
    <w:name w:val="definition"/>
    <w:basedOn w:val="Normal"/>
    <w:rsid w:val="00A555AF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rsid w:val="00A555AF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P1">
    <w:name w:val="P1"/>
    <w:aliases w:val="(a)"/>
    <w:basedOn w:val="Normal"/>
    <w:rsid w:val="00A555AF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2">
    <w:name w:val="R2"/>
    <w:aliases w:val="(2)"/>
    <w:basedOn w:val="Normal"/>
    <w:rsid w:val="00A555AF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7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8DD"/>
  </w:style>
  <w:style w:type="paragraph" w:styleId="Footer">
    <w:name w:val="footer"/>
    <w:basedOn w:val="Normal"/>
    <w:link w:val="FooterChar"/>
    <w:uiPriority w:val="99"/>
    <w:unhideWhenUsed/>
    <w:rsid w:val="000B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8DD"/>
  </w:style>
  <w:style w:type="paragraph" w:styleId="Revision">
    <w:name w:val="Revision"/>
    <w:hidden/>
    <w:uiPriority w:val="99"/>
    <w:semiHidden/>
    <w:rsid w:val="00A90C3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68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8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6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mlaw.gov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D9C086F4DB943B670479BA056C6AD" ma:contentTypeVersion="0" ma:contentTypeDescription="Create a new document." ma:contentTypeScope="" ma:versionID="6025f4768459d13b49ec9d25c5a6dc0a">
  <xsd:schema xmlns:xsd="http://www.w3.org/2001/XMLSchema" xmlns:xs="http://www.w3.org/2001/XMLSchema" xmlns:p="http://schemas.microsoft.com/office/2006/metadata/properties" xmlns:ns2="6db8f3c6-01a1-4322-b043-a3b2a190f7a8" targetNamespace="http://schemas.microsoft.com/office/2006/metadata/properties" ma:root="true" ma:fieldsID="08fd8ed56bc4c63e248c838960af90a7" ns2:_="">
    <xsd:import namespace="6db8f3c6-01a1-4322-b043-a3b2a190f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KNAH4PPFC442-2661-85</_dlc_DocId>
    <_dlc_DocIdUrl xmlns="6db8f3c6-01a1-4322-b043-a3b2a190f7a8">
      <Url>http://collaboration/organisation/CID/IRB/TRDS/_layouts/DocIdRedir.aspx?ID=KNAH4PPFC442-2661-85</Url>
      <Description>KNAH4PPFC442-2661-85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071DD-8378-422C-A6FD-D0C95476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03FA-6BA2-4DDD-ACD1-806A24317E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B658BF-E52A-49F6-AA5B-D20C1E10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f3c6-01a1-4322-b043-a3b2a190f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AFA14-B665-4D6F-B2B3-328DD5CAA47D}">
  <ds:schemaRefs>
    <ds:schemaRef ds:uri="http://schemas.microsoft.com/office/2006/metadata/properties"/>
    <ds:schemaRef ds:uri="http://schemas.microsoft.com/office/infopath/2007/PartnerControls"/>
    <ds:schemaRef ds:uri="6db8f3c6-01a1-4322-b043-a3b2a190f7a8"/>
  </ds:schemaRefs>
</ds:datastoreItem>
</file>

<file path=customXml/itemProps5.xml><?xml version="1.0" encoding="utf-8"?>
<ds:datastoreItem xmlns:ds="http://schemas.openxmlformats.org/officeDocument/2006/customXml" ds:itemID="{3C620D16-4D0B-4350-9D0B-2CEC6C4C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RLN ES 2014</vt:lpstr>
    </vt:vector>
  </TitlesOfParts>
  <Company>Australian Communications and Media Authority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RLN ES 2014</dc:title>
  <dc:creator>Australian Communications and Media Authority</dc:creator>
  <cp:lastModifiedBy>Lisa Harden-Parnell</cp:lastModifiedBy>
  <cp:revision>2</cp:revision>
  <cp:lastPrinted>2014-10-15T04:31:00Z</cp:lastPrinted>
  <dcterms:created xsi:type="dcterms:W3CDTF">2014-11-21T01:32:00Z</dcterms:created>
  <dcterms:modified xsi:type="dcterms:W3CDTF">2014-11-21T01:32:00Z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0x010100DE5D9C086F4DB943B670479BA056C6AD</vt:lpwstr>
  </property>
  <property fmtid="{D5CDD505-2E9C-101B-9397-08002B2CF9AE}" pid="3" name="_dlc_DocIdItemGuid">
    <vt:lpwstr>51368d3c-4b0e-4b66-ba8b-2e0d20bbc2c7</vt:lpwstr>
  </property>
</Properties>
</file>