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128" w:rsidRDefault="00BF4128" w:rsidP="00BF4128">
      <w:pPr>
        <w:spacing w:after="120"/>
        <w:jc w:val="center"/>
        <w:rPr>
          <w:b/>
          <w:i/>
        </w:rPr>
      </w:pPr>
      <w:r w:rsidRPr="00BF4128">
        <w:rPr>
          <w:b/>
          <w:i/>
        </w:rPr>
        <w:t>EXPLANATORY STATEMENT</w:t>
      </w:r>
    </w:p>
    <w:p w:rsidR="00845B73" w:rsidRPr="00BF4128" w:rsidRDefault="00845B73" w:rsidP="00BF4128">
      <w:pPr>
        <w:spacing w:after="120"/>
        <w:jc w:val="center"/>
        <w:rPr>
          <w:b/>
          <w:i/>
        </w:rPr>
      </w:pPr>
    </w:p>
    <w:p w:rsidR="00BF4128" w:rsidRDefault="00BF4128" w:rsidP="00BF4128">
      <w:pPr>
        <w:spacing w:after="120"/>
        <w:jc w:val="center"/>
        <w:rPr>
          <w:b/>
          <w:i/>
        </w:rPr>
      </w:pPr>
      <w:r w:rsidRPr="00BF4128">
        <w:rPr>
          <w:b/>
          <w:i/>
        </w:rPr>
        <w:t>NATIONAL HEALTH ACT 1953</w:t>
      </w:r>
    </w:p>
    <w:p w:rsidR="00845B73" w:rsidRPr="00BF4128" w:rsidRDefault="00845B73" w:rsidP="00BF4128">
      <w:pPr>
        <w:spacing w:after="120"/>
        <w:jc w:val="center"/>
        <w:rPr>
          <w:b/>
          <w:i/>
        </w:rPr>
      </w:pPr>
    </w:p>
    <w:p w:rsidR="00485DF9" w:rsidRPr="00485DF9" w:rsidRDefault="00485DF9" w:rsidP="00BF4128">
      <w:pPr>
        <w:spacing w:after="120"/>
        <w:jc w:val="center"/>
        <w:rPr>
          <w:b/>
          <w:i/>
        </w:rPr>
      </w:pPr>
      <w:r w:rsidRPr="003B6476">
        <w:rPr>
          <w:b/>
          <w:i/>
        </w:rPr>
        <w:t xml:space="preserve">NATIONAL HEALTH (REMOTE ABORIGINAL HEALTH SERVICES PROGRAM) SPECIAL ARRANGEMENTS </w:t>
      </w:r>
      <w:r>
        <w:rPr>
          <w:b/>
          <w:i/>
        </w:rPr>
        <w:t xml:space="preserve">AMENDMENT </w:t>
      </w:r>
      <w:r w:rsidRPr="003B6476">
        <w:rPr>
          <w:b/>
          <w:i/>
        </w:rPr>
        <w:t>INSTRUMENT 201</w:t>
      </w:r>
      <w:r>
        <w:rPr>
          <w:b/>
          <w:i/>
        </w:rPr>
        <w:t>4</w:t>
      </w:r>
      <w:r w:rsidRPr="00485DF9">
        <w:rPr>
          <w:b/>
          <w:i/>
        </w:rPr>
        <w:t xml:space="preserve"> (NO. </w:t>
      </w:r>
      <w:r w:rsidR="002D280D">
        <w:rPr>
          <w:b/>
          <w:i/>
        </w:rPr>
        <w:t>2</w:t>
      </w:r>
      <w:r w:rsidRPr="00485DF9">
        <w:rPr>
          <w:b/>
          <w:i/>
        </w:rPr>
        <w:t>)</w:t>
      </w:r>
    </w:p>
    <w:p w:rsidR="00BF4128" w:rsidRPr="00D8124D" w:rsidRDefault="0000524E" w:rsidP="00BF4128">
      <w:pPr>
        <w:spacing w:after="120"/>
        <w:jc w:val="center"/>
        <w:rPr>
          <w:b/>
        </w:rPr>
      </w:pPr>
      <w:r w:rsidRPr="00D8124D">
        <w:rPr>
          <w:b/>
        </w:rPr>
        <w:t>PB</w:t>
      </w:r>
      <w:r w:rsidR="002D280D">
        <w:rPr>
          <w:b/>
        </w:rPr>
        <w:t xml:space="preserve"> 99</w:t>
      </w:r>
      <w:r w:rsidR="003C781F">
        <w:rPr>
          <w:b/>
        </w:rPr>
        <w:t xml:space="preserve"> of 2014</w:t>
      </w:r>
    </w:p>
    <w:p w:rsidR="00C50711" w:rsidRDefault="00C50711" w:rsidP="00BF4128">
      <w:pPr>
        <w:spacing w:after="120"/>
        <w:rPr>
          <w:b/>
        </w:rPr>
      </w:pPr>
    </w:p>
    <w:p w:rsidR="00BF4128" w:rsidRPr="00BF4128" w:rsidRDefault="00BF4128" w:rsidP="00BF4128">
      <w:pPr>
        <w:spacing w:after="120"/>
        <w:rPr>
          <w:b/>
        </w:rPr>
      </w:pPr>
      <w:r w:rsidRPr="00BF4128">
        <w:rPr>
          <w:b/>
        </w:rPr>
        <w:t>Authority</w:t>
      </w:r>
    </w:p>
    <w:p w:rsidR="00BF4128" w:rsidRDefault="00BF4128" w:rsidP="00BF4128">
      <w:r>
        <w:t xml:space="preserve">Subsection 100(1) of the </w:t>
      </w:r>
      <w:r w:rsidRPr="00F50B00">
        <w:rPr>
          <w:i/>
        </w:rPr>
        <w:t>National Health Act 1953</w:t>
      </w:r>
      <w:r>
        <w:t xml:space="preserve"> (the Act) enables the Minister to make special arrangements for the supply of pharmaceutical benefits. Subsection 100(2) of the Act provides that the Minister may vary or revoke a special arrangement made under subsection 100(1).</w:t>
      </w:r>
    </w:p>
    <w:p w:rsidR="00BF4128" w:rsidRDefault="00BF4128" w:rsidP="00BF4128"/>
    <w:p w:rsidR="00F318F1" w:rsidRDefault="00BF4128" w:rsidP="00BF4128">
      <w:pPr>
        <w:spacing w:after="120"/>
      </w:pPr>
      <w:r>
        <w:t>Subsection 100(3) of the Act provides that Part VII of the Act, and instruments made for the purposes of Part VII</w:t>
      </w:r>
      <w:r w:rsidR="000B5909">
        <w:t>,</w:t>
      </w:r>
      <w:r>
        <w:t xml:space="preserve"> have effect subject to a special arrangement made under subsection 100(1).  </w:t>
      </w:r>
    </w:p>
    <w:p w:rsidR="00BF4128" w:rsidRPr="00BF4128" w:rsidRDefault="00BF4128" w:rsidP="00BF4128">
      <w:pPr>
        <w:spacing w:after="120"/>
        <w:rPr>
          <w:b/>
        </w:rPr>
      </w:pPr>
      <w:r w:rsidRPr="00BF4128">
        <w:rPr>
          <w:b/>
        </w:rPr>
        <w:t>Purpose</w:t>
      </w:r>
    </w:p>
    <w:p w:rsidR="00485DF9" w:rsidRDefault="00485DF9" w:rsidP="00485DF9">
      <w:r>
        <w:t xml:space="preserve">This legislative instrument is made under subsections 100(1) and 100(2) of the Act, is to amend the </w:t>
      </w:r>
      <w:r>
        <w:rPr>
          <w:i/>
        </w:rPr>
        <w:t>National Health (Remote Aboriginal Health Services Program) Special Arrangements Instrument 2010</w:t>
      </w:r>
      <w:r>
        <w:t xml:space="preserve"> (PB 65 of 2010) (the Special Arrangement). This Special Arrangement provides for the supply to remote Aboriginal Health Services of pharmaceutical benefits</w:t>
      </w:r>
      <w:r>
        <w:rPr>
          <w:b/>
          <w:bCs/>
        </w:rPr>
        <w:t>.</w:t>
      </w:r>
    </w:p>
    <w:p w:rsidR="00485DF9" w:rsidRDefault="00485DF9" w:rsidP="00485DF9">
      <w:pPr>
        <w:rPr>
          <w:b/>
          <w:bCs/>
          <w:lang w:val="en-US"/>
        </w:rPr>
      </w:pPr>
    </w:p>
    <w:p w:rsidR="00BF4128" w:rsidRDefault="00394E74" w:rsidP="00E57AE7">
      <w:pPr>
        <w:spacing w:after="160"/>
      </w:pPr>
      <w:r>
        <w:t xml:space="preserve">The </w:t>
      </w:r>
      <w:r w:rsidR="00510869">
        <w:t xml:space="preserve">purpose of the </w:t>
      </w:r>
      <w:r>
        <w:t>amendment</w:t>
      </w:r>
      <w:r w:rsidR="00BF4128">
        <w:t xml:space="preserve"> </w:t>
      </w:r>
      <w:r w:rsidR="00510869">
        <w:t xml:space="preserve">is to </w:t>
      </w:r>
      <w:r>
        <w:t xml:space="preserve">exclude </w:t>
      </w:r>
      <w:r w:rsidR="00510869">
        <w:t xml:space="preserve">certain </w:t>
      </w:r>
      <w:r>
        <w:t>conditions relating to the approval of a person as an approved pharmacist</w:t>
      </w:r>
      <w:r w:rsidR="00510869">
        <w:t xml:space="preserve"> from applying in</w:t>
      </w:r>
      <w:r>
        <w:t xml:space="preserve"> circumstances </w:t>
      </w:r>
      <w:r w:rsidR="00BF4128">
        <w:t>relating</w:t>
      </w:r>
      <w:r w:rsidR="00DB1110">
        <w:t xml:space="preserve"> to</w:t>
      </w:r>
      <w:r w:rsidR="00BF4128">
        <w:t xml:space="preserve"> </w:t>
      </w:r>
      <w:r w:rsidR="00485DF9">
        <w:t xml:space="preserve">supplies made under the </w:t>
      </w:r>
      <w:r w:rsidR="00485DF9" w:rsidRPr="00485DF9">
        <w:t>Remote Aboriginal Health Services Program</w:t>
      </w:r>
      <w:r w:rsidR="00485DF9">
        <w:t>me</w:t>
      </w:r>
      <w:r w:rsidR="00845B73">
        <w:t>.</w:t>
      </w:r>
    </w:p>
    <w:p w:rsidR="00845B73" w:rsidRDefault="00845B73" w:rsidP="00845B73">
      <w:pPr>
        <w:spacing w:after="160"/>
      </w:pPr>
      <w:r>
        <w:t xml:space="preserve">A provision by provision </w:t>
      </w:r>
      <w:r w:rsidR="00EB3196">
        <w:t xml:space="preserve">description </w:t>
      </w:r>
      <w:r>
        <w:t xml:space="preserve">of this instrument is contained in the </w:t>
      </w:r>
      <w:r>
        <w:rPr>
          <w:u w:val="single"/>
        </w:rPr>
        <w:t>Attachment</w:t>
      </w:r>
      <w:r>
        <w:t>.</w:t>
      </w:r>
    </w:p>
    <w:p w:rsidR="00BF4128" w:rsidRPr="00BF4128" w:rsidRDefault="00BF4128" w:rsidP="00BF4128">
      <w:pPr>
        <w:spacing w:after="120"/>
        <w:rPr>
          <w:b/>
        </w:rPr>
      </w:pPr>
      <w:r w:rsidRPr="00BF4128">
        <w:rPr>
          <w:b/>
        </w:rPr>
        <w:t xml:space="preserve">Consultations </w:t>
      </w:r>
    </w:p>
    <w:p w:rsidR="00394E74" w:rsidRDefault="00394E74" w:rsidP="00394E74">
      <w:pPr>
        <w:keepNext/>
        <w:keepLines/>
        <w:spacing w:after="200"/>
      </w:pPr>
      <w:r w:rsidRPr="003653BD">
        <w:t xml:space="preserve">The Department of Health has </w:t>
      </w:r>
      <w:r>
        <w:t xml:space="preserve">not consulted on this change, which is of a minor nature. </w:t>
      </w:r>
    </w:p>
    <w:p w:rsidR="00394E74" w:rsidRDefault="00394E74" w:rsidP="00394E74">
      <w:pPr>
        <w:spacing w:after="200"/>
        <w:rPr>
          <w:i/>
        </w:rPr>
      </w:pPr>
      <w:r w:rsidRPr="00540A78">
        <w:t xml:space="preserve">This Instrument is a legislative instrument for the purposes of the </w:t>
      </w:r>
      <w:r w:rsidRPr="00540A78">
        <w:rPr>
          <w:i/>
        </w:rPr>
        <w:t>Legislative Instruments</w:t>
      </w:r>
      <w:r>
        <w:rPr>
          <w:i/>
        </w:rPr>
        <w:t xml:space="preserve"> </w:t>
      </w:r>
      <w:r w:rsidRPr="00540A78">
        <w:rPr>
          <w:i/>
        </w:rPr>
        <w:t>Act 2003.</w:t>
      </w:r>
    </w:p>
    <w:p w:rsidR="00613A31" w:rsidRDefault="00613A31">
      <w:r>
        <w:br w:type="page"/>
      </w:r>
    </w:p>
    <w:p w:rsidR="00613A31" w:rsidRPr="00BF4128" w:rsidRDefault="00613A31" w:rsidP="00613A31">
      <w:pPr>
        <w:spacing w:after="120"/>
        <w:jc w:val="right"/>
        <w:rPr>
          <w:b/>
        </w:rPr>
      </w:pPr>
      <w:r w:rsidRPr="00BF4128">
        <w:rPr>
          <w:b/>
        </w:rPr>
        <w:lastRenderedPageBreak/>
        <w:t>ATTACHMENT</w:t>
      </w:r>
    </w:p>
    <w:p w:rsidR="00485DF9" w:rsidRPr="00485DF9" w:rsidRDefault="00613A31" w:rsidP="00485DF9">
      <w:pPr>
        <w:spacing w:after="120"/>
        <w:jc w:val="center"/>
        <w:rPr>
          <w:b/>
          <w:i/>
        </w:rPr>
      </w:pPr>
      <w:r w:rsidRPr="005A14F9">
        <w:rPr>
          <w:b/>
          <w:i/>
        </w:rPr>
        <w:t xml:space="preserve">PROVISION BY PROVISION DESCRIPTION OF THE </w:t>
      </w:r>
      <w:r w:rsidR="00485DF9" w:rsidRPr="003B6476">
        <w:rPr>
          <w:b/>
          <w:i/>
        </w:rPr>
        <w:t xml:space="preserve">NATIONAL HEALTH (REMOTE ABORIGINAL HEALTH SERVICES PROGRAM) SPECIAL ARRANGEMENTS </w:t>
      </w:r>
      <w:r w:rsidR="00485DF9">
        <w:rPr>
          <w:b/>
          <w:i/>
        </w:rPr>
        <w:t xml:space="preserve">AMENDMENT </w:t>
      </w:r>
      <w:r w:rsidR="00485DF9" w:rsidRPr="003B6476">
        <w:rPr>
          <w:b/>
          <w:i/>
        </w:rPr>
        <w:t>INSTRUMENT 201</w:t>
      </w:r>
      <w:r w:rsidR="00485DF9">
        <w:rPr>
          <w:b/>
          <w:i/>
        </w:rPr>
        <w:t>4</w:t>
      </w:r>
      <w:r w:rsidR="00485DF9" w:rsidRPr="00485DF9">
        <w:rPr>
          <w:b/>
          <w:i/>
        </w:rPr>
        <w:t xml:space="preserve"> (NO. </w:t>
      </w:r>
      <w:r w:rsidR="002D280D">
        <w:rPr>
          <w:b/>
          <w:i/>
        </w:rPr>
        <w:t>2</w:t>
      </w:r>
      <w:r w:rsidR="00485DF9" w:rsidRPr="00485DF9">
        <w:rPr>
          <w:b/>
          <w:i/>
        </w:rPr>
        <w:t>)</w:t>
      </w:r>
    </w:p>
    <w:p w:rsidR="00510869" w:rsidRDefault="00510869" w:rsidP="00613A31">
      <w:pPr>
        <w:spacing w:after="120"/>
        <w:rPr>
          <w:b/>
        </w:rPr>
      </w:pPr>
    </w:p>
    <w:p w:rsidR="00510869" w:rsidRDefault="00510869" w:rsidP="00613A31">
      <w:pPr>
        <w:spacing w:after="120"/>
        <w:rPr>
          <w:b/>
        </w:rPr>
      </w:pPr>
    </w:p>
    <w:p w:rsidR="00613A31" w:rsidRPr="005A14F9" w:rsidRDefault="00510869" w:rsidP="00613A31">
      <w:pPr>
        <w:spacing w:after="120"/>
        <w:rPr>
          <w:b/>
        </w:rPr>
      </w:pPr>
      <w:r>
        <w:rPr>
          <w:b/>
        </w:rPr>
        <w:t>Sectio</w:t>
      </w:r>
      <w:r w:rsidR="00613A31" w:rsidRPr="005A14F9">
        <w:rPr>
          <w:b/>
        </w:rPr>
        <w:t xml:space="preserve">n 1 </w:t>
      </w:r>
      <w:r w:rsidR="00613A31" w:rsidRPr="005A14F9">
        <w:rPr>
          <w:b/>
        </w:rPr>
        <w:tab/>
        <w:t>Name of Instrument</w:t>
      </w:r>
    </w:p>
    <w:p w:rsidR="00613A31" w:rsidRPr="005A14F9" w:rsidRDefault="00613A31" w:rsidP="00613A31">
      <w:pPr>
        <w:spacing w:after="120"/>
      </w:pPr>
      <w:r w:rsidRPr="005A14F9">
        <w:t xml:space="preserve">This section provides this Instrument is </w:t>
      </w:r>
      <w:r w:rsidR="00394E74">
        <w:t xml:space="preserve">named </w:t>
      </w:r>
      <w:r w:rsidRPr="005A14F9">
        <w:t xml:space="preserve">the </w:t>
      </w:r>
      <w:r w:rsidR="00485DF9" w:rsidRPr="00485DF9">
        <w:rPr>
          <w:i/>
        </w:rPr>
        <w:t>National Health (Remote Aboriginal Health Services Program) Special Arrangements Amendment Instrument 2014</w:t>
      </w:r>
      <w:r w:rsidR="00485DF9" w:rsidRPr="00485DF9">
        <w:rPr>
          <w:rFonts w:ascii="Helv" w:hAnsi="Helv" w:cs="Helv"/>
          <w:color w:val="000000"/>
          <w:sz w:val="20"/>
          <w:szCs w:val="20"/>
        </w:rPr>
        <w:t xml:space="preserve"> </w:t>
      </w:r>
      <w:r w:rsidR="00485DF9" w:rsidRPr="00485DF9">
        <w:rPr>
          <w:i/>
        </w:rPr>
        <w:t>(No.</w:t>
      </w:r>
      <w:r w:rsidR="002D280D">
        <w:rPr>
          <w:i/>
        </w:rPr>
        <w:t xml:space="preserve"> 2</w:t>
      </w:r>
      <w:r w:rsidR="00485DF9" w:rsidRPr="002D280D">
        <w:rPr>
          <w:i/>
        </w:rPr>
        <w:t>).</w:t>
      </w:r>
      <w:r w:rsidR="00394E74" w:rsidRPr="00485DF9">
        <w:rPr>
          <w:i/>
        </w:rPr>
        <w:t xml:space="preserve">  </w:t>
      </w:r>
      <w:r w:rsidR="00394E74" w:rsidRPr="00394E74">
        <w:t>It may be</w:t>
      </w:r>
      <w:r w:rsidR="00394E74">
        <w:rPr>
          <w:i/>
        </w:rPr>
        <w:t xml:space="preserve"> </w:t>
      </w:r>
      <w:r w:rsidRPr="005A14F9">
        <w:t xml:space="preserve">cited as PB </w:t>
      </w:r>
      <w:r w:rsidR="002D280D">
        <w:t>99</w:t>
      </w:r>
      <w:r w:rsidR="00F50753">
        <w:t xml:space="preserve"> </w:t>
      </w:r>
      <w:r w:rsidR="003C781F">
        <w:t>of 2014</w:t>
      </w:r>
      <w:r w:rsidRPr="005A14F9">
        <w:t>.</w:t>
      </w:r>
    </w:p>
    <w:p w:rsidR="00613A31" w:rsidRPr="005A14F9" w:rsidRDefault="00613A31" w:rsidP="00613A31">
      <w:pPr>
        <w:spacing w:after="120"/>
        <w:rPr>
          <w:b/>
        </w:rPr>
      </w:pPr>
      <w:r w:rsidRPr="005A14F9">
        <w:rPr>
          <w:b/>
        </w:rPr>
        <w:t xml:space="preserve">Section 2 </w:t>
      </w:r>
      <w:r w:rsidRPr="005A14F9">
        <w:rPr>
          <w:b/>
        </w:rPr>
        <w:tab/>
        <w:t>Commencement</w:t>
      </w:r>
    </w:p>
    <w:p w:rsidR="00613A31" w:rsidRPr="005A14F9" w:rsidRDefault="00613A31" w:rsidP="00613A31">
      <w:pPr>
        <w:spacing w:after="120"/>
      </w:pPr>
      <w:r w:rsidRPr="005A14F9">
        <w:t xml:space="preserve">This section provides that this Instrument commences on </w:t>
      </w:r>
      <w:r w:rsidR="002D280D">
        <w:t>1 December 201</w:t>
      </w:r>
      <w:r w:rsidR="001765B4" w:rsidRPr="005A14F9">
        <w:t>4</w:t>
      </w:r>
      <w:r w:rsidRPr="005A14F9">
        <w:t xml:space="preserve">. </w:t>
      </w:r>
    </w:p>
    <w:p w:rsidR="00613A31" w:rsidRPr="005A14F9" w:rsidRDefault="00613A31" w:rsidP="00613A31">
      <w:pPr>
        <w:spacing w:after="120"/>
        <w:rPr>
          <w:b/>
        </w:rPr>
      </w:pPr>
      <w:r w:rsidRPr="005A14F9">
        <w:rPr>
          <w:b/>
        </w:rPr>
        <w:t xml:space="preserve">Section 3  </w:t>
      </w:r>
      <w:r w:rsidRPr="005A14F9">
        <w:rPr>
          <w:b/>
        </w:rPr>
        <w:tab/>
        <w:t xml:space="preserve">Amendments to PB </w:t>
      </w:r>
      <w:r w:rsidR="00485DF9">
        <w:rPr>
          <w:b/>
        </w:rPr>
        <w:t xml:space="preserve">65 </w:t>
      </w:r>
      <w:r w:rsidRPr="005A14F9">
        <w:rPr>
          <w:b/>
        </w:rPr>
        <w:t>of 201</w:t>
      </w:r>
      <w:r w:rsidR="00BA6DC4">
        <w:rPr>
          <w:b/>
        </w:rPr>
        <w:t>0</w:t>
      </w:r>
    </w:p>
    <w:p w:rsidR="0070020E" w:rsidRPr="005A14F9" w:rsidRDefault="00613A31" w:rsidP="0070020E">
      <w:r w:rsidRPr="005A14F9">
        <w:t xml:space="preserve">This section provides that Schedule 1 amends </w:t>
      </w:r>
      <w:r w:rsidR="002B4528">
        <w:t xml:space="preserve">the Special Arrangement. </w:t>
      </w:r>
    </w:p>
    <w:p w:rsidR="0070020E" w:rsidRPr="005A14F9" w:rsidRDefault="0070020E" w:rsidP="0070020E"/>
    <w:p w:rsidR="006352DD" w:rsidRDefault="006352DD" w:rsidP="006352DD">
      <w:pPr>
        <w:autoSpaceDE w:val="0"/>
        <w:autoSpaceDN w:val="0"/>
        <w:adjustRightInd w:val="0"/>
        <w:rPr>
          <w:b/>
        </w:rPr>
      </w:pPr>
      <w:r>
        <w:rPr>
          <w:b/>
        </w:rPr>
        <w:t>Schedule 1</w:t>
      </w:r>
      <w:r>
        <w:rPr>
          <w:b/>
        </w:rPr>
        <w:tab/>
        <w:t>Amendments</w:t>
      </w:r>
    </w:p>
    <w:p w:rsidR="006352DD" w:rsidRDefault="006352DD" w:rsidP="00485DF9">
      <w:pPr>
        <w:autoSpaceDE w:val="0"/>
        <w:autoSpaceDN w:val="0"/>
        <w:adjustRightInd w:val="0"/>
        <w:ind w:left="360"/>
        <w:rPr>
          <w:b/>
        </w:rPr>
      </w:pPr>
    </w:p>
    <w:p w:rsidR="00485DF9" w:rsidRDefault="00613A31" w:rsidP="006352DD">
      <w:pPr>
        <w:autoSpaceDE w:val="0"/>
        <w:autoSpaceDN w:val="0"/>
        <w:adjustRightInd w:val="0"/>
        <w:rPr>
          <w:color w:val="000000"/>
        </w:rPr>
      </w:pPr>
      <w:r w:rsidRPr="00AE58D3">
        <w:rPr>
          <w:b/>
        </w:rPr>
        <w:t>Item 1</w:t>
      </w:r>
      <w:r w:rsidRPr="00AE58D3">
        <w:t xml:space="preserve"> </w:t>
      </w:r>
      <w:r w:rsidR="00394E74">
        <w:t xml:space="preserve">inserts a new section </w:t>
      </w:r>
      <w:r w:rsidR="00485DF9">
        <w:t xml:space="preserve">10 stating that </w:t>
      </w:r>
      <w:r w:rsidR="006352DD">
        <w:t>s</w:t>
      </w:r>
      <w:bookmarkStart w:id="0" w:name="_GoBack"/>
      <w:bookmarkEnd w:id="0"/>
      <w:r w:rsidR="00485DF9">
        <w:rPr>
          <w:color w:val="000000"/>
        </w:rPr>
        <w:t xml:space="preserve">ubsection 8(3) of the conditions of approval for approved pharmacists made under paragraph 92A(1)(f) of the Act does not apply to the supply of </w:t>
      </w:r>
      <w:r w:rsidR="005D3768">
        <w:rPr>
          <w:color w:val="000000"/>
        </w:rPr>
        <w:t xml:space="preserve">a </w:t>
      </w:r>
      <w:r w:rsidR="00485DF9">
        <w:rPr>
          <w:color w:val="000000"/>
        </w:rPr>
        <w:t>pharmaceutical benefit under this arrangement.</w:t>
      </w:r>
    </w:p>
    <w:p w:rsidR="004E1C56" w:rsidRDefault="004E1C56" w:rsidP="00485DF9">
      <w:pPr>
        <w:spacing w:after="120"/>
      </w:pPr>
    </w:p>
    <w:p w:rsidR="00394E74" w:rsidRDefault="00394E74" w:rsidP="008C760D">
      <w:pPr>
        <w:spacing w:after="120"/>
      </w:pPr>
    </w:p>
    <w:p w:rsidR="00394E74" w:rsidRDefault="00394E74">
      <w:r>
        <w:br w:type="page"/>
      </w:r>
    </w:p>
    <w:p w:rsidR="00394E74" w:rsidRDefault="00C46BE2" w:rsidP="008C760D">
      <w:pPr>
        <w:spacing w:after="120"/>
      </w:pPr>
      <w:r>
        <w:rPr>
          <w:b/>
          <w:noProof/>
          <w:sz w:val="28"/>
          <w:szCs w:val="28"/>
          <w:lang w:eastAsia="en-AU"/>
        </w:rPr>
        <w:lastRenderedPageBreak/>
        <mc:AlternateContent>
          <mc:Choice Requires="wps">
            <w:drawing>
              <wp:anchor distT="0" distB="0" distL="114300" distR="114300" simplePos="0" relativeHeight="251658240" behindDoc="0" locked="0" layoutInCell="1" allowOverlap="1" wp14:anchorId="130DC421" wp14:editId="1229E8D4">
                <wp:simplePos x="0" y="0"/>
                <wp:positionH relativeFrom="column">
                  <wp:posOffset>9525</wp:posOffset>
                </wp:positionH>
                <wp:positionV relativeFrom="paragraph">
                  <wp:posOffset>27939</wp:posOffset>
                </wp:positionV>
                <wp:extent cx="6118860" cy="8639175"/>
                <wp:effectExtent l="38100" t="38100" r="34290"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8639175"/>
                        </a:xfrm>
                        <a:prstGeom prst="rect">
                          <a:avLst/>
                        </a:prstGeom>
                        <a:solidFill>
                          <a:srgbClr val="FFFFFF"/>
                        </a:solidFill>
                        <a:ln w="76200" cmpd="tri">
                          <a:solidFill>
                            <a:srgbClr val="000000"/>
                          </a:solidFill>
                          <a:miter lim="800000"/>
                          <a:headEnd/>
                          <a:tailEnd/>
                        </a:ln>
                      </wps:spPr>
                      <wps:txbx>
                        <w:txbxContent>
                          <w:p w:rsidR="00613A31" w:rsidRPr="00E57AE7" w:rsidRDefault="00613A31" w:rsidP="00B66866">
                            <w:pPr>
                              <w:spacing w:before="480"/>
                              <w:jc w:val="center"/>
                              <w:rPr>
                                <w:b/>
                                <w:sz w:val="28"/>
                                <w:szCs w:val="28"/>
                              </w:rPr>
                            </w:pPr>
                            <w:r w:rsidRPr="00E57AE7">
                              <w:rPr>
                                <w:b/>
                                <w:sz w:val="28"/>
                                <w:szCs w:val="28"/>
                              </w:rPr>
                              <w:t>Statement of Compatibility with Human Rights</w:t>
                            </w:r>
                          </w:p>
                          <w:p w:rsidR="00613A31" w:rsidRPr="00E57AE7" w:rsidRDefault="00613A31" w:rsidP="00E57AE7">
                            <w:pPr>
                              <w:spacing w:after="120"/>
                              <w:jc w:val="center"/>
                            </w:pPr>
                            <w:r w:rsidRPr="00E57AE7">
                              <w:rPr>
                                <w:i/>
                              </w:rPr>
                              <w:t>Prepared in accordance with Part 3 of the Human Rights (Parliamentary Scrutiny) Act 2011</w:t>
                            </w:r>
                          </w:p>
                          <w:p w:rsidR="00BA6DC4" w:rsidRPr="00485DF9" w:rsidRDefault="00485DF9" w:rsidP="00E57AE7">
                            <w:pPr>
                              <w:spacing w:before="120" w:after="120"/>
                              <w:jc w:val="center"/>
                              <w:rPr>
                                <w:b/>
                                <w:i/>
                              </w:rPr>
                            </w:pPr>
                            <w:r w:rsidRPr="00485DF9">
                              <w:rPr>
                                <w:b/>
                                <w:i/>
                              </w:rPr>
                              <w:t>National Health (Remote Aboriginal Health Services Program) Special Arrangements Amendment Instrument 2014</w:t>
                            </w:r>
                            <w:r w:rsidRPr="00485DF9">
                              <w:rPr>
                                <w:rFonts w:ascii="Helv" w:hAnsi="Helv" w:cs="Helv"/>
                                <w:b/>
                                <w:color w:val="000000"/>
                                <w:sz w:val="20"/>
                                <w:szCs w:val="20"/>
                              </w:rPr>
                              <w:t xml:space="preserve"> </w:t>
                            </w:r>
                            <w:r w:rsidRPr="00485DF9">
                              <w:rPr>
                                <w:b/>
                                <w:i/>
                              </w:rPr>
                              <w:t>(No.</w:t>
                            </w:r>
                            <w:r w:rsidR="002D280D">
                              <w:rPr>
                                <w:b/>
                                <w:i/>
                              </w:rPr>
                              <w:t xml:space="preserve"> 2)</w:t>
                            </w:r>
                          </w:p>
                          <w:p w:rsidR="00613A31" w:rsidRPr="00E57AE7" w:rsidRDefault="00613A31" w:rsidP="00BA6DC4">
                            <w:pPr>
                              <w:spacing w:before="120" w:after="120"/>
                            </w:pPr>
                            <w:r w:rsidRPr="00E57AE7">
                              <w:t xml:space="preserve">This Legislative Instrument is compatible with the human rights and freedoms recognised or declared in the international instruments listed in section 3 of the </w:t>
                            </w:r>
                            <w:r w:rsidRPr="00E57AE7">
                              <w:rPr>
                                <w:i/>
                              </w:rPr>
                              <w:t>Human Rights (Parliamentary Scrutiny) Act 2011</w:t>
                            </w:r>
                            <w:r w:rsidRPr="00E57AE7">
                              <w:t>.</w:t>
                            </w:r>
                          </w:p>
                          <w:p w:rsidR="00613A31" w:rsidRPr="00E57AE7" w:rsidRDefault="00613A31" w:rsidP="00E57AE7">
                            <w:pPr>
                              <w:spacing w:before="120" w:after="120"/>
                              <w:jc w:val="both"/>
                              <w:rPr>
                                <w:b/>
                              </w:rPr>
                            </w:pPr>
                            <w:r w:rsidRPr="00E57AE7">
                              <w:rPr>
                                <w:b/>
                              </w:rPr>
                              <w:t>Overview of the Legislative Instrument</w:t>
                            </w:r>
                          </w:p>
                          <w:p w:rsidR="00C46BE2" w:rsidRDefault="00C46BE2" w:rsidP="00C46BE2">
                            <w:pPr>
                              <w:spacing w:after="160"/>
                            </w:pPr>
                            <w:r w:rsidRPr="00E57AE7">
                              <w:t xml:space="preserve">The purpose of this legislative instrument, made under subsections 100(1) and 100(2) of the Act, is to amend the </w:t>
                            </w:r>
                            <w:r w:rsidR="00485DF9">
                              <w:rPr>
                                <w:i/>
                                <w:snapToGrid w:val="0"/>
                              </w:rPr>
                              <w:t>National Health (Remote Aboriginal Health Services Program) Special Arrangement Instrument 2010</w:t>
                            </w:r>
                            <w:r w:rsidR="00485DF9">
                              <w:rPr>
                                <w:snapToGrid w:val="0"/>
                              </w:rPr>
                              <w:t xml:space="preserve"> (PB 65 of 2010) </w:t>
                            </w:r>
                            <w:r w:rsidRPr="00E57AE7">
                              <w:t xml:space="preserve">(the Special Arrangement), </w:t>
                            </w:r>
                            <w:r>
                              <w:t xml:space="preserve">to exclude certain conditions relating to the approval of a person as an approved pharmacist from applying in circumstances relating to the </w:t>
                            </w:r>
                            <w:r w:rsidR="00845B73">
                              <w:t xml:space="preserve">supply of pharmaceutical benefits </w:t>
                            </w:r>
                            <w:r w:rsidR="00485DF9">
                              <w:t>under the Remote Aboriginal Health Services Programme.</w:t>
                            </w:r>
                            <w:r>
                              <w:t xml:space="preserve"> </w:t>
                            </w:r>
                          </w:p>
                          <w:p w:rsidR="00613A31" w:rsidRPr="00B66866" w:rsidRDefault="00613A31" w:rsidP="00514230">
                            <w:pPr>
                              <w:spacing w:after="120"/>
                              <w:rPr>
                                <w:b/>
                              </w:rPr>
                            </w:pPr>
                            <w:r w:rsidRPr="00B66866">
                              <w:rPr>
                                <w:b/>
                              </w:rPr>
                              <w:t>Human rights implications</w:t>
                            </w:r>
                          </w:p>
                          <w:p w:rsidR="00613A31" w:rsidRPr="00B66866" w:rsidRDefault="00613A31" w:rsidP="00E57AE7">
                            <w:pPr>
                              <w:spacing w:before="120" w:after="120"/>
                            </w:pPr>
                            <w:r w:rsidRPr="00B66866">
                              <w:t xml:space="preserve">This legislative instrument engages Article 2 and 12 of the International Covenant on Economic, Social and Cultural Rights (ICESCR) by assisting with the progressive realisation by all appropriate means of the right of everyone to the enjoyment of the highest attainable standard of physical and mental health. </w:t>
                            </w:r>
                          </w:p>
                          <w:p w:rsidR="00485DF9" w:rsidRDefault="00485DF9" w:rsidP="00485DF9">
                            <w:pPr>
                              <w:spacing w:before="120" w:after="120"/>
                            </w:pPr>
                            <w:r>
                              <w:t>The Pharmaceutical Benefits Scheme (PBS) is a benefit scheme which assists with advancement of this human right by providing for subsidised access by patients to medicines. This Special Arrangement ensures more ready and equitable access to PBS medicines for Indigenous Australians through the Section 100 Supply of PBS Medicines to Remote Area Aboriginal Health Services (RAAHS) Program.  The RAAHS Program addresses three identified barriers that Aboriginal and Torres Strait Islander people living in remote communities experience in accessing essential medicines, being geographical, cultural and financial.</w:t>
                            </w:r>
                          </w:p>
                          <w:p w:rsidR="00613A31" w:rsidRPr="00B66866" w:rsidRDefault="00613A31" w:rsidP="00E57AE7">
                            <w:pPr>
                              <w:spacing w:before="120" w:after="120"/>
                              <w:rPr>
                                <w:b/>
                              </w:rPr>
                            </w:pPr>
                            <w:r w:rsidRPr="00B66866">
                              <w:rPr>
                                <w:b/>
                              </w:rPr>
                              <w:t>Conclusion</w:t>
                            </w:r>
                          </w:p>
                          <w:p w:rsidR="000E4EEB" w:rsidRDefault="00613A31" w:rsidP="00E57AE7">
                            <w:pPr>
                              <w:spacing w:before="120" w:after="120"/>
                            </w:pPr>
                            <w:r w:rsidRPr="00B66866">
                              <w:t>This Legislative Instrument is compatible with human rights because it advances the protection of human rights.</w:t>
                            </w:r>
                          </w:p>
                          <w:p w:rsidR="00510869" w:rsidRPr="00B66866" w:rsidRDefault="00510869" w:rsidP="00E57AE7">
                            <w:pPr>
                              <w:spacing w:before="120" w:after="120"/>
                            </w:pPr>
                          </w:p>
                          <w:p w:rsidR="00613A31" w:rsidRDefault="00613A31" w:rsidP="007A2BFA">
                            <w:pPr>
                              <w:widowControl w:val="0"/>
                              <w:tabs>
                                <w:tab w:val="left" w:pos="3119"/>
                              </w:tabs>
                              <w:spacing w:line="300" w:lineRule="atLeast"/>
                              <w:jc w:val="center"/>
                              <w:rPr>
                                <w:b/>
                              </w:rPr>
                            </w:pPr>
                            <w:r>
                              <w:rPr>
                                <w:b/>
                              </w:rPr>
                              <w:t>Kim Bessell</w:t>
                            </w:r>
                          </w:p>
                          <w:p w:rsidR="00613A31" w:rsidRDefault="00613A31" w:rsidP="007A2BFA">
                            <w:pPr>
                              <w:widowControl w:val="0"/>
                              <w:tabs>
                                <w:tab w:val="left" w:pos="3119"/>
                              </w:tabs>
                              <w:spacing w:line="300" w:lineRule="atLeast"/>
                              <w:jc w:val="center"/>
                              <w:rPr>
                                <w:b/>
                              </w:rPr>
                            </w:pPr>
                            <w:r w:rsidRPr="00376AF2">
                              <w:rPr>
                                <w:b/>
                              </w:rPr>
                              <w:t>Assistant Secretary</w:t>
                            </w:r>
                          </w:p>
                          <w:p w:rsidR="00613A31" w:rsidRDefault="00613A31" w:rsidP="007A2BFA">
                            <w:pPr>
                              <w:widowControl w:val="0"/>
                              <w:tabs>
                                <w:tab w:val="left" w:pos="3119"/>
                              </w:tabs>
                              <w:spacing w:line="300" w:lineRule="atLeast"/>
                              <w:jc w:val="center"/>
                              <w:rPr>
                                <w:b/>
                              </w:rPr>
                            </w:pPr>
                            <w:r>
                              <w:rPr>
                                <w:b/>
                              </w:rPr>
                              <w:t>Pharmaceutical Access Branch</w:t>
                            </w:r>
                          </w:p>
                          <w:p w:rsidR="00C46BE2" w:rsidRDefault="00C46BE2" w:rsidP="007A2BFA">
                            <w:pPr>
                              <w:widowControl w:val="0"/>
                              <w:tabs>
                                <w:tab w:val="left" w:pos="3119"/>
                              </w:tabs>
                              <w:spacing w:line="300" w:lineRule="atLeast"/>
                              <w:jc w:val="center"/>
                              <w:rPr>
                                <w:b/>
                              </w:rPr>
                            </w:pPr>
                            <w:r>
                              <w:rPr>
                                <w:b/>
                              </w:rPr>
                              <w:t>Principal Pharmacy Advisor</w:t>
                            </w:r>
                          </w:p>
                          <w:p w:rsidR="00C46BE2" w:rsidRDefault="00613A31" w:rsidP="0064743D">
                            <w:pPr>
                              <w:widowControl w:val="0"/>
                              <w:tabs>
                                <w:tab w:val="left" w:pos="3119"/>
                              </w:tabs>
                              <w:spacing w:line="300" w:lineRule="atLeast"/>
                              <w:jc w:val="center"/>
                              <w:rPr>
                                <w:b/>
                              </w:rPr>
                            </w:pPr>
                            <w:r w:rsidRPr="00376AF2">
                              <w:rPr>
                                <w:b/>
                              </w:rPr>
                              <w:t>Pharmaceutical Benefits Division</w:t>
                            </w:r>
                          </w:p>
                          <w:p w:rsidR="00613A31" w:rsidRPr="007A2BFA" w:rsidRDefault="00613A31" w:rsidP="0064743D">
                            <w:pPr>
                              <w:widowControl w:val="0"/>
                              <w:tabs>
                                <w:tab w:val="left" w:pos="3119"/>
                              </w:tabs>
                              <w:spacing w:line="300" w:lineRule="atLeast"/>
                              <w:jc w:val="center"/>
                              <w:rPr>
                                <w:b/>
                              </w:rPr>
                            </w:pPr>
                            <w:r w:rsidRPr="00376AF2">
                              <w:rPr>
                                <w:b/>
                              </w:rPr>
                              <w:t xml:space="preserve">Department of Health </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5pt;margin-top:2.2pt;width:481.8pt;height:6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" strokeweight="6pt">
                <v:stroke linestyle="thickBetweenThin"/>
                <v:textbox inset="5mm,,5mm">
                  <w:txbxContent>
                    <w:p w:rsidR="00613A31" w:rsidRPr="00E57AE7" w:rsidRDefault="00613A31" w:rsidP="00B66866">
                      <w:pPr>
                        <w:spacing w:before="480"/>
                        <w:jc w:val="center"/>
                        <w:rPr>
                          <w:b/>
                          <w:sz w:val="28"/>
                          <w:szCs w:val="28"/>
                        </w:rPr>
                      </w:pPr>
                      <w:r w:rsidRPr="00E57AE7">
                        <w:rPr>
                          <w:b/>
                          <w:sz w:val="28"/>
                          <w:szCs w:val="28"/>
                        </w:rPr>
                        <w:t>Statement of Compatibility with Human Rights</w:t>
                      </w:r>
                    </w:p>
                    <w:p w:rsidR="00613A31" w:rsidRPr="00E57AE7" w:rsidRDefault="00613A31" w:rsidP="00E57AE7">
                      <w:pPr>
                        <w:spacing w:after="120"/>
                        <w:jc w:val="center"/>
                      </w:pPr>
                      <w:r w:rsidRPr="00E57AE7">
                        <w:rPr>
                          <w:i/>
                        </w:rPr>
                        <w:t>Prepared in accordance with Part 3 of the Human Rights (Parliamentary Scrutiny) Act 2011</w:t>
                      </w:r>
                    </w:p>
                    <w:p w:rsidR="00BA6DC4" w:rsidRPr="00485DF9" w:rsidRDefault="00485DF9" w:rsidP="00E57AE7">
                      <w:pPr>
                        <w:spacing w:before="120" w:after="120"/>
                        <w:jc w:val="center"/>
                        <w:rPr>
                          <w:b/>
                          <w:i/>
                        </w:rPr>
                      </w:pPr>
                      <w:r w:rsidRPr="00485DF9">
                        <w:rPr>
                          <w:b/>
                          <w:i/>
                        </w:rPr>
                        <w:t>National Health (Remote Aboriginal Health Services Program) Special Arrangements Amendment Instrument 2014</w:t>
                      </w:r>
                      <w:r w:rsidRPr="00485DF9">
                        <w:rPr>
                          <w:rFonts w:ascii="Helv" w:hAnsi="Helv" w:cs="Helv"/>
                          <w:b/>
                          <w:color w:val="000000"/>
                          <w:sz w:val="20"/>
                          <w:szCs w:val="20"/>
                        </w:rPr>
                        <w:t xml:space="preserve"> </w:t>
                      </w:r>
                      <w:r w:rsidRPr="00485DF9">
                        <w:rPr>
                          <w:b/>
                          <w:i/>
                        </w:rPr>
                        <w:t>(No.</w:t>
                      </w:r>
                      <w:r w:rsidR="002D280D">
                        <w:rPr>
                          <w:b/>
                          <w:i/>
                        </w:rPr>
                        <w:t xml:space="preserve"> 2)</w:t>
                      </w:r>
                      <w:bookmarkStart w:id="1" w:name="_GoBack"/>
                      <w:bookmarkEnd w:id="1"/>
                    </w:p>
                    <w:p w:rsidR="00613A31" w:rsidRPr="00E57AE7" w:rsidRDefault="00613A31" w:rsidP="00BA6DC4">
                      <w:pPr>
                        <w:spacing w:before="120" w:after="120"/>
                      </w:pPr>
                      <w:r w:rsidRPr="00E57AE7">
                        <w:t xml:space="preserve">This Legislative Instrument is compatible with the human rights and freedoms recognised or declared in the international instruments listed in section 3 of the </w:t>
                      </w:r>
                      <w:r w:rsidRPr="00E57AE7">
                        <w:rPr>
                          <w:i/>
                        </w:rPr>
                        <w:t>Human Rights (Parliamentary Scrutiny) Act 2011</w:t>
                      </w:r>
                      <w:r w:rsidRPr="00E57AE7">
                        <w:t>.</w:t>
                      </w:r>
                    </w:p>
                    <w:p w:rsidR="00613A31" w:rsidRPr="00E57AE7" w:rsidRDefault="00613A31" w:rsidP="00E57AE7">
                      <w:pPr>
                        <w:spacing w:before="120" w:after="120"/>
                        <w:jc w:val="both"/>
                        <w:rPr>
                          <w:b/>
                        </w:rPr>
                      </w:pPr>
                      <w:r w:rsidRPr="00E57AE7">
                        <w:rPr>
                          <w:b/>
                        </w:rPr>
                        <w:t>Overview of the Legislative Instrument</w:t>
                      </w:r>
                    </w:p>
                    <w:p w:rsidR="00C46BE2" w:rsidRDefault="00C46BE2" w:rsidP="00C46BE2">
                      <w:pPr>
                        <w:spacing w:after="160"/>
                      </w:pPr>
                      <w:r w:rsidRPr="00E57AE7">
                        <w:t xml:space="preserve">The purpose of this legislative instrument, made under subsections 100(1) and 100(2) of the Act, is to amend the </w:t>
                      </w:r>
                      <w:r w:rsidR="00485DF9">
                        <w:rPr>
                          <w:i/>
                          <w:snapToGrid w:val="0"/>
                        </w:rPr>
                        <w:t>National Health (Remote Aboriginal Health Services Program) Special Arrangement Instrument 2010</w:t>
                      </w:r>
                      <w:r w:rsidR="00485DF9">
                        <w:rPr>
                          <w:snapToGrid w:val="0"/>
                        </w:rPr>
                        <w:t xml:space="preserve"> (PB 65 of 2010) </w:t>
                      </w:r>
                      <w:r w:rsidRPr="00E57AE7">
                        <w:t xml:space="preserve">(the Special Arrangement), </w:t>
                      </w:r>
                      <w:r>
                        <w:t xml:space="preserve">to exclude certain conditions relating to the approval of a person as an approved pharmacist from applying in circumstances relating to the </w:t>
                      </w:r>
                      <w:r w:rsidR="00845B73">
                        <w:t xml:space="preserve">supply of pharmaceutical benefits </w:t>
                      </w:r>
                      <w:r w:rsidR="00485DF9">
                        <w:t>under the Remote Aboriginal Health Services Programme.</w:t>
                      </w:r>
                      <w:r>
                        <w:t xml:space="preserve"> </w:t>
                      </w:r>
                    </w:p>
                    <w:p w:rsidR="00613A31" w:rsidRPr="00B66866" w:rsidRDefault="00613A31" w:rsidP="00514230">
                      <w:pPr>
                        <w:spacing w:after="120"/>
                        <w:rPr>
                          <w:b/>
                        </w:rPr>
                      </w:pPr>
                      <w:r w:rsidRPr="00B66866">
                        <w:rPr>
                          <w:b/>
                        </w:rPr>
                        <w:t>Human rights implications</w:t>
                      </w:r>
                    </w:p>
                    <w:p w:rsidR="00613A31" w:rsidRPr="00B66866" w:rsidRDefault="00613A31" w:rsidP="00E57AE7">
                      <w:pPr>
                        <w:spacing w:before="120" w:after="120"/>
                      </w:pPr>
                      <w:r w:rsidRPr="00B66866">
                        <w:t xml:space="preserve">This legislative instrument engages Article 2 and 12 of the International Covenant on Economic, Social and Cultural Rights (ICESCR) by assisting with the progressive realisation by all appropriate means of the right of everyone to the enjoyment of the highest attainable standard of physical and mental health. </w:t>
                      </w:r>
                    </w:p>
                    <w:p w:rsidR="00485DF9" w:rsidRDefault="00485DF9" w:rsidP="00485DF9">
                      <w:pPr>
                        <w:spacing w:before="120" w:after="120"/>
                      </w:pPr>
                      <w:r>
                        <w:t>The Pharmaceutical Benefits Scheme (PBS) is a benefit scheme which assists with advancement of this human right by providing for subsidised access by patients to medicines. This Special Arrangement ensures more ready and equitable access to PBS medicines for Indigenous Australians through the Section 100 Supply of PBS Medicines to Remote Area Aboriginal Health Services (RAAHS) Program.  The RAAHS Program addresses three identified barriers that Aboriginal and Torres Strait Islander people living in remote communities experience in accessing essential medicines, being geographical, cultural and financial.</w:t>
                      </w:r>
                    </w:p>
                    <w:p w:rsidR="00613A31" w:rsidRPr="00B66866" w:rsidRDefault="00613A31" w:rsidP="00E57AE7">
                      <w:pPr>
                        <w:spacing w:before="120" w:after="120"/>
                        <w:rPr>
                          <w:b/>
                        </w:rPr>
                      </w:pPr>
                      <w:r w:rsidRPr="00B66866">
                        <w:rPr>
                          <w:b/>
                        </w:rPr>
                        <w:t>Conclusion</w:t>
                      </w:r>
                    </w:p>
                    <w:p w:rsidR="000E4EEB" w:rsidRDefault="00613A31" w:rsidP="00E57AE7">
                      <w:pPr>
                        <w:spacing w:before="120" w:after="120"/>
                      </w:pPr>
                      <w:r w:rsidRPr="00B66866">
                        <w:t>This Legislative Instrument is compatible with human rights because it advances the protection of human rights.</w:t>
                      </w:r>
                    </w:p>
                    <w:p w:rsidR="00510869" w:rsidRPr="00B66866" w:rsidRDefault="00510869" w:rsidP="00E57AE7">
                      <w:pPr>
                        <w:spacing w:before="120" w:after="120"/>
                      </w:pPr>
                    </w:p>
                    <w:p w:rsidR="00613A31" w:rsidRDefault="00613A31" w:rsidP="007A2BFA">
                      <w:pPr>
                        <w:widowControl w:val="0"/>
                        <w:tabs>
                          <w:tab w:val="left" w:pos="3119"/>
                        </w:tabs>
                        <w:spacing w:line="300" w:lineRule="atLeast"/>
                        <w:jc w:val="center"/>
                        <w:rPr>
                          <w:b/>
                        </w:rPr>
                      </w:pPr>
                      <w:r>
                        <w:rPr>
                          <w:b/>
                        </w:rPr>
                        <w:t>Kim Bessell</w:t>
                      </w:r>
                    </w:p>
                    <w:p w:rsidR="00613A31" w:rsidRDefault="00613A31" w:rsidP="007A2BFA">
                      <w:pPr>
                        <w:widowControl w:val="0"/>
                        <w:tabs>
                          <w:tab w:val="left" w:pos="3119"/>
                        </w:tabs>
                        <w:spacing w:line="300" w:lineRule="atLeast"/>
                        <w:jc w:val="center"/>
                        <w:rPr>
                          <w:b/>
                        </w:rPr>
                      </w:pPr>
                      <w:r w:rsidRPr="00376AF2">
                        <w:rPr>
                          <w:b/>
                        </w:rPr>
                        <w:t>Assistant Secretary</w:t>
                      </w:r>
                    </w:p>
                    <w:p w:rsidR="00613A31" w:rsidRDefault="00613A31" w:rsidP="007A2BFA">
                      <w:pPr>
                        <w:widowControl w:val="0"/>
                        <w:tabs>
                          <w:tab w:val="left" w:pos="3119"/>
                        </w:tabs>
                        <w:spacing w:line="300" w:lineRule="atLeast"/>
                        <w:jc w:val="center"/>
                        <w:rPr>
                          <w:b/>
                        </w:rPr>
                      </w:pPr>
                      <w:r>
                        <w:rPr>
                          <w:b/>
                        </w:rPr>
                        <w:t>Pharmaceutical Access Branch</w:t>
                      </w:r>
                    </w:p>
                    <w:p w:rsidR="00C46BE2" w:rsidRDefault="00C46BE2" w:rsidP="007A2BFA">
                      <w:pPr>
                        <w:widowControl w:val="0"/>
                        <w:tabs>
                          <w:tab w:val="left" w:pos="3119"/>
                        </w:tabs>
                        <w:spacing w:line="300" w:lineRule="atLeast"/>
                        <w:jc w:val="center"/>
                        <w:rPr>
                          <w:b/>
                        </w:rPr>
                      </w:pPr>
                      <w:r>
                        <w:rPr>
                          <w:b/>
                        </w:rPr>
                        <w:t>Principal Pharmacy Advisor</w:t>
                      </w:r>
                    </w:p>
                    <w:p w:rsidR="00C46BE2" w:rsidRDefault="00613A31" w:rsidP="0064743D">
                      <w:pPr>
                        <w:widowControl w:val="0"/>
                        <w:tabs>
                          <w:tab w:val="left" w:pos="3119"/>
                        </w:tabs>
                        <w:spacing w:line="300" w:lineRule="atLeast"/>
                        <w:jc w:val="center"/>
                        <w:rPr>
                          <w:b/>
                        </w:rPr>
                      </w:pPr>
                      <w:r w:rsidRPr="00376AF2">
                        <w:rPr>
                          <w:b/>
                        </w:rPr>
                        <w:t>Pharmaceutical Benefits Division</w:t>
                      </w:r>
                    </w:p>
                    <w:p w:rsidR="00613A31" w:rsidRPr="007A2BFA" w:rsidRDefault="00613A31" w:rsidP="0064743D">
                      <w:pPr>
                        <w:widowControl w:val="0"/>
                        <w:tabs>
                          <w:tab w:val="left" w:pos="3119"/>
                        </w:tabs>
                        <w:spacing w:line="300" w:lineRule="atLeast"/>
                        <w:jc w:val="center"/>
                        <w:rPr>
                          <w:b/>
                        </w:rPr>
                      </w:pPr>
                      <w:r w:rsidRPr="00376AF2">
                        <w:rPr>
                          <w:b/>
                        </w:rPr>
                        <w:t xml:space="preserve">Department of Health </w:t>
                      </w:r>
                    </w:p>
                  </w:txbxContent>
                </v:textbox>
              </v:rect>
            </w:pict>
          </mc:Fallback>
        </mc:AlternateContent>
      </w:r>
    </w:p>
    <w:sectPr w:rsidR="00394E74" w:rsidSect="008578F6">
      <w:headerReference w:type="default" r:id="rId9"/>
      <w:footerReference w:type="even" r:id="rId10"/>
      <w:pgSz w:w="11906" w:h="16838"/>
      <w:pgMar w:top="1276" w:right="1466"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476" w:rsidRDefault="001A2476">
      <w:r>
        <w:separator/>
      </w:r>
    </w:p>
  </w:endnote>
  <w:endnote w:type="continuationSeparator" w:id="0">
    <w:p w:rsidR="001A2476" w:rsidRDefault="001A2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597" w:rsidRDefault="002B7597" w:rsidP="00F92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7597" w:rsidRDefault="002B7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476" w:rsidRDefault="001A2476">
      <w:r>
        <w:separator/>
      </w:r>
    </w:p>
  </w:footnote>
  <w:footnote w:type="continuationSeparator" w:id="0">
    <w:p w:rsidR="001A2476" w:rsidRDefault="001A2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597" w:rsidRDefault="002B7597">
    <w:pPr>
      <w:pStyle w:val="Header"/>
      <w:jc w:val="center"/>
    </w:pPr>
    <w:r>
      <w:fldChar w:fldCharType="begin"/>
    </w:r>
    <w:r>
      <w:instrText xml:space="preserve"> PAGE   \* MERGEFORMAT </w:instrText>
    </w:r>
    <w:r>
      <w:fldChar w:fldCharType="separate"/>
    </w:r>
    <w:r w:rsidR="006352DD">
      <w:rPr>
        <w:noProof/>
      </w:rPr>
      <w:t>2</w:t>
    </w:r>
    <w:r>
      <w:rPr>
        <w:noProof/>
      </w:rPr>
      <w:fldChar w:fldCharType="end"/>
    </w:r>
  </w:p>
  <w:p w:rsidR="002B7597" w:rsidRDefault="002B75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D302F"/>
    <w:multiLevelType w:val="hybridMultilevel"/>
    <w:tmpl w:val="629EB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D5F69A2"/>
    <w:multiLevelType w:val="multilevel"/>
    <w:tmpl w:val="4DF4DF16"/>
    <w:numStyleLink w:val="StyleNumberedArial10ptBold"/>
  </w:abstractNum>
  <w:abstractNum w:abstractNumId="2">
    <w:nsid w:val="35553D1B"/>
    <w:multiLevelType w:val="hybridMultilevel"/>
    <w:tmpl w:val="F1C84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11882"/>
    <w:multiLevelType w:val="hybridMultilevel"/>
    <w:tmpl w:val="9056CAC0"/>
    <w:lvl w:ilvl="0" w:tplc="51742FBC">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A3F5415"/>
    <w:multiLevelType w:val="multilevel"/>
    <w:tmpl w:val="4DF4DF16"/>
    <w:styleLink w:val="StyleNumberedArial10ptBold"/>
    <w:lvl w:ilvl="0">
      <w:start w:val="1"/>
      <w:numFmt w:val="decimal"/>
      <w:lvlText w:val="[%1]"/>
      <w:lvlJc w:val="left"/>
      <w:pPr>
        <w:tabs>
          <w:tab w:val="num" w:pos="-960"/>
        </w:tabs>
        <w:ind w:left="401" w:hanging="401"/>
      </w:pPr>
      <w:rPr>
        <w:rFonts w:ascii="Arial" w:hAnsi="Arial"/>
        <w:b/>
        <w:bCs/>
      </w:rPr>
    </w:lvl>
    <w:lvl w:ilvl="1">
      <w:start w:val="1"/>
      <w:numFmt w:val="lowerLetter"/>
      <w:lvlText w:val="%2."/>
      <w:lvlJc w:val="left"/>
      <w:pPr>
        <w:tabs>
          <w:tab w:val="num" w:pos="480"/>
        </w:tabs>
        <w:ind w:left="480" w:hanging="360"/>
      </w:pPr>
    </w:lvl>
    <w:lvl w:ilvl="2">
      <w:start w:val="1"/>
      <w:numFmt w:val="lowerRoman"/>
      <w:lvlText w:val="%3."/>
      <w:lvlJc w:val="right"/>
      <w:pPr>
        <w:tabs>
          <w:tab w:val="num" w:pos="1200"/>
        </w:tabs>
        <w:ind w:left="120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5">
    <w:nsid w:val="74AA7910"/>
    <w:multiLevelType w:val="hybridMultilevel"/>
    <w:tmpl w:val="5B52D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lvlOverride w:ilvl="0">
      <w:lvl w:ilvl="0">
        <w:start w:val="1"/>
        <w:numFmt w:val="decimal"/>
        <w:lvlText w:val="[%1]"/>
        <w:lvlJc w:val="left"/>
        <w:pPr>
          <w:tabs>
            <w:tab w:val="num" w:pos="-818"/>
          </w:tabs>
          <w:ind w:left="543" w:hanging="401"/>
        </w:pPr>
        <w:rPr>
          <w:rFonts w:ascii="Arial" w:hAnsi="Arial"/>
          <w:b/>
          <w:bCs/>
          <w:sz w:val="20"/>
          <w:szCs w:val="20"/>
        </w:rPr>
      </w:lvl>
    </w:lvlOverride>
  </w:num>
  <w:num w:numId="6">
    <w:abstractNumId w:val="4"/>
  </w:num>
  <w:num w:numId="7">
    <w:abstractNumId w:val="1"/>
    <w:lvlOverride w:ilvl="0">
      <w:lvl w:ilvl="0">
        <w:start w:val="1"/>
        <w:numFmt w:val="decimal"/>
        <w:lvlText w:val="[%1]"/>
        <w:lvlJc w:val="left"/>
        <w:pPr>
          <w:tabs>
            <w:tab w:val="num" w:pos="-960"/>
          </w:tabs>
          <w:ind w:left="401" w:hanging="401"/>
        </w:pPr>
        <w:rPr>
          <w:rFonts w:ascii="Arial" w:hAnsi="Arial"/>
          <w:b/>
          <w:bCs/>
          <w:sz w:val="20"/>
          <w:szCs w:val="20"/>
        </w:rPr>
      </w:lvl>
    </w:lvlOverride>
    <w:lvlOverride w:ilvl="1">
      <w:lvl w:ilvl="1">
        <w:start w:val="1"/>
        <w:numFmt w:val="lowerLetter"/>
        <w:lvlText w:val="%2."/>
        <w:lvlJc w:val="left"/>
        <w:pPr>
          <w:tabs>
            <w:tab w:val="num" w:pos="480"/>
          </w:tabs>
          <w:ind w:left="480" w:hanging="360"/>
        </w:pPr>
      </w:lvl>
    </w:lvlOverride>
    <w:lvlOverride w:ilvl="2">
      <w:lvl w:ilvl="2">
        <w:start w:val="1"/>
        <w:numFmt w:val="lowerRoman"/>
        <w:lvlText w:val="%3."/>
        <w:lvlJc w:val="right"/>
        <w:pPr>
          <w:tabs>
            <w:tab w:val="num" w:pos="1200"/>
          </w:tabs>
          <w:ind w:left="1200" w:hanging="180"/>
        </w:p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28"/>
    <w:rsid w:val="00001255"/>
    <w:rsid w:val="000034F6"/>
    <w:rsid w:val="0000524E"/>
    <w:rsid w:val="00007E72"/>
    <w:rsid w:val="00011A20"/>
    <w:rsid w:val="000131D0"/>
    <w:rsid w:val="00015C44"/>
    <w:rsid w:val="0001651D"/>
    <w:rsid w:val="00016944"/>
    <w:rsid w:val="00020D0F"/>
    <w:rsid w:val="0002125F"/>
    <w:rsid w:val="00021A31"/>
    <w:rsid w:val="00022505"/>
    <w:rsid w:val="000265BD"/>
    <w:rsid w:val="00030051"/>
    <w:rsid w:val="000316AD"/>
    <w:rsid w:val="00031A20"/>
    <w:rsid w:val="00031D2B"/>
    <w:rsid w:val="00033AE2"/>
    <w:rsid w:val="000342E7"/>
    <w:rsid w:val="00034925"/>
    <w:rsid w:val="00034DBB"/>
    <w:rsid w:val="00034E80"/>
    <w:rsid w:val="00036925"/>
    <w:rsid w:val="00036F1C"/>
    <w:rsid w:val="00040B9E"/>
    <w:rsid w:val="00042E9D"/>
    <w:rsid w:val="0004306F"/>
    <w:rsid w:val="00044FD2"/>
    <w:rsid w:val="00045046"/>
    <w:rsid w:val="00045D1E"/>
    <w:rsid w:val="00045D5C"/>
    <w:rsid w:val="00046040"/>
    <w:rsid w:val="00052BAA"/>
    <w:rsid w:val="00052D1B"/>
    <w:rsid w:val="00053202"/>
    <w:rsid w:val="000538AB"/>
    <w:rsid w:val="00053BDE"/>
    <w:rsid w:val="000610FB"/>
    <w:rsid w:val="00063F4A"/>
    <w:rsid w:val="00064A1C"/>
    <w:rsid w:val="00065772"/>
    <w:rsid w:val="000663F9"/>
    <w:rsid w:val="00067F7C"/>
    <w:rsid w:val="00071594"/>
    <w:rsid w:val="00071688"/>
    <w:rsid w:val="00075C05"/>
    <w:rsid w:val="00077FF7"/>
    <w:rsid w:val="000829DF"/>
    <w:rsid w:val="00083E5E"/>
    <w:rsid w:val="00085E30"/>
    <w:rsid w:val="000926BC"/>
    <w:rsid w:val="00093B96"/>
    <w:rsid w:val="00093F68"/>
    <w:rsid w:val="000A2753"/>
    <w:rsid w:val="000A3C23"/>
    <w:rsid w:val="000A59CE"/>
    <w:rsid w:val="000B1EE7"/>
    <w:rsid w:val="000B241B"/>
    <w:rsid w:val="000B3057"/>
    <w:rsid w:val="000B5909"/>
    <w:rsid w:val="000B5EEB"/>
    <w:rsid w:val="000B704C"/>
    <w:rsid w:val="000C3744"/>
    <w:rsid w:val="000C5864"/>
    <w:rsid w:val="000C5DFA"/>
    <w:rsid w:val="000C604C"/>
    <w:rsid w:val="000C7B70"/>
    <w:rsid w:val="000D222F"/>
    <w:rsid w:val="000D3AA0"/>
    <w:rsid w:val="000D4492"/>
    <w:rsid w:val="000D4DB2"/>
    <w:rsid w:val="000E4395"/>
    <w:rsid w:val="000E4EEB"/>
    <w:rsid w:val="000E78B4"/>
    <w:rsid w:val="000F0E0D"/>
    <w:rsid w:val="000F2C8C"/>
    <w:rsid w:val="000F31FE"/>
    <w:rsid w:val="00105A1F"/>
    <w:rsid w:val="0010608B"/>
    <w:rsid w:val="0010793C"/>
    <w:rsid w:val="00110D37"/>
    <w:rsid w:val="00111B7E"/>
    <w:rsid w:val="00113C81"/>
    <w:rsid w:val="00116A6E"/>
    <w:rsid w:val="00116D38"/>
    <w:rsid w:val="00117889"/>
    <w:rsid w:val="00117A8B"/>
    <w:rsid w:val="001204F5"/>
    <w:rsid w:val="00120771"/>
    <w:rsid w:val="00120C5B"/>
    <w:rsid w:val="0012186F"/>
    <w:rsid w:val="00121D44"/>
    <w:rsid w:val="00122E14"/>
    <w:rsid w:val="00124938"/>
    <w:rsid w:val="0012612B"/>
    <w:rsid w:val="00126AD1"/>
    <w:rsid w:val="00131CD1"/>
    <w:rsid w:val="00133613"/>
    <w:rsid w:val="0013377F"/>
    <w:rsid w:val="00134C60"/>
    <w:rsid w:val="00141203"/>
    <w:rsid w:val="00143767"/>
    <w:rsid w:val="00144025"/>
    <w:rsid w:val="0014474F"/>
    <w:rsid w:val="0014723B"/>
    <w:rsid w:val="00147347"/>
    <w:rsid w:val="001477DA"/>
    <w:rsid w:val="00153F5F"/>
    <w:rsid w:val="00154B73"/>
    <w:rsid w:val="001603B0"/>
    <w:rsid w:val="00163793"/>
    <w:rsid w:val="00164129"/>
    <w:rsid w:val="00164231"/>
    <w:rsid w:val="0016544B"/>
    <w:rsid w:val="00165794"/>
    <w:rsid w:val="001675D2"/>
    <w:rsid w:val="00167616"/>
    <w:rsid w:val="00170F23"/>
    <w:rsid w:val="00171B7A"/>
    <w:rsid w:val="001744AB"/>
    <w:rsid w:val="001765B4"/>
    <w:rsid w:val="0017712D"/>
    <w:rsid w:val="00177DE3"/>
    <w:rsid w:val="00181C41"/>
    <w:rsid w:val="001850CE"/>
    <w:rsid w:val="00191F57"/>
    <w:rsid w:val="001923F7"/>
    <w:rsid w:val="00193F6E"/>
    <w:rsid w:val="0019690E"/>
    <w:rsid w:val="001A2476"/>
    <w:rsid w:val="001A315D"/>
    <w:rsid w:val="001A4C1E"/>
    <w:rsid w:val="001A5CED"/>
    <w:rsid w:val="001A5E2E"/>
    <w:rsid w:val="001B0B2B"/>
    <w:rsid w:val="001B1CA5"/>
    <w:rsid w:val="001B1DCC"/>
    <w:rsid w:val="001B2081"/>
    <w:rsid w:val="001B30A3"/>
    <w:rsid w:val="001B31C9"/>
    <w:rsid w:val="001B3747"/>
    <w:rsid w:val="001B5247"/>
    <w:rsid w:val="001B599F"/>
    <w:rsid w:val="001B7007"/>
    <w:rsid w:val="001C139F"/>
    <w:rsid w:val="001C1663"/>
    <w:rsid w:val="001C2CED"/>
    <w:rsid w:val="001C604D"/>
    <w:rsid w:val="001C67C5"/>
    <w:rsid w:val="001D0922"/>
    <w:rsid w:val="001D2084"/>
    <w:rsid w:val="001D3D29"/>
    <w:rsid w:val="001D4B08"/>
    <w:rsid w:val="001D4F3C"/>
    <w:rsid w:val="001D4F5A"/>
    <w:rsid w:val="001D5067"/>
    <w:rsid w:val="001E0E84"/>
    <w:rsid w:val="001E48BB"/>
    <w:rsid w:val="001E5328"/>
    <w:rsid w:val="001E6FC2"/>
    <w:rsid w:val="001E7B41"/>
    <w:rsid w:val="001F1742"/>
    <w:rsid w:val="001F3619"/>
    <w:rsid w:val="001F3D10"/>
    <w:rsid w:val="001F57E5"/>
    <w:rsid w:val="001F5BCF"/>
    <w:rsid w:val="001F6BBC"/>
    <w:rsid w:val="00201F79"/>
    <w:rsid w:val="00204D0F"/>
    <w:rsid w:val="00204D6D"/>
    <w:rsid w:val="0021020E"/>
    <w:rsid w:val="002121F8"/>
    <w:rsid w:val="002129D6"/>
    <w:rsid w:val="00212D02"/>
    <w:rsid w:val="00215960"/>
    <w:rsid w:val="00216238"/>
    <w:rsid w:val="002167C3"/>
    <w:rsid w:val="00217E25"/>
    <w:rsid w:val="002203BF"/>
    <w:rsid w:val="00220DA9"/>
    <w:rsid w:val="0022137D"/>
    <w:rsid w:val="00221BE8"/>
    <w:rsid w:val="0022406A"/>
    <w:rsid w:val="002249C1"/>
    <w:rsid w:val="002251A3"/>
    <w:rsid w:val="002262B6"/>
    <w:rsid w:val="00227A09"/>
    <w:rsid w:val="002309EC"/>
    <w:rsid w:val="00230EA8"/>
    <w:rsid w:val="00233BA4"/>
    <w:rsid w:val="00234BAB"/>
    <w:rsid w:val="00236946"/>
    <w:rsid w:val="00240E7E"/>
    <w:rsid w:val="0024461E"/>
    <w:rsid w:val="00251F7C"/>
    <w:rsid w:val="00253859"/>
    <w:rsid w:val="00253F8E"/>
    <w:rsid w:val="0026113D"/>
    <w:rsid w:val="00262DB0"/>
    <w:rsid w:val="002635F9"/>
    <w:rsid w:val="00267164"/>
    <w:rsid w:val="00267F98"/>
    <w:rsid w:val="002713CD"/>
    <w:rsid w:val="0027254E"/>
    <w:rsid w:val="00274113"/>
    <w:rsid w:val="00274626"/>
    <w:rsid w:val="00274A7B"/>
    <w:rsid w:val="0027501B"/>
    <w:rsid w:val="00275A88"/>
    <w:rsid w:val="00276071"/>
    <w:rsid w:val="0028020F"/>
    <w:rsid w:val="002818AE"/>
    <w:rsid w:val="00282000"/>
    <w:rsid w:val="00283363"/>
    <w:rsid w:val="00284372"/>
    <w:rsid w:val="0029088A"/>
    <w:rsid w:val="00290FC4"/>
    <w:rsid w:val="00291C00"/>
    <w:rsid w:val="00293CCE"/>
    <w:rsid w:val="002975C0"/>
    <w:rsid w:val="00297F0C"/>
    <w:rsid w:val="002A0849"/>
    <w:rsid w:val="002A0C64"/>
    <w:rsid w:val="002A2A29"/>
    <w:rsid w:val="002A5174"/>
    <w:rsid w:val="002A6FBD"/>
    <w:rsid w:val="002A7772"/>
    <w:rsid w:val="002A7E03"/>
    <w:rsid w:val="002B1712"/>
    <w:rsid w:val="002B31FE"/>
    <w:rsid w:val="002B4528"/>
    <w:rsid w:val="002B58E7"/>
    <w:rsid w:val="002B7597"/>
    <w:rsid w:val="002C06E2"/>
    <w:rsid w:val="002C0C89"/>
    <w:rsid w:val="002C0CCF"/>
    <w:rsid w:val="002C385F"/>
    <w:rsid w:val="002C69EF"/>
    <w:rsid w:val="002C6C89"/>
    <w:rsid w:val="002C7EF9"/>
    <w:rsid w:val="002D0F84"/>
    <w:rsid w:val="002D280D"/>
    <w:rsid w:val="002D32CE"/>
    <w:rsid w:val="002D3988"/>
    <w:rsid w:val="002D4EE9"/>
    <w:rsid w:val="002D556B"/>
    <w:rsid w:val="002D607E"/>
    <w:rsid w:val="002D7EEB"/>
    <w:rsid w:val="002E13FE"/>
    <w:rsid w:val="002E4A70"/>
    <w:rsid w:val="002E5477"/>
    <w:rsid w:val="002F0E48"/>
    <w:rsid w:val="002F2621"/>
    <w:rsid w:val="002F50C8"/>
    <w:rsid w:val="002F621C"/>
    <w:rsid w:val="002F655E"/>
    <w:rsid w:val="002F68ED"/>
    <w:rsid w:val="002F693A"/>
    <w:rsid w:val="0030099A"/>
    <w:rsid w:val="00303D84"/>
    <w:rsid w:val="00304E50"/>
    <w:rsid w:val="0030559F"/>
    <w:rsid w:val="00306CE5"/>
    <w:rsid w:val="00307F4D"/>
    <w:rsid w:val="0031065B"/>
    <w:rsid w:val="003109A1"/>
    <w:rsid w:val="00315147"/>
    <w:rsid w:val="0032184C"/>
    <w:rsid w:val="0032223F"/>
    <w:rsid w:val="00326851"/>
    <w:rsid w:val="00327117"/>
    <w:rsid w:val="0032727D"/>
    <w:rsid w:val="00327DD9"/>
    <w:rsid w:val="00334B78"/>
    <w:rsid w:val="00334EF7"/>
    <w:rsid w:val="00335D10"/>
    <w:rsid w:val="003450A5"/>
    <w:rsid w:val="00350E54"/>
    <w:rsid w:val="003510CF"/>
    <w:rsid w:val="00352AE6"/>
    <w:rsid w:val="003544F3"/>
    <w:rsid w:val="00356D5B"/>
    <w:rsid w:val="003575F3"/>
    <w:rsid w:val="00357F0E"/>
    <w:rsid w:val="00363284"/>
    <w:rsid w:val="00363620"/>
    <w:rsid w:val="00364150"/>
    <w:rsid w:val="00366AD0"/>
    <w:rsid w:val="003678C5"/>
    <w:rsid w:val="003734AB"/>
    <w:rsid w:val="00376208"/>
    <w:rsid w:val="00376898"/>
    <w:rsid w:val="00376AF2"/>
    <w:rsid w:val="003814F2"/>
    <w:rsid w:val="00381836"/>
    <w:rsid w:val="00385395"/>
    <w:rsid w:val="00386182"/>
    <w:rsid w:val="00386AFE"/>
    <w:rsid w:val="00387429"/>
    <w:rsid w:val="00387725"/>
    <w:rsid w:val="003911B7"/>
    <w:rsid w:val="00392936"/>
    <w:rsid w:val="00394433"/>
    <w:rsid w:val="00394E47"/>
    <w:rsid w:val="00394E74"/>
    <w:rsid w:val="00394FA6"/>
    <w:rsid w:val="003952A2"/>
    <w:rsid w:val="00395781"/>
    <w:rsid w:val="003963DC"/>
    <w:rsid w:val="00397F6E"/>
    <w:rsid w:val="003A092A"/>
    <w:rsid w:val="003A2303"/>
    <w:rsid w:val="003A6C47"/>
    <w:rsid w:val="003A76D7"/>
    <w:rsid w:val="003B0653"/>
    <w:rsid w:val="003B0874"/>
    <w:rsid w:val="003B2F22"/>
    <w:rsid w:val="003B4525"/>
    <w:rsid w:val="003C067E"/>
    <w:rsid w:val="003C0D9D"/>
    <w:rsid w:val="003C0E1C"/>
    <w:rsid w:val="003C1435"/>
    <w:rsid w:val="003C1E7B"/>
    <w:rsid w:val="003C4E35"/>
    <w:rsid w:val="003C5232"/>
    <w:rsid w:val="003C619E"/>
    <w:rsid w:val="003C63A3"/>
    <w:rsid w:val="003C6FC7"/>
    <w:rsid w:val="003C77DD"/>
    <w:rsid w:val="003C781F"/>
    <w:rsid w:val="003D1450"/>
    <w:rsid w:val="003D2469"/>
    <w:rsid w:val="003D2A61"/>
    <w:rsid w:val="003D4142"/>
    <w:rsid w:val="003D47C8"/>
    <w:rsid w:val="003D51BB"/>
    <w:rsid w:val="003E0002"/>
    <w:rsid w:val="003E166A"/>
    <w:rsid w:val="003E298E"/>
    <w:rsid w:val="003E3456"/>
    <w:rsid w:val="003E4DC6"/>
    <w:rsid w:val="003E51E6"/>
    <w:rsid w:val="003E7B23"/>
    <w:rsid w:val="003F36C1"/>
    <w:rsid w:val="003F4951"/>
    <w:rsid w:val="003F6533"/>
    <w:rsid w:val="003F7300"/>
    <w:rsid w:val="003F7C84"/>
    <w:rsid w:val="00401E27"/>
    <w:rsid w:val="004058A7"/>
    <w:rsid w:val="0041188F"/>
    <w:rsid w:val="00412FF3"/>
    <w:rsid w:val="00415A40"/>
    <w:rsid w:val="00416CD2"/>
    <w:rsid w:val="00416E03"/>
    <w:rsid w:val="00417283"/>
    <w:rsid w:val="004200CA"/>
    <w:rsid w:val="004213C0"/>
    <w:rsid w:val="00422022"/>
    <w:rsid w:val="00425CD7"/>
    <w:rsid w:val="00426036"/>
    <w:rsid w:val="00426373"/>
    <w:rsid w:val="004347D8"/>
    <w:rsid w:val="00434F8A"/>
    <w:rsid w:val="00435CA9"/>
    <w:rsid w:val="00441C95"/>
    <w:rsid w:val="00441E25"/>
    <w:rsid w:val="00443C3C"/>
    <w:rsid w:val="00444234"/>
    <w:rsid w:val="0044442C"/>
    <w:rsid w:val="00451D96"/>
    <w:rsid w:val="0045428B"/>
    <w:rsid w:val="00455BC2"/>
    <w:rsid w:val="0046143D"/>
    <w:rsid w:val="00461924"/>
    <w:rsid w:val="00461D02"/>
    <w:rsid w:val="00462A90"/>
    <w:rsid w:val="00463F87"/>
    <w:rsid w:val="004676A2"/>
    <w:rsid w:val="0047200B"/>
    <w:rsid w:val="0047249A"/>
    <w:rsid w:val="00472893"/>
    <w:rsid w:val="004766A9"/>
    <w:rsid w:val="00477541"/>
    <w:rsid w:val="00477AF5"/>
    <w:rsid w:val="00480D4E"/>
    <w:rsid w:val="00483973"/>
    <w:rsid w:val="00484918"/>
    <w:rsid w:val="00485DF9"/>
    <w:rsid w:val="004920C0"/>
    <w:rsid w:val="00494C6A"/>
    <w:rsid w:val="00494FAE"/>
    <w:rsid w:val="004A25EA"/>
    <w:rsid w:val="004A3840"/>
    <w:rsid w:val="004A55AC"/>
    <w:rsid w:val="004A644E"/>
    <w:rsid w:val="004A69D2"/>
    <w:rsid w:val="004A7852"/>
    <w:rsid w:val="004B2B47"/>
    <w:rsid w:val="004B31B9"/>
    <w:rsid w:val="004B3366"/>
    <w:rsid w:val="004B7691"/>
    <w:rsid w:val="004C0FD0"/>
    <w:rsid w:val="004C5CA6"/>
    <w:rsid w:val="004D3122"/>
    <w:rsid w:val="004D5123"/>
    <w:rsid w:val="004D5BED"/>
    <w:rsid w:val="004D6615"/>
    <w:rsid w:val="004D6D7A"/>
    <w:rsid w:val="004E18B5"/>
    <w:rsid w:val="004E1C56"/>
    <w:rsid w:val="004E2B3C"/>
    <w:rsid w:val="004E50CF"/>
    <w:rsid w:val="004E5696"/>
    <w:rsid w:val="004E5CFC"/>
    <w:rsid w:val="004E5F76"/>
    <w:rsid w:val="004F1030"/>
    <w:rsid w:val="004F10FC"/>
    <w:rsid w:val="004F1F8A"/>
    <w:rsid w:val="004F3E74"/>
    <w:rsid w:val="004F4EE6"/>
    <w:rsid w:val="004F55E2"/>
    <w:rsid w:val="004F6103"/>
    <w:rsid w:val="00502CAB"/>
    <w:rsid w:val="00502E31"/>
    <w:rsid w:val="00506412"/>
    <w:rsid w:val="00506C15"/>
    <w:rsid w:val="005105C7"/>
    <w:rsid w:val="00510869"/>
    <w:rsid w:val="00512E57"/>
    <w:rsid w:val="00514230"/>
    <w:rsid w:val="0051502C"/>
    <w:rsid w:val="00515462"/>
    <w:rsid w:val="00515A4A"/>
    <w:rsid w:val="00516426"/>
    <w:rsid w:val="0051758D"/>
    <w:rsid w:val="00523069"/>
    <w:rsid w:val="00525A79"/>
    <w:rsid w:val="0052778F"/>
    <w:rsid w:val="00527AD2"/>
    <w:rsid w:val="005309F9"/>
    <w:rsid w:val="00531A1D"/>
    <w:rsid w:val="00534BC0"/>
    <w:rsid w:val="00535786"/>
    <w:rsid w:val="005360C2"/>
    <w:rsid w:val="00536570"/>
    <w:rsid w:val="00536E2F"/>
    <w:rsid w:val="00540B19"/>
    <w:rsid w:val="00542059"/>
    <w:rsid w:val="0054269E"/>
    <w:rsid w:val="0054552D"/>
    <w:rsid w:val="00545637"/>
    <w:rsid w:val="005462E4"/>
    <w:rsid w:val="0055100E"/>
    <w:rsid w:val="00551D10"/>
    <w:rsid w:val="00552348"/>
    <w:rsid w:val="00556F91"/>
    <w:rsid w:val="0055702B"/>
    <w:rsid w:val="00557761"/>
    <w:rsid w:val="005600F9"/>
    <w:rsid w:val="005608C0"/>
    <w:rsid w:val="00562D0E"/>
    <w:rsid w:val="00562D81"/>
    <w:rsid w:val="00564D2E"/>
    <w:rsid w:val="00564D76"/>
    <w:rsid w:val="005652B9"/>
    <w:rsid w:val="00571500"/>
    <w:rsid w:val="00572830"/>
    <w:rsid w:val="005730B6"/>
    <w:rsid w:val="00573227"/>
    <w:rsid w:val="005746AF"/>
    <w:rsid w:val="00576EC5"/>
    <w:rsid w:val="00577751"/>
    <w:rsid w:val="00577E42"/>
    <w:rsid w:val="0058055A"/>
    <w:rsid w:val="005846B1"/>
    <w:rsid w:val="005860CA"/>
    <w:rsid w:val="00587A4A"/>
    <w:rsid w:val="005902EE"/>
    <w:rsid w:val="0059131F"/>
    <w:rsid w:val="005918C3"/>
    <w:rsid w:val="00593041"/>
    <w:rsid w:val="00593A5B"/>
    <w:rsid w:val="005948B3"/>
    <w:rsid w:val="00597902"/>
    <w:rsid w:val="005A0A8A"/>
    <w:rsid w:val="005A0DBD"/>
    <w:rsid w:val="005A0E2A"/>
    <w:rsid w:val="005A14F9"/>
    <w:rsid w:val="005A3232"/>
    <w:rsid w:val="005A44EE"/>
    <w:rsid w:val="005A76C7"/>
    <w:rsid w:val="005B251F"/>
    <w:rsid w:val="005B3123"/>
    <w:rsid w:val="005B5C34"/>
    <w:rsid w:val="005B66E2"/>
    <w:rsid w:val="005C03EA"/>
    <w:rsid w:val="005C0B52"/>
    <w:rsid w:val="005C4C97"/>
    <w:rsid w:val="005C4E9B"/>
    <w:rsid w:val="005C52AF"/>
    <w:rsid w:val="005C7794"/>
    <w:rsid w:val="005D0639"/>
    <w:rsid w:val="005D139A"/>
    <w:rsid w:val="005D3768"/>
    <w:rsid w:val="005D410C"/>
    <w:rsid w:val="005D4465"/>
    <w:rsid w:val="005D4F97"/>
    <w:rsid w:val="005D602C"/>
    <w:rsid w:val="005D6626"/>
    <w:rsid w:val="005D681E"/>
    <w:rsid w:val="005D6D8B"/>
    <w:rsid w:val="005D7CC4"/>
    <w:rsid w:val="005E1B8B"/>
    <w:rsid w:val="005E3253"/>
    <w:rsid w:val="005E344A"/>
    <w:rsid w:val="005E646D"/>
    <w:rsid w:val="005F279E"/>
    <w:rsid w:val="0060081E"/>
    <w:rsid w:val="00600A33"/>
    <w:rsid w:val="00603194"/>
    <w:rsid w:val="0060686B"/>
    <w:rsid w:val="006069A2"/>
    <w:rsid w:val="006113C6"/>
    <w:rsid w:val="00612964"/>
    <w:rsid w:val="00613A31"/>
    <w:rsid w:val="006154AA"/>
    <w:rsid w:val="0062039C"/>
    <w:rsid w:val="006213D4"/>
    <w:rsid w:val="0062515B"/>
    <w:rsid w:val="00627724"/>
    <w:rsid w:val="00632F35"/>
    <w:rsid w:val="006352DD"/>
    <w:rsid w:val="00643952"/>
    <w:rsid w:val="0064743D"/>
    <w:rsid w:val="006500F5"/>
    <w:rsid w:val="00650CBF"/>
    <w:rsid w:val="006515E8"/>
    <w:rsid w:val="0065598A"/>
    <w:rsid w:val="00656222"/>
    <w:rsid w:val="00661C0D"/>
    <w:rsid w:val="00662F50"/>
    <w:rsid w:val="006647BB"/>
    <w:rsid w:val="00666A74"/>
    <w:rsid w:val="00670F78"/>
    <w:rsid w:val="0067272A"/>
    <w:rsid w:val="006743D5"/>
    <w:rsid w:val="00675872"/>
    <w:rsid w:val="006761EC"/>
    <w:rsid w:val="00677ED5"/>
    <w:rsid w:val="00683AB8"/>
    <w:rsid w:val="00685424"/>
    <w:rsid w:val="0068569A"/>
    <w:rsid w:val="00686E10"/>
    <w:rsid w:val="0068772C"/>
    <w:rsid w:val="00687EDD"/>
    <w:rsid w:val="006913F1"/>
    <w:rsid w:val="00693DE1"/>
    <w:rsid w:val="006943BC"/>
    <w:rsid w:val="00694E8D"/>
    <w:rsid w:val="0069570C"/>
    <w:rsid w:val="00696199"/>
    <w:rsid w:val="006964E4"/>
    <w:rsid w:val="0069667D"/>
    <w:rsid w:val="00696C35"/>
    <w:rsid w:val="006A2F94"/>
    <w:rsid w:val="006A372B"/>
    <w:rsid w:val="006A3750"/>
    <w:rsid w:val="006A40C9"/>
    <w:rsid w:val="006A41D9"/>
    <w:rsid w:val="006A4413"/>
    <w:rsid w:val="006A4E54"/>
    <w:rsid w:val="006A60A2"/>
    <w:rsid w:val="006A66E5"/>
    <w:rsid w:val="006B041A"/>
    <w:rsid w:val="006B0B09"/>
    <w:rsid w:val="006B2067"/>
    <w:rsid w:val="006B3761"/>
    <w:rsid w:val="006B5E19"/>
    <w:rsid w:val="006B7770"/>
    <w:rsid w:val="006B7E17"/>
    <w:rsid w:val="006C1777"/>
    <w:rsid w:val="006C1CDE"/>
    <w:rsid w:val="006C254D"/>
    <w:rsid w:val="006C4673"/>
    <w:rsid w:val="006C69F9"/>
    <w:rsid w:val="006D0734"/>
    <w:rsid w:val="006D33CA"/>
    <w:rsid w:val="006D43B3"/>
    <w:rsid w:val="006D4C5C"/>
    <w:rsid w:val="006D6BDF"/>
    <w:rsid w:val="006E0710"/>
    <w:rsid w:val="006E31C5"/>
    <w:rsid w:val="006E6C2E"/>
    <w:rsid w:val="006F1086"/>
    <w:rsid w:val="006F590F"/>
    <w:rsid w:val="006F73B5"/>
    <w:rsid w:val="0070020E"/>
    <w:rsid w:val="00703396"/>
    <w:rsid w:val="007114F6"/>
    <w:rsid w:val="007122FF"/>
    <w:rsid w:val="007127BC"/>
    <w:rsid w:val="00716035"/>
    <w:rsid w:val="0071716B"/>
    <w:rsid w:val="007172C9"/>
    <w:rsid w:val="00717AC2"/>
    <w:rsid w:val="00720D75"/>
    <w:rsid w:val="0072128C"/>
    <w:rsid w:val="007228F1"/>
    <w:rsid w:val="00722BBD"/>
    <w:rsid w:val="00723F73"/>
    <w:rsid w:val="00725041"/>
    <w:rsid w:val="00725097"/>
    <w:rsid w:val="00725DA7"/>
    <w:rsid w:val="007315EF"/>
    <w:rsid w:val="00736569"/>
    <w:rsid w:val="00736687"/>
    <w:rsid w:val="0073777F"/>
    <w:rsid w:val="0074522B"/>
    <w:rsid w:val="007479DC"/>
    <w:rsid w:val="00747D4A"/>
    <w:rsid w:val="00752F08"/>
    <w:rsid w:val="00754BFB"/>
    <w:rsid w:val="0075738F"/>
    <w:rsid w:val="00761857"/>
    <w:rsid w:val="00761913"/>
    <w:rsid w:val="00764C2D"/>
    <w:rsid w:val="007676FF"/>
    <w:rsid w:val="00767A9A"/>
    <w:rsid w:val="00771295"/>
    <w:rsid w:val="007723E7"/>
    <w:rsid w:val="0077578E"/>
    <w:rsid w:val="007761BE"/>
    <w:rsid w:val="00777F37"/>
    <w:rsid w:val="00780650"/>
    <w:rsid w:val="0078116D"/>
    <w:rsid w:val="007874EA"/>
    <w:rsid w:val="00796E98"/>
    <w:rsid w:val="00797DCC"/>
    <w:rsid w:val="007A082C"/>
    <w:rsid w:val="007A2BFA"/>
    <w:rsid w:val="007A4808"/>
    <w:rsid w:val="007A65F8"/>
    <w:rsid w:val="007A6A5E"/>
    <w:rsid w:val="007B436C"/>
    <w:rsid w:val="007B5ECD"/>
    <w:rsid w:val="007B68F9"/>
    <w:rsid w:val="007B7BE8"/>
    <w:rsid w:val="007B7BF5"/>
    <w:rsid w:val="007B7F2D"/>
    <w:rsid w:val="007C12D3"/>
    <w:rsid w:val="007C23EE"/>
    <w:rsid w:val="007C5D33"/>
    <w:rsid w:val="007C7F96"/>
    <w:rsid w:val="007D69BF"/>
    <w:rsid w:val="007D7372"/>
    <w:rsid w:val="007E0B21"/>
    <w:rsid w:val="007E386B"/>
    <w:rsid w:val="007E3BFA"/>
    <w:rsid w:val="007E3CC6"/>
    <w:rsid w:val="007E4887"/>
    <w:rsid w:val="007E5597"/>
    <w:rsid w:val="007F166A"/>
    <w:rsid w:val="007F3381"/>
    <w:rsid w:val="00803533"/>
    <w:rsid w:val="008045E8"/>
    <w:rsid w:val="00806F33"/>
    <w:rsid w:val="00807A45"/>
    <w:rsid w:val="008117B6"/>
    <w:rsid w:val="008141C8"/>
    <w:rsid w:val="00815D8F"/>
    <w:rsid w:val="008168F4"/>
    <w:rsid w:val="0082062C"/>
    <w:rsid w:val="0082078E"/>
    <w:rsid w:val="00820B43"/>
    <w:rsid w:val="008246EF"/>
    <w:rsid w:val="008249EE"/>
    <w:rsid w:val="00824AA5"/>
    <w:rsid w:val="008258E9"/>
    <w:rsid w:val="00831C0F"/>
    <w:rsid w:val="00831D9E"/>
    <w:rsid w:val="008403D6"/>
    <w:rsid w:val="008438AB"/>
    <w:rsid w:val="00843DE3"/>
    <w:rsid w:val="00845B73"/>
    <w:rsid w:val="00853D97"/>
    <w:rsid w:val="008578F6"/>
    <w:rsid w:val="00857BAA"/>
    <w:rsid w:val="0086079F"/>
    <w:rsid w:val="0086096C"/>
    <w:rsid w:val="00864E0C"/>
    <w:rsid w:val="00865258"/>
    <w:rsid w:val="008670BE"/>
    <w:rsid w:val="00867833"/>
    <w:rsid w:val="00867FA7"/>
    <w:rsid w:val="008743D7"/>
    <w:rsid w:val="00874CE9"/>
    <w:rsid w:val="008752A0"/>
    <w:rsid w:val="008761C5"/>
    <w:rsid w:val="00876BDE"/>
    <w:rsid w:val="00880786"/>
    <w:rsid w:val="00883843"/>
    <w:rsid w:val="00883C2A"/>
    <w:rsid w:val="00883D7E"/>
    <w:rsid w:val="008848D0"/>
    <w:rsid w:val="00886639"/>
    <w:rsid w:val="00891202"/>
    <w:rsid w:val="0089363A"/>
    <w:rsid w:val="0089391C"/>
    <w:rsid w:val="00894734"/>
    <w:rsid w:val="008A1CC3"/>
    <w:rsid w:val="008A327A"/>
    <w:rsid w:val="008A3934"/>
    <w:rsid w:val="008A6009"/>
    <w:rsid w:val="008A7A22"/>
    <w:rsid w:val="008B2229"/>
    <w:rsid w:val="008B31B2"/>
    <w:rsid w:val="008B34EC"/>
    <w:rsid w:val="008B7787"/>
    <w:rsid w:val="008B7A92"/>
    <w:rsid w:val="008C6206"/>
    <w:rsid w:val="008C703C"/>
    <w:rsid w:val="008C760D"/>
    <w:rsid w:val="008E10F6"/>
    <w:rsid w:val="008E18F5"/>
    <w:rsid w:val="008E1FB2"/>
    <w:rsid w:val="008E2F00"/>
    <w:rsid w:val="008E3561"/>
    <w:rsid w:val="008E38F7"/>
    <w:rsid w:val="008E3B54"/>
    <w:rsid w:val="008E4837"/>
    <w:rsid w:val="008E49DD"/>
    <w:rsid w:val="008E68C3"/>
    <w:rsid w:val="008E722E"/>
    <w:rsid w:val="008E7DC6"/>
    <w:rsid w:val="008F6A15"/>
    <w:rsid w:val="008F6CD5"/>
    <w:rsid w:val="00900E3F"/>
    <w:rsid w:val="00902E49"/>
    <w:rsid w:val="00903425"/>
    <w:rsid w:val="00903497"/>
    <w:rsid w:val="00903A28"/>
    <w:rsid w:val="00907F23"/>
    <w:rsid w:val="00910F1A"/>
    <w:rsid w:val="009125AD"/>
    <w:rsid w:val="00915246"/>
    <w:rsid w:val="00915A71"/>
    <w:rsid w:val="0092276A"/>
    <w:rsid w:val="00923E43"/>
    <w:rsid w:val="0092420A"/>
    <w:rsid w:val="0092432A"/>
    <w:rsid w:val="00927A50"/>
    <w:rsid w:val="00930233"/>
    <w:rsid w:val="00934BD6"/>
    <w:rsid w:val="0093521A"/>
    <w:rsid w:val="00942C0F"/>
    <w:rsid w:val="009441B0"/>
    <w:rsid w:val="00944AE3"/>
    <w:rsid w:val="00945497"/>
    <w:rsid w:val="00947E59"/>
    <w:rsid w:val="0095183B"/>
    <w:rsid w:val="00951BE9"/>
    <w:rsid w:val="00952227"/>
    <w:rsid w:val="00957282"/>
    <w:rsid w:val="00962973"/>
    <w:rsid w:val="00963AC1"/>
    <w:rsid w:val="009668E4"/>
    <w:rsid w:val="00967977"/>
    <w:rsid w:val="00971D03"/>
    <w:rsid w:val="00977A1D"/>
    <w:rsid w:val="009830E6"/>
    <w:rsid w:val="009833E9"/>
    <w:rsid w:val="009834F4"/>
    <w:rsid w:val="00984FE9"/>
    <w:rsid w:val="00985B16"/>
    <w:rsid w:val="00987D13"/>
    <w:rsid w:val="00990EE1"/>
    <w:rsid w:val="00992119"/>
    <w:rsid w:val="009948AF"/>
    <w:rsid w:val="009A393F"/>
    <w:rsid w:val="009A528B"/>
    <w:rsid w:val="009A5A1D"/>
    <w:rsid w:val="009A5C39"/>
    <w:rsid w:val="009B10F7"/>
    <w:rsid w:val="009B518B"/>
    <w:rsid w:val="009B7373"/>
    <w:rsid w:val="009B73FC"/>
    <w:rsid w:val="009C1A30"/>
    <w:rsid w:val="009C6A9D"/>
    <w:rsid w:val="009D1204"/>
    <w:rsid w:val="009D2665"/>
    <w:rsid w:val="009D2DB3"/>
    <w:rsid w:val="009E0625"/>
    <w:rsid w:val="009E0EE3"/>
    <w:rsid w:val="009E5967"/>
    <w:rsid w:val="009E6422"/>
    <w:rsid w:val="009F2500"/>
    <w:rsid w:val="009F7DB9"/>
    <w:rsid w:val="00A01774"/>
    <w:rsid w:val="00A0264E"/>
    <w:rsid w:val="00A02CDF"/>
    <w:rsid w:val="00A06676"/>
    <w:rsid w:val="00A10E2F"/>
    <w:rsid w:val="00A177AA"/>
    <w:rsid w:val="00A20F2F"/>
    <w:rsid w:val="00A20F8F"/>
    <w:rsid w:val="00A213C6"/>
    <w:rsid w:val="00A248B5"/>
    <w:rsid w:val="00A24914"/>
    <w:rsid w:val="00A2503C"/>
    <w:rsid w:val="00A31A4E"/>
    <w:rsid w:val="00A32A11"/>
    <w:rsid w:val="00A360AA"/>
    <w:rsid w:val="00A3724B"/>
    <w:rsid w:val="00A40CAF"/>
    <w:rsid w:val="00A414F4"/>
    <w:rsid w:val="00A469BC"/>
    <w:rsid w:val="00A46B2B"/>
    <w:rsid w:val="00A5044A"/>
    <w:rsid w:val="00A530C5"/>
    <w:rsid w:val="00A531E5"/>
    <w:rsid w:val="00A54094"/>
    <w:rsid w:val="00A542D0"/>
    <w:rsid w:val="00A54976"/>
    <w:rsid w:val="00A6074B"/>
    <w:rsid w:val="00A626E4"/>
    <w:rsid w:val="00A630EC"/>
    <w:rsid w:val="00A6427D"/>
    <w:rsid w:val="00A64639"/>
    <w:rsid w:val="00A64AB0"/>
    <w:rsid w:val="00A65D71"/>
    <w:rsid w:val="00A727B3"/>
    <w:rsid w:val="00A734D4"/>
    <w:rsid w:val="00A743C5"/>
    <w:rsid w:val="00A76CAD"/>
    <w:rsid w:val="00A77005"/>
    <w:rsid w:val="00A80D99"/>
    <w:rsid w:val="00A843E3"/>
    <w:rsid w:val="00A84B1C"/>
    <w:rsid w:val="00A906ED"/>
    <w:rsid w:val="00A91EEF"/>
    <w:rsid w:val="00A926FF"/>
    <w:rsid w:val="00A92B95"/>
    <w:rsid w:val="00A94F29"/>
    <w:rsid w:val="00A97467"/>
    <w:rsid w:val="00A97678"/>
    <w:rsid w:val="00AA0B4E"/>
    <w:rsid w:val="00AA1232"/>
    <w:rsid w:val="00AA236C"/>
    <w:rsid w:val="00AA3EFB"/>
    <w:rsid w:val="00AA408B"/>
    <w:rsid w:val="00AB2838"/>
    <w:rsid w:val="00AB454E"/>
    <w:rsid w:val="00AB4AF6"/>
    <w:rsid w:val="00AB5C5D"/>
    <w:rsid w:val="00AB7ACB"/>
    <w:rsid w:val="00AC1C44"/>
    <w:rsid w:val="00AC26B5"/>
    <w:rsid w:val="00AC479A"/>
    <w:rsid w:val="00AC52D8"/>
    <w:rsid w:val="00AC5744"/>
    <w:rsid w:val="00AC6A9E"/>
    <w:rsid w:val="00AD0D63"/>
    <w:rsid w:val="00AD15B0"/>
    <w:rsid w:val="00AD1DD0"/>
    <w:rsid w:val="00AD1E55"/>
    <w:rsid w:val="00AD2793"/>
    <w:rsid w:val="00AD2808"/>
    <w:rsid w:val="00AD3782"/>
    <w:rsid w:val="00AD75FF"/>
    <w:rsid w:val="00AD7CB0"/>
    <w:rsid w:val="00AE40E3"/>
    <w:rsid w:val="00AE58D3"/>
    <w:rsid w:val="00AE5AA2"/>
    <w:rsid w:val="00AE621E"/>
    <w:rsid w:val="00AE6348"/>
    <w:rsid w:val="00AE7608"/>
    <w:rsid w:val="00AF0064"/>
    <w:rsid w:val="00AF0D7F"/>
    <w:rsid w:val="00AF2E52"/>
    <w:rsid w:val="00AF4276"/>
    <w:rsid w:val="00AF53F2"/>
    <w:rsid w:val="00AF562B"/>
    <w:rsid w:val="00AF781D"/>
    <w:rsid w:val="00B01814"/>
    <w:rsid w:val="00B02E2A"/>
    <w:rsid w:val="00B03E4C"/>
    <w:rsid w:val="00B04B9C"/>
    <w:rsid w:val="00B05D1C"/>
    <w:rsid w:val="00B10661"/>
    <w:rsid w:val="00B116B4"/>
    <w:rsid w:val="00B16288"/>
    <w:rsid w:val="00B206D8"/>
    <w:rsid w:val="00B20B98"/>
    <w:rsid w:val="00B21881"/>
    <w:rsid w:val="00B2372A"/>
    <w:rsid w:val="00B2732A"/>
    <w:rsid w:val="00B278CD"/>
    <w:rsid w:val="00B27FD5"/>
    <w:rsid w:val="00B303FB"/>
    <w:rsid w:val="00B30BFF"/>
    <w:rsid w:val="00B3253D"/>
    <w:rsid w:val="00B344AC"/>
    <w:rsid w:val="00B345F7"/>
    <w:rsid w:val="00B37912"/>
    <w:rsid w:val="00B4135D"/>
    <w:rsid w:val="00B422C2"/>
    <w:rsid w:val="00B45E00"/>
    <w:rsid w:val="00B5134A"/>
    <w:rsid w:val="00B526D7"/>
    <w:rsid w:val="00B62753"/>
    <w:rsid w:val="00B62B3C"/>
    <w:rsid w:val="00B653DF"/>
    <w:rsid w:val="00B667D3"/>
    <w:rsid w:val="00B66866"/>
    <w:rsid w:val="00B71CA4"/>
    <w:rsid w:val="00B72434"/>
    <w:rsid w:val="00B74B10"/>
    <w:rsid w:val="00B75951"/>
    <w:rsid w:val="00B768A2"/>
    <w:rsid w:val="00B778CC"/>
    <w:rsid w:val="00B83B7C"/>
    <w:rsid w:val="00B84661"/>
    <w:rsid w:val="00B855E5"/>
    <w:rsid w:val="00B8595B"/>
    <w:rsid w:val="00B85B30"/>
    <w:rsid w:val="00B90D20"/>
    <w:rsid w:val="00B914CC"/>
    <w:rsid w:val="00B922A0"/>
    <w:rsid w:val="00B96BA5"/>
    <w:rsid w:val="00B96C85"/>
    <w:rsid w:val="00B96F89"/>
    <w:rsid w:val="00BA0071"/>
    <w:rsid w:val="00BA2869"/>
    <w:rsid w:val="00BA3A6B"/>
    <w:rsid w:val="00BA505A"/>
    <w:rsid w:val="00BA6DC4"/>
    <w:rsid w:val="00BA7602"/>
    <w:rsid w:val="00BB090A"/>
    <w:rsid w:val="00BB182F"/>
    <w:rsid w:val="00BB24A0"/>
    <w:rsid w:val="00BB4898"/>
    <w:rsid w:val="00BB62DA"/>
    <w:rsid w:val="00BB65E4"/>
    <w:rsid w:val="00BB7CD2"/>
    <w:rsid w:val="00BC0AC9"/>
    <w:rsid w:val="00BC2234"/>
    <w:rsid w:val="00BC25D8"/>
    <w:rsid w:val="00BC28C9"/>
    <w:rsid w:val="00BC33E0"/>
    <w:rsid w:val="00BC6152"/>
    <w:rsid w:val="00BC669C"/>
    <w:rsid w:val="00BD06BE"/>
    <w:rsid w:val="00BD532C"/>
    <w:rsid w:val="00BD696D"/>
    <w:rsid w:val="00BE09EB"/>
    <w:rsid w:val="00BE17BA"/>
    <w:rsid w:val="00BE2449"/>
    <w:rsid w:val="00BE3ACE"/>
    <w:rsid w:val="00BE4B7A"/>
    <w:rsid w:val="00BE5F0D"/>
    <w:rsid w:val="00BF1000"/>
    <w:rsid w:val="00BF2B2C"/>
    <w:rsid w:val="00BF4128"/>
    <w:rsid w:val="00BF4198"/>
    <w:rsid w:val="00BF427B"/>
    <w:rsid w:val="00C030BE"/>
    <w:rsid w:val="00C030D3"/>
    <w:rsid w:val="00C06C09"/>
    <w:rsid w:val="00C112D1"/>
    <w:rsid w:val="00C11975"/>
    <w:rsid w:val="00C134F4"/>
    <w:rsid w:val="00C16396"/>
    <w:rsid w:val="00C20851"/>
    <w:rsid w:val="00C217A0"/>
    <w:rsid w:val="00C21B65"/>
    <w:rsid w:val="00C22ABA"/>
    <w:rsid w:val="00C238C1"/>
    <w:rsid w:val="00C23B39"/>
    <w:rsid w:val="00C24702"/>
    <w:rsid w:val="00C24FE1"/>
    <w:rsid w:val="00C254B9"/>
    <w:rsid w:val="00C26FAE"/>
    <w:rsid w:val="00C31A3E"/>
    <w:rsid w:val="00C326E4"/>
    <w:rsid w:val="00C34C25"/>
    <w:rsid w:val="00C36CA1"/>
    <w:rsid w:val="00C41EBB"/>
    <w:rsid w:val="00C429E4"/>
    <w:rsid w:val="00C461E8"/>
    <w:rsid w:val="00C46BDB"/>
    <w:rsid w:val="00C46BE2"/>
    <w:rsid w:val="00C47E10"/>
    <w:rsid w:val="00C502A6"/>
    <w:rsid w:val="00C50711"/>
    <w:rsid w:val="00C511CC"/>
    <w:rsid w:val="00C526FE"/>
    <w:rsid w:val="00C54A1A"/>
    <w:rsid w:val="00C54BCD"/>
    <w:rsid w:val="00C55139"/>
    <w:rsid w:val="00C621C0"/>
    <w:rsid w:val="00C6600D"/>
    <w:rsid w:val="00C66B72"/>
    <w:rsid w:val="00C66B92"/>
    <w:rsid w:val="00C66D57"/>
    <w:rsid w:val="00C67FA5"/>
    <w:rsid w:val="00C70156"/>
    <w:rsid w:val="00C7071B"/>
    <w:rsid w:val="00C72D6B"/>
    <w:rsid w:val="00C72E24"/>
    <w:rsid w:val="00C74CA1"/>
    <w:rsid w:val="00C75B76"/>
    <w:rsid w:val="00C77608"/>
    <w:rsid w:val="00C82BC4"/>
    <w:rsid w:val="00C8357D"/>
    <w:rsid w:val="00C847BB"/>
    <w:rsid w:val="00C84ED8"/>
    <w:rsid w:val="00C8718E"/>
    <w:rsid w:val="00C87E67"/>
    <w:rsid w:val="00C87EAD"/>
    <w:rsid w:val="00C907BB"/>
    <w:rsid w:val="00C90B24"/>
    <w:rsid w:val="00C925A3"/>
    <w:rsid w:val="00C92654"/>
    <w:rsid w:val="00C95711"/>
    <w:rsid w:val="00C95E5E"/>
    <w:rsid w:val="00C96C49"/>
    <w:rsid w:val="00C96EC7"/>
    <w:rsid w:val="00CA21EE"/>
    <w:rsid w:val="00CA6E59"/>
    <w:rsid w:val="00CA71E2"/>
    <w:rsid w:val="00CB0C3C"/>
    <w:rsid w:val="00CB1BB0"/>
    <w:rsid w:val="00CB795A"/>
    <w:rsid w:val="00CC02DD"/>
    <w:rsid w:val="00CC3F67"/>
    <w:rsid w:val="00CC4079"/>
    <w:rsid w:val="00CE1547"/>
    <w:rsid w:val="00CE43E7"/>
    <w:rsid w:val="00CE4654"/>
    <w:rsid w:val="00CE55D8"/>
    <w:rsid w:val="00CE693F"/>
    <w:rsid w:val="00CE6CCE"/>
    <w:rsid w:val="00CF2173"/>
    <w:rsid w:val="00CF3251"/>
    <w:rsid w:val="00CF5280"/>
    <w:rsid w:val="00CF6787"/>
    <w:rsid w:val="00D0066E"/>
    <w:rsid w:val="00D01245"/>
    <w:rsid w:val="00D0243C"/>
    <w:rsid w:val="00D03334"/>
    <w:rsid w:val="00D03996"/>
    <w:rsid w:val="00D04CF3"/>
    <w:rsid w:val="00D07F1B"/>
    <w:rsid w:val="00D10314"/>
    <w:rsid w:val="00D110A1"/>
    <w:rsid w:val="00D11DB0"/>
    <w:rsid w:val="00D148C0"/>
    <w:rsid w:val="00D151B2"/>
    <w:rsid w:val="00D176A8"/>
    <w:rsid w:val="00D17E64"/>
    <w:rsid w:val="00D21988"/>
    <w:rsid w:val="00D25145"/>
    <w:rsid w:val="00D252D4"/>
    <w:rsid w:val="00D30E6C"/>
    <w:rsid w:val="00D319EA"/>
    <w:rsid w:val="00D320DB"/>
    <w:rsid w:val="00D32645"/>
    <w:rsid w:val="00D34172"/>
    <w:rsid w:val="00D35354"/>
    <w:rsid w:val="00D37757"/>
    <w:rsid w:val="00D40D22"/>
    <w:rsid w:val="00D41B49"/>
    <w:rsid w:val="00D41F33"/>
    <w:rsid w:val="00D4455A"/>
    <w:rsid w:val="00D47612"/>
    <w:rsid w:val="00D50620"/>
    <w:rsid w:val="00D5118D"/>
    <w:rsid w:val="00D52503"/>
    <w:rsid w:val="00D52866"/>
    <w:rsid w:val="00D53416"/>
    <w:rsid w:val="00D53495"/>
    <w:rsid w:val="00D54204"/>
    <w:rsid w:val="00D556CA"/>
    <w:rsid w:val="00D57B3E"/>
    <w:rsid w:val="00D65ECD"/>
    <w:rsid w:val="00D6774B"/>
    <w:rsid w:val="00D7015F"/>
    <w:rsid w:val="00D72AEC"/>
    <w:rsid w:val="00D75B4C"/>
    <w:rsid w:val="00D76EF0"/>
    <w:rsid w:val="00D80C87"/>
    <w:rsid w:val="00D8124D"/>
    <w:rsid w:val="00D8210D"/>
    <w:rsid w:val="00D82CB9"/>
    <w:rsid w:val="00D8364E"/>
    <w:rsid w:val="00D844D1"/>
    <w:rsid w:val="00D85879"/>
    <w:rsid w:val="00D90FC9"/>
    <w:rsid w:val="00D91158"/>
    <w:rsid w:val="00D926AA"/>
    <w:rsid w:val="00D939FD"/>
    <w:rsid w:val="00D93BD0"/>
    <w:rsid w:val="00D93BD3"/>
    <w:rsid w:val="00D95EFD"/>
    <w:rsid w:val="00D96225"/>
    <w:rsid w:val="00DA05BD"/>
    <w:rsid w:val="00DA0B31"/>
    <w:rsid w:val="00DA17B8"/>
    <w:rsid w:val="00DA1FC5"/>
    <w:rsid w:val="00DA2147"/>
    <w:rsid w:val="00DA2F0D"/>
    <w:rsid w:val="00DA5D1E"/>
    <w:rsid w:val="00DA7D3B"/>
    <w:rsid w:val="00DB1110"/>
    <w:rsid w:val="00DB1935"/>
    <w:rsid w:val="00DB1DA6"/>
    <w:rsid w:val="00DB3535"/>
    <w:rsid w:val="00DB40CF"/>
    <w:rsid w:val="00DB53FB"/>
    <w:rsid w:val="00DB684B"/>
    <w:rsid w:val="00DB7FEA"/>
    <w:rsid w:val="00DC3247"/>
    <w:rsid w:val="00DC4E4A"/>
    <w:rsid w:val="00DC664F"/>
    <w:rsid w:val="00DC7371"/>
    <w:rsid w:val="00DD1969"/>
    <w:rsid w:val="00DD2239"/>
    <w:rsid w:val="00DD6CBF"/>
    <w:rsid w:val="00DE337B"/>
    <w:rsid w:val="00DE356D"/>
    <w:rsid w:val="00DE75BA"/>
    <w:rsid w:val="00DF003A"/>
    <w:rsid w:val="00DF2272"/>
    <w:rsid w:val="00DF2C96"/>
    <w:rsid w:val="00DF3398"/>
    <w:rsid w:val="00DF68C7"/>
    <w:rsid w:val="00DF7A0C"/>
    <w:rsid w:val="00E01203"/>
    <w:rsid w:val="00E01ABF"/>
    <w:rsid w:val="00E02280"/>
    <w:rsid w:val="00E03214"/>
    <w:rsid w:val="00E0441B"/>
    <w:rsid w:val="00E11AA0"/>
    <w:rsid w:val="00E12096"/>
    <w:rsid w:val="00E14FE7"/>
    <w:rsid w:val="00E15C0E"/>
    <w:rsid w:val="00E16C2D"/>
    <w:rsid w:val="00E200C5"/>
    <w:rsid w:val="00E21B5C"/>
    <w:rsid w:val="00E224FD"/>
    <w:rsid w:val="00E22C86"/>
    <w:rsid w:val="00E2508A"/>
    <w:rsid w:val="00E25D80"/>
    <w:rsid w:val="00E31A2F"/>
    <w:rsid w:val="00E35BBB"/>
    <w:rsid w:val="00E363B4"/>
    <w:rsid w:val="00E36D2E"/>
    <w:rsid w:val="00E378D3"/>
    <w:rsid w:val="00E40B8F"/>
    <w:rsid w:val="00E42147"/>
    <w:rsid w:val="00E43040"/>
    <w:rsid w:val="00E44230"/>
    <w:rsid w:val="00E46487"/>
    <w:rsid w:val="00E5449D"/>
    <w:rsid w:val="00E572CD"/>
    <w:rsid w:val="00E57AE7"/>
    <w:rsid w:val="00E61F4D"/>
    <w:rsid w:val="00E70615"/>
    <w:rsid w:val="00E72CA1"/>
    <w:rsid w:val="00E72CE9"/>
    <w:rsid w:val="00E7350A"/>
    <w:rsid w:val="00E74846"/>
    <w:rsid w:val="00E75213"/>
    <w:rsid w:val="00E757F1"/>
    <w:rsid w:val="00E76D1C"/>
    <w:rsid w:val="00E8077E"/>
    <w:rsid w:val="00E80859"/>
    <w:rsid w:val="00E82FB6"/>
    <w:rsid w:val="00E83602"/>
    <w:rsid w:val="00E850FE"/>
    <w:rsid w:val="00E86BB0"/>
    <w:rsid w:val="00E86E97"/>
    <w:rsid w:val="00E870F0"/>
    <w:rsid w:val="00E87A38"/>
    <w:rsid w:val="00E951DF"/>
    <w:rsid w:val="00E95A2E"/>
    <w:rsid w:val="00E96A10"/>
    <w:rsid w:val="00EA208D"/>
    <w:rsid w:val="00EA2097"/>
    <w:rsid w:val="00EA30BF"/>
    <w:rsid w:val="00EA51A8"/>
    <w:rsid w:val="00EB30F1"/>
    <w:rsid w:val="00EB3196"/>
    <w:rsid w:val="00EB3988"/>
    <w:rsid w:val="00EB3B15"/>
    <w:rsid w:val="00EB3CD1"/>
    <w:rsid w:val="00EB4908"/>
    <w:rsid w:val="00EB5217"/>
    <w:rsid w:val="00EC0D0A"/>
    <w:rsid w:val="00EC2165"/>
    <w:rsid w:val="00EC244B"/>
    <w:rsid w:val="00EC2F3F"/>
    <w:rsid w:val="00EC5056"/>
    <w:rsid w:val="00EC7B4E"/>
    <w:rsid w:val="00ED1B51"/>
    <w:rsid w:val="00ED2133"/>
    <w:rsid w:val="00ED554B"/>
    <w:rsid w:val="00ED5A54"/>
    <w:rsid w:val="00ED7A2A"/>
    <w:rsid w:val="00EE0DB3"/>
    <w:rsid w:val="00EE4351"/>
    <w:rsid w:val="00EE4365"/>
    <w:rsid w:val="00EE48A2"/>
    <w:rsid w:val="00EE5519"/>
    <w:rsid w:val="00EE57DC"/>
    <w:rsid w:val="00EF3CDD"/>
    <w:rsid w:val="00EF4C47"/>
    <w:rsid w:val="00F00B46"/>
    <w:rsid w:val="00F0267C"/>
    <w:rsid w:val="00F027E1"/>
    <w:rsid w:val="00F034A3"/>
    <w:rsid w:val="00F034FD"/>
    <w:rsid w:val="00F04447"/>
    <w:rsid w:val="00F05124"/>
    <w:rsid w:val="00F0637D"/>
    <w:rsid w:val="00F11D1D"/>
    <w:rsid w:val="00F1288D"/>
    <w:rsid w:val="00F15530"/>
    <w:rsid w:val="00F1599B"/>
    <w:rsid w:val="00F17F74"/>
    <w:rsid w:val="00F20E51"/>
    <w:rsid w:val="00F213E5"/>
    <w:rsid w:val="00F224F5"/>
    <w:rsid w:val="00F22DB7"/>
    <w:rsid w:val="00F23D24"/>
    <w:rsid w:val="00F251D8"/>
    <w:rsid w:val="00F252DE"/>
    <w:rsid w:val="00F2653B"/>
    <w:rsid w:val="00F2654A"/>
    <w:rsid w:val="00F2675D"/>
    <w:rsid w:val="00F27503"/>
    <w:rsid w:val="00F318F1"/>
    <w:rsid w:val="00F3324B"/>
    <w:rsid w:val="00F343BB"/>
    <w:rsid w:val="00F36AFD"/>
    <w:rsid w:val="00F428D7"/>
    <w:rsid w:val="00F4404C"/>
    <w:rsid w:val="00F44080"/>
    <w:rsid w:val="00F44E1A"/>
    <w:rsid w:val="00F45024"/>
    <w:rsid w:val="00F455F5"/>
    <w:rsid w:val="00F46329"/>
    <w:rsid w:val="00F47A12"/>
    <w:rsid w:val="00F50753"/>
    <w:rsid w:val="00F50A75"/>
    <w:rsid w:val="00F50B00"/>
    <w:rsid w:val="00F50E3E"/>
    <w:rsid w:val="00F517EC"/>
    <w:rsid w:val="00F51AD5"/>
    <w:rsid w:val="00F52748"/>
    <w:rsid w:val="00F53806"/>
    <w:rsid w:val="00F5698B"/>
    <w:rsid w:val="00F57ADD"/>
    <w:rsid w:val="00F616B3"/>
    <w:rsid w:val="00F630FA"/>
    <w:rsid w:val="00F66D72"/>
    <w:rsid w:val="00F67E7C"/>
    <w:rsid w:val="00F70ECF"/>
    <w:rsid w:val="00F75174"/>
    <w:rsid w:val="00F75583"/>
    <w:rsid w:val="00F7664E"/>
    <w:rsid w:val="00F76FDF"/>
    <w:rsid w:val="00F80651"/>
    <w:rsid w:val="00F8606D"/>
    <w:rsid w:val="00F86D07"/>
    <w:rsid w:val="00F87416"/>
    <w:rsid w:val="00F91C9D"/>
    <w:rsid w:val="00F91E16"/>
    <w:rsid w:val="00F92273"/>
    <w:rsid w:val="00F92B7B"/>
    <w:rsid w:val="00F93876"/>
    <w:rsid w:val="00F946C1"/>
    <w:rsid w:val="00FA1D18"/>
    <w:rsid w:val="00FA4012"/>
    <w:rsid w:val="00FA408E"/>
    <w:rsid w:val="00FB2452"/>
    <w:rsid w:val="00FB28C5"/>
    <w:rsid w:val="00FB477D"/>
    <w:rsid w:val="00FB4A09"/>
    <w:rsid w:val="00FB615A"/>
    <w:rsid w:val="00FB71A0"/>
    <w:rsid w:val="00FB77E9"/>
    <w:rsid w:val="00FC28B5"/>
    <w:rsid w:val="00FC461F"/>
    <w:rsid w:val="00FC4C01"/>
    <w:rsid w:val="00FC5FD4"/>
    <w:rsid w:val="00FC7C2E"/>
    <w:rsid w:val="00FD006B"/>
    <w:rsid w:val="00FD1CB9"/>
    <w:rsid w:val="00FD21F7"/>
    <w:rsid w:val="00FD6043"/>
    <w:rsid w:val="00FD7340"/>
    <w:rsid w:val="00FE0CA8"/>
    <w:rsid w:val="00FE1FBD"/>
    <w:rsid w:val="00FE3772"/>
    <w:rsid w:val="00FE514A"/>
    <w:rsid w:val="00FE6904"/>
    <w:rsid w:val="00FF32C6"/>
    <w:rsid w:val="00FF4531"/>
    <w:rsid w:val="00FF782F"/>
    <w:rsid w:val="00FF7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4128"/>
    <w:pPr>
      <w:tabs>
        <w:tab w:val="center" w:pos="4153"/>
        <w:tab w:val="right" w:pos="8306"/>
      </w:tabs>
    </w:pPr>
  </w:style>
  <w:style w:type="character" w:styleId="PageNumber">
    <w:name w:val="page number"/>
    <w:basedOn w:val="DefaultParagraphFont"/>
    <w:rsid w:val="00BF4128"/>
  </w:style>
  <w:style w:type="paragraph" w:styleId="Header">
    <w:name w:val="header"/>
    <w:basedOn w:val="Normal"/>
    <w:link w:val="HeaderChar"/>
    <w:uiPriority w:val="99"/>
    <w:rsid w:val="00BF4128"/>
    <w:pPr>
      <w:tabs>
        <w:tab w:val="center" w:pos="4153"/>
        <w:tab w:val="right" w:pos="8306"/>
      </w:tabs>
    </w:pPr>
  </w:style>
  <w:style w:type="paragraph" w:styleId="BalloonText">
    <w:name w:val="Balloon Text"/>
    <w:basedOn w:val="Normal"/>
    <w:semiHidden/>
    <w:rsid w:val="00BF4128"/>
    <w:rPr>
      <w:rFonts w:ascii="Tahoma" w:hAnsi="Tahoma" w:cs="Tahoma"/>
      <w:sz w:val="16"/>
      <w:szCs w:val="16"/>
    </w:rPr>
  </w:style>
  <w:style w:type="character" w:customStyle="1" w:styleId="HeaderChar">
    <w:name w:val="Header Char"/>
    <w:link w:val="Header"/>
    <w:uiPriority w:val="99"/>
    <w:rsid w:val="00D65ECD"/>
    <w:rPr>
      <w:sz w:val="24"/>
      <w:szCs w:val="24"/>
      <w:lang w:eastAsia="en-US"/>
    </w:rPr>
  </w:style>
  <w:style w:type="paragraph" w:customStyle="1" w:styleId="AS">
    <w:name w:val="AS"/>
    <w:aliases w:val="Schedule title Amendment"/>
    <w:basedOn w:val="Normal"/>
    <w:next w:val="Normal"/>
    <w:rsid w:val="00D8210D"/>
    <w:pPr>
      <w:keepNext/>
      <w:spacing w:before="480"/>
      <w:ind w:left="2410" w:hanging="2410"/>
    </w:pPr>
    <w:rPr>
      <w:rFonts w:ascii="Arial" w:hAnsi="Arial"/>
      <w:b/>
      <w:sz w:val="32"/>
      <w:lang w:eastAsia="en-AU"/>
    </w:rPr>
  </w:style>
  <w:style w:type="numbering" w:customStyle="1" w:styleId="StyleNumberedArial10ptBold">
    <w:name w:val="Style Numbered Arial 10 pt Bold"/>
    <w:basedOn w:val="NoList"/>
    <w:rsid w:val="00D8210D"/>
    <w:pPr>
      <w:numPr>
        <w:numId w:val="6"/>
      </w:numPr>
    </w:pPr>
  </w:style>
  <w:style w:type="paragraph" w:customStyle="1" w:styleId="A2S">
    <w:name w:val="A2S"/>
    <w:aliases w:val="Schedule Inst Amendment"/>
    <w:basedOn w:val="Normal"/>
    <w:next w:val="Normal"/>
    <w:link w:val="A2SChar"/>
    <w:rsid w:val="00483973"/>
    <w:pPr>
      <w:keepNext/>
      <w:spacing w:before="120" w:line="260" w:lineRule="exact"/>
      <w:ind w:left="964"/>
    </w:pPr>
    <w:rPr>
      <w:i/>
      <w:lang w:eastAsia="en-AU"/>
    </w:rPr>
  </w:style>
  <w:style w:type="character" w:customStyle="1" w:styleId="A2SChar">
    <w:name w:val="A2S Char"/>
    <w:aliases w:val="Schedule Inst Amendment Char"/>
    <w:link w:val="A2S"/>
    <w:rsid w:val="00483973"/>
    <w:rPr>
      <w:i/>
      <w:sz w:val="24"/>
      <w:szCs w:val="24"/>
    </w:rPr>
  </w:style>
  <w:style w:type="paragraph" w:styleId="ListParagraph">
    <w:name w:val="List Paragraph"/>
    <w:basedOn w:val="Normal"/>
    <w:uiPriority w:val="34"/>
    <w:qFormat/>
    <w:rsid w:val="00613A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4128"/>
    <w:pPr>
      <w:tabs>
        <w:tab w:val="center" w:pos="4153"/>
        <w:tab w:val="right" w:pos="8306"/>
      </w:tabs>
    </w:pPr>
  </w:style>
  <w:style w:type="character" w:styleId="PageNumber">
    <w:name w:val="page number"/>
    <w:basedOn w:val="DefaultParagraphFont"/>
    <w:rsid w:val="00BF4128"/>
  </w:style>
  <w:style w:type="paragraph" w:styleId="Header">
    <w:name w:val="header"/>
    <w:basedOn w:val="Normal"/>
    <w:link w:val="HeaderChar"/>
    <w:uiPriority w:val="99"/>
    <w:rsid w:val="00BF4128"/>
    <w:pPr>
      <w:tabs>
        <w:tab w:val="center" w:pos="4153"/>
        <w:tab w:val="right" w:pos="8306"/>
      </w:tabs>
    </w:pPr>
  </w:style>
  <w:style w:type="paragraph" w:styleId="BalloonText">
    <w:name w:val="Balloon Text"/>
    <w:basedOn w:val="Normal"/>
    <w:semiHidden/>
    <w:rsid w:val="00BF4128"/>
    <w:rPr>
      <w:rFonts w:ascii="Tahoma" w:hAnsi="Tahoma" w:cs="Tahoma"/>
      <w:sz w:val="16"/>
      <w:szCs w:val="16"/>
    </w:rPr>
  </w:style>
  <w:style w:type="character" w:customStyle="1" w:styleId="HeaderChar">
    <w:name w:val="Header Char"/>
    <w:link w:val="Header"/>
    <w:uiPriority w:val="99"/>
    <w:rsid w:val="00D65ECD"/>
    <w:rPr>
      <w:sz w:val="24"/>
      <w:szCs w:val="24"/>
      <w:lang w:eastAsia="en-US"/>
    </w:rPr>
  </w:style>
  <w:style w:type="paragraph" w:customStyle="1" w:styleId="AS">
    <w:name w:val="AS"/>
    <w:aliases w:val="Schedule title Amendment"/>
    <w:basedOn w:val="Normal"/>
    <w:next w:val="Normal"/>
    <w:rsid w:val="00D8210D"/>
    <w:pPr>
      <w:keepNext/>
      <w:spacing w:before="480"/>
      <w:ind w:left="2410" w:hanging="2410"/>
    </w:pPr>
    <w:rPr>
      <w:rFonts w:ascii="Arial" w:hAnsi="Arial"/>
      <w:b/>
      <w:sz w:val="32"/>
      <w:lang w:eastAsia="en-AU"/>
    </w:rPr>
  </w:style>
  <w:style w:type="numbering" w:customStyle="1" w:styleId="StyleNumberedArial10ptBold">
    <w:name w:val="Style Numbered Arial 10 pt Bold"/>
    <w:basedOn w:val="NoList"/>
    <w:rsid w:val="00D8210D"/>
    <w:pPr>
      <w:numPr>
        <w:numId w:val="6"/>
      </w:numPr>
    </w:pPr>
  </w:style>
  <w:style w:type="paragraph" w:customStyle="1" w:styleId="A2S">
    <w:name w:val="A2S"/>
    <w:aliases w:val="Schedule Inst Amendment"/>
    <w:basedOn w:val="Normal"/>
    <w:next w:val="Normal"/>
    <w:link w:val="A2SChar"/>
    <w:rsid w:val="00483973"/>
    <w:pPr>
      <w:keepNext/>
      <w:spacing w:before="120" w:line="260" w:lineRule="exact"/>
      <w:ind w:left="964"/>
    </w:pPr>
    <w:rPr>
      <w:i/>
      <w:lang w:eastAsia="en-AU"/>
    </w:rPr>
  </w:style>
  <w:style w:type="character" w:customStyle="1" w:styleId="A2SChar">
    <w:name w:val="A2S Char"/>
    <w:aliases w:val="Schedule Inst Amendment Char"/>
    <w:link w:val="A2S"/>
    <w:rsid w:val="00483973"/>
    <w:rPr>
      <w:i/>
      <w:sz w:val="24"/>
      <w:szCs w:val="24"/>
    </w:rPr>
  </w:style>
  <w:style w:type="paragraph" w:styleId="ListParagraph">
    <w:name w:val="List Paragraph"/>
    <w:basedOn w:val="Normal"/>
    <w:uiPriority w:val="34"/>
    <w:qFormat/>
    <w:rsid w:val="00613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74199">
      <w:bodyDiv w:val="1"/>
      <w:marLeft w:val="0"/>
      <w:marRight w:val="0"/>
      <w:marTop w:val="0"/>
      <w:marBottom w:val="0"/>
      <w:divBdr>
        <w:top w:val="none" w:sz="0" w:space="0" w:color="auto"/>
        <w:left w:val="none" w:sz="0" w:space="0" w:color="auto"/>
        <w:bottom w:val="none" w:sz="0" w:space="0" w:color="auto"/>
        <w:right w:val="none" w:sz="0" w:space="0" w:color="auto"/>
      </w:divBdr>
    </w:div>
    <w:div w:id="424035980">
      <w:bodyDiv w:val="1"/>
      <w:marLeft w:val="0"/>
      <w:marRight w:val="0"/>
      <w:marTop w:val="0"/>
      <w:marBottom w:val="0"/>
      <w:divBdr>
        <w:top w:val="none" w:sz="0" w:space="0" w:color="auto"/>
        <w:left w:val="none" w:sz="0" w:space="0" w:color="auto"/>
        <w:bottom w:val="none" w:sz="0" w:space="0" w:color="auto"/>
        <w:right w:val="none" w:sz="0" w:space="0" w:color="auto"/>
      </w:divBdr>
    </w:div>
    <w:div w:id="909584043">
      <w:bodyDiv w:val="1"/>
      <w:marLeft w:val="0"/>
      <w:marRight w:val="0"/>
      <w:marTop w:val="0"/>
      <w:marBottom w:val="0"/>
      <w:divBdr>
        <w:top w:val="none" w:sz="0" w:space="0" w:color="auto"/>
        <w:left w:val="none" w:sz="0" w:space="0" w:color="auto"/>
        <w:bottom w:val="none" w:sz="0" w:space="0" w:color="auto"/>
        <w:right w:val="none" w:sz="0" w:space="0" w:color="auto"/>
      </w:divBdr>
    </w:div>
    <w:div w:id="1113015114">
      <w:bodyDiv w:val="1"/>
      <w:marLeft w:val="0"/>
      <w:marRight w:val="0"/>
      <w:marTop w:val="0"/>
      <w:marBottom w:val="0"/>
      <w:divBdr>
        <w:top w:val="none" w:sz="0" w:space="0" w:color="auto"/>
        <w:left w:val="none" w:sz="0" w:space="0" w:color="auto"/>
        <w:bottom w:val="none" w:sz="0" w:space="0" w:color="auto"/>
        <w:right w:val="none" w:sz="0" w:space="0" w:color="auto"/>
      </w:divBdr>
      <w:divsChild>
        <w:div w:id="1110778984">
          <w:marLeft w:val="0"/>
          <w:marRight w:val="0"/>
          <w:marTop w:val="0"/>
          <w:marBottom w:val="0"/>
          <w:divBdr>
            <w:top w:val="none" w:sz="0" w:space="0" w:color="auto"/>
            <w:left w:val="none" w:sz="0" w:space="0" w:color="auto"/>
            <w:bottom w:val="none" w:sz="0" w:space="0" w:color="auto"/>
            <w:right w:val="none" w:sz="0" w:space="0" w:color="auto"/>
          </w:divBdr>
          <w:divsChild>
            <w:div w:id="1947959250">
              <w:marLeft w:val="0"/>
              <w:marRight w:val="0"/>
              <w:marTop w:val="0"/>
              <w:marBottom w:val="0"/>
              <w:divBdr>
                <w:top w:val="none" w:sz="0" w:space="0" w:color="auto"/>
                <w:left w:val="none" w:sz="0" w:space="0" w:color="auto"/>
                <w:bottom w:val="none" w:sz="0" w:space="0" w:color="auto"/>
                <w:right w:val="none" w:sz="0" w:space="0" w:color="auto"/>
              </w:divBdr>
              <w:divsChild>
                <w:div w:id="1439913910">
                  <w:marLeft w:val="0"/>
                  <w:marRight w:val="0"/>
                  <w:marTop w:val="0"/>
                  <w:marBottom w:val="0"/>
                  <w:divBdr>
                    <w:top w:val="none" w:sz="0" w:space="0" w:color="auto"/>
                    <w:left w:val="none" w:sz="0" w:space="0" w:color="auto"/>
                    <w:bottom w:val="none" w:sz="0" w:space="0" w:color="auto"/>
                    <w:right w:val="none" w:sz="0" w:space="0" w:color="auto"/>
                  </w:divBdr>
                  <w:divsChild>
                    <w:div w:id="1310359289">
                      <w:marLeft w:val="0"/>
                      <w:marRight w:val="0"/>
                      <w:marTop w:val="0"/>
                      <w:marBottom w:val="0"/>
                      <w:divBdr>
                        <w:top w:val="none" w:sz="0" w:space="0" w:color="auto"/>
                        <w:left w:val="none" w:sz="0" w:space="0" w:color="auto"/>
                        <w:bottom w:val="none" w:sz="0" w:space="0" w:color="auto"/>
                        <w:right w:val="none" w:sz="0" w:space="0" w:color="auto"/>
                      </w:divBdr>
                      <w:divsChild>
                        <w:div w:id="1380738774">
                          <w:marLeft w:val="0"/>
                          <w:marRight w:val="0"/>
                          <w:marTop w:val="0"/>
                          <w:marBottom w:val="0"/>
                          <w:divBdr>
                            <w:top w:val="single" w:sz="6" w:space="0" w:color="828282"/>
                            <w:left w:val="single" w:sz="6" w:space="0" w:color="828282"/>
                            <w:bottom w:val="single" w:sz="6" w:space="0" w:color="828282"/>
                            <w:right w:val="single" w:sz="6" w:space="0" w:color="828282"/>
                          </w:divBdr>
                          <w:divsChild>
                            <w:div w:id="64763590">
                              <w:marLeft w:val="0"/>
                              <w:marRight w:val="0"/>
                              <w:marTop w:val="0"/>
                              <w:marBottom w:val="0"/>
                              <w:divBdr>
                                <w:top w:val="none" w:sz="0" w:space="0" w:color="auto"/>
                                <w:left w:val="none" w:sz="0" w:space="0" w:color="auto"/>
                                <w:bottom w:val="none" w:sz="0" w:space="0" w:color="auto"/>
                                <w:right w:val="none" w:sz="0" w:space="0" w:color="auto"/>
                              </w:divBdr>
                              <w:divsChild>
                                <w:div w:id="1206255733">
                                  <w:marLeft w:val="0"/>
                                  <w:marRight w:val="0"/>
                                  <w:marTop w:val="0"/>
                                  <w:marBottom w:val="0"/>
                                  <w:divBdr>
                                    <w:top w:val="none" w:sz="0" w:space="0" w:color="auto"/>
                                    <w:left w:val="none" w:sz="0" w:space="0" w:color="auto"/>
                                    <w:bottom w:val="none" w:sz="0" w:space="0" w:color="auto"/>
                                    <w:right w:val="none" w:sz="0" w:space="0" w:color="auto"/>
                                  </w:divBdr>
                                  <w:divsChild>
                                    <w:div w:id="1638873340">
                                      <w:marLeft w:val="0"/>
                                      <w:marRight w:val="0"/>
                                      <w:marTop w:val="0"/>
                                      <w:marBottom w:val="0"/>
                                      <w:divBdr>
                                        <w:top w:val="none" w:sz="0" w:space="0" w:color="auto"/>
                                        <w:left w:val="none" w:sz="0" w:space="0" w:color="auto"/>
                                        <w:bottom w:val="none" w:sz="0" w:space="0" w:color="auto"/>
                                        <w:right w:val="none" w:sz="0" w:space="0" w:color="auto"/>
                                      </w:divBdr>
                                      <w:divsChild>
                                        <w:div w:id="1050112784">
                                          <w:marLeft w:val="0"/>
                                          <w:marRight w:val="0"/>
                                          <w:marTop w:val="0"/>
                                          <w:marBottom w:val="0"/>
                                          <w:divBdr>
                                            <w:top w:val="none" w:sz="0" w:space="0" w:color="auto"/>
                                            <w:left w:val="none" w:sz="0" w:space="0" w:color="auto"/>
                                            <w:bottom w:val="none" w:sz="0" w:space="0" w:color="auto"/>
                                            <w:right w:val="none" w:sz="0" w:space="0" w:color="auto"/>
                                          </w:divBdr>
                                          <w:divsChild>
                                            <w:div w:id="1611157751">
                                              <w:marLeft w:val="0"/>
                                              <w:marRight w:val="0"/>
                                              <w:marTop w:val="0"/>
                                              <w:marBottom w:val="0"/>
                                              <w:divBdr>
                                                <w:top w:val="none" w:sz="0" w:space="0" w:color="auto"/>
                                                <w:left w:val="none" w:sz="0" w:space="0" w:color="auto"/>
                                                <w:bottom w:val="none" w:sz="0" w:space="0" w:color="auto"/>
                                                <w:right w:val="none" w:sz="0" w:space="0" w:color="auto"/>
                                              </w:divBdr>
                                              <w:divsChild>
                                                <w:div w:id="17434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18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C61B8-3709-4258-9ABF-2786E8BA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joestj</dc:creator>
  <cp:lastModifiedBy>Lewis Eleanor</cp:lastModifiedBy>
  <cp:revision>2</cp:revision>
  <cp:lastPrinted>2014-09-09T06:26:00Z</cp:lastPrinted>
  <dcterms:created xsi:type="dcterms:W3CDTF">2014-11-18T01:31:00Z</dcterms:created>
  <dcterms:modified xsi:type="dcterms:W3CDTF">2014-11-18T01:31:00Z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