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43" w:rsidRPr="00B874C8" w:rsidRDefault="00CB6B83" w:rsidP="00021C7B">
      <w:pPr>
        <w:jc w:val="center"/>
        <w:rPr>
          <w:rFonts w:ascii="Verdana" w:hAnsi="Verdana"/>
          <w:b/>
          <w:sz w:val="20"/>
          <w:szCs w:val="20"/>
        </w:rPr>
      </w:pPr>
      <w:bookmarkStart w:id="0" w:name="_GoBack"/>
      <w:bookmarkEnd w:id="0"/>
      <w:r w:rsidRPr="00B874C8">
        <w:rPr>
          <w:rFonts w:ascii="Verdana" w:hAnsi="Verdana"/>
          <w:b/>
          <w:sz w:val="20"/>
          <w:szCs w:val="20"/>
        </w:rPr>
        <w:t>EXPLANATORY STATEMENT</w:t>
      </w:r>
    </w:p>
    <w:p w:rsidR="00CB6B83" w:rsidRPr="00B874C8" w:rsidRDefault="00CB6B83" w:rsidP="00021C7B">
      <w:pPr>
        <w:jc w:val="center"/>
        <w:rPr>
          <w:rFonts w:ascii="Verdana" w:hAnsi="Verdana"/>
          <w:b/>
          <w:sz w:val="20"/>
          <w:szCs w:val="20"/>
        </w:rPr>
      </w:pPr>
    </w:p>
    <w:p w:rsidR="00CB6B83" w:rsidRPr="00B874C8" w:rsidRDefault="00983CF6" w:rsidP="00021C7B">
      <w:pPr>
        <w:jc w:val="center"/>
        <w:rPr>
          <w:rFonts w:ascii="Verdana" w:hAnsi="Verdana"/>
          <w:i/>
          <w:sz w:val="20"/>
          <w:szCs w:val="20"/>
        </w:rPr>
      </w:pPr>
      <w:r w:rsidRPr="00B874C8">
        <w:rPr>
          <w:rFonts w:ascii="Verdana" w:hAnsi="Verdana"/>
          <w:i/>
          <w:sz w:val="20"/>
          <w:szCs w:val="20"/>
        </w:rPr>
        <w:t>Work Health and Safety Regulations 2011</w:t>
      </w:r>
    </w:p>
    <w:p w:rsidR="00CB6B83" w:rsidRPr="00B874C8" w:rsidRDefault="00CB6B83" w:rsidP="00021C7B">
      <w:pPr>
        <w:jc w:val="center"/>
        <w:rPr>
          <w:rFonts w:ascii="Verdana" w:hAnsi="Verdana"/>
          <w:i/>
          <w:sz w:val="20"/>
          <w:szCs w:val="20"/>
        </w:rPr>
      </w:pPr>
    </w:p>
    <w:p w:rsidR="00CB6B83" w:rsidRPr="00B874C8" w:rsidRDefault="00CB6B83" w:rsidP="00021C7B">
      <w:pPr>
        <w:jc w:val="center"/>
        <w:rPr>
          <w:rFonts w:ascii="Verdana" w:hAnsi="Verdana"/>
          <w:b/>
          <w:sz w:val="20"/>
          <w:szCs w:val="20"/>
        </w:rPr>
      </w:pPr>
      <w:r w:rsidRPr="00B874C8">
        <w:rPr>
          <w:rFonts w:ascii="Verdana" w:hAnsi="Verdana"/>
          <w:b/>
          <w:sz w:val="20"/>
          <w:szCs w:val="20"/>
        </w:rPr>
        <w:t>Notice of a Disallowable Instrument</w:t>
      </w:r>
    </w:p>
    <w:p w:rsidR="00CB6B83" w:rsidRPr="00B874C8" w:rsidRDefault="00CB6B83" w:rsidP="00021C7B">
      <w:pPr>
        <w:jc w:val="center"/>
        <w:rPr>
          <w:rFonts w:ascii="Verdana" w:hAnsi="Verdana"/>
          <w:b/>
          <w:sz w:val="20"/>
          <w:szCs w:val="20"/>
        </w:rPr>
      </w:pPr>
    </w:p>
    <w:p w:rsidR="00620EB9" w:rsidRPr="00811EE4" w:rsidRDefault="00620EB9" w:rsidP="00620EB9">
      <w:pPr>
        <w:jc w:val="center"/>
        <w:rPr>
          <w:rFonts w:ascii="Verdana" w:hAnsi="Verdana"/>
          <w:b/>
          <w:sz w:val="20"/>
          <w:szCs w:val="20"/>
        </w:rPr>
      </w:pPr>
      <w:r w:rsidRPr="00811EE4">
        <w:rPr>
          <w:rFonts w:ascii="Verdana" w:hAnsi="Verdana"/>
          <w:b/>
          <w:sz w:val="20"/>
          <w:szCs w:val="20"/>
        </w:rPr>
        <w:t>W</w:t>
      </w:r>
      <w:r w:rsidR="00811EE4">
        <w:rPr>
          <w:rFonts w:ascii="Verdana" w:hAnsi="Verdana"/>
          <w:b/>
          <w:sz w:val="20"/>
          <w:szCs w:val="20"/>
        </w:rPr>
        <w:t>ork Health and Safety Exemptions</w:t>
      </w:r>
    </w:p>
    <w:p w:rsidR="00F95653" w:rsidRDefault="00620EB9" w:rsidP="00620EB9">
      <w:pPr>
        <w:jc w:val="center"/>
        <w:rPr>
          <w:rFonts w:ascii="Verdana" w:hAnsi="Verdana"/>
          <w:b/>
          <w:sz w:val="20"/>
          <w:szCs w:val="20"/>
        </w:rPr>
      </w:pPr>
      <w:r w:rsidRPr="00811EE4">
        <w:rPr>
          <w:rFonts w:ascii="Verdana" w:hAnsi="Verdana"/>
          <w:b/>
          <w:sz w:val="20"/>
          <w:szCs w:val="20"/>
        </w:rPr>
        <w:t>(High risk work licence</w:t>
      </w:r>
      <w:r w:rsidR="00811EE4">
        <w:rPr>
          <w:rFonts w:ascii="Verdana" w:hAnsi="Verdana"/>
          <w:b/>
          <w:sz w:val="20"/>
          <w:szCs w:val="20"/>
        </w:rPr>
        <w:t>s</w:t>
      </w:r>
      <w:r w:rsidRPr="00811EE4">
        <w:rPr>
          <w:rFonts w:ascii="Verdana" w:hAnsi="Verdana"/>
          <w:b/>
          <w:sz w:val="20"/>
          <w:szCs w:val="20"/>
        </w:rPr>
        <w:t xml:space="preserve"> - crane operation)</w:t>
      </w:r>
      <w:r w:rsidR="00811EE4">
        <w:rPr>
          <w:rFonts w:ascii="Verdana" w:hAnsi="Verdana"/>
          <w:b/>
          <w:sz w:val="20"/>
          <w:szCs w:val="20"/>
        </w:rPr>
        <w:t xml:space="preserve"> </w:t>
      </w:r>
      <w:r w:rsidR="00886257">
        <w:rPr>
          <w:rFonts w:ascii="Verdana" w:hAnsi="Verdana"/>
          <w:b/>
          <w:sz w:val="20"/>
          <w:szCs w:val="20"/>
        </w:rPr>
        <w:t xml:space="preserve">(November </w:t>
      </w:r>
      <w:r w:rsidRPr="00811EE4">
        <w:rPr>
          <w:rFonts w:ascii="Verdana" w:hAnsi="Verdana"/>
          <w:b/>
          <w:sz w:val="20"/>
          <w:szCs w:val="20"/>
        </w:rPr>
        <w:t>2014)</w:t>
      </w:r>
    </w:p>
    <w:p w:rsidR="00620EB9" w:rsidRDefault="00620EB9" w:rsidP="00510DC6">
      <w:pPr>
        <w:spacing w:after="120"/>
        <w:jc w:val="both"/>
        <w:rPr>
          <w:rFonts w:ascii="Verdana" w:hAnsi="Verdana"/>
          <w:b/>
          <w:sz w:val="20"/>
          <w:szCs w:val="20"/>
        </w:rPr>
      </w:pPr>
    </w:p>
    <w:p w:rsidR="003D12E5" w:rsidRDefault="003D12E5" w:rsidP="00510DC6">
      <w:pPr>
        <w:spacing w:after="120"/>
        <w:jc w:val="both"/>
        <w:rPr>
          <w:rFonts w:ascii="Verdana" w:hAnsi="Verdana"/>
          <w:b/>
          <w:sz w:val="20"/>
          <w:szCs w:val="20"/>
        </w:rPr>
      </w:pPr>
      <w:r>
        <w:rPr>
          <w:rFonts w:ascii="Verdana" w:hAnsi="Verdana"/>
          <w:b/>
          <w:sz w:val="20"/>
          <w:szCs w:val="20"/>
        </w:rPr>
        <w:t>Introduction</w:t>
      </w:r>
    </w:p>
    <w:p w:rsidR="009A3956" w:rsidRDefault="001944D2" w:rsidP="006B3682">
      <w:pPr>
        <w:jc w:val="both"/>
        <w:rPr>
          <w:rFonts w:ascii="Verdana" w:hAnsi="Verdana"/>
          <w:sz w:val="20"/>
          <w:szCs w:val="20"/>
        </w:rPr>
      </w:pPr>
      <w:r w:rsidRPr="00544B97">
        <w:rPr>
          <w:rFonts w:ascii="Verdana" w:hAnsi="Verdana"/>
          <w:sz w:val="20"/>
          <w:szCs w:val="20"/>
        </w:rPr>
        <w:t xml:space="preserve">The purpose of the </w:t>
      </w:r>
      <w:r>
        <w:rPr>
          <w:rFonts w:ascii="Verdana" w:hAnsi="Verdana"/>
          <w:sz w:val="20"/>
          <w:szCs w:val="20"/>
        </w:rPr>
        <w:t>i</w:t>
      </w:r>
      <w:r w:rsidRPr="00544B97">
        <w:rPr>
          <w:rFonts w:ascii="Verdana" w:hAnsi="Verdana"/>
          <w:sz w:val="20"/>
          <w:szCs w:val="20"/>
        </w:rPr>
        <w:t xml:space="preserve">nstrument to which this Explanatory Statement relates </w:t>
      </w:r>
      <w:r w:rsidR="00A15E37">
        <w:rPr>
          <w:rFonts w:ascii="Verdana" w:hAnsi="Verdana"/>
          <w:sz w:val="20"/>
          <w:szCs w:val="20"/>
        </w:rPr>
        <w:t>(</w:t>
      </w:r>
      <w:r w:rsidR="00A15E37">
        <w:rPr>
          <w:rFonts w:ascii="Verdana" w:hAnsi="Verdana"/>
          <w:b/>
          <w:sz w:val="20"/>
          <w:szCs w:val="20"/>
        </w:rPr>
        <w:t>the exemption instrument</w:t>
      </w:r>
      <w:r w:rsidR="00A15E37">
        <w:rPr>
          <w:rFonts w:ascii="Verdana" w:hAnsi="Verdana"/>
          <w:sz w:val="20"/>
          <w:szCs w:val="20"/>
        </w:rPr>
        <w:t>)</w:t>
      </w:r>
      <w:r w:rsidR="00A15E37">
        <w:rPr>
          <w:rFonts w:ascii="Verdana" w:hAnsi="Verdana"/>
          <w:b/>
          <w:sz w:val="20"/>
          <w:szCs w:val="20"/>
        </w:rPr>
        <w:t xml:space="preserve"> </w:t>
      </w:r>
      <w:r w:rsidRPr="00544B97">
        <w:rPr>
          <w:rFonts w:ascii="Verdana" w:hAnsi="Verdana"/>
          <w:sz w:val="20"/>
          <w:szCs w:val="20"/>
        </w:rPr>
        <w:t xml:space="preserve">is to </w:t>
      </w:r>
      <w:r w:rsidR="0024773A">
        <w:rPr>
          <w:rFonts w:ascii="Verdana" w:hAnsi="Verdana"/>
          <w:sz w:val="20"/>
          <w:szCs w:val="20"/>
        </w:rPr>
        <w:t>gr</w:t>
      </w:r>
      <w:r w:rsidRPr="00544B97">
        <w:rPr>
          <w:rFonts w:ascii="Verdana" w:hAnsi="Verdana"/>
          <w:sz w:val="20"/>
          <w:szCs w:val="20"/>
        </w:rPr>
        <w:t>ant exemption</w:t>
      </w:r>
      <w:r w:rsidR="00F64BA9">
        <w:rPr>
          <w:rFonts w:ascii="Verdana" w:hAnsi="Verdana"/>
          <w:sz w:val="20"/>
          <w:szCs w:val="20"/>
        </w:rPr>
        <w:t>s</w:t>
      </w:r>
      <w:r w:rsidRPr="00544B97">
        <w:rPr>
          <w:rFonts w:ascii="Verdana" w:hAnsi="Verdana"/>
          <w:sz w:val="20"/>
          <w:szCs w:val="20"/>
        </w:rPr>
        <w:t xml:space="preserve"> from compliance with </w:t>
      </w:r>
      <w:r w:rsidRPr="001944D2">
        <w:rPr>
          <w:rFonts w:ascii="Verdana" w:hAnsi="Verdana"/>
          <w:sz w:val="20"/>
          <w:szCs w:val="20"/>
        </w:rPr>
        <w:t>regulation</w:t>
      </w:r>
      <w:r w:rsidR="00620EB9">
        <w:rPr>
          <w:rFonts w:ascii="Verdana" w:hAnsi="Verdana"/>
          <w:sz w:val="20"/>
          <w:szCs w:val="20"/>
        </w:rPr>
        <w:t>s 81 and 85</w:t>
      </w:r>
      <w:r w:rsidR="003F38C2">
        <w:rPr>
          <w:rFonts w:ascii="Verdana" w:hAnsi="Verdana"/>
          <w:sz w:val="20"/>
          <w:szCs w:val="20"/>
        </w:rPr>
        <w:t xml:space="preserve"> </w:t>
      </w:r>
      <w:r w:rsidRPr="00544B97">
        <w:rPr>
          <w:rFonts w:ascii="Verdana" w:hAnsi="Verdana"/>
          <w:sz w:val="20"/>
          <w:szCs w:val="20"/>
        </w:rPr>
        <w:t xml:space="preserve">of the </w:t>
      </w:r>
      <w:r w:rsidRPr="00544B97">
        <w:rPr>
          <w:rFonts w:ascii="Verdana" w:hAnsi="Verdana"/>
          <w:i/>
          <w:sz w:val="20"/>
          <w:szCs w:val="20"/>
        </w:rPr>
        <w:t>Work Health and Safety Regulations 2011</w:t>
      </w:r>
      <w:r w:rsidRPr="00544B97">
        <w:rPr>
          <w:rFonts w:ascii="Verdana" w:hAnsi="Verdana"/>
          <w:sz w:val="20"/>
          <w:szCs w:val="20"/>
        </w:rPr>
        <w:t xml:space="preserve"> (</w:t>
      </w:r>
      <w:r w:rsidRPr="00D63E6D">
        <w:rPr>
          <w:rFonts w:ascii="Verdana" w:hAnsi="Verdana"/>
          <w:b/>
          <w:sz w:val="20"/>
          <w:szCs w:val="20"/>
        </w:rPr>
        <w:t>WHS Regulations</w:t>
      </w:r>
      <w:r w:rsidRPr="00544B97">
        <w:rPr>
          <w:rFonts w:ascii="Verdana" w:hAnsi="Verdana"/>
          <w:sz w:val="20"/>
          <w:szCs w:val="20"/>
        </w:rPr>
        <w:t xml:space="preserve">) to </w:t>
      </w:r>
      <w:r w:rsidR="005270AD">
        <w:rPr>
          <w:rFonts w:ascii="Verdana" w:hAnsi="Verdana"/>
          <w:sz w:val="20"/>
          <w:szCs w:val="20"/>
        </w:rPr>
        <w:t xml:space="preserve">those persons </w:t>
      </w:r>
      <w:r w:rsidR="003F38C2">
        <w:rPr>
          <w:rFonts w:ascii="Verdana" w:hAnsi="Verdana"/>
          <w:sz w:val="20"/>
          <w:szCs w:val="20"/>
        </w:rPr>
        <w:t>w</w:t>
      </w:r>
      <w:r w:rsidR="00FC6983">
        <w:rPr>
          <w:rFonts w:ascii="Verdana" w:hAnsi="Verdana"/>
          <w:sz w:val="20"/>
          <w:szCs w:val="20"/>
        </w:rPr>
        <w:t xml:space="preserve">ho </w:t>
      </w:r>
      <w:r w:rsidR="00516C66">
        <w:rPr>
          <w:rFonts w:ascii="Verdana" w:hAnsi="Verdana"/>
          <w:sz w:val="20"/>
          <w:szCs w:val="20"/>
        </w:rPr>
        <w:t>must hold a high risk work licence when carrying out high risk work</w:t>
      </w:r>
      <w:r w:rsidR="00D5233F">
        <w:rPr>
          <w:rFonts w:ascii="Verdana" w:hAnsi="Verdana"/>
          <w:sz w:val="20"/>
          <w:szCs w:val="20"/>
        </w:rPr>
        <w:t xml:space="preserve"> involving the use of certain cranes</w:t>
      </w:r>
      <w:r w:rsidR="003E7CB2">
        <w:rPr>
          <w:rFonts w:ascii="Verdana" w:hAnsi="Verdana"/>
          <w:sz w:val="20"/>
          <w:szCs w:val="20"/>
        </w:rPr>
        <w:t xml:space="preserve"> (</w:t>
      </w:r>
      <w:r w:rsidR="003E7CB2">
        <w:rPr>
          <w:rFonts w:ascii="Verdana" w:hAnsi="Verdana"/>
          <w:b/>
          <w:sz w:val="20"/>
          <w:szCs w:val="20"/>
        </w:rPr>
        <w:t>the relevant high risk work</w:t>
      </w:r>
      <w:r w:rsidR="003E7CB2">
        <w:rPr>
          <w:rFonts w:ascii="Verdana" w:hAnsi="Verdana"/>
          <w:sz w:val="20"/>
          <w:szCs w:val="20"/>
        </w:rPr>
        <w:t>)</w:t>
      </w:r>
      <w:r w:rsidR="00516C66">
        <w:rPr>
          <w:rFonts w:ascii="Verdana" w:hAnsi="Verdana"/>
          <w:sz w:val="20"/>
          <w:szCs w:val="20"/>
        </w:rPr>
        <w:t xml:space="preserve">, and </w:t>
      </w:r>
      <w:r w:rsidR="005270AD">
        <w:rPr>
          <w:rFonts w:ascii="Verdana" w:hAnsi="Verdana"/>
          <w:sz w:val="20"/>
          <w:szCs w:val="20"/>
        </w:rPr>
        <w:t>those</w:t>
      </w:r>
      <w:r w:rsidR="00516C66">
        <w:rPr>
          <w:rFonts w:ascii="Verdana" w:hAnsi="Verdana"/>
          <w:sz w:val="20"/>
          <w:szCs w:val="20"/>
        </w:rPr>
        <w:t xml:space="preserve"> persons conducting a business or undertaking</w:t>
      </w:r>
      <w:r w:rsidR="003E7CB2">
        <w:rPr>
          <w:rFonts w:ascii="Verdana" w:hAnsi="Verdana"/>
          <w:sz w:val="20"/>
          <w:szCs w:val="20"/>
        </w:rPr>
        <w:t xml:space="preserve"> (</w:t>
      </w:r>
      <w:r w:rsidR="003E7CB2" w:rsidRPr="00FA60B4">
        <w:rPr>
          <w:rFonts w:ascii="Verdana" w:hAnsi="Verdana"/>
          <w:b/>
          <w:sz w:val="20"/>
          <w:szCs w:val="20"/>
        </w:rPr>
        <w:t>PCBUs</w:t>
      </w:r>
      <w:r w:rsidR="003E7CB2">
        <w:rPr>
          <w:rFonts w:ascii="Verdana" w:hAnsi="Verdana"/>
          <w:sz w:val="20"/>
          <w:szCs w:val="20"/>
        </w:rPr>
        <w:t>)</w:t>
      </w:r>
      <w:r w:rsidR="00516C66">
        <w:rPr>
          <w:rFonts w:ascii="Verdana" w:hAnsi="Verdana"/>
          <w:sz w:val="20"/>
          <w:szCs w:val="20"/>
        </w:rPr>
        <w:t xml:space="preserve"> </w:t>
      </w:r>
      <w:r w:rsidR="00D5233F">
        <w:rPr>
          <w:rFonts w:ascii="Verdana" w:hAnsi="Verdana"/>
          <w:sz w:val="20"/>
          <w:szCs w:val="20"/>
        </w:rPr>
        <w:t>at a workplace in which the abovementioned workers are carrying out</w:t>
      </w:r>
      <w:r w:rsidR="003E7CB2">
        <w:rPr>
          <w:rFonts w:ascii="Verdana" w:hAnsi="Verdana"/>
          <w:sz w:val="20"/>
          <w:szCs w:val="20"/>
        </w:rPr>
        <w:t xml:space="preserve"> the</w:t>
      </w:r>
      <w:r w:rsidR="00D5233F">
        <w:rPr>
          <w:rFonts w:ascii="Verdana" w:hAnsi="Verdana"/>
          <w:sz w:val="20"/>
          <w:szCs w:val="20"/>
        </w:rPr>
        <w:t xml:space="preserve"> </w:t>
      </w:r>
      <w:r w:rsidR="003E7CB2">
        <w:rPr>
          <w:rFonts w:ascii="Verdana" w:hAnsi="Verdana"/>
          <w:sz w:val="20"/>
          <w:szCs w:val="20"/>
        </w:rPr>
        <w:t xml:space="preserve">relevant </w:t>
      </w:r>
      <w:r w:rsidR="00D5233F">
        <w:rPr>
          <w:rFonts w:ascii="Verdana" w:hAnsi="Verdana"/>
          <w:sz w:val="20"/>
          <w:szCs w:val="20"/>
        </w:rPr>
        <w:t xml:space="preserve">high risk work. </w:t>
      </w:r>
    </w:p>
    <w:p w:rsidR="009A3956" w:rsidRDefault="009A3956" w:rsidP="006B3682">
      <w:pPr>
        <w:jc w:val="both"/>
        <w:rPr>
          <w:rFonts w:ascii="Verdana" w:hAnsi="Verdana"/>
          <w:sz w:val="20"/>
          <w:szCs w:val="20"/>
        </w:rPr>
      </w:pPr>
    </w:p>
    <w:p w:rsidR="007D1C9E" w:rsidRDefault="007D1C9E" w:rsidP="006B3682">
      <w:pPr>
        <w:jc w:val="both"/>
        <w:rPr>
          <w:rFonts w:ascii="Verdana" w:hAnsi="Verdana"/>
          <w:sz w:val="20"/>
          <w:szCs w:val="20"/>
        </w:rPr>
      </w:pPr>
      <w:r>
        <w:rPr>
          <w:rFonts w:ascii="Verdana" w:hAnsi="Verdana"/>
          <w:sz w:val="20"/>
          <w:szCs w:val="20"/>
        </w:rPr>
        <w:t>Regulation 686 provides that the regulator may exempt a person or class of persons from compliance with the WHS Regulations requiring the person or class of persons to hold a high risk work licence.</w:t>
      </w:r>
      <w:r w:rsidR="00B90753">
        <w:rPr>
          <w:rFonts w:ascii="Verdana" w:hAnsi="Verdana"/>
          <w:sz w:val="20"/>
          <w:szCs w:val="20"/>
        </w:rPr>
        <w:t xml:space="preserve"> The exemption</w:t>
      </w:r>
      <w:r w:rsidR="00F64BA9">
        <w:rPr>
          <w:rFonts w:ascii="Verdana" w:hAnsi="Verdana"/>
          <w:sz w:val="20"/>
          <w:szCs w:val="20"/>
        </w:rPr>
        <w:t>s</w:t>
      </w:r>
      <w:r w:rsidR="00B90753">
        <w:rPr>
          <w:rFonts w:ascii="Verdana" w:hAnsi="Verdana"/>
          <w:sz w:val="20"/>
          <w:szCs w:val="20"/>
        </w:rPr>
        <w:t xml:space="preserve"> applying to the abovementioned persons who must hold a high risk work licence (</w:t>
      </w:r>
      <w:r w:rsidR="00B90753">
        <w:rPr>
          <w:rFonts w:ascii="Verdana" w:hAnsi="Verdana"/>
          <w:b/>
          <w:sz w:val="20"/>
          <w:szCs w:val="20"/>
        </w:rPr>
        <w:t>the HRW licence exemption</w:t>
      </w:r>
      <w:r w:rsidR="004C5F38">
        <w:rPr>
          <w:rFonts w:ascii="Verdana" w:hAnsi="Verdana"/>
          <w:b/>
          <w:sz w:val="20"/>
          <w:szCs w:val="20"/>
        </w:rPr>
        <w:t>s</w:t>
      </w:r>
      <w:r w:rsidR="00B90753">
        <w:rPr>
          <w:rFonts w:ascii="Verdana" w:hAnsi="Verdana"/>
          <w:sz w:val="20"/>
          <w:szCs w:val="20"/>
        </w:rPr>
        <w:t>)</w:t>
      </w:r>
      <w:r w:rsidR="00B90753">
        <w:rPr>
          <w:rFonts w:ascii="Verdana" w:hAnsi="Verdana"/>
          <w:b/>
          <w:sz w:val="20"/>
          <w:szCs w:val="20"/>
        </w:rPr>
        <w:t xml:space="preserve"> </w:t>
      </w:r>
      <w:r w:rsidR="00B90753">
        <w:rPr>
          <w:rFonts w:ascii="Verdana" w:hAnsi="Verdana"/>
          <w:sz w:val="20"/>
          <w:szCs w:val="20"/>
        </w:rPr>
        <w:t>will apply to them as a class.</w:t>
      </w:r>
    </w:p>
    <w:p w:rsidR="007D1C9E" w:rsidRDefault="007D1C9E" w:rsidP="006B3682">
      <w:pPr>
        <w:jc w:val="both"/>
        <w:rPr>
          <w:rFonts w:ascii="Verdana" w:hAnsi="Verdana"/>
          <w:sz w:val="20"/>
          <w:szCs w:val="20"/>
        </w:rPr>
      </w:pPr>
    </w:p>
    <w:p w:rsidR="007D1C9E" w:rsidRDefault="001944D2" w:rsidP="006B3682">
      <w:pPr>
        <w:jc w:val="both"/>
        <w:rPr>
          <w:rFonts w:ascii="Verdana" w:hAnsi="Verdana"/>
          <w:sz w:val="20"/>
          <w:szCs w:val="20"/>
        </w:rPr>
      </w:pPr>
      <w:r w:rsidRPr="00544B97">
        <w:rPr>
          <w:rFonts w:ascii="Verdana" w:hAnsi="Verdana"/>
          <w:sz w:val="20"/>
          <w:szCs w:val="20"/>
        </w:rPr>
        <w:t xml:space="preserve">Regulation 684 provides that the </w:t>
      </w:r>
      <w:r>
        <w:rPr>
          <w:rFonts w:ascii="Verdana" w:hAnsi="Verdana"/>
          <w:sz w:val="20"/>
          <w:szCs w:val="20"/>
        </w:rPr>
        <w:t>r</w:t>
      </w:r>
      <w:r w:rsidRPr="00544B97">
        <w:rPr>
          <w:rFonts w:ascii="Verdana" w:hAnsi="Verdana"/>
          <w:sz w:val="20"/>
          <w:szCs w:val="20"/>
        </w:rPr>
        <w:t>egulator may exempt a person or class of persons from compliance with any of the regu</w:t>
      </w:r>
      <w:r w:rsidR="007D1C9E">
        <w:rPr>
          <w:rFonts w:ascii="Verdana" w:hAnsi="Verdana"/>
          <w:sz w:val="20"/>
          <w:szCs w:val="20"/>
        </w:rPr>
        <w:t>lations in the WHS Regulations other than a provision requiring a person to hold a high risk work licence</w:t>
      </w:r>
      <w:r w:rsidR="007C79C0">
        <w:rPr>
          <w:rFonts w:ascii="Verdana" w:hAnsi="Verdana"/>
          <w:sz w:val="20"/>
          <w:szCs w:val="20"/>
        </w:rPr>
        <w:t xml:space="preserve"> (among other things)</w:t>
      </w:r>
      <w:r w:rsidR="007D1C9E">
        <w:rPr>
          <w:rFonts w:ascii="Verdana" w:hAnsi="Verdana"/>
          <w:sz w:val="20"/>
          <w:szCs w:val="20"/>
        </w:rPr>
        <w:t>.</w:t>
      </w:r>
      <w:r w:rsidR="00B90753">
        <w:rPr>
          <w:rFonts w:ascii="Verdana" w:hAnsi="Verdana"/>
          <w:sz w:val="20"/>
          <w:szCs w:val="20"/>
        </w:rPr>
        <w:t xml:space="preserve"> The exemption</w:t>
      </w:r>
      <w:r w:rsidR="00F64BA9">
        <w:rPr>
          <w:rFonts w:ascii="Verdana" w:hAnsi="Verdana"/>
          <w:sz w:val="20"/>
          <w:szCs w:val="20"/>
        </w:rPr>
        <w:t>s</w:t>
      </w:r>
      <w:r w:rsidR="00B90753">
        <w:rPr>
          <w:rFonts w:ascii="Verdana" w:hAnsi="Verdana"/>
          <w:sz w:val="20"/>
          <w:szCs w:val="20"/>
        </w:rPr>
        <w:t xml:space="preserve"> applying to the abovementioned PCBUs (</w:t>
      </w:r>
      <w:r w:rsidR="00B90753">
        <w:rPr>
          <w:rFonts w:ascii="Verdana" w:hAnsi="Verdana"/>
          <w:b/>
          <w:sz w:val="20"/>
          <w:szCs w:val="20"/>
        </w:rPr>
        <w:t>the general exemption</w:t>
      </w:r>
      <w:r w:rsidR="004C5F38">
        <w:rPr>
          <w:rFonts w:ascii="Verdana" w:hAnsi="Verdana"/>
          <w:b/>
          <w:sz w:val="20"/>
          <w:szCs w:val="20"/>
        </w:rPr>
        <w:t>s</w:t>
      </w:r>
      <w:r w:rsidR="00B90753">
        <w:rPr>
          <w:rFonts w:ascii="Verdana" w:hAnsi="Verdana"/>
          <w:sz w:val="20"/>
          <w:szCs w:val="20"/>
        </w:rPr>
        <w:t>)</w:t>
      </w:r>
      <w:r w:rsidR="00B90753">
        <w:rPr>
          <w:rFonts w:ascii="Verdana" w:hAnsi="Verdana"/>
          <w:b/>
          <w:sz w:val="20"/>
          <w:szCs w:val="20"/>
        </w:rPr>
        <w:t xml:space="preserve"> </w:t>
      </w:r>
      <w:r w:rsidR="00B90753">
        <w:rPr>
          <w:rFonts w:ascii="Verdana" w:hAnsi="Verdana"/>
          <w:sz w:val="20"/>
          <w:szCs w:val="20"/>
        </w:rPr>
        <w:t>will apply to them as a class.</w:t>
      </w:r>
    </w:p>
    <w:p w:rsidR="00A15E37" w:rsidRDefault="00A15E37" w:rsidP="006B3682">
      <w:pPr>
        <w:jc w:val="both"/>
        <w:rPr>
          <w:rFonts w:ascii="Verdana" w:hAnsi="Verdana"/>
          <w:sz w:val="20"/>
          <w:szCs w:val="20"/>
        </w:rPr>
      </w:pPr>
    </w:p>
    <w:p w:rsidR="00A15E37" w:rsidRDefault="00A15E37" w:rsidP="006B3682">
      <w:pPr>
        <w:jc w:val="both"/>
        <w:rPr>
          <w:rFonts w:ascii="Verdana" w:hAnsi="Verdana"/>
          <w:sz w:val="20"/>
          <w:szCs w:val="20"/>
        </w:rPr>
      </w:pPr>
      <w:r>
        <w:rPr>
          <w:rFonts w:ascii="Verdana" w:hAnsi="Verdana"/>
          <w:sz w:val="20"/>
          <w:szCs w:val="20"/>
        </w:rPr>
        <w:t xml:space="preserve">Because the exemption instrument applies to classes of persons, it is a legislative instrument </w:t>
      </w:r>
      <w:r w:rsidRPr="00544B97">
        <w:rPr>
          <w:rFonts w:ascii="Verdana" w:hAnsi="Verdana"/>
          <w:sz w:val="20"/>
          <w:szCs w:val="20"/>
        </w:rPr>
        <w:t xml:space="preserve">within the meaning of the </w:t>
      </w:r>
      <w:r w:rsidRPr="00544B97">
        <w:rPr>
          <w:rFonts w:ascii="Verdana" w:hAnsi="Verdana"/>
          <w:i/>
          <w:sz w:val="20"/>
          <w:szCs w:val="20"/>
        </w:rPr>
        <w:t>Legislative Instruments Act 2003</w:t>
      </w:r>
      <w:r>
        <w:rPr>
          <w:rFonts w:ascii="Verdana" w:hAnsi="Verdana"/>
          <w:sz w:val="20"/>
          <w:szCs w:val="20"/>
        </w:rPr>
        <w:t xml:space="preserve"> as provided by </w:t>
      </w:r>
      <w:proofErr w:type="spellStart"/>
      <w:r>
        <w:rPr>
          <w:rFonts w:ascii="Verdana" w:hAnsi="Verdana"/>
          <w:sz w:val="20"/>
          <w:szCs w:val="20"/>
        </w:rPr>
        <w:t>s</w:t>
      </w:r>
      <w:r w:rsidRPr="00544B97">
        <w:rPr>
          <w:rFonts w:ascii="Verdana" w:hAnsi="Verdana"/>
          <w:sz w:val="20"/>
          <w:szCs w:val="20"/>
        </w:rPr>
        <w:t>ubregulation</w:t>
      </w:r>
      <w:proofErr w:type="spellEnd"/>
      <w:r w:rsidRPr="00544B97">
        <w:rPr>
          <w:rFonts w:ascii="Verdana" w:hAnsi="Verdana"/>
          <w:sz w:val="20"/>
          <w:szCs w:val="20"/>
        </w:rPr>
        <w:t xml:space="preserve"> 692(2) of the WHS Regulations</w:t>
      </w:r>
      <w:r>
        <w:rPr>
          <w:rFonts w:ascii="Verdana" w:hAnsi="Verdana"/>
          <w:sz w:val="20"/>
          <w:szCs w:val="20"/>
        </w:rPr>
        <w:t>.</w:t>
      </w:r>
    </w:p>
    <w:p w:rsidR="007D1C9E" w:rsidRDefault="007D1C9E" w:rsidP="006B3682">
      <w:pPr>
        <w:jc w:val="both"/>
        <w:rPr>
          <w:rFonts w:ascii="Verdana" w:hAnsi="Verdana"/>
          <w:sz w:val="20"/>
          <w:szCs w:val="20"/>
        </w:rPr>
      </w:pPr>
    </w:p>
    <w:p w:rsidR="001944D2" w:rsidRPr="00544B97" w:rsidRDefault="00A15E37" w:rsidP="006B3682">
      <w:pPr>
        <w:jc w:val="both"/>
        <w:rPr>
          <w:rFonts w:ascii="Verdana" w:hAnsi="Verdana"/>
          <w:sz w:val="20"/>
          <w:szCs w:val="20"/>
        </w:rPr>
      </w:pPr>
      <w:r>
        <w:rPr>
          <w:rFonts w:ascii="Verdana" w:hAnsi="Verdana"/>
          <w:sz w:val="20"/>
          <w:szCs w:val="20"/>
        </w:rPr>
        <w:t xml:space="preserve">The exemptions </w:t>
      </w:r>
      <w:r w:rsidR="003F0FA6">
        <w:rPr>
          <w:rFonts w:ascii="Verdana" w:hAnsi="Verdana"/>
          <w:sz w:val="20"/>
          <w:szCs w:val="20"/>
        </w:rPr>
        <w:t>are granted subject</w:t>
      </w:r>
      <w:r>
        <w:rPr>
          <w:rFonts w:ascii="Verdana" w:hAnsi="Verdana"/>
          <w:sz w:val="20"/>
          <w:szCs w:val="20"/>
        </w:rPr>
        <w:t xml:space="preserve"> to conditions. In this regard, r</w:t>
      </w:r>
      <w:r w:rsidR="001E1073">
        <w:rPr>
          <w:rFonts w:ascii="Verdana" w:hAnsi="Verdana"/>
          <w:sz w:val="20"/>
          <w:szCs w:val="20"/>
        </w:rPr>
        <w:t>egulation 691 provides that the regulator may impose any conditions it considers appropriate on an exemption.</w:t>
      </w:r>
    </w:p>
    <w:p w:rsidR="00510DC6" w:rsidRDefault="00510DC6" w:rsidP="00510DC6">
      <w:pPr>
        <w:jc w:val="both"/>
        <w:rPr>
          <w:rFonts w:ascii="Verdana" w:hAnsi="Verdana"/>
          <w:sz w:val="20"/>
          <w:szCs w:val="20"/>
        </w:rPr>
      </w:pPr>
    </w:p>
    <w:p w:rsidR="00510DC6" w:rsidRPr="00510DC6" w:rsidRDefault="00500DA8" w:rsidP="00510DC6">
      <w:pPr>
        <w:spacing w:after="120"/>
        <w:jc w:val="both"/>
        <w:rPr>
          <w:rFonts w:ascii="Verdana" w:hAnsi="Verdana"/>
          <w:b/>
          <w:sz w:val="20"/>
          <w:szCs w:val="20"/>
        </w:rPr>
      </w:pPr>
      <w:r>
        <w:rPr>
          <w:rFonts w:ascii="Verdana" w:hAnsi="Verdana"/>
          <w:b/>
          <w:sz w:val="20"/>
          <w:szCs w:val="20"/>
        </w:rPr>
        <w:t>The</w:t>
      </w:r>
      <w:r w:rsidR="00510DC6">
        <w:rPr>
          <w:rFonts w:ascii="Verdana" w:hAnsi="Verdana"/>
          <w:b/>
          <w:sz w:val="20"/>
          <w:szCs w:val="20"/>
        </w:rPr>
        <w:t xml:space="preserve"> exemptions</w:t>
      </w:r>
    </w:p>
    <w:p w:rsidR="007C79C0" w:rsidRPr="007C79C0" w:rsidRDefault="007C79C0" w:rsidP="00CC0857">
      <w:pPr>
        <w:tabs>
          <w:tab w:val="left" w:pos="567"/>
        </w:tabs>
        <w:spacing w:after="120"/>
        <w:ind w:right="28"/>
        <w:jc w:val="both"/>
        <w:rPr>
          <w:rFonts w:ascii="Verdana" w:hAnsi="Verdana"/>
          <w:sz w:val="20"/>
          <w:szCs w:val="20"/>
        </w:rPr>
      </w:pPr>
      <w:r>
        <w:rPr>
          <w:rFonts w:ascii="Verdana" w:hAnsi="Verdana"/>
          <w:sz w:val="20"/>
          <w:szCs w:val="20"/>
        </w:rPr>
        <w:t xml:space="preserve">As indicated above, </w:t>
      </w:r>
      <w:r w:rsidR="00A15E37">
        <w:rPr>
          <w:rFonts w:ascii="Verdana" w:hAnsi="Verdana"/>
          <w:sz w:val="20"/>
          <w:szCs w:val="20"/>
        </w:rPr>
        <w:t>the exemption instrument grants HRW licence exemption</w:t>
      </w:r>
      <w:r w:rsidR="00F64BA9">
        <w:rPr>
          <w:rFonts w:ascii="Verdana" w:hAnsi="Verdana"/>
          <w:sz w:val="20"/>
          <w:szCs w:val="20"/>
        </w:rPr>
        <w:t>s and general exemptions.</w:t>
      </w:r>
    </w:p>
    <w:p w:rsidR="00500DA8" w:rsidRPr="00CC0857" w:rsidRDefault="0052746C" w:rsidP="00CC0857">
      <w:pPr>
        <w:tabs>
          <w:tab w:val="left" w:pos="567"/>
        </w:tabs>
        <w:spacing w:after="120"/>
        <w:ind w:right="28"/>
        <w:jc w:val="both"/>
        <w:rPr>
          <w:rFonts w:ascii="Verdana" w:hAnsi="Verdana"/>
          <w:sz w:val="20"/>
          <w:szCs w:val="20"/>
          <w:u w:val="single"/>
        </w:rPr>
      </w:pPr>
      <w:r>
        <w:rPr>
          <w:rFonts w:ascii="Verdana" w:hAnsi="Verdana"/>
          <w:sz w:val="20"/>
          <w:szCs w:val="20"/>
          <w:u w:val="single"/>
        </w:rPr>
        <w:t>HRW licence exemption</w:t>
      </w:r>
      <w:r w:rsidR="00F64BA9">
        <w:rPr>
          <w:rFonts w:ascii="Verdana" w:hAnsi="Verdana"/>
          <w:sz w:val="20"/>
          <w:szCs w:val="20"/>
          <w:u w:val="single"/>
        </w:rPr>
        <w:t>s</w:t>
      </w:r>
    </w:p>
    <w:p w:rsidR="004C5F38" w:rsidRDefault="008E0C1E" w:rsidP="00DD04E5">
      <w:pPr>
        <w:tabs>
          <w:tab w:val="left" w:pos="567"/>
        </w:tabs>
        <w:ind w:right="28"/>
        <w:jc w:val="both"/>
        <w:rPr>
          <w:rFonts w:ascii="Verdana" w:hAnsi="Verdana"/>
          <w:sz w:val="20"/>
          <w:szCs w:val="20"/>
        </w:rPr>
      </w:pPr>
      <w:r w:rsidRPr="00F64BA9">
        <w:rPr>
          <w:rFonts w:ascii="Verdana" w:hAnsi="Verdana"/>
          <w:sz w:val="20"/>
          <w:szCs w:val="20"/>
        </w:rPr>
        <w:t xml:space="preserve">Under </w:t>
      </w:r>
      <w:r w:rsidR="004C5F38">
        <w:rPr>
          <w:rFonts w:ascii="Verdana" w:hAnsi="Verdana"/>
          <w:sz w:val="20"/>
          <w:szCs w:val="20"/>
        </w:rPr>
        <w:t xml:space="preserve">regulation 81 of </w:t>
      </w:r>
      <w:r w:rsidRPr="00F64BA9">
        <w:rPr>
          <w:rFonts w:ascii="Verdana" w:hAnsi="Verdana"/>
          <w:sz w:val="20"/>
          <w:szCs w:val="20"/>
        </w:rPr>
        <w:t xml:space="preserve">the WHS Regulations, a </w:t>
      </w:r>
      <w:r w:rsidR="00AC2629" w:rsidRPr="00F64BA9">
        <w:rPr>
          <w:rFonts w:ascii="Verdana" w:hAnsi="Verdana"/>
          <w:sz w:val="20"/>
          <w:szCs w:val="20"/>
        </w:rPr>
        <w:t>person</w:t>
      </w:r>
      <w:r w:rsidRPr="00F64BA9">
        <w:rPr>
          <w:rFonts w:ascii="Verdana" w:hAnsi="Verdana"/>
          <w:sz w:val="20"/>
          <w:szCs w:val="20"/>
        </w:rPr>
        <w:t xml:space="preserve"> must</w:t>
      </w:r>
      <w:r w:rsidR="004C5F38">
        <w:rPr>
          <w:rFonts w:ascii="Verdana" w:hAnsi="Verdana"/>
          <w:sz w:val="20"/>
          <w:szCs w:val="20"/>
        </w:rPr>
        <w:t xml:space="preserve"> not carry out a class of high risk work unless the person holds a high risk work licence for that class of high risk work.</w:t>
      </w:r>
    </w:p>
    <w:p w:rsidR="004C5F38" w:rsidRDefault="004C5F38" w:rsidP="008E0C1E">
      <w:pPr>
        <w:tabs>
          <w:tab w:val="left" w:pos="567"/>
        </w:tabs>
        <w:ind w:right="26"/>
        <w:jc w:val="both"/>
        <w:rPr>
          <w:rFonts w:ascii="Verdana" w:hAnsi="Verdana"/>
          <w:sz w:val="20"/>
          <w:szCs w:val="20"/>
        </w:rPr>
      </w:pPr>
    </w:p>
    <w:p w:rsidR="00DC75E0" w:rsidRDefault="004C5F38" w:rsidP="008E0C1E">
      <w:pPr>
        <w:tabs>
          <w:tab w:val="left" w:pos="567"/>
        </w:tabs>
        <w:ind w:right="26"/>
        <w:jc w:val="both"/>
        <w:rPr>
          <w:rFonts w:ascii="Verdana" w:hAnsi="Verdana"/>
          <w:sz w:val="20"/>
          <w:szCs w:val="20"/>
        </w:rPr>
      </w:pPr>
      <w:r>
        <w:rPr>
          <w:rFonts w:ascii="Verdana" w:hAnsi="Verdana"/>
          <w:sz w:val="20"/>
          <w:szCs w:val="20"/>
        </w:rPr>
        <w:t xml:space="preserve">Among other things, the WHS Regulations require a person to </w:t>
      </w:r>
      <w:r w:rsidR="008E0C1E" w:rsidRPr="00F64BA9">
        <w:rPr>
          <w:rFonts w:ascii="Verdana" w:hAnsi="Verdana"/>
          <w:sz w:val="20"/>
          <w:szCs w:val="20"/>
        </w:rPr>
        <w:t xml:space="preserve">hold a </w:t>
      </w:r>
      <w:r w:rsidR="00AC2629" w:rsidRPr="00F64BA9">
        <w:rPr>
          <w:rFonts w:ascii="Verdana" w:hAnsi="Verdana"/>
          <w:sz w:val="20"/>
          <w:szCs w:val="20"/>
        </w:rPr>
        <w:t>high risk work</w:t>
      </w:r>
      <w:r w:rsidR="008E0C1E" w:rsidRPr="00F64BA9">
        <w:rPr>
          <w:rFonts w:ascii="Verdana" w:hAnsi="Verdana"/>
          <w:sz w:val="20"/>
          <w:szCs w:val="20"/>
        </w:rPr>
        <w:t xml:space="preserve"> licence to </w:t>
      </w:r>
      <w:r>
        <w:rPr>
          <w:rFonts w:ascii="Verdana" w:hAnsi="Verdana"/>
          <w:sz w:val="20"/>
          <w:szCs w:val="20"/>
        </w:rPr>
        <w:t xml:space="preserve">carry out </w:t>
      </w:r>
      <w:r w:rsidR="005D1F84">
        <w:rPr>
          <w:rFonts w:ascii="Verdana" w:hAnsi="Verdana"/>
          <w:sz w:val="20"/>
          <w:szCs w:val="20"/>
        </w:rPr>
        <w:t xml:space="preserve">work involving the use of </w:t>
      </w:r>
      <w:r w:rsidR="008E0C1E" w:rsidRPr="00F64BA9">
        <w:rPr>
          <w:rFonts w:ascii="Verdana" w:hAnsi="Verdana"/>
          <w:sz w:val="20"/>
          <w:szCs w:val="20"/>
        </w:rPr>
        <w:t>a vehicle loading crane, a non</w:t>
      </w:r>
      <w:r w:rsidR="003F0FA6">
        <w:rPr>
          <w:rFonts w:ascii="Verdana" w:hAnsi="Verdana"/>
          <w:sz w:val="20"/>
          <w:szCs w:val="20"/>
        </w:rPr>
        <w:noBreakHyphen/>
      </w:r>
      <w:r w:rsidR="008E0C1E" w:rsidRPr="00F64BA9">
        <w:rPr>
          <w:rFonts w:ascii="Verdana" w:hAnsi="Verdana"/>
          <w:sz w:val="20"/>
          <w:szCs w:val="20"/>
        </w:rPr>
        <w:t xml:space="preserve">slewing mobile crane, and slewing mobile cranes with various capacities ranging from 20 tonnes or less to over 100 tonnes. </w:t>
      </w:r>
    </w:p>
    <w:p w:rsidR="00DC75E0" w:rsidRDefault="00DC75E0" w:rsidP="008E0C1E">
      <w:pPr>
        <w:tabs>
          <w:tab w:val="left" w:pos="567"/>
        </w:tabs>
        <w:ind w:right="26"/>
        <w:jc w:val="both"/>
        <w:rPr>
          <w:rFonts w:ascii="Verdana" w:hAnsi="Verdana"/>
          <w:sz w:val="20"/>
          <w:szCs w:val="20"/>
        </w:rPr>
      </w:pPr>
    </w:p>
    <w:p w:rsidR="008E0C1E" w:rsidRDefault="00DC75E0" w:rsidP="008E0C1E">
      <w:pPr>
        <w:tabs>
          <w:tab w:val="left" w:pos="567"/>
        </w:tabs>
        <w:ind w:right="26"/>
        <w:jc w:val="both"/>
        <w:rPr>
          <w:rFonts w:ascii="Verdana" w:hAnsi="Verdana"/>
          <w:sz w:val="20"/>
          <w:szCs w:val="20"/>
        </w:rPr>
      </w:pPr>
      <w:r>
        <w:rPr>
          <w:rFonts w:ascii="Verdana" w:hAnsi="Verdana"/>
          <w:sz w:val="20"/>
          <w:szCs w:val="20"/>
        </w:rPr>
        <w:t>I</w:t>
      </w:r>
      <w:r w:rsidR="00F65192">
        <w:rPr>
          <w:rFonts w:ascii="Verdana" w:hAnsi="Verdana"/>
          <w:sz w:val="20"/>
          <w:szCs w:val="20"/>
        </w:rPr>
        <w:t>tems 13 to 18 of Sc</w:t>
      </w:r>
      <w:r>
        <w:rPr>
          <w:rFonts w:ascii="Verdana" w:hAnsi="Verdana"/>
          <w:sz w:val="20"/>
          <w:szCs w:val="20"/>
        </w:rPr>
        <w:t xml:space="preserve">hedule 3 of the WHS Regulations refer to these licences and the scope of high risk work covered by each licence. Items 13 to 18 of </w:t>
      </w:r>
      <w:r w:rsidR="008E0C1E" w:rsidRPr="00F64BA9">
        <w:rPr>
          <w:rFonts w:ascii="Verdana" w:hAnsi="Verdana"/>
          <w:sz w:val="20"/>
          <w:szCs w:val="20"/>
        </w:rPr>
        <w:lastRenderedPageBreak/>
        <w:t>Schedule</w:t>
      </w:r>
      <w:r>
        <w:rPr>
          <w:rFonts w:ascii="Verdana" w:hAnsi="Verdana"/>
          <w:sz w:val="20"/>
          <w:szCs w:val="20"/>
        </w:rPr>
        <w:t> </w:t>
      </w:r>
      <w:r w:rsidR="008E0C1E" w:rsidRPr="00F64BA9">
        <w:rPr>
          <w:rFonts w:ascii="Verdana" w:hAnsi="Verdana"/>
          <w:sz w:val="20"/>
          <w:szCs w:val="20"/>
        </w:rPr>
        <w:t xml:space="preserve">4 </w:t>
      </w:r>
      <w:r>
        <w:rPr>
          <w:rFonts w:ascii="Verdana" w:hAnsi="Verdana"/>
          <w:sz w:val="20"/>
          <w:szCs w:val="20"/>
        </w:rPr>
        <w:t>specify</w:t>
      </w:r>
      <w:r w:rsidR="003F0FA6">
        <w:rPr>
          <w:rFonts w:ascii="Verdana" w:hAnsi="Verdana"/>
          <w:sz w:val="20"/>
          <w:szCs w:val="20"/>
        </w:rPr>
        <w:t xml:space="preserve"> the training (‘VET course’) a person must undertake to qualify for </w:t>
      </w:r>
      <w:r>
        <w:rPr>
          <w:rFonts w:ascii="Verdana" w:hAnsi="Verdana"/>
          <w:sz w:val="20"/>
          <w:szCs w:val="20"/>
        </w:rPr>
        <w:t>these licences.</w:t>
      </w:r>
    </w:p>
    <w:p w:rsidR="00DC75E0" w:rsidRDefault="00DC75E0" w:rsidP="008E0C1E">
      <w:pPr>
        <w:tabs>
          <w:tab w:val="left" w:pos="567"/>
        </w:tabs>
        <w:ind w:right="26"/>
        <w:jc w:val="both"/>
        <w:rPr>
          <w:rFonts w:ascii="Verdana" w:hAnsi="Verdana"/>
          <w:sz w:val="20"/>
          <w:szCs w:val="20"/>
        </w:rPr>
      </w:pPr>
    </w:p>
    <w:p w:rsidR="00486F05" w:rsidRDefault="008E0C1E" w:rsidP="008E0C1E">
      <w:pPr>
        <w:tabs>
          <w:tab w:val="left" w:pos="567"/>
        </w:tabs>
        <w:ind w:right="26"/>
        <w:jc w:val="both"/>
        <w:rPr>
          <w:rFonts w:ascii="Verdana" w:hAnsi="Verdana"/>
          <w:sz w:val="20"/>
          <w:szCs w:val="20"/>
        </w:rPr>
      </w:pPr>
      <w:r w:rsidRPr="00F64BA9">
        <w:rPr>
          <w:rFonts w:ascii="Verdana" w:hAnsi="Verdana"/>
          <w:sz w:val="20"/>
          <w:szCs w:val="20"/>
        </w:rPr>
        <w:t>A much higher</w:t>
      </w:r>
      <w:r w:rsidRPr="008E0C1E">
        <w:rPr>
          <w:rFonts w:ascii="Verdana" w:hAnsi="Verdana"/>
          <w:sz w:val="20"/>
          <w:szCs w:val="20"/>
        </w:rPr>
        <w:t xml:space="preserve"> level of skill is required to operate a slewing mobile crane than for a vehicle loading crane and a non</w:t>
      </w:r>
      <w:r w:rsidR="00B851FB">
        <w:rPr>
          <w:rFonts w:ascii="Verdana" w:hAnsi="Verdana"/>
          <w:sz w:val="20"/>
          <w:szCs w:val="20"/>
        </w:rPr>
        <w:noBreakHyphen/>
      </w:r>
      <w:r w:rsidRPr="008E0C1E">
        <w:rPr>
          <w:rFonts w:ascii="Verdana" w:hAnsi="Verdana"/>
          <w:sz w:val="20"/>
          <w:szCs w:val="20"/>
        </w:rPr>
        <w:t xml:space="preserve">slewing mobile crane. Furthermore, a person with a </w:t>
      </w:r>
      <w:r w:rsidR="00B851FB">
        <w:rPr>
          <w:rFonts w:ascii="Verdana" w:hAnsi="Verdana"/>
          <w:sz w:val="20"/>
          <w:szCs w:val="20"/>
        </w:rPr>
        <w:t>high risk work</w:t>
      </w:r>
      <w:r w:rsidRPr="008E0C1E">
        <w:rPr>
          <w:rFonts w:ascii="Verdana" w:hAnsi="Verdana"/>
          <w:sz w:val="20"/>
          <w:szCs w:val="20"/>
        </w:rPr>
        <w:t xml:space="preserve"> licence to operate a slewing mobile crane having a certain capacity has the skill to operate slewing mobile cranes with lower capacities. </w:t>
      </w:r>
    </w:p>
    <w:p w:rsidR="00486F05" w:rsidRDefault="00486F05" w:rsidP="008E0C1E">
      <w:pPr>
        <w:tabs>
          <w:tab w:val="left" w:pos="567"/>
        </w:tabs>
        <w:ind w:right="26"/>
        <w:jc w:val="both"/>
        <w:rPr>
          <w:rFonts w:ascii="Verdana" w:hAnsi="Verdana"/>
          <w:sz w:val="20"/>
          <w:szCs w:val="20"/>
        </w:rPr>
      </w:pPr>
    </w:p>
    <w:p w:rsidR="00486F05" w:rsidRPr="00486F05" w:rsidRDefault="00486F05" w:rsidP="008E0C1E">
      <w:pPr>
        <w:tabs>
          <w:tab w:val="left" w:pos="567"/>
        </w:tabs>
        <w:ind w:right="26"/>
        <w:jc w:val="both"/>
        <w:rPr>
          <w:rFonts w:ascii="Verdana" w:hAnsi="Verdana"/>
          <w:sz w:val="20"/>
          <w:szCs w:val="20"/>
        </w:rPr>
      </w:pPr>
      <w:r>
        <w:rPr>
          <w:rFonts w:ascii="Verdana" w:hAnsi="Verdana"/>
          <w:sz w:val="20"/>
          <w:szCs w:val="20"/>
        </w:rPr>
        <w:t xml:space="preserve">Before the </w:t>
      </w:r>
      <w:r>
        <w:rPr>
          <w:rFonts w:ascii="Verdana" w:hAnsi="Verdana"/>
          <w:i/>
          <w:sz w:val="20"/>
          <w:szCs w:val="20"/>
        </w:rPr>
        <w:t xml:space="preserve">Work Health and Safety Act 2011 </w:t>
      </w:r>
      <w:r>
        <w:rPr>
          <w:rFonts w:ascii="Verdana" w:hAnsi="Verdana"/>
          <w:sz w:val="20"/>
          <w:szCs w:val="20"/>
        </w:rPr>
        <w:t>and the WHS Regulations</w:t>
      </w:r>
      <w:r w:rsidR="00020CA3">
        <w:rPr>
          <w:rFonts w:ascii="Verdana" w:hAnsi="Verdana"/>
          <w:sz w:val="20"/>
          <w:szCs w:val="20"/>
        </w:rPr>
        <w:t xml:space="preserve"> (</w:t>
      </w:r>
      <w:r w:rsidR="00020CA3">
        <w:rPr>
          <w:rFonts w:ascii="Verdana" w:hAnsi="Verdana"/>
          <w:b/>
          <w:sz w:val="20"/>
          <w:szCs w:val="20"/>
        </w:rPr>
        <w:t>the WHS legislation</w:t>
      </w:r>
      <w:r w:rsidR="00020CA3">
        <w:rPr>
          <w:rFonts w:ascii="Verdana" w:hAnsi="Verdana"/>
          <w:sz w:val="20"/>
          <w:szCs w:val="20"/>
        </w:rPr>
        <w:t>)</w:t>
      </w:r>
      <w:r>
        <w:rPr>
          <w:rFonts w:ascii="Verdana" w:hAnsi="Verdana"/>
          <w:sz w:val="20"/>
          <w:szCs w:val="20"/>
        </w:rPr>
        <w:t xml:space="preserve"> came into force on 1 January 2012, </w:t>
      </w:r>
      <w:r w:rsidRPr="008E0C1E">
        <w:rPr>
          <w:rFonts w:ascii="Verdana" w:hAnsi="Verdana"/>
          <w:sz w:val="20"/>
          <w:szCs w:val="20"/>
        </w:rPr>
        <w:t>‘encompassment’ arrangements</w:t>
      </w:r>
      <w:r>
        <w:rPr>
          <w:rFonts w:ascii="Verdana" w:hAnsi="Verdana"/>
          <w:sz w:val="20"/>
          <w:szCs w:val="20"/>
        </w:rPr>
        <w:t xml:space="preserve"> were in place in all of the Australian jurisdictions including the Commonwealth. Under these arrangements, </w:t>
      </w:r>
      <w:r w:rsidRPr="008E0C1E">
        <w:rPr>
          <w:rFonts w:ascii="Verdana" w:hAnsi="Verdana"/>
          <w:sz w:val="20"/>
          <w:szCs w:val="20"/>
        </w:rPr>
        <w:t xml:space="preserve">a person would not have to obtain a </w:t>
      </w:r>
      <w:r>
        <w:rPr>
          <w:rFonts w:ascii="Verdana" w:hAnsi="Verdana"/>
          <w:sz w:val="20"/>
          <w:szCs w:val="20"/>
        </w:rPr>
        <w:t>high risk work</w:t>
      </w:r>
      <w:r w:rsidRPr="008E0C1E">
        <w:rPr>
          <w:rFonts w:ascii="Verdana" w:hAnsi="Verdana"/>
          <w:sz w:val="20"/>
          <w:szCs w:val="20"/>
        </w:rPr>
        <w:t xml:space="preserve"> licence to operate a ‘lower</w:t>
      </w:r>
      <w:r w:rsidR="000F6DCC">
        <w:rPr>
          <w:rFonts w:ascii="Verdana" w:hAnsi="Verdana"/>
          <w:sz w:val="20"/>
          <w:szCs w:val="20"/>
        </w:rPr>
        <w:noBreakHyphen/>
      </w:r>
      <w:r w:rsidRPr="008E0C1E">
        <w:rPr>
          <w:rFonts w:ascii="Verdana" w:hAnsi="Verdana"/>
          <w:sz w:val="20"/>
          <w:szCs w:val="20"/>
        </w:rPr>
        <w:t xml:space="preserve">ranking’ crane if the person already held a </w:t>
      </w:r>
      <w:r>
        <w:rPr>
          <w:rFonts w:ascii="Verdana" w:hAnsi="Verdana"/>
          <w:sz w:val="20"/>
          <w:szCs w:val="20"/>
        </w:rPr>
        <w:t>high risk work</w:t>
      </w:r>
      <w:r w:rsidRPr="008E0C1E">
        <w:rPr>
          <w:rFonts w:ascii="Verdana" w:hAnsi="Verdana"/>
          <w:sz w:val="20"/>
          <w:szCs w:val="20"/>
        </w:rPr>
        <w:t xml:space="preserve"> licence for a ‘higher</w:t>
      </w:r>
      <w:r w:rsidR="000F6DCC">
        <w:rPr>
          <w:rFonts w:ascii="Verdana" w:hAnsi="Verdana"/>
          <w:sz w:val="20"/>
          <w:szCs w:val="20"/>
        </w:rPr>
        <w:noBreakHyphen/>
      </w:r>
      <w:r w:rsidRPr="008E0C1E">
        <w:rPr>
          <w:rFonts w:ascii="Verdana" w:hAnsi="Verdana"/>
          <w:sz w:val="20"/>
          <w:szCs w:val="20"/>
        </w:rPr>
        <w:t>ranking’ crane.</w:t>
      </w:r>
    </w:p>
    <w:p w:rsidR="00486F05" w:rsidRDefault="00486F05" w:rsidP="008E0C1E">
      <w:pPr>
        <w:tabs>
          <w:tab w:val="left" w:pos="567"/>
        </w:tabs>
        <w:ind w:right="26"/>
        <w:jc w:val="both"/>
        <w:rPr>
          <w:rFonts w:ascii="Verdana" w:hAnsi="Verdana"/>
          <w:sz w:val="20"/>
          <w:szCs w:val="20"/>
        </w:rPr>
      </w:pPr>
    </w:p>
    <w:p w:rsidR="008E0C1E" w:rsidRDefault="00B851FB" w:rsidP="008E0C1E">
      <w:pPr>
        <w:tabs>
          <w:tab w:val="left" w:pos="567"/>
        </w:tabs>
        <w:ind w:right="26"/>
        <w:jc w:val="both"/>
        <w:rPr>
          <w:rFonts w:ascii="Verdana" w:hAnsi="Verdana"/>
          <w:sz w:val="20"/>
          <w:szCs w:val="20"/>
        </w:rPr>
      </w:pPr>
      <w:r>
        <w:rPr>
          <w:rFonts w:ascii="Verdana" w:hAnsi="Verdana"/>
          <w:sz w:val="20"/>
          <w:szCs w:val="20"/>
        </w:rPr>
        <w:t>Th</w:t>
      </w:r>
      <w:r w:rsidR="00486F05">
        <w:rPr>
          <w:rFonts w:ascii="Verdana" w:hAnsi="Verdana"/>
          <w:sz w:val="20"/>
          <w:szCs w:val="20"/>
        </w:rPr>
        <w:t>ese encompassment arrangements are</w:t>
      </w:r>
      <w:r>
        <w:rPr>
          <w:rFonts w:ascii="Verdana" w:hAnsi="Verdana"/>
          <w:sz w:val="20"/>
          <w:szCs w:val="20"/>
        </w:rPr>
        <w:t xml:space="preserve"> already reflected in the slewing mobile crane licence classes in items 16 and 17 </w:t>
      </w:r>
      <w:r w:rsidR="00480857">
        <w:rPr>
          <w:rFonts w:ascii="Verdana" w:hAnsi="Verdana"/>
          <w:sz w:val="20"/>
          <w:szCs w:val="20"/>
        </w:rPr>
        <w:t xml:space="preserve">of Schedule 3 </w:t>
      </w:r>
      <w:r w:rsidR="00486F05">
        <w:rPr>
          <w:rFonts w:ascii="Verdana" w:hAnsi="Verdana"/>
          <w:sz w:val="20"/>
          <w:szCs w:val="20"/>
        </w:rPr>
        <w:t xml:space="preserve">of the WHS Regulations </w:t>
      </w:r>
      <w:r>
        <w:rPr>
          <w:rFonts w:ascii="Verdana" w:hAnsi="Verdana"/>
          <w:sz w:val="20"/>
          <w:szCs w:val="20"/>
        </w:rPr>
        <w:t xml:space="preserve">which allow persons holding high risk licences to operate slewing mobile cranes </w:t>
      </w:r>
      <w:r w:rsidR="00480857">
        <w:rPr>
          <w:rFonts w:ascii="Verdana" w:hAnsi="Verdana"/>
          <w:sz w:val="20"/>
          <w:szCs w:val="20"/>
        </w:rPr>
        <w:t xml:space="preserve">with </w:t>
      </w:r>
      <w:r>
        <w:rPr>
          <w:rFonts w:ascii="Verdana" w:hAnsi="Verdana"/>
          <w:sz w:val="20"/>
          <w:szCs w:val="20"/>
        </w:rPr>
        <w:t>capacities</w:t>
      </w:r>
      <w:r w:rsidR="00480857">
        <w:rPr>
          <w:rFonts w:ascii="Verdana" w:hAnsi="Verdana"/>
          <w:sz w:val="20"/>
          <w:szCs w:val="20"/>
        </w:rPr>
        <w:t xml:space="preserve"> of</w:t>
      </w:r>
      <w:r>
        <w:rPr>
          <w:rFonts w:ascii="Verdana" w:hAnsi="Verdana"/>
          <w:sz w:val="20"/>
          <w:szCs w:val="20"/>
        </w:rPr>
        <w:t xml:space="preserve"> up to 60 tonnes and 100 tonnes to operate slewing mobile cranes of less than 60 tonnes and 100 tonnes respectively.</w:t>
      </w:r>
      <w:r w:rsidR="005C6AF1">
        <w:rPr>
          <w:rFonts w:ascii="Verdana" w:hAnsi="Verdana"/>
          <w:sz w:val="20"/>
          <w:szCs w:val="20"/>
        </w:rPr>
        <w:t xml:space="preserve"> </w:t>
      </w:r>
    </w:p>
    <w:p w:rsidR="00480857" w:rsidRDefault="00480857" w:rsidP="008E0C1E">
      <w:pPr>
        <w:tabs>
          <w:tab w:val="left" w:pos="567"/>
        </w:tabs>
        <w:ind w:right="26"/>
        <w:jc w:val="both"/>
        <w:rPr>
          <w:rFonts w:ascii="Verdana" w:hAnsi="Verdana"/>
          <w:sz w:val="20"/>
          <w:szCs w:val="20"/>
        </w:rPr>
      </w:pPr>
    </w:p>
    <w:p w:rsidR="00275CC1" w:rsidRDefault="00787996" w:rsidP="00787996">
      <w:pPr>
        <w:tabs>
          <w:tab w:val="left" w:pos="567"/>
        </w:tabs>
        <w:ind w:right="26"/>
        <w:jc w:val="both"/>
        <w:rPr>
          <w:rFonts w:ascii="Verdana" w:hAnsi="Verdana"/>
          <w:sz w:val="20"/>
          <w:szCs w:val="20"/>
        </w:rPr>
      </w:pPr>
      <w:r>
        <w:rPr>
          <w:rFonts w:ascii="Verdana" w:hAnsi="Verdana"/>
          <w:sz w:val="20"/>
          <w:szCs w:val="20"/>
        </w:rPr>
        <w:t>The HRW licence exemptions</w:t>
      </w:r>
      <w:r w:rsidR="00EA480F">
        <w:rPr>
          <w:rFonts w:ascii="Verdana" w:hAnsi="Verdana"/>
          <w:sz w:val="20"/>
          <w:szCs w:val="20"/>
        </w:rPr>
        <w:t xml:space="preserve"> </w:t>
      </w:r>
      <w:r w:rsidR="007A3F61">
        <w:rPr>
          <w:rFonts w:ascii="Verdana" w:hAnsi="Verdana"/>
          <w:sz w:val="20"/>
          <w:szCs w:val="20"/>
        </w:rPr>
        <w:t xml:space="preserve">in the exemption instrument </w:t>
      </w:r>
      <w:r w:rsidR="00D3682F">
        <w:rPr>
          <w:rFonts w:ascii="Verdana" w:hAnsi="Verdana"/>
          <w:sz w:val="20"/>
          <w:szCs w:val="20"/>
        </w:rPr>
        <w:t xml:space="preserve">exempt </w:t>
      </w:r>
      <w:r w:rsidR="00EA480F">
        <w:rPr>
          <w:rFonts w:ascii="Verdana" w:hAnsi="Verdana"/>
          <w:sz w:val="20"/>
          <w:szCs w:val="20"/>
        </w:rPr>
        <w:t xml:space="preserve">a person </w:t>
      </w:r>
      <w:r w:rsidR="00D3682F">
        <w:rPr>
          <w:rFonts w:ascii="Verdana" w:hAnsi="Verdana"/>
          <w:sz w:val="20"/>
          <w:szCs w:val="20"/>
        </w:rPr>
        <w:t xml:space="preserve">from the requirement to hold </w:t>
      </w:r>
      <w:r w:rsidR="00275CC1">
        <w:rPr>
          <w:rFonts w:ascii="Verdana" w:hAnsi="Verdana"/>
          <w:sz w:val="20"/>
          <w:szCs w:val="20"/>
        </w:rPr>
        <w:t>a high risk work licence</w:t>
      </w:r>
      <w:r w:rsidR="007A3F61">
        <w:rPr>
          <w:rFonts w:ascii="Verdana" w:hAnsi="Verdana"/>
          <w:sz w:val="20"/>
          <w:szCs w:val="20"/>
        </w:rPr>
        <w:t xml:space="preserve"> to use the cranes listed in clause 3(a) </w:t>
      </w:r>
      <w:r w:rsidR="00B40740">
        <w:rPr>
          <w:rFonts w:ascii="Verdana" w:hAnsi="Verdana"/>
          <w:sz w:val="20"/>
          <w:szCs w:val="20"/>
        </w:rPr>
        <w:t xml:space="preserve">of the exemption instrument </w:t>
      </w:r>
      <w:r w:rsidR="000F6DCC">
        <w:rPr>
          <w:rFonts w:ascii="Verdana" w:hAnsi="Verdana"/>
          <w:sz w:val="20"/>
          <w:szCs w:val="20"/>
        </w:rPr>
        <w:t>on</w:t>
      </w:r>
      <w:r w:rsidR="00275CC1">
        <w:rPr>
          <w:rFonts w:ascii="Verdana" w:hAnsi="Verdana"/>
          <w:sz w:val="20"/>
          <w:szCs w:val="20"/>
        </w:rPr>
        <w:t xml:space="preserve"> condition that the person already holds a ‘higher</w:t>
      </w:r>
      <w:r w:rsidR="00275CC1">
        <w:rPr>
          <w:rFonts w:ascii="Verdana" w:hAnsi="Verdana"/>
          <w:sz w:val="20"/>
          <w:szCs w:val="20"/>
        </w:rPr>
        <w:noBreakHyphen/>
        <w:t xml:space="preserve">ranking’ high risk work licence that encompasses the work performed. </w:t>
      </w:r>
      <w:r w:rsidR="000F6DCC">
        <w:rPr>
          <w:rFonts w:ascii="Verdana" w:hAnsi="Verdana"/>
          <w:sz w:val="20"/>
          <w:szCs w:val="20"/>
        </w:rPr>
        <w:t xml:space="preserve">The relevant conditions are set out in the table in clause 7.1 of the exemption instrument. </w:t>
      </w:r>
      <w:r w:rsidR="00B51B2F">
        <w:rPr>
          <w:rFonts w:ascii="Verdana" w:hAnsi="Verdana"/>
          <w:sz w:val="20"/>
          <w:szCs w:val="20"/>
        </w:rPr>
        <w:t xml:space="preserve">Paragraph (a) </w:t>
      </w:r>
      <w:r w:rsidR="005D1F84">
        <w:rPr>
          <w:rFonts w:ascii="Verdana" w:hAnsi="Verdana"/>
          <w:sz w:val="20"/>
          <w:szCs w:val="20"/>
        </w:rPr>
        <w:t xml:space="preserve">in each </w:t>
      </w:r>
      <w:r w:rsidR="00B51B2F">
        <w:rPr>
          <w:rFonts w:ascii="Verdana" w:hAnsi="Verdana"/>
          <w:sz w:val="20"/>
          <w:szCs w:val="20"/>
        </w:rPr>
        <w:t>of i</w:t>
      </w:r>
      <w:r w:rsidR="00275CC1">
        <w:rPr>
          <w:rFonts w:ascii="Verdana" w:hAnsi="Verdana"/>
          <w:sz w:val="20"/>
          <w:szCs w:val="20"/>
        </w:rPr>
        <w:t xml:space="preserve">tems 1 to 3 of </w:t>
      </w:r>
      <w:r w:rsidR="000F6DCC">
        <w:rPr>
          <w:rFonts w:ascii="Verdana" w:hAnsi="Verdana"/>
          <w:sz w:val="20"/>
          <w:szCs w:val="20"/>
        </w:rPr>
        <w:t>this table</w:t>
      </w:r>
      <w:r w:rsidR="00275CC1">
        <w:rPr>
          <w:rFonts w:ascii="Verdana" w:hAnsi="Verdana"/>
          <w:sz w:val="20"/>
          <w:szCs w:val="20"/>
        </w:rPr>
        <w:t xml:space="preserve"> </w:t>
      </w:r>
      <w:r w:rsidR="005D1F84">
        <w:rPr>
          <w:rFonts w:ascii="Verdana" w:hAnsi="Verdana"/>
          <w:sz w:val="20"/>
          <w:szCs w:val="20"/>
        </w:rPr>
        <w:t>provide</w:t>
      </w:r>
      <w:r w:rsidR="007A3F61">
        <w:rPr>
          <w:rFonts w:ascii="Verdana" w:hAnsi="Verdana"/>
          <w:sz w:val="20"/>
          <w:szCs w:val="20"/>
        </w:rPr>
        <w:t>s</w:t>
      </w:r>
      <w:r w:rsidR="00B51B2F">
        <w:rPr>
          <w:rFonts w:ascii="Verdana" w:hAnsi="Verdana"/>
          <w:sz w:val="20"/>
          <w:szCs w:val="20"/>
        </w:rPr>
        <w:t xml:space="preserve"> that the exemptions will apply so that a person:</w:t>
      </w:r>
    </w:p>
    <w:p w:rsidR="00B51B2F" w:rsidRDefault="00B51B2F" w:rsidP="00787996">
      <w:pPr>
        <w:tabs>
          <w:tab w:val="left" w:pos="567"/>
        </w:tabs>
        <w:ind w:right="26"/>
        <w:jc w:val="both"/>
        <w:rPr>
          <w:rFonts w:ascii="Verdana" w:hAnsi="Verdana"/>
          <w:sz w:val="20"/>
          <w:szCs w:val="20"/>
        </w:rPr>
      </w:pPr>
    </w:p>
    <w:p w:rsidR="00B51B2F" w:rsidRDefault="00B51B2F" w:rsidP="00B51B2F">
      <w:pPr>
        <w:pStyle w:val="ListParagraph"/>
        <w:numPr>
          <w:ilvl w:val="0"/>
          <w:numId w:val="29"/>
        </w:numPr>
        <w:tabs>
          <w:tab w:val="left" w:pos="567"/>
        </w:tabs>
        <w:ind w:left="567" w:right="26" w:hanging="567"/>
        <w:jc w:val="both"/>
        <w:rPr>
          <w:rFonts w:ascii="Verdana" w:hAnsi="Verdana"/>
          <w:sz w:val="20"/>
          <w:szCs w:val="20"/>
        </w:rPr>
      </w:pPr>
      <w:r>
        <w:rPr>
          <w:rFonts w:ascii="Verdana" w:hAnsi="Verdana"/>
          <w:sz w:val="20"/>
          <w:szCs w:val="20"/>
        </w:rPr>
        <w:t>licensed to operate a slewing mobile crane of any capacity will not have to obtain a separate high risk work licence to operate a vehicle loading crane (item 1) or a non</w:t>
      </w:r>
      <w:r>
        <w:rPr>
          <w:rFonts w:ascii="Verdana" w:hAnsi="Verdana"/>
          <w:sz w:val="20"/>
          <w:szCs w:val="20"/>
        </w:rPr>
        <w:noBreakHyphen/>
        <w:t xml:space="preserve">slewing mobile crane (item 2); </w:t>
      </w:r>
    </w:p>
    <w:p w:rsidR="00B51B2F" w:rsidRDefault="00B51B2F" w:rsidP="00B51B2F">
      <w:pPr>
        <w:pStyle w:val="ListParagraph"/>
        <w:tabs>
          <w:tab w:val="left" w:pos="567"/>
        </w:tabs>
        <w:ind w:left="567" w:right="26"/>
        <w:jc w:val="both"/>
        <w:rPr>
          <w:rFonts w:ascii="Verdana" w:hAnsi="Verdana"/>
          <w:sz w:val="20"/>
          <w:szCs w:val="20"/>
        </w:rPr>
      </w:pPr>
    </w:p>
    <w:p w:rsidR="00B51B2F" w:rsidRDefault="00B51B2F" w:rsidP="00B51B2F">
      <w:pPr>
        <w:pStyle w:val="ListParagraph"/>
        <w:numPr>
          <w:ilvl w:val="0"/>
          <w:numId w:val="29"/>
        </w:numPr>
        <w:tabs>
          <w:tab w:val="left" w:pos="567"/>
        </w:tabs>
        <w:ind w:left="567" w:right="26" w:hanging="567"/>
        <w:jc w:val="both"/>
        <w:rPr>
          <w:rFonts w:ascii="Verdana" w:hAnsi="Verdana"/>
          <w:sz w:val="20"/>
          <w:szCs w:val="20"/>
        </w:rPr>
      </w:pPr>
      <w:proofErr w:type="gramStart"/>
      <w:r>
        <w:rPr>
          <w:rFonts w:ascii="Verdana" w:hAnsi="Verdana"/>
          <w:sz w:val="20"/>
          <w:szCs w:val="20"/>
        </w:rPr>
        <w:t>licensed</w:t>
      </w:r>
      <w:proofErr w:type="gramEnd"/>
      <w:r>
        <w:rPr>
          <w:rFonts w:ascii="Verdana" w:hAnsi="Verdana"/>
          <w:sz w:val="20"/>
          <w:szCs w:val="20"/>
        </w:rPr>
        <w:t xml:space="preserve"> to operate </w:t>
      </w:r>
      <w:r w:rsidRPr="00787996">
        <w:rPr>
          <w:rFonts w:ascii="Verdana" w:hAnsi="Verdana"/>
          <w:sz w:val="20"/>
          <w:szCs w:val="20"/>
        </w:rPr>
        <w:t xml:space="preserve">a slewing mobile crane with a capacity of over 100 tonnes will </w:t>
      </w:r>
      <w:r>
        <w:rPr>
          <w:rFonts w:ascii="Verdana" w:hAnsi="Verdana"/>
          <w:sz w:val="20"/>
          <w:szCs w:val="20"/>
        </w:rPr>
        <w:t xml:space="preserve">not be required to obtain a separate high risk work licence to operate a </w:t>
      </w:r>
      <w:r w:rsidRPr="00787996">
        <w:rPr>
          <w:rFonts w:ascii="Verdana" w:hAnsi="Verdana"/>
          <w:sz w:val="20"/>
          <w:szCs w:val="20"/>
        </w:rPr>
        <w:t>slewing mobil</w:t>
      </w:r>
      <w:r>
        <w:rPr>
          <w:rFonts w:ascii="Verdana" w:hAnsi="Verdana"/>
          <w:sz w:val="20"/>
          <w:szCs w:val="20"/>
        </w:rPr>
        <w:t>e crane with a lesser capacity (item 3).</w:t>
      </w:r>
    </w:p>
    <w:p w:rsidR="00B51B2F" w:rsidRDefault="00B51B2F" w:rsidP="00787996">
      <w:pPr>
        <w:tabs>
          <w:tab w:val="left" w:pos="567"/>
        </w:tabs>
        <w:ind w:right="26"/>
        <w:jc w:val="both"/>
        <w:rPr>
          <w:rFonts w:ascii="Verdana" w:hAnsi="Verdana"/>
          <w:sz w:val="20"/>
          <w:szCs w:val="20"/>
        </w:rPr>
      </w:pPr>
    </w:p>
    <w:p w:rsidR="00B51B2F" w:rsidRDefault="00B51B2F" w:rsidP="00787996">
      <w:pPr>
        <w:tabs>
          <w:tab w:val="left" w:pos="567"/>
        </w:tabs>
        <w:ind w:right="26"/>
        <w:jc w:val="both"/>
        <w:rPr>
          <w:rFonts w:ascii="Verdana" w:hAnsi="Verdana"/>
          <w:sz w:val="20"/>
          <w:szCs w:val="20"/>
        </w:rPr>
      </w:pPr>
      <w:r>
        <w:rPr>
          <w:rFonts w:ascii="Verdana" w:hAnsi="Verdana"/>
          <w:sz w:val="20"/>
          <w:szCs w:val="20"/>
        </w:rPr>
        <w:t xml:space="preserve">Paragraphs (b) and (c) </w:t>
      </w:r>
      <w:r w:rsidR="005D1F84">
        <w:rPr>
          <w:rFonts w:ascii="Verdana" w:hAnsi="Verdana"/>
          <w:sz w:val="20"/>
          <w:szCs w:val="20"/>
        </w:rPr>
        <w:t xml:space="preserve">in each </w:t>
      </w:r>
      <w:r>
        <w:rPr>
          <w:rFonts w:ascii="Verdana" w:hAnsi="Verdana"/>
          <w:sz w:val="20"/>
          <w:szCs w:val="20"/>
        </w:rPr>
        <w:t xml:space="preserve">of items 1 to 3 </w:t>
      </w:r>
      <w:r w:rsidR="00D50D28">
        <w:rPr>
          <w:rFonts w:ascii="Verdana" w:hAnsi="Verdana"/>
          <w:sz w:val="20"/>
          <w:szCs w:val="20"/>
        </w:rPr>
        <w:t xml:space="preserve">of the same table apply the same encompassment principles to instances where a person is in training to obtain a high risk work licence </w:t>
      </w:r>
      <w:r w:rsidR="004C5F38">
        <w:rPr>
          <w:rFonts w:ascii="Verdana" w:hAnsi="Verdana"/>
          <w:sz w:val="20"/>
          <w:szCs w:val="20"/>
        </w:rPr>
        <w:t>and</w:t>
      </w:r>
      <w:r w:rsidR="00D50D28">
        <w:rPr>
          <w:rFonts w:ascii="Verdana" w:hAnsi="Verdana"/>
          <w:sz w:val="20"/>
          <w:szCs w:val="20"/>
        </w:rPr>
        <w:t xml:space="preserve"> where a person is carrying out work while awaiting a decision on a high risk work licence application</w:t>
      </w:r>
      <w:r w:rsidR="000F6DCC">
        <w:rPr>
          <w:rFonts w:ascii="Verdana" w:hAnsi="Verdana"/>
          <w:sz w:val="20"/>
          <w:szCs w:val="20"/>
        </w:rPr>
        <w:t>. These instances</w:t>
      </w:r>
      <w:r w:rsidR="00B40740">
        <w:rPr>
          <w:rFonts w:ascii="Verdana" w:hAnsi="Verdana"/>
          <w:sz w:val="20"/>
          <w:szCs w:val="20"/>
        </w:rPr>
        <w:t xml:space="preserve"> reflect the exception provisions prescribed by regulation 82 of the WHS Regulations</w:t>
      </w:r>
      <w:r w:rsidR="00D50D28">
        <w:rPr>
          <w:rFonts w:ascii="Verdana" w:hAnsi="Verdana"/>
          <w:sz w:val="20"/>
          <w:szCs w:val="20"/>
        </w:rPr>
        <w:t>.</w:t>
      </w:r>
    </w:p>
    <w:p w:rsidR="00275CC1" w:rsidRDefault="00275CC1" w:rsidP="00787996">
      <w:pPr>
        <w:tabs>
          <w:tab w:val="left" w:pos="567"/>
        </w:tabs>
        <w:ind w:right="26"/>
        <w:jc w:val="both"/>
        <w:rPr>
          <w:rFonts w:ascii="Verdana" w:hAnsi="Verdana"/>
          <w:sz w:val="20"/>
          <w:szCs w:val="20"/>
        </w:rPr>
      </w:pPr>
    </w:p>
    <w:p w:rsidR="004C5F38" w:rsidRPr="004C5F38" w:rsidRDefault="004C5F38" w:rsidP="00787996">
      <w:pPr>
        <w:tabs>
          <w:tab w:val="left" w:pos="567"/>
        </w:tabs>
        <w:ind w:right="26"/>
        <w:jc w:val="both"/>
        <w:rPr>
          <w:rFonts w:ascii="Verdana" w:hAnsi="Verdana"/>
          <w:sz w:val="20"/>
          <w:szCs w:val="20"/>
          <w:u w:val="single"/>
        </w:rPr>
      </w:pPr>
      <w:r>
        <w:rPr>
          <w:rFonts w:ascii="Verdana" w:hAnsi="Verdana"/>
          <w:sz w:val="20"/>
          <w:szCs w:val="20"/>
          <w:u w:val="single"/>
        </w:rPr>
        <w:t>General exemptions</w:t>
      </w:r>
    </w:p>
    <w:p w:rsidR="004C5F38" w:rsidRDefault="00980ECC" w:rsidP="00DD04E5">
      <w:pPr>
        <w:tabs>
          <w:tab w:val="left" w:pos="567"/>
        </w:tabs>
        <w:spacing w:before="120"/>
        <w:ind w:right="28"/>
        <w:jc w:val="both"/>
        <w:rPr>
          <w:rFonts w:ascii="Verdana" w:hAnsi="Verdana"/>
          <w:sz w:val="20"/>
          <w:szCs w:val="20"/>
        </w:rPr>
      </w:pPr>
      <w:r>
        <w:rPr>
          <w:rFonts w:ascii="Verdana" w:hAnsi="Verdana"/>
          <w:sz w:val="20"/>
          <w:szCs w:val="20"/>
        </w:rPr>
        <w:t>R</w:t>
      </w:r>
      <w:r w:rsidR="004C5F38" w:rsidRPr="004C5F38">
        <w:rPr>
          <w:rFonts w:ascii="Verdana" w:hAnsi="Verdana"/>
          <w:sz w:val="20"/>
          <w:szCs w:val="20"/>
        </w:rPr>
        <w:t>egulation 85</w:t>
      </w:r>
      <w:r>
        <w:rPr>
          <w:rFonts w:ascii="Verdana" w:hAnsi="Verdana"/>
          <w:sz w:val="20"/>
          <w:szCs w:val="20"/>
        </w:rPr>
        <w:t xml:space="preserve"> </w:t>
      </w:r>
      <w:r w:rsidR="005D1F84">
        <w:rPr>
          <w:rFonts w:ascii="Verdana" w:hAnsi="Verdana"/>
          <w:sz w:val="20"/>
          <w:szCs w:val="20"/>
        </w:rPr>
        <w:t xml:space="preserve">of the WHS Regulations </w:t>
      </w:r>
      <w:r w:rsidR="004C5F38" w:rsidRPr="004C5F38">
        <w:rPr>
          <w:rFonts w:ascii="Verdana" w:hAnsi="Verdana"/>
          <w:sz w:val="20"/>
          <w:szCs w:val="20"/>
        </w:rPr>
        <w:t>provide</w:t>
      </w:r>
      <w:r>
        <w:rPr>
          <w:rFonts w:ascii="Verdana" w:hAnsi="Verdana"/>
          <w:sz w:val="20"/>
          <w:szCs w:val="20"/>
        </w:rPr>
        <w:t>s</w:t>
      </w:r>
      <w:r w:rsidR="004C5F38" w:rsidRPr="004C5F38">
        <w:rPr>
          <w:rFonts w:ascii="Verdana" w:hAnsi="Verdana"/>
          <w:sz w:val="20"/>
          <w:szCs w:val="20"/>
        </w:rPr>
        <w:t xml:space="preserve"> that a PCBU must not direct or allow a worker:</w:t>
      </w:r>
    </w:p>
    <w:p w:rsidR="005D1F84" w:rsidRPr="004C5F38" w:rsidRDefault="005D1F84" w:rsidP="004C5F38">
      <w:pPr>
        <w:tabs>
          <w:tab w:val="left" w:pos="567"/>
        </w:tabs>
        <w:ind w:right="26"/>
        <w:jc w:val="both"/>
        <w:rPr>
          <w:rFonts w:ascii="Verdana" w:hAnsi="Verdana"/>
          <w:sz w:val="20"/>
          <w:szCs w:val="20"/>
        </w:rPr>
      </w:pPr>
    </w:p>
    <w:p w:rsidR="00980ECC" w:rsidRDefault="004C5F38" w:rsidP="004C5F38">
      <w:pPr>
        <w:pStyle w:val="ListParagraph"/>
        <w:numPr>
          <w:ilvl w:val="0"/>
          <w:numId w:val="30"/>
        </w:numPr>
        <w:tabs>
          <w:tab w:val="left" w:pos="567"/>
        </w:tabs>
        <w:ind w:left="567" w:right="26" w:hanging="567"/>
        <w:jc w:val="both"/>
        <w:rPr>
          <w:rFonts w:ascii="Verdana" w:hAnsi="Verdana"/>
          <w:sz w:val="20"/>
          <w:szCs w:val="20"/>
        </w:rPr>
      </w:pPr>
      <w:r w:rsidRPr="00980ECC">
        <w:rPr>
          <w:rFonts w:ascii="Verdana" w:hAnsi="Verdana"/>
          <w:sz w:val="20"/>
          <w:szCs w:val="20"/>
        </w:rPr>
        <w:t xml:space="preserve">to carry out </w:t>
      </w:r>
      <w:r w:rsidR="005D1F84" w:rsidRPr="00980ECC">
        <w:rPr>
          <w:rFonts w:ascii="Verdana" w:hAnsi="Verdana"/>
          <w:sz w:val="20"/>
          <w:szCs w:val="20"/>
        </w:rPr>
        <w:t>high risk work</w:t>
      </w:r>
      <w:r w:rsidRPr="00980ECC">
        <w:rPr>
          <w:rFonts w:ascii="Verdana" w:hAnsi="Verdana"/>
          <w:sz w:val="20"/>
          <w:szCs w:val="20"/>
        </w:rPr>
        <w:t xml:space="preserve"> for which a licence is required unless the PCBU sees written evidence that the worker has the relevant HRW licence for t</w:t>
      </w:r>
      <w:r w:rsidR="005D1F84" w:rsidRPr="00980ECC">
        <w:rPr>
          <w:rFonts w:ascii="Verdana" w:hAnsi="Verdana"/>
          <w:sz w:val="20"/>
          <w:szCs w:val="20"/>
        </w:rPr>
        <w:t>hat work (</w:t>
      </w:r>
      <w:proofErr w:type="spellStart"/>
      <w:r w:rsidR="005D1F84" w:rsidRPr="00980ECC">
        <w:rPr>
          <w:rFonts w:ascii="Verdana" w:hAnsi="Verdana"/>
          <w:sz w:val="20"/>
          <w:szCs w:val="20"/>
        </w:rPr>
        <w:t>subregulation</w:t>
      </w:r>
      <w:proofErr w:type="spellEnd"/>
      <w:r w:rsidR="005D1F84" w:rsidRPr="00980ECC">
        <w:rPr>
          <w:rFonts w:ascii="Verdana" w:hAnsi="Verdana"/>
          <w:sz w:val="20"/>
          <w:szCs w:val="20"/>
        </w:rPr>
        <w:t xml:space="preserve"> 85(1));</w:t>
      </w:r>
    </w:p>
    <w:p w:rsidR="00200C47" w:rsidRDefault="00200C47" w:rsidP="00200C47">
      <w:pPr>
        <w:pStyle w:val="ListParagraph"/>
        <w:tabs>
          <w:tab w:val="left" w:pos="567"/>
        </w:tabs>
        <w:ind w:left="567" w:right="26"/>
        <w:jc w:val="both"/>
        <w:rPr>
          <w:rFonts w:ascii="Verdana" w:hAnsi="Verdana"/>
          <w:sz w:val="20"/>
          <w:szCs w:val="20"/>
        </w:rPr>
      </w:pPr>
    </w:p>
    <w:p w:rsidR="00980ECC" w:rsidRDefault="004C5F38" w:rsidP="004C5F38">
      <w:pPr>
        <w:pStyle w:val="ListParagraph"/>
        <w:numPr>
          <w:ilvl w:val="0"/>
          <w:numId w:val="30"/>
        </w:numPr>
        <w:tabs>
          <w:tab w:val="left" w:pos="567"/>
        </w:tabs>
        <w:ind w:left="567" w:right="26" w:hanging="567"/>
        <w:jc w:val="both"/>
        <w:rPr>
          <w:rFonts w:ascii="Verdana" w:hAnsi="Verdana"/>
          <w:sz w:val="20"/>
          <w:szCs w:val="20"/>
        </w:rPr>
      </w:pPr>
      <w:r w:rsidRPr="00980ECC">
        <w:rPr>
          <w:rFonts w:ascii="Verdana" w:hAnsi="Verdana"/>
          <w:sz w:val="20"/>
          <w:szCs w:val="20"/>
        </w:rPr>
        <w:t xml:space="preserve">to carry out </w:t>
      </w:r>
      <w:r w:rsidR="00980ECC" w:rsidRPr="00980ECC">
        <w:rPr>
          <w:rFonts w:ascii="Verdana" w:hAnsi="Verdana"/>
          <w:sz w:val="20"/>
          <w:szCs w:val="20"/>
        </w:rPr>
        <w:t>high risk work</w:t>
      </w:r>
      <w:r w:rsidRPr="00980ECC">
        <w:rPr>
          <w:rFonts w:ascii="Verdana" w:hAnsi="Verdana"/>
          <w:sz w:val="20"/>
          <w:szCs w:val="20"/>
        </w:rPr>
        <w:t xml:space="preserve"> in relation to which the worker is not licensed but is awaiting a decision on the worker’s licence application, without seeing written evidence that the worker has applied for the relevant licence and holds the relevant certification (</w:t>
      </w:r>
      <w:proofErr w:type="spellStart"/>
      <w:r w:rsidRPr="00980ECC">
        <w:rPr>
          <w:rFonts w:ascii="Verdana" w:hAnsi="Verdana"/>
          <w:sz w:val="20"/>
          <w:szCs w:val="20"/>
        </w:rPr>
        <w:t>subregulation</w:t>
      </w:r>
      <w:proofErr w:type="spellEnd"/>
      <w:r w:rsidRPr="00980ECC">
        <w:rPr>
          <w:rFonts w:ascii="Verdana" w:hAnsi="Verdana"/>
          <w:sz w:val="20"/>
          <w:szCs w:val="20"/>
        </w:rPr>
        <w:t xml:space="preserve"> 85(2));</w:t>
      </w:r>
      <w:r w:rsidR="00200C47">
        <w:rPr>
          <w:rFonts w:ascii="Verdana" w:hAnsi="Verdana"/>
          <w:sz w:val="20"/>
          <w:szCs w:val="20"/>
        </w:rPr>
        <w:t xml:space="preserve"> and</w:t>
      </w:r>
    </w:p>
    <w:p w:rsidR="00200C47" w:rsidRPr="00200C47" w:rsidRDefault="00200C47" w:rsidP="00200C47">
      <w:pPr>
        <w:pStyle w:val="ListParagraph"/>
        <w:rPr>
          <w:rFonts w:ascii="Verdana" w:hAnsi="Verdana"/>
          <w:sz w:val="20"/>
          <w:szCs w:val="20"/>
        </w:rPr>
      </w:pPr>
    </w:p>
    <w:p w:rsidR="00200C47" w:rsidRDefault="004C5F38" w:rsidP="004C5F38">
      <w:pPr>
        <w:pStyle w:val="ListParagraph"/>
        <w:numPr>
          <w:ilvl w:val="0"/>
          <w:numId w:val="30"/>
        </w:numPr>
        <w:tabs>
          <w:tab w:val="left" w:pos="567"/>
        </w:tabs>
        <w:ind w:left="567" w:right="26" w:hanging="567"/>
        <w:jc w:val="both"/>
        <w:rPr>
          <w:rFonts w:ascii="Verdana" w:hAnsi="Verdana"/>
          <w:sz w:val="20"/>
          <w:szCs w:val="20"/>
        </w:rPr>
      </w:pPr>
      <w:r w:rsidRPr="00200C47">
        <w:rPr>
          <w:rFonts w:ascii="Verdana" w:hAnsi="Verdana"/>
          <w:sz w:val="20"/>
          <w:szCs w:val="20"/>
        </w:rPr>
        <w:lastRenderedPageBreak/>
        <w:t xml:space="preserve">to supervise </w:t>
      </w:r>
      <w:r w:rsidR="00980ECC" w:rsidRPr="00200C47">
        <w:rPr>
          <w:rFonts w:ascii="Verdana" w:hAnsi="Verdana"/>
          <w:sz w:val="20"/>
          <w:szCs w:val="20"/>
        </w:rPr>
        <w:t>high risk work</w:t>
      </w:r>
      <w:r w:rsidRPr="00200C47">
        <w:rPr>
          <w:rFonts w:ascii="Verdana" w:hAnsi="Verdana"/>
          <w:sz w:val="20"/>
          <w:szCs w:val="20"/>
        </w:rPr>
        <w:t xml:space="preserve"> (being undertaken by a trainee seeking certification for that </w:t>
      </w:r>
      <w:r w:rsidR="00980ECC" w:rsidRPr="00200C47">
        <w:rPr>
          <w:rFonts w:ascii="Verdana" w:hAnsi="Verdana"/>
          <w:sz w:val="20"/>
          <w:szCs w:val="20"/>
        </w:rPr>
        <w:t>high risk work</w:t>
      </w:r>
      <w:r w:rsidRPr="00200C47">
        <w:rPr>
          <w:rFonts w:ascii="Verdana" w:hAnsi="Verdana"/>
          <w:sz w:val="20"/>
          <w:szCs w:val="20"/>
        </w:rPr>
        <w:t xml:space="preserve">) without seeing written evidence that the worker holds the relevant </w:t>
      </w:r>
      <w:r w:rsidR="00200C47" w:rsidRPr="00200C47">
        <w:rPr>
          <w:rFonts w:ascii="Verdana" w:hAnsi="Verdana"/>
          <w:sz w:val="20"/>
          <w:szCs w:val="20"/>
        </w:rPr>
        <w:t>high risk work</w:t>
      </w:r>
      <w:r w:rsidRPr="00200C47">
        <w:rPr>
          <w:rFonts w:ascii="Verdana" w:hAnsi="Verdana"/>
          <w:sz w:val="20"/>
          <w:szCs w:val="20"/>
        </w:rPr>
        <w:t xml:space="preserve"> licence for that </w:t>
      </w:r>
      <w:r w:rsidR="00980ECC" w:rsidRPr="00200C47">
        <w:rPr>
          <w:rFonts w:ascii="Verdana" w:hAnsi="Verdana"/>
          <w:sz w:val="20"/>
          <w:szCs w:val="20"/>
        </w:rPr>
        <w:t>high risk work</w:t>
      </w:r>
      <w:r w:rsidR="00200C47">
        <w:rPr>
          <w:rFonts w:ascii="Verdana" w:hAnsi="Verdana"/>
          <w:sz w:val="20"/>
          <w:szCs w:val="20"/>
        </w:rPr>
        <w:t xml:space="preserve"> (</w:t>
      </w:r>
      <w:proofErr w:type="spellStart"/>
      <w:r w:rsidR="00200C47">
        <w:rPr>
          <w:rFonts w:ascii="Verdana" w:hAnsi="Verdana"/>
          <w:sz w:val="20"/>
          <w:szCs w:val="20"/>
        </w:rPr>
        <w:t>subregulation</w:t>
      </w:r>
      <w:proofErr w:type="spellEnd"/>
      <w:r w:rsidR="00200C47">
        <w:rPr>
          <w:rFonts w:ascii="Verdana" w:hAnsi="Verdana"/>
          <w:sz w:val="20"/>
          <w:szCs w:val="20"/>
        </w:rPr>
        <w:t xml:space="preserve"> 85(3)).</w:t>
      </w:r>
    </w:p>
    <w:p w:rsidR="00200C47" w:rsidRDefault="00200C47" w:rsidP="00200C47">
      <w:pPr>
        <w:tabs>
          <w:tab w:val="left" w:pos="567"/>
        </w:tabs>
        <w:ind w:right="26"/>
        <w:jc w:val="both"/>
        <w:rPr>
          <w:rFonts w:ascii="Verdana" w:hAnsi="Verdana"/>
          <w:sz w:val="20"/>
          <w:szCs w:val="20"/>
        </w:rPr>
      </w:pPr>
    </w:p>
    <w:p w:rsidR="004C5F38" w:rsidRPr="00200C47" w:rsidRDefault="00200C47" w:rsidP="00200C47">
      <w:pPr>
        <w:tabs>
          <w:tab w:val="left" w:pos="567"/>
        </w:tabs>
        <w:ind w:right="26"/>
        <w:jc w:val="both"/>
        <w:rPr>
          <w:rFonts w:ascii="Verdana" w:hAnsi="Verdana"/>
          <w:sz w:val="20"/>
          <w:szCs w:val="20"/>
        </w:rPr>
      </w:pPr>
      <w:r>
        <w:rPr>
          <w:rFonts w:ascii="Verdana" w:hAnsi="Verdana"/>
          <w:sz w:val="20"/>
          <w:szCs w:val="20"/>
        </w:rPr>
        <w:t xml:space="preserve">Under </w:t>
      </w:r>
      <w:proofErr w:type="spellStart"/>
      <w:r w:rsidR="004C5F38" w:rsidRPr="00200C47">
        <w:rPr>
          <w:rFonts w:ascii="Verdana" w:hAnsi="Verdana"/>
          <w:sz w:val="20"/>
          <w:szCs w:val="20"/>
        </w:rPr>
        <w:t>subregulation</w:t>
      </w:r>
      <w:proofErr w:type="spellEnd"/>
      <w:r w:rsidR="004C5F38" w:rsidRPr="00200C47">
        <w:rPr>
          <w:rFonts w:ascii="Verdana" w:hAnsi="Verdana"/>
          <w:sz w:val="20"/>
          <w:szCs w:val="20"/>
        </w:rPr>
        <w:t xml:space="preserve"> 85(4)</w:t>
      </w:r>
      <w:r>
        <w:rPr>
          <w:rFonts w:ascii="Verdana" w:hAnsi="Verdana"/>
          <w:sz w:val="20"/>
          <w:szCs w:val="20"/>
        </w:rPr>
        <w:t xml:space="preserve">, </w:t>
      </w:r>
      <w:r w:rsidR="004C5F38" w:rsidRPr="00200C47">
        <w:rPr>
          <w:rFonts w:ascii="Verdana" w:hAnsi="Verdana"/>
          <w:sz w:val="20"/>
          <w:szCs w:val="20"/>
        </w:rPr>
        <w:t xml:space="preserve">a PCBU must keep written evidence given to the PCBU for at least </w:t>
      </w:r>
      <w:r>
        <w:rPr>
          <w:rFonts w:ascii="Verdana" w:hAnsi="Verdana"/>
          <w:sz w:val="20"/>
          <w:szCs w:val="20"/>
        </w:rPr>
        <w:t>one</w:t>
      </w:r>
      <w:r w:rsidR="004C5F38" w:rsidRPr="00200C47">
        <w:rPr>
          <w:rFonts w:ascii="Verdana" w:hAnsi="Verdana"/>
          <w:sz w:val="20"/>
          <w:szCs w:val="20"/>
        </w:rPr>
        <w:t xml:space="preserve"> year after the </w:t>
      </w:r>
      <w:r w:rsidRPr="00980ECC">
        <w:rPr>
          <w:rFonts w:ascii="Verdana" w:hAnsi="Verdana"/>
          <w:sz w:val="20"/>
          <w:szCs w:val="20"/>
        </w:rPr>
        <w:t>high risk work</w:t>
      </w:r>
      <w:r w:rsidR="004C5F38" w:rsidRPr="00200C47">
        <w:rPr>
          <w:rFonts w:ascii="Verdana" w:hAnsi="Verdana"/>
          <w:sz w:val="20"/>
          <w:szCs w:val="20"/>
        </w:rPr>
        <w:t xml:space="preserve"> is carried out or after the last occasion on which the worker performs the supervision work (as the case may be).</w:t>
      </w:r>
    </w:p>
    <w:p w:rsidR="00A8446D" w:rsidRDefault="00A8446D" w:rsidP="000F3FDA">
      <w:pPr>
        <w:tabs>
          <w:tab w:val="left" w:pos="567"/>
        </w:tabs>
        <w:ind w:right="26"/>
        <w:jc w:val="both"/>
        <w:rPr>
          <w:rFonts w:ascii="Verdana" w:hAnsi="Verdana"/>
          <w:sz w:val="20"/>
          <w:szCs w:val="20"/>
        </w:rPr>
      </w:pPr>
    </w:p>
    <w:p w:rsidR="00200C47" w:rsidRDefault="00614EFB" w:rsidP="000F3FDA">
      <w:pPr>
        <w:tabs>
          <w:tab w:val="left" w:pos="567"/>
        </w:tabs>
        <w:ind w:right="26"/>
        <w:jc w:val="both"/>
        <w:rPr>
          <w:rFonts w:ascii="Verdana" w:hAnsi="Verdana"/>
          <w:sz w:val="20"/>
          <w:szCs w:val="20"/>
        </w:rPr>
      </w:pPr>
      <w:r>
        <w:rPr>
          <w:rFonts w:ascii="Verdana" w:hAnsi="Verdana"/>
          <w:sz w:val="20"/>
          <w:szCs w:val="20"/>
        </w:rPr>
        <w:t xml:space="preserve">The HRW licence exemptions granted in this instrument apply with regard to regulation 81. </w:t>
      </w:r>
      <w:r w:rsidR="00A51C73">
        <w:rPr>
          <w:rFonts w:ascii="Verdana" w:hAnsi="Verdana"/>
          <w:sz w:val="20"/>
          <w:szCs w:val="20"/>
        </w:rPr>
        <w:t>Because t</w:t>
      </w:r>
      <w:r>
        <w:rPr>
          <w:rFonts w:ascii="Verdana" w:hAnsi="Verdana"/>
          <w:sz w:val="20"/>
          <w:szCs w:val="20"/>
        </w:rPr>
        <w:t xml:space="preserve">he obligations in </w:t>
      </w:r>
      <w:r w:rsidR="00200C47">
        <w:rPr>
          <w:rFonts w:ascii="Verdana" w:hAnsi="Verdana"/>
          <w:sz w:val="20"/>
          <w:szCs w:val="20"/>
        </w:rPr>
        <w:t>regulat</w:t>
      </w:r>
      <w:r>
        <w:rPr>
          <w:rFonts w:ascii="Verdana" w:hAnsi="Verdana"/>
          <w:sz w:val="20"/>
          <w:szCs w:val="20"/>
        </w:rPr>
        <w:t>ion 85 are predicated on compliance with regulation 81</w:t>
      </w:r>
      <w:r w:rsidR="00A51C73">
        <w:rPr>
          <w:rFonts w:ascii="Verdana" w:hAnsi="Verdana"/>
          <w:sz w:val="20"/>
          <w:szCs w:val="20"/>
        </w:rPr>
        <w:t xml:space="preserve">, it has been necessary to grant </w:t>
      </w:r>
      <w:r w:rsidR="000F6DCC">
        <w:rPr>
          <w:rFonts w:ascii="Verdana" w:hAnsi="Verdana"/>
          <w:sz w:val="20"/>
          <w:szCs w:val="20"/>
        </w:rPr>
        <w:t xml:space="preserve">general </w:t>
      </w:r>
      <w:r w:rsidR="00A51C73">
        <w:rPr>
          <w:rFonts w:ascii="Verdana" w:hAnsi="Verdana"/>
          <w:sz w:val="20"/>
          <w:szCs w:val="20"/>
        </w:rPr>
        <w:t>exemptions to adjust the</w:t>
      </w:r>
      <w:r w:rsidR="000F6DCC">
        <w:rPr>
          <w:rFonts w:ascii="Verdana" w:hAnsi="Verdana"/>
          <w:sz w:val="20"/>
          <w:szCs w:val="20"/>
        </w:rPr>
        <w:t xml:space="preserve"> regulation 85</w:t>
      </w:r>
      <w:r w:rsidR="00A51C73">
        <w:rPr>
          <w:rFonts w:ascii="Verdana" w:hAnsi="Verdana"/>
          <w:sz w:val="20"/>
          <w:szCs w:val="20"/>
        </w:rPr>
        <w:t xml:space="preserve"> obligations but only within the scope of the HRW licence exemptions. </w:t>
      </w:r>
    </w:p>
    <w:p w:rsidR="00A51C73" w:rsidRDefault="00A51C73" w:rsidP="000F3FDA">
      <w:pPr>
        <w:tabs>
          <w:tab w:val="left" w:pos="567"/>
        </w:tabs>
        <w:ind w:right="26"/>
        <w:jc w:val="both"/>
        <w:rPr>
          <w:rFonts w:ascii="Verdana" w:hAnsi="Verdana"/>
          <w:sz w:val="20"/>
          <w:szCs w:val="20"/>
        </w:rPr>
      </w:pPr>
    </w:p>
    <w:p w:rsidR="006C480E" w:rsidRDefault="00A51C73" w:rsidP="000F3FDA">
      <w:pPr>
        <w:tabs>
          <w:tab w:val="left" w:pos="567"/>
        </w:tabs>
        <w:ind w:right="26"/>
        <w:jc w:val="both"/>
        <w:rPr>
          <w:rFonts w:ascii="Verdana" w:hAnsi="Verdana"/>
          <w:sz w:val="20"/>
          <w:szCs w:val="20"/>
        </w:rPr>
      </w:pPr>
      <w:r>
        <w:rPr>
          <w:rFonts w:ascii="Verdana" w:hAnsi="Verdana"/>
          <w:sz w:val="20"/>
          <w:szCs w:val="20"/>
        </w:rPr>
        <w:t xml:space="preserve">Accordingly, </w:t>
      </w:r>
      <w:r w:rsidR="006C480E">
        <w:rPr>
          <w:rFonts w:ascii="Verdana" w:hAnsi="Verdana"/>
          <w:sz w:val="20"/>
          <w:szCs w:val="20"/>
        </w:rPr>
        <w:t xml:space="preserve">clause 3(b) of the exemption instrument applies the general </w:t>
      </w:r>
      <w:r>
        <w:rPr>
          <w:rFonts w:ascii="Verdana" w:hAnsi="Verdana"/>
          <w:sz w:val="20"/>
          <w:szCs w:val="20"/>
        </w:rPr>
        <w:t xml:space="preserve">exemptions to PCBUs </w:t>
      </w:r>
      <w:r w:rsidR="003F48BF">
        <w:rPr>
          <w:rFonts w:ascii="Verdana" w:hAnsi="Verdana"/>
          <w:sz w:val="20"/>
          <w:szCs w:val="20"/>
        </w:rPr>
        <w:t>(the duty</w:t>
      </w:r>
      <w:r w:rsidR="003F48BF">
        <w:rPr>
          <w:rFonts w:ascii="Verdana" w:hAnsi="Verdana"/>
          <w:sz w:val="20"/>
          <w:szCs w:val="20"/>
        </w:rPr>
        <w:noBreakHyphen/>
        <w:t xml:space="preserve">holders in regulation 85) </w:t>
      </w:r>
      <w:r w:rsidR="006C480E">
        <w:rPr>
          <w:rFonts w:ascii="Verdana" w:hAnsi="Verdana"/>
          <w:sz w:val="20"/>
          <w:szCs w:val="20"/>
        </w:rPr>
        <w:t xml:space="preserve">but only </w:t>
      </w:r>
      <w:r>
        <w:rPr>
          <w:rFonts w:ascii="Verdana" w:hAnsi="Verdana"/>
          <w:sz w:val="20"/>
          <w:szCs w:val="20"/>
        </w:rPr>
        <w:t xml:space="preserve">in relation </w:t>
      </w:r>
      <w:r w:rsidR="006C480E">
        <w:rPr>
          <w:rFonts w:ascii="Verdana" w:hAnsi="Verdana"/>
          <w:sz w:val="20"/>
          <w:szCs w:val="20"/>
        </w:rPr>
        <w:t>to persons mentioned in clause 3(a).</w:t>
      </w:r>
    </w:p>
    <w:p w:rsidR="00A51C73" w:rsidRDefault="00A51C73" w:rsidP="000F3FDA">
      <w:pPr>
        <w:tabs>
          <w:tab w:val="left" w:pos="567"/>
        </w:tabs>
        <w:ind w:right="26"/>
        <w:jc w:val="both"/>
        <w:rPr>
          <w:rFonts w:ascii="Verdana" w:hAnsi="Verdana"/>
          <w:sz w:val="20"/>
          <w:szCs w:val="20"/>
        </w:rPr>
      </w:pPr>
    </w:p>
    <w:p w:rsidR="006C480E" w:rsidRDefault="006C480E" w:rsidP="000F3FDA">
      <w:pPr>
        <w:tabs>
          <w:tab w:val="left" w:pos="567"/>
        </w:tabs>
        <w:ind w:right="26"/>
        <w:jc w:val="both"/>
        <w:rPr>
          <w:rFonts w:ascii="Verdana" w:hAnsi="Verdana"/>
          <w:sz w:val="20"/>
          <w:szCs w:val="20"/>
        </w:rPr>
      </w:pPr>
      <w:r>
        <w:rPr>
          <w:rFonts w:ascii="Verdana" w:hAnsi="Verdana"/>
          <w:sz w:val="20"/>
          <w:szCs w:val="20"/>
        </w:rPr>
        <w:t xml:space="preserve">The conditions on which the exemptions apply are set out in clause 7.2. </w:t>
      </w:r>
    </w:p>
    <w:p w:rsidR="006C480E" w:rsidRDefault="006C480E" w:rsidP="00DD04E5">
      <w:pPr>
        <w:tabs>
          <w:tab w:val="left" w:pos="567"/>
        </w:tabs>
        <w:ind w:right="26"/>
        <w:jc w:val="both"/>
        <w:rPr>
          <w:rFonts w:ascii="Verdana" w:hAnsi="Verdana"/>
          <w:sz w:val="20"/>
          <w:szCs w:val="20"/>
        </w:rPr>
      </w:pPr>
    </w:p>
    <w:p w:rsidR="00020CA3" w:rsidRDefault="00020CA3" w:rsidP="00020CA3">
      <w:pPr>
        <w:tabs>
          <w:tab w:val="left" w:pos="567"/>
        </w:tabs>
        <w:spacing w:after="120"/>
        <w:ind w:right="28"/>
        <w:jc w:val="both"/>
        <w:rPr>
          <w:rFonts w:ascii="Verdana" w:hAnsi="Verdana"/>
          <w:sz w:val="20"/>
          <w:szCs w:val="20"/>
          <w:u w:val="single"/>
        </w:rPr>
      </w:pPr>
      <w:r>
        <w:rPr>
          <w:rFonts w:ascii="Verdana" w:hAnsi="Verdana"/>
          <w:sz w:val="20"/>
          <w:szCs w:val="20"/>
          <w:u w:val="single"/>
        </w:rPr>
        <w:t>Grounds on which Comcare has granted the exemptions</w:t>
      </w:r>
    </w:p>
    <w:p w:rsidR="00303C2A" w:rsidRDefault="00303C2A" w:rsidP="00020CA3">
      <w:pPr>
        <w:tabs>
          <w:tab w:val="left" w:pos="567"/>
        </w:tabs>
        <w:ind w:right="28"/>
        <w:jc w:val="both"/>
        <w:rPr>
          <w:rFonts w:ascii="Verdana" w:hAnsi="Verdana"/>
          <w:sz w:val="20"/>
          <w:szCs w:val="20"/>
        </w:rPr>
      </w:pPr>
      <w:r>
        <w:rPr>
          <w:rFonts w:ascii="Verdana" w:hAnsi="Verdana"/>
          <w:sz w:val="20"/>
          <w:szCs w:val="20"/>
        </w:rPr>
        <w:t xml:space="preserve">Comcare has granted the HRW licence exemptions </w:t>
      </w:r>
      <w:r w:rsidR="003F48BF">
        <w:rPr>
          <w:rFonts w:ascii="Verdana" w:hAnsi="Verdana"/>
          <w:sz w:val="20"/>
          <w:szCs w:val="20"/>
        </w:rPr>
        <w:t xml:space="preserve">in accordance with </w:t>
      </w:r>
      <w:proofErr w:type="spellStart"/>
      <w:r>
        <w:rPr>
          <w:rFonts w:ascii="Verdana" w:hAnsi="Verdana"/>
          <w:sz w:val="20"/>
          <w:szCs w:val="20"/>
        </w:rPr>
        <w:t>subregulation</w:t>
      </w:r>
      <w:proofErr w:type="spellEnd"/>
      <w:r>
        <w:rPr>
          <w:rFonts w:ascii="Verdana" w:hAnsi="Verdana"/>
          <w:sz w:val="20"/>
          <w:szCs w:val="20"/>
        </w:rPr>
        <w:t xml:space="preserve"> 68</w:t>
      </w:r>
      <w:r w:rsidR="003F48BF">
        <w:rPr>
          <w:rFonts w:ascii="Verdana" w:hAnsi="Verdana"/>
          <w:sz w:val="20"/>
          <w:szCs w:val="20"/>
        </w:rPr>
        <w:t>7</w:t>
      </w:r>
      <w:r w:rsidR="00122960">
        <w:rPr>
          <w:rFonts w:ascii="Verdana" w:hAnsi="Verdana"/>
          <w:sz w:val="20"/>
          <w:szCs w:val="20"/>
        </w:rPr>
        <w:t>(1)</w:t>
      </w:r>
      <w:r>
        <w:rPr>
          <w:rFonts w:ascii="Verdana" w:hAnsi="Verdana"/>
          <w:sz w:val="20"/>
          <w:szCs w:val="20"/>
        </w:rPr>
        <w:t xml:space="preserve"> which provides that Comcare (as the regulator) must not grant a high risk work licence exemption unless ‘satisfied that granting the exemption will result in a standard of health and safety that is at least equivalent to the standard that would have been achieved without that exemption’.</w:t>
      </w:r>
    </w:p>
    <w:p w:rsidR="00303C2A" w:rsidRDefault="00303C2A" w:rsidP="00020CA3">
      <w:pPr>
        <w:tabs>
          <w:tab w:val="left" w:pos="567"/>
        </w:tabs>
        <w:ind w:right="28"/>
        <w:jc w:val="both"/>
        <w:rPr>
          <w:rFonts w:ascii="Verdana" w:hAnsi="Verdana"/>
          <w:sz w:val="20"/>
          <w:szCs w:val="20"/>
        </w:rPr>
      </w:pPr>
    </w:p>
    <w:p w:rsidR="004B58BF" w:rsidRDefault="005C656C" w:rsidP="00BE1372">
      <w:pPr>
        <w:tabs>
          <w:tab w:val="left" w:pos="567"/>
        </w:tabs>
        <w:ind w:right="28"/>
        <w:jc w:val="both"/>
        <w:rPr>
          <w:rFonts w:ascii="Verdana" w:hAnsi="Verdana"/>
          <w:sz w:val="20"/>
          <w:szCs w:val="20"/>
        </w:rPr>
      </w:pPr>
      <w:r>
        <w:rPr>
          <w:rFonts w:ascii="Verdana" w:hAnsi="Verdana"/>
          <w:sz w:val="20"/>
          <w:szCs w:val="20"/>
        </w:rPr>
        <w:t xml:space="preserve">Comcare was able to reach the level of satisfaction required </w:t>
      </w:r>
      <w:r w:rsidR="003F48BF">
        <w:rPr>
          <w:rFonts w:ascii="Verdana" w:hAnsi="Verdana"/>
          <w:sz w:val="20"/>
          <w:szCs w:val="20"/>
        </w:rPr>
        <w:t xml:space="preserve">by </w:t>
      </w:r>
      <w:proofErr w:type="spellStart"/>
      <w:r>
        <w:rPr>
          <w:rFonts w:ascii="Verdana" w:hAnsi="Verdana"/>
          <w:sz w:val="20"/>
          <w:szCs w:val="20"/>
        </w:rPr>
        <w:t>subregulation</w:t>
      </w:r>
      <w:proofErr w:type="spellEnd"/>
      <w:r w:rsidR="00122960">
        <w:rPr>
          <w:rFonts w:ascii="Verdana" w:hAnsi="Verdana"/>
          <w:sz w:val="20"/>
          <w:szCs w:val="20"/>
        </w:rPr>
        <w:t> </w:t>
      </w:r>
      <w:r>
        <w:rPr>
          <w:rFonts w:ascii="Verdana" w:hAnsi="Verdana"/>
          <w:sz w:val="20"/>
          <w:szCs w:val="20"/>
        </w:rPr>
        <w:t xml:space="preserve">687(1) </w:t>
      </w:r>
      <w:r w:rsidR="007835E2">
        <w:rPr>
          <w:rFonts w:ascii="Verdana" w:hAnsi="Verdana"/>
          <w:sz w:val="20"/>
          <w:szCs w:val="20"/>
        </w:rPr>
        <w:t>on the basis that</w:t>
      </w:r>
      <w:r w:rsidR="006F2279">
        <w:rPr>
          <w:rFonts w:ascii="Verdana" w:hAnsi="Verdana"/>
          <w:sz w:val="20"/>
          <w:szCs w:val="20"/>
        </w:rPr>
        <w:t xml:space="preserve"> the exemptions would apply </w:t>
      </w:r>
      <w:r w:rsidR="0097672B">
        <w:rPr>
          <w:rFonts w:ascii="Verdana" w:hAnsi="Verdana"/>
          <w:sz w:val="20"/>
          <w:szCs w:val="20"/>
        </w:rPr>
        <w:t xml:space="preserve">only to allow </w:t>
      </w:r>
      <w:r w:rsidR="004B58BF">
        <w:rPr>
          <w:rFonts w:ascii="Verdana" w:hAnsi="Verdana"/>
          <w:sz w:val="20"/>
          <w:szCs w:val="20"/>
        </w:rPr>
        <w:t>persons already licensed to operate ‘higher</w:t>
      </w:r>
      <w:r w:rsidR="004B58BF">
        <w:rPr>
          <w:rFonts w:ascii="Verdana" w:hAnsi="Verdana"/>
          <w:sz w:val="20"/>
          <w:szCs w:val="20"/>
        </w:rPr>
        <w:noBreakHyphen/>
        <w:t>ranking’ cranes (in terms of the level of knowledge and skills required) to operate ‘lower</w:t>
      </w:r>
      <w:r w:rsidR="004B58BF">
        <w:rPr>
          <w:rFonts w:ascii="Verdana" w:hAnsi="Verdana"/>
          <w:sz w:val="20"/>
          <w:szCs w:val="20"/>
        </w:rPr>
        <w:noBreakHyphen/>
      </w:r>
      <w:r w:rsidR="003F48BF">
        <w:rPr>
          <w:rFonts w:ascii="Verdana" w:hAnsi="Verdana"/>
          <w:sz w:val="20"/>
          <w:szCs w:val="20"/>
        </w:rPr>
        <w:t>ranking</w:t>
      </w:r>
      <w:r w:rsidR="004B58BF">
        <w:rPr>
          <w:rFonts w:ascii="Verdana" w:hAnsi="Verdana"/>
          <w:sz w:val="20"/>
          <w:szCs w:val="20"/>
        </w:rPr>
        <w:t xml:space="preserve">’ cranes without having to separately qualify for the latter class of licence. </w:t>
      </w:r>
    </w:p>
    <w:p w:rsidR="004B58BF" w:rsidRDefault="004B58BF" w:rsidP="00BE1372">
      <w:pPr>
        <w:tabs>
          <w:tab w:val="left" w:pos="567"/>
        </w:tabs>
        <w:ind w:right="28"/>
        <w:jc w:val="both"/>
        <w:rPr>
          <w:rFonts w:ascii="Verdana" w:hAnsi="Verdana"/>
          <w:sz w:val="20"/>
          <w:szCs w:val="20"/>
        </w:rPr>
      </w:pPr>
    </w:p>
    <w:p w:rsidR="00D72B30" w:rsidRDefault="00946129" w:rsidP="00D72B30">
      <w:pPr>
        <w:tabs>
          <w:tab w:val="left" w:pos="567"/>
        </w:tabs>
        <w:ind w:right="28"/>
        <w:jc w:val="both"/>
        <w:rPr>
          <w:rFonts w:ascii="Verdana" w:hAnsi="Verdana"/>
          <w:sz w:val="20"/>
          <w:szCs w:val="20"/>
        </w:rPr>
      </w:pPr>
      <w:r>
        <w:rPr>
          <w:rFonts w:ascii="Verdana" w:hAnsi="Verdana"/>
          <w:sz w:val="20"/>
          <w:szCs w:val="20"/>
        </w:rPr>
        <w:t xml:space="preserve">In this regard, </w:t>
      </w:r>
      <w:r w:rsidR="004B58BF">
        <w:rPr>
          <w:rFonts w:ascii="Verdana" w:hAnsi="Verdana"/>
          <w:sz w:val="20"/>
          <w:szCs w:val="20"/>
        </w:rPr>
        <w:t>Comcare notes that</w:t>
      </w:r>
      <w:r w:rsidR="00D72B30">
        <w:rPr>
          <w:rFonts w:ascii="Verdana" w:hAnsi="Verdana"/>
          <w:sz w:val="20"/>
          <w:szCs w:val="20"/>
        </w:rPr>
        <w:t xml:space="preserve"> </w:t>
      </w:r>
      <w:r>
        <w:rPr>
          <w:rFonts w:ascii="Verdana" w:hAnsi="Verdana"/>
          <w:sz w:val="20"/>
          <w:szCs w:val="20"/>
        </w:rPr>
        <w:t xml:space="preserve">the Units of Competency (‘VET courses’) </w:t>
      </w:r>
      <w:r w:rsidR="00C408CD">
        <w:rPr>
          <w:rFonts w:ascii="Verdana" w:hAnsi="Verdana"/>
          <w:sz w:val="20"/>
          <w:szCs w:val="20"/>
        </w:rPr>
        <w:t xml:space="preserve">for </w:t>
      </w:r>
      <w:r>
        <w:rPr>
          <w:rFonts w:ascii="Verdana" w:hAnsi="Verdana"/>
          <w:sz w:val="20"/>
          <w:szCs w:val="20"/>
        </w:rPr>
        <w:t>(</w:t>
      </w:r>
      <w:r w:rsidR="003F48BF">
        <w:rPr>
          <w:rFonts w:ascii="Verdana" w:hAnsi="Verdana"/>
          <w:sz w:val="20"/>
          <w:szCs w:val="20"/>
        </w:rPr>
        <w:t>‘</w:t>
      </w:r>
      <w:r>
        <w:rPr>
          <w:rFonts w:ascii="Verdana" w:hAnsi="Verdana"/>
          <w:sz w:val="20"/>
          <w:szCs w:val="20"/>
        </w:rPr>
        <w:t>higher</w:t>
      </w:r>
      <w:r>
        <w:rPr>
          <w:rFonts w:ascii="Verdana" w:hAnsi="Verdana"/>
          <w:sz w:val="20"/>
          <w:szCs w:val="20"/>
        </w:rPr>
        <w:noBreakHyphen/>
        <w:t>ranking</w:t>
      </w:r>
      <w:r w:rsidR="003F48BF">
        <w:rPr>
          <w:rFonts w:ascii="Verdana" w:hAnsi="Verdana"/>
          <w:sz w:val="20"/>
          <w:szCs w:val="20"/>
        </w:rPr>
        <w:t>’</w:t>
      </w:r>
      <w:r>
        <w:rPr>
          <w:rFonts w:ascii="Verdana" w:hAnsi="Verdana"/>
          <w:sz w:val="20"/>
          <w:szCs w:val="20"/>
        </w:rPr>
        <w:t xml:space="preserve">) </w:t>
      </w:r>
      <w:r w:rsidR="00061B71" w:rsidRPr="00C408CD">
        <w:rPr>
          <w:rFonts w:ascii="Verdana" w:hAnsi="Verdana"/>
          <w:sz w:val="20"/>
          <w:szCs w:val="20"/>
        </w:rPr>
        <w:t>slewing mobile crane</w:t>
      </w:r>
      <w:r w:rsidR="00FC3509" w:rsidRPr="00C408CD">
        <w:rPr>
          <w:rFonts w:ascii="Verdana" w:hAnsi="Verdana"/>
          <w:sz w:val="20"/>
          <w:szCs w:val="20"/>
        </w:rPr>
        <w:t xml:space="preserve"> licence</w:t>
      </w:r>
      <w:r w:rsidR="00D72B30">
        <w:rPr>
          <w:rFonts w:ascii="Verdana" w:hAnsi="Verdana"/>
          <w:sz w:val="20"/>
          <w:szCs w:val="20"/>
        </w:rPr>
        <w:t>s</w:t>
      </w:r>
      <w:r w:rsidR="0079104E">
        <w:rPr>
          <w:rFonts w:ascii="Verdana" w:hAnsi="Verdana"/>
          <w:sz w:val="20"/>
          <w:szCs w:val="20"/>
        </w:rPr>
        <w:t xml:space="preserve"> </w:t>
      </w:r>
      <w:r w:rsidR="00C408CD">
        <w:rPr>
          <w:rFonts w:ascii="Verdana" w:hAnsi="Verdana"/>
          <w:sz w:val="20"/>
          <w:szCs w:val="20"/>
        </w:rPr>
        <w:t>e</w:t>
      </w:r>
      <w:r w:rsidR="00BE731B" w:rsidRPr="00C408CD">
        <w:rPr>
          <w:rFonts w:ascii="Verdana" w:hAnsi="Verdana"/>
          <w:sz w:val="20"/>
          <w:szCs w:val="20"/>
        </w:rPr>
        <w:t xml:space="preserve">xplicitly provide for encompassment of </w:t>
      </w:r>
      <w:r w:rsidR="00C408CD">
        <w:rPr>
          <w:rFonts w:ascii="Verdana" w:hAnsi="Verdana"/>
          <w:sz w:val="20"/>
          <w:szCs w:val="20"/>
        </w:rPr>
        <w:t xml:space="preserve">training </w:t>
      </w:r>
      <w:r w:rsidR="00BE731B" w:rsidRPr="00C408CD">
        <w:rPr>
          <w:rFonts w:ascii="Verdana" w:hAnsi="Verdana"/>
          <w:sz w:val="20"/>
          <w:szCs w:val="20"/>
        </w:rPr>
        <w:t>requirements for</w:t>
      </w:r>
      <w:r w:rsidR="00D72B30">
        <w:rPr>
          <w:rFonts w:ascii="Verdana" w:hAnsi="Verdana"/>
          <w:sz w:val="20"/>
          <w:szCs w:val="20"/>
        </w:rPr>
        <w:t>:</w:t>
      </w:r>
    </w:p>
    <w:p w:rsidR="00D72B30" w:rsidRDefault="00D72B30" w:rsidP="00D72B30">
      <w:pPr>
        <w:tabs>
          <w:tab w:val="left" w:pos="567"/>
        </w:tabs>
        <w:ind w:right="28"/>
        <w:jc w:val="both"/>
        <w:rPr>
          <w:rFonts w:ascii="Verdana" w:hAnsi="Verdana"/>
          <w:sz w:val="20"/>
          <w:szCs w:val="20"/>
        </w:rPr>
      </w:pPr>
    </w:p>
    <w:p w:rsidR="00C408CD" w:rsidRDefault="00946129" w:rsidP="00D72B30">
      <w:pPr>
        <w:pStyle w:val="ListParagraph"/>
        <w:numPr>
          <w:ilvl w:val="0"/>
          <w:numId w:val="32"/>
        </w:numPr>
        <w:tabs>
          <w:tab w:val="left" w:pos="567"/>
        </w:tabs>
        <w:ind w:left="567" w:right="28" w:hanging="567"/>
        <w:jc w:val="both"/>
        <w:rPr>
          <w:rFonts w:ascii="Verdana" w:hAnsi="Verdana"/>
          <w:sz w:val="20"/>
          <w:szCs w:val="20"/>
        </w:rPr>
      </w:pPr>
      <w:r>
        <w:rPr>
          <w:rFonts w:ascii="Verdana" w:hAnsi="Verdana"/>
          <w:sz w:val="20"/>
          <w:szCs w:val="20"/>
        </w:rPr>
        <w:t>(</w:t>
      </w:r>
      <w:r w:rsidR="003F48BF">
        <w:rPr>
          <w:rFonts w:ascii="Verdana" w:hAnsi="Verdana"/>
          <w:sz w:val="20"/>
          <w:szCs w:val="20"/>
        </w:rPr>
        <w:t>‘</w:t>
      </w:r>
      <w:r>
        <w:rPr>
          <w:rFonts w:ascii="Verdana" w:hAnsi="Verdana"/>
          <w:sz w:val="20"/>
          <w:szCs w:val="20"/>
        </w:rPr>
        <w:t>lower</w:t>
      </w:r>
      <w:r>
        <w:rPr>
          <w:rFonts w:ascii="Verdana" w:hAnsi="Verdana"/>
          <w:sz w:val="20"/>
          <w:szCs w:val="20"/>
        </w:rPr>
        <w:noBreakHyphen/>
        <w:t>ranking</w:t>
      </w:r>
      <w:r w:rsidR="003F48BF">
        <w:rPr>
          <w:rFonts w:ascii="Verdana" w:hAnsi="Verdana"/>
          <w:sz w:val="20"/>
          <w:szCs w:val="20"/>
        </w:rPr>
        <w:t>’</w:t>
      </w:r>
      <w:r>
        <w:rPr>
          <w:rFonts w:ascii="Verdana" w:hAnsi="Verdana"/>
          <w:sz w:val="20"/>
          <w:szCs w:val="20"/>
        </w:rPr>
        <w:t xml:space="preserve">) </w:t>
      </w:r>
      <w:r w:rsidR="0007495E" w:rsidRPr="00C408CD">
        <w:rPr>
          <w:rFonts w:ascii="Verdana" w:hAnsi="Verdana"/>
          <w:sz w:val="20"/>
          <w:szCs w:val="20"/>
        </w:rPr>
        <w:t>non</w:t>
      </w:r>
      <w:r w:rsidR="0007495E" w:rsidRPr="00C408CD">
        <w:rPr>
          <w:rFonts w:ascii="Verdana" w:hAnsi="Verdana"/>
          <w:sz w:val="20"/>
          <w:szCs w:val="20"/>
        </w:rPr>
        <w:noBreakHyphen/>
        <w:t>slewing mobile crane and vehicle loading crane</w:t>
      </w:r>
      <w:r w:rsidR="00341AB4" w:rsidRPr="00C408CD">
        <w:rPr>
          <w:rFonts w:ascii="Verdana" w:hAnsi="Verdana"/>
          <w:sz w:val="20"/>
          <w:szCs w:val="20"/>
        </w:rPr>
        <w:t xml:space="preserve"> licence</w:t>
      </w:r>
      <w:r w:rsidR="00061B71" w:rsidRPr="00C408CD">
        <w:rPr>
          <w:rFonts w:ascii="Verdana" w:hAnsi="Verdana"/>
          <w:sz w:val="20"/>
          <w:szCs w:val="20"/>
        </w:rPr>
        <w:t>s</w:t>
      </w:r>
      <w:r w:rsidR="00C408CD">
        <w:rPr>
          <w:rFonts w:ascii="Verdana" w:hAnsi="Verdana"/>
          <w:sz w:val="20"/>
          <w:szCs w:val="20"/>
        </w:rPr>
        <w:t xml:space="preserve"> (see, for example, TLILIC3008A </w:t>
      </w:r>
      <w:r w:rsidR="00C408CD" w:rsidRPr="00A85B05">
        <w:rPr>
          <w:rFonts w:ascii="Verdana" w:hAnsi="Verdana"/>
          <w:i/>
          <w:sz w:val="20"/>
          <w:szCs w:val="20"/>
        </w:rPr>
        <w:t>Licence to operate a slewing mobile crane (up to 20 tonnes)</w:t>
      </w:r>
      <w:r w:rsidR="00C408CD">
        <w:rPr>
          <w:rFonts w:ascii="Verdana" w:hAnsi="Verdana"/>
          <w:sz w:val="20"/>
          <w:szCs w:val="20"/>
        </w:rPr>
        <w:t>); and</w:t>
      </w:r>
    </w:p>
    <w:p w:rsidR="00C408CD" w:rsidRDefault="00C408CD" w:rsidP="00C408CD">
      <w:pPr>
        <w:pStyle w:val="ListParagraph"/>
        <w:tabs>
          <w:tab w:val="left" w:pos="567"/>
        </w:tabs>
        <w:ind w:left="567" w:right="28" w:hanging="567"/>
        <w:jc w:val="both"/>
        <w:rPr>
          <w:rFonts w:ascii="Verdana" w:hAnsi="Verdana"/>
          <w:sz w:val="20"/>
          <w:szCs w:val="20"/>
        </w:rPr>
      </w:pPr>
    </w:p>
    <w:p w:rsidR="00BE1372" w:rsidRPr="00C408CD" w:rsidRDefault="00D72B30" w:rsidP="00C408CD">
      <w:pPr>
        <w:pStyle w:val="ListParagraph"/>
        <w:numPr>
          <w:ilvl w:val="0"/>
          <w:numId w:val="32"/>
        </w:numPr>
        <w:tabs>
          <w:tab w:val="left" w:pos="567"/>
        </w:tabs>
        <w:ind w:left="567" w:right="28" w:hanging="567"/>
        <w:jc w:val="both"/>
        <w:rPr>
          <w:rFonts w:ascii="Verdana" w:hAnsi="Verdana"/>
          <w:sz w:val="20"/>
          <w:szCs w:val="20"/>
        </w:rPr>
      </w:pPr>
      <w:proofErr w:type="gramStart"/>
      <w:r>
        <w:rPr>
          <w:rFonts w:ascii="Verdana" w:hAnsi="Verdana"/>
          <w:sz w:val="20"/>
          <w:szCs w:val="20"/>
        </w:rPr>
        <w:t>slewing</w:t>
      </w:r>
      <w:proofErr w:type="gramEnd"/>
      <w:r>
        <w:rPr>
          <w:rFonts w:ascii="Verdana" w:hAnsi="Verdana"/>
          <w:sz w:val="20"/>
          <w:szCs w:val="20"/>
        </w:rPr>
        <w:t xml:space="preserve"> mobile crane licences </w:t>
      </w:r>
      <w:r w:rsidR="002F50BE">
        <w:rPr>
          <w:rFonts w:ascii="Verdana" w:hAnsi="Verdana"/>
          <w:sz w:val="20"/>
          <w:szCs w:val="20"/>
        </w:rPr>
        <w:t>of lesser capacities (</w:t>
      </w:r>
      <w:r w:rsidR="00A85B05">
        <w:rPr>
          <w:rFonts w:ascii="Verdana" w:hAnsi="Verdana"/>
          <w:sz w:val="20"/>
          <w:szCs w:val="20"/>
        </w:rPr>
        <w:t xml:space="preserve">see, </w:t>
      </w:r>
      <w:r w:rsidR="002F50BE">
        <w:rPr>
          <w:rFonts w:ascii="Verdana" w:hAnsi="Verdana"/>
          <w:sz w:val="20"/>
          <w:szCs w:val="20"/>
        </w:rPr>
        <w:t xml:space="preserve">for example, </w:t>
      </w:r>
      <w:r w:rsidR="002F50BE" w:rsidRPr="00A85B05">
        <w:rPr>
          <w:rFonts w:ascii="Verdana" w:hAnsi="Verdana"/>
          <w:i/>
          <w:sz w:val="20"/>
          <w:szCs w:val="20"/>
        </w:rPr>
        <w:t>TLILIC401A Licence to operate a slewing mobile crane (over 100 tonnes)</w:t>
      </w:r>
      <w:r w:rsidR="00A85B05">
        <w:rPr>
          <w:rFonts w:ascii="Verdana" w:hAnsi="Verdana"/>
          <w:i/>
          <w:sz w:val="20"/>
          <w:szCs w:val="20"/>
        </w:rPr>
        <w:t>.</w:t>
      </w:r>
    </w:p>
    <w:p w:rsidR="006F2279" w:rsidRDefault="006F2279" w:rsidP="007835E2">
      <w:pPr>
        <w:tabs>
          <w:tab w:val="left" w:pos="567"/>
        </w:tabs>
        <w:ind w:right="28"/>
        <w:jc w:val="both"/>
        <w:rPr>
          <w:rFonts w:ascii="Verdana" w:hAnsi="Verdana"/>
          <w:sz w:val="20"/>
          <w:szCs w:val="20"/>
        </w:rPr>
      </w:pPr>
    </w:p>
    <w:p w:rsidR="00946129" w:rsidRDefault="00946129" w:rsidP="007835E2">
      <w:pPr>
        <w:tabs>
          <w:tab w:val="left" w:pos="567"/>
        </w:tabs>
        <w:ind w:right="28"/>
        <w:jc w:val="both"/>
        <w:rPr>
          <w:rFonts w:ascii="Verdana" w:hAnsi="Verdana"/>
          <w:sz w:val="20"/>
          <w:szCs w:val="20"/>
        </w:rPr>
      </w:pPr>
      <w:r>
        <w:rPr>
          <w:rFonts w:ascii="Verdana" w:hAnsi="Verdana"/>
          <w:sz w:val="20"/>
          <w:szCs w:val="20"/>
        </w:rPr>
        <w:t xml:space="preserve">Comcare also notes that the exemptions merely replicate </w:t>
      </w:r>
      <w:r w:rsidR="007835E2">
        <w:rPr>
          <w:rFonts w:ascii="Verdana" w:hAnsi="Verdana"/>
          <w:sz w:val="20"/>
          <w:szCs w:val="20"/>
        </w:rPr>
        <w:t>encompassment arrangements that</w:t>
      </w:r>
      <w:r>
        <w:rPr>
          <w:rFonts w:ascii="Verdana" w:hAnsi="Verdana"/>
          <w:sz w:val="20"/>
          <w:szCs w:val="20"/>
        </w:rPr>
        <w:t xml:space="preserve"> currently apply in most states and the ACT.</w:t>
      </w:r>
    </w:p>
    <w:p w:rsidR="00946129" w:rsidRDefault="00946129" w:rsidP="007835E2">
      <w:pPr>
        <w:tabs>
          <w:tab w:val="left" w:pos="567"/>
        </w:tabs>
        <w:ind w:right="28"/>
        <w:jc w:val="both"/>
        <w:rPr>
          <w:rFonts w:ascii="Verdana" w:hAnsi="Verdana"/>
          <w:sz w:val="20"/>
          <w:szCs w:val="20"/>
        </w:rPr>
      </w:pPr>
    </w:p>
    <w:p w:rsidR="00DD04E5" w:rsidRDefault="00B404E3" w:rsidP="00B404E3">
      <w:pPr>
        <w:tabs>
          <w:tab w:val="left" w:pos="567"/>
        </w:tabs>
        <w:ind w:right="28"/>
        <w:jc w:val="both"/>
        <w:rPr>
          <w:rFonts w:ascii="Verdana" w:hAnsi="Verdana"/>
          <w:sz w:val="20"/>
          <w:szCs w:val="20"/>
        </w:rPr>
      </w:pPr>
      <w:r>
        <w:rPr>
          <w:rFonts w:ascii="Verdana" w:hAnsi="Verdana"/>
          <w:sz w:val="20"/>
          <w:szCs w:val="20"/>
        </w:rPr>
        <w:t>The general exemptions granted by Comcare for regulation 85 w</w:t>
      </w:r>
      <w:r w:rsidR="0052069C">
        <w:rPr>
          <w:rFonts w:ascii="Verdana" w:hAnsi="Verdana"/>
          <w:sz w:val="20"/>
          <w:szCs w:val="20"/>
        </w:rPr>
        <w:t>ill not have any impact on work health and saf</w:t>
      </w:r>
      <w:r>
        <w:rPr>
          <w:rFonts w:ascii="Verdana" w:hAnsi="Verdana"/>
          <w:sz w:val="20"/>
          <w:szCs w:val="20"/>
        </w:rPr>
        <w:t xml:space="preserve">ety. </w:t>
      </w:r>
    </w:p>
    <w:p w:rsidR="00814AD2" w:rsidRDefault="00814AD2">
      <w:pPr>
        <w:rPr>
          <w:rFonts w:ascii="Verdana" w:hAnsi="Verdana"/>
          <w:b/>
          <w:sz w:val="20"/>
          <w:szCs w:val="20"/>
        </w:rPr>
      </w:pPr>
    </w:p>
    <w:p w:rsidR="00B404E3" w:rsidRDefault="00B404E3">
      <w:pPr>
        <w:rPr>
          <w:rFonts w:ascii="Verdana" w:hAnsi="Verdana"/>
          <w:b/>
          <w:sz w:val="20"/>
          <w:szCs w:val="20"/>
        </w:rPr>
      </w:pPr>
      <w:r>
        <w:rPr>
          <w:rFonts w:ascii="Verdana" w:hAnsi="Verdana"/>
          <w:b/>
          <w:sz w:val="20"/>
          <w:szCs w:val="20"/>
        </w:rPr>
        <w:br w:type="page"/>
      </w:r>
    </w:p>
    <w:p w:rsidR="00AA4A5E" w:rsidRPr="00AA4A5E" w:rsidRDefault="00AA4A5E" w:rsidP="00AA4A5E">
      <w:pPr>
        <w:spacing w:after="120"/>
        <w:jc w:val="both"/>
        <w:rPr>
          <w:rFonts w:ascii="Verdana" w:hAnsi="Verdana"/>
          <w:b/>
          <w:sz w:val="20"/>
          <w:szCs w:val="20"/>
        </w:rPr>
      </w:pPr>
      <w:r w:rsidRPr="00AA4A5E">
        <w:rPr>
          <w:rFonts w:ascii="Verdana" w:hAnsi="Verdana"/>
          <w:b/>
          <w:sz w:val="20"/>
          <w:szCs w:val="20"/>
        </w:rPr>
        <w:t xml:space="preserve">Compliance with consultation requirements of the </w:t>
      </w:r>
      <w:r w:rsidRPr="00AA4A5E">
        <w:rPr>
          <w:rFonts w:ascii="Verdana" w:hAnsi="Verdana"/>
          <w:b/>
          <w:i/>
          <w:sz w:val="20"/>
          <w:szCs w:val="20"/>
        </w:rPr>
        <w:t>Legislative Instruments Act 2003</w:t>
      </w:r>
    </w:p>
    <w:p w:rsidR="00AD1F6F" w:rsidRDefault="00814AD2" w:rsidP="00AA4A5E">
      <w:pPr>
        <w:rPr>
          <w:rFonts w:ascii="Verdana" w:eastAsia="Calibri" w:hAnsi="Verdana"/>
          <w:sz w:val="20"/>
          <w:szCs w:val="20"/>
          <w:lang w:eastAsia="en-US"/>
        </w:rPr>
      </w:pPr>
      <w:r>
        <w:rPr>
          <w:rFonts w:ascii="Verdana" w:eastAsia="Calibri" w:hAnsi="Verdana"/>
          <w:sz w:val="20"/>
          <w:szCs w:val="20"/>
          <w:lang w:eastAsia="en-US"/>
        </w:rPr>
        <w:t xml:space="preserve">Before the Commonwealth’s adoption of the WHS Regulations, </w:t>
      </w:r>
      <w:r w:rsidR="00AD1F6F">
        <w:rPr>
          <w:rFonts w:ascii="Verdana" w:eastAsia="Calibri" w:hAnsi="Verdana"/>
          <w:sz w:val="20"/>
          <w:szCs w:val="20"/>
          <w:lang w:eastAsia="en-US"/>
        </w:rPr>
        <w:t xml:space="preserve">the encompassment arrangements upon which </w:t>
      </w:r>
      <w:r w:rsidR="004775D6">
        <w:rPr>
          <w:rFonts w:ascii="Verdana" w:eastAsia="Calibri" w:hAnsi="Verdana"/>
          <w:sz w:val="20"/>
          <w:szCs w:val="20"/>
          <w:lang w:eastAsia="en-US"/>
        </w:rPr>
        <w:t xml:space="preserve">these </w:t>
      </w:r>
      <w:r w:rsidR="00AD1F6F">
        <w:rPr>
          <w:rFonts w:ascii="Verdana" w:eastAsia="Calibri" w:hAnsi="Verdana"/>
          <w:sz w:val="20"/>
          <w:szCs w:val="20"/>
          <w:lang w:eastAsia="en-US"/>
        </w:rPr>
        <w:t xml:space="preserve">exemptions are based, applied nationally. </w:t>
      </w:r>
    </w:p>
    <w:p w:rsidR="00AD1F6F" w:rsidRDefault="00AD1F6F" w:rsidP="00AA4A5E">
      <w:pPr>
        <w:rPr>
          <w:rFonts w:ascii="Verdana" w:eastAsia="Calibri" w:hAnsi="Verdana"/>
          <w:sz w:val="20"/>
          <w:szCs w:val="20"/>
          <w:lang w:eastAsia="en-US"/>
        </w:rPr>
      </w:pPr>
    </w:p>
    <w:p w:rsidR="00814AD2" w:rsidRDefault="00AD1F6F" w:rsidP="00AA4A5E">
      <w:pPr>
        <w:rPr>
          <w:rFonts w:ascii="Verdana" w:eastAsia="Calibri" w:hAnsi="Verdana"/>
          <w:sz w:val="20"/>
          <w:szCs w:val="20"/>
          <w:lang w:eastAsia="en-US"/>
        </w:rPr>
      </w:pPr>
      <w:r>
        <w:rPr>
          <w:rFonts w:ascii="Verdana" w:eastAsia="Calibri" w:hAnsi="Verdana"/>
          <w:sz w:val="20"/>
          <w:szCs w:val="20"/>
          <w:lang w:eastAsia="en-US"/>
        </w:rPr>
        <w:t>Moves are afoot to</w:t>
      </w:r>
      <w:r w:rsidR="00695AF6">
        <w:rPr>
          <w:rFonts w:ascii="Verdana" w:eastAsia="Calibri" w:hAnsi="Verdana"/>
          <w:sz w:val="20"/>
          <w:szCs w:val="20"/>
          <w:lang w:eastAsia="en-US"/>
        </w:rPr>
        <w:t xml:space="preserve"> formally</w:t>
      </w:r>
      <w:r>
        <w:rPr>
          <w:rFonts w:ascii="Verdana" w:eastAsia="Calibri" w:hAnsi="Verdana"/>
          <w:sz w:val="20"/>
          <w:szCs w:val="20"/>
          <w:lang w:eastAsia="en-US"/>
        </w:rPr>
        <w:t xml:space="preserve"> re</w:t>
      </w:r>
      <w:r>
        <w:rPr>
          <w:rFonts w:ascii="Verdana" w:eastAsia="Calibri" w:hAnsi="Verdana"/>
          <w:sz w:val="20"/>
          <w:szCs w:val="20"/>
          <w:lang w:eastAsia="en-US"/>
        </w:rPr>
        <w:noBreakHyphen/>
        <w:t xml:space="preserve">instate these arrangements in the Commonwealth jurisdiction following </w:t>
      </w:r>
      <w:r w:rsidR="006C6F10">
        <w:rPr>
          <w:rFonts w:ascii="Verdana" w:eastAsia="Calibri" w:hAnsi="Verdana"/>
          <w:sz w:val="20"/>
          <w:szCs w:val="20"/>
          <w:lang w:eastAsia="en-US"/>
        </w:rPr>
        <w:t xml:space="preserve">consultations </w:t>
      </w:r>
      <w:r w:rsidR="00491844">
        <w:rPr>
          <w:rFonts w:ascii="Verdana" w:eastAsia="Calibri" w:hAnsi="Verdana"/>
          <w:sz w:val="20"/>
          <w:szCs w:val="20"/>
          <w:lang w:eastAsia="en-US"/>
        </w:rPr>
        <w:t xml:space="preserve">carried out in 2013 </w:t>
      </w:r>
      <w:r w:rsidR="006C6F10">
        <w:rPr>
          <w:rFonts w:ascii="Verdana" w:eastAsia="Calibri" w:hAnsi="Verdana"/>
          <w:sz w:val="20"/>
          <w:szCs w:val="20"/>
          <w:lang w:eastAsia="en-US"/>
        </w:rPr>
        <w:t>with all</w:t>
      </w:r>
      <w:r w:rsidR="00652597">
        <w:rPr>
          <w:rFonts w:ascii="Verdana" w:eastAsia="Calibri" w:hAnsi="Verdana"/>
          <w:sz w:val="20"/>
          <w:szCs w:val="20"/>
          <w:lang w:eastAsia="en-US"/>
        </w:rPr>
        <w:t xml:space="preserve"> of</w:t>
      </w:r>
      <w:r w:rsidR="006C6F10">
        <w:rPr>
          <w:rFonts w:ascii="Verdana" w:eastAsia="Calibri" w:hAnsi="Verdana"/>
          <w:sz w:val="20"/>
          <w:szCs w:val="20"/>
          <w:lang w:eastAsia="en-US"/>
        </w:rPr>
        <w:t xml:space="preserve"> the Australian jurisdictions through </w:t>
      </w:r>
      <w:r w:rsidR="006425DF">
        <w:rPr>
          <w:rFonts w:ascii="Verdana" w:eastAsia="Calibri" w:hAnsi="Verdana"/>
          <w:sz w:val="20"/>
          <w:szCs w:val="20"/>
          <w:lang w:eastAsia="en-US"/>
        </w:rPr>
        <w:t xml:space="preserve">processes endorsed by </w:t>
      </w:r>
      <w:r w:rsidR="006C6F10">
        <w:rPr>
          <w:rFonts w:ascii="Verdana" w:eastAsia="Calibri" w:hAnsi="Verdana"/>
          <w:sz w:val="20"/>
          <w:szCs w:val="20"/>
          <w:lang w:eastAsia="en-US"/>
        </w:rPr>
        <w:t xml:space="preserve">the </w:t>
      </w:r>
      <w:r w:rsidR="006425DF">
        <w:rPr>
          <w:rFonts w:ascii="Verdana" w:eastAsia="Calibri" w:hAnsi="Verdana"/>
          <w:sz w:val="20"/>
          <w:szCs w:val="20"/>
          <w:lang w:eastAsia="en-US"/>
        </w:rPr>
        <w:t xml:space="preserve">2008 </w:t>
      </w:r>
      <w:r w:rsidR="006C6F10">
        <w:rPr>
          <w:rFonts w:ascii="Verdana" w:eastAsia="Calibri" w:hAnsi="Verdana"/>
          <w:sz w:val="20"/>
          <w:szCs w:val="20"/>
          <w:lang w:eastAsia="en-US"/>
        </w:rPr>
        <w:t>Inter</w:t>
      </w:r>
      <w:r w:rsidR="006425DF">
        <w:rPr>
          <w:rFonts w:ascii="Verdana" w:eastAsia="Calibri" w:hAnsi="Verdana"/>
          <w:sz w:val="20"/>
          <w:szCs w:val="20"/>
          <w:lang w:eastAsia="en-US"/>
        </w:rPr>
        <w:noBreakHyphen/>
        <w:t>G</w:t>
      </w:r>
      <w:r w:rsidR="006C6F10">
        <w:rPr>
          <w:rFonts w:ascii="Verdana" w:eastAsia="Calibri" w:hAnsi="Verdana"/>
          <w:sz w:val="20"/>
          <w:szCs w:val="20"/>
          <w:lang w:eastAsia="en-US"/>
        </w:rPr>
        <w:t xml:space="preserve">overnmental Agreement </w:t>
      </w:r>
      <w:r w:rsidR="004775D6">
        <w:rPr>
          <w:rFonts w:ascii="Verdana" w:eastAsia="Calibri" w:hAnsi="Verdana"/>
          <w:sz w:val="20"/>
          <w:szCs w:val="20"/>
          <w:lang w:eastAsia="en-US"/>
        </w:rPr>
        <w:t xml:space="preserve">(IGA) </w:t>
      </w:r>
      <w:r w:rsidR="006C6F10">
        <w:rPr>
          <w:rFonts w:ascii="Verdana" w:eastAsia="Calibri" w:hAnsi="Verdana"/>
          <w:sz w:val="20"/>
          <w:szCs w:val="20"/>
          <w:lang w:eastAsia="en-US"/>
        </w:rPr>
        <w:t>for Regulatory and Operational Reform in Occupational Health and Safety</w:t>
      </w:r>
      <w:r w:rsidR="00695AF6">
        <w:rPr>
          <w:rFonts w:ascii="Verdana" w:eastAsia="Calibri" w:hAnsi="Verdana"/>
          <w:sz w:val="20"/>
          <w:szCs w:val="20"/>
          <w:lang w:eastAsia="en-US"/>
        </w:rPr>
        <w:t>.</w:t>
      </w:r>
      <w:r w:rsidR="0037729C">
        <w:rPr>
          <w:rFonts w:ascii="Verdana" w:eastAsia="Calibri" w:hAnsi="Verdana"/>
          <w:sz w:val="20"/>
          <w:szCs w:val="20"/>
          <w:lang w:eastAsia="en-US"/>
        </w:rPr>
        <w:t xml:space="preserve"> </w:t>
      </w:r>
    </w:p>
    <w:p w:rsidR="002D74C7" w:rsidRDefault="002D74C7" w:rsidP="00AA4A5E">
      <w:pPr>
        <w:rPr>
          <w:rFonts w:ascii="Verdana" w:eastAsia="Calibri" w:hAnsi="Verdana"/>
          <w:sz w:val="20"/>
          <w:szCs w:val="20"/>
          <w:lang w:eastAsia="en-US"/>
        </w:rPr>
      </w:pPr>
    </w:p>
    <w:p w:rsidR="00491844" w:rsidRDefault="0037729C" w:rsidP="00AA4A5E">
      <w:pPr>
        <w:rPr>
          <w:rFonts w:ascii="Verdana" w:eastAsia="Calibri" w:hAnsi="Verdana"/>
          <w:sz w:val="20"/>
          <w:szCs w:val="20"/>
          <w:lang w:eastAsia="en-US"/>
        </w:rPr>
      </w:pPr>
      <w:r>
        <w:rPr>
          <w:rFonts w:ascii="Verdana" w:eastAsia="Calibri" w:hAnsi="Verdana"/>
          <w:sz w:val="20"/>
          <w:szCs w:val="20"/>
          <w:lang w:eastAsia="en-US"/>
        </w:rPr>
        <w:t xml:space="preserve">Until </w:t>
      </w:r>
      <w:r w:rsidR="00710D0F">
        <w:rPr>
          <w:rFonts w:ascii="Verdana" w:eastAsia="Calibri" w:hAnsi="Verdana"/>
          <w:sz w:val="20"/>
          <w:szCs w:val="20"/>
          <w:lang w:eastAsia="en-US"/>
        </w:rPr>
        <w:t>re</w:t>
      </w:r>
      <w:r w:rsidR="00710D0F">
        <w:rPr>
          <w:rFonts w:ascii="Verdana" w:eastAsia="Calibri" w:hAnsi="Verdana"/>
          <w:sz w:val="20"/>
          <w:szCs w:val="20"/>
          <w:lang w:eastAsia="en-US"/>
        </w:rPr>
        <w:noBreakHyphen/>
        <w:t>instatement</w:t>
      </w:r>
      <w:r>
        <w:rPr>
          <w:rFonts w:ascii="Verdana" w:eastAsia="Calibri" w:hAnsi="Verdana"/>
          <w:sz w:val="20"/>
          <w:szCs w:val="20"/>
          <w:lang w:eastAsia="en-US"/>
        </w:rPr>
        <w:t xml:space="preserve"> occurs, </w:t>
      </w:r>
      <w:r w:rsidR="002D74C7">
        <w:rPr>
          <w:rFonts w:ascii="Verdana" w:eastAsia="Calibri" w:hAnsi="Verdana"/>
          <w:sz w:val="20"/>
          <w:szCs w:val="20"/>
          <w:lang w:eastAsia="en-US"/>
        </w:rPr>
        <w:t xml:space="preserve">Comcare has </w:t>
      </w:r>
      <w:r>
        <w:rPr>
          <w:rFonts w:ascii="Verdana" w:eastAsia="Calibri" w:hAnsi="Verdana"/>
          <w:sz w:val="20"/>
          <w:szCs w:val="20"/>
          <w:lang w:eastAsia="en-US"/>
        </w:rPr>
        <w:t xml:space="preserve">identified an immediate need for </w:t>
      </w:r>
      <w:r w:rsidR="002D74C7">
        <w:rPr>
          <w:rFonts w:ascii="Verdana" w:eastAsia="Calibri" w:hAnsi="Verdana"/>
          <w:sz w:val="20"/>
          <w:szCs w:val="20"/>
          <w:lang w:eastAsia="en-US"/>
        </w:rPr>
        <w:t xml:space="preserve">the exemptions following </w:t>
      </w:r>
      <w:r w:rsidR="00652597">
        <w:rPr>
          <w:rFonts w:ascii="Verdana" w:eastAsia="Calibri" w:hAnsi="Verdana"/>
          <w:sz w:val="20"/>
          <w:szCs w:val="20"/>
          <w:lang w:eastAsia="en-US"/>
        </w:rPr>
        <w:t xml:space="preserve">informal discussions with </w:t>
      </w:r>
      <w:r w:rsidR="00491844">
        <w:rPr>
          <w:rFonts w:ascii="Verdana" w:eastAsia="Calibri" w:hAnsi="Verdana"/>
          <w:sz w:val="20"/>
          <w:szCs w:val="20"/>
          <w:lang w:eastAsia="en-US"/>
        </w:rPr>
        <w:t xml:space="preserve">a number of </w:t>
      </w:r>
      <w:r>
        <w:rPr>
          <w:rFonts w:ascii="Verdana" w:eastAsia="Calibri" w:hAnsi="Verdana"/>
          <w:sz w:val="20"/>
          <w:szCs w:val="20"/>
          <w:lang w:eastAsia="en-US"/>
        </w:rPr>
        <w:t xml:space="preserve">PCBUs about </w:t>
      </w:r>
      <w:r w:rsidR="00652597">
        <w:rPr>
          <w:rFonts w:ascii="Verdana" w:eastAsia="Calibri" w:hAnsi="Verdana"/>
          <w:sz w:val="20"/>
          <w:szCs w:val="20"/>
          <w:lang w:eastAsia="en-US"/>
        </w:rPr>
        <w:t xml:space="preserve">their high risk work licensing needs. </w:t>
      </w:r>
      <w:r w:rsidR="00491844">
        <w:rPr>
          <w:rFonts w:ascii="Verdana" w:eastAsia="Calibri" w:hAnsi="Verdana"/>
          <w:sz w:val="20"/>
          <w:szCs w:val="20"/>
          <w:lang w:eastAsia="en-US"/>
        </w:rPr>
        <w:t xml:space="preserve">Once in place, the </w:t>
      </w:r>
      <w:r w:rsidR="00B404E3">
        <w:rPr>
          <w:rFonts w:ascii="Verdana" w:eastAsia="Calibri" w:hAnsi="Verdana"/>
          <w:sz w:val="20"/>
          <w:szCs w:val="20"/>
          <w:lang w:eastAsia="en-US"/>
        </w:rPr>
        <w:t>high risk work</w:t>
      </w:r>
      <w:r w:rsidR="0093544F">
        <w:rPr>
          <w:rFonts w:ascii="Verdana" w:eastAsia="Calibri" w:hAnsi="Verdana"/>
          <w:sz w:val="20"/>
          <w:szCs w:val="20"/>
          <w:lang w:eastAsia="en-US"/>
        </w:rPr>
        <w:t xml:space="preserve"> licensing exemptions will result in greater efficiencies and lower costs for licence</w:t>
      </w:r>
      <w:r w:rsidR="0093544F">
        <w:rPr>
          <w:rFonts w:ascii="Verdana" w:eastAsia="Calibri" w:hAnsi="Verdana"/>
          <w:sz w:val="20"/>
          <w:szCs w:val="20"/>
          <w:lang w:eastAsia="en-US"/>
        </w:rPr>
        <w:noBreakHyphen/>
        <w:t xml:space="preserve">holders and PCBUs in its jurisdiction. </w:t>
      </w:r>
    </w:p>
    <w:p w:rsidR="00491844" w:rsidRDefault="00491844" w:rsidP="00AA4A5E">
      <w:pPr>
        <w:rPr>
          <w:rFonts w:ascii="Verdana" w:eastAsia="Calibri" w:hAnsi="Verdana"/>
          <w:sz w:val="20"/>
          <w:szCs w:val="20"/>
          <w:lang w:eastAsia="en-US"/>
        </w:rPr>
      </w:pPr>
    </w:p>
    <w:p w:rsidR="00AA4A5E" w:rsidRDefault="0093544F" w:rsidP="00EE23F0">
      <w:pPr>
        <w:rPr>
          <w:rFonts w:ascii="Verdana" w:eastAsia="Calibri" w:hAnsi="Verdana"/>
          <w:sz w:val="20"/>
          <w:szCs w:val="20"/>
          <w:lang w:eastAsia="en-US"/>
        </w:rPr>
      </w:pPr>
      <w:r>
        <w:rPr>
          <w:rFonts w:ascii="Verdana" w:eastAsia="Calibri" w:hAnsi="Verdana"/>
          <w:sz w:val="20"/>
          <w:szCs w:val="20"/>
          <w:lang w:eastAsia="en-US"/>
        </w:rPr>
        <w:t>Comcare is satisfied that</w:t>
      </w:r>
      <w:r w:rsidR="00491844">
        <w:rPr>
          <w:rFonts w:ascii="Verdana" w:eastAsia="Calibri" w:hAnsi="Verdana"/>
          <w:sz w:val="20"/>
          <w:szCs w:val="20"/>
          <w:lang w:eastAsia="en-US"/>
        </w:rPr>
        <w:t xml:space="preserve"> appropriate consultation has already been undertaken </w:t>
      </w:r>
      <w:r w:rsidR="00EE23F0">
        <w:rPr>
          <w:rFonts w:ascii="Verdana" w:eastAsia="Calibri" w:hAnsi="Verdana"/>
          <w:sz w:val="20"/>
          <w:szCs w:val="20"/>
          <w:lang w:eastAsia="en-US"/>
        </w:rPr>
        <w:t>through IGA processes</w:t>
      </w:r>
      <w:r w:rsidR="00873DF5">
        <w:rPr>
          <w:rFonts w:ascii="Verdana" w:eastAsia="Calibri" w:hAnsi="Verdana"/>
          <w:sz w:val="20"/>
          <w:szCs w:val="20"/>
          <w:lang w:eastAsia="en-US"/>
        </w:rPr>
        <w:t>. On this basis, and i</w:t>
      </w:r>
      <w:r w:rsidR="003F48BF">
        <w:rPr>
          <w:rFonts w:ascii="Verdana" w:eastAsia="Calibri" w:hAnsi="Verdana"/>
          <w:sz w:val="20"/>
          <w:szCs w:val="20"/>
          <w:lang w:eastAsia="en-US"/>
        </w:rPr>
        <w:t>n</w:t>
      </w:r>
      <w:r w:rsidR="00EE23F0">
        <w:rPr>
          <w:rFonts w:ascii="Verdana" w:eastAsia="Calibri" w:hAnsi="Verdana"/>
          <w:sz w:val="20"/>
          <w:szCs w:val="20"/>
          <w:lang w:eastAsia="en-US"/>
        </w:rPr>
        <w:t xml:space="preserve"> accordance with section 18 of the </w:t>
      </w:r>
      <w:r w:rsidR="00873DF5">
        <w:rPr>
          <w:rFonts w:ascii="Verdana" w:eastAsia="Calibri" w:hAnsi="Verdana"/>
          <w:i/>
          <w:sz w:val="20"/>
          <w:szCs w:val="20"/>
          <w:lang w:eastAsia="en-US"/>
        </w:rPr>
        <w:t>Legislative Instruments Act 2003</w:t>
      </w:r>
      <w:r w:rsidR="00EE23F0">
        <w:rPr>
          <w:rFonts w:ascii="Verdana" w:eastAsia="Calibri" w:hAnsi="Verdana"/>
          <w:sz w:val="20"/>
          <w:szCs w:val="20"/>
          <w:lang w:eastAsia="en-US"/>
        </w:rPr>
        <w:t xml:space="preserve">, </w:t>
      </w:r>
      <w:r w:rsidR="003F48BF">
        <w:rPr>
          <w:rFonts w:ascii="Verdana" w:eastAsia="Calibri" w:hAnsi="Verdana"/>
          <w:sz w:val="20"/>
          <w:szCs w:val="20"/>
          <w:lang w:eastAsia="en-US"/>
        </w:rPr>
        <w:t xml:space="preserve">Comcare considers that </w:t>
      </w:r>
      <w:r w:rsidR="00EE23F0">
        <w:rPr>
          <w:rFonts w:ascii="Verdana" w:eastAsia="Calibri" w:hAnsi="Verdana"/>
          <w:sz w:val="20"/>
          <w:szCs w:val="20"/>
          <w:lang w:eastAsia="en-US"/>
        </w:rPr>
        <w:t>further consultation would be unnecessary.</w:t>
      </w:r>
      <w:r w:rsidR="00B37626">
        <w:rPr>
          <w:rFonts w:ascii="Verdana" w:eastAsia="Calibri" w:hAnsi="Verdana"/>
          <w:sz w:val="20"/>
          <w:szCs w:val="20"/>
          <w:lang w:eastAsia="en-US"/>
        </w:rPr>
        <w:t xml:space="preserve"> </w:t>
      </w:r>
    </w:p>
    <w:p w:rsidR="00E37D2A" w:rsidRDefault="00E37D2A" w:rsidP="000069F4">
      <w:pPr>
        <w:rPr>
          <w:rFonts w:ascii="Verdana" w:eastAsia="Calibri" w:hAnsi="Verdana"/>
          <w:sz w:val="20"/>
          <w:szCs w:val="20"/>
          <w:lang w:eastAsia="en-US"/>
        </w:rPr>
      </w:pPr>
    </w:p>
    <w:p w:rsidR="00EE23F0" w:rsidRPr="005067DF" w:rsidRDefault="005067DF" w:rsidP="00177723">
      <w:pPr>
        <w:spacing w:after="120"/>
        <w:rPr>
          <w:rFonts w:ascii="Verdana" w:eastAsia="Calibri" w:hAnsi="Verdana"/>
          <w:b/>
          <w:sz w:val="20"/>
          <w:szCs w:val="20"/>
          <w:lang w:eastAsia="en-US"/>
        </w:rPr>
      </w:pPr>
      <w:r>
        <w:rPr>
          <w:rFonts w:ascii="Verdana" w:eastAsia="Calibri" w:hAnsi="Verdana"/>
          <w:b/>
          <w:sz w:val="20"/>
          <w:szCs w:val="20"/>
          <w:lang w:eastAsia="en-US"/>
        </w:rPr>
        <w:t>Other issues</w:t>
      </w:r>
    </w:p>
    <w:p w:rsidR="00105D86" w:rsidRDefault="00105D86" w:rsidP="00105D86">
      <w:pPr>
        <w:autoSpaceDE w:val="0"/>
        <w:autoSpaceDN w:val="0"/>
        <w:adjustRightInd w:val="0"/>
        <w:jc w:val="both"/>
        <w:rPr>
          <w:rFonts w:ascii="Verdana" w:eastAsia="Calibri" w:hAnsi="Verdana"/>
          <w:sz w:val="20"/>
          <w:szCs w:val="20"/>
          <w:lang w:eastAsia="en-US"/>
        </w:rPr>
      </w:pPr>
      <w:r w:rsidRPr="00544B97">
        <w:rPr>
          <w:rFonts w:ascii="Verdana" w:eastAsia="Calibri" w:hAnsi="Verdana"/>
          <w:sz w:val="20"/>
          <w:szCs w:val="20"/>
          <w:lang w:eastAsia="en-US"/>
        </w:rPr>
        <w:t>The exemption</w:t>
      </w:r>
      <w:r>
        <w:rPr>
          <w:rFonts w:ascii="Verdana" w:eastAsia="Calibri" w:hAnsi="Verdana"/>
          <w:sz w:val="20"/>
          <w:szCs w:val="20"/>
          <w:lang w:eastAsia="en-US"/>
        </w:rPr>
        <w:t>s are</w:t>
      </w:r>
      <w:r w:rsidRPr="00544B97">
        <w:rPr>
          <w:rFonts w:ascii="Verdana" w:eastAsia="Calibri" w:hAnsi="Verdana"/>
          <w:sz w:val="20"/>
          <w:szCs w:val="20"/>
          <w:lang w:eastAsia="en-US"/>
        </w:rPr>
        <w:t xml:space="preserve"> taken to have commenced on the day after </w:t>
      </w:r>
      <w:r>
        <w:rPr>
          <w:rFonts w:ascii="Verdana" w:eastAsia="Calibri" w:hAnsi="Verdana"/>
          <w:sz w:val="20"/>
          <w:szCs w:val="20"/>
          <w:lang w:eastAsia="en-US"/>
        </w:rPr>
        <w:t>they are</w:t>
      </w:r>
      <w:r w:rsidRPr="00544B97">
        <w:rPr>
          <w:rFonts w:ascii="Verdana" w:eastAsia="Calibri" w:hAnsi="Verdana"/>
          <w:sz w:val="20"/>
          <w:szCs w:val="20"/>
          <w:lang w:eastAsia="en-US"/>
        </w:rPr>
        <w:t xml:space="preserve"> registered on the Federal Register of Legislative Instruments.</w:t>
      </w:r>
    </w:p>
    <w:p w:rsidR="00105D86" w:rsidRDefault="00105D86" w:rsidP="00105D86">
      <w:pPr>
        <w:autoSpaceDE w:val="0"/>
        <w:autoSpaceDN w:val="0"/>
        <w:adjustRightInd w:val="0"/>
        <w:jc w:val="both"/>
        <w:rPr>
          <w:rFonts w:ascii="Verdana" w:eastAsia="Calibri" w:hAnsi="Verdana"/>
          <w:sz w:val="20"/>
          <w:szCs w:val="20"/>
          <w:lang w:eastAsia="en-US"/>
        </w:rPr>
      </w:pPr>
    </w:p>
    <w:p w:rsidR="00105D86" w:rsidRDefault="00105D86" w:rsidP="00105D86">
      <w:pPr>
        <w:autoSpaceDE w:val="0"/>
        <w:autoSpaceDN w:val="0"/>
        <w:adjustRightInd w:val="0"/>
        <w:jc w:val="both"/>
        <w:rPr>
          <w:rFonts w:ascii="Verdana" w:eastAsia="Calibri" w:hAnsi="Verdana"/>
          <w:sz w:val="20"/>
          <w:szCs w:val="20"/>
          <w:lang w:eastAsia="en-US"/>
        </w:rPr>
      </w:pPr>
      <w:r>
        <w:rPr>
          <w:rFonts w:ascii="Verdana" w:eastAsia="Calibri" w:hAnsi="Verdana"/>
          <w:sz w:val="20"/>
          <w:szCs w:val="20"/>
          <w:lang w:eastAsia="en-US"/>
        </w:rPr>
        <w:t>They will apply for five years unless the expiration date is amended or the exemptions are cancelled under regulation 697 of the WHS Regulations.</w:t>
      </w:r>
    </w:p>
    <w:p w:rsidR="00F95653" w:rsidRDefault="00F95653" w:rsidP="00185814">
      <w:pPr>
        <w:autoSpaceDE w:val="0"/>
        <w:autoSpaceDN w:val="0"/>
        <w:adjustRightInd w:val="0"/>
        <w:jc w:val="both"/>
        <w:rPr>
          <w:rFonts w:ascii="Verdana" w:eastAsia="Calibri" w:hAnsi="Verdana"/>
          <w:sz w:val="20"/>
          <w:szCs w:val="20"/>
        </w:rPr>
      </w:pPr>
    </w:p>
    <w:p w:rsidR="00E04723" w:rsidRDefault="00B901D0" w:rsidP="00185814">
      <w:pPr>
        <w:autoSpaceDE w:val="0"/>
        <w:autoSpaceDN w:val="0"/>
        <w:adjustRightInd w:val="0"/>
        <w:jc w:val="both"/>
        <w:rPr>
          <w:rFonts w:ascii="Verdana" w:hAnsi="Verdana"/>
          <w:sz w:val="20"/>
          <w:szCs w:val="20"/>
        </w:rPr>
      </w:pPr>
      <w:r w:rsidRPr="00964DB0">
        <w:rPr>
          <w:rFonts w:ascii="Verdana" w:eastAsia="Calibri" w:hAnsi="Verdana"/>
          <w:sz w:val="20"/>
          <w:szCs w:val="20"/>
        </w:rPr>
        <w:t xml:space="preserve">A Statement of Compatibility with Human Rights has been completed for the </w:t>
      </w:r>
      <w:r w:rsidR="0063493F">
        <w:rPr>
          <w:rFonts w:ascii="Verdana" w:eastAsia="Calibri" w:hAnsi="Verdana"/>
          <w:sz w:val="20"/>
          <w:szCs w:val="20"/>
        </w:rPr>
        <w:t>exemptions</w:t>
      </w:r>
      <w:r w:rsidRPr="00964DB0">
        <w:rPr>
          <w:rFonts w:ascii="Verdana" w:eastAsia="Calibri" w:hAnsi="Verdana"/>
          <w:sz w:val="20"/>
          <w:szCs w:val="20"/>
        </w:rPr>
        <w:t xml:space="preserve">, in accordance with the </w:t>
      </w:r>
      <w:r w:rsidRPr="00964DB0">
        <w:rPr>
          <w:rFonts w:ascii="Verdana" w:eastAsia="Calibri" w:hAnsi="Verdana"/>
          <w:i/>
          <w:iCs/>
          <w:sz w:val="20"/>
          <w:szCs w:val="20"/>
        </w:rPr>
        <w:t>Human Rights (Parliamentary Scrutiny) Act 2011</w:t>
      </w:r>
      <w:r w:rsidRPr="00964DB0">
        <w:rPr>
          <w:rFonts w:ascii="Verdana" w:eastAsia="Calibri" w:hAnsi="Verdana"/>
          <w:sz w:val="20"/>
          <w:szCs w:val="20"/>
        </w:rPr>
        <w:t xml:space="preserve">. The Statement’s assessment is that the </w:t>
      </w:r>
      <w:r>
        <w:rPr>
          <w:rFonts w:ascii="Verdana" w:eastAsia="Calibri" w:hAnsi="Verdana"/>
          <w:sz w:val="20"/>
          <w:szCs w:val="20"/>
        </w:rPr>
        <w:t>instrument</w:t>
      </w:r>
      <w:r w:rsidRPr="00964DB0">
        <w:rPr>
          <w:rFonts w:ascii="Verdana" w:eastAsia="Calibri" w:hAnsi="Verdana"/>
          <w:sz w:val="20"/>
          <w:szCs w:val="20"/>
        </w:rPr>
        <w:t xml:space="preserve"> is compatible with human rights. A copy of the Statement is attached.</w:t>
      </w:r>
    </w:p>
    <w:p w:rsidR="00B75E80" w:rsidRDefault="00B75E80">
      <w:pPr>
        <w:rPr>
          <w:rFonts w:ascii="Verdana" w:hAnsi="Verdana"/>
          <w:sz w:val="20"/>
          <w:szCs w:val="20"/>
        </w:rPr>
      </w:pPr>
      <w:r>
        <w:rPr>
          <w:rFonts w:ascii="Verdana" w:hAnsi="Verdana"/>
          <w:sz w:val="20"/>
          <w:szCs w:val="20"/>
        </w:rPr>
        <w:br w:type="page"/>
      </w:r>
    </w:p>
    <w:p w:rsidR="005B5B03" w:rsidRDefault="005B5B03" w:rsidP="006B3682">
      <w:pPr>
        <w:ind w:right="28"/>
        <w:contextualSpacing/>
        <w:jc w:val="both"/>
        <w:rPr>
          <w:rFonts w:ascii="Verdana" w:hAnsi="Verdana"/>
          <w:sz w:val="20"/>
          <w:szCs w:val="20"/>
        </w:rPr>
        <w:sectPr w:rsidR="005B5B03">
          <w:headerReference w:type="default" r:id="rId9"/>
          <w:footerReference w:type="default" r:id="rId10"/>
          <w:pgSz w:w="11906" w:h="16838"/>
          <w:pgMar w:top="1440" w:right="1800" w:bottom="1440" w:left="1800" w:header="708" w:footer="708" w:gutter="0"/>
          <w:cols w:space="708"/>
          <w:docGrid w:linePitch="360"/>
        </w:sectPr>
      </w:pPr>
    </w:p>
    <w:p w:rsidR="00FE1834" w:rsidRDefault="00FE1834" w:rsidP="00021C7B">
      <w:pPr>
        <w:pStyle w:val="NormalWeb"/>
        <w:contextualSpacing/>
        <w:jc w:val="center"/>
        <w:rPr>
          <w:rFonts w:ascii="Verdana" w:hAnsi="Verdana"/>
          <w:b/>
          <w:sz w:val="22"/>
          <w:szCs w:val="22"/>
        </w:rPr>
      </w:pPr>
    </w:p>
    <w:p w:rsidR="00B84AD7" w:rsidRPr="00D94DAE" w:rsidRDefault="00B84AD7" w:rsidP="00021C7B">
      <w:pPr>
        <w:pStyle w:val="NormalWeb"/>
        <w:contextualSpacing/>
        <w:jc w:val="center"/>
        <w:rPr>
          <w:rFonts w:ascii="Verdana" w:hAnsi="Verdana"/>
          <w:b/>
          <w:sz w:val="22"/>
          <w:szCs w:val="22"/>
        </w:rPr>
      </w:pPr>
      <w:r w:rsidRPr="00D94DAE">
        <w:rPr>
          <w:rFonts w:ascii="Verdana" w:hAnsi="Verdana"/>
          <w:b/>
          <w:sz w:val="22"/>
          <w:szCs w:val="22"/>
        </w:rPr>
        <w:t>Statement of Compatibility with Human Rights</w:t>
      </w:r>
    </w:p>
    <w:p w:rsidR="00B84AD7" w:rsidRDefault="00B84AD7" w:rsidP="00021C7B">
      <w:pPr>
        <w:spacing w:before="120" w:after="120"/>
        <w:contextualSpacing/>
        <w:jc w:val="center"/>
        <w:rPr>
          <w:rFonts w:ascii="Verdana" w:hAnsi="Verdana"/>
          <w:i/>
          <w:sz w:val="20"/>
          <w:szCs w:val="20"/>
        </w:rPr>
      </w:pPr>
      <w:r w:rsidRPr="00D94DAE">
        <w:rPr>
          <w:rFonts w:ascii="Verdana" w:hAnsi="Verdana"/>
          <w:i/>
          <w:sz w:val="20"/>
          <w:szCs w:val="20"/>
        </w:rPr>
        <w:t>Prepared in accordance with Part 3 of the</w:t>
      </w:r>
    </w:p>
    <w:p w:rsidR="00B84AD7" w:rsidRPr="00D94DAE" w:rsidRDefault="00B84AD7" w:rsidP="00021C7B">
      <w:pPr>
        <w:spacing w:before="120" w:after="120"/>
        <w:contextualSpacing/>
        <w:jc w:val="center"/>
        <w:rPr>
          <w:rFonts w:ascii="Verdana" w:hAnsi="Verdana"/>
          <w:i/>
          <w:sz w:val="20"/>
          <w:szCs w:val="20"/>
        </w:rPr>
      </w:pPr>
      <w:r w:rsidRPr="00D94DAE">
        <w:rPr>
          <w:rFonts w:ascii="Verdana" w:hAnsi="Verdana"/>
          <w:i/>
          <w:sz w:val="20"/>
          <w:szCs w:val="20"/>
        </w:rPr>
        <w:t>Human Rights (Parliamentary Scrutiny) Act 2011</w:t>
      </w:r>
    </w:p>
    <w:p w:rsidR="005B5B03" w:rsidRDefault="005B5B03" w:rsidP="00021C7B">
      <w:pPr>
        <w:ind w:right="28"/>
        <w:contextualSpacing/>
        <w:jc w:val="center"/>
        <w:rPr>
          <w:rFonts w:ascii="Verdana" w:hAnsi="Verdana"/>
          <w:sz w:val="20"/>
          <w:szCs w:val="20"/>
        </w:rPr>
      </w:pPr>
    </w:p>
    <w:p w:rsidR="00177723" w:rsidRPr="00873DF5" w:rsidRDefault="00177723" w:rsidP="00177723">
      <w:pPr>
        <w:jc w:val="center"/>
        <w:rPr>
          <w:rFonts w:ascii="Verdana" w:hAnsi="Verdana"/>
          <w:b/>
          <w:sz w:val="20"/>
          <w:szCs w:val="20"/>
        </w:rPr>
      </w:pPr>
      <w:r w:rsidRPr="00873DF5">
        <w:rPr>
          <w:rFonts w:ascii="Verdana" w:hAnsi="Verdana"/>
          <w:b/>
          <w:sz w:val="20"/>
          <w:szCs w:val="20"/>
        </w:rPr>
        <w:t>Work Health and Safety Exemption</w:t>
      </w:r>
      <w:r w:rsidR="00873DF5">
        <w:rPr>
          <w:rFonts w:ascii="Verdana" w:hAnsi="Verdana"/>
          <w:b/>
          <w:sz w:val="20"/>
          <w:szCs w:val="20"/>
        </w:rPr>
        <w:t>s</w:t>
      </w:r>
      <w:r w:rsidRPr="00873DF5">
        <w:rPr>
          <w:rFonts w:ascii="Verdana" w:hAnsi="Verdana"/>
          <w:b/>
          <w:sz w:val="20"/>
          <w:szCs w:val="20"/>
        </w:rPr>
        <w:t xml:space="preserve"> </w:t>
      </w:r>
    </w:p>
    <w:p w:rsidR="00177723" w:rsidRDefault="00177723" w:rsidP="00177723">
      <w:pPr>
        <w:jc w:val="center"/>
        <w:rPr>
          <w:rFonts w:ascii="Verdana" w:hAnsi="Verdana"/>
          <w:b/>
          <w:sz w:val="20"/>
          <w:szCs w:val="20"/>
        </w:rPr>
      </w:pPr>
      <w:r w:rsidRPr="00873DF5">
        <w:rPr>
          <w:rFonts w:ascii="Verdana" w:hAnsi="Verdana"/>
          <w:b/>
          <w:sz w:val="20"/>
          <w:szCs w:val="20"/>
        </w:rPr>
        <w:t>(High risk work licence</w:t>
      </w:r>
      <w:r w:rsidR="00873DF5">
        <w:rPr>
          <w:rFonts w:ascii="Verdana" w:hAnsi="Verdana"/>
          <w:b/>
          <w:sz w:val="20"/>
          <w:szCs w:val="20"/>
        </w:rPr>
        <w:t>s</w:t>
      </w:r>
      <w:r w:rsidRPr="00873DF5">
        <w:rPr>
          <w:rFonts w:ascii="Verdana" w:hAnsi="Verdana"/>
          <w:b/>
          <w:sz w:val="20"/>
          <w:szCs w:val="20"/>
        </w:rPr>
        <w:t xml:space="preserve"> - crane operation)</w:t>
      </w:r>
      <w:r w:rsidR="00873DF5">
        <w:rPr>
          <w:rFonts w:ascii="Verdana" w:hAnsi="Verdana"/>
          <w:b/>
          <w:sz w:val="20"/>
          <w:szCs w:val="20"/>
        </w:rPr>
        <w:t xml:space="preserve"> </w:t>
      </w:r>
      <w:r w:rsidRPr="00873DF5">
        <w:rPr>
          <w:rFonts w:ascii="Verdana" w:hAnsi="Verdana"/>
          <w:b/>
          <w:sz w:val="20"/>
          <w:szCs w:val="20"/>
        </w:rPr>
        <w:t>(</w:t>
      </w:r>
      <w:r w:rsidR="00886257">
        <w:rPr>
          <w:rFonts w:ascii="Verdana" w:hAnsi="Verdana"/>
          <w:b/>
          <w:sz w:val="20"/>
          <w:szCs w:val="20"/>
        </w:rPr>
        <w:t xml:space="preserve">November </w:t>
      </w:r>
      <w:r w:rsidRPr="00873DF5">
        <w:rPr>
          <w:rFonts w:ascii="Verdana" w:hAnsi="Verdana"/>
          <w:b/>
          <w:sz w:val="20"/>
          <w:szCs w:val="20"/>
        </w:rPr>
        <w:t>2014)</w:t>
      </w:r>
    </w:p>
    <w:p w:rsidR="005B5B03" w:rsidRDefault="005B5B03" w:rsidP="006B3682">
      <w:pPr>
        <w:ind w:right="28"/>
        <w:contextualSpacing/>
        <w:jc w:val="both"/>
        <w:rPr>
          <w:rFonts w:ascii="Verdana" w:hAnsi="Verdana"/>
          <w:sz w:val="20"/>
          <w:szCs w:val="20"/>
        </w:rPr>
      </w:pPr>
    </w:p>
    <w:p w:rsidR="004809A2" w:rsidRPr="00F24006" w:rsidRDefault="004809A2" w:rsidP="006B3682">
      <w:pPr>
        <w:spacing w:before="120" w:after="120"/>
        <w:contextualSpacing/>
        <w:jc w:val="both"/>
        <w:rPr>
          <w:rFonts w:ascii="Verdana" w:hAnsi="Verdana"/>
          <w:sz w:val="20"/>
          <w:szCs w:val="20"/>
        </w:rPr>
      </w:pPr>
      <w:r w:rsidRPr="00F24006">
        <w:rPr>
          <w:rFonts w:ascii="Verdana" w:hAnsi="Verdana"/>
          <w:sz w:val="20"/>
          <w:szCs w:val="20"/>
        </w:rPr>
        <w:t xml:space="preserve">This Legislative Instrument is compatible with the human rights and freedoms recognised or declared in the international instruments listed in section 3 of the </w:t>
      </w:r>
      <w:r w:rsidRPr="00F24006">
        <w:rPr>
          <w:rFonts w:ascii="Verdana" w:hAnsi="Verdana"/>
          <w:i/>
          <w:sz w:val="20"/>
          <w:szCs w:val="20"/>
        </w:rPr>
        <w:t>Human Rights (Parliamentary Scrutiny) Act 2011</w:t>
      </w:r>
      <w:r w:rsidRPr="00F24006">
        <w:rPr>
          <w:rFonts w:ascii="Verdana" w:hAnsi="Verdana"/>
          <w:sz w:val="20"/>
          <w:szCs w:val="20"/>
        </w:rPr>
        <w:t>.</w:t>
      </w:r>
    </w:p>
    <w:p w:rsidR="004809A2" w:rsidRPr="00F24006" w:rsidRDefault="004809A2" w:rsidP="006B3682">
      <w:pPr>
        <w:spacing w:before="120" w:after="120"/>
        <w:contextualSpacing/>
        <w:jc w:val="both"/>
        <w:rPr>
          <w:rFonts w:ascii="Verdana" w:hAnsi="Verdana"/>
          <w:sz w:val="20"/>
          <w:szCs w:val="20"/>
        </w:rPr>
      </w:pPr>
    </w:p>
    <w:p w:rsidR="0063493F" w:rsidRDefault="0063493F" w:rsidP="0063493F">
      <w:pPr>
        <w:spacing w:after="120"/>
        <w:jc w:val="both"/>
        <w:rPr>
          <w:rFonts w:ascii="Verdana" w:hAnsi="Verdana"/>
          <w:b/>
          <w:sz w:val="20"/>
          <w:szCs w:val="20"/>
        </w:rPr>
      </w:pPr>
      <w:r>
        <w:rPr>
          <w:rFonts w:ascii="Verdana" w:hAnsi="Verdana"/>
          <w:b/>
          <w:sz w:val="20"/>
          <w:szCs w:val="20"/>
        </w:rPr>
        <w:t>Overview of the Legislative Instrument</w:t>
      </w:r>
    </w:p>
    <w:p w:rsidR="00D864BF" w:rsidRDefault="00D864BF" w:rsidP="00D864BF">
      <w:pPr>
        <w:jc w:val="both"/>
        <w:rPr>
          <w:rFonts w:ascii="Verdana" w:hAnsi="Verdana"/>
          <w:sz w:val="20"/>
          <w:szCs w:val="20"/>
        </w:rPr>
      </w:pPr>
      <w:r w:rsidRPr="00544B97">
        <w:rPr>
          <w:rFonts w:ascii="Verdana" w:hAnsi="Verdana"/>
          <w:sz w:val="20"/>
          <w:szCs w:val="20"/>
        </w:rPr>
        <w:t xml:space="preserve">The purpose of the </w:t>
      </w:r>
      <w:r>
        <w:rPr>
          <w:rFonts w:ascii="Verdana" w:hAnsi="Verdana"/>
          <w:sz w:val="20"/>
          <w:szCs w:val="20"/>
        </w:rPr>
        <w:t>i</w:t>
      </w:r>
      <w:r w:rsidRPr="00544B97">
        <w:rPr>
          <w:rFonts w:ascii="Verdana" w:hAnsi="Verdana"/>
          <w:sz w:val="20"/>
          <w:szCs w:val="20"/>
        </w:rPr>
        <w:t xml:space="preserve">nstrument to which this Explanatory Statement relates </w:t>
      </w:r>
      <w:r>
        <w:rPr>
          <w:rFonts w:ascii="Verdana" w:hAnsi="Verdana"/>
          <w:sz w:val="20"/>
          <w:szCs w:val="20"/>
        </w:rPr>
        <w:t>(</w:t>
      </w:r>
      <w:r>
        <w:rPr>
          <w:rFonts w:ascii="Verdana" w:hAnsi="Verdana"/>
          <w:b/>
          <w:sz w:val="20"/>
          <w:szCs w:val="20"/>
        </w:rPr>
        <w:t>the exemption instrument</w:t>
      </w:r>
      <w:r>
        <w:rPr>
          <w:rFonts w:ascii="Verdana" w:hAnsi="Verdana"/>
          <w:sz w:val="20"/>
          <w:szCs w:val="20"/>
        </w:rPr>
        <w:t>)</w:t>
      </w:r>
      <w:r>
        <w:rPr>
          <w:rFonts w:ascii="Verdana" w:hAnsi="Verdana"/>
          <w:b/>
          <w:sz w:val="20"/>
          <w:szCs w:val="20"/>
        </w:rPr>
        <w:t xml:space="preserve"> </w:t>
      </w:r>
      <w:r w:rsidRPr="00544B97">
        <w:rPr>
          <w:rFonts w:ascii="Verdana" w:hAnsi="Verdana"/>
          <w:sz w:val="20"/>
          <w:szCs w:val="20"/>
        </w:rPr>
        <w:t xml:space="preserve">is to </w:t>
      </w:r>
      <w:r>
        <w:rPr>
          <w:rFonts w:ascii="Verdana" w:hAnsi="Verdana"/>
          <w:sz w:val="20"/>
          <w:szCs w:val="20"/>
        </w:rPr>
        <w:t>gr</w:t>
      </w:r>
      <w:r w:rsidRPr="00544B97">
        <w:rPr>
          <w:rFonts w:ascii="Verdana" w:hAnsi="Verdana"/>
          <w:sz w:val="20"/>
          <w:szCs w:val="20"/>
        </w:rPr>
        <w:t>ant exemption</w:t>
      </w:r>
      <w:r>
        <w:rPr>
          <w:rFonts w:ascii="Verdana" w:hAnsi="Verdana"/>
          <w:sz w:val="20"/>
          <w:szCs w:val="20"/>
        </w:rPr>
        <w:t>s</w:t>
      </w:r>
      <w:r w:rsidRPr="00544B97">
        <w:rPr>
          <w:rFonts w:ascii="Verdana" w:hAnsi="Verdana"/>
          <w:sz w:val="20"/>
          <w:szCs w:val="20"/>
        </w:rPr>
        <w:t xml:space="preserve"> from compliance with </w:t>
      </w:r>
      <w:r w:rsidRPr="001944D2">
        <w:rPr>
          <w:rFonts w:ascii="Verdana" w:hAnsi="Verdana"/>
          <w:sz w:val="20"/>
          <w:szCs w:val="20"/>
        </w:rPr>
        <w:t>regulation</w:t>
      </w:r>
      <w:r>
        <w:rPr>
          <w:rFonts w:ascii="Verdana" w:hAnsi="Verdana"/>
          <w:sz w:val="20"/>
          <w:szCs w:val="20"/>
        </w:rPr>
        <w:t xml:space="preserve">s 81 and 85 </w:t>
      </w:r>
      <w:r w:rsidRPr="00544B97">
        <w:rPr>
          <w:rFonts w:ascii="Verdana" w:hAnsi="Verdana"/>
          <w:sz w:val="20"/>
          <w:szCs w:val="20"/>
        </w:rPr>
        <w:t xml:space="preserve">of the </w:t>
      </w:r>
      <w:r w:rsidRPr="00544B97">
        <w:rPr>
          <w:rFonts w:ascii="Verdana" w:hAnsi="Verdana"/>
          <w:i/>
          <w:sz w:val="20"/>
          <w:szCs w:val="20"/>
        </w:rPr>
        <w:t>Work Health and Safety Regulations 2011</w:t>
      </w:r>
      <w:r w:rsidRPr="00544B97">
        <w:rPr>
          <w:rFonts w:ascii="Verdana" w:hAnsi="Verdana"/>
          <w:sz w:val="20"/>
          <w:szCs w:val="20"/>
        </w:rPr>
        <w:t xml:space="preserve"> (</w:t>
      </w:r>
      <w:r w:rsidRPr="00D63E6D">
        <w:rPr>
          <w:rFonts w:ascii="Verdana" w:hAnsi="Verdana"/>
          <w:b/>
          <w:sz w:val="20"/>
          <w:szCs w:val="20"/>
        </w:rPr>
        <w:t>WHS Regulations</w:t>
      </w:r>
      <w:r w:rsidRPr="00544B97">
        <w:rPr>
          <w:rFonts w:ascii="Verdana" w:hAnsi="Verdana"/>
          <w:sz w:val="20"/>
          <w:szCs w:val="20"/>
        </w:rPr>
        <w:t xml:space="preserve">) to </w:t>
      </w:r>
      <w:r>
        <w:rPr>
          <w:rFonts w:ascii="Verdana" w:hAnsi="Verdana"/>
          <w:sz w:val="20"/>
          <w:szCs w:val="20"/>
        </w:rPr>
        <w:t>those persons who must hold a high risk work licence when carrying out high risk work involving the use of certain cranes (</w:t>
      </w:r>
      <w:r>
        <w:rPr>
          <w:rFonts w:ascii="Verdana" w:hAnsi="Verdana"/>
          <w:b/>
          <w:sz w:val="20"/>
          <w:szCs w:val="20"/>
        </w:rPr>
        <w:t>the relevant high risk work</w:t>
      </w:r>
      <w:r>
        <w:rPr>
          <w:rFonts w:ascii="Verdana" w:hAnsi="Verdana"/>
          <w:sz w:val="20"/>
          <w:szCs w:val="20"/>
        </w:rPr>
        <w:t xml:space="preserve">), and those persons conducting a business or undertaking (PCBUs) at a workplace in which the abovementioned workers are carrying out the relevant high risk work. </w:t>
      </w:r>
    </w:p>
    <w:p w:rsidR="00D864BF" w:rsidRDefault="00D864BF" w:rsidP="00D864BF">
      <w:pPr>
        <w:jc w:val="both"/>
        <w:rPr>
          <w:rFonts w:ascii="Verdana" w:hAnsi="Verdana"/>
          <w:sz w:val="20"/>
          <w:szCs w:val="20"/>
        </w:rPr>
      </w:pPr>
    </w:p>
    <w:p w:rsidR="00D864BF" w:rsidRDefault="00D864BF" w:rsidP="00D864BF">
      <w:pPr>
        <w:jc w:val="both"/>
        <w:rPr>
          <w:rFonts w:ascii="Verdana" w:hAnsi="Verdana"/>
          <w:sz w:val="20"/>
          <w:szCs w:val="20"/>
        </w:rPr>
      </w:pPr>
      <w:r>
        <w:rPr>
          <w:rFonts w:ascii="Verdana" w:hAnsi="Verdana"/>
          <w:sz w:val="20"/>
          <w:szCs w:val="20"/>
        </w:rPr>
        <w:t>Regulation 686 provides that the regulator may exempt a person or class of persons from compliance with the WHS Regulations requiring the person or class of persons to hold a high risk work licence. The exemptions applying to the abovementioned persons who must hold a high risk work licence (</w:t>
      </w:r>
      <w:r>
        <w:rPr>
          <w:rFonts w:ascii="Verdana" w:hAnsi="Verdana"/>
          <w:b/>
          <w:sz w:val="20"/>
          <w:szCs w:val="20"/>
        </w:rPr>
        <w:t>the HRW licence exemptions</w:t>
      </w:r>
      <w:r>
        <w:rPr>
          <w:rFonts w:ascii="Verdana" w:hAnsi="Verdana"/>
          <w:sz w:val="20"/>
          <w:szCs w:val="20"/>
        </w:rPr>
        <w:t>)</w:t>
      </w:r>
      <w:r>
        <w:rPr>
          <w:rFonts w:ascii="Verdana" w:hAnsi="Verdana"/>
          <w:b/>
          <w:sz w:val="20"/>
          <w:szCs w:val="20"/>
        </w:rPr>
        <w:t xml:space="preserve"> </w:t>
      </w:r>
      <w:r>
        <w:rPr>
          <w:rFonts w:ascii="Verdana" w:hAnsi="Verdana"/>
          <w:sz w:val="20"/>
          <w:szCs w:val="20"/>
        </w:rPr>
        <w:t>will apply to them as a class.</w:t>
      </w:r>
    </w:p>
    <w:p w:rsidR="00D864BF" w:rsidRDefault="00D864BF" w:rsidP="00D864BF">
      <w:pPr>
        <w:jc w:val="both"/>
        <w:rPr>
          <w:rFonts w:ascii="Verdana" w:hAnsi="Verdana"/>
          <w:sz w:val="20"/>
          <w:szCs w:val="20"/>
        </w:rPr>
      </w:pPr>
    </w:p>
    <w:p w:rsidR="00D864BF" w:rsidRDefault="00D864BF" w:rsidP="00D864BF">
      <w:pPr>
        <w:jc w:val="both"/>
        <w:rPr>
          <w:rFonts w:ascii="Verdana" w:hAnsi="Verdana"/>
          <w:sz w:val="20"/>
          <w:szCs w:val="20"/>
        </w:rPr>
      </w:pPr>
      <w:r w:rsidRPr="00544B97">
        <w:rPr>
          <w:rFonts w:ascii="Verdana" w:hAnsi="Verdana"/>
          <w:sz w:val="20"/>
          <w:szCs w:val="20"/>
        </w:rPr>
        <w:t xml:space="preserve">Regulation 684 provides that the </w:t>
      </w:r>
      <w:r>
        <w:rPr>
          <w:rFonts w:ascii="Verdana" w:hAnsi="Verdana"/>
          <w:sz w:val="20"/>
          <w:szCs w:val="20"/>
        </w:rPr>
        <w:t>r</w:t>
      </w:r>
      <w:r w:rsidRPr="00544B97">
        <w:rPr>
          <w:rFonts w:ascii="Verdana" w:hAnsi="Verdana"/>
          <w:sz w:val="20"/>
          <w:szCs w:val="20"/>
        </w:rPr>
        <w:t>egulator may exempt a person or class of persons from compliance with any of the regu</w:t>
      </w:r>
      <w:r>
        <w:rPr>
          <w:rFonts w:ascii="Verdana" w:hAnsi="Verdana"/>
          <w:sz w:val="20"/>
          <w:szCs w:val="20"/>
        </w:rPr>
        <w:t>lations in the WHS Regulations other than a provision requiring a person to hold a high risk work licence (among other things). The exemptions applying to the abovementioned PCBUs (</w:t>
      </w:r>
      <w:r>
        <w:rPr>
          <w:rFonts w:ascii="Verdana" w:hAnsi="Verdana"/>
          <w:b/>
          <w:sz w:val="20"/>
          <w:szCs w:val="20"/>
        </w:rPr>
        <w:t>the general exemptions</w:t>
      </w:r>
      <w:r>
        <w:rPr>
          <w:rFonts w:ascii="Verdana" w:hAnsi="Verdana"/>
          <w:sz w:val="20"/>
          <w:szCs w:val="20"/>
        </w:rPr>
        <w:t>)</w:t>
      </w:r>
      <w:r>
        <w:rPr>
          <w:rFonts w:ascii="Verdana" w:hAnsi="Verdana"/>
          <w:b/>
          <w:sz w:val="20"/>
          <w:szCs w:val="20"/>
        </w:rPr>
        <w:t xml:space="preserve"> </w:t>
      </w:r>
      <w:r>
        <w:rPr>
          <w:rFonts w:ascii="Verdana" w:hAnsi="Verdana"/>
          <w:sz w:val="20"/>
          <w:szCs w:val="20"/>
        </w:rPr>
        <w:t>will apply to them as a class.</w:t>
      </w:r>
    </w:p>
    <w:p w:rsidR="00D864BF" w:rsidRDefault="00D864BF" w:rsidP="00D864BF">
      <w:pPr>
        <w:jc w:val="both"/>
        <w:rPr>
          <w:rFonts w:ascii="Verdana" w:hAnsi="Verdana"/>
          <w:sz w:val="20"/>
          <w:szCs w:val="20"/>
        </w:rPr>
      </w:pPr>
    </w:p>
    <w:p w:rsidR="00D864BF" w:rsidRDefault="00D864BF" w:rsidP="00D864BF">
      <w:pPr>
        <w:jc w:val="both"/>
        <w:rPr>
          <w:rFonts w:ascii="Verdana" w:hAnsi="Verdana"/>
          <w:sz w:val="20"/>
          <w:szCs w:val="20"/>
        </w:rPr>
      </w:pPr>
      <w:r>
        <w:rPr>
          <w:rFonts w:ascii="Verdana" w:hAnsi="Verdana"/>
          <w:sz w:val="20"/>
          <w:szCs w:val="20"/>
        </w:rPr>
        <w:t xml:space="preserve">Because the exemption instrument applies to classes of persons, it is a legislative instrument </w:t>
      </w:r>
      <w:r w:rsidRPr="00544B97">
        <w:rPr>
          <w:rFonts w:ascii="Verdana" w:hAnsi="Verdana"/>
          <w:sz w:val="20"/>
          <w:szCs w:val="20"/>
        </w:rPr>
        <w:t xml:space="preserve">within the meaning of the </w:t>
      </w:r>
      <w:r w:rsidRPr="00544B97">
        <w:rPr>
          <w:rFonts w:ascii="Verdana" w:hAnsi="Verdana"/>
          <w:i/>
          <w:sz w:val="20"/>
          <w:szCs w:val="20"/>
        </w:rPr>
        <w:t>Legislative Instruments Act 2003</w:t>
      </w:r>
      <w:r>
        <w:rPr>
          <w:rFonts w:ascii="Verdana" w:hAnsi="Verdana"/>
          <w:sz w:val="20"/>
          <w:szCs w:val="20"/>
        </w:rPr>
        <w:t xml:space="preserve"> as provided by </w:t>
      </w:r>
      <w:proofErr w:type="spellStart"/>
      <w:r>
        <w:rPr>
          <w:rFonts w:ascii="Verdana" w:hAnsi="Verdana"/>
          <w:sz w:val="20"/>
          <w:szCs w:val="20"/>
        </w:rPr>
        <w:t>s</w:t>
      </w:r>
      <w:r w:rsidRPr="00544B97">
        <w:rPr>
          <w:rFonts w:ascii="Verdana" w:hAnsi="Verdana"/>
          <w:sz w:val="20"/>
          <w:szCs w:val="20"/>
        </w:rPr>
        <w:t>ubregulation</w:t>
      </w:r>
      <w:proofErr w:type="spellEnd"/>
      <w:r w:rsidRPr="00544B97">
        <w:rPr>
          <w:rFonts w:ascii="Verdana" w:hAnsi="Verdana"/>
          <w:sz w:val="20"/>
          <w:szCs w:val="20"/>
        </w:rPr>
        <w:t xml:space="preserve"> 692(2) of the WHS Regulations</w:t>
      </w:r>
      <w:r>
        <w:rPr>
          <w:rFonts w:ascii="Verdana" w:hAnsi="Verdana"/>
          <w:sz w:val="20"/>
          <w:szCs w:val="20"/>
        </w:rPr>
        <w:t>.</w:t>
      </w:r>
    </w:p>
    <w:p w:rsidR="00D864BF" w:rsidRDefault="00D864BF" w:rsidP="00D864BF">
      <w:pPr>
        <w:jc w:val="both"/>
        <w:rPr>
          <w:rFonts w:ascii="Verdana" w:hAnsi="Verdana"/>
          <w:sz w:val="20"/>
          <w:szCs w:val="20"/>
        </w:rPr>
      </w:pPr>
    </w:p>
    <w:p w:rsidR="00D864BF" w:rsidRPr="00544B97" w:rsidRDefault="00D864BF" w:rsidP="00D864BF">
      <w:pPr>
        <w:jc w:val="both"/>
        <w:rPr>
          <w:rFonts w:ascii="Verdana" w:hAnsi="Verdana"/>
          <w:sz w:val="20"/>
          <w:szCs w:val="20"/>
        </w:rPr>
      </w:pPr>
      <w:r>
        <w:rPr>
          <w:rFonts w:ascii="Verdana" w:hAnsi="Verdana"/>
          <w:sz w:val="20"/>
          <w:szCs w:val="20"/>
        </w:rPr>
        <w:t>The exemptions are granted subject to conditions. In this regard, regulation 691 provides that the regulator may impose any conditions it considers appropriate on an exemption.</w:t>
      </w:r>
    </w:p>
    <w:p w:rsidR="00D864BF" w:rsidRDefault="00D864BF" w:rsidP="00D864BF">
      <w:pPr>
        <w:jc w:val="both"/>
        <w:rPr>
          <w:rFonts w:ascii="Verdana" w:hAnsi="Verdana"/>
          <w:sz w:val="20"/>
          <w:szCs w:val="20"/>
        </w:rPr>
      </w:pPr>
    </w:p>
    <w:p w:rsidR="00D864BF" w:rsidRPr="00510DC6" w:rsidRDefault="00D864BF" w:rsidP="00D864BF">
      <w:pPr>
        <w:spacing w:after="120"/>
        <w:jc w:val="both"/>
        <w:rPr>
          <w:rFonts w:ascii="Verdana" w:hAnsi="Verdana"/>
          <w:b/>
          <w:sz w:val="20"/>
          <w:szCs w:val="20"/>
        </w:rPr>
      </w:pPr>
      <w:r>
        <w:rPr>
          <w:rFonts w:ascii="Verdana" w:hAnsi="Verdana"/>
          <w:b/>
          <w:sz w:val="20"/>
          <w:szCs w:val="20"/>
        </w:rPr>
        <w:t>The exemptions</w:t>
      </w:r>
    </w:p>
    <w:p w:rsidR="00D864BF" w:rsidRPr="007C79C0" w:rsidRDefault="00D864BF" w:rsidP="00D864BF">
      <w:pPr>
        <w:tabs>
          <w:tab w:val="left" w:pos="567"/>
        </w:tabs>
        <w:spacing w:after="120"/>
        <w:ind w:right="28"/>
        <w:jc w:val="both"/>
        <w:rPr>
          <w:rFonts w:ascii="Verdana" w:hAnsi="Verdana"/>
          <w:sz w:val="20"/>
          <w:szCs w:val="20"/>
        </w:rPr>
      </w:pPr>
      <w:r>
        <w:rPr>
          <w:rFonts w:ascii="Verdana" w:hAnsi="Verdana"/>
          <w:sz w:val="20"/>
          <w:szCs w:val="20"/>
        </w:rPr>
        <w:t>As indicated above, the exemption instrument grants HRW licence exemptions and general exemptions.</w:t>
      </w:r>
    </w:p>
    <w:p w:rsidR="00D864BF" w:rsidRPr="00CC0857" w:rsidRDefault="00D864BF" w:rsidP="00D864BF">
      <w:pPr>
        <w:tabs>
          <w:tab w:val="left" w:pos="567"/>
        </w:tabs>
        <w:spacing w:after="120"/>
        <w:ind w:right="28"/>
        <w:jc w:val="both"/>
        <w:rPr>
          <w:rFonts w:ascii="Verdana" w:hAnsi="Verdana"/>
          <w:sz w:val="20"/>
          <w:szCs w:val="20"/>
          <w:u w:val="single"/>
        </w:rPr>
      </w:pPr>
      <w:r>
        <w:rPr>
          <w:rFonts w:ascii="Verdana" w:hAnsi="Verdana"/>
          <w:sz w:val="20"/>
          <w:szCs w:val="20"/>
          <w:u w:val="single"/>
        </w:rPr>
        <w:t>HRW licence exemptions</w:t>
      </w:r>
    </w:p>
    <w:p w:rsidR="00D864BF" w:rsidRDefault="00D864BF" w:rsidP="00D864BF">
      <w:pPr>
        <w:tabs>
          <w:tab w:val="left" w:pos="567"/>
        </w:tabs>
        <w:ind w:right="28"/>
        <w:jc w:val="both"/>
        <w:rPr>
          <w:rFonts w:ascii="Verdana" w:hAnsi="Verdana"/>
          <w:sz w:val="20"/>
          <w:szCs w:val="20"/>
        </w:rPr>
      </w:pPr>
      <w:r w:rsidRPr="00F64BA9">
        <w:rPr>
          <w:rFonts w:ascii="Verdana" w:hAnsi="Verdana"/>
          <w:sz w:val="20"/>
          <w:szCs w:val="20"/>
        </w:rPr>
        <w:t xml:space="preserve">Under </w:t>
      </w:r>
      <w:r>
        <w:rPr>
          <w:rFonts w:ascii="Verdana" w:hAnsi="Verdana"/>
          <w:sz w:val="20"/>
          <w:szCs w:val="20"/>
        </w:rPr>
        <w:t xml:space="preserve">regulation 81 of </w:t>
      </w:r>
      <w:r w:rsidRPr="00F64BA9">
        <w:rPr>
          <w:rFonts w:ascii="Verdana" w:hAnsi="Verdana"/>
          <w:sz w:val="20"/>
          <w:szCs w:val="20"/>
        </w:rPr>
        <w:t>the WHS Regulations, a person must</w:t>
      </w:r>
      <w:r>
        <w:rPr>
          <w:rFonts w:ascii="Verdana" w:hAnsi="Verdana"/>
          <w:sz w:val="20"/>
          <w:szCs w:val="20"/>
        </w:rPr>
        <w:t xml:space="preserve"> not carry out a class of high risk work unless the person holds a high risk work licence for that class of high risk work.</w:t>
      </w:r>
    </w:p>
    <w:p w:rsidR="00D864BF" w:rsidRDefault="00D864BF" w:rsidP="00D864BF">
      <w:pPr>
        <w:tabs>
          <w:tab w:val="left" w:pos="567"/>
        </w:tabs>
        <w:ind w:right="26"/>
        <w:jc w:val="both"/>
        <w:rPr>
          <w:rFonts w:ascii="Verdana" w:hAnsi="Verdana"/>
          <w:sz w:val="20"/>
          <w:szCs w:val="20"/>
        </w:rPr>
      </w:pPr>
    </w:p>
    <w:p w:rsidR="00D864BF" w:rsidRDefault="00D864BF" w:rsidP="00D864BF">
      <w:pPr>
        <w:tabs>
          <w:tab w:val="left" w:pos="567"/>
        </w:tabs>
        <w:ind w:right="26"/>
        <w:jc w:val="both"/>
        <w:rPr>
          <w:rFonts w:ascii="Verdana" w:hAnsi="Verdana"/>
          <w:sz w:val="20"/>
          <w:szCs w:val="20"/>
        </w:rPr>
      </w:pPr>
      <w:r>
        <w:rPr>
          <w:rFonts w:ascii="Verdana" w:hAnsi="Verdana"/>
          <w:sz w:val="20"/>
          <w:szCs w:val="20"/>
        </w:rPr>
        <w:t xml:space="preserve">Among other things, the WHS Regulations require a person to </w:t>
      </w:r>
      <w:r w:rsidRPr="00F64BA9">
        <w:rPr>
          <w:rFonts w:ascii="Verdana" w:hAnsi="Verdana"/>
          <w:sz w:val="20"/>
          <w:szCs w:val="20"/>
        </w:rPr>
        <w:t xml:space="preserve">hold a high risk work licence to </w:t>
      </w:r>
      <w:r>
        <w:rPr>
          <w:rFonts w:ascii="Verdana" w:hAnsi="Verdana"/>
          <w:sz w:val="20"/>
          <w:szCs w:val="20"/>
        </w:rPr>
        <w:t xml:space="preserve">carry out work involving the use of </w:t>
      </w:r>
      <w:r w:rsidRPr="00F64BA9">
        <w:rPr>
          <w:rFonts w:ascii="Verdana" w:hAnsi="Verdana"/>
          <w:sz w:val="20"/>
          <w:szCs w:val="20"/>
        </w:rPr>
        <w:t>a vehicle loading crane, a non</w:t>
      </w:r>
      <w:r>
        <w:rPr>
          <w:rFonts w:ascii="Verdana" w:hAnsi="Verdana"/>
          <w:sz w:val="20"/>
          <w:szCs w:val="20"/>
        </w:rPr>
        <w:noBreakHyphen/>
      </w:r>
      <w:r w:rsidRPr="00F64BA9">
        <w:rPr>
          <w:rFonts w:ascii="Verdana" w:hAnsi="Verdana"/>
          <w:sz w:val="20"/>
          <w:szCs w:val="20"/>
        </w:rPr>
        <w:t xml:space="preserve">slewing mobile crane, and slewing mobile cranes with various capacities ranging from 20 tonnes or less to over 100 tonnes. </w:t>
      </w:r>
    </w:p>
    <w:p w:rsidR="00D864BF" w:rsidRDefault="00D864BF" w:rsidP="00D864BF">
      <w:pPr>
        <w:tabs>
          <w:tab w:val="left" w:pos="567"/>
        </w:tabs>
        <w:ind w:right="26"/>
        <w:jc w:val="both"/>
        <w:rPr>
          <w:rFonts w:ascii="Verdana" w:hAnsi="Verdana"/>
          <w:sz w:val="20"/>
          <w:szCs w:val="20"/>
        </w:rPr>
      </w:pPr>
    </w:p>
    <w:p w:rsidR="00D864BF" w:rsidRDefault="00D864BF" w:rsidP="00D864BF">
      <w:pPr>
        <w:tabs>
          <w:tab w:val="left" w:pos="567"/>
        </w:tabs>
        <w:ind w:right="26"/>
        <w:jc w:val="both"/>
        <w:rPr>
          <w:rFonts w:ascii="Verdana" w:hAnsi="Verdana"/>
          <w:sz w:val="20"/>
          <w:szCs w:val="20"/>
        </w:rPr>
      </w:pPr>
      <w:r>
        <w:rPr>
          <w:rFonts w:ascii="Verdana" w:hAnsi="Verdana"/>
          <w:sz w:val="20"/>
          <w:szCs w:val="20"/>
        </w:rPr>
        <w:t xml:space="preserve">Items 13 to 18 of Schedule 3 of the WHS Regulations refer to these licences and the scope of high risk work covered by each licence. Items 13 to 18 of </w:t>
      </w:r>
      <w:r w:rsidRPr="00F64BA9">
        <w:rPr>
          <w:rFonts w:ascii="Verdana" w:hAnsi="Verdana"/>
          <w:sz w:val="20"/>
          <w:szCs w:val="20"/>
        </w:rPr>
        <w:t>Schedule</w:t>
      </w:r>
      <w:r>
        <w:rPr>
          <w:rFonts w:ascii="Verdana" w:hAnsi="Verdana"/>
          <w:sz w:val="20"/>
          <w:szCs w:val="20"/>
        </w:rPr>
        <w:t> </w:t>
      </w:r>
      <w:r w:rsidRPr="00F64BA9">
        <w:rPr>
          <w:rFonts w:ascii="Verdana" w:hAnsi="Verdana"/>
          <w:sz w:val="20"/>
          <w:szCs w:val="20"/>
        </w:rPr>
        <w:t xml:space="preserve">4 </w:t>
      </w:r>
      <w:r>
        <w:rPr>
          <w:rFonts w:ascii="Verdana" w:hAnsi="Verdana"/>
          <w:sz w:val="20"/>
          <w:szCs w:val="20"/>
        </w:rPr>
        <w:t>specify the training (‘VET course’) a person must undertake to qualify for these licences.</w:t>
      </w:r>
    </w:p>
    <w:p w:rsidR="00D864BF" w:rsidRDefault="00D864BF" w:rsidP="00D864BF">
      <w:pPr>
        <w:tabs>
          <w:tab w:val="left" w:pos="567"/>
        </w:tabs>
        <w:ind w:right="26"/>
        <w:jc w:val="both"/>
        <w:rPr>
          <w:rFonts w:ascii="Verdana" w:hAnsi="Verdana"/>
          <w:sz w:val="20"/>
          <w:szCs w:val="20"/>
        </w:rPr>
      </w:pPr>
    </w:p>
    <w:p w:rsidR="00D864BF" w:rsidRDefault="00D864BF" w:rsidP="00D864BF">
      <w:pPr>
        <w:tabs>
          <w:tab w:val="left" w:pos="567"/>
        </w:tabs>
        <w:ind w:right="26"/>
        <w:jc w:val="both"/>
        <w:rPr>
          <w:rFonts w:ascii="Verdana" w:hAnsi="Verdana"/>
          <w:sz w:val="20"/>
          <w:szCs w:val="20"/>
        </w:rPr>
      </w:pPr>
      <w:r w:rsidRPr="00F64BA9">
        <w:rPr>
          <w:rFonts w:ascii="Verdana" w:hAnsi="Verdana"/>
          <w:sz w:val="20"/>
          <w:szCs w:val="20"/>
        </w:rPr>
        <w:t>A much higher</w:t>
      </w:r>
      <w:r w:rsidRPr="008E0C1E">
        <w:rPr>
          <w:rFonts w:ascii="Verdana" w:hAnsi="Verdana"/>
          <w:sz w:val="20"/>
          <w:szCs w:val="20"/>
        </w:rPr>
        <w:t xml:space="preserve"> level of skill is required to operate a slewing mobile crane than for a vehicle loading crane and a non</w:t>
      </w:r>
      <w:r>
        <w:rPr>
          <w:rFonts w:ascii="Verdana" w:hAnsi="Verdana"/>
          <w:sz w:val="20"/>
          <w:szCs w:val="20"/>
        </w:rPr>
        <w:noBreakHyphen/>
      </w:r>
      <w:r w:rsidRPr="008E0C1E">
        <w:rPr>
          <w:rFonts w:ascii="Verdana" w:hAnsi="Verdana"/>
          <w:sz w:val="20"/>
          <w:szCs w:val="20"/>
        </w:rPr>
        <w:t xml:space="preserve">slewing mobile crane. Furthermore, a person with a </w:t>
      </w:r>
      <w:r>
        <w:rPr>
          <w:rFonts w:ascii="Verdana" w:hAnsi="Verdana"/>
          <w:sz w:val="20"/>
          <w:szCs w:val="20"/>
        </w:rPr>
        <w:t>high risk work</w:t>
      </w:r>
      <w:r w:rsidRPr="008E0C1E">
        <w:rPr>
          <w:rFonts w:ascii="Verdana" w:hAnsi="Verdana"/>
          <w:sz w:val="20"/>
          <w:szCs w:val="20"/>
        </w:rPr>
        <w:t xml:space="preserve"> licence to operate a slewing mobile crane having a certain capacity has the skill to operate slewing mobile cranes with lower capacities. </w:t>
      </w:r>
    </w:p>
    <w:p w:rsidR="00D864BF" w:rsidRDefault="00D864BF" w:rsidP="00D864BF">
      <w:pPr>
        <w:tabs>
          <w:tab w:val="left" w:pos="567"/>
        </w:tabs>
        <w:ind w:right="26"/>
        <w:jc w:val="both"/>
        <w:rPr>
          <w:rFonts w:ascii="Verdana" w:hAnsi="Verdana"/>
          <w:sz w:val="20"/>
          <w:szCs w:val="20"/>
        </w:rPr>
      </w:pPr>
    </w:p>
    <w:p w:rsidR="00D864BF" w:rsidRPr="00486F05" w:rsidRDefault="00D864BF" w:rsidP="00D864BF">
      <w:pPr>
        <w:tabs>
          <w:tab w:val="left" w:pos="567"/>
        </w:tabs>
        <w:ind w:right="26"/>
        <w:jc w:val="both"/>
        <w:rPr>
          <w:rFonts w:ascii="Verdana" w:hAnsi="Verdana"/>
          <w:sz w:val="20"/>
          <w:szCs w:val="20"/>
        </w:rPr>
      </w:pPr>
      <w:r>
        <w:rPr>
          <w:rFonts w:ascii="Verdana" w:hAnsi="Verdana"/>
          <w:sz w:val="20"/>
          <w:szCs w:val="20"/>
        </w:rPr>
        <w:t xml:space="preserve">Before the </w:t>
      </w:r>
      <w:r>
        <w:rPr>
          <w:rFonts w:ascii="Verdana" w:hAnsi="Verdana"/>
          <w:i/>
          <w:sz w:val="20"/>
          <w:szCs w:val="20"/>
        </w:rPr>
        <w:t xml:space="preserve">Work Health and Safety Act 2011 </w:t>
      </w:r>
      <w:r>
        <w:rPr>
          <w:rFonts w:ascii="Verdana" w:hAnsi="Verdana"/>
          <w:sz w:val="20"/>
          <w:szCs w:val="20"/>
        </w:rPr>
        <w:t>and the WHS Regulations (</w:t>
      </w:r>
      <w:r>
        <w:rPr>
          <w:rFonts w:ascii="Verdana" w:hAnsi="Verdana"/>
          <w:b/>
          <w:sz w:val="20"/>
          <w:szCs w:val="20"/>
        </w:rPr>
        <w:t>the WHS legislation</w:t>
      </w:r>
      <w:r>
        <w:rPr>
          <w:rFonts w:ascii="Verdana" w:hAnsi="Verdana"/>
          <w:sz w:val="20"/>
          <w:szCs w:val="20"/>
        </w:rPr>
        <w:t xml:space="preserve">) came into force on 1 January 2012, </w:t>
      </w:r>
      <w:r w:rsidRPr="008E0C1E">
        <w:rPr>
          <w:rFonts w:ascii="Verdana" w:hAnsi="Verdana"/>
          <w:sz w:val="20"/>
          <w:szCs w:val="20"/>
        </w:rPr>
        <w:t>‘encompassment’ arrangements</w:t>
      </w:r>
      <w:r>
        <w:rPr>
          <w:rFonts w:ascii="Verdana" w:hAnsi="Verdana"/>
          <w:sz w:val="20"/>
          <w:szCs w:val="20"/>
        </w:rPr>
        <w:t xml:space="preserve"> were in place in all of the Australian jurisdictions including the Commonwealth. Under these arrangements, </w:t>
      </w:r>
      <w:r w:rsidRPr="008E0C1E">
        <w:rPr>
          <w:rFonts w:ascii="Verdana" w:hAnsi="Verdana"/>
          <w:sz w:val="20"/>
          <w:szCs w:val="20"/>
        </w:rPr>
        <w:t xml:space="preserve">a person would not have to obtain a </w:t>
      </w:r>
      <w:r>
        <w:rPr>
          <w:rFonts w:ascii="Verdana" w:hAnsi="Verdana"/>
          <w:sz w:val="20"/>
          <w:szCs w:val="20"/>
        </w:rPr>
        <w:t>high risk work</w:t>
      </w:r>
      <w:r w:rsidRPr="008E0C1E">
        <w:rPr>
          <w:rFonts w:ascii="Verdana" w:hAnsi="Verdana"/>
          <w:sz w:val="20"/>
          <w:szCs w:val="20"/>
        </w:rPr>
        <w:t xml:space="preserve"> licence to operate a ‘lower</w:t>
      </w:r>
      <w:r>
        <w:rPr>
          <w:rFonts w:ascii="Verdana" w:hAnsi="Verdana"/>
          <w:sz w:val="20"/>
          <w:szCs w:val="20"/>
        </w:rPr>
        <w:noBreakHyphen/>
      </w:r>
      <w:r w:rsidRPr="008E0C1E">
        <w:rPr>
          <w:rFonts w:ascii="Verdana" w:hAnsi="Verdana"/>
          <w:sz w:val="20"/>
          <w:szCs w:val="20"/>
        </w:rPr>
        <w:t xml:space="preserve">ranking’ crane if the person already held a </w:t>
      </w:r>
      <w:r>
        <w:rPr>
          <w:rFonts w:ascii="Verdana" w:hAnsi="Verdana"/>
          <w:sz w:val="20"/>
          <w:szCs w:val="20"/>
        </w:rPr>
        <w:t>high risk work</w:t>
      </w:r>
      <w:r w:rsidRPr="008E0C1E">
        <w:rPr>
          <w:rFonts w:ascii="Verdana" w:hAnsi="Verdana"/>
          <w:sz w:val="20"/>
          <w:szCs w:val="20"/>
        </w:rPr>
        <w:t xml:space="preserve"> licence for a ‘higher</w:t>
      </w:r>
      <w:r>
        <w:rPr>
          <w:rFonts w:ascii="Verdana" w:hAnsi="Verdana"/>
          <w:sz w:val="20"/>
          <w:szCs w:val="20"/>
        </w:rPr>
        <w:noBreakHyphen/>
      </w:r>
      <w:r w:rsidRPr="008E0C1E">
        <w:rPr>
          <w:rFonts w:ascii="Verdana" w:hAnsi="Verdana"/>
          <w:sz w:val="20"/>
          <w:szCs w:val="20"/>
        </w:rPr>
        <w:t>ranking’ crane.</w:t>
      </w:r>
    </w:p>
    <w:p w:rsidR="00D864BF" w:rsidRDefault="00D864BF" w:rsidP="00D864BF">
      <w:pPr>
        <w:tabs>
          <w:tab w:val="left" w:pos="567"/>
        </w:tabs>
        <w:ind w:right="26"/>
        <w:jc w:val="both"/>
        <w:rPr>
          <w:rFonts w:ascii="Verdana" w:hAnsi="Verdana"/>
          <w:sz w:val="20"/>
          <w:szCs w:val="20"/>
        </w:rPr>
      </w:pPr>
    </w:p>
    <w:p w:rsidR="00D864BF" w:rsidRDefault="00D864BF" w:rsidP="00D864BF">
      <w:pPr>
        <w:tabs>
          <w:tab w:val="left" w:pos="567"/>
        </w:tabs>
        <w:ind w:right="26"/>
        <w:jc w:val="both"/>
        <w:rPr>
          <w:rFonts w:ascii="Verdana" w:hAnsi="Verdana"/>
          <w:sz w:val="20"/>
          <w:szCs w:val="20"/>
        </w:rPr>
      </w:pPr>
      <w:r>
        <w:rPr>
          <w:rFonts w:ascii="Verdana" w:hAnsi="Verdana"/>
          <w:sz w:val="20"/>
          <w:szCs w:val="20"/>
        </w:rPr>
        <w:t xml:space="preserve">These encompassment arrangements are already reflected in the slewing mobile crane licence classes in items 16 and 17 of Schedule 3 of the WHS Regulations which allow persons holding high risk licences to operate slewing mobile cranes with capacities of up to 60 tonnes and 100 tonnes to operate slewing mobile cranes of less than 60 tonnes and 100 tonnes respectively. </w:t>
      </w:r>
    </w:p>
    <w:p w:rsidR="00D864BF" w:rsidRDefault="00D864BF" w:rsidP="00D864BF">
      <w:pPr>
        <w:tabs>
          <w:tab w:val="left" w:pos="567"/>
        </w:tabs>
        <w:ind w:right="26"/>
        <w:jc w:val="both"/>
        <w:rPr>
          <w:rFonts w:ascii="Verdana" w:hAnsi="Verdana"/>
          <w:sz w:val="20"/>
          <w:szCs w:val="20"/>
        </w:rPr>
      </w:pPr>
    </w:p>
    <w:p w:rsidR="00D864BF" w:rsidRDefault="00D864BF" w:rsidP="00D864BF">
      <w:pPr>
        <w:tabs>
          <w:tab w:val="left" w:pos="567"/>
        </w:tabs>
        <w:ind w:right="26"/>
        <w:jc w:val="both"/>
        <w:rPr>
          <w:rFonts w:ascii="Verdana" w:hAnsi="Verdana"/>
          <w:sz w:val="20"/>
          <w:szCs w:val="20"/>
        </w:rPr>
      </w:pPr>
      <w:r>
        <w:rPr>
          <w:rFonts w:ascii="Verdana" w:hAnsi="Verdana"/>
          <w:sz w:val="20"/>
          <w:szCs w:val="20"/>
        </w:rPr>
        <w:t>The HRW licence exemptions in the exemption instrument exempt a person from the requirement to hold a high risk work licence to use the cranes listed in clause 3(a) of the exemption instrument on condition that the person already holds a ‘higher</w:t>
      </w:r>
      <w:r>
        <w:rPr>
          <w:rFonts w:ascii="Verdana" w:hAnsi="Verdana"/>
          <w:sz w:val="20"/>
          <w:szCs w:val="20"/>
        </w:rPr>
        <w:noBreakHyphen/>
        <w:t>ranking’ high risk work licence that encompasses the work performed. The relevant conditions are set out in the table in clause 7.1 of the exemption instrument. Paragraph (a) in each of items 1 to 3 of this table provides that the exemptions will apply so that a person:</w:t>
      </w:r>
    </w:p>
    <w:p w:rsidR="00D864BF" w:rsidRDefault="00D864BF" w:rsidP="00D864BF">
      <w:pPr>
        <w:tabs>
          <w:tab w:val="left" w:pos="567"/>
        </w:tabs>
        <w:ind w:right="26"/>
        <w:jc w:val="both"/>
        <w:rPr>
          <w:rFonts w:ascii="Verdana" w:hAnsi="Verdana"/>
          <w:sz w:val="20"/>
          <w:szCs w:val="20"/>
        </w:rPr>
      </w:pPr>
    </w:p>
    <w:p w:rsidR="00D864BF" w:rsidRDefault="00D864BF" w:rsidP="00D864BF">
      <w:pPr>
        <w:pStyle w:val="ListParagraph"/>
        <w:numPr>
          <w:ilvl w:val="0"/>
          <w:numId w:val="29"/>
        </w:numPr>
        <w:tabs>
          <w:tab w:val="left" w:pos="567"/>
        </w:tabs>
        <w:ind w:left="567" w:right="26" w:hanging="567"/>
        <w:jc w:val="both"/>
        <w:rPr>
          <w:rFonts w:ascii="Verdana" w:hAnsi="Verdana"/>
          <w:sz w:val="20"/>
          <w:szCs w:val="20"/>
        </w:rPr>
      </w:pPr>
      <w:r>
        <w:rPr>
          <w:rFonts w:ascii="Verdana" w:hAnsi="Verdana"/>
          <w:sz w:val="20"/>
          <w:szCs w:val="20"/>
        </w:rPr>
        <w:t>licensed to operate a slewing mobile crane of any capacity will not have to obtain a separate high risk work licence to operate a vehicle loading crane (item 1) or a non</w:t>
      </w:r>
      <w:r>
        <w:rPr>
          <w:rFonts w:ascii="Verdana" w:hAnsi="Verdana"/>
          <w:sz w:val="20"/>
          <w:szCs w:val="20"/>
        </w:rPr>
        <w:noBreakHyphen/>
        <w:t>slewing mobile crane (item 2); and</w:t>
      </w:r>
    </w:p>
    <w:p w:rsidR="00D864BF" w:rsidRDefault="00D864BF" w:rsidP="00D864BF">
      <w:pPr>
        <w:pStyle w:val="ListParagraph"/>
        <w:tabs>
          <w:tab w:val="left" w:pos="567"/>
        </w:tabs>
        <w:ind w:left="567" w:right="26"/>
        <w:jc w:val="both"/>
        <w:rPr>
          <w:rFonts w:ascii="Verdana" w:hAnsi="Verdana"/>
          <w:sz w:val="20"/>
          <w:szCs w:val="20"/>
        </w:rPr>
      </w:pPr>
    </w:p>
    <w:p w:rsidR="00D864BF" w:rsidRDefault="00D864BF" w:rsidP="00D864BF">
      <w:pPr>
        <w:pStyle w:val="ListParagraph"/>
        <w:numPr>
          <w:ilvl w:val="0"/>
          <w:numId w:val="29"/>
        </w:numPr>
        <w:tabs>
          <w:tab w:val="left" w:pos="567"/>
        </w:tabs>
        <w:ind w:left="567" w:right="26" w:hanging="567"/>
        <w:jc w:val="both"/>
        <w:rPr>
          <w:rFonts w:ascii="Verdana" w:hAnsi="Verdana"/>
          <w:sz w:val="20"/>
          <w:szCs w:val="20"/>
        </w:rPr>
      </w:pPr>
      <w:proofErr w:type="gramStart"/>
      <w:r>
        <w:rPr>
          <w:rFonts w:ascii="Verdana" w:hAnsi="Verdana"/>
          <w:sz w:val="20"/>
          <w:szCs w:val="20"/>
        </w:rPr>
        <w:t>licensed</w:t>
      </w:r>
      <w:proofErr w:type="gramEnd"/>
      <w:r>
        <w:rPr>
          <w:rFonts w:ascii="Verdana" w:hAnsi="Verdana"/>
          <w:sz w:val="20"/>
          <w:szCs w:val="20"/>
        </w:rPr>
        <w:t xml:space="preserve"> to operate </w:t>
      </w:r>
      <w:r w:rsidRPr="00787996">
        <w:rPr>
          <w:rFonts w:ascii="Verdana" w:hAnsi="Verdana"/>
          <w:sz w:val="20"/>
          <w:szCs w:val="20"/>
        </w:rPr>
        <w:t xml:space="preserve">a slewing mobile crane with a capacity of over 100 tonnes will </w:t>
      </w:r>
      <w:r>
        <w:rPr>
          <w:rFonts w:ascii="Verdana" w:hAnsi="Verdana"/>
          <w:sz w:val="20"/>
          <w:szCs w:val="20"/>
        </w:rPr>
        <w:t xml:space="preserve">not be required to obtain a separate high risk work licence to operate a </w:t>
      </w:r>
      <w:r w:rsidRPr="00787996">
        <w:rPr>
          <w:rFonts w:ascii="Verdana" w:hAnsi="Verdana"/>
          <w:sz w:val="20"/>
          <w:szCs w:val="20"/>
        </w:rPr>
        <w:t>slewing mobil</w:t>
      </w:r>
      <w:r>
        <w:rPr>
          <w:rFonts w:ascii="Verdana" w:hAnsi="Verdana"/>
          <w:sz w:val="20"/>
          <w:szCs w:val="20"/>
        </w:rPr>
        <w:t>e crane with a lesser capacity (item 3).</w:t>
      </w:r>
    </w:p>
    <w:p w:rsidR="00D864BF" w:rsidRDefault="00D864BF" w:rsidP="00D864BF">
      <w:pPr>
        <w:tabs>
          <w:tab w:val="left" w:pos="567"/>
        </w:tabs>
        <w:ind w:right="26"/>
        <w:jc w:val="both"/>
        <w:rPr>
          <w:rFonts w:ascii="Verdana" w:hAnsi="Verdana"/>
          <w:sz w:val="20"/>
          <w:szCs w:val="20"/>
        </w:rPr>
      </w:pPr>
    </w:p>
    <w:p w:rsidR="00D864BF" w:rsidRDefault="00D864BF" w:rsidP="00D864BF">
      <w:pPr>
        <w:tabs>
          <w:tab w:val="left" w:pos="567"/>
        </w:tabs>
        <w:ind w:right="26"/>
        <w:jc w:val="both"/>
        <w:rPr>
          <w:rFonts w:ascii="Verdana" w:hAnsi="Verdana"/>
          <w:sz w:val="20"/>
          <w:szCs w:val="20"/>
        </w:rPr>
      </w:pPr>
      <w:r>
        <w:rPr>
          <w:rFonts w:ascii="Verdana" w:hAnsi="Verdana"/>
          <w:sz w:val="20"/>
          <w:szCs w:val="20"/>
        </w:rPr>
        <w:t>Paragraphs (b) and (c) in each of items 1 to 3 of the same table apply the same encompassment principles to instances where a person is in training to obtain a high risk work licence and where a person is carrying out work while awaiting a decision on a high risk work licence application. These instances reflect the exception provisions prescribed by regulation 82 of the WHS Regulations.</w:t>
      </w:r>
    </w:p>
    <w:p w:rsidR="00D864BF" w:rsidRDefault="00D864BF" w:rsidP="00D864BF">
      <w:pPr>
        <w:tabs>
          <w:tab w:val="left" w:pos="567"/>
        </w:tabs>
        <w:ind w:right="26"/>
        <w:jc w:val="both"/>
        <w:rPr>
          <w:rFonts w:ascii="Verdana" w:hAnsi="Verdana"/>
          <w:sz w:val="20"/>
          <w:szCs w:val="20"/>
        </w:rPr>
      </w:pPr>
    </w:p>
    <w:p w:rsidR="00D864BF" w:rsidRPr="004C5F38" w:rsidRDefault="00D864BF" w:rsidP="00D864BF">
      <w:pPr>
        <w:tabs>
          <w:tab w:val="left" w:pos="567"/>
        </w:tabs>
        <w:ind w:right="26"/>
        <w:jc w:val="both"/>
        <w:rPr>
          <w:rFonts w:ascii="Verdana" w:hAnsi="Verdana"/>
          <w:sz w:val="20"/>
          <w:szCs w:val="20"/>
          <w:u w:val="single"/>
        </w:rPr>
      </w:pPr>
      <w:r>
        <w:rPr>
          <w:rFonts w:ascii="Verdana" w:hAnsi="Verdana"/>
          <w:sz w:val="20"/>
          <w:szCs w:val="20"/>
          <w:u w:val="single"/>
        </w:rPr>
        <w:t>General exemptions</w:t>
      </w:r>
    </w:p>
    <w:p w:rsidR="00D864BF" w:rsidRDefault="00D864BF" w:rsidP="00D864BF">
      <w:pPr>
        <w:tabs>
          <w:tab w:val="left" w:pos="567"/>
        </w:tabs>
        <w:spacing w:before="120"/>
        <w:ind w:right="28"/>
        <w:jc w:val="both"/>
        <w:rPr>
          <w:rFonts w:ascii="Verdana" w:hAnsi="Verdana"/>
          <w:sz w:val="20"/>
          <w:szCs w:val="20"/>
        </w:rPr>
      </w:pPr>
      <w:r>
        <w:rPr>
          <w:rFonts w:ascii="Verdana" w:hAnsi="Verdana"/>
          <w:sz w:val="20"/>
          <w:szCs w:val="20"/>
        </w:rPr>
        <w:t>R</w:t>
      </w:r>
      <w:r w:rsidRPr="004C5F38">
        <w:rPr>
          <w:rFonts w:ascii="Verdana" w:hAnsi="Verdana"/>
          <w:sz w:val="20"/>
          <w:szCs w:val="20"/>
        </w:rPr>
        <w:t>egulation 85</w:t>
      </w:r>
      <w:r>
        <w:rPr>
          <w:rFonts w:ascii="Verdana" w:hAnsi="Verdana"/>
          <w:sz w:val="20"/>
          <w:szCs w:val="20"/>
        </w:rPr>
        <w:t xml:space="preserve"> of the WHS Regulations </w:t>
      </w:r>
      <w:r w:rsidRPr="004C5F38">
        <w:rPr>
          <w:rFonts w:ascii="Verdana" w:hAnsi="Verdana"/>
          <w:sz w:val="20"/>
          <w:szCs w:val="20"/>
        </w:rPr>
        <w:t>provide</w:t>
      </w:r>
      <w:r>
        <w:rPr>
          <w:rFonts w:ascii="Verdana" w:hAnsi="Verdana"/>
          <w:sz w:val="20"/>
          <w:szCs w:val="20"/>
        </w:rPr>
        <w:t>s</w:t>
      </w:r>
      <w:r w:rsidRPr="004C5F38">
        <w:rPr>
          <w:rFonts w:ascii="Verdana" w:hAnsi="Verdana"/>
          <w:sz w:val="20"/>
          <w:szCs w:val="20"/>
        </w:rPr>
        <w:t xml:space="preserve"> that a PCBU must not direct or allow a worker:</w:t>
      </w:r>
    </w:p>
    <w:p w:rsidR="00D864BF" w:rsidRPr="004C5F38" w:rsidRDefault="00D864BF" w:rsidP="00D864BF">
      <w:pPr>
        <w:tabs>
          <w:tab w:val="left" w:pos="567"/>
        </w:tabs>
        <w:ind w:right="26"/>
        <w:jc w:val="both"/>
        <w:rPr>
          <w:rFonts w:ascii="Verdana" w:hAnsi="Verdana"/>
          <w:sz w:val="20"/>
          <w:szCs w:val="20"/>
        </w:rPr>
      </w:pPr>
    </w:p>
    <w:p w:rsidR="00D864BF" w:rsidRDefault="00D864BF" w:rsidP="00D864BF">
      <w:pPr>
        <w:pStyle w:val="ListParagraph"/>
        <w:numPr>
          <w:ilvl w:val="0"/>
          <w:numId w:val="30"/>
        </w:numPr>
        <w:tabs>
          <w:tab w:val="left" w:pos="567"/>
        </w:tabs>
        <w:ind w:left="567" w:right="26" w:hanging="567"/>
        <w:jc w:val="both"/>
        <w:rPr>
          <w:rFonts w:ascii="Verdana" w:hAnsi="Verdana"/>
          <w:sz w:val="20"/>
          <w:szCs w:val="20"/>
        </w:rPr>
      </w:pPr>
      <w:r w:rsidRPr="00980ECC">
        <w:rPr>
          <w:rFonts w:ascii="Verdana" w:hAnsi="Verdana"/>
          <w:sz w:val="20"/>
          <w:szCs w:val="20"/>
        </w:rPr>
        <w:t>to carry out high risk work for which a licence is required unless the PCBU sees written evidence that the worker has the relevant HRW licence for that work (</w:t>
      </w:r>
      <w:proofErr w:type="spellStart"/>
      <w:r w:rsidRPr="00980ECC">
        <w:rPr>
          <w:rFonts w:ascii="Verdana" w:hAnsi="Verdana"/>
          <w:sz w:val="20"/>
          <w:szCs w:val="20"/>
        </w:rPr>
        <w:t>subregulation</w:t>
      </w:r>
      <w:proofErr w:type="spellEnd"/>
      <w:r w:rsidRPr="00980ECC">
        <w:rPr>
          <w:rFonts w:ascii="Verdana" w:hAnsi="Verdana"/>
          <w:sz w:val="20"/>
          <w:szCs w:val="20"/>
        </w:rPr>
        <w:t xml:space="preserve"> 85(1));</w:t>
      </w:r>
    </w:p>
    <w:p w:rsidR="00D864BF" w:rsidRDefault="00D864BF" w:rsidP="00D864BF">
      <w:pPr>
        <w:pStyle w:val="ListParagraph"/>
        <w:tabs>
          <w:tab w:val="left" w:pos="567"/>
        </w:tabs>
        <w:ind w:left="567" w:right="26"/>
        <w:jc w:val="both"/>
        <w:rPr>
          <w:rFonts w:ascii="Verdana" w:hAnsi="Verdana"/>
          <w:sz w:val="20"/>
          <w:szCs w:val="20"/>
        </w:rPr>
      </w:pPr>
    </w:p>
    <w:p w:rsidR="00D864BF" w:rsidRDefault="00D864BF" w:rsidP="00D864BF">
      <w:pPr>
        <w:pStyle w:val="ListParagraph"/>
        <w:numPr>
          <w:ilvl w:val="0"/>
          <w:numId w:val="30"/>
        </w:numPr>
        <w:tabs>
          <w:tab w:val="left" w:pos="567"/>
        </w:tabs>
        <w:ind w:left="567" w:right="26" w:hanging="567"/>
        <w:jc w:val="both"/>
        <w:rPr>
          <w:rFonts w:ascii="Verdana" w:hAnsi="Verdana"/>
          <w:sz w:val="20"/>
          <w:szCs w:val="20"/>
        </w:rPr>
      </w:pPr>
      <w:r w:rsidRPr="00980ECC">
        <w:rPr>
          <w:rFonts w:ascii="Verdana" w:hAnsi="Verdana"/>
          <w:sz w:val="20"/>
          <w:szCs w:val="20"/>
        </w:rPr>
        <w:t>to carry out high risk work in relation to which the worker is not licensed but is awaiting a decision on the worker’s licence application, without seeing written evidence that the worker has applied for the relevant licence and holds the relevant certification (</w:t>
      </w:r>
      <w:proofErr w:type="spellStart"/>
      <w:r w:rsidRPr="00980ECC">
        <w:rPr>
          <w:rFonts w:ascii="Verdana" w:hAnsi="Verdana"/>
          <w:sz w:val="20"/>
          <w:szCs w:val="20"/>
        </w:rPr>
        <w:t>subregulation</w:t>
      </w:r>
      <w:proofErr w:type="spellEnd"/>
      <w:r w:rsidRPr="00980ECC">
        <w:rPr>
          <w:rFonts w:ascii="Verdana" w:hAnsi="Verdana"/>
          <w:sz w:val="20"/>
          <w:szCs w:val="20"/>
        </w:rPr>
        <w:t xml:space="preserve"> 85(2));</w:t>
      </w:r>
      <w:r>
        <w:rPr>
          <w:rFonts w:ascii="Verdana" w:hAnsi="Verdana"/>
          <w:sz w:val="20"/>
          <w:szCs w:val="20"/>
        </w:rPr>
        <w:t xml:space="preserve"> and</w:t>
      </w:r>
    </w:p>
    <w:p w:rsidR="00D864BF" w:rsidRPr="00200C47" w:rsidRDefault="00D864BF" w:rsidP="00D864BF">
      <w:pPr>
        <w:pStyle w:val="ListParagraph"/>
        <w:rPr>
          <w:rFonts w:ascii="Verdana" w:hAnsi="Verdana"/>
          <w:sz w:val="20"/>
          <w:szCs w:val="20"/>
        </w:rPr>
      </w:pPr>
    </w:p>
    <w:p w:rsidR="00D864BF" w:rsidRDefault="00D864BF" w:rsidP="00D864BF">
      <w:pPr>
        <w:pStyle w:val="ListParagraph"/>
        <w:numPr>
          <w:ilvl w:val="0"/>
          <w:numId w:val="30"/>
        </w:numPr>
        <w:tabs>
          <w:tab w:val="left" w:pos="567"/>
        </w:tabs>
        <w:ind w:left="567" w:right="26" w:hanging="567"/>
        <w:jc w:val="both"/>
        <w:rPr>
          <w:rFonts w:ascii="Verdana" w:hAnsi="Verdana"/>
          <w:sz w:val="20"/>
          <w:szCs w:val="20"/>
        </w:rPr>
      </w:pPr>
      <w:r w:rsidRPr="00200C47">
        <w:rPr>
          <w:rFonts w:ascii="Verdana" w:hAnsi="Verdana"/>
          <w:sz w:val="20"/>
          <w:szCs w:val="20"/>
        </w:rPr>
        <w:t>to supervise high risk work (being undertaken by a trainee seeking certification for that high risk work) without seeing written evidence that the worker holds the relevant high risk work licence for that high risk work</w:t>
      </w:r>
      <w:r>
        <w:rPr>
          <w:rFonts w:ascii="Verdana" w:hAnsi="Verdana"/>
          <w:sz w:val="20"/>
          <w:szCs w:val="20"/>
        </w:rPr>
        <w:t xml:space="preserve"> (</w:t>
      </w:r>
      <w:proofErr w:type="spellStart"/>
      <w:r>
        <w:rPr>
          <w:rFonts w:ascii="Verdana" w:hAnsi="Verdana"/>
          <w:sz w:val="20"/>
          <w:szCs w:val="20"/>
        </w:rPr>
        <w:t>subregulation</w:t>
      </w:r>
      <w:proofErr w:type="spellEnd"/>
      <w:r>
        <w:rPr>
          <w:rFonts w:ascii="Verdana" w:hAnsi="Verdana"/>
          <w:sz w:val="20"/>
          <w:szCs w:val="20"/>
        </w:rPr>
        <w:t xml:space="preserve"> 85(3)).</w:t>
      </w:r>
    </w:p>
    <w:p w:rsidR="00D864BF" w:rsidRDefault="00D864BF" w:rsidP="00D864BF">
      <w:pPr>
        <w:tabs>
          <w:tab w:val="left" w:pos="567"/>
        </w:tabs>
        <w:ind w:right="26"/>
        <w:jc w:val="both"/>
        <w:rPr>
          <w:rFonts w:ascii="Verdana" w:hAnsi="Verdana"/>
          <w:sz w:val="20"/>
          <w:szCs w:val="20"/>
        </w:rPr>
      </w:pPr>
    </w:p>
    <w:p w:rsidR="00D864BF" w:rsidRPr="00200C47" w:rsidRDefault="00D864BF" w:rsidP="00D864BF">
      <w:pPr>
        <w:tabs>
          <w:tab w:val="left" w:pos="567"/>
        </w:tabs>
        <w:ind w:right="26"/>
        <w:jc w:val="both"/>
        <w:rPr>
          <w:rFonts w:ascii="Verdana" w:hAnsi="Verdana"/>
          <w:sz w:val="20"/>
          <w:szCs w:val="20"/>
        </w:rPr>
      </w:pPr>
      <w:r>
        <w:rPr>
          <w:rFonts w:ascii="Verdana" w:hAnsi="Verdana"/>
          <w:sz w:val="20"/>
          <w:szCs w:val="20"/>
        </w:rPr>
        <w:t xml:space="preserve">Under </w:t>
      </w:r>
      <w:proofErr w:type="spellStart"/>
      <w:r w:rsidRPr="00200C47">
        <w:rPr>
          <w:rFonts w:ascii="Verdana" w:hAnsi="Verdana"/>
          <w:sz w:val="20"/>
          <w:szCs w:val="20"/>
        </w:rPr>
        <w:t>subregulation</w:t>
      </w:r>
      <w:proofErr w:type="spellEnd"/>
      <w:r w:rsidRPr="00200C47">
        <w:rPr>
          <w:rFonts w:ascii="Verdana" w:hAnsi="Verdana"/>
          <w:sz w:val="20"/>
          <w:szCs w:val="20"/>
        </w:rPr>
        <w:t xml:space="preserve"> 85(4)</w:t>
      </w:r>
      <w:r>
        <w:rPr>
          <w:rFonts w:ascii="Verdana" w:hAnsi="Verdana"/>
          <w:sz w:val="20"/>
          <w:szCs w:val="20"/>
        </w:rPr>
        <w:t xml:space="preserve">, </w:t>
      </w:r>
      <w:r w:rsidRPr="00200C47">
        <w:rPr>
          <w:rFonts w:ascii="Verdana" w:hAnsi="Verdana"/>
          <w:sz w:val="20"/>
          <w:szCs w:val="20"/>
        </w:rPr>
        <w:t xml:space="preserve">a PCBU must keep written evidence given to the PCBU for at least </w:t>
      </w:r>
      <w:r>
        <w:rPr>
          <w:rFonts w:ascii="Verdana" w:hAnsi="Verdana"/>
          <w:sz w:val="20"/>
          <w:szCs w:val="20"/>
        </w:rPr>
        <w:t>one</w:t>
      </w:r>
      <w:r w:rsidRPr="00200C47">
        <w:rPr>
          <w:rFonts w:ascii="Verdana" w:hAnsi="Verdana"/>
          <w:sz w:val="20"/>
          <w:szCs w:val="20"/>
        </w:rPr>
        <w:t xml:space="preserve"> year after the </w:t>
      </w:r>
      <w:r w:rsidRPr="00980ECC">
        <w:rPr>
          <w:rFonts w:ascii="Verdana" w:hAnsi="Verdana"/>
          <w:sz w:val="20"/>
          <w:szCs w:val="20"/>
        </w:rPr>
        <w:t>high risk work</w:t>
      </w:r>
      <w:r w:rsidRPr="00200C47">
        <w:rPr>
          <w:rFonts w:ascii="Verdana" w:hAnsi="Verdana"/>
          <w:sz w:val="20"/>
          <w:szCs w:val="20"/>
        </w:rPr>
        <w:t xml:space="preserve"> is carried out or after the last occasion on which the worker performs the supervision work (as the case may be).</w:t>
      </w:r>
    </w:p>
    <w:p w:rsidR="00D864BF" w:rsidRDefault="00D864BF" w:rsidP="00D864BF">
      <w:pPr>
        <w:tabs>
          <w:tab w:val="left" w:pos="567"/>
        </w:tabs>
        <w:ind w:right="26"/>
        <w:jc w:val="both"/>
        <w:rPr>
          <w:rFonts w:ascii="Verdana" w:hAnsi="Verdana"/>
          <w:sz w:val="20"/>
          <w:szCs w:val="20"/>
        </w:rPr>
      </w:pPr>
    </w:p>
    <w:p w:rsidR="00D864BF" w:rsidRDefault="00D864BF" w:rsidP="00D864BF">
      <w:pPr>
        <w:tabs>
          <w:tab w:val="left" w:pos="567"/>
        </w:tabs>
        <w:ind w:right="26"/>
        <w:jc w:val="both"/>
        <w:rPr>
          <w:rFonts w:ascii="Verdana" w:hAnsi="Verdana"/>
          <w:sz w:val="20"/>
          <w:szCs w:val="20"/>
        </w:rPr>
      </w:pPr>
      <w:r>
        <w:rPr>
          <w:rFonts w:ascii="Verdana" w:hAnsi="Verdana"/>
          <w:sz w:val="20"/>
          <w:szCs w:val="20"/>
        </w:rPr>
        <w:t xml:space="preserve">The HRW licence exemptions granted in this instrument apply with regard to regulation 81. Because the obligations in regulation 85 are predicated on compliance with regulation 81, it has been necessary to grant general exemptions to adjust the regulation 85 obligations but only within the scope of the HRW licence exemptions. </w:t>
      </w:r>
    </w:p>
    <w:p w:rsidR="00D864BF" w:rsidRDefault="00D864BF" w:rsidP="00D864BF">
      <w:pPr>
        <w:tabs>
          <w:tab w:val="left" w:pos="567"/>
        </w:tabs>
        <w:ind w:right="26"/>
        <w:jc w:val="both"/>
        <w:rPr>
          <w:rFonts w:ascii="Verdana" w:hAnsi="Verdana"/>
          <w:sz w:val="20"/>
          <w:szCs w:val="20"/>
        </w:rPr>
      </w:pPr>
    </w:p>
    <w:p w:rsidR="00D864BF" w:rsidRDefault="00D864BF" w:rsidP="00D864BF">
      <w:pPr>
        <w:tabs>
          <w:tab w:val="left" w:pos="567"/>
        </w:tabs>
        <w:ind w:right="26"/>
        <w:jc w:val="both"/>
        <w:rPr>
          <w:rFonts w:ascii="Verdana" w:hAnsi="Verdana"/>
          <w:sz w:val="20"/>
          <w:szCs w:val="20"/>
        </w:rPr>
      </w:pPr>
      <w:r>
        <w:rPr>
          <w:rFonts w:ascii="Verdana" w:hAnsi="Verdana"/>
          <w:sz w:val="20"/>
          <w:szCs w:val="20"/>
        </w:rPr>
        <w:t>Accordingly, clause 3(b) of the exemption instrument applies the general exemptions to PCBUs (the duty</w:t>
      </w:r>
      <w:r>
        <w:rPr>
          <w:rFonts w:ascii="Verdana" w:hAnsi="Verdana"/>
          <w:sz w:val="20"/>
          <w:szCs w:val="20"/>
        </w:rPr>
        <w:noBreakHyphen/>
        <w:t>holders in regulation 85) but only in relation to persons mentioned in clause 3(a).</w:t>
      </w:r>
    </w:p>
    <w:p w:rsidR="00D864BF" w:rsidRDefault="00D864BF" w:rsidP="00D864BF">
      <w:pPr>
        <w:tabs>
          <w:tab w:val="left" w:pos="567"/>
        </w:tabs>
        <w:ind w:right="26"/>
        <w:jc w:val="both"/>
        <w:rPr>
          <w:rFonts w:ascii="Verdana" w:hAnsi="Verdana"/>
          <w:sz w:val="20"/>
          <w:szCs w:val="20"/>
        </w:rPr>
      </w:pPr>
    </w:p>
    <w:p w:rsidR="00D864BF" w:rsidRDefault="00D864BF" w:rsidP="00D864BF">
      <w:pPr>
        <w:tabs>
          <w:tab w:val="left" w:pos="567"/>
        </w:tabs>
        <w:ind w:right="26"/>
        <w:jc w:val="both"/>
        <w:rPr>
          <w:rFonts w:ascii="Verdana" w:hAnsi="Verdana"/>
          <w:sz w:val="20"/>
          <w:szCs w:val="20"/>
        </w:rPr>
      </w:pPr>
      <w:r>
        <w:rPr>
          <w:rFonts w:ascii="Verdana" w:hAnsi="Verdana"/>
          <w:sz w:val="20"/>
          <w:szCs w:val="20"/>
        </w:rPr>
        <w:t xml:space="preserve">The conditions on which the exemptions apply are set out in clause 7.2. </w:t>
      </w:r>
    </w:p>
    <w:p w:rsidR="00D864BF" w:rsidRDefault="00D864BF" w:rsidP="00D864BF">
      <w:pPr>
        <w:tabs>
          <w:tab w:val="left" w:pos="567"/>
        </w:tabs>
        <w:ind w:right="26"/>
        <w:jc w:val="both"/>
        <w:rPr>
          <w:rFonts w:ascii="Verdana" w:hAnsi="Verdana"/>
          <w:sz w:val="20"/>
          <w:szCs w:val="20"/>
        </w:rPr>
      </w:pPr>
    </w:p>
    <w:p w:rsidR="00D864BF" w:rsidRDefault="00D864BF" w:rsidP="00D864BF">
      <w:pPr>
        <w:tabs>
          <w:tab w:val="left" w:pos="567"/>
        </w:tabs>
        <w:spacing w:after="120"/>
        <w:ind w:right="28"/>
        <w:jc w:val="both"/>
        <w:rPr>
          <w:rFonts w:ascii="Verdana" w:hAnsi="Verdana"/>
          <w:sz w:val="20"/>
          <w:szCs w:val="20"/>
          <w:u w:val="single"/>
        </w:rPr>
      </w:pPr>
      <w:r>
        <w:rPr>
          <w:rFonts w:ascii="Verdana" w:hAnsi="Verdana"/>
          <w:sz w:val="20"/>
          <w:szCs w:val="20"/>
          <w:u w:val="single"/>
        </w:rPr>
        <w:t>Grounds on which Comcare has granted the exemptions</w:t>
      </w:r>
    </w:p>
    <w:p w:rsidR="00D864BF" w:rsidRDefault="00D864BF" w:rsidP="00D864BF">
      <w:pPr>
        <w:tabs>
          <w:tab w:val="left" w:pos="567"/>
        </w:tabs>
        <w:ind w:right="28"/>
        <w:jc w:val="both"/>
        <w:rPr>
          <w:rFonts w:ascii="Verdana" w:hAnsi="Verdana"/>
          <w:sz w:val="20"/>
          <w:szCs w:val="20"/>
        </w:rPr>
      </w:pPr>
      <w:r>
        <w:rPr>
          <w:rFonts w:ascii="Verdana" w:hAnsi="Verdana"/>
          <w:sz w:val="20"/>
          <w:szCs w:val="20"/>
        </w:rPr>
        <w:t xml:space="preserve">Comcare has granted the HRW licence exemptions in accordance with </w:t>
      </w:r>
      <w:proofErr w:type="spellStart"/>
      <w:r>
        <w:rPr>
          <w:rFonts w:ascii="Verdana" w:hAnsi="Verdana"/>
          <w:sz w:val="20"/>
          <w:szCs w:val="20"/>
        </w:rPr>
        <w:t>subregulation</w:t>
      </w:r>
      <w:proofErr w:type="spellEnd"/>
      <w:r>
        <w:rPr>
          <w:rFonts w:ascii="Verdana" w:hAnsi="Verdana"/>
          <w:sz w:val="20"/>
          <w:szCs w:val="20"/>
        </w:rPr>
        <w:t xml:space="preserve"> 687(1) which provides that Comcare (as the regulator) must not grant a high risk work licence exemption unless ‘satisfied that granting the exemption will result in a standard of health and safety that is at least equivalent to the standard that would have been achieved without that exemption’.</w:t>
      </w:r>
    </w:p>
    <w:p w:rsidR="00D864BF" w:rsidRDefault="00D864BF" w:rsidP="00D864BF">
      <w:pPr>
        <w:tabs>
          <w:tab w:val="left" w:pos="567"/>
        </w:tabs>
        <w:ind w:right="28"/>
        <w:jc w:val="both"/>
        <w:rPr>
          <w:rFonts w:ascii="Verdana" w:hAnsi="Verdana"/>
          <w:sz w:val="20"/>
          <w:szCs w:val="20"/>
        </w:rPr>
      </w:pPr>
    </w:p>
    <w:p w:rsidR="00D864BF" w:rsidRDefault="00D864BF" w:rsidP="00D864BF">
      <w:pPr>
        <w:tabs>
          <w:tab w:val="left" w:pos="567"/>
        </w:tabs>
        <w:ind w:right="28"/>
        <w:jc w:val="both"/>
        <w:rPr>
          <w:rFonts w:ascii="Verdana" w:hAnsi="Verdana"/>
          <w:sz w:val="20"/>
          <w:szCs w:val="20"/>
        </w:rPr>
      </w:pPr>
      <w:r>
        <w:rPr>
          <w:rFonts w:ascii="Verdana" w:hAnsi="Verdana"/>
          <w:sz w:val="20"/>
          <w:szCs w:val="20"/>
        </w:rPr>
        <w:t xml:space="preserve">Comcare was able to reach the level of satisfaction required by </w:t>
      </w:r>
      <w:proofErr w:type="spellStart"/>
      <w:r>
        <w:rPr>
          <w:rFonts w:ascii="Verdana" w:hAnsi="Verdana"/>
          <w:sz w:val="20"/>
          <w:szCs w:val="20"/>
        </w:rPr>
        <w:t>subregulation</w:t>
      </w:r>
      <w:proofErr w:type="spellEnd"/>
      <w:r>
        <w:rPr>
          <w:rFonts w:ascii="Verdana" w:hAnsi="Verdana"/>
          <w:sz w:val="20"/>
          <w:szCs w:val="20"/>
        </w:rPr>
        <w:t> 687(1) on the basis that the exemptions would apply only to allow persons already licensed to operate ‘higher</w:t>
      </w:r>
      <w:r>
        <w:rPr>
          <w:rFonts w:ascii="Verdana" w:hAnsi="Verdana"/>
          <w:sz w:val="20"/>
          <w:szCs w:val="20"/>
        </w:rPr>
        <w:noBreakHyphen/>
        <w:t>ranking’ cranes (in terms of the level of knowledge and skills required) to operate ‘lower</w:t>
      </w:r>
      <w:r>
        <w:rPr>
          <w:rFonts w:ascii="Verdana" w:hAnsi="Verdana"/>
          <w:sz w:val="20"/>
          <w:szCs w:val="20"/>
        </w:rPr>
        <w:noBreakHyphen/>
        <w:t xml:space="preserve">ranking’ cranes without having to separately qualify for the latter class of licence. </w:t>
      </w:r>
    </w:p>
    <w:p w:rsidR="00D864BF" w:rsidRDefault="00D864BF" w:rsidP="00D864BF">
      <w:pPr>
        <w:tabs>
          <w:tab w:val="left" w:pos="567"/>
        </w:tabs>
        <w:ind w:right="28"/>
        <w:jc w:val="both"/>
        <w:rPr>
          <w:rFonts w:ascii="Verdana" w:hAnsi="Verdana"/>
          <w:sz w:val="20"/>
          <w:szCs w:val="20"/>
        </w:rPr>
      </w:pPr>
    </w:p>
    <w:p w:rsidR="00D864BF" w:rsidRDefault="00D864BF" w:rsidP="00D864BF">
      <w:pPr>
        <w:tabs>
          <w:tab w:val="left" w:pos="567"/>
        </w:tabs>
        <w:ind w:right="28"/>
        <w:jc w:val="both"/>
        <w:rPr>
          <w:rFonts w:ascii="Verdana" w:hAnsi="Verdana"/>
          <w:sz w:val="20"/>
          <w:szCs w:val="20"/>
        </w:rPr>
      </w:pPr>
      <w:r>
        <w:rPr>
          <w:rFonts w:ascii="Verdana" w:hAnsi="Verdana"/>
          <w:sz w:val="20"/>
          <w:szCs w:val="20"/>
        </w:rPr>
        <w:t>In this regard, Comcare notes that the Units of Competency (‘VET courses’) for (‘higher</w:t>
      </w:r>
      <w:r>
        <w:rPr>
          <w:rFonts w:ascii="Verdana" w:hAnsi="Verdana"/>
          <w:sz w:val="20"/>
          <w:szCs w:val="20"/>
        </w:rPr>
        <w:noBreakHyphen/>
        <w:t xml:space="preserve">ranking’) </w:t>
      </w:r>
      <w:r w:rsidRPr="00C408CD">
        <w:rPr>
          <w:rFonts w:ascii="Verdana" w:hAnsi="Verdana"/>
          <w:sz w:val="20"/>
          <w:szCs w:val="20"/>
        </w:rPr>
        <w:t>slewing mobile crane licence</w:t>
      </w:r>
      <w:r>
        <w:rPr>
          <w:rFonts w:ascii="Verdana" w:hAnsi="Verdana"/>
          <w:sz w:val="20"/>
          <w:szCs w:val="20"/>
        </w:rPr>
        <w:t>s e</w:t>
      </w:r>
      <w:r w:rsidRPr="00C408CD">
        <w:rPr>
          <w:rFonts w:ascii="Verdana" w:hAnsi="Verdana"/>
          <w:sz w:val="20"/>
          <w:szCs w:val="20"/>
        </w:rPr>
        <w:t xml:space="preserve">xplicitly provide for encompassment of </w:t>
      </w:r>
      <w:r>
        <w:rPr>
          <w:rFonts w:ascii="Verdana" w:hAnsi="Verdana"/>
          <w:sz w:val="20"/>
          <w:szCs w:val="20"/>
        </w:rPr>
        <w:t xml:space="preserve">training </w:t>
      </w:r>
      <w:r w:rsidRPr="00C408CD">
        <w:rPr>
          <w:rFonts w:ascii="Verdana" w:hAnsi="Verdana"/>
          <w:sz w:val="20"/>
          <w:szCs w:val="20"/>
        </w:rPr>
        <w:t>requirements for</w:t>
      </w:r>
      <w:r>
        <w:rPr>
          <w:rFonts w:ascii="Verdana" w:hAnsi="Verdana"/>
          <w:sz w:val="20"/>
          <w:szCs w:val="20"/>
        </w:rPr>
        <w:t>:</w:t>
      </w:r>
    </w:p>
    <w:p w:rsidR="00D864BF" w:rsidRDefault="00D864BF" w:rsidP="00D864BF">
      <w:pPr>
        <w:tabs>
          <w:tab w:val="left" w:pos="567"/>
        </w:tabs>
        <w:ind w:right="28"/>
        <w:jc w:val="both"/>
        <w:rPr>
          <w:rFonts w:ascii="Verdana" w:hAnsi="Verdana"/>
          <w:sz w:val="20"/>
          <w:szCs w:val="20"/>
        </w:rPr>
      </w:pPr>
    </w:p>
    <w:p w:rsidR="00D864BF" w:rsidRDefault="00D864BF" w:rsidP="00D864BF">
      <w:pPr>
        <w:pStyle w:val="ListParagraph"/>
        <w:numPr>
          <w:ilvl w:val="0"/>
          <w:numId w:val="32"/>
        </w:numPr>
        <w:tabs>
          <w:tab w:val="left" w:pos="567"/>
        </w:tabs>
        <w:ind w:left="567" w:right="28" w:hanging="567"/>
        <w:jc w:val="both"/>
        <w:rPr>
          <w:rFonts w:ascii="Verdana" w:hAnsi="Verdana"/>
          <w:sz w:val="20"/>
          <w:szCs w:val="20"/>
        </w:rPr>
      </w:pPr>
      <w:r>
        <w:rPr>
          <w:rFonts w:ascii="Verdana" w:hAnsi="Verdana"/>
          <w:sz w:val="20"/>
          <w:szCs w:val="20"/>
        </w:rPr>
        <w:t>(‘lower</w:t>
      </w:r>
      <w:r>
        <w:rPr>
          <w:rFonts w:ascii="Verdana" w:hAnsi="Verdana"/>
          <w:sz w:val="20"/>
          <w:szCs w:val="20"/>
        </w:rPr>
        <w:noBreakHyphen/>
        <w:t xml:space="preserve">ranking’) </w:t>
      </w:r>
      <w:r w:rsidRPr="00C408CD">
        <w:rPr>
          <w:rFonts w:ascii="Verdana" w:hAnsi="Verdana"/>
          <w:sz w:val="20"/>
          <w:szCs w:val="20"/>
        </w:rPr>
        <w:t>non</w:t>
      </w:r>
      <w:r w:rsidRPr="00C408CD">
        <w:rPr>
          <w:rFonts w:ascii="Verdana" w:hAnsi="Verdana"/>
          <w:sz w:val="20"/>
          <w:szCs w:val="20"/>
        </w:rPr>
        <w:noBreakHyphen/>
        <w:t>slewing mobile crane and vehicle loading crane licences</w:t>
      </w:r>
      <w:r>
        <w:rPr>
          <w:rFonts w:ascii="Verdana" w:hAnsi="Verdana"/>
          <w:sz w:val="20"/>
          <w:szCs w:val="20"/>
        </w:rPr>
        <w:t xml:space="preserve"> (see, for example, TLILIC3008A </w:t>
      </w:r>
      <w:r w:rsidRPr="00A85B05">
        <w:rPr>
          <w:rFonts w:ascii="Verdana" w:hAnsi="Verdana"/>
          <w:i/>
          <w:sz w:val="20"/>
          <w:szCs w:val="20"/>
        </w:rPr>
        <w:t>Licence to operate a slewing mobile crane (up to 20 tonnes)</w:t>
      </w:r>
      <w:r>
        <w:rPr>
          <w:rFonts w:ascii="Verdana" w:hAnsi="Verdana"/>
          <w:sz w:val="20"/>
          <w:szCs w:val="20"/>
        </w:rPr>
        <w:t>); and</w:t>
      </w:r>
    </w:p>
    <w:p w:rsidR="00D864BF" w:rsidRDefault="00D864BF" w:rsidP="00D864BF">
      <w:pPr>
        <w:pStyle w:val="ListParagraph"/>
        <w:tabs>
          <w:tab w:val="left" w:pos="567"/>
        </w:tabs>
        <w:ind w:left="567" w:right="28" w:hanging="567"/>
        <w:jc w:val="both"/>
        <w:rPr>
          <w:rFonts w:ascii="Verdana" w:hAnsi="Verdana"/>
          <w:sz w:val="20"/>
          <w:szCs w:val="20"/>
        </w:rPr>
      </w:pPr>
    </w:p>
    <w:p w:rsidR="00D864BF" w:rsidRPr="00C408CD" w:rsidRDefault="00D864BF" w:rsidP="00D864BF">
      <w:pPr>
        <w:pStyle w:val="ListParagraph"/>
        <w:numPr>
          <w:ilvl w:val="0"/>
          <w:numId w:val="32"/>
        </w:numPr>
        <w:tabs>
          <w:tab w:val="left" w:pos="567"/>
        </w:tabs>
        <w:ind w:left="567" w:right="28" w:hanging="567"/>
        <w:jc w:val="both"/>
        <w:rPr>
          <w:rFonts w:ascii="Verdana" w:hAnsi="Verdana"/>
          <w:sz w:val="20"/>
          <w:szCs w:val="20"/>
        </w:rPr>
      </w:pPr>
      <w:proofErr w:type="gramStart"/>
      <w:r>
        <w:rPr>
          <w:rFonts w:ascii="Verdana" w:hAnsi="Verdana"/>
          <w:sz w:val="20"/>
          <w:szCs w:val="20"/>
        </w:rPr>
        <w:t>slewing</w:t>
      </w:r>
      <w:proofErr w:type="gramEnd"/>
      <w:r>
        <w:rPr>
          <w:rFonts w:ascii="Verdana" w:hAnsi="Verdana"/>
          <w:sz w:val="20"/>
          <w:szCs w:val="20"/>
        </w:rPr>
        <w:t xml:space="preserve"> mobile crane licences of lesser capacities (see, for example, </w:t>
      </w:r>
      <w:r w:rsidRPr="00A85B05">
        <w:rPr>
          <w:rFonts w:ascii="Verdana" w:hAnsi="Verdana"/>
          <w:i/>
          <w:sz w:val="20"/>
          <w:szCs w:val="20"/>
        </w:rPr>
        <w:t>TLILIC401A Licence to operate a slewing mobile crane (over 100 tonnes)</w:t>
      </w:r>
      <w:r>
        <w:rPr>
          <w:rFonts w:ascii="Verdana" w:hAnsi="Verdana"/>
          <w:i/>
          <w:sz w:val="20"/>
          <w:szCs w:val="20"/>
        </w:rPr>
        <w:t>.</w:t>
      </w:r>
    </w:p>
    <w:p w:rsidR="00D864BF" w:rsidRDefault="00D864BF" w:rsidP="00D864BF">
      <w:pPr>
        <w:tabs>
          <w:tab w:val="left" w:pos="567"/>
        </w:tabs>
        <w:ind w:right="28"/>
        <w:jc w:val="both"/>
        <w:rPr>
          <w:rFonts w:ascii="Verdana" w:hAnsi="Verdana"/>
          <w:sz w:val="20"/>
          <w:szCs w:val="20"/>
        </w:rPr>
      </w:pPr>
    </w:p>
    <w:p w:rsidR="00D864BF" w:rsidRDefault="00D864BF" w:rsidP="00D864BF">
      <w:pPr>
        <w:tabs>
          <w:tab w:val="left" w:pos="567"/>
        </w:tabs>
        <w:ind w:right="28"/>
        <w:jc w:val="both"/>
        <w:rPr>
          <w:rFonts w:ascii="Verdana" w:hAnsi="Verdana"/>
          <w:sz w:val="20"/>
          <w:szCs w:val="20"/>
        </w:rPr>
      </w:pPr>
      <w:r>
        <w:rPr>
          <w:rFonts w:ascii="Verdana" w:hAnsi="Verdana"/>
          <w:sz w:val="20"/>
          <w:szCs w:val="20"/>
        </w:rPr>
        <w:t>Comcare also notes that the exemptions merely replicate encompassment arrangements that currently apply in most states and the ACT.</w:t>
      </w:r>
    </w:p>
    <w:p w:rsidR="00D864BF" w:rsidRDefault="00D864BF" w:rsidP="00D864BF">
      <w:pPr>
        <w:tabs>
          <w:tab w:val="left" w:pos="567"/>
        </w:tabs>
        <w:ind w:right="28"/>
        <w:jc w:val="both"/>
        <w:rPr>
          <w:rFonts w:ascii="Verdana" w:hAnsi="Verdana"/>
          <w:sz w:val="20"/>
          <w:szCs w:val="20"/>
        </w:rPr>
      </w:pPr>
    </w:p>
    <w:p w:rsidR="00D864BF" w:rsidRPr="00D864BF" w:rsidRDefault="00D864BF" w:rsidP="00D864BF">
      <w:pPr>
        <w:tabs>
          <w:tab w:val="left" w:pos="567"/>
        </w:tabs>
        <w:ind w:right="28"/>
        <w:jc w:val="both"/>
        <w:rPr>
          <w:rFonts w:ascii="Verdana" w:hAnsi="Verdana"/>
          <w:sz w:val="20"/>
          <w:szCs w:val="20"/>
        </w:rPr>
      </w:pPr>
      <w:r>
        <w:rPr>
          <w:rFonts w:ascii="Verdana" w:hAnsi="Verdana"/>
          <w:sz w:val="20"/>
          <w:szCs w:val="20"/>
        </w:rPr>
        <w:t xml:space="preserve">The general exemptions granted by Comcare for regulation 85 will not have any impact on work health and safety. </w:t>
      </w:r>
    </w:p>
    <w:p w:rsidR="00D864BF" w:rsidRPr="00AA4A5E" w:rsidRDefault="00D864BF" w:rsidP="00D864BF">
      <w:pPr>
        <w:spacing w:after="120"/>
        <w:jc w:val="both"/>
        <w:rPr>
          <w:rFonts w:ascii="Verdana" w:hAnsi="Verdana"/>
          <w:b/>
          <w:sz w:val="20"/>
          <w:szCs w:val="20"/>
        </w:rPr>
      </w:pPr>
      <w:r w:rsidRPr="00AA4A5E">
        <w:rPr>
          <w:rFonts w:ascii="Verdana" w:hAnsi="Verdana"/>
          <w:b/>
          <w:sz w:val="20"/>
          <w:szCs w:val="20"/>
        </w:rPr>
        <w:t xml:space="preserve">Compliance with consultation requirements of the </w:t>
      </w:r>
      <w:r w:rsidRPr="00AA4A5E">
        <w:rPr>
          <w:rFonts w:ascii="Verdana" w:hAnsi="Verdana"/>
          <w:b/>
          <w:i/>
          <w:sz w:val="20"/>
          <w:szCs w:val="20"/>
        </w:rPr>
        <w:t>Legislative Instruments Act 2003</w:t>
      </w:r>
    </w:p>
    <w:p w:rsidR="00D864BF" w:rsidRDefault="00D864BF" w:rsidP="00D864BF">
      <w:pPr>
        <w:rPr>
          <w:rFonts w:ascii="Verdana" w:eastAsia="Calibri" w:hAnsi="Verdana"/>
          <w:sz w:val="20"/>
          <w:szCs w:val="20"/>
          <w:lang w:eastAsia="en-US"/>
        </w:rPr>
      </w:pPr>
      <w:r>
        <w:rPr>
          <w:rFonts w:ascii="Verdana" w:eastAsia="Calibri" w:hAnsi="Verdana"/>
          <w:sz w:val="20"/>
          <w:szCs w:val="20"/>
          <w:lang w:eastAsia="en-US"/>
        </w:rPr>
        <w:t xml:space="preserve">Before the Commonwealth’s adoption of the WHS Regulations, the encompassment arrangements upon which these exemptions are based, applied nationally. </w:t>
      </w:r>
    </w:p>
    <w:p w:rsidR="00D864BF" w:rsidRDefault="00D864BF" w:rsidP="00D864BF">
      <w:pPr>
        <w:rPr>
          <w:rFonts w:ascii="Verdana" w:eastAsia="Calibri" w:hAnsi="Verdana"/>
          <w:sz w:val="20"/>
          <w:szCs w:val="20"/>
          <w:lang w:eastAsia="en-US"/>
        </w:rPr>
      </w:pPr>
    </w:p>
    <w:p w:rsidR="00D864BF" w:rsidRDefault="00D864BF" w:rsidP="00D864BF">
      <w:pPr>
        <w:rPr>
          <w:rFonts w:ascii="Verdana" w:eastAsia="Calibri" w:hAnsi="Verdana"/>
          <w:sz w:val="20"/>
          <w:szCs w:val="20"/>
          <w:lang w:eastAsia="en-US"/>
        </w:rPr>
      </w:pPr>
      <w:r>
        <w:rPr>
          <w:rFonts w:ascii="Verdana" w:eastAsia="Calibri" w:hAnsi="Verdana"/>
          <w:sz w:val="20"/>
          <w:szCs w:val="20"/>
          <w:lang w:eastAsia="en-US"/>
        </w:rPr>
        <w:t>Moves are afoot to formally re</w:t>
      </w:r>
      <w:r>
        <w:rPr>
          <w:rFonts w:ascii="Verdana" w:eastAsia="Calibri" w:hAnsi="Verdana"/>
          <w:sz w:val="20"/>
          <w:szCs w:val="20"/>
          <w:lang w:eastAsia="en-US"/>
        </w:rPr>
        <w:noBreakHyphen/>
        <w:t>instate these arrangements in the Commonwealth jurisdiction following consultations carried out in 2013 with all of the Australian jurisdictions through processes endorsed by the 2008 Inter</w:t>
      </w:r>
      <w:r>
        <w:rPr>
          <w:rFonts w:ascii="Verdana" w:eastAsia="Calibri" w:hAnsi="Verdana"/>
          <w:sz w:val="20"/>
          <w:szCs w:val="20"/>
          <w:lang w:eastAsia="en-US"/>
        </w:rPr>
        <w:noBreakHyphen/>
        <w:t xml:space="preserve">Governmental Agreement (IGA) for Regulatory and Operational Reform in Occupational Health and Safety. </w:t>
      </w:r>
    </w:p>
    <w:p w:rsidR="00D864BF" w:rsidRDefault="00D864BF" w:rsidP="00D864BF">
      <w:pPr>
        <w:rPr>
          <w:rFonts w:ascii="Verdana" w:eastAsia="Calibri" w:hAnsi="Verdana"/>
          <w:sz w:val="20"/>
          <w:szCs w:val="20"/>
          <w:lang w:eastAsia="en-US"/>
        </w:rPr>
      </w:pPr>
    </w:p>
    <w:p w:rsidR="00D864BF" w:rsidRDefault="00D864BF" w:rsidP="00D864BF">
      <w:pPr>
        <w:rPr>
          <w:rFonts w:ascii="Verdana" w:eastAsia="Calibri" w:hAnsi="Verdana"/>
          <w:sz w:val="20"/>
          <w:szCs w:val="20"/>
          <w:lang w:eastAsia="en-US"/>
        </w:rPr>
      </w:pPr>
      <w:r>
        <w:rPr>
          <w:rFonts w:ascii="Verdana" w:eastAsia="Calibri" w:hAnsi="Verdana"/>
          <w:sz w:val="20"/>
          <w:szCs w:val="20"/>
          <w:lang w:eastAsia="en-US"/>
        </w:rPr>
        <w:t>Until re</w:t>
      </w:r>
      <w:r>
        <w:rPr>
          <w:rFonts w:ascii="Verdana" w:eastAsia="Calibri" w:hAnsi="Verdana"/>
          <w:sz w:val="20"/>
          <w:szCs w:val="20"/>
          <w:lang w:eastAsia="en-US"/>
        </w:rPr>
        <w:noBreakHyphen/>
        <w:t>instatement occurs, Comcare has identified an immediate need for the exemptions following informal discussions with a number of PCBUs about their high risk work licensing needs. Once in place, the high risk work licensing exemptions will result in greater efficiencies and lower costs for licence</w:t>
      </w:r>
      <w:r>
        <w:rPr>
          <w:rFonts w:ascii="Verdana" w:eastAsia="Calibri" w:hAnsi="Verdana"/>
          <w:sz w:val="20"/>
          <w:szCs w:val="20"/>
          <w:lang w:eastAsia="en-US"/>
        </w:rPr>
        <w:noBreakHyphen/>
        <w:t xml:space="preserve">holders and PCBUs in its jurisdiction. </w:t>
      </w:r>
    </w:p>
    <w:p w:rsidR="00D864BF" w:rsidRDefault="00D864BF" w:rsidP="00D864BF">
      <w:pPr>
        <w:rPr>
          <w:rFonts w:ascii="Verdana" w:eastAsia="Calibri" w:hAnsi="Verdana"/>
          <w:sz w:val="20"/>
          <w:szCs w:val="20"/>
          <w:lang w:eastAsia="en-US"/>
        </w:rPr>
      </w:pPr>
    </w:p>
    <w:p w:rsidR="00873DF5" w:rsidRDefault="00873DF5" w:rsidP="00873DF5">
      <w:pPr>
        <w:rPr>
          <w:rFonts w:ascii="Verdana" w:eastAsia="Calibri" w:hAnsi="Verdana"/>
          <w:sz w:val="20"/>
          <w:szCs w:val="20"/>
          <w:lang w:eastAsia="en-US"/>
        </w:rPr>
      </w:pPr>
      <w:r>
        <w:rPr>
          <w:rFonts w:ascii="Verdana" w:eastAsia="Calibri" w:hAnsi="Verdana"/>
          <w:sz w:val="20"/>
          <w:szCs w:val="20"/>
          <w:lang w:eastAsia="en-US"/>
        </w:rPr>
        <w:t xml:space="preserve">Comcare is satisfied that appropriate consultation has already been undertaken through IGA processes. On this basis, and in accordance with section 18 of the </w:t>
      </w:r>
      <w:r>
        <w:rPr>
          <w:rFonts w:ascii="Verdana" w:eastAsia="Calibri" w:hAnsi="Verdana"/>
          <w:i/>
          <w:sz w:val="20"/>
          <w:szCs w:val="20"/>
          <w:lang w:eastAsia="en-US"/>
        </w:rPr>
        <w:t>Legislative Instruments Act 2003</w:t>
      </w:r>
      <w:r>
        <w:rPr>
          <w:rFonts w:ascii="Verdana" w:eastAsia="Calibri" w:hAnsi="Verdana"/>
          <w:sz w:val="20"/>
          <w:szCs w:val="20"/>
          <w:lang w:eastAsia="en-US"/>
        </w:rPr>
        <w:t xml:space="preserve">, Comcare considers that further consultation would be unnecessary. </w:t>
      </w:r>
    </w:p>
    <w:p w:rsidR="00D864BF" w:rsidRDefault="00D864BF" w:rsidP="00D864BF">
      <w:pPr>
        <w:rPr>
          <w:rFonts w:ascii="Verdana" w:eastAsia="Calibri" w:hAnsi="Verdana"/>
          <w:sz w:val="20"/>
          <w:szCs w:val="20"/>
          <w:lang w:eastAsia="en-US"/>
        </w:rPr>
      </w:pPr>
    </w:p>
    <w:p w:rsidR="00D864BF" w:rsidRPr="005067DF" w:rsidRDefault="00D864BF" w:rsidP="00D864BF">
      <w:pPr>
        <w:spacing w:after="120"/>
        <w:rPr>
          <w:rFonts w:ascii="Verdana" w:eastAsia="Calibri" w:hAnsi="Verdana"/>
          <w:b/>
          <w:sz w:val="20"/>
          <w:szCs w:val="20"/>
          <w:lang w:eastAsia="en-US"/>
        </w:rPr>
      </w:pPr>
      <w:r>
        <w:rPr>
          <w:rFonts w:ascii="Verdana" w:eastAsia="Calibri" w:hAnsi="Verdana"/>
          <w:b/>
          <w:sz w:val="20"/>
          <w:szCs w:val="20"/>
          <w:lang w:eastAsia="en-US"/>
        </w:rPr>
        <w:t>Other issues</w:t>
      </w:r>
    </w:p>
    <w:p w:rsidR="00D864BF" w:rsidRDefault="00D864BF" w:rsidP="00D864BF">
      <w:pPr>
        <w:autoSpaceDE w:val="0"/>
        <w:autoSpaceDN w:val="0"/>
        <w:adjustRightInd w:val="0"/>
        <w:jc w:val="both"/>
        <w:rPr>
          <w:rFonts w:ascii="Verdana" w:eastAsia="Calibri" w:hAnsi="Verdana"/>
          <w:sz w:val="20"/>
          <w:szCs w:val="20"/>
          <w:lang w:eastAsia="en-US"/>
        </w:rPr>
      </w:pPr>
      <w:r w:rsidRPr="00544B97">
        <w:rPr>
          <w:rFonts w:ascii="Verdana" w:eastAsia="Calibri" w:hAnsi="Verdana"/>
          <w:sz w:val="20"/>
          <w:szCs w:val="20"/>
          <w:lang w:eastAsia="en-US"/>
        </w:rPr>
        <w:t>The exemption</w:t>
      </w:r>
      <w:r>
        <w:rPr>
          <w:rFonts w:ascii="Verdana" w:eastAsia="Calibri" w:hAnsi="Verdana"/>
          <w:sz w:val="20"/>
          <w:szCs w:val="20"/>
          <w:lang w:eastAsia="en-US"/>
        </w:rPr>
        <w:t>s are</w:t>
      </w:r>
      <w:r w:rsidRPr="00544B97">
        <w:rPr>
          <w:rFonts w:ascii="Verdana" w:eastAsia="Calibri" w:hAnsi="Verdana"/>
          <w:sz w:val="20"/>
          <w:szCs w:val="20"/>
          <w:lang w:eastAsia="en-US"/>
        </w:rPr>
        <w:t xml:space="preserve"> taken to have commenced on the day after </w:t>
      </w:r>
      <w:r>
        <w:rPr>
          <w:rFonts w:ascii="Verdana" w:eastAsia="Calibri" w:hAnsi="Verdana"/>
          <w:sz w:val="20"/>
          <w:szCs w:val="20"/>
          <w:lang w:eastAsia="en-US"/>
        </w:rPr>
        <w:t>they are</w:t>
      </w:r>
      <w:r w:rsidRPr="00544B97">
        <w:rPr>
          <w:rFonts w:ascii="Verdana" w:eastAsia="Calibri" w:hAnsi="Verdana"/>
          <w:sz w:val="20"/>
          <w:szCs w:val="20"/>
          <w:lang w:eastAsia="en-US"/>
        </w:rPr>
        <w:t xml:space="preserve"> registered on the Federal Register of Legislative Instruments.</w:t>
      </w:r>
    </w:p>
    <w:p w:rsidR="00D864BF" w:rsidRDefault="00D864BF" w:rsidP="00D864BF">
      <w:pPr>
        <w:autoSpaceDE w:val="0"/>
        <w:autoSpaceDN w:val="0"/>
        <w:adjustRightInd w:val="0"/>
        <w:jc w:val="both"/>
        <w:rPr>
          <w:rFonts w:ascii="Verdana" w:eastAsia="Calibri" w:hAnsi="Verdana"/>
          <w:sz w:val="20"/>
          <w:szCs w:val="20"/>
          <w:lang w:eastAsia="en-US"/>
        </w:rPr>
      </w:pPr>
    </w:p>
    <w:p w:rsidR="00D864BF" w:rsidRDefault="00D864BF" w:rsidP="00D864BF">
      <w:pPr>
        <w:autoSpaceDE w:val="0"/>
        <w:autoSpaceDN w:val="0"/>
        <w:adjustRightInd w:val="0"/>
        <w:jc w:val="both"/>
        <w:rPr>
          <w:rFonts w:ascii="Verdana" w:eastAsia="Calibri" w:hAnsi="Verdana"/>
          <w:sz w:val="20"/>
          <w:szCs w:val="20"/>
          <w:lang w:eastAsia="en-US"/>
        </w:rPr>
      </w:pPr>
      <w:r>
        <w:rPr>
          <w:rFonts w:ascii="Verdana" w:eastAsia="Calibri" w:hAnsi="Verdana"/>
          <w:sz w:val="20"/>
          <w:szCs w:val="20"/>
          <w:lang w:eastAsia="en-US"/>
        </w:rPr>
        <w:t>They will apply for five years unless the expiration date is amended or the exemptions are cancelled under regulation 697 of the WHS Regulations.</w:t>
      </w:r>
    </w:p>
    <w:p w:rsidR="00D864BF" w:rsidRDefault="00D864BF" w:rsidP="0003111E">
      <w:pPr>
        <w:rPr>
          <w:rFonts w:ascii="Verdana" w:hAnsi="Verdana"/>
          <w:sz w:val="20"/>
          <w:szCs w:val="20"/>
        </w:rPr>
      </w:pPr>
    </w:p>
    <w:p w:rsidR="00B40295" w:rsidRPr="00F24006" w:rsidRDefault="00B40295" w:rsidP="00A54711">
      <w:pPr>
        <w:spacing w:after="120"/>
        <w:jc w:val="both"/>
        <w:rPr>
          <w:rFonts w:ascii="Verdana" w:hAnsi="Verdana"/>
          <w:b/>
          <w:sz w:val="20"/>
          <w:szCs w:val="20"/>
        </w:rPr>
      </w:pPr>
      <w:r w:rsidRPr="00F24006">
        <w:rPr>
          <w:rFonts w:ascii="Verdana" w:hAnsi="Verdana"/>
          <w:b/>
          <w:sz w:val="20"/>
          <w:szCs w:val="20"/>
        </w:rPr>
        <w:t>Human rights implications</w:t>
      </w:r>
    </w:p>
    <w:p w:rsidR="00482B17" w:rsidRDefault="005D69A4" w:rsidP="006B3682">
      <w:pPr>
        <w:spacing w:before="120" w:after="120"/>
        <w:contextualSpacing/>
        <w:jc w:val="both"/>
        <w:rPr>
          <w:rFonts w:ascii="Verdana" w:hAnsi="Verdana"/>
          <w:sz w:val="20"/>
          <w:szCs w:val="20"/>
        </w:rPr>
      </w:pPr>
      <w:r w:rsidRPr="00F24006">
        <w:rPr>
          <w:rFonts w:ascii="Verdana" w:hAnsi="Verdana"/>
          <w:sz w:val="20"/>
          <w:szCs w:val="20"/>
        </w:rPr>
        <w:t xml:space="preserve">A human right engaged by this </w:t>
      </w:r>
      <w:r w:rsidR="00251C43">
        <w:rPr>
          <w:rFonts w:ascii="Verdana" w:hAnsi="Verdana"/>
          <w:sz w:val="20"/>
          <w:szCs w:val="20"/>
        </w:rPr>
        <w:t>i</w:t>
      </w:r>
      <w:r w:rsidRPr="00F24006">
        <w:rPr>
          <w:rFonts w:ascii="Verdana" w:hAnsi="Verdana"/>
          <w:sz w:val="20"/>
          <w:szCs w:val="20"/>
        </w:rPr>
        <w:t>nstrument, included in the section 3 definition of human rights in the</w:t>
      </w:r>
      <w:r w:rsidRPr="00F24006">
        <w:rPr>
          <w:rFonts w:ascii="Verdana" w:eastAsia="Calibri" w:hAnsi="Verdana"/>
          <w:i/>
          <w:sz w:val="20"/>
          <w:szCs w:val="20"/>
          <w:lang w:eastAsia="en-US"/>
        </w:rPr>
        <w:t xml:space="preserve"> Human Rights (Parliamentary Scrutiny) Act 2011,</w:t>
      </w:r>
      <w:r w:rsidRPr="00F24006">
        <w:rPr>
          <w:rFonts w:ascii="Verdana" w:hAnsi="Verdana"/>
          <w:sz w:val="20"/>
          <w:szCs w:val="20"/>
        </w:rPr>
        <w:t xml:space="preserve"> is the right to </w:t>
      </w:r>
      <w:r>
        <w:rPr>
          <w:rFonts w:ascii="Verdana" w:hAnsi="Verdana"/>
          <w:sz w:val="20"/>
          <w:szCs w:val="20"/>
        </w:rPr>
        <w:t>just and favourable</w:t>
      </w:r>
      <w:r w:rsidRPr="00F24006">
        <w:rPr>
          <w:rFonts w:ascii="Verdana" w:hAnsi="Verdana"/>
          <w:sz w:val="20"/>
          <w:szCs w:val="20"/>
        </w:rPr>
        <w:t xml:space="preserve"> conditions</w:t>
      </w:r>
      <w:r>
        <w:rPr>
          <w:rFonts w:ascii="Verdana" w:hAnsi="Verdana"/>
          <w:sz w:val="20"/>
          <w:szCs w:val="20"/>
        </w:rPr>
        <w:t xml:space="preserve"> of work</w:t>
      </w:r>
      <w:r w:rsidRPr="00F24006">
        <w:rPr>
          <w:rFonts w:ascii="Verdana" w:hAnsi="Verdana"/>
          <w:sz w:val="20"/>
          <w:szCs w:val="20"/>
        </w:rPr>
        <w:t xml:space="preserve"> contained in article 7 of the International Covenant on Economic, Social and Cultural Rights. </w:t>
      </w:r>
      <w:r>
        <w:rPr>
          <w:rFonts w:ascii="Verdana" w:hAnsi="Verdana"/>
          <w:sz w:val="20"/>
          <w:szCs w:val="20"/>
        </w:rPr>
        <w:t xml:space="preserve">The right to enjoy just and favourable working conditions has various components that require states to establish a minimum standard for working conditions for all workers and develop appropriate enforcement measures. </w:t>
      </w:r>
    </w:p>
    <w:p w:rsidR="00482B17" w:rsidRDefault="00482B17" w:rsidP="006B3682">
      <w:pPr>
        <w:spacing w:before="120" w:after="120"/>
        <w:contextualSpacing/>
        <w:jc w:val="both"/>
        <w:rPr>
          <w:rFonts w:ascii="Verdana" w:hAnsi="Verdana"/>
          <w:sz w:val="20"/>
          <w:szCs w:val="20"/>
        </w:rPr>
      </w:pPr>
    </w:p>
    <w:p w:rsidR="005D69A4" w:rsidRDefault="005D69A4" w:rsidP="006B3682">
      <w:pPr>
        <w:spacing w:before="120" w:after="120"/>
        <w:contextualSpacing/>
        <w:jc w:val="both"/>
        <w:rPr>
          <w:rFonts w:ascii="Verdana" w:hAnsi="Verdana"/>
          <w:sz w:val="20"/>
          <w:szCs w:val="20"/>
        </w:rPr>
      </w:pPr>
      <w:r>
        <w:rPr>
          <w:rFonts w:ascii="Verdana" w:hAnsi="Verdana"/>
          <w:sz w:val="20"/>
          <w:szCs w:val="20"/>
        </w:rPr>
        <w:t>One of the components of article 17 is the right to safe and healthy working conditions. In relation to this right, the Committee on Economic, Social and Cultural Rights has stated that ‘people must be afforded minimum conditions of occupational health and safety, and States parties are responsible for adopting policies and laws to that end’.</w:t>
      </w:r>
      <w:r>
        <w:rPr>
          <w:rStyle w:val="FootnoteReference"/>
          <w:rFonts w:ascii="Verdana" w:hAnsi="Verdana"/>
          <w:sz w:val="20"/>
          <w:szCs w:val="20"/>
        </w:rPr>
        <w:footnoteReference w:id="1"/>
      </w:r>
    </w:p>
    <w:p w:rsidR="005D69A4" w:rsidRDefault="005D69A4" w:rsidP="006B3682">
      <w:pPr>
        <w:spacing w:before="120" w:after="120"/>
        <w:contextualSpacing/>
        <w:jc w:val="both"/>
        <w:rPr>
          <w:rFonts w:ascii="Verdana" w:hAnsi="Verdana"/>
          <w:sz w:val="20"/>
          <w:szCs w:val="20"/>
        </w:rPr>
      </w:pPr>
    </w:p>
    <w:p w:rsidR="00310E01" w:rsidRDefault="00E23EE8" w:rsidP="006B3682">
      <w:pPr>
        <w:spacing w:before="120" w:after="120"/>
        <w:contextualSpacing/>
        <w:jc w:val="both"/>
        <w:rPr>
          <w:rFonts w:ascii="Verdana" w:hAnsi="Verdana"/>
          <w:sz w:val="20"/>
          <w:szCs w:val="20"/>
        </w:rPr>
      </w:pPr>
      <w:r>
        <w:rPr>
          <w:rFonts w:ascii="Verdana" w:hAnsi="Verdana"/>
          <w:sz w:val="20"/>
          <w:szCs w:val="20"/>
        </w:rPr>
        <w:t>In Australia, t</w:t>
      </w:r>
      <w:r w:rsidR="005D69A4">
        <w:rPr>
          <w:rFonts w:ascii="Verdana" w:hAnsi="Verdana"/>
          <w:sz w:val="20"/>
          <w:szCs w:val="20"/>
        </w:rPr>
        <w:t>he right to safe an</w:t>
      </w:r>
      <w:r>
        <w:rPr>
          <w:rFonts w:ascii="Verdana" w:hAnsi="Verdana"/>
          <w:sz w:val="20"/>
          <w:szCs w:val="20"/>
        </w:rPr>
        <w:t xml:space="preserve">d healthy working conditions underpins the formulation of </w:t>
      </w:r>
      <w:r w:rsidR="005D69A4">
        <w:rPr>
          <w:rFonts w:ascii="Verdana" w:hAnsi="Verdana"/>
          <w:sz w:val="20"/>
          <w:szCs w:val="20"/>
        </w:rPr>
        <w:t xml:space="preserve">work health and safety legislation at the Commonwealth, state and territory levels. </w:t>
      </w:r>
    </w:p>
    <w:p w:rsidR="00310E01" w:rsidRDefault="00310E01" w:rsidP="006B3682">
      <w:pPr>
        <w:spacing w:before="120" w:after="120"/>
        <w:contextualSpacing/>
        <w:jc w:val="both"/>
        <w:rPr>
          <w:rFonts w:ascii="Verdana" w:hAnsi="Verdana"/>
          <w:sz w:val="20"/>
          <w:szCs w:val="20"/>
        </w:rPr>
      </w:pPr>
    </w:p>
    <w:p w:rsidR="004A6E48" w:rsidRDefault="005D69A4" w:rsidP="004A6E48">
      <w:pPr>
        <w:autoSpaceDE w:val="0"/>
        <w:autoSpaceDN w:val="0"/>
        <w:adjustRightInd w:val="0"/>
        <w:jc w:val="both"/>
        <w:rPr>
          <w:rFonts w:ascii="Verdana" w:eastAsia="Calibri" w:hAnsi="Verdana"/>
          <w:sz w:val="20"/>
          <w:szCs w:val="20"/>
          <w:lang w:eastAsia="en-US"/>
        </w:rPr>
      </w:pPr>
      <w:r>
        <w:rPr>
          <w:rFonts w:ascii="Verdana" w:hAnsi="Verdana"/>
          <w:sz w:val="20"/>
          <w:szCs w:val="20"/>
        </w:rPr>
        <w:t xml:space="preserve">At the Commonwealth level, this </w:t>
      </w:r>
      <w:r w:rsidR="00687A34">
        <w:rPr>
          <w:rFonts w:ascii="Verdana" w:hAnsi="Verdana"/>
          <w:sz w:val="20"/>
          <w:szCs w:val="20"/>
        </w:rPr>
        <w:t xml:space="preserve">legislation </w:t>
      </w:r>
      <w:r>
        <w:rPr>
          <w:rFonts w:ascii="Verdana" w:hAnsi="Verdana"/>
          <w:sz w:val="20"/>
          <w:szCs w:val="20"/>
        </w:rPr>
        <w:t xml:space="preserve">includes the </w:t>
      </w:r>
      <w:r w:rsidR="00105D86">
        <w:rPr>
          <w:rFonts w:ascii="Verdana" w:hAnsi="Verdana"/>
          <w:i/>
          <w:sz w:val="20"/>
          <w:szCs w:val="20"/>
        </w:rPr>
        <w:t>Work Health and Safety Act 2011</w:t>
      </w:r>
      <w:r w:rsidR="00105D86">
        <w:rPr>
          <w:rFonts w:ascii="Verdana" w:hAnsi="Verdana"/>
          <w:sz w:val="20"/>
          <w:szCs w:val="20"/>
        </w:rPr>
        <w:t xml:space="preserve"> (</w:t>
      </w:r>
      <w:r w:rsidR="00105D86">
        <w:rPr>
          <w:rFonts w:ascii="Verdana" w:hAnsi="Verdana"/>
          <w:b/>
          <w:sz w:val="20"/>
          <w:szCs w:val="20"/>
        </w:rPr>
        <w:t>the WHS Act</w:t>
      </w:r>
      <w:r w:rsidR="00105D86">
        <w:rPr>
          <w:rFonts w:ascii="Verdana" w:hAnsi="Verdana"/>
          <w:sz w:val="20"/>
          <w:szCs w:val="20"/>
        </w:rPr>
        <w:t>)</w:t>
      </w:r>
      <w:r>
        <w:rPr>
          <w:rFonts w:ascii="Verdana" w:hAnsi="Verdana"/>
          <w:sz w:val="20"/>
          <w:szCs w:val="20"/>
        </w:rPr>
        <w:t xml:space="preserve"> and the WHS Regulations. The WHS Act places high</w:t>
      </w:r>
      <w:r w:rsidR="006B3682">
        <w:rPr>
          <w:rFonts w:ascii="Verdana" w:hAnsi="Verdana"/>
          <w:sz w:val="20"/>
          <w:szCs w:val="20"/>
        </w:rPr>
        <w:noBreakHyphen/>
      </w:r>
      <w:r>
        <w:rPr>
          <w:rFonts w:ascii="Verdana" w:hAnsi="Verdana"/>
          <w:sz w:val="20"/>
          <w:szCs w:val="20"/>
        </w:rPr>
        <w:t>level duties on a range of entities that are designed to ensure safe and health</w:t>
      </w:r>
      <w:r w:rsidR="006B3682">
        <w:rPr>
          <w:rFonts w:ascii="Verdana" w:hAnsi="Verdana"/>
          <w:sz w:val="20"/>
          <w:szCs w:val="20"/>
        </w:rPr>
        <w:t>y</w:t>
      </w:r>
      <w:r>
        <w:rPr>
          <w:rFonts w:ascii="Verdana" w:hAnsi="Verdana"/>
          <w:sz w:val="20"/>
          <w:szCs w:val="20"/>
        </w:rPr>
        <w:t xml:space="preserve"> working conditions. It is supported by the WHS Regulations which provide more specific obligations, </w:t>
      </w:r>
      <w:r w:rsidR="004A6E48">
        <w:rPr>
          <w:rFonts w:ascii="Verdana" w:hAnsi="Verdana"/>
          <w:sz w:val="20"/>
          <w:szCs w:val="20"/>
        </w:rPr>
        <w:t>including those under which persons must undertake the required training and obtain a high risk work licence to certain cranes at a workplace.</w:t>
      </w:r>
    </w:p>
    <w:p w:rsidR="00000672" w:rsidRDefault="00000672" w:rsidP="006B3682">
      <w:pPr>
        <w:spacing w:before="120" w:after="120"/>
        <w:contextualSpacing/>
        <w:jc w:val="both"/>
        <w:rPr>
          <w:rFonts w:ascii="Verdana" w:hAnsi="Verdana"/>
          <w:sz w:val="20"/>
          <w:szCs w:val="20"/>
        </w:rPr>
      </w:pPr>
    </w:p>
    <w:p w:rsidR="00A8446D" w:rsidRDefault="008364CA" w:rsidP="006B3682">
      <w:pPr>
        <w:spacing w:before="120" w:after="120"/>
        <w:contextualSpacing/>
        <w:jc w:val="both"/>
        <w:rPr>
          <w:rFonts w:ascii="Verdana" w:hAnsi="Verdana"/>
          <w:sz w:val="20"/>
          <w:szCs w:val="20"/>
        </w:rPr>
      </w:pPr>
      <w:r>
        <w:rPr>
          <w:rFonts w:ascii="Verdana" w:hAnsi="Verdana"/>
          <w:sz w:val="20"/>
          <w:szCs w:val="20"/>
        </w:rPr>
        <w:t xml:space="preserve">This </w:t>
      </w:r>
      <w:r w:rsidR="009A49B5">
        <w:rPr>
          <w:rFonts w:ascii="Verdana" w:hAnsi="Verdana"/>
          <w:sz w:val="20"/>
          <w:szCs w:val="20"/>
        </w:rPr>
        <w:t xml:space="preserve">Legislative Instrument </w:t>
      </w:r>
      <w:r w:rsidR="004A6E48">
        <w:rPr>
          <w:rFonts w:ascii="Verdana" w:hAnsi="Verdana"/>
          <w:sz w:val="20"/>
          <w:szCs w:val="20"/>
        </w:rPr>
        <w:t xml:space="preserve">duplicates high risk work licensing encompassment provisions agreed to </w:t>
      </w:r>
      <w:r w:rsidR="00BE4C52">
        <w:rPr>
          <w:rFonts w:ascii="Verdana" w:hAnsi="Verdana"/>
          <w:sz w:val="20"/>
          <w:szCs w:val="20"/>
        </w:rPr>
        <w:t xml:space="preserve">by the Commonwealth, states and territories following consultations in 2013. </w:t>
      </w:r>
    </w:p>
    <w:p w:rsidR="00BE4C52" w:rsidRDefault="00BE4C52" w:rsidP="006B3682">
      <w:pPr>
        <w:spacing w:before="120" w:after="120"/>
        <w:contextualSpacing/>
        <w:jc w:val="both"/>
        <w:rPr>
          <w:rFonts w:ascii="Verdana" w:hAnsi="Verdana"/>
          <w:sz w:val="20"/>
          <w:szCs w:val="20"/>
        </w:rPr>
      </w:pPr>
    </w:p>
    <w:p w:rsidR="00BE4C52" w:rsidRDefault="00BE4C52" w:rsidP="006B3682">
      <w:pPr>
        <w:spacing w:before="120" w:after="120"/>
        <w:contextualSpacing/>
        <w:jc w:val="both"/>
        <w:rPr>
          <w:rFonts w:ascii="Verdana" w:hAnsi="Verdana"/>
          <w:sz w:val="20"/>
          <w:szCs w:val="20"/>
        </w:rPr>
      </w:pPr>
      <w:r>
        <w:rPr>
          <w:rFonts w:ascii="Verdana" w:hAnsi="Verdana"/>
          <w:sz w:val="20"/>
          <w:szCs w:val="20"/>
        </w:rPr>
        <w:t>The effect of this Legislative Instrument will be that:</w:t>
      </w:r>
    </w:p>
    <w:p w:rsidR="00BE4C52" w:rsidRDefault="00BE4C52" w:rsidP="00A307E5">
      <w:pPr>
        <w:pStyle w:val="ListParagraph"/>
        <w:numPr>
          <w:ilvl w:val="0"/>
          <w:numId w:val="36"/>
        </w:numPr>
        <w:tabs>
          <w:tab w:val="left" w:pos="567"/>
        </w:tabs>
        <w:spacing w:before="120" w:after="120"/>
        <w:ind w:left="567" w:hanging="567"/>
        <w:contextualSpacing/>
        <w:jc w:val="both"/>
        <w:rPr>
          <w:rFonts w:ascii="Verdana" w:hAnsi="Verdana"/>
          <w:sz w:val="20"/>
          <w:szCs w:val="20"/>
        </w:rPr>
      </w:pPr>
      <w:r>
        <w:rPr>
          <w:rFonts w:ascii="Verdana" w:hAnsi="Verdana"/>
          <w:sz w:val="20"/>
          <w:szCs w:val="20"/>
        </w:rPr>
        <w:t>persons holding a high risk work licence to operate a slewing mobile crane of any capacity will be able to rely on that licence to operate a vehicle loading crane or a non</w:t>
      </w:r>
      <w:r>
        <w:rPr>
          <w:rFonts w:ascii="Verdana" w:hAnsi="Verdana"/>
          <w:sz w:val="20"/>
          <w:szCs w:val="20"/>
        </w:rPr>
        <w:noBreakHyphen/>
        <w:t>sl</w:t>
      </w:r>
      <w:r w:rsidR="00432078">
        <w:rPr>
          <w:rFonts w:ascii="Verdana" w:hAnsi="Verdana"/>
          <w:sz w:val="20"/>
          <w:szCs w:val="20"/>
        </w:rPr>
        <w:t xml:space="preserve">ewing mobile crane, on the basis that the training for a slewing mobile crane encompasses the training required </w:t>
      </w:r>
      <w:r w:rsidR="00A307E5">
        <w:rPr>
          <w:rFonts w:ascii="Verdana" w:hAnsi="Verdana"/>
          <w:sz w:val="20"/>
          <w:szCs w:val="20"/>
        </w:rPr>
        <w:t>to operate</w:t>
      </w:r>
      <w:r w:rsidR="00432078">
        <w:rPr>
          <w:rFonts w:ascii="Verdana" w:hAnsi="Verdana"/>
          <w:sz w:val="20"/>
          <w:szCs w:val="20"/>
        </w:rPr>
        <w:t xml:space="preserve"> the two latter</w:t>
      </w:r>
      <w:r w:rsidR="00432078">
        <w:rPr>
          <w:rFonts w:ascii="Verdana" w:hAnsi="Verdana"/>
          <w:sz w:val="20"/>
          <w:szCs w:val="20"/>
        </w:rPr>
        <w:noBreakHyphen/>
        <w:t>mentioned types of crane;</w:t>
      </w:r>
      <w:r w:rsidR="00A307E5">
        <w:rPr>
          <w:rFonts w:ascii="Verdana" w:hAnsi="Verdana"/>
          <w:sz w:val="20"/>
          <w:szCs w:val="20"/>
        </w:rPr>
        <w:t xml:space="preserve"> and</w:t>
      </w:r>
    </w:p>
    <w:p w:rsidR="00A307E5" w:rsidRDefault="00A307E5" w:rsidP="00A307E5">
      <w:pPr>
        <w:pStyle w:val="ListParagraph"/>
        <w:tabs>
          <w:tab w:val="left" w:pos="567"/>
        </w:tabs>
        <w:spacing w:before="120" w:after="120"/>
        <w:ind w:left="567" w:hanging="567"/>
        <w:contextualSpacing/>
        <w:jc w:val="both"/>
        <w:rPr>
          <w:rFonts w:ascii="Verdana" w:hAnsi="Verdana"/>
          <w:sz w:val="20"/>
          <w:szCs w:val="20"/>
        </w:rPr>
      </w:pPr>
    </w:p>
    <w:p w:rsidR="00432078" w:rsidRDefault="00432078" w:rsidP="00A307E5">
      <w:pPr>
        <w:pStyle w:val="ListParagraph"/>
        <w:numPr>
          <w:ilvl w:val="0"/>
          <w:numId w:val="36"/>
        </w:numPr>
        <w:tabs>
          <w:tab w:val="left" w:pos="567"/>
        </w:tabs>
        <w:spacing w:before="120" w:after="120"/>
        <w:ind w:left="567" w:hanging="567"/>
        <w:contextualSpacing/>
        <w:jc w:val="both"/>
        <w:rPr>
          <w:rFonts w:ascii="Verdana" w:hAnsi="Verdana"/>
          <w:sz w:val="20"/>
          <w:szCs w:val="20"/>
        </w:rPr>
      </w:pPr>
      <w:r>
        <w:rPr>
          <w:rFonts w:ascii="Verdana" w:hAnsi="Verdana"/>
          <w:sz w:val="20"/>
          <w:szCs w:val="20"/>
        </w:rPr>
        <w:t xml:space="preserve">persons holding a high risk work licence to operate a slewing mobile crane with a capacity of over 100 tonnes will be able to rely on that licence to operate a slewing mobile crane with a lesser capacity, on the basis that the training required for a licence to operate </w:t>
      </w:r>
      <w:r w:rsidR="00A307E5">
        <w:rPr>
          <w:rFonts w:ascii="Verdana" w:hAnsi="Verdana"/>
          <w:sz w:val="20"/>
          <w:szCs w:val="20"/>
        </w:rPr>
        <w:t>the first</w:t>
      </w:r>
      <w:r w:rsidR="00A307E5">
        <w:rPr>
          <w:rFonts w:ascii="Verdana" w:hAnsi="Verdana"/>
          <w:sz w:val="20"/>
          <w:szCs w:val="20"/>
        </w:rPr>
        <w:noBreakHyphen/>
        <w:t>mentioned</w:t>
      </w:r>
      <w:r>
        <w:rPr>
          <w:rFonts w:ascii="Verdana" w:hAnsi="Verdana"/>
          <w:sz w:val="20"/>
          <w:szCs w:val="20"/>
        </w:rPr>
        <w:t xml:space="preserve"> crane encompasses the tra</w:t>
      </w:r>
      <w:r w:rsidR="00A307E5">
        <w:rPr>
          <w:rFonts w:ascii="Verdana" w:hAnsi="Verdana"/>
          <w:sz w:val="20"/>
          <w:szCs w:val="20"/>
        </w:rPr>
        <w:t>ining required to operate the same type of crane with lower capacities.</w:t>
      </w:r>
    </w:p>
    <w:p w:rsidR="00F627F5" w:rsidRDefault="009729DD" w:rsidP="00F627F5">
      <w:pPr>
        <w:spacing w:before="120" w:after="120"/>
        <w:contextualSpacing/>
        <w:jc w:val="both"/>
        <w:rPr>
          <w:rFonts w:ascii="Verdana" w:hAnsi="Verdana"/>
          <w:sz w:val="20"/>
          <w:szCs w:val="20"/>
        </w:rPr>
      </w:pPr>
      <w:r>
        <w:rPr>
          <w:rFonts w:ascii="Verdana" w:hAnsi="Verdana"/>
          <w:sz w:val="20"/>
          <w:szCs w:val="20"/>
        </w:rPr>
        <w:t>Th</w:t>
      </w:r>
      <w:r w:rsidR="00364155">
        <w:rPr>
          <w:rFonts w:ascii="Verdana" w:hAnsi="Verdana"/>
          <w:sz w:val="20"/>
          <w:szCs w:val="20"/>
        </w:rPr>
        <w:t xml:space="preserve">ese exemptions will not affect work health and safety </w:t>
      </w:r>
      <w:r>
        <w:rPr>
          <w:rFonts w:ascii="Verdana" w:hAnsi="Verdana"/>
          <w:sz w:val="20"/>
          <w:szCs w:val="20"/>
        </w:rPr>
        <w:t>in the workplace</w:t>
      </w:r>
      <w:r w:rsidR="009E6FBE">
        <w:rPr>
          <w:rFonts w:ascii="Verdana" w:hAnsi="Verdana"/>
          <w:sz w:val="20"/>
          <w:szCs w:val="20"/>
        </w:rPr>
        <w:t>. They merely recognise that</w:t>
      </w:r>
      <w:r w:rsidR="00F627F5">
        <w:rPr>
          <w:rFonts w:ascii="Verdana" w:hAnsi="Verdana"/>
          <w:sz w:val="20"/>
          <w:szCs w:val="20"/>
        </w:rPr>
        <w:t xml:space="preserve"> a </w:t>
      </w:r>
      <w:r w:rsidR="009E6FBE" w:rsidRPr="00186715">
        <w:rPr>
          <w:rFonts w:ascii="Verdana" w:hAnsi="Verdana"/>
          <w:sz w:val="20"/>
          <w:szCs w:val="20"/>
        </w:rPr>
        <w:t xml:space="preserve">high risk work licence for </w:t>
      </w:r>
      <w:r w:rsidR="00F627F5">
        <w:rPr>
          <w:rFonts w:ascii="Verdana" w:hAnsi="Verdana"/>
          <w:sz w:val="20"/>
          <w:szCs w:val="20"/>
        </w:rPr>
        <w:t xml:space="preserve">a </w:t>
      </w:r>
      <w:r w:rsidR="00186715" w:rsidRPr="00186715">
        <w:rPr>
          <w:rFonts w:ascii="Verdana" w:hAnsi="Verdana"/>
          <w:sz w:val="20"/>
          <w:szCs w:val="20"/>
        </w:rPr>
        <w:t>‘high</w:t>
      </w:r>
      <w:r w:rsidR="00186715" w:rsidRPr="00186715">
        <w:rPr>
          <w:rFonts w:ascii="Verdana" w:hAnsi="Verdana"/>
          <w:sz w:val="20"/>
          <w:szCs w:val="20"/>
        </w:rPr>
        <w:noBreakHyphen/>
        <w:t>ranking’ crane</w:t>
      </w:r>
      <w:r w:rsidR="004C20F1">
        <w:rPr>
          <w:rFonts w:ascii="Verdana" w:hAnsi="Verdana"/>
          <w:sz w:val="20"/>
          <w:szCs w:val="20"/>
        </w:rPr>
        <w:t xml:space="preserve"> indicates that the holder is </w:t>
      </w:r>
      <w:r w:rsidR="00186715" w:rsidRPr="00186715">
        <w:rPr>
          <w:rFonts w:ascii="Verdana" w:hAnsi="Verdana"/>
          <w:sz w:val="20"/>
          <w:szCs w:val="20"/>
        </w:rPr>
        <w:t>qualified to operate</w:t>
      </w:r>
      <w:r w:rsidR="00F627F5">
        <w:rPr>
          <w:rFonts w:ascii="Verdana" w:hAnsi="Verdana"/>
          <w:sz w:val="20"/>
          <w:szCs w:val="20"/>
        </w:rPr>
        <w:t xml:space="preserve"> </w:t>
      </w:r>
      <w:r w:rsidR="00186715" w:rsidRPr="00186715">
        <w:rPr>
          <w:rFonts w:ascii="Verdana" w:hAnsi="Verdana"/>
          <w:sz w:val="20"/>
          <w:szCs w:val="20"/>
        </w:rPr>
        <w:t>‘lower</w:t>
      </w:r>
      <w:r w:rsidR="00186715" w:rsidRPr="00186715">
        <w:rPr>
          <w:rFonts w:ascii="Verdana" w:hAnsi="Verdana"/>
          <w:sz w:val="20"/>
          <w:szCs w:val="20"/>
        </w:rPr>
        <w:noBreakHyphen/>
        <w:t>ranking’ crane</w:t>
      </w:r>
      <w:r w:rsidR="004C20F1">
        <w:rPr>
          <w:rFonts w:ascii="Verdana" w:hAnsi="Verdana"/>
          <w:sz w:val="20"/>
          <w:szCs w:val="20"/>
        </w:rPr>
        <w:t>s. As such, the person holding the high risk work licence is not required to obtain a separate licence for the ‘lower</w:t>
      </w:r>
      <w:r w:rsidR="004C20F1">
        <w:rPr>
          <w:rFonts w:ascii="Verdana" w:hAnsi="Verdana"/>
          <w:sz w:val="20"/>
          <w:szCs w:val="20"/>
        </w:rPr>
        <w:noBreakHyphen/>
        <w:t xml:space="preserve">ranking’ crane. </w:t>
      </w:r>
    </w:p>
    <w:p w:rsidR="00F627F5" w:rsidRDefault="00F627F5" w:rsidP="00F627F5">
      <w:pPr>
        <w:spacing w:before="120" w:after="120"/>
        <w:contextualSpacing/>
        <w:jc w:val="both"/>
        <w:rPr>
          <w:rFonts w:ascii="Verdana" w:hAnsi="Verdana"/>
          <w:sz w:val="20"/>
          <w:szCs w:val="20"/>
        </w:rPr>
      </w:pPr>
    </w:p>
    <w:p w:rsidR="009D6A9A" w:rsidRPr="00186715" w:rsidRDefault="004C20F1" w:rsidP="00F627F5">
      <w:pPr>
        <w:spacing w:before="120" w:after="120"/>
        <w:contextualSpacing/>
        <w:jc w:val="both"/>
        <w:rPr>
          <w:rFonts w:ascii="Verdana" w:hAnsi="Verdana"/>
          <w:sz w:val="20"/>
          <w:szCs w:val="20"/>
        </w:rPr>
      </w:pPr>
      <w:r>
        <w:rPr>
          <w:rFonts w:ascii="Verdana" w:hAnsi="Verdana"/>
          <w:sz w:val="20"/>
          <w:szCs w:val="20"/>
        </w:rPr>
        <w:t>For the reasons presented above, t</w:t>
      </w:r>
      <w:r w:rsidR="00F627F5">
        <w:rPr>
          <w:rFonts w:ascii="Verdana" w:hAnsi="Verdana"/>
          <w:sz w:val="20"/>
          <w:szCs w:val="20"/>
        </w:rPr>
        <w:t xml:space="preserve">he exemptions </w:t>
      </w:r>
      <w:r w:rsidR="009729DD" w:rsidRPr="00186715">
        <w:rPr>
          <w:rFonts w:ascii="Verdana" w:hAnsi="Verdana"/>
          <w:sz w:val="20"/>
          <w:szCs w:val="20"/>
        </w:rPr>
        <w:t>are</w:t>
      </w:r>
      <w:r w:rsidR="00F627F5">
        <w:rPr>
          <w:rFonts w:ascii="Verdana" w:hAnsi="Verdana"/>
          <w:sz w:val="20"/>
          <w:szCs w:val="20"/>
        </w:rPr>
        <w:t xml:space="preserve"> </w:t>
      </w:r>
      <w:r w:rsidR="00310E01" w:rsidRPr="00186715">
        <w:rPr>
          <w:rFonts w:ascii="Verdana" w:hAnsi="Verdana"/>
          <w:sz w:val="20"/>
          <w:szCs w:val="20"/>
        </w:rPr>
        <w:t>considered to be compatible with the right to safe and healthy working conditions</w:t>
      </w:r>
      <w:r w:rsidR="00866437" w:rsidRPr="00186715">
        <w:rPr>
          <w:rFonts w:ascii="Verdana" w:hAnsi="Verdana"/>
          <w:sz w:val="20"/>
          <w:szCs w:val="20"/>
        </w:rPr>
        <w:t>.</w:t>
      </w:r>
    </w:p>
    <w:p w:rsidR="009D6A9A" w:rsidRDefault="009D6A9A" w:rsidP="00310E01">
      <w:pPr>
        <w:spacing w:before="120" w:after="120"/>
        <w:contextualSpacing/>
        <w:jc w:val="both"/>
        <w:rPr>
          <w:rFonts w:ascii="Verdana" w:hAnsi="Verdana"/>
          <w:sz w:val="20"/>
          <w:szCs w:val="20"/>
        </w:rPr>
      </w:pPr>
    </w:p>
    <w:p w:rsidR="004708E0" w:rsidRPr="00F24006" w:rsidRDefault="004708E0" w:rsidP="00A54711">
      <w:pPr>
        <w:spacing w:after="120"/>
        <w:jc w:val="both"/>
        <w:rPr>
          <w:rFonts w:ascii="Verdana" w:hAnsi="Verdana"/>
          <w:b/>
          <w:sz w:val="20"/>
          <w:szCs w:val="20"/>
        </w:rPr>
      </w:pPr>
      <w:r w:rsidRPr="00F24006">
        <w:rPr>
          <w:rFonts w:ascii="Verdana" w:hAnsi="Verdana"/>
          <w:b/>
          <w:sz w:val="20"/>
          <w:szCs w:val="20"/>
        </w:rPr>
        <w:t>Conclusion</w:t>
      </w:r>
    </w:p>
    <w:p w:rsidR="00C252D2" w:rsidRPr="00D32060" w:rsidRDefault="000F5D71" w:rsidP="006B3682">
      <w:pPr>
        <w:spacing w:before="120" w:after="120"/>
        <w:contextualSpacing/>
        <w:jc w:val="both"/>
        <w:rPr>
          <w:rFonts w:ascii="Verdana" w:hAnsi="Verdana"/>
          <w:sz w:val="20"/>
          <w:szCs w:val="20"/>
        </w:rPr>
      </w:pPr>
      <w:r>
        <w:rPr>
          <w:rFonts w:ascii="Verdana" w:hAnsi="Verdana"/>
          <w:sz w:val="20"/>
          <w:szCs w:val="20"/>
        </w:rPr>
        <w:t>This l</w:t>
      </w:r>
      <w:r w:rsidR="00C252D2" w:rsidRPr="00D32060">
        <w:rPr>
          <w:rFonts w:ascii="Verdana" w:hAnsi="Verdana"/>
          <w:sz w:val="20"/>
          <w:szCs w:val="20"/>
        </w:rPr>
        <w:t xml:space="preserve">egislative </w:t>
      </w:r>
      <w:r>
        <w:rPr>
          <w:rFonts w:ascii="Verdana" w:hAnsi="Verdana"/>
          <w:sz w:val="20"/>
          <w:szCs w:val="20"/>
        </w:rPr>
        <w:t>i</w:t>
      </w:r>
      <w:r w:rsidR="00C252D2" w:rsidRPr="00D32060">
        <w:rPr>
          <w:rFonts w:ascii="Verdana" w:hAnsi="Verdana"/>
          <w:sz w:val="20"/>
          <w:szCs w:val="20"/>
        </w:rPr>
        <w:t>nstrument is compatible with human rights</w:t>
      </w:r>
      <w:r w:rsidR="00482B17">
        <w:rPr>
          <w:rFonts w:ascii="Verdana" w:hAnsi="Verdana"/>
          <w:sz w:val="20"/>
          <w:szCs w:val="20"/>
        </w:rPr>
        <w:t xml:space="preserve"> because it </w:t>
      </w:r>
      <w:r w:rsidR="00AA57B3">
        <w:rPr>
          <w:rFonts w:ascii="Verdana" w:hAnsi="Verdana"/>
          <w:sz w:val="20"/>
          <w:szCs w:val="20"/>
        </w:rPr>
        <w:t xml:space="preserve">will not result in a diminution of </w:t>
      </w:r>
      <w:r w:rsidR="00C03691">
        <w:rPr>
          <w:rFonts w:ascii="Verdana" w:hAnsi="Verdana"/>
          <w:sz w:val="20"/>
          <w:szCs w:val="20"/>
        </w:rPr>
        <w:t>workers’ rights to safe and healthy workplaces</w:t>
      </w:r>
      <w:r w:rsidR="00AA57B3">
        <w:rPr>
          <w:rFonts w:ascii="Verdana" w:hAnsi="Verdana"/>
          <w:sz w:val="20"/>
          <w:szCs w:val="20"/>
        </w:rPr>
        <w:t>.</w:t>
      </w:r>
    </w:p>
    <w:p w:rsidR="001856A4" w:rsidRPr="00676ED6" w:rsidRDefault="001856A4" w:rsidP="006B3682">
      <w:pPr>
        <w:jc w:val="both"/>
        <w:rPr>
          <w:rFonts w:ascii="Verdana" w:hAnsi="Verdana"/>
          <w:b/>
          <w:sz w:val="20"/>
          <w:szCs w:val="20"/>
        </w:rPr>
      </w:pPr>
    </w:p>
    <w:sectPr w:rsidR="001856A4" w:rsidRPr="00676ED6" w:rsidSect="00E6089F">
      <w:headerReference w:type="default" r:id="rId11"/>
      <w:footerReference w:type="default" r:id="rId12"/>
      <w:type w:val="continuous"/>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9E" w:rsidRDefault="00020B9E" w:rsidP="00EB49A5">
      <w:r>
        <w:separator/>
      </w:r>
    </w:p>
  </w:endnote>
  <w:endnote w:type="continuationSeparator" w:id="0">
    <w:p w:rsidR="00020B9E" w:rsidRDefault="00020B9E" w:rsidP="00EB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623304"/>
      <w:docPartObj>
        <w:docPartGallery w:val="Page Numbers (Bottom of Page)"/>
        <w:docPartUnique/>
      </w:docPartObj>
    </w:sdtPr>
    <w:sdtEndPr>
      <w:rPr>
        <w:noProof/>
      </w:rPr>
    </w:sdtEndPr>
    <w:sdtContent>
      <w:p w:rsidR="00D864BF" w:rsidRDefault="00D864BF">
        <w:pPr>
          <w:pStyle w:val="Footer"/>
          <w:jc w:val="right"/>
        </w:pPr>
        <w:r>
          <w:fldChar w:fldCharType="begin"/>
        </w:r>
        <w:r>
          <w:instrText xml:space="preserve"> PAGE   \* MERGEFORMAT </w:instrText>
        </w:r>
        <w:r>
          <w:fldChar w:fldCharType="separate"/>
        </w:r>
        <w:r w:rsidR="00142340">
          <w:rPr>
            <w:noProof/>
          </w:rPr>
          <w:t>1</w:t>
        </w:r>
        <w:r>
          <w:rPr>
            <w:noProof/>
          </w:rPr>
          <w:fldChar w:fldCharType="end"/>
        </w:r>
      </w:p>
    </w:sdtContent>
  </w:sdt>
  <w:p w:rsidR="00D864BF" w:rsidRDefault="00D86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119037"/>
      <w:docPartObj>
        <w:docPartGallery w:val="Page Numbers (Bottom of Page)"/>
        <w:docPartUnique/>
      </w:docPartObj>
    </w:sdtPr>
    <w:sdtEndPr>
      <w:rPr>
        <w:noProof/>
      </w:rPr>
    </w:sdtEndPr>
    <w:sdtContent>
      <w:p w:rsidR="00E6089F" w:rsidRDefault="00E6089F">
        <w:pPr>
          <w:pStyle w:val="Footer"/>
          <w:jc w:val="right"/>
        </w:pPr>
        <w:r>
          <w:fldChar w:fldCharType="begin"/>
        </w:r>
        <w:r>
          <w:instrText xml:space="preserve"> PAGE   \* MERGEFORMAT </w:instrText>
        </w:r>
        <w:r>
          <w:fldChar w:fldCharType="separate"/>
        </w:r>
        <w:r w:rsidR="00142340">
          <w:rPr>
            <w:noProof/>
          </w:rPr>
          <w:t>5</w:t>
        </w:r>
        <w:r>
          <w:rPr>
            <w:noProof/>
          </w:rPr>
          <w:fldChar w:fldCharType="end"/>
        </w:r>
      </w:p>
    </w:sdtContent>
  </w:sdt>
  <w:p w:rsidR="00E6089F" w:rsidRDefault="00E60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9E" w:rsidRDefault="00020B9E" w:rsidP="00EB49A5">
      <w:r>
        <w:separator/>
      </w:r>
    </w:p>
  </w:footnote>
  <w:footnote w:type="continuationSeparator" w:id="0">
    <w:p w:rsidR="00020B9E" w:rsidRDefault="00020B9E" w:rsidP="00EB49A5">
      <w:r>
        <w:continuationSeparator/>
      </w:r>
    </w:p>
  </w:footnote>
  <w:footnote w:id="1">
    <w:p w:rsidR="00D15222" w:rsidRPr="00D7736C" w:rsidRDefault="00D15222" w:rsidP="005D69A4">
      <w:pPr>
        <w:pStyle w:val="FootnoteText"/>
      </w:pPr>
      <w:r>
        <w:rPr>
          <w:rStyle w:val="FootnoteReference"/>
        </w:rPr>
        <w:footnoteRef/>
      </w:r>
      <w:r>
        <w:t xml:space="preserve"> UN Office of the High Commissioner for Human Rights (OHCHR), </w:t>
      </w:r>
      <w:r>
        <w:rPr>
          <w:i/>
          <w:iCs/>
        </w:rPr>
        <w:t>Fact Sheet No. 16 (Rev.1), The Committee on Economic, Social and Cultural Rights</w:t>
      </w:r>
      <w:r>
        <w:t>, May 1996, No. 16 (Rev.1), available at: http://www.refworld.org/docid/4794773cd.html [accessed 22 May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22" w:rsidRPr="00B84AD7" w:rsidRDefault="00D15222" w:rsidP="00B84AD7">
    <w:pPr>
      <w:pStyle w:val="Header"/>
      <w:jc w:val="right"/>
      <w:rPr>
        <w:rFonts w:ascii="Verdana" w:hAnsi="Verdan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22" w:rsidRPr="00B84AD7" w:rsidRDefault="00D15222" w:rsidP="00B84AD7">
    <w:pPr>
      <w:pStyle w:val="Header"/>
      <w:jc w:val="right"/>
      <w:rPr>
        <w:rFonts w:ascii="Verdana" w:hAnsi="Verdana"/>
        <w:sz w:val="20"/>
        <w:szCs w:val="20"/>
      </w:rPr>
    </w:pPr>
    <w:r w:rsidRPr="005B5B03">
      <w:rPr>
        <w:rFonts w:ascii="Verdana" w:hAnsi="Verdana"/>
        <w:b/>
        <w:sz w:val="20"/>
        <w:szCs w:val="20"/>
      </w:rPr>
      <w:t>ATTACHMENT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B17"/>
    <w:multiLevelType w:val="hybridMultilevel"/>
    <w:tmpl w:val="1094464C"/>
    <w:lvl w:ilvl="0" w:tplc="945AD9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0B4A9E"/>
    <w:multiLevelType w:val="hybridMultilevel"/>
    <w:tmpl w:val="B00E9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740D98"/>
    <w:multiLevelType w:val="hybridMultilevel"/>
    <w:tmpl w:val="BE1488C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95761"/>
    <w:multiLevelType w:val="hybridMultilevel"/>
    <w:tmpl w:val="E6DE98DA"/>
    <w:lvl w:ilvl="0" w:tplc="BAE0AB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1326CC"/>
    <w:multiLevelType w:val="hybridMultilevel"/>
    <w:tmpl w:val="1FAA0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612725"/>
    <w:multiLevelType w:val="hybridMultilevel"/>
    <w:tmpl w:val="E836E892"/>
    <w:lvl w:ilvl="0" w:tplc="43545FE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0008EC"/>
    <w:multiLevelType w:val="hybridMultilevel"/>
    <w:tmpl w:val="DAD81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8C7FE2"/>
    <w:multiLevelType w:val="hybridMultilevel"/>
    <w:tmpl w:val="C7C8F7F6"/>
    <w:lvl w:ilvl="0" w:tplc="43545FE6">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192949"/>
    <w:multiLevelType w:val="hybridMultilevel"/>
    <w:tmpl w:val="4198EE3A"/>
    <w:lvl w:ilvl="0" w:tplc="DB025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045169"/>
    <w:multiLevelType w:val="hybridMultilevel"/>
    <w:tmpl w:val="71AC381A"/>
    <w:lvl w:ilvl="0" w:tplc="226253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D5C7CA2"/>
    <w:multiLevelType w:val="hybridMultilevel"/>
    <w:tmpl w:val="6BB207D0"/>
    <w:lvl w:ilvl="0" w:tplc="43545FE6">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4E4E01"/>
    <w:multiLevelType w:val="hybridMultilevel"/>
    <w:tmpl w:val="93046400"/>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2">
    <w:nsid w:val="1F2034B7"/>
    <w:multiLevelType w:val="hybridMultilevel"/>
    <w:tmpl w:val="F3F253AE"/>
    <w:lvl w:ilvl="0" w:tplc="C81A11E6">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B22F00"/>
    <w:multiLevelType w:val="hybridMultilevel"/>
    <w:tmpl w:val="AC7216EA"/>
    <w:lvl w:ilvl="0" w:tplc="F058EE14">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1BF441E"/>
    <w:multiLevelType w:val="hybridMultilevel"/>
    <w:tmpl w:val="D92AA85A"/>
    <w:lvl w:ilvl="0" w:tplc="744AC9E4">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8366458"/>
    <w:multiLevelType w:val="hybridMultilevel"/>
    <w:tmpl w:val="73527F08"/>
    <w:lvl w:ilvl="0" w:tplc="371476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A57078B"/>
    <w:multiLevelType w:val="hybridMultilevel"/>
    <w:tmpl w:val="6DB2B1DA"/>
    <w:lvl w:ilvl="0" w:tplc="A09E42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8F57CA"/>
    <w:multiLevelType w:val="hybridMultilevel"/>
    <w:tmpl w:val="D396B9F2"/>
    <w:lvl w:ilvl="0" w:tplc="97144C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0E455AB"/>
    <w:multiLevelType w:val="hybridMultilevel"/>
    <w:tmpl w:val="2214CBB6"/>
    <w:lvl w:ilvl="0" w:tplc="A192FE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4A14F6F"/>
    <w:multiLevelType w:val="hybridMultilevel"/>
    <w:tmpl w:val="56DCCE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733DF2"/>
    <w:multiLevelType w:val="hybridMultilevel"/>
    <w:tmpl w:val="71AC381A"/>
    <w:lvl w:ilvl="0" w:tplc="226253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6A4718C"/>
    <w:multiLevelType w:val="hybridMultilevel"/>
    <w:tmpl w:val="8CC01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D37BF1"/>
    <w:multiLevelType w:val="hybridMultilevel"/>
    <w:tmpl w:val="4B288B92"/>
    <w:lvl w:ilvl="0" w:tplc="5464FA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E7009A4"/>
    <w:multiLevelType w:val="hybridMultilevel"/>
    <w:tmpl w:val="31A4EBE4"/>
    <w:lvl w:ilvl="0" w:tplc="DB025A0E">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13A1D06"/>
    <w:multiLevelType w:val="hybridMultilevel"/>
    <w:tmpl w:val="42A0527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5">
    <w:nsid w:val="42115A54"/>
    <w:multiLevelType w:val="hybridMultilevel"/>
    <w:tmpl w:val="2516082C"/>
    <w:lvl w:ilvl="0" w:tplc="A09E4272">
      <w:start w:val="1"/>
      <w:numFmt w:val="lowerLetter"/>
      <w:lvlText w:val="(%1)"/>
      <w:lvlJc w:val="left"/>
      <w:pPr>
        <w:ind w:left="1429" w:hanging="720"/>
      </w:pPr>
      <w:rPr>
        <w:rFonts w:cs="Times New Roman" w:hint="default"/>
      </w:rPr>
    </w:lvl>
    <w:lvl w:ilvl="1" w:tplc="43545FE6">
      <w:start w:val="1"/>
      <w:numFmt w:val="lowerRoman"/>
      <w:lvlText w:val="(%2)"/>
      <w:lvlJc w:val="left"/>
      <w:pPr>
        <w:ind w:left="1789" w:hanging="360"/>
      </w:pPr>
      <w:rPr>
        <w:rFonts w:cs="Times New Roman" w:hint="default"/>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26">
    <w:nsid w:val="4F9839B9"/>
    <w:multiLevelType w:val="hybridMultilevel"/>
    <w:tmpl w:val="8C841A7C"/>
    <w:lvl w:ilvl="0" w:tplc="99BE9A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39F542A"/>
    <w:multiLevelType w:val="hybridMultilevel"/>
    <w:tmpl w:val="3AA2BD6A"/>
    <w:lvl w:ilvl="0" w:tplc="DB025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7604F53"/>
    <w:multiLevelType w:val="hybridMultilevel"/>
    <w:tmpl w:val="C6A43C8E"/>
    <w:lvl w:ilvl="0" w:tplc="A864922A">
      <w:start w:val="1"/>
      <w:numFmt w:val="lowerLetter"/>
      <w:lvlText w:val="(%1)"/>
      <w:lvlJc w:val="left"/>
      <w:pPr>
        <w:ind w:left="1429" w:hanging="720"/>
      </w:pPr>
      <w:rPr>
        <w:rFonts w:hint="default"/>
      </w:rPr>
    </w:lvl>
    <w:lvl w:ilvl="1" w:tplc="59D0FC88">
      <w:start w:val="1"/>
      <w:numFmt w:val="lowerRoman"/>
      <w:lvlText w:val="(%2)"/>
      <w:lvlJc w:val="left"/>
      <w:pPr>
        <w:ind w:left="1789" w:hanging="360"/>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9">
    <w:nsid w:val="601607D8"/>
    <w:multiLevelType w:val="hybridMultilevel"/>
    <w:tmpl w:val="156C1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072209"/>
    <w:multiLevelType w:val="hybridMultilevel"/>
    <w:tmpl w:val="DD86F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60E6CE5"/>
    <w:multiLevelType w:val="hybridMultilevel"/>
    <w:tmpl w:val="23749F02"/>
    <w:lvl w:ilvl="0" w:tplc="39BA28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EC41908"/>
    <w:multiLevelType w:val="hybridMultilevel"/>
    <w:tmpl w:val="DA72D2BA"/>
    <w:lvl w:ilvl="0" w:tplc="DB025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9548A7"/>
    <w:multiLevelType w:val="hybridMultilevel"/>
    <w:tmpl w:val="0EE0E480"/>
    <w:lvl w:ilvl="0" w:tplc="D81AFD10">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4">
    <w:nsid w:val="71ED5A0E"/>
    <w:multiLevelType w:val="hybridMultilevel"/>
    <w:tmpl w:val="16F2B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27847A5"/>
    <w:multiLevelType w:val="hybridMultilevel"/>
    <w:tmpl w:val="28ACB9B6"/>
    <w:lvl w:ilvl="0" w:tplc="0820EE5E">
      <w:start w:val="2"/>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nsid w:val="7BA66AF9"/>
    <w:multiLevelType w:val="hybridMultilevel"/>
    <w:tmpl w:val="01AA1A24"/>
    <w:lvl w:ilvl="0" w:tplc="3306F314">
      <w:start w:val="1"/>
      <w:numFmt w:val="lowerLetter"/>
      <w:lvlText w:val="(%1)"/>
      <w:lvlJc w:val="left"/>
      <w:pPr>
        <w:ind w:left="1429" w:hanging="720"/>
      </w:pPr>
      <w:rPr>
        <w:rFonts w:hint="default"/>
      </w:rPr>
    </w:lvl>
    <w:lvl w:ilvl="1" w:tplc="43545FE6">
      <w:start w:val="1"/>
      <w:numFmt w:val="lowerRoman"/>
      <w:lvlText w:val="(%2)"/>
      <w:lvlJc w:val="lef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
  </w:num>
  <w:num w:numId="2">
    <w:abstractNumId w:val="29"/>
  </w:num>
  <w:num w:numId="3">
    <w:abstractNumId w:val="2"/>
  </w:num>
  <w:num w:numId="4">
    <w:abstractNumId w:val="17"/>
  </w:num>
  <w:num w:numId="5">
    <w:abstractNumId w:val="34"/>
  </w:num>
  <w:num w:numId="6">
    <w:abstractNumId w:val="4"/>
  </w:num>
  <w:num w:numId="7">
    <w:abstractNumId w:val="11"/>
  </w:num>
  <w:num w:numId="8">
    <w:abstractNumId w:val="28"/>
  </w:num>
  <w:num w:numId="9">
    <w:abstractNumId w:val="35"/>
  </w:num>
  <w:num w:numId="10">
    <w:abstractNumId w:val="10"/>
  </w:num>
  <w:num w:numId="11">
    <w:abstractNumId w:val="5"/>
  </w:num>
  <w:num w:numId="12">
    <w:abstractNumId w:val="26"/>
  </w:num>
  <w:num w:numId="13">
    <w:abstractNumId w:val="7"/>
  </w:num>
  <w:num w:numId="14">
    <w:abstractNumId w:val="14"/>
  </w:num>
  <w:num w:numId="15">
    <w:abstractNumId w:val="33"/>
  </w:num>
  <w:num w:numId="16">
    <w:abstractNumId w:val="36"/>
  </w:num>
  <w:num w:numId="17">
    <w:abstractNumId w:val="13"/>
  </w:num>
  <w:num w:numId="18">
    <w:abstractNumId w:val="0"/>
  </w:num>
  <w:num w:numId="19">
    <w:abstractNumId w:val="20"/>
  </w:num>
  <w:num w:numId="20">
    <w:abstractNumId w:val="9"/>
  </w:num>
  <w:num w:numId="21">
    <w:abstractNumId w:val="24"/>
  </w:num>
  <w:num w:numId="22">
    <w:abstractNumId w:val="30"/>
  </w:num>
  <w:num w:numId="23">
    <w:abstractNumId w:val="16"/>
  </w:num>
  <w:num w:numId="24">
    <w:abstractNumId w:val="6"/>
  </w:num>
  <w:num w:numId="25">
    <w:abstractNumId w:val="25"/>
  </w:num>
  <w:num w:numId="26">
    <w:abstractNumId w:val="19"/>
  </w:num>
  <w:num w:numId="27">
    <w:abstractNumId w:val="31"/>
  </w:num>
  <w:num w:numId="28">
    <w:abstractNumId w:val="21"/>
  </w:num>
  <w:num w:numId="29">
    <w:abstractNumId w:val="3"/>
  </w:num>
  <w:num w:numId="30">
    <w:abstractNumId w:val="12"/>
  </w:num>
  <w:num w:numId="31">
    <w:abstractNumId w:val="18"/>
  </w:num>
  <w:num w:numId="32">
    <w:abstractNumId w:val="22"/>
  </w:num>
  <w:num w:numId="33">
    <w:abstractNumId w:val="8"/>
  </w:num>
  <w:num w:numId="34">
    <w:abstractNumId w:val="23"/>
  </w:num>
  <w:num w:numId="35">
    <w:abstractNumId w:val="32"/>
  </w:num>
  <w:num w:numId="36">
    <w:abstractNumId w:val="2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83"/>
    <w:rsid w:val="00000672"/>
    <w:rsid w:val="00003B1C"/>
    <w:rsid w:val="00005D04"/>
    <w:rsid w:val="000063AF"/>
    <w:rsid w:val="000068F1"/>
    <w:rsid w:val="000069F4"/>
    <w:rsid w:val="000071DF"/>
    <w:rsid w:val="00007B06"/>
    <w:rsid w:val="0001131F"/>
    <w:rsid w:val="00011C89"/>
    <w:rsid w:val="00011C8F"/>
    <w:rsid w:val="0001258F"/>
    <w:rsid w:val="00014437"/>
    <w:rsid w:val="000149B5"/>
    <w:rsid w:val="00015B29"/>
    <w:rsid w:val="00015E2C"/>
    <w:rsid w:val="00017BC1"/>
    <w:rsid w:val="00020B9E"/>
    <w:rsid w:val="00020CA3"/>
    <w:rsid w:val="000216B8"/>
    <w:rsid w:val="00021C7B"/>
    <w:rsid w:val="0002262F"/>
    <w:rsid w:val="00023101"/>
    <w:rsid w:val="00027096"/>
    <w:rsid w:val="000303C9"/>
    <w:rsid w:val="00030403"/>
    <w:rsid w:val="00030882"/>
    <w:rsid w:val="0003111E"/>
    <w:rsid w:val="000314C1"/>
    <w:rsid w:val="00036ECA"/>
    <w:rsid w:val="000372E0"/>
    <w:rsid w:val="00041E12"/>
    <w:rsid w:val="000449BF"/>
    <w:rsid w:val="00044B67"/>
    <w:rsid w:val="00045831"/>
    <w:rsid w:val="00050CEA"/>
    <w:rsid w:val="00061B71"/>
    <w:rsid w:val="00062927"/>
    <w:rsid w:val="00062A4C"/>
    <w:rsid w:val="00063C1E"/>
    <w:rsid w:val="00064CBD"/>
    <w:rsid w:val="00065701"/>
    <w:rsid w:val="00065A49"/>
    <w:rsid w:val="0007201F"/>
    <w:rsid w:val="00072A8F"/>
    <w:rsid w:val="0007495E"/>
    <w:rsid w:val="00076E97"/>
    <w:rsid w:val="0007726E"/>
    <w:rsid w:val="000773C0"/>
    <w:rsid w:val="0007740B"/>
    <w:rsid w:val="00077C75"/>
    <w:rsid w:val="00080B8C"/>
    <w:rsid w:val="00080D34"/>
    <w:rsid w:val="00081A76"/>
    <w:rsid w:val="000829E3"/>
    <w:rsid w:val="000857EB"/>
    <w:rsid w:val="000915E0"/>
    <w:rsid w:val="000931B5"/>
    <w:rsid w:val="0009384A"/>
    <w:rsid w:val="00096D4F"/>
    <w:rsid w:val="000A1FE3"/>
    <w:rsid w:val="000A2F59"/>
    <w:rsid w:val="000A2FA6"/>
    <w:rsid w:val="000A4D9E"/>
    <w:rsid w:val="000A6D84"/>
    <w:rsid w:val="000A722B"/>
    <w:rsid w:val="000A73A3"/>
    <w:rsid w:val="000B0191"/>
    <w:rsid w:val="000B1D52"/>
    <w:rsid w:val="000B1EB6"/>
    <w:rsid w:val="000B37FB"/>
    <w:rsid w:val="000B3D3F"/>
    <w:rsid w:val="000B58FC"/>
    <w:rsid w:val="000B5B02"/>
    <w:rsid w:val="000B6661"/>
    <w:rsid w:val="000B6934"/>
    <w:rsid w:val="000B7815"/>
    <w:rsid w:val="000C3B27"/>
    <w:rsid w:val="000C3D46"/>
    <w:rsid w:val="000C58D2"/>
    <w:rsid w:val="000D05D5"/>
    <w:rsid w:val="000D1CE9"/>
    <w:rsid w:val="000D2658"/>
    <w:rsid w:val="000D3EF5"/>
    <w:rsid w:val="000D464A"/>
    <w:rsid w:val="000D4901"/>
    <w:rsid w:val="000D7BB9"/>
    <w:rsid w:val="000E0012"/>
    <w:rsid w:val="000E21FD"/>
    <w:rsid w:val="000E41AB"/>
    <w:rsid w:val="000E5F53"/>
    <w:rsid w:val="000E748A"/>
    <w:rsid w:val="000F11F0"/>
    <w:rsid w:val="000F2769"/>
    <w:rsid w:val="000F3E42"/>
    <w:rsid w:val="000F3FDA"/>
    <w:rsid w:val="000F40F1"/>
    <w:rsid w:val="000F5D71"/>
    <w:rsid w:val="000F6CA4"/>
    <w:rsid w:val="000F6DCC"/>
    <w:rsid w:val="001000FC"/>
    <w:rsid w:val="00101039"/>
    <w:rsid w:val="00103E2B"/>
    <w:rsid w:val="00105D86"/>
    <w:rsid w:val="0010686A"/>
    <w:rsid w:val="001071F2"/>
    <w:rsid w:val="001144FE"/>
    <w:rsid w:val="0011582D"/>
    <w:rsid w:val="00116F71"/>
    <w:rsid w:val="001175F0"/>
    <w:rsid w:val="00117B2E"/>
    <w:rsid w:val="00122960"/>
    <w:rsid w:val="00123A69"/>
    <w:rsid w:val="00123C1E"/>
    <w:rsid w:val="00127AB1"/>
    <w:rsid w:val="001308DF"/>
    <w:rsid w:val="00134ED2"/>
    <w:rsid w:val="00135C2A"/>
    <w:rsid w:val="00140763"/>
    <w:rsid w:val="001422B6"/>
    <w:rsid w:val="00142340"/>
    <w:rsid w:val="00142C63"/>
    <w:rsid w:val="001431A8"/>
    <w:rsid w:val="0014432A"/>
    <w:rsid w:val="00144DB6"/>
    <w:rsid w:val="00150795"/>
    <w:rsid w:val="00150E22"/>
    <w:rsid w:val="001510AC"/>
    <w:rsid w:val="001517C0"/>
    <w:rsid w:val="0015370A"/>
    <w:rsid w:val="00153A4C"/>
    <w:rsid w:val="001543F8"/>
    <w:rsid w:val="00155675"/>
    <w:rsid w:val="00156978"/>
    <w:rsid w:val="0016183F"/>
    <w:rsid w:val="001630B0"/>
    <w:rsid w:val="001654F2"/>
    <w:rsid w:val="0017393F"/>
    <w:rsid w:val="001765C5"/>
    <w:rsid w:val="00176C36"/>
    <w:rsid w:val="00177723"/>
    <w:rsid w:val="001820D8"/>
    <w:rsid w:val="001856A4"/>
    <w:rsid w:val="00185814"/>
    <w:rsid w:val="00186715"/>
    <w:rsid w:val="00190EB5"/>
    <w:rsid w:val="001936AB"/>
    <w:rsid w:val="001944D2"/>
    <w:rsid w:val="00195560"/>
    <w:rsid w:val="00196876"/>
    <w:rsid w:val="001A08A7"/>
    <w:rsid w:val="001A15CC"/>
    <w:rsid w:val="001A275E"/>
    <w:rsid w:val="001A3F54"/>
    <w:rsid w:val="001A6ABE"/>
    <w:rsid w:val="001A77A8"/>
    <w:rsid w:val="001B1B75"/>
    <w:rsid w:val="001B3D39"/>
    <w:rsid w:val="001B4251"/>
    <w:rsid w:val="001B42C2"/>
    <w:rsid w:val="001B5308"/>
    <w:rsid w:val="001B72D7"/>
    <w:rsid w:val="001B734C"/>
    <w:rsid w:val="001C380E"/>
    <w:rsid w:val="001C6AED"/>
    <w:rsid w:val="001D1681"/>
    <w:rsid w:val="001D1DB6"/>
    <w:rsid w:val="001D245C"/>
    <w:rsid w:val="001D31F2"/>
    <w:rsid w:val="001D51F0"/>
    <w:rsid w:val="001D6792"/>
    <w:rsid w:val="001E0976"/>
    <w:rsid w:val="001E0CBA"/>
    <w:rsid w:val="001E1073"/>
    <w:rsid w:val="001E35E7"/>
    <w:rsid w:val="001E576F"/>
    <w:rsid w:val="001F098E"/>
    <w:rsid w:val="001F0CDB"/>
    <w:rsid w:val="001F1C58"/>
    <w:rsid w:val="001F287D"/>
    <w:rsid w:val="001F7655"/>
    <w:rsid w:val="00200434"/>
    <w:rsid w:val="00200C47"/>
    <w:rsid w:val="002038FD"/>
    <w:rsid w:val="002066F6"/>
    <w:rsid w:val="00210CC5"/>
    <w:rsid w:val="00212F02"/>
    <w:rsid w:val="002157AA"/>
    <w:rsid w:val="002167F8"/>
    <w:rsid w:val="00216CA9"/>
    <w:rsid w:val="00216CFD"/>
    <w:rsid w:val="00217C31"/>
    <w:rsid w:val="002223DA"/>
    <w:rsid w:val="00223859"/>
    <w:rsid w:val="00223D8C"/>
    <w:rsid w:val="0022573B"/>
    <w:rsid w:val="00226738"/>
    <w:rsid w:val="00231AB0"/>
    <w:rsid w:val="00233A6C"/>
    <w:rsid w:val="002344B5"/>
    <w:rsid w:val="00234621"/>
    <w:rsid w:val="00236FB1"/>
    <w:rsid w:val="002370B2"/>
    <w:rsid w:val="002379BD"/>
    <w:rsid w:val="00237B86"/>
    <w:rsid w:val="00237D59"/>
    <w:rsid w:val="00240D12"/>
    <w:rsid w:val="0024136F"/>
    <w:rsid w:val="00241640"/>
    <w:rsid w:val="0024203D"/>
    <w:rsid w:val="00243349"/>
    <w:rsid w:val="00244FC7"/>
    <w:rsid w:val="00245D1C"/>
    <w:rsid w:val="00246DDF"/>
    <w:rsid w:val="0024773A"/>
    <w:rsid w:val="00247755"/>
    <w:rsid w:val="00250194"/>
    <w:rsid w:val="00251C43"/>
    <w:rsid w:val="002547FF"/>
    <w:rsid w:val="00254AD4"/>
    <w:rsid w:val="00261790"/>
    <w:rsid w:val="00263A12"/>
    <w:rsid w:val="00265003"/>
    <w:rsid w:val="00265742"/>
    <w:rsid w:val="002707BE"/>
    <w:rsid w:val="00271BBA"/>
    <w:rsid w:val="00275CC1"/>
    <w:rsid w:val="002763B1"/>
    <w:rsid w:val="002764B1"/>
    <w:rsid w:val="00277713"/>
    <w:rsid w:val="00280D47"/>
    <w:rsid w:val="00281727"/>
    <w:rsid w:val="00281EE5"/>
    <w:rsid w:val="002843FF"/>
    <w:rsid w:val="00287CF7"/>
    <w:rsid w:val="00290C63"/>
    <w:rsid w:val="002968C0"/>
    <w:rsid w:val="002A0F9C"/>
    <w:rsid w:val="002A37FF"/>
    <w:rsid w:val="002A3F26"/>
    <w:rsid w:val="002A42EF"/>
    <w:rsid w:val="002A4A87"/>
    <w:rsid w:val="002A6062"/>
    <w:rsid w:val="002A70C8"/>
    <w:rsid w:val="002B12EA"/>
    <w:rsid w:val="002B1CF4"/>
    <w:rsid w:val="002B6898"/>
    <w:rsid w:val="002C28E7"/>
    <w:rsid w:val="002C3752"/>
    <w:rsid w:val="002C7D56"/>
    <w:rsid w:val="002D0A9E"/>
    <w:rsid w:val="002D1760"/>
    <w:rsid w:val="002D2A7E"/>
    <w:rsid w:val="002D2B8F"/>
    <w:rsid w:val="002D38A3"/>
    <w:rsid w:val="002D74C7"/>
    <w:rsid w:val="002E03B7"/>
    <w:rsid w:val="002E0CCB"/>
    <w:rsid w:val="002E17BB"/>
    <w:rsid w:val="002E3E51"/>
    <w:rsid w:val="002E4FF5"/>
    <w:rsid w:val="002E6FF6"/>
    <w:rsid w:val="002E7197"/>
    <w:rsid w:val="002F07CB"/>
    <w:rsid w:val="002F1BA6"/>
    <w:rsid w:val="002F50BE"/>
    <w:rsid w:val="00301664"/>
    <w:rsid w:val="00301D47"/>
    <w:rsid w:val="00303C2A"/>
    <w:rsid w:val="00304C32"/>
    <w:rsid w:val="00306326"/>
    <w:rsid w:val="003077F7"/>
    <w:rsid w:val="00310E01"/>
    <w:rsid w:val="00312819"/>
    <w:rsid w:val="00314E5A"/>
    <w:rsid w:val="003151E3"/>
    <w:rsid w:val="0031711D"/>
    <w:rsid w:val="003176AA"/>
    <w:rsid w:val="00320EE4"/>
    <w:rsid w:val="00327125"/>
    <w:rsid w:val="00327D01"/>
    <w:rsid w:val="003321E0"/>
    <w:rsid w:val="00333B73"/>
    <w:rsid w:val="00333E64"/>
    <w:rsid w:val="0033431B"/>
    <w:rsid w:val="00336249"/>
    <w:rsid w:val="00340009"/>
    <w:rsid w:val="003419B9"/>
    <w:rsid w:val="00341AB4"/>
    <w:rsid w:val="00343E0D"/>
    <w:rsid w:val="00345A69"/>
    <w:rsid w:val="00347B94"/>
    <w:rsid w:val="00347E01"/>
    <w:rsid w:val="00351E83"/>
    <w:rsid w:val="003527CC"/>
    <w:rsid w:val="00355719"/>
    <w:rsid w:val="00355DDD"/>
    <w:rsid w:val="0035704F"/>
    <w:rsid w:val="00357FED"/>
    <w:rsid w:val="003614DB"/>
    <w:rsid w:val="00363085"/>
    <w:rsid w:val="00363813"/>
    <w:rsid w:val="00364155"/>
    <w:rsid w:val="003672EC"/>
    <w:rsid w:val="00370928"/>
    <w:rsid w:val="003721D7"/>
    <w:rsid w:val="003724BA"/>
    <w:rsid w:val="00373C2B"/>
    <w:rsid w:val="003753C7"/>
    <w:rsid w:val="003767A6"/>
    <w:rsid w:val="00376CEE"/>
    <w:rsid w:val="0037729C"/>
    <w:rsid w:val="0038012E"/>
    <w:rsid w:val="00380143"/>
    <w:rsid w:val="00381DCC"/>
    <w:rsid w:val="0038234B"/>
    <w:rsid w:val="00385A45"/>
    <w:rsid w:val="00390E83"/>
    <w:rsid w:val="00393099"/>
    <w:rsid w:val="0039399F"/>
    <w:rsid w:val="00394279"/>
    <w:rsid w:val="003A0001"/>
    <w:rsid w:val="003A1613"/>
    <w:rsid w:val="003A3131"/>
    <w:rsid w:val="003A66F5"/>
    <w:rsid w:val="003B04E4"/>
    <w:rsid w:val="003B2E6D"/>
    <w:rsid w:val="003B4658"/>
    <w:rsid w:val="003B5E6E"/>
    <w:rsid w:val="003B7133"/>
    <w:rsid w:val="003C0753"/>
    <w:rsid w:val="003C5D59"/>
    <w:rsid w:val="003D12E5"/>
    <w:rsid w:val="003D7153"/>
    <w:rsid w:val="003E18D9"/>
    <w:rsid w:val="003E2B4E"/>
    <w:rsid w:val="003E4069"/>
    <w:rsid w:val="003E7CB2"/>
    <w:rsid w:val="003F041A"/>
    <w:rsid w:val="003F0FA6"/>
    <w:rsid w:val="003F19A5"/>
    <w:rsid w:val="003F1F87"/>
    <w:rsid w:val="003F38C2"/>
    <w:rsid w:val="003F48BF"/>
    <w:rsid w:val="003F4951"/>
    <w:rsid w:val="003F495E"/>
    <w:rsid w:val="003F5DD5"/>
    <w:rsid w:val="0040210D"/>
    <w:rsid w:val="00402797"/>
    <w:rsid w:val="004041D8"/>
    <w:rsid w:val="00404966"/>
    <w:rsid w:val="004053DF"/>
    <w:rsid w:val="00405EE9"/>
    <w:rsid w:val="00406A3B"/>
    <w:rsid w:val="004072F0"/>
    <w:rsid w:val="00407D3D"/>
    <w:rsid w:val="00411601"/>
    <w:rsid w:val="004137A2"/>
    <w:rsid w:val="00421F93"/>
    <w:rsid w:val="00422464"/>
    <w:rsid w:val="004224FF"/>
    <w:rsid w:val="00422A0C"/>
    <w:rsid w:val="0043204B"/>
    <w:rsid w:val="00432078"/>
    <w:rsid w:val="0043220F"/>
    <w:rsid w:val="00434854"/>
    <w:rsid w:val="004357D1"/>
    <w:rsid w:val="00436707"/>
    <w:rsid w:val="004437AD"/>
    <w:rsid w:val="00443C36"/>
    <w:rsid w:val="0044446A"/>
    <w:rsid w:val="004475BC"/>
    <w:rsid w:val="00450906"/>
    <w:rsid w:val="00454086"/>
    <w:rsid w:val="00456758"/>
    <w:rsid w:val="00460135"/>
    <w:rsid w:val="00461D80"/>
    <w:rsid w:val="00462B5F"/>
    <w:rsid w:val="0046523A"/>
    <w:rsid w:val="00466923"/>
    <w:rsid w:val="0046766F"/>
    <w:rsid w:val="004708E0"/>
    <w:rsid w:val="00470F81"/>
    <w:rsid w:val="004713BE"/>
    <w:rsid w:val="00472EF7"/>
    <w:rsid w:val="004771E2"/>
    <w:rsid w:val="004775D6"/>
    <w:rsid w:val="00480857"/>
    <w:rsid w:val="004809A2"/>
    <w:rsid w:val="004813C0"/>
    <w:rsid w:val="00482B17"/>
    <w:rsid w:val="004836E9"/>
    <w:rsid w:val="00485781"/>
    <w:rsid w:val="00486F05"/>
    <w:rsid w:val="00487040"/>
    <w:rsid w:val="00487515"/>
    <w:rsid w:val="00490E73"/>
    <w:rsid w:val="00491844"/>
    <w:rsid w:val="00491CF7"/>
    <w:rsid w:val="00493452"/>
    <w:rsid w:val="00495F6D"/>
    <w:rsid w:val="0049793A"/>
    <w:rsid w:val="00497A52"/>
    <w:rsid w:val="004A1AA5"/>
    <w:rsid w:val="004A1FA3"/>
    <w:rsid w:val="004A2022"/>
    <w:rsid w:val="004A325B"/>
    <w:rsid w:val="004A66CF"/>
    <w:rsid w:val="004A6863"/>
    <w:rsid w:val="004A6E48"/>
    <w:rsid w:val="004B0263"/>
    <w:rsid w:val="004B0BB0"/>
    <w:rsid w:val="004B18B3"/>
    <w:rsid w:val="004B1993"/>
    <w:rsid w:val="004B2CC0"/>
    <w:rsid w:val="004B58BF"/>
    <w:rsid w:val="004B6C36"/>
    <w:rsid w:val="004B7125"/>
    <w:rsid w:val="004B7463"/>
    <w:rsid w:val="004B7578"/>
    <w:rsid w:val="004B7ECD"/>
    <w:rsid w:val="004C0DFC"/>
    <w:rsid w:val="004C1DD1"/>
    <w:rsid w:val="004C20F1"/>
    <w:rsid w:val="004C4BB7"/>
    <w:rsid w:val="004C4C61"/>
    <w:rsid w:val="004C5668"/>
    <w:rsid w:val="004C5AB2"/>
    <w:rsid w:val="004C5F38"/>
    <w:rsid w:val="004C60A0"/>
    <w:rsid w:val="004C6672"/>
    <w:rsid w:val="004C6C20"/>
    <w:rsid w:val="004C7C58"/>
    <w:rsid w:val="004D04B4"/>
    <w:rsid w:val="004D2E08"/>
    <w:rsid w:val="004D3DF7"/>
    <w:rsid w:val="004D47FC"/>
    <w:rsid w:val="004E1C86"/>
    <w:rsid w:val="004E2030"/>
    <w:rsid w:val="004E280F"/>
    <w:rsid w:val="004E7BF9"/>
    <w:rsid w:val="004F2EE9"/>
    <w:rsid w:val="004F5AD2"/>
    <w:rsid w:val="0050057B"/>
    <w:rsid w:val="00500933"/>
    <w:rsid w:val="00500DA8"/>
    <w:rsid w:val="00501787"/>
    <w:rsid w:val="0050200A"/>
    <w:rsid w:val="00502A39"/>
    <w:rsid w:val="00502BAD"/>
    <w:rsid w:val="00503DF7"/>
    <w:rsid w:val="0050436E"/>
    <w:rsid w:val="005047A4"/>
    <w:rsid w:val="00505347"/>
    <w:rsid w:val="00506267"/>
    <w:rsid w:val="005067DF"/>
    <w:rsid w:val="005076FB"/>
    <w:rsid w:val="00510A72"/>
    <w:rsid w:val="00510DC6"/>
    <w:rsid w:val="00511B39"/>
    <w:rsid w:val="00513933"/>
    <w:rsid w:val="0051487E"/>
    <w:rsid w:val="00515146"/>
    <w:rsid w:val="00515A5A"/>
    <w:rsid w:val="00515C0C"/>
    <w:rsid w:val="00516C66"/>
    <w:rsid w:val="0052069C"/>
    <w:rsid w:val="0052200C"/>
    <w:rsid w:val="00522865"/>
    <w:rsid w:val="00522D67"/>
    <w:rsid w:val="005237E2"/>
    <w:rsid w:val="00525E4B"/>
    <w:rsid w:val="00526688"/>
    <w:rsid w:val="00526ABF"/>
    <w:rsid w:val="005270AD"/>
    <w:rsid w:val="0052746C"/>
    <w:rsid w:val="00531B38"/>
    <w:rsid w:val="00542351"/>
    <w:rsid w:val="005430EE"/>
    <w:rsid w:val="0054353C"/>
    <w:rsid w:val="00544B97"/>
    <w:rsid w:val="005472A6"/>
    <w:rsid w:val="00547782"/>
    <w:rsid w:val="00547ADA"/>
    <w:rsid w:val="005510F5"/>
    <w:rsid w:val="00551532"/>
    <w:rsid w:val="0055373F"/>
    <w:rsid w:val="00553CD1"/>
    <w:rsid w:val="00553CF3"/>
    <w:rsid w:val="005545B8"/>
    <w:rsid w:val="00557664"/>
    <w:rsid w:val="005615BF"/>
    <w:rsid w:val="00562DFC"/>
    <w:rsid w:val="005631AD"/>
    <w:rsid w:val="00564BF4"/>
    <w:rsid w:val="00574524"/>
    <w:rsid w:val="005760EA"/>
    <w:rsid w:val="00576A58"/>
    <w:rsid w:val="00580A67"/>
    <w:rsid w:val="0058295E"/>
    <w:rsid w:val="00582BE1"/>
    <w:rsid w:val="00582FD4"/>
    <w:rsid w:val="005838B4"/>
    <w:rsid w:val="00583E9B"/>
    <w:rsid w:val="0058630C"/>
    <w:rsid w:val="00590530"/>
    <w:rsid w:val="0059289C"/>
    <w:rsid w:val="0059604C"/>
    <w:rsid w:val="005A50D1"/>
    <w:rsid w:val="005A6A3B"/>
    <w:rsid w:val="005B2111"/>
    <w:rsid w:val="005B2465"/>
    <w:rsid w:val="005B2906"/>
    <w:rsid w:val="005B5B03"/>
    <w:rsid w:val="005B7ECF"/>
    <w:rsid w:val="005C0915"/>
    <w:rsid w:val="005C0DBB"/>
    <w:rsid w:val="005C1EAD"/>
    <w:rsid w:val="005C3FC1"/>
    <w:rsid w:val="005C427F"/>
    <w:rsid w:val="005C4F14"/>
    <w:rsid w:val="005C656C"/>
    <w:rsid w:val="005C65F7"/>
    <w:rsid w:val="005C6AF1"/>
    <w:rsid w:val="005D0104"/>
    <w:rsid w:val="005D05CA"/>
    <w:rsid w:val="005D0E89"/>
    <w:rsid w:val="005D1CC4"/>
    <w:rsid w:val="005D1F84"/>
    <w:rsid w:val="005D363E"/>
    <w:rsid w:val="005D43AB"/>
    <w:rsid w:val="005D57DC"/>
    <w:rsid w:val="005D69A4"/>
    <w:rsid w:val="005E0081"/>
    <w:rsid w:val="005E0B76"/>
    <w:rsid w:val="005E7603"/>
    <w:rsid w:val="00601FED"/>
    <w:rsid w:val="0060457A"/>
    <w:rsid w:val="00606E1C"/>
    <w:rsid w:val="0060793C"/>
    <w:rsid w:val="00607D53"/>
    <w:rsid w:val="006100BE"/>
    <w:rsid w:val="00614108"/>
    <w:rsid w:val="00614EFB"/>
    <w:rsid w:val="006171B3"/>
    <w:rsid w:val="006207E7"/>
    <w:rsid w:val="00620EB9"/>
    <w:rsid w:val="00622C1E"/>
    <w:rsid w:val="00622DA2"/>
    <w:rsid w:val="0062493C"/>
    <w:rsid w:val="006274AB"/>
    <w:rsid w:val="006303DA"/>
    <w:rsid w:val="006309A4"/>
    <w:rsid w:val="0063493F"/>
    <w:rsid w:val="00634AD1"/>
    <w:rsid w:val="006351E5"/>
    <w:rsid w:val="00636AAE"/>
    <w:rsid w:val="00636E08"/>
    <w:rsid w:val="006425DF"/>
    <w:rsid w:val="006428DE"/>
    <w:rsid w:val="006443A7"/>
    <w:rsid w:val="00647B46"/>
    <w:rsid w:val="00650E73"/>
    <w:rsid w:val="00652597"/>
    <w:rsid w:val="00653FA4"/>
    <w:rsid w:val="00664885"/>
    <w:rsid w:val="00667F78"/>
    <w:rsid w:val="006756F0"/>
    <w:rsid w:val="0067639B"/>
    <w:rsid w:val="00676ED6"/>
    <w:rsid w:val="00680ABC"/>
    <w:rsid w:val="00680E63"/>
    <w:rsid w:val="00682E87"/>
    <w:rsid w:val="00683CDD"/>
    <w:rsid w:val="0068484F"/>
    <w:rsid w:val="00686180"/>
    <w:rsid w:val="00687A34"/>
    <w:rsid w:val="00693F6B"/>
    <w:rsid w:val="00695AF6"/>
    <w:rsid w:val="006A59E7"/>
    <w:rsid w:val="006A6E4C"/>
    <w:rsid w:val="006A728F"/>
    <w:rsid w:val="006A76C3"/>
    <w:rsid w:val="006B04A3"/>
    <w:rsid w:val="006B11C6"/>
    <w:rsid w:val="006B3682"/>
    <w:rsid w:val="006B6519"/>
    <w:rsid w:val="006C0063"/>
    <w:rsid w:val="006C041B"/>
    <w:rsid w:val="006C4133"/>
    <w:rsid w:val="006C480E"/>
    <w:rsid w:val="006C4C5C"/>
    <w:rsid w:val="006C4D6E"/>
    <w:rsid w:val="006C6F10"/>
    <w:rsid w:val="006C7247"/>
    <w:rsid w:val="006D0F5D"/>
    <w:rsid w:val="006D15B1"/>
    <w:rsid w:val="006D1F62"/>
    <w:rsid w:val="006E0080"/>
    <w:rsid w:val="006E128F"/>
    <w:rsid w:val="006E2C00"/>
    <w:rsid w:val="006E32CF"/>
    <w:rsid w:val="006E5CFD"/>
    <w:rsid w:val="006E731C"/>
    <w:rsid w:val="006E7346"/>
    <w:rsid w:val="006E758C"/>
    <w:rsid w:val="006F2279"/>
    <w:rsid w:val="006F503C"/>
    <w:rsid w:val="006F7E88"/>
    <w:rsid w:val="007013F0"/>
    <w:rsid w:val="00702E5A"/>
    <w:rsid w:val="007035A8"/>
    <w:rsid w:val="00704641"/>
    <w:rsid w:val="007050A9"/>
    <w:rsid w:val="00707F90"/>
    <w:rsid w:val="00710625"/>
    <w:rsid w:val="00710D0F"/>
    <w:rsid w:val="007110B7"/>
    <w:rsid w:val="00711294"/>
    <w:rsid w:val="00711E6E"/>
    <w:rsid w:val="00713495"/>
    <w:rsid w:val="00716F21"/>
    <w:rsid w:val="0071781C"/>
    <w:rsid w:val="007223E4"/>
    <w:rsid w:val="0072292A"/>
    <w:rsid w:val="00723221"/>
    <w:rsid w:val="00723426"/>
    <w:rsid w:val="0072706F"/>
    <w:rsid w:val="007273CE"/>
    <w:rsid w:val="00731386"/>
    <w:rsid w:val="007330FA"/>
    <w:rsid w:val="007364D9"/>
    <w:rsid w:val="00744359"/>
    <w:rsid w:val="00750F97"/>
    <w:rsid w:val="00751E75"/>
    <w:rsid w:val="00752F5A"/>
    <w:rsid w:val="00752F88"/>
    <w:rsid w:val="00753AEA"/>
    <w:rsid w:val="00755271"/>
    <w:rsid w:val="00764AD2"/>
    <w:rsid w:val="00765119"/>
    <w:rsid w:val="00765C28"/>
    <w:rsid w:val="007670EB"/>
    <w:rsid w:val="00771202"/>
    <w:rsid w:val="007719F6"/>
    <w:rsid w:val="00771EA8"/>
    <w:rsid w:val="00771F4A"/>
    <w:rsid w:val="0077576A"/>
    <w:rsid w:val="00780C32"/>
    <w:rsid w:val="00782AD9"/>
    <w:rsid w:val="0078321D"/>
    <w:rsid w:val="007835E2"/>
    <w:rsid w:val="00784E39"/>
    <w:rsid w:val="00787996"/>
    <w:rsid w:val="0079104E"/>
    <w:rsid w:val="0079215D"/>
    <w:rsid w:val="00792EDE"/>
    <w:rsid w:val="0079385B"/>
    <w:rsid w:val="00794BB5"/>
    <w:rsid w:val="0079511C"/>
    <w:rsid w:val="00795704"/>
    <w:rsid w:val="00796178"/>
    <w:rsid w:val="00796DB2"/>
    <w:rsid w:val="007A0E2F"/>
    <w:rsid w:val="007A1189"/>
    <w:rsid w:val="007A3C84"/>
    <w:rsid w:val="007A3F61"/>
    <w:rsid w:val="007A53A5"/>
    <w:rsid w:val="007A629C"/>
    <w:rsid w:val="007A6A88"/>
    <w:rsid w:val="007A7DAD"/>
    <w:rsid w:val="007B4A00"/>
    <w:rsid w:val="007B6C9D"/>
    <w:rsid w:val="007B7204"/>
    <w:rsid w:val="007B7416"/>
    <w:rsid w:val="007C105F"/>
    <w:rsid w:val="007C25A7"/>
    <w:rsid w:val="007C2A1D"/>
    <w:rsid w:val="007C2BD1"/>
    <w:rsid w:val="007C2BED"/>
    <w:rsid w:val="007C3E7A"/>
    <w:rsid w:val="007C5437"/>
    <w:rsid w:val="007C79C0"/>
    <w:rsid w:val="007D1BF9"/>
    <w:rsid w:val="007D1C9E"/>
    <w:rsid w:val="007D1D05"/>
    <w:rsid w:val="007D5253"/>
    <w:rsid w:val="007D5C62"/>
    <w:rsid w:val="007D7422"/>
    <w:rsid w:val="007E126F"/>
    <w:rsid w:val="007E1902"/>
    <w:rsid w:val="007E3818"/>
    <w:rsid w:val="007F0FA9"/>
    <w:rsid w:val="007F3054"/>
    <w:rsid w:val="007F3060"/>
    <w:rsid w:val="007F5666"/>
    <w:rsid w:val="007F74B6"/>
    <w:rsid w:val="008048AA"/>
    <w:rsid w:val="008048E7"/>
    <w:rsid w:val="008054B0"/>
    <w:rsid w:val="00810605"/>
    <w:rsid w:val="00810D51"/>
    <w:rsid w:val="00811EE4"/>
    <w:rsid w:val="00812A64"/>
    <w:rsid w:val="00812B31"/>
    <w:rsid w:val="00814AD2"/>
    <w:rsid w:val="00815F98"/>
    <w:rsid w:val="00821652"/>
    <w:rsid w:val="00822802"/>
    <w:rsid w:val="00823221"/>
    <w:rsid w:val="0082341B"/>
    <w:rsid w:val="0082626A"/>
    <w:rsid w:val="008263B3"/>
    <w:rsid w:val="008263EE"/>
    <w:rsid w:val="00831E36"/>
    <w:rsid w:val="00833515"/>
    <w:rsid w:val="00833EC9"/>
    <w:rsid w:val="00833F58"/>
    <w:rsid w:val="008364CA"/>
    <w:rsid w:val="00836977"/>
    <w:rsid w:val="0084173E"/>
    <w:rsid w:val="00842146"/>
    <w:rsid w:val="008425E7"/>
    <w:rsid w:val="00842EA9"/>
    <w:rsid w:val="00844FFC"/>
    <w:rsid w:val="00845754"/>
    <w:rsid w:val="00845F0A"/>
    <w:rsid w:val="008521DC"/>
    <w:rsid w:val="00855E03"/>
    <w:rsid w:val="0085795C"/>
    <w:rsid w:val="008608A2"/>
    <w:rsid w:val="0086138E"/>
    <w:rsid w:val="00862F75"/>
    <w:rsid w:val="00862FBD"/>
    <w:rsid w:val="00866437"/>
    <w:rsid w:val="00866D31"/>
    <w:rsid w:val="00870072"/>
    <w:rsid w:val="008711F3"/>
    <w:rsid w:val="00872167"/>
    <w:rsid w:val="00873DF5"/>
    <w:rsid w:val="00882A01"/>
    <w:rsid w:val="008834CE"/>
    <w:rsid w:val="0088562F"/>
    <w:rsid w:val="00886257"/>
    <w:rsid w:val="00891EE4"/>
    <w:rsid w:val="00893164"/>
    <w:rsid w:val="00897A11"/>
    <w:rsid w:val="008A1977"/>
    <w:rsid w:val="008A1A03"/>
    <w:rsid w:val="008A3B2D"/>
    <w:rsid w:val="008A3C41"/>
    <w:rsid w:val="008A4AAE"/>
    <w:rsid w:val="008A5618"/>
    <w:rsid w:val="008A5A6F"/>
    <w:rsid w:val="008A779A"/>
    <w:rsid w:val="008A7D16"/>
    <w:rsid w:val="008B0D2B"/>
    <w:rsid w:val="008B4692"/>
    <w:rsid w:val="008B5CE8"/>
    <w:rsid w:val="008B5E69"/>
    <w:rsid w:val="008B7AD7"/>
    <w:rsid w:val="008C1188"/>
    <w:rsid w:val="008C1442"/>
    <w:rsid w:val="008C16D5"/>
    <w:rsid w:val="008C1FFC"/>
    <w:rsid w:val="008C308F"/>
    <w:rsid w:val="008C3E6D"/>
    <w:rsid w:val="008C4836"/>
    <w:rsid w:val="008D07C4"/>
    <w:rsid w:val="008D7277"/>
    <w:rsid w:val="008D7CF1"/>
    <w:rsid w:val="008E04E0"/>
    <w:rsid w:val="008E0C1E"/>
    <w:rsid w:val="008E0D80"/>
    <w:rsid w:val="008E174B"/>
    <w:rsid w:val="008E309A"/>
    <w:rsid w:val="008E5AC7"/>
    <w:rsid w:val="008E6833"/>
    <w:rsid w:val="008E6ED2"/>
    <w:rsid w:val="008F0BC5"/>
    <w:rsid w:val="008F0BD5"/>
    <w:rsid w:val="008F1171"/>
    <w:rsid w:val="008F3B32"/>
    <w:rsid w:val="008F7DB1"/>
    <w:rsid w:val="00901392"/>
    <w:rsid w:val="00911F03"/>
    <w:rsid w:val="00912D3F"/>
    <w:rsid w:val="00920950"/>
    <w:rsid w:val="009222C9"/>
    <w:rsid w:val="009223B7"/>
    <w:rsid w:val="00923E29"/>
    <w:rsid w:val="009249B0"/>
    <w:rsid w:val="00925A63"/>
    <w:rsid w:val="00926194"/>
    <w:rsid w:val="00932371"/>
    <w:rsid w:val="00932374"/>
    <w:rsid w:val="009347A5"/>
    <w:rsid w:val="0093544F"/>
    <w:rsid w:val="00943039"/>
    <w:rsid w:val="009442DE"/>
    <w:rsid w:val="00946129"/>
    <w:rsid w:val="0094695E"/>
    <w:rsid w:val="00950CD5"/>
    <w:rsid w:val="0095533C"/>
    <w:rsid w:val="009564B8"/>
    <w:rsid w:val="00962F2B"/>
    <w:rsid w:val="00970703"/>
    <w:rsid w:val="009729DD"/>
    <w:rsid w:val="0097373E"/>
    <w:rsid w:val="00973AE4"/>
    <w:rsid w:val="00974245"/>
    <w:rsid w:val="00975A6A"/>
    <w:rsid w:val="0097672B"/>
    <w:rsid w:val="0097674C"/>
    <w:rsid w:val="00980ECC"/>
    <w:rsid w:val="00981743"/>
    <w:rsid w:val="00983254"/>
    <w:rsid w:val="00983CF6"/>
    <w:rsid w:val="009845BC"/>
    <w:rsid w:val="00986090"/>
    <w:rsid w:val="00986A6A"/>
    <w:rsid w:val="00992E07"/>
    <w:rsid w:val="00995820"/>
    <w:rsid w:val="009972DE"/>
    <w:rsid w:val="00997F43"/>
    <w:rsid w:val="009A07D9"/>
    <w:rsid w:val="009A0C1B"/>
    <w:rsid w:val="009A3956"/>
    <w:rsid w:val="009A49B5"/>
    <w:rsid w:val="009A5335"/>
    <w:rsid w:val="009A6C41"/>
    <w:rsid w:val="009A7A30"/>
    <w:rsid w:val="009B079C"/>
    <w:rsid w:val="009B33E2"/>
    <w:rsid w:val="009B6A63"/>
    <w:rsid w:val="009C0189"/>
    <w:rsid w:val="009C2ECA"/>
    <w:rsid w:val="009C4794"/>
    <w:rsid w:val="009D3102"/>
    <w:rsid w:val="009D4E25"/>
    <w:rsid w:val="009D6A9A"/>
    <w:rsid w:val="009D6C59"/>
    <w:rsid w:val="009E0A59"/>
    <w:rsid w:val="009E24B9"/>
    <w:rsid w:val="009E30AA"/>
    <w:rsid w:val="009E50EE"/>
    <w:rsid w:val="009E5DD2"/>
    <w:rsid w:val="009E66C5"/>
    <w:rsid w:val="009E6FBE"/>
    <w:rsid w:val="009E7923"/>
    <w:rsid w:val="009F0E53"/>
    <w:rsid w:val="009F24DA"/>
    <w:rsid w:val="009F56AF"/>
    <w:rsid w:val="009F6F87"/>
    <w:rsid w:val="009F7C29"/>
    <w:rsid w:val="00A00082"/>
    <w:rsid w:val="00A02280"/>
    <w:rsid w:val="00A02DFE"/>
    <w:rsid w:val="00A0331A"/>
    <w:rsid w:val="00A03AC5"/>
    <w:rsid w:val="00A06463"/>
    <w:rsid w:val="00A06E64"/>
    <w:rsid w:val="00A0756E"/>
    <w:rsid w:val="00A12FB4"/>
    <w:rsid w:val="00A13E43"/>
    <w:rsid w:val="00A1551C"/>
    <w:rsid w:val="00A15C54"/>
    <w:rsid w:val="00A15E37"/>
    <w:rsid w:val="00A204B5"/>
    <w:rsid w:val="00A2149A"/>
    <w:rsid w:val="00A21B05"/>
    <w:rsid w:val="00A24D99"/>
    <w:rsid w:val="00A2699C"/>
    <w:rsid w:val="00A27563"/>
    <w:rsid w:val="00A304D8"/>
    <w:rsid w:val="00A307E5"/>
    <w:rsid w:val="00A33688"/>
    <w:rsid w:val="00A3667C"/>
    <w:rsid w:val="00A40828"/>
    <w:rsid w:val="00A42514"/>
    <w:rsid w:val="00A46938"/>
    <w:rsid w:val="00A46DE1"/>
    <w:rsid w:val="00A505D9"/>
    <w:rsid w:val="00A513F6"/>
    <w:rsid w:val="00A518E7"/>
    <w:rsid w:val="00A51C73"/>
    <w:rsid w:val="00A54509"/>
    <w:rsid w:val="00A54711"/>
    <w:rsid w:val="00A54E3C"/>
    <w:rsid w:val="00A6084F"/>
    <w:rsid w:val="00A6409F"/>
    <w:rsid w:val="00A649D6"/>
    <w:rsid w:val="00A66718"/>
    <w:rsid w:val="00A70497"/>
    <w:rsid w:val="00A70934"/>
    <w:rsid w:val="00A71018"/>
    <w:rsid w:val="00A747FE"/>
    <w:rsid w:val="00A81EE7"/>
    <w:rsid w:val="00A8302C"/>
    <w:rsid w:val="00A8446D"/>
    <w:rsid w:val="00A85B05"/>
    <w:rsid w:val="00A9557B"/>
    <w:rsid w:val="00A96FF4"/>
    <w:rsid w:val="00A97648"/>
    <w:rsid w:val="00AA0A69"/>
    <w:rsid w:val="00AA3CEA"/>
    <w:rsid w:val="00AA4A5E"/>
    <w:rsid w:val="00AA57B3"/>
    <w:rsid w:val="00AA5A61"/>
    <w:rsid w:val="00AB1149"/>
    <w:rsid w:val="00AB114E"/>
    <w:rsid w:val="00AB1BDC"/>
    <w:rsid w:val="00AB2A16"/>
    <w:rsid w:val="00AB3903"/>
    <w:rsid w:val="00AB4680"/>
    <w:rsid w:val="00AC0947"/>
    <w:rsid w:val="00AC2629"/>
    <w:rsid w:val="00AC2860"/>
    <w:rsid w:val="00AC3629"/>
    <w:rsid w:val="00AC4747"/>
    <w:rsid w:val="00AC5657"/>
    <w:rsid w:val="00AC7171"/>
    <w:rsid w:val="00AC793B"/>
    <w:rsid w:val="00AD1A94"/>
    <w:rsid w:val="00AD1F6F"/>
    <w:rsid w:val="00AD3789"/>
    <w:rsid w:val="00AD3A1E"/>
    <w:rsid w:val="00AD52AC"/>
    <w:rsid w:val="00AE0538"/>
    <w:rsid w:val="00AE1ED8"/>
    <w:rsid w:val="00AE2619"/>
    <w:rsid w:val="00AE271B"/>
    <w:rsid w:val="00AE43BE"/>
    <w:rsid w:val="00AE6A96"/>
    <w:rsid w:val="00AF3A9F"/>
    <w:rsid w:val="00AF5688"/>
    <w:rsid w:val="00AF5B81"/>
    <w:rsid w:val="00B01112"/>
    <w:rsid w:val="00B01EA7"/>
    <w:rsid w:val="00B052DA"/>
    <w:rsid w:val="00B05347"/>
    <w:rsid w:val="00B059E5"/>
    <w:rsid w:val="00B063FC"/>
    <w:rsid w:val="00B07E4C"/>
    <w:rsid w:val="00B12DFD"/>
    <w:rsid w:val="00B13197"/>
    <w:rsid w:val="00B136C4"/>
    <w:rsid w:val="00B17A57"/>
    <w:rsid w:val="00B22EC8"/>
    <w:rsid w:val="00B23469"/>
    <w:rsid w:val="00B2376F"/>
    <w:rsid w:val="00B237E4"/>
    <w:rsid w:val="00B276FF"/>
    <w:rsid w:val="00B27C4C"/>
    <w:rsid w:val="00B27E6E"/>
    <w:rsid w:val="00B3130F"/>
    <w:rsid w:val="00B33067"/>
    <w:rsid w:val="00B33E46"/>
    <w:rsid w:val="00B343EA"/>
    <w:rsid w:val="00B37626"/>
    <w:rsid w:val="00B378DB"/>
    <w:rsid w:val="00B40295"/>
    <w:rsid w:val="00B404E3"/>
    <w:rsid w:val="00B405E4"/>
    <w:rsid w:val="00B40740"/>
    <w:rsid w:val="00B443D4"/>
    <w:rsid w:val="00B443DE"/>
    <w:rsid w:val="00B460AC"/>
    <w:rsid w:val="00B509E4"/>
    <w:rsid w:val="00B51B2F"/>
    <w:rsid w:val="00B51D56"/>
    <w:rsid w:val="00B5311B"/>
    <w:rsid w:val="00B54019"/>
    <w:rsid w:val="00B543B9"/>
    <w:rsid w:val="00B553F7"/>
    <w:rsid w:val="00B575B6"/>
    <w:rsid w:val="00B623C6"/>
    <w:rsid w:val="00B65A26"/>
    <w:rsid w:val="00B709ED"/>
    <w:rsid w:val="00B75E80"/>
    <w:rsid w:val="00B833F2"/>
    <w:rsid w:val="00B84AD7"/>
    <w:rsid w:val="00B851FB"/>
    <w:rsid w:val="00B872C6"/>
    <w:rsid w:val="00B874C8"/>
    <w:rsid w:val="00B901D0"/>
    <w:rsid w:val="00B90753"/>
    <w:rsid w:val="00B915E9"/>
    <w:rsid w:val="00B95453"/>
    <w:rsid w:val="00B96432"/>
    <w:rsid w:val="00B9760D"/>
    <w:rsid w:val="00BA0002"/>
    <w:rsid w:val="00BA0682"/>
    <w:rsid w:val="00BA0D1A"/>
    <w:rsid w:val="00BA1DB8"/>
    <w:rsid w:val="00BB02C4"/>
    <w:rsid w:val="00BB05DA"/>
    <w:rsid w:val="00BB48C9"/>
    <w:rsid w:val="00BB55BF"/>
    <w:rsid w:val="00BC08EA"/>
    <w:rsid w:val="00BC47B2"/>
    <w:rsid w:val="00BC5441"/>
    <w:rsid w:val="00BC55CC"/>
    <w:rsid w:val="00BD0F5F"/>
    <w:rsid w:val="00BD0F60"/>
    <w:rsid w:val="00BD3706"/>
    <w:rsid w:val="00BD417B"/>
    <w:rsid w:val="00BD4263"/>
    <w:rsid w:val="00BD42DE"/>
    <w:rsid w:val="00BD477C"/>
    <w:rsid w:val="00BE1372"/>
    <w:rsid w:val="00BE461A"/>
    <w:rsid w:val="00BE4C52"/>
    <w:rsid w:val="00BE731B"/>
    <w:rsid w:val="00BE7634"/>
    <w:rsid w:val="00BE7BB6"/>
    <w:rsid w:val="00BF0C25"/>
    <w:rsid w:val="00BF1D17"/>
    <w:rsid w:val="00BF7056"/>
    <w:rsid w:val="00BF7269"/>
    <w:rsid w:val="00C02185"/>
    <w:rsid w:val="00C03691"/>
    <w:rsid w:val="00C04E79"/>
    <w:rsid w:val="00C10B4B"/>
    <w:rsid w:val="00C141F7"/>
    <w:rsid w:val="00C1730A"/>
    <w:rsid w:val="00C17E00"/>
    <w:rsid w:val="00C252D2"/>
    <w:rsid w:val="00C32BC5"/>
    <w:rsid w:val="00C32EE1"/>
    <w:rsid w:val="00C339D4"/>
    <w:rsid w:val="00C34A66"/>
    <w:rsid w:val="00C35E08"/>
    <w:rsid w:val="00C37BDE"/>
    <w:rsid w:val="00C408CD"/>
    <w:rsid w:val="00C41387"/>
    <w:rsid w:val="00C42516"/>
    <w:rsid w:val="00C43645"/>
    <w:rsid w:val="00C44B67"/>
    <w:rsid w:val="00C45B11"/>
    <w:rsid w:val="00C462B0"/>
    <w:rsid w:val="00C4650C"/>
    <w:rsid w:val="00C50B02"/>
    <w:rsid w:val="00C52339"/>
    <w:rsid w:val="00C61937"/>
    <w:rsid w:val="00C62807"/>
    <w:rsid w:val="00C64C22"/>
    <w:rsid w:val="00C730A6"/>
    <w:rsid w:val="00C7445C"/>
    <w:rsid w:val="00C75B54"/>
    <w:rsid w:val="00C766DD"/>
    <w:rsid w:val="00C776DA"/>
    <w:rsid w:val="00C825F8"/>
    <w:rsid w:val="00C82A7C"/>
    <w:rsid w:val="00C858C4"/>
    <w:rsid w:val="00C860B2"/>
    <w:rsid w:val="00C86EA3"/>
    <w:rsid w:val="00C92C46"/>
    <w:rsid w:val="00C97E64"/>
    <w:rsid w:val="00CA0466"/>
    <w:rsid w:val="00CA0557"/>
    <w:rsid w:val="00CA16E8"/>
    <w:rsid w:val="00CA1E5A"/>
    <w:rsid w:val="00CA2283"/>
    <w:rsid w:val="00CA2752"/>
    <w:rsid w:val="00CA2FD3"/>
    <w:rsid w:val="00CA3EA0"/>
    <w:rsid w:val="00CA4287"/>
    <w:rsid w:val="00CA45FF"/>
    <w:rsid w:val="00CA69BF"/>
    <w:rsid w:val="00CA709C"/>
    <w:rsid w:val="00CA7608"/>
    <w:rsid w:val="00CA7F55"/>
    <w:rsid w:val="00CB2958"/>
    <w:rsid w:val="00CB3E0B"/>
    <w:rsid w:val="00CB4DB7"/>
    <w:rsid w:val="00CB6B83"/>
    <w:rsid w:val="00CB6FBD"/>
    <w:rsid w:val="00CC040C"/>
    <w:rsid w:val="00CC06C8"/>
    <w:rsid w:val="00CC0857"/>
    <w:rsid w:val="00CC1873"/>
    <w:rsid w:val="00CC36C1"/>
    <w:rsid w:val="00CC4D36"/>
    <w:rsid w:val="00CD0DA8"/>
    <w:rsid w:val="00CD140E"/>
    <w:rsid w:val="00CD243B"/>
    <w:rsid w:val="00CD7D1E"/>
    <w:rsid w:val="00CE07B9"/>
    <w:rsid w:val="00CE1711"/>
    <w:rsid w:val="00CE6A2F"/>
    <w:rsid w:val="00CF3067"/>
    <w:rsid w:val="00CF36EA"/>
    <w:rsid w:val="00CF43C0"/>
    <w:rsid w:val="00CF56B1"/>
    <w:rsid w:val="00CF5B86"/>
    <w:rsid w:val="00CF5C11"/>
    <w:rsid w:val="00CF6F44"/>
    <w:rsid w:val="00CF723A"/>
    <w:rsid w:val="00CF7427"/>
    <w:rsid w:val="00D00B71"/>
    <w:rsid w:val="00D011CE"/>
    <w:rsid w:val="00D01C13"/>
    <w:rsid w:val="00D067D2"/>
    <w:rsid w:val="00D10032"/>
    <w:rsid w:val="00D10B84"/>
    <w:rsid w:val="00D11175"/>
    <w:rsid w:val="00D15222"/>
    <w:rsid w:val="00D1542D"/>
    <w:rsid w:val="00D15C26"/>
    <w:rsid w:val="00D15C3F"/>
    <w:rsid w:val="00D17BDF"/>
    <w:rsid w:val="00D20BC1"/>
    <w:rsid w:val="00D22BC8"/>
    <w:rsid w:val="00D263AA"/>
    <w:rsid w:val="00D269D0"/>
    <w:rsid w:val="00D3127A"/>
    <w:rsid w:val="00D329B7"/>
    <w:rsid w:val="00D32A0C"/>
    <w:rsid w:val="00D351C0"/>
    <w:rsid w:val="00D3682F"/>
    <w:rsid w:val="00D40DE9"/>
    <w:rsid w:val="00D41CF6"/>
    <w:rsid w:val="00D42869"/>
    <w:rsid w:val="00D439A2"/>
    <w:rsid w:val="00D460C3"/>
    <w:rsid w:val="00D461F7"/>
    <w:rsid w:val="00D47102"/>
    <w:rsid w:val="00D477C4"/>
    <w:rsid w:val="00D478A2"/>
    <w:rsid w:val="00D47944"/>
    <w:rsid w:val="00D50D28"/>
    <w:rsid w:val="00D5233F"/>
    <w:rsid w:val="00D60DA3"/>
    <w:rsid w:val="00D63E6D"/>
    <w:rsid w:val="00D658AF"/>
    <w:rsid w:val="00D66AA4"/>
    <w:rsid w:val="00D72B30"/>
    <w:rsid w:val="00D75380"/>
    <w:rsid w:val="00D76ED0"/>
    <w:rsid w:val="00D81C35"/>
    <w:rsid w:val="00D83A4B"/>
    <w:rsid w:val="00D853F7"/>
    <w:rsid w:val="00D864BF"/>
    <w:rsid w:val="00D91596"/>
    <w:rsid w:val="00D9193D"/>
    <w:rsid w:val="00D91FB2"/>
    <w:rsid w:val="00D931B3"/>
    <w:rsid w:val="00D948C8"/>
    <w:rsid w:val="00D9727A"/>
    <w:rsid w:val="00DA089F"/>
    <w:rsid w:val="00DA3924"/>
    <w:rsid w:val="00DA4770"/>
    <w:rsid w:val="00DB1130"/>
    <w:rsid w:val="00DB46B3"/>
    <w:rsid w:val="00DB62FC"/>
    <w:rsid w:val="00DC1693"/>
    <w:rsid w:val="00DC19E3"/>
    <w:rsid w:val="00DC22D1"/>
    <w:rsid w:val="00DC3EBF"/>
    <w:rsid w:val="00DC42A5"/>
    <w:rsid w:val="00DC535E"/>
    <w:rsid w:val="00DC5459"/>
    <w:rsid w:val="00DC6C2B"/>
    <w:rsid w:val="00DC75E0"/>
    <w:rsid w:val="00DD04E5"/>
    <w:rsid w:val="00DD1C86"/>
    <w:rsid w:val="00DD3604"/>
    <w:rsid w:val="00DD422D"/>
    <w:rsid w:val="00DE0277"/>
    <w:rsid w:val="00DE2AC2"/>
    <w:rsid w:val="00DF3794"/>
    <w:rsid w:val="00DF44E0"/>
    <w:rsid w:val="00DF47A4"/>
    <w:rsid w:val="00E000AE"/>
    <w:rsid w:val="00E00A2B"/>
    <w:rsid w:val="00E01727"/>
    <w:rsid w:val="00E02135"/>
    <w:rsid w:val="00E03185"/>
    <w:rsid w:val="00E04723"/>
    <w:rsid w:val="00E04AAD"/>
    <w:rsid w:val="00E051B7"/>
    <w:rsid w:val="00E11792"/>
    <w:rsid w:val="00E12DE5"/>
    <w:rsid w:val="00E16382"/>
    <w:rsid w:val="00E16BEE"/>
    <w:rsid w:val="00E2028A"/>
    <w:rsid w:val="00E2218B"/>
    <w:rsid w:val="00E223BA"/>
    <w:rsid w:val="00E228C0"/>
    <w:rsid w:val="00E23EE8"/>
    <w:rsid w:val="00E259B2"/>
    <w:rsid w:val="00E263D5"/>
    <w:rsid w:val="00E32B17"/>
    <w:rsid w:val="00E336BE"/>
    <w:rsid w:val="00E358A9"/>
    <w:rsid w:val="00E37D2A"/>
    <w:rsid w:val="00E401FC"/>
    <w:rsid w:val="00E41A02"/>
    <w:rsid w:val="00E44273"/>
    <w:rsid w:val="00E44B23"/>
    <w:rsid w:val="00E45503"/>
    <w:rsid w:val="00E515CF"/>
    <w:rsid w:val="00E51714"/>
    <w:rsid w:val="00E545DC"/>
    <w:rsid w:val="00E55B73"/>
    <w:rsid w:val="00E562D7"/>
    <w:rsid w:val="00E6089F"/>
    <w:rsid w:val="00E61AC5"/>
    <w:rsid w:val="00E64072"/>
    <w:rsid w:val="00E65F3F"/>
    <w:rsid w:val="00E66DAA"/>
    <w:rsid w:val="00E673DE"/>
    <w:rsid w:val="00E710BD"/>
    <w:rsid w:val="00E72986"/>
    <w:rsid w:val="00E74E52"/>
    <w:rsid w:val="00E7619C"/>
    <w:rsid w:val="00E77C12"/>
    <w:rsid w:val="00E820E1"/>
    <w:rsid w:val="00E830F9"/>
    <w:rsid w:val="00E83541"/>
    <w:rsid w:val="00E83839"/>
    <w:rsid w:val="00E83B81"/>
    <w:rsid w:val="00E84F91"/>
    <w:rsid w:val="00E85937"/>
    <w:rsid w:val="00E8696F"/>
    <w:rsid w:val="00E92354"/>
    <w:rsid w:val="00E93E63"/>
    <w:rsid w:val="00E95F9C"/>
    <w:rsid w:val="00E961D7"/>
    <w:rsid w:val="00E966BB"/>
    <w:rsid w:val="00E96E1E"/>
    <w:rsid w:val="00EA00D1"/>
    <w:rsid w:val="00EA0674"/>
    <w:rsid w:val="00EA07B3"/>
    <w:rsid w:val="00EA0902"/>
    <w:rsid w:val="00EA12DD"/>
    <w:rsid w:val="00EA480F"/>
    <w:rsid w:val="00EA50A9"/>
    <w:rsid w:val="00EA56E0"/>
    <w:rsid w:val="00EA5E3A"/>
    <w:rsid w:val="00EA7524"/>
    <w:rsid w:val="00EB49A5"/>
    <w:rsid w:val="00EB546A"/>
    <w:rsid w:val="00EB5679"/>
    <w:rsid w:val="00EB5C4E"/>
    <w:rsid w:val="00EB7221"/>
    <w:rsid w:val="00EB7969"/>
    <w:rsid w:val="00EC0AC5"/>
    <w:rsid w:val="00EC553B"/>
    <w:rsid w:val="00EC6412"/>
    <w:rsid w:val="00EC6460"/>
    <w:rsid w:val="00EC6D33"/>
    <w:rsid w:val="00ED27D1"/>
    <w:rsid w:val="00ED3413"/>
    <w:rsid w:val="00ED5CE5"/>
    <w:rsid w:val="00ED6B40"/>
    <w:rsid w:val="00ED7592"/>
    <w:rsid w:val="00EE23F0"/>
    <w:rsid w:val="00EE3379"/>
    <w:rsid w:val="00EE3748"/>
    <w:rsid w:val="00EE6F99"/>
    <w:rsid w:val="00EE736E"/>
    <w:rsid w:val="00EF028A"/>
    <w:rsid w:val="00EF0320"/>
    <w:rsid w:val="00EF07FB"/>
    <w:rsid w:val="00EF2675"/>
    <w:rsid w:val="00EF2A91"/>
    <w:rsid w:val="00EF3EAD"/>
    <w:rsid w:val="00EF6692"/>
    <w:rsid w:val="00EF6B18"/>
    <w:rsid w:val="00EF704F"/>
    <w:rsid w:val="00F00B74"/>
    <w:rsid w:val="00F026CE"/>
    <w:rsid w:val="00F03FDB"/>
    <w:rsid w:val="00F0456C"/>
    <w:rsid w:val="00F0457E"/>
    <w:rsid w:val="00F04B16"/>
    <w:rsid w:val="00F07DDA"/>
    <w:rsid w:val="00F10BFD"/>
    <w:rsid w:val="00F12A64"/>
    <w:rsid w:val="00F132B6"/>
    <w:rsid w:val="00F137AF"/>
    <w:rsid w:val="00F152BC"/>
    <w:rsid w:val="00F17928"/>
    <w:rsid w:val="00F17C0F"/>
    <w:rsid w:val="00F22A11"/>
    <w:rsid w:val="00F22F51"/>
    <w:rsid w:val="00F233E9"/>
    <w:rsid w:val="00F2563B"/>
    <w:rsid w:val="00F275D5"/>
    <w:rsid w:val="00F30BDE"/>
    <w:rsid w:val="00F34E62"/>
    <w:rsid w:val="00F4072E"/>
    <w:rsid w:val="00F507DD"/>
    <w:rsid w:val="00F50A2F"/>
    <w:rsid w:val="00F523D9"/>
    <w:rsid w:val="00F52683"/>
    <w:rsid w:val="00F5368B"/>
    <w:rsid w:val="00F5420F"/>
    <w:rsid w:val="00F570A0"/>
    <w:rsid w:val="00F627F5"/>
    <w:rsid w:val="00F63045"/>
    <w:rsid w:val="00F64BA9"/>
    <w:rsid w:val="00F65192"/>
    <w:rsid w:val="00F6616F"/>
    <w:rsid w:val="00F73068"/>
    <w:rsid w:val="00F73963"/>
    <w:rsid w:val="00F76E59"/>
    <w:rsid w:val="00F822B3"/>
    <w:rsid w:val="00F830F1"/>
    <w:rsid w:val="00F8338F"/>
    <w:rsid w:val="00F840AB"/>
    <w:rsid w:val="00F84744"/>
    <w:rsid w:val="00F86885"/>
    <w:rsid w:val="00F9063E"/>
    <w:rsid w:val="00F95653"/>
    <w:rsid w:val="00F95D1F"/>
    <w:rsid w:val="00F96AF1"/>
    <w:rsid w:val="00F97315"/>
    <w:rsid w:val="00FA0FF4"/>
    <w:rsid w:val="00FA342A"/>
    <w:rsid w:val="00FA60B4"/>
    <w:rsid w:val="00FB093D"/>
    <w:rsid w:val="00FB1EDD"/>
    <w:rsid w:val="00FB1FDF"/>
    <w:rsid w:val="00FC3509"/>
    <w:rsid w:val="00FC6983"/>
    <w:rsid w:val="00FD08DD"/>
    <w:rsid w:val="00FD106F"/>
    <w:rsid w:val="00FD1A7C"/>
    <w:rsid w:val="00FD3135"/>
    <w:rsid w:val="00FE04E3"/>
    <w:rsid w:val="00FE1834"/>
    <w:rsid w:val="00FE2DBB"/>
    <w:rsid w:val="00FE3C5D"/>
    <w:rsid w:val="00FE4454"/>
    <w:rsid w:val="00FE7937"/>
    <w:rsid w:val="00FF2E5F"/>
    <w:rsid w:val="00FF2FE8"/>
    <w:rsid w:val="00FF451E"/>
    <w:rsid w:val="00FF4F17"/>
    <w:rsid w:val="00FF79AD"/>
    <w:rsid w:val="00FF7BCA"/>
    <w:rsid w:val="00FF7D61"/>
    <w:rsid w:val="00FF7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0D51"/>
    <w:rPr>
      <w:color w:val="0000FF"/>
      <w:u w:val="single"/>
    </w:rPr>
  </w:style>
  <w:style w:type="paragraph" w:styleId="BalloonText">
    <w:name w:val="Balloon Text"/>
    <w:basedOn w:val="Normal"/>
    <w:link w:val="BalloonTextChar"/>
    <w:rsid w:val="00983CF6"/>
    <w:rPr>
      <w:rFonts w:ascii="Tahoma" w:hAnsi="Tahoma" w:cs="Tahoma"/>
      <w:sz w:val="16"/>
      <w:szCs w:val="16"/>
    </w:rPr>
  </w:style>
  <w:style w:type="character" w:customStyle="1" w:styleId="BalloonTextChar">
    <w:name w:val="Balloon Text Char"/>
    <w:link w:val="BalloonText"/>
    <w:rsid w:val="00983CF6"/>
    <w:rPr>
      <w:rFonts w:ascii="Tahoma" w:hAnsi="Tahoma" w:cs="Tahoma"/>
      <w:sz w:val="16"/>
      <w:szCs w:val="16"/>
    </w:rPr>
  </w:style>
  <w:style w:type="paragraph" w:styleId="NormalWeb">
    <w:name w:val="Normal (Web)"/>
    <w:basedOn w:val="Normal"/>
    <w:uiPriority w:val="99"/>
    <w:unhideWhenUsed/>
    <w:rsid w:val="00636AAE"/>
    <w:pPr>
      <w:spacing w:before="100" w:beforeAutospacing="1" w:after="100" w:afterAutospacing="1"/>
    </w:pPr>
  </w:style>
  <w:style w:type="character" w:styleId="CommentReference">
    <w:name w:val="annotation reference"/>
    <w:rsid w:val="00F275D5"/>
    <w:rPr>
      <w:sz w:val="16"/>
      <w:szCs w:val="16"/>
    </w:rPr>
  </w:style>
  <w:style w:type="paragraph" w:styleId="CommentText">
    <w:name w:val="annotation text"/>
    <w:basedOn w:val="Normal"/>
    <w:link w:val="CommentTextChar"/>
    <w:rsid w:val="00F275D5"/>
    <w:rPr>
      <w:sz w:val="20"/>
      <w:szCs w:val="20"/>
    </w:rPr>
  </w:style>
  <w:style w:type="character" w:customStyle="1" w:styleId="CommentTextChar">
    <w:name w:val="Comment Text Char"/>
    <w:basedOn w:val="DefaultParagraphFont"/>
    <w:link w:val="CommentText"/>
    <w:rsid w:val="00F275D5"/>
  </w:style>
  <w:style w:type="paragraph" w:styleId="CommentSubject">
    <w:name w:val="annotation subject"/>
    <w:basedOn w:val="CommentText"/>
    <w:next w:val="CommentText"/>
    <w:link w:val="CommentSubjectChar"/>
    <w:rsid w:val="00F275D5"/>
    <w:rPr>
      <w:b/>
      <w:bCs/>
    </w:rPr>
  </w:style>
  <w:style w:type="character" w:customStyle="1" w:styleId="CommentSubjectChar">
    <w:name w:val="Comment Subject Char"/>
    <w:link w:val="CommentSubject"/>
    <w:rsid w:val="00F275D5"/>
    <w:rPr>
      <w:b/>
      <w:bCs/>
    </w:rPr>
  </w:style>
  <w:style w:type="paragraph" w:styleId="Revision">
    <w:name w:val="Revision"/>
    <w:hidden/>
    <w:uiPriority w:val="99"/>
    <w:semiHidden/>
    <w:rsid w:val="00780C32"/>
    <w:rPr>
      <w:sz w:val="24"/>
      <w:szCs w:val="24"/>
    </w:rPr>
  </w:style>
  <w:style w:type="paragraph" w:styleId="ListParagraph">
    <w:name w:val="List Paragraph"/>
    <w:basedOn w:val="Normal"/>
    <w:uiPriority w:val="34"/>
    <w:qFormat/>
    <w:rsid w:val="006C4D6E"/>
    <w:pPr>
      <w:ind w:left="720"/>
    </w:pPr>
  </w:style>
  <w:style w:type="paragraph" w:styleId="FootnoteText">
    <w:name w:val="footnote text"/>
    <w:basedOn w:val="Normal"/>
    <w:link w:val="FootnoteTextChar"/>
    <w:unhideWhenUsed/>
    <w:rsid w:val="00EB49A5"/>
    <w:rPr>
      <w:rFonts w:eastAsia="Calibri"/>
      <w:sz w:val="20"/>
      <w:szCs w:val="20"/>
    </w:rPr>
  </w:style>
  <w:style w:type="character" w:customStyle="1" w:styleId="FootnoteTextChar">
    <w:name w:val="Footnote Text Char"/>
    <w:basedOn w:val="DefaultParagraphFont"/>
    <w:link w:val="FootnoteText"/>
    <w:rsid w:val="00EB49A5"/>
    <w:rPr>
      <w:rFonts w:eastAsia="Calibri"/>
    </w:rPr>
  </w:style>
  <w:style w:type="character" w:styleId="FootnoteReference">
    <w:name w:val="footnote reference"/>
    <w:unhideWhenUsed/>
    <w:rsid w:val="00EB49A5"/>
    <w:rPr>
      <w:vertAlign w:val="superscript"/>
    </w:rPr>
  </w:style>
  <w:style w:type="paragraph" w:styleId="Header">
    <w:name w:val="header"/>
    <w:basedOn w:val="Normal"/>
    <w:link w:val="HeaderChar"/>
    <w:rsid w:val="00045831"/>
    <w:pPr>
      <w:tabs>
        <w:tab w:val="center" w:pos="4513"/>
        <w:tab w:val="right" w:pos="9026"/>
      </w:tabs>
    </w:pPr>
  </w:style>
  <w:style w:type="character" w:customStyle="1" w:styleId="HeaderChar">
    <w:name w:val="Header Char"/>
    <w:basedOn w:val="DefaultParagraphFont"/>
    <w:link w:val="Header"/>
    <w:rsid w:val="00045831"/>
    <w:rPr>
      <w:sz w:val="24"/>
      <w:szCs w:val="24"/>
    </w:rPr>
  </w:style>
  <w:style w:type="paragraph" w:styleId="Footer">
    <w:name w:val="footer"/>
    <w:basedOn w:val="Normal"/>
    <w:link w:val="FooterChar"/>
    <w:uiPriority w:val="99"/>
    <w:rsid w:val="00045831"/>
    <w:pPr>
      <w:tabs>
        <w:tab w:val="center" w:pos="4513"/>
        <w:tab w:val="right" w:pos="9026"/>
      </w:tabs>
    </w:pPr>
  </w:style>
  <w:style w:type="character" w:customStyle="1" w:styleId="FooterChar">
    <w:name w:val="Footer Char"/>
    <w:basedOn w:val="DefaultParagraphFont"/>
    <w:link w:val="Footer"/>
    <w:uiPriority w:val="99"/>
    <w:rsid w:val="000458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0D51"/>
    <w:rPr>
      <w:color w:val="0000FF"/>
      <w:u w:val="single"/>
    </w:rPr>
  </w:style>
  <w:style w:type="paragraph" w:styleId="BalloonText">
    <w:name w:val="Balloon Text"/>
    <w:basedOn w:val="Normal"/>
    <w:link w:val="BalloonTextChar"/>
    <w:rsid w:val="00983CF6"/>
    <w:rPr>
      <w:rFonts w:ascii="Tahoma" w:hAnsi="Tahoma" w:cs="Tahoma"/>
      <w:sz w:val="16"/>
      <w:szCs w:val="16"/>
    </w:rPr>
  </w:style>
  <w:style w:type="character" w:customStyle="1" w:styleId="BalloonTextChar">
    <w:name w:val="Balloon Text Char"/>
    <w:link w:val="BalloonText"/>
    <w:rsid w:val="00983CF6"/>
    <w:rPr>
      <w:rFonts w:ascii="Tahoma" w:hAnsi="Tahoma" w:cs="Tahoma"/>
      <w:sz w:val="16"/>
      <w:szCs w:val="16"/>
    </w:rPr>
  </w:style>
  <w:style w:type="paragraph" w:styleId="NormalWeb">
    <w:name w:val="Normal (Web)"/>
    <w:basedOn w:val="Normal"/>
    <w:uiPriority w:val="99"/>
    <w:unhideWhenUsed/>
    <w:rsid w:val="00636AAE"/>
    <w:pPr>
      <w:spacing w:before="100" w:beforeAutospacing="1" w:after="100" w:afterAutospacing="1"/>
    </w:pPr>
  </w:style>
  <w:style w:type="character" w:styleId="CommentReference">
    <w:name w:val="annotation reference"/>
    <w:rsid w:val="00F275D5"/>
    <w:rPr>
      <w:sz w:val="16"/>
      <w:szCs w:val="16"/>
    </w:rPr>
  </w:style>
  <w:style w:type="paragraph" w:styleId="CommentText">
    <w:name w:val="annotation text"/>
    <w:basedOn w:val="Normal"/>
    <w:link w:val="CommentTextChar"/>
    <w:rsid w:val="00F275D5"/>
    <w:rPr>
      <w:sz w:val="20"/>
      <w:szCs w:val="20"/>
    </w:rPr>
  </w:style>
  <w:style w:type="character" w:customStyle="1" w:styleId="CommentTextChar">
    <w:name w:val="Comment Text Char"/>
    <w:basedOn w:val="DefaultParagraphFont"/>
    <w:link w:val="CommentText"/>
    <w:rsid w:val="00F275D5"/>
  </w:style>
  <w:style w:type="paragraph" w:styleId="CommentSubject">
    <w:name w:val="annotation subject"/>
    <w:basedOn w:val="CommentText"/>
    <w:next w:val="CommentText"/>
    <w:link w:val="CommentSubjectChar"/>
    <w:rsid w:val="00F275D5"/>
    <w:rPr>
      <w:b/>
      <w:bCs/>
    </w:rPr>
  </w:style>
  <w:style w:type="character" w:customStyle="1" w:styleId="CommentSubjectChar">
    <w:name w:val="Comment Subject Char"/>
    <w:link w:val="CommentSubject"/>
    <w:rsid w:val="00F275D5"/>
    <w:rPr>
      <w:b/>
      <w:bCs/>
    </w:rPr>
  </w:style>
  <w:style w:type="paragraph" w:styleId="Revision">
    <w:name w:val="Revision"/>
    <w:hidden/>
    <w:uiPriority w:val="99"/>
    <w:semiHidden/>
    <w:rsid w:val="00780C32"/>
    <w:rPr>
      <w:sz w:val="24"/>
      <w:szCs w:val="24"/>
    </w:rPr>
  </w:style>
  <w:style w:type="paragraph" w:styleId="ListParagraph">
    <w:name w:val="List Paragraph"/>
    <w:basedOn w:val="Normal"/>
    <w:uiPriority w:val="34"/>
    <w:qFormat/>
    <w:rsid w:val="006C4D6E"/>
    <w:pPr>
      <w:ind w:left="720"/>
    </w:pPr>
  </w:style>
  <w:style w:type="paragraph" w:styleId="FootnoteText">
    <w:name w:val="footnote text"/>
    <w:basedOn w:val="Normal"/>
    <w:link w:val="FootnoteTextChar"/>
    <w:unhideWhenUsed/>
    <w:rsid w:val="00EB49A5"/>
    <w:rPr>
      <w:rFonts w:eastAsia="Calibri"/>
      <w:sz w:val="20"/>
      <w:szCs w:val="20"/>
    </w:rPr>
  </w:style>
  <w:style w:type="character" w:customStyle="1" w:styleId="FootnoteTextChar">
    <w:name w:val="Footnote Text Char"/>
    <w:basedOn w:val="DefaultParagraphFont"/>
    <w:link w:val="FootnoteText"/>
    <w:rsid w:val="00EB49A5"/>
    <w:rPr>
      <w:rFonts w:eastAsia="Calibri"/>
    </w:rPr>
  </w:style>
  <w:style w:type="character" w:styleId="FootnoteReference">
    <w:name w:val="footnote reference"/>
    <w:unhideWhenUsed/>
    <w:rsid w:val="00EB49A5"/>
    <w:rPr>
      <w:vertAlign w:val="superscript"/>
    </w:rPr>
  </w:style>
  <w:style w:type="paragraph" w:styleId="Header">
    <w:name w:val="header"/>
    <w:basedOn w:val="Normal"/>
    <w:link w:val="HeaderChar"/>
    <w:rsid w:val="00045831"/>
    <w:pPr>
      <w:tabs>
        <w:tab w:val="center" w:pos="4513"/>
        <w:tab w:val="right" w:pos="9026"/>
      </w:tabs>
    </w:pPr>
  </w:style>
  <w:style w:type="character" w:customStyle="1" w:styleId="HeaderChar">
    <w:name w:val="Header Char"/>
    <w:basedOn w:val="DefaultParagraphFont"/>
    <w:link w:val="Header"/>
    <w:rsid w:val="00045831"/>
    <w:rPr>
      <w:sz w:val="24"/>
      <w:szCs w:val="24"/>
    </w:rPr>
  </w:style>
  <w:style w:type="paragraph" w:styleId="Footer">
    <w:name w:val="footer"/>
    <w:basedOn w:val="Normal"/>
    <w:link w:val="FooterChar"/>
    <w:uiPriority w:val="99"/>
    <w:rsid w:val="00045831"/>
    <w:pPr>
      <w:tabs>
        <w:tab w:val="center" w:pos="4513"/>
        <w:tab w:val="right" w:pos="9026"/>
      </w:tabs>
    </w:pPr>
  </w:style>
  <w:style w:type="character" w:customStyle="1" w:styleId="FooterChar">
    <w:name w:val="Footer Char"/>
    <w:basedOn w:val="DefaultParagraphFont"/>
    <w:link w:val="Footer"/>
    <w:uiPriority w:val="99"/>
    <w:rsid w:val="000458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8530">
      <w:bodyDiv w:val="1"/>
      <w:marLeft w:val="0"/>
      <w:marRight w:val="0"/>
      <w:marTop w:val="0"/>
      <w:marBottom w:val="0"/>
      <w:divBdr>
        <w:top w:val="none" w:sz="0" w:space="0" w:color="auto"/>
        <w:left w:val="none" w:sz="0" w:space="0" w:color="auto"/>
        <w:bottom w:val="none" w:sz="0" w:space="0" w:color="auto"/>
        <w:right w:val="none" w:sz="0" w:space="0" w:color="auto"/>
      </w:divBdr>
    </w:div>
    <w:div w:id="1871839797">
      <w:bodyDiv w:val="1"/>
      <w:marLeft w:val="0"/>
      <w:marRight w:val="0"/>
      <w:marTop w:val="0"/>
      <w:marBottom w:val="0"/>
      <w:divBdr>
        <w:top w:val="none" w:sz="0" w:space="0" w:color="auto"/>
        <w:left w:val="none" w:sz="0" w:space="0" w:color="auto"/>
        <w:bottom w:val="none" w:sz="0" w:space="0" w:color="auto"/>
        <w:right w:val="none" w:sz="0" w:space="0" w:color="auto"/>
      </w:divBdr>
    </w:div>
    <w:div w:id="2134981578">
      <w:bodyDiv w:val="1"/>
      <w:marLeft w:val="0"/>
      <w:marRight w:val="0"/>
      <w:marTop w:val="0"/>
      <w:marBottom w:val="0"/>
      <w:divBdr>
        <w:top w:val="none" w:sz="0" w:space="0" w:color="auto"/>
        <w:left w:val="none" w:sz="0" w:space="0" w:color="auto"/>
        <w:bottom w:val="none" w:sz="0" w:space="0" w:color="auto"/>
        <w:right w:val="none" w:sz="0" w:space="0" w:color="auto"/>
      </w:divBdr>
      <w:divsChild>
        <w:div w:id="1053231548">
          <w:marLeft w:val="0"/>
          <w:marRight w:val="0"/>
          <w:marTop w:val="0"/>
          <w:marBottom w:val="0"/>
          <w:divBdr>
            <w:top w:val="none" w:sz="0" w:space="0" w:color="auto"/>
            <w:left w:val="none" w:sz="0" w:space="0" w:color="auto"/>
            <w:bottom w:val="none" w:sz="0" w:space="0" w:color="auto"/>
            <w:right w:val="none" w:sz="0" w:space="0" w:color="auto"/>
          </w:divBdr>
          <w:divsChild>
            <w:div w:id="1920750469">
              <w:marLeft w:val="0"/>
              <w:marRight w:val="0"/>
              <w:marTop w:val="0"/>
              <w:marBottom w:val="0"/>
              <w:divBdr>
                <w:top w:val="none" w:sz="0" w:space="0" w:color="auto"/>
                <w:left w:val="none" w:sz="0" w:space="0" w:color="auto"/>
                <w:bottom w:val="none" w:sz="0" w:space="0" w:color="auto"/>
                <w:right w:val="none" w:sz="0" w:space="0" w:color="auto"/>
              </w:divBdr>
              <w:divsChild>
                <w:div w:id="909929619">
                  <w:marLeft w:val="0"/>
                  <w:marRight w:val="0"/>
                  <w:marTop w:val="0"/>
                  <w:marBottom w:val="0"/>
                  <w:divBdr>
                    <w:top w:val="none" w:sz="0" w:space="0" w:color="auto"/>
                    <w:left w:val="none" w:sz="0" w:space="0" w:color="auto"/>
                    <w:bottom w:val="none" w:sz="0" w:space="0" w:color="auto"/>
                    <w:right w:val="none" w:sz="0" w:space="0" w:color="auto"/>
                  </w:divBdr>
                  <w:divsChild>
                    <w:div w:id="1882475406">
                      <w:marLeft w:val="0"/>
                      <w:marRight w:val="0"/>
                      <w:marTop w:val="0"/>
                      <w:marBottom w:val="0"/>
                      <w:divBdr>
                        <w:top w:val="none" w:sz="0" w:space="0" w:color="auto"/>
                        <w:left w:val="none" w:sz="0" w:space="0" w:color="auto"/>
                        <w:bottom w:val="none" w:sz="0" w:space="0" w:color="auto"/>
                        <w:right w:val="none" w:sz="0" w:space="0" w:color="auto"/>
                      </w:divBdr>
                      <w:divsChild>
                        <w:div w:id="1783264570">
                          <w:marLeft w:val="0"/>
                          <w:marRight w:val="0"/>
                          <w:marTop w:val="0"/>
                          <w:marBottom w:val="0"/>
                          <w:divBdr>
                            <w:top w:val="none" w:sz="0" w:space="0" w:color="auto"/>
                            <w:left w:val="none" w:sz="0" w:space="0" w:color="auto"/>
                            <w:bottom w:val="none" w:sz="0" w:space="0" w:color="auto"/>
                            <w:right w:val="none" w:sz="0" w:space="0" w:color="auto"/>
                          </w:divBdr>
                          <w:divsChild>
                            <w:div w:id="1093086687">
                              <w:marLeft w:val="0"/>
                              <w:marRight w:val="0"/>
                              <w:marTop w:val="0"/>
                              <w:marBottom w:val="0"/>
                              <w:divBdr>
                                <w:top w:val="none" w:sz="0" w:space="0" w:color="auto"/>
                                <w:left w:val="none" w:sz="0" w:space="0" w:color="auto"/>
                                <w:bottom w:val="none" w:sz="0" w:space="0" w:color="auto"/>
                                <w:right w:val="none" w:sz="0" w:space="0" w:color="auto"/>
                              </w:divBdr>
                              <w:divsChild>
                                <w:div w:id="568224380">
                                  <w:marLeft w:val="0"/>
                                  <w:marRight w:val="0"/>
                                  <w:marTop w:val="0"/>
                                  <w:marBottom w:val="0"/>
                                  <w:divBdr>
                                    <w:top w:val="none" w:sz="0" w:space="0" w:color="auto"/>
                                    <w:left w:val="none" w:sz="0" w:space="0" w:color="auto"/>
                                    <w:bottom w:val="none" w:sz="0" w:space="0" w:color="auto"/>
                                    <w:right w:val="none" w:sz="0" w:space="0" w:color="auto"/>
                                  </w:divBdr>
                                  <w:divsChild>
                                    <w:div w:id="5394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0F5A-451F-4F30-9A20-7E5E06A8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3737</Words>
  <Characters>19695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COMCARE</Company>
  <LinksUpToDate>false</LinksUpToDate>
  <CharactersWithSpaces>23386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whitcombe.ken</dc:creator>
  <cp:lastModifiedBy>Bronwyn Meredith</cp:lastModifiedBy>
  <cp:revision>2</cp:revision>
  <cp:lastPrinted>2014-10-28T06:26:00Z</cp:lastPrinted>
  <dcterms:created xsi:type="dcterms:W3CDTF">2014-11-10T22:21:00Z</dcterms:created>
  <dcterms:modified xsi:type="dcterms:W3CDTF">2014-11-10T22:21:00Z</dcterms:modified>
</cp:coreProperties>
</file>