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A045C" w14:textId="77777777" w:rsidR="00F109D4" w:rsidRPr="00503E44" w:rsidRDefault="00F109D4" w:rsidP="00A0616B">
      <w:pPr>
        <w:pStyle w:val="Heading1"/>
      </w:pPr>
      <w:r w:rsidRPr="00503E44">
        <w:t>EXPLANATORY STATEMENT</w:t>
      </w:r>
    </w:p>
    <w:p w14:paraId="0979D303" w14:textId="2FD2F2AB" w:rsidR="006D4499" w:rsidRDefault="006D4499" w:rsidP="006D4499">
      <w:pPr>
        <w:pStyle w:val="Heading1"/>
      </w:pPr>
      <w:r>
        <w:t>SELECT LEGISLATIVE INSTRUMENT NO. 17</w:t>
      </w:r>
      <w:r>
        <w:t>6</w:t>
      </w:r>
      <w:r>
        <w:t>, 2014</w:t>
      </w:r>
    </w:p>
    <w:p w14:paraId="64BA045E" w14:textId="5AFD9E03" w:rsidR="00F109D4" w:rsidRPr="00503E44" w:rsidRDefault="00F109D4" w:rsidP="00A0616B">
      <w:pPr>
        <w:pStyle w:val="Heading2"/>
        <w:jc w:val="center"/>
      </w:pPr>
      <w:r w:rsidRPr="00503E44">
        <w:t xml:space="preserve">Issued by authority of the </w:t>
      </w:r>
      <w:r w:rsidR="00946ED1">
        <w:t>Treasurer</w:t>
      </w:r>
    </w:p>
    <w:p w14:paraId="64BA045F" w14:textId="77777777" w:rsidR="00F109D4" w:rsidRDefault="00946ED1">
      <w:pPr>
        <w:jc w:val="center"/>
        <w:rPr>
          <w:i/>
        </w:rPr>
      </w:pPr>
      <w:r>
        <w:rPr>
          <w:i/>
        </w:rPr>
        <w:t>Taxation Administration Act 1953</w:t>
      </w:r>
    </w:p>
    <w:p w14:paraId="238D69E3" w14:textId="09D176AB" w:rsidR="00D6061C" w:rsidRPr="00503E44" w:rsidRDefault="00D6061C">
      <w:pPr>
        <w:jc w:val="center"/>
        <w:rPr>
          <w:i/>
        </w:rPr>
      </w:pPr>
      <w:r>
        <w:rPr>
          <w:i/>
        </w:rPr>
        <w:t>Income Tax Assessment Act 1936</w:t>
      </w:r>
    </w:p>
    <w:p w14:paraId="57C19FCE" w14:textId="77777777" w:rsidR="00D6061C" w:rsidRDefault="00D6061C" w:rsidP="00D6061C">
      <w:pPr>
        <w:spacing w:before="0" w:after="0"/>
        <w:jc w:val="center"/>
        <w:rPr>
          <w:i/>
        </w:rPr>
      </w:pPr>
      <w:r w:rsidRPr="005B1DE7">
        <w:rPr>
          <w:i/>
        </w:rPr>
        <w:t>Tax and Superannuation Laws A</w:t>
      </w:r>
      <w:r>
        <w:rPr>
          <w:i/>
        </w:rPr>
        <w:t xml:space="preserve">mendment (2014 Measures No. 3) </w:t>
      </w:r>
      <w:r w:rsidRPr="005B1DE7">
        <w:rPr>
          <w:i/>
        </w:rPr>
        <w:t>Regulation 2014</w:t>
      </w:r>
    </w:p>
    <w:p w14:paraId="4F57A8C9" w14:textId="77777777" w:rsidR="00D6061C" w:rsidRDefault="00D6061C" w:rsidP="00D6061C">
      <w:pPr>
        <w:spacing w:before="0" w:after="0"/>
        <w:rPr>
          <w:i/>
        </w:rPr>
      </w:pPr>
    </w:p>
    <w:p w14:paraId="64BA0461" w14:textId="39DC0FDF" w:rsidR="00F109D4" w:rsidRDefault="00D6061C" w:rsidP="00D6061C">
      <w:pPr>
        <w:spacing w:before="0" w:after="0"/>
      </w:pPr>
      <w:r w:rsidRPr="00D6061C">
        <w:t xml:space="preserve">Section 18 of the </w:t>
      </w:r>
      <w:r w:rsidRPr="00D6061C">
        <w:rPr>
          <w:i/>
        </w:rPr>
        <w:t>Taxation Administration Act 1953</w:t>
      </w:r>
      <w:r w:rsidRPr="00D6061C">
        <w:t xml:space="preserve"> (</w:t>
      </w:r>
      <w:proofErr w:type="spellStart"/>
      <w:r w:rsidRPr="00D6061C">
        <w:t>TAA</w:t>
      </w:r>
      <w:proofErr w:type="spellEnd"/>
      <w:r w:rsidRPr="00D6061C">
        <w:t xml:space="preserve"> 1953) and section 266 of the </w:t>
      </w:r>
      <w:r w:rsidRPr="00D6061C">
        <w:rPr>
          <w:i/>
        </w:rPr>
        <w:t>Income Tax Assessment Act 1936</w:t>
      </w:r>
      <w:r w:rsidRPr="00D6061C">
        <w:t xml:space="preserve"> (</w:t>
      </w:r>
      <w:proofErr w:type="spellStart"/>
      <w:r w:rsidRPr="00D6061C">
        <w:t>ITAA</w:t>
      </w:r>
      <w:proofErr w:type="spellEnd"/>
      <w:r w:rsidRPr="00D6061C">
        <w:t xml:space="preserve"> 1936)</w:t>
      </w:r>
      <w:r>
        <w:t xml:space="preserve"> each provide that the Governor</w:t>
      </w:r>
      <w:r>
        <w:noBreakHyphen/>
      </w:r>
      <w:r w:rsidRPr="00D6061C">
        <w:t>General may make regulations prescribing matters required or permitted by the relevant Act to be prescribed, or necessary or convenient to be prescribed for carrying out or giving effect to the relevant Act.</w:t>
      </w:r>
    </w:p>
    <w:p w14:paraId="4E53110E" w14:textId="31135DD7" w:rsidR="00244E8E" w:rsidRPr="00244E8E" w:rsidRDefault="00BF3CC6">
      <w:pPr>
        <w:rPr>
          <w:i/>
        </w:rPr>
      </w:pPr>
      <w:r>
        <w:rPr>
          <w:i/>
        </w:rPr>
        <w:t>Tax i</w:t>
      </w:r>
      <w:r w:rsidR="00244E8E" w:rsidRPr="00244E8E">
        <w:rPr>
          <w:i/>
        </w:rPr>
        <w:t>nformation sharing and taskforces</w:t>
      </w:r>
    </w:p>
    <w:p w14:paraId="64BA0462" w14:textId="367EB8CE" w:rsidR="00946ED1" w:rsidRPr="00946ED1" w:rsidRDefault="00946ED1">
      <w:r>
        <w:t>The</w:t>
      </w:r>
      <w:r w:rsidR="00372433">
        <w:t xml:space="preserve"> </w:t>
      </w:r>
      <w:r w:rsidR="00D6061C" w:rsidRPr="00D6061C">
        <w:rPr>
          <w:i/>
        </w:rPr>
        <w:t xml:space="preserve">Tax and Superannuation Laws Amendment (2014 Measures No. 3) Regulation 2014 </w:t>
      </w:r>
      <w:r w:rsidR="00B872AF">
        <w:t xml:space="preserve">(Regulation) </w:t>
      </w:r>
      <w:r w:rsidR="00B912B1">
        <w:t>amends</w:t>
      </w:r>
      <w:r>
        <w:t xml:space="preserve"> the </w:t>
      </w:r>
      <w:r>
        <w:rPr>
          <w:i/>
        </w:rPr>
        <w:t>Taxation Administration Regulations 1976</w:t>
      </w:r>
      <w:r>
        <w:t xml:space="preserve"> (</w:t>
      </w:r>
      <w:r w:rsidR="00D6061C">
        <w:t>TAR 1976</w:t>
      </w:r>
      <w:r>
        <w:t xml:space="preserve">) </w:t>
      </w:r>
      <w:r w:rsidR="00B912B1">
        <w:t xml:space="preserve">to </w:t>
      </w:r>
      <w:r w:rsidR="004E29CA">
        <w:t>allow for</w:t>
      </w:r>
      <w:r>
        <w:t xml:space="preserve"> the sharing of taxation information between the </w:t>
      </w:r>
      <w:r w:rsidR="006A3502" w:rsidRPr="00946ED1">
        <w:t>A</w:t>
      </w:r>
      <w:r w:rsidR="006A3502">
        <w:t xml:space="preserve">ustralian </w:t>
      </w:r>
      <w:r w:rsidR="006A3502" w:rsidRPr="00946ED1">
        <w:t>T</w:t>
      </w:r>
      <w:r w:rsidR="006A3502">
        <w:t>ax</w:t>
      </w:r>
      <w:r w:rsidR="00C95F08">
        <w:t>ation</w:t>
      </w:r>
      <w:r w:rsidR="006A3502">
        <w:t xml:space="preserve"> </w:t>
      </w:r>
      <w:r w:rsidR="006A3502" w:rsidRPr="00946ED1">
        <w:t>O</w:t>
      </w:r>
      <w:r w:rsidR="006A3502">
        <w:t xml:space="preserve">ffice (ATO) </w:t>
      </w:r>
      <w:r>
        <w:t xml:space="preserve">and other agencies for the purposes of investigations being carried out by the </w:t>
      </w:r>
      <w:r w:rsidR="005704AA" w:rsidRPr="000D4EC7">
        <w:t>Phoenix Taskforce</w:t>
      </w:r>
      <w:r w:rsidR="005704AA">
        <w:t xml:space="preserve"> </w:t>
      </w:r>
      <w:r w:rsidR="00EA744D">
        <w:t>and</w:t>
      </w:r>
      <w:r w:rsidR="004E29CA">
        <w:t xml:space="preserve"> the</w:t>
      </w:r>
      <w:r>
        <w:t xml:space="preserve"> Trusts Taskforce. </w:t>
      </w:r>
      <w:r w:rsidR="00FB7647">
        <w:t xml:space="preserve">This </w:t>
      </w:r>
      <w:r w:rsidR="004E29CA">
        <w:t>assist</w:t>
      </w:r>
      <w:r w:rsidR="00FB7647">
        <w:t>s</w:t>
      </w:r>
      <w:r w:rsidR="004E29CA">
        <w:t xml:space="preserve"> the taskforces in carrying out their </w:t>
      </w:r>
      <w:r w:rsidR="000D4EC7">
        <w:t>substantive purposes.</w:t>
      </w:r>
    </w:p>
    <w:p w14:paraId="64BA0463" w14:textId="0D821241" w:rsidR="00F109D4" w:rsidRDefault="00946ED1">
      <w:r w:rsidRPr="00946ED1">
        <w:t xml:space="preserve">In the 2013-14 Budget, the Government provided $67.9 million over four years to the </w:t>
      </w:r>
      <w:r w:rsidR="006A3502">
        <w:t xml:space="preserve">ATO </w:t>
      </w:r>
      <w:r>
        <w:t>to establish a Trusts Taskforce</w:t>
      </w:r>
      <w:r w:rsidRPr="00946ED1">
        <w:t xml:space="preserve"> to audit taxpayers who have been involved in tax avoidance and evasion using trust structures.  This measure requires collaboration between the ATO and other law enforcement agencies to ensure appropriate investigations into, and sometimes referral for criminal prosecution of, the most serious matters.</w:t>
      </w:r>
    </w:p>
    <w:p w14:paraId="64BA0464" w14:textId="151A6F4C" w:rsidR="000D4EC7" w:rsidRPr="000D4EC7" w:rsidRDefault="000D4EC7" w:rsidP="000D4EC7">
      <w:pPr>
        <w:spacing w:before="0" w:after="240"/>
      </w:pPr>
      <w:r w:rsidRPr="000D4EC7">
        <w:t>The</w:t>
      </w:r>
      <w:r w:rsidR="005704AA">
        <w:t xml:space="preserve"> Trusts</w:t>
      </w:r>
      <w:r w:rsidRPr="000D4EC7">
        <w:t xml:space="preserve"> Taskforce is </w:t>
      </w:r>
      <w:r w:rsidR="00EA744D">
        <w:t xml:space="preserve">currently </w:t>
      </w:r>
      <w:r w:rsidRPr="000D4EC7">
        <w:t>comp</w:t>
      </w:r>
      <w:r>
        <w:t>rised of the following agencies:</w:t>
      </w:r>
    </w:p>
    <w:tbl>
      <w:tblPr>
        <w:tblW w:w="5500" w:type="dxa"/>
        <w:jc w:val="center"/>
        <w:tblInd w:w="93" w:type="dxa"/>
        <w:tblLook w:val="04A0" w:firstRow="1" w:lastRow="0" w:firstColumn="1" w:lastColumn="0" w:noHBand="0" w:noVBand="1"/>
      </w:tblPr>
      <w:tblGrid>
        <w:gridCol w:w="5500"/>
      </w:tblGrid>
      <w:tr w:rsidR="005F5545" w:rsidRPr="000D4EC7" w14:paraId="64BA0466" w14:textId="77777777" w:rsidTr="005F5545">
        <w:trPr>
          <w:trHeight w:val="300"/>
          <w:jc w:val="center"/>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A0465" w14:textId="77777777" w:rsidR="005F5545" w:rsidRPr="00A0616B" w:rsidRDefault="005F5545" w:rsidP="000D4EC7">
            <w:pPr>
              <w:spacing w:before="0" w:after="0"/>
              <w:rPr>
                <w:color w:val="000000"/>
                <w:szCs w:val="24"/>
              </w:rPr>
            </w:pPr>
            <w:r w:rsidRPr="00A0616B">
              <w:rPr>
                <w:color w:val="000000"/>
                <w:szCs w:val="24"/>
              </w:rPr>
              <w:t>Australian Taxation Office (ATO)</w:t>
            </w:r>
          </w:p>
        </w:tc>
      </w:tr>
      <w:tr w:rsidR="005F5545" w:rsidRPr="000D4EC7" w14:paraId="64BA0468" w14:textId="77777777" w:rsidTr="005F5545">
        <w:trPr>
          <w:trHeight w:val="300"/>
          <w:jc w:val="center"/>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64BA0467" w14:textId="77777777" w:rsidR="005F5545" w:rsidRPr="00A0616B" w:rsidRDefault="005F5545" w:rsidP="000D4EC7">
            <w:pPr>
              <w:spacing w:before="0" w:after="0"/>
              <w:rPr>
                <w:color w:val="000000"/>
                <w:szCs w:val="24"/>
              </w:rPr>
            </w:pPr>
            <w:r w:rsidRPr="00A0616B">
              <w:rPr>
                <w:color w:val="000000"/>
                <w:szCs w:val="24"/>
              </w:rPr>
              <w:t>Australian Federal Police (AFP)</w:t>
            </w:r>
          </w:p>
        </w:tc>
      </w:tr>
      <w:tr w:rsidR="005F5545" w:rsidRPr="000D4EC7" w14:paraId="64BA046A" w14:textId="77777777" w:rsidTr="005F5545">
        <w:trPr>
          <w:trHeight w:val="300"/>
          <w:jc w:val="center"/>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64BA0469" w14:textId="77777777" w:rsidR="005F5545" w:rsidRPr="00A0616B" w:rsidRDefault="005F5545" w:rsidP="000D4EC7">
            <w:pPr>
              <w:spacing w:before="0" w:after="0"/>
              <w:rPr>
                <w:color w:val="000000"/>
                <w:szCs w:val="24"/>
              </w:rPr>
            </w:pPr>
            <w:r w:rsidRPr="00A0616B">
              <w:rPr>
                <w:color w:val="000000"/>
                <w:szCs w:val="24"/>
              </w:rPr>
              <w:t>Australian Crime Commission (</w:t>
            </w:r>
            <w:proofErr w:type="spellStart"/>
            <w:r w:rsidRPr="00A0616B">
              <w:rPr>
                <w:color w:val="000000"/>
                <w:szCs w:val="24"/>
              </w:rPr>
              <w:t>ACC</w:t>
            </w:r>
            <w:proofErr w:type="spellEnd"/>
            <w:r w:rsidRPr="00A0616B">
              <w:rPr>
                <w:color w:val="000000"/>
                <w:szCs w:val="24"/>
              </w:rPr>
              <w:t>)</w:t>
            </w:r>
          </w:p>
        </w:tc>
      </w:tr>
      <w:tr w:rsidR="005F5545" w:rsidRPr="000D4EC7" w14:paraId="64BA046C" w14:textId="77777777" w:rsidTr="005F5545">
        <w:trPr>
          <w:trHeight w:val="300"/>
          <w:jc w:val="center"/>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64BA046B" w14:textId="77777777" w:rsidR="005F5545" w:rsidRPr="00A0616B" w:rsidRDefault="005F5545" w:rsidP="000D4EC7">
            <w:pPr>
              <w:spacing w:before="0" w:after="0"/>
              <w:rPr>
                <w:color w:val="000000"/>
                <w:szCs w:val="24"/>
              </w:rPr>
            </w:pPr>
            <w:r w:rsidRPr="00A0616B">
              <w:rPr>
                <w:color w:val="000000"/>
                <w:szCs w:val="24"/>
              </w:rPr>
              <w:t>Director of Public Prosecutions (</w:t>
            </w:r>
            <w:proofErr w:type="spellStart"/>
            <w:r w:rsidRPr="00A0616B">
              <w:rPr>
                <w:color w:val="000000"/>
                <w:szCs w:val="24"/>
              </w:rPr>
              <w:t>DPP</w:t>
            </w:r>
            <w:proofErr w:type="spellEnd"/>
            <w:r w:rsidRPr="00A0616B">
              <w:rPr>
                <w:color w:val="000000"/>
                <w:szCs w:val="24"/>
              </w:rPr>
              <w:t>)</w:t>
            </w:r>
          </w:p>
        </w:tc>
      </w:tr>
      <w:tr w:rsidR="005F5545" w:rsidRPr="000D4EC7" w14:paraId="64BA046E" w14:textId="77777777" w:rsidTr="005F5545">
        <w:trPr>
          <w:trHeight w:val="300"/>
          <w:jc w:val="center"/>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64BA046D" w14:textId="435D6C67" w:rsidR="005F5545" w:rsidRPr="00A0616B" w:rsidRDefault="005F5545" w:rsidP="000D4EC7">
            <w:pPr>
              <w:spacing w:before="0" w:after="0"/>
              <w:rPr>
                <w:color w:val="000000"/>
                <w:szCs w:val="24"/>
              </w:rPr>
            </w:pPr>
            <w:r w:rsidRPr="00A0616B">
              <w:rPr>
                <w:color w:val="000000"/>
                <w:szCs w:val="24"/>
              </w:rPr>
              <w:t>Australian Securities and Investment</w:t>
            </w:r>
            <w:r w:rsidR="006A3502" w:rsidRPr="00A0616B">
              <w:rPr>
                <w:color w:val="000000"/>
                <w:szCs w:val="24"/>
              </w:rPr>
              <w:t>s</w:t>
            </w:r>
            <w:r w:rsidRPr="00A0616B">
              <w:rPr>
                <w:color w:val="000000"/>
                <w:szCs w:val="24"/>
              </w:rPr>
              <w:t xml:space="preserve"> Commission (ASIC) </w:t>
            </w:r>
          </w:p>
        </w:tc>
      </w:tr>
      <w:tr w:rsidR="005F5545" w:rsidRPr="000D4EC7" w14:paraId="64BA0470" w14:textId="77777777" w:rsidTr="005F5545">
        <w:trPr>
          <w:trHeight w:val="300"/>
          <w:jc w:val="center"/>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64BA046F" w14:textId="77777777" w:rsidR="005F5545" w:rsidRPr="00A0616B" w:rsidRDefault="005F5545" w:rsidP="000D4EC7">
            <w:pPr>
              <w:spacing w:before="0" w:after="0"/>
              <w:rPr>
                <w:color w:val="000000"/>
                <w:szCs w:val="24"/>
              </w:rPr>
            </w:pPr>
            <w:r w:rsidRPr="00A0616B">
              <w:rPr>
                <w:color w:val="000000"/>
                <w:szCs w:val="24"/>
              </w:rPr>
              <w:t>Australian Government Solicitor (AGS)</w:t>
            </w:r>
          </w:p>
        </w:tc>
      </w:tr>
      <w:tr w:rsidR="005F5545" w:rsidRPr="000D4EC7" w14:paraId="64BA0472" w14:textId="77777777" w:rsidTr="005F5545">
        <w:trPr>
          <w:trHeight w:val="300"/>
          <w:jc w:val="center"/>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64BA0471" w14:textId="51C6DE9B" w:rsidR="005F5545" w:rsidRPr="00A0616B" w:rsidRDefault="00C95F08" w:rsidP="000D4EC7">
            <w:pPr>
              <w:spacing w:before="0" w:after="0"/>
              <w:rPr>
                <w:color w:val="000000"/>
                <w:szCs w:val="24"/>
              </w:rPr>
            </w:pPr>
            <w:r>
              <w:rPr>
                <w:color w:val="000000"/>
                <w:szCs w:val="24"/>
              </w:rPr>
              <w:t>Attorney-</w:t>
            </w:r>
            <w:r w:rsidR="005F5545" w:rsidRPr="00A0616B">
              <w:rPr>
                <w:color w:val="000000"/>
                <w:szCs w:val="24"/>
              </w:rPr>
              <w:t>General's Department (AGD)</w:t>
            </w:r>
          </w:p>
        </w:tc>
      </w:tr>
      <w:tr w:rsidR="005F5545" w:rsidRPr="000D4EC7" w14:paraId="64BA0474" w14:textId="77777777" w:rsidTr="005F5545">
        <w:trPr>
          <w:trHeight w:val="300"/>
          <w:jc w:val="center"/>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64BA0473" w14:textId="77777777" w:rsidR="005F5545" w:rsidRPr="00A0616B" w:rsidRDefault="005F5545" w:rsidP="000D4EC7">
            <w:pPr>
              <w:spacing w:before="0" w:after="0"/>
              <w:rPr>
                <w:color w:val="000000"/>
                <w:szCs w:val="24"/>
              </w:rPr>
            </w:pPr>
            <w:r w:rsidRPr="00A0616B">
              <w:rPr>
                <w:color w:val="000000"/>
                <w:szCs w:val="24"/>
              </w:rPr>
              <w:t>AUSTRAC</w:t>
            </w:r>
          </w:p>
        </w:tc>
      </w:tr>
      <w:tr w:rsidR="005F5545" w:rsidRPr="000D4EC7" w14:paraId="64BA0476" w14:textId="77777777" w:rsidTr="005F5545">
        <w:trPr>
          <w:trHeight w:val="300"/>
          <w:jc w:val="center"/>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64BA0475" w14:textId="77777777" w:rsidR="005F5545" w:rsidRPr="00A0616B" w:rsidRDefault="005F5545" w:rsidP="000D4EC7">
            <w:pPr>
              <w:spacing w:before="0" w:after="0"/>
              <w:rPr>
                <w:color w:val="000000"/>
                <w:szCs w:val="24"/>
              </w:rPr>
            </w:pPr>
            <w:r w:rsidRPr="00A0616B">
              <w:rPr>
                <w:color w:val="000000"/>
                <w:szCs w:val="24"/>
              </w:rPr>
              <w:t>Australian Competition and Consumer Commission (</w:t>
            </w:r>
            <w:proofErr w:type="spellStart"/>
            <w:r w:rsidRPr="00A0616B">
              <w:rPr>
                <w:color w:val="000000"/>
                <w:szCs w:val="24"/>
              </w:rPr>
              <w:t>ACCC</w:t>
            </w:r>
            <w:proofErr w:type="spellEnd"/>
            <w:r w:rsidRPr="00A0616B">
              <w:rPr>
                <w:color w:val="000000"/>
                <w:szCs w:val="24"/>
              </w:rPr>
              <w:t>)</w:t>
            </w:r>
          </w:p>
        </w:tc>
      </w:tr>
      <w:tr w:rsidR="005F5545" w:rsidRPr="000D4EC7" w14:paraId="64BA0478" w14:textId="77777777" w:rsidTr="005F5545">
        <w:trPr>
          <w:trHeight w:val="300"/>
          <w:jc w:val="center"/>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64BA0477" w14:textId="77777777" w:rsidR="005F5545" w:rsidRPr="00A0616B" w:rsidRDefault="005F5545" w:rsidP="000D4EC7">
            <w:pPr>
              <w:spacing w:before="0" w:after="0"/>
              <w:rPr>
                <w:color w:val="000000"/>
                <w:szCs w:val="24"/>
              </w:rPr>
            </w:pPr>
            <w:r w:rsidRPr="00A0616B">
              <w:rPr>
                <w:color w:val="000000"/>
                <w:szCs w:val="24"/>
              </w:rPr>
              <w:t>Australian Business Register (</w:t>
            </w:r>
            <w:proofErr w:type="spellStart"/>
            <w:r w:rsidRPr="00A0616B">
              <w:rPr>
                <w:color w:val="000000"/>
                <w:szCs w:val="24"/>
              </w:rPr>
              <w:t>ABR</w:t>
            </w:r>
            <w:proofErr w:type="spellEnd"/>
            <w:r w:rsidRPr="00A0616B">
              <w:rPr>
                <w:color w:val="000000"/>
                <w:szCs w:val="24"/>
              </w:rPr>
              <w:t>)</w:t>
            </w:r>
          </w:p>
        </w:tc>
      </w:tr>
      <w:tr w:rsidR="005F5545" w:rsidRPr="000D4EC7" w14:paraId="64BA047A" w14:textId="77777777" w:rsidTr="005F5545">
        <w:trPr>
          <w:trHeight w:val="300"/>
          <w:jc w:val="center"/>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64BA0479" w14:textId="77777777" w:rsidR="005F5545" w:rsidRPr="00A0616B" w:rsidRDefault="005F5545" w:rsidP="000D4EC7">
            <w:pPr>
              <w:spacing w:before="0" w:after="0"/>
              <w:rPr>
                <w:color w:val="000000"/>
                <w:szCs w:val="24"/>
              </w:rPr>
            </w:pPr>
            <w:r w:rsidRPr="00A0616B">
              <w:rPr>
                <w:color w:val="000000"/>
                <w:szCs w:val="24"/>
              </w:rPr>
              <w:t>Australian Prudential Regulation Authority (APRA)</w:t>
            </w:r>
          </w:p>
        </w:tc>
      </w:tr>
    </w:tbl>
    <w:p w14:paraId="64BA047B" w14:textId="77777777" w:rsidR="000D4EC7" w:rsidRDefault="000D4EC7" w:rsidP="000D4EC7"/>
    <w:p w14:paraId="64BA047C" w14:textId="77777777" w:rsidR="000D4EC7" w:rsidRPr="000D4EC7" w:rsidRDefault="000D4EC7" w:rsidP="000D4EC7">
      <w:r w:rsidRPr="000D4EC7">
        <w:t xml:space="preserve">The role of the </w:t>
      </w:r>
      <w:r w:rsidR="005704AA">
        <w:t>Phoenix Taskforce</w:t>
      </w:r>
      <w:r w:rsidRPr="000D4EC7">
        <w:t xml:space="preserve"> is to identify, design and implement cross agency strategies to mitigate and deter fraudulent phoenix activity.</w:t>
      </w:r>
    </w:p>
    <w:p w14:paraId="64BA047D" w14:textId="59BB9681" w:rsidR="000D4EC7" w:rsidRPr="000D4EC7" w:rsidRDefault="000D4EC7" w:rsidP="000D4EC7">
      <w:r w:rsidRPr="000D4EC7">
        <w:lastRenderedPageBreak/>
        <w:t xml:space="preserve">Fraudulent </w:t>
      </w:r>
      <w:r w:rsidR="00EA744D">
        <w:t>p</w:t>
      </w:r>
      <w:r w:rsidRPr="000D4EC7">
        <w:t xml:space="preserve">hoenix activity </w:t>
      </w:r>
      <w:r w:rsidR="00FB7647">
        <w:t>involves</w:t>
      </w:r>
      <w:r w:rsidRPr="000D4EC7">
        <w:t xml:space="preserve"> the evasion of tax and other liabilities, such as employee entitlements, through the deliberate, systematic and sometimes cyclic liquidation of related corporate trading entities. This involves intentionally placing a company into administration or liquidation to avoid payment of taxes, th</w:t>
      </w:r>
      <w:r w:rsidR="00005106">
        <w:t>e superannuation guarantee or</w:t>
      </w:r>
      <w:r w:rsidRPr="000D4EC7">
        <w:t xml:space="preserve"> other employee entitlements. A new company is then created to carry on the same or similar business, typically with the same ownership.</w:t>
      </w:r>
    </w:p>
    <w:p w14:paraId="64BA047E" w14:textId="77777777" w:rsidR="000D4EC7" w:rsidRDefault="000D4EC7" w:rsidP="000D4EC7">
      <w:r w:rsidRPr="000D4EC7">
        <w:t>Fraudulent phoenix activity is a risk which has the potential to generate severe erosion of the revenue base and undermine business and community confidence.</w:t>
      </w:r>
    </w:p>
    <w:p w14:paraId="64BA047F" w14:textId="7CDCB965" w:rsidR="000D4EC7" w:rsidRPr="000D4EC7" w:rsidRDefault="000D4EC7" w:rsidP="000D4EC7">
      <w:pPr>
        <w:tabs>
          <w:tab w:val="num" w:pos="567"/>
        </w:tabs>
        <w:spacing w:before="280" w:after="200"/>
        <w:ind w:left="567" w:hanging="567"/>
      </w:pPr>
      <w:r w:rsidRPr="000D4EC7">
        <w:t xml:space="preserve">The Phoenix Taskforce is </w:t>
      </w:r>
      <w:r w:rsidR="00EA744D">
        <w:t xml:space="preserve">currently </w:t>
      </w:r>
      <w:r w:rsidRPr="000D4EC7">
        <w:t>comp</w:t>
      </w:r>
      <w:r>
        <w:t>rised of the following agencies:</w:t>
      </w:r>
    </w:p>
    <w:tbl>
      <w:tblPr>
        <w:tblW w:w="4918" w:type="dxa"/>
        <w:jc w:val="center"/>
        <w:tblInd w:w="103" w:type="dxa"/>
        <w:tblLook w:val="04A0" w:firstRow="1" w:lastRow="0" w:firstColumn="1" w:lastColumn="0" w:noHBand="0" w:noVBand="1"/>
      </w:tblPr>
      <w:tblGrid>
        <w:gridCol w:w="4918"/>
      </w:tblGrid>
      <w:tr w:rsidR="005F5545" w:rsidRPr="000D4EC7" w14:paraId="64BA0481" w14:textId="77777777" w:rsidTr="005F5545">
        <w:trPr>
          <w:trHeight w:val="300"/>
          <w:jc w:val="center"/>
        </w:trPr>
        <w:tc>
          <w:tcPr>
            <w:tcW w:w="4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A0480" w14:textId="33541D63" w:rsidR="005F5545" w:rsidRPr="00A0616B" w:rsidRDefault="006A3502" w:rsidP="000D4EC7">
            <w:pPr>
              <w:spacing w:before="0" w:after="0"/>
              <w:rPr>
                <w:color w:val="000000"/>
                <w:szCs w:val="24"/>
              </w:rPr>
            </w:pPr>
            <w:r w:rsidRPr="00A0616B">
              <w:rPr>
                <w:color w:val="000000"/>
                <w:szCs w:val="24"/>
              </w:rPr>
              <w:t>Australian Taxation Office (</w:t>
            </w:r>
            <w:r w:rsidR="005F5545" w:rsidRPr="00A0616B">
              <w:rPr>
                <w:color w:val="000000"/>
                <w:szCs w:val="24"/>
              </w:rPr>
              <w:t>ATO</w:t>
            </w:r>
            <w:r w:rsidRPr="00A0616B">
              <w:rPr>
                <w:color w:val="000000"/>
                <w:szCs w:val="24"/>
              </w:rPr>
              <w:t>)</w:t>
            </w:r>
          </w:p>
        </w:tc>
      </w:tr>
      <w:tr w:rsidR="005F5545" w:rsidRPr="000D4EC7" w14:paraId="64BA0483"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82" w14:textId="77777777" w:rsidR="005F5545" w:rsidRPr="00A0616B" w:rsidRDefault="005F5545" w:rsidP="000D4EC7">
            <w:pPr>
              <w:spacing w:before="0" w:after="0"/>
              <w:rPr>
                <w:color w:val="000000"/>
                <w:szCs w:val="24"/>
              </w:rPr>
            </w:pPr>
            <w:r w:rsidRPr="00A0616B">
              <w:rPr>
                <w:color w:val="000000"/>
                <w:szCs w:val="24"/>
              </w:rPr>
              <w:t>Australian Business Register (</w:t>
            </w:r>
            <w:proofErr w:type="spellStart"/>
            <w:r w:rsidRPr="00A0616B">
              <w:rPr>
                <w:color w:val="000000"/>
                <w:szCs w:val="24"/>
              </w:rPr>
              <w:t>ABR</w:t>
            </w:r>
            <w:proofErr w:type="spellEnd"/>
            <w:r w:rsidRPr="00A0616B">
              <w:rPr>
                <w:color w:val="000000"/>
                <w:szCs w:val="24"/>
              </w:rPr>
              <w:t>)</w:t>
            </w:r>
          </w:p>
        </w:tc>
      </w:tr>
      <w:tr w:rsidR="005F5545" w:rsidRPr="000D4EC7" w14:paraId="64BA0485"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84" w14:textId="33D3EC09" w:rsidR="005F5545" w:rsidRPr="00A0616B" w:rsidRDefault="005F5545" w:rsidP="006A3502">
            <w:pPr>
              <w:spacing w:before="0" w:after="0"/>
              <w:rPr>
                <w:color w:val="000000"/>
                <w:szCs w:val="24"/>
              </w:rPr>
            </w:pPr>
            <w:r w:rsidRPr="00A0616B">
              <w:rPr>
                <w:color w:val="000000"/>
                <w:szCs w:val="24"/>
              </w:rPr>
              <w:t xml:space="preserve">Australian Securities </w:t>
            </w:r>
            <w:r w:rsidR="006A3502" w:rsidRPr="00A0616B">
              <w:rPr>
                <w:color w:val="000000"/>
                <w:szCs w:val="24"/>
              </w:rPr>
              <w:t>and</w:t>
            </w:r>
            <w:r w:rsidRPr="00A0616B">
              <w:rPr>
                <w:color w:val="000000"/>
                <w:szCs w:val="24"/>
              </w:rPr>
              <w:t xml:space="preserve"> Investment</w:t>
            </w:r>
            <w:r w:rsidR="006A3502" w:rsidRPr="00A0616B">
              <w:rPr>
                <w:color w:val="000000"/>
                <w:szCs w:val="24"/>
              </w:rPr>
              <w:t>s</w:t>
            </w:r>
            <w:r w:rsidRPr="00A0616B">
              <w:rPr>
                <w:color w:val="000000"/>
                <w:szCs w:val="24"/>
              </w:rPr>
              <w:t xml:space="preserve"> Commission (ASIC)</w:t>
            </w:r>
          </w:p>
        </w:tc>
      </w:tr>
      <w:tr w:rsidR="005F5545" w:rsidRPr="000D4EC7" w14:paraId="64BA0487"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86" w14:textId="77777777" w:rsidR="005F5545" w:rsidRPr="00A0616B" w:rsidRDefault="005F5545" w:rsidP="000D4EC7">
            <w:pPr>
              <w:spacing w:before="0" w:after="0"/>
              <w:rPr>
                <w:color w:val="000000"/>
                <w:szCs w:val="24"/>
              </w:rPr>
            </w:pPr>
            <w:r w:rsidRPr="00A0616B">
              <w:rPr>
                <w:color w:val="000000"/>
                <w:szCs w:val="24"/>
              </w:rPr>
              <w:t>Australian Crime Commission (</w:t>
            </w:r>
            <w:proofErr w:type="spellStart"/>
            <w:r w:rsidRPr="00A0616B">
              <w:rPr>
                <w:color w:val="000000"/>
                <w:szCs w:val="24"/>
              </w:rPr>
              <w:t>ACC</w:t>
            </w:r>
            <w:proofErr w:type="spellEnd"/>
            <w:r w:rsidRPr="00A0616B">
              <w:rPr>
                <w:color w:val="000000"/>
                <w:szCs w:val="24"/>
              </w:rPr>
              <w:t>)</w:t>
            </w:r>
          </w:p>
        </w:tc>
      </w:tr>
      <w:tr w:rsidR="005F5545" w:rsidRPr="000D4EC7" w14:paraId="64BA0489"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88" w14:textId="77777777" w:rsidR="005F5545" w:rsidRPr="00A0616B" w:rsidRDefault="005F5545" w:rsidP="000D4EC7">
            <w:pPr>
              <w:spacing w:before="0" w:after="0"/>
              <w:rPr>
                <w:color w:val="000000"/>
                <w:szCs w:val="24"/>
              </w:rPr>
            </w:pPr>
            <w:r w:rsidRPr="00A0616B">
              <w:rPr>
                <w:color w:val="000000"/>
                <w:szCs w:val="24"/>
              </w:rPr>
              <w:t>Fair Work Ombudsman</w:t>
            </w:r>
          </w:p>
        </w:tc>
      </w:tr>
      <w:tr w:rsidR="005F5545" w:rsidRPr="000D4EC7" w14:paraId="64BA048B"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8A" w14:textId="77777777" w:rsidR="005F5545" w:rsidRPr="00A0616B" w:rsidRDefault="005F5545" w:rsidP="000D4EC7">
            <w:pPr>
              <w:spacing w:before="0" w:after="0"/>
              <w:rPr>
                <w:color w:val="000000"/>
                <w:szCs w:val="24"/>
              </w:rPr>
            </w:pPr>
            <w:r w:rsidRPr="00A0616B">
              <w:rPr>
                <w:color w:val="000000"/>
                <w:szCs w:val="24"/>
              </w:rPr>
              <w:t>Australian Federal Police (AFP)</w:t>
            </w:r>
          </w:p>
        </w:tc>
      </w:tr>
      <w:tr w:rsidR="005F5545" w:rsidRPr="000D4EC7" w14:paraId="64BA048D"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8C" w14:textId="61073181" w:rsidR="005F5545" w:rsidRPr="00A0616B" w:rsidRDefault="006A3502" w:rsidP="000D4EC7">
            <w:pPr>
              <w:spacing w:before="0" w:after="0"/>
              <w:rPr>
                <w:color w:val="000000"/>
                <w:szCs w:val="24"/>
              </w:rPr>
            </w:pPr>
            <w:r w:rsidRPr="00A0616B">
              <w:rPr>
                <w:color w:val="000000"/>
                <w:szCs w:val="24"/>
              </w:rPr>
              <w:t>Australian  Competition and</w:t>
            </w:r>
            <w:r w:rsidR="005F5545" w:rsidRPr="00A0616B">
              <w:rPr>
                <w:color w:val="000000"/>
                <w:szCs w:val="24"/>
              </w:rPr>
              <w:t xml:space="preserve"> Consumer Commission (</w:t>
            </w:r>
            <w:proofErr w:type="spellStart"/>
            <w:r w:rsidR="005F5545" w:rsidRPr="00A0616B">
              <w:rPr>
                <w:color w:val="000000"/>
                <w:szCs w:val="24"/>
              </w:rPr>
              <w:t>ACCC</w:t>
            </w:r>
            <w:proofErr w:type="spellEnd"/>
            <w:r w:rsidR="005F5545" w:rsidRPr="00A0616B">
              <w:rPr>
                <w:color w:val="000000"/>
                <w:szCs w:val="24"/>
              </w:rPr>
              <w:t>)</w:t>
            </w:r>
          </w:p>
        </w:tc>
      </w:tr>
      <w:tr w:rsidR="005F5545" w:rsidRPr="000D4EC7" w14:paraId="64BA048F"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8E" w14:textId="77777777" w:rsidR="005F5545" w:rsidRPr="00A0616B" w:rsidRDefault="005F5545" w:rsidP="000D4EC7">
            <w:pPr>
              <w:spacing w:before="0" w:after="0"/>
              <w:rPr>
                <w:color w:val="000000"/>
                <w:szCs w:val="24"/>
              </w:rPr>
            </w:pPr>
            <w:r w:rsidRPr="00A0616B">
              <w:rPr>
                <w:color w:val="000000"/>
                <w:szCs w:val="24"/>
              </w:rPr>
              <w:t>Clean Energy Regulator</w:t>
            </w:r>
          </w:p>
        </w:tc>
      </w:tr>
      <w:tr w:rsidR="005F5545" w:rsidRPr="000D4EC7" w14:paraId="64BA0491"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90" w14:textId="77777777" w:rsidR="005F5545" w:rsidRPr="00A0616B" w:rsidRDefault="005F5545" w:rsidP="000D4EC7">
            <w:pPr>
              <w:spacing w:before="0" w:after="0"/>
              <w:rPr>
                <w:color w:val="000000"/>
                <w:szCs w:val="24"/>
              </w:rPr>
            </w:pPr>
            <w:r w:rsidRPr="00A0616B">
              <w:rPr>
                <w:color w:val="000000"/>
                <w:szCs w:val="24"/>
              </w:rPr>
              <w:t>Department of Employment</w:t>
            </w:r>
          </w:p>
        </w:tc>
      </w:tr>
      <w:tr w:rsidR="005F5545" w:rsidRPr="000D4EC7" w14:paraId="64BA0493"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92" w14:textId="77777777" w:rsidR="005F5545" w:rsidRPr="00A0616B" w:rsidRDefault="005F5545" w:rsidP="000D4EC7">
            <w:pPr>
              <w:spacing w:before="0" w:after="0"/>
              <w:rPr>
                <w:color w:val="000000"/>
                <w:szCs w:val="24"/>
              </w:rPr>
            </w:pPr>
            <w:r w:rsidRPr="00A0616B">
              <w:rPr>
                <w:color w:val="000000"/>
                <w:szCs w:val="24"/>
              </w:rPr>
              <w:t>Department of Environment</w:t>
            </w:r>
          </w:p>
        </w:tc>
      </w:tr>
      <w:tr w:rsidR="005F5545" w:rsidRPr="000D4EC7" w14:paraId="64BA0495"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94" w14:textId="77777777" w:rsidR="005F5545" w:rsidRPr="00A0616B" w:rsidRDefault="005F5545" w:rsidP="000D4EC7">
            <w:pPr>
              <w:spacing w:before="0" w:after="0"/>
              <w:rPr>
                <w:color w:val="000000"/>
                <w:szCs w:val="24"/>
              </w:rPr>
            </w:pPr>
            <w:r w:rsidRPr="00A0616B">
              <w:rPr>
                <w:color w:val="000000"/>
                <w:szCs w:val="24"/>
              </w:rPr>
              <w:t>Department of Human Services</w:t>
            </w:r>
          </w:p>
        </w:tc>
      </w:tr>
      <w:tr w:rsidR="001E2C55" w:rsidRPr="000D4EC7" w14:paraId="13EE7164" w14:textId="77777777" w:rsidTr="00B742B6">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tcPr>
          <w:p w14:paraId="6B0402DB" w14:textId="77777777" w:rsidR="001E2C55" w:rsidRPr="00A0616B" w:rsidRDefault="001E2C55" w:rsidP="00B742B6">
            <w:pPr>
              <w:spacing w:before="0" w:after="0"/>
              <w:rPr>
                <w:color w:val="000000"/>
                <w:szCs w:val="24"/>
              </w:rPr>
            </w:pPr>
            <w:r w:rsidRPr="000278CD">
              <w:rPr>
                <w:color w:val="000000"/>
                <w:szCs w:val="24"/>
              </w:rPr>
              <w:t>Department of Immigration and Border Protection</w:t>
            </w:r>
          </w:p>
        </w:tc>
      </w:tr>
      <w:tr w:rsidR="005F5545" w:rsidRPr="000D4EC7" w14:paraId="64BA0497"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96" w14:textId="77777777" w:rsidR="005F5545" w:rsidRPr="00A0616B" w:rsidRDefault="005F5545" w:rsidP="000D4EC7">
            <w:pPr>
              <w:spacing w:before="0" w:after="0"/>
              <w:rPr>
                <w:color w:val="000000"/>
                <w:szCs w:val="24"/>
              </w:rPr>
            </w:pPr>
            <w:r w:rsidRPr="00A0616B">
              <w:rPr>
                <w:color w:val="000000"/>
                <w:szCs w:val="24"/>
              </w:rPr>
              <w:t xml:space="preserve">Office of the Migration Agents Registration Authority </w:t>
            </w:r>
          </w:p>
        </w:tc>
      </w:tr>
      <w:tr w:rsidR="005F5545" w:rsidRPr="000D4EC7" w14:paraId="64BA0499" w14:textId="77777777" w:rsidTr="005F5545">
        <w:trPr>
          <w:trHeight w:val="300"/>
          <w:jc w:val="center"/>
        </w:trPr>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4BA0498" w14:textId="6CE99128" w:rsidR="005F5545" w:rsidRPr="00A0616B" w:rsidRDefault="00A46E56" w:rsidP="000D4EC7">
            <w:pPr>
              <w:spacing w:before="0" w:after="0"/>
              <w:rPr>
                <w:color w:val="000000"/>
                <w:szCs w:val="24"/>
              </w:rPr>
            </w:pPr>
            <w:r>
              <w:rPr>
                <w:color w:val="000000"/>
                <w:szCs w:val="24"/>
              </w:rPr>
              <w:t xml:space="preserve">The </w:t>
            </w:r>
            <w:r w:rsidRPr="00A0616B">
              <w:rPr>
                <w:color w:val="000000"/>
                <w:szCs w:val="24"/>
              </w:rPr>
              <w:t xml:space="preserve">State </w:t>
            </w:r>
            <w:r>
              <w:rPr>
                <w:color w:val="000000"/>
                <w:szCs w:val="24"/>
              </w:rPr>
              <w:t xml:space="preserve">and Territory </w:t>
            </w:r>
            <w:r w:rsidRPr="00A0616B">
              <w:rPr>
                <w:color w:val="000000"/>
                <w:szCs w:val="24"/>
              </w:rPr>
              <w:t>Revenue Office</w:t>
            </w:r>
            <w:r>
              <w:rPr>
                <w:color w:val="000000"/>
                <w:szCs w:val="24"/>
              </w:rPr>
              <w:t>s</w:t>
            </w:r>
          </w:p>
        </w:tc>
      </w:tr>
    </w:tbl>
    <w:p w14:paraId="64BA049C" w14:textId="77777777" w:rsidR="000D4EC7" w:rsidRDefault="000D4EC7" w:rsidP="000D4EC7"/>
    <w:p w14:paraId="64BA049D" w14:textId="74212BBE" w:rsidR="000D4EC7" w:rsidRDefault="000D4EC7" w:rsidP="000D4EC7">
      <w:r w:rsidRPr="000D4EC7">
        <w:t xml:space="preserve">For the taskforces to fulfil their objective effectively, information must be shared between the constituent agencies. </w:t>
      </w:r>
      <w:r w:rsidR="003547A6">
        <w:t xml:space="preserve"> </w:t>
      </w:r>
      <w:r w:rsidRPr="000D4EC7">
        <w:t xml:space="preserve">However, the </w:t>
      </w:r>
      <w:r w:rsidR="00D97516">
        <w:t>confidentiality</w:t>
      </w:r>
      <w:r w:rsidRPr="000D4EC7">
        <w:t xml:space="preserve"> provisions of the </w:t>
      </w:r>
      <w:proofErr w:type="spellStart"/>
      <w:r w:rsidR="00286820">
        <w:t>TAA</w:t>
      </w:r>
      <w:proofErr w:type="spellEnd"/>
      <w:r w:rsidR="00286820">
        <w:t> </w:t>
      </w:r>
      <w:r w:rsidR="00D6061C">
        <w:t>1953</w:t>
      </w:r>
      <w:r w:rsidRPr="000D4EC7">
        <w:t xml:space="preserve"> </w:t>
      </w:r>
      <w:r w:rsidR="00CB6DBC">
        <w:t>provide</w:t>
      </w:r>
      <w:r w:rsidR="00CB6DBC" w:rsidRPr="00CB6DBC">
        <w:t xml:space="preserve"> that it is an offence if an entity which acquires protected information, as a taxation officer, discloses that information to another entity.</w:t>
      </w:r>
      <w:r w:rsidR="009440B0">
        <w:t xml:space="preserve"> </w:t>
      </w:r>
      <w:r w:rsidR="00CB6DBC">
        <w:t xml:space="preserve"> </w:t>
      </w:r>
      <w:r w:rsidR="00CB6DBC" w:rsidRPr="00CB6DBC">
        <w:t>Protected information in the taxation law refers to information disclosed or obtained under a taxation law that could be used to identify an individual, business or entity.</w:t>
      </w:r>
    </w:p>
    <w:p w14:paraId="64BA049E" w14:textId="57B643C9" w:rsidR="000D4EC7" w:rsidRDefault="00CB6DBC" w:rsidP="000D4EC7">
      <w:r w:rsidRPr="00CB6DBC">
        <w:t xml:space="preserve">The </w:t>
      </w:r>
      <w:proofErr w:type="spellStart"/>
      <w:r w:rsidR="00D6061C">
        <w:t>TAA</w:t>
      </w:r>
      <w:proofErr w:type="spellEnd"/>
      <w:r w:rsidR="00D6061C">
        <w:t xml:space="preserve"> 1953</w:t>
      </w:r>
      <w:r w:rsidR="00AE55E8">
        <w:t xml:space="preserve"> set</w:t>
      </w:r>
      <w:r w:rsidR="00D97516">
        <w:t>s</w:t>
      </w:r>
      <w:r w:rsidRPr="00CB6DBC">
        <w:t xml:space="preserve"> out a </w:t>
      </w:r>
      <w:r w:rsidR="00D97516">
        <w:t>range</w:t>
      </w:r>
      <w:r w:rsidRPr="00CB6DBC">
        <w:t xml:space="preserve"> of exceptions to this general prohibition, including </w:t>
      </w:r>
      <w:r w:rsidR="00AE55E8">
        <w:t xml:space="preserve">for </w:t>
      </w:r>
      <w:r w:rsidRPr="00CB6DBC">
        <w:t xml:space="preserve">law enforcement and other public purposes. </w:t>
      </w:r>
      <w:r>
        <w:t>An</w:t>
      </w:r>
      <w:r w:rsidRPr="00CB6DBC">
        <w:t xml:space="preserve"> </w:t>
      </w:r>
      <w:r>
        <w:t xml:space="preserve">exception </w:t>
      </w:r>
      <w:r w:rsidRPr="00CB6DBC">
        <w:t xml:space="preserve">set out in the </w:t>
      </w:r>
      <w:proofErr w:type="spellStart"/>
      <w:r w:rsidR="00D6061C">
        <w:t>TAA</w:t>
      </w:r>
      <w:proofErr w:type="spellEnd"/>
      <w:r w:rsidR="00D6061C">
        <w:t xml:space="preserve"> 1953</w:t>
      </w:r>
      <w:r w:rsidRPr="00CB6DBC">
        <w:t xml:space="preserve"> permits disclosure </w:t>
      </w:r>
      <w:r w:rsidR="00E43963">
        <w:t>to</w:t>
      </w:r>
      <w:r w:rsidR="00E43963" w:rsidRPr="00CB6DBC">
        <w:t xml:space="preserve"> </w:t>
      </w:r>
      <w:r w:rsidRPr="00CB6DBC">
        <w:t>an officer of a prescribed taskforce if the disclosure is made for</w:t>
      </w:r>
      <w:r w:rsidR="00AE55E8">
        <w:t>,</w:t>
      </w:r>
      <w:r w:rsidRPr="00CB6DBC">
        <w:t xml:space="preserve"> or in connection with</w:t>
      </w:r>
      <w:r w:rsidR="00AE55E8">
        <w:t>,</w:t>
      </w:r>
      <w:r w:rsidRPr="00CB6DBC">
        <w:t xml:space="preserve"> a purpose of a prescribed taskforce. </w:t>
      </w:r>
      <w:r w:rsidR="009440B0">
        <w:t xml:space="preserve"> </w:t>
      </w:r>
      <w:r w:rsidRPr="00CB6DBC">
        <w:t xml:space="preserve">There </w:t>
      </w:r>
      <w:r w:rsidR="00D47014">
        <w:t xml:space="preserve">were </w:t>
      </w:r>
      <w:r w:rsidR="000B13C6">
        <w:t>three</w:t>
      </w:r>
      <w:r w:rsidRPr="00CB6DBC">
        <w:t xml:space="preserve"> taskforces </w:t>
      </w:r>
      <w:r w:rsidR="00D47014">
        <w:t>already</w:t>
      </w:r>
      <w:r w:rsidR="00D47014" w:rsidRPr="00CB6DBC">
        <w:t xml:space="preserve"> </w:t>
      </w:r>
      <w:r w:rsidRPr="00CB6DBC">
        <w:t>prescribed under th</w:t>
      </w:r>
      <w:r w:rsidR="00D97516">
        <w:t xml:space="preserve">e </w:t>
      </w:r>
      <w:r w:rsidR="00D6061C">
        <w:t>TAR 1976</w:t>
      </w:r>
      <w:r w:rsidRPr="00CB6DBC">
        <w:t xml:space="preserve">, </w:t>
      </w:r>
      <w:r w:rsidR="000B13C6">
        <w:t>namely</w:t>
      </w:r>
      <w:r w:rsidR="00AE55E8">
        <w:t>,</w:t>
      </w:r>
      <w:r w:rsidR="000B13C6">
        <w:t xml:space="preserve"> </w:t>
      </w:r>
      <w:r w:rsidRPr="00CB6DBC">
        <w:t>the Na</w:t>
      </w:r>
      <w:r w:rsidR="00C95F08">
        <w:t>tional Anti</w:t>
      </w:r>
      <w:r w:rsidR="00C95F08">
        <w:noBreakHyphen/>
        <w:t xml:space="preserve">Gang </w:t>
      </w:r>
      <w:r w:rsidRPr="00CB6DBC">
        <w:t xml:space="preserve">Taskforce, </w:t>
      </w:r>
      <w:r w:rsidR="000B13C6">
        <w:t xml:space="preserve">the </w:t>
      </w:r>
      <w:r w:rsidRPr="00CB6DBC">
        <w:t>Criminal Assets Confiscation Taskforce and</w:t>
      </w:r>
      <w:r w:rsidR="00AE55E8">
        <w:t xml:space="preserve"> th</w:t>
      </w:r>
      <w:r w:rsidR="000B13C6">
        <w:t>e</w:t>
      </w:r>
      <w:r w:rsidRPr="00CB6DBC">
        <w:t xml:space="preserve"> National Criminal Intelligen</w:t>
      </w:r>
      <w:r w:rsidR="000B13C6">
        <w:t>ce Fusion Centre</w:t>
      </w:r>
      <w:r w:rsidRPr="00CB6DBC">
        <w:t>.</w:t>
      </w:r>
    </w:p>
    <w:p w14:paraId="64BA049F" w14:textId="4730E551" w:rsidR="00CB6DBC" w:rsidRDefault="00CB6DBC" w:rsidP="00CB6DBC">
      <w:r>
        <w:t xml:space="preserve">For a taskforce to be prescribed, </w:t>
      </w:r>
      <w:r w:rsidR="00EA744D">
        <w:t xml:space="preserve">the </w:t>
      </w:r>
      <w:proofErr w:type="spellStart"/>
      <w:r w:rsidR="00D6061C">
        <w:t>TAA</w:t>
      </w:r>
      <w:proofErr w:type="spellEnd"/>
      <w:r w:rsidR="00D6061C">
        <w:t xml:space="preserve"> 1953</w:t>
      </w:r>
      <w:r w:rsidR="00EA744D">
        <w:t xml:space="preserve"> requires that </w:t>
      </w:r>
      <w:r>
        <w:t>a major purpose of the taskforce must be the protection of the public finances of Australia.</w:t>
      </w:r>
      <w:r w:rsidR="00D47014">
        <w:t xml:space="preserve"> </w:t>
      </w:r>
      <w:r>
        <w:t xml:space="preserve"> As the Phoenix Taskforce is constituted to monitor and deter phoenix activity, which involves the deliberate evasion of taxation and other liabilities through the deliberate and cyclic </w:t>
      </w:r>
      <w:r>
        <w:lastRenderedPageBreak/>
        <w:t xml:space="preserve">liquidation of related corporate trading entities, a major purpose of that Taskforce is </w:t>
      </w:r>
      <w:r w:rsidR="00C95F08">
        <w:t>to</w:t>
      </w:r>
      <w:r>
        <w:t xml:space="preserve"> protect the public finances of Australia.</w:t>
      </w:r>
      <w:r w:rsidR="00D47014">
        <w:t xml:space="preserve"> </w:t>
      </w:r>
      <w:r>
        <w:t xml:space="preserve"> Equally, since the Trusts Taskforce is constituted for the purpose of auditing taxpayers involved in tax avoidance and evasion using trust structures, a major purpose of </w:t>
      </w:r>
      <w:r w:rsidR="003009C9">
        <w:t>that taskforce is</w:t>
      </w:r>
      <w:r w:rsidR="00C95F08">
        <w:t xml:space="preserve"> to</w:t>
      </w:r>
      <w:r w:rsidR="003009C9">
        <w:t xml:space="preserve"> protect the public finances of Australia.</w:t>
      </w:r>
    </w:p>
    <w:p w14:paraId="64BA04A0" w14:textId="206CF5B1" w:rsidR="00C37E05" w:rsidRDefault="002E5AE4" w:rsidP="00C37E05">
      <w:r>
        <w:t xml:space="preserve">The </w:t>
      </w:r>
      <w:r w:rsidR="002D46F1">
        <w:t xml:space="preserve">Regulation </w:t>
      </w:r>
      <w:r>
        <w:t>prescribe</w:t>
      </w:r>
      <w:r w:rsidR="0021652F">
        <w:t>s</w:t>
      </w:r>
      <w:r>
        <w:t xml:space="preserve"> the </w:t>
      </w:r>
      <w:r w:rsidR="00CB6DBC">
        <w:t>Phoenix Taskforce and the Trust</w:t>
      </w:r>
      <w:r w:rsidR="003009C9">
        <w:t>s Taskforce in r</w:t>
      </w:r>
      <w:r w:rsidR="00CB6DBC">
        <w:t>egulation 48</w:t>
      </w:r>
      <w:r w:rsidR="00AE55E8">
        <w:t xml:space="preserve"> of the </w:t>
      </w:r>
      <w:r w:rsidR="00D6061C">
        <w:t>TAR 1976</w:t>
      </w:r>
      <w:r w:rsidR="00CB6DBC">
        <w:t xml:space="preserve">, allowing for </w:t>
      </w:r>
      <w:r w:rsidR="0021652F">
        <w:t xml:space="preserve">the </w:t>
      </w:r>
      <w:r w:rsidR="00CB6DBC">
        <w:t xml:space="preserve">disclosure of protected tax information by </w:t>
      </w:r>
      <w:r w:rsidR="00683D0E">
        <w:t>taxation officers</w:t>
      </w:r>
      <w:r w:rsidR="00CB6DBC">
        <w:t xml:space="preserve"> to o</w:t>
      </w:r>
      <w:r w:rsidR="00683D0E">
        <w:t xml:space="preserve">fficers </w:t>
      </w:r>
      <w:r w:rsidR="00E43963">
        <w:t>of each</w:t>
      </w:r>
      <w:r w:rsidR="00CB6DBC">
        <w:t xml:space="preserve"> taskforce</w:t>
      </w:r>
      <w:r w:rsidR="003009C9">
        <w:t>, for the purpose</w:t>
      </w:r>
      <w:r w:rsidR="00886F14">
        <w:t>s</w:t>
      </w:r>
      <w:r w:rsidR="003009C9">
        <w:t xml:space="preserve"> of </w:t>
      </w:r>
      <w:r w:rsidR="00E43963">
        <w:t xml:space="preserve">that </w:t>
      </w:r>
      <w:r w:rsidR="003009C9">
        <w:t>taskforce</w:t>
      </w:r>
      <w:r w:rsidR="00CB6DBC">
        <w:t>.</w:t>
      </w:r>
    </w:p>
    <w:p w14:paraId="64BA04A1" w14:textId="27ECFE10" w:rsidR="002E5AE4" w:rsidRDefault="003009C9">
      <w:r>
        <w:t xml:space="preserve">Accordingly, two new items </w:t>
      </w:r>
      <w:r w:rsidR="0021652F">
        <w:t>are</w:t>
      </w:r>
      <w:r>
        <w:t xml:space="preserve"> included in the table contained in regulation 48, prescribing each taskforce.</w:t>
      </w:r>
      <w:r w:rsidR="00C95F08">
        <w:t xml:space="preserve"> </w:t>
      </w:r>
    </w:p>
    <w:p w14:paraId="64BA04A2" w14:textId="002E0F66" w:rsidR="00C37E05" w:rsidRDefault="00381E2E">
      <w:r>
        <w:t>The</w:t>
      </w:r>
      <w:r w:rsidR="0026445D">
        <w:t xml:space="preserve"> disclosure </w:t>
      </w:r>
      <w:r w:rsidR="00E43963">
        <w:t xml:space="preserve">of taxation information by a taxation officer </w:t>
      </w:r>
      <w:r w:rsidR="0026445D">
        <w:t>must be</w:t>
      </w:r>
      <w:r w:rsidR="00E43963">
        <w:t xml:space="preserve"> made</w:t>
      </w:r>
      <w:r w:rsidR="0026445D">
        <w:t xml:space="preserve"> for </w:t>
      </w:r>
      <w:r w:rsidR="00D47014">
        <w:t>or in connection with a</w:t>
      </w:r>
      <w:r w:rsidR="00E43963">
        <w:t xml:space="preserve"> </w:t>
      </w:r>
      <w:r w:rsidR="0026445D">
        <w:t>purpose of the taskforce.</w:t>
      </w:r>
      <w:r w:rsidR="0021652F">
        <w:t xml:space="preserve"> </w:t>
      </w:r>
      <w:r w:rsidR="0026445D">
        <w:t xml:space="preserve"> </w:t>
      </w:r>
      <w:r w:rsidR="00E43963">
        <w:t xml:space="preserve">On-disclosure rules in the </w:t>
      </w:r>
      <w:proofErr w:type="spellStart"/>
      <w:r w:rsidR="00D6061C">
        <w:t>TAA</w:t>
      </w:r>
      <w:proofErr w:type="spellEnd"/>
      <w:r w:rsidR="00D6061C">
        <w:t xml:space="preserve"> 1953</w:t>
      </w:r>
      <w:r w:rsidR="00E43963">
        <w:t xml:space="preserve"> continue to protect taxation information once it is disclosed.  Under these rules, a taskforce officer may only on-disclose taxation information for taskforce purposes.</w:t>
      </w:r>
    </w:p>
    <w:p w14:paraId="43FF97FA" w14:textId="77777777" w:rsidR="00B1510B" w:rsidRPr="006C120A" w:rsidRDefault="00B1510B" w:rsidP="00B1510B">
      <w:pPr>
        <w:rPr>
          <w:i/>
        </w:rPr>
      </w:pPr>
      <w:r w:rsidRPr="0051764E">
        <w:rPr>
          <w:i/>
        </w:rPr>
        <w:t>Amendments to tax arrangements for overseas Defence Force personnel</w:t>
      </w:r>
    </w:p>
    <w:p w14:paraId="3F762BA9" w14:textId="7C1C6510" w:rsidR="00B1510B" w:rsidRDefault="00B1510B" w:rsidP="00B1510B">
      <w:r>
        <w:t xml:space="preserve">The Regulation </w:t>
      </w:r>
      <w:r w:rsidR="00244E8E">
        <w:t xml:space="preserve">also amends the </w:t>
      </w:r>
      <w:r w:rsidR="00244E8E" w:rsidRPr="00244E8E">
        <w:rPr>
          <w:i/>
        </w:rPr>
        <w:t>Income Tax Regulations 1936</w:t>
      </w:r>
      <w:r>
        <w:t xml:space="preserve"> </w:t>
      </w:r>
      <w:r w:rsidR="00244E8E">
        <w:t>(</w:t>
      </w:r>
      <w:proofErr w:type="spellStart"/>
      <w:r w:rsidR="00244E8E">
        <w:t>ITR</w:t>
      </w:r>
      <w:proofErr w:type="spellEnd"/>
      <w:r w:rsidR="00244E8E">
        <w:t xml:space="preserve"> 1936)</w:t>
      </w:r>
      <w:r>
        <w:t xml:space="preserve"> to provide tax concessions to certain Australian Defence Force (</w:t>
      </w:r>
      <w:proofErr w:type="spellStart"/>
      <w:r>
        <w:t>ADF</w:t>
      </w:r>
      <w:proofErr w:type="spellEnd"/>
      <w:r>
        <w:t>) personnel serving in Iraq as part of Operation OKRA.</w:t>
      </w:r>
    </w:p>
    <w:p w14:paraId="47EF9991" w14:textId="5BFC8907" w:rsidR="00B1510B" w:rsidRDefault="00B1510B" w:rsidP="00B1510B">
      <w:r>
        <w:t xml:space="preserve">Section </w:t>
      </w:r>
      <w:proofErr w:type="spellStart"/>
      <w:r>
        <w:t>23AD</w:t>
      </w:r>
      <w:proofErr w:type="spellEnd"/>
      <w:r>
        <w:t xml:space="preserve"> of the </w:t>
      </w:r>
      <w:proofErr w:type="spellStart"/>
      <w:r>
        <w:t>ITAA</w:t>
      </w:r>
      <w:proofErr w:type="spellEnd"/>
      <w:r>
        <w:t xml:space="preserve"> 1936 provides an exemption from income tax of pay and allowances of </w:t>
      </w:r>
      <w:proofErr w:type="spellStart"/>
      <w:r>
        <w:t>ADF</w:t>
      </w:r>
      <w:proofErr w:type="spellEnd"/>
      <w:r>
        <w:t xml:space="preserve"> members performing certain overseas duty.  Subsection </w:t>
      </w:r>
      <w:proofErr w:type="spellStart"/>
      <w:r>
        <w:t>23AD</w:t>
      </w:r>
      <w:proofErr w:type="spellEnd"/>
      <w:r>
        <w:t xml:space="preserve">(1) of the </w:t>
      </w:r>
      <w:proofErr w:type="spellStart"/>
      <w:r>
        <w:t>ITAA</w:t>
      </w:r>
      <w:proofErr w:type="spellEnd"/>
      <w:r>
        <w:t xml:space="preserve"> 1936 exempts the pay and allowances earned by </w:t>
      </w:r>
      <w:proofErr w:type="spellStart"/>
      <w:r>
        <w:t>ADF</w:t>
      </w:r>
      <w:proofErr w:type="spellEnd"/>
      <w:r>
        <w:t xml:space="preserve"> members from income tax where there is a certificate in force, issued in writing by the Chief of the Defence Force, to the effect that the members are on ‘eligible duty’.  Subsection</w:t>
      </w:r>
      <w:r w:rsidR="00D30700">
        <w:t> </w:t>
      </w:r>
      <w:proofErr w:type="spellStart"/>
      <w:r>
        <w:t>23AD</w:t>
      </w:r>
      <w:proofErr w:type="spellEnd"/>
      <w:r>
        <w:t xml:space="preserve">(2) of the </w:t>
      </w:r>
      <w:proofErr w:type="spellStart"/>
      <w:r>
        <w:t>ITAA</w:t>
      </w:r>
      <w:proofErr w:type="spellEnd"/>
      <w:r>
        <w:t xml:space="preserve"> 1936 provides that the regulations may declare that duty with a specified organisation, in a specified area outside Australia, and after a specified day, is ‘eligible duty’ for the purposes of that section.</w:t>
      </w:r>
    </w:p>
    <w:p w14:paraId="1CFEF2AC" w14:textId="29DA24B8" w:rsidR="00B1510B" w:rsidRDefault="00B1510B" w:rsidP="00B1510B">
      <w:r>
        <w:t xml:space="preserve">Regulation </w:t>
      </w:r>
      <w:proofErr w:type="spellStart"/>
      <w:r>
        <w:t>7A</w:t>
      </w:r>
      <w:proofErr w:type="spellEnd"/>
      <w:r>
        <w:t xml:space="preserve"> of the </w:t>
      </w:r>
      <w:proofErr w:type="spellStart"/>
      <w:r>
        <w:t>ITR</w:t>
      </w:r>
      <w:proofErr w:type="spellEnd"/>
      <w:r>
        <w:t xml:space="preserve"> 1936 declares that duty with various organisations in various areas outside Australia to be ‘eligible duty’ for the purposes of section </w:t>
      </w:r>
      <w:proofErr w:type="spellStart"/>
      <w:r>
        <w:t>23AD</w:t>
      </w:r>
      <w:proofErr w:type="spellEnd"/>
      <w:r>
        <w:t xml:space="preserve"> of the </w:t>
      </w:r>
      <w:proofErr w:type="spellStart"/>
      <w:r>
        <w:t>ITAA</w:t>
      </w:r>
      <w:proofErr w:type="spellEnd"/>
      <w:r>
        <w:t xml:space="preserve"> 1936.</w:t>
      </w:r>
    </w:p>
    <w:p w14:paraId="3CA39BC0" w14:textId="238E62B5" w:rsidR="00B1510B" w:rsidRDefault="00B1510B" w:rsidP="00B1510B">
      <w:r>
        <w:t xml:space="preserve">Operation OKRA is the </w:t>
      </w:r>
      <w:proofErr w:type="spellStart"/>
      <w:r>
        <w:t>ADF</w:t>
      </w:r>
      <w:proofErr w:type="spellEnd"/>
      <w:r>
        <w:t xml:space="preserve"> contribution to the Iraq crisis. Under Operation OKRA, the Department of Defence provides humanitarian aid and operational support in the region as agreed by the Australian Government.  Item 1 in Schedule 2 to Regulation amends the </w:t>
      </w:r>
      <w:proofErr w:type="spellStart"/>
      <w:r>
        <w:t>ITR</w:t>
      </w:r>
      <w:proofErr w:type="spellEnd"/>
      <w:r>
        <w:t xml:space="preserve"> 1936 to specify that eligible duty includes duty undertaken within the Republic of Iraq as part of Operation OKRA for the period 9 August 2014 to</w:t>
      </w:r>
      <w:r w:rsidR="00D30700">
        <w:t> </w:t>
      </w:r>
      <w:r>
        <w:t>30</w:t>
      </w:r>
      <w:r w:rsidR="00D30700">
        <w:t> </w:t>
      </w:r>
      <w:r>
        <w:t>June</w:t>
      </w:r>
      <w:r w:rsidR="00D30700">
        <w:t> </w:t>
      </w:r>
      <w:r>
        <w:t>2015.</w:t>
      </w:r>
    </w:p>
    <w:p w14:paraId="0B9EABBB" w14:textId="77777777" w:rsidR="002D46F1" w:rsidRDefault="002D46F1">
      <w:r>
        <w:t xml:space="preserve">Details of the Regulation are set out in the </w:t>
      </w:r>
      <w:r w:rsidRPr="00956D27">
        <w:rPr>
          <w:u w:val="single"/>
        </w:rPr>
        <w:t>Attachment</w:t>
      </w:r>
      <w:r>
        <w:t>.</w:t>
      </w:r>
    </w:p>
    <w:p w14:paraId="612ECFDE" w14:textId="7BE48B49" w:rsidR="00BF3CC6" w:rsidRDefault="00BF3CC6" w:rsidP="00BF3CC6">
      <w:r>
        <w:t xml:space="preserve">The changes to tax information sharing provisions have no revenue impact.  The changes to tax concessions for </w:t>
      </w:r>
      <w:proofErr w:type="spellStart"/>
      <w:r>
        <w:t>ADF</w:t>
      </w:r>
      <w:proofErr w:type="spellEnd"/>
      <w:r>
        <w:t xml:space="preserve"> personnel have a cost to revenue of </w:t>
      </w:r>
      <w:r w:rsidR="009B11D2" w:rsidRPr="009B11D2">
        <w:t xml:space="preserve">$2.9 million </w:t>
      </w:r>
      <w:r>
        <w:t>over the forward estimates.</w:t>
      </w:r>
    </w:p>
    <w:p w14:paraId="6562BFC3" w14:textId="44972F87" w:rsidR="00244E8E" w:rsidRDefault="00244E8E" w:rsidP="00244E8E">
      <w:r>
        <w:t>P</w:t>
      </w:r>
      <w:r w:rsidRPr="003009C9">
        <w:t xml:space="preserve">ublic consultation on the </w:t>
      </w:r>
      <w:r>
        <w:t>Regulation was</w:t>
      </w:r>
      <w:r w:rsidRPr="003009C9">
        <w:t xml:space="preserve"> not required, as </w:t>
      </w:r>
      <w:r>
        <w:t xml:space="preserve">both </w:t>
      </w:r>
      <w:r w:rsidRPr="003009C9">
        <w:t>amendment</w:t>
      </w:r>
      <w:r>
        <w:t>s</w:t>
      </w:r>
      <w:r w:rsidRPr="003009C9">
        <w:t xml:space="preserve"> only results in minor machinery of government changes.</w:t>
      </w:r>
      <w:r>
        <w:t xml:space="preserve">  The amendments to the tax arrangements for overseas </w:t>
      </w:r>
      <w:proofErr w:type="spellStart"/>
      <w:r>
        <w:t>ADF</w:t>
      </w:r>
      <w:proofErr w:type="spellEnd"/>
      <w:r>
        <w:t xml:space="preserve"> personnel were developed in consultation with the Department of Defence</w:t>
      </w:r>
      <w:r w:rsidR="00BF3CC6">
        <w:t>.  All of the changes made by this regulation are both minor and machinery in nature and have no or negligible impacts on compliance costs.</w:t>
      </w:r>
    </w:p>
    <w:p w14:paraId="23DE8450" w14:textId="4ECAFEC9" w:rsidR="003547A6" w:rsidRDefault="003547A6">
      <w:r>
        <w:t xml:space="preserve">The Regulation is a legislative instrument for the purposes of the </w:t>
      </w:r>
      <w:r>
        <w:rPr>
          <w:i/>
        </w:rPr>
        <w:t>Legislative Instruments Act 2003</w:t>
      </w:r>
      <w:r>
        <w:t>.</w:t>
      </w:r>
    </w:p>
    <w:p w14:paraId="343F91F6" w14:textId="5CC538F8" w:rsidR="002D46F1" w:rsidRDefault="002D46F1">
      <w:r w:rsidRPr="00670AAE">
        <w:t xml:space="preserve">The </w:t>
      </w:r>
      <w:proofErr w:type="spellStart"/>
      <w:r w:rsidR="00D6061C">
        <w:t>TAA</w:t>
      </w:r>
      <w:proofErr w:type="spellEnd"/>
      <w:r w:rsidR="00D6061C">
        <w:t xml:space="preserve"> 1953</w:t>
      </w:r>
      <w:r w:rsidRPr="00670AAE">
        <w:t xml:space="preserve"> </w:t>
      </w:r>
      <w:r w:rsidR="00286820">
        <w:t xml:space="preserve">and the </w:t>
      </w:r>
      <w:proofErr w:type="spellStart"/>
      <w:r w:rsidR="00286820">
        <w:t>ITAA</w:t>
      </w:r>
      <w:proofErr w:type="spellEnd"/>
      <w:r w:rsidR="00286820">
        <w:t xml:space="preserve"> 1936 </w:t>
      </w:r>
      <w:r w:rsidRPr="00670AAE">
        <w:t>do not specify any conditions that must be satisfied before the power to make the Regulation may be exercised.</w:t>
      </w:r>
    </w:p>
    <w:p w14:paraId="64BA04A5" w14:textId="2C2AB4CD" w:rsidR="002D46F1" w:rsidRPr="00137023" w:rsidRDefault="00D33C67" w:rsidP="00137023">
      <w:r>
        <w:t xml:space="preserve">The Regulation </w:t>
      </w:r>
      <w:r w:rsidR="00381E2E">
        <w:t>commence</w:t>
      </w:r>
      <w:r w:rsidR="00244E8E">
        <w:t>d</w:t>
      </w:r>
      <w:r w:rsidR="00F109D4" w:rsidRPr="00503E44">
        <w:t xml:space="preserve"> </w:t>
      </w:r>
      <w:r w:rsidR="00C95F08">
        <w:t xml:space="preserve">on </w:t>
      </w:r>
      <w:r w:rsidR="003009C9">
        <w:t>the date after registration.</w:t>
      </w:r>
      <w:r w:rsidR="002D46F1">
        <w:rPr>
          <w:i/>
        </w:rPr>
        <w:br w:type="page"/>
      </w:r>
    </w:p>
    <w:p w14:paraId="652452E2" w14:textId="77777777" w:rsidR="002D46F1" w:rsidRDefault="002D46F1" w:rsidP="002D46F1">
      <w:pPr>
        <w:pStyle w:val="Heading2"/>
        <w:jc w:val="right"/>
      </w:pPr>
      <w:r>
        <w:t>ATTACHMENT</w:t>
      </w:r>
    </w:p>
    <w:p w14:paraId="3D8CA156" w14:textId="56A12C10" w:rsidR="002D46F1" w:rsidRPr="00956D27" w:rsidRDefault="002D46F1" w:rsidP="002D46F1">
      <w:pPr>
        <w:spacing w:before="0" w:after="240"/>
        <w:ind w:right="91"/>
        <w:rPr>
          <w:b/>
          <w:bCs/>
          <w:i/>
          <w:u w:val="single"/>
        </w:rPr>
      </w:pPr>
      <w:r w:rsidRPr="00956D27">
        <w:rPr>
          <w:b/>
          <w:bCs/>
          <w:u w:val="single"/>
        </w:rPr>
        <w:t xml:space="preserve">Details of the </w:t>
      </w:r>
      <w:r w:rsidR="00286820" w:rsidRPr="00286820">
        <w:rPr>
          <w:b/>
          <w:bCs/>
          <w:i/>
          <w:u w:val="single"/>
        </w:rPr>
        <w:t>Tax and Superannuation Laws Amendment (2014 Measures No. 3) Regulation 2014</w:t>
      </w:r>
    </w:p>
    <w:p w14:paraId="57163609" w14:textId="77777777" w:rsidR="002D46F1" w:rsidRPr="00956D27" w:rsidRDefault="002D46F1" w:rsidP="002D46F1">
      <w:pPr>
        <w:autoSpaceDE w:val="0"/>
        <w:autoSpaceDN w:val="0"/>
        <w:adjustRightInd w:val="0"/>
        <w:spacing w:before="0" w:after="240"/>
        <w:rPr>
          <w:u w:val="single"/>
        </w:rPr>
      </w:pPr>
      <w:r w:rsidRPr="00956D27">
        <w:rPr>
          <w:u w:val="single"/>
        </w:rPr>
        <w:t>Section 1 – Name of Regulation</w:t>
      </w:r>
    </w:p>
    <w:p w14:paraId="0A23D04A" w14:textId="29D4BDCB" w:rsidR="002D46F1" w:rsidRPr="00A0616B" w:rsidRDefault="002D46F1" w:rsidP="00A0616B">
      <w:pPr>
        <w:spacing w:before="0" w:after="240"/>
        <w:ind w:right="91"/>
        <w:rPr>
          <w:b/>
          <w:bCs/>
          <w:i/>
          <w:u w:val="single"/>
        </w:rPr>
      </w:pPr>
      <w:r w:rsidRPr="00956D27">
        <w:t>This section provide</w:t>
      </w:r>
      <w:r>
        <w:t>s</w:t>
      </w:r>
      <w:r w:rsidRPr="00956D27">
        <w:t xml:space="preserve"> that the name of the Regulation </w:t>
      </w:r>
      <w:r>
        <w:t xml:space="preserve">is </w:t>
      </w:r>
      <w:r w:rsidRPr="00956D27">
        <w:t xml:space="preserve">the </w:t>
      </w:r>
      <w:r w:rsidR="00286820" w:rsidRPr="00286820">
        <w:rPr>
          <w:bCs/>
          <w:i/>
        </w:rPr>
        <w:t xml:space="preserve">Tax and Superannuation Laws Amendment (2014 Measures No. 3) Regulation 2014 </w:t>
      </w:r>
      <w:r w:rsidRPr="00286820">
        <w:t>(</w:t>
      </w:r>
      <w:r>
        <w:t>Regulation).</w:t>
      </w:r>
    </w:p>
    <w:p w14:paraId="1AFA5245" w14:textId="77777777" w:rsidR="002D46F1" w:rsidRPr="00956D27" w:rsidRDefault="002D46F1" w:rsidP="002D46F1">
      <w:pPr>
        <w:autoSpaceDE w:val="0"/>
        <w:autoSpaceDN w:val="0"/>
        <w:adjustRightInd w:val="0"/>
        <w:spacing w:before="0" w:after="240"/>
        <w:rPr>
          <w:u w:val="single"/>
        </w:rPr>
      </w:pPr>
      <w:r w:rsidRPr="00956D27">
        <w:rPr>
          <w:u w:val="single"/>
        </w:rPr>
        <w:t>Section 2 – Commencement</w:t>
      </w:r>
    </w:p>
    <w:p w14:paraId="1032DB10" w14:textId="7E30A415" w:rsidR="002D46F1" w:rsidRPr="00956D27" w:rsidRDefault="002D46F1" w:rsidP="002D46F1">
      <w:pPr>
        <w:autoSpaceDE w:val="0"/>
        <w:autoSpaceDN w:val="0"/>
        <w:adjustRightInd w:val="0"/>
        <w:spacing w:before="0" w:after="240"/>
      </w:pPr>
      <w:r w:rsidRPr="00C95396">
        <w:t xml:space="preserve">This section provides that </w:t>
      </w:r>
      <w:r>
        <w:t>the</w:t>
      </w:r>
      <w:r w:rsidRPr="00C95396">
        <w:t xml:space="preserve"> Regulation commence</w:t>
      </w:r>
      <w:r w:rsidR="006930B3">
        <w:t>s</w:t>
      </w:r>
      <w:r>
        <w:t xml:space="preserve"> the day following registration.</w:t>
      </w:r>
    </w:p>
    <w:p w14:paraId="0A0ABEEC" w14:textId="77777777" w:rsidR="002D46F1" w:rsidRPr="00956D27" w:rsidRDefault="002D46F1" w:rsidP="002D46F1">
      <w:pPr>
        <w:autoSpaceDE w:val="0"/>
        <w:autoSpaceDN w:val="0"/>
        <w:adjustRightInd w:val="0"/>
        <w:spacing w:before="0" w:after="240"/>
        <w:rPr>
          <w:u w:val="single"/>
        </w:rPr>
      </w:pPr>
      <w:r w:rsidRPr="00956D27">
        <w:rPr>
          <w:u w:val="single"/>
        </w:rPr>
        <w:t>Section 3 – A</w:t>
      </w:r>
      <w:r>
        <w:rPr>
          <w:u w:val="single"/>
        </w:rPr>
        <w:t xml:space="preserve">uthority </w:t>
      </w:r>
    </w:p>
    <w:p w14:paraId="69ED1B84" w14:textId="61BEBDF6" w:rsidR="00286820" w:rsidRDefault="002D46F1" w:rsidP="00286820">
      <w:pPr>
        <w:tabs>
          <w:tab w:val="left" w:pos="3544"/>
          <w:tab w:val="left" w:pos="4536"/>
        </w:tabs>
        <w:ind w:right="91"/>
        <w:rPr>
          <w:i/>
        </w:rPr>
      </w:pPr>
      <w:r w:rsidRPr="00956D27">
        <w:t>This section</w:t>
      </w:r>
      <w:r>
        <w:t xml:space="preserve"> </w:t>
      </w:r>
      <w:r w:rsidRPr="00956D27">
        <w:t>provide</w:t>
      </w:r>
      <w:r>
        <w:t>s</w:t>
      </w:r>
      <w:r w:rsidRPr="00956D27">
        <w:t xml:space="preserve"> </w:t>
      </w:r>
      <w:r>
        <w:t xml:space="preserve">that </w:t>
      </w:r>
      <w:r w:rsidRPr="00956D27">
        <w:t>th</w:t>
      </w:r>
      <w:r>
        <w:t xml:space="preserve">e Regulation is made under </w:t>
      </w:r>
      <w:r w:rsidRPr="00956D27">
        <w:t xml:space="preserve">the </w:t>
      </w:r>
      <w:r w:rsidRPr="002D46F1">
        <w:rPr>
          <w:i/>
          <w:iCs/>
        </w:rPr>
        <w:t xml:space="preserve">Taxation Administration Act 1953 </w:t>
      </w:r>
      <w:r w:rsidR="00286820" w:rsidRPr="00640D8E">
        <w:rPr>
          <w:iCs/>
        </w:rPr>
        <w:t>(</w:t>
      </w:r>
      <w:proofErr w:type="spellStart"/>
      <w:r w:rsidR="00286820">
        <w:rPr>
          <w:iCs/>
        </w:rPr>
        <w:t>TA</w:t>
      </w:r>
      <w:r w:rsidR="00286820" w:rsidRPr="00640D8E">
        <w:rPr>
          <w:iCs/>
        </w:rPr>
        <w:t>A</w:t>
      </w:r>
      <w:proofErr w:type="spellEnd"/>
      <w:r w:rsidR="00286820">
        <w:rPr>
          <w:iCs/>
        </w:rPr>
        <w:t xml:space="preserve"> 1953</w:t>
      </w:r>
      <w:r w:rsidR="00286820" w:rsidRPr="00640D8E">
        <w:rPr>
          <w:iCs/>
        </w:rPr>
        <w:t>)</w:t>
      </w:r>
      <w:r w:rsidR="00286820">
        <w:t xml:space="preserve"> and the </w:t>
      </w:r>
      <w:r w:rsidR="00286820">
        <w:rPr>
          <w:i/>
        </w:rPr>
        <w:t xml:space="preserve">Income Tax Assessment Act 1936 </w:t>
      </w:r>
      <w:r w:rsidR="00286820">
        <w:t>(</w:t>
      </w:r>
      <w:proofErr w:type="spellStart"/>
      <w:r w:rsidR="00286820">
        <w:t>ITAA</w:t>
      </w:r>
      <w:proofErr w:type="spellEnd"/>
      <w:r w:rsidR="00286820">
        <w:t xml:space="preserve"> 1936</w:t>
      </w:r>
      <w:r w:rsidR="00286820" w:rsidRPr="0071325E">
        <w:t>)</w:t>
      </w:r>
      <w:r w:rsidR="00286820">
        <w:t>.</w:t>
      </w:r>
    </w:p>
    <w:p w14:paraId="2EB83BF5" w14:textId="77777777" w:rsidR="002D46F1" w:rsidRDefault="002D46F1" w:rsidP="002D46F1">
      <w:pPr>
        <w:autoSpaceDE w:val="0"/>
        <w:autoSpaceDN w:val="0"/>
        <w:adjustRightInd w:val="0"/>
        <w:spacing w:before="0" w:after="240"/>
        <w:rPr>
          <w:u w:val="single"/>
        </w:rPr>
      </w:pPr>
      <w:r w:rsidRPr="00956D27">
        <w:rPr>
          <w:u w:val="single"/>
        </w:rPr>
        <w:t xml:space="preserve">Section </w:t>
      </w:r>
      <w:r>
        <w:rPr>
          <w:u w:val="single"/>
        </w:rPr>
        <w:t>4</w:t>
      </w:r>
      <w:r w:rsidRPr="00956D27">
        <w:rPr>
          <w:u w:val="single"/>
        </w:rPr>
        <w:t xml:space="preserve"> – </w:t>
      </w:r>
      <w:r>
        <w:rPr>
          <w:u w:val="single"/>
        </w:rPr>
        <w:t>Schedules</w:t>
      </w:r>
    </w:p>
    <w:p w14:paraId="6FCE5CF6" w14:textId="77777777" w:rsidR="00D33C67" w:rsidRDefault="00D33C67" w:rsidP="00D33C67">
      <w:pPr>
        <w:tabs>
          <w:tab w:val="left" w:pos="3544"/>
          <w:tab w:val="left" w:pos="4536"/>
        </w:tabs>
        <w:spacing w:after="240"/>
        <w:ind w:right="91"/>
      </w:pPr>
      <w: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502716ED" w14:textId="77777777" w:rsidR="00D33C67" w:rsidRPr="00AD4514" w:rsidRDefault="00D33C67" w:rsidP="00D33C67">
      <w:pPr>
        <w:spacing w:before="0" w:after="0"/>
        <w:rPr>
          <w:u w:val="single"/>
        </w:rPr>
      </w:pPr>
      <w:r w:rsidRPr="00AD4514">
        <w:rPr>
          <w:u w:val="single"/>
        </w:rPr>
        <w:t>Schedule 1 – Amendments</w:t>
      </w:r>
    </w:p>
    <w:p w14:paraId="34271FE0" w14:textId="77777777" w:rsidR="00D33C67" w:rsidRDefault="00D33C67" w:rsidP="002D46F1">
      <w:pPr>
        <w:spacing w:before="0" w:after="0"/>
        <w:rPr>
          <w:iCs/>
        </w:rPr>
      </w:pPr>
    </w:p>
    <w:p w14:paraId="153E8980" w14:textId="4CB29945" w:rsidR="00A0616B" w:rsidRPr="00003CE4" w:rsidRDefault="00A0616B" w:rsidP="00A0616B">
      <w:pPr>
        <w:spacing w:before="0" w:after="0"/>
        <w:rPr>
          <w:iCs/>
        </w:rPr>
      </w:pPr>
      <w:r w:rsidRPr="00003CE4">
        <w:rPr>
          <w:iCs/>
        </w:rPr>
        <w:t xml:space="preserve">Schedule 1 amends </w:t>
      </w:r>
      <w:r w:rsidR="00B3261B">
        <w:rPr>
          <w:iCs/>
        </w:rPr>
        <w:t xml:space="preserve">the table in </w:t>
      </w:r>
      <w:r w:rsidRPr="00003CE4">
        <w:rPr>
          <w:iCs/>
        </w:rPr>
        <w:t xml:space="preserve">Regulation </w:t>
      </w:r>
      <w:r>
        <w:rPr>
          <w:iCs/>
        </w:rPr>
        <w:t>4</w:t>
      </w:r>
      <w:r w:rsidRPr="00003CE4">
        <w:rPr>
          <w:iCs/>
        </w:rPr>
        <w:t>8 of the</w:t>
      </w:r>
      <w:r>
        <w:rPr>
          <w:iCs/>
        </w:rPr>
        <w:t xml:space="preserve"> </w:t>
      </w:r>
      <w:r>
        <w:rPr>
          <w:i/>
        </w:rPr>
        <w:t>Taxation Administration Regulations 1976</w:t>
      </w:r>
      <w:r>
        <w:t xml:space="preserve"> to include</w:t>
      </w:r>
      <w:r w:rsidRPr="00003CE4">
        <w:t xml:space="preserve"> </w:t>
      </w:r>
      <w:r>
        <w:t xml:space="preserve">the </w:t>
      </w:r>
      <w:r w:rsidRPr="00003CE4">
        <w:t>Trusts Taskforce</w:t>
      </w:r>
      <w:r w:rsidR="0018214B">
        <w:t xml:space="preserve"> as item </w:t>
      </w:r>
      <w:r w:rsidR="00EA744D">
        <w:t>4</w:t>
      </w:r>
      <w:r w:rsidR="0018214B">
        <w:t xml:space="preserve"> </w:t>
      </w:r>
      <w:r w:rsidR="00781735">
        <w:t>and</w:t>
      </w:r>
      <w:r w:rsidR="00781735" w:rsidRPr="00003CE4">
        <w:t xml:space="preserve"> the </w:t>
      </w:r>
      <w:r w:rsidR="00781735">
        <w:t xml:space="preserve">Phoenix Taskforce as item 5 </w:t>
      </w:r>
      <w:r w:rsidR="0018214B">
        <w:t xml:space="preserve">as </w:t>
      </w:r>
      <w:r w:rsidRPr="00003CE4">
        <w:t>prescribed taskforce</w:t>
      </w:r>
      <w:r>
        <w:t>s</w:t>
      </w:r>
      <w:r w:rsidRPr="00003CE4">
        <w:t xml:space="preserve"> </w:t>
      </w:r>
      <w:r>
        <w:t xml:space="preserve">to </w:t>
      </w:r>
      <w:r w:rsidRPr="00123C60">
        <w:t xml:space="preserve">allow for disclosure of protected tax information by taxation officers to </w:t>
      </w:r>
      <w:r w:rsidR="00E43963">
        <w:t>officers of</w:t>
      </w:r>
      <w:r w:rsidRPr="00123C60">
        <w:t xml:space="preserve"> the respective taskforces </w:t>
      </w:r>
      <w:r w:rsidRPr="00003CE4">
        <w:t xml:space="preserve">for the purposes of the </w:t>
      </w:r>
      <w:r>
        <w:t>taskforces</w:t>
      </w:r>
      <w:r w:rsidRPr="00003CE4">
        <w:t>.</w:t>
      </w:r>
    </w:p>
    <w:p w14:paraId="5BFE91AA" w14:textId="77777777" w:rsidR="00D33C67" w:rsidRDefault="00D33C67" w:rsidP="002D46F1">
      <w:pPr>
        <w:spacing w:before="0" w:after="0"/>
        <w:rPr>
          <w:iCs/>
        </w:rPr>
      </w:pPr>
    </w:p>
    <w:p w14:paraId="2BF1E13F" w14:textId="77777777" w:rsidR="00B1510B" w:rsidRDefault="00B1510B" w:rsidP="00B1510B">
      <w:pPr>
        <w:rPr>
          <w:u w:val="single"/>
        </w:rPr>
      </w:pPr>
      <w:r w:rsidRPr="0051764E">
        <w:rPr>
          <w:u w:val="single"/>
        </w:rPr>
        <w:t>Schedule 2 — Defence force pay and allowances</w:t>
      </w:r>
    </w:p>
    <w:p w14:paraId="795B0360" w14:textId="77777777" w:rsidR="00B1510B" w:rsidRPr="00560DE5" w:rsidRDefault="00B1510B" w:rsidP="00B1510B">
      <w:pPr>
        <w:rPr>
          <w:u w:val="single"/>
        </w:rPr>
      </w:pPr>
    </w:p>
    <w:p w14:paraId="339D83BE" w14:textId="4AA1FAB1" w:rsidR="00B1510B" w:rsidRDefault="00B1510B" w:rsidP="00B1510B">
      <w:r>
        <w:t xml:space="preserve">Section </w:t>
      </w:r>
      <w:proofErr w:type="spellStart"/>
      <w:r>
        <w:t>23AD</w:t>
      </w:r>
      <w:proofErr w:type="spellEnd"/>
      <w:r>
        <w:t xml:space="preserve"> of the </w:t>
      </w:r>
      <w:proofErr w:type="spellStart"/>
      <w:r>
        <w:t>ITAA</w:t>
      </w:r>
      <w:proofErr w:type="spellEnd"/>
      <w:r>
        <w:t xml:space="preserve"> 1936 provides an exemption from income tax of pay and allowances of Australian Defence Force (</w:t>
      </w:r>
      <w:proofErr w:type="spellStart"/>
      <w:r>
        <w:t>ADF</w:t>
      </w:r>
      <w:proofErr w:type="spellEnd"/>
      <w:r>
        <w:t xml:space="preserve">) members performing certain overseas duty.  Subsection </w:t>
      </w:r>
      <w:proofErr w:type="spellStart"/>
      <w:r>
        <w:t>23AD</w:t>
      </w:r>
      <w:proofErr w:type="spellEnd"/>
      <w:r>
        <w:t xml:space="preserve">(1) of the </w:t>
      </w:r>
      <w:proofErr w:type="spellStart"/>
      <w:r>
        <w:t>ITAA</w:t>
      </w:r>
      <w:proofErr w:type="spellEnd"/>
      <w:r>
        <w:t xml:space="preserve"> 1936 exempts the pay and allowances earned by </w:t>
      </w:r>
      <w:proofErr w:type="spellStart"/>
      <w:r>
        <w:t>ADF</w:t>
      </w:r>
      <w:proofErr w:type="spellEnd"/>
      <w:r>
        <w:t xml:space="preserve"> members from income tax where there is a certificate in force, issued in writing by the Chief of the Defence Force, to the effect that the members are on ‘eligible duty’.  Subsection </w:t>
      </w:r>
      <w:proofErr w:type="spellStart"/>
      <w:r>
        <w:t>23AD</w:t>
      </w:r>
      <w:proofErr w:type="spellEnd"/>
      <w:r>
        <w:t xml:space="preserve">(2) of the </w:t>
      </w:r>
      <w:proofErr w:type="spellStart"/>
      <w:r>
        <w:t>ITAA</w:t>
      </w:r>
      <w:proofErr w:type="spellEnd"/>
      <w:r>
        <w:t xml:space="preserve"> 1936 provides that the regulations may declare that duty with a specified organisation, in a specified area outside Australia, and after a specified day, is ‘eligible duty’ for the purposes of that section.</w:t>
      </w:r>
    </w:p>
    <w:p w14:paraId="2A018679" w14:textId="77777777" w:rsidR="00B1510B" w:rsidRDefault="00B1510B" w:rsidP="00B1510B">
      <w:r>
        <w:t xml:space="preserve">Regulation </w:t>
      </w:r>
      <w:proofErr w:type="spellStart"/>
      <w:r>
        <w:t>7A</w:t>
      </w:r>
      <w:proofErr w:type="spellEnd"/>
      <w:r>
        <w:t xml:space="preserve"> of the </w:t>
      </w:r>
      <w:r w:rsidRPr="00560DE5">
        <w:rPr>
          <w:i/>
        </w:rPr>
        <w:t>Income Tax Regulations 1936</w:t>
      </w:r>
      <w:r>
        <w:t xml:space="preserve"> (</w:t>
      </w:r>
      <w:proofErr w:type="spellStart"/>
      <w:r>
        <w:t>ITR</w:t>
      </w:r>
      <w:proofErr w:type="spellEnd"/>
      <w:r>
        <w:t xml:space="preserve"> 1936) specifies duty with various organisations in various areas outside Australia and declares that duty to be ‘eligible duty’ for the purposes of section </w:t>
      </w:r>
      <w:proofErr w:type="spellStart"/>
      <w:r>
        <w:t>23AD</w:t>
      </w:r>
      <w:proofErr w:type="spellEnd"/>
      <w:r>
        <w:t xml:space="preserve"> of the </w:t>
      </w:r>
      <w:proofErr w:type="spellStart"/>
      <w:r>
        <w:t>ITAA</w:t>
      </w:r>
      <w:proofErr w:type="spellEnd"/>
      <w:r>
        <w:t xml:space="preserve"> 1936.</w:t>
      </w:r>
    </w:p>
    <w:p w14:paraId="238F8BA1" w14:textId="1072CAD4" w:rsidR="00B1510B" w:rsidRPr="00F86587" w:rsidRDefault="00B1510B" w:rsidP="00B1510B">
      <w:r w:rsidRPr="00F86587">
        <w:t xml:space="preserve">Operation OKRA is the </w:t>
      </w:r>
      <w:proofErr w:type="spellStart"/>
      <w:r w:rsidRPr="00F86587">
        <w:t>ADF</w:t>
      </w:r>
      <w:proofErr w:type="spellEnd"/>
      <w:r w:rsidRPr="00F86587">
        <w:t xml:space="preserve"> contribution to the Iraq crisis. </w:t>
      </w:r>
      <w:r>
        <w:t xml:space="preserve"> </w:t>
      </w:r>
      <w:r w:rsidRPr="00F86587">
        <w:t>Under Operation OKRA, the Department of Defence provide</w:t>
      </w:r>
      <w:r>
        <w:t>s</w:t>
      </w:r>
      <w:r w:rsidRPr="00F86587">
        <w:t xml:space="preserve"> humanitarian aid and operational support as agreed by the Australian Government. </w:t>
      </w:r>
      <w:r>
        <w:t xml:space="preserve"> </w:t>
      </w:r>
      <w:r w:rsidRPr="00F86587">
        <w:t xml:space="preserve">Item 1 in Schedule </w:t>
      </w:r>
      <w:r>
        <w:t>2</w:t>
      </w:r>
      <w:r w:rsidRPr="00F86587">
        <w:t xml:space="preserve"> to </w:t>
      </w:r>
      <w:r>
        <w:t xml:space="preserve">the </w:t>
      </w:r>
      <w:r w:rsidRPr="00F86587">
        <w:t>Regulation amend</w:t>
      </w:r>
      <w:r>
        <w:t>s</w:t>
      </w:r>
      <w:r w:rsidRPr="00F86587">
        <w:t xml:space="preserve"> the </w:t>
      </w:r>
      <w:proofErr w:type="spellStart"/>
      <w:r w:rsidRPr="00F86587">
        <w:t>ITR</w:t>
      </w:r>
      <w:proofErr w:type="spellEnd"/>
      <w:r w:rsidRPr="00F86587">
        <w:t xml:space="preserve"> 1936 to specify that eligible duty includes duty undertaken within Iraq as part of Operation OKRA for the period 9 August 2014 to</w:t>
      </w:r>
      <w:r>
        <w:t> </w:t>
      </w:r>
      <w:r w:rsidRPr="00F86587">
        <w:t>30</w:t>
      </w:r>
      <w:r>
        <w:t> </w:t>
      </w:r>
      <w:r w:rsidRPr="00F86587">
        <w:t xml:space="preserve">June 2015. This includes duty in the land territory, territorial waters, airspace, and </w:t>
      </w:r>
      <w:proofErr w:type="spellStart"/>
      <w:r w:rsidRPr="00F86587">
        <w:t>superjacent</w:t>
      </w:r>
      <w:proofErr w:type="spellEnd"/>
      <w:r w:rsidRPr="00F86587">
        <w:t xml:space="preserve"> airspace of </w:t>
      </w:r>
      <w:r>
        <w:t xml:space="preserve">the Republic of </w:t>
      </w:r>
      <w:r w:rsidRPr="00F86587">
        <w:t>Iraq.</w:t>
      </w:r>
    </w:p>
    <w:p w14:paraId="3285CA9A" w14:textId="6C9B9BCB" w:rsidR="00D33C67" w:rsidRDefault="00D33C67" w:rsidP="002D46F1">
      <w:pPr>
        <w:spacing w:before="0" w:after="0"/>
        <w:rPr>
          <w:i/>
        </w:rPr>
      </w:pPr>
    </w:p>
    <w:p w14:paraId="25F03A39" w14:textId="77777777" w:rsidR="002D46F1" w:rsidRPr="00A0616B" w:rsidRDefault="002D46F1" w:rsidP="002D46F1">
      <w:pPr>
        <w:pStyle w:val="Heading3"/>
        <w:jc w:val="center"/>
        <w:rPr>
          <w:rFonts w:ascii="Times New Roman" w:hAnsi="Times New Roman"/>
        </w:rPr>
      </w:pPr>
      <w:r w:rsidRPr="00A0616B">
        <w:rPr>
          <w:rFonts w:ascii="Times New Roman" w:hAnsi="Times New Roman"/>
        </w:rPr>
        <w:t>Statement of Compatibility with Human Rights</w:t>
      </w:r>
    </w:p>
    <w:p w14:paraId="1007082B" w14:textId="77777777" w:rsidR="002D46F1" w:rsidRDefault="002D46F1" w:rsidP="006A3502">
      <w:pPr>
        <w:jc w:val="center"/>
        <w:rPr>
          <w:i/>
        </w:rPr>
      </w:pPr>
    </w:p>
    <w:p w14:paraId="4DEF556A" w14:textId="77777777" w:rsidR="006A3502" w:rsidRPr="00E4438C" w:rsidRDefault="006A3502" w:rsidP="006A3502">
      <w:pPr>
        <w:jc w:val="center"/>
        <w:rPr>
          <w:i/>
        </w:rPr>
      </w:pPr>
      <w:r w:rsidRPr="00E4438C">
        <w:rPr>
          <w:i/>
        </w:rPr>
        <w:t>Prepared in accordance with Part 3 of the Human Rights (Parliamentary Scrutiny) Act 2011</w:t>
      </w:r>
    </w:p>
    <w:p w14:paraId="55F67206" w14:textId="4F298EDC" w:rsidR="00286820" w:rsidRDefault="00286820" w:rsidP="00286820">
      <w:pPr>
        <w:jc w:val="center"/>
        <w:rPr>
          <w:b/>
          <w:bCs/>
          <w:i/>
          <w:u w:val="single"/>
        </w:rPr>
      </w:pPr>
      <w:r w:rsidRPr="00286820">
        <w:rPr>
          <w:b/>
          <w:bCs/>
          <w:i/>
          <w:u w:val="single"/>
        </w:rPr>
        <w:t>Tax and Superannuation Laws Amendment (</w:t>
      </w:r>
      <w:r>
        <w:rPr>
          <w:b/>
          <w:bCs/>
          <w:i/>
          <w:u w:val="single"/>
        </w:rPr>
        <w:t>2014 Measures No. 3) Regulation </w:t>
      </w:r>
      <w:r w:rsidRPr="00286820">
        <w:rPr>
          <w:b/>
          <w:bCs/>
          <w:i/>
          <w:u w:val="single"/>
        </w:rPr>
        <w:t>2014</w:t>
      </w:r>
    </w:p>
    <w:p w14:paraId="05CCB4A1" w14:textId="6A81393A" w:rsidR="006A3502" w:rsidRDefault="006A3502" w:rsidP="006A3502">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193A37D1" w14:textId="77777777" w:rsidR="006A3502" w:rsidRDefault="006A3502" w:rsidP="006A3502">
      <w:pPr>
        <w:pStyle w:val="Heading4"/>
      </w:pPr>
      <w:r>
        <w:t xml:space="preserve">Overview of the </w:t>
      </w:r>
      <w:r w:rsidRPr="00E4438C">
        <w:t>Legislative</w:t>
      </w:r>
      <w:r>
        <w:t xml:space="preserve"> Instrument</w:t>
      </w:r>
    </w:p>
    <w:p w14:paraId="315D076B" w14:textId="77777777" w:rsidR="00EA467B" w:rsidRDefault="006A3502" w:rsidP="00EA467B">
      <w:r>
        <w:t>The amendments allow for the sharing of taxation information</w:t>
      </w:r>
      <w:r w:rsidR="00E43963">
        <w:t xml:space="preserve"> to and</w:t>
      </w:r>
      <w:r>
        <w:t xml:space="preserve"> between constituent members of the Trusts </w:t>
      </w:r>
      <w:r w:rsidR="00EA467B">
        <w:t>Taskforce and Phoenix Taskforce, and provides an exemption from income tax of pay and allowances of Australian Defence Force (</w:t>
      </w:r>
      <w:proofErr w:type="spellStart"/>
      <w:r w:rsidR="00EA467B">
        <w:t>ADF</w:t>
      </w:r>
      <w:proofErr w:type="spellEnd"/>
      <w:r w:rsidR="00EA467B">
        <w:t xml:space="preserve">) members performing certain overseas duty.  </w:t>
      </w:r>
    </w:p>
    <w:p w14:paraId="0DC6F52E" w14:textId="22E4AB8B" w:rsidR="00EA467B" w:rsidRPr="00EA467B" w:rsidRDefault="006534A5" w:rsidP="006A3502">
      <w:pPr>
        <w:pStyle w:val="Heading4"/>
      </w:pPr>
      <w:r>
        <w:t>H</w:t>
      </w:r>
      <w:r w:rsidR="00EA467B">
        <w:t>uman rights implication</w:t>
      </w:r>
    </w:p>
    <w:p w14:paraId="2B73BC9B" w14:textId="77777777" w:rsidR="00EA467B" w:rsidRPr="00244E8E" w:rsidRDefault="00EA467B" w:rsidP="00EA467B">
      <w:pPr>
        <w:rPr>
          <w:i/>
        </w:rPr>
      </w:pPr>
      <w:r>
        <w:rPr>
          <w:i/>
        </w:rPr>
        <w:t>Tax i</w:t>
      </w:r>
      <w:r w:rsidRPr="00244E8E">
        <w:rPr>
          <w:i/>
        </w:rPr>
        <w:t>nformation sharing and taskforces</w:t>
      </w:r>
    </w:p>
    <w:p w14:paraId="7E05AB04" w14:textId="77777777" w:rsidR="006A3502" w:rsidRDefault="006A3502" w:rsidP="006A3502">
      <w:pPr>
        <w:pStyle w:val="Heading4"/>
        <w:rPr>
          <w:b w:val="0"/>
          <w:kern w:val="0"/>
        </w:rPr>
      </w:pPr>
      <w:r w:rsidRPr="0077595F">
        <w:rPr>
          <w:b w:val="0"/>
          <w:kern w:val="0"/>
        </w:rPr>
        <w:t xml:space="preserve">The </w:t>
      </w:r>
      <w:r>
        <w:rPr>
          <w:b w:val="0"/>
          <w:kern w:val="0"/>
        </w:rPr>
        <w:t>amendments engage</w:t>
      </w:r>
      <w:r w:rsidRPr="0077595F">
        <w:rPr>
          <w:b w:val="0"/>
          <w:kern w:val="0"/>
        </w:rPr>
        <w:t xml:space="preserve"> Article 17 of the</w:t>
      </w:r>
      <w:r>
        <w:rPr>
          <w:b w:val="0"/>
          <w:kern w:val="0"/>
        </w:rPr>
        <w:t xml:space="preserve"> International Covenant on Civil and Political Rights</w:t>
      </w:r>
      <w:r w:rsidRPr="0077595F">
        <w:rPr>
          <w:b w:val="0"/>
          <w:kern w:val="0"/>
        </w:rPr>
        <w:t xml:space="preserve"> </w:t>
      </w:r>
      <w:r>
        <w:rPr>
          <w:b w:val="0"/>
          <w:kern w:val="0"/>
        </w:rPr>
        <w:t>(</w:t>
      </w:r>
      <w:proofErr w:type="spellStart"/>
      <w:r w:rsidRPr="0077595F">
        <w:rPr>
          <w:b w:val="0"/>
          <w:kern w:val="0"/>
        </w:rPr>
        <w:t>ICCPR</w:t>
      </w:r>
      <w:proofErr w:type="spellEnd"/>
      <w:r>
        <w:rPr>
          <w:b w:val="0"/>
          <w:kern w:val="0"/>
        </w:rPr>
        <w:t>)</w:t>
      </w:r>
      <w:r w:rsidRPr="0077595F">
        <w:rPr>
          <w:b w:val="0"/>
          <w:kern w:val="0"/>
        </w:rPr>
        <w:t>, as it will interfere</w:t>
      </w:r>
      <w:r>
        <w:rPr>
          <w:b w:val="0"/>
          <w:kern w:val="0"/>
        </w:rPr>
        <w:t xml:space="preserve"> </w:t>
      </w:r>
      <w:r w:rsidRPr="0077595F">
        <w:rPr>
          <w:b w:val="0"/>
          <w:kern w:val="0"/>
        </w:rPr>
        <w:t>with the privacy of individuals.</w:t>
      </w:r>
      <w:r>
        <w:rPr>
          <w:b w:val="0"/>
          <w:kern w:val="0"/>
        </w:rPr>
        <w:t xml:space="preserve"> Specifically, Article 17 says that individuals shall not be subject to unlawful or arbitrary interference with their privacy.</w:t>
      </w:r>
    </w:p>
    <w:p w14:paraId="3A7EB19D" w14:textId="257FF75D" w:rsidR="006A3502" w:rsidRDefault="006A3502" w:rsidP="006A3502">
      <w:pPr>
        <w:pStyle w:val="base-text-paragraph"/>
        <w:ind w:left="0"/>
      </w:pPr>
      <w:r>
        <w:t xml:space="preserve">Prescription of the taskforces allow taxation information to be lawfully shared </w:t>
      </w:r>
      <w:r w:rsidR="00C419AF">
        <w:t xml:space="preserve">to and </w:t>
      </w:r>
      <w:r>
        <w:t xml:space="preserve">between the member agencies, in order to conduct investigations. While the United Nations Human Rights Committee states that arbitrary interference with privacy extends to interference provided for under the law, </w:t>
      </w:r>
      <w:r w:rsidR="00D057EE">
        <w:t xml:space="preserve">it also provides that </w:t>
      </w:r>
      <w:r>
        <w:t xml:space="preserve">where the interference is reasonable in the circumstances and in accordance with the aims and objectives of the </w:t>
      </w:r>
      <w:proofErr w:type="spellStart"/>
      <w:r>
        <w:t>ICCPR</w:t>
      </w:r>
      <w:proofErr w:type="spellEnd"/>
      <w:r>
        <w:t xml:space="preserve">, the interference will not be considered arbitrary. </w:t>
      </w:r>
    </w:p>
    <w:p w14:paraId="7AF2C1C4" w14:textId="77777777" w:rsidR="00B11233" w:rsidRDefault="006A3502" w:rsidP="006A3502">
      <w:pPr>
        <w:pStyle w:val="base-text-paragraph"/>
        <w:ind w:left="0"/>
      </w:pPr>
      <w:r>
        <w:t>Both taskforces conduct investigations into behaviour which is difficult for a single agency to identify, and accordingly a cross-agency approach is required. If information sharing were not allowed, the investigations being conducted by the taskforces would be frustrated. The disclosure mechanism is proportional to achieving this objective, as information which is shared between members of the taskforce may only be used for the purposes of the taskforce.</w:t>
      </w:r>
      <w:r w:rsidR="00B11233">
        <w:t xml:space="preserve">  </w:t>
      </w:r>
    </w:p>
    <w:p w14:paraId="77999D2B" w14:textId="69968425" w:rsidR="00EA467B" w:rsidRDefault="00B11233" w:rsidP="00EA467B">
      <w:pPr>
        <w:pStyle w:val="base-text-paragraph"/>
        <w:ind w:left="0"/>
      </w:pPr>
      <w:r>
        <w:t xml:space="preserve">Furthermore, </w:t>
      </w:r>
      <w:r w:rsidR="00AA1BAB">
        <w:t xml:space="preserve">the work of the Phoenix taskforce to mitigate and deter the </w:t>
      </w:r>
      <w:r w:rsidR="00AA1BAB" w:rsidRPr="00AA1BAB">
        <w:t xml:space="preserve">evasion of </w:t>
      </w:r>
      <w:r w:rsidR="00AA1BAB">
        <w:t>employees’ superannuation guarantees or</w:t>
      </w:r>
      <w:r w:rsidR="00AA1BAB" w:rsidRPr="000D4EC7">
        <w:t xml:space="preserve"> other employee entitlements</w:t>
      </w:r>
      <w:r>
        <w:t xml:space="preserve"> will </w:t>
      </w:r>
      <w:r w:rsidR="00AA1BAB">
        <w:t>help ensure</w:t>
      </w:r>
      <w:r>
        <w:t xml:space="preserve"> the purposes of Article 9 of the </w:t>
      </w:r>
      <w:r w:rsidR="00AA1BAB">
        <w:t>International Covenant on Economic, Social and Cultural Rights, which recognises the right of everyone to social security, including social insurance.</w:t>
      </w:r>
      <w:r w:rsidR="00D057EE">
        <w:t xml:space="preserve">  </w:t>
      </w:r>
      <w:r w:rsidR="000846B2">
        <w:t xml:space="preserve">In fulfilling this obligation, </w:t>
      </w:r>
      <w:r w:rsidR="006E7210">
        <w:t>p</w:t>
      </w:r>
      <w:r w:rsidR="00D057EE">
        <w:t>ublic authorities</w:t>
      </w:r>
      <w:r w:rsidR="000846B2">
        <w:t xml:space="preserve"> are required</w:t>
      </w:r>
      <w:r w:rsidR="00D057EE">
        <w:t xml:space="preserve"> to </w:t>
      </w:r>
      <w:r w:rsidR="00D057EE" w:rsidRPr="00D057EE">
        <w:t>take responsibility for the effective administration of the system</w:t>
      </w:r>
      <w:r w:rsidR="00C44B69">
        <w:t>.</w:t>
      </w:r>
      <w:r w:rsidR="00AA1BAB">
        <w:t xml:space="preserve"> </w:t>
      </w:r>
      <w:r w:rsidR="00C44B69">
        <w:t xml:space="preserve"> </w:t>
      </w:r>
      <w:r w:rsidR="00AA1BAB">
        <w:t xml:space="preserve">It also engages </w:t>
      </w:r>
      <w:r w:rsidR="00D057EE">
        <w:t>Article</w:t>
      </w:r>
      <w:r w:rsidR="00AA1BAB">
        <w:t xml:space="preserve"> </w:t>
      </w:r>
      <w:r w:rsidR="00997BC8">
        <w:t>7</w:t>
      </w:r>
      <w:r w:rsidR="00AA1BAB">
        <w:t xml:space="preserve"> of the International Covenant on Economic, Social and Cultural Rights, which recognise</w:t>
      </w:r>
      <w:r w:rsidR="00D057EE">
        <w:t>s</w:t>
      </w:r>
      <w:r w:rsidR="00997BC8">
        <w:t xml:space="preserve"> the</w:t>
      </w:r>
      <w:r w:rsidR="00AA1BAB">
        <w:t xml:space="preserve"> </w:t>
      </w:r>
      <w:r w:rsidR="00997BC8" w:rsidRPr="00997BC8">
        <w:t>right of everyone to the enjoyment of just and favourable conditions of work</w:t>
      </w:r>
      <w:r w:rsidR="00AA1BAB">
        <w:t>.</w:t>
      </w:r>
      <w:r w:rsidR="00997BC8">
        <w:t xml:space="preserve">  In particular, Article 7 includes ensuring f</w:t>
      </w:r>
      <w:r w:rsidR="00997BC8" w:rsidRPr="00997BC8">
        <w:t>air wages and equal remuneration for work of</w:t>
      </w:r>
      <w:r w:rsidR="00997BC8">
        <w:t xml:space="preserve"> equal value.</w:t>
      </w:r>
    </w:p>
    <w:p w14:paraId="794EF69E" w14:textId="3995BECD" w:rsidR="00EA467B" w:rsidRPr="00EA467B" w:rsidRDefault="00EA467B" w:rsidP="00EA467B">
      <w:r w:rsidRPr="0051764E">
        <w:rPr>
          <w:i/>
        </w:rPr>
        <w:t xml:space="preserve">Amendments to tax arrangements for overseas </w:t>
      </w:r>
      <w:proofErr w:type="spellStart"/>
      <w:r w:rsidR="006534A5">
        <w:rPr>
          <w:i/>
        </w:rPr>
        <w:t>ADF</w:t>
      </w:r>
      <w:proofErr w:type="spellEnd"/>
      <w:r w:rsidRPr="0051764E">
        <w:rPr>
          <w:i/>
        </w:rPr>
        <w:t xml:space="preserve"> personnel</w:t>
      </w:r>
    </w:p>
    <w:p w14:paraId="06425B1F" w14:textId="4492A6F1" w:rsidR="00EA467B" w:rsidRDefault="00EA467B" w:rsidP="00EA467B">
      <w:r>
        <w:t>The amendment</w:t>
      </w:r>
      <w:r w:rsidR="00F74230">
        <w:t>s</w:t>
      </w:r>
      <w:r>
        <w:t xml:space="preserve"> relating to tax arrangements for overseas </w:t>
      </w:r>
      <w:proofErr w:type="spellStart"/>
      <w:r w:rsidR="006534A5">
        <w:t>ADF</w:t>
      </w:r>
      <w:proofErr w:type="spellEnd"/>
      <w:r>
        <w:t xml:space="preserve"> personnel do not engage any of the applicable rights or freedoms.  The amendments to tax arrangements for overseas </w:t>
      </w:r>
      <w:proofErr w:type="spellStart"/>
      <w:r w:rsidR="006534A5">
        <w:t>ADF</w:t>
      </w:r>
      <w:proofErr w:type="spellEnd"/>
      <w:r>
        <w:t xml:space="preserve"> personnel </w:t>
      </w:r>
      <w:r w:rsidR="00F74230">
        <w:t>are minor</w:t>
      </w:r>
      <w:r>
        <w:t>,</w:t>
      </w:r>
      <w:r w:rsidR="00F74230">
        <w:t xml:space="preserve"> and</w:t>
      </w:r>
      <w:r>
        <w:t xml:space="preserve"> extend tax concessions to </w:t>
      </w:r>
      <w:proofErr w:type="spellStart"/>
      <w:r w:rsidR="006534A5">
        <w:t>ADF</w:t>
      </w:r>
      <w:proofErr w:type="spellEnd"/>
      <w:r>
        <w:t xml:space="preserve"> personnel engaged in operation OKRA, consistent with previous arrangements for comparable operations.</w:t>
      </w:r>
    </w:p>
    <w:p w14:paraId="61278EED" w14:textId="12E73B68" w:rsidR="006A3502" w:rsidRDefault="006A3502" w:rsidP="006A3502">
      <w:pPr>
        <w:pStyle w:val="Heading4"/>
      </w:pPr>
      <w:r>
        <w:t>Conclusion</w:t>
      </w:r>
    </w:p>
    <w:p w14:paraId="6E4797FE" w14:textId="26D1D7F9" w:rsidR="0098616F" w:rsidRDefault="0098616F" w:rsidP="006A3502">
      <w:r>
        <w:t xml:space="preserve">The Regulation is compatible with human rights because to the extent that it may limit human rights, the limitations are reasonable, necessary and proportionate. </w:t>
      </w:r>
    </w:p>
    <w:p w14:paraId="64BA04AF" w14:textId="79BC755C" w:rsidR="00E4438C" w:rsidRDefault="00E4438C" w:rsidP="006A3502">
      <w:pPr>
        <w:jc w:val="center"/>
      </w:pPr>
      <w:bookmarkStart w:id="0" w:name="_GoBack"/>
      <w:bookmarkEnd w:id="0"/>
    </w:p>
    <w:sectPr w:rsidR="00E4438C" w:rsidSect="00392BB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3DCC15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ED1"/>
    <w:rsid w:val="00005106"/>
    <w:rsid w:val="00016EA2"/>
    <w:rsid w:val="00055B87"/>
    <w:rsid w:val="00065D6A"/>
    <w:rsid w:val="000846B2"/>
    <w:rsid w:val="00095211"/>
    <w:rsid w:val="000B13C6"/>
    <w:rsid w:val="000C10DF"/>
    <w:rsid w:val="000D4EC7"/>
    <w:rsid w:val="00113B45"/>
    <w:rsid w:val="00137023"/>
    <w:rsid w:val="0018214B"/>
    <w:rsid w:val="001C43D1"/>
    <w:rsid w:val="001E2C55"/>
    <w:rsid w:val="001E6A74"/>
    <w:rsid w:val="001F41D0"/>
    <w:rsid w:val="0021652F"/>
    <w:rsid w:val="00220F16"/>
    <w:rsid w:val="00244E8E"/>
    <w:rsid w:val="00254C5B"/>
    <w:rsid w:val="0026445D"/>
    <w:rsid w:val="00286820"/>
    <w:rsid w:val="002D46F1"/>
    <w:rsid w:val="002E5AE4"/>
    <w:rsid w:val="003009C9"/>
    <w:rsid w:val="00304ABF"/>
    <w:rsid w:val="003342CD"/>
    <w:rsid w:val="00335042"/>
    <w:rsid w:val="003547A6"/>
    <w:rsid w:val="00372433"/>
    <w:rsid w:val="00381E2E"/>
    <w:rsid w:val="00392BBA"/>
    <w:rsid w:val="004020CD"/>
    <w:rsid w:val="00450AD6"/>
    <w:rsid w:val="00470759"/>
    <w:rsid w:val="004E29CA"/>
    <w:rsid w:val="004E39E1"/>
    <w:rsid w:val="00503E44"/>
    <w:rsid w:val="00515283"/>
    <w:rsid w:val="0055675D"/>
    <w:rsid w:val="005704AA"/>
    <w:rsid w:val="005706F9"/>
    <w:rsid w:val="005833BE"/>
    <w:rsid w:val="005D4AE4"/>
    <w:rsid w:val="005D7D5A"/>
    <w:rsid w:val="005F5545"/>
    <w:rsid w:val="0060130D"/>
    <w:rsid w:val="006166DC"/>
    <w:rsid w:val="0064129F"/>
    <w:rsid w:val="006534A5"/>
    <w:rsid w:val="00683D0E"/>
    <w:rsid w:val="006930B3"/>
    <w:rsid w:val="006A2F5E"/>
    <w:rsid w:val="006A3502"/>
    <w:rsid w:val="006D4499"/>
    <w:rsid w:val="006E7210"/>
    <w:rsid w:val="00781735"/>
    <w:rsid w:val="00786151"/>
    <w:rsid w:val="007A0ACF"/>
    <w:rsid w:val="007E018D"/>
    <w:rsid w:val="007F6F79"/>
    <w:rsid w:val="00807E7D"/>
    <w:rsid w:val="00831675"/>
    <w:rsid w:val="0086785B"/>
    <w:rsid w:val="0088467C"/>
    <w:rsid w:val="00886F14"/>
    <w:rsid w:val="008D16F7"/>
    <w:rsid w:val="009440B0"/>
    <w:rsid w:val="00946ED1"/>
    <w:rsid w:val="00981601"/>
    <w:rsid w:val="0098616F"/>
    <w:rsid w:val="00997BC8"/>
    <w:rsid w:val="009B11D2"/>
    <w:rsid w:val="009C7076"/>
    <w:rsid w:val="009E2F86"/>
    <w:rsid w:val="00A02378"/>
    <w:rsid w:val="00A0616B"/>
    <w:rsid w:val="00A12209"/>
    <w:rsid w:val="00A26C8C"/>
    <w:rsid w:val="00A36DF3"/>
    <w:rsid w:val="00A46E56"/>
    <w:rsid w:val="00A532DD"/>
    <w:rsid w:val="00A80BCF"/>
    <w:rsid w:val="00AA1BAB"/>
    <w:rsid w:val="00AE55E8"/>
    <w:rsid w:val="00B07B0C"/>
    <w:rsid w:val="00B11233"/>
    <w:rsid w:val="00B1510B"/>
    <w:rsid w:val="00B3261B"/>
    <w:rsid w:val="00B67B76"/>
    <w:rsid w:val="00B742B6"/>
    <w:rsid w:val="00B872AF"/>
    <w:rsid w:val="00B912B1"/>
    <w:rsid w:val="00BD61A2"/>
    <w:rsid w:val="00BE484D"/>
    <w:rsid w:val="00BF3CC6"/>
    <w:rsid w:val="00C37E05"/>
    <w:rsid w:val="00C419AF"/>
    <w:rsid w:val="00C44B69"/>
    <w:rsid w:val="00C55D29"/>
    <w:rsid w:val="00C95F08"/>
    <w:rsid w:val="00CB6DBC"/>
    <w:rsid w:val="00D057EE"/>
    <w:rsid w:val="00D30700"/>
    <w:rsid w:val="00D33C67"/>
    <w:rsid w:val="00D34626"/>
    <w:rsid w:val="00D4257A"/>
    <w:rsid w:val="00D47014"/>
    <w:rsid w:val="00D6061C"/>
    <w:rsid w:val="00D90314"/>
    <w:rsid w:val="00D97516"/>
    <w:rsid w:val="00DC0CDE"/>
    <w:rsid w:val="00DF2A25"/>
    <w:rsid w:val="00E0624D"/>
    <w:rsid w:val="00E126F4"/>
    <w:rsid w:val="00E43963"/>
    <w:rsid w:val="00E4438C"/>
    <w:rsid w:val="00E457F3"/>
    <w:rsid w:val="00E67202"/>
    <w:rsid w:val="00EA467B"/>
    <w:rsid w:val="00EA744D"/>
    <w:rsid w:val="00EB7E71"/>
    <w:rsid w:val="00F109D4"/>
    <w:rsid w:val="00F554FD"/>
    <w:rsid w:val="00F74230"/>
    <w:rsid w:val="00FA1625"/>
    <w:rsid w:val="00FB7647"/>
    <w:rsid w:val="00FC1BBA"/>
    <w:rsid w:val="00FF1057"/>
    <w:rsid w:val="00FF3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A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paragraph" w:styleId="Heading5">
    <w:name w:val="heading 5"/>
    <w:basedOn w:val="Normal"/>
    <w:next w:val="Normal"/>
    <w:link w:val="Heading5Char"/>
    <w:uiPriority w:val="9"/>
    <w:unhideWhenUsed/>
    <w:qFormat/>
    <w:rsid w:val="006166D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166D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uiPriority w:val="99"/>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uiPriority w:val="99"/>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uiPriority w:val="99"/>
    <w:rsid w:val="00E0624D"/>
    <w:pPr>
      <w:numPr>
        <w:ilvl w:val="2"/>
        <w:numId w:val="2"/>
      </w:numPr>
      <w:spacing w:before="240"/>
    </w:pPr>
    <w:rPr>
      <w:szCs w:val="23"/>
    </w:rPr>
  </w:style>
  <w:style w:type="character" w:customStyle="1" w:styleId="DoubleDotChar">
    <w:name w:val="Double Dot Char"/>
    <w:basedOn w:val="DefaultChar"/>
    <w:link w:val="DoubleDot"/>
    <w:uiPriority w:val="99"/>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D90314"/>
    <w:rPr>
      <w:sz w:val="16"/>
      <w:szCs w:val="16"/>
    </w:rPr>
  </w:style>
  <w:style w:type="paragraph" w:styleId="CommentText">
    <w:name w:val="annotation text"/>
    <w:basedOn w:val="Normal"/>
    <w:link w:val="CommentTextChar"/>
    <w:uiPriority w:val="99"/>
    <w:semiHidden/>
    <w:unhideWhenUsed/>
    <w:rsid w:val="00D90314"/>
    <w:rPr>
      <w:sz w:val="20"/>
    </w:rPr>
  </w:style>
  <w:style w:type="character" w:customStyle="1" w:styleId="CommentTextChar">
    <w:name w:val="Comment Text Char"/>
    <w:basedOn w:val="DefaultParagraphFont"/>
    <w:link w:val="CommentText"/>
    <w:uiPriority w:val="99"/>
    <w:semiHidden/>
    <w:rsid w:val="00D90314"/>
  </w:style>
  <w:style w:type="paragraph" w:styleId="CommentSubject">
    <w:name w:val="annotation subject"/>
    <w:basedOn w:val="CommentText"/>
    <w:next w:val="CommentText"/>
    <w:link w:val="CommentSubjectChar"/>
    <w:uiPriority w:val="99"/>
    <w:semiHidden/>
    <w:unhideWhenUsed/>
    <w:rsid w:val="00D90314"/>
    <w:rPr>
      <w:b/>
      <w:bCs/>
    </w:rPr>
  </w:style>
  <w:style w:type="character" w:customStyle="1" w:styleId="CommentSubjectChar">
    <w:name w:val="Comment Subject Char"/>
    <w:basedOn w:val="CommentTextChar"/>
    <w:link w:val="CommentSubject"/>
    <w:uiPriority w:val="99"/>
    <w:semiHidden/>
    <w:rsid w:val="00D90314"/>
    <w:rPr>
      <w:b/>
      <w:bCs/>
    </w:rPr>
  </w:style>
  <w:style w:type="paragraph" w:styleId="Revision">
    <w:name w:val="Revision"/>
    <w:hidden/>
    <w:uiPriority w:val="99"/>
    <w:semiHidden/>
    <w:rsid w:val="00D33C67"/>
    <w:rPr>
      <w:sz w:val="24"/>
    </w:rPr>
  </w:style>
  <w:style w:type="character" w:customStyle="1" w:styleId="Heading5Char">
    <w:name w:val="Heading 5 Char"/>
    <w:basedOn w:val="DefaultParagraphFont"/>
    <w:link w:val="Heading5"/>
    <w:uiPriority w:val="9"/>
    <w:rsid w:val="006166D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6166DC"/>
    <w:rPr>
      <w:rFonts w:asciiTheme="majorHAnsi" w:eastAsiaTheme="majorEastAsia" w:hAnsiTheme="majorHAnsi" w:cstheme="majorBidi"/>
      <w:i/>
      <w:iCs/>
      <w:color w:val="243F60" w:themeColor="accent1" w:themeShade="7F"/>
      <w:sz w:val="24"/>
    </w:rPr>
  </w:style>
  <w:style w:type="character" w:customStyle="1" w:styleId="Heading1Char">
    <w:name w:val="Heading 1 Char"/>
    <w:basedOn w:val="DefaultParagraphFont"/>
    <w:link w:val="Heading1"/>
    <w:rsid w:val="006D4499"/>
    <w:rPr>
      <w:rFonts w:ascii="Arial Bold" w:hAnsi="Arial Bold"/>
      <w:b/>
      <w:kern w:val="28"/>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paragraph" w:styleId="Heading5">
    <w:name w:val="heading 5"/>
    <w:basedOn w:val="Normal"/>
    <w:next w:val="Normal"/>
    <w:link w:val="Heading5Char"/>
    <w:uiPriority w:val="9"/>
    <w:unhideWhenUsed/>
    <w:qFormat/>
    <w:rsid w:val="006166D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166D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uiPriority w:val="99"/>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uiPriority w:val="99"/>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uiPriority w:val="99"/>
    <w:rsid w:val="00E0624D"/>
    <w:pPr>
      <w:numPr>
        <w:ilvl w:val="2"/>
        <w:numId w:val="2"/>
      </w:numPr>
      <w:spacing w:before="240"/>
    </w:pPr>
    <w:rPr>
      <w:szCs w:val="23"/>
    </w:rPr>
  </w:style>
  <w:style w:type="character" w:customStyle="1" w:styleId="DoubleDotChar">
    <w:name w:val="Double Dot Char"/>
    <w:basedOn w:val="DefaultChar"/>
    <w:link w:val="DoubleDot"/>
    <w:uiPriority w:val="99"/>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D90314"/>
    <w:rPr>
      <w:sz w:val="16"/>
      <w:szCs w:val="16"/>
    </w:rPr>
  </w:style>
  <w:style w:type="paragraph" w:styleId="CommentText">
    <w:name w:val="annotation text"/>
    <w:basedOn w:val="Normal"/>
    <w:link w:val="CommentTextChar"/>
    <w:uiPriority w:val="99"/>
    <w:semiHidden/>
    <w:unhideWhenUsed/>
    <w:rsid w:val="00D90314"/>
    <w:rPr>
      <w:sz w:val="20"/>
    </w:rPr>
  </w:style>
  <w:style w:type="character" w:customStyle="1" w:styleId="CommentTextChar">
    <w:name w:val="Comment Text Char"/>
    <w:basedOn w:val="DefaultParagraphFont"/>
    <w:link w:val="CommentText"/>
    <w:uiPriority w:val="99"/>
    <w:semiHidden/>
    <w:rsid w:val="00D90314"/>
  </w:style>
  <w:style w:type="paragraph" w:styleId="CommentSubject">
    <w:name w:val="annotation subject"/>
    <w:basedOn w:val="CommentText"/>
    <w:next w:val="CommentText"/>
    <w:link w:val="CommentSubjectChar"/>
    <w:uiPriority w:val="99"/>
    <w:semiHidden/>
    <w:unhideWhenUsed/>
    <w:rsid w:val="00D90314"/>
    <w:rPr>
      <w:b/>
      <w:bCs/>
    </w:rPr>
  </w:style>
  <w:style w:type="character" w:customStyle="1" w:styleId="CommentSubjectChar">
    <w:name w:val="Comment Subject Char"/>
    <w:basedOn w:val="CommentTextChar"/>
    <w:link w:val="CommentSubject"/>
    <w:uiPriority w:val="99"/>
    <w:semiHidden/>
    <w:rsid w:val="00D90314"/>
    <w:rPr>
      <w:b/>
      <w:bCs/>
    </w:rPr>
  </w:style>
  <w:style w:type="paragraph" w:styleId="Revision">
    <w:name w:val="Revision"/>
    <w:hidden/>
    <w:uiPriority w:val="99"/>
    <w:semiHidden/>
    <w:rsid w:val="00D33C67"/>
    <w:rPr>
      <w:sz w:val="24"/>
    </w:rPr>
  </w:style>
  <w:style w:type="character" w:customStyle="1" w:styleId="Heading5Char">
    <w:name w:val="Heading 5 Char"/>
    <w:basedOn w:val="DefaultParagraphFont"/>
    <w:link w:val="Heading5"/>
    <w:uiPriority w:val="9"/>
    <w:rsid w:val="006166D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6166DC"/>
    <w:rPr>
      <w:rFonts w:asciiTheme="majorHAnsi" w:eastAsiaTheme="majorEastAsia" w:hAnsiTheme="majorHAnsi" w:cstheme="majorBidi"/>
      <w:i/>
      <w:iCs/>
      <w:color w:val="243F60" w:themeColor="accent1" w:themeShade="7F"/>
      <w:sz w:val="24"/>
    </w:rPr>
  </w:style>
  <w:style w:type="character" w:customStyle="1" w:styleId="Heading1Char">
    <w:name w:val="Heading 1 Char"/>
    <w:basedOn w:val="DefaultParagraphFont"/>
    <w:link w:val="Heading1"/>
    <w:rsid w:val="006D4499"/>
    <w:rPr>
      <w:rFonts w:ascii="Arial Bold" w:hAnsi="Arial Bold"/>
      <w:b/>
      <w:kern w:val="28"/>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78738">
      <w:bodyDiv w:val="1"/>
      <w:marLeft w:val="0"/>
      <w:marRight w:val="0"/>
      <w:marTop w:val="0"/>
      <w:marBottom w:val="0"/>
      <w:divBdr>
        <w:top w:val="none" w:sz="0" w:space="0" w:color="auto"/>
        <w:left w:val="none" w:sz="0" w:space="0" w:color="auto"/>
        <w:bottom w:val="none" w:sz="0" w:space="0" w:color="auto"/>
        <w:right w:val="none" w:sz="0" w:space="0" w:color="auto"/>
      </w:divBdr>
    </w:div>
    <w:div w:id="1505314674">
      <w:bodyDiv w:val="1"/>
      <w:marLeft w:val="0"/>
      <w:marRight w:val="0"/>
      <w:marTop w:val="0"/>
      <w:marBottom w:val="0"/>
      <w:divBdr>
        <w:top w:val="none" w:sz="0" w:space="0" w:color="auto"/>
        <w:left w:val="none" w:sz="0" w:space="0" w:color="auto"/>
        <w:bottom w:val="none" w:sz="0" w:space="0" w:color="auto"/>
        <w:right w:val="none" w:sz="0" w:space="0" w:color="auto"/>
      </w:divBdr>
    </w:div>
    <w:div w:id="196457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f7bc583-7cbe-45b9-a2bd-8bbb6543b37e">2014RG-86-11879</_dlc_DocId>
    <_dlc_DocIdUrl xmlns="9f7bc583-7cbe-45b9-a2bd-8bbb6543b37e">
      <Url>http://tweb/sites/rg/ldp/lmu/_layouts/15/DocIdRedir.aspx?ID=2014RG-86-11879</Url>
      <Description>2014RG-86-11879</Description>
    </_dlc_DocIdUrl>
    <lb508a4dc5e84436a0fe496b536466aa xmlns="9f7bc583-7cbe-45b9-a2bd-8bbb6543b37e">
      <Terms xmlns="http://schemas.microsoft.com/office/infopath/2007/PartnerControls"/>
    </lb508a4dc5e84436a0fe496b536466aa>
    <TaxCatchAll xmlns="9f7bc583-7cbe-45b9-a2bd-8bbb6543b37e"/>
    <_dlc_Exempt xmlns="http://schemas.microsoft.com/sharepoint/v3" xsi:nil="true"/>
    <_dlc_DocIdPersistId xmlns="9f7bc583-7cbe-45b9-a2bd-8bbb6543b3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17" ma:contentTypeDescription=" " ma:contentTypeScope="" ma:versionID="51d1e69236af895967df47c95b6683da">
  <xsd:schema xmlns:xsd="http://www.w3.org/2001/XMLSchema" xmlns:xs="http://www.w3.org/2001/XMLSchema" xmlns:p="http://schemas.microsoft.com/office/2006/metadata/properties" xmlns:ns1="http://schemas.microsoft.com/sharepoint/v3" xmlns:ns2="9f7bc583-7cbe-45b9-a2bd-8bbb6543b37e" targetNamespace="http://schemas.microsoft.com/office/2006/metadata/properties" ma:root="true" ma:fieldsID="1568211bfeaa14804a36c9bf652823a9" ns1:_="" ns2:_="">
    <xsd:import namespace="http://schemas.microsoft.com/sharepoint/v3"/>
    <xsd:import namespace="9f7bc583-7cbe-45b9-a2bd-8bbb6543b37e"/>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B539D-87AC-4DFC-9DE2-638B5E4D8077}">
  <ds:schemaRefs>
    <ds:schemaRef ds:uri="http://schemas.microsoft.com/sharepoint/v3/contenttype/forms"/>
  </ds:schemaRefs>
</ds:datastoreItem>
</file>

<file path=customXml/itemProps2.xml><?xml version="1.0" encoding="utf-8"?>
<ds:datastoreItem xmlns:ds="http://schemas.openxmlformats.org/officeDocument/2006/customXml" ds:itemID="{F93B85D7-A0C5-49A3-A312-B619BEB1D798}">
  <ds:schemaRef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9f7bc583-7cbe-45b9-a2bd-8bbb6543b37e"/>
    <ds:schemaRef ds:uri="http://schemas.microsoft.com/sharepoint/v3"/>
  </ds:schemaRefs>
</ds:datastoreItem>
</file>

<file path=customXml/itemProps3.xml><?xml version="1.0" encoding="utf-8"?>
<ds:datastoreItem xmlns:ds="http://schemas.openxmlformats.org/officeDocument/2006/customXml" ds:itemID="{02206A4B-19AC-4A55-AEEA-FAF3444C0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0EBD0-8550-4C34-AA26-A997F5E9AB1A}">
  <ds:schemaRefs>
    <ds:schemaRef ds:uri="http://schemas.microsoft.com/sharepoint/events"/>
  </ds:schemaRefs>
</ds:datastoreItem>
</file>

<file path=customXml/itemProps5.xml><?xml version="1.0" encoding="utf-8"?>
<ds:datastoreItem xmlns:ds="http://schemas.openxmlformats.org/officeDocument/2006/customXml" ds:itemID="{A889BE8E-CFBA-4287-9D65-B4652433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Statement.dotm</Template>
  <TotalTime>0</TotalTime>
  <Pages>7</Pages>
  <Words>2165</Words>
  <Characters>12211</Characters>
  <Application>Microsoft Office Word</Application>
  <DocSecurity>0</DocSecurity>
  <Lines>1526</Lines>
  <Paragraphs>684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George, Ashley</dc:creator>
  <cp:lastModifiedBy>Gibson, Vikki</cp:lastModifiedBy>
  <cp:revision>2</cp:revision>
  <cp:lastPrinted>2014-10-23T02:18:00Z</cp:lastPrinted>
  <dcterms:created xsi:type="dcterms:W3CDTF">2014-11-07T03:23:00Z</dcterms:created>
  <dcterms:modified xsi:type="dcterms:W3CDTF">2014-11-07T03:23:00Z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0x01010036BB8DE7EC542E42A8B2E98CC20CB69700A0A840AFAB52624689FA9AA81E9EF0D1</vt:lpwstr>
  </property>
  <property fmtid="{D5CDD505-2E9C-101B-9397-08002B2CF9AE}" pid="4" name="_dlc_DocIdItemGuid">
    <vt:lpwstr>30d04f5b-c872-465c-a17d-2cd494e3e91d</vt:lpwstr>
  </property>
  <property fmtid="{D5CDD505-2E9C-101B-9397-08002B2CF9AE}" pid="5" name="_AdHocReviewCycleID">
    <vt:i4>2041723710</vt:i4>
  </property>
  <property fmtid="{D5CDD505-2E9C-101B-9397-08002B2CF9AE}" pid="6" name="_EmailSubject">
    <vt:lpwstr>Operation OKRA - income tax exemption for warlike service [SEC=PROTECTED, DLM=Sensitive:Legal]</vt:lpwstr>
  </property>
  <property fmtid="{D5CDD505-2E9C-101B-9397-08002B2CF9AE}" pid="7" name="_AuthorEmail">
    <vt:lpwstr>Robert.Kelly@TREASURY.GOV.AU</vt:lpwstr>
  </property>
  <property fmtid="{D5CDD505-2E9C-101B-9397-08002B2CF9AE}" pid="8" name="_AuthorEmailDisplayName">
    <vt:lpwstr>Kelly, Robert</vt:lpwstr>
  </property>
  <property fmtid="{D5CDD505-2E9C-101B-9397-08002B2CF9AE}" pid="9" name="_PreviousAdHocReviewCycleID">
    <vt:i4>-2056251414</vt:i4>
  </property>
  <property fmtid="{D5CDD505-2E9C-101B-9397-08002B2CF9AE}" pid="10" name="Order">
    <vt:r8>836900</vt:r8>
  </property>
  <property fmtid="{D5CDD505-2E9C-101B-9397-08002B2CF9AE}" pid="11" name="AlternateThumbnailUrl">
    <vt:lpwstr/>
  </property>
  <property fmtid="{D5CDD505-2E9C-101B-9397-08002B2CF9AE}" pid="12" name="xd_ProgID">
    <vt:lpwstr/>
  </property>
  <property fmtid="{D5CDD505-2E9C-101B-9397-08002B2CF9AE}" pid="13" name="Comments">
    <vt:lpwstr/>
  </property>
  <property fmtid="{D5CDD505-2E9C-101B-9397-08002B2CF9AE}" pid="14" name="TSYRecordClass">
    <vt:lpwstr/>
  </property>
  <property fmtid="{D5CDD505-2E9C-101B-9397-08002B2CF9AE}" pid="15" name="TemplateUrl">
    <vt:lpwstr/>
  </property>
  <property fmtid="{D5CDD505-2E9C-101B-9397-08002B2CF9AE}" pid="16" name="_ReviewingToolsShownOnce">
    <vt:lpwstr/>
  </property>
</Properties>
</file>