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41" w:rsidRDefault="004E1E41" w:rsidP="00675DA4">
      <w:pPr>
        <w:pStyle w:val="Title"/>
        <w:spacing w:before="120"/>
        <w:rPr>
          <w:sz w:val="26"/>
          <w:szCs w:val="26"/>
        </w:rPr>
      </w:pPr>
    </w:p>
    <w:p w:rsidR="00675DA4" w:rsidRDefault="00675DA4" w:rsidP="00675DA4">
      <w:pPr>
        <w:pStyle w:val="Title"/>
        <w:spacing w:before="120"/>
        <w:rPr>
          <w:sz w:val="26"/>
          <w:szCs w:val="26"/>
        </w:rPr>
      </w:pPr>
      <w:r>
        <w:rPr>
          <w:sz w:val="26"/>
          <w:szCs w:val="26"/>
        </w:rPr>
        <w:t>Commonwealth of Australia</w:t>
      </w:r>
    </w:p>
    <w:p w:rsidR="00675DA4" w:rsidRDefault="00675DA4" w:rsidP="00675DA4">
      <w:pPr>
        <w:pStyle w:val="citation"/>
      </w:pPr>
      <w:r>
        <w:t>Telecommunications Act 1997</w:t>
      </w:r>
    </w:p>
    <w:p w:rsidR="00675DA4" w:rsidRDefault="002D0A46" w:rsidP="00675DA4">
      <w:pPr>
        <w:pStyle w:val="Title"/>
      </w:pPr>
      <w:r>
        <w:t>Carrier Licence Conditions (Telstra Corporation Limited</w:t>
      </w:r>
      <w:r w:rsidR="00675DA4">
        <w:t>) Declaration 1997</w:t>
      </w:r>
      <w:r w:rsidR="0008492F">
        <w:t xml:space="preserve"> (Amendment No.3 of 2014)</w:t>
      </w:r>
      <w:r w:rsidR="00675DA4">
        <w:t xml:space="preserve"> </w:t>
      </w:r>
    </w:p>
    <w:p w:rsidR="00675DA4" w:rsidRDefault="00675DA4" w:rsidP="00675DA4">
      <w:pPr>
        <w:spacing w:before="600"/>
        <w:jc w:val="both"/>
      </w:pPr>
      <w:r w:rsidRPr="00675DA4">
        <w:t>I, MALCOLM BLIGH TURNBULL, Minister for Communications</w:t>
      </w:r>
      <w:r>
        <w:t xml:space="preserve"> make the following Declaration under subsection 63(5) of the </w:t>
      </w:r>
      <w:r>
        <w:rPr>
          <w:i/>
          <w:iCs/>
        </w:rPr>
        <w:t>Telecommunications Act 1997</w:t>
      </w:r>
      <w:r>
        <w:t>.</w:t>
      </w:r>
    </w:p>
    <w:p w:rsidR="00675DA4" w:rsidRDefault="00675DA4" w:rsidP="00675DA4">
      <w:pPr>
        <w:tabs>
          <w:tab w:val="clear" w:pos="540"/>
          <w:tab w:val="center" w:pos="3960"/>
        </w:tabs>
        <w:spacing w:before="300" w:line="240" w:lineRule="atLeast"/>
      </w:pPr>
      <w:r>
        <w:t>Dated</w:t>
      </w:r>
      <w:r w:rsidR="00E777E7">
        <w:t xml:space="preserve"> </w:t>
      </w:r>
      <w:r w:rsidR="00EE3BDD">
        <w:t xml:space="preserve">     </w:t>
      </w:r>
      <w:r w:rsidR="00D83C26">
        <w:t>30 O</w:t>
      </w:r>
      <w:bookmarkStart w:id="0" w:name="_GoBack"/>
      <w:bookmarkEnd w:id="0"/>
      <w:r w:rsidR="00D83C26">
        <w:t>ctober 2014</w:t>
      </w:r>
      <w:r w:rsidR="00EE3BDD">
        <w:t xml:space="preserve">                            </w:t>
      </w:r>
      <w:r>
        <w:t>.</w:t>
      </w:r>
    </w:p>
    <w:p w:rsidR="00675DA4" w:rsidRDefault="00675DA4" w:rsidP="00675DA4"/>
    <w:p w:rsidR="00675DA4" w:rsidRDefault="00675DA4" w:rsidP="00675DA4">
      <w:pPr>
        <w:tabs>
          <w:tab w:val="center" w:pos="5840"/>
          <w:tab w:val="right" w:pos="7200"/>
        </w:tabs>
      </w:pPr>
    </w:p>
    <w:p w:rsidR="00675DA4" w:rsidRDefault="00675DA4" w:rsidP="00675DA4"/>
    <w:p w:rsidR="00675DA4" w:rsidRDefault="00675DA4" w:rsidP="00675D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MALCOLM TURNBULL</w:t>
      </w:r>
    </w:p>
    <w:p w:rsidR="00675DA4" w:rsidRPr="00DB4EC1" w:rsidRDefault="00675DA4" w:rsidP="00675DA4">
      <w:pPr>
        <w:jc w:val="center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 xml:space="preserve">Minister for Communications </w:t>
      </w:r>
    </w:p>
    <w:p w:rsidR="00675DA4" w:rsidRPr="00DB4EC1" w:rsidRDefault="00675DA4" w:rsidP="00675DA4">
      <w:pPr>
        <w:jc w:val="center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675DA4" w:rsidRPr="00FD70EB" w:rsidRDefault="00675DA4" w:rsidP="00675DA4">
      <w:pPr>
        <w:pStyle w:val="HR"/>
        <w:numPr>
          <w:ilvl w:val="0"/>
          <w:numId w:val="1"/>
        </w:numPr>
        <w:tabs>
          <w:tab w:val="clear" w:pos="360"/>
          <w:tab w:val="clear" w:pos="540"/>
          <w:tab w:val="num" w:pos="567"/>
        </w:tabs>
        <w:autoSpaceDE/>
        <w:autoSpaceDN/>
        <w:spacing w:before="400" w:line="300" w:lineRule="atLeast"/>
        <w:ind w:left="567" w:hanging="56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Name of Declaration</w:t>
      </w:r>
    </w:p>
    <w:p w:rsidR="00675DA4" w:rsidRPr="000922C2" w:rsidRDefault="00675DA4" w:rsidP="00675DA4">
      <w:pPr>
        <w:spacing w:before="240"/>
        <w:ind w:left="567"/>
        <w:rPr>
          <w:b/>
          <w:sz w:val="24"/>
        </w:rPr>
      </w:pPr>
      <w:r w:rsidRPr="006F7FEB">
        <w:rPr>
          <w:sz w:val="24"/>
        </w:rPr>
        <w:t>This De</w:t>
      </w:r>
      <w:r w:rsidR="00452EE0">
        <w:rPr>
          <w:sz w:val="24"/>
        </w:rPr>
        <w:t xml:space="preserve">claration </w:t>
      </w:r>
      <w:r w:rsidRPr="006F7FEB">
        <w:rPr>
          <w:sz w:val="24"/>
        </w:rPr>
        <w:t xml:space="preserve">is the </w:t>
      </w:r>
      <w:r w:rsidRPr="00675DA4">
        <w:rPr>
          <w:i/>
          <w:sz w:val="24"/>
        </w:rPr>
        <w:t>Carrier Licence Conditions (</w:t>
      </w:r>
      <w:r w:rsidR="002D0A46">
        <w:rPr>
          <w:i/>
          <w:sz w:val="24"/>
        </w:rPr>
        <w:t>Telstra Corporation Limited</w:t>
      </w:r>
      <w:r w:rsidR="00AD1E70">
        <w:rPr>
          <w:i/>
          <w:sz w:val="24"/>
        </w:rPr>
        <w:t>) Declaration 1997</w:t>
      </w:r>
      <w:r w:rsidR="0008492F">
        <w:rPr>
          <w:i/>
          <w:sz w:val="24"/>
        </w:rPr>
        <w:t xml:space="preserve"> (Amendment No.3 of 2014)</w:t>
      </w:r>
      <w:r w:rsidR="00AD1E70">
        <w:rPr>
          <w:i/>
          <w:sz w:val="24"/>
        </w:rPr>
        <w:t>.</w:t>
      </w:r>
    </w:p>
    <w:p w:rsidR="00675DA4" w:rsidRPr="00FD70EB" w:rsidRDefault="00675DA4" w:rsidP="00675DA4">
      <w:pPr>
        <w:pStyle w:val="HR"/>
        <w:numPr>
          <w:ilvl w:val="0"/>
          <w:numId w:val="1"/>
        </w:numPr>
        <w:tabs>
          <w:tab w:val="clear" w:pos="360"/>
          <w:tab w:val="clear" w:pos="540"/>
          <w:tab w:val="num" w:pos="567"/>
        </w:tabs>
        <w:autoSpaceDE/>
        <w:autoSpaceDN/>
        <w:spacing w:before="400" w:line="300" w:lineRule="atLeast"/>
        <w:ind w:left="567" w:hanging="56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Commencement</w:t>
      </w:r>
    </w:p>
    <w:p w:rsidR="00675DA4" w:rsidRDefault="00675DA4" w:rsidP="00675DA4">
      <w:pPr>
        <w:spacing w:before="240"/>
        <w:ind w:left="567"/>
        <w:rPr>
          <w:sz w:val="24"/>
        </w:rPr>
      </w:pPr>
      <w:r w:rsidRPr="006F7FEB">
        <w:rPr>
          <w:sz w:val="24"/>
        </w:rPr>
        <w:t xml:space="preserve">This </w:t>
      </w:r>
      <w:r w:rsidR="00452EE0" w:rsidRPr="006F7FEB">
        <w:rPr>
          <w:sz w:val="24"/>
        </w:rPr>
        <w:t>De</w:t>
      </w:r>
      <w:r w:rsidR="00452EE0">
        <w:rPr>
          <w:sz w:val="24"/>
        </w:rPr>
        <w:t xml:space="preserve">claration </w:t>
      </w:r>
      <w:r w:rsidRPr="006F7FEB">
        <w:rPr>
          <w:sz w:val="24"/>
        </w:rPr>
        <w:t>commences on the day after it is registered on the Federal Register of Legislative Instruments.</w:t>
      </w:r>
    </w:p>
    <w:p w:rsidR="00675DA4" w:rsidRPr="00FD70EB" w:rsidRDefault="00675DA4" w:rsidP="00675DA4">
      <w:pPr>
        <w:pStyle w:val="HR"/>
        <w:numPr>
          <w:ilvl w:val="0"/>
          <w:numId w:val="1"/>
        </w:numPr>
        <w:tabs>
          <w:tab w:val="clear" w:pos="360"/>
          <w:tab w:val="clear" w:pos="540"/>
          <w:tab w:val="num" w:pos="567"/>
        </w:tabs>
        <w:autoSpaceDE/>
        <w:autoSpaceDN/>
        <w:spacing w:before="400" w:line="300" w:lineRule="atLeast"/>
        <w:ind w:left="567" w:hanging="56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Variation</w:t>
      </w:r>
    </w:p>
    <w:p w:rsidR="00675DA4" w:rsidRDefault="00675DA4" w:rsidP="00675DA4">
      <w:pPr>
        <w:pStyle w:val="R1"/>
        <w:ind w:left="567"/>
        <w:rPr>
          <w:rFonts w:ascii="Times New Roman" w:hAnsi="Times New Roman" w:cs="Times New Roman"/>
          <w:color w:val="000000"/>
          <w:sz w:val="24"/>
        </w:rPr>
      </w:pPr>
      <w:r w:rsidRPr="006F7FEB">
        <w:rPr>
          <w:rFonts w:ascii="Times New Roman" w:hAnsi="Times New Roman" w:cs="Times New Roman"/>
          <w:color w:val="000000"/>
          <w:sz w:val="24"/>
        </w:rPr>
        <w:t xml:space="preserve">The </w:t>
      </w:r>
      <w:r w:rsidRPr="00675DA4">
        <w:rPr>
          <w:rFonts w:ascii="Times New Roman" w:hAnsi="Times New Roman" w:cs="Times New Roman"/>
          <w:i/>
          <w:color w:val="000000"/>
          <w:sz w:val="24"/>
        </w:rPr>
        <w:t>Carrier Licence Conditions (</w:t>
      </w:r>
      <w:r w:rsidR="002D0A46">
        <w:rPr>
          <w:rFonts w:ascii="Times New Roman" w:hAnsi="Times New Roman" w:cs="Times New Roman"/>
          <w:i/>
          <w:color w:val="000000"/>
          <w:sz w:val="24"/>
        </w:rPr>
        <w:t>Telstra Corporation Limited</w:t>
      </w:r>
      <w:r w:rsidRPr="00675DA4">
        <w:rPr>
          <w:rFonts w:ascii="Times New Roman" w:hAnsi="Times New Roman" w:cs="Times New Roman"/>
          <w:i/>
          <w:color w:val="000000"/>
          <w:sz w:val="24"/>
        </w:rPr>
        <w:t>) Declaration 1997</w:t>
      </w:r>
      <w:r w:rsidRPr="00675DA4">
        <w:rPr>
          <w:rFonts w:ascii="Times New Roman" w:hAnsi="Times New Roman" w:cs="Times New Roman"/>
          <w:color w:val="000000"/>
          <w:sz w:val="24"/>
        </w:rPr>
        <w:t xml:space="preserve"> </w:t>
      </w:r>
      <w:r w:rsidRPr="006F7FEB">
        <w:rPr>
          <w:rFonts w:ascii="Times New Roman" w:hAnsi="Times New Roman" w:cs="Times New Roman"/>
          <w:color w:val="000000"/>
          <w:sz w:val="24"/>
        </w:rPr>
        <w:t>is amended as set out in the Schedule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F7FEB">
        <w:rPr>
          <w:rFonts w:ascii="Times New Roman" w:hAnsi="Times New Roman" w:cs="Times New Roman"/>
          <w:color w:val="000000"/>
          <w:sz w:val="24"/>
        </w:rPr>
        <w:t xml:space="preserve">to this </w:t>
      </w:r>
      <w:r>
        <w:rPr>
          <w:rFonts w:ascii="Times New Roman" w:hAnsi="Times New Roman" w:cs="Times New Roman"/>
          <w:color w:val="000000"/>
          <w:sz w:val="24"/>
        </w:rPr>
        <w:t>Declaration</w:t>
      </w:r>
      <w:r w:rsidRPr="006F7FEB">
        <w:rPr>
          <w:rFonts w:ascii="Times New Roman" w:hAnsi="Times New Roman" w:cs="Times New Roman"/>
          <w:color w:val="000000"/>
          <w:sz w:val="24"/>
        </w:rPr>
        <w:t>.</w:t>
      </w:r>
    </w:p>
    <w:p w:rsidR="007A05BE" w:rsidRPr="007A05BE" w:rsidRDefault="007A05BE" w:rsidP="007A05BE">
      <w:pPr>
        <w:pStyle w:val="HR"/>
        <w:numPr>
          <w:ilvl w:val="0"/>
          <w:numId w:val="1"/>
        </w:numPr>
        <w:tabs>
          <w:tab w:val="clear" w:pos="360"/>
          <w:tab w:val="clear" w:pos="540"/>
          <w:tab w:val="num" w:pos="567"/>
        </w:tabs>
        <w:autoSpaceDE/>
        <w:autoSpaceDN/>
        <w:spacing w:before="400" w:line="300" w:lineRule="atLeast"/>
        <w:ind w:left="567" w:hanging="567"/>
        <w:rPr>
          <w:rFonts w:ascii="Arial" w:hAnsi="Arial"/>
          <w:color w:val="000000"/>
        </w:rPr>
      </w:pPr>
      <w:r w:rsidRPr="007A05BE">
        <w:rPr>
          <w:rFonts w:ascii="Arial" w:hAnsi="Arial"/>
          <w:color w:val="000000"/>
        </w:rPr>
        <w:t xml:space="preserve">Expiry </w:t>
      </w:r>
    </w:p>
    <w:p w:rsidR="007A05BE" w:rsidRPr="007A05BE" w:rsidRDefault="00EE3BDD" w:rsidP="007A05BE">
      <w:pPr>
        <w:pStyle w:val="R1"/>
        <w:ind w:left="567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3BDD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Declaration </w:t>
      </w:r>
      <w:r w:rsidRPr="00EE3BDD">
        <w:rPr>
          <w:rFonts w:ascii="Times New Roman" w:hAnsi="Times New Roman" w:cs="Times New Roman"/>
          <w:color w:val="000000"/>
          <w:sz w:val="24"/>
          <w:szCs w:val="24"/>
        </w:rPr>
        <w:t>expires on the day after it commences, as if it had been repealed by another instrument</w:t>
      </w:r>
      <w:r w:rsidR="007A05BE" w:rsidRPr="007A05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05BE" w:rsidRPr="007A05BE">
        <w:rPr>
          <w:rFonts w:ascii="Times New Roman" w:hAnsi="Times New Roman" w:cs="Times New Roman"/>
          <w:bCs/>
          <w:color w:val="000000"/>
          <w:sz w:val="24"/>
          <w:szCs w:val="24"/>
        </w:rPr>
        <w:br w:type="column"/>
      </w:r>
    </w:p>
    <w:p w:rsidR="003526E4" w:rsidRPr="00EB53FD" w:rsidRDefault="003526E4" w:rsidP="00452EE0">
      <w:pPr>
        <w:pStyle w:val="NoteBody2"/>
        <w:tabs>
          <w:tab w:val="left" w:pos="851"/>
        </w:tabs>
        <w:spacing w:before="0" w:after="0"/>
        <w:rPr>
          <w:rFonts w:ascii="Arial" w:hAnsi="Arial" w:cs="Arial"/>
          <w:b/>
          <w:color w:val="000000"/>
          <w:sz w:val="28"/>
          <w:szCs w:val="28"/>
        </w:rPr>
      </w:pPr>
      <w:r w:rsidRPr="00EB53FD">
        <w:rPr>
          <w:rFonts w:ascii="Arial" w:hAnsi="Arial" w:cs="Arial"/>
          <w:b/>
          <w:color w:val="000000"/>
          <w:sz w:val="28"/>
          <w:szCs w:val="28"/>
        </w:rPr>
        <w:t>Schedule</w:t>
      </w:r>
      <w:r w:rsidRPr="00EB53FD">
        <w:rPr>
          <w:rFonts w:ascii="Arial" w:hAnsi="Arial" w:cs="Arial"/>
          <w:b/>
          <w:color w:val="000000"/>
          <w:sz w:val="28"/>
          <w:szCs w:val="28"/>
        </w:rPr>
        <w:tab/>
      </w:r>
      <w:r w:rsidRPr="00EB53FD">
        <w:rPr>
          <w:rFonts w:ascii="Arial" w:hAnsi="Arial" w:cs="Arial"/>
          <w:b/>
          <w:color w:val="000000"/>
          <w:sz w:val="28"/>
          <w:szCs w:val="28"/>
        </w:rPr>
        <w:tab/>
        <w:t>Amendments</w:t>
      </w:r>
    </w:p>
    <w:p w:rsidR="00452EE0" w:rsidRDefault="00452EE0" w:rsidP="00452E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4A2C">
        <w:rPr>
          <w:sz w:val="20"/>
          <w:szCs w:val="24"/>
        </w:rPr>
        <w:t xml:space="preserve">(Section </w:t>
      </w:r>
      <w:r>
        <w:rPr>
          <w:sz w:val="20"/>
          <w:szCs w:val="24"/>
        </w:rPr>
        <w:t>3</w:t>
      </w:r>
      <w:r w:rsidRPr="00174A2C">
        <w:rPr>
          <w:sz w:val="20"/>
          <w:szCs w:val="24"/>
        </w:rPr>
        <w:t>)</w:t>
      </w:r>
    </w:p>
    <w:p w:rsidR="003526E4" w:rsidRPr="00BB53C6" w:rsidRDefault="003526E4" w:rsidP="003526E4">
      <w:pPr>
        <w:pStyle w:val="R1"/>
        <w:spacing w:before="0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452EE0" w:rsidRDefault="006031C8" w:rsidP="00452EE0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</w:t>
      </w:r>
      <w:r w:rsidR="00EE3BDD">
        <w:rPr>
          <w:rFonts w:ascii="Arial" w:hAnsi="Arial" w:cs="Arial"/>
          <w:b/>
          <w:color w:val="000000"/>
          <w:sz w:val="26"/>
          <w:szCs w:val="26"/>
        </w:rPr>
        <w:t>1</w:t>
      </w:r>
      <w:r w:rsidR="00452EE0">
        <w:rPr>
          <w:rFonts w:ascii="Arial" w:hAnsi="Arial" w:cs="Arial"/>
          <w:b/>
          <w:color w:val="000000"/>
          <w:sz w:val="26"/>
          <w:szCs w:val="26"/>
        </w:rPr>
        <w:t>]</w:t>
      </w:r>
      <w:r w:rsidR="00452EE0">
        <w:rPr>
          <w:rFonts w:ascii="Arial" w:hAnsi="Arial" w:cs="Arial"/>
          <w:b/>
          <w:color w:val="000000"/>
          <w:sz w:val="26"/>
          <w:szCs w:val="26"/>
        </w:rPr>
        <w:tab/>
      </w:r>
      <w:r w:rsidR="00EE3BDD">
        <w:rPr>
          <w:rFonts w:ascii="Arial" w:hAnsi="Arial" w:cs="Arial"/>
          <w:b/>
          <w:color w:val="000000"/>
          <w:sz w:val="26"/>
          <w:szCs w:val="26"/>
        </w:rPr>
        <w:t>Subc</w:t>
      </w:r>
      <w:r w:rsidR="00452EE0">
        <w:rPr>
          <w:rFonts w:ascii="Arial" w:hAnsi="Arial" w:cs="Arial"/>
          <w:b/>
          <w:color w:val="000000"/>
          <w:sz w:val="26"/>
          <w:szCs w:val="26"/>
        </w:rPr>
        <w:t>lause</w:t>
      </w:r>
      <w:r w:rsidR="00EE3BDD">
        <w:rPr>
          <w:rFonts w:ascii="Arial" w:hAnsi="Arial" w:cs="Arial"/>
          <w:b/>
          <w:color w:val="000000"/>
          <w:sz w:val="26"/>
          <w:szCs w:val="26"/>
        </w:rPr>
        <w:t>s</w:t>
      </w:r>
      <w:r w:rsidR="00452EE0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EE3BDD">
        <w:rPr>
          <w:rFonts w:ascii="Arial" w:hAnsi="Arial" w:cs="Arial"/>
          <w:b/>
          <w:color w:val="000000"/>
          <w:sz w:val="26"/>
          <w:szCs w:val="26"/>
        </w:rPr>
        <w:t xml:space="preserve">32(2) to (10) inclusive </w:t>
      </w:r>
      <w:r w:rsidR="00EB53FD">
        <w:rPr>
          <w:rFonts w:ascii="Arial" w:hAnsi="Arial" w:cs="Arial"/>
          <w:b/>
          <w:color w:val="000000"/>
          <w:sz w:val="26"/>
          <w:szCs w:val="26"/>
        </w:rPr>
        <w:t>(</w:t>
      </w:r>
      <w:r w:rsidR="00EE3BDD">
        <w:rPr>
          <w:rFonts w:ascii="Arial" w:hAnsi="Arial" w:cs="Arial"/>
          <w:b/>
          <w:color w:val="000000"/>
          <w:sz w:val="26"/>
          <w:szCs w:val="26"/>
        </w:rPr>
        <w:t>preliminary requirements ab</w:t>
      </w:r>
      <w:r w:rsidR="009B5959">
        <w:rPr>
          <w:rFonts w:ascii="Arial" w:hAnsi="Arial" w:cs="Arial"/>
          <w:b/>
          <w:color w:val="000000"/>
          <w:sz w:val="26"/>
          <w:szCs w:val="26"/>
        </w:rPr>
        <w:t>o</w:t>
      </w:r>
      <w:r w:rsidR="00EE3BDD">
        <w:rPr>
          <w:rFonts w:ascii="Arial" w:hAnsi="Arial" w:cs="Arial"/>
          <w:b/>
          <w:color w:val="000000"/>
          <w:sz w:val="26"/>
          <w:szCs w:val="26"/>
        </w:rPr>
        <w:t>ut local presence plans</w:t>
      </w:r>
      <w:r w:rsidR="006736E9">
        <w:rPr>
          <w:rFonts w:ascii="Arial" w:hAnsi="Arial" w:cs="Arial"/>
          <w:b/>
          <w:color w:val="000000"/>
          <w:sz w:val="26"/>
          <w:szCs w:val="26"/>
        </w:rPr>
        <w:t>)</w:t>
      </w:r>
    </w:p>
    <w:p w:rsidR="00452EE0" w:rsidRDefault="00FE23EA" w:rsidP="00452EE0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>O</w:t>
      </w:r>
      <w:r w:rsidR="00452EE0">
        <w:rPr>
          <w:i/>
          <w:color w:val="000000"/>
        </w:rPr>
        <w:t xml:space="preserve">mit </w:t>
      </w:r>
    </w:p>
    <w:p w:rsidR="007D0AF3" w:rsidRDefault="007D0AF3" w:rsidP="002D0A46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</w:p>
    <w:p w:rsidR="002D0A46" w:rsidRDefault="002D0A46" w:rsidP="002D0A46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</w:t>
      </w:r>
      <w:r w:rsidR="00EE3BDD">
        <w:rPr>
          <w:rFonts w:ascii="Arial" w:hAnsi="Arial" w:cs="Arial"/>
          <w:b/>
          <w:color w:val="000000"/>
          <w:sz w:val="26"/>
          <w:szCs w:val="26"/>
        </w:rPr>
        <w:t>2</w:t>
      </w:r>
      <w:r>
        <w:rPr>
          <w:rFonts w:ascii="Arial" w:hAnsi="Arial" w:cs="Arial"/>
          <w:b/>
          <w:color w:val="000000"/>
          <w:sz w:val="26"/>
          <w:szCs w:val="26"/>
        </w:rPr>
        <w:t>]</w:t>
      </w:r>
      <w:r>
        <w:rPr>
          <w:rFonts w:ascii="Arial" w:hAnsi="Arial" w:cs="Arial"/>
          <w:b/>
          <w:color w:val="000000"/>
          <w:sz w:val="26"/>
          <w:szCs w:val="26"/>
        </w:rPr>
        <w:tab/>
      </w:r>
      <w:r w:rsidR="00EE3BDD">
        <w:rPr>
          <w:rFonts w:ascii="Arial" w:hAnsi="Arial" w:cs="Arial"/>
          <w:b/>
          <w:color w:val="000000"/>
          <w:sz w:val="26"/>
          <w:szCs w:val="26"/>
        </w:rPr>
        <w:t xml:space="preserve">Subclauses 32(11) to (12) </w:t>
      </w:r>
      <w:r>
        <w:rPr>
          <w:rFonts w:ascii="Arial" w:hAnsi="Arial" w:cs="Arial"/>
          <w:b/>
          <w:color w:val="000000"/>
          <w:sz w:val="26"/>
          <w:szCs w:val="26"/>
        </w:rPr>
        <w:t>(</w:t>
      </w:r>
      <w:r w:rsidR="00EE3BDD">
        <w:rPr>
          <w:rFonts w:ascii="Arial" w:hAnsi="Arial" w:cs="Arial"/>
          <w:b/>
          <w:color w:val="000000"/>
          <w:sz w:val="26"/>
          <w:szCs w:val="26"/>
        </w:rPr>
        <w:t>public consultation on draft local presence plan</w:t>
      </w:r>
      <w:r w:rsidR="00EB53FD">
        <w:rPr>
          <w:rFonts w:ascii="Arial" w:hAnsi="Arial" w:cs="Arial"/>
          <w:b/>
          <w:color w:val="000000"/>
          <w:sz w:val="26"/>
          <w:szCs w:val="26"/>
        </w:rPr>
        <w:t>)</w:t>
      </w:r>
    </w:p>
    <w:p w:rsidR="002D0A46" w:rsidRDefault="00FE23EA" w:rsidP="002D0A46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>O</w:t>
      </w:r>
      <w:r w:rsidR="002D0A46">
        <w:rPr>
          <w:i/>
          <w:color w:val="000000"/>
        </w:rPr>
        <w:t xml:space="preserve">mit </w:t>
      </w:r>
    </w:p>
    <w:p w:rsidR="00091225" w:rsidRDefault="00091225"/>
    <w:p w:rsidR="00EE3BDD" w:rsidRDefault="00EE3BDD" w:rsidP="00EE3BDD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[3]</w:t>
      </w:r>
      <w:r>
        <w:rPr>
          <w:rFonts w:ascii="Arial" w:hAnsi="Arial" w:cs="Arial"/>
          <w:b/>
          <w:color w:val="000000"/>
          <w:sz w:val="26"/>
          <w:szCs w:val="26"/>
        </w:rPr>
        <w:tab/>
        <w:t>Subclauses 32(13) to (20) (ministerial consideration of draft local presence plan)</w:t>
      </w:r>
    </w:p>
    <w:p w:rsidR="00EE3BDD" w:rsidRDefault="00EE3BDD" w:rsidP="00EE3BDD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 xml:space="preserve">Omit </w:t>
      </w:r>
    </w:p>
    <w:p w:rsidR="00EE3BDD" w:rsidRDefault="00EE3BDD"/>
    <w:p w:rsidR="00EE3BDD" w:rsidRDefault="00EE3BDD" w:rsidP="00EE3BDD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[4]</w:t>
      </w:r>
      <w:r>
        <w:rPr>
          <w:rFonts w:ascii="Arial" w:hAnsi="Arial" w:cs="Arial"/>
          <w:b/>
          <w:color w:val="000000"/>
          <w:sz w:val="26"/>
          <w:szCs w:val="26"/>
        </w:rPr>
        <w:tab/>
        <w:t>Subclauses 32(21) to (23) (notification of the Minister’s decision)</w:t>
      </w:r>
    </w:p>
    <w:p w:rsidR="00EE3BDD" w:rsidRDefault="00EE3BDD" w:rsidP="00EE3BDD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 xml:space="preserve">Omit </w:t>
      </w:r>
    </w:p>
    <w:p w:rsidR="00EE3BDD" w:rsidRDefault="00EE3BDD" w:rsidP="00EE3BDD"/>
    <w:p w:rsidR="00A90892" w:rsidRDefault="00EE3BDD" w:rsidP="00EE3BDD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[5]</w:t>
      </w:r>
      <w:r>
        <w:rPr>
          <w:rFonts w:ascii="Arial" w:hAnsi="Arial" w:cs="Arial"/>
          <w:b/>
          <w:color w:val="000000"/>
          <w:sz w:val="26"/>
          <w:szCs w:val="26"/>
        </w:rPr>
        <w:tab/>
        <w:t>Subclauses 32(2</w:t>
      </w:r>
      <w:r w:rsidR="00A90892">
        <w:rPr>
          <w:rFonts w:ascii="Arial" w:hAnsi="Arial" w:cs="Arial"/>
          <w:b/>
          <w:color w:val="000000"/>
          <w:sz w:val="26"/>
          <w:szCs w:val="26"/>
        </w:rPr>
        <w:t>4</w:t>
      </w:r>
      <w:r>
        <w:rPr>
          <w:rFonts w:ascii="Arial" w:hAnsi="Arial" w:cs="Arial"/>
          <w:b/>
          <w:color w:val="000000"/>
          <w:sz w:val="26"/>
          <w:szCs w:val="26"/>
        </w:rPr>
        <w:t>) to (</w:t>
      </w:r>
      <w:r w:rsidR="00A90892">
        <w:rPr>
          <w:rFonts w:ascii="Arial" w:hAnsi="Arial" w:cs="Arial"/>
          <w:b/>
          <w:color w:val="000000"/>
          <w:sz w:val="26"/>
          <w:szCs w:val="26"/>
        </w:rPr>
        <w:t>29</w:t>
      </w:r>
      <w:r>
        <w:rPr>
          <w:rFonts w:ascii="Arial" w:hAnsi="Arial" w:cs="Arial"/>
          <w:b/>
          <w:color w:val="000000"/>
          <w:sz w:val="26"/>
          <w:szCs w:val="26"/>
        </w:rPr>
        <w:t>) (</w:t>
      </w:r>
      <w:r w:rsidR="00A90892">
        <w:rPr>
          <w:rFonts w:ascii="Arial" w:hAnsi="Arial" w:cs="Arial"/>
          <w:b/>
          <w:color w:val="000000"/>
          <w:sz w:val="26"/>
          <w:szCs w:val="26"/>
        </w:rPr>
        <w:t>variation of approved local presence plan)</w:t>
      </w:r>
    </w:p>
    <w:p w:rsidR="00EE3BDD" w:rsidRDefault="00EE3BDD" w:rsidP="00EE3BDD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 xml:space="preserve">Omit </w:t>
      </w:r>
    </w:p>
    <w:p w:rsidR="00EE3BDD" w:rsidRDefault="00EE3BDD" w:rsidP="00EE3BDD"/>
    <w:p w:rsidR="00A90892" w:rsidRDefault="00A90892" w:rsidP="00A90892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[6]</w:t>
      </w:r>
      <w:r>
        <w:rPr>
          <w:rFonts w:ascii="Arial" w:hAnsi="Arial" w:cs="Arial"/>
          <w:b/>
          <w:color w:val="000000"/>
          <w:sz w:val="26"/>
          <w:szCs w:val="26"/>
        </w:rPr>
        <w:tab/>
        <w:t>Subclauses 32(30) to (31) (Minister may direct variation or replacement of approved local presence plan)</w:t>
      </w:r>
    </w:p>
    <w:p w:rsidR="00A90892" w:rsidRDefault="00A90892" w:rsidP="00A90892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 xml:space="preserve">Omit </w:t>
      </w:r>
    </w:p>
    <w:p w:rsidR="00A90892" w:rsidRDefault="00A90892" w:rsidP="00EE3BDD"/>
    <w:p w:rsidR="00A90892" w:rsidRDefault="00A90892" w:rsidP="00A90892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[7]</w:t>
      </w:r>
      <w:r>
        <w:rPr>
          <w:rFonts w:ascii="Arial" w:hAnsi="Arial" w:cs="Arial"/>
          <w:b/>
          <w:color w:val="000000"/>
          <w:sz w:val="26"/>
          <w:szCs w:val="26"/>
        </w:rPr>
        <w:tab/>
        <w:t>Subclause 32(32) (new draft local presence plan to be submitted before expiry of old plan)</w:t>
      </w:r>
    </w:p>
    <w:p w:rsidR="00A90892" w:rsidRDefault="00A90892" w:rsidP="00A90892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 xml:space="preserve">Omit </w:t>
      </w:r>
    </w:p>
    <w:p w:rsidR="00A90892" w:rsidRDefault="00A90892" w:rsidP="00EE3BDD"/>
    <w:p w:rsidR="00A90892" w:rsidRDefault="00A90892" w:rsidP="00A90892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[8]</w:t>
      </w:r>
      <w:r>
        <w:rPr>
          <w:rFonts w:ascii="Arial" w:hAnsi="Arial" w:cs="Arial"/>
          <w:b/>
          <w:color w:val="000000"/>
          <w:sz w:val="26"/>
          <w:szCs w:val="26"/>
        </w:rPr>
        <w:tab/>
        <w:t>Subclauses 32(33) to (34) (replacement of approved local presence plan)</w:t>
      </w:r>
    </w:p>
    <w:p w:rsidR="00A90892" w:rsidRDefault="00A90892" w:rsidP="00A90892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 xml:space="preserve">Omit </w:t>
      </w:r>
    </w:p>
    <w:p w:rsidR="00A90892" w:rsidRDefault="00A90892" w:rsidP="00A90892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:rsidR="00A90892" w:rsidRDefault="00A90892" w:rsidP="00A90892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lastRenderedPageBreak/>
        <w:t>[9]</w:t>
      </w:r>
      <w:r>
        <w:rPr>
          <w:rFonts w:ascii="Arial" w:hAnsi="Arial" w:cs="Arial"/>
          <w:b/>
          <w:color w:val="000000"/>
          <w:sz w:val="26"/>
          <w:szCs w:val="26"/>
        </w:rPr>
        <w:tab/>
        <w:t>Subclause 32(35) (compliance with approved local presence plan)</w:t>
      </w:r>
    </w:p>
    <w:p w:rsidR="00A90892" w:rsidRDefault="00A90892" w:rsidP="00A90892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 xml:space="preserve">Omit </w:t>
      </w:r>
    </w:p>
    <w:p w:rsidR="00EE3BDD" w:rsidRDefault="00EE3BDD"/>
    <w:p w:rsidR="00A90892" w:rsidRDefault="00A90892" w:rsidP="00A90892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[10]</w:t>
      </w:r>
      <w:r>
        <w:rPr>
          <w:rFonts w:ascii="Arial" w:hAnsi="Arial" w:cs="Arial"/>
          <w:b/>
          <w:color w:val="000000"/>
          <w:sz w:val="26"/>
          <w:szCs w:val="26"/>
        </w:rPr>
        <w:tab/>
        <w:t>Subclauses 32(36) to (38) (approved local presence plan to be made available to the public)</w:t>
      </w:r>
    </w:p>
    <w:p w:rsidR="00A90892" w:rsidRDefault="00A90892" w:rsidP="00A90892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 xml:space="preserve">Omit </w:t>
      </w:r>
    </w:p>
    <w:p w:rsidR="00A90892" w:rsidRDefault="00A90892"/>
    <w:p w:rsidR="00A90892" w:rsidRDefault="00A90892" w:rsidP="00A90892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[11]</w:t>
      </w:r>
      <w:r>
        <w:rPr>
          <w:rFonts w:ascii="Arial" w:hAnsi="Arial" w:cs="Arial"/>
          <w:b/>
          <w:color w:val="000000"/>
          <w:sz w:val="26"/>
          <w:szCs w:val="26"/>
        </w:rPr>
        <w:tab/>
        <w:t>Subclauses 32(39) to (40) (annual compliance reports)</w:t>
      </w:r>
    </w:p>
    <w:p w:rsidR="00A90892" w:rsidRDefault="00A90892" w:rsidP="00A90892">
      <w:pPr>
        <w:pStyle w:val="R1"/>
        <w:tabs>
          <w:tab w:val="left" w:pos="851"/>
          <w:tab w:val="left" w:pos="5839"/>
        </w:tabs>
        <w:rPr>
          <w:i/>
          <w:color w:val="000000"/>
        </w:rPr>
      </w:pPr>
      <w:r>
        <w:rPr>
          <w:i/>
          <w:color w:val="000000"/>
        </w:rPr>
        <w:t xml:space="preserve">Omit </w:t>
      </w:r>
    </w:p>
    <w:sectPr w:rsidR="00A90892">
      <w:headerReference w:type="default" r:id="rId9"/>
      <w:footerReference w:type="default" r:id="rId10"/>
      <w:headerReference w:type="first" r:id="rId11"/>
      <w:pgSz w:w="11900" w:h="16840"/>
      <w:pgMar w:top="1247" w:right="1701" w:bottom="1701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79" w:rsidRDefault="00D76479" w:rsidP="003526E4">
      <w:pPr>
        <w:spacing w:line="240" w:lineRule="auto"/>
      </w:pPr>
      <w:r>
        <w:separator/>
      </w:r>
    </w:p>
  </w:endnote>
  <w:endnote w:type="continuationSeparator" w:id="0">
    <w:p w:rsidR="00D76479" w:rsidRDefault="00D76479" w:rsidP="00352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1A8" w:rsidRDefault="00D83C26">
    <w:pPr>
      <w:pStyle w:val="Footer"/>
      <w:widowControl w:val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79" w:rsidRDefault="00D76479" w:rsidP="003526E4">
      <w:pPr>
        <w:spacing w:line="240" w:lineRule="auto"/>
      </w:pPr>
      <w:r>
        <w:separator/>
      </w:r>
    </w:p>
  </w:footnote>
  <w:footnote w:type="continuationSeparator" w:id="0">
    <w:p w:rsidR="00D76479" w:rsidRDefault="00D76479" w:rsidP="003526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851"/>
      <w:gridCol w:w="6849"/>
      <w:gridCol w:w="851"/>
    </w:tblGrid>
    <w:tr w:rsidR="001171A8">
      <w:trPr>
        <w:cantSplit/>
      </w:trPr>
      <w:tc>
        <w:tcPr>
          <w:tcW w:w="851" w:type="dxa"/>
          <w:tcBorders>
            <w:top w:val="nil"/>
            <w:left w:val="nil"/>
            <w:bottom w:val="nil"/>
            <w:right w:val="nil"/>
          </w:tcBorders>
        </w:tcPr>
        <w:p w:rsidR="001171A8" w:rsidRDefault="00D83C26">
          <w:pPr>
            <w:widowControl w:val="0"/>
          </w:pPr>
        </w:p>
      </w:tc>
      <w:tc>
        <w:tcPr>
          <w:tcW w:w="6849" w:type="dxa"/>
          <w:tcBorders>
            <w:top w:val="nil"/>
            <w:left w:val="nil"/>
            <w:bottom w:val="nil"/>
            <w:right w:val="nil"/>
          </w:tcBorders>
        </w:tcPr>
        <w:p w:rsidR="001171A8" w:rsidRPr="003526E4" w:rsidRDefault="00807E21" w:rsidP="00807E21">
          <w:pPr>
            <w:widowControl w:val="0"/>
            <w:jc w:val="center"/>
            <w:rPr>
              <w:i/>
              <w:iCs/>
            </w:rPr>
          </w:pPr>
          <w:r w:rsidRPr="00675DA4">
            <w:rPr>
              <w:i/>
              <w:sz w:val="24"/>
            </w:rPr>
            <w:t>Carrier Licence Conditions (</w:t>
          </w:r>
          <w:r>
            <w:rPr>
              <w:i/>
              <w:sz w:val="24"/>
            </w:rPr>
            <w:t>Telstra Corporation Limited) Declaration 1997 (Amendment No.3 of 2014</w:t>
          </w:r>
          <w:r>
            <w:rPr>
              <w:i/>
            </w:rPr>
            <w:t>)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</w:tcPr>
        <w:p w:rsidR="001171A8" w:rsidRDefault="00307599">
          <w:pPr>
            <w:widowControl w:val="0"/>
            <w:jc w:val="right"/>
          </w:pPr>
          <w:r>
            <w:pgNum/>
          </w:r>
        </w:p>
      </w:tc>
    </w:tr>
  </w:tbl>
  <w:p w:rsidR="001171A8" w:rsidRDefault="00D83C26">
    <w:pPr>
      <w:widowControl w:val="0"/>
      <w:tabs>
        <w:tab w:val="center" w:pos="3629"/>
        <w:tab w:val="right" w:pos="725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1A8" w:rsidRDefault="00D83C26">
    <w:pPr>
      <w:widowControl w:val="0"/>
      <w:tabs>
        <w:tab w:val="center" w:pos="3629"/>
        <w:tab w:val="right" w:pos="7258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D79"/>
    <w:multiLevelType w:val="hybridMultilevel"/>
    <w:tmpl w:val="E1CCF49C"/>
    <w:lvl w:ilvl="0" w:tplc="6792B74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804A5"/>
    <w:multiLevelType w:val="hybridMultilevel"/>
    <w:tmpl w:val="E1CCF49C"/>
    <w:lvl w:ilvl="0" w:tplc="6792B74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04784"/>
    <w:multiLevelType w:val="hybridMultilevel"/>
    <w:tmpl w:val="E1CCF49C"/>
    <w:lvl w:ilvl="0" w:tplc="6792B74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34F56"/>
    <w:multiLevelType w:val="hybridMultilevel"/>
    <w:tmpl w:val="E1CCF49C"/>
    <w:lvl w:ilvl="0" w:tplc="6792B74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03CA9"/>
    <w:multiLevelType w:val="multilevel"/>
    <w:tmpl w:val="DCD8D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A4"/>
    <w:rsid w:val="00005F91"/>
    <w:rsid w:val="0004105A"/>
    <w:rsid w:val="00084822"/>
    <w:rsid w:val="0008492F"/>
    <w:rsid w:val="00091225"/>
    <w:rsid w:val="000950AD"/>
    <w:rsid w:val="000C79DA"/>
    <w:rsid w:val="00107254"/>
    <w:rsid w:val="00151EA6"/>
    <w:rsid w:val="0019619B"/>
    <w:rsid w:val="001B2056"/>
    <w:rsid w:val="001B7BF8"/>
    <w:rsid w:val="001E1597"/>
    <w:rsid w:val="00293EBD"/>
    <w:rsid w:val="002942FC"/>
    <w:rsid w:val="002B2E62"/>
    <w:rsid w:val="002B7C38"/>
    <w:rsid w:val="002D0A46"/>
    <w:rsid w:val="002E2635"/>
    <w:rsid w:val="00307599"/>
    <w:rsid w:val="003178A9"/>
    <w:rsid w:val="00325789"/>
    <w:rsid w:val="003526E4"/>
    <w:rsid w:val="00385801"/>
    <w:rsid w:val="003B729C"/>
    <w:rsid w:val="003D208F"/>
    <w:rsid w:val="00430CCA"/>
    <w:rsid w:val="00452EE0"/>
    <w:rsid w:val="004C2893"/>
    <w:rsid w:val="004D1523"/>
    <w:rsid w:val="004E1E41"/>
    <w:rsid w:val="00555683"/>
    <w:rsid w:val="005B3617"/>
    <w:rsid w:val="005E49E5"/>
    <w:rsid w:val="006016FC"/>
    <w:rsid w:val="006031C8"/>
    <w:rsid w:val="0064396B"/>
    <w:rsid w:val="0064733B"/>
    <w:rsid w:val="006736E9"/>
    <w:rsid w:val="00675DA4"/>
    <w:rsid w:val="006C14E8"/>
    <w:rsid w:val="006D30FB"/>
    <w:rsid w:val="00731A29"/>
    <w:rsid w:val="00771896"/>
    <w:rsid w:val="00781506"/>
    <w:rsid w:val="007A05BE"/>
    <w:rsid w:val="007D0AF3"/>
    <w:rsid w:val="007F0792"/>
    <w:rsid w:val="0080455F"/>
    <w:rsid w:val="00807E21"/>
    <w:rsid w:val="00816CBE"/>
    <w:rsid w:val="008550E0"/>
    <w:rsid w:val="00892E0C"/>
    <w:rsid w:val="008B5A8C"/>
    <w:rsid w:val="008C6E97"/>
    <w:rsid w:val="008D5120"/>
    <w:rsid w:val="008E6C32"/>
    <w:rsid w:val="00936108"/>
    <w:rsid w:val="00977366"/>
    <w:rsid w:val="009949EA"/>
    <w:rsid w:val="009B5959"/>
    <w:rsid w:val="00A00850"/>
    <w:rsid w:val="00A10F57"/>
    <w:rsid w:val="00A224FB"/>
    <w:rsid w:val="00A31154"/>
    <w:rsid w:val="00A53C55"/>
    <w:rsid w:val="00A70339"/>
    <w:rsid w:val="00A90892"/>
    <w:rsid w:val="00A92379"/>
    <w:rsid w:val="00AA2FCC"/>
    <w:rsid w:val="00AD1E70"/>
    <w:rsid w:val="00B92632"/>
    <w:rsid w:val="00BF1BF1"/>
    <w:rsid w:val="00BF6E17"/>
    <w:rsid w:val="00C0051D"/>
    <w:rsid w:val="00C31310"/>
    <w:rsid w:val="00C6127B"/>
    <w:rsid w:val="00CC2265"/>
    <w:rsid w:val="00D51DED"/>
    <w:rsid w:val="00D7571A"/>
    <w:rsid w:val="00D76479"/>
    <w:rsid w:val="00D83C26"/>
    <w:rsid w:val="00DB13DB"/>
    <w:rsid w:val="00DF02EA"/>
    <w:rsid w:val="00E07492"/>
    <w:rsid w:val="00E5153D"/>
    <w:rsid w:val="00E57441"/>
    <w:rsid w:val="00E777E7"/>
    <w:rsid w:val="00E854A6"/>
    <w:rsid w:val="00EB2305"/>
    <w:rsid w:val="00EB53FD"/>
    <w:rsid w:val="00EE3BDD"/>
    <w:rsid w:val="00F00F53"/>
    <w:rsid w:val="00F1221D"/>
    <w:rsid w:val="00F4517A"/>
    <w:rsid w:val="00F75A5E"/>
    <w:rsid w:val="00F91B82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A4"/>
    <w:pPr>
      <w:tabs>
        <w:tab w:val="left" w:pos="540"/>
      </w:tabs>
      <w:autoSpaceDE w:val="0"/>
      <w:autoSpaceDN w:val="0"/>
      <w:spacing w:after="0" w:line="300" w:lineRule="atLeast"/>
    </w:pPr>
    <w:rPr>
      <w:rFonts w:ascii="Times" w:eastAsiaTheme="minorEastAsia" w:hAnsi="Times" w:cs="Times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5DA4"/>
    <w:pPr>
      <w:tabs>
        <w:tab w:val="clear" w:pos="540"/>
        <w:tab w:val="center" w:pos="3600"/>
        <w:tab w:val="center" w:pos="4320"/>
        <w:tab w:val="right" w:pos="7200"/>
        <w:tab w:val="right" w:pos="8640"/>
      </w:tabs>
      <w:spacing w:line="240" w:lineRule="auto"/>
      <w:jc w:val="both"/>
    </w:pPr>
    <w:rPr>
      <w:rFonts w:ascii="Helvetica" w:hAnsi="Helvetica" w:cs="Helvetica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5DA4"/>
    <w:rPr>
      <w:rFonts w:ascii="Helvetica" w:eastAsiaTheme="minorEastAsia" w:hAnsi="Helvetica" w:cs="Helvetica"/>
      <w:sz w:val="18"/>
      <w:szCs w:val="18"/>
      <w:lang w:eastAsia="en-AU"/>
    </w:rPr>
  </w:style>
  <w:style w:type="paragraph" w:customStyle="1" w:styleId="HR">
    <w:name w:val="HR"/>
    <w:aliases w:val="Regulation Heading"/>
    <w:basedOn w:val="Normal"/>
    <w:next w:val="R1"/>
    <w:uiPriority w:val="99"/>
    <w:rsid w:val="00675DA4"/>
    <w:pPr>
      <w:keepNext/>
      <w:spacing w:before="480" w:line="240" w:lineRule="atLeast"/>
      <w:jc w:val="both"/>
    </w:pPr>
    <w:rPr>
      <w:b/>
      <w:bCs/>
    </w:rPr>
  </w:style>
  <w:style w:type="paragraph" w:customStyle="1" w:styleId="R1">
    <w:name w:val="R1"/>
    <w:aliases w:val="1. or 1.(1)"/>
    <w:basedOn w:val="Normal"/>
    <w:next w:val="P1"/>
    <w:rsid w:val="00675DA4"/>
    <w:pPr>
      <w:tabs>
        <w:tab w:val="clear" w:pos="540"/>
        <w:tab w:val="right" w:pos="1080"/>
        <w:tab w:val="left" w:pos="1260"/>
        <w:tab w:val="left" w:pos="1800"/>
      </w:tabs>
      <w:spacing w:before="120" w:line="240" w:lineRule="auto"/>
      <w:jc w:val="both"/>
    </w:pPr>
  </w:style>
  <w:style w:type="paragraph" w:customStyle="1" w:styleId="P1">
    <w:name w:val="P1"/>
    <w:aliases w:val="(a)"/>
    <w:basedOn w:val="Normal"/>
    <w:uiPriority w:val="99"/>
    <w:rsid w:val="00675DA4"/>
    <w:pPr>
      <w:tabs>
        <w:tab w:val="clear" w:pos="540"/>
        <w:tab w:val="right" w:pos="1080"/>
      </w:tabs>
      <w:spacing w:before="40" w:line="260" w:lineRule="atLeast"/>
      <w:ind w:left="1276" w:hanging="1280"/>
      <w:jc w:val="both"/>
    </w:pPr>
  </w:style>
  <w:style w:type="paragraph" w:styleId="Title">
    <w:name w:val="Title"/>
    <w:basedOn w:val="Normal"/>
    <w:next w:val="Normal"/>
    <w:link w:val="TitleChar"/>
    <w:uiPriority w:val="99"/>
    <w:qFormat/>
    <w:rsid w:val="00675DA4"/>
    <w:pPr>
      <w:spacing w:before="480" w:line="240" w:lineRule="auto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675DA4"/>
    <w:rPr>
      <w:rFonts w:ascii="Times" w:eastAsiaTheme="minorEastAsia" w:hAnsi="Times" w:cs="Times"/>
      <w:b/>
      <w:bCs/>
      <w:sz w:val="36"/>
      <w:szCs w:val="36"/>
      <w:lang w:eastAsia="en-AU"/>
    </w:rPr>
  </w:style>
  <w:style w:type="paragraph" w:customStyle="1" w:styleId="citation">
    <w:name w:val="citation"/>
    <w:basedOn w:val="Normal"/>
    <w:uiPriority w:val="99"/>
    <w:rsid w:val="00675DA4"/>
    <w:pPr>
      <w:spacing w:before="240"/>
      <w:jc w:val="center"/>
    </w:pPr>
    <w:rPr>
      <w:i/>
      <w:iCs/>
    </w:rPr>
  </w:style>
  <w:style w:type="paragraph" w:customStyle="1" w:styleId="definition">
    <w:name w:val="definition"/>
    <w:basedOn w:val="Normal"/>
    <w:uiPriority w:val="99"/>
    <w:rsid w:val="00675DA4"/>
    <w:pPr>
      <w:keepNext/>
      <w:tabs>
        <w:tab w:val="clear" w:pos="540"/>
      </w:tabs>
      <w:spacing w:before="240" w:line="260" w:lineRule="atLeast"/>
      <w:jc w:val="both"/>
    </w:pPr>
    <w:rPr>
      <w:color w:val="000000"/>
    </w:rPr>
  </w:style>
  <w:style w:type="paragraph" w:customStyle="1" w:styleId="NoteBody2">
    <w:name w:val="Note Body 2"/>
    <w:basedOn w:val="Normal"/>
    <w:rsid w:val="003526E4"/>
    <w:pPr>
      <w:tabs>
        <w:tab w:val="clear" w:pos="540"/>
      </w:tabs>
      <w:spacing w:before="120" w:after="120" w:line="260" w:lineRule="atLeast"/>
      <w:jc w:val="both"/>
    </w:pPr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nhideWhenUsed/>
    <w:rsid w:val="003526E4"/>
    <w:pPr>
      <w:tabs>
        <w:tab w:val="clear" w:pos="54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526E4"/>
    <w:rPr>
      <w:rFonts w:ascii="Times" w:eastAsiaTheme="minorEastAsia" w:hAnsi="Times" w:cs="Times"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AD"/>
    <w:rPr>
      <w:rFonts w:ascii="Tahoma" w:eastAsiaTheme="minorEastAsia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892E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54"/>
    <w:rPr>
      <w:rFonts w:ascii="Times" w:eastAsiaTheme="minorEastAsia" w:hAnsi="Times" w:cs="Times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54"/>
    <w:rPr>
      <w:rFonts w:ascii="Times" w:eastAsiaTheme="minorEastAsia" w:hAnsi="Times" w:cs="Times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A4"/>
    <w:pPr>
      <w:tabs>
        <w:tab w:val="left" w:pos="540"/>
      </w:tabs>
      <w:autoSpaceDE w:val="0"/>
      <w:autoSpaceDN w:val="0"/>
      <w:spacing w:after="0" w:line="300" w:lineRule="atLeast"/>
    </w:pPr>
    <w:rPr>
      <w:rFonts w:ascii="Times" w:eastAsiaTheme="minorEastAsia" w:hAnsi="Times" w:cs="Times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5DA4"/>
    <w:pPr>
      <w:tabs>
        <w:tab w:val="clear" w:pos="540"/>
        <w:tab w:val="center" w:pos="3600"/>
        <w:tab w:val="center" w:pos="4320"/>
        <w:tab w:val="right" w:pos="7200"/>
        <w:tab w:val="right" w:pos="8640"/>
      </w:tabs>
      <w:spacing w:line="240" w:lineRule="auto"/>
      <w:jc w:val="both"/>
    </w:pPr>
    <w:rPr>
      <w:rFonts w:ascii="Helvetica" w:hAnsi="Helvetica" w:cs="Helvetica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5DA4"/>
    <w:rPr>
      <w:rFonts w:ascii="Helvetica" w:eastAsiaTheme="minorEastAsia" w:hAnsi="Helvetica" w:cs="Helvetica"/>
      <w:sz w:val="18"/>
      <w:szCs w:val="18"/>
      <w:lang w:eastAsia="en-AU"/>
    </w:rPr>
  </w:style>
  <w:style w:type="paragraph" w:customStyle="1" w:styleId="HR">
    <w:name w:val="HR"/>
    <w:aliases w:val="Regulation Heading"/>
    <w:basedOn w:val="Normal"/>
    <w:next w:val="R1"/>
    <w:uiPriority w:val="99"/>
    <w:rsid w:val="00675DA4"/>
    <w:pPr>
      <w:keepNext/>
      <w:spacing w:before="480" w:line="240" w:lineRule="atLeast"/>
      <w:jc w:val="both"/>
    </w:pPr>
    <w:rPr>
      <w:b/>
      <w:bCs/>
    </w:rPr>
  </w:style>
  <w:style w:type="paragraph" w:customStyle="1" w:styleId="R1">
    <w:name w:val="R1"/>
    <w:aliases w:val="1. or 1.(1)"/>
    <w:basedOn w:val="Normal"/>
    <w:next w:val="P1"/>
    <w:rsid w:val="00675DA4"/>
    <w:pPr>
      <w:tabs>
        <w:tab w:val="clear" w:pos="540"/>
        <w:tab w:val="right" w:pos="1080"/>
        <w:tab w:val="left" w:pos="1260"/>
        <w:tab w:val="left" w:pos="1800"/>
      </w:tabs>
      <w:spacing w:before="120" w:line="240" w:lineRule="auto"/>
      <w:jc w:val="both"/>
    </w:pPr>
  </w:style>
  <w:style w:type="paragraph" w:customStyle="1" w:styleId="P1">
    <w:name w:val="P1"/>
    <w:aliases w:val="(a)"/>
    <w:basedOn w:val="Normal"/>
    <w:uiPriority w:val="99"/>
    <w:rsid w:val="00675DA4"/>
    <w:pPr>
      <w:tabs>
        <w:tab w:val="clear" w:pos="540"/>
        <w:tab w:val="right" w:pos="1080"/>
      </w:tabs>
      <w:spacing w:before="40" w:line="260" w:lineRule="atLeast"/>
      <w:ind w:left="1276" w:hanging="1280"/>
      <w:jc w:val="both"/>
    </w:pPr>
  </w:style>
  <w:style w:type="paragraph" w:styleId="Title">
    <w:name w:val="Title"/>
    <w:basedOn w:val="Normal"/>
    <w:next w:val="Normal"/>
    <w:link w:val="TitleChar"/>
    <w:uiPriority w:val="99"/>
    <w:qFormat/>
    <w:rsid w:val="00675DA4"/>
    <w:pPr>
      <w:spacing w:before="480" w:line="240" w:lineRule="auto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675DA4"/>
    <w:rPr>
      <w:rFonts w:ascii="Times" w:eastAsiaTheme="minorEastAsia" w:hAnsi="Times" w:cs="Times"/>
      <w:b/>
      <w:bCs/>
      <w:sz w:val="36"/>
      <w:szCs w:val="36"/>
      <w:lang w:eastAsia="en-AU"/>
    </w:rPr>
  </w:style>
  <w:style w:type="paragraph" w:customStyle="1" w:styleId="citation">
    <w:name w:val="citation"/>
    <w:basedOn w:val="Normal"/>
    <w:uiPriority w:val="99"/>
    <w:rsid w:val="00675DA4"/>
    <w:pPr>
      <w:spacing w:before="240"/>
      <w:jc w:val="center"/>
    </w:pPr>
    <w:rPr>
      <w:i/>
      <w:iCs/>
    </w:rPr>
  </w:style>
  <w:style w:type="paragraph" w:customStyle="1" w:styleId="definition">
    <w:name w:val="definition"/>
    <w:basedOn w:val="Normal"/>
    <w:uiPriority w:val="99"/>
    <w:rsid w:val="00675DA4"/>
    <w:pPr>
      <w:keepNext/>
      <w:tabs>
        <w:tab w:val="clear" w:pos="540"/>
      </w:tabs>
      <w:spacing w:before="240" w:line="260" w:lineRule="atLeast"/>
      <w:jc w:val="both"/>
    </w:pPr>
    <w:rPr>
      <w:color w:val="000000"/>
    </w:rPr>
  </w:style>
  <w:style w:type="paragraph" w:customStyle="1" w:styleId="NoteBody2">
    <w:name w:val="Note Body 2"/>
    <w:basedOn w:val="Normal"/>
    <w:rsid w:val="003526E4"/>
    <w:pPr>
      <w:tabs>
        <w:tab w:val="clear" w:pos="540"/>
      </w:tabs>
      <w:spacing w:before="120" w:after="120" w:line="260" w:lineRule="atLeast"/>
      <w:jc w:val="both"/>
    </w:pPr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nhideWhenUsed/>
    <w:rsid w:val="003526E4"/>
    <w:pPr>
      <w:tabs>
        <w:tab w:val="clear" w:pos="54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526E4"/>
    <w:rPr>
      <w:rFonts w:ascii="Times" w:eastAsiaTheme="minorEastAsia" w:hAnsi="Times" w:cs="Times"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AD"/>
    <w:rPr>
      <w:rFonts w:ascii="Tahoma" w:eastAsiaTheme="minorEastAsia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892E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54"/>
    <w:rPr>
      <w:rFonts w:ascii="Times" w:eastAsiaTheme="minorEastAsia" w:hAnsi="Times" w:cs="Times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54"/>
    <w:rPr>
      <w:rFonts w:ascii="Times" w:eastAsiaTheme="minorEastAsia" w:hAnsi="Times" w:cs="Times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5A91D-E63E-423C-8A93-3061430B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DBCDE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DBCDE</dc:creator>
  <cp:lastModifiedBy>Amy Daly</cp:lastModifiedBy>
  <cp:revision>3</cp:revision>
  <cp:lastPrinted>2014-03-13T00:45:00Z</cp:lastPrinted>
  <dcterms:created xsi:type="dcterms:W3CDTF">2014-09-30T23:06:00Z</dcterms:created>
  <dcterms:modified xsi:type="dcterms:W3CDTF">2014-11-05T00:49:00Z</dcterms:modified>
</cp:coreProperties>
</file>