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BA1" w:rsidRPr="00941C0D" w:rsidRDefault="00FE1A78" w:rsidP="008B4BA1">
      <w:pPr>
        <w:pStyle w:val="Heading1"/>
        <w:spacing w:after="240"/>
      </w:pPr>
      <w:bookmarkStart w:id="0" w:name="OLE_LINK1"/>
      <w:bookmarkStart w:id="1" w:name="OLE_LINK2"/>
      <w:r w:rsidRPr="00503E44">
        <w:t>EXPLANATORY STATEMENT</w:t>
      </w:r>
    </w:p>
    <w:p w:rsidR="008B4BA1" w:rsidRPr="00B30E77" w:rsidRDefault="00FE1A78" w:rsidP="008B4BA1">
      <w:pPr>
        <w:pStyle w:val="Heading1"/>
        <w:spacing w:after="240"/>
      </w:pPr>
      <w:r w:rsidRPr="00B30E77">
        <w:t>Sele</w:t>
      </w:r>
      <w:r>
        <w:t xml:space="preserve">ct Legislative Instrument No. </w:t>
      </w:r>
      <w:r w:rsidR="008E169B">
        <w:t>155, 2014</w:t>
      </w:r>
    </w:p>
    <w:p w:rsidR="008B4BA1" w:rsidRPr="0039795F" w:rsidRDefault="00FE1A78" w:rsidP="008B4BA1">
      <w:pPr>
        <w:pStyle w:val="Heading2"/>
        <w:spacing w:after="240"/>
        <w:jc w:val="center"/>
        <w:rPr>
          <w:b w:val="0"/>
          <w:sz w:val="24"/>
          <w:szCs w:val="24"/>
        </w:rPr>
      </w:pPr>
      <w:r w:rsidRPr="0039795F">
        <w:rPr>
          <w:b w:val="0"/>
          <w:sz w:val="24"/>
          <w:szCs w:val="24"/>
        </w:rPr>
        <w:t>Issued by authority of the Minister for the Environment</w:t>
      </w:r>
    </w:p>
    <w:p w:rsidR="008B4BA1" w:rsidRDefault="00FE1A78" w:rsidP="008B4BA1">
      <w:pPr>
        <w:spacing w:before="240" w:after="240"/>
        <w:jc w:val="center"/>
        <w:rPr>
          <w:i/>
        </w:rPr>
      </w:pPr>
      <w:r w:rsidRPr="001F744C">
        <w:rPr>
          <w:i/>
        </w:rPr>
        <w:t xml:space="preserve">Renewable Energy (Electricity) Act 2000 </w:t>
      </w:r>
    </w:p>
    <w:p w:rsidR="008B4BA1" w:rsidRDefault="00FE1A78" w:rsidP="008B4BA1">
      <w:pPr>
        <w:spacing w:before="0" w:after="240"/>
        <w:jc w:val="center"/>
        <w:rPr>
          <w:i/>
        </w:rPr>
      </w:pPr>
      <w:r>
        <w:rPr>
          <w:i/>
        </w:rPr>
        <w:t>Renewable Energy (Electricity) Amendment (Solar Zones and Other Measures) Regulation 2014</w:t>
      </w:r>
    </w:p>
    <w:p w:rsidR="008B4BA1" w:rsidRDefault="00FE1A78" w:rsidP="008B4BA1">
      <w:pPr>
        <w:spacing w:before="0" w:after="240"/>
      </w:pPr>
      <w:r w:rsidRPr="00D516AF">
        <w:t xml:space="preserve">Section 161 of the </w:t>
      </w:r>
      <w:r w:rsidRPr="00D516AF">
        <w:rPr>
          <w:i/>
          <w:iCs/>
        </w:rPr>
        <w:t xml:space="preserve">Renewable Energy (Electricity) Act 2000 </w:t>
      </w:r>
      <w:r w:rsidRPr="00D516AF">
        <w:rPr>
          <w:iCs/>
        </w:rPr>
        <w:t xml:space="preserve">(the “RET Act”) provides that </w:t>
      </w:r>
      <w:r w:rsidRPr="00D516AF">
        <w:t>the Governor-General may make regulations prescribing matters required or permitted by the Act, or necessary or convenient to be prescr</w:t>
      </w:r>
      <w:bookmarkStart w:id="2" w:name="_GoBack"/>
      <w:bookmarkEnd w:id="2"/>
      <w:r w:rsidRPr="00D516AF">
        <w:t xml:space="preserve">ibed for carrying out or giving effect to the Act. </w:t>
      </w:r>
    </w:p>
    <w:p w:rsidR="008B4BA1" w:rsidRDefault="00FE1A78" w:rsidP="008B4BA1">
      <w:pPr>
        <w:pStyle w:val="Bullet"/>
        <w:numPr>
          <w:ilvl w:val="0"/>
          <w:numId w:val="0"/>
        </w:numPr>
        <w:spacing w:before="0" w:after="240"/>
      </w:pPr>
      <w:r>
        <w:t xml:space="preserve">The Renewable Energy Target (the “RET”) scheme is established by the RET Act </w:t>
      </w:r>
      <w:r w:rsidRPr="00853B75">
        <w:t xml:space="preserve">and is supported by the </w:t>
      </w:r>
      <w:r>
        <w:t>RET Regulations</w:t>
      </w:r>
      <w:r w:rsidRPr="00853B75">
        <w:t>.</w:t>
      </w:r>
      <w:r>
        <w:t xml:space="preserve"> The RET is</w:t>
      </w:r>
      <w:r w:rsidRPr="00853B75">
        <w:t xml:space="preserve"> designed to reduce emissions of greenhouse gases in the electricity sector, encourage the additional generation of renewable energy through financial incentives, and ensure that at least 20 per cent of Australia's electricity supply will come from renewable sources by 2020.</w:t>
      </w:r>
    </w:p>
    <w:p w:rsidR="008B4BA1" w:rsidRDefault="00FE1A78" w:rsidP="008B4BA1">
      <w:pPr>
        <w:spacing w:before="0" w:after="240"/>
      </w:pPr>
      <w:r>
        <w:t xml:space="preserve">The </w:t>
      </w:r>
      <w:r>
        <w:rPr>
          <w:i/>
        </w:rPr>
        <w:t>Renewable Energy (Electricity) Amendment (Solar Zones and Other Measures) Regulation 2014</w:t>
      </w:r>
      <w:r>
        <w:t xml:space="preserve"> (the “Regulation”) amends the RET Regulations to </w:t>
      </w:r>
      <w:r>
        <w:rPr>
          <w:szCs w:val="24"/>
        </w:rPr>
        <w:t xml:space="preserve">update solar zones and </w:t>
      </w:r>
      <w:r>
        <w:t xml:space="preserve">update references to documentation and definitions following the passage of the </w:t>
      </w:r>
      <w:r>
        <w:rPr>
          <w:i/>
        </w:rPr>
        <w:t xml:space="preserve">Clean Energy Legislation (Carbon Tax Repeal) Act 2014 </w:t>
      </w:r>
      <w:r>
        <w:t>(the “Carbon Tax Repeal Act”).</w:t>
      </w:r>
    </w:p>
    <w:p w:rsidR="006E08FD" w:rsidRPr="00A53A61" w:rsidRDefault="006E08FD" w:rsidP="006E08FD">
      <w:pPr>
        <w:spacing w:before="0" w:after="240"/>
        <w:rPr>
          <w:szCs w:val="24"/>
        </w:rPr>
      </w:pPr>
    </w:p>
    <w:p w:rsidR="008B4BA1" w:rsidRDefault="00FE1A78" w:rsidP="008B4BA1">
      <w:pPr>
        <w:pStyle w:val="Bullet"/>
        <w:numPr>
          <w:ilvl w:val="0"/>
          <w:numId w:val="0"/>
        </w:numPr>
        <w:spacing w:after="240"/>
        <w:rPr>
          <w:u w:val="single"/>
        </w:rPr>
      </w:pPr>
      <w:r>
        <w:rPr>
          <w:u w:val="single"/>
        </w:rPr>
        <w:t>Update of Solar Zones</w:t>
      </w:r>
    </w:p>
    <w:p w:rsidR="008B4BA1" w:rsidRDefault="00FE1A78" w:rsidP="008B4BA1">
      <w:pPr>
        <w:pStyle w:val="Bullet"/>
        <w:numPr>
          <w:ilvl w:val="0"/>
          <w:numId w:val="0"/>
        </w:numPr>
        <w:spacing w:after="240"/>
      </w:pPr>
      <w:r>
        <w:t>Under the RET,</w:t>
      </w:r>
      <w:r w:rsidRPr="00670DDF">
        <w:t xml:space="preserve"> solar panel systems installed according to the requirements of the Small-scale Renewable Energy Scheme are eligible for small-scale technology certificates. </w:t>
      </w:r>
    </w:p>
    <w:p w:rsidR="008B4BA1" w:rsidRDefault="00FE1A78" w:rsidP="008B4BA1">
      <w:pPr>
        <w:pStyle w:val="Bullet"/>
        <w:numPr>
          <w:ilvl w:val="0"/>
          <w:numId w:val="0"/>
        </w:numPr>
        <w:spacing w:after="240"/>
      </w:pPr>
      <w:r>
        <w:t>T</w:t>
      </w:r>
      <w:r w:rsidRPr="00670DDF">
        <w:t>he number of certificates that a solar system is eligible to create</w:t>
      </w:r>
      <w:r>
        <w:t xml:space="preserve"> is calculated using postcode groupings as a proxy to estimate </w:t>
      </w:r>
      <w:r w:rsidRPr="00670DDF">
        <w:t>the amount of solar radiation</w:t>
      </w:r>
      <w:r>
        <w:t xml:space="preserve"> in a particular region</w:t>
      </w:r>
      <w:r w:rsidRPr="00670DDF">
        <w:t xml:space="preserve">. </w:t>
      </w:r>
      <w:r>
        <w:t xml:space="preserve">The postcode grouping or solar zones are currently published in the RET Regulations. </w:t>
      </w:r>
    </w:p>
    <w:p w:rsidR="008B4BA1" w:rsidRPr="00670DDF" w:rsidRDefault="00FE1A78" w:rsidP="008B4BA1">
      <w:pPr>
        <w:pStyle w:val="Bullet"/>
        <w:numPr>
          <w:ilvl w:val="0"/>
          <w:numId w:val="0"/>
        </w:numPr>
        <w:spacing w:after="240"/>
      </w:pPr>
      <w:r w:rsidRPr="00670DDF">
        <w:t>Australia Post periodically makes amendment</w:t>
      </w:r>
      <w:r>
        <w:t>s to Australia’s postcodes. I</w:t>
      </w:r>
      <w:r w:rsidRPr="00670DDF">
        <w:t xml:space="preserve">n some </w:t>
      </w:r>
      <w:proofErr w:type="gramStart"/>
      <w:r w:rsidRPr="00670DDF">
        <w:t>cases</w:t>
      </w:r>
      <w:proofErr w:type="gramEnd"/>
      <w:r w:rsidRPr="00670DDF">
        <w:t xml:space="preserve"> these ch</w:t>
      </w:r>
      <w:r>
        <w:t>anges involve the use of out-of-</w:t>
      </w:r>
      <w:r w:rsidRPr="00670DDF">
        <w:t xml:space="preserve">sequence postcodes </w:t>
      </w:r>
      <w:r>
        <w:t xml:space="preserve">that </w:t>
      </w:r>
      <w:r w:rsidRPr="00670DDF">
        <w:t>result</w:t>
      </w:r>
      <w:r>
        <w:t xml:space="preserve"> in </w:t>
      </w:r>
      <w:r w:rsidRPr="00670DDF">
        <w:t>new postcodes in certain areas</w:t>
      </w:r>
      <w:r>
        <w:t xml:space="preserve"> within a solar zone that do not </w:t>
      </w:r>
      <w:r w:rsidRPr="00670DDF">
        <w:t>reflect the solar radiation in that area</w:t>
      </w:r>
      <w:r>
        <w:t xml:space="preserve"> and</w:t>
      </w:r>
      <w:r w:rsidRPr="00670DDF">
        <w:t xml:space="preserve"> do not provide for the correct number of certificates</w:t>
      </w:r>
      <w:r>
        <w:t xml:space="preserve"> to be created</w:t>
      </w:r>
      <w:r w:rsidRPr="00670DDF">
        <w:t>.</w:t>
      </w:r>
    </w:p>
    <w:p w:rsidR="008B4BA1" w:rsidRDefault="00FE1A78" w:rsidP="008B4BA1">
      <w:pPr>
        <w:pStyle w:val="BodyText10"/>
        <w:spacing w:line="240" w:lineRule="auto"/>
        <w:rPr>
          <w:rFonts w:ascii="Times New Roman" w:hAnsi="Times New Roman"/>
          <w:sz w:val="24"/>
          <w:szCs w:val="23"/>
          <w:lang w:eastAsia="en-AU"/>
        </w:rPr>
      </w:pPr>
      <w:r>
        <w:rPr>
          <w:rFonts w:ascii="Times New Roman" w:hAnsi="Times New Roman"/>
          <w:sz w:val="24"/>
          <w:szCs w:val="23"/>
          <w:lang w:eastAsia="en-AU"/>
        </w:rPr>
        <w:t>The Regulation will update the solar zone list in the RET Regulations to reflect the allocation of new postcodes by Australia Post.</w:t>
      </w:r>
    </w:p>
    <w:p w:rsidR="006E08FD" w:rsidRDefault="005D5401" w:rsidP="006E08FD">
      <w:pPr>
        <w:pStyle w:val="BodyText10"/>
        <w:spacing w:line="240" w:lineRule="auto"/>
        <w:rPr>
          <w:rFonts w:ascii="Times New Roman" w:hAnsi="Times New Roman"/>
          <w:sz w:val="24"/>
          <w:szCs w:val="23"/>
          <w:lang w:eastAsia="en-AU"/>
        </w:rPr>
      </w:pPr>
      <w:r>
        <w:rPr>
          <w:rFonts w:ascii="Times New Roman" w:hAnsi="Times New Roman"/>
          <w:sz w:val="24"/>
          <w:szCs w:val="23"/>
          <w:lang w:eastAsia="en-AU"/>
        </w:rPr>
        <w:t>As the changes to the to the s</w:t>
      </w:r>
      <w:r w:rsidR="006E08FD">
        <w:rPr>
          <w:rFonts w:ascii="Times New Roman" w:hAnsi="Times New Roman"/>
          <w:sz w:val="24"/>
          <w:szCs w:val="23"/>
          <w:lang w:eastAsia="en-AU"/>
        </w:rPr>
        <w:t xml:space="preserve">olar zone list is minor and </w:t>
      </w:r>
      <w:r w:rsidR="006E08FD" w:rsidRPr="00783F77">
        <w:rPr>
          <w:rFonts w:ascii="Times New Roman" w:hAnsi="Times New Roman"/>
          <w:sz w:val="24"/>
          <w:szCs w:val="23"/>
          <w:lang w:eastAsia="en-AU"/>
        </w:rPr>
        <w:t>does not substantially alter existing arrangements</w:t>
      </w:r>
      <w:r w:rsidR="009B764B">
        <w:rPr>
          <w:rFonts w:ascii="Times New Roman" w:hAnsi="Times New Roman"/>
          <w:sz w:val="24"/>
          <w:szCs w:val="23"/>
          <w:lang w:eastAsia="en-AU"/>
        </w:rPr>
        <w:t>,</w:t>
      </w:r>
      <w:r w:rsidR="002D1734">
        <w:rPr>
          <w:rFonts w:ascii="Times New Roman" w:hAnsi="Times New Roman"/>
          <w:sz w:val="24"/>
          <w:szCs w:val="23"/>
          <w:lang w:eastAsia="en-AU"/>
        </w:rPr>
        <w:t xml:space="preserve"> </w:t>
      </w:r>
      <w:r w:rsidR="006E08FD">
        <w:rPr>
          <w:rFonts w:ascii="Times New Roman" w:hAnsi="Times New Roman"/>
          <w:sz w:val="24"/>
          <w:szCs w:val="23"/>
          <w:lang w:eastAsia="en-AU"/>
        </w:rPr>
        <w:t xml:space="preserve">no consultation </w:t>
      </w:r>
      <w:r w:rsidR="00CE6B97">
        <w:rPr>
          <w:rFonts w:ascii="Times New Roman" w:hAnsi="Times New Roman"/>
          <w:sz w:val="24"/>
          <w:szCs w:val="23"/>
          <w:lang w:eastAsia="en-AU"/>
        </w:rPr>
        <w:t xml:space="preserve">was undertaken </w:t>
      </w:r>
      <w:r>
        <w:rPr>
          <w:rFonts w:ascii="Times New Roman" w:hAnsi="Times New Roman"/>
          <w:sz w:val="24"/>
          <w:szCs w:val="23"/>
          <w:lang w:eastAsia="en-AU"/>
        </w:rPr>
        <w:t xml:space="preserve">in preparing </w:t>
      </w:r>
      <w:r w:rsidR="00CE6B97">
        <w:rPr>
          <w:rFonts w:ascii="Times New Roman" w:hAnsi="Times New Roman"/>
          <w:sz w:val="24"/>
          <w:szCs w:val="23"/>
          <w:lang w:eastAsia="en-AU"/>
        </w:rPr>
        <w:t>the amendments.</w:t>
      </w:r>
    </w:p>
    <w:p w:rsidR="008B4BA1" w:rsidRPr="005A2090" w:rsidRDefault="0081657D" w:rsidP="008B4BA1">
      <w:pPr>
        <w:pStyle w:val="Bullet"/>
        <w:keepNext/>
        <w:numPr>
          <w:ilvl w:val="0"/>
          <w:numId w:val="0"/>
        </w:numPr>
        <w:spacing w:after="240"/>
        <w:rPr>
          <w:u w:val="single"/>
        </w:rPr>
      </w:pPr>
      <w:r>
        <w:t xml:space="preserve"> </w:t>
      </w:r>
      <w:r w:rsidR="00FE1A78" w:rsidRPr="005A2090">
        <w:rPr>
          <w:u w:val="single"/>
        </w:rPr>
        <w:t>Repeal of the Carbon Tax</w:t>
      </w:r>
    </w:p>
    <w:p w:rsidR="008B4BA1" w:rsidRDefault="00FE1A78" w:rsidP="008B4BA1">
      <w:pPr>
        <w:pStyle w:val="Bullet"/>
        <w:numPr>
          <w:ilvl w:val="0"/>
          <w:numId w:val="0"/>
        </w:numPr>
        <w:spacing w:before="0" w:after="240"/>
        <w:rPr>
          <w:lang w:val="en-US"/>
        </w:rPr>
      </w:pPr>
      <w:r w:rsidRPr="00D516AF">
        <w:rPr>
          <w:lang w:val="en-US"/>
        </w:rPr>
        <w:t xml:space="preserve">With the </w:t>
      </w:r>
      <w:r>
        <w:rPr>
          <w:lang w:val="en-US"/>
        </w:rPr>
        <w:t xml:space="preserve">passage of the </w:t>
      </w:r>
      <w:r>
        <w:t>Carbon Tax Repeal Act</w:t>
      </w:r>
      <w:r w:rsidRPr="00D516AF">
        <w:rPr>
          <w:lang w:val="en-US"/>
        </w:rPr>
        <w:t xml:space="preserve">, all carbon tax-related </w:t>
      </w:r>
      <w:r w:rsidRPr="00D516AF">
        <w:t>elements</w:t>
      </w:r>
      <w:r>
        <w:rPr>
          <w:lang w:val="en-US"/>
        </w:rPr>
        <w:t xml:space="preserve"> must be updated in the RET Regulations. Under the RET, emissions-intensive-trade-exposed activities may apply for </w:t>
      </w:r>
      <w:r w:rsidRPr="00017E0C">
        <w:rPr>
          <w:lang w:val="en-US"/>
        </w:rPr>
        <w:t>Partial Exemption Certificates</w:t>
      </w:r>
      <w:r>
        <w:rPr>
          <w:lang w:val="en-US"/>
        </w:rPr>
        <w:t xml:space="preserve"> with respect to their RET liability. These applications can use </w:t>
      </w:r>
      <w:r w:rsidRPr="00017E0C">
        <w:rPr>
          <w:lang w:val="en-US"/>
        </w:rPr>
        <w:t>reporting</w:t>
      </w:r>
      <w:r>
        <w:rPr>
          <w:lang w:val="en-US"/>
        </w:rPr>
        <w:t xml:space="preserve"> and audit requirements under the </w:t>
      </w:r>
      <w:r w:rsidRPr="00D516AF">
        <w:rPr>
          <w:lang w:val="en-US"/>
        </w:rPr>
        <w:t>Jobs and Competitiveness Program</w:t>
      </w:r>
      <w:r>
        <w:rPr>
          <w:lang w:val="en-US"/>
        </w:rPr>
        <w:t xml:space="preserve">. The Jobs and Competitiveness Program has been updated to reflect the repeal of the carbon tax, including the introduction of a true-up process. Consequential amendments are required to the Regulation to reflect these updates. Specifically, the </w:t>
      </w:r>
      <w:r>
        <w:t xml:space="preserve">Regulation </w:t>
      </w:r>
      <w:r w:rsidRPr="00CD0279">
        <w:rPr>
          <w:lang w:val="en-US"/>
        </w:rPr>
        <w:t>will</w:t>
      </w:r>
      <w:r>
        <w:rPr>
          <w:lang w:val="en-US"/>
        </w:rPr>
        <w:t>:</w:t>
      </w:r>
    </w:p>
    <w:p w:rsidR="008B4BA1" w:rsidRPr="00CD0279" w:rsidRDefault="00FE1A78" w:rsidP="008B4BA1">
      <w:pPr>
        <w:pStyle w:val="ListBullet"/>
        <w:numPr>
          <w:ilvl w:val="0"/>
          <w:numId w:val="30"/>
        </w:numPr>
        <w:ind w:left="426"/>
      </w:pPr>
      <w:r>
        <w:t>u</w:t>
      </w:r>
      <w:r w:rsidRPr="00CD0279">
        <w:t>pdate</w:t>
      </w:r>
      <w:r>
        <w:t xml:space="preserve"> the</w:t>
      </w:r>
      <w:r w:rsidRPr="00CD0279">
        <w:t xml:space="preserve"> definition o</w:t>
      </w:r>
      <w:r>
        <w:t>f the Jobs and Competitiveness P</w:t>
      </w:r>
      <w:r w:rsidRPr="00CD0279">
        <w:t>rogram</w:t>
      </w:r>
      <w:r>
        <w:t xml:space="preserve"> </w:t>
      </w:r>
      <w:r w:rsidRPr="00CD0279">
        <w:t>and</w:t>
      </w:r>
      <w:r>
        <w:t xml:space="preserve"> define the </w:t>
      </w:r>
      <w:r w:rsidRPr="00CD0279">
        <w:t>true</w:t>
      </w:r>
      <w:r>
        <w:noBreakHyphen/>
      </w:r>
      <w:r w:rsidRPr="00CD0279">
        <w:t>up report</w:t>
      </w:r>
      <w:r>
        <w:t xml:space="preserve"> under the Program; and</w:t>
      </w:r>
    </w:p>
    <w:p w:rsidR="008B4BA1" w:rsidRPr="006E08FD" w:rsidRDefault="00FE1A78" w:rsidP="008B4BA1">
      <w:pPr>
        <w:pStyle w:val="Bullet"/>
        <w:numPr>
          <w:ilvl w:val="0"/>
          <w:numId w:val="30"/>
        </w:numPr>
        <w:spacing w:before="0" w:after="240"/>
        <w:ind w:left="426"/>
        <w:rPr>
          <w:lang w:val="en-US"/>
        </w:rPr>
      </w:pPr>
      <w:proofErr w:type="gramStart"/>
      <w:r>
        <w:rPr>
          <w:lang w:val="en-US"/>
        </w:rPr>
        <w:t>update</w:t>
      </w:r>
      <w:proofErr w:type="gramEnd"/>
      <w:r>
        <w:rPr>
          <w:lang w:val="en-US"/>
        </w:rPr>
        <w:t xml:space="preserve"> the </w:t>
      </w:r>
      <w:r w:rsidRPr="00CD0279">
        <w:t>partial exemption certificate</w:t>
      </w:r>
      <w:r>
        <w:t xml:space="preserve"> application process to incorporate t</w:t>
      </w:r>
      <w:r w:rsidRPr="00CD0279">
        <w:t>rue-up</w:t>
      </w:r>
      <w:r>
        <w:t xml:space="preserve"> reports</w:t>
      </w:r>
      <w:r w:rsidRPr="00CD0279">
        <w:t xml:space="preserve"> </w:t>
      </w:r>
      <w:r>
        <w:t>and associated audit reports under the Jobs and Competitiveness P</w:t>
      </w:r>
      <w:r w:rsidRPr="00CD0279">
        <w:t>rogram</w:t>
      </w:r>
      <w:r>
        <w:t>.</w:t>
      </w:r>
    </w:p>
    <w:p w:rsidR="006E08FD" w:rsidRDefault="006E08FD" w:rsidP="006E08FD">
      <w:pPr>
        <w:rPr>
          <w:szCs w:val="23"/>
          <w:lang w:val="en-US"/>
        </w:rPr>
      </w:pPr>
      <w:r w:rsidRPr="006E08FD">
        <w:rPr>
          <w:szCs w:val="23"/>
          <w:lang w:val="en-US"/>
        </w:rPr>
        <w:t xml:space="preserve">Given that there was extensive consultation on repeal of the </w:t>
      </w:r>
      <w:r w:rsidR="00CE6B97">
        <w:rPr>
          <w:szCs w:val="23"/>
          <w:lang w:val="en-US"/>
        </w:rPr>
        <w:t>C</w:t>
      </w:r>
      <w:r w:rsidRPr="006E08FD">
        <w:rPr>
          <w:szCs w:val="23"/>
          <w:lang w:val="en-US"/>
        </w:rPr>
        <w:t xml:space="preserve">arbon </w:t>
      </w:r>
      <w:r w:rsidR="00CE6B97">
        <w:rPr>
          <w:szCs w:val="23"/>
          <w:lang w:val="en-US"/>
        </w:rPr>
        <w:t>T</w:t>
      </w:r>
      <w:r w:rsidRPr="006E08FD">
        <w:rPr>
          <w:szCs w:val="23"/>
          <w:lang w:val="en-US"/>
        </w:rPr>
        <w:t>ax and the rules for final true-up of the Jobs and Competitiveness Program</w:t>
      </w:r>
      <w:r w:rsidR="007E5878">
        <w:rPr>
          <w:szCs w:val="23"/>
          <w:lang w:val="en-US"/>
        </w:rPr>
        <w:t xml:space="preserve"> and that these amendments </w:t>
      </w:r>
      <w:r w:rsidR="007E5878" w:rsidRPr="006E08FD">
        <w:rPr>
          <w:szCs w:val="23"/>
          <w:lang w:val="en-US"/>
        </w:rPr>
        <w:t xml:space="preserve">minor and </w:t>
      </w:r>
      <w:r w:rsidR="007E5878">
        <w:rPr>
          <w:szCs w:val="23"/>
          <w:lang w:val="en-US"/>
        </w:rPr>
        <w:t xml:space="preserve">are </w:t>
      </w:r>
      <w:r w:rsidR="007E5878" w:rsidRPr="006E08FD">
        <w:rPr>
          <w:szCs w:val="23"/>
          <w:lang w:val="en-US"/>
        </w:rPr>
        <w:t>consequential</w:t>
      </w:r>
      <w:r w:rsidR="00CE6B97">
        <w:rPr>
          <w:szCs w:val="23"/>
          <w:lang w:val="en-US"/>
        </w:rPr>
        <w:t xml:space="preserve"> </w:t>
      </w:r>
      <w:r w:rsidR="007E5878">
        <w:rPr>
          <w:szCs w:val="23"/>
          <w:lang w:val="en-US"/>
        </w:rPr>
        <w:t xml:space="preserve">to the passage of the </w:t>
      </w:r>
      <w:r w:rsidR="007E5878">
        <w:t>Carbon Tax Repeal Act</w:t>
      </w:r>
      <w:r w:rsidRPr="006E08FD">
        <w:rPr>
          <w:szCs w:val="23"/>
          <w:lang w:val="en-US"/>
        </w:rPr>
        <w:t xml:space="preserve">, no consultation was </w:t>
      </w:r>
      <w:r>
        <w:rPr>
          <w:szCs w:val="23"/>
          <w:lang w:val="en-US"/>
        </w:rPr>
        <w:t xml:space="preserve">undertaken </w:t>
      </w:r>
      <w:r w:rsidR="007E5878">
        <w:rPr>
          <w:szCs w:val="23"/>
          <w:lang w:val="en-US"/>
        </w:rPr>
        <w:t>in preparing these amendments.</w:t>
      </w:r>
      <w:r w:rsidRPr="006E08FD">
        <w:rPr>
          <w:szCs w:val="23"/>
          <w:lang w:val="en-US"/>
        </w:rPr>
        <w:t xml:space="preserve"> </w:t>
      </w:r>
    </w:p>
    <w:p w:rsidR="008B4BA1" w:rsidRPr="000E48EA" w:rsidRDefault="00FE1A78" w:rsidP="008B4BA1">
      <w:pPr>
        <w:pStyle w:val="Bullet"/>
        <w:numPr>
          <w:ilvl w:val="0"/>
          <w:numId w:val="0"/>
        </w:numPr>
        <w:spacing w:after="240"/>
        <w:rPr>
          <w:u w:val="single"/>
        </w:rPr>
      </w:pPr>
      <w:r w:rsidRPr="000E48EA">
        <w:rPr>
          <w:u w:val="single"/>
        </w:rPr>
        <w:t>General</w:t>
      </w:r>
    </w:p>
    <w:p w:rsidR="008B4BA1" w:rsidRPr="000E48EA" w:rsidRDefault="00FE1A78" w:rsidP="008B4BA1">
      <w:pPr>
        <w:pStyle w:val="Bullet"/>
        <w:numPr>
          <w:ilvl w:val="0"/>
          <w:numId w:val="0"/>
        </w:numPr>
        <w:spacing w:before="200" w:after="200"/>
      </w:pPr>
      <w:r w:rsidRPr="000E48EA">
        <w:t xml:space="preserve">Details of the Regulation are outlined in </w:t>
      </w:r>
      <w:r w:rsidRPr="000E48EA">
        <w:rPr>
          <w:u w:val="single"/>
        </w:rPr>
        <w:t>Attachment A</w:t>
      </w:r>
      <w:r w:rsidRPr="000E48EA">
        <w:t>.</w:t>
      </w:r>
    </w:p>
    <w:p w:rsidR="008B4BA1" w:rsidRPr="000E48EA" w:rsidRDefault="00FE1A78" w:rsidP="008B4BA1">
      <w:pPr>
        <w:spacing w:before="200" w:after="200"/>
      </w:pPr>
      <w:r w:rsidRPr="000E48EA">
        <w:t xml:space="preserve">A statement of the Regulation’s compatibility with human rights is set out in </w:t>
      </w:r>
      <w:r w:rsidRPr="000E48EA">
        <w:rPr>
          <w:u w:val="single"/>
        </w:rPr>
        <w:t>Attachment B</w:t>
      </w:r>
      <w:r w:rsidRPr="000E48EA">
        <w:t>.</w:t>
      </w:r>
    </w:p>
    <w:p w:rsidR="008B4BA1" w:rsidRPr="000E48EA" w:rsidRDefault="00FE1A78" w:rsidP="008B4BA1">
      <w:pPr>
        <w:spacing w:before="200" w:after="200"/>
      </w:pPr>
      <w:r w:rsidRPr="000E48EA">
        <w:t xml:space="preserve">A glossary of terms used in this Explanatory Statement is provided in </w:t>
      </w:r>
      <w:r w:rsidRPr="000E48EA">
        <w:rPr>
          <w:u w:val="single"/>
        </w:rPr>
        <w:t>Attachment C</w:t>
      </w:r>
      <w:r w:rsidRPr="000E48EA">
        <w:t>.</w:t>
      </w:r>
    </w:p>
    <w:p w:rsidR="008B4BA1" w:rsidRDefault="00FE1A78" w:rsidP="008B4BA1">
      <w:pPr>
        <w:pStyle w:val="Bullet"/>
        <w:numPr>
          <w:ilvl w:val="0"/>
          <w:numId w:val="0"/>
        </w:numPr>
        <w:spacing w:before="200" w:after="200"/>
      </w:pPr>
      <w:r w:rsidRPr="000E48EA">
        <w:t>There are no statutory pre-conditions that need to be satisfied before the power to make the Regulation may be exercised.</w:t>
      </w:r>
    </w:p>
    <w:p w:rsidR="00096CC3" w:rsidRDefault="00096CC3" w:rsidP="008B4BA1">
      <w:pPr>
        <w:pStyle w:val="Bullet"/>
        <w:numPr>
          <w:ilvl w:val="0"/>
          <w:numId w:val="0"/>
        </w:numPr>
        <w:spacing w:before="200" w:after="200"/>
      </w:pPr>
    </w:p>
    <w:p w:rsidR="00096CC3" w:rsidRDefault="00096CC3" w:rsidP="008B4BA1">
      <w:pPr>
        <w:pStyle w:val="Bullet"/>
        <w:numPr>
          <w:ilvl w:val="0"/>
          <w:numId w:val="0"/>
        </w:numPr>
        <w:spacing w:before="200" w:after="200"/>
      </w:pPr>
    </w:p>
    <w:p w:rsidR="008B4BA1" w:rsidRDefault="008B4BA1" w:rsidP="008B4BA1">
      <w:pPr>
        <w:pStyle w:val="Bullet"/>
        <w:numPr>
          <w:ilvl w:val="0"/>
          <w:numId w:val="0"/>
        </w:numPr>
        <w:spacing w:before="200" w:after="200"/>
      </w:pPr>
    </w:p>
    <w:bookmarkEnd w:id="0"/>
    <w:bookmarkEnd w:id="1"/>
    <w:p w:rsidR="008B4BA1" w:rsidRDefault="00FE1A78" w:rsidP="008B4BA1">
      <w:pPr>
        <w:tabs>
          <w:tab w:val="left" w:pos="1701"/>
          <w:tab w:val="right" w:pos="9072"/>
        </w:tabs>
        <w:spacing w:before="200" w:after="200"/>
        <w:ind w:right="91"/>
        <w:rPr>
          <w:rFonts w:ascii="Helvetica" w:hAnsi="Helvetica"/>
          <w:b/>
          <w:kern w:val="28"/>
        </w:rPr>
      </w:pPr>
      <w:r>
        <w:br w:type="page"/>
      </w:r>
    </w:p>
    <w:p w:rsidR="008B4BA1" w:rsidRPr="001550FB" w:rsidRDefault="00FE1A78" w:rsidP="008B4BA1">
      <w:pPr>
        <w:tabs>
          <w:tab w:val="right" w:pos="9072"/>
        </w:tabs>
        <w:spacing w:before="0" w:after="240"/>
        <w:ind w:right="91"/>
        <w:jc w:val="right"/>
        <w:rPr>
          <w:b/>
          <w:u w:val="single"/>
        </w:rPr>
      </w:pPr>
      <w:r w:rsidRPr="001550FB">
        <w:rPr>
          <w:b/>
          <w:u w:val="single"/>
        </w:rPr>
        <w:t>ATTACHMENT</w:t>
      </w:r>
      <w:r>
        <w:rPr>
          <w:b/>
          <w:u w:val="single"/>
        </w:rPr>
        <w:t xml:space="preserve"> A</w:t>
      </w:r>
    </w:p>
    <w:p w:rsidR="008B4BA1" w:rsidRPr="00B719D4" w:rsidRDefault="00FE1A78" w:rsidP="008B4BA1">
      <w:pPr>
        <w:keepNext/>
        <w:spacing w:after="240"/>
        <w:jc w:val="center"/>
        <w:outlineLvl w:val="1"/>
        <w:rPr>
          <w:b/>
          <w:i/>
          <w:szCs w:val="24"/>
          <w:u w:val="single"/>
        </w:rPr>
      </w:pPr>
      <w:r w:rsidRPr="00B719D4">
        <w:rPr>
          <w:b/>
        </w:rPr>
        <w:t xml:space="preserve">Details of the </w:t>
      </w:r>
      <w:r w:rsidRPr="00DD4D0E">
        <w:rPr>
          <w:b/>
          <w:i/>
        </w:rPr>
        <w:t>Renewable Energy (Electricity) Amendment (Solar Zones and Other Measures) Regulation 2014</w:t>
      </w:r>
      <w:r w:rsidRPr="00B719D4">
        <w:rPr>
          <w:b/>
        </w:rPr>
        <w:t xml:space="preserve"> (the “Regulation”)</w:t>
      </w:r>
    </w:p>
    <w:p w:rsidR="008B4BA1" w:rsidRPr="00B9380B" w:rsidRDefault="00FE1A78" w:rsidP="008B4BA1">
      <w:pPr>
        <w:spacing w:before="0" w:after="240"/>
        <w:ind w:right="91"/>
        <w:rPr>
          <w:szCs w:val="24"/>
        </w:rPr>
      </w:pPr>
      <w:r>
        <w:rPr>
          <w:szCs w:val="24"/>
          <w:u w:val="single"/>
        </w:rPr>
        <w:t>Section 1 – Name</w:t>
      </w:r>
    </w:p>
    <w:p w:rsidR="008B4BA1" w:rsidRPr="00F90D84" w:rsidRDefault="00FE1A78" w:rsidP="008B4BA1">
      <w:pPr>
        <w:spacing w:before="0" w:after="240"/>
        <w:ind w:right="91"/>
        <w:rPr>
          <w:szCs w:val="24"/>
        </w:rPr>
      </w:pPr>
      <w:r>
        <w:rPr>
          <w:szCs w:val="24"/>
        </w:rPr>
        <w:t>Section 1</w:t>
      </w:r>
      <w:r w:rsidRPr="00F90D84">
        <w:rPr>
          <w:szCs w:val="24"/>
        </w:rPr>
        <w:t xml:space="preserve"> provides that the title of the Regulation is the </w:t>
      </w:r>
      <w:r>
        <w:rPr>
          <w:i/>
        </w:rPr>
        <w:t>Renewable Energy (Electricity) Amendment (Solar Zones and Other Measures) Regulation 2014</w:t>
      </w:r>
      <w:r w:rsidRPr="00F90D84">
        <w:rPr>
          <w:szCs w:val="24"/>
        </w:rPr>
        <w:t>.</w:t>
      </w:r>
    </w:p>
    <w:p w:rsidR="008B4BA1" w:rsidRPr="00FC52C4" w:rsidRDefault="00FE1A78" w:rsidP="008B4BA1">
      <w:pPr>
        <w:spacing w:before="0" w:after="240"/>
        <w:ind w:right="91"/>
        <w:rPr>
          <w:szCs w:val="24"/>
          <w:u w:val="single"/>
        </w:rPr>
      </w:pPr>
      <w:r w:rsidRPr="00FC52C4">
        <w:rPr>
          <w:szCs w:val="24"/>
          <w:u w:val="single"/>
        </w:rPr>
        <w:t>Section 2 – Commencement</w:t>
      </w:r>
    </w:p>
    <w:p w:rsidR="008B4BA1" w:rsidRPr="003A612B" w:rsidRDefault="00FE1A78" w:rsidP="008B4BA1">
      <w:pPr>
        <w:spacing w:before="0" w:after="240"/>
        <w:ind w:right="91"/>
        <w:rPr>
          <w:szCs w:val="24"/>
        </w:rPr>
      </w:pPr>
      <w:r>
        <w:rPr>
          <w:szCs w:val="24"/>
        </w:rPr>
        <w:t>Section 2</w:t>
      </w:r>
      <w:r w:rsidRPr="00FC52C4">
        <w:rPr>
          <w:szCs w:val="24"/>
        </w:rPr>
        <w:t xml:space="preserve"> </w:t>
      </w:r>
      <w:r>
        <w:rPr>
          <w:szCs w:val="24"/>
        </w:rPr>
        <w:t>provides</w:t>
      </w:r>
      <w:r w:rsidRPr="00FC52C4">
        <w:rPr>
          <w:szCs w:val="24"/>
        </w:rPr>
        <w:t xml:space="preserve"> that the Regulation commences</w:t>
      </w:r>
      <w:r>
        <w:rPr>
          <w:szCs w:val="24"/>
        </w:rPr>
        <w:t xml:space="preserve"> the day after it is registered.</w:t>
      </w:r>
    </w:p>
    <w:p w:rsidR="008B4BA1" w:rsidRPr="001C68D5" w:rsidRDefault="00FE1A78" w:rsidP="008B4BA1">
      <w:pPr>
        <w:spacing w:before="0" w:after="240"/>
        <w:ind w:right="91"/>
        <w:rPr>
          <w:szCs w:val="24"/>
        </w:rPr>
      </w:pPr>
      <w:r w:rsidRPr="00286CC0">
        <w:rPr>
          <w:szCs w:val="24"/>
          <w:u w:val="single"/>
        </w:rPr>
        <w:t>Section 3 – Authority</w:t>
      </w:r>
    </w:p>
    <w:p w:rsidR="008B4BA1" w:rsidRPr="001C68D5" w:rsidRDefault="00FE1A78" w:rsidP="008B4BA1">
      <w:pPr>
        <w:spacing w:before="0" w:after="240"/>
        <w:ind w:right="91"/>
        <w:rPr>
          <w:i/>
          <w:szCs w:val="24"/>
        </w:rPr>
      </w:pPr>
      <w:r>
        <w:rPr>
          <w:szCs w:val="24"/>
        </w:rPr>
        <w:t>Section 3 provides</w:t>
      </w:r>
      <w:r w:rsidRPr="00D33F05">
        <w:rPr>
          <w:szCs w:val="24"/>
        </w:rPr>
        <w:t xml:space="preserve"> that the </w:t>
      </w:r>
      <w:r w:rsidRPr="00FC52C4">
        <w:rPr>
          <w:szCs w:val="24"/>
        </w:rPr>
        <w:t xml:space="preserve">Regulation is made under </w:t>
      </w:r>
      <w:r w:rsidRPr="003E1CCD">
        <w:t xml:space="preserve">the </w:t>
      </w:r>
      <w:r>
        <w:rPr>
          <w:i/>
          <w:iCs/>
        </w:rPr>
        <w:t>Renewable Energy (Electricity) Act 2000</w:t>
      </w:r>
      <w:r>
        <w:rPr>
          <w:iCs/>
        </w:rPr>
        <w:t>.</w:t>
      </w:r>
    </w:p>
    <w:p w:rsidR="008B4BA1" w:rsidRPr="00FC52C4" w:rsidRDefault="00FE1A78" w:rsidP="008B4BA1">
      <w:pPr>
        <w:spacing w:before="0" w:after="240"/>
        <w:ind w:right="91"/>
        <w:rPr>
          <w:szCs w:val="24"/>
          <w:u w:val="single"/>
        </w:rPr>
      </w:pPr>
      <w:r w:rsidRPr="00D33F05">
        <w:rPr>
          <w:szCs w:val="24"/>
          <w:u w:val="single"/>
        </w:rPr>
        <w:t>Section 4 – Schedules</w:t>
      </w:r>
    </w:p>
    <w:p w:rsidR="008B4BA1" w:rsidRPr="00FC52C4" w:rsidRDefault="00FE1A78" w:rsidP="008B4BA1">
      <w:pPr>
        <w:spacing w:before="0" w:after="240"/>
        <w:rPr>
          <w:szCs w:val="24"/>
        </w:rPr>
      </w:pPr>
      <w:r>
        <w:rPr>
          <w:szCs w:val="24"/>
        </w:rPr>
        <w:t>Section 4</w:t>
      </w:r>
      <w:r w:rsidRPr="00FC52C4">
        <w:rPr>
          <w:szCs w:val="24"/>
        </w:rPr>
        <w:t xml:space="preserve"> </w:t>
      </w:r>
      <w:r>
        <w:rPr>
          <w:szCs w:val="24"/>
        </w:rPr>
        <w:t>provides</w:t>
      </w:r>
      <w:r w:rsidRPr="00FC52C4">
        <w:rPr>
          <w:szCs w:val="24"/>
        </w:rPr>
        <w:t xml:space="preserve"> that each instrument that is specified in a Schedule to the Regulation is amended or repealed as set out in the applicable items in the Schedule concerned, and any other item in a Schedule to </w:t>
      </w:r>
      <w:r>
        <w:rPr>
          <w:szCs w:val="24"/>
        </w:rPr>
        <w:t>the Regulation</w:t>
      </w:r>
      <w:r w:rsidRPr="00FC52C4">
        <w:rPr>
          <w:szCs w:val="24"/>
        </w:rPr>
        <w:t xml:space="preserve"> has effect according to its terms.</w:t>
      </w:r>
    </w:p>
    <w:p w:rsidR="008B4BA1" w:rsidRPr="008019CF" w:rsidRDefault="00FE1A78" w:rsidP="008B4BA1">
      <w:pPr>
        <w:spacing w:before="0" w:after="240"/>
        <w:ind w:right="91"/>
        <w:rPr>
          <w:b/>
          <w:szCs w:val="24"/>
        </w:rPr>
      </w:pPr>
      <w:r w:rsidRPr="008019CF">
        <w:rPr>
          <w:b/>
          <w:szCs w:val="24"/>
        </w:rPr>
        <w:t>Amendments</w:t>
      </w:r>
    </w:p>
    <w:p w:rsidR="008B4BA1" w:rsidRPr="00FC52C4" w:rsidRDefault="00FE1A78" w:rsidP="008B4BA1">
      <w:pPr>
        <w:pStyle w:val="Bullet"/>
        <w:numPr>
          <w:ilvl w:val="0"/>
          <w:numId w:val="0"/>
        </w:numPr>
        <w:spacing w:before="0" w:after="240"/>
        <w:rPr>
          <w:u w:val="single"/>
        </w:rPr>
      </w:pPr>
      <w:r w:rsidRPr="00FC52C4">
        <w:rPr>
          <w:u w:val="single"/>
        </w:rPr>
        <w:t xml:space="preserve">Schedule 1 – </w:t>
      </w:r>
      <w:r>
        <w:rPr>
          <w:u w:val="single"/>
        </w:rPr>
        <w:t>Amendments</w:t>
      </w:r>
    </w:p>
    <w:p w:rsidR="008B4BA1" w:rsidRDefault="00FE1A78" w:rsidP="008B4BA1">
      <w:pPr>
        <w:pStyle w:val="Bullet"/>
        <w:numPr>
          <w:ilvl w:val="0"/>
          <w:numId w:val="0"/>
        </w:numPr>
        <w:spacing w:after="240"/>
      </w:pPr>
      <w:r>
        <w:rPr>
          <w:szCs w:val="24"/>
        </w:rPr>
        <w:t>Item 1 updates the definition of the Jobs and Competitiveness Program to reflect new arrangements after the repeal of the carbon tax.</w:t>
      </w:r>
    </w:p>
    <w:p w:rsidR="008B4BA1" w:rsidRDefault="00FE1A78" w:rsidP="008B4BA1">
      <w:pPr>
        <w:pStyle w:val="Bullet"/>
        <w:numPr>
          <w:ilvl w:val="0"/>
          <w:numId w:val="0"/>
        </w:numPr>
      </w:pPr>
      <w:r>
        <w:t xml:space="preserve">Item 2 adds a definition for the true-up report under the Jobs and Competitiveness Program which is referred to in the arrangements for partial exemption certificate applications. </w:t>
      </w:r>
    </w:p>
    <w:p w:rsidR="008B4BA1" w:rsidRDefault="00FE1A78" w:rsidP="008B4BA1">
      <w:pPr>
        <w:pStyle w:val="Bullet"/>
        <w:numPr>
          <w:ilvl w:val="0"/>
          <w:numId w:val="0"/>
        </w:numPr>
      </w:pPr>
      <w:r>
        <w:t xml:space="preserve">Item 3 repeals subregulations </w:t>
      </w:r>
      <w:proofErr w:type="gramStart"/>
      <w:r>
        <w:t>19C(</w:t>
      </w:r>
      <w:proofErr w:type="gramEnd"/>
      <w:r>
        <w:t xml:space="preserve">5) and (6) which refer to Schedule 7 of the Regulations which has previously been repealed. </w:t>
      </w:r>
    </w:p>
    <w:p w:rsidR="008B4BA1" w:rsidRDefault="00FE1A78" w:rsidP="008B4BA1">
      <w:pPr>
        <w:spacing w:before="240"/>
        <w:rPr>
          <w:szCs w:val="24"/>
        </w:rPr>
      </w:pPr>
      <w:r w:rsidRPr="00FB6464">
        <w:rPr>
          <w:szCs w:val="24"/>
        </w:rPr>
        <w:t>Item 4 makes reference to Schedule 5, which details the zone ratings and postcode groupings to be used to determine the</w:t>
      </w:r>
      <w:r>
        <w:rPr>
          <w:szCs w:val="24"/>
        </w:rPr>
        <w:t xml:space="preserve"> rating of a solar (photovoltaic) system.</w:t>
      </w:r>
    </w:p>
    <w:p w:rsidR="008B4BA1" w:rsidRDefault="00FE1A78" w:rsidP="008B4BA1">
      <w:pPr>
        <w:spacing w:before="240"/>
        <w:rPr>
          <w:szCs w:val="24"/>
        </w:rPr>
      </w:pPr>
      <w:r>
        <w:rPr>
          <w:szCs w:val="24"/>
        </w:rPr>
        <w:t>Items 5, 15 and 17 remove paragraph 20(4) and inserts the description of zone ratings and solar zones in Parts 1 and 2 of Schedule 5.</w:t>
      </w:r>
    </w:p>
    <w:p w:rsidR="008B4BA1" w:rsidRDefault="00FE1A78" w:rsidP="008B4BA1">
      <w:pPr>
        <w:pStyle w:val="Bullet"/>
        <w:numPr>
          <w:ilvl w:val="0"/>
          <w:numId w:val="0"/>
        </w:numPr>
        <w:spacing w:after="240"/>
      </w:pPr>
      <w:r>
        <w:t xml:space="preserve">Item 6 repeals paragraphs </w:t>
      </w:r>
      <w:proofErr w:type="gramStart"/>
      <w:r>
        <w:t>22P(</w:t>
      </w:r>
      <w:proofErr w:type="gramEnd"/>
      <w:r>
        <w:t>1) and 22P(2) which are no longer applicable as they relate to applications for partial exemption certificates in 2010.</w:t>
      </w:r>
    </w:p>
    <w:p w:rsidR="008B4BA1" w:rsidRPr="0056526A" w:rsidRDefault="00FE1A78" w:rsidP="008B4BA1">
      <w:pPr>
        <w:pStyle w:val="Default"/>
        <w:spacing w:after="240"/>
        <w:rPr>
          <w:rFonts w:ascii="Arial" w:hAnsi="Arial" w:cs="Arial"/>
        </w:rPr>
      </w:pPr>
      <w:r>
        <w:t>Item 7 removes reference to an audit report prepared under the emissions-intensive-trade-exposed assistance program. The assistance programme was proposed under the Carbon Pollution Reduction Scheme Bill 2009 (the “CPRS Bill”). However, the CPRS Bill was not enacted and the programme was not established.</w:t>
      </w:r>
    </w:p>
    <w:p w:rsidR="008B4BA1" w:rsidRDefault="00FE1A78" w:rsidP="008B4BA1">
      <w:pPr>
        <w:pStyle w:val="Bullet"/>
        <w:numPr>
          <w:ilvl w:val="0"/>
          <w:numId w:val="0"/>
        </w:numPr>
        <w:spacing w:after="240"/>
      </w:pPr>
      <w:r>
        <w:t xml:space="preserve">Item 8 </w:t>
      </w:r>
      <w:proofErr w:type="gramStart"/>
      <w:r>
        <w:t>adds</w:t>
      </w:r>
      <w:proofErr w:type="gramEnd"/>
      <w:r>
        <w:t xml:space="preserve"> an audit report included in a true-up report under the Jobs and Competitiveness Program as prescribed information for 2015 applications for partial exemption certificates.</w:t>
      </w:r>
    </w:p>
    <w:p w:rsidR="008B4BA1" w:rsidRDefault="00FE1A78" w:rsidP="008B4BA1">
      <w:pPr>
        <w:pStyle w:val="Bullet"/>
        <w:numPr>
          <w:ilvl w:val="0"/>
          <w:numId w:val="0"/>
        </w:numPr>
        <w:spacing w:after="240"/>
        <w:rPr>
          <w:szCs w:val="24"/>
        </w:rPr>
      </w:pPr>
      <w:r>
        <w:t>Items 9-10</w:t>
      </w:r>
      <w:r>
        <w:rPr>
          <w:szCs w:val="24"/>
        </w:rPr>
        <w:t xml:space="preserve"> clarify that </w:t>
      </w:r>
      <w:r>
        <w:t>partial exemption certificate</w:t>
      </w:r>
      <w:r>
        <w:rPr>
          <w:szCs w:val="24"/>
        </w:rPr>
        <w:t xml:space="preserve"> applications for 2015 do not need to be accompanied by an audit report if:</w:t>
      </w:r>
    </w:p>
    <w:p w:rsidR="008B4BA1" w:rsidRPr="000B30D0" w:rsidRDefault="00FE1A78" w:rsidP="008B4BA1">
      <w:pPr>
        <w:pStyle w:val="Bullet"/>
        <w:numPr>
          <w:ilvl w:val="0"/>
          <w:numId w:val="29"/>
        </w:numPr>
        <w:spacing w:after="240"/>
        <w:ind w:left="426"/>
      </w:pPr>
      <w:r>
        <w:rPr>
          <w:szCs w:val="24"/>
        </w:rPr>
        <w:t xml:space="preserve">the regulator has been given a true-up report that includes an audit report; </w:t>
      </w:r>
    </w:p>
    <w:p w:rsidR="008B4BA1" w:rsidRPr="005A2090" w:rsidRDefault="00FE1A78" w:rsidP="008B4BA1">
      <w:pPr>
        <w:pStyle w:val="Bullet"/>
        <w:numPr>
          <w:ilvl w:val="0"/>
          <w:numId w:val="29"/>
        </w:numPr>
        <w:spacing w:after="240"/>
        <w:ind w:left="426"/>
      </w:pPr>
      <w:r>
        <w:rPr>
          <w:szCs w:val="24"/>
        </w:rPr>
        <w:t xml:space="preserve">all the relevant facilities </w:t>
      </w:r>
      <w:r w:rsidRPr="005A2090">
        <w:rPr>
          <w:szCs w:val="24"/>
        </w:rPr>
        <w:t xml:space="preserve">are included in the true-up report; and </w:t>
      </w:r>
    </w:p>
    <w:p w:rsidR="008B4BA1" w:rsidRPr="005A2090" w:rsidRDefault="00FE1A78" w:rsidP="008B4BA1">
      <w:pPr>
        <w:pStyle w:val="Bullet"/>
        <w:numPr>
          <w:ilvl w:val="0"/>
          <w:numId w:val="29"/>
        </w:numPr>
        <w:spacing w:after="240"/>
        <w:ind w:left="426"/>
      </w:pPr>
      <w:proofErr w:type="gramStart"/>
      <w:r w:rsidRPr="005A2090">
        <w:rPr>
          <w:szCs w:val="24"/>
        </w:rPr>
        <w:t>the</w:t>
      </w:r>
      <w:proofErr w:type="gramEnd"/>
      <w:r w:rsidRPr="005A2090">
        <w:rPr>
          <w:szCs w:val="24"/>
        </w:rPr>
        <w:t xml:space="preserve"> amount is the same as in the true-up report.</w:t>
      </w:r>
    </w:p>
    <w:p w:rsidR="008B4BA1" w:rsidRPr="00641608" w:rsidRDefault="00FE1A78" w:rsidP="008B4BA1">
      <w:pPr>
        <w:pStyle w:val="Bullet"/>
        <w:numPr>
          <w:ilvl w:val="0"/>
          <w:numId w:val="0"/>
        </w:numPr>
        <w:spacing w:after="240"/>
      </w:pPr>
      <w:r w:rsidRPr="008974F7">
        <w:t>Items 11-13 update the considerations for the Regulator for a partial exemption certificate application reflecting updates to the Jobs and Competitiveness Program after the repeal of the carbon tax.</w:t>
      </w:r>
      <w:r w:rsidRPr="005A2090">
        <w:t xml:space="preserve">  </w:t>
      </w:r>
    </w:p>
    <w:p w:rsidR="008B4BA1" w:rsidRDefault="00FE1A78" w:rsidP="008B4BA1">
      <w:pPr>
        <w:pStyle w:val="paragraph"/>
        <w:spacing w:before="240"/>
        <w:ind w:left="0" w:firstLine="0"/>
        <w:rPr>
          <w:sz w:val="24"/>
          <w:szCs w:val="24"/>
        </w:rPr>
      </w:pPr>
      <w:r>
        <w:rPr>
          <w:sz w:val="24"/>
          <w:szCs w:val="24"/>
        </w:rPr>
        <w:t>Item 14 updates the note to the Schedule 5 heading to reflect the repeal of paragraph 20(4) in Item 6 and the new reference to Schedule 5 in paragraph 20(1</w:t>
      </w:r>
      <w:proofErr w:type="gramStart"/>
      <w:r>
        <w:rPr>
          <w:sz w:val="24"/>
          <w:szCs w:val="24"/>
        </w:rPr>
        <w:t>)(</w:t>
      </w:r>
      <w:proofErr w:type="gramEnd"/>
      <w:r>
        <w:rPr>
          <w:sz w:val="24"/>
          <w:szCs w:val="24"/>
        </w:rPr>
        <w:t>b) in Item 4.</w:t>
      </w:r>
    </w:p>
    <w:p w:rsidR="008B4BA1" w:rsidRDefault="00FE1A78" w:rsidP="008B4BA1">
      <w:pPr>
        <w:pStyle w:val="paragraph"/>
        <w:spacing w:before="240"/>
        <w:ind w:left="0" w:firstLine="0"/>
        <w:rPr>
          <w:sz w:val="24"/>
          <w:szCs w:val="24"/>
        </w:rPr>
      </w:pPr>
      <w:r>
        <w:rPr>
          <w:sz w:val="24"/>
          <w:szCs w:val="24"/>
        </w:rPr>
        <w:t>Items 16 and 18 update the headings of the tables in Parts 1 and 2 of Schedule 5 to provide a more detailed description of the tables.</w:t>
      </w:r>
    </w:p>
    <w:p w:rsidR="008B4BA1" w:rsidRDefault="00FE1A78" w:rsidP="008B4BA1">
      <w:pPr>
        <w:pStyle w:val="paragraph"/>
        <w:spacing w:before="240"/>
        <w:ind w:left="0" w:firstLine="0"/>
        <w:rPr>
          <w:sz w:val="24"/>
          <w:szCs w:val="24"/>
        </w:rPr>
      </w:pPr>
      <w:r>
        <w:rPr>
          <w:sz w:val="24"/>
          <w:szCs w:val="24"/>
        </w:rPr>
        <w:t xml:space="preserve">Items 19-21 update the postcode groupings table in Part 2 of Schedule 5 to reflect the allocation of new postcodes by Australia Post. </w:t>
      </w:r>
    </w:p>
    <w:p w:rsidR="008B4BA1" w:rsidRDefault="00FE1A78" w:rsidP="008B4BA1">
      <w:pPr>
        <w:pStyle w:val="paragraph"/>
        <w:spacing w:before="240"/>
        <w:ind w:left="0" w:firstLine="0"/>
        <w:rPr>
          <w:sz w:val="24"/>
          <w:szCs w:val="24"/>
        </w:rPr>
      </w:pPr>
      <w:r>
        <w:rPr>
          <w:sz w:val="24"/>
          <w:szCs w:val="24"/>
        </w:rPr>
        <w:t>Item 22</w:t>
      </w:r>
      <w:r w:rsidRPr="00B15BBF">
        <w:rPr>
          <w:sz w:val="24"/>
          <w:szCs w:val="24"/>
        </w:rPr>
        <w:t xml:space="preserve"> </w:t>
      </w:r>
      <w:r>
        <w:rPr>
          <w:sz w:val="24"/>
          <w:szCs w:val="24"/>
        </w:rPr>
        <w:t>is a typographical amendment to rename the second paragraph 646(1</w:t>
      </w:r>
      <w:proofErr w:type="gramStart"/>
      <w:r>
        <w:rPr>
          <w:sz w:val="24"/>
          <w:szCs w:val="24"/>
        </w:rPr>
        <w:t>)(</w:t>
      </w:r>
      <w:proofErr w:type="gramEnd"/>
      <w:r>
        <w:rPr>
          <w:sz w:val="24"/>
          <w:szCs w:val="24"/>
        </w:rPr>
        <w:t xml:space="preserve">e) which was listed twice in the RET Regulations. Paragraphs </w:t>
      </w:r>
      <w:r w:rsidRPr="00B15BBF">
        <w:rPr>
          <w:sz w:val="24"/>
          <w:szCs w:val="24"/>
        </w:rPr>
        <w:t>646(1</w:t>
      </w:r>
      <w:proofErr w:type="gramStart"/>
      <w:r w:rsidRPr="00B15BBF">
        <w:rPr>
          <w:sz w:val="24"/>
          <w:szCs w:val="24"/>
        </w:rPr>
        <w:t>)(</w:t>
      </w:r>
      <w:proofErr w:type="gramEnd"/>
      <w:r w:rsidRPr="00B15BBF">
        <w:rPr>
          <w:sz w:val="24"/>
          <w:szCs w:val="24"/>
        </w:rPr>
        <w:t>d) to (f)</w:t>
      </w:r>
      <w:r>
        <w:rPr>
          <w:sz w:val="24"/>
          <w:szCs w:val="24"/>
        </w:rPr>
        <w:t xml:space="preserve"> will be renamed as paragraphs 646(1)(d) to (g).</w:t>
      </w:r>
    </w:p>
    <w:p w:rsidR="008B4BA1" w:rsidRDefault="008B4BA1" w:rsidP="008B4BA1">
      <w:pPr>
        <w:pStyle w:val="paragraph"/>
        <w:spacing w:before="240"/>
        <w:ind w:left="0" w:firstLine="0"/>
        <w:rPr>
          <w:sz w:val="24"/>
          <w:szCs w:val="24"/>
        </w:rPr>
      </w:pPr>
    </w:p>
    <w:p w:rsidR="008B4BA1" w:rsidRDefault="00FE1A78" w:rsidP="008B4BA1">
      <w:pPr>
        <w:spacing w:before="240" w:after="0"/>
        <w:rPr>
          <w:b/>
          <w:szCs w:val="24"/>
          <w:u w:val="single"/>
        </w:rPr>
      </w:pPr>
      <w:r>
        <w:rPr>
          <w:b/>
          <w:szCs w:val="24"/>
          <w:u w:val="single"/>
        </w:rPr>
        <w:br w:type="page"/>
      </w:r>
    </w:p>
    <w:p w:rsidR="008B4BA1" w:rsidRDefault="00FE1A78" w:rsidP="008B4BA1">
      <w:pPr>
        <w:tabs>
          <w:tab w:val="right" w:pos="9072"/>
        </w:tabs>
        <w:spacing w:before="240" w:after="240"/>
        <w:ind w:right="91"/>
        <w:jc w:val="right"/>
        <w:rPr>
          <w:b/>
          <w:szCs w:val="24"/>
          <w:u w:val="single"/>
        </w:rPr>
      </w:pPr>
      <w:r>
        <w:rPr>
          <w:b/>
          <w:szCs w:val="24"/>
          <w:u w:val="single"/>
        </w:rPr>
        <w:t>ATTACHMENT B</w:t>
      </w:r>
    </w:p>
    <w:p w:rsidR="008B4BA1" w:rsidRDefault="00FE1A78" w:rsidP="008B4BA1">
      <w:pPr>
        <w:pStyle w:val="Heading3"/>
        <w:spacing w:before="0" w:after="240"/>
        <w:jc w:val="center"/>
        <w:rPr>
          <w:szCs w:val="24"/>
        </w:rPr>
      </w:pPr>
      <w:r>
        <w:rPr>
          <w:szCs w:val="24"/>
        </w:rPr>
        <w:t>Statement of Compatibility with Human Rights</w:t>
      </w:r>
    </w:p>
    <w:p w:rsidR="008B4BA1" w:rsidRDefault="00FE1A78" w:rsidP="008B4BA1">
      <w:pPr>
        <w:spacing w:after="240"/>
        <w:jc w:val="center"/>
        <w:rPr>
          <w:i/>
          <w:szCs w:val="24"/>
        </w:rPr>
      </w:pPr>
      <w:r>
        <w:rPr>
          <w:i/>
          <w:szCs w:val="24"/>
        </w:rPr>
        <w:t>Prepared in accordance with Part 3 of the Human Rights (Parliamentary Scrutiny) Act 2011</w:t>
      </w:r>
    </w:p>
    <w:p w:rsidR="008B4BA1" w:rsidRPr="00723C9D" w:rsidRDefault="008B4BA1" w:rsidP="008B4BA1">
      <w:pPr>
        <w:spacing w:after="240"/>
        <w:rPr>
          <w:szCs w:val="24"/>
        </w:rPr>
      </w:pPr>
    </w:p>
    <w:p w:rsidR="008B4BA1" w:rsidRDefault="00FE1A78" w:rsidP="008B4BA1">
      <w:pPr>
        <w:spacing w:after="240"/>
        <w:jc w:val="center"/>
        <w:rPr>
          <w:b/>
        </w:rPr>
      </w:pPr>
      <w:r w:rsidRPr="00DD4D0E">
        <w:rPr>
          <w:b/>
          <w:i/>
        </w:rPr>
        <w:t>Renewable Energy (Electricity) Amendment (Solar Zones and Other Measures) Regulation 2014</w:t>
      </w:r>
    </w:p>
    <w:p w:rsidR="008B4BA1" w:rsidRDefault="00FE1A78" w:rsidP="008B4BA1">
      <w:pPr>
        <w:spacing w:after="240"/>
        <w:rPr>
          <w:szCs w:val="24"/>
        </w:rPr>
      </w:pPr>
      <w:r>
        <w:rPr>
          <w:szCs w:val="24"/>
        </w:rPr>
        <w:t xml:space="preserve">This Legislative Instrument is compatible with the human rights and freedoms recognised or declared in the international instruments listed in section 3 of the </w:t>
      </w:r>
      <w:r>
        <w:rPr>
          <w:i/>
          <w:szCs w:val="24"/>
        </w:rPr>
        <w:t>Human Rights (Parliamentary Scrutiny) Act 2011</w:t>
      </w:r>
      <w:r>
        <w:rPr>
          <w:szCs w:val="24"/>
        </w:rPr>
        <w:t xml:space="preserve">. </w:t>
      </w:r>
    </w:p>
    <w:p w:rsidR="008B4BA1" w:rsidRDefault="00FE1A78" w:rsidP="008B4BA1">
      <w:pPr>
        <w:pStyle w:val="Heading4"/>
        <w:spacing w:after="240"/>
        <w:rPr>
          <w:szCs w:val="24"/>
        </w:rPr>
      </w:pPr>
      <w:r>
        <w:rPr>
          <w:szCs w:val="24"/>
        </w:rPr>
        <w:t>Overview of the Legislative Instrument</w:t>
      </w:r>
    </w:p>
    <w:p w:rsidR="008B4BA1" w:rsidRPr="00FE795E" w:rsidRDefault="00FE1A78" w:rsidP="008B4BA1">
      <w:pPr>
        <w:spacing w:after="240"/>
        <w:rPr>
          <w:szCs w:val="24"/>
        </w:rPr>
      </w:pPr>
      <w:r>
        <w:rPr>
          <w:szCs w:val="24"/>
        </w:rPr>
        <w:t>T</w:t>
      </w:r>
      <w:r w:rsidRPr="00FE795E">
        <w:rPr>
          <w:szCs w:val="24"/>
        </w:rPr>
        <w:t xml:space="preserve">he </w:t>
      </w:r>
      <w:r w:rsidRPr="003F492C">
        <w:rPr>
          <w:i/>
        </w:rPr>
        <w:t>Renewable Energy (Electricity) Amendment (Solar Zones and Other Measures) Regulation 2014</w:t>
      </w:r>
      <w:r w:rsidRPr="00B719D4">
        <w:rPr>
          <w:b/>
        </w:rPr>
        <w:t xml:space="preserve"> </w:t>
      </w:r>
      <w:r>
        <w:t>amends</w:t>
      </w:r>
      <w:r w:rsidRPr="005E2DA6">
        <w:t xml:space="preserve"> the </w:t>
      </w:r>
      <w:r w:rsidRPr="00C772D4">
        <w:rPr>
          <w:i/>
        </w:rPr>
        <w:t xml:space="preserve">Renewable Energy (Electricity) Regulations </w:t>
      </w:r>
      <w:r>
        <w:rPr>
          <w:i/>
        </w:rPr>
        <w:t xml:space="preserve">2001 </w:t>
      </w:r>
      <w:r>
        <w:t>in order to update the postcode groupings listed and update references to documentation and definitions following the repeal of the carbon tax</w:t>
      </w:r>
      <w:r>
        <w:rPr>
          <w:szCs w:val="24"/>
        </w:rPr>
        <w:t>.</w:t>
      </w:r>
    </w:p>
    <w:p w:rsidR="008B4BA1" w:rsidRDefault="00FE1A78" w:rsidP="008B4BA1">
      <w:pPr>
        <w:pStyle w:val="Heading4"/>
        <w:spacing w:after="240"/>
        <w:rPr>
          <w:szCs w:val="24"/>
        </w:rPr>
      </w:pPr>
      <w:r>
        <w:rPr>
          <w:szCs w:val="24"/>
        </w:rPr>
        <w:t>Human rights implications</w:t>
      </w:r>
    </w:p>
    <w:p w:rsidR="008B4BA1" w:rsidRDefault="00FE1A78" w:rsidP="008B4BA1">
      <w:pPr>
        <w:spacing w:after="240"/>
        <w:rPr>
          <w:szCs w:val="24"/>
        </w:rPr>
      </w:pPr>
      <w:r>
        <w:rPr>
          <w:szCs w:val="24"/>
        </w:rPr>
        <w:t xml:space="preserve">This Legislative Instrument does not engage any of the applicable human rights or freedoms. </w:t>
      </w:r>
    </w:p>
    <w:p w:rsidR="008B4BA1" w:rsidRDefault="00FE1A78" w:rsidP="008B4BA1">
      <w:pPr>
        <w:pStyle w:val="Heading4"/>
        <w:spacing w:after="240"/>
        <w:rPr>
          <w:szCs w:val="24"/>
        </w:rPr>
      </w:pPr>
      <w:r>
        <w:rPr>
          <w:szCs w:val="24"/>
        </w:rPr>
        <w:t>Conclusion</w:t>
      </w:r>
    </w:p>
    <w:p w:rsidR="008B4BA1" w:rsidRDefault="00FE1A78">
      <w:pPr>
        <w:rPr>
          <w:szCs w:val="24"/>
        </w:rPr>
      </w:pPr>
      <w:r>
        <w:rPr>
          <w:szCs w:val="24"/>
        </w:rPr>
        <w:t xml:space="preserve">This Legislative Instrument is compatible with human rights as it does not raise any human rights issues. </w:t>
      </w:r>
    </w:p>
    <w:p w:rsidR="008B4BA1" w:rsidRDefault="008B4BA1">
      <w:pPr>
        <w:rPr>
          <w:szCs w:val="24"/>
        </w:rPr>
      </w:pPr>
    </w:p>
    <w:p w:rsidR="008B4BA1" w:rsidRDefault="008B4BA1">
      <w:pPr>
        <w:rPr>
          <w:szCs w:val="24"/>
        </w:rPr>
      </w:pPr>
    </w:p>
    <w:p w:rsidR="008B4BA1" w:rsidRPr="00FE795E" w:rsidRDefault="00FE1A78" w:rsidP="008B4BA1">
      <w:pPr>
        <w:jc w:val="center"/>
        <w:rPr>
          <w:b/>
          <w:szCs w:val="24"/>
        </w:rPr>
      </w:pPr>
      <w:r w:rsidRPr="00FE795E">
        <w:rPr>
          <w:b/>
          <w:szCs w:val="24"/>
        </w:rPr>
        <w:t>The Hon Greg Hunt MP</w:t>
      </w:r>
    </w:p>
    <w:p w:rsidR="008B4BA1" w:rsidRDefault="00FE1A78" w:rsidP="008B4BA1">
      <w:pPr>
        <w:jc w:val="center"/>
        <w:rPr>
          <w:b/>
          <w:szCs w:val="24"/>
        </w:rPr>
      </w:pPr>
      <w:r w:rsidRPr="00FE795E">
        <w:rPr>
          <w:b/>
          <w:szCs w:val="24"/>
        </w:rPr>
        <w:t>Minister for the Environment</w:t>
      </w:r>
    </w:p>
    <w:p w:rsidR="008B4BA1" w:rsidRPr="00AC5531" w:rsidRDefault="008B4BA1" w:rsidP="008B4BA1">
      <w:pPr>
        <w:rPr>
          <w:szCs w:val="24"/>
        </w:rPr>
      </w:pPr>
    </w:p>
    <w:p w:rsidR="008B4BA1" w:rsidRDefault="00FE1A78">
      <w:pPr>
        <w:spacing w:before="0" w:after="0"/>
        <w:rPr>
          <w:szCs w:val="24"/>
        </w:rPr>
      </w:pPr>
      <w:r>
        <w:rPr>
          <w:szCs w:val="24"/>
        </w:rPr>
        <w:br w:type="page"/>
      </w:r>
    </w:p>
    <w:p w:rsidR="008B4BA1" w:rsidRPr="001550FB" w:rsidRDefault="00FE1A78" w:rsidP="008B4BA1">
      <w:pPr>
        <w:tabs>
          <w:tab w:val="right" w:pos="9072"/>
        </w:tabs>
        <w:spacing w:before="0" w:after="240"/>
        <w:ind w:right="91"/>
        <w:jc w:val="right"/>
        <w:rPr>
          <w:b/>
          <w:u w:val="single"/>
        </w:rPr>
      </w:pPr>
      <w:r w:rsidRPr="001550FB">
        <w:rPr>
          <w:b/>
          <w:u w:val="single"/>
        </w:rPr>
        <w:t>ATTACHMENT</w:t>
      </w:r>
      <w:r>
        <w:rPr>
          <w:b/>
          <w:u w:val="single"/>
        </w:rPr>
        <w:t xml:space="preserve"> C</w:t>
      </w:r>
    </w:p>
    <w:p w:rsidR="008B4BA1" w:rsidRPr="00723C9D" w:rsidRDefault="00FE1A78" w:rsidP="008B4BA1">
      <w:pPr>
        <w:keepNext/>
        <w:spacing w:after="240"/>
        <w:jc w:val="center"/>
        <w:outlineLvl w:val="1"/>
        <w:rPr>
          <w:b/>
          <w:i/>
          <w:szCs w:val="24"/>
          <w:u w:val="single"/>
        </w:rPr>
      </w:pPr>
      <w:r>
        <w:rPr>
          <w:b/>
        </w:rPr>
        <w:t>Glossary of Terms Used</w:t>
      </w:r>
    </w:p>
    <w:tbl>
      <w:tblPr>
        <w:tblStyle w:val="TableGrid"/>
        <w:tblW w:w="0" w:type="auto"/>
        <w:tblLook w:val="04A0"/>
      </w:tblPr>
      <w:tblGrid>
        <w:gridCol w:w="4261"/>
        <w:gridCol w:w="4261"/>
      </w:tblGrid>
      <w:tr w:rsidR="00CE5447" w:rsidTr="008B4BA1">
        <w:tc>
          <w:tcPr>
            <w:tcW w:w="4261" w:type="dxa"/>
          </w:tcPr>
          <w:p w:rsidR="008B4BA1" w:rsidRPr="002F2980" w:rsidRDefault="00FE1A78" w:rsidP="008B4BA1">
            <w:pPr>
              <w:pStyle w:val="Bullet"/>
              <w:numPr>
                <w:ilvl w:val="0"/>
                <w:numId w:val="0"/>
              </w:numPr>
              <w:spacing w:before="0" w:after="240"/>
              <w:rPr>
                <w:b/>
                <w:szCs w:val="24"/>
              </w:rPr>
            </w:pPr>
            <w:r w:rsidRPr="002F2980">
              <w:rPr>
                <w:b/>
                <w:szCs w:val="24"/>
              </w:rPr>
              <w:t>Term</w:t>
            </w:r>
          </w:p>
        </w:tc>
        <w:tc>
          <w:tcPr>
            <w:tcW w:w="4261" w:type="dxa"/>
          </w:tcPr>
          <w:p w:rsidR="008B4BA1" w:rsidRPr="002F2980" w:rsidRDefault="00FE1A78" w:rsidP="008B4BA1">
            <w:pPr>
              <w:pStyle w:val="Bullet"/>
              <w:numPr>
                <w:ilvl w:val="0"/>
                <w:numId w:val="0"/>
              </w:numPr>
              <w:spacing w:before="0" w:after="240"/>
              <w:rPr>
                <w:b/>
                <w:szCs w:val="24"/>
              </w:rPr>
            </w:pPr>
            <w:r w:rsidRPr="002F2980">
              <w:rPr>
                <w:b/>
                <w:szCs w:val="24"/>
              </w:rPr>
              <w:t>Definition</w:t>
            </w:r>
          </w:p>
        </w:tc>
      </w:tr>
      <w:tr w:rsidR="00CE5447" w:rsidTr="008B4BA1">
        <w:tc>
          <w:tcPr>
            <w:tcW w:w="4261" w:type="dxa"/>
          </w:tcPr>
          <w:p w:rsidR="008B4BA1" w:rsidRPr="00480992" w:rsidRDefault="00FE1A78" w:rsidP="008B4BA1">
            <w:pPr>
              <w:pStyle w:val="Bullet"/>
              <w:numPr>
                <w:ilvl w:val="0"/>
                <w:numId w:val="0"/>
              </w:numPr>
              <w:spacing w:before="0" w:after="240"/>
              <w:rPr>
                <w:szCs w:val="24"/>
              </w:rPr>
            </w:pPr>
            <w:r>
              <w:rPr>
                <w:szCs w:val="24"/>
              </w:rPr>
              <w:t>Carbon Tax Repeal Act</w:t>
            </w:r>
          </w:p>
        </w:tc>
        <w:tc>
          <w:tcPr>
            <w:tcW w:w="4261" w:type="dxa"/>
          </w:tcPr>
          <w:p w:rsidR="008B4BA1" w:rsidRPr="002F2980" w:rsidRDefault="00FE1A78" w:rsidP="008B4BA1">
            <w:pPr>
              <w:pStyle w:val="Bullet"/>
              <w:numPr>
                <w:ilvl w:val="0"/>
                <w:numId w:val="0"/>
              </w:numPr>
              <w:spacing w:before="0" w:after="240"/>
              <w:rPr>
                <w:b/>
                <w:szCs w:val="24"/>
              </w:rPr>
            </w:pPr>
            <w:r w:rsidRPr="007E15D6">
              <w:rPr>
                <w:i/>
              </w:rPr>
              <w:t>Clean Energy Legislation (Carbon Tax Repeal) Act 2014</w:t>
            </w:r>
          </w:p>
        </w:tc>
      </w:tr>
      <w:tr w:rsidR="00CE5447" w:rsidTr="008B4BA1">
        <w:tc>
          <w:tcPr>
            <w:tcW w:w="4261" w:type="dxa"/>
          </w:tcPr>
          <w:p w:rsidR="008B4BA1" w:rsidRDefault="00FE1A78" w:rsidP="008B4BA1">
            <w:pPr>
              <w:pStyle w:val="Bullet"/>
              <w:numPr>
                <w:ilvl w:val="0"/>
                <w:numId w:val="0"/>
              </w:numPr>
              <w:spacing w:before="0" w:after="240"/>
              <w:rPr>
                <w:szCs w:val="24"/>
              </w:rPr>
            </w:pPr>
            <w:r>
              <w:rPr>
                <w:szCs w:val="24"/>
              </w:rPr>
              <w:t>CPRS Bill</w:t>
            </w:r>
          </w:p>
        </w:tc>
        <w:tc>
          <w:tcPr>
            <w:tcW w:w="4261" w:type="dxa"/>
          </w:tcPr>
          <w:p w:rsidR="008B4BA1" w:rsidRPr="007E15D6" w:rsidRDefault="00FE1A78" w:rsidP="008B4BA1">
            <w:pPr>
              <w:pStyle w:val="Bullet"/>
              <w:numPr>
                <w:ilvl w:val="0"/>
                <w:numId w:val="0"/>
              </w:numPr>
              <w:spacing w:before="0" w:after="240"/>
              <w:rPr>
                <w:i/>
              </w:rPr>
            </w:pPr>
            <w:r>
              <w:t>Carbon Pollution Reduction Scheme Bill 2009</w:t>
            </w:r>
          </w:p>
        </w:tc>
      </w:tr>
      <w:tr w:rsidR="00CE5447" w:rsidTr="008B4BA1">
        <w:tc>
          <w:tcPr>
            <w:tcW w:w="4261" w:type="dxa"/>
          </w:tcPr>
          <w:p w:rsidR="008B4BA1" w:rsidRDefault="00FE1A78" w:rsidP="008B4BA1">
            <w:pPr>
              <w:pStyle w:val="Bullet"/>
              <w:numPr>
                <w:ilvl w:val="0"/>
                <w:numId w:val="0"/>
              </w:numPr>
              <w:spacing w:before="0" w:after="240"/>
              <w:rPr>
                <w:szCs w:val="24"/>
              </w:rPr>
            </w:pPr>
            <w:r>
              <w:rPr>
                <w:szCs w:val="24"/>
              </w:rPr>
              <w:t>RET</w:t>
            </w:r>
          </w:p>
        </w:tc>
        <w:tc>
          <w:tcPr>
            <w:tcW w:w="4261" w:type="dxa"/>
          </w:tcPr>
          <w:p w:rsidR="008B4BA1" w:rsidRPr="00AC7368" w:rsidRDefault="00FE1A78" w:rsidP="008B4BA1">
            <w:pPr>
              <w:pStyle w:val="Bullet"/>
              <w:numPr>
                <w:ilvl w:val="0"/>
                <w:numId w:val="0"/>
              </w:numPr>
              <w:spacing w:before="0" w:after="240"/>
            </w:pPr>
            <w:r>
              <w:t>Renewable Energy Target</w:t>
            </w:r>
          </w:p>
        </w:tc>
      </w:tr>
      <w:tr w:rsidR="00CE5447" w:rsidTr="008B4BA1">
        <w:tc>
          <w:tcPr>
            <w:tcW w:w="4261" w:type="dxa"/>
          </w:tcPr>
          <w:p w:rsidR="008B4BA1" w:rsidRPr="00EF3881" w:rsidRDefault="00FE1A78" w:rsidP="008B4BA1">
            <w:pPr>
              <w:pStyle w:val="Bullet"/>
              <w:numPr>
                <w:ilvl w:val="0"/>
                <w:numId w:val="0"/>
              </w:numPr>
              <w:spacing w:before="0" w:after="240"/>
              <w:rPr>
                <w:szCs w:val="24"/>
              </w:rPr>
            </w:pPr>
            <w:r>
              <w:rPr>
                <w:szCs w:val="24"/>
              </w:rPr>
              <w:t>RET Act</w:t>
            </w:r>
          </w:p>
        </w:tc>
        <w:tc>
          <w:tcPr>
            <w:tcW w:w="4261" w:type="dxa"/>
          </w:tcPr>
          <w:p w:rsidR="008B4BA1" w:rsidRPr="002F2980" w:rsidRDefault="00FE1A78" w:rsidP="008B4BA1">
            <w:pPr>
              <w:pStyle w:val="Bullet"/>
              <w:numPr>
                <w:ilvl w:val="0"/>
                <w:numId w:val="0"/>
              </w:numPr>
              <w:spacing w:before="0" w:after="240"/>
              <w:rPr>
                <w:b/>
                <w:szCs w:val="24"/>
              </w:rPr>
            </w:pPr>
            <w:r w:rsidRPr="00D516AF">
              <w:rPr>
                <w:i/>
                <w:iCs/>
              </w:rPr>
              <w:t>Renewable Energy (Electricity) Act 2000</w:t>
            </w:r>
          </w:p>
        </w:tc>
      </w:tr>
      <w:tr w:rsidR="00CE5447" w:rsidTr="008B4BA1">
        <w:tc>
          <w:tcPr>
            <w:tcW w:w="4261" w:type="dxa"/>
          </w:tcPr>
          <w:p w:rsidR="008B4BA1" w:rsidRPr="00EF3881" w:rsidRDefault="00FE1A78" w:rsidP="008B4BA1">
            <w:pPr>
              <w:pStyle w:val="Bullet"/>
              <w:numPr>
                <w:ilvl w:val="0"/>
                <w:numId w:val="0"/>
              </w:numPr>
              <w:spacing w:before="0" w:after="240"/>
              <w:rPr>
                <w:szCs w:val="24"/>
              </w:rPr>
            </w:pPr>
            <w:r>
              <w:rPr>
                <w:szCs w:val="24"/>
              </w:rPr>
              <w:t>RET Regulations</w:t>
            </w:r>
          </w:p>
        </w:tc>
        <w:tc>
          <w:tcPr>
            <w:tcW w:w="4261" w:type="dxa"/>
          </w:tcPr>
          <w:p w:rsidR="008B4BA1" w:rsidRPr="002F2980" w:rsidRDefault="00FE1A78" w:rsidP="008B4BA1">
            <w:pPr>
              <w:pStyle w:val="Bullet"/>
              <w:numPr>
                <w:ilvl w:val="0"/>
                <w:numId w:val="0"/>
              </w:numPr>
              <w:spacing w:before="0" w:after="240"/>
              <w:rPr>
                <w:b/>
                <w:szCs w:val="24"/>
              </w:rPr>
            </w:pPr>
            <w:r w:rsidRPr="00C772D4">
              <w:rPr>
                <w:i/>
              </w:rPr>
              <w:t xml:space="preserve">Renewable Energy (Electricity) Regulations </w:t>
            </w:r>
            <w:r>
              <w:rPr>
                <w:i/>
              </w:rPr>
              <w:t>2001</w:t>
            </w:r>
          </w:p>
        </w:tc>
      </w:tr>
      <w:tr w:rsidR="00CE5447" w:rsidTr="008B4BA1">
        <w:tc>
          <w:tcPr>
            <w:tcW w:w="4261" w:type="dxa"/>
          </w:tcPr>
          <w:p w:rsidR="008B4BA1" w:rsidRDefault="00FE1A78" w:rsidP="008B4BA1">
            <w:pPr>
              <w:pStyle w:val="Bullet"/>
              <w:numPr>
                <w:ilvl w:val="0"/>
                <w:numId w:val="0"/>
              </w:numPr>
              <w:spacing w:before="0" w:after="240"/>
              <w:rPr>
                <w:szCs w:val="24"/>
              </w:rPr>
            </w:pPr>
            <w:r>
              <w:t>Regulation</w:t>
            </w:r>
          </w:p>
        </w:tc>
        <w:tc>
          <w:tcPr>
            <w:tcW w:w="4261" w:type="dxa"/>
          </w:tcPr>
          <w:p w:rsidR="008B4BA1" w:rsidRDefault="00FE1A78" w:rsidP="008B4BA1">
            <w:pPr>
              <w:pStyle w:val="Bullet"/>
              <w:numPr>
                <w:ilvl w:val="0"/>
                <w:numId w:val="0"/>
              </w:numPr>
              <w:spacing w:before="0" w:after="240"/>
            </w:pPr>
            <w:r w:rsidRPr="003F492C">
              <w:rPr>
                <w:i/>
              </w:rPr>
              <w:t>Renewable Energy (Electricity) Amendment (Solar Zones and Other Measures) Regulation 2014</w:t>
            </w:r>
          </w:p>
        </w:tc>
      </w:tr>
      <w:tr w:rsidR="00CE5447" w:rsidTr="008B4BA1">
        <w:tc>
          <w:tcPr>
            <w:tcW w:w="4261" w:type="dxa"/>
          </w:tcPr>
          <w:p w:rsidR="008B4BA1" w:rsidRDefault="00FE1A78" w:rsidP="008B4BA1">
            <w:pPr>
              <w:pStyle w:val="Bullet"/>
              <w:numPr>
                <w:ilvl w:val="0"/>
                <w:numId w:val="0"/>
              </w:numPr>
              <w:spacing w:before="0" w:after="240"/>
            </w:pPr>
            <w:r>
              <w:t>Regulator</w:t>
            </w:r>
          </w:p>
        </w:tc>
        <w:tc>
          <w:tcPr>
            <w:tcW w:w="4261" w:type="dxa"/>
          </w:tcPr>
          <w:p w:rsidR="008B4BA1" w:rsidRPr="0039795F" w:rsidRDefault="00FE1A78" w:rsidP="008B4BA1">
            <w:pPr>
              <w:pStyle w:val="Bullet"/>
              <w:numPr>
                <w:ilvl w:val="0"/>
                <w:numId w:val="0"/>
              </w:numPr>
              <w:spacing w:before="0" w:after="240"/>
              <w:rPr>
                <w:i/>
              </w:rPr>
            </w:pPr>
            <w:r>
              <w:t>Clean Energy Regulator</w:t>
            </w:r>
          </w:p>
        </w:tc>
      </w:tr>
    </w:tbl>
    <w:p w:rsidR="008B4BA1" w:rsidRPr="00AC5531" w:rsidRDefault="008B4BA1" w:rsidP="008B4BA1">
      <w:pPr>
        <w:pStyle w:val="Bullet"/>
        <w:numPr>
          <w:ilvl w:val="0"/>
          <w:numId w:val="0"/>
        </w:numPr>
        <w:spacing w:before="0" w:after="240"/>
        <w:rPr>
          <w:szCs w:val="24"/>
        </w:rPr>
      </w:pPr>
    </w:p>
    <w:sectPr w:rsidR="008B4BA1" w:rsidRPr="00AC5531" w:rsidSect="008B4BA1">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7A9" w:rsidRDefault="002327A9" w:rsidP="00783F77">
      <w:pPr>
        <w:spacing w:before="0" w:after="0"/>
      </w:pPr>
      <w:r>
        <w:separator/>
      </w:r>
    </w:p>
  </w:endnote>
  <w:endnote w:type="continuationSeparator" w:id="0">
    <w:p w:rsidR="002327A9" w:rsidRDefault="002327A9" w:rsidP="00783F7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7A9" w:rsidRDefault="002327A9" w:rsidP="00783F77">
      <w:pPr>
        <w:spacing w:before="0" w:after="0"/>
      </w:pPr>
      <w:r>
        <w:separator/>
      </w:r>
    </w:p>
  </w:footnote>
  <w:footnote w:type="continuationSeparator" w:id="0">
    <w:p w:rsidR="002327A9" w:rsidRDefault="002327A9" w:rsidP="00783F77">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2AD1E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7EF5C15"/>
    <w:multiLevelType w:val="hybridMultilevel"/>
    <w:tmpl w:val="A6DCC432"/>
    <w:lvl w:ilvl="0" w:tplc="627CB78C">
      <w:start w:val="1"/>
      <w:numFmt w:val="bullet"/>
      <w:lvlText w:val=""/>
      <w:lvlJc w:val="left"/>
      <w:pPr>
        <w:ind w:left="720" w:hanging="360"/>
      </w:pPr>
      <w:rPr>
        <w:rFonts w:ascii="Symbol" w:hAnsi="Symbol" w:hint="default"/>
      </w:rPr>
    </w:lvl>
    <w:lvl w:ilvl="1" w:tplc="12FCB17E" w:tentative="1">
      <w:start w:val="1"/>
      <w:numFmt w:val="bullet"/>
      <w:lvlText w:val="o"/>
      <w:lvlJc w:val="left"/>
      <w:pPr>
        <w:ind w:left="1440" w:hanging="360"/>
      </w:pPr>
      <w:rPr>
        <w:rFonts w:ascii="Courier New" w:hAnsi="Courier New" w:cs="Courier New" w:hint="default"/>
      </w:rPr>
    </w:lvl>
    <w:lvl w:ilvl="2" w:tplc="CED67AF2" w:tentative="1">
      <w:start w:val="1"/>
      <w:numFmt w:val="bullet"/>
      <w:lvlText w:val=""/>
      <w:lvlJc w:val="left"/>
      <w:pPr>
        <w:ind w:left="2160" w:hanging="360"/>
      </w:pPr>
      <w:rPr>
        <w:rFonts w:ascii="Wingdings" w:hAnsi="Wingdings" w:hint="default"/>
      </w:rPr>
    </w:lvl>
    <w:lvl w:ilvl="3" w:tplc="1FF0B662" w:tentative="1">
      <w:start w:val="1"/>
      <w:numFmt w:val="bullet"/>
      <w:lvlText w:val=""/>
      <w:lvlJc w:val="left"/>
      <w:pPr>
        <w:ind w:left="2880" w:hanging="360"/>
      </w:pPr>
      <w:rPr>
        <w:rFonts w:ascii="Symbol" w:hAnsi="Symbol" w:hint="default"/>
      </w:rPr>
    </w:lvl>
    <w:lvl w:ilvl="4" w:tplc="6EAA020C" w:tentative="1">
      <w:start w:val="1"/>
      <w:numFmt w:val="bullet"/>
      <w:lvlText w:val="o"/>
      <w:lvlJc w:val="left"/>
      <w:pPr>
        <w:ind w:left="3600" w:hanging="360"/>
      </w:pPr>
      <w:rPr>
        <w:rFonts w:ascii="Courier New" w:hAnsi="Courier New" w:cs="Courier New" w:hint="default"/>
      </w:rPr>
    </w:lvl>
    <w:lvl w:ilvl="5" w:tplc="F12CAC32" w:tentative="1">
      <w:start w:val="1"/>
      <w:numFmt w:val="bullet"/>
      <w:lvlText w:val=""/>
      <w:lvlJc w:val="left"/>
      <w:pPr>
        <w:ind w:left="4320" w:hanging="360"/>
      </w:pPr>
      <w:rPr>
        <w:rFonts w:ascii="Wingdings" w:hAnsi="Wingdings" w:hint="default"/>
      </w:rPr>
    </w:lvl>
    <w:lvl w:ilvl="6" w:tplc="7CD0A950" w:tentative="1">
      <w:start w:val="1"/>
      <w:numFmt w:val="bullet"/>
      <w:lvlText w:val=""/>
      <w:lvlJc w:val="left"/>
      <w:pPr>
        <w:ind w:left="5040" w:hanging="360"/>
      </w:pPr>
      <w:rPr>
        <w:rFonts w:ascii="Symbol" w:hAnsi="Symbol" w:hint="default"/>
      </w:rPr>
    </w:lvl>
    <w:lvl w:ilvl="7" w:tplc="E27C5F40" w:tentative="1">
      <w:start w:val="1"/>
      <w:numFmt w:val="bullet"/>
      <w:lvlText w:val="o"/>
      <w:lvlJc w:val="left"/>
      <w:pPr>
        <w:ind w:left="5760" w:hanging="360"/>
      </w:pPr>
      <w:rPr>
        <w:rFonts w:ascii="Courier New" w:hAnsi="Courier New" w:cs="Courier New" w:hint="default"/>
      </w:rPr>
    </w:lvl>
    <w:lvl w:ilvl="8" w:tplc="AE2434B2" w:tentative="1">
      <w:start w:val="1"/>
      <w:numFmt w:val="bullet"/>
      <w:lvlText w:val=""/>
      <w:lvlJc w:val="left"/>
      <w:pPr>
        <w:ind w:left="6480" w:hanging="360"/>
      </w:pPr>
      <w:rPr>
        <w:rFonts w:ascii="Wingdings" w:hAnsi="Wingdings" w:hint="default"/>
      </w:rPr>
    </w:lvl>
  </w:abstractNum>
  <w:abstractNum w:abstractNumId="2">
    <w:nsid w:val="18024B39"/>
    <w:multiLevelType w:val="hybridMultilevel"/>
    <w:tmpl w:val="2520AEB8"/>
    <w:lvl w:ilvl="0" w:tplc="C298D11A">
      <w:start w:val="1"/>
      <w:numFmt w:val="bullet"/>
      <w:lvlText w:val=""/>
      <w:lvlJc w:val="left"/>
      <w:pPr>
        <w:ind w:left="720" w:hanging="360"/>
      </w:pPr>
      <w:rPr>
        <w:rFonts w:ascii="Symbol" w:hAnsi="Symbol" w:hint="default"/>
      </w:rPr>
    </w:lvl>
    <w:lvl w:ilvl="1" w:tplc="62C81AD4" w:tentative="1">
      <w:start w:val="1"/>
      <w:numFmt w:val="bullet"/>
      <w:lvlText w:val="o"/>
      <w:lvlJc w:val="left"/>
      <w:pPr>
        <w:ind w:left="1440" w:hanging="360"/>
      </w:pPr>
      <w:rPr>
        <w:rFonts w:ascii="Courier New" w:hAnsi="Courier New" w:cs="Courier New" w:hint="default"/>
      </w:rPr>
    </w:lvl>
    <w:lvl w:ilvl="2" w:tplc="81E2394E" w:tentative="1">
      <w:start w:val="1"/>
      <w:numFmt w:val="bullet"/>
      <w:lvlText w:val=""/>
      <w:lvlJc w:val="left"/>
      <w:pPr>
        <w:ind w:left="2160" w:hanging="360"/>
      </w:pPr>
      <w:rPr>
        <w:rFonts w:ascii="Wingdings" w:hAnsi="Wingdings" w:hint="default"/>
      </w:rPr>
    </w:lvl>
    <w:lvl w:ilvl="3" w:tplc="D8721C18" w:tentative="1">
      <w:start w:val="1"/>
      <w:numFmt w:val="bullet"/>
      <w:lvlText w:val=""/>
      <w:lvlJc w:val="left"/>
      <w:pPr>
        <w:ind w:left="2880" w:hanging="360"/>
      </w:pPr>
      <w:rPr>
        <w:rFonts w:ascii="Symbol" w:hAnsi="Symbol" w:hint="default"/>
      </w:rPr>
    </w:lvl>
    <w:lvl w:ilvl="4" w:tplc="26C46FEA" w:tentative="1">
      <w:start w:val="1"/>
      <w:numFmt w:val="bullet"/>
      <w:lvlText w:val="o"/>
      <w:lvlJc w:val="left"/>
      <w:pPr>
        <w:ind w:left="3600" w:hanging="360"/>
      </w:pPr>
      <w:rPr>
        <w:rFonts w:ascii="Courier New" w:hAnsi="Courier New" w:cs="Courier New" w:hint="default"/>
      </w:rPr>
    </w:lvl>
    <w:lvl w:ilvl="5" w:tplc="C88E93E4" w:tentative="1">
      <w:start w:val="1"/>
      <w:numFmt w:val="bullet"/>
      <w:lvlText w:val=""/>
      <w:lvlJc w:val="left"/>
      <w:pPr>
        <w:ind w:left="4320" w:hanging="360"/>
      </w:pPr>
      <w:rPr>
        <w:rFonts w:ascii="Wingdings" w:hAnsi="Wingdings" w:hint="default"/>
      </w:rPr>
    </w:lvl>
    <w:lvl w:ilvl="6" w:tplc="087E3166" w:tentative="1">
      <w:start w:val="1"/>
      <w:numFmt w:val="bullet"/>
      <w:lvlText w:val=""/>
      <w:lvlJc w:val="left"/>
      <w:pPr>
        <w:ind w:left="5040" w:hanging="360"/>
      </w:pPr>
      <w:rPr>
        <w:rFonts w:ascii="Symbol" w:hAnsi="Symbol" w:hint="default"/>
      </w:rPr>
    </w:lvl>
    <w:lvl w:ilvl="7" w:tplc="68CE2A58" w:tentative="1">
      <w:start w:val="1"/>
      <w:numFmt w:val="bullet"/>
      <w:lvlText w:val="o"/>
      <w:lvlJc w:val="left"/>
      <w:pPr>
        <w:ind w:left="5760" w:hanging="360"/>
      </w:pPr>
      <w:rPr>
        <w:rFonts w:ascii="Courier New" w:hAnsi="Courier New" w:cs="Courier New" w:hint="default"/>
      </w:rPr>
    </w:lvl>
    <w:lvl w:ilvl="8" w:tplc="ECDA25C4" w:tentative="1">
      <w:start w:val="1"/>
      <w:numFmt w:val="bullet"/>
      <w:lvlText w:val=""/>
      <w:lvlJc w:val="left"/>
      <w:pPr>
        <w:ind w:left="6480" w:hanging="360"/>
      </w:pPr>
      <w:rPr>
        <w:rFonts w:ascii="Wingdings" w:hAnsi="Wingdings" w:hint="default"/>
      </w:rPr>
    </w:lvl>
  </w:abstractNum>
  <w:abstractNum w:abstractNumId="3">
    <w:nsid w:val="1A3E02B3"/>
    <w:multiLevelType w:val="hybridMultilevel"/>
    <w:tmpl w:val="192E3908"/>
    <w:lvl w:ilvl="0" w:tplc="4BE62E78">
      <w:numFmt w:val="bullet"/>
      <w:lvlText w:val="•"/>
      <w:lvlJc w:val="left"/>
      <w:pPr>
        <w:ind w:left="765" w:hanging="360"/>
      </w:pPr>
      <w:rPr>
        <w:rFonts w:ascii="Times New Roman" w:eastAsia="Times New Roman" w:hAnsi="Times New Roman" w:cs="Times New Roman" w:hint="default"/>
      </w:rPr>
    </w:lvl>
    <w:lvl w:ilvl="1" w:tplc="2A38EC4E" w:tentative="1">
      <w:start w:val="1"/>
      <w:numFmt w:val="bullet"/>
      <w:lvlText w:val="o"/>
      <w:lvlJc w:val="left"/>
      <w:pPr>
        <w:ind w:left="1485" w:hanging="360"/>
      </w:pPr>
      <w:rPr>
        <w:rFonts w:ascii="Courier New" w:hAnsi="Courier New" w:cs="Courier New" w:hint="default"/>
      </w:rPr>
    </w:lvl>
    <w:lvl w:ilvl="2" w:tplc="0E4AB2DA" w:tentative="1">
      <w:start w:val="1"/>
      <w:numFmt w:val="bullet"/>
      <w:lvlText w:val=""/>
      <w:lvlJc w:val="left"/>
      <w:pPr>
        <w:ind w:left="2205" w:hanging="360"/>
      </w:pPr>
      <w:rPr>
        <w:rFonts w:ascii="Wingdings" w:hAnsi="Wingdings" w:hint="default"/>
      </w:rPr>
    </w:lvl>
    <w:lvl w:ilvl="3" w:tplc="E77031E6" w:tentative="1">
      <w:start w:val="1"/>
      <w:numFmt w:val="bullet"/>
      <w:lvlText w:val=""/>
      <w:lvlJc w:val="left"/>
      <w:pPr>
        <w:ind w:left="2925" w:hanging="360"/>
      </w:pPr>
      <w:rPr>
        <w:rFonts w:ascii="Symbol" w:hAnsi="Symbol" w:hint="default"/>
      </w:rPr>
    </w:lvl>
    <w:lvl w:ilvl="4" w:tplc="9F3E8516" w:tentative="1">
      <w:start w:val="1"/>
      <w:numFmt w:val="bullet"/>
      <w:lvlText w:val="o"/>
      <w:lvlJc w:val="left"/>
      <w:pPr>
        <w:ind w:left="3645" w:hanging="360"/>
      </w:pPr>
      <w:rPr>
        <w:rFonts w:ascii="Courier New" w:hAnsi="Courier New" w:cs="Courier New" w:hint="default"/>
      </w:rPr>
    </w:lvl>
    <w:lvl w:ilvl="5" w:tplc="10CA5D86" w:tentative="1">
      <w:start w:val="1"/>
      <w:numFmt w:val="bullet"/>
      <w:lvlText w:val=""/>
      <w:lvlJc w:val="left"/>
      <w:pPr>
        <w:ind w:left="4365" w:hanging="360"/>
      </w:pPr>
      <w:rPr>
        <w:rFonts w:ascii="Wingdings" w:hAnsi="Wingdings" w:hint="default"/>
      </w:rPr>
    </w:lvl>
    <w:lvl w:ilvl="6" w:tplc="755CCAE6" w:tentative="1">
      <w:start w:val="1"/>
      <w:numFmt w:val="bullet"/>
      <w:lvlText w:val=""/>
      <w:lvlJc w:val="left"/>
      <w:pPr>
        <w:ind w:left="5085" w:hanging="360"/>
      </w:pPr>
      <w:rPr>
        <w:rFonts w:ascii="Symbol" w:hAnsi="Symbol" w:hint="default"/>
      </w:rPr>
    </w:lvl>
    <w:lvl w:ilvl="7" w:tplc="702EF826" w:tentative="1">
      <w:start w:val="1"/>
      <w:numFmt w:val="bullet"/>
      <w:lvlText w:val="o"/>
      <w:lvlJc w:val="left"/>
      <w:pPr>
        <w:ind w:left="5805" w:hanging="360"/>
      </w:pPr>
      <w:rPr>
        <w:rFonts w:ascii="Courier New" w:hAnsi="Courier New" w:cs="Courier New" w:hint="default"/>
      </w:rPr>
    </w:lvl>
    <w:lvl w:ilvl="8" w:tplc="80140DE0" w:tentative="1">
      <w:start w:val="1"/>
      <w:numFmt w:val="bullet"/>
      <w:lvlText w:val=""/>
      <w:lvlJc w:val="left"/>
      <w:pPr>
        <w:ind w:left="6525" w:hanging="360"/>
      </w:pPr>
      <w:rPr>
        <w:rFonts w:ascii="Wingdings" w:hAnsi="Wingdings" w:hint="default"/>
      </w:rPr>
    </w:lvl>
  </w:abstractNum>
  <w:abstractNum w:abstractNumId="4">
    <w:nsid w:val="23B930BB"/>
    <w:multiLevelType w:val="hybridMultilevel"/>
    <w:tmpl w:val="73C6FC8E"/>
    <w:lvl w:ilvl="0" w:tplc="16A0749A">
      <w:numFmt w:val="bullet"/>
      <w:lvlText w:val="•"/>
      <w:lvlJc w:val="left"/>
      <w:pPr>
        <w:ind w:left="720" w:hanging="360"/>
      </w:pPr>
      <w:rPr>
        <w:rFonts w:ascii="Times New Roman" w:eastAsia="Times New Roman" w:hAnsi="Times New Roman" w:cs="Times New Roman" w:hint="default"/>
      </w:rPr>
    </w:lvl>
    <w:lvl w:ilvl="1" w:tplc="9EB2A8DC" w:tentative="1">
      <w:start w:val="1"/>
      <w:numFmt w:val="bullet"/>
      <w:lvlText w:val="o"/>
      <w:lvlJc w:val="left"/>
      <w:pPr>
        <w:ind w:left="1440" w:hanging="360"/>
      </w:pPr>
      <w:rPr>
        <w:rFonts w:ascii="Courier New" w:hAnsi="Courier New" w:cs="Courier New" w:hint="default"/>
      </w:rPr>
    </w:lvl>
    <w:lvl w:ilvl="2" w:tplc="73A615BA" w:tentative="1">
      <w:start w:val="1"/>
      <w:numFmt w:val="bullet"/>
      <w:lvlText w:val=""/>
      <w:lvlJc w:val="left"/>
      <w:pPr>
        <w:ind w:left="2160" w:hanging="360"/>
      </w:pPr>
      <w:rPr>
        <w:rFonts w:ascii="Wingdings" w:hAnsi="Wingdings" w:hint="default"/>
      </w:rPr>
    </w:lvl>
    <w:lvl w:ilvl="3" w:tplc="E26246FE" w:tentative="1">
      <w:start w:val="1"/>
      <w:numFmt w:val="bullet"/>
      <w:lvlText w:val=""/>
      <w:lvlJc w:val="left"/>
      <w:pPr>
        <w:ind w:left="2880" w:hanging="360"/>
      </w:pPr>
      <w:rPr>
        <w:rFonts w:ascii="Symbol" w:hAnsi="Symbol" w:hint="default"/>
      </w:rPr>
    </w:lvl>
    <w:lvl w:ilvl="4" w:tplc="E954E1F8" w:tentative="1">
      <w:start w:val="1"/>
      <w:numFmt w:val="bullet"/>
      <w:lvlText w:val="o"/>
      <w:lvlJc w:val="left"/>
      <w:pPr>
        <w:ind w:left="3600" w:hanging="360"/>
      </w:pPr>
      <w:rPr>
        <w:rFonts w:ascii="Courier New" w:hAnsi="Courier New" w:cs="Courier New" w:hint="default"/>
      </w:rPr>
    </w:lvl>
    <w:lvl w:ilvl="5" w:tplc="93443102" w:tentative="1">
      <w:start w:val="1"/>
      <w:numFmt w:val="bullet"/>
      <w:lvlText w:val=""/>
      <w:lvlJc w:val="left"/>
      <w:pPr>
        <w:ind w:left="4320" w:hanging="360"/>
      </w:pPr>
      <w:rPr>
        <w:rFonts w:ascii="Wingdings" w:hAnsi="Wingdings" w:hint="default"/>
      </w:rPr>
    </w:lvl>
    <w:lvl w:ilvl="6" w:tplc="6F9C2032" w:tentative="1">
      <w:start w:val="1"/>
      <w:numFmt w:val="bullet"/>
      <w:lvlText w:val=""/>
      <w:lvlJc w:val="left"/>
      <w:pPr>
        <w:ind w:left="5040" w:hanging="360"/>
      </w:pPr>
      <w:rPr>
        <w:rFonts w:ascii="Symbol" w:hAnsi="Symbol" w:hint="default"/>
      </w:rPr>
    </w:lvl>
    <w:lvl w:ilvl="7" w:tplc="60E4A44E" w:tentative="1">
      <w:start w:val="1"/>
      <w:numFmt w:val="bullet"/>
      <w:lvlText w:val="o"/>
      <w:lvlJc w:val="left"/>
      <w:pPr>
        <w:ind w:left="5760" w:hanging="360"/>
      </w:pPr>
      <w:rPr>
        <w:rFonts w:ascii="Courier New" w:hAnsi="Courier New" w:cs="Courier New" w:hint="default"/>
      </w:rPr>
    </w:lvl>
    <w:lvl w:ilvl="8" w:tplc="CA84B85A" w:tentative="1">
      <w:start w:val="1"/>
      <w:numFmt w:val="bullet"/>
      <w:lvlText w:val=""/>
      <w:lvlJc w:val="left"/>
      <w:pPr>
        <w:ind w:left="6480" w:hanging="360"/>
      </w:pPr>
      <w:rPr>
        <w:rFonts w:ascii="Wingdings" w:hAnsi="Wingdings" w:hint="default"/>
      </w:rPr>
    </w:lvl>
  </w:abstractNum>
  <w:abstractNum w:abstractNumId="5">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6">
    <w:nsid w:val="2DDE493D"/>
    <w:multiLevelType w:val="multilevel"/>
    <w:tmpl w:val="F10C0AE8"/>
    <w:lvl w:ilvl="0">
      <w:start w:val="1"/>
      <w:numFmt w:val="bullet"/>
      <w:lvlText w:val="•"/>
      <w:lvlJc w:val="left"/>
      <w:pPr>
        <w:tabs>
          <w:tab w:val="num" w:pos="1134"/>
        </w:tabs>
        <w:ind w:left="1134" w:hanging="567"/>
      </w:pPr>
      <w:rPr>
        <w:rFonts w:ascii="Times New Roman" w:hAnsi="Times New Roman" w:cs="Times New Roman"/>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727" w:hanging="360"/>
      </w:pPr>
    </w:lvl>
    <w:lvl w:ilvl="4">
      <w:start w:val="1"/>
      <w:numFmt w:val="lowerLetter"/>
      <w:lvlText w:val="(%5)"/>
      <w:lvlJc w:val="left"/>
      <w:pPr>
        <w:ind w:left="3087" w:hanging="360"/>
      </w:pPr>
    </w:lvl>
    <w:lvl w:ilvl="5">
      <w:start w:val="1"/>
      <w:numFmt w:val="lowerRoman"/>
      <w:lvlText w:val="(%6)"/>
      <w:lvlJc w:val="left"/>
      <w:pPr>
        <w:ind w:left="3447" w:hanging="360"/>
      </w:pPr>
    </w:lvl>
    <w:lvl w:ilvl="6">
      <w:start w:val="1"/>
      <w:numFmt w:val="decimal"/>
      <w:lvlText w:val="%7."/>
      <w:lvlJc w:val="left"/>
      <w:pPr>
        <w:ind w:left="3807" w:hanging="360"/>
      </w:pPr>
    </w:lvl>
    <w:lvl w:ilvl="7">
      <w:start w:val="1"/>
      <w:numFmt w:val="lowerLetter"/>
      <w:lvlText w:val="%8."/>
      <w:lvlJc w:val="left"/>
      <w:pPr>
        <w:ind w:left="4167" w:hanging="360"/>
      </w:pPr>
    </w:lvl>
    <w:lvl w:ilvl="8">
      <w:start w:val="1"/>
      <w:numFmt w:val="lowerRoman"/>
      <w:lvlText w:val="%9."/>
      <w:lvlJc w:val="left"/>
      <w:pPr>
        <w:ind w:left="4527" w:hanging="360"/>
      </w:pPr>
    </w:lvl>
  </w:abstractNum>
  <w:abstractNum w:abstractNumId="7">
    <w:nsid w:val="3DA05DAD"/>
    <w:multiLevelType w:val="hybridMultilevel"/>
    <w:tmpl w:val="20EEBFFA"/>
    <w:lvl w:ilvl="0" w:tplc="5420BC36">
      <w:numFmt w:val="bullet"/>
      <w:lvlText w:val="•"/>
      <w:lvlJc w:val="left"/>
      <w:pPr>
        <w:ind w:left="770" w:hanging="360"/>
      </w:pPr>
      <w:rPr>
        <w:rFonts w:ascii="Times New Roman" w:eastAsia="Times New Roman" w:hAnsi="Times New Roman" w:cs="Times New Roman" w:hint="default"/>
      </w:rPr>
    </w:lvl>
    <w:lvl w:ilvl="1" w:tplc="1BA60028" w:tentative="1">
      <w:start w:val="1"/>
      <w:numFmt w:val="bullet"/>
      <w:lvlText w:val="o"/>
      <w:lvlJc w:val="left"/>
      <w:pPr>
        <w:ind w:left="1490" w:hanging="360"/>
      </w:pPr>
      <w:rPr>
        <w:rFonts w:ascii="Courier New" w:hAnsi="Courier New" w:cs="Courier New" w:hint="default"/>
      </w:rPr>
    </w:lvl>
    <w:lvl w:ilvl="2" w:tplc="50181388" w:tentative="1">
      <w:start w:val="1"/>
      <w:numFmt w:val="bullet"/>
      <w:lvlText w:val=""/>
      <w:lvlJc w:val="left"/>
      <w:pPr>
        <w:ind w:left="2210" w:hanging="360"/>
      </w:pPr>
      <w:rPr>
        <w:rFonts w:ascii="Wingdings" w:hAnsi="Wingdings" w:hint="default"/>
      </w:rPr>
    </w:lvl>
    <w:lvl w:ilvl="3" w:tplc="B28E974C" w:tentative="1">
      <w:start w:val="1"/>
      <w:numFmt w:val="bullet"/>
      <w:lvlText w:val=""/>
      <w:lvlJc w:val="left"/>
      <w:pPr>
        <w:ind w:left="2930" w:hanging="360"/>
      </w:pPr>
      <w:rPr>
        <w:rFonts w:ascii="Symbol" w:hAnsi="Symbol" w:hint="default"/>
      </w:rPr>
    </w:lvl>
    <w:lvl w:ilvl="4" w:tplc="A64AF562" w:tentative="1">
      <w:start w:val="1"/>
      <w:numFmt w:val="bullet"/>
      <w:lvlText w:val="o"/>
      <w:lvlJc w:val="left"/>
      <w:pPr>
        <w:ind w:left="3650" w:hanging="360"/>
      </w:pPr>
      <w:rPr>
        <w:rFonts w:ascii="Courier New" w:hAnsi="Courier New" w:cs="Courier New" w:hint="default"/>
      </w:rPr>
    </w:lvl>
    <w:lvl w:ilvl="5" w:tplc="49827B3E" w:tentative="1">
      <w:start w:val="1"/>
      <w:numFmt w:val="bullet"/>
      <w:lvlText w:val=""/>
      <w:lvlJc w:val="left"/>
      <w:pPr>
        <w:ind w:left="4370" w:hanging="360"/>
      </w:pPr>
      <w:rPr>
        <w:rFonts w:ascii="Wingdings" w:hAnsi="Wingdings" w:hint="default"/>
      </w:rPr>
    </w:lvl>
    <w:lvl w:ilvl="6" w:tplc="7E482CF4" w:tentative="1">
      <w:start w:val="1"/>
      <w:numFmt w:val="bullet"/>
      <w:lvlText w:val=""/>
      <w:lvlJc w:val="left"/>
      <w:pPr>
        <w:ind w:left="5090" w:hanging="360"/>
      </w:pPr>
      <w:rPr>
        <w:rFonts w:ascii="Symbol" w:hAnsi="Symbol" w:hint="default"/>
      </w:rPr>
    </w:lvl>
    <w:lvl w:ilvl="7" w:tplc="17A6AA82" w:tentative="1">
      <w:start w:val="1"/>
      <w:numFmt w:val="bullet"/>
      <w:lvlText w:val="o"/>
      <w:lvlJc w:val="left"/>
      <w:pPr>
        <w:ind w:left="5810" w:hanging="360"/>
      </w:pPr>
      <w:rPr>
        <w:rFonts w:ascii="Courier New" w:hAnsi="Courier New" w:cs="Courier New" w:hint="default"/>
      </w:rPr>
    </w:lvl>
    <w:lvl w:ilvl="8" w:tplc="C6A672C6" w:tentative="1">
      <w:start w:val="1"/>
      <w:numFmt w:val="bullet"/>
      <w:lvlText w:val=""/>
      <w:lvlJc w:val="left"/>
      <w:pPr>
        <w:ind w:left="6530" w:hanging="360"/>
      </w:pPr>
      <w:rPr>
        <w:rFonts w:ascii="Wingdings" w:hAnsi="Wingdings" w:hint="default"/>
      </w:rPr>
    </w:lvl>
  </w:abstractNum>
  <w:abstractNum w:abstractNumId="8">
    <w:nsid w:val="414D5EDB"/>
    <w:multiLevelType w:val="multilevel"/>
    <w:tmpl w:val="96F81664"/>
    <w:lvl w:ilvl="0">
      <w:start w:val="1"/>
      <w:numFmt w:val="bullet"/>
      <w:lvlText w:val=""/>
      <w:lvlJc w:val="left"/>
      <w:pPr>
        <w:tabs>
          <w:tab w:val="num" w:pos="1040"/>
        </w:tabs>
        <w:ind w:left="1040" w:hanging="520"/>
      </w:pPr>
      <w:rPr>
        <w:rFonts w:ascii="Symbol" w:hAnsi="Symbol" w:hint="default"/>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9">
    <w:nsid w:val="45EB1839"/>
    <w:multiLevelType w:val="hybridMultilevel"/>
    <w:tmpl w:val="D1949ABA"/>
    <w:lvl w:ilvl="0" w:tplc="CFA4633A">
      <w:start w:val="1"/>
      <w:numFmt w:val="bullet"/>
      <w:lvlText w:val=""/>
      <w:lvlJc w:val="left"/>
      <w:pPr>
        <w:ind w:left="770" w:hanging="360"/>
      </w:pPr>
      <w:rPr>
        <w:rFonts w:ascii="Symbol" w:hAnsi="Symbol" w:hint="default"/>
      </w:rPr>
    </w:lvl>
    <w:lvl w:ilvl="1" w:tplc="4022DAC0" w:tentative="1">
      <w:start w:val="1"/>
      <w:numFmt w:val="bullet"/>
      <w:lvlText w:val="o"/>
      <w:lvlJc w:val="left"/>
      <w:pPr>
        <w:ind w:left="1490" w:hanging="360"/>
      </w:pPr>
      <w:rPr>
        <w:rFonts w:ascii="Courier New" w:hAnsi="Courier New" w:cs="Courier New" w:hint="default"/>
      </w:rPr>
    </w:lvl>
    <w:lvl w:ilvl="2" w:tplc="8EFCE49A" w:tentative="1">
      <w:start w:val="1"/>
      <w:numFmt w:val="bullet"/>
      <w:lvlText w:val=""/>
      <w:lvlJc w:val="left"/>
      <w:pPr>
        <w:ind w:left="2210" w:hanging="360"/>
      </w:pPr>
      <w:rPr>
        <w:rFonts w:ascii="Wingdings" w:hAnsi="Wingdings" w:hint="default"/>
      </w:rPr>
    </w:lvl>
    <w:lvl w:ilvl="3" w:tplc="A65CC638" w:tentative="1">
      <w:start w:val="1"/>
      <w:numFmt w:val="bullet"/>
      <w:lvlText w:val=""/>
      <w:lvlJc w:val="left"/>
      <w:pPr>
        <w:ind w:left="2930" w:hanging="360"/>
      </w:pPr>
      <w:rPr>
        <w:rFonts w:ascii="Symbol" w:hAnsi="Symbol" w:hint="default"/>
      </w:rPr>
    </w:lvl>
    <w:lvl w:ilvl="4" w:tplc="CA302812" w:tentative="1">
      <w:start w:val="1"/>
      <w:numFmt w:val="bullet"/>
      <w:lvlText w:val="o"/>
      <w:lvlJc w:val="left"/>
      <w:pPr>
        <w:ind w:left="3650" w:hanging="360"/>
      </w:pPr>
      <w:rPr>
        <w:rFonts w:ascii="Courier New" w:hAnsi="Courier New" w:cs="Courier New" w:hint="default"/>
      </w:rPr>
    </w:lvl>
    <w:lvl w:ilvl="5" w:tplc="B2AAC036" w:tentative="1">
      <w:start w:val="1"/>
      <w:numFmt w:val="bullet"/>
      <w:lvlText w:val=""/>
      <w:lvlJc w:val="left"/>
      <w:pPr>
        <w:ind w:left="4370" w:hanging="360"/>
      </w:pPr>
      <w:rPr>
        <w:rFonts w:ascii="Wingdings" w:hAnsi="Wingdings" w:hint="default"/>
      </w:rPr>
    </w:lvl>
    <w:lvl w:ilvl="6" w:tplc="715E87C8" w:tentative="1">
      <w:start w:val="1"/>
      <w:numFmt w:val="bullet"/>
      <w:lvlText w:val=""/>
      <w:lvlJc w:val="left"/>
      <w:pPr>
        <w:ind w:left="5090" w:hanging="360"/>
      </w:pPr>
      <w:rPr>
        <w:rFonts w:ascii="Symbol" w:hAnsi="Symbol" w:hint="default"/>
      </w:rPr>
    </w:lvl>
    <w:lvl w:ilvl="7" w:tplc="69624544" w:tentative="1">
      <w:start w:val="1"/>
      <w:numFmt w:val="bullet"/>
      <w:lvlText w:val="o"/>
      <w:lvlJc w:val="left"/>
      <w:pPr>
        <w:ind w:left="5810" w:hanging="360"/>
      </w:pPr>
      <w:rPr>
        <w:rFonts w:ascii="Courier New" w:hAnsi="Courier New" w:cs="Courier New" w:hint="default"/>
      </w:rPr>
    </w:lvl>
    <w:lvl w:ilvl="8" w:tplc="9E64CCE4" w:tentative="1">
      <w:start w:val="1"/>
      <w:numFmt w:val="bullet"/>
      <w:lvlText w:val=""/>
      <w:lvlJc w:val="left"/>
      <w:pPr>
        <w:ind w:left="6530" w:hanging="360"/>
      </w:pPr>
      <w:rPr>
        <w:rFonts w:ascii="Wingdings" w:hAnsi="Wingdings" w:hint="default"/>
      </w:rPr>
    </w:lvl>
  </w:abstractNum>
  <w:abstractNum w:abstractNumId="10">
    <w:nsid w:val="67A43C0B"/>
    <w:multiLevelType w:val="multilevel"/>
    <w:tmpl w:val="A8C03F7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FB83A06"/>
    <w:multiLevelType w:val="multilevel"/>
    <w:tmpl w:val="2026ADE8"/>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7B81102"/>
    <w:multiLevelType w:val="multilevel"/>
    <w:tmpl w:val="ECB21298"/>
    <w:lvl w:ilvl="0">
      <w:start w:val="1"/>
      <w:numFmt w:val="bullet"/>
      <w:lvlText w:val="•"/>
      <w:lvlJc w:val="left"/>
      <w:pPr>
        <w:tabs>
          <w:tab w:val="num" w:pos="1086"/>
        </w:tabs>
        <w:ind w:left="1086" w:hanging="543"/>
      </w:pPr>
      <w:rPr>
        <w:rFonts w:ascii="Times New Roman" w:hAnsi="Times New Roman" w:cs="Times New Roman"/>
        <w:sz w:val="24"/>
        <w:szCs w:val="24"/>
      </w:rPr>
    </w:lvl>
    <w:lvl w:ilvl="1">
      <w:start w:val="1"/>
      <w:numFmt w:val="bullet"/>
      <w:lvlText w:val="–"/>
      <w:lvlJc w:val="left"/>
      <w:pPr>
        <w:tabs>
          <w:tab w:val="num" w:pos="1558"/>
        </w:tabs>
        <w:ind w:left="1558" w:hanging="472"/>
      </w:pPr>
      <w:rPr>
        <w:rFonts w:ascii="Times New Roman" w:hAnsi="Times New Roman" w:cs="Times New Roman"/>
      </w:rPr>
    </w:lvl>
    <w:lvl w:ilvl="2">
      <w:start w:val="1"/>
      <w:numFmt w:val="bullet"/>
      <w:lvlText w:val=":"/>
      <w:lvlJc w:val="left"/>
      <w:pPr>
        <w:tabs>
          <w:tab w:val="num" w:pos="2030"/>
        </w:tabs>
        <w:ind w:left="2030" w:hanging="472"/>
      </w:pPr>
      <w:rPr>
        <w:rFonts w:ascii="Times New Roman" w:hAnsi="Times New Roman" w:cs="Times New Roman"/>
      </w:rPr>
    </w:lvl>
    <w:lvl w:ilvl="3">
      <w:start w:val="1"/>
      <w:numFmt w:val="decimal"/>
      <w:lvlText w:val="(%4)"/>
      <w:lvlJc w:val="left"/>
      <w:pPr>
        <w:ind w:left="4332" w:hanging="360"/>
      </w:pPr>
    </w:lvl>
    <w:lvl w:ilvl="4">
      <w:start w:val="1"/>
      <w:numFmt w:val="lowerLetter"/>
      <w:lvlText w:val="(%5)"/>
      <w:lvlJc w:val="left"/>
      <w:pPr>
        <w:ind w:left="4692" w:hanging="360"/>
      </w:pPr>
    </w:lvl>
    <w:lvl w:ilvl="5">
      <w:start w:val="1"/>
      <w:numFmt w:val="lowerRoman"/>
      <w:lvlText w:val="(%6)"/>
      <w:lvlJc w:val="left"/>
      <w:pPr>
        <w:ind w:left="5052" w:hanging="360"/>
      </w:pPr>
    </w:lvl>
    <w:lvl w:ilvl="6">
      <w:start w:val="1"/>
      <w:numFmt w:val="decimal"/>
      <w:lvlText w:val="%7."/>
      <w:lvlJc w:val="left"/>
      <w:pPr>
        <w:ind w:left="5412" w:hanging="360"/>
      </w:pPr>
    </w:lvl>
    <w:lvl w:ilvl="7">
      <w:start w:val="1"/>
      <w:numFmt w:val="lowerLetter"/>
      <w:lvlText w:val="%8."/>
      <w:lvlJc w:val="left"/>
      <w:pPr>
        <w:ind w:left="5772" w:hanging="360"/>
      </w:pPr>
    </w:lvl>
    <w:lvl w:ilvl="8">
      <w:start w:val="1"/>
      <w:numFmt w:val="lowerRoman"/>
      <w:lvlText w:val="%9."/>
      <w:lvlJc w:val="left"/>
      <w:pPr>
        <w:ind w:left="6132" w:hanging="360"/>
      </w:pPr>
    </w:lvl>
  </w:abstractNum>
  <w:num w:numId="1">
    <w:abstractNumId w:val="5"/>
  </w:num>
  <w:num w:numId="2">
    <w:abstractNumId w:val="10"/>
  </w:num>
  <w:num w:numId="3">
    <w:abstractNumId w:val="11"/>
  </w:num>
  <w:num w:numId="4">
    <w:abstractNumId w:val="12"/>
  </w:num>
  <w:num w:numId="5">
    <w:abstractNumId w:val="8"/>
  </w:num>
  <w:num w:numId="6">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0"/>
  </w:num>
  <w:num w:numId="11">
    <w:abstractNumId w:val="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9"/>
  </w:num>
  <w:num w:numId="27">
    <w:abstractNumId w:val="1"/>
  </w:num>
  <w:num w:numId="28">
    <w:abstractNumId w:val="4"/>
  </w:num>
  <w:num w:numId="29">
    <w:abstractNumId w:val="7"/>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3808"/>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E5447"/>
    <w:rsid w:val="00012C06"/>
    <w:rsid w:val="00025F81"/>
    <w:rsid w:val="00046827"/>
    <w:rsid w:val="00096CC3"/>
    <w:rsid w:val="001A543B"/>
    <w:rsid w:val="001C5F7A"/>
    <w:rsid w:val="002327A9"/>
    <w:rsid w:val="00283B26"/>
    <w:rsid w:val="002D1734"/>
    <w:rsid w:val="0034056D"/>
    <w:rsid w:val="00564803"/>
    <w:rsid w:val="005D5401"/>
    <w:rsid w:val="006E08FD"/>
    <w:rsid w:val="00783F77"/>
    <w:rsid w:val="007E5878"/>
    <w:rsid w:val="0081657D"/>
    <w:rsid w:val="008B4BA1"/>
    <w:rsid w:val="008B6811"/>
    <w:rsid w:val="008E169B"/>
    <w:rsid w:val="009975BF"/>
    <w:rsid w:val="009B764B"/>
    <w:rsid w:val="009E3579"/>
    <w:rsid w:val="00AE5B20"/>
    <w:rsid w:val="00B02D83"/>
    <w:rsid w:val="00B97AEF"/>
    <w:rsid w:val="00BD061C"/>
    <w:rsid w:val="00C415A5"/>
    <w:rsid w:val="00CE5447"/>
    <w:rsid w:val="00CE6B97"/>
    <w:rsid w:val="00F87352"/>
    <w:rsid w:val="00FA264B"/>
    <w:rsid w:val="00FE1A7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F2E"/>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customStyle="1" w:styleId="EMparagraph">
    <w:name w:val="EM paragraph"/>
    <w:basedOn w:val="Normal"/>
    <w:rsid w:val="00221988"/>
    <w:pPr>
      <w:widowControl w:val="0"/>
      <w:adjustRightInd w:val="0"/>
      <w:spacing w:before="0" w:after="240"/>
      <w:ind w:right="85"/>
    </w:pPr>
  </w:style>
  <w:style w:type="paragraph" w:styleId="ListParagraph">
    <w:name w:val="List Paragraph"/>
    <w:basedOn w:val="Normal"/>
    <w:uiPriority w:val="34"/>
    <w:qFormat/>
    <w:rsid w:val="00221988"/>
    <w:pPr>
      <w:ind w:left="720"/>
      <w:contextualSpacing/>
    </w:pPr>
  </w:style>
  <w:style w:type="character" w:styleId="CommentReference">
    <w:name w:val="annotation reference"/>
    <w:basedOn w:val="DefaultParagraphFont"/>
    <w:uiPriority w:val="99"/>
    <w:semiHidden/>
    <w:unhideWhenUsed/>
    <w:rsid w:val="005F76E3"/>
    <w:rPr>
      <w:sz w:val="16"/>
      <w:szCs w:val="16"/>
    </w:rPr>
  </w:style>
  <w:style w:type="paragraph" w:styleId="CommentText">
    <w:name w:val="annotation text"/>
    <w:basedOn w:val="Normal"/>
    <w:link w:val="CommentTextChar"/>
    <w:uiPriority w:val="99"/>
    <w:semiHidden/>
    <w:unhideWhenUsed/>
    <w:rsid w:val="005F76E3"/>
    <w:rPr>
      <w:sz w:val="20"/>
    </w:rPr>
  </w:style>
  <w:style w:type="character" w:customStyle="1" w:styleId="CommentTextChar">
    <w:name w:val="Comment Text Char"/>
    <w:basedOn w:val="DefaultParagraphFont"/>
    <w:link w:val="CommentText"/>
    <w:uiPriority w:val="99"/>
    <w:semiHidden/>
    <w:rsid w:val="005F76E3"/>
  </w:style>
  <w:style w:type="paragraph" w:styleId="CommentSubject">
    <w:name w:val="annotation subject"/>
    <w:basedOn w:val="CommentText"/>
    <w:next w:val="CommentText"/>
    <w:link w:val="CommentSubjectChar"/>
    <w:uiPriority w:val="99"/>
    <w:semiHidden/>
    <w:unhideWhenUsed/>
    <w:rsid w:val="005F76E3"/>
    <w:rPr>
      <w:b/>
      <w:bCs/>
    </w:rPr>
  </w:style>
  <w:style w:type="character" w:customStyle="1" w:styleId="CommentSubjectChar">
    <w:name w:val="Comment Subject Char"/>
    <w:basedOn w:val="CommentTextChar"/>
    <w:link w:val="CommentSubject"/>
    <w:uiPriority w:val="99"/>
    <w:semiHidden/>
    <w:rsid w:val="005F76E3"/>
    <w:rPr>
      <w:b/>
      <w:bCs/>
    </w:rPr>
  </w:style>
  <w:style w:type="character" w:customStyle="1" w:styleId="TitleChar">
    <w:name w:val="Title Char"/>
    <w:basedOn w:val="DefaultParagraphFont"/>
    <w:link w:val="Title"/>
    <w:rsid w:val="00B30E77"/>
    <w:rPr>
      <w:b/>
      <w:sz w:val="24"/>
    </w:rPr>
  </w:style>
  <w:style w:type="paragraph" w:styleId="ListBullet">
    <w:name w:val="List Bullet"/>
    <w:basedOn w:val="Normal"/>
    <w:uiPriority w:val="99"/>
    <w:unhideWhenUsed/>
    <w:rsid w:val="007025D4"/>
    <w:pPr>
      <w:numPr>
        <w:numId w:val="10"/>
      </w:numPr>
      <w:contextualSpacing/>
    </w:pPr>
  </w:style>
  <w:style w:type="paragraph" w:styleId="FootnoteText">
    <w:name w:val="footnote text"/>
    <w:basedOn w:val="Normal"/>
    <w:link w:val="FootnoteTextChar"/>
    <w:uiPriority w:val="99"/>
    <w:semiHidden/>
    <w:unhideWhenUsed/>
    <w:rsid w:val="00CF785C"/>
    <w:pPr>
      <w:spacing w:before="0" w:after="0"/>
    </w:pPr>
    <w:rPr>
      <w:sz w:val="20"/>
    </w:rPr>
  </w:style>
  <w:style w:type="character" w:customStyle="1" w:styleId="FootnoteTextChar">
    <w:name w:val="Footnote Text Char"/>
    <w:basedOn w:val="DefaultParagraphFont"/>
    <w:link w:val="FootnoteText"/>
    <w:uiPriority w:val="99"/>
    <w:semiHidden/>
    <w:rsid w:val="00CF785C"/>
  </w:style>
  <w:style w:type="character" w:styleId="FootnoteReference">
    <w:name w:val="footnote reference"/>
    <w:basedOn w:val="DefaultParagraphFont"/>
    <w:uiPriority w:val="99"/>
    <w:semiHidden/>
    <w:unhideWhenUsed/>
    <w:rsid w:val="00CF785C"/>
    <w:rPr>
      <w:vertAlign w:val="superscript"/>
    </w:rPr>
  </w:style>
  <w:style w:type="table" w:styleId="TableGrid">
    <w:name w:val="Table Grid"/>
    <w:basedOn w:val="TableNormal"/>
    <w:uiPriority w:val="59"/>
    <w:rsid w:val="00AC55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aliases w:val="a"/>
    <w:basedOn w:val="Normal"/>
    <w:rsid w:val="004B67B3"/>
    <w:pPr>
      <w:tabs>
        <w:tab w:val="right" w:pos="1531"/>
      </w:tabs>
      <w:spacing w:before="40" w:after="0"/>
      <w:ind w:left="1644" w:hanging="1644"/>
    </w:pPr>
    <w:rPr>
      <w:sz w:val="22"/>
    </w:rPr>
  </w:style>
  <w:style w:type="paragraph" w:customStyle="1" w:styleId="BodyText1">
    <w:name w:val="Body Text1"/>
    <w:basedOn w:val="Normal"/>
    <w:qFormat/>
    <w:rsid w:val="00A222E4"/>
    <w:pPr>
      <w:spacing w:before="0" w:after="200" w:line="260" w:lineRule="exact"/>
    </w:pPr>
    <w:rPr>
      <w:rFonts w:ascii="Cambria" w:hAnsi="Cambria"/>
      <w:sz w:val="22"/>
      <w:szCs w:val="24"/>
      <w:lang w:eastAsia="en-US"/>
    </w:rPr>
  </w:style>
  <w:style w:type="paragraph" w:customStyle="1" w:styleId="BodyText10">
    <w:name w:val="Body Text1"/>
    <w:basedOn w:val="Normal"/>
    <w:qFormat/>
    <w:rsid w:val="00FB0CC6"/>
    <w:pPr>
      <w:spacing w:before="0" w:after="200" w:line="260" w:lineRule="exact"/>
    </w:pPr>
    <w:rPr>
      <w:rFonts w:ascii="Cambria" w:hAnsi="Cambria"/>
      <w:sz w:val="22"/>
      <w:szCs w:val="24"/>
      <w:lang w:eastAsia="en-US"/>
    </w:rPr>
  </w:style>
  <w:style w:type="paragraph" w:styleId="Header">
    <w:name w:val="header"/>
    <w:basedOn w:val="Normal"/>
    <w:link w:val="HeaderChar"/>
    <w:uiPriority w:val="99"/>
    <w:semiHidden/>
    <w:unhideWhenUsed/>
    <w:rsid w:val="00B73864"/>
    <w:pPr>
      <w:tabs>
        <w:tab w:val="center" w:pos="4513"/>
        <w:tab w:val="right" w:pos="9026"/>
      </w:tabs>
      <w:spacing w:before="0" w:after="0"/>
    </w:pPr>
  </w:style>
  <w:style w:type="character" w:customStyle="1" w:styleId="HeaderChar">
    <w:name w:val="Header Char"/>
    <w:basedOn w:val="DefaultParagraphFont"/>
    <w:link w:val="Header"/>
    <w:uiPriority w:val="99"/>
    <w:semiHidden/>
    <w:rsid w:val="00B73864"/>
    <w:rPr>
      <w:sz w:val="24"/>
    </w:rPr>
  </w:style>
  <w:style w:type="paragraph" w:styleId="Footer">
    <w:name w:val="footer"/>
    <w:basedOn w:val="Normal"/>
    <w:link w:val="FooterChar"/>
    <w:uiPriority w:val="99"/>
    <w:semiHidden/>
    <w:unhideWhenUsed/>
    <w:rsid w:val="00B73864"/>
    <w:pPr>
      <w:tabs>
        <w:tab w:val="center" w:pos="4513"/>
        <w:tab w:val="right" w:pos="9026"/>
      </w:tabs>
      <w:spacing w:before="0" w:after="0"/>
    </w:pPr>
  </w:style>
  <w:style w:type="character" w:customStyle="1" w:styleId="FooterChar">
    <w:name w:val="Footer Char"/>
    <w:basedOn w:val="DefaultParagraphFont"/>
    <w:link w:val="Footer"/>
    <w:uiPriority w:val="99"/>
    <w:semiHidden/>
    <w:rsid w:val="00B7386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F2E"/>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customStyle="1" w:styleId="EMparagraph">
    <w:name w:val="EM paragraph"/>
    <w:basedOn w:val="Normal"/>
    <w:rsid w:val="00221988"/>
    <w:pPr>
      <w:widowControl w:val="0"/>
      <w:adjustRightInd w:val="0"/>
      <w:spacing w:before="0" w:after="240"/>
      <w:ind w:right="85"/>
    </w:pPr>
  </w:style>
  <w:style w:type="paragraph" w:styleId="ListParagraph">
    <w:name w:val="List Paragraph"/>
    <w:basedOn w:val="Normal"/>
    <w:uiPriority w:val="34"/>
    <w:qFormat/>
    <w:rsid w:val="00221988"/>
    <w:pPr>
      <w:ind w:left="720"/>
      <w:contextualSpacing/>
    </w:pPr>
  </w:style>
  <w:style w:type="character" w:styleId="CommentReference">
    <w:name w:val="annotation reference"/>
    <w:basedOn w:val="DefaultParagraphFont"/>
    <w:uiPriority w:val="99"/>
    <w:semiHidden/>
    <w:unhideWhenUsed/>
    <w:rsid w:val="005F76E3"/>
    <w:rPr>
      <w:sz w:val="16"/>
      <w:szCs w:val="16"/>
    </w:rPr>
  </w:style>
  <w:style w:type="paragraph" w:styleId="CommentText">
    <w:name w:val="annotation text"/>
    <w:basedOn w:val="Normal"/>
    <w:link w:val="CommentTextChar"/>
    <w:uiPriority w:val="99"/>
    <w:semiHidden/>
    <w:unhideWhenUsed/>
    <w:rsid w:val="005F76E3"/>
    <w:rPr>
      <w:sz w:val="20"/>
    </w:rPr>
  </w:style>
  <w:style w:type="character" w:customStyle="1" w:styleId="CommentTextChar">
    <w:name w:val="Comment Text Char"/>
    <w:basedOn w:val="DefaultParagraphFont"/>
    <w:link w:val="CommentText"/>
    <w:uiPriority w:val="99"/>
    <w:semiHidden/>
    <w:rsid w:val="005F76E3"/>
  </w:style>
  <w:style w:type="paragraph" w:styleId="CommentSubject">
    <w:name w:val="annotation subject"/>
    <w:basedOn w:val="CommentText"/>
    <w:next w:val="CommentText"/>
    <w:link w:val="CommentSubjectChar"/>
    <w:uiPriority w:val="99"/>
    <w:semiHidden/>
    <w:unhideWhenUsed/>
    <w:rsid w:val="005F76E3"/>
    <w:rPr>
      <w:b/>
      <w:bCs/>
    </w:rPr>
  </w:style>
  <w:style w:type="character" w:customStyle="1" w:styleId="CommentSubjectChar">
    <w:name w:val="Comment Subject Char"/>
    <w:basedOn w:val="CommentTextChar"/>
    <w:link w:val="CommentSubject"/>
    <w:uiPriority w:val="99"/>
    <w:semiHidden/>
    <w:rsid w:val="005F76E3"/>
    <w:rPr>
      <w:b/>
      <w:bCs/>
    </w:rPr>
  </w:style>
  <w:style w:type="character" w:customStyle="1" w:styleId="TitleChar">
    <w:name w:val="Title Char"/>
    <w:basedOn w:val="DefaultParagraphFont"/>
    <w:link w:val="Title"/>
    <w:rsid w:val="00B30E77"/>
    <w:rPr>
      <w:b/>
      <w:sz w:val="24"/>
    </w:rPr>
  </w:style>
  <w:style w:type="paragraph" w:styleId="ListBullet">
    <w:name w:val="List Bullet"/>
    <w:basedOn w:val="Normal"/>
    <w:uiPriority w:val="99"/>
    <w:unhideWhenUsed/>
    <w:rsid w:val="007025D4"/>
    <w:pPr>
      <w:numPr>
        <w:numId w:val="10"/>
      </w:numPr>
      <w:contextualSpacing/>
    </w:pPr>
  </w:style>
  <w:style w:type="paragraph" w:styleId="FootnoteText">
    <w:name w:val="footnote text"/>
    <w:basedOn w:val="Normal"/>
    <w:link w:val="FootnoteTextChar"/>
    <w:uiPriority w:val="99"/>
    <w:semiHidden/>
    <w:unhideWhenUsed/>
    <w:rsid w:val="00CF785C"/>
    <w:pPr>
      <w:spacing w:before="0" w:after="0"/>
    </w:pPr>
    <w:rPr>
      <w:sz w:val="20"/>
    </w:rPr>
  </w:style>
  <w:style w:type="character" w:customStyle="1" w:styleId="FootnoteTextChar">
    <w:name w:val="Footnote Text Char"/>
    <w:basedOn w:val="DefaultParagraphFont"/>
    <w:link w:val="FootnoteText"/>
    <w:uiPriority w:val="99"/>
    <w:semiHidden/>
    <w:rsid w:val="00CF785C"/>
  </w:style>
  <w:style w:type="character" w:styleId="FootnoteReference">
    <w:name w:val="footnote reference"/>
    <w:basedOn w:val="DefaultParagraphFont"/>
    <w:uiPriority w:val="99"/>
    <w:semiHidden/>
    <w:unhideWhenUsed/>
    <w:rsid w:val="00CF785C"/>
    <w:rPr>
      <w:vertAlign w:val="superscript"/>
    </w:rPr>
  </w:style>
  <w:style w:type="table" w:styleId="TableGrid">
    <w:name w:val="Table Grid"/>
    <w:basedOn w:val="TableNormal"/>
    <w:uiPriority w:val="59"/>
    <w:rsid w:val="00AC55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aliases w:val="a"/>
    <w:basedOn w:val="Normal"/>
    <w:rsid w:val="004B67B3"/>
    <w:pPr>
      <w:tabs>
        <w:tab w:val="right" w:pos="1531"/>
      </w:tabs>
      <w:spacing w:before="40" w:after="0"/>
      <w:ind w:left="1644" w:hanging="1644"/>
    </w:pPr>
    <w:rPr>
      <w:sz w:val="22"/>
    </w:rPr>
  </w:style>
  <w:style w:type="paragraph" w:customStyle="1" w:styleId="BodyText1">
    <w:name w:val="Body Text1"/>
    <w:basedOn w:val="Normal"/>
    <w:qFormat/>
    <w:rsid w:val="00A222E4"/>
    <w:pPr>
      <w:spacing w:before="0" w:after="200" w:line="260" w:lineRule="exact"/>
    </w:pPr>
    <w:rPr>
      <w:rFonts w:ascii="Cambria" w:hAnsi="Cambria"/>
      <w:sz w:val="22"/>
      <w:szCs w:val="24"/>
      <w:lang w:eastAsia="en-US"/>
    </w:rPr>
  </w:style>
  <w:style w:type="paragraph" w:customStyle="1" w:styleId="BodyText10">
    <w:name w:val="Body Text1"/>
    <w:basedOn w:val="Normal"/>
    <w:qFormat/>
    <w:rsid w:val="00FB0CC6"/>
    <w:pPr>
      <w:spacing w:before="0" w:after="200" w:line="260" w:lineRule="exact"/>
    </w:pPr>
    <w:rPr>
      <w:rFonts w:ascii="Cambria" w:hAnsi="Cambria"/>
      <w:sz w:val="22"/>
      <w:szCs w:val="24"/>
      <w:lang w:eastAsia="en-US"/>
    </w:rPr>
  </w:style>
  <w:style w:type="paragraph" w:styleId="Header">
    <w:name w:val="header"/>
    <w:basedOn w:val="Normal"/>
    <w:link w:val="HeaderChar"/>
    <w:uiPriority w:val="99"/>
    <w:semiHidden/>
    <w:unhideWhenUsed/>
    <w:rsid w:val="00B73864"/>
    <w:pPr>
      <w:tabs>
        <w:tab w:val="center" w:pos="4513"/>
        <w:tab w:val="right" w:pos="9026"/>
      </w:tabs>
      <w:spacing w:before="0" w:after="0"/>
    </w:pPr>
  </w:style>
  <w:style w:type="character" w:customStyle="1" w:styleId="HeaderChar">
    <w:name w:val="Header Char"/>
    <w:basedOn w:val="DefaultParagraphFont"/>
    <w:link w:val="Header"/>
    <w:uiPriority w:val="99"/>
    <w:semiHidden/>
    <w:rsid w:val="00B73864"/>
    <w:rPr>
      <w:sz w:val="24"/>
    </w:rPr>
  </w:style>
  <w:style w:type="paragraph" w:styleId="Footer">
    <w:name w:val="footer"/>
    <w:basedOn w:val="Normal"/>
    <w:link w:val="FooterChar"/>
    <w:uiPriority w:val="99"/>
    <w:semiHidden/>
    <w:unhideWhenUsed/>
    <w:rsid w:val="00B73864"/>
    <w:pPr>
      <w:tabs>
        <w:tab w:val="center" w:pos="4513"/>
        <w:tab w:val="right" w:pos="9026"/>
      </w:tabs>
      <w:spacing w:before="0" w:after="0"/>
    </w:pPr>
  </w:style>
  <w:style w:type="character" w:customStyle="1" w:styleId="FooterChar">
    <w:name w:val="Footer Char"/>
    <w:basedOn w:val="DefaultParagraphFont"/>
    <w:link w:val="Footer"/>
    <w:uiPriority w:val="99"/>
    <w:semiHidden/>
    <w:rsid w:val="00B73864"/>
    <w:rPr>
      <w:sz w:val="24"/>
    </w:rPr>
  </w:style>
</w:styles>
</file>

<file path=word/webSettings.xml><?xml version="1.0" encoding="utf-8"?>
<w:webSettings xmlns:r="http://schemas.openxmlformats.org/officeDocument/2006/relationships" xmlns:w="http://schemas.openxmlformats.org/wordprocessingml/2006/main">
  <w:divs>
    <w:div w:id="139731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Xco%20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E2EF946308BFC40AEE7C132C5597334" ma:contentTypeVersion="" ma:contentTypeDescription="PDMS Document Site Content Type" ma:contentTypeScope="" ma:versionID="01d4b1eaac9bf5fb48172f227acf5c04">
  <xsd:schema xmlns:xsd="http://www.w3.org/2001/XMLSchema" xmlns:xs="http://www.w3.org/2001/XMLSchema" xmlns:p="http://schemas.microsoft.com/office/2006/metadata/properties" xmlns:ns2="A84B7E8D-ABD1-46C2-AADE-A336D80B751B" targetNamespace="http://schemas.microsoft.com/office/2006/metadata/properties" ma:root="true" ma:fieldsID="32be52b78ad5176c91d54eff90bd5cfc" ns2:_="">
    <xsd:import namespace="A84B7E8D-ABD1-46C2-AADE-A336D80B751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B7E8D-ABD1-46C2-AADE-A336D80B751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84B7E8D-ABD1-46C2-AADE-A336D80B75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2FFD4-9A2C-407D-832D-F57EBF1F1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B7E8D-ABD1-46C2-AADE-A336D80B7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EC9033-3E77-43CB-8AA0-E65435C01CB7}">
  <ds:schemaRefs>
    <ds:schemaRef ds:uri="http://schemas.microsoft.com/office/2006/metadata/properties"/>
    <ds:schemaRef ds:uri="http://schemas.microsoft.com/office/infopath/2007/PartnerControls"/>
    <ds:schemaRef ds:uri="A84B7E8D-ABD1-46C2-AADE-A336D80B751B"/>
  </ds:schemaRefs>
</ds:datastoreItem>
</file>

<file path=customXml/itemProps3.xml><?xml version="1.0" encoding="utf-8"?>
<ds:datastoreItem xmlns:ds="http://schemas.openxmlformats.org/officeDocument/2006/customXml" ds:itemID="{F6EDBEFE-73E6-499D-9329-D3DD4A47A1D6}">
  <ds:schemaRefs>
    <ds:schemaRef ds:uri="http://schemas.microsoft.com/sharepoint/v3/contenttype/forms"/>
  </ds:schemaRefs>
</ds:datastoreItem>
</file>

<file path=customXml/itemProps4.xml><?xml version="1.0" encoding="utf-8"?>
<ds:datastoreItem xmlns:ds="http://schemas.openxmlformats.org/officeDocument/2006/customXml" ds:itemID="{56DCB1B5-A720-40A3-AA34-84357FD91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Xco Explanatory Statement</Template>
  <TotalTime>1</TotalTime>
  <Pages>1</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8893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Kiang, Tommy</dc:creator>
  <cp:lastModifiedBy>Mark Scott</cp:lastModifiedBy>
  <cp:revision>3</cp:revision>
  <cp:lastPrinted>2014-12-11T22:16:00Z</cp:lastPrinted>
  <dcterms:created xsi:type="dcterms:W3CDTF">2015-01-19T22:46:00Z</dcterms:created>
  <dcterms:modified xsi:type="dcterms:W3CDTF">2015-01-19T22:46:00Z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09 October 2014</vt:lpwstr>
  </property>
  <property fmtid="{D5CDD505-2E9C-101B-9397-08002B2CF9AE}" pid="4" name="ClearanceDueDate">
    <vt:lpwstr/>
  </property>
  <property fmtid="{D5CDD505-2E9C-101B-9397-08002B2CF9AE}" pid="5" name="ContentTypeId">
    <vt:lpwstr>0x010100E726210826AA43828690450C811EB923009CA11FFD1E014DF4B1FA162D0F6112980066B0B2729AF440B6A3FF26ADB1C4F66400DD9D8A9D2B7DC14F9FF0086E9F6BF179</vt:lpwstr>
  </property>
  <property fmtid="{D5CDD505-2E9C-101B-9397-08002B2CF9AE}" pid="6" name="Electorates">
    <vt:lpwstr> </vt:lpwstr>
  </property>
  <property fmtid="{D5CDD505-2E9C-101B-9397-08002B2CF9AE}" pid="7" name="FileNumber">
    <vt:lpwstr/>
  </property>
  <property fmtid="{D5CDD505-2E9C-101B-9397-08002B2CF9AE}" pid="8" name="GroupResponsible">
    <vt:lpwstr>Climate Change and Renewable Energy (CCARE)</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Helen McGregor</vt:lpwstr>
  </property>
  <property fmtid="{D5CDD505-2E9C-101B-9397-08002B2CF9AE}" pid="12" name="Ministers">
    <vt:lpwstr>Greg Hunt</vt:lpwstr>
  </property>
  <property fmtid="{D5CDD505-2E9C-101B-9397-08002B2CF9AE}" pid="13" name="PdrId">
    <vt:lpwstr>MS14-001914</vt:lpwstr>
  </property>
  <property fmtid="{D5CDD505-2E9C-101B-9397-08002B2CF9AE}" pid="14" name="Principal">
    <vt:lpwstr>Minister</vt:lpwstr>
  </property>
  <property fmtid="{D5CDD505-2E9C-101B-9397-08002B2CF9AE}" pid="15" name="ReasonForSensitivity">
    <vt:lpwstr/>
  </property>
  <property fmtid="{D5CDD505-2E9C-101B-9397-08002B2CF9AE}" pid="16" name="RegisteredDate">
    <vt:lpwstr>04 August 2014</vt:lpwstr>
  </property>
  <property fmtid="{D5CDD505-2E9C-101B-9397-08002B2CF9AE}" pid="17" name="RequestedAction">
    <vt:lpwstr>For Decision</vt:lpwstr>
  </property>
  <property fmtid="{D5CDD505-2E9C-101B-9397-08002B2CF9AE}" pid="18" name="ResponsibleMinister">
    <vt:lpwstr>Greg Hunt</vt:lpwstr>
  </property>
  <property fmtid="{D5CDD505-2E9C-101B-9397-08002B2CF9AE}" pid="19" name="SecurityClassification">
    <vt:lpwstr>For Official Use Only (FOUO)  </vt:lpwstr>
  </property>
  <property fmtid="{D5CDD505-2E9C-101B-9397-08002B2CF9AE}" pid="20" name="SignedDate">
    <vt:lpwstr/>
  </property>
  <property fmtid="{D5CDD505-2E9C-101B-9397-08002B2CF9AE}" pid="21" name="Subject">
    <vt:lpwstr>Ammendments to the RET Regulations</vt:lpwstr>
  </property>
  <property fmtid="{D5CDD505-2E9C-101B-9397-08002B2CF9AE}" pid="22" name="TaskSeqNo">
    <vt:lpwstr>1</vt:lpwstr>
  </property>
  <property fmtid="{D5CDD505-2E9C-101B-9397-08002B2CF9AE}" pid="23" name="TemplateSubType">
    <vt:lpwstr>Standard</vt:lpwstr>
  </property>
  <property fmtid="{D5CDD505-2E9C-101B-9397-08002B2CF9AE}" pid="24" name="TemplateType">
    <vt:lpwstr>Decision Submission</vt:lpwstr>
  </property>
  <property fmtid="{D5CDD505-2E9C-101B-9397-08002B2CF9AE}" pid="25" name="TrustedGroups">
    <vt:lpwstr>Parliamentary Coordinator MS, DLO, Ministerial Staff - Coalition 2013, Business Administrator, Limited Distribution MS</vt:lpwstr>
  </property>
  <property fmtid="{D5CDD505-2E9C-101B-9397-08002B2CF9AE}" pid="26" name="_AdHocReviewCycleID">
    <vt:i4>-457672301</vt:i4>
  </property>
  <property fmtid="{D5CDD505-2E9C-101B-9397-08002B2CF9AE}" pid="27" name="_AuthorEmail">
    <vt:lpwstr>Tommy.Kiang@TREASURY.GOV.AU</vt:lpwstr>
  </property>
  <property fmtid="{D5CDD505-2E9C-101B-9397-08002B2CF9AE}" pid="28" name="_AuthorEmailDisplayName">
    <vt:lpwstr>Kiang, Tommy</vt:lpwstr>
  </property>
  <property fmtid="{D5CDD505-2E9C-101B-9397-08002B2CF9AE}" pid="29" name="_dlc_DocIdItemGuid">
    <vt:lpwstr>8de186f9-cbec-4100-a06c-5656481bb452</vt:lpwstr>
  </property>
  <property fmtid="{D5CDD505-2E9C-101B-9397-08002B2CF9AE}" pid="30" name="_EmailSubject">
    <vt:lpwstr>Corporations Laws Amendment (2014 Measures No. 2) Regulation 2014 [SEC=UNCLASSIFIED]</vt:lpwstr>
  </property>
  <property fmtid="{D5CDD505-2E9C-101B-9397-08002B2CF9AE}" pid="31" name="_NewReviewCycle">
    <vt:lpwstr/>
  </property>
  <property fmtid="{D5CDD505-2E9C-101B-9397-08002B2CF9AE}" pid="32" name="_PreviousAdHocReviewCycleID">
    <vt:i4>-730275672</vt:i4>
  </property>
  <property fmtid="{D5CDD505-2E9C-101B-9397-08002B2CF9AE}" pid="33" name="_ReviewingToolsShownOnce">
    <vt:lpwstr/>
  </property>
</Properties>
</file>