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88" w:rsidRPr="003237DF" w:rsidRDefault="00993A97">
      <w:pPr>
        <w:pStyle w:val="Bodytextplain"/>
      </w:pPr>
      <w:bookmarkStart w:id="0" w:name="_GoBack"/>
      <w:bookmarkEnd w:id="0"/>
      <w:r>
        <w:rPr>
          <w:noProof/>
          <w:lang w:val="en-US" w:eastAsia="en-US"/>
        </w:rPr>
        <w:pict>
          <v:group id="_x0000_s1298" editas="canvas" style="position:absolute;left:0;text-align:left;margin-left:0;margin-top:13.65pt;width:457.35pt;height:102.05pt;z-index:251657728"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9" type="#_x0000_t75" style="position:absolute;left:1418;top:4724;width:9147;height:2041" o:preferrelative="f">
              <v:fill o:detectmouseclick="t"/>
              <v:path o:extrusionok="t" o:connecttype="none"/>
              <o:lock v:ext="edit" text="t"/>
            </v:shape>
            <v:shape id="_x0000_s1300" type="#_x0000_t75" style="position:absolute;left:1418;top:4724;width:2010;height:1470">
              <v:imagedata r:id="rId9" o:title=""/>
            </v:shape>
            <v:shape id="_x0000_s1301" type="#_x0000_t75" style="position:absolute;left:5870;top:4724;width:4695;height:2041">
              <v:imagedata r:id="rId10" o:title="Identity 1 (Lttrhd size)"/>
            </v:shape>
            <w10:wrap type="topAndBottom"/>
            <w10:anchorlock/>
          </v:group>
          <o:OLEObject Type="Embed" ProgID="Word.Picture.8" ShapeID="_x0000_s1300" DrawAspect="Content" ObjectID="_1475927678" r:id="rId11"/>
        </w:pict>
      </w:r>
    </w:p>
    <w:p w:rsidR="007C2288" w:rsidRPr="003237DF" w:rsidRDefault="007C2288">
      <w:pPr>
        <w:pStyle w:val="DescriptorRG"/>
        <w:shd w:val="clear" w:color="auto" w:fill="auto"/>
        <w:rPr>
          <w:b/>
          <w:color w:val="117DC7"/>
        </w:rPr>
      </w:pPr>
      <w:bookmarkStart w:id="1" w:name="_Ref152644852"/>
      <w:bookmarkEnd w:id="1"/>
      <w:r w:rsidRPr="003237DF">
        <w:rPr>
          <w:b/>
          <w:color w:val="117DC7"/>
        </w:rPr>
        <w:t>Regulation Impact Statement</w:t>
      </w:r>
    </w:p>
    <w:p w:rsidR="007C2288" w:rsidRPr="003237DF" w:rsidRDefault="006178BB">
      <w:pPr>
        <w:pStyle w:val="Bodytextplain"/>
        <w:rPr>
          <w:rFonts w:ascii="Arial" w:hAnsi="Arial" w:cs="Arial"/>
          <w:b/>
          <w:sz w:val="48"/>
          <w:szCs w:val="48"/>
        </w:rPr>
      </w:pPr>
      <w:r w:rsidRPr="003237DF">
        <w:rPr>
          <w:rFonts w:ascii="Arial" w:hAnsi="Arial" w:cs="Arial"/>
          <w:b/>
          <w:sz w:val="48"/>
          <w:szCs w:val="48"/>
        </w:rPr>
        <w:t>Employee incentive schemes</w:t>
      </w:r>
    </w:p>
    <w:p w:rsidR="00F31CD1" w:rsidRPr="003237DF" w:rsidRDefault="00F31CD1">
      <w:pPr>
        <w:pStyle w:val="Bodytextplain"/>
      </w:pPr>
    </w:p>
    <w:p w:rsidR="008B358A" w:rsidRPr="003237DF" w:rsidRDefault="008B358A">
      <w:pPr>
        <w:pStyle w:val="Bodytextplain"/>
      </w:pPr>
    </w:p>
    <w:p w:rsidR="007C2288" w:rsidRPr="003237DF" w:rsidRDefault="008A783E">
      <w:pPr>
        <w:pStyle w:val="Bodytextplain"/>
        <w:rPr>
          <w:rFonts w:ascii="Arial" w:hAnsi="Arial" w:cs="Arial"/>
        </w:rPr>
      </w:pPr>
      <w:r w:rsidRPr="003237DF">
        <w:rPr>
          <w:rFonts w:ascii="Arial" w:hAnsi="Arial" w:cs="Arial"/>
        </w:rPr>
        <w:fldChar w:fldCharType="begin"/>
      </w:r>
      <w:r w:rsidRPr="003237DF">
        <w:rPr>
          <w:rFonts w:ascii="Arial" w:hAnsi="Arial" w:cs="Arial"/>
        </w:rPr>
        <w:instrText xml:space="preserve"> DOCPROPERTY  "Issue date"  \* MERGEFORMAT </w:instrText>
      </w:r>
      <w:r w:rsidRPr="003237DF">
        <w:rPr>
          <w:rFonts w:ascii="Arial" w:hAnsi="Arial" w:cs="Arial"/>
        </w:rPr>
        <w:fldChar w:fldCharType="separate"/>
      </w:r>
      <w:r w:rsidRPr="003237DF">
        <w:rPr>
          <w:rFonts w:ascii="Arial" w:hAnsi="Arial" w:cs="Arial"/>
        </w:rPr>
        <w:t>October 2014</w:t>
      </w:r>
      <w:r w:rsidRPr="003237DF">
        <w:rPr>
          <w:rFonts w:ascii="Arial" w:hAnsi="Arial" w:cs="Arial"/>
        </w:rPr>
        <w:fldChar w:fldCharType="end"/>
      </w:r>
      <w:r w:rsidR="006178BB" w:rsidRPr="003237DF">
        <w:rPr>
          <w:rFonts w:ascii="Arial" w:hAnsi="Arial" w:cs="Arial"/>
        </w:rPr>
        <w:t xml:space="preserve"> </w:t>
      </w:r>
    </w:p>
    <w:p w:rsidR="007C2288" w:rsidRPr="003237DF" w:rsidRDefault="007C2288">
      <w:pPr>
        <w:pStyle w:val="Bodytextplain"/>
      </w:pPr>
    </w:p>
    <w:p w:rsidR="007C2288" w:rsidRPr="003237DF" w:rsidRDefault="007C2288">
      <w:pPr>
        <w:pStyle w:val="Bodytextplain"/>
      </w:pPr>
    </w:p>
    <w:p w:rsidR="007C2288" w:rsidRPr="003237DF" w:rsidRDefault="007C2288">
      <w:pPr>
        <w:pStyle w:val="Frontheading"/>
      </w:pPr>
      <w:r w:rsidRPr="003237DF">
        <w:t xml:space="preserve">About this </w:t>
      </w:r>
      <w:r w:rsidR="00AA36F8" w:rsidRPr="003237DF">
        <w:t>Regulation Impact Statement</w:t>
      </w:r>
    </w:p>
    <w:p w:rsidR="007C2288" w:rsidRPr="003237DF" w:rsidRDefault="00AA36F8">
      <w:pPr>
        <w:pStyle w:val="Fronttext"/>
      </w:pPr>
      <w:r w:rsidRPr="003237DF">
        <w:t>This Regulation Impact Statement (RIS) addresses ASIC</w:t>
      </w:r>
      <w:r w:rsidR="00946724" w:rsidRPr="003237DF">
        <w:t>’</w:t>
      </w:r>
      <w:r w:rsidRPr="003237DF">
        <w:t xml:space="preserve">s proposals </w:t>
      </w:r>
      <w:r w:rsidR="00E251D0" w:rsidRPr="003237DF">
        <w:t xml:space="preserve">to </w:t>
      </w:r>
      <w:r w:rsidR="00E251D0" w:rsidRPr="003237DF">
        <w:rPr>
          <w:lang w:val="en"/>
        </w:rPr>
        <w:t>make it easier for both listed and unlisted employers to offer</w:t>
      </w:r>
      <w:r w:rsidR="00F70F84" w:rsidRPr="003237DF">
        <w:rPr>
          <w:lang w:val="en"/>
        </w:rPr>
        <w:t xml:space="preserve"> financial products </w:t>
      </w:r>
      <w:r w:rsidR="00E251D0" w:rsidRPr="003237DF">
        <w:rPr>
          <w:lang w:val="en"/>
        </w:rPr>
        <w:t>to their employees</w:t>
      </w:r>
      <w:r w:rsidR="00F70F84" w:rsidRPr="003237DF">
        <w:rPr>
          <w:lang w:val="en"/>
        </w:rPr>
        <w:t xml:space="preserve"> </w:t>
      </w:r>
      <w:r w:rsidR="0039391D" w:rsidRPr="003237DF">
        <w:rPr>
          <w:lang w:val="en"/>
        </w:rPr>
        <w:t xml:space="preserve">under </w:t>
      </w:r>
      <w:r w:rsidR="00F70F84" w:rsidRPr="003237DF">
        <w:rPr>
          <w:lang w:val="en"/>
        </w:rPr>
        <w:t>employee incentive schemes</w:t>
      </w:r>
      <w:r w:rsidR="00E251D0" w:rsidRPr="003237DF">
        <w:rPr>
          <w:lang w:val="en"/>
        </w:rPr>
        <w:t xml:space="preserve">, while still ensuring that there is adequate protection for </w:t>
      </w:r>
      <w:r w:rsidR="00F70F84" w:rsidRPr="003237DF">
        <w:rPr>
          <w:lang w:val="en"/>
        </w:rPr>
        <w:t xml:space="preserve">employees investing in financial products through </w:t>
      </w:r>
      <w:r w:rsidR="00E251D0" w:rsidRPr="003237DF">
        <w:rPr>
          <w:lang w:val="en"/>
        </w:rPr>
        <w:t>these schemes</w:t>
      </w:r>
      <w:r w:rsidR="00FF6738" w:rsidRPr="003237DF">
        <w:t>.</w:t>
      </w:r>
      <w:r w:rsidR="007C2288" w:rsidRPr="003237DF">
        <w:t xml:space="preserve"> </w:t>
      </w:r>
    </w:p>
    <w:p w:rsidR="007C2288" w:rsidRPr="003237DF" w:rsidRDefault="007C2288">
      <w:pPr>
        <w:pStyle w:val="Bodytextplain"/>
      </w:pPr>
    </w:p>
    <w:p w:rsidR="007C2288" w:rsidRPr="003237DF" w:rsidRDefault="007C2288">
      <w:pPr>
        <w:pStyle w:val="Bodytextplain"/>
      </w:pPr>
    </w:p>
    <w:p w:rsidR="007C2288" w:rsidRPr="003237DF" w:rsidRDefault="007C2288" w:rsidP="007C2288">
      <w:pPr>
        <w:pStyle w:val="Frontheading"/>
        <w:ind w:left="0"/>
        <w:rPr>
          <w:sz w:val="36"/>
        </w:rPr>
      </w:pPr>
      <w:r w:rsidRPr="003237DF">
        <w:br w:type="page"/>
      </w:r>
      <w:bookmarkStart w:id="2" w:name="_Toc227744295"/>
      <w:r w:rsidRPr="003237DF">
        <w:rPr>
          <w:sz w:val="36"/>
        </w:rPr>
        <w:lastRenderedPageBreak/>
        <w:t>What this Regulation Impact Statement is about</w:t>
      </w:r>
      <w:bookmarkEnd w:id="2"/>
    </w:p>
    <w:p w:rsidR="007C2288" w:rsidRPr="003237DF" w:rsidRDefault="007C2288" w:rsidP="00196C49">
      <w:pPr>
        <w:pStyle w:val="BodyText"/>
      </w:pPr>
      <w:r w:rsidRPr="003237DF">
        <w:t>This Regulation Impact Statement</w:t>
      </w:r>
      <w:r w:rsidR="00196C49" w:rsidRPr="003237DF">
        <w:t xml:space="preserve"> </w:t>
      </w:r>
      <w:r w:rsidR="00AA36F8" w:rsidRPr="003237DF">
        <w:t>(RIS) addresses ASIC</w:t>
      </w:r>
      <w:r w:rsidR="00946724" w:rsidRPr="003237DF">
        <w:t>’</w:t>
      </w:r>
      <w:r w:rsidR="00AA36F8" w:rsidRPr="003237DF">
        <w:t xml:space="preserve">s proposals </w:t>
      </w:r>
      <w:r w:rsidR="00211427" w:rsidRPr="003237DF">
        <w:t xml:space="preserve">to review and update Regulatory Guide 49 </w:t>
      </w:r>
      <w:r w:rsidR="00211427" w:rsidRPr="003237DF">
        <w:rPr>
          <w:i/>
        </w:rPr>
        <w:t>Employee share schemes</w:t>
      </w:r>
      <w:r w:rsidR="00211427" w:rsidRPr="003237DF">
        <w:t xml:space="preserve"> (RG 49)</w:t>
      </w:r>
      <w:r w:rsidR="00FF6738" w:rsidRPr="003237DF">
        <w:t>.</w:t>
      </w:r>
      <w:r w:rsidR="00211427" w:rsidRPr="003237DF">
        <w:t xml:space="preserve"> RG 49 sets out our policy on relief from the disclosure and licensing provisions of the </w:t>
      </w:r>
      <w:r w:rsidR="00211427" w:rsidRPr="003237DF">
        <w:rPr>
          <w:i/>
        </w:rPr>
        <w:t>Corporations Act 2001</w:t>
      </w:r>
      <w:r w:rsidR="00211427" w:rsidRPr="003237DF">
        <w:t xml:space="preserve"> </w:t>
      </w:r>
      <w:r w:rsidR="003F4ABA" w:rsidRPr="003237DF">
        <w:t xml:space="preserve">(Corporations Act) </w:t>
      </w:r>
      <w:r w:rsidR="00211427" w:rsidRPr="003237DF">
        <w:t xml:space="preserve">that we give to employee share schemes. </w:t>
      </w:r>
    </w:p>
    <w:p w:rsidR="00196C49" w:rsidRPr="003237DF" w:rsidRDefault="00196C49" w:rsidP="00196C49">
      <w:pPr>
        <w:pStyle w:val="BodyText"/>
      </w:pPr>
      <w:r w:rsidRPr="003237DF">
        <w:t>In developing our final position, we have considered the regulatory and financial impact of our proposals. We are aiming to strike an appropriate balance between:</w:t>
      </w:r>
    </w:p>
    <w:p w:rsidR="00AA36F8" w:rsidRPr="003237DF" w:rsidRDefault="00AA36F8" w:rsidP="00AA36F8">
      <w:pPr>
        <w:pStyle w:val="subparaa"/>
        <w:numPr>
          <w:ilvl w:val="1"/>
          <w:numId w:val="12"/>
        </w:numPr>
      </w:pPr>
      <w:r w:rsidRPr="003237DF">
        <w:t xml:space="preserve">maintaining, facilitating and improving the performance of the financial system and entities in it; </w:t>
      </w:r>
    </w:p>
    <w:p w:rsidR="00AA36F8" w:rsidRPr="003237DF" w:rsidRDefault="00AA36F8" w:rsidP="00AA36F8">
      <w:pPr>
        <w:pStyle w:val="subparaa"/>
        <w:numPr>
          <w:ilvl w:val="1"/>
          <w:numId w:val="12"/>
        </w:numPr>
      </w:pPr>
      <w:r w:rsidRPr="003237DF">
        <w:t xml:space="preserve">promoting confident and informed participation by investors and consumers in the financial system; and </w:t>
      </w:r>
    </w:p>
    <w:p w:rsidR="00AA36F8" w:rsidRPr="003237DF" w:rsidRDefault="00AA36F8" w:rsidP="00AA36F8">
      <w:pPr>
        <w:pStyle w:val="subparaa"/>
        <w:numPr>
          <w:ilvl w:val="1"/>
          <w:numId w:val="12"/>
        </w:numPr>
      </w:pPr>
      <w:r w:rsidRPr="003237DF">
        <w:t>administering the law effectively and with minimal procedural requirements.</w:t>
      </w:r>
      <w:r w:rsidR="00946724" w:rsidRPr="003237DF">
        <w:t xml:space="preserve"> </w:t>
      </w:r>
      <w:r w:rsidR="00D22B56" w:rsidRPr="003237DF">
        <w:t xml:space="preserve"> </w:t>
      </w:r>
    </w:p>
    <w:p w:rsidR="00196C49" w:rsidRPr="003237DF" w:rsidRDefault="00196C49" w:rsidP="00196C49">
      <w:pPr>
        <w:pStyle w:val="BodyText"/>
      </w:pPr>
      <w:r w:rsidRPr="003237DF">
        <w:t>This RIS sets out our assessment of the regulatory and financial impacts of our proposed policy and our achievement of this balance. It deals with:</w:t>
      </w:r>
    </w:p>
    <w:p w:rsidR="00196C49" w:rsidRPr="003237DF" w:rsidRDefault="00196C49" w:rsidP="00196C49">
      <w:pPr>
        <w:pStyle w:val="ListBullet"/>
      </w:pPr>
      <w:r w:rsidRPr="003237DF">
        <w:t>the likely compliance costs;</w:t>
      </w:r>
    </w:p>
    <w:p w:rsidR="00196C49" w:rsidRPr="003237DF" w:rsidRDefault="00196C49" w:rsidP="00196C49">
      <w:pPr>
        <w:pStyle w:val="ListBullet"/>
      </w:pPr>
      <w:r w:rsidRPr="003237DF">
        <w:t>the likely effect on competition; and</w:t>
      </w:r>
    </w:p>
    <w:p w:rsidR="00196C49" w:rsidRPr="003237DF" w:rsidRDefault="00196C49" w:rsidP="00196C49">
      <w:pPr>
        <w:pStyle w:val="ListBullet"/>
      </w:pPr>
      <w:r w:rsidRPr="003237DF">
        <w:t>other impacts, costs and benefits.</w:t>
      </w:r>
    </w:p>
    <w:p w:rsidR="00AC5C87" w:rsidRPr="003237DF" w:rsidRDefault="00AC5C87" w:rsidP="00196C49">
      <w:pPr>
        <w:pStyle w:val="BodyText"/>
        <w:numPr>
          <w:ilvl w:val="0"/>
          <w:numId w:val="0"/>
        </w:numPr>
      </w:pPr>
    </w:p>
    <w:p w:rsidR="007C2288" w:rsidRPr="003237DF" w:rsidRDefault="007C2288">
      <w:pPr>
        <w:pStyle w:val="Fronttext"/>
        <w:rPr>
          <w:lang w:val="en-US"/>
        </w:rPr>
      </w:pPr>
    </w:p>
    <w:p w:rsidR="007C2288" w:rsidRPr="003237DF" w:rsidRDefault="007C2288">
      <w:pPr>
        <w:pStyle w:val="Bodytextplain"/>
        <w:pageBreakBefore/>
        <w:spacing w:after="200"/>
        <w:ind w:left="0"/>
        <w:rPr>
          <w:rFonts w:ascii="Arial" w:hAnsi="Arial" w:cs="Arial"/>
          <w:b/>
          <w:sz w:val="36"/>
          <w:szCs w:val="36"/>
        </w:rPr>
      </w:pPr>
      <w:r w:rsidRPr="003237DF">
        <w:rPr>
          <w:rFonts w:ascii="Arial" w:hAnsi="Arial" w:cs="Arial"/>
          <w:b/>
          <w:sz w:val="36"/>
          <w:szCs w:val="36"/>
        </w:rPr>
        <w:lastRenderedPageBreak/>
        <w:t>Contents</w:t>
      </w:r>
    </w:p>
    <w:p w:rsidR="00CF0545" w:rsidRPr="003237DF" w:rsidRDefault="00D10721">
      <w:pPr>
        <w:pStyle w:val="TOC1"/>
        <w:rPr>
          <w:rFonts w:asciiTheme="minorHAnsi" w:eastAsiaTheme="minorEastAsia" w:hAnsiTheme="minorHAnsi" w:cstheme="minorBidi"/>
          <w:b w:val="0"/>
          <w:sz w:val="22"/>
          <w:szCs w:val="22"/>
        </w:rPr>
      </w:pPr>
      <w:r w:rsidRPr="003237DF">
        <w:fldChar w:fldCharType="begin"/>
      </w:r>
      <w:r w:rsidRPr="003237DF">
        <w:instrText xml:space="preserve"> TOC \o "1-2" \h \z \t "Heading 1,1,Heading 6,1" </w:instrText>
      </w:r>
      <w:r w:rsidRPr="003237DF">
        <w:fldChar w:fldCharType="separate"/>
      </w:r>
      <w:hyperlink w:anchor="_Toc398206719" w:history="1">
        <w:r w:rsidR="00CF0545" w:rsidRPr="003237DF">
          <w:rPr>
            <w:rStyle w:val="Hyperlink"/>
          </w:rPr>
          <w:t>A</w:t>
        </w:r>
        <w:r w:rsidR="00CF0545" w:rsidRPr="003237DF">
          <w:rPr>
            <w:rFonts w:asciiTheme="minorHAnsi" w:eastAsiaTheme="minorEastAsia" w:hAnsiTheme="minorHAnsi" w:cstheme="minorBidi"/>
            <w:b w:val="0"/>
            <w:sz w:val="22"/>
            <w:szCs w:val="22"/>
          </w:rPr>
          <w:tab/>
        </w:r>
        <w:r w:rsidR="00CF0545" w:rsidRPr="003237DF">
          <w:rPr>
            <w:rStyle w:val="Hyperlink"/>
          </w:rPr>
          <w:t>Executive summary</w:t>
        </w:r>
        <w:r w:rsidR="00CF0545" w:rsidRPr="003237DF">
          <w:rPr>
            <w:webHidden/>
          </w:rPr>
          <w:tab/>
        </w:r>
        <w:r w:rsidR="00CF0545" w:rsidRPr="003237DF">
          <w:rPr>
            <w:webHidden/>
          </w:rPr>
          <w:fldChar w:fldCharType="begin"/>
        </w:r>
        <w:r w:rsidR="00CF0545" w:rsidRPr="003237DF">
          <w:rPr>
            <w:webHidden/>
          </w:rPr>
          <w:instrText xml:space="preserve"> PAGEREF _Toc398206719 \h </w:instrText>
        </w:r>
        <w:r w:rsidR="00CF0545" w:rsidRPr="003237DF">
          <w:rPr>
            <w:webHidden/>
          </w:rPr>
        </w:r>
        <w:r w:rsidR="00CF0545" w:rsidRPr="003237DF">
          <w:rPr>
            <w:webHidden/>
          </w:rPr>
          <w:fldChar w:fldCharType="separate"/>
        </w:r>
        <w:r w:rsidR="00EC75CF" w:rsidRPr="003237DF">
          <w:rPr>
            <w:webHidden/>
          </w:rPr>
          <w:t>4</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0" w:history="1">
        <w:r w:rsidR="00CF0545" w:rsidRPr="003237DF">
          <w:rPr>
            <w:rStyle w:val="Hyperlink"/>
          </w:rPr>
          <w:t>What is the problem ASIC is trying to solve?</w:t>
        </w:r>
        <w:r w:rsidR="00CF0545" w:rsidRPr="003237DF">
          <w:rPr>
            <w:webHidden/>
          </w:rPr>
          <w:tab/>
        </w:r>
        <w:r w:rsidR="00CF0545" w:rsidRPr="003237DF">
          <w:rPr>
            <w:webHidden/>
          </w:rPr>
          <w:fldChar w:fldCharType="begin"/>
        </w:r>
        <w:r w:rsidR="00CF0545" w:rsidRPr="003237DF">
          <w:rPr>
            <w:webHidden/>
          </w:rPr>
          <w:instrText xml:space="preserve"> PAGEREF _Toc398206720 \h </w:instrText>
        </w:r>
        <w:r w:rsidR="00CF0545" w:rsidRPr="003237DF">
          <w:rPr>
            <w:webHidden/>
          </w:rPr>
        </w:r>
        <w:r w:rsidR="00CF0545" w:rsidRPr="003237DF">
          <w:rPr>
            <w:webHidden/>
          </w:rPr>
          <w:fldChar w:fldCharType="separate"/>
        </w:r>
        <w:r w:rsidR="00EC75CF" w:rsidRPr="003237DF">
          <w:rPr>
            <w:webHidden/>
          </w:rPr>
          <w:t>4</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1" w:history="1">
        <w:r w:rsidR="00CF0545" w:rsidRPr="003237DF">
          <w:rPr>
            <w:rStyle w:val="Hyperlink"/>
          </w:rPr>
          <w:t>Why is ASIC action needed?</w:t>
        </w:r>
        <w:r w:rsidR="00CF0545" w:rsidRPr="003237DF">
          <w:rPr>
            <w:webHidden/>
          </w:rPr>
          <w:tab/>
        </w:r>
        <w:r w:rsidR="00CF0545" w:rsidRPr="003237DF">
          <w:rPr>
            <w:webHidden/>
          </w:rPr>
          <w:fldChar w:fldCharType="begin"/>
        </w:r>
        <w:r w:rsidR="00CF0545" w:rsidRPr="003237DF">
          <w:rPr>
            <w:webHidden/>
          </w:rPr>
          <w:instrText xml:space="preserve"> PAGEREF _Toc398206721 \h </w:instrText>
        </w:r>
        <w:r w:rsidR="00CF0545" w:rsidRPr="003237DF">
          <w:rPr>
            <w:webHidden/>
          </w:rPr>
        </w:r>
        <w:r w:rsidR="00CF0545" w:rsidRPr="003237DF">
          <w:rPr>
            <w:webHidden/>
          </w:rPr>
          <w:fldChar w:fldCharType="separate"/>
        </w:r>
        <w:r w:rsidR="00EC75CF" w:rsidRPr="003237DF">
          <w:rPr>
            <w:webHidden/>
          </w:rPr>
          <w:t>4</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2" w:history="1">
        <w:r w:rsidR="00CF0545" w:rsidRPr="003237DF">
          <w:rPr>
            <w:rStyle w:val="Hyperlink"/>
          </w:rPr>
          <w:t>What policy options have we considered?</w:t>
        </w:r>
        <w:r w:rsidR="00CF0545" w:rsidRPr="003237DF">
          <w:rPr>
            <w:webHidden/>
          </w:rPr>
          <w:tab/>
        </w:r>
        <w:r w:rsidR="00CF0545" w:rsidRPr="003237DF">
          <w:rPr>
            <w:webHidden/>
          </w:rPr>
          <w:fldChar w:fldCharType="begin"/>
        </w:r>
        <w:r w:rsidR="00CF0545" w:rsidRPr="003237DF">
          <w:rPr>
            <w:webHidden/>
          </w:rPr>
          <w:instrText xml:space="preserve"> PAGEREF _Toc398206722 \h </w:instrText>
        </w:r>
        <w:r w:rsidR="00CF0545" w:rsidRPr="003237DF">
          <w:rPr>
            <w:webHidden/>
          </w:rPr>
        </w:r>
        <w:r w:rsidR="00CF0545" w:rsidRPr="003237DF">
          <w:rPr>
            <w:webHidden/>
          </w:rPr>
          <w:fldChar w:fldCharType="separate"/>
        </w:r>
        <w:r w:rsidR="00EC75CF" w:rsidRPr="003237DF">
          <w:rPr>
            <w:webHidden/>
          </w:rPr>
          <w:t>5</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3" w:history="1">
        <w:r w:rsidR="00CF0545" w:rsidRPr="003237DF">
          <w:rPr>
            <w:rStyle w:val="Hyperlink"/>
          </w:rPr>
          <w:t>What is the likely net benefit of each option?</w:t>
        </w:r>
        <w:r w:rsidR="00CF0545" w:rsidRPr="003237DF">
          <w:rPr>
            <w:webHidden/>
          </w:rPr>
          <w:tab/>
        </w:r>
        <w:r w:rsidR="00CF0545" w:rsidRPr="003237DF">
          <w:rPr>
            <w:webHidden/>
          </w:rPr>
          <w:fldChar w:fldCharType="begin"/>
        </w:r>
        <w:r w:rsidR="00CF0545" w:rsidRPr="003237DF">
          <w:rPr>
            <w:webHidden/>
          </w:rPr>
          <w:instrText xml:space="preserve"> PAGEREF _Toc398206723 \h </w:instrText>
        </w:r>
        <w:r w:rsidR="00CF0545" w:rsidRPr="003237DF">
          <w:rPr>
            <w:webHidden/>
          </w:rPr>
        </w:r>
        <w:r w:rsidR="00CF0545" w:rsidRPr="003237DF">
          <w:rPr>
            <w:webHidden/>
          </w:rPr>
          <w:fldChar w:fldCharType="separate"/>
        </w:r>
        <w:r w:rsidR="00EC75CF" w:rsidRPr="003237DF">
          <w:rPr>
            <w:webHidden/>
          </w:rPr>
          <w:t>5</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4" w:history="1">
        <w:r w:rsidR="00CF0545" w:rsidRPr="003237DF">
          <w:rPr>
            <w:rStyle w:val="Hyperlink"/>
          </w:rPr>
          <w:t>Who will you consult about these options and how will you consult them?</w:t>
        </w:r>
        <w:r w:rsidR="00CF0545" w:rsidRPr="003237DF">
          <w:rPr>
            <w:webHidden/>
          </w:rPr>
          <w:tab/>
        </w:r>
        <w:r w:rsidR="00CF0545" w:rsidRPr="003237DF">
          <w:rPr>
            <w:webHidden/>
          </w:rPr>
          <w:fldChar w:fldCharType="begin"/>
        </w:r>
        <w:r w:rsidR="00CF0545" w:rsidRPr="003237DF">
          <w:rPr>
            <w:webHidden/>
          </w:rPr>
          <w:instrText xml:space="preserve"> PAGEREF _Toc398206724 \h </w:instrText>
        </w:r>
        <w:r w:rsidR="00CF0545" w:rsidRPr="003237DF">
          <w:rPr>
            <w:webHidden/>
          </w:rPr>
        </w:r>
        <w:r w:rsidR="00CF0545" w:rsidRPr="003237DF">
          <w:rPr>
            <w:webHidden/>
          </w:rPr>
          <w:fldChar w:fldCharType="separate"/>
        </w:r>
        <w:r w:rsidR="00EC75CF" w:rsidRPr="003237DF">
          <w:rPr>
            <w:webHidden/>
          </w:rPr>
          <w:t>6</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5" w:history="1">
        <w:r w:rsidR="00CF0545" w:rsidRPr="003237DF">
          <w:rPr>
            <w:rStyle w:val="Hyperlink"/>
          </w:rPr>
          <w:t>What is the best option from those you have considered?</w:t>
        </w:r>
        <w:r w:rsidR="00CF0545" w:rsidRPr="003237DF">
          <w:rPr>
            <w:webHidden/>
          </w:rPr>
          <w:tab/>
        </w:r>
        <w:r w:rsidR="00CF0545" w:rsidRPr="003237DF">
          <w:rPr>
            <w:webHidden/>
          </w:rPr>
          <w:fldChar w:fldCharType="begin"/>
        </w:r>
        <w:r w:rsidR="00CF0545" w:rsidRPr="003237DF">
          <w:rPr>
            <w:webHidden/>
          </w:rPr>
          <w:instrText xml:space="preserve"> PAGEREF _Toc398206725 \h </w:instrText>
        </w:r>
        <w:r w:rsidR="00CF0545" w:rsidRPr="003237DF">
          <w:rPr>
            <w:webHidden/>
          </w:rPr>
        </w:r>
        <w:r w:rsidR="00CF0545" w:rsidRPr="003237DF">
          <w:rPr>
            <w:webHidden/>
          </w:rPr>
          <w:fldChar w:fldCharType="separate"/>
        </w:r>
        <w:r w:rsidR="00EC75CF" w:rsidRPr="003237DF">
          <w:rPr>
            <w:webHidden/>
          </w:rPr>
          <w:t>6</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6" w:history="1">
        <w:r w:rsidR="00CF0545" w:rsidRPr="003237DF">
          <w:rPr>
            <w:rStyle w:val="Hyperlink"/>
          </w:rPr>
          <w:t>How will you implement and evaluate your chosen option?</w:t>
        </w:r>
        <w:r w:rsidR="00CF0545" w:rsidRPr="003237DF">
          <w:rPr>
            <w:webHidden/>
          </w:rPr>
          <w:tab/>
        </w:r>
        <w:r w:rsidR="00CF0545" w:rsidRPr="003237DF">
          <w:rPr>
            <w:webHidden/>
          </w:rPr>
          <w:fldChar w:fldCharType="begin"/>
        </w:r>
        <w:r w:rsidR="00CF0545" w:rsidRPr="003237DF">
          <w:rPr>
            <w:webHidden/>
          </w:rPr>
          <w:instrText xml:space="preserve"> PAGEREF _Toc398206726 \h </w:instrText>
        </w:r>
        <w:r w:rsidR="00CF0545" w:rsidRPr="003237DF">
          <w:rPr>
            <w:webHidden/>
          </w:rPr>
        </w:r>
        <w:r w:rsidR="00CF0545" w:rsidRPr="003237DF">
          <w:rPr>
            <w:webHidden/>
          </w:rPr>
          <w:fldChar w:fldCharType="separate"/>
        </w:r>
        <w:r w:rsidR="00EC75CF" w:rsidRPr="003237DF">
          <w:rPr>
            <w:webHidden/>
          </w:rPr>
          <w:t>7</w:t>
        </w:r>
        <w:r w:rsidR="00CF0545" w:rsidRPr="003237DF">
          <w:rPr>
            <w:webHidden/>
          </w:rPr>
          <w:fldChar w:fldCharType="end"/>
        </w:r>
      </w:hyperlink>
    </w:p>
    <w:p w:rsidR="00CF0545" w:rsidRPr="003237DF" w:rsidRDefault="00993A97">
      <w:pPr>
        <w:pStyle w:val="TOC1"/>
        <w:rPr>
          <w:rFonts w:asciiTheme="minorHAnsi" w:eastAsiaTheme="minorEastAsia" w:hAnsiTheme="minorHAnsi" w:cstheme="minorBidi"/>
          <w:b w:val="0"/>
          <w:sz w:val="22"/>
          <w:szCs w:val="22"/>
        </w:rPr>
      </w:pPr>
      <w:hyperlink w:anchor="_Toc398206727" w:history="1">
        <w:r w:rsidR="00CF0545" w:rsidRPr="003237DF">
          <w:rPr>
            <w:rStyle w:val="Hyperlink"/>
          </w:rPr>
          <w:t>B</w:t>
        </w:r>
        <w:r w:rsidR="00CF0545" w:rsidRPr="003237DF">
          <w:rPr>
            <w:rFonts w:asciiTheme="minorHAnsi" w:eastAsiaTheme="minorEastAsia" w:hAnsiTheme="minorHAnsi" w:cstheme="minorBidi"/>
            <w:b w:val="0"/>
            <w:sz w:val="22"/>
            <w:szCs w:val="22"/>
          </w:rPr>
          <w:tab/>
        </w:r>
        <w:r w:rsidR="00CF0545" w:rsidRPr="003237DF">
          <w:rPr>
            <w:rStyle w:val="Hyperlink"/>
          </w:rPr>
          <w:t>Introduction</w:t>
        </w:r>
        <w:r w:rsidR="00CF0545" w:rsidRPr="003237DF">
          <w:rPr>
            <w:webHidden/>
          </w:rPr>
          <w:tab/>
        </w:r>
        <w:r w:rsidR="00CF0545" w:rsidRPr="003237DF">
          <w:rPr>
            <w:webHidden/>
          </w:rPr>
          <w:fldChar w:fldCharType="begin"/>
        </w:r>
        <w:r w:rsidR="00CF0545" w:rsidRPr="003237DF">
          <w:rPr>
            <w:webHidden/>
          </w:rPr>
          <w:instrText xml:space="preserve"> PAGEREF _Toc398206727 \h </w:instrText>
        </w:r>
        <w:r w:rsidR="00CF0545" w:rsidRPr="003237DF">
          <w:rPr>
            <w:webHidden/>
          </w:rPr>
        </w:r>
        <w:r w:rsidR="00CF0545" w:rsidRPr="003237DF">
          <w:rPr>
            <w:webHidden/>
          </w:rPr>
          <w:fldChar w:fldCharType="separate"/>
        </w:r>
        <w:r w:rsidR="00EC75CF" w:rsidRPr="003237DF">
          <w:rPr>
            <w:webHidden/>
          </w:rPr>
          <w:t>8</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8" w:history="1">
        <w:r w:rsidR="00CF0545" w:rsidRPr="003237DF">
          <w:rPr>
            <w:rStyle w:val="Hyperlink"/>
          </w:rPr>
          <w:t>Background</w:t>
        </w:r>
        <w:r w:rsidR="00CF0545" w:rsidRPr="003237DF">
          <w:rPr>
            <w:webHidden/>
          </w:rPr>
          <w:tab/>
        </w:r>
        <w:r w:rsidR="00CF0545" w:rsidRPr="003237DF">
          <w:rPr>
            <w:webHidden/>
          </w:rPr>
          <w:fldChar w:fldCharType="begin"/>
        </w:r>
        <w:r w:rsidR="00CF0545" w:rsidRPr="003237DF">
          <w:rPr>
            <w:webHidden/>
          </w:rPr>
          <w:instrText xml:space="preserve"> PAGEREF _Toc398206728 \h </w:instrText>
        </w:r>
        <w:r w:rsidR="00CF0545" w:rsidRPr="003237DF">
          <w:rPr>
            <w:webHidden/>
          </w:rPr>
        </w:r>
        <w:r w:rsidR="00CF0545" w:rsidRPr="003237DF">
          <w:rPr>
            <w:webHidden/>
          </w:rPr>
          <w:fldChar w:fldCharType="separate"/>
        </w:r>
        <w:r w:rsidR="00EC75CF" w:rsidRPr="003237DF">
          <w:rPr>
            <w:webHidden/>
          </w:rPr>
          <w:t>8</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29" w:history="1">
        <w:r w:rsidR="00CF0545" w:rsidRPr="003237DF">
          <w:rPr>
            <w:rStyle w:val="Hyperlink"/>
          </w:rPr>
          <w:t>Corporations Act obligations and current ASIC relief</w:t>
        </w:r>
        <w:r w:rsidR="00CF0545" w:rsidRPr="003237DF">
          <w:rPr>
            <w:webHidden/>
          </w:rPr>
          <w:tab/>
        </w:r>
        <w:r w:rsidR="00CF0545" w:rsidRPr="003237DF">
          <w:rPr>
            <w:webHidden/>
          </w:rPr>
          <w:fldChar w:fldCharType="begin"/>
        </w:r>
        <w:r w:rsidR="00CF0545" w:rsidRPr="003237DF">
          <w:rPr>
            <w:webHidden/>
          </w:rPr>
          <w:instrText xml:space="preserve"> PAGEREF _Toc398206729 \h </w:instrText>
        </w:r>
        <w:r w:rsidR="00CF0545" w:rsidRPr="003237DF">
          <w:rPr>
            <w:webHidden/>
          </w:rPr>
        </w:r>
        <w:r w:rsidR="00CF0545" w:rsidRPr="003237DF">
          <w:rPr>
            <w:webHidden/>
          </w:rPr>
          <w:fldChar w:fldCharType="separate"/>
        </w:r>
        <w:r w:rsidR="00EC75CF" w:rsidRPr="003237DF">
          <w:rPr>
            <w:webHidden/>
          </w:rPr>
          <w:t>10</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0" w:history="1">
        <w:r w:rsidR="00CF0545" w:rsidRPr="003237DF">
          <w:rPr>
            <w:rStyle w:val="Hyperlink"/>
          </w:rPr>
          <w:t>Assessing the problem</w:t>
        </w:r>
        <w:r w:rsidR="00CF0545" w:rsidRPr="003237DF">
          <w:rPr>
            <w:webHidden/>
          </w:rPr>
          <w:tab/>
        </w:r>
        <w:r w:rsidR="00CF0545" w:rsidRPr="003237DF">
          <w:rPr>
            <w:webHidden/>
          </w:rPr>
          <w:fldChar w:fldCharType="begin"/>
        </w:r>
        <w:r w:rsidR="00CF0545" w:rsidRPr="003237DF">
          <w:rPr>
            <w:webHidden/>
          </w:rPr>
          <w:instrText xml:space="preserve"> PAGEREF _Toc398206730 \h </w:instrText>
        </w:r>
        <w:r w:rsidR="00CF0545" w:rsidRPr="003237DF">
          <w:rPr>
            <w:webHidden/>
          </w:rPr>
        </w:r>
        <w:r w:rsidR="00CF0545" w:rsidRPr="003237DF">
          <w:rPr>
            <w:webHidden/>
          </w:rPr>
          <w:fldChar w:fldCharType="separate"/>
        </w:r>
        <w:r w:rsidR="00EC75CF" w:rsidRPr="003237DF">
          <w:rPr>
            <w:webHidden/>
          </w:rPr>
          <w:t>12</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1" w:history="1">
        <w:r w:rsidR="00CF0545" w:rsidRPr="003237DF">
          <w:rPr>
            <w:rStyle w:val="Hyperlink"/>
          </w:rPr>
          <w:t>ASIC</w:t>
        </w:r>
        <w:r w:rsidR="00946724" w:rsidRPr="003237DF">
          <w:rPr>
            <w:rStyle w:val="Hyperlink"/>
          </w:rPr>
          <w:t>’</w:t>
        </w:r>
        <w:r w:rsidR="00CF0545" w:rsidRPr="003237DF">
          <w:rPr>
            <w:rStyle w:val="Hyperlink"/>
          </w:rPr>
          <w:t>s objectives</w:t>
        </w:r>
        <w:r w:rsidR="00CF0545" w:rsidRPr="003237DF">
          <w:rPr>
            <w:webHidden/>
          </w:rPr>
          <w:tab/>
        </w:r>
        <w:r w:rsidR="00CF0545" w:rsidRPr="003237DF">
          <w:rPr>
            <w:webHidden/>
          </w:rPr>
          <w:fldChar w:fldCharType="begin"/>
        </w:r>
        <w:r w:rsidR="00CF0545" w:rsidRPr="003237DF">
          <w:rPr>
            <w:webHidden/>
          </w:rPr>
          <w:instrText xml:space="preserve"> PAGEREF _Toc398206731 \h </w:instrText>
        </w:r>
        <w:r w:rsidR="00CF0545" w:rsidRPr="003237DF">
          <w:rPr>
            <w:webHidden/>
          </w:rPr>
        </w:r>
        <w:r w:rsidR="00CF0545" w:rsidRPr="003237DF">
          <w:rPr>
            <w:webHidden/>
          </w:rPr>
          <w:fldChar w:fldCharType="separate"/>
        </w:r>
        <w:r w:rsidR="00EC75CF" w:rsidRPr="003237DF">
          <w:rPr>
            <w:webHidden/>
          </w:rPr>
          <w:t>15</w:t>
        </w:r>
        <w:r w:rsidR="00CF0545" w:rsidRPr="003237DF">
          <w:rPr>
            <w:webHidden/>
          </w:rPr>
          <w:fldChar w:fldCharType="end"/>
        </w:r>
      </w:hyperlink>
    </w:p>
    <w:p w:rsidR="00CF0545" w:rsidRPr="003237DF" w:rsidRDefault="00993A97">
      <w:pPr>
        <w:pStyle w:val="TOC1"/>
        <w:rPr>
          <w:rFonts w:asciiTheme="minorHAnsi" w:eastAsiaTheme="minorEastAsia" w:hAnsiTheme="minorHAnsi" w:cstheme="minorBidi"/>
          <w:b w:val="0"/>
          <w:sz w:val="22"/>
          <w:szCs w:val="22"/>
        </w:rPr>
      </w:pPr>
      <w:hyperlink w:anchor="_Toc398206732" w:history="1">
        <w:r w:rsidR="00CF0545" w:rsidRPr="003237DF">
          <w:rPr>
            <w:rStyle w:val="Hyperlink"/>
          </w:rPr>
          <w:t>C</w:t>
        </w:r>
        <w:r w:rsidR="00CF0545" w:rsidRPr="003237DF">
          <w:rPr>
            <w:rFonts w:asciiTheme="minorHAnsi" w:eastAsiaTheme="minorEastAsia" w:hAnsiTheme="minorHAnsi" w:cstheme="minorBidi"/>
            <w:b w:val="0"/>
            <w:sz w:val="22"/>
            <w:szCs w:val="22"/>
          </w:rPr>
          <w:tab/>
        </w:r>
        <w:r w:rsidR="00CF0545" w:rsidRPr="003237DF">
          <w:rPr>
            <w:rStyle w:val="Hyperlink"/>
          </w:rPr>
          <w:t>Options and impact analysis</w:t>
        </w:r>
        <w:r w:rsidR="00CF0545" w:rsidRPr="003237DF">
          <w:rPr>
            <w:webHidden/>
          </w:rPr>
          <w:tab/>
        </w:r>
        <w:r w:rsidR="00CF0545" w:rsidRPr="003237DF">
          <w:rPr>
            <w:webHidden/>
          </w:rPr>
          <w:fldChar w:fldCharType="begin"/>
        </w:r>
        <w:r w:rsidR="00CF0545" w:rsidRPr="003237DF">
          <w:rPr>
            <w:webHidden/>
          </w:rPr>
          <w:instrText xml:space="preserve"> PAGEREF _Toc398206732 \h </w:instrText>
        </w:r>
        <w:r w:rsidR="00CF0545" w:rsidRPr="003237DF">
          <w:rPr>
            <w:webHidden/>
          </w:rPr>
        </w:r>
        <w:r w:rsidR="00CF0545" w:rsidRPr="003237DF">
          <w:rPr>
            <w:webHidden/>
          </w:rPr>
          <w:fldChar w:fldCharType="separate"/>
        </w:r>
        <w:r w:rsidR="00EC75CF" w:rsidRPr="003237DF">
          <w:rPr>
            <w:webHidden/>
          </w:rPr>
          <w:t>16</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3" w:history="1">
        <w:r w:rsidR="00CF0545" w:rsidRPr="003237DF">
          <w:rPr>
            <w:rStyle w:val="Hyperlink"/>
          </w:rPr>
          <w:t>Options</w:t>
        </w:r>
        <w:r w:rsidR="00CF0545" w:rsidRPr="003237DF">
          <w:rPr>
            <w:webHidden/>
          </w:rPr>
          <w:tab/>
        </w:r>
        <w:r w:rsidR="00CF0545" w:rsidRPr="003237DF">
          <w:rPr>
            <w:webHidden/>
          </w:rPr>
          <w:fldChar w:fldCharType="begin"/>
        </w:r>
        <w:r w:rsidR="00CF0545" w:rsidRPr="003237DF">
          <w:rPr>
            <w:webHidden/>
          </w:rPr>
          <w:instrText xml:space="preserve"> PAGEREF _Toc398206733 \h </w:instrText>
        </w:r>
        <w:r w:rsidR="00CF0545" w:rsidRPr="003237DF">
          <w:rPr>
            <w:webHidden/>
          </w:rPr>
        </w:r>
        <w:r w:rsidR="00CF0545" w:rsidRPr="003237DF">
          <w:rPr>
            <w:webHidden/>
          </w:rPr>
          <w:fldChar w:fldCharType="separate"/>
        </w:r>
        <w:r w:rsidR="00EC75CF" w:rsidRPr="003237DF">
          <w:rPr>
            <w:webHidden/>
          </w:rPr>
          <w:t>16</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4" w:history="1">
        <w:r w:rsidR="00CF0545" w:rsidRPr="003237DF">
          <w:rPr>
            <w:rStyle w:val="Hyperlink"/>
          </w:rPr>
          <w:t>Option 1: Make substantive changes to the current guidance and relief (preferred option)</w:t>
        </w:r>
        <w:r w:rsidR="00CF0545" w:rsidRPr="003237DF">
          <w:rPr>
            <w:webHidden/>
          </w:rPr>
          <w:tab/>
        </w:r>
        <w:r w:rsidR="00CF0545" w:rsidRPr="003237DF">
          <w:rPr>
            <w:webHidden/>
          </w:rPr>
          <w:fldChar w:fldCharType="begin"/>
        </w:r>
        <w:r w:rsidR="00CF0545" w:rsidRPr="003237DF">
          <w:rPr>
            <w:webHidden/>
          </w:rPr>
          <w:instrText xml:space="preserve"> PAGEREF _Toc398206734 \h </w:instrText>
        </w:r>
        <w:r w:rsidR="00CF0545" w:rsidRPr="003237DF">
          <w:rPr>
            <w:webHidden/>
          </w:rPr>
        </w:r>
        <w:r w:rsidR="00CF0545" w:rsidRPr="003237DF">
          <w:rPr>
            <w:webHidden/>
          </w:rPr>
          <w:fldChar w:fldCharType="separate"/>
        </w:r>
        <w:r w:rsidR="00EC75CF" w:rsidRPr="003237DF">
          <w:rPr>
            <w:webHidden/>
          </w:rPr>
          <w:t>16</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5" w:history="1">
        <w:r w:rsidR="00CF0545" w:rsidRPr="003237DF">
          <w:rPr>
            <w:rStyle w:val="Hyperlink"/>
          </w:rPr>
          <w:t>Option 2: Making substantive changes to broaden the scope of relief without imposing conditions</w:t>
        </w:r>
        <w:r w:rsidR="00CF0545" w:rsidRPr="003237DF">
          <w:rPr>
            <w:webHidden/>
          </w:rPr>
          <w:tab/>
        </w:r>
        <w:r w:rsidR="00CF0545" w:rsidRPr="003237DF">
          <w:rPr>
            <w:webHidden/>
          </w:rPr>
          <w:fldChar w:fldCharType="begin"/>
        </w:r>
        <w:r w:rsidR="00CF0545" w:rsidRPr="003237DF">
          <w:rPr>
            <w:webHidden/>
          </w:rPr>
          <w:instrText xml:space="preserve"> PAGEREF _Toc398206735 \h </w:instrText>
        </w:r>
        <w:r w:rsidR="00CF0545" w:rsidRPr="003237DF">
          <w:rPr>
            <w:webHidden/>
          </w:rPr>
        </w:r>
        <w:r w:rsidR="00CF0545" w:rsidRPr="003237DF">
          <w:rPr>
            <w:webHidden/>
          </w:rPr>
          <w:fldChar w:fldCharType="separate"/>
        </w:r>
        <w:r w:rsidR="00EC75CF" w:rsidRPr="003237DF">
          <w:rPr>
            <w:webHidden/>
          </w:rPr>
          <w:t>26</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6" w:history="1">
        <w:r w:rsidR="00CF0545" w:rsidRPr="003237DF">
          <w:rPr>
            <w:rStyle w:val="Hyperlink"/>
          </w:rPr>
          <w:t>Option 3: Making changes of a minor or mechanical nature</w:t>
        </w:r>
        <w:r w:rsidR="00CF0545" w:rsidRPr="003237DF">
          <w:rPr>
            <w:webHidden/>
          </w:rPr>
          <w:tab/>
        </w:r>
        <w:r w:rsidR="00CF0545" w:rsidRPr="003237DF">
          <w:rPr>
            <w:webHidden/>
          </w:rPr>
          <w:fldChar w:fldCharType="begin"/>
        </w:r>
        <w:r w:rsidR="00CF0545" w:rsidRPr="003237DF">
          <w:rPr>
            <w:webHidden/>
          </w:rPr>
          <w:instrText xml:space="preserve"> PAGEREF _Toc398206736 \h </w:instrText>
        </w:r>
        <w:r w:rsidR="00CF0545" w:rsidRPr="003237DF">
          <w:rPr>
            <w:webHidden/>
          </w:rPr>
        </w:r>
        <w:r w:rsidR="00CF0545" w:rsidRPr="003237DF">
          <w:rPr>
            <w:webHidden/>
          </w:rPr>
          <w:fldChar w:fldCharType="separate"/>
        </w:r>
        <w:r w:rsidR="00EC75CF" w:rsidRPr="003237DF">
          <w:rPr>
            <w:webHidden/>
          </w:rPr>
          <w:t>28</w:t>
        </w:r>
        <w:r w:rsidR="00CF0545" w:rsidRPr="003237DF">
          <w:rPr>
            <w:webHidden/>
          </w:rPr>
          <w:fldChar w:fldCharType="end"/>
        </w:r>
      </w:hyperlink>
    </w:p>
    <w:p w:rsidR="00CF0545" w:rsidRPr="003237DF" w:rsidRDefault="00993A97">
      <w:pPr>
        <w:pStyle w:val="TOC1"/>
        <w:rPr>
          <w:rFonts w:asciiTheme="minorHAnsi" w:eastAsiaTheme="minorEastAsia" w:hAnsiTheme="minorHAnsi" w:cstheme="minorBidi"/>
          <w:b w:val="0"/>
          <w:sz w:val="22"/>
          <w:szCs w:val="22"/>
        </w:rPr>
      </w:pPr>
      <w:hyperlink w:anchor="_Toc398206737" w:history="1">
        <w:r w:rsidR="00CF0545" w:rsidRPr="003237DF">
          <w:rPr>
            <w:rStyle w:val="Hyperlink"/>
          </w:rPr>
          <w:t>D</w:t>
        </w:r>
        <w:r w:rsidR="00CF0545" w:rsidRPr="003237DF">
          <w:rPr>
            <w:rFonts w:asciiTheme="minorHAnsi" w:eastAsiaTheme="minorEastAsia" w:hAnsiTheme="minorHAnsi" w:cstheme="minorBidi"/>
            <w:b w:val="0"/>
            <w:sz w:val="22"/>
            <w:szCs w:val="22"/>
          </w:rPr>
          <w:tab/>
        </w:r>
        <w:r w:rsidR="00CF0545" w:rsidRPr="003237DF">
          <w:rPr>
            <w:rStyle w:val="Hyperlink"/>
          </w:rPr>
          <w:t>Consultation</w:t>
        </w:r>
        <w:r w:rsidR="00CF0545" w:rsidRPr="003237DF">
          <w:rPr>
            <w:webHidden/>
          </w:rPr>
          <w:tab/>
        </w:r>
        <w:r w:rsidR="00CF0545" w:rsidRPr="003237DF">
          <w:rPr>
            <w:webHidden/>
          </w:rPr>
          <w:fldChar w:fldCharType="begin"/>
        </w:r>
        <w:r w:rsidR="00CF0545" w:rsidRPr="003237DF">
          <w:rPr>
            <w:webHidden/>
          </w:rPr>
          <w:instrText xml:space="preserve"> PAGEREF _Toc398206737 \h </w:instrText>
        </w:r>
        <w:r w:rsidR="00CF0545" w:rsidRPr="003237DF">
          <w:rPr>
            <w:webHidden/>
          </w:rPr>
        </w:r>
        <w:r w:rsidR="00CF0545" w:rsidRPr="003237DF">
          <w:rPr>
            <w:webHidden/>
          </w:rPr>
          <w:fldChar w:fldCharType="separate"/>
        </w:r>
        <w:r w:rsidR="00EC75CF" w:rsidRPr="003237DF">
          <w:rPr>
            <w:webHidden/>
          </w:rPr>
          <w:t>29</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8" w:history="1">
        <w:r w:rsidR="00CF0545" w:rsidRPr="003237DF">
          <w:rPr>
            <w:rStyle w:val="Hyperlink"/>
          </w:rPr>
          <w:t xml:space="preserve">Consultation Paper 218 </w:t>
        </w:r>
        <w:r w:rsidR="00CF0545" w:rsidRPr="003237DF">
          <w:rPr>
            <w:rStyle w:val="Hyperlink"/>
            <w:i/>
          </w:rPr>
          <w:t>Employee incentive schemes</w:t>
        </w:r>
        <w:r w:rsidR="00CF0545" w:rsidRPr="003237DF">
          <w:rPr>
            <w:webHidden/>
          </w:rPr>
          <w:tab/>
        </w:r>
        <w:r w:rsidR="00CF0545" w:rsidRPr="003237DF">
          <w:rPr>
            <w:webHidden/>
          </w:rPr>
          <w:fldChar w:fldCharType="begin"/>
        </w:r>
        <w:r w:rsidR="00CF0545" w:rsidRPr="003237DF">
          <w:rPr>
            <w:webHidden/>
          </w:rPr>
          <w:instrText xml:space="preserve"> PAGEREF _Toc398206738 \h </w:instrText>
        </w:r>
        <w:r w:rsidR="00CF0545" w:rsidRPr="003237DF">
          <w:rPr>
            <w:webHidden/>
          </w:rPr>
        </w:r>
        <w:r w:rsidR="00CF0545" w:rsidRPr="003237DF">
          <w:rPr>
            <w:webHidden/>
          </w:rPr>
          <w:fldChar w:fldCharType="separate"/>
        </w:r>
        <w:r w:rsidR="00EC75CF" w:rsidRPr="003237DF">
          <w:rPr>
            <w:webHidden/>
          </w:rPr>
          <w:t>29</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39" w:history="1">
        <w:r w:rsidR="00CF0545" w:rsidRPr="003237DF">
          <w:rPr>
            <w:rStyle w:val="Hyperlink"/>
          </w:rPr>
          <w:t>Key changes made as a result of our CP 218 consultation</w:t>
        </w:r>
        <w:r w:rsidR="00CF0545" w:rsidRPr="003237DF">
          <w:rPr>
            <w:webHidden/>
          </w:rPr>
          <w:tab/>
        </w:r>
        <w:r w:rsidR="00CF0545" w:rsidRPr="003237DF">
          <w:rPr>
            <w:webHidden/>
          </w:rPr>
          <w:fldChar w:fldCharType="begin"/>
        </w:r>
        <w:r w:rsidR="00CF0545" w:rsidRPr="003237DF">
          <w:rPr>
            <w:webHidden/>
          </w:rPr>
          <w:instrText xml:space="preserve"> PAGEREF _Toc398206739 \h </w:instrText>
        </w:r>
        <w:r w:rsidR="00CF0545" w:rsidRPr="003237DF">
          <w:rPr>
            <w:webHidden/>
          </w:rPr>
        </w:r>
        <w:r w:rsidR="00CF0545" w:rsidRPr="003237DF">
          <w:rPr>
            <w:webHidden/>
          </w:rPr>
          <w:fldChar w:fldCharType="separate"/>
        </w:r>
        <w:r w:rsidR="00EC75CF" w:rsidRPr="003237DF">
          <w:rPr>
            <w:webHidden/>
          </w:rPr>
          <w:t>30</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40" w:history="1">
        <w:r w:rsidR="00CF0545" w:rsidRPr="003237DF">
          <w:rPr>
            <w:rStyle w:val="Hyperlink"/>
          </w:rPr>
          <w:t>Listed bodies</w:t>
        </w:r>
        <w:r w:rsidR="00CF0545" w:rsidRPr="003237DF">
          <w:rPr>
            <w:webHidden/>
          </w:rPr>
          <w:tab/>
        </w:r>
        <w:r w:rsidR="00CF0545" w:rsidRPr="003237DF">
          <w:rPr>
            <w:webHidden/>
          </w:rPr>
          <w:fldChar w:fldCharType="begin"/>
        </w:r>
        <w:r w:rsidR="00CF0545" w:rsidRPr="003237DF">
          <w:rPr>
            <w:webHidden/>
          </w:rPr>
          <w:instrText xml:space="preserve"> PAGEREF _Toc398206740 \h </w:instrText>
        </w:r>
        <w:r w:rsidR="00CF0545" w:rsidRPr="003237DF">
          <w:rPr>
            <w:webHidden/>
          </w:rPr>
        </w:r>
        <w:r w:rsidR="00CF0545" w:rsidRPr="003237DF">
          <w:rPr>
            <w:webHidden/>
          </w:rPr>
          <w:fldChar w:fldCharType="separate"/>
        </w:r>
        <w:r w:rsidR="00EC75CF" w:rsidRPr="003237DF">
          <w:rPr>
            <w:webHidden/>
          </w:rPr>
          <w:t>30</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41" w:history="1">
        <w:r w:rsidR="00CF0545" w:rsidRPr="003237DF">
          <w:rPr>
            <w:rStyle w:val="Hyperlink"/>
          </w:rPr>
          <w:t>Unlisted bodies</w:t>
        </w:r>
        <w:r w:rsidR="00CF0545" w:rsidRPr="003237DF">
          <w:rPr>
            <w:webHidden/>
          </w:rPr>
          <w:tab/>
        </w:r>
        <w:r w:rsidR="00CF0545" w:rsidRPr="003237DF">
          <w:rPr>
            <w:webHidden/>
          </w:rPr>
          <w:fldChar w:fldCharType="begin"/>
        </w:r>
        <w:r w:rsidR="00CF0545" w:rsidRPr="003237DF">
          <w:rPr>
            <w:webHidden/>
          </w:rPr>
          <w:instrText xml:space="preserve"> PAGEREF _Toc398206741 \h </w:instrText>
        </w:r>
        <w:r w:rsidR="00CF0545" w:rsidRPr="003237DF">
          <w:rPr>
            <w:webHidden/>
          </w:rPr>
        </w:r>
        <w:r w:rsidR="00CF0545" w:rsidRPr="003237DF">
          <w:rPr>
            <w:webHidden/>
          </w:rPr>
          <w:fldChar w:fldCharType="separate"/>
        </w:r>
        <w:r w:rsidR="00EC75CF" w:rsidRPr="003237DF">
          <w:rPr>
            <w:webHidden/>
          </w:rPr>
          <w:t>32</w:t>
        </w:r>
        <w:r w:rsidR="00CF0545" w:rsidRPr="003237DF">
          <w:rPr>
            <w:webHidden/>
          </w:rPr>
          <w:fldChar w:fldCharType="end"/>
        </w:r>
      </w:hyperlink>
    </w:p>
    <w:p w:rsidR="00CF0545" w:rsidRPr="003237DF" w:rsidRDefault="00993A97">
      <w:pPr>
        <w:pStyle w:val="TOC1"/>
        <w:rPr>
          <w:rFonts w:asciiTheme="minorHAnsi" w:eastAsiaTheme="minorEastAsia" w:hAnsiTheme="minorHAnsi" w:cstheme="minorBidi"/>
          <w:b w:val="0"/>
          <w:sz w:val="22"/>
          <w:szCs w:val="22"/>
        </w:rPr>
      </w:pPr>
      <w:hyperlink w:anchor="_Toc398206742" w:history="1">
        <w:r w:rsidR="00CF0545" w:rsidRPr="003237DF">
          <w:rPr>
            <w:rStyle w:val="Hyperlink"/>
          </w:rPr>
          <w:t>E</w:t>
        </w:r>
        <w:r w:rsidR="00CF0545" w:rsidRPr="003237DF">
          <w:rPr>
            <w:rFonts w:asciiTheme="minorHAnsi" w:eastAsiaTheme="minorEastAsia" w:hAnsiTheme="minorHAnsi" w:cstheme="minorBidi"/>
            <w:b w:val="0"/>
            <w:sz w:val="22"/>
            <w:szCs w:val="22"/>
          </w:rPr>
          <w:tab/>
        </w:r>
        <w:r w:rsidR="00CF0545" w:rsidRPr="003237DF">
          <w:rPr>
            <w:rStyle w:val="Hyperlink"/>
          </w:rPr>
          <w:t>Conclusion and recommended option</w:t>
        </w:r>
        <w:r w:rsidR="00CF0545" w:rsidRPr="003237DF">
          <w:rPr>
            <w:webHidden/>
          </w:rPr>
          <w:tab/>
        </w:r>
        <w:r w:rsidR="00CF0545" w:rsidRPr="003237DF">
          <w:rPr>
            <w:webHidden/>
          </w:rPr>
          <w:fldChar w:fldCharType="begin"/>
        </w:r>
        <w:r w:rsidR="00CF0545" w:rsidRPr="003237DF">
          <w:rPr>
            <w:webHidden/>
          </w:rPr>
          <w:instrText xml:space="preserve"> PAGEREF _Toc398206742 \h </w:instrText>
        </w:r>
        <w:r w:rsidR="00CF0545" w:rsidRPr="003237DF">
          <w:rPr>
            <w:webHidden/>
          </w:rPr>
        </w:r>
        <w:r w:rsidR="00CF0545" w:rsidRPr="003237DF">
          <w:rPr>
            <w:webHidden/>
          </w:rPr>
          <w:fldChar w:fldCharType="separate"/>
        </w:r>
        <w:r w:rsidR="00EC75CF" w:rsidRPr="003237DF">
          <w:rPr>
            <w:webHidden/>
          </w:rPr>
          <w:t>34</w:t>
        </w:r>
        <w:r w:rsidR="00CF0545" w:rsidRPr="003237DF">
          <w:rPr>
            <w:webHidden/>
          </w:rPr>
          <w:fldChar w:fldCharType="end"/>
        </w:r>
      </w:hyperlink>
    </w:p>
    <w:p w:rsidR="00CF0545" w:rsidRPr="003237DF" w:rsidRDefault="00993A97">
      <w:pPr>
        <w:pStyle w:val="TOC1"/>
        <w:rPr>
          <w:rFonts w:asciiTheme="minorHAnsi" w:eastAsiaTheme="minorEastAsia" w:hAnsiTheme="minorHAnsi" w:cstheme="minorBidi"/>
          <w:b w:val="0"/>
          <w:sz w:val="22"/>
          <w:szCs w:val="22"/>
        </w:rPr>
      </w:pPr>
      <w:hyperlink w:anchor="_Toc398206743" w:history="1">
        <w:r w:rsidR="00CF0545" w:rsidRPr="003237DF">
          <w:rPr>
            <w:rStyle w:val="Hyperlink"/>
          </w:rPr>
          <w:t>F</w:t>
        </w:r>
        <w:r w:rsidR="00CF0545" w:rsidRPr="003237DF">
          <w:rPr>
            <w:rFonts w:asciiTheme="minorHAnsi" w:eastAsiaTheme="minorEastAsia" w:hAnsiTheme="minorHAnsi" w:cstheme="minorBidi"/>
            <w:b w:val="0"/>
            <w:sz w:val="22"/>
            <w:szCs w:val="22"/>
          </w:rPr>
          <w:tab/>
        </w:r>
        <w:r w:rsidR="00CF0545" w:rsidRPr="003237DF">
          <w:rPr>
            <w:rStyle w:val="Hyperlink"/>
          </w:rPr>
          <w:t>Implementation and review</w:t>
        </w:r>
        <w:r w:rsidR="00CF0545" w:rsidRPr="003237DF">
          <w:rPr>
            <w:webHidden/>
          </w:rPr>
          <w:tab/>
        </w:r>
        <w:r w:rsidR="00CF0545" w:rsidRPr="003237DF">
          <w:rPr>
            <w:webHidden/>
          </w:rPr>
          <w:fldChar w:fldCharType="begin"/>
        </w:r>
        <w:r w:rsidR="00CF0545" w:rsidRPr="003237DF">
          <w:rPr>
            <w:webHidden/>
          </w:rPr>
          <w:instrText xml:space="preserve"> PAGEREF _Toc398206743 \h </w:instrText>
        </w:r>
        <w:r w:rsidR="00CF0545" w:rsidRPr="003237DF">
          <w:rPr>
            <w:webHidden/>
          </w:rPr>
        </w:r>
        <w:r w:rsidR="00CF0545" w:rsidRPr="003237DF">
          <w:rPr>
            <w:webHidden/>
          </w:rPr>
          <w:fldChar w:fldCharType="separate"/>
        </w:r>
        <w:r w:rsidR="00EC75CF" w:rsidRPr="003237DF">
          <w:rPr>
            <w:webHidden/>
          </w:rPr>
          <w:t>35</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44" w:history="1">
        <w:r w:rsidR="00CF0545" w:rsidRPr="003237DF">
          <w:rPr>
            <w:rStyle w:val="Hyperlink"/>
          </w:rPr>
          <w:t>Implementation</w:t>
        </w:r>
        <w:r w:rsidR="00CF0545" w:rsidRPr="003237DF">
          <w:rPr>
            <w:webHidden/>
          </w:rPr>
          <w:tab/>
        </w:r>
        <w:r w:rsidR="00CF0545" w:rsidRPr="003237DF">
          <w:rPr>
            <w:webHidden/>
          </w:rPr>
          <w:fldChar w:fldCharType="begin"/>
        </w:r>
        <w:r w:rsidR="00CF0545" w:rsidRPr="003237DF">
          <w:rPr>
            <w:webHidden/>
          </w:rPr>
          <w:instrText xml:space="preserve"> PAGEREF _Toc398206744 \h </w:instrText>
        </w:r>
        <w:r w:rsidR="00CF0545" w:rsidRPr="003237DF">
          <w:rPr>
            <w:webHidden/>
          </w:rPr>
        </w:r>
        <w:r w:rsidR="00CF0545" w:rsidRPr="003237DF">
          <w:rPr>
            <w:webHidden/>
          </w:rPr>
          <w:fldChar w:fldCharType="separate"/>
        </w:r>
        <w:r w:rsidR="00EC75CF" w:rsidRPr="003237DF">
          <w:rPr>
            <w:webHidden/>
          </w:rPr>
          <w:t>35</w:t>
        </w:r>
        <w:r w:rsidR="00CF0545" w:rsidRPr="003237DF">
          <w:rPr>
            <w:webHidden/>
          </w:rPr>
          <w:fldChar w:fldCharType="end"/>
        </w:r>
      </w:hyperlink>
    </w:p>
    <w:p w:rsidR="00CF0545" w:rsidRPr="003237DF" w:rsidRDefault="00993A97">
      <w:pPr>
        <w:pStyle w:val="TOC2"/>
        <w:rPr>
          <w:rFonts w:asciiTheme="minorHAnsi" w:eastAsiaTheme="minorEastAsia" w:hAnsiTheme="minorHAnsi" w:cstheme="minorBidi"/>
          <w:sz w:val="22"/>
          <w:szCs w:val="22"/>
        </w:rPr>
      </w:pPr>
      <w:hyperlink w:anchor="_Toc398206745" w:history="1">
        <w:r w:rsidR="00CF0545" w:rsidRPr="003237DF">
          <w:rPr>
            <w:rStyle w:val="Hyperlink"/>
          </w:rPr>
          <w:t>Review</w:t>
        </w:r>
        <w:r w:rsidR="00CF0545" w:rsidRPr="003237DF">
          <w:rPr>
            <w:webHidden/>
          </w:rPr>
          <w:tab/>
        </w:r>
        <w:r w:rsidR="00CF0545" w:rsidRPr="003237DF">
          <w:rPr>
            <w:webHidden/>
          </w:rPr>
          <w:fldChar w:fldCharType="begin"/>
        </w:r>
        <w:r w:rsidR="00CF0545" w:rsidRPr="003237DF">
          <w:rPr>
            <w:webHidden/>
          </w:rPr>
          <w:instrText xml:space="preserve"> PAGEREF _Toc398206745 \h </w:instrText>
        </w:r>
        <w:r w:rsidR="00CF0545" w:rsidRPr="003237DF">
          <w:rPr>
            <w:webHidden/>
          </w:rPr>
        </w:r>
        <w:r w:rsidR="00CF0545" w:rsidRPr="003237DF">
          <w:rPr>
            <w:webHidden/>
          </w:rPr>
          <w:fldChar w:fldCharType="separate"/>
        </w:r>
        <w:r w:rsidR="00EC75CF" w:rsidRPr="003237DF">
          <w:rPr>
            <w:webHidden/>
          </w:rPr>
          <w:t>35</w:t>
        </w:r>
        <w:r w:rsidR="00CF0545" w:rsidRPr="003237DF">
          <w:rPr>
            <w:webHidden/>
          </w:rPr>
          <w:fldChar w:fldCharType="end"/>
        </w:r>
      </w:hyperlink>
    </w:p>
    <w:p w:rsidR="00CF0545" w:rsidRPr="003237DF" w:rsidRDefault="00993A97">
      <w:pPr>
        <w:pStyle w:val="TOC1"/>
        <w:rPr>
          <w:rFonts w:asciiTheme="minorHAnsi" w:eastAsiaTheme="minorEastAsia" w:hAnsiTheme="minorHAnsi" w:cstheme="minorBidi"/>
          <w:b w:val="0"/>
          <w:sz w:val="22"/>
          <w:szCs w:val="22"/>
        </w:rPr>
      </w:pPr>
      <w:hyperlink w:anchor="_Toc398206746" w:history="1">
        <w:r w:rsidR="00CF0545" w:rsidRPr="003237DF">
          <w:rPr>
            <w:rStyle w:val="Hyperlink"/>
          </w:rPr>
          <w:t>G</w:t>
        </w:r>
        <w:r w:rsidR="00CF0545" w:rsidRPr="003237DF">
          <w:rPr>
            <w:rFonts w:asciiTheme="minorHAnsi" w:eastAsiaTheme="minorEastAsia" w:hAnsiTheme="minorHAnsi" w:cstheme="minorBidi"/>
            <w:b w:val="0"/>
            <w:sz w:val="22"/>
            <w:szCs w:val="22"/>
          </w:rPr>
          <w:tab/>
        </w:r>
        <w:r w:rsidR="00CF0545" w:rsidRPr="003237DF">
          <w:rPr>
            <w:rStyle w:val="Hyperlink"/>
          </w:rPr>
          <w:t>Regulatory Burden and Cost Offset (RBCO) Estimate Table</w:t>
        </w:r>
        <w:r w:rsidR="00CF0545" w:rsidRPr="003237DF">
          <w:rPr>
            <w:webHidden/>
          </w:rPr>
          <w:tab/>
        </w:r>
        <w:r w:rsidR="00CF0545" w:rsidRPr="003237DF">
          <w:rPr>
            <w:webHidden/>
          </w:rPr>
          <w:fldChar w:fldCharType="begin"/>
        </w:r>
        <w:r w:rsidR="00CF0545" w:rsidRPr="003237DF">
          <w:rPr>
            <w:webHidden/>
          </w:rPr>
          <w:instrText xml:space="preserve"> PAGEREF _Toc398206746 \h </w:instrText>
        </w:r>
        <w:r w:rsidR="00CF0545" w:rsidRPr="003237DF">
          <w:rPr>
            <w:webHidden/>
          </w:rPr>
        </w:r>
        <w:r w:rsidR="00CF0545" w:rsidRPr="003237DF">
          <w:rPr>
            <w:webHidden/>
          </w:rPr>
          <w:fldChar w:fldCharType="separate"/>
        </w:r>
        <w:r w:rsidR="00EC75CF" w:rsidRPr="003237DF">
          <w:rPr>
            <w:webHidden/>
          </w:rPr>
          <w:t>36</w:t>
        </w:r>
        <w:r w:rsidR="00CF0545" w:rsidRPr="003237DF">
          <w:rPr>
            <w:webHidden/>
          </w:rPr>
          <w:fldChar w:fldCharType="end"/>
        </w:r>
      </w:hyperlink>
    </w:p>
    <w:p w:rsidR="007C2288" w:rsidRPr="003237DF" w:rsidRDefault="00D10721">
      <w:pPr>
        <w:pStyle w:val="Bodytextplain"/>
      </w:pPr>
      <w:r w:rsidRPr="003237DF">
        <w:fldChar w:fldCharType="end"/>
      </w:r>
    </w:p>
    <w:p w:rsidR="00CF7669" w:rsidRPr="003237DF" w:rsidRDefault="00CF7669">
      <w:pPr>
        <w:spacing w:after="0"/>
        <w:rPr>
          <w:rFonts w:ascii="Arial" w:hAnsi="Arial" w:cs="Arial"/>
          <w:b/>
          <w:kern w:val="28"/>
          <w:sz w:val="36"/>
          <w:szCs w:val="36"/>
        </w:rPr>
      </w:pPr>
      <w:bookmarkStart w:id="3" w:name="_Toc256689333"/>
      <w:r w:rsidRPr="003237DF">
        <w:br w:type="page"/>
      </w:r>
    </w:p>
    <w:p w:rsidR="00CF7669" w:rsidRPr="003237DF" w:rsidRDefault="00CF7669" w:rsidP="00281488">
      <w:pPr>
        <w:pStyle w:val="Heading1"/>
      </w:pPr>
      <w:bookmarkStart w:id="4" w:name="_Toc398206719"/>
      <w:r w:rsidRPr="003237DF">
        <w:lastRenderedPageBreak/>
        <w:t>Executive summary</w:t>
      </w:r>
      <w:bookmarkEnd w:id="4"/>
    </w:p>
    <w:p w:rsidR="00294570" w:rsidRPr="003237DF" w:rsidRDefault="00CF7669" w:rsidP="00E221DB">
      <w:pPr>
        <w:pStyle w:val="Heading2"/>
      </w:pPr>
      <w:bookmarkStart w:id="5" w:name="_Toc398206720"/>
      <w:r w:rsidRPr="003237DF">
        <w:t xml:space="preserve">What is the problem </w:t>
      </w:r>
      <w:r w:rsidR="00294570" w:rsidRPr="003237DF">
        <w:t xml:space="preserve">ASIC </w:t>
      </w:r>
      <w:r w:rsidR="00A12157" w:rsidRPr="003237DF">
        <w:t xml:space="preserve">is </w:t>
      </w:r>
      <w:r w:rsidRPr="003237DF">
        <w:t>trying to solve?</w:t>
      </w:r>
      <w:bookmarkEnd w:id="5"/>
    </w:p>
    <w:p w:rsidR="00CF7669" w:rsidRPr="003237DF" w:rsidRDefault="00CD7A09" w:rsidP="00294570">
      <w:pPr>
        <w:pStyle w:val="BodyText"/>
        <w:rPr>
          <w:lang w:val="en"/>
        </w:rPr>
      </w:pPr>
      <w:r w:rsidRPr="003237DF">
        <w:rPr>
          <w:lang w:val="en"/>
        </w:rPr>
        <w:t xml:space="preserve">ASIC </w:t>
      </w:r>
      <w:r w:rsidR="005B7310" w:rsidRPr="003237DF">
        <w:rPr>
          <w:lang w:val="en"/>
        </w:rPr>
        <w:t xml:space="preserve">currently </w:t>
      </w:r>
      <w:r w:rsidRPr="003237DF">
        <w:rPr>
          <w:lang w:val="en"/>
        </w:rPr>
        <w:t xml:space="preserve">has a class order </w:t>
      </w:r>
      <w:r w:rsidR="00153C8E" w:rsidRPr="003237DF">
        <w:rPr>
          <w:lang w:val="en"/>
        </w:rPr>
        <w:t>[CO </w:t>
      </w:r>
      <w:r w:rsidR="005B7310" w:rsidRPr="003237DF">
        <w:rPr>
          <w:lang w:val="en"/>
        </w:rPr>
        <w:t xml:space="preserve">03/184] </w:t>
      </w:r>
      <w:r w:rsidR="00312F0A" w:rsidRPr="003237DF">
        <w:rPr>
          <w:i/>
          <w:lang w:val="en"/>
        </w:rPr>
        <w:t xml:space="preserve">Employee share schemes </w:t>
      </w:r>
      <w:r w:rsidR="005B7310" w:rsidRPr="003237DF">
        <w:rPr>
          <w:lang w:val="en"/>
        </w:rPr>
        <w:t xml:space="preserve">that </w:t>
      </w:r>
      <w:r w:rsidRPr="003237DF">
        <w:rPr>
          <w:lang w:val="en"/>
        </w:rPr>
        <w:t xml:space="preserve">exempts </w:t>
      </w:r>
      <w:r w:rsidR="0039391D" w:rsidRPr="003237DF">
        <w:rPr>
          <w:lang w:val="en"/>
        </w:rPr>
        <w:t xml:space="preserve">in certain circumstances </w:t>
      </w:r>
      <w:r w:rsidRPr="003237DF">
        <w:rPr>
          <w:lang w:val="en"/>
        </w:rPr>
        <w:t xml:space="preserve">both listed and unlisted employers from having to comply with the disclosure, licensing, </w:t>
      </w:r>
      <w:r w:rsidR="0039391D" w:rsidRPr="003237DF">
        <w:t>managed investment scheme,</w:t>
      </w:r>
      <w:r w:rsidR="0039391D" w:rsidRPr="003237DF">
        <w:rPr>
          <w:lang w:val="en"/>
        </w:rPr>
        <w:t xml:space="preserve"> </w:t>
      </w:r>
      <w:r w:rsidRPr="003237DF">
        <w:rPr>
          <w:lang w:val="en"/>
        </w:rPr>
        <w:t>advertising, hawking and on-sale requirements and restrictions.</w:t>
      </w:r>
      <w:r w:rsidR="00946724" w:rsidRPr="003237DF">
        <w:rPr>
          <w:lang w:val="en"/>
        </w:rPr>
        <w:t xml:space="preserve"> </w:t>
      </w:r>
      <w:r w:rsidRPr="003237DF">
        <w:rPr>
          <w:lang w:val="en"/>
        </w:rPr>
        <w:t>This class order, and ASIC</w:t>
      </w:r>
      <w:r w:rsidR="00946724" w:rsidRPr="003237DF">
        <w:rPr>
          <w:lang w:val="en"/>
        </w:rPr>
        <w:t>’</w:t>
      </w:r>
      <w:r w:rsidRPr="003237DF">
        <w:rPr>
          <w:lang w:val="en"/>
        </w:rPr>
        <w:t>s policy position</w:t>
      </w:r>
      <w:r w:rsidR="006178BB" w:rsidRPr="003237DF">
        <w:rPr>
          <w:lang w:val="en"/>
        </w:rPr>
        <w:t xml:space="preserve"> in R</w:t>
      </w:r>
      <w:r w:rsidR="00D22B56" w:rsidRPr="003237DF">
        <w:rPr>
          <w:lang w:val="en"/>
        </w:rPr>
        <w:t>G 49</w:t>
      </w:r>
      <w:r w:rsidRPr="003237DF">
        <w:rPr>
          <w:lang w:val="en"/>
        </w:rPr>
        <w:t xml:space="preserve">, </w:t>
      </w:r>
      <w:r w:rsidR="0039391D" w:rsidRPr="003237DF">
        <w:rPr>
          <w:lang w:val="en"/>
        </w:rPr>
        <w:t xml:space="preserve">are </w:t>
      </w:r>
      <w:r w:rsidRPr="003237DF">
        <w:rPr>
          <w:lang w:val="en"/>
        </w:rPr>
        <w:t>now out</w:t>
      </w:r>
      <w:r w:rsidR="00FE03DE" w:rsidRPr="003237DF">
        <w:rPr>
          <w:lang w:val="en"/>
        </w:rPr>
        <w:t>-</w:t>
      </w:r>
      <w:r w:rsidRPr="003237DF">
        <w:rPr>
          <w:lang w:val="en"/>
        </w:rPr>
        <w:t>of</w:t>
      </w:r>
      <w:r w:rsidR="00FE03DE" w:rsidRPr="003237DF">
        <w:rPr>
          <w:lang w:val="en"/>
        </w:rPr>
        <w:t>-</w:t>
      </w:r>
      <w:r w:rsidRPr="003237DF">
        <w:rPr>
          <w:lang w:val="en"/>
        </w:rPr>
        <w:t xml:space="preserve">date and </w:t>
      </w:r>
      <w:r w:rsidR="006178BB" w:rsidRPr="003237DF">
        <w:rPr>
          <w:lang w:val="en"/>
        </w:rPr>
        <w:t>can</w:t>
      </w:r>
      <w:r w:rsidRPr="003237DF">
        <w:rPr>
          <w:lang w:val="en"/>
        </w:rPr>
        <w:t xml:space="preserve"> no longer accommodate the broader range of employee incentive schemes </w:t>
      </w:r>
      <w:r w:rsidR="0039391D" w:rsidRPr="003237DF">
        <w:rPr>
          <w:lang w:val="en"/>
        </w:rPr>
        <w:t xml:space="preserve">that </w:t>
      </w:r>
      <w:r w:rsidRPr="003237DF">
        <w:rPr>
          <w:lang w:val="en"/>
        </w:rPr>
        <w:t>employers are seeking to offer their employees.</w:t>
      </w:r>
      <w:r w:rsidR="00946724" w:rsidRPr="003237DF">
        <w:rPr>
          <w:lang w:val="en"/>
        </w:rPr>
        <w:t xml:space="preserve"> </w:t>
      </w:r>
      <w:r w:rsidR="004D5BF1" w:rsidRPr="003237DF">
        <w:rPr>
          <w:lang w:val="en"/>
        </w:rPr>
        <w:t xml:space="preserve">In addition, </w:t>
      </w:r>
      <w:r w:rsidR="0039391D" w:rsidRPr="003237DF">
        <w:rPr>
          <w:lang w:val="en"/>
        </w:rPr>
        <w:t>[CO 03/184]</w:t>
      </w:r>
      <w:r w:rsidR="000C7DC4" w:rsidRPr="003237DF">
        <w:rPr>
          <w:lang w:val="en"/>
        </w:rPr>
        <w:t>, like other legislative instruments,</w:t>
      </w:r>
      <w:r w:rsidR="004D5BF1" w:rsidRPr="003237DF">
        <w:rPr>
          <w:lang w:val="en"/>
        </w:rPr>
        <w:t xml:space="preserve"> is </w:t>
      </w:r>
      <w:r w:rsidR="000C7DC4" w:rsidRPr="003237DF">
        <w:rPr>
          <w:lang w:val="en"/>
        </w:rPr>
        <w:t xml:space="preserve">set to expire (i.e. sunset) in 2015 unless it </w:t>
      </w:r>
      <w:r w:rsidR="007F1877" w:rsidRPr="003237DF">
        <w:rPr>
          <w:lang w:val="en"/>
        </w:rPr>
        <w:t xml:space="preserve">is </w:t>
      </w:r>
      <w:r w:rsidR="000C7DC4" w:rsidRPr="003237DF">
        <w:rPr>
          <w:lang w:val="en"/>
        </w:rPr>
        <w:t>re-executed.</w:t>
      </w:r>
    </w:p>
    <w:p w:rsidR="00EE73B9" w:rsidRPr="003237DF" w:rsidRDefault="00EE73B9" w:rsidP="00E221DB">
      <w:pPr>
        <w:pStyle w:val="Heading2"/>
        <w:rPr>
          <w:rFonts w:ascii="Times New Roman" w:hAnsi="Times New Roman" w:cs="Times New Roman"/>
          <w:sz w:val="22"/>
          <w:lang w:val="en"/>
        </w:rPr>
      </w:pPr>
      <w:bookmarkStart w:id="6" w:name="_Toc398206721"/>
      <w:r w:rsidRPr="003237DF">
        <w:t>Why is ASIC action needed?</w:t>
      </w:r>
      <w:bookmarkEnd w:id="6"/>
    </w:p>
    <w:p w:rsidR="0039391D" w:rsidRPr="003237DF" w:rsidRDefault="00756211" w:rsidP="00EE73B9">
      <w:pPr>
        <w:pStyle w:val="BodyText"/>
        <w:rPr>
          <w:lang w:val="en"/>
        </w:rPr>
      </w:pPr>
      <w:r w:rsidRPr="003237DF">
        <w:rPr>
          <w:lang w:val="en"/>
        </w:rPr>
        <w:t>ASIC provides relief to facilitate employee incentive schemes, and proposes to update and extend this relief, because e</w:t>
      </w:r>
      <w:r w:rsidR="00EE73B9" w:rsidRPr="003237DF">
        <w:rPr>
          <w:lang w:val="en"/>
        </w:rPr>
        <w:t>mployee incentive schemes create interdependence between an employer and its employees for their long-term mutual benefit.</w:t>
      </w:r>
      <w:r w:rsidR="00946724" w:rsidRPr="003237DF">
        <w:rPr>
          <w:lang w:val="en"/>
        </w:rPr>
        <w:t xml:space="preserve"> </w:t>
      </w:r>
    </w:p>
    <w:p w:rsidR="0039391D" w:rsidRPr="003237DF" w:rsidRDefault="00756211" w:rsidP="00EE73B9">
      <w:pPr>
        <w:pStyle w:val="BodyText"/>
        <w:rPr>
          <w:lang w:val="en"/>
        </w:rPr>
      </w:pPr>
      <w:r w:rsidRPr="003237DF">
        <w:rPr>
          <w:lang w:val="en"/>
        </w:rPr>
        <w:t xml:space="preserve">While employee incentive schemes involve offering financial products (and are therefore caught by the raft of Corporations Act provisions applicable to such offers), these offers are distinctly different from most </w:t>
      </w:r>
      <w:r w:rsidR="00514219" w:rsidRPr="003237DF">
        <w:rPr>
          <w:lang w:val="en"/>
        </w:rPr>
        <w:t xml:space="preserve">fundraising related </w:t>
      </w:r>
      <w:r w:rsidRPr="003237DF">
        <w:rPr>
          <w:lang w:val="en"/>
        </w:rPr>
        <w:t>offers.</w:t>
      </w:r>
      <w:r w:rsidR="00946724" w:rsidRPr="003237DF">
        <w:rPr>
          <w:lang w:val="en"/>
        </w:rPr>
        <w:t xml:space="preserve"> </w:t>
      </w:r>
      <w:r w:rsidRPr="003237DF">
        <w:rPr>
          <w:lang w:val="en"/>
        </w:rPr>
        <w:t xml:space="preserve">Most offers of securities </w:t>
      </w:r>
      <w:r w:rsidR="00514219" w:rsidRPr="003237DF">
        <w:rPr>
          <w:lang w:val="en"/>
        </w:rPr>
        <w:t xml:space="preserve">targeting retail investors </w:t>
      </w:r>
      <w:r w:rsidRPr="003237DF">
        <w:rPr>
          <w:lang w:val="en"/>
        </w:rPr>
        <w:t xml:space="preserve">are designed to raise funds from the public so that the company can have sufficient equity to undertake </w:t>
      </w:r>
      <w:r w:rsidR="00514219" w:rsidRPr="003237DF">
        <w:rPr>
          <w:lang w:val="en"/>
        </w:rPr>
        <w:t xml:space="preserve">its </w:t>
      </w:r>
      <w:r w:rsidRPr="003237DF">
        <w:rPr>
          <w:lang w:val="en"/>
        </w:rPr>
        <w:t>business.</w:t>
      </w:r>
      <w:r w:rsidR="00946724" w:rsidRPr="003237DF">
        <w:rPr>
          <w:lang w:val="en"/>
        </w:rPr>
        <w:t xml:space="preserve"> </w:t>
      </w:r>
      <w:r w:rsidRPr="003237DF">
        <w:rPr>
          <w:lang w:val="en"/>
        </w:rPr>
        <w:t xml:space="preserve">In contrast, the purpose of offering employee incentive schemes to employees is not to raise funds from the employees to </w:t>
      </w:r>
      <w:r w:rsidR="00514219" w:rsidRPr="003237DF">
        <w:rPr>
          <w:lang w:val="en"/>
        </w:rPr>
        <w:t xml:space="preserve">inject </w:t>
      </w:r>
      <w:r w:rsidRPr="003237DF">
        <w:rPr>
          <w:lang w:val="en"/>
        </w:rPr>
        <w:t>capital, but rather to foster long</w:t>
      </w:r>
      <w:r w:rsidR="0039391D" w:rsidRPr="003237DF">
        <w:rPr>
          <w:lang w:val="en"/>
        </w:rPr>
        <w:t>-</w:t>
      </w:r>
      <w:r w:rsidRPr="003237DF">
        <w:rPr>
          <w:lang w:val="en"/>
        </w:rPr>
        <w:t>term interdependence.</w:t>
      </w:r>
      <w:r w:rsidR="00946724" w:rsidRPr="003237DF">
        <w:rPr>
          <w:lang w:val="en"/>
        </w:rPr>
        <w:t xml:space="preserve"> </w:t>
      </w:r>
    </w:p>
    <w:p w:rsidR="00756211" w:rsidRPr="003237DF" w:rsidRDefault="00756211" w:rsidP="00EE73B9">
      <w:pPr>
        <w:pStyle w:val="BodyText"/>
        <w:rPr>
          <w:lang w:val="en"/>
        </w:rPr>
      </w:pPr>
      <w:r w:rsidRPr="003237DF">
        <w:rPr>
          <w:lang w:val="en"/>
        </w:rPr>
        <w:t xml:space="preserve">An additional policy rationale for creating a </w:t>
      </w:r>
      <w:r w:rsidR="00946724" w:rsidRPr="003237DF">
        <w:rPr>
          <w:lang w:val="en"/>
        </w:rPr>
        <w:t>‘</w:t>
      </w:r>
      <w:r w:rsidRPr="003237DF">
        <w:rPr>
          <w:lang w:val="en"/>
        </w:rPr>
        <w:t>light touch</w:t>
      </w:r>
      <w:r w:rsidR="00946724" w:rsidRPr="003237DF">
        <w:rPr>
          <w:lang w:val="en"/>
        </w:rPr>
        <w:t>’</w:t>
      </w:r>
      <w:r w:rsidRPr="003237DF">
        <w:rPr>
          <w:lang w:val="en"/>
        </w:rPr>
        <w:t xml:space="preserve"> regulatory regime for employee incentive schemes is that</w:t>
      </w:r>
      <w:r w:rsidR="0039391D" w:rsidRPr="003237DF">
        <w:rPr>
          <w:lang w:val="en"/>
        </w:rPr>
        <w:t>,</w:t>
      </w:r>
      <w:r w:rsidRPr="003237DF">
        <w:rPr>
          <w:lang w:val="en"/>
        </w:rPr>
        <w:t xml:space="preserve"> because employees work for the particular company in which they are being offered financial products, they already have a degree of familiarity with the business, and therefore need less disclosure about the company and the financial products. </w:t>
      </w:r>
    </w:p>
    <w:p w:rsidR="00EE73B9" w:rsidRPr="003237DF" w:rsidRDefault="00EE73B9" w:rsidP="00EE73B9">
      <w:pPr>
        <w:pStyle w:val="BodyText"/>
        <w:rPr>
          <w:lang w:val="en"/>
        </w:rPr>
      </w:pPr>
      <w:r w:rsidRPr="003237DF">
        <w:rPr>
          <w:lang w:val="en"/>
        </w:rPr>
        <w:t xml:space="preserve">We are seeking to make it easier for both listed and unlisted employers to offer employee incentive schemes to their employees, while </w:t>
      </w:r>
      <w:r w:rsidR="006178BB" w:rsidRPr="003237DF">
        <w:rPr>
          <w:lang w:val="en"/>
        </w:rPr>
        <w:t xml:space="preserve">still </w:t>
      </w:r>
      <w:r w:rsidRPr="003237DF">
        <w:rPr>
          <w:lang w:val="en"/>
        </w:rPr>
        <w:t>ensuring that there is adequate protection for participants in the</w:t>
      </w:r>
      <w:r w:rsidR="006178BB" w:rsidRPr="003237DF">
        <w:rPr>
          <w:lang w:val="en"/>
        </w:rPr>
        <w:t>se</w:t>
      </w:r>
      <w:r w:rsidRPr="003237DF">
        <w:rPr>
          <w:lang w:val="en"/>
        </w:rPr>
        <w:t xml:space="preserve"> scheme</w:t>
      </w:r>
      <w:r w:rsidR="006178BB" w:rsidRPr="003237DF">
        <w:rPr>
          <w:lang w:val="en"/>
        </w:rPr>
        <w:t>s</w:t>
      </w:r>
      <w:r w:rsidRPr="003237DF">
        <w:rPr>
          <w:lang w:val="en"/>
        </w:rPr>
        <w:t>.</w:t>
      </w:r>
    </w:p>
    <w:p w:rsidR="00294570" w:rsidRPr="003237DF" w:rsidRDefault="00CF7669" w:rsidP="00946724">
      <w:pPr>
        <w:pStyle w:val="Heading2"/>
        <w:keepLines/>
      </w:pPr>
      <w:bookmarkStart w:id="7" w:name="_Toc398206722"/>
      <w:r w:rsidRPr="003237DF">
        <w:lastRenderedPageBreak/>
        <w:t xml:space="preserve">What policy options </w:t>
      </w:r>
      <w:r w:rsidR="00294570" w:rsidRPr="003237DF">
        <w:t xml:space="preserve">have we </w:t>
      </w:r>
      <w:r w:rsidRPr="003237DF">
        <w:t>consider</w:t>
      </w:r>
      <w:r w:rsidR="00294570" w:rsidRPr="003237DF">
        <w:t>ed</w:t>
      </w:r>
      <w:r w:rsidRPr="003237DF">
        <w:t>?</w:t>
      </w:r>
      <w:bookmarkEnd w:id="7"/>
    </w:p>
    <w:p w:rsidR="004F68C4" w:rsidRPr="003237DF" w:rsidRDefault="00CD7A09" w:rsidP="00946724">
      <w:pPr>
        <w:pStyle w:val="BodyText"/>
        <w:keepNext/>
        <w:keepLines/>
        <w:rPr>
          <w:lang w:val="en"/>
        </w:rPr>
      </w:pPr>
      <w:r w:rsidRPr="003237DF">
        <w:rPr>
          <w:lang w:val="en"/>
        </w:rPr>
        <w:t xml:space="preserve">ASIC has considered </w:t>
      </w:r>
      <w:r w:rsidR="00EF4190" w:rsidRPr="003237DF">
        <w:rPr>
          <w:lang w:val="en"/>
        </w:rPr>
        <w:t>three</w:t>
      </w:r>
      <w:r w:rsidRPr="003237DF">
        <w:rPr>
          <w:lang w:val="en"/>
        </w:rPr>
        <w:t xml:space="preserve"> options</w:t>
      </w:r>
      <w:r w:rsidR="00EF627F" w:rsidRPr="003237DF">
        <w:rPr>
          <w:lang w:val="en"/>
        </w:rPr>
        <w:t xml:space="preserve">: </w:t>
      </w:r>
    </w:p>
    <w:p w:rsidR="004F68C4" w:rsidRPr="003237DF" w:rsidRDefault="00CD7A09" w:rsidP="00946724">
      <w:pPr>
        <w:pStyle w:val="subparaa"/>
        <w:keepNext/>
        <w:keepLines/>
        <w:rPr>
          <w:lang w:val="en"/>
        </w:rPr>
      </w:pPr>
      <w:bookmarkStart w:id="8" w:name="_ASICRef533"/>
      <w:r w:rsidRPr="003237DF">
        <w:rPr>
          <w:lang w:val="en"/>
        </w:rPr>
        <w:t xml:space="preserve">Option 1: make substantive changes to our existing class order relief to </w:t>
      </w:r>
      <w:r w:rsidR="00772622" w:rsidRPr="003237DF">
        <w:rPr>
          <w:lang w:val="en"/>
        </w:rPr>
        <w:t xml:space="preserve">accommodate the needs of employers, while </w:t>
      </w:r>
      <w:r w:rsidR="00D76A6D" w:rsidRPr="003237DF">
        <w:rPr>
          <w:lang w:val="en"/>
        </w:rPr>
        <w:t>strengthening</w:t>
      </w:r>
      <w:r w:rsidR="00772622" w:rsidRPr="003237DF">
        <w:rPr>
          <w:lang w:val="en"/>
        </w:rPr>
        <w:t xml:space="preserve"> conditions designed to ensure that employees are adequately informed about the risks and terms and conditions of the employee incentive scheme they are being offered</w:t>
      </w:r>
      <w:r w:rsidR="004F68C4" w:rsidRPr="003237DF">
        <w:rPr>
          <w:lang w:val="en"/>
        </w:rPr>
        <w:t>;</w:t>
      </w:r>
      <w:bookmarkEnd w:id="8"/>
    </w:p>
    <w:p w:rsidR="004F68C4" w:rsidRPr="003237DF" w:rsidRDefault="00CD7A09" w:rsidP="004F68C4">
      <w:pPr>
        <w:pStyle w:val="subparaa"/>
        <w:rPr>
          <w:lang w:val="en"/>
        </w:rPr>
      </w:pPr>
      <w:r w:rsidRPr="003237DF">
        <w:rPr>
          <w:lang w:val="en"/>
        </w:rPr>
        <w:t xml:space="preserve">Option 2: make the substantive changes proposed in Option 1, but without </w:t>
      </w:r>
      <w:r w:rsidR="00EF627F" w:rsidRPr="003237DF">
        <w:t xml:space="preserve">imposing </w:t>
      </w:r>
      <w:r w:rsidRPr="003237DF">
        <w:rPr>
          <w:lang w:val="en"/>
        </w:rPr>
        <w:t>any conditions</w:t>
      </w:r>
      <w:r w:rsidR="004F68C4" w:rsidRPr="003237DF">
        <w:rPr>
          <w:lang w:val="en"/>
        </w:rPr>
        <w:t>; and</w:t>
      </w:r>
    </w:p>
    <w:p w:rsidR="00CF7669" w:rsidRPr="003237DF" w:rsidRDefault="00CD7A09" w:rsidP="004F68C4">
      <w:pPr>
        <w:pStyle w:val="subparaa"/>
        <w:rPr>
          <w:lang w:val="en"/>
        </w:rPr>
      </w:pPr>
      <w:r w:rsidRPr="003237DF">
        <w:rPr>
          <w:lang w:val="en"/>
        </w:rPr>
        <w:t>Option 3: make some minor or mec</w:t>
      </w:r>
      <w:r w:rsidR="00294570" w:rsidRPr="003237DF">
        <w:rPr>
          <w:lang w:val="en"/>
        </w:rPr>
        <w:t xml:space="preserve">hanical </w:t>
      </w:r>
      <w:r w:rsidR="007A3F33" w:rsidRPr="003237DF">
        <w:rPr>
          <w:lang w:val="en"/>
        </w:rPr>
        <w:t>changes to our existing class order</w:t>
      </w:r>
      <w:r w:rsidR="00EE73B9" w:rsidRPr="003237DF">
        <w:rPr>
          <w:lang w:val="en"/>
        </w:rPr>
        <w:t>.</w:t>
      </w:r>
      <w:r w:rsidR="005B7310" w:rsidRPr="003237DF">
        <w:rPr>
          <w:lang w:val="en"/>
        </w:rPr>
        <w:t xml:space="preserve"> </w:t>
      </w:r>
    </w:p>
    <w:p w:rsidR="00294570" w:rsidRPr="003237DF" w:rsidRDefault="00CF7669" w:rsidP="00E221DB">
      <w:pPr>
        <w:pStyle w:val="Heading2"/>
      </w:pPr>
      <w:bookmarkStart w:id="9" w:name="_Toc398206723"/>
      <w:r w:rsidRPr="003237DF">
        <w:t>What is the likely net benefit of each option?</w:t>
      </w:r>
      <w:bookmarkEnd w:id="9"/>
    </w:p>
    <w:p w:rsidR="00601004" w:rsidRPr="003237DF" w:rsidRDefault="00294570" w:rsidP="004863A3">
      <w:pPr>
        <w:pStyle w:val="BodyText"/>
        <w:rPr>
          <w:lang w:val="en"/>
        </w:rPr>
      </w:pPr>
      <w:r w:rsidRPr="003237DF">
        <w:rPr>
          <w:lang w:val="en"/>
        </w:rPr>
        <w:t xml:space="preserve">The net benefit of Option 1 is to enable more employers, both listed and unlisted, to </w:t>
      </w:r>
      <w:r w:rsidR="00601004" w:rsidRPr="003237DF">
        <w:rPr>
          <w:lang w:val="en"/>
        </w:rPr>
        <w:t xml:space="preserve">offer employee incentive schemes to </w:t>
      </w:r>
      <w:r w:rsidR="006178BB" w:rsidRPr="003237DF">
        <w:rPr>
          <w:lang w:val="en"/>
        </w:rPr>
        <w:t xml:space="preserve">more of </w:t>
      </w:r>
      <w:r w:rsidR="00601004" w:rsidRPr="003237DF">
        <w:rPr>
          <w:lang w:val="en"/>
        </w:rPr>
        <w:t>the</w:t>
      </w:r>
      <w:r w:rsidR="006178BB" w:rsidRPr="003237DF">
        <w:rPr>
          <w:lang w:val="en"/>
        </w:rPr>
        <w:t>ir</w:t>
      </w:r>
      <w:r w:rsidR="00601004" w:rsidRPr="003237DF">
        <w:rPr>
          <w:lang w:val="en"/>
        </w:rPr>
        <w:t xml:space="preserve"> </w:t>
      </w:r>
      <w:r w:rsidR="006178BB" w:rsidRPr="003237DF">
        <w:rPr>
          <w:lang w:val="en"/>
        </w:rPr>
        <w:t>personnel</w:t>
      </w:r>
      <w:r w:rsidR="00601004" w:rsidRPr="003237DF">
        <w:rPr>
          <w:lang w:val="en"/>
        </w:rPr>
        <w:t>.</w:t>
      </w:r>
      <w:r w:rsidRPr="003237DF">
        <w:rPr>
          <w:lang w:val="en"/>
        </w:rPr>
        <w:t xml:space="preserve"> </w:t>
      </w:r>
      <w:r w:rsidR="00601004" w:rsidRPr="003237DF">
        <w:rPr>
          <w:lang w:val="en"/>
        </w:rPr>
        <w:t xml:space="preserve">The class order relief </w:t>
      </w:r>
      <w:r w:rsidR="00015132" w:rsidRPr="003237DF">
        <w:rPr>
          <w:lang w:val="en"/>
        </w:rPr>
        <w:t xml:space="preserve">will make it </w:t>
      </w:r>
      <w:r w:rsidR="00601004" w:rsidRPr="003237DF">
        <w:rPr>
          <w:lang w:val="en"/>
        </w:rPr>
        <w:t>easier for employers to offer such schemes because:</w:t>
      </w:r>
    </w:p>
    <w:p w:rsidR="00601004" w:rsidRPr="003237DF" w:rsidRDefault="00601004" w:rsidP="00601004">
      <w:pPr>
        <w:pStyle w:val="subparaa"/>
        <w:rPr>
          <w:lang w:val="en"/>
        </w:rPr>
      </w:pPr>
      <w:r w:rsidRPr="003237DF">
        <w:rPr>
          <w:lang w:val="en"/>
        </w:rPr>
        <w:t xml:space="preserve">it alleviates the need to prepare a </w:t>
      </w:r>
      <w:r w:rsidRPr="003237DF">
        <w:t>disclosure</w:t>
      </w:r>
      <w:r w:rsidRPr="003237DF">
        <w:rPr>
          <w:lang w:val="en"/>
        </w:rPr>
        <w:t xml:space="preserve"> document (i.e. a prospectus, offer information statement or </w:t>
      </w:r>
      <w:r w:rsidR="00EF627F" w:rsidRPr="003237DF">
        <w:rPr>
          <w:lang w:val="en"/>
        </w:rPr>
        <w:t>Product Disclosure Statement</w:t>
      </w:r>
      <w:r w:rsidRPr="003237DF">
        <w:rPr>
          <w:lang w:val="en"/>
        </w:rPr>
        <w:t>);</w:t>
      </w:r>
    </w:p>
    <w:p w:rsidR="00601004" w:rsidRPr="003237DF" w:rsidRDefault="00601004" w:rsidP="00601004">
      <w:pPr>
        <w:pStyle w:val="subparaa"/>
        <w:rPr>
          <w:lang w:val="en"/>
        </w:rPr>
      </w:pPr>
      <w:r w:rsidRPr="003237DF">
        <w:rPr>
          <w:lang w:val="en"/>
        </w:rPr>
        <w:t>it alleviates the need to obtain a relevant licence to provide certain financial services</w:t>
      </w:r>
      <w:r w:rsidR="00EC7E35">
        <w:rPr>
          <w:lang w:val="en"/>
        </w:rPr>
        <w:t>,</w:t>
      </w:r>
      <w:r w:rsidRPr="003237DF">
        <w:rPr>
          <w:lang w:val="en"/>
        </w:rPr>
        <w:t xml:space="preserve"> or</w:t>
      </w:r>
      <w:r w:rsidR="00EF627F" w:rsidRPr="003237DF">
        <w:rPr>
          <w:lang w:val="en"/>
        </w:rPr>
        <w:t>,</w:t>
      </w:r>
      <w:r w:rsidRPr="003237DF">
        <w:rPr>
          <w:lang w:val="en"/>
        </w:rPr>
        <w:t xml:space="preserve"> alternative</w:t>
      </w:r>
      <w:r w:rsidR="00EF627F" w:rsidRPr="003237DF">
        <w:rPr>
          <w:lang w:val="en"/>
        </w:rPr>
        <w:t>ly</w:t>
      </w:r>
      <w:r w:rsidRPr="003237DF">
        <w:rPr>
          <w:lang w:val="en"/>
        </w:rPr>
        <w:t>, to have to engage the services of a</w:t>
      </w:r>
      <w:r w:rsidR="000873E8" w:rsidRPr="003237DF">
        <w:rPr>
          <w:lang w:val="en"/>
        </w:rPr>
        <w:t>n</w:t>
      </w:r>
      <w:r w:rsidRPr="003237DF">
        <w:rPr>
          <w:lang w:val="en"/>
        </w:rPr>
        <w:t xml:space="preserve"> Australian </w:t>
      </w:r>
      <w:r w:rsidR="00EF627F" w:rsidRPr="003237DF">
        <w:rPr>
          <w:lang w:val="en"/>
        </w:rPr>
        <w:t xml:space="preserve">financial services (AFS) licence </w:t>
      </w:r>
      <w:r w:rsidRPr="003237DF">
        <w:rPr>
          <w:lang w:val="en"/>
        </w:rPr>
        <w:t xml:space="preserve">holder to provide the relevant financial services; </w:t>
      </w:r>
    </w:p>
    <w:p w:rsidR="006F4563" w:rsidRPr="003237DF" w:rsidRDefault="00601004" w:rsidP="00601004">
      <w:pPr>
        <w:pStyle w:val="subparaa"/>
        <w:rPr>
          <w:lang w:val="en"/>
        </w:rPr>
      </w:pPr>
      <w:r w:rsidRPr="003237DF">
        <w:rPr>
          <w:lang w:val="en"/>
        </w:rPr>
        <w:t xml:space="preserve">it enables employers to undertake the activities associated with advertising and discussing the terms of the schemes without the </w:t>
      </w:r>
      <w:r w:rsidR="006F4563" w:rsidRPr="003237DF">
        <w:rPr>
          <w:lang w:val="en"/>
        </w:rPr>
        <w:t xml:space="preserve">constraints </w:t>
      </w:r>
      <w:r w:rsidR="006178BB" w:rsidRPr="003237DF">
        <w:rPr>
          <w:lang w:val="en"/>
        </w:rPr>
        <w:t xml:space="preserve">imposed by the Corporations Act </w:t>
      </w:r>
      <w:r w:rsidR="006F4563" w:rsidRPr="003237DF">
        <w:rPr>
          <w:lang w:val="en"/>
        </w:rPr>
        <w:t xml:space="preserve">that otherwise </w:t>
      </w:r>
      <w:r w:rsidR="006178BB" w:rsidRPr="003237DF">
        <w:rPr>
          <w:lang w:val="en"/>
        </w:rPr>
        <w:t>curtail</w:t>
      </w:r>
      <w:r w:rsidR="006F4563" w:rsidRPr="003237DF">
        <w:rPr>
          <w:lang w:val="en"/>
        </w:rPr>
        <w:t xml:space="preserve"> these activities;</w:t>
      </w:r>
      <w:r w:rsidR="000873E8" w:rsidRPr="003237DF">
        <w:rPr>
          <w:lang w:val="en"/>
        </w:rPr>
        <w:t xml:space="preserve"> and</w:t>
      </w:r>
    </w:p>
    <w:p w:rsidR="006F4563" w:rsidRPr="003237DF" w:rsidRDefault="00015132" w:rsidP="00601004">
      <w:pPr>
        <w:pStyle w:val="subparaa"/>
        <w:rPr>
          <w:lang w:val="en"/>
        </w:rPr>
      </w:pPr>
      <w:r w:rsidRPr="003237DF">
        <w:rPr>
          <w:lang w:val="en"/>
        </w:rPr>
        <w:t xml:space="preserve">it will </w:t>
      </w:r>
      <w:r w:rsidR="00601004" w:rsidRPr="003237DF">
        <w:rPr>
          <w:lang w:val="en"/>
        </w:rPr>
        <w:t xml:space="preserve">reduce the </w:t>
      </w:r>
      <w:r w:rsidR="006178BB" w:rsidRPr="003237DF">
        <w:rPr>
          <w:lang w:val="en"/>
        </w:rPr>
        <w:t xml:space="preserve">procedural and </w:t>
      </w:r>
      <w:r w:rsidRPr="003237DF">
        <w:rPr>
          <w:lang w:val="en"/>
        </w:rPr>
        <w:t xml:space="preserve">administrative </w:t>
      </w:r>
      <w:r w:rsidR="006178BB" w:rsidRPr="003237DF">
        <w:rPr>
          <w:lang w:val="en"/>
        </w:rPr>
        <w:t xml:space="preserve">compliance </w:t>
      </w:r>
      <w:r w:rsidRPr="003237DF">
        <w:rPr>
          <w:lang w:val="en"/>
        </w:rPr>
        <w:t>requirements</w:t>
      </w:r>
      <w:r w:rsidR="003D4A46" w:rsidRPr="003237DF">
        <w:rPr>
          <w:lang w:val="en"/>
        </w:rPr>
        <w:t xml:space="preserve">. </w:t>
      </w:r>
    </w:p>
    <w:p w:rsidR="006F4563" w:rsidRPr="003237DF" w:rsidRDefault="003D4A46" w:rsidP="006F4563">
      <w:pPr>
        <w:pStyle w:val="BodyText"/>
        <w:rPr>
          <w:lang w:val="en"/>
        </w:rPr>
      </w:pPr>
      <w:r w:rsidRPr="003237DF">
        <w:rPr>
          <w:lang w:val="en"/>
        </w:rPr>
        <w:t xml:space="preserve">The net benefit of Option 2 would be </w:t>
      </w:r>
      <w:r w:rsidR="00015132" w:rsidRPr="003237DF">
        <w:rPr>
          <w:lang w:val="en"/>
        </w:rPr>
        <w:t xml:space="preserve">even </w:t>
      </w:r>
      <w:r w:rsidRPr="003237DF">
        <w:rPr>
          <w:lang w:val="en"/>
        </w:rPr>
        <w:t>greater for employers</w:t>
      </w:r>
      <w:r w:rsidR="00D06D1F" w:rsidRPr="003237DF">
        <w:rPr>
          <w:lang w:val="en"/>
        </w:rPr>
        <w:t xml:space="preserve"> because </w:t>
      </w:r>
      <w:r w:rsidR="00015132" w:rsidRPr="003237DF">
        <w:rPr>
          <w:lang w:val="en"/>
        </w:rPr>
        <w:t>no conditions would be prescribed in the class order</w:t>
      </w:r>
      <w:r w:rsidR="006178BB" w:rsidRPr="003237DF">
        <w:rPr>
          <w:lang w:val="en"/>
        </w:rPr>
        <w:t xml:space="preserve"> relief</w:t>
      </w:r>
      <w:r w:rsidR="00015132" w:rsidRPr="003237DF">
        <w:rPr>
          <w:lang w:val="en"/>
        </w:rPr>
        <w:t>.</w:t>
      </w:r>
      <w:r w:rsidR="00946724" w:rsidRPr="003237DF">
        <w:rPr>
          <w:lang w:val="en"/>
        </w:rPr>
        <w:t xml:space="preserve"> </w:t>
      </w:r>
      <w:r w:rsidR="00015132" w:rsidRPr="003237DF">
        <w:rPr>
          <w:lang w:val="en"/>
        </w:rPr>
        <w:t>T</w:t>
      </w:r>
      <w:r w:rsidR="004863A3" w:rsidRPr="003237DF">
        <w:rPr>
          <w:lang w:val="en"/>
        </w:rPr>
        <w:t>his would leave the disclosure and terms of the employee incentive arrangements to private contractual arrangements without any regulatory protections</w:t>
      </w:r>
      <w:r w:rsidR="006178BB" w:rsidRPr="003237DF">
        <w:rPr>
          <w:lang w:val="en"/>
        </w:rPr>
        <w:t xml:space="preserve"> for employees</w:t>
      </w:r>
      <w:r w:rsidR="004863A3" w:rsidRPr="003237DF">
        <w:rPr>
          <w:lang w:val="en"/>
        </w:rPr>
        <w:t>.</w:t>
      </w:r>
      <w:r w:rsidR="00946724" w:rsidRPr="003237DF">
        <w:rPr>
          <w:lang w:val="en"/>
        </w:rPr>
        <w:t xml:space="preserve"> </w:t>
      </w:r>
      <w:r w:rsidR="004863A3" w:rsidRPr="003237DF">
        <w:rPr>
          <w:lang w:val="en"/>
        </w:rPr>
        <w:t xml:space="preserve">This </w:t>
      </w:r>
      <w:r w:rsidR="00015132" w:rsidRPr="003237DF">
        <w:rPr>
          <w:lang w:val="en"/>
        </w:rPr>
        <w:t>was not considered acceptable</w:t>
      </w:r>
      <w:r w:rsidR="00D06D1F" w:rsidRPr="003237DF">
        <w:rPr>
          <w:lang w:val="en"/>
        </w:rPr>
        <w:t xml:space="preserve"> because </w:t>
      </w:r>
      <w:r w:rsidR="00015132" w:rsidRPr="003237DF">
        <w:rPr>
          <w:lang w:val="en"/>
        </w:rPr>
        <w:t xml:space="preserve">it </w:t>
      </w:r>
      <w:r w:rsidR="004863A3" w:rsidRPr="003237DF">
        <w:rPr>
          <w:lang w:val="en"/>
        </w:rPr>
        <w:t xml:space="preserve">would </w:t>
      </w:r>
      <w:r w:rsidR="00015132" w:rsidRPr="003237DF">
        <w:rPr>
          <w:lang w:val="en"/>
        </w:rPr>
        <w:t xml:space="preserve">disadvantage </w:t>
      </w:r>
      <w:r w:rsidR="004863A3" w:rsidRPr="003237DF">
        <w:rPr>
          <w:lang w:val="en"/>
        </w:rPr>
        <w:t xml:space="preserve">employees </w:t>
      </w:r>
      <w:r w:rsidR="00015132" w:rsidRPr="003237DF">
        <w:rPr>
          <w:lang w:val="en"/>
        </w:rPr>
        <w:t xml:space="preserve">who would incur </w:t>
      </w:r>
      <w:r w:rsidR="00EF627F" w:rsidRPr="003237DF">
        <w:rPr>
          <w:lang w:val="en"/>
        </w:rPr>
        <w:t>the</w:t>
      </w:r>
      <w:r w:rsidR="00015132" w:rsidRPr="003237DF">
        <w:rPr>
          <w:lang w:val="en"/>
        </w:rPr>
        <w:t xml:space="preserve"> </w:t>
      </w:r>
      <w:r w:rsidRPr="003237DF">
        <w:rPr>
          <w:lang w:val="en"/>
        </w:rPr>
        <w:t xml:space="preserve">substantial loss of </w:t>
      </w:r>
      <w:r w:rsidR="004863A3" w:rsidRPr="003237DF">
        <w:rPr>
          <w:lang w:val="en"/>
        </w:rPr>
        <w:t xml:space="preserve">a minimum standard of disclosure </w:t>
      </w:r>
      <w:r w:rsidR="00015132" w:rsidRPr="003237DF">
        <w:rPr>
          <w:lang w:val="en"/>
        </w:rPr>
        <w:t>and</w:t>
      </w:r>
      <w:r w:rsidR="006178BB" w:rsidRPr="003237DF">
        <w:rPr>
          <w:lang w:val="en"/>
        </w:rPr>
        <w:t xml:space="preserve"> other investor protection mechanism</w:t>
      </w:r>
      <w:r w:rsidR="00D22B56" w:rsidRPr="003237DF">
        <w:rPr>
          <w:lang w:val="en"/>
        </w:rPr>
        <w:t>s</w:t>
      </w:r>
      <w:r w:rsidR="00015132" w:rsidRPr="003237DF">
        <w:rPr>
          <w:lang w:val="en"/>
        </w:rPr>
        <w:t>.</w:t>
      </w:r>
      <w:r w:rsidR="00946724" w:rsidRPr="003237DF">
        <w:rPr>
          <w:lang w:val="en"/>
        </w:rPr>
        <w:t xml:space="preserve"> </w:t>
      </w:r>
      <w:r w:rsidR="00015132" w:rsidRPr="003237DF">
        <w:rPr>
          <w:lang w:val="en"/>
        </w:rPr>
        <w:t xml:space="preserve">It would put employees </w:t>
      </w:r>
      <w:r w:rsidR="004863A3" w:rsidRPr="003237DF">
        <w:rPr>
          <w:lang w:val="en"/>
        </w:rPr>
        <w:t xml:space="preserve">out of step with </w:t>
      </w:r>
      <w:r w:rsidR="00B0132D" w:rsidRPr="003237DF">
        <w:rPr>
          <w:lang w:val="en"/>
        </w:rPr>
        <w:t>non-employee investors</w:t>
      </w:r>
      <w:r w:rsidR="004863A3" w:rsidRPr="003237DF">
        <w:rPr>
          <w:lang w:val="en"/>
        </w:rPr>
        <w:t xml:space="preserve"> when being offered financial products</w:t>
      </w:r>
      <w:r w:rsidR="00B0132D" w:rsidRPr="003237DF">
        <w:rPr>
          <w:lang w:val="en"/>
        </w:rPr>
        <w:t xml:space="preserve"> of an issuer</w:t>
      </w:r>
      <w:r w:rsidRPr="003237DF">
        <w:rPr>
          <w:lang w:val="en"/>
        </w:rPr>
        <w:t xml:space="preserve">. We think the </w:t>
      </w:r>
      <w:r w:rsidR="00B0132D" w:rsidRPr="003237DF">
        <w:rPr>
          <w:lang w:val="en"/>
        </w:rPr>
        <w:t xml:space="preserve">effect of this </w:t>
      </w:r>
      <w:r w:rsidR="00015132" w:rsidRPr="003237DF">
        <w:rPr>
          <w:lang w:val="en"/>
        </w:rPr>
        <w:t xml:space="preserve">would result in </w:t>
      </w:r>
      <w:r w:rsidRPr="003237DF">
        <w:rPr>
          <w:lang w:val="en"/>
        </w:rPr>
        <w:t xml:space="preserve">a net </w:t>
      </w:r>
      <w:r w:rsidR="004863A3" w:rsidRPr="003237DF">
        <w:rPr>
          <w:lang w:val="en"/>
        </w:rPr>
        <w:t>detriment</w:t>
      </w:r>
      <w:r w:rsidRPr="003237DF">
        <w:rPr>
          <w:lang w:val="en"/>
        </w:rPr>
        <w:t xml:space="preserve"> to the market,</w:t>
      </w:r>
      <w:r w:rsidR="004863A3" w:rsidRPr="003237DF">
        <w:rPr>
          <w:lang w:val="en"/>
        </w:rPr>
        <w:t xml:space="preserve"> industry,</w:t>
      </w:r>
      <w:r w:rsidRPr="003237DF">
        <w:rPr>
          <w:lang w:val="en"/>
        </w:rPr>
        <w:t xml:space="preserve"> </w:t>
      </w:r>
      <w:r w:rsidR="00015132" w:rsidRPr="003237DF">
        <w:rPr>
          <w:lang w:val="en"/>
        </w:rPr>
        <w:t xml:space="preserve">ASIC, </w:t>
      </w:r>
      <w:r w:rsidRPr="003237DF">
        <w:rPr>
          <w:lang w:val="en"/>
        </w:rPr>
        <w:t>employers</w:t>
      </w:r>
      <w:r w:rsidR="00EC7E35">
        <w:rPr>
          <w:lang w:val="en"/>
        </w:rPr>
        <w:t>,</w:t>
      </w:r>
      <w:r w:rsidRPr="003237DF">
        <w:rPr>
          <w:lang w:val="en"/>
        </w:rPr>
        <w:t xml:space="preserve"> employees</w:t>
      </w:r>
      <w:r w:rsidR="004863A3" w:rsidRPr="003237DF">
        <w:rPr>
          <w:lang w:val="en"/>
        </w:rPr>
        <w:t xml:space="preserve"> and the wider community</w:t>
      </w:r>
      <w:r w:rsidRPr="003237DF">
        <w:rPr>
          <w:lang w:val="en"/>
        </w:rPr>
        <w:t>.</w:t>
      </w:r>
      <w:r w:rsidR="00946724" w:rsidRPr="003237DF">
        <w:rPr>
          <w:lang w:val="en"/>
        </w:rPr>
        <w:t xml:space="preserve"> </w:t>
      </w:r>
    </w:p>
    <w:p w:rsidR="003D4A46" w:rsidRPr="003237DF" w:rsidRDefault="003D4A46" w:rsidP="006F4563">
      <w:pPr>
        <w:pStyle w:val="BodyText"/>
        <w:rPr>
          <w:lang w:val="en"/>
        </w:rPr>
      </w:pPr>
      <w:r w:rsidRPr="003237DF">
        <w:rPr>
          <w:lang w:val="en"/>
        </w:rPr>
        <w:lastRenderedPageBreak/>
        <w:t xml:space="preserve">Option 3 would result in </w:t>
      </w:r>
      <w:r w:rsidR="00EF627F" w:rsidRPr="003237DF">
        <w:rPr>
          <w:lang w:val="en"/>
        </w:rPr>
        <w:t xml:space="preserve">a </w:t>
      </w:r>
      <w:r w:rsidRPr="003237DF">
        <w:rPr>
          <w:lang w:val="en"/>
        </w:rPr>
        <w:t xml:space="preserve">minor net benefit to employers but would not </w:t>
      </w:r>
      <w:r w:rsidR="00015132" w:rsidRPr="003237DF">
        <w:rPr>
          <w:lang w:val="en"/>
        </w:rPr>
        <w:t xml:space="preserve">be broad enough </w:t>
      </w:r>
      <w:r w:rsidRPr="003237DF">
        <w:rPr>
          <w:lang w:val="en"/>
        </w:rPr>
        <w:t xml:space="preserve">to enable </w:t>
      </w:r>
      <w:r w:rsidR="00015132" w:rsidRPr="003237DF">
        <w:rPr>
          <w:lang w:val="en"/>
        </w:rPr>
        <w:t xml:space="preserve">many </w:t>
      </w:r>
      <w:r w:rsidRPr="003237DF">
        <w:rPr>
          <w:lang w:val="en"/>
        </w:rPr>
        <w:t xml:space="preserve">employers to </w:t>
      </w:r>
      <w:r w:rsidR="001301CE" w:rsidRPr="003237DF">
        <w:rPr>
          <w:lang w:val="en"/>
        </w:rPr>
        <w:t>effectively offer employee incentive schemes to their employees</w:t>
      </w:r>
      <w:r w:rsidRPr="003237DF">
        <w:rPr>
          <w:lang w:val="en"/>
        </w:rPr>
        <w:t>.</w:t>
      </w:r>
      <w:r w:rsidR="00946724" w:rsidRPr="003237DF">
        <w:rPr>
          <w:lang w:val="en"/>
        </w:rPr>
        <w:t xml:space="preserve"> </w:t>
      </w:r>
      <w:r w:rsidRPr="003237DF">
        <w:rPr>
          <w:lang w:val="en"/>
        </w:rPr>
        <w:t xml:space="preserve">This means the cost of having to apply for </w:t>
      </w:r>
      <w:r w:rsidR="004863A3" w:rsidRPr="003237DF">
        <w:rPr>
          <w:lang w:val="en"/>
        </w:rPr>
        <w:t xml:space="preserve">individual </w:t>
      </w:r>
      <w:r w:rsidRPr="003237DF">
        <w:rPr>
          <w:lang w:val="en"/>
        </w:rPr>
        <w:t>ASIC relief</w:t>
      </w:r>
      <w:r w:rsidR="00015132" w:rsidRPr="003237DF">
        <w:rPr>
          <w:lang w:val="en"/>
        </w:rPr>
        <w:t>, or abandon the prospect of offering an employee incentive scheme</w:t>
      </w:r>
      <w:r w:rsidR="005F05AF" w:rsidRPr="003237DF">
        <w:rPr>
          <w:lang w:val="en"/>
        </w:rPr>
        <w:t xml:space="preserve"> entirely</w:t>
      </w:r>
      <w:r w:rsidR="00015132" w:rsidRPr="003237DF">
        <w:rPr>
          <w:lang w:val="en"/>
        </w:rPr>
        <w:t>,</w:t>
      </w:r>
      <w:r w:rsidRPr="003237DF">
        <w:rPr>
          <w:lang w:val="en"/>
        </w:rPr>
        <w:t xml:space="preserve"> would continue</w:t>
      </w:r>
      <w:r w:rsidR="005F05AF" w:rsidRPr="003237DF">
        <w:rPr>
          <w:lang w:val="en"/>
        </w:rPr>
        <w:t>.</w:t>
      </w:r>
      <w:r w:rsidR="00946724" w:rsidRPr="003237DF">
        <w:rPr>
          <w:lang w:val="en"/>
        </w:rPr>
        <w:t xml:space="preserve"> </w:t>
      </w:r>
      <w:r w:rsidR="005F05AF" w:rsidRPr="003237DF">
        <w:rPr>
          <w:lang w:val="en"/>
        </w:rPr>
        <w:t xml:space="preserve">This would result in </w:t>
      </w:r>
      <w:r w:rsidR="004863A3" w:rsidRPr="003237DF">
        <w:rPr>
          <w:lang w:val="en"/>
        </w:rPr>
        <w:t>a net detriment to</w:t>
      </w:r>
      <w:r w:rsidR="00015132" w:rsidRPr="003237DF">
        <w:rPr>
          <w:lang w:val="en"/>
        </w:rPr>
        <w:t xml:space="preserve"> employers</w:t>
      </w:r>
      <w:r w:rsidR="005F05AF" w:rsidRPr="003237DF">
        <w:rPr>
          <w:lang w:val="en"/>
        </w:rPr>
        <w:t>,</w:t>
      </w:r>
      <w:r w:rsidR="00015132" w:rsidRPr="003237DF">
        <w:rPr>
          <w:lang w:val="en"/>
        </w:rPr>
        <w:t xml:space="preserve"> employees</w:t>
      </w:r>
      <w:r w:rsidR="005F05AF" w:rsidRPr="003237DF">
        <w:rPr>
          <w:lang w:val="en"/>
        </w:rPr>
        <w:t>, ASIC</w:t>
      </w:r>
      <w:r w:rsidR="00015132" w:rsidRPr="003237DF">
        <w:rPr>
          <w:lang w:val="en"/>
        </w:rPr>
        <w:t xml:space="preserve"> and the wider community</w:t>
      </w:r>
      <w:r w:rsidRPr="003237DF">
        <w:rPr>
          <w:lang w:val="en"/>
        </w:rPr>
        <w:t>.</w:t>
      </w:r>
    </w:p>
    <w:p w:rsidR="00294570" w:rsidRPr="003237DF" w:rsidRDefault="00CF7669" w:rsidP="00E221DB">
      <w:pPr>
        <w:pStyle w:val="Heading2"/>
        <w:rPr>
          <w:lang w:val="en"/>
        </w:rPr>
      </w:pPr>
      <w:bookmarkStart w:id="10" w:name="_Toc398206724"/>
      <w:r w:rsidRPr="003237DF">
        <w:t>Who will you consult about these options and how will you consult</w:t>
      </w:r>
      <w:r w:rsidR="00EF627F" w:rsidRPr="003237DF">
        <w:t> </w:t>
      </w:r>
      <w:r w:rsidRPr="003237DF">
        <w:t>them?</w:t>
      </w:r>
      <w:bookmarkEnd w:id="10"/>
    </w:p>
    <w:p w:rsidR="00EF627F" w:rsidRPr="003237DF" w:rsidRDefault="00CD7A09" w:rsidP="00294570">
      <w:pPr>
        <w:pStyle w:val="BodyText"/>
        <w:rPr>
          <w:lang w:val="en"/>
        </w:rPr>
      </w:pPr>
      <w:r w:rsidRPr="003237DF">
        <w:rPr>
          <w:lang w:val="en"/>
        </w:rPr>
        <w:t xml:space="preserve">We have consulted </w:t>
      </w:r>
      <w:r w:rsidR="00645182" w:rsidRPr="003237DF">
        <w:rPr>
          <w:lang w:val="en"/>
        </w:rPr>
        <w:t xml:space="preserve">with </w:t>
      </w:r>
      <w:r w:rsidRPr="003237DF">
        <w:rPr>
          <w:lang w:val="en"/>
        </w:rPr>
        <w:t xml:space="preserve">stakeholders by </w:t>
      </w:r>
      <w:r w:rsidR="000E689B" w:rsidRPr="003237DF">
        <w:rPr>
          <w:lang w:val="en"/>
        </w:rPr>
        <w:t>undertaking informal roundtable discussions in Melbourne</w:t>
      </w:r>
      <w:r w:rsidR="00060768" w:rsidRPr="003237DF">
        <w:rPr>
          <w:lang w:val="en"/>
        </w:rPr>
        <w:t>, Perth</w:t>
      </w:r>
      <w:r w:rsidR="000E689B" w:rsidRPr="003237DF">
        <w:rPr>
          <w:lang w:val="en"/>
        </w:rPr>
        <w:t xml:space="preserve"> and Sydney</w:t>
      </w:r>
      <w:r w:rsidR="005F05AF" w:rsidRPr="003237DF">
        <w:rPr>
          <w:lang w:val="en"/>
        </w:rPr>
        <w:t>.</w:t>
      </w:r>
      <w:r w:rsidR="00946724" w:rsidRPr="003237DF">
        <w:rPr>
          <w:lang w:val="en"/>
        </w:rPr>
        <w:t xml:space="preserve"> </w:t>
      </w:r>
      <w:r w:rsidR="005F05AF" w:rsidRPr="003237DF">
        <w:rPr>
          <w:lang w:val="en"/>
        </w:rPr>
        <w:t>This infor</w:t>
      </w:r>
      <w:r w:rsidR="00D22B56" w:rsidRPr="003237DF">
        <w:rPr>
          <w:lang w:val="en"/>
        </w:rPr>
        <w:t>mation</w:t>
      </w:r>
      <w:r w:rsidR="005F05AF" w:rsidRPr="003237DF">
        <w:rPr>
          <w:lang w:val="en"/>
        </w:rPr>
        <w:t xml:space="preserve"> assisted our considerations which resulted in </w:t>
      </w:r>
      <w:r w:rsidR="00312F0A" w:rsidRPr="003237DF">
        <w:rPr>
          <w:lang w:val="en"/>
        </w:rPr>
        <w:t xml:space="preserve">Media Release </w:t>
      </w:r>
      <w:r w:rsidR="008B67DD" w:rsidRPr="003237DF">
        <w:rPr>
          <w:lang w:val="en"/>
        </w:rPr>
        <w:t>(MR 13</w:t>
      </w:r>
      <w:r w:rsidR="00312F0A" w:rsidRPr="003237DF">
        <w:rPr>
          <w:lang w:val="en"/>
        </w:rPr>
        <w:t>-</w:t>
      </w:r>
      <w:r w:rsidR="008B67DD" w:rsidRPr="003237DF">
        <w:rPr>
          <w:lang w:val="en"/>
        </w:rPr>
        <w:t>310</w:t>
      </w:r>
      <w:r w:rsidR="00312F0A" w:rsidRPr="003237DF">
        <w:rPr>
          <w:lang w:val="en"/>
        </w:rPr>
        <w:t>)</w:t>
      </w:r>
      <w:r w:rsidR="000E689B" w:rsidRPr="003237DF">
        <w:rPr>
          <w:lang w:val="en"/>
        </w:rPr>
        <w:t xml:space="preserve"> </w:t>
      </w:r>
      <w:r w:rsidR="00312F0A" w:rsidRPr="003237DF">
        <w:rPr>
          <w:i/>
          <w:lang w:val="en"/>
        </w:rPr>
        <w:t>ASIC to update its employee share scheme policy and class order</w:t>
      </w:r>
      <w:r w:rsidR="00312F0A" w:rsidRPr="003237DF">
        <w:rPr>
          <w:lang w:val="en"/>
        </w:rPr>
        <w:t xml:space="preserve"> (14 November 2013)</w:t>
      </w:r>
      <w:r w:rsidR="00EF627F" w:rsidRPr="003237DF">
        <w:rPr>
          <w:lang w:val="en"/>
        </w:rPr>
        <w:t>,</w:t>
      </w:r>
      <w:r w:rsidR="00312F0A" w:rsidRPr="003237DF">
        <w:rPr>
          <w:lang w:val="en"/>
        </w:rPr>
        <w:t xml:space="preserve"> </w:t>
      </w:r>
      <w:r w:rsidR="000E689B" w:rsidRPr="003237DF">
        <w:rPr>
          <w:lang w:val="en"/>
        </w:rPr>
        <w:t xml:space="preserve">and </w:t>
      </w:r>
      <w:r w:rsidR="005F05AF" w:rsidRPr="003237DF">
        <w:rPr>
          <w:lang w:val="en"/>
        </w:rPr>
        <w:t xml:space="preserve">our </w:t>
      </w:r>
      <w:r w:rsidRPr="003237DF">
        <w:rPr>
          <w:lang w:val="en"/>
        </w:rPr>
        <w:t>publi</w:t>
      </w:r>
      <w:r w:rsidR="005F05AF" w:rsidRPr="003237DF">
        <w:rPr>
          <w:lang w:val="en"/>
        </w:rPr>
        <w:t xml:space="preserve">cation of </w:t>
      </w:r>
      <w:r w:rsidRPr="003237DF">
        <w:rPr>
          <w:lang w:val="en"/>
        </w:rPr>
        <w:t xml:space="preserve">Consultation Paper 218 </w:t>
      </w:r>
      <w:r w:rsidRPr="003237DF">
        <w:rPr>
          <w:i/>
          <w:lang w:val="en"/>
        </w:rPr>
        <w:t>Employee incentive schemes</w:t>
      </w:r>
      <w:r w:rsidR="00312F0A" w:rsidRPr="003237DF">
        <w:rPr>
          <w:i/>
          <w:lang w:val="en"/>
        </w:rPr>
        <w:t xml:space="preserve"> </w:t>
      </w:r>
      <w:r w:rsidR="00312F0A" w:rsidRPr="003237DF">
        <w:rPr>
          <w:lang w:val="en"/>
        </w:rPr>
        <w:t>(CP 218)</w:t>
      </w:r>
      <w:r w:rsidR="008B67DD" w:rsidRPr="003237DF">
        <w:rPr>
          <w:lang w:val="en"/>
        </w:rPr>
        <w:t xml:space="preserve"> and draft </w:t>
      </w:r>
      <w:r w:rsidR="00EF627F" w:rsidRPr="003237DF">
        <w:rPr>
          <w:lang w:val="en"/>
        </w:rPr>
        <w:t xml:space="preserve">updated </w:t>
      </w:r>
      <w:r w:rsidR="008B67DD" w:rsidRPr="003237DF">
        <w:rPr>
          <w:lang w:val="en"/>
        </w:rPr>
        <w:t>R</w:t>
      </w:r>
      <w:r w:rsidR="00D22B56" w:rsidRPr="003237DF">
        <w:rPr>
          <w:lang w:val="en"/>
        </w:rPr>
        <w:t>G 49</w:t>
      </w:r>
      <w:r w:rsidRPr="003237DF">
        <w:rPr>
          <w:lang w:val="en"/>
        </w:rPr>
        <w:t>.</w:t>
      </w:r>
      <w:r w:rsidR="00946724" w:rsidRPr="003237DF">
        <w:rPr>
          <w:lang w:val="en"/>
        </w:rPr>
        <w:t xml:space="preserve"> </w:t>
      </w:r>
    </w:p>
    <w:p w:rsidR="00CF7669" w:rsidRPr="003237DF" w:rsidRDefault="00CD7A09" w:rsidP="00294570">
      <w:pPr>
        <w:pStyle w:val="BodyText"/>
        <w:rPr>
          <w:lang w:val="en"/>
        </w:rPr>
      </w:pPr>
      <w:r w:rsidRPr="003237DF">
        <w:rPr>
          <w:lang w:val="en"/>
        </w:rPr>
        <w:t xml:space="preserve">In </w:t>
      </w:r>
      <w:r w:rsidR="000E689B" w:rsidRPr="003237DF">
        <w:rPr>
          <w:lang w:val="en"/>
        </w:rPr>
        <w:t>CP 218</w:t>
      </w:r>
      <w:r w:rsidR="00EF627F" w:rsidRPr="003237DF">
        <w:rPr>
          <w:lang w:val="en"/>
        </w:rPr>
        <w:t>,</w:t>
      </w:r>
      <w:r w:rsidR="000E689B" w:rsidRPr="003237DF">
        <w:rPr>
          <w:lang w:val="en"/>
        </w:rPr>
        <w:t xml:space="preserve"> </w:t>
      </w:r>
      <w:r w:rsidRPr="003237DF">
        <w:rPr>
          <w:lang w:val="en"/>
        </w:rPr>
        <w:t>we set out the proposed scope of revising our class order</w:t>
      </w:r>
      <w:r w:rsidR="00645182" w:rsidRPr="003237DF">
        <w:rPr>
          <w:lang w:val="en"/>
        </w:rPr>
        <w:t>,</w:t>
      </w:r>
      <w:r w:rsidRPr="003237DF">
        <w:rPr>
          <w:lang w:val="en"/>
        </w:rPr>
        <w:t xml:space="preserve"> including explicit details about the conditions </w:t>
      </w:r>
      <w:r w:rsidR="001E0204" w:rsidRPr="003237DF">
        <w:rPr>
          <w:lang w:val="en"/>
        </w:rPr>
        <w:t>we would require before we would</w:t>
      </w:r>
      <w:r w:rsidRPr="003237DF">
        <w:rPr>
          <w:lang w:val="en"/>
        </w:rPr>
        <w:t xml:space="preserve"> grant class order relief.</w:t>
      </w:r>
      <w:r w:rsidR="00946724" w:rsidRPr="003237DF">
        <w:rPr>
          <w:lang w:val="en"/>
        </w:rPr>
        <w:t xml:space="preserve"> </w:t>
      </w:r>
      <w:r w:rsidRPr="003237DF">
        <w:rPr>
          <w:lang w:val="en"/>
        </w:rPr>
        <w:t>We provided for a 10</w:t>
      </w:r>
      <w:r w:rsidR="00645182" w:rsidRPr="003237DF">
        <w:rPr>
          <w:lang w:val="en"/>
        </w:rPr>
        <w:t>-</w:t>
      </w:r>
      <w:r w:rsidRPr="003237DF">
        <w:rPr>
          <w:lang w:val="en"/>
        </w:rPr>
        <w:t>week consultation period and received 21 written responses</w:t>
      </w:r>
      <w:r w:rsidR="000E689B" w:rsidRPr="003237DF">
        <w:rPr>
          <w:lang w:val="en"/>
        </w:rPr>
        <w:t xml:space="preserve">, as well as </w:t>
      </w:r>
      <w:r w:rsidR="00772622" w:rsidRPr="003237DF">
        <w:rPr>
          <w:lang w:val="en"/>
        </w:rPr>
        <w:t xml:space="preserve">a number of telephone </w:t>
      </w:r>
      <w:r w:rsidR="000E689B" w:rsidRPr="003237DF">
        <w:rPr>
          <w:lang w:val="en"/>
        </w:rPr>
        <w:t xml:space="preserve">inquiries </w:t>
      </w:r>
      <w:r w:rsidR="00772622" w:rsidRPr="003237DF">
        <w:rPr>
          <w:lang w:val="en"/>
        </w:rPr>
        <w:t>about discrete issues in CP 218.</w:t>
      </w:r>
      <w:r w:rsidR="00946724" w:rsidRPr="003237DF">
        <w:rPr>
          <w:lang w:val="en"/>
        </w:rPr>
        <w:t xml:space="preserve"> </w:t>
      </w:r>
      <w:r w:rsidR="005F05AF" w:rsidRPr="003237DF">
        <w:rPr>
          <w:lang w:val="en"/>
        </w:rPr>
        <w:t>In general, r</w:t>
      </w:r>
      <w:r w:rsidR="00FF3673" w:rsidRPr="003237DF">
        <w:rPr>
          <w:lang w:val="en"/>
        </w:rPr>
        <w:t>espondents</w:t>
      </w:r>
      <w:r w:rsidR="00472A7B" w:rsidRPr="003237DF">
        <w:rPr>
          <w:lang w:val="en"/>
        </w:rPr>
        <w:t xml:space="preserve"> supported our proposal</w:t>
      </w:r>
      <w:r w:rsidR="00FF3673" w:rsidRPr="003237DF">
        <w:rPr>
          <w:lang w:val="en"/>
        </w:rPr>
        <w:t>s</w:t>
      </w:r>
      <w:r w:rsidR="005F05AF" w:rsidRPr="003237DF">
        <w:rPr>
          <w:lang w:val="en"/>
        </w:rPr>
        <w:t xml:space="preserve"> and</w:t>
      </w:r>
      <w:r w:rsidR="00645182" w:rsidRPr="003237DF">
        <w:rPr>
          <w:lang w:val="en"/>
        </w:rPr>
        <w:t>,</w:t>
      </w:r>
      <w:r w:rsidR="005F05AF" w:rsidRPr="003237DF">
        <w:rPr>
          <w:lang w:val="en"/>
        </w:rPr>
        <w:t xml:space="preserve"> in particular</w:t>
      </w:r>
      <w:r w:rsidR="00645182" w:rsidRPr="003237DF">
        <w:rPr>
          <w:lang w:val="en"/>
        </w:rPr>
        <w:t>,</w:t>
      </w:r>
      <w:r w:rsidR="005F05AF" w:rsidRPr="003237DF">
        <w:rPr>
          <w:lang w:val="en"/>
        </w:rPr>
        <w:t xml:space="preserve"> supported Option 1 over the </w:t>
      </w:r>
      <w:r w:rsidR="00645182" w:rsidRPr="003237DF">
        <w:rPr>
          <w:lang w:val="en"/>
        </w:rPr>
        <w:t>other options</w:t>
      </w:r>
      <w:r w:rsidR="00472A7B" w:rsidRPr="003237DF">
        <w:rPr>
          <w:lang w:val="en"/>
        </w:rPr>
        <w:t>.</w:t>
      </w:r>
    </w:p>
    <w:p w:rsidR="00294570" w:rsidRPr="003237DF" w:rsidRDefault="00CF7669" w:rsidP="00E221DB">
      <w:pPr>
        <w:pStyle w:val="Heading2"/>
      </w:pPr>
      <w:bookmarkStart w:id="11" w:name="_Toc398206725"/>
      <w:r w:rsidRPr="003237DF">
        <w:t>What is the best option from those you have considered?</w:t>
      </w:r>
      <w:bookmarkEnd w:id="11"/>
    </w:p>
    <w:p w:rsidR="00946724" w:rsidRPr="003237DF" w:rsidRDefault="00772622" w:rsidP="00294570">
      <w:pPr>
        <w:pStyle w:val="BodyText"/>
        <w:rPr>
          <w:lang w:val="en"/>
        </w:rPr>
      </w:pPr>
      <w:r w:rsidRPr="003237DF">
        <w:rPr>
          <w:lang w:val="en"/>
        </w:rPr>
        <w:t>We consider the best option is Option 1</w:t>
      </w:r>
      <w:r w:rsidR="00946724" w:rsidRPr="003237DF">
        <w:rPr>
          <w:lang w:val="en"/>
        </w:rPr>
        <w:t>—t</w:t>
      </w:r>
      <w:r w:rsidRPr="003237DF">
        <w:rPr>
          <w:lang w:val="en"/>
        </w:rPr>
        <w:t xml:space="preserve">hat is, to make substantive changes to our existing class order </w:t>
      </w:r>
      <w:r w:rsidR="00EF627F" w:rsidRPr="003237DF">
        <w:rPr>
          <w:lang w:val="en"/>
        </w:rPr>
        <w:t xml:space="preserve">relief </w:t>
      </w:r>
      <w:r w:rsidRPr="003237DF">
        <w:rPr>
          <w:lang w:val="en"/>
        </w:rPr>
        <w:t xml:space="preserve">to accommodate the needs of employers, while </w:t>
      </w:r>
      <w:r w:rsidR="00EF627F" w:rsidRPr="003237DF">
        <w:rPr>
          <w:lang w:val="en"/>
        </w:rPr>
        <w:t>strengthening</w:t>
      </w:r>
      <w:r w:rsidR="000C7DC4" w:rsidRPr="003237DF">
        <w:rPr>
          <w:lang w:val="en"/>
        </w:rPr>
        <w:t xml:space="preserve"> </w:t>
      </w:r>
      <w:r w:rsidRPr="003237DF">
        <w:rPr>
          <w:lang w:val="en"/>
        </w:rPr>
        <w:t xml:space="preserve">conditions designed to ensure that employees are adequately informed about the risks and terms and conditions of the employee incentive scheme they are being offered. </w:t>
      </w:r>
    </w:p>
    <w:p w:rsidR="00946724" w:rsidRPr="003237DF" w:rsidRDefault="00EE7213" w:rsidP="00294570">
      <w:pPr>
        <w:pStyle w:val="BodyText"/>
        <w:rPr>
          <w:lang w:val="en"/>
        </w:rPr>
      </w:pPr>
      <w:r w:rsidRPr="003237DF">
        <w:rPr>
          <w:lang w:val="en"/>
        </w:rPr>
        <w:t xml:space="preserve">We have also </w:t>
      </w:r>
      <w:r w:rsidR="005F05AF" w:rsidRPr="003237DF">
        <w:rPr>
          <w:lang w:val="en"/>
        </w:rPr>
        <w:t xml:space="preserve">taken the opportunity to update </w:t>
      </w:r>
      <w:r w:rsidRPr="003237DF">
        <w:rPr>
          <w:lang w:val="en"/>
        </w:rPr>
        <w:t xml:space="preserve">RG 49 to </w:t>
      </w:r>
      <w:r w:rsidR="005F05AF" w:rsidRPr="003237DF">
        <w:rPr>
          <w:lang w:val="en"/>
        </w:rPr>
        <w:t xml:space="preserve">give clearer </w:t>
      </w:r>
      <w:r w:rsidRPr="003237DF">
        <w:rPr>
          <w:lang w:val="en"/>
        </w:rPr>
        <w:t xml:space="preserve">guidance on our policy </w:t>
      </w:r>
      <w:r w:rsidR="000E689B" w:rsidRPr="003237DF">
        <w:rPr>
          <w:lang w:val="en"/>
        </w:rPr>
        <w:t>setting</w:t>
      </w:r>
      <w:r w:rsidR="005F05AF" w:rsidRPr="003237DF">
        <w:rPr>
          <w:lang w:val="en"/>
        </w:rPr>
        <w:t>s</w:t>
      </w:r>
      <w:r w:rsidR="000E689B" w:rsidRPr="003237DF">
        <w:rPr>
          <w:lang w:val="en"/>
        </w:rPr>
        <w:t xml:space="preserve">, </w:t>
      </w:r>
      <w:r w:rsidRPr="003237DF">
        <w:rPr>
          <w:lang w:val="en"/>
        </w:rPr>
        <w:t xml:space="preserve">and </w:t>
      </w:r>
      <w:r w:rsidR="005F05AF" w:rsidRPr="003237DF">
        <w:rPr>
          <w:lang w:val="en"/>
        </w:rPr>
        <w:t xml:space="preserve">to illustrate </w:t>
      </w:r>
      <w:r w:rsidR="000E689B" w:rsidRPr="003237DF">
        <w:rPr>
          <w:lang w:val="en"/>
        </w:rPr>
        <w:t xml:space="preserve">the factors </w:t>
      </w:r>
      <w:r w:rsidR="00645182" w:rsidRPr="003237DF">
        <w:rPr>
          <w:lang w:val="en"/>
        </w:rPr>
        <w:t xml:space="preserve">that </w:t>
      </w:r>
      <w:r w:rsidR="000E689B" w:rsidRPr="003237DF">
        <w:rPr>
          <w:lang w:val="en"/>
        </w:rPr>
        <w:t xml:space="preserve">we will </w:t>
      </w:r>
      <w:r w:rsidR="005F05AF" w:rsidRPr="003237DF">
        <w:rPr>
          <w:lang w:val="en"/>
        </w:rPr>
        <w:t xml:space="preserve">take into account </w:t>
      </w:r>
      <w:r w:rsidR="000E689B" w:rsidRPr="003237DF">
        <w:rPr>
          <w:lang w:val="en"/>
        </w:rPr>
        <w:t xml:space="preserve">if we are asked to </w:t>
      </w:r>
      <w:r w:rsidRPr="003237DF">
        <w:rPr>
          <w:lang w:val="en"/>
        </w:rPr>
        <w:t>grant case-by-case relief.</w:t>
      </w:r>
      <w:r w:rsidR="00946724" w:rsidRPr="003237DF">
        <w:rPr>
          <w:lang w:val="en"/>
        </w:rPr>
        <w:t xml:space="preserve"> </w:t>
      </w:r>
    </w:p>
    <w:p w:rsidR="00CF7669" w:rsidRPr="003237DF" w:rsidRDefault="005F05AF" w:rsidP="00294570">
      <w:pPr>
        <w:pStyle w:val="BodyText"/>
        <w:rPr>
          <w:lang w:val="en"/>
        </w:rPr>
      </w:pPr>
      <w:r w:rsidRPr="003237DF">
        <w:rPr>
          <w:lang w:val="en"/>
        </w:rPr>
        <w:t xml:space="preserve">As mentioned above, respondents to CP 218 broadly </w:t>
      </w:r>
      <w:r w:rsidR="00EE7213" w:rsidRPr="003237DF">
        <w:rPr>
          <w:lang w:val="en"/>
        </w:rPr>
        <w:t>support</w:t>
      </w:r>
      <w:r w:rsidRPr="003237DF">
        <w:rPr>
          <w:lang w:val="en"/>
        </w:rPr>
        <w:t>ed</w:t>
      </w:r>
      <w:r w:rsidR="00EE7213" w:rsidRPr="003237DF">
        <w:rPr>
          <w:lang w:val="en"/>
        </w:rPr>
        <w:t xml:space="preserve"> Option 1 over any of the other </w:t>
      </w:r>
      <w:r w:rsidR="00645182" w:rsidRPr="003237DF">
        <w:rPr>
          <w:lang w:val="en"/>
        </w:rPr>
        <w:t>options</w:t>
      </w:r>
      <w:r w:rsidRPr="003237DF">
        <w:rPr>
          <w:lang w:val="en"/>
        </w:rPr>
        <w:t>.</w:t>
      </w:r>
      <w:r w:rsidR="00946724" w:rsidRPr="003237DF">
        <w:rPr>
          <w:lang w:val="en"/>
        </w:rPr>
        <w:t xml:space="preserve"> </w:t>
      </w:r>
      <w:r w:rsidRPr="003237DF">
        <w:rPr>
          <w:lang w:val="en"/>
        </w:rPr>
        <w:t xml:space="preserve">They </w:t>
      </w:r>
      <w:r w:rsidR="00EE7213" w:rsidRPr="003237DF">
        <w:rPr>
          <w:lang w:val="en"/>
        </w:rPr>
        <w:t xml:space="preserve">acknowledged that there was a need </w:t>
      </w:r>
      <w:r w:rsidRPr="003237DF">
        <w:rPr>
          <w:lang w:val="en"/>
        </w:rPr>
        <w:t xml:space="preserve">for ASIC </w:t>
      </w:r>
      <w:r w:rsidR="00EE7213" w:rsidRPr="003237DF">
        <w:rPr>
          <w:lang w:val="en"/>
        </w:rPr>
        <w:t xml:space="preserve">to balance the requirements of employers with the information needs of employees. </w:t>
      </w:r>
    </w:p>
    <w:p w:rsidR="00294570" w:rsidRPr="003237DF" w:rsidRDefault="00CF7669" w:rsidP="00946724">
      <w:pPr>
        <w:pStyle w:val="Heading2"/>
        <w:keepLines/>
      </w:pPr>
      <w:bookmarkStart w:id="12" w:name="_Toc398206726"/>
      <w:r w:rsidRPr="003237DF">
        <w:lastRenderedPageBreak/>
        <w:t>How will you implement and evaluate your chosen option?</w:t>
      </w:r>
      <w:bookmarkEnd w:id="12"/>
    </w:p>
    <w:p w:rsidR="00CF7669" w:rsidRPr="003237DF" w:rsidRDefault="001432EF" w:rsidP="00946724">
      <w:pPr>
        <w:pStyle w:val="BodyText"/>
        <w:keepNext/>
        <w:keepLines/>
        <w:rPr>
          <w:lang w:val="en"/>
        </w:rPr>
      </w:pPr>
      <w:r w:rsidRPr="003237DF">
        <w:rPr>
          <w:lang w:val="en"/>
        </w:rPr>
        <w:t>We intend to issue new class order relief to replace our existing class order</w:t>
      </w:r>
      <w:r w:rsidR="005F05AF" w:rsidRPr="003237DF">
        <w:rPr>
          <w:lang w:val="en"/>
        </w:rPr>
        <w:t xml:space="preserve"> </w:t>
      </w:r>
      <w:r w:rsidR="00153C8E" w:rsidRPr="003237DF">
        <w:rPr>
          <w:lang w:val="en"/>
        </w:rPr>
        <w:t>[CO </w:t>
      </w:r>
      <w:r w:rsidR="005F05AF" w:rsidRPr="003237DF">
        <w:rPr>
          <w:lang w:val="en"/>
        </w:rPr>
        <w:t>03/184],</w:t>
      </w:r>
      <w:r w:rsidRPr="003237DF">
        <w:rPr>
          <w:lang w:val="en"/>
        </w:rPr>
        <w:t xml:space="preserve"> and to publish a revised RG 49 to assist participants</w:t>
      </w:r>
      <w:r w:rsidR="00521114" w:rsidRPr="003237DF">
        <w:rPr>
          <w:lang w:val="en"/>
        </w:rPr>
        <w:t xml:space="preserve"> to</w:t>
      </w:r>
      <w:r w:rsidRPr="003237DF">
        <w:rPr>
          <w:lang w:val="en"/>
        </w:rPr>
        <w:t xml:space="preserve"> understand our policy objectives</w:t>
      </w:r>
      <w:r w:rsidR="000E689B" w:rsidRPr="003237DF">
        <w:rPr>
          <w:lang w:val="en"/>
        </w:rPr>
        <w:t xml:space="preserve"> and when </w:t>
      </w:r>
      <w:r w:rsidR="005F05AF" w:rsidRPr="003237DF">
        <w:rPr>
          <w:lang w:val="en"/>
        </w:rPr>
        <w:t xml:space="preserve">individual </w:t>
      </w:r>
      <w:r w:rsidR="000E689B" w:rsidRPr="003237DF">
        <w:rPr>
          <w:lang w:val="en"/>
        </w:rPr>
        <w:t xml:space="preserve">relief </w:t>
      </w:r>
      <w:r w:rsidR="005F05AF" w:rsidRPr="003237DF">
        <w:rPr>
          <w:lang w:val="en"/>
        </w:rPr>
        <w:t xml:space="preserve">may </w:t>
      </w:r>
      <w:r w:rsidR="000E689B" w:rsidRPr="003237DF">
        <w:rPr>
          <w:lang w:val="en"/>
        </w:rPr>
        <w:t xml:space="preserve">be </w:t>
      </w:r>
      <w:r w:rsidR="005F05AF" w:rsidRPr="003237DF">
        <w:rPr>
          <w:lang w:val="en"/>
        </w:rPr>
        <w:t>granted</w:t>
      </w:r>
      <w:r w:rsidRPr="003237DF">
        <w:rPr>
          <w:lang w:val="en"/>
        </w:rPr>
        <w:t xml:space="preserve">. </w:t>
      </w:r>
    </w:p>
    <w:p w:rsidR="0016206A" w:rsidRPr="003237DF" w:rsidRDefault="0016206A" w:rsidP="00294570">
      <w:pPr>
        <w:pStyle w:val="BodyText"/>
        <w:rPr>
          <w:lang w:val="en"/>
        </w:rPr>
      </w:pPr>
      <w:r w:rsidRPr="003237DF">
        <w:rPr>
          <w:lang w:val="en"/>
        </w:rPr>
        <w:t xml:space="preserve">The implementation will be undertaken </w:t>
      </w:r>
      <w:r w:rsidR="000E689B" w:rsidRPr="003237DF">
        <w:rPr>
          <w:lang w:val="en"/>
        </w:rPr>
        <w:t xml:space="preserve">by providing </w:t>
      </w:r>
      <w:r w:rsidRPr="003237DF">
        <w:rPr>
          <w:lang w:val="en"/>
        </w:rPr>
        <w:t xml:space="preserve">a transitional </w:t>
      </w:r>
      <w:r w:rsidR="000E689B" w:rsidRPr="003237DF">
        <w:rPr>
          <w:lang w:val="en"/>
        </w:rPr>
        <w:t>period</w:t>
      </w:r>
      <w:r w:rsidRPr="003237DF">
        <w:rPr>
          <w:lang w:val="en"/>
        </w:rPr>
        <w:t xml:space="preserve">. This will </w:t>
      </w:r>
      <w:r w:rsidR="00645182" w:rsidRPr="003237DF">
        <w:rPr>
          <w:lang w:val="en"/>
        </w:rPr>
        <w:t>provide ‘</w:t>
      </w:r>
      <w:r w:rsidRPr="003237DF">
        <w:rPr>
          <w:lang w:val="en"/>
        </w:rPr>
        <w:t>grandfather</w:t>
      </w:r>
      <w:r w:rsidR="00645182" w:rsidRPr="003237DF">
        <w:rPr>
          <w:lang w:val="en"/>
        </w:rPr>
        <w:t>ed’ relief for</w:t>
      </w:r>
      <w:r w:rsidRPr="003237DF">
        <w:rPr>
          <w:lang w:val="en"/>
        </w:rPr>
        <w:t xml:space="preserve"> employee share scheme arrangements </w:t>
      </w:r>
      <w:r w:rsidR="00645182" w:rsidRPr="003237DF">
        <w:rPr>
          <w:lang w:val="en"/>
        </w:rPr>
        <w:t xml:space="preserve">that </w:t>
      </w:r>
      <w:r w:rsidRPr="003237DF">
        <w:rPr>
          <w:lang w:val="en"/>
        </w:rPr>
        <w:t xml:space="preserve">have been in operation in reliance on </w:t>
      </w:r>
      <w:r w:rsidR="00153C8E" w:rsidRPr="003237DF">
        <w:rPr>
          <w:lang w:val="en"/>
        </w:rPr>
        <w:t>[CO </w:t>
      </w:r>
      <w:r w:rsidRPr="003237DF">
        <w:rPr>
          <w:lang w:val="en"/>
        </w:rPr>
        <w:t xml:space="preserve">03/184], or </w:t>
      </w:r>
      <w:r w:rsidR="00645182" w:rsidRPr="003237DF">
        <w:rPr>
          <w:lang w:val="en"/>
        </w:rPr>
        <w:t>that</w:t>
      </w:r>
      <w:r w:rsidRPr="003237DF">
        <w:rPr>
          <w:lang w:val="en"/>
        </w:rPr>
        <w:t xml:space="preserve"> have been approved for operation </w:t>
      </w:r>
      <w:r w:rsidR="00645182" w:rsidRPr="003237DF">
        <w:rPr>
          <w:lang w:val="en"/>
        </w:rPr>
        <w:t>before</w:t>
      </w:r>
      <w:r w:rsidRPr="003237DF">
        <w:rPr>
          <w:lang w:val="en"/>
        </w:rPr>
        <w:t xml:space="preserve"> </w:t>
      </w:r>
      <w:r w:rsidR="00521114" w:rsidRPr="003237DF">
        <w:rPr>
          <w:lang w:val="en"/>
        </w:rPr>
        <w:t xml:space="preserve">the </w:t>
      </w:r>
      <w:r w:rsidRPr="003237DF">
        <w:rPr>
          <w:lang w:val="en"/>
        </w:rPr>
        <w:t>commencement of the new class order</w:t>
      </w:r>
      <w:r w:rsidR="00520E31" w:rsidRPr="003237DF">
        <w:rPr>
          <w:lang w:val="en"/>
        </w:rPr>
        <w:t xml:space="preserve"> relief</w:t>
      </w:r>
      <w:r w:rsidRPr="003237DF">
        <w:rPr>
          <w:lang w:val="en"/>
        </w:rPr>
        <w:t>.</w:t>
      </w:r>
      <w:r w:rsidR="00D06D1F" w:rsidRPr="003237DF">
        <w:rPr>
          <w:lang w:val="en"/>
        </w:rPr>
        <w:t xml:space="preserve"> Because </w:t>
      </w:r>
      <w:r w:rsidRPr="003237DF">
        <w:rPr>
          <w:lang w:val="en"/>
        </w:rPr>
        <w:t>the new relief is broader in scope</w:t>
      </w:r>
      <w:r w:rsidR="000C7DC4" w:rsidRPr="003237DF">
        <w:rPr>
          <w:lang w:val="en"/>
        </w:rPr>
        <w:t xml:space="preserve"> than our existing relief</w:t>
      </w:r>
      <w:r w:rsidRPr="003237DF">
        <w:rPr>
          <w:lang w:val="en"/>
        </w:rPr>
        <w:t xml:space="preserve">, we do not envisage </w:t>
      </w:r>
      <w:r w:rsidR="00645182" w:rsidRPr="003237DF">
        <w:rPr>
          <w:lang w:val="en"/>
        </w:rPr>
        <w:t xml:space="preserve">that </w:t>
      </w:r>
      <w:r w:rsidRPr="003237DF">
        <w:rPr>
          <w:lang w:val="en"/>
        </w:rPr>
        <w:t xml:space="preserve">employers will </w:t>
      </w:r>
      <w:r w:rsidR="00520E31" w:rsidRPr="003237DF">
        <w:rPr>
          <w:lang w:val="en"/>
        </w:rPr>
        <w:t xml:space="preserve">incur substantive </w:t>
      </w:r>
      <w:r w:rsidRPr="003237DF">
        <w:rPr>
          <w:lang w:val="en"/>
        </w:rPr>
        <w:t xml:space="preserve">additional </w:t>
      </w:r>
      <w:r w:rsidR="00520E31" w:rsidRPr="003237DF">
        <w:rPr>
          <w:lang w:val="en"/>
        </w:rPr>
        <w:t xml:space="preserve">ongoing </w:t>
      </w:r>
      <w:r w:rsidRPr="003237DF">
        <w:rPr>
          <w:lang w:val="en"/>
        </w:rPr>
        <w:t xml:space="preserve">costs </w:t>
      </w:r>
      <w:r w:rsidR="00520E31" w:rsidRPr="003237DF">
        <w:rPr>
          <w:lang w:val="en"/>
        </w:rPr>
        <w:t>under</w:t>
      </w:r>
      <w:r w:rsidRPr="003237DF">
        <w:rPr>
          <w:lang w:val="en"/>
        </w:rPr>
        <w:t xml:space="preserve"> the new </w:t>
      </w:r>
      <w:r w:rsidR="00520E31" w:rsidRPr="003237DF">
        <w:rPr>
          <w:lang w:val="en"/>
        </w:rPr>
        <w:t xml:space="preserve">class order </w:t>
      </w:r>
      <w:r w:rsidRPr="003237DF">
        <w:rPr>
          <w:lang w:val="en"/>
        </w:rPr>
        <w:t>regime.</w:t>
      </w:r>
    </w:p>
    <w:p w:rsidR="00CF7669" w:rsidRPr="003237DF" w:rsidRDefault="00CF7669" w:rsidP="00CF7669">
      <w:pPr>
        <w:spacing w:after="0"/>
        <w:rPr>
          <w:rFonts w:ascii="Arial" w:hAnsi="Arial" w:cs="Arial"/>
          <w:b/>
          <w:kern w:val="28"/>
          <w:sz w:val="36"/>
          <w:szCs w:val="36"/>
        </w:rPr>
      </w:pPr>
    </w:p>
    <w:p w:rsidR="007C2288" w:rsidRPr="003237DF" w:rsidRDefault="00DD020C" w:rsidP="00AA36F8">
      <w:pPr>
        <w:pStyle w:val="Heading1"/>
      </w:pPr>
      <w:bookmarkStart w:id="13" w:name="_Toc398206727"/>
      <w:r w:rsidRPr="003237DF">
        <w:lastRenderedPageBreak/>
        <w:t>Introduction</w:t>
      </w:r>
      <w:bookmarkEnd w:id="3"/>
      <w:bookmarkEnd w:id="13"/>
    </w:p>
    <w:p w:rsidR="007A432F" w:rsidRPr="003237DF" w:rsidRDefault="007A432F" w:rsidP="007A432F">
      <w:pPr>
        <w:pStyle w:val="Heading2"/>
      </w:pPr>
      <w:bookmarkStart w:id="14" w:name="_Toc256689334"/>
      <w:bookmarkStart w:id="15" w:name="_Toc398206728"/>
      <w:r w:rsidRPr="003237DF">
        <w:t>Background</w:t>
      </w:r>
      <w:bookmarkEnd w:id="14"/>
      <w:bookmarkEnd w:id="15"/>
    </w:p>
    <w:p w:rsidR="00571ABB" w:rsidRPr="003237DF" w:rsidRDefault="002320ED" w:rsidP="002320ED">
      <w:pPr>
        <w:pStyle w:val="BodyText"/>
        <w:shd w:val="clear" w:color="auto" w:fill="FFFFFF" w:themeFill="background1"/>
      </w:pPr>
      <w:r w:rsidRPr="003237DF">
        <w:t xml:space="preserve">There is a large body of opinion, both in Australia and overseas, </w:t>
      </w:r>
      <w:r w:rsidR="000D3683" w:rsidRPr="003237DF">
        <w:t>that</w:t>
      </w:r>
      <w:r w:rsidRPr="003237DF">
        <w:t xml:space="preserve"> </w:t>
      </w:r>
      <w:r w:rsidR="00520E31" w:rsidRPr="003237DF">
        <w:t>considers</w:t>
      </w:r>
      <w:r w:rsidRPr="003237DF">
        <w:t xml:space="preserve"> employee ownership brings direct and indirect benefits to employers, employees and the wider community.</w:t>
      </w:r>
      <w:r w:rsidR="00946724" w:rsidRPr="003237DF">
        <w:t xml:space="preserve"> </w:t>
      </w:r>
      <w:r w:rsidR="000C7DC4" w:rsidRPr="003237DF">
        <w:t xml:space="preserve">While </w:t>
      </w:r>
      <w:r w:rsidRPr="003237DF">
        <w:t>there</w:t>
      </w:r>
      <w:r w:rsidR="004F68C4" w:rsidRPr="003237DF">
        <w:t xml:space="preserve"> is </w:t>
      </w:r>
      <w:r w:rsidR="00520E31" w:rsidRPr="003237DF">
        <w:t xml:space="preserve">also some </w:t>
      </w:r>
      <w:r w:rsidR="004F68C4" w:rsidRPr="003237DF">
        <w:t xml:space="preserve">research </w:t>
      </w:r>
      <w:r w:rsidR="00520E31" w:rsidRPr="003237DF">
        <w:t xml:space="preserve">that </w:t>
      </w:r>
      <w:r w:rsidR="004F68C4" w:rsidRPr="003237DF">
        <w:t xml:space="preserve">considers </w:t>
      </w:r>
      <w:r w:rsidRPr="003237DF">
        <w:t>the em</w:t>
      </w:r>
      <w:r w:rsidR="00130268" w:rsidRPr="003237DF">
        <w:t>pirical evidence is inconclusive,</w:t>
      </w:r>
      <w:r w:rsidRPr="003237DF">
        <w:rPr>
          <w:rStyle w:val="FootnoteReference"/>
        </w:rPr>
        <w:footnoteReference w:id="1"/>
      </w:r>
      <w:r w:rsidR="00130268" w:rsidRPr="003237DF">
        <w:t xml:space="preserve"> </w:t>
      </w:r>
      <w:r w:rsidR="00D76A6D" w:rsidRPr="003237DF">
        <w:t xml:space="preserve">the balance of evidence suggests </w:t>
      </w:r>
      <w:r w:rsidR="00130268" w:rsidRPr="003237DF">
        <w:t>that it is beneficial</w:t>
      </w:r>
      <w:r w:rsidR="00EF0E9D" w:rsidRPr="003237DF">
        <w:t>.</w:t>
      </w:r>
      <w:r w:rsidR="00130268" w:rsidRPr="003237DF">
        <w:t xml:space="preserve"> </w:t>
      </w:r>
      <w:r w:rsidR="00EF0E9D" w:rsidRPr="003237DF">
        <w:t>W</w:t>
      </w:r>
      <w:r w:rsidR="00130268" w:rsidRPr="003237DF">
        <w:t>e are prepared to assist by providing class order and individual relief</w:t>
      </w:r>
      <w:r w:rsidR="00520E31" w:rsidRPr="003237DF">
        <w:t xml:space="preserve"> to facilitate </w:t>
      </w:r>
      <w:r w:rsidR="00D76A6D" w:rsidRPr="003237DF">
        <w:t xml:space="preserve">voluntary </w:t>
      </w:r>
      <w:r w:rsidR="00520E31" w:rsidRPr="003237DF">
        <w:t>employee incentive schemes</w:t>
      </w:r>
      <w:r w:rsidR="00D76A6D" w:rsidRPr="003237DF">
        <w:t>,</w:t>
      </w:r>
      <w:r w:rsidR="00130268" w:rsidRPr="003237DF">
        <w:t xml:space="preserve"> provided </w:t>
      </w:r>
      <w:r w:rsidR="00EF0E9D" w:rsidRPr="003237DF">
        <w:t xml:space="preserve">that </w:t>
      </w:r>
      <w:r w:rsidR="00130268" w:rsidRPr="003237DF">
        <w:t>adequate safeguards are in place.</w:t>
      </w:r>
    </w:p>
    <w:p w:rsidR="002320ED" w:rsidRPr="003237DF" w:rsidRDefault="00E43BD8" w:rsidP="000D3683">
      <w:pPr>
        <w:pStyle w:val="BodyText"/>
        <w:shd w:val="clear" w:color="auto" w:fill="FFFFFF" w:themeFill="background1"/>
      </w:pPr>
      <w:r w:rsidRPr="003237DF">
        <w:t xml:space="preserve">Commonly, </w:t>
      </w:r>
      <w:r w:rsidR="00EF0E9D" w:rsidRPr="003237DF">
        <w:t xml:space="preserve">an </w:t>
      </w:r>
      <w:r w:rsidRPr="003237DF">
        <w:t>offer of financial products takes place in circumstances where the issuer is attempting to raise funds.</w:t>
      </w:r>
      <w:r w:rsidR="00946724" w:rsidRPr="003237DF">
        <w:t xml:space="preserve"> </w:t>
      </w:r>
    </w:p>
    <w:p w:rsidR="00D37B7C" w:rsidRPr="003237DF" w:rsidRDefault="00D37B7C" w:rsidP="00D37B7C">
      <w:pPr>
        <w:pStyle w:val="BodyText"/>
        <w:shd w:val="clear" w:color="auto" w:fill="FFFFFF" w:themeFill="background1"/>
      </w:pPr>
      <w:r w:rsidRPr="003237DF">
        <w:t>Employee schemes are conceptually different to other fundraising activity. These arrangements aim to enhance the relationship between an employer and its employees, with the objective of improving business performance, engaging employees and strengthening employee commitment. They are not designed primarily for the purpose of raising funds, but rather to support interdependence between the body and the employee for their long-term mutual benefit.</w:t>
      </w:r>
    </w:p>
    <w:p w:rsidR="00D37B7C" w:rsidRPr="003237DF" w:rsidRDefault="00D37B7C" w:rsidP="00D37B7C">
      <w:pPr>
        <w:pStyle w:val="BodyText"/>
        <w:shd w:val="clear" w:color="auto" w:fill="FFFFFF" w:themeFill="background1"/>
        <w:rPr>
          <w:b/>
        </w:rPr>
      </w:pPr>
      <w:r w:rsidRPr="003237DF">
        <w:t xml:space="preserve">Even in instances where the offer requires monetary consideration akin to fundraising, the majority of these are offered at some discount to the market price of the securities, or </w:t>
      </w:r>
      <w:r w:rsidR="003C55BC" w:rsidRPr="003237DF">
        <w:t>offer</w:t>
      </w:r>
      <w:r w:rsidRPr="003237DF">
        <w:t xml:space="preserve"> some other benefit or saving (e.g. no brokerage, interest free loans, or some additional </w:t>
      </w:r>
      <w:r w:rsidR="003C55BC" w:rsidRPr="003237DF">
        <w:t>benefit</w:t>
      </w:r>
      <w:r w:rsidRPr="003237DF">
        <w:t xml:space="preserve"> such as a top up of additional securities if held for a period of time).</w:t>
      </w:r>
    </w:p>
    <w:p w:rsidR="00EF0E9D" w:rsidRPr="00EC7E35" w:rsidRDefault="00113F44" w:rsidP="00EC7E35">
      <w:pPr>
        <w:pStyle w:val="BodyText"/>
        <w:shd w:val="clear" w:color="auto" w:fill="FFFFFF" w:themeFill="background1"/>
      </w:pPr>
      <w:r w:rsidRPr="00EC7E35">
        <w:t xml:space="preserve">ASIC is prepared to facilitate relief, </w:t>
      </w:r>
      <w:r w:rsidR="00D37B7C" w:rsidRPr="00EC7E35">
        <w:t xml:space="preserve">because it is not </w:t>
      </w:r>
      <w:r w:rsidR="00EC7E35">
        <w:t xml:space="preserve">specifically designed for the purpose of raising </w:t>
      </w:r>
      <w:r w:rsidR="00D37B7C" w:rsidRPr="00EC7E35">
        <w:t>fund</w:t>
      </w:r>
      <w:r w:rsidR="00EC7E35">
        <w:t>s</w:t>
      </w:r>
      <w:r w:rsidR="00571ABB" w:rsidRPr="00EC7E35">
        <w:t>.</w:t>
      </w:r>
      <w:r w:rsidR="00946724" w:rsidRPr="00EC7E35">
        <w:t xml:space="preserve"> </w:t>
      </w:r>
    </w:p>
    <w:p w:rsidR="000D3683" w:rsidRPr="00EC7E35" w:rsidRDefault="00571ABB" w:rsidP="00EC7E35">
      <w:pPr>
        <w:pStyle w:val="BodyText"/>
        <w:shd w:val="clear" w:color="auto" w:fill="FFFFFF" w:themeFill="background1"/>
      </w:pPr>
      <w:r w:rsidRPr="00EC7E35">
        <w:t>We note that</w:t>
      </w:r>
      <w:r w:rsidR="00EF0E9D" w:rsidRPr="00EC7E35">
        <w:t>, although</w:t>
      </w:r>
      <w:r w:rsidRPr="00EC7E35">
        <w:t xml:space="preserve"> </w:t>
      </w:r>
      <w:r w:rsidR="008D5BCB" w:rsidRPr="00EC7E35">
        <w:t xml:space="preserve">issuing equity rather than </w:t>
      </w:r>
      <w:r w:rsidRPr="00EC7E35">
        <w:t>paying wages reduces the amount of cash expenditure required</w:t>
      </w:r>
      <w:r w:rsidR="008D5BCB" w:rsidRPr="00EC7E35">
        <w:t xml:space="preserve">, there is </w:t>
      </w:r>
      <w:r w:rsidRPr="00EC7E35">
        <w:t xml:space="preserve">still </w:t>
      </w:r>
      <w:r w:rsidR="008D5BCB" w:rsidRPr="00EC7E35">
        <w:t xml:space="preserve">a cost associated with doing this (i.e. </w:t>
      </w:r>
      <w:r w:rsidRPr="00EC7E35">
        <w:t xml:space="preserve">the </w:t>
      </w:r>
      <w:r w:rsidR="008D5BCB" w:rsidRPr="00EC7E35">
        <w:t xml:space="preserve">cost of equity) that </w:t>
      </w:r>
      <w:r w:rsidR="00DC4129" w:rsidRPr="00EC7E35">
        <w:t xml:space="preserve">employers </w:t>
      </w:r>
      <w:r w:rsidRPr="00EC7E35">
        <w:t xml:space="preserve">need to </w:t>
      </w:r>
      <w:r w:rsidR="00DC4129" w:rsidRPr="00EC7E35">
        <w:t xml:space="preserve">take into account when weighing up the costs and benefits of offering an </w:t>
      </w:r>
      <w:r w:rsidR="008D5BCB" w:rsidRPr="00EC7E35">
        <w:t>employee incentive scheme.</w:t>
      </w:r>
    </w:p>
    <w:p w:rsidR="000D3683" w:rsidRPr="003237DF" w:rsidRDefault="000D3683" w:rsidP="0047115C">
      <w:pPr>
        <w:pStyle w:val="Heading3"/>
      </w:pPr>
      <w:r w:rsidRPr="003237DF">
        <w:lastRenderedPageBreak/>
        <w:t>Research supporting the benefits of employee incentive schemes</w:t>
      </w:r>
    </w:p>
    <w:p w:rsidR="004F68C4" w:rsidRPr="003237DF" w:rsidRDefault="000D3683" w:rsidP="003448B5">
      <w:pPr>
        <w:pStyle w:val="BodyText"/>
      </w:pPr>
      <w:bookmarkStart w:id="16" w:name="_Ref396983795"/>
      <w:r w:rsidRPr="003237DF">
        <w:t>I</w:t>
      </w:r>
      <w:r w:rsidR="002320ED" w:rsidRPr="003237DF">
        <w:t>n 2009, the Em</w:t>
      </w:r>
      <w:r w:rsidR="00142D38" w:rsidRPr="003237DF">
        <w:t>ployee Share Ownership Project</w:t>
      </w:r>
      <w:r w:rsidR="002320ED" w:rsidRPr="003237DF">
        <w:rPr>
          <w:rStyle w:val="FootnoteReference"/>
        </w:rPr>
        <w:footnoteReference w:id="2"/>
      </w:r>
      <w:r w:rsidR="002320ED" w:rsidRPr="003237DF">
        <w:t xml:space="preserve"> released the results of a survey into broad-based employee share ownership practice</w:t>
      </w:r>
      <w:r w:rsidR="00EC7E35">
        <w:t>s</w:t>
      </w:r>
      <w:r w:rsidR="002320ED" w:rsidRPr="003237DF">
        <w:t xml:space="preserve"> in ASX-listed companies.</w:t>
      </w:r>
      <w:r w:rsidR="00946724" w:rsidRPr="003237DF">
        <w:t xml:space="preserve"> </w:t>
      </w:r>
      <w:r w:rsidR="002320ED" w:rsidRPr="003237DF">
        <w:t>Under the study, the Employee Share Plan Survey was administered to 1,711 companies in October and November 2007.</w:t>
      </w:r>
      <w:r w:rsidR="00946724" w:rsidRPr="003237DF">
        <w:t xml:space="preserve"> </w:t>
      </w:r>
      <w:r w:rsidR="002320ED" w:rsidRPr="003237DF">
        <w:t>This sample accounted for all of the companies listed on ASX as at 12</w:t>
      </w:r>
      <w:r w:rsidR="00946724" w:rsidRPr="003237DF">
        <w:t> </w:t>
      </w:r>
      <w:r w:rsidR="002320ED" w:rsidRPr="003237DF">
        <w:t>September 2007 for which reliable contact information was available.</w:t>
      </w:r>
      <w:r w:rsidR="00946724" w:rsidRPr="003237DF">
        <w:t xml:space="preserve"> </w:t>
      </w:r>
      <w:r w:rsidR="003448B5" w:rsidRPr="003237DF">
        <w:t xml:space="preserve">One of the </w:t>
      </w:r>
      <w:r w:rsidR="002320ED" w:rsidRPr="003237DF">
        <w:t>important findings relevant to ASIC</w:t>
      </w:r>
      <w:r w:rsidR="00946724" w:rsidRPr="003237DF">
        <w:t>’</w:t>
      </w:r>
      <w:r w:rsidR="002320ED" w:rsidRPr="003237DF">
        <w:t>s class order relief w</w:t>
      </w:r>
      <w:r w:rsidR="003448B5" w:rsidRPr="003237DF">
        <w:t>as</w:t>
      </w:r>
      <w:r w:rsidR="002320ED" w:rsidRPr="003237DF">
        <w:t xml:space="preserve"> </w:t>
      </w:r>
      <w:r w:rsidR="003448B5" w:rsidRPr="003237DF">
        <w:t>that</w:t>
      </w:r>
      <w:r w:rsidR="004F68C4" w:rsidRPr="003237DF">
        <w:t>:</w:t>
      </w:r>
      <w:bookmarkEnd w:id="16"/>
    </w:p>
    <w:p w:rsidR="002320ED" w:rsidRPr="003237DF" w:rsidRDefault="003448B5" w:rsidP="0047115C">
      <w:pPr>
        <w:pStyle w:val="Blockquote"/>
      </w:pPr>
      <w:r w:rsidRPr="003237DF">
        <w:t>24.6 per</w:t>
      </w:r>
      <w:r w:rsidR="00946724" w:rsidRPr="003237DF">
        <w:t xml:space="preserve"> </w:t>
      </w:r>
      <w:r w:rsidRPr="003237DF">
        <w:t>cent of respondents either agreed or strongly agreed that the availability of relief from disclosure and fundraising requirements offered by ASIC influenced their decision to implement a plan and 25.4 per</w:t>
      </w:r>
      <w:r w:rsidR="00946724" w:rsidRPr="003237DF">
        <w:t xml:space="preserve"> </w:t>
      </w:r>
      <w:r w:rsidRPr="003237DF">
        <w:t>cent either agreed or strongly agreed that the availability of this relief influenced the design of the plan</w:t>
      </w:r>
      <w:r w:rsidR="00EF4190" w:rsidRPr="003237DF">
        <w:t>.</w:t>
      </w:r>
    </w:p>
    <w:p w:rsidR="005A2490" w:rsidRPr="003237DF" w:rsidRDefault="002320ED" w:rsidP="002320ED">
      <w:pPr>
        <w:pStyle w:val="BodyText"/>
      </w:pPr>
      <w:r w:rsidRPr="003237DF">
        <w:t xml:space="preserve">At a more general level, in July 2014, the </w:t>
      </w:r>
      <w:r w:rsidR="005A2490" w:rsidRPr="003237DF">
        <w:t>e</w:t>
      </w:r>
      <w:r w:rsidRPr="003237DF">
        <w:t xml:space="preserve">xpert </w:t>
      </w:r>
      <w:r w:rsidR="005A2490" w:rsidRPr="003237DF">
        <w:t>p</w:t>
      </w:r>
      <w:r w:rsidRPr="003237DF">
        <w:t>anel</w:t>
      </w:r>
      <w:r w:rsidR="00EB7231" w:rsidRPr="003237DF">
        <w:t xml:space="preserve"> of the Employee Ownership Australia and New Zealand</w:t>
      </w:r>
      <w:r w:rsidR="00EB7231" w:rsidRPr="003237DF">
        <w:rPr>
          <w:rStyle w:val="FootnoteReference"/>
        </w:rPr>
        <w:footnoteReference w:id="3"/>
      </w:r>
      <w:r w:rsidR="00EB7231" w:rsidRPr="003237DF">
        <w:t xml:space="preserve"> (EOA)</w:t>
      </w:r>
      <w:r w:rsidRPr="003237DF">
        <w:t xml:space="preserve"> publish</w:t>
      </w:r>
      <w:r w:rsidR="000D3683" w:rsidRPr="003237DF">
        <w:t xml:space="preserve">ed a </w:t>
      </w:r>
      <w:r w:rsidR="005A2490" w:rsidRPr="003237DF">
        <w:t>research report,</w:t>
      </w:r>
      <w:r w:rsidR="00EB7231" w:rsidRPr="003237DF">
        <w:rPr>
          <w:rStyle w:val="FootnoteReference"/>
        </w:rPr>
        <w:footnoteReference w:id="4"/>
      </w:r>
      <w:r w:rsidR="00EB7231" w:rsidRPr="003237DF">
        <w:t xml:space="preserve"> </w:t>
      </w:r>
      <w:r w:rsidR="000D3683" w:rsidRPr="003237DF">
        <w:t>highlighting</w:t>
      </w:r>
      <w:r w:rsidR="00130268" w:rsidRPr="003237DF">
        <w:t xml:space="preserve"> that</w:t>
      </w:r>
      <w:r w:rsidR="005A2490" w:rsidRPr="003237DF">
        <w:t>—</w:t>
      </w:r>
      <w:r w:rsidR="00130268" w:rsidRPr="003237DF">
        <w:t xml:space="preserve">in </w:t>
      </w:r>
      <w:r w:rsidR="000D3683" w:rsidRPr="003237DF">
        <w:t>a</w:t>
      </w:r>
      <w:r w:rsidRPr="003237DF">
        <w:t xml:space="preserve"> study </w:t>
      </w:r>
      <w:r w:rsidR="000D3683" w:rsidRPr="003237DF">
        <w:t xml:space="preserve">that </w:t>
      </w:r>
      <w:r w:rsidRPr="003237DF">
        <w:t xml:space="preserve">was conducted over </w:t>
      </w:r>
      <w:r w:rsidR="00EF4190" w:rsidRPr="003237DF">
        <w:t>five</w:t>
      </w:r>
      <w:r w:rsidRPr="003237DF">
        <w:t xml:space="preserve"> years</w:t>
      </w:r>
      <w:r w:rsidR="00D22B56" w:rsidRPr="003237DF">
        <w:t>,</w:t>
      </w:r>
      <w:r w:rsidRPr="003237DF">
        <w:t xml:space="preserve"> using data </w:t>
      </w:r>
      <w:r w:rsidR="005A2490" w:rsidRPr="003237DF">
        <w:t>that had</w:t>
      </w:r>
      <w:r w:rsidRPr="003237DF">
        <w:t xml:space="preserve"> been averaged across </w:t>
      </w:r>
      <w:r w:rsidR="003E2ECE" w:rsidRPr="003237DF">
        <w:t xml:space="preserve">11 </w:t>
      </w:r>
      <w:r w:rsidRPr="003237DF">
        <w:t>companies</w:t>
      </w:r>
      <w:r w:rsidR="005A2490" w:rsidRPr="003237DF">
        <w:t>—</w:t>
      </w:r>
      <w:r w:rsidRPr="003237DF">
        <w:t>the companies that offered broad</w:t>
      </w:r>
      <w:r w:rsidR="00EF4190" w:rsidRPr="003237DF">
        <w:t>-</w:t>
      </w:r>
      <w:r w:rsidRPr="003237DF">
        <w:t>based employee ownership</w:t>
      </w:r>
      <w:r w:rsidR="00D22B56" w:rsidRPr="003237DF">
        <w:t>,</w:t>
      </w:r>
      <w:r w:rsidRPr="003237DF">
        <w:t xml:space="preserve"> on average</w:t>
      </w:r>
      <w:r w:rsidR="005A2490" w:rsidRPr="003237DF">
        <w:t>:</w:t>
      </w:r>
      <w:r w:rsidRPr="003237DF">
        <w:t xml:space="preserve"> </w:t>
      </w:r>
    </w:p>
    <w:p w:rsidR="005A2490" w:rsidRPr="003237DF" w:rsidRDefault="002320ED" w:rsidP="005A2490">
      <w:pPr>
        <w:pStyle w:val="subparaa"/>
      </w:pPr>
      <w:r w:rsidRPr="003237DF">
        <w:t>outperformed the index by more than 5%</w:t>
      </w:r>
      <w:r w:rsidR="00D22B56" w:rsidRPr="003237DF">
        <w:t>;</w:t>
      </w:r>
      <w:r w:rsidRPr="003237DF">
        <w:t xml:space="preserve"> </w:t>
      </w:r>
    </w:p>
    <w:p w:rsidR="005A2490" w:rsidRPr="003237DF" w:rsidRDefault="002320ED" w:rsidP="005A2490">
      <w:pPr>
        <w:pStyle w:val="subparaa"/>
      </w:pPr>
      <w:r w:rsidRPr="003237DF">
        <w:t>had better share price growth</w:t>
      </w:r>
      <w:r w:rsidR="00D22B56" w:rsidRPr="003237DF">
        <w:t>;</w:t>
      </w:r>
      <w:r w:rsidRPr="003237DF">
        <w:t xml:space="preserve"> </w:t>
      </w:r>
    </w:p>
    <w:p w:rsidR="005A2490" w:rsidRPr="003237DF" w:rsidRDefault="00D22B56" w:rsidP="005A2490">
      <w:pPr>
        <w:pStyle w:val="subparaa"/>
      </w:pPr>
      <w:r w:rsidRPr="003237DF">
        <w:t xml:space="preserve">had </w:t>
      </w:r>
      <w:r w:rsidR="002320ED" w:rsidRPr="003237DF">
        <w:t xml:space="preserve">better </w:t>
      </w:r>
      <w:r w:rsidR="00A2379C" w:rsidRPr="003237DF">
        <w:t>price/earnings</w:t>
      </w:r>
      <w:r w:rsidR="002320ED" w:rsidRPr="003237DF">
        <w:t xml:space="preserve"> ratios</w:t>
      </w:r>
      <w:r w:rsidRPr="003237DF">
        <w:t>;</w:t>
      </w:r>
      <w:r w:rsidR="002320ED" w:rsidRPr="003237DF">
        <w:t xml:space="preserve"> and </w:t>
      </w:r>
    </w:p>
    <w:p w:rsidR="005A2490" w:rsidRPr="003237DF" w:rsidRDefault="00D22B56" w:rsidP="005A2490">
      <w:pPr>
        <w:pStyle w:val="subparaa"/>
      </w:pPr>
      <w:r w:rsidRPr="003237DF">
        <w:t xml:space="preserve">had </w:t>
      </w:r>
      <w:r w:rsidR="002320ED" w:rsidRPr="003237DF">
        <w:t>a higher dividend yield</w:t>
      </w:r>
      <w:r w:rsidRPr="003237DF">
        <w:t>.</w:t>
      </w:r>
      <w:r w:rsidR="00946724" w:rsidRPr="003237DF">
        <w:t xml:space="preserve"> </w:t>
      </w:r>
    </w:p>
    <w:p w:rsidR="002320ED" w:rsidRPr="003237DF" w:rsidRDefault="005A2490" w:rsidP="005A2490">
      <w:pPr>
        <w:pStyle w:val="Note"/>
      </w:pPr>
      <w:r w:rsidRPr="003237DF">
        <w:t xml:space="preserve">Note: </w:t>
      </w:r>
      <w:r w:rsidR="00D22B56" w:rsidRPr="003237DF">
        <w:t>T</w:t>
      </w:r>
      <w:r w:rsidR="002320ED" w:rsidRPr="003237DF">
        <w:t xml:space="preserve">he </w:t>
      </w:r>
      <w:r w:rsidRPr="003237DF">
        <w:t>r</w:t>
      </w:r>
      <w:r w:rsidR="002320ED" w:rsidRPr="003237DF">
        <w:t xml:space="preserve">eport noted that there </w:t>
      </w:r>
      <w:r w:rsidRPr="003237DF">
        <w:t xml:space="preserve">was </w:t>
      </w:r>
      <w:r w:rsidR="002320ED" w:rsidRPr="003237DF">
        <w:t>limited research in Australia in relation to productivity</w:t>
      </w:r>
      <w:r w:rsidRPr="003237DF">
        <w:t>,</w:t>
      </w:r>
      <w:r w:rsidR="002320ED" w:rsidRPr="003237DF">
        <w:t xml:space="preserve"> and </w:t>
      </w:r>
      <w:r w:rsidRPr="003237DF">
        <w:t xml:space="preserve">that </w:t>
      </w:r>
      <w:r w:rsidR="002320ED" w:rsidRPr="003237DF">
        <w:t>this study</w:t>
      </w:r>
      <w:r w:rsidRPr="003237DF">
        <w:t>,</w:t>
      </w:r>
      <w:r w:rsidR="002320ED" w:rsidRPr="003237DF">
        <w:t xml:space="preserve"> </w:t>
      </w:r>
      <w:r w:rsidRPr="003237DF">
        <w:t>al</w:t>
      </w:r>
      <w:r w:rsidR="002320ED" w:rsidRPr="003237DF">
        <w:t>though useful</w:t>
      </w:r>
      <w:r w:rsidRPr="003237DF">
        <w:t>,</w:t>
      </w:r>
      <w:r w:rsidR="002320ED" w:rsidRPr="003237DF">
        <w:t xml:space="preserve"> ha</w:t>
      </w:r>
      <w:r w:rsidRPr="003237DF">
        <w:t>d its</w:t>
      </w:r>
      <w:r w:rsidR="002320ED" w:rsidRPr="003237DF">
        <w:t xml:space="preserve"> limitation</w:t>
      </w:r>
      <w:r w:rsidRPr="003237DF">
        <w:t>s</w:t>
      </w:r>
      <w:r w:rsidR="00D22B56" w:rsidRPr="003237DF">
        <w:t>.</w:t>
      </w:r>
    </w:p>
    <w:p w:rsidR="002320ED" w:rsidRPr="003237DF" w:rsidRDefault="002320ED" w:rsidP="002320ED">
      <w:pPr>
        <w:pStyle w:val="BodyText"/>
        <w:shd w:val="clear" w:color="auto" w:fill="FFFFFF" w:themeFill="background1"/>
      </w:pPr>
      <w:r w:rsidRPr="003237DF">
        <w:t xml:space="preserve">A recent international review was undertaken in July 2013 in the United Kingdom </w:t>
      </w:r>
      <w:r w:rsidR="00EF4190" w:rsidRPr="003237DF">
        <w:t xml:space="preserve">by </w:t>
      </w:r>
      <w:r w:rsidRPr="003237DF">
        <w:t xml:space="preserve">the Minister for Employment Relations, Consumer and Postal Affairs </w:t>
      </w:r>
      <w:r w:rsidR="00EF4190" w:rsidRPr="003237DF">
        <w:t xml:space="preserve">who </w:t>
      </w:r>
      <w:r w:rsidRPr="003237DF">
        <w:t>commissioned an independent review of employee ownership.</w:t>
      </w:r>
      <w:r w:rsidR="00946724" w:rsidRPr="003237DF">
        <w:t xml:space="preserve"> </w:t>
      </w:r>
      <w:r w:rsidRPr="003237DF">
        <w:t>The report produced was titled</w:t>
      </w:r>
      <w:r w:rsidR="00D462FE" w:rsidRPr="003237DF">
        <w:t>:</w:t>
      </w:r>
      <w:r w:rsidRPr="003237DF">
        <w:t xml:space="preserve"> </w:t>
      </w:r>
      <w:r w:rsidRPr="003237DF">
        <w:rPr>
          <w:i/>
        </w:rPr>
        <w:t xml:space="preserve">Sharing </w:t>
      </w:r>
      <w:r w:rsidR="00A2379C" w:rsidRPr="003237DF">
        <w:rPr>
          <w:i/>
        </w:rPr>
        <w:t>success</w:t>
      </w:r>
      <w:r w:rsidR="00EF4190" w:rsidRPr="003237DF">
        <w:rPr>
          <w:i/>
        </w:rPr>
        <w:t>:</w:t>
      </w:r>
      <w:r w:rsidRPr="003237DF">
        <w:rPr>
          <w:i/>
        </w:rPr>
        <w:t xml:space="preserve"> </w:t>
      </w:r>
      <w:r w:rsidR="00A2379C" w:rsidRPr="003237DF">
        <w:rPr>
          <w:i/>
        </w:rPr>
        <w:t xml:space="preserve">The </w:t>
      </w:r>
      <w:r w:rsidRPr="003237DF">
        <w:rPr>
          <w:i/>
        </w:rPr>
        <w:t xml:space="preserve">Nuttal </w:t>
      </w:r>
      <w:r w:rsidR="00A2379C" w:rsidRPr="003237DF">
        <w:rPr>
          <w:i/>
        </w:rPr>
        <w:t xml:space="preserve">review </w:t>
      </w:r>
      <w:r w:rsidRPr="003237DF">
        <w:rPr>
          <w:i/>
        </w:rPr>
        <w:t xml:space="preserve">of </w:t>
      </w:r>
      <w:r w:rsidR="00A2379C" w:rsidRPr="003237DF">
        <w:rPr>
          <w:i/>
        </w:rPr>
        <w:t>employee ownership</w:t>
      </w:r>
      <w:r w:rsidRPr="003237DF">
        <w:t>.</w:t>
      </w:r>
      <w:r w:rsidR="00946724" w:rsidRPr="003237DF">
        <w:t xml:space="preserve"> </w:t>
      </w:r>
      <w:r w:rsidRPr="003237DF">
        <w:t>Some of the benefits of employee ownership are discussed in this report</w:t>
      </w:r>
      <w:r w:rsidR="00D462FE" w:rsidRPr="003237DF">
        <w:t>,</w:t>
      </w:r>
      <w:r w:rsidRPr="003237DF">
        <w:t xml:space="preserve"> including case study evidence as well as other research undertaken.</w:t>
      </w:r>
      <w:r w:rsidR="00946724" w:rsidRPr="003237DF">
        <w:t xml:space="preserve"> </w:t>
      </w:r>
      <w:r w:rsidR="00130268" w:rsidRPr="003237DF">
        <w:t>One such case referred to was t</w:t>
      </w:r>
      <w:r w:rsidRPr="003237DF">
        <w:t>he Employee Ownership Index</w:t>
      </w:r>
      <w:r w:rsidR="00D462FE" w:rsidRPr="003237DF">
        <w:t>,</w:t>
      </w:r>
      <w:r w:rsidRPr="003237DF">
        <w:t xml:space="preserve"> compiled by Field Fisher Waterhouse LLP</w:t>
      </w:r>
      <w:r w:rsidR="00130268" w:rsidRPr="003237DF">
        <w:t>.</w:t>
      </w:r>
      <w:r w:rsidR="00946724" w:rsidRPr="003237DF">
        <w:t xml:space="preserve"> </w:t>
      </w:r>
      <w:r w:rsidR="00130268" w:rsidRPr="003237DF">
        <w:t>This</w:t>
      </w:r>
      <w:r w:rsidRPr="003237DF">
        <w:t xml:space="preserve"> tracks the share price performance of listed companies that are at least 10% owned by employees</w:t>
      </w:r>
      <w:r w:rsidR="00130268" w:rsidRPr="003237DF">
        <w:t xml:space="preserve">. </w:t>
      </w:r>
      <w:r w:rsidR="00130268" w:rsidRPr="003237DF">
        <w:lastRenderedPageBreak/>
        <w:t xml:space="preserve">This study </w:t>
      </w:r>
      <w:r w:rsidRPr="003237DF">
        <w:t>found that the Employee Ownership Index outperformed the FTSE All Share by an average of 10% annually since 1992 (</w:t>
      </w:r>
      <w:r w:rsidR="00D462FE" w:rsidRPr="003237DF">
        <w:t>Field Fisher Waterhouse</w:t>
      </w:r>
      <w:r w:rsidRPr="003237DF">
        <w:t>, 2012)</w:t>
      </w:r>
      <w:r w:rsidR="00130268" w:rsidRPr="003237DF">
        <w:t>.</w:t>
      </w:r>
      <w:r w:rsidRPr="003237DF">
        <w:rPr>
          <w:rStyle w:val="FootnoteReference"/>
        </w:rPr>
        <w:footnoteReference w:id="5"/>
      </w:r>
    </w:p>
    <w:p w:rsidR="002320ED" w:rsidRPr="003237DF" w:rsidRDefault="00130268" w:rsidP="002320ED">
      <w:pPr>
        <w:pStyle w:val="BodyText"/>
      </w:pPr>
      <w:r w:rsidRPr="003237DF">
        <w:t xml:space="preserve">Another study looked at </w:t>
      </w:r>
      <w:r w:rsidR="002320ED" w:rsidRPr="003237DF">
        <w:t xml:space="preserve">the implications of investing $1,000 </w:t>
      </w:r>
      <w:r w:rsidR="00EF4190" w:rsidRPr="003237DF">
        <w:t xml:space="preserve">in a </w:t>
      </w:r>
      <w:r w:rsidR="002320ED" w:rsidRPr="003237DF">
        <w:t>tax</w:t>
      </w:r>
      <w:r w:rsidR="00EF4190" w:rsidRPr="003237DF">
        <w:t>-</w:t>
      </w:r>
      <w:r w:rsidR="002320ED" w:rsidRPr="003237DF">
        <w:t xml:space="preserve">free </w:t>
      </w:r>
      <w:r w:rsidR="00EF4190" w:rsidRPr="003237DF">
        <w:t xml:space="preserve">employee </w:t>
      </w:r>
      <w:r w:rsidR="002320ED" w:rsidRPr="003237DF">
        <w:t>share allocation, as opposed to investing in the All Ordinaries Index or paying off a home loan with the same value.</w:t>
      </w:r>
      <w:r w:rsidR="00946724" w:rsidRPr="003237DF">
        <w:t xml:space="preserve"> </w:t>
      </w:r>
      <w:r w:rsidR="002320ED" w:rsidRPr="003237DF">
        <w:t>Even if the employees were not issued the shares free</w:t>
      </w:r>
      <w:r w:rsidR="008A7328" w:rsidRPr="003237DF">
        <w:t xml:space="preserve"> of charge</w:t>
      </w:r>
      <w:r w:rsidR="002320ED" w:rsidRPr="003237DF">
        <w:t xml:space="preserve">, but as part of a salary sacrifice program, the employees were 35.6% better off than if they </w:t>
      </w:r>
      <w:r w:rsidR="008A7328" w:rsidRPr="003237DF">
        <w:t xml:space="preserve">had </w:t>
      </w:r>
      <w:r w:rsidR="002320ED" w:rsidRPr="003237DF">
        <w:t xml:space="preserve">invested that money across the All Ordinaries Index of </w:t>
      </w:r>
      <w:r w:rsidR="008A7328" w:rsidRPr="003237DF">
        <w:t>ASX</w:t>
      </w:r>
      <w:r w:rsidR="00D22B56" w:rsidRPr="003237DF">
        <w:t xml:space="preserve"> Limited</w:t>
      </w:r>
      <w:r w:rsidR="002320ED" w:rsidRPr="003237DF">
        <w:t>.</w:t>
      </w:r>
      <w:r w:rsidR="00946724" w:rsidRPr="003237DF">
        <w:t xml:space="preserve"> </w:t>
      </w:r>
      <w:r w:rsidR="002320ED" w:rsidRPr="003237DF">
        <w:t xml:space="preserve">If they had taken the $1,000 as part of their annual salary and </w:t>
      </w:r>
      <w:r w:rsidR="008A7328" w:rsidRPr="003237DF">
        <w:t>used the money to pay</w:t>
      </w:r>
      <w:r w:rsidR="002320ED" w:rsidRPr="003237DF">
        <w:t xml:space="preserve"> off their standard home loan</w:t>
      </w:r>
      <w:r w:rsidR="00D22B56" w:rsidRPr="003237DF">
        <w:t>,</w:t>
      </w:r>
      <w:r w:rsidR="002320ED" w:rsidRPr="003237DF">
        <w:t xml:space="preserve"> they would still be 15% worse off than taking employee shares.</w:t>
      </w:r>
      <w:r w:rsidR="002320ED" w:rsidRPr="003237DF">
        <w:rPr>
          <w:rStyle w:val="FootnoteReference"/>
        </w:rPr>
        <w:footnoteReference w:id="6"/>
      </w:r>
    </w:p>
    <w:p w:rsidR="002320ED" w:rsidRPr="003237DF" w:rsidRDefault="002320ED" w:rsidP="002320ED">
      <w:pPr>
        <w:pStyle w:val="BodyText"/>
        <w:shd w:val="clear" w:color="auto" w:fill="FFFFFF" w:themeFill="background1"/>
      </w:pPr>
      <w:r w:rsidRPr="003237DF">
        <w:t xml:space="preserve">While broad-based employee share ownership is relatively widespread in the listed company sector in Australia, it is estimated that only 3% of private and unlisted companies have </w:t>
      </w:r>
      <w:r w:rsidR="00946724" w:rsidRPr="003237DF">
        <w:t>‘</w:t>
      </w:r>
      <w:r w:rsidRPr="003237DF">
        <w:t>all-employee</w:t>
      </w:r>
      <w:r w:rsidR="00946724" w:rsidRPr="003237DF">
        <w:t>’</w:t>
      </w:r>
      <w:r w:rsidRPr="003237DF">
        <w:t xml:space="preserve"> share ownership schemes, compared </w:t>
      </w:r>
      <w:r w:rsidR="008A7328" w:rsidRPr="003237DF">
        <w:t xml:space="preserve">with </w:t>
      </w:r>
      <w:r w:rsidRPr="003237DF">
        <w:t>23% in the United States.</w:t>
      </w:r>
      <w:r w:rsidRPr="003237DF">
        <w:rPr>
          <w:rStyle w:val="FootnoteReference"/>
        </w:rPr>
        <w:footnoteReference w:id="7"/>
      </w:r>
    </w:p>
    <w:p w:rsidR="002320ED" w:rsidRPr="003237DF" w:rsidRDefault="008C511C" w:rsidP="002320ED">
      <w:pPr>
        <w:pStyle w:val="BodyText"/>
      </w:pPr>
      <w:r w:rsidRPr="003237DF">
        <w:t xml:space="preserve">In the Standing Committee on Employment, Education and Workplace Relations </w:t>
      </w:r>
      <w:r w:rsidR="00BA4A8F" w:rsidRPr="003237DF">
        <w:t>i</w:t>
      </w:r>
      <w:r w:rsidRPr="003237DF">
        <w:t>nquiry</w:t>
      </w:r>
      <w:r w:rsidR="00BA4A8F" w:rsidRPr="003237DF">
        <w:t xml:space="preserve"> in 2000</w:t>
      </w:r>
      <w:r w:rsidRPr="003237DF">
        <w:t xml:space="preserve">, the </w:t>
      </w:r>
      <w:r w:rsidR="002320ED" w:rsidRPr="003237DF">
        <w:t xml:space="preserve">Australian Employee Ownership Association (AEOA) advised the </w:t>
      </w:r>
      <w:r w:rsidR="008A7328" w:rsidRPr="003237DF">
        <w:t xml:space="preserve">committee </w:t>
      </w:r>
      <w:r w:rsidR="002320ED" w:rsidRPr="003237DF">
        <w:t>that the prospectus requirements acted as a forceful disincentive to unlisted companies:</w:t>
      </w:r>
      <w:r w:rsidR="002320ED" w:rsidRPr="003237DF">
        <w:rPr>
          <w:rStyle w:val="FootnoteReference"/>
        </w:rPr>
        <w:footnoteReference w:id="8"/>
      </w:r>
    </w:p>
    <w:p w:rsidR="002320ED" w:rsidRPr="003237DF" w:rsidRDefault="002320ED" w:rsidP="0047115C">
      <w:pPr>
        <w:pStyle w:val="Blockquote"/>
      </w:pPr>
      <w:r w:rsidRPr="003237DF">
        <w:t xml:space="preserve">… while shares issued to employees of listed companies are covered by prospectuses required for the listing of company </w:t>
      </w:r>
      <w:r w:rsidR="00946724" w:rsidRPr="003237DF">
        <w:t>‘</w:t>
      </w:r>
      <w:r w:rsidRPr="003237DF">
        <w:t>stock</w:t>
      </w:r>
      <w:r w:rsidR="00946724" w:rsidRPr="003237DF">
        <w:t>’</w:t>
      </w:r>
      <w:r w:rsidRPr="003237DF">
        <w:t>, unlisted companies face major prospectus hurdles. In order to issue shares to their employees, they must first meet ASIC prospectus requirements. Putting together a prospectus can be a daunting and excessively expensive business. As a result, the need to issue a prospectus has become the single greatest obstacle in the way of expanding employee ownership in the unlisted company sector of the economy.</w:t>
      </w:r>
    </w:p>
    <w:p w:rsidR="002320ED" w:rsidRPr="003237DF" w:rsidRDefault="002320ED" w:rsidP="002320ED">
      <w:pPr>
        <w:pStyle w:val="BodyText"/>
      </w:pPr>
      <w:bookmarkStart w:id="17" w:name="_Ref396983807"/>
      <w:r w:rsidRPr="003237DF">
        <w:t xml:space="preserve">The AEOA went on to say to the </w:t>
      </w:r>
      <w:r w:rsidR="008A7328" w:rsidRPr="003237DF">
        <w:t xml:space="preserve">committee </w:t>
      </w:r>
      <w:r w:rsidRPr="003237DF">
        <w:t>that</w:t>
      </w:r>
      <w:r w:rsidR="00BC02FA" w:rsidRPr="003237DF">
        <w:t>,</w:t>
      </w:r>
      <w:r w:rsidRPr="003237DF">
        <w:t xml:space="preserve"> </w:t>
      </w:r>
      <w:r w:rsidR="00946724" w:rsidRPr="003237DF">
        <w:t>‘</w:t>
      </w:r>
      <w:r w:rsidRPr="003237DF">
        <w:t xml:space="preserve">In practice, these measures [providing for employee share scheme offers using an offer information statement] have not helped. Further </w:t>
      </w:r>
      <w:r w:rsidR="0047115C" w:rsidRPr="003237DF">
        <w:t>legislation will be required.</w:t>
      </w:r>
      <w:r w:rsidR="00946724" w:rsidRPr="003237DF">
        <w:t>’</w:t>
      </w:r>
      <w:r w:rsidRPr="003237DF">
        <w:rPr>
          <w:rStyle w:val="FootnoteReference"/>
        </w:rPr>
        <w:footnoteReference w:id="9"/>
      </w:r>
      <w:bookmarkEnd w:id="17"/>
    </w:p>
    <w:p w:rsidR="007D297B" w:rsidRPr="003237DF" w:rsidRDefault="007D297B" w:rsidP="007D297B">
      <w:pPr>
        <w:pStyle w:val="Heading2"/>
      </w:pPr>
      <w:bookmarkStart w:id="18" w:name="_Toc398206729"/>
      <w:r w:rsidRPr="003237DF">
        <w:lastRenderedPageBreak/>
        <w:t>Corporations Act obligations</w:t>
      </w:r>
      <w:r w:rsidR="00D76A6D" w:rsidRPr="003237DF">
        <w:t xml:space="preserve"> and current ASIC relief</w:t>
      </w:r>
      <w:bookmarkEnd w:id="18"/>
    </w:p>
    <w:p w:rsidR="0086441D" w:rsidRPr="003237DF" w:rsidRDefault="006C4EE2" w:rsidP="009E5B4B">
      <w:pPr>
        <w:pStyle w:val="BodyText"/>
        <w:rPr>
          <w:b/>
        </w:rPr>
      </w:pPr>
      <w:r w:rsidRPr="003237DF">
        <w:t xml:space="preserve">The offer of securities and other financial products to investors, including to employees, </w:t>
      </w:r>
      <w:r w:rsidR="00D94325" w:rsidRPr="003237DF">
        <w:t>constitute</w:t>
      </w:r>
      <w:r w:rsidR="00A7729B" w:rsidRPr="003237DF">
        <w:t>s</w:t>
      </w:r>
      <w:r w:rsidR="00D94325" w:rsidRPr="003237DF">
        <w:t xml:space="preserve"> an offer that </w:t>
      </w:r>
      <w:r w:rsidRPr="003237DF">
        <w:t>is regulated under Ch</w:t>
      </w:r>
      <w:r w:rsidR="00A2379C" w:rsidRPr="003237DF">
        <w:t> </w:t>
      </w:r>
      <w:r w:rsidRPr="003237DF">
        <w:t>6D (securities) and Ch</w:t>
      </w:r>
      <w:r w:rsidR="00A2379C" w:rsidRPr="003237DF">
        <w:t> </w:t>
      </w:r>
      <w:r w:rsidRPr="003237DF">
        <w:t xml:space="preserve">7 </w:t>
      </w:r>
      <w:r w:rsidR="00416F9D" w:rsidRPr="003237DF">
        <w:t>(</w:t>
      </w:r>
      <w:r w:rsidR="00A162E1" w:rsidRPr="003237DF">
        <w:t xml:space="preserve">other </w:t>
      </w:r>
      <w:r w:rsidRPr="003237DF">
        <w:t>financial products) of the Corporations Act.</w:t>
      </w:r>
      <w:r w:rsidR="00946724" w:rsidRPr="003237DF">
        <w:t xml:space="preserve"> </w:t>
      </w:r>
      <w:r w:rsidRPr="003237DF">
        <w:t>These provisions require that</w:t>
      </w:r>
      <w:r w:rsidR="00A7729B" w:rsidRPr="003237DF">
        <w:t>,</w:t>
      </w:r>
      <w:r w:rsidRPr="003237DF">
        <w:t xml:space="preserve"> unless a relevant exemption or </w:t>
      </w:r>
      <w:r w:rsidR="00CA1309" w:rsidRPr="003237DF">
        <w:t xml:space="preserve">ASIC relief applies, offers </w:t>
      </w:r>
      <w:r w:rsidR="00A162E1" w:rsidRPr="003237DF">
        <w:t>to participate in an employee incentive scheme must be made under a disclosure document.</w:t>
      </w:r>
      <w:r w:rsidR="00946724" w:rsidRPr="003237DF">
        <w:t xml:space="preserve"> </w:t>
      </w:r>
      <w:r w:rsidR="00A162E1" w:rsidRPr="003237DF">
        <w:t>The purpose of the disclosure provisions in the Corporations Act is to ensure adequate investor protection and promote market efficiency even where offers are made by employers to employees.</w:t>
      </w:r>
      <w:r w:rsidR="00946724" w:rsidRPr="003237DF">
        <w:t xml:space="preserve"> </w:t>
      </w:r>
      <w:r w:rsidR="00A162E1" w:rsidRPr="003237DF">
        <w:t>In addition, an</w:t>
      </w:r>
      <w:r w:rsidR="00CA1309" w:rsidRPr="003237DF">
        <w:t xml:space="preserve"> employee incentive scheme may involve conduct that requires compliance with the licens</w:t>
      </w:r>
      <w:r w:rsidR="00E9622A" w:rsidRPr="003237DF">
        <w:t xml:space="preserve">ing, </w:t>
      </w:r>
      <w:r w:rsidR="00A7729B" w:rsidRPr="003237DF">
        <w:t>managed investment scheme,</w:t>
      </w:r>
      <w:r w:rsidR="00A7729B" w:rsidRPr="003237DF">
        <w:rPr>
          <w:lang w:val="en"/>
        </w:rPr>
        <w:t xml:space="preserve"> </w:t>
      </w:r>
      <w:r w:rsidR="00E9622A" w:rsidRPr="003237DF">
        <w:t>advertising, hawking and</w:t>
      </w:r>
      <w:r w:rsidR="00CA1309" w:rsidRPr="003237DF">
        <w:t xml:space="preserve"> on-sale provisions. </w:t>
      </w:r>
    </w:p>
    <w:p w:rsidR="00A7729B" w:rsidRPr="003237DF" w:rsidRDefault="00A162E1" w:rsidP="003D7B03">
      <w:pPr>
        <w:pStyle w:val="BodyText"/>
        <w:rPr>
          <w:b/>
        </w:rPr>
      </w:pPr>
      <w:r w:rsidRPr="003237DF">
        <w:t>Currently, w</w:t>
      </w:r>
      <w:r w:rsidR="00003F62" w:rsidRPr="003237DF">
        <w:t xml:space="preserve">e provide class order relief for </w:t>
      </w:r>
      <w:r w:rsidRPr="003237DF">
        <w:t xml:space="preserve">employee share schemes </w:t>
      </w:r>
      <w:r w:rsidR="00003F62" w:rsidRPr="003237DF">
        <w:t>in</w:t>
      </w:r>
      <w:r w:rsidRPr="003237DF">
        <w:t xml:space="preserve"> </w:t>
      </w:r>
      <w:r w:rsidR="00153C8E" w:rsidRPr="003237DF">
        <w:t>[CO </w:t>
      </w:r>
      <w:r w:rsidRPr="003237DF">
        <w:t>03/184].</w:t>
      </w:r>
      <w:r w:rsidR="00946724" w:rsidRPr="003237DF">
        <w:t xml:space="preserve"> </w:t>
      </w:r>
      <w:r w:rsidR="003D7B03" w:rsidRPr="003237DF">
        <w:t xml:space="preserve">Under </w:t>
      </w:r>
      <w:r w:rsidR="00153C8E" w:rsidRPr="003237DF">
        <w:t>[CO </w:t>
      </w:r>
      <w:r w:rsidR="003D7B03" w:rsidRPr="003237DF">
        <w:t>03/184], relief</w:t>
      </w:r>
      <w:r w:rsidR="00A7729B" w:rsidRPr="003237DF">
        <w:t>—</w:t>
      </w:r>
      <w:r w:rsidR="000C7DC4" w:rsidRPr="003237DF">
        <w:t>subject to specified conditions</w:t>
      </w:r>
      <w:r w:rsidR="00A7729B" w:rsidRPr="003237DF">
        <w:t>—</w:t>
      </w:r>
      <w:r w:rsidR="003D7B03" w:rsidRPr="003237DF">
        <w:t xml:space="preserve">is available to certain bodies from the disclosure, licensing, </w:t>
      </w:r>
      <w:r w:rsidR="00A7729B" w:rsidRPr="003237DF">
        <w:t xml:space="preserve">managed investment scheme, </w:t>
      </w:r>
      <w:r w:rsidR="003D7B03" w:rsidRPr="003237DF">
        <w:t>advertising and hawking provisions of the Corporations Act</w:t>
      </w:r>
      <w:r w:rsidR="00E9622A" w:rsidRPr="003237DF">
        <w:t xml:space="preserve">, and on-sale relief </w:t>
      </w:r>
      <w:r w:rsidR="00BC02FA" w:rsidRPr="003237DF">
        <w:t xml:space="preserve">is available </w:t>
      </w:r>
      <w:r w:rsidR="00E9622A" w:rsidRPr="003237DF">
        <w:t xml:space="preserve">under </w:t>
      </w:r>
      <w:r w:rsidR="008F6939" w:rsidRPr="003237DF">
        <w:t xml:space="preserve">Class Order </w:t>
      </w:r>
      <w:r w:rsidR="00153C8E" w:rsidRPr="003237DF">
        <w:t>[CO </w:t>
      </w:r>
      <w:r w:rsidR="008F6939" w:rsidRPr="003237DF">
        <w:t xml:space="preserve">04/671] </w:t>
      </w:r>
      <w:r w:rsidR="008F6939" w:rsidRPr="003237DF">
        <w:rPr>
          <w:i/>
        </w:rPr>
        <w:t>Disclosure for on-sale of securities and other financial products</w:t>
      </w:r>
      <w:r w:rsidR="003D7B03" w:rsidRPr="003237DF">
        <w:t xml:space="preserve">. </w:t>
      </w:r>
      <w:r w:rsidR="006542A9" w:rsidRPr="003237DF">
        <w:t>We also provide relief on a case-by-case basis where our policy objectives are satisfied.</w:t>
      </w:r>
      <w:r w:rsidR="00946724" w:rsidRPr="003237DF">
        <w:t xml:space="preserve"> </w:t>
      </w:r>
      <w:r w:rsidR="004B2348" w:rsidRPr="003237DF">
        <w:t>RG 49</w:t>
      </w:r>
      <w:r w:rsidR="006542A9" w:rsidRPr="003237DF">
        <w:t xml:space="preserve"> </w:t>
      </w:r>
      <w:r w:rsidR="004B2348" w:rsidRPr="003237DF">
        <w:t>provides</w:t>
      </w:r>
      <w:r w:rsidR="006542A9" w:rsidRPr="003237DF">
        <w:t xml:space="preserve"> </w:t>
      </w:r>
      <w:r w:rsidR="00DC3679" w:rsidRPr="003237DF">
        <w:t xml:space="preserve">guidance on our </w:t>
      </w:r>
      <w:r w:rsidR="00416F9D" w:rsidRPr="003237DF">
        <w:t xml:space="preserve">current approach to </w:t>
      </w:r>
      <w:r w:rsidR="00DC3679" w:rsidRPr="003237DF">
        <w:t>relief and the underlying policy objectives.</w:t>
      </w:r>
      <w:r w:rsidR="00946724" w:rsidRPr="003237DF">
        <w:t xml:space="preserve"> </w:t>
      </w:r>
    </w:p>
    <w:p w:rsidR="00571ABB" w:rsidRPr="003237DF" w:rsidRDefault="00456C21" w:rsidP="003D7B03">
      <w:pPr>
        <w:pStyle w:val="BodyText"/>
        <w:rPr>
          <w:b/>
        </w:rPr>
      </w:pPr>
      <w:r w:rsidRPr="003237DF">
        <w:t>Our relief is conditional on the aim of the offer not being fundraising</w:t>
      </w:r>
      <w:r w:rsidR="001E0204" w:rsidRPr="003237DF">
        <w:t>;</w:t>
      </w:r>
      <w:r w:rsidRPr="003237DF">
        <w:t xml:space="preserve"> the offer sufficiently support</w:t>
      </w:r>
      <w:r w:rsidR="00BC02FA" w:rsidRPr="003237DF">
        <w:t>ing</w:t>
      </w:r>
      <w:r w:rsidRPr="003237DF">
        <w:t xml:space="preserve"> the long-term interdependence between the </w:t>
      </w:r>
      <w:r w:rsidR="00165378" w:rsidRPr="003237DF">
        <w:t>employer</w:t>
      </w:r>
      <w:r w:rsidRPr="003237DF">
        <w:t xml:space="preserve"> and the </w:t>
      </w:r>
      <w:r w:rsidR="00165378" w:rsidRPr="003237DF">
        <w:t>employee</w:t>
      </w:r>
      <w:r w:rsidR="001E0204" w:rsidRPr="003237DF">
        <w:t>;</w:t>
      </w:r>
      <w:r w:rsidRPr="003237DF">
        <w:t xml:space="preserve"> and adequate disclosure </w:t>
      </w:r>
      <w:r w:rsidR="00A7729B" w:rsidRPr="003237DF">
        <w:t xml:space="preserve">being </w:t>
      </w:r>
      <w:r w:rsidRPr="003237DF">
        <w:t xml:space="preserve">provided to </w:t>
      </w:r>
      <w:r w:rsidR="00165378" w:rsidRPr="003237DF">
        <w:t>the employee-investor</w:t>
      </w:r>
      <w:r w:rsidRPr="003237DF">
        <w:t>.</w:t>
      </w:r>
      <w:r w:rsidR="00B97D14" w:rsidRPr="003237DF">
        <w:t xml:space="preserve"> These are fundamental requirements for ASIC relief</w:t>
      </w:r>
      <w:r w:rsidR="00D06D1F" w:rsidRPr="003237DF">
        <w:t xml:space="preserve"> because </w:t>
      </w:r>
      <w:r w:rsidR="00B97D14" w:rsidRPr="003237DF">
        <w:t xml:space="preserve">they differentiate the design and purpose of offers from those </w:t>
      </w:r>
      <w:r w:rsidR="00325C9B" w:rsidRPr="003237DF">
        <w:t xml:space="preserve">that </w:t>
      </w:r>
      <w:r w:rsidR="00B97D14" w:rsidRPr="003237DF">
        <w:t xml:space="preserve">warrant a </w:t>
      </w:r>
      <w:r w:rsidR="00C12EB4" w:rsidRPr="003237DF">
        <w:t xml:space="preserve">more rigorous </w:t>
      </w:r>
      <w:r w:rsidR="00B97D14" w:rsidRPr="003237DF">
        <w:t>regime of regulated disclosure</w:t>
      </w:r>
      <w:r w:rsidR="00917FFB" w:rsidRPr="003237DF">
        <w:t>.</w:t>
      </w:r>
      <w:r w:rsidR="00946724" w:rsidRPr="003237DF">
        <w:t xml:space="preserve"> </w:t>
      </w:r>
      <w:r w:rsidR="00C12EB4" w:rsidRPr="003237DF">
        <w:t xml:space="preserve">There is an acknowledgement that the relationship </w:t>
      </w:r>
      <w:r w:rsidR="00325C9B" w:rsidRPr="003237DF">
        <w:t xml:space="preserve">between </w:t>
      </w:r>
      <w:r w:rsidR="00C12EB4" w:rsidRPr="003237DF">
        <w:t xml:space="preserve">employer and employee means that employees have a higher level of information and understanding of their employer than an </w:t>
      </w:r>
      <w:r w:rsidR="00946724" w:rsidRPr="003237DF">
        <w:t>‘</w:t>
      </w:r>
      <w:r w:rsidR="00C12EB4" w:rsidRPr="003237DF">
        <w:t>outside</w:t>
      </w:r>
      <w:r w:rsidR="00946724" w:rsidRPr="003237DF">
        <w:t>’</w:t>
      </w:r>
      <w:r w:rsidR="00C12EB4" w:rsidRPr="003237DF">
        <w:t xml:space="preserve"> retail investor </w:t>
      </w:r>
      <w:r w:rsidR="00325C9B" w:rsidRPr="003237DF">
        <w:t xml:space="preserve">would have in relation </w:t>
      </w:r>
      <w:r w:rsidR="00C12EB4" w:rsidRPr="003237DF">
        <w:t>to the issuer.</w:t>
      </w:r>
    </w:p>
    <w:p w:rsidR="00325C9B" w:rsidRPr="003237DF" w:rsidRDefault="00E21858" w:rsidP="00571ABB">
      <w:pPr>
        <w:pStyle w:val="BodyText"/>
      </w:pPr>
      <w:r w:rsidRPr="003237DF">
        <w:t>ASIC</w:t>
      </w:r>
      <w:r w:rsidR="00946724" w:rsidRPr="003237DF">
        <w:t>’</w:t>
      </w:r>
      <w:r w:rsidRPr="003237DF">
        <w:t xml:space="preserve">s class order relief means that employees accepting offers </w:t>
      </w:r>
      <w:r w:rsidR="00325C9B" w:rsidRPr="003237DF">
        <w:t>of</w:t>
      </w:r>
      <w:r w:rsidRPr="003237DF">
        <w:t xml:space="preserve"> financial products under an employee incentive scheme </w:t>
      </w:r>
      <w:r w:rsidR="008A5D7A" w:rsidRPr="003237DF">
        <w:t>that</w:t>
      </w:r>
      <w:r w:rsidRPr="003237DF">
        <w:t xml:space="preserve"> is relying on ASIC relief will not have</w:t>
      </w:r>
      <w:r w:rsidR="008A5D7A" w:rsidRPr="003237DF">
        <w:t xml:space="preserve"> recourse to the liability regime under Ch 6 or Pt 7.9 of the </w:t>
      </w:r>
      <w:r w:rsidR="00325C9B" w:rsidRPr="003237DF">
        <w:t xml:space="preserve">Corporations </w:t>
      </w:r>
      <w:r w:rsidR="008A5D7A" w:rsidRPr="003237DF">
        <w:t xml:space="preserve">Act relating to statements in a regulated disclosure document. </w:t>
      </w:r>
      <w:r w:rsidR="00325C9B" w:rsidRPr="003237DF">
        <w:t xml:space="preserve">Employees </w:t>
      </w:r>
      <w:r w:rsidR="008A5D7A" w:rsidRPr="003237DF">
        <w:t xml:space="preserve">will still have recourse to the general misleading </w:t>
      </w:r>
      <w:r w:rsidR="00325C9B" w:rsidRPr="003237DF">
        <w:t xml:space="preserve">or </w:t>
      </w:r>
      <w:r w:rsidR="008A5D7A" w:rsidRPr="003237DF">
        <w:t>deceptive statements regime under the</w:t>
      </w:r>
      <w:r w:rsidR="00DD5A2D" w:rsidRPr="003237DF">
        <w:t xml:space="preserve"> Corporations</w:t>
      </w:r>
      <w:r w:rsidR="008A5D7A" w:rsidRPr="003237DF">
        <w:t xml:space="preserve"> Act</w:t>
      </w:r>
      <w:r w:rsidR="00325C9B" w:rsidRPr="003237DF">
        <w:t>,</w:t>
      </w:r>
      <w:r w:rsidR="00756211" w:rsidRPr="003237DF">
        <w:t xml:space="preserve"> which will apply to the offer document </w:t>
      </w:r>
      <w:r w:rsidR="00325C9B" w:rsidRPr="003237DF">
        <w:t xml:space="preserve">that </w:t>
      </w:r>
      <w:r w:rsidR="00756211" w:rsidRPr="003237DF">
        <w:t>their employer provides to them about the scheme</w:t>
      </w:r>
      <w:r w:rsidR="008A5D7A" w:rsidRPr="003237DF">
        <w:t>.</w:t>
      </w:r>
      <w:r w:rsidR="00946724" w:rsidRPr="003237DF">
        <w:t xml:space="preserve"> </w:t>
      </w:r>
    </w:p>
    <w:p w:rsidR="00E21858" w:rsidRPr="003237DF" w:rsidRDefault="00756211" w:rsidP="00571ABB">
      <w:pPr>
        <w:pStyle w:val="BodyText"/>
      </w:pPr>
      <w:r w:rsidRPr="003237DF">
        <w:t>The licensing and associated relief provided by ASIC</w:t>
      </w:r>
      <w:r w:rsidR="008A5D7A" w:rsidRPr="003237DF">
        <w:t xml:space="preserve"> means that some of the regulatory requirements regarding the provision of general advice, dealing, providing custodial and depository services, hawking and advertising</w:t>
      </w:r>
      <w:r w:rsidR="003237DF" w:rsidRPr="003237DF">
        <w:t xml:space="preserve"> </w:t>
      </w:r>
      <w:r w:rsidR="0047771C" w:rsidRPr="003237DF">
        <w:t>will be exempted</w:t>
      </w:r>
      <w:r w:rsidR="008A5D7A" w:rsidRPr="003237DF">
        <w:t xml:space="preserve">. However, this must be viewed in circumstances where there is </w:t>
      </w:r>
      <w:r w:rsidR="008A5D7A" w:rsidRPr="003237DF">
        <w:lastRenderedPageBreak/>
        <w:t>already a relationship between the parties</w:t>
      </w:r>
      <w:r w:rsidR="0031145D" w:rsidRPr="003237DF">
        <w:t xml:space="preserve"> and the conditions of relief impose </w:t>
      </w:r>
      <w:r w:rsidR="0047771C" w:rsidRPr="003237DF">
        <w:t xml:space="preserve">certain alternative </w:t>
      </w:r>
      <w:r w:rsidR="0031145D" w:rsidRPr="003237DF">
        <w:t xml:space="preserve">obligations </w:t>
      </w:r>
      <w:r w:rsidR="0047771C" w:rsidRPr="003237DF">
        <w:t xml:space="preserve">that are designed to </w:t>
      </w:r>
      <w:r w:rsidR="0031145D" w:rsidRPr="003237DF">
        <w:t xml:space="preserve">safeguard the </w:t>
      </w:r>
      <w:r w:rsidR="00325C9B" w:rsidRPr="003237DF">
        <w:t xml:space="preserve">interests of </w:t>
      </w:r>
      <w:r w:rsidR="0031145D" w:rsidRPr="003237DF">
        <w:t xml:space="preserve">employees (e.g. trusts, warning statements, </w:t>
      </w:r>
      <w:r w:rsidRPr="003237DF">
        <w:t xml:space="preserve">and the </w:t>
      </w:r>
      <w:r w:rsidR="0031145D" w:rsidRPr="003237DF">
        <w:t>requirement to use a licensed or authorised adviser).</w:t>
      </w:r>
    </w:p>
    <w:p w:rsidR="00D76A6D" w:rsidRPr="003237DF" w:rsidRDefault="00D76A6D" w:rsidP="00F46AEC">
      <w:pPr>
        <w:pStyle w:val="Heading3"/>
      </w:pPr>
      <w:r w:rsidRPr="003237DF">
        <w:t>Reliance on ASIC class order relief</w:t>
      </w:r>
    </w:p>
    <w:p w:rsidR="00D76A6D" w:rsidRPr="003237DF" w:rsidRDefault="0039498E" w:rsidP="00D76A6D">
      <w:pPr>
        <w:pStyle w:val="BodyText"/>
      </w:pPr>
      <w:r w:rsidRPr="003237DF">
        <w:t xml:space="preserve">While </w:t>
      </w:r>
      <w:r w:rsidR="00930B38" w:rsidRPr="003237DF">
        <w:t>we do not collect data on how many employees have been offered an employee share scheme</w:t>
      </w:r>
      <w:r w:rsidRPr="003237DF">
        <w:t xml:space="preserve"> in reliance on </w:t>
      </w:r>
      <w:r w:rsidR="00F46AEC" w:rsidRPr="003237DF">
        <w:t xml:space="preserve">our </w:t>
      </w:r>
      <w:r w:rsidRPr="003237DF">
        <w:t>class order relief</w:t>
      </w:r>
      <w:r w:rsidR="00930B38" w:rsidRPr="003237DF">
        <w:t xml:space="preserve">, </w:t>
      </w:r>
      <w:r w:rsidR="00D76A6D" w:rsidRPr="003237DF">
        <w:t xml:space="preserve">our statistics </w:t>
      </w:r>
      <w:r w:rsidR="00930B38" w:rsidRPr="003237DF">
        <w:t>reveal</w:t>
      </w:r>
      <w:r w:rsidRPr="003237DF">
        <w:t>ed</w:t>
      </w:r>
      <w:r w:rsidR="00930B38" w:rsidRPr="003237DF">
        <w:t xml:space="preserve"> the following number</w:t>
      </w:r>
      <w:r w:rsidR="00961DB4" w:rsidRPr="003237DF">
        <w:t>s</w:t>
      </w:r>
      <w:r w:rsidR="00930B38" w:rsidRPr="003237DF">
        <w:t xml:space="preserve"> of </w:t>
      </w:r>
      <w:r w:rsidR="00D76A6D" w:rsidRPr="003237DF">
        <w:t xml:space="preserve">employers have notified ASIC of </w:t>
      </w:r>
      <w:r w:rsidR="00930B38" w:rsidRPr="003237DF">
        <w:t xml:space="preserve">their </w:t>
      </w:r>
      <w:r w:rsidR="00D76A6D" w:rsidRPr="003237DF">
        <w:t xml:space="preserve">reliance on </w:t>
      </w:r>
      <w:r w:rsidR="00153C8E" w:rsidRPr="003237DF">
        <w:t>[CO </w:t>
      </w:r>
      <w:r w:rsidR="00D76A6D" w:rsidRPr="003237DF">
        <w:t>03/184] (and its predecessor</w:t>
      </w:r>
      <w:r w:rsidR="00E31133" w:rsidRPr="003237DF">
        <w:t>s</w:t>
      </w:r>
      <w:r w:rsidR="00D76A6D" w:rsidRPr="003237DF">
        <w:t>):</w:t>
      </w:r>
    </w:p>
    <w:p w:rsidR="00D76A6D" w:rsidRPr="003237DF" w:rsidRDefault="00961DB4" w:rsidP="00D76A6D">
      <w:pPr>
        <w:pStyle w:val="subparaa"/>
      </w:pPr>
      <w:r w:rsidRPr="003237DF">
        <w:rPr>
          <w:i/>
        </w:rPr>
        <w:t xml:space="preserve">in the </w:t>
      </w:r>
      <w:r w:rsidR="00A2379C" w:rsidRPr="003237DF">
        <w:rPr>
          <w:i/>
        </w:rPr>
        <w:t>p</w:t>
      </w:r>
      <w:r w:rsidR="00D76A6D" w:rsidRPr="003237DF">
        <w:rPr>
          <w:i/>
        </w:rPr>
        <w:t xml:space="preserve">ast </w:t>
      </w:r>
      <w:r w:rsidR="00A2379C" w:rsidRPr="003237DF">
        <w:rPr>
          <w:i/>
        </w:rPr>
        <w:t xml:space="preserve">seven </w:t>
      </w:r>
      <w:r w:rsidR="00D76A6D" w:rsidRPr="003237DF">
        <w:rPr>
          <w:i/>
        </w:rPr>
        <w:t>years:</w:t>
      </w:r>
      <w:r w:rsidR="00D76A6D" w:rsidRPr="003237DF">
        <w:t xml:space="preserve"> more than 4,910 </w:t>
      </w:r>
      <w:r w:rsidR="00930B38" w:rsidRPr="003237DF">
        <w:t>employee share scheme notifications have be</w:t>
      </w:r>
      <w:r w:rsidR="001E0204" w:rsidRPr="003237DF">
        <w:t>en</w:t>
      </w:r>
      <w:r w:rsidR="00930B38" w:rsidRPr="003237DF">
        <w:t xml:space="preserve"> lodged with ASIC </w:t>
      </w:r>
      <w:r w:rsidR="00D76A6D" w:rsidRPr="003237DF">
        <w:t>(45% Australian</w:t>
      </w:r>
      <w:r w:rsidR="00930B38" w:rsidRPr="003237DF">
        <w:t xml:space="preserve"> employers</w:t>
      </w:r>
      <w:r w:rsidR="00D76A6D" w:rsidRPr="003237DF">
        <w:t>, 55% foreign</w:t>
      </w:r>
      <w:r w:rsidR="00930B38" w:rsidRPr="003237DF">
        <w:t xml:space="preserve"> employers</w:t>
      </w:r>
      <w:r w:rsidR="00D76A6D" w:rsidRPr="003237DF">
        <w:t>);</w:t>
      </w:r>
    </w:p>
    <w:p w:rsidR="00D76A6D" w:rsidRPr="003237DF" w:rsidRDefault="00961DB4" w:rsidP="00D76A6D">
      <w:pPr>
        <w:pStyle w:val="subparaa"/>
      </w:pPr>
      <w:r w:rsidRPr="003237DF">
        <w:rPr>
          <w:i/>
        </w:rPr>
        <w:t xml:space="preserve">in the </w:t>
      </w:r>
      <w:r w:rsidR="00A2379C" w:rsidRPr="003237DF">
        <w:rPr>
          <w:i/>
        </w:rPr>
        <w:t>p</w:t>
      </w:r>
      <w:r w:rsidR="00D76A6D" w:rsidRPr="003237DF">
        <w:rPr>
          <w:i/>
        </w:rPr>
        <w:t>ast 10 years:</w:t>
      </w:r>
      <w:r w:rsidR="00D76A6D" w:rsidRPr="003237DF">
        <w:t xml:space="preserve"> more than 6,160 </w:t>
      </w:r>
      <w:r w:rsidR="00930B38" w:rsidRPr="003237DF">
        <w:t>employee share scheme notifications have be</w:t>
      </w:r>
      <w:r w:rsidR="001E0204" w:rsidRPr="003237DF">
        <w:t>en</w:t>
      </w:r>
      <w:r w:rsidR="00930B38" w:rsidRPr="003237DF">
        <w:t xml:space="preserve"> lodged with ASIC </w:t>
      </w:r>
      <w:r w:rsidR="00D76A6D" w:rsidRPr="003237DF">
        <w:t>(45% Australian</w:t>
      </w:r>
      <w:r w:rsidR="00930B38" w:rsidRPr="003237DF">
        <w:t xml:space="preserve"> employers</w:t>
      </w:r>
      <w:r w:rsidR="00D76A6D" w:rsidRPr="003237DF">
        <w:t>, 55% foreign</w:t>
      </w:r>
      <w:r w:rsidR="00930B38" w:rsidRPr="003237DF">
        <w:t xml:space="preserve"> employers</w:t>
      </w:r>
      <w:r w:rsidR="00D76A6D" w:rsidRPr="003237DF">
        <w:t>); and</w:t>
      </w:r>
    </w:p>
    <w:p w:rsidR="00D76A6D" w:rsidRPr="003237DF" w:rsidRDefault="00961DB4" w:rsidP="00D76A6D">
      <w:pPr>
        <w:pStyle w:val="subparaa"/>
      </w:pPr>
      <w:r w:rsidRPr="003237DF">
        <w:rPr>
          <w:i/>
        </w:rPr>
        <w:t xml:space="preserve">in the </w:t>
      </w:r>
      <w:r w:rsidR="00A2379C" w:rsidRPr="003237DF">
        <w:rPr>
          <w:i/>
        </w:rPr>
        <w:t>p</w:t>
      </w:r>
      <w:r w:rsidR="00D76A6D" w:rsidRPr="003237DF">
        <w:rPr>
          <w:i/>
        </w:rPr>
        <w:t>ast 20 years:</w:t>
      </w:r>
      <w:r w:rsidR="00D76A6D" w:rsidRPr="003237DF">
        <w:t xml:space="preserve"> more than 7,910 </w:t>
      </w:r>
      <w:r w:rsidR="00930B38" w:rsidRPr="003237DF">
        <w:t>employee share scheme notifications have be</w:t>
      </w:r>
      <w:r w:rsidR="001E0204" w:rsidRPr="003237DF">
        <w:t>en</w:t>
      </w:r>
      <w:r w:rsidR="00930B38" w:rsidRPr="003237DF">
        <w:t xml:space="preserve"> lodged with ASIC </w:t>
      </w:r>
      <w:r w:rsidR="00D76A6D" w:rsidRPr="003237DF">
        <w:t>(45% Australian</w:t>
      </w:r>
      <w:r w:rsidR="00930B38" w:rsidRPr="003237DF">
        <w:t xml:space="preserve"> employers</w:t>
      </w:r>
      <w:r w:rsidR="00D76A6D" w:rsidRPr="003237DF">
        <w:t>, 55% foreign</w:t>
      </w:r>
      <w:r w:rsidR="00930B38" w:rsidRPr="003237DF">
        <w:t xml:space="preserve"> employers</w:t>
      </w:r>
      <w:r w:rsidR="00D76A6D" w:rsidRPr="003237DF">
        <w:t>)</w:t>
      </w:r>
      <w:r w:rsidR="00A2379C" w:rsidRPr="003237DF">
        <w:t>.</w:t>
      </w:r>
    </w:p>
    <w:p w:rsidR="00D76A6D" w:rsidRPr="003237DF" w:rsidRDefault="00D76A6D" w:rsidP="00D76A6D">
      <w:pPr>
        <w:pStyle w:val="BodyText"/>
        <w:rPr>
          <w:b/>
        </w:rPr>
      </w:pPr>
      <w:r w:rsidRPr="003237DF">
        <w:t>These figures indicate that a large number of employers have relied on, and continue to rely on</w:t>
      </w:r>
      <w:r w:rsidR="00961DB4" w:rsidRPr="003237DF">
        <w:t>,</w:t>
      </w:r>
      <w:r w:rsidRPr="003237DF">
        <w:t xml:space="preserve"> ASIC relief to offer employee incentive schemes.</w:t>
      </w:r>
      <w:r w:rsidR="00946724" w:rsidRPr="003237DF">
        <w:t xml:space="preserve"> </w:t>
      </w:r>
      <w:r w:rsidRPr="003237DF">
        <w:t xml:space="preserve">From the submissions we received in response to CP 218, we understand that many would like to avoid the costs of having to seek individual relief (see discussion below), and </w:t>
      </w:r>
      <w:r w:rsidR="00961DB4" w:rsidRPr="003237DF">
        <w:t>that, in wishing to avoid incurring the cost of seeking individual relief, many may also have avoided implementing employee incentive schemes that would not otherwise currently qualify under a Corporations Act exemption</w:t>
      </w:r>
      <w:r w:rsidRPr="003237DF">
        <w:t>.</w:t>
      </w:r>
    </w:p>
    <w:p w:rsidR="007C2288" w:rsidRPr="003237DF" w:rsidRDefault="00DD020C" w:rsidP="00685551">
      <w:pPr>
        <w:pStyle w:val="Heading2"/>
      </w:pPr>
      <w:bookmarkStart w:id="19" w:name="_Toc256689335"/>
      <w:bookmarkStart w:id="20" w:name="_Toc398206730"/>
      <w:r w:rsidRPr="003237DF">
        <w:t>Assessing the problem</w:t>
      </w:r>
      <w:bookmarkEnd w:id="19"/>
      <w:bookmarkEnd w:id="20"/>
    </w:p>
    <w:p w:rsidR="00D76A6D" w:rsidRPr="003237DF" w:rsidRDefault="00D76A6D" w:rsidP="00961DB4">
      <w:pPr>
        <w:pStyle w:val="Heading3"/>
      </w:pPr>
      <w:r w:rsidRPr="003237DF">
        <w:t>ASIC</w:t>
      </w:r>
      <w:r w:rsidR="00946724" w:rsidRPr="003237DF">
        <w:t>’</w:t>
      </w:r>
      <w:r w:rsidRPr="003237DF">
        <w:t>s review of our relief and policy</w:t>
      </w:r>
    </w:p>
    <w:p w:rsidR="00D76A6D" w:rsidRPr="003237DF" w:rsidRDefault="00D76A6D" w:rsidP="00D76A6D">
      <w:pPr>
        <w:pStyle w:val="BodyText"/>
      </w:pPr>
      <w:r w:rsidRPr="003237DF">
        <w:t>We reviewed legal commentary, industry publications and government papers discussing employee incentive schemes, and have undertaken consultation with stakeholders to assess the extent of the issues.</w:t>
      </w:r>
      <w:r w:rsidR="00946724" w:rsidRPr="003237DF">
        <w:t xml:space="preserve"> </w:t>
      </w:r>
      <w:r w:rsidRPr="003237DF">
        <w:t xml:space="preserve">From our review, we identified a number of problems with </w:t>
      </w:r>
      <w:r w:rsidR="00153C8E" w:rsidRPr="003237DF">
        <w:t>[CO </w:t>
      </w:r>
      <w:r w:rsidRPr="003237DF">
        <w:t>03/184] and our current approach to relief for employee share schemes.</w:t>
      </w:r>
      <w:r w:rsidR="00946724" w:rsidRPr="003237DF">
        <w:t xml:space="preserve"> </w:t>
      </w:r>
      <w:r w:rsidRPr="003237DF">
        <w:t xml:space="preserve">It </w:t>
      </w:r>
      <w:r w:rsidR="006F3C9D" w:rsidRPr="003237DF">
        <w:t xml:space="preserve">is </w:t>
      </w:r>
      <w:r w:rsidRPr="003237DF">
        <w:t xml:space="preserve">evident that </w:t>
      </w:r>
      <w:r w:rsidR="00153C8E" w:rsidRPr="003237DF">
        <w:t>[CO </w:t>
      </w:r>
      <w:r w:rsidRPr="003237DF">
        <w:t xml:space="preserve">03/184] and our policy settings </w:t>
      </w:r>
      <w:r w:rsidR="00D22B56" w:rsidRPr="003237DF">
        <w:t>a</w:t>
      </w:r>
      <w:r w:rsidRPr="003237DF">
        <w:t>re now out-of-date.</w:t>
      </w:r>
      <w:r w:rsidR="00946724" w:rsidRPr="003237DF">
        <w:t xml:space="preserve"> </w:t>
      </w:r>
      <w:r w:rsidRPr="003237DF">
        <w:t xml:space="preserve">We are also aware that there are different views on the scope and operation of our class order </w:t>
      </w:r>
      <w:r w:rsidR="006F3C9D" w:rsidRPr="003237DF">
        <w:t xml:space="preserve">relief, </w:t>
      </w:r>
      <w:r w:rsidRPr="003237DF">
        <w:t>which ha</w:t>
      </w:r>
      <w:r w:rsidR="00D22B56" w:rsidRPr="003237DF">
        <w:t>ve</w:t>
      </w:r>
      <w:r w:rsidRPr="003237DF">
        <w:t xml:space="preserve"> created risks and uncertainty in the market. In summary, our review indicated the following range of issues.</w:t>
      </w:r>
    </w:p>
    <w:p w:rsidR="00D76A6D" w:rsidRPr="003237DF" w:rsidRDefault="00153C8E" w:rsidP="00D76A6D">
      <w:pPr>
        <w:pStyle w:val="BodyText"/>
      </w:pPr>
      <w:r w:rsidRPr="003237DF">
        <w:lastRenderedPageBreak/>
        <w:t>[CO </w:t>
      </w:r>
      <w:r w:rsidR="00D76A6D" w:rsidRPr="003237DF">
        <w:t xml:space="preserve">03/184] does not cover certain key features </w:t>
      </w:r>
      <w:r w:rsidR="006F3C9D" w:rsidRPr="003237DF">
        <w:t xml:space="preserve">that </w:t>
      </w:r>
      <w:r w:rsidR="00D76A6D" w:rsidRPr="003237DF">
        <w:t xml:space="preserve">are commonly used in many employee incentive schemes </w:t>
      </w:r>
      <w:r w:rsidR="006F3C9D" w:rsidRPr="003237DF">
        <w:t xml:space="preserve">and </w:t>
      </w:r>
      <w:r w:rsidR="00D76A6D" w:rsidRPr="003237DF">
        <w:t xml:space="preserve">that employers </w:t>
      </w:r>
      <w:r w:rsidR="006F3C9D" w:rsidRPr="003237DF">
        <w:t xml:space="preserve">have been </w:t>
      </w:r>
      <w:r w:rsidR="00D76A6D" w:rsidRPr="003237DF">
        <w:t>using outside of ASIC relief, or would like to implement using ASIC relief, including (among other things):</w:t>
      </w:r>
    </w:p>
    <w:p w:rsidR="00D76A6D" w:rsidRPr="003237DF" w:rsidRDefault="00D76A6D" w:rsidP="00D76A6D">
      <w:pPr>
        <w:pStyle w:val="subparaa"/>
      </w:pPr>
      <w:r w:rsidRPr="003237DF">
        <w:t xml:space="preserve">offering employees a wider range of financial products that </w:t>
      </w:r>
      <w:r w:rsidR="006F3C9D" w:rsidRPr="003237DF">
        <w:t xml:space="preserve">are </w:t>
      </w:r>
      <w:r w:rsidRPr="003237DF">
        <w:t>not securities, such as incentive rights;</w:t>
      </w:r>
    </w:p>
    <w:p w:rsidR="00D76A6D" w:rsidRPr="003237DF" w:rsidRDefault="00D76A6D" w:rsidP="00D76A6D">
      <w:pPr>
        <w:pStyle w:val="subparaa"/>
      </w:pPr>
      <w:r w:rsidRPr="003237DF">
        <w:t>the use of trusts to hold underlying financial products in a pool on behalf of their employees rather than specifically for a particular employee; and</w:t>
      </w:r>
    </w:p>
    <w:p w:rsidR="00D76A6D" w:rsidRPr="003237DF" w:rsidRDefault="00D76A6D" w:rsidP="00D76A6D">
      <w:pPr>
        <w:pStyle w:val="subparaa"/>
      </w:pPr>
      <w:r w:rsidRPr="003237DF">
        <w:t xml:space="preserve">unlisted bodies offering securities and incentive rights. </w:t>
      </w:r>
    </w:p>
    <w:p w:rsidR="00D76A6D" w:rsidRPr="003237DF" w:rsidRDefault="00D76A6D" w:rsidP="00D76A6D">
      <w:pPr>
        <w:pStyle w:val="BodyText"/>
      </w:pPr>
      <w:r w:rsidRPr="003237DF">
        <w:t xml:space="preserve">This means that potential offers which meet our policy conditions (i.e. not </w:t>
      </w:r>
      <w:r w:rsidR="006F3C9D" w:rsidRPr="003237DF">
        <w:t xml:space="preserve">being </w:t>
      </w:r>
      <w:r w:rsidRPr="003237DF">
        <w:t>used for fundraising, promot</w:t>
      </w:r>
      <w:r w:rsidR="006F3C9D" w:rsidRPr="003237DF">
        <w:t>ing</w:t>
      </w:r>
      <w:r w:rsidRPr="003237DF">
        <w:t xml:space="preserve"> interdependence and </w:t>
      </w:r>
      <w:r w:rsidR="006F3C9D" w:rsidRPr="003237DF">
        <w:t xml:space="preserve">providing </w:t>
      </w:r>
      <w:r w:rsidRPr="003237DF">
        <w:t xml:space="preserve">adequate disclosure) are simply not able to use </w:t>
      </w:r>
      <w:r w:rsidR="006F3C9D" w:rsidRPr="003237DF">
        <w:t xml:space="preserve">our </w:t>
      </w:r>
      <w:r w:rsidRPr="003237DF">
        <w:t xml:space="preserve">relief because they include features </w:t>
      </w:r>
      <w:r w:rsidR="006F3C9D" w:rsidRPr="003237DF">
        <w:t xml:space="preserve">that </w:t>
      </w:r>
      <w:r w:rsidRPr="003237DF">
        <w:t xml:space="preserve">were not contemplated under </w:t>
      </w:r>
      <w:r w:rsidR="00153C8E" w:rsidRPr="003237DF">
        <w:t>[CO </w:t>
      </w:r>
      <w:r w:rsidRPr="003237DF">
        <w:t xml:space="preserve">03/184]. </w:t>
      </w:r>
    </w:p>
    <w:p w:rsidR="00D76A6D" w:rsidRPr="003237DF" w:rsidRDefault="00D76A6D" w:rsidP="00D76A6D">
      <w:pPr>
        <w:pStyle w:val="BodyText"/>
      </w:pPr>
      <w:r w:rsidRPr="003237DF">
        <w:t xml:space="preserve">In addition, there is confusion about the operation of </w:t>
      </w:r>
      <w:r w:rsidR="00153C8E" w:rsidRPr="003237DF">
        <w:t>[CO </w:t>
      </w:r>
      <w:r w:rsidRPr="003237DF">
        <w:t>03/184]</w:t>
      </w:r>
      <w:r w:rsidR="006F3C9D" w:rsidRPr="003237DF">
        <w:t>,</w:t>
      </w:r>
      <w:r w:rsidRPr="003237DF">
        <w:t xml:space="preserve"> including, for example: </w:t>
      </w:r>
    </w:p>
    <w:p w:rsidR="00D76A6D" w:rsidRPr="003237DF" w:rsidRDefault="00D76A6D" w:rsidP="00D76A6D">
      <w:pPr>
        <w:pStyle w:val="subparaa"/>
      </w:pPr>
      <w:r w:rsidRPr="003237DF">
        <w:t>whether incentive rights can qualify as zero exercise priced options;</w:t>
      </w:r>
    </w:p>
    <w:p w:rsidR="00D76A6D" w:rsidRPr="003237DF" w:rsidRDefault="00D76A6D" w:rsidP="00D76A6D">
      <w:pPr>
        <w:pStyle w:val="subparaa"/>
      </w:pPr>
      <w:r w:rsidRPr="003237DF">
        <w:t>whether offers to non-executive directors are included</w:t>
      </w:r>
      <w:r w:rsidR="006F3C9D" w:rsidRPr="003237DF">
        <w:t xml:space="preserve"> in our relief</w:t>
      </w:r>
      <w:r w:rsidRPr="003237DF">
        <w:t>;</w:t>
      </w:r>
    </w:p>
    <w:p w:rsidR="00D76A6D" w:rsidRPr="003237DF" w:rsidRDefault="00D76A6D" w:rsidP="00D76A6D">
      <w:pPr>
        <w:pStyle w:val="subparaa"/>
      </w:pPr>
      <w:r w:rsidRPr="003237DF">
        <w:t xml:space="preserve">what the administrative and procedural requirements are (e.g. the frequency and timing </w:t>
      </w:r>
      <w:r w:rsidR="006F3C9D" w:rsidRPr="003237DF">
        <w:t xml:space="preserve">of </w:t>
      </w:r>
      <w:r w:rsidRPr="003237DF">
        <w:t xml:space="preserve">the lodgement </w:t>
      </w:r>
      <w:r w:rsidR="006F3C9D" w:rsidRPr="003237DF">
        <w:t xml:space="preserve">with ASIC </w:t>
      </w:r>
      <w:r w:rsidRPr="003237DF">
        <w:t>of employee incentive scheme offer documents);</w:t>
      </w:r>
    </w:p>
    <w:p w:rsidR="00D76A6D" w:rsidRPr="003237DF" w:rsidRDefault="00D76A6D" w:rsidP="00D76A6D">
      <w:pPr>
        <w:pStyle w:val="subparaa"/>
      </w:pPr>
      <w:r w:rsidRPr="003237DF">
        <w:t>whether stapled securities can be offered; and</w:t>
      </w:r>
    </w:p>
    <w:p w:rsidR="00D76A6D" w:rsidRPr="003237DF" w:rsidRDefault="00D76A6D" w:rsidP="00D76A6D">
      <w:pPr>
        <w:pStyle w:val="subparaa"/>
      </w:pPr>
      <w:r w:rsidRPr="003237DF">
        <w:t xml:space="preserve">whether offers can be made to associated bodies corporate of the issuer. </w:t>
      </w:r>
    </w:p>
    <w:p w:rsidR="00D76A6D" w:rsidRPr="003237DF" w:rsidRDefault="00D76A6D" w:rsidP="00D76A6D">
      <w:pPr>
        <w:pStyle w:val="BodyText"/>
      </w:pPr>
      <w:r w:rsidRPr="003237DF">
        <w:t xml:space="preserve">This confusion may have caused some potential offers not </w:t>
      </w:r>
      <w:r w:rsidR="006F3C9D" w:rsidRPr="003237DF">
        <w:t xml:space="preserve">to </w:t>
      </w:r>
      <w:r w:rsidRPr="003237DF">
        <w:t>be made because employers are uncertain about how ASIC would treat the offer.</w:t>
      </w:r>
      <w:r w:rsidR="00946724" w:rsidRPr="003237DF">
        <w:t xml:space="preserve"> </w:t>
      </w:r>
      <w:r w:rsidRPr="003237DF">
        <w:t xml:space="preserve">In addition, this confusion may also be causing some employers to push the boundaries and make offers </w:t>
      </w:r>
      <w:r w:rsidR="006F3C9D" w:rsidRPr="003237DF">
        <w:t xml:space="preserve">that </w:t>
      </w:r>
      <w:r w:rsidRPr="003237DF">
        <w:t xml:space="preserve">ASIC would consider may pose undue risk for employees. </w:t>
      </w:r>
    </w:p>
    <w:p w:rsidR="002A5C9D" w:rsidRPr="003237DF" w:rsidRDefault="000D37B3" w:rsidP="0047115C">
      <w:pPr>
        <w:pStyle w:val="Heading3"/>
      </w:pPr>
      <w:r w:rsidRPr="003237DF">
        <w:t>Offers of employee incentive schemes under</w:t>
      </w:r>
      <w:r w:rsidR="002A5C9D" w:rsidRPr="003237DF">
        <w:t xml:space="preserve"> the Corporations Act </w:t>
      </w:r>
    </w:p>
    <w:p w:rsidR="00881C1D" w:rsidRPr="003237DF" w:rsidRDefault="0084546B" w:rsidP="00130268">
      <w:pPr>
        <w:pStyle w:val="BodyText"/>
      </w:pPr>
      <w:r w:rsidRPr="003237DF">
        <w:t xml:space="preserve">Employee incentive schemes involve the offer of financial products. </w:t>
      </w:r>
      <w:r w:rsidR="00B161BF" w:rsidRPr="003237DF">
        <w:t>Currently</w:t>
      </w:r>
      <w:r w:rsidR="006F3C9D" w:rsidRPr="003237DF">
        <w:t>,</w:t>
      </w:r>
      <w:r w:rsidR="00B161BF" w:rsidRPr="003237DF">
        <w:t xml:space="preserve"> the </w:t>
      </w:r>
      <w:r w:rsidRPr="003237DF">
        <w:t>Corporations Act</w:t>
      </w:r>
      <w:r w:rsidR="00B161BF" w:rsidRPr="003237DF">
        <w:t xml:space="preserve"> </w:t>
      </w:r>
      <w:r w:rsidR="009F0CF7" w:rsidRPr="003237DF">
        <w:t xml:space="preserve">is designed </w:t>
      </w:r>
      <w:r w:rsidR="006B1015" w:rsidRPr="003237DF">
        <w:t>so</w:t>
      </w:r>
      <w:r w:rsidR="009F0CF7" w:rsidRPr="003237DF">
        <w:t xml:space="preserve"> that offers of financial products require the use of </w:t>
      </w:r>
      <w:r w:rsidR="00B161BF" w:rsidRPr="003237DF">
        <w:t xml:space="preserve">a </w:t>
      </w:r>
      <w:r w:rsidR="009F0CF7" w:rsidRPr="003237DF">
        <w:t xml:space="preserve">regulated </w:t>
      </w:r>
      <w:r w:rsidR="00B161BF" w:rsidRPr="003237DF">
        <w:t>disclosure document.</w:t>
      </w:r>
      <w:r w:rsidR="00946724" w:rsidRPr="003237DF">
        <w:t xml:space="preserve"> </w:t>
      </w:r>
      <w:r w:rsidR="009F0CF7" w:rsidRPr="003237DF">
        <w:t xml:space="preserve">This is to ensure that investors, who are being asked to subscribe, are appropriately informed and a liability regime </w:t>
      </w:r>
      <w:r w:rsidR="00EC7E35">
        <w:t xml:space="preserve">exists </w:t>
      </w:r>
      <w:r w:rsidR="009F0CF7" w:rsidRPr="003237DF">
        <w:t xml:space="preserve">for statements made in </w:t>
      </w:r>
      <w:r w:rsidR="00EC7E35">
        <w:t xml:space="preserve">those </w:t>
      </w:r>
      <w:r w:rsidR="009F0CF7" w:rsidRPr="003237DF">
        <w:t>disclosure</w:t>
      </w:r>
      <w:r w:rsidR="00EC7E35">
        <w:t xml:space="preserve"> documents</w:t>
      </w:r>
      <w:r w:rsidR="009F0CF7" w:rsidRPr="003237DF">
        <w:t>.</w:t>
      </w:r>
      <w:r w:rsidR="00946724" w:rsidRPr="003237DF">
        <w:t xml:space="preserve"> </w:t>
      </w:r>
    </w:p>
    <w:p w:rsidR="00B161BF" w:rsidRPr="003237DF" w:rsidRDefault="009F0CF7" w:rsidP="00130268">
      <w:pPr>
        <w:pStyle w:val="BodyText"/>
      </w:pPr>
      <w:r w:rsidRPr="003237DF">
        <w:t>In contrast, employee incentive schemes</w:t>
      </w:r>
      <w:r w:rsidR="00881C1D" w:rsidRPr="003237DF">
        <w:t>,</w:t>
      </w:r>
      <w:r w:rsidRPr="003237DF">
        <w:t xml:space="preserve"> which ASIC class order relief is </w:t>
      </w:r>
      <w:r w:rsidR="009F44AB" w:rsidRPr="003237DF">
        <w:t xml:space="preserve">intended </w:t>
      </w:r>
      <w:r w:rsidRPr="003237DF">
        <w:t>to cover</w:t>
      </w:r>
      <w:r w:rsidR="001E0204" w:rsidRPr="003237DF">
        <w:t>,</w:t>
      </w:r>
      <w:r w:rsidRPr="003237DF">
        <w:t xml:space="preserve"> are schemes </w:t>
      </w:r>
      <w:r w:rsidR="00881C1D" w:rsidRPr="003237DF">
        <w:t xml:space="preserve">that </w:t>
      </w:r>
      <w:r w:rsidRPr="003237DF">
        <w:t xml:space="preserve">are not </w:t>
      </w:r>
      <w:r w:rsidR="009F44AB" w:rsidRPr="003237DF">
        <w:t xml:space="preserve">designed primarily </w:t>
      </w:r>
      <w:r w:rsidRPr="003237DF">
        <w:t>to raise funds.</w:t>
      </w:r>
      <w:r w:rsidR="00946724" w:rsidRPr="003237DF">
        <w:t xml:space="preserve"> </w:t>
      </w:r>
      <w:r w:rsidRPr="003237DF">
        <w:lastRenderedPageBreak/>
        <w:t xml:space="preserve">While the Corporations Act provides some </w:t>
      </w:r>
      <w:r w:rsidR="009F44AB" w:rsidRPr="003237DF">
        <w:t xml:space="preserve">exemptions </w:t>
      </w:r>
      <w:r w:rsidRPr="003237DF">
        <w:t xml:space="preserve">to </w:t>
      </w:r>
      <w:r w:rsidR="0000279E" w:rsidRPr="003237DF">
        <w:t>the disclosure requirement</w:t>
      </w:r>
      <w:r w:rsidRPr="003237DF">
        <w:t>, th</w:t>
      </w:r>
      <w:r w:rsidR="00B161BF" w:rsidRPr="003237DF">
        <w:t>ese are limited in value and number, or are limited to a narrow range of persons.</w:t>
      </w:r>
      <w:r w:rsidR="00946724" w:rsidRPr="003237DF">
        <w:t xml:space="preserve"> </w:t>
      </w:r>
      <w:r w:rsidR="00B161BF" w:rsidRPr="003237DF">
        <w:t xml:space="preserve">Employers who wish to offer employee incentive schemes more broadly </w:t>
      </w:r>
      <w:r w:rsidR="00B267DC" w:rsidRPr="003237DF">
        <w:t xml:space="preserve">would, </w:t>
      </w:r>
      <w:r w:rsidR="00881C1D" w:rsidRPr="003237DF">
        <w:t xml:space="preserve">without </w:t>
      </w:r>
      <w:r w:rsidR="00B267DC" w:rsidRPr="003237DF">
        <w:t xml:space="preserve">ASIC relief, still have to prepare </w:t>
      </w:r>
      <w:r w:rsidR="00B161BF" w:rsidRPr="003237DF">
        <w:t xml:space="preserve">a regulated disclosure document, and </w:t>
      </w:r>
      <w:r w:rsidR="0000279E" w:rsidRPr="003237DF">
        <w:t xml:space="preserve">would be </w:t>
      </w:r>
      <w:r w:rsidR="00B161BF" w:rsidRPr="003237DF">
        <w:t xml:space="preserve">limited in the activities that they </w:t>
      </w:r>
      <w:r w:rsidR="0000279E" w:rsidRPr="003237DF">
        <w:t xml:space="preserve">could </w:t>
      </w:r>
      <w:r w:rsidR="00B161BF" w:rsidRPr="003237DF">
        <w:t>undertake</w:t>
      </w:r>
      <w:r w:rsidR="00D06D1F" w:rsidRPr="003237DF">
        <w:t xml:space="preserve"> because </w:t>
      </w:r>
      <w:r w:rsidR="00B161BF" w:rsidRPr="003237DF">
        <w:t xml:space="preserve">some of these activities are either prohibited (advertising and hawking) or require the engagement of an AFS </w:t>
      </w:r>
      <w:r w:rsidR="006B1015" w:rsidRPr="003237DF">
        <w:t>licensee</w:t>
      </w:r>
      <w:r w:rsidR="00B161BF" w:rsidRPr="003237DF">
        <w:t>.</w:t>
      </w:r>
    </w:p>
    <w:p w:rsidR="00881C1D" w:rsidRPr="003237DF" w:rsidRDefault="00B161BF" w:rsidP="00130268">
      <w:pPr>
        <w:pStyle w:val="BodyText"/>
      </w:pPr>
      <w:r w:rsidRPr="003237DF">
        <w:t xml:space="preserve">From our work reviewing disclosure documents (i.e. prospectuses, offer information statements and </w:t>
      </w:r>
      <w:r w:rsidR="0000279E" w:rsidRPr="003237DF">
        <w:t>Product Disclosure Statements</w:t>
      </w:r>
      <w:r w:rsidRPr="003237DF">
        <w:t xml:space="preserve">), we </w:t>
      </w:r>
      <w:r w:rsidR="00574B59" w:rsidRPr="003237DF">
        <w:t>understand</w:t>
      </w:r>
      <w:r w:rsidRPr="003237DF">
        <w:t xml:space="preserve"> that the cost of preparing such disclosure documents range</w:t>
      </w:r>
      <w:r w:rsidR="00881C1D" w:rsidRPr="003237DF">
        <w:t>s</w:t>
      </w:r>
      <w:r w:rsidRPr="003237DF">
        <w:t xml:space="preserve"> from approximately $15,000 to in excess of $100,000.</w:t>
      </w:r>
      <w:r w:rsidR="00946724" w:rsidRPr="003237DF">
        <w:t xml:space="preserve"> </w:t>
      </w:r>
      <w:r w:rsidR="00574B59" w:rsidRPr="003237DF">
        <w:t>In our experience</w:t>
      </w:r>
      <w:r w:rsidR="001E0204" w:rsidRPr="003237DF">
        <w:t>,</w:t>
      </w:r>
      <w:r w:rsidR="00574B59" w:rsidRPr="003237DF">
        <w:t xml:space="preserve"> employers occasionally make offers to employees using disclosure documents but</w:t>
      </w:r>
      <w:r w:rsidR="00881C1D" w:rsidRPr="003237DF">
        <w:t>,</w:t>
      </w:r>
      <w:r w:rsidR="00574B59" w:rsidRPr="003237DF">
        <w:t xml:space="preserve"> in th</w:t>
      </w:r>
      <w:r w:rsidR="0000279E" w:rsidRPr="003237DF">
        <w:t>e</w:t>
      </w:r>
      <w:r w:rsidR="00574B59" w:rsidRPr="003237DF">
        <w:t>se instances</w:t>
      </w:r>
      <w:r w:rsidR="00881C1D" w:rsidRPr="003237DF">
        <w:t>,</w:t>
      </w:r>
      <w:r w:rsidR="00574B59" w:rsidRPr="003237DF">
        <w:t xml:space="preserve"> they are seeking to raise funds from their employees, and the associated costs of preparing the disclosure document</w:t>
      </w:r>
      <w:r w:rsidR="0000279E" w:rsidRPr="003237DF">
        <w:t>s</w:t>
      </w:r>
      <w:r w:rsidR="00574B59" w:rsidRPr="003237DF">
        <w:t xml:space="preserve"> </w:t>
      </w:r>
      <w:r w:rsidR="00881C1D" w:rsidRPr="003237DF">
        <w:t xml:space="preserve">are </w:t>
      </w:r>
      <w:r w:rsidR="00574B59" w:rsidRPr="003237DF">
        <w:t>factored into the fundraising costs.</w:t>
      </w:r>
      <w:r w:rsidR="00946724" w:rsidRPr="003237DF">
        <w:t xml:space="preserve"> </w:t>
      </w:r>
    </w:p>
    <w:p w:rsidR="00574B59" w:rsidRPr="003237DF" w:rsidRDefault="00574B59" w:rsidP="00130268">
      <w:pPr>
        <w:pStyle w:val="BodyText"/>
      </w:pPr>
      <w:r w:rsidRPr="003237DF">
        <w:t xml:space="preserve">Our class order relief for employee incentive schemes is intended to apply where the purpose of the offer is not </w:t>
      </w:r>
      <w:r w:rsidR="0000279E" w:rsidRPr="003237DF">
        <w:t>to raise funds</w:t>
      </w:r>
      <w:r w:rsidRPr="003237DF">
        <w:t>, but to align the interest</w:t>
      </w:r>
      <w:r w:rsidR="00881C1D" w:rsidRPr="003237DF">
        <w:t>s</w:t>
      </w:r>
      <w:r w:rsidRPr="003237DF">
        <w:t xml:space="preserve"> of the employee with </w:t>
      </w:r>
      <w:r w:rsidR="00881C1D" w:rsidRPr="003237DF">
        <w:t xml:space="preserve">those of </w:t>
      </w:r>
      <w:r w:rsidRPr="003237DF">
        <w:t>the employer for longer</w:t>
      </w:r>
      <w:r w:rsidR="00881C1D" w:rsidRPr="003237DF">
        <w:t>-</w:t>
      </w:r>
      <w:r w:rsidRPr="003237DF">
        <w:t>term mutual benefit.</w:t>
      </w:r>
      <w:r w:rsidR="00946724" w:rsidRPr="003237DF">
        <w:t xml:space="preserve"> </w:t>
      </w:r>
      <w:r w:rsidRPr="003237DF">
        <w:t>Where this is the motivation, the costs cannot be recouped in the same way</w:t>
      </w:r>
      <w:r w:rsidR="00EC7E35">
        <w:t>,</w:t>
      </w:r>
      <w:r w:rsidRPr="003237DF">
        <w:t xml:space="preserve"> and </w:t>
      </w:r>
      <w:r w:rsidR="0000279E" w:rsidRPr="003237DF">
        <w:t xml:space="preserve">because </w:t>
      </w:r>
      <w:r w:rsidRPr="003237DF">
        <w:t xml:space="preserve">the benefits </w:t>
      </w:r>
      <w:r w:rsidR="0000279E" w:rsidRPr="003237DF">
        <w:t xml:space="preserve">are </w:t>
      </w:r>
      <w:r w:rsidRPr="003237DF">
        <w:t>less directly linked</w:t>
      </w:r>
      <w:r w:rsidR="0000279E" w:rsidRPr="003237DF">
        <w:t>, this</w:t>
      </w:r>
      <w:r w:rsidRPr="003237DF">
        <w:t xml:space="preserve"> means that the threshold for deciding whether to offer an employee incentive scheme is also</w:t>
      </w:r>
      <w:r w:rsidR="0000279E" w:rsidRPr="003237DF">
        <w:t> </w:t>
      </w:r>
      <w:r w:rsidRPr="003237DF">
        <w:t>greater.</w:t>
      </w:r>
    </w:p>
    <w:p w:rsidR="00B161BF" w:rsidRPr="003237DF" w:rsidRDefault="00B161BF" w:rsidP="00130268">
      <w:pPr>
        <w:pStyle w:val="BodyText"/>
      </w:pPr>
      <w:r w:rsidRPr="003237DF">
        <w:t xml:space="preserve">Financial statements must </w:t>
      </w:r>
      <w:r w:rsidR="00574B59" w:rsidRPr="003237DF">
        <w:t xml:space="preserve">also </w:t>
      </w:r>
      <w:r w:rsidRPr="003237DF">
        <w:t xml:space="preserve">be included with disclosure documents and must comply with Australian </w:t>
      </w:r>
      <w:r w:rsidR="00ED1F02" w:rsidRPr="003237DF">
        <w:t xml:space="preserve">accounting standards </w:t>
      </w:r>
      <w:r w:rsidRPr="003237DF">
        <w:t>and be audited.</w:t>
      </w:r>
      <w:r w:rsidR="00946724" w:rsidRPr="003237DF">
        <w:t xml:space="preserve"> </w:t>
      </w:r>
      <w:r w:rsidRPr="003237DF">
        <w:t xml:space="preserve">For foreign employers who do not prepare financial statements </w:t>
      </w:r>
      <w:r w:rsidR="00881C1D" w:rsidRPr="003237DF">
        <w:t xml:space="preserve">that </w:t>
      </w:r>
      <w:r w:rsidRPr="003237DF">
        <w:t xml:space="preserve">comply with Australian </w:t>
      </w:r>
      <w:r w:rsidR="00ED1F02" w:rsidRPr="003237DF">
        <w:t>accounting standards</w:t>
      </w:r>
      <w:r w:rsidRPr="003237DF">
        <w:t xml:space="preserve">, the costs of preparing a relevant disclosure document will be even more than </w:t>
      </w:r>
      <w:r w:rsidR="00ED1F02" w:rsidRPr="003237DF">
        <w:t>for</w:t>
      </w:r>
      <w:r w:rsidRPr="003237DF">
        <w:t xml:space="preserve"> an Australian employer.</w:t>
      </w:r>
      <w:r w:rsidR="00946724" w:rsidRPr="003237DF">
        <w:t xml:space="preserve"> </w:t>
      </w:r>
      <w:r w:rsidRPr="003237DF">
        <w:t xml:space="preserve">Depending on the size of the employer and </w:t>
      </w:r>
      <w:r w:rsidR="00ED1F02" w:rsidRPr="003237DF">
        <w:t xml:space="preserve">its </w:t>
      </w:r>
      <w:r w:rsidRPr="003237DF">
        <w:t xml:space="preserve">residency, </w:t>
      </w:r>
      <w:r w:rsidR="00ED1F02" w:rsidRPr="003237DF">
        <w:t xml:space="preserve">these </w:t>
      </w:r>
      <w:r w:rsidRPr="003237DF">
        <w:t>cost</w:t>
      </w:r>
      <w:r w:rsidR="00ED1F02" w:rsidRPr="003237DF">
        <w:t>s</w:t>
      </w:r>
      <w:r w:rsidRPr="003237DF">
        <w:t xml:space="preserve"> may be economically burdensome, or at worse, prohibitive. </w:t>
      </w:r>
    </w:p>
    <w:p w:rsidR="00E31133" w:rsidRPr="003237DF" w:rsidRDefault="00881C1D" w:rsidP="00130268">
      <w:pPr>
        <w:pStyle w:val="BodyText"/>
      </w:pPr>
      <w:r w:rsidRPr="003237DF">
        <w:t xml:space="preserve">Because </w:t>
      </w:r>
      <w:r w:rsidR="00444175" w:rsidRPr="003237DF">
        <w:t>the activities associated with offering an employee incentive scheme constitute financial services, it is also necessary for the employer to undertake additional compliance measures in order to make such offers in Australia without contravening the Corporations Act.</w:t>
      </w:r>
      <w:r w:rsidR="00946724" w:rsidRPr="003237DF">
        <w:t xml:space="preserve"> </w:t>
      </w:r>
      <w:r w:rsidR="00444175" w:rsidRPr="003237DF">
        <w:t>This adds additional costs to the employer in having to obtain legal advice on what can and cannot be undertaken</w:t>
      </w:r>
      <w:r w:rsidR="006241AB" w:rsidRPr="003237DF">
        <w:t>,</w:t>
      </w:r>
      <w:r w:rsidR="00444175" w:rsidRPr="003237DF">
        <w:t xml:space="preserve"> and </w:t>
      </w:r>
      <w:r w:rsidR="006241AB" w:rsidRPr="003237DF">
        <w:t xml:space="preserve">in </w:t>
      </w:r>
      <w:r w:rsidR="00444175" w:rsidRPr="003237DF">
        <w:t>ongoing compliance costs</w:t>
      </w:r>
      <w:r w:rsidR="00E31133" w:rsidRPr="003237DF">
        <w:t>,</w:t>
      </w:r>
      <w:r w:rsidR="00444175" w:rsidRPr="003237DF">
        <w:t xml:space="preserve"> w</w:t>
      </w:r>
      <w:r w:rsidR="00D22B56" w:rsidRPr="003237DF">
        <w:t>hile</w:t>
      </w:r>
      <w:r w:rsidR="00444175" w:rsidRPr="003237DF">
        <w:t xml:space="preserve"> ensuring that human resource departments and administration functions that remain in</w:t>
      </w:r>
      <w:r w:rsidR="00444175" w:rsidRPr="003237DF">
        <w:noBreakHyphen/>
        <w:t xml:space="preserve">house do not breach the Corporations Act. </w:t>
      </w:r>
    </w:p>
    <w:p w:rsidR="002A5C9D" w:rsidRPr="003237DF" w:rsidRDefault="00444175" w:rsidP="00130268">
      <w:pPr>
        <w:pStyle w:val="BodyText"/>
      </w:pPr>
      <w:bookmarkStart w:id="21" w:name="_ASICRef289"/>
      <w:r w:rsidRPr="003237DF">
        <w:t xml:space="preserve">We have been told by </w:t>
      </w:r>
      <w:r w:rsidR="000D37B3" w:rsidRPr="003237DF">
        <w:t>one</w:t>
      </w:r>
      <w:r w:rsidRPr="003237DF">
        <w:t xml:space="preserve"> applicant that the</w:t>
      </w:r>
      <w:r w:rsidR="000D37B3" w:rsidRPr="003237DF">
        <w:t>se</w:t>
      </w:r>
      <w:r w:rsidRPr="003237DF">
        <w:t xml:space="preserve"> costs would be in the vicinity of several hundred thousand dollars. </w:t>
      </w:r>
      <w:r w:rsidR="000D37B3" w:rsidRPr="003237DF">
        <w:t>T</w:t>
      </w:r>
      <w:r w:rsidR="00165378" w:rsidRPr="003237DF">
        <w:t>he consensus from respondents generally was that ASIC</w:t>
      </w:r>
      <w:r w:rsidR="00946724" w:rsidRPr="003237DF">
        <w:t>’</w:t>
      </w:r>
      <w:r w:rsidR="000D37B3" w:rsidRPr="003237DF">
        <w:t>s</w:t>
      </w:r>
      <w:r w:rsidR="00165378" w:rsidRPr="003237DF">
        <w:t xml:space="preserve"> class order relief substantially alleviate</w:t>
      </w:r>
      <w:r w:rsidR="000D37B3" w:rsidRPr="003237DF">
        <w:t>s</w:t>
      </w:r>
      <w:r w:rsidR="00165378" w:rsidRPr="003237DF">
        <w:t xml:space="preserve"> the burden of complying with the Corporations Act </w:t>
      </w:r>
      <w:r w:rsidR="006241AB" w:rsidRPr="003237DF">
        <w:t xml:space="preserve">when </w:t>
      </w:r>
      <w:r w:rsidR="00165378" w:rsidRPr="003237DF">
        <w:t>offer</w:t>
      </w:r>
      <w:r w:rsidR="006241AB" w:rsidRPr="003237DF">
        <w:t>ing</w:t>
      </w:r>
      <w:r w:rsidR="00165378" w:rsidRPr="003237DF">
        <w:t xml:space="preserve"> employee </w:t>
      </w:r>
      <w:r w:rsidR="00165378" w:rsidRPr="003237DF">
        <w:rPr>
          <w:spacing w:val="-4"/>
        </w:rPr>
        <w:lastRenderedPageBreak/>
        <w:t>incentive schemes</w:t>
      </w:r>
      <w:r w:rsidR="00C0102C" w:rsidRPr="003237DF">
        <w:rPr>
          <w:spacing w:val="-4"/>
        </w:rPr>
        <w:t xml:space="preserve">, as </w:t>
      </w:r>
      <w:r w:rsidR="00E31133" w:rsidRPr="003237DF">
        <w:rPr>
          <w:spacing w:val="-4"/>
        </w:rPr>
        <w:t xml:space="preserve">demonstrated </w:t>
      </w:r>
      <w:r w:rsidR="00C0102C" w:rsidRPr="003237DF">
        <w:rPr>
          <w:spacing w:val="-4"/>
        </w:rPr>
        <w:t>by ASIC receiving over 7,900 notifications</w:t>
      </w:r>
      <w:r w:rsidR="00C0102C" w:rsidRPr="003237DF">
        <w:t xml:space="preserve"> </w:t>
      </w:r>
      <w:r w:rsidR="00E31133" w:rsidRPr="003237DF">
        <w:t xml:space="preserve">of </w:t>
      </w:r>
      <w:r w:rsidR="000D37B3" w:rsidRPr="003237DF">
        <w:t xml:space="preserve">reliance on </w:t>
      </w:r>
      <w:r w:rsidR="00153C8E" w:rsidRPr="003237DF">
        <w:t>[CO </w:t>
      </w:r>
      <w:r w:rsidR="000D37B3" w:rsidRPr="003237DF">
        <w:t>03/184</w:t>
      </w:r>
      <w:r w:rsidR="00E31133" w:rsidRPr="003237DF">
        <w:t>]</w:t>
      </w:r>
      <w:r w:rsidR="000D37B3" w:rsidRPr="003237DF">
        <w:t xml:space="preserve"> (and its predecessors) </w:t>
      </w:r>
      <w:r w:rsidR="00C0102C" w:rsidRPr="003237DF">
        <w:t>since 1993</w:t>
      </w:r>
      <w:r w:rsidR="00165378" w:rsidRPr="003237DF">
        <w:t>.</w:t>
      </w:r>
      <w:bookmarkEnd w:id="21"/>
    </w:p>
    <w:p w:rsidR="00B32C39" w:rsidRPr="003237DF" w:rsidRDefault="00B32C39" w:rsidP="00B32C39">
      <w:pPr>
        <w:pStyle w:val="Heading4"/>
      </w:pPr>
      <w:r w:rsidRPr="003237DF">
        <w:t>International perspective</w:t>
      </w:r>
    </w:p>
    <w:p w:rsidR="00B32C39" w:rsidRPr="003237DF" w:rsidRDefault="00A13A47" w:rsidP="00130268">
      <w:pPr>
        <w:pStyle w:val="BodyText"/>
      </w:pPr>
      <w:r w:rsidRPr="003237DF">
        <w:t>Employee incentive schemes are more widely used in some foreign jurisdictions</w:t>
      </w:r>
      <w:r w:rsidR="00E31133" w:rsidRPr="003237DF">
        <w:t>,</w:t>
      </w:r>
      <w:r w:rsidRPr="003237DF">
        <w:t xml:space="preserve"> including the United Kingdom, the European Union and the United States.</w:t>
      </w:r>
      <w:r w:rsidR="00946724" w:rsidRPr="003237DF">
        <w:t xml:space="preserve"> </w:t>
      </w:r>
      <w:r w:rsidRPr="003237DF">
        <w:t xml:space="preserve">Multinational employers </w:t>
      </w:r>
      <w:r w:rsidR="00E31133" w:rsidRPr="003237DF">
        <w:t>have also wished</w:t>
      </w:r>
      <w:r w:rsidRPr="003237DF">
        <w:t xml:space="preserve"> to offer their Australian</w:t>
      </w:r>
      <w:r w:rsidR="00EE2DE9" w:rsidRPr="003237DF">
        <w:t>-</w:t>
      </w:r>
      <w:r w:rsidRPr="003237DF">
        <w:t>resident employees participation in their global employee incentive schemes.</w:t>
      </w:r>
      <w:r w:rsidR="00946724" w:rsidRPr="003237DF">
        <w:t xml:space="preserve"> </w:t>
      </w:r>
    </w:p>
    <w:p w:rsidR="00B32C39" w:rsidRPr="003237DF" w:rsidRDefault="00A13A47" w:rsidP="00130268">
      <w:pPr>
        <w:pStyle w:val="BodyText"/>
      </w:pPr>
      <w:r w:rsidRPr="003237DF">
        <w:t>Under our current approach, Australian</w:t>
      </w:r>
      <w:r w:rsidR="00EC7E35">
        <w:t>-resident</w:t>
      </w:r>
      <w:r w:rsidRPr="003237DF">
        <w:t xml:space="preserve"> employees may be disadvantaged</w:t>
      </w:r>
      <w:r w:rsidR="00C0102C" w:rsidRPr="003237DF">
        <w:t>.</w:t>
      </w:r>
      <w:r w:rsidR="00946724" w:rsidRPr="003237DF">
        <w:t xml:space="preserve"> </w:t>
      </w:r>
      <w:r w:rsidR="00C0102C" w:rsidRPr="003237DF">
        <w:t xml:space="preserve">While they may receive a slightly higher salary as compensation for not being entitled to participate in an employee incentive scheme, they would not have exposure to the same potential </w:t>
      </w:r>
      <w:r w:rsidRPr="003237DF">
        <w:t xml:space="preserve">employment-related benefits </w:t>
      </w:r>
      <w:r w:rsidR="00B32C39" w:rsidRPr="003237DF">
        <w:t xml:space="preserve">under employee incentive schemes </w:t>
      </w:r>
      <w:r w:rsidRPr="003237DF">
        <w:t xml:space="preserve">that </w:t>
      </w:r>
      <w:r w:rsidR="00C0102C" w:rsidRPr="003237DF">
        <w:t xml:space="preserve">their </w:t>
      </w:r>
      <w:r w:rsidRPr="003237DF">
        <w:t xml:space="preserve">overseas </w:t>
      </w:r>
      <w:r w:rsidR="00C0102C" w:rsidRPr="003237DF">
        <w:t>colleagues</w:t>
      </w:r>
      <w:r w:rsidRPr="003237DF">
        <w:t xml:space="preserve"> are being offered.</w:t>
      </w:r>
      <w:r w:rsidR="00946724" w:rsidRPr="003237DF">
        <w:t xml:space="preserve"> </w:t>
      </w:r>
    </w:p>
    <w:p w:rsidR="00A13A47" w:rsidRPr="003237DF" w:rsidRDefault="00A13A47" w:rsidP="00130268">
      <w:pPr>
        <w:pStyle w:val="BodyText"/>
      </w:pPr>
      <w:r w:rsidRPr="003237DF">
        <w:t xml:space="preserve">Some multinational companies consider that the cost of complying with the </w:t>
      </w:r>
      <w:r w:rsidR="00B32C39" w:rsidRPr="003237DF">
        <w:t xml:space="preserve">requirements in the </w:t>
      </w:r>
      <w:r w:rsidRPr="003237DF">
        <w:t xml:space="preserve">Corporations Act in order to make </w:t>
      </w:r>
      <w:r w:rsidR="00B32C39" w:rsidRPr="003237DF">
        <w:t xml:space="preserve">an </w:t>
      </w:r>
      <w:r w:rsidRPr="003237DF">
        <w:t xml:space="preserve">employee incentive scheme available to </w:t>
      </w:r>
      <w:r w:rsidR="00C0102C" w:rsidRPr="003237DF">
        <w:t>their</w:t>
      </w:r>
      <w:r w:rsidRPr="003237DF">
        <w:t xml:space="preserve"> Australian</w:t>
      </w:r>
      <w:r w:rsidR="00EC7E35">
        <w:t>-resident</w:t>
      </w:r>
      <w:r w:rsidRPr="003237DF">
        <w:t xml:space="preserve"> employees would outweigh the benefits flowing from making these offers available to a small number of Australian</w:t>
      </w:r>
      <w:r w:rsidR="00EC7E35">
        <w:t>-resident</w:t>
      </w:r>
      <w:r w:rsidRPr="003237DF">
        <w:t xml:space="preserve"> employees. </w:t>
      </w:r>
    </w:p>
    <w:p w:rsidR="002A5C9D" w:rsidRPr="003237DF" w:rsidRDefault="000D37B3" w:rsidP="0047115C">
      <w:pPr>
        <w:pStyle w:val="Heading3"/>
      </w:pPr>
      <w:r w:rsidRPr="003237DF">
        <w:t xml:space="preserve">Offers of employee incentive schemes relying on </w:t>
      </w:r>
      <w:r w:rsidR="002A5C9D" w:rsidRPr="003237DF">
        <w:t xml:space="preserve">case-by-case ASIC relief </w:t>
      </w:r>
    </w:p>
    <w:p w:rsidR="00CF7669" w:rsidRPr="003237DF" w:rsidRDefault="00B40778" w:rsidP="00130268">
      <w:pPr>
        <w:pStyle w:val="BodyText"/>
      </w:pPr>
      <w:r w:rsidRPr="003237DF">
        <w:t>W</w:t>
      </w:r>
      <w:r w:rsidR="00333787" w:rsidRPr="003237DF">
        <w:t xml:space="preserve">e are aware that </w:t>
      </w:r>
      <w:r w:rsidR="00B32C39" w:rsidRPr="003237DF">
        <w:t xml:space="preserve">[CO 03/184] </w:t>
      </w:r>
      <w:r w:rsidR="00CF7669" w:rsidRPr="003237DF">
        <w:t>is no longer adequate to meet the needs of employers.</w:t>
      </w:r>
      <w:r w:rsidR="00946724" w:rsidRPr="003237DF">
        <w:t xml:space="preserve"> </w:t>
      </w:r>
      <w:r w:rsidR="00E9622A" w:rsidRPr="003237DF">
        <w:t xml:space="preserve">In the </w:t>
      </w:r>
      <w:r w:rsidR="00E31133" w:rsidRPr="003237DF">
        <w:t>p</w:t>
      </w:r>
      <w:r w:rsidR="009C491A" w:rsidRPr="003237DF">
        <w:t xml:space="preserve">ast </w:t>
      </w:r>
      <w:r w:rsidR="00E31133" w:rsidRPr="003237DF">
        <w:t>six</w:t>
      </w:r>
      <w:r w:rsidR="009C491A" w:rsidRPr="003237DF">
        <w:t xml:space="preserve"> years, t</w:t>
      </w:r>
      <w:r w:rsidR="009540E3" w:rsidRPr="003237DF">
        <w:t xml:space="preserve">here have been over </w:t>
      </w:r>
      <w:r w:rsidR="00595384" w:rsidRPr="003237DF">
        <w:t>460</w:t>
      </w:r>
      <w:r w:rsidR="00877028" w:rsidRPr="003237DF">
        <w:rPr>
          <w:rStyle w:val="FootnoteReference"/>
        </w:rPr>
        <w:footnoteReference w:id="10"/>
      </w:r>
      <w:r w:rsidR="009C491A" w:rsidRPr="003237DF">
        <w:t xml:space="preserve"> </w:t>
      </w:r>
      <w:r w:rsidR="00B32C39" w:rsidRPr="003237DF">
        <w:t xml:space="preserve">individual </w:t>
      </w:r>
      <w:r w:rsidR="009C491A" w:rsidRPr="003237DF">
        <w:t xml:space="preserve">applications for </w:t>
      </w:r>
      <w:r w:rsidR="00B32C39" w:rsidRPr="003237DF">
        <w:t>relief</w:t>
      </w:r>
      <w:r w:rsidR="00B32C39" w:rsidRPr="003237DF" w:rsidDel="00B32C39">
        <w:t xml:space="preserve"> </w:t>
      </w:r>
      <w:r w:rsidR="00B32C39" w:rsidRPr="003237DF">
        <w:t xml:space="preserve">for </w:t>
      </w:r>
      <w:r w:rsidR="009C491A" w:rsidRPr="003237DF">
        <w:t>employee incentive scheme</w:t>
      </w:r>
      <w:r w:rsidR="00B32C39" w:rsidRPr="003237DF">
        <w:t>s</w:t>
      </w:r>
      <w:r w:rsidR="009C491A" w:rsidRPr="003237DF">
        <w:t>.</w:t>
      </w:r>
      <w:r w:rsidR="00946724" w:rsidRPr="003237DF">
        <w:t xml:space="preserve"> </w:t>
      </w:r>
      <w:r w:rsidR="009C491A" w:rsidRPr="003237DF">
        <w:t xml:space="preserve">These individual relief applications </w:t>
      </w:r>
      <w:r w:rsidR="0058481B" w:rsidRPr="003237DF">
        <w:t xml:space="preserve">were necessary because </w:t>
      </w:r>
      <w:r w:rsidR="009C491A" w:rsidRPr="003237DF">
        <w:t>employers were unable to rely on</w:t>
      </w:r>
      <w:r w:rsidR="00F05300" w:rsidRPr="003237DF">
        <w:t> </w:t>
      </w:r>
      <w:r w:rsidR="00153C8E" w:rsidRPr="003237DF">
        <w:t>[CO </w:t>
      </w:r>
      <w:r w:rsidR="009C491A" w:rsidRPr="003237DF">
        <w:t>03/184</w:t>
      </w:r>
      <w:r w:rsidR="00E30291" w:rsidRPr="003237DF">
        <w:t>]</w:t>
      </w:r>
      <w:r w:rsidR="00EC7893" w:rsidRPr="003237DF">
        <w:t>.</w:t>
      </w:r>
    </w:p>
    <w:p w:rsidR="007B02B7" w:rsidRPr="003237DF" w:rsidRDefault="00333787" w:rsidP="00130268">
      <w:pPr>
        <w:pStyle w:val="BodyText"/>
      </w:pPr>
      <w:r w:rsidRPr="003237DF">
        <w:rPr>
          <w:spacing w:val="-2"/>
        </w:rPr>
        <w:t>From an ASIC perspective</w:t>
      </w:r>
      <w:r w:rsidR="001E0204" w:rsidRPr="003237DF">
        <w:rPr>
          <w:spacing w:val="-2"/>
        </w:rPr>
        <w:t>,</w:t>
      </w:r>
      <w:r w:rsidR="009A62DA" w:rsidRPr="003237DF">
        <w:rPr>
          <w:spacing w:val="-2"/>
        </w:rPr>
        <w:t xml:space="preserve"> </w:t>
      </w:r>
      <w:r w:rsidRPr="003237DF">
        <w:rPr>
          <w:spacing w:val="-2"/>
        </w:rPr>
        <w:t>more resource</w:t>
      </w:r>
      <w:r w:rsidR="00EE2DE9" w:rsidRPr="003237DF">
        <w:rPr>
          <w:spacing w:val="-2"/>
        </w:rPr>
        <w:t>s</w:t>
      </w:r>
      <w:r w:rsidRPr="003237DF">
        <w:rPr>
          <w:spacing w:val="-2"/>
        </w:rPr>
        <w:t xml:space="preserve"> </w:t>
      </w:r>
      <w:r w:rsidR="00A13A47" w:rsidRPr="003237DF">
        <w:rPr>
          <w:spacing w:val="-2"/>
        </w:rPr>
        <w:t>are required to assess applications</w:t>
      </w:r>
      <w:r w:rsidR="00A13A47" w:rsidRPr="003237DF">
        <w:t xml:space="preserve"> for relief and </w:t>
      </w:r>
      <w:r w:rsidR="00F05300" w:rsidRPr="003237DF">
        <w:t xml:space="preserve">to </w:t>
      </w:r>
      <w:r w:rsidR="00A13A47" w:rsidRPr="003237DF">
        <w:t>provide relief.</w:t>
      </w:r>
      <w:r w:rsidR="00946724" w:rsidRPr="003237DF">
        <w:t xml:space="preserve"> </w:t>
      </w:r>
      <w:r w:rsidR="00A13A47" w:rsidRPr="003237DF">
        <w:t xml:space="preserve">The </w:t>
      </w:r>
      <w:r w:rsidRPr="003237DF">
        <w:t xml:space="preserve">aggregated time involved for a minor and technical relief application </w:t>
      </w:r>
      <w:r w:rsidR="00A13A47" w:rsidRPr="003237DF">
        <w:t xml:space="preserve">for </w:t>
      </w:r>
      <w:r w:rsidR="00F05300" w:rsidRPr="003237DF">
        <w:t xml:space="preserve">an </w:t>
      </w:r>
      <w:r w:rsidR="00A13A47" w:rsidRPr="003237DF">
        <w:t xml:space="preserve">employee incentive scheme is estimated at </w:t>
      </w:r>
      <w:r w:rsidR="00F05300" w:rsidRPr="003237DF">
        <w:t xml:space="preserve">an </w:t>
      </w:r>
      <w:r w:rsidRPr="003237DF">
        <w:t>averag</w:t>
      </w:r>
      <w:r w:rsidR="00F05300" w:rsidRPr="003237DF">
        <w:t>e of</w:t>
      </w:r>
      <w:r w:rsidRPr="003237DF">
        <w:t xml:space="preserve"> one to three days of a junior ASIC staff member</w:t>
      </w:r>
      <w:r w:rsidR="00946724" w:rsidRPr="003237DF">
        <w:t>’</w:t>
      </w:r>
      <w:r w:rsidRPr="003237DF">
        <w:t>s time.</w:t>
      </w:r>
      <w:r w:rsidR="007B02B7" w:rsidRPr="003237DF">
        <w:t xml:space="preserve"> </w:t>
      </w:r>
    </w:p>
    <w:p w:rsidR="007C2288" w:rsidRPr="003237DF" w:rsidRDefault="00136419" w:rsidP="00685551">
      <w:pPr>
        <w:pStyle w:val="Heading2"/>
      </w:pPr>
      <w:bookmarkStart w:id="22" w:name="_Toc256689336"/>
      <w:bookmarkStart w:id="23" w:name="_Toc398206731"/>
      <w:r w:rsidRPr="003237DF">
        <w:lastRenderedPageBreak/>
        <w:t>ASIC</w:t>
      </w:r>
      <w:r w:rsidR="00946724" w:rsidRPr="003237DF">
        <w:t>’</w:t>
      </w:r>
      <w:r w:rsidRPr="003237DF">
        <w:t>s o</w:t>
      </w:r>
      <w:r w:rsidR="00DD020C" w:rsidRPr="003237DF">
        <w:t>bjectives</w:t>
      </w:r>
      <w:bookmarkEnd w:id="22"/>
      <w:bookmarkEnd w:id="23"/>
    </w:p>
    <w:p w:rsidR="00470AD2" w:rsidRPr="003237DF" w:rsidRDefault="00470AD2" w:rsidP="00DD020C">
      <w:pPr>
        <w:pStyle w:val="BodyText"/>
      </w:pPr>
      <w:r w:rsidRPr="003237DF">
        <w:t xml:space="preserve">Where we consider </w:t>
      </w:r>
      <w:r w:rsidR="005979BE" w:rsidRPr="003237DF">
        <w:t>the benefits of an employee incentive scheme outweigh the risks to employees</w:t>
      </w:r>
      <w:r w:rsidR="00F05300" w:rsidRPr="003237DF">
        <w:t>,</w:t>
      </w:r>
      <w:r w:rsidR="005979BE" w:rsidRPr="003237DF">
        <w:t xml:space="preserve"> and our policy objectives are satisfied, we</w:t>
      </w:r>
      <w:r w:rsidR="007132EC" w:rsidRPr="003237DF">
        <w:t xml:space="preserve"> are prepared to</w:t>
      </w:r>
      <w:r w:rsidR="005979BE" w:rsidRPr="003237DF">
        <w:t xml:space="preserve"> facilitate these schemes by relieving issuers from their obligations under the Corporations Act and reducing the compliance burden.</w:t>
      </w:r>
    </w:p>
    <w:p w:rsidR="00165A39" w:rsidRPr="003237DF" w:rsidRDefault="00165A39" w:rsidP="00DD020C">
      <w:pPr>
        <w:pStyle w:val="BodyText"/>
      </w:pPr>
      <w:r w:rsidRPr="003237DF">
        <w:t>ASIC</w:t>
      </w:r>
      <w:r w:rsidR="00946724" w:rsidRPr="003237DF">
        <w:t>’</w:t>
      </w:r>
      <w:r w:rsidRPr="003237DF">
        <w:t>s overarching policy for facilitating relief relates to</w:t>
      </w:r>
      <w:r w:rsidR="008F6939" w:rsidRPr="003237DF">
        <w:t xml:space="preserve"> whether</w:t>
      </w:r>
      <w:r w:rsidRPr="003237DF">
        <w:t>:</w:t>
      </w:r>
    </w:p>
    <w:p w:rsidR="00165A39" w:rsidRPr="003237DF" w:rsidRDefault="00165A39" w:rsidP="00165A39">
      <w:pPr>
        <w:pStyle w:val="subparaa"/>
      </w:pPr>
      <w:r w:rsidRPr="003237DF">
        <w:t xml:space="preserve">the offer supports interdependence between the employer and its employees for their long-term mutual benefit by aligning their respective interests; </w:t>
      </w:r>
    </w:p>
    <w:p w:rsidR="00165A39" w:rsidRPr="003237DF" w:rsidRDefault="00165A39" w:rsidP="00165A39">
      <w:pPr>
        <w:pStyle w:val="subparaa"/>
      </w:pPr>
      <w:r w:rsidRPr="003237DF">
        <w:t>there is adequate protection for participants in the scheme; and</w:t>
      </w:r>
    </w:p>
    <w:p w:rsidR="00165A39" w:rsidRPr="003237DF" w:rsidRDefault="00165A39" w:rsidP="00165A39">
      <w:pPr>
        <w:pStyle w:val="subparaa"/>
      </w:pPr>
      <w:r w:rsidRPr="003237DF">
        <w:t>the objective of the offer is not fundraising.</w:t>
      </w:r>
    </w:p>
    <w:p w:rsidR="007C2288" w:rsidRPr="003237DF" w:rsidRDefault="00BE7F34" w:rsidP="00AA36F8">
      <w:pPr>
        <w:pStyle w:val="Heading1"/>
      </w:pPr>
      <w:bookmarkStart w:id="24" w:name="_Toc256689337"/>
      <w:bookmarkStart w:id="25" w:name="_Toc398206732"/>
      <w:r w:rsidRPr="003237DF">
        <w:t>Options</w:t>
      </w:r>
      <w:r w:rsidR="00AA36F8" w:rsidRPr="003237DF">
        <w:t xml:space="preserve"> and impact analysis</w:t>
      </w:r>
      <w:bookmarkEnd w:id="24"/>
      <w:bookmarkEnd w:id="25"/>
    </w:p>
    <w:p w:rsidR="004C44B9" w:rsidRPr="003237DF" w:rsidRDefault="004C44B9" w:rsidP="004C44B9">
      <w:pPr>
        <w:pStyle w:val="Heading2"/>
      </w:pPr>
      <w:bookmarkStart w:id="26" w:name="_Toc398206733"/>
      <w:r w:rsidRPr="003237DF">
        <w:t>Options</w:t>
      </w:r>
      <w:bookmarkEnd w:id="26"/>
    </w:p>
    <w:p w:rsidR="00AA36F8" w:rsidRPr="003237DF" w:rsidRDefault="00626DEC" w:rsidP="00AA36F8">
      <w:pPr>
        <w:pStyle w:val="BodyText"/>
      </w:pPr>
      <w:r w:rsidRPr="003237DF">
        <w:t>We are considering the following options to address the issues iden</w:t>
      </w:r>
      <w:r w:rsidR="00A1033A" w:rsidRPr="003237DF">
        <w:t xml:space="preserve">tified during our review of the policy </w:t>
      </w:r>
      <w:r w:rsidRPr="003237DF">
        <w:t>applicable to employee incentive schemes:</w:t>
      </w:r>
      <w:r w:rsidR="003E7288" w:rsidRPr="003237DF">
        <w:t xml:space="preserve"> </w:t>
      </w:r>
    </w:p>
    <w:p w:rsidR="003E7288" w:rsidRPr="003237DF" w:rsidRDefault="003E7288" w:rsidP="003E7288">
      <w:pPr>
        <w:pStyle w:val="subparaa"/>
      </w:pPr>
      <w:r w:rsidRPr="003237DF">
        <w:t xml:space="preserve">Option 1: </w:t>
      </w:r>
      <w:r w:rsidR="00EF627F" w:rsidRPr="003237DF">
        <w:t xml:space="preserve">make </w:t>
      </w:r>
      <w:r w:rsidR="007C5CC7" w:rsidRPr="003237DF">
        <w:t xml:space="preserve">substantive changes to </w:t>
      </w:r>
      <w:r w:rsidR="00491403" w:rsidRPr="003237DF">
        <w:t>broaden the scope of our class order relief</w:t>
      </w:r>
      <w:r w:rsidR="00EF627F" w:rsidRPr="003237DF">
        <w:t>;</w:t>
      </w:r>
    </w:p>
    <w:p w:rsidR="003E7288" w:rsidRPr="003237DF" w:rsidRDefault="00255E68" w:rsidP="003E7288">
      <w:pPr>
        <w:pStyle w:val="subparaa"/>
      </w:pPr>
      <w:r w:rsidRPr="003237DF">
        <w:t xml:space="preserve">Option 2: </w:t>
      </w:r>
      <w:r w:rsidR="00EF627F" w:rsidRPr="003237DF">
        <w:t xml:space="preserve">expand </w:t>
      </w:r>
      <w:r w:rsidR="007C5CC7" w:rsidRPr="003237DF">
        <w:t>the scope of our relief (similar to Option 1) without imposing any conditions on such relief</w:t>
      </w:r>
      <w:r w:rsidR="00EF627F" w:rsidRPr="003237DF">
        <w:t>; and</w:t>
      </w:r>
    </w:p>
    <w:p w:rsidR="003E7288" w:rsidRPr="003237DF" w:rsidRDefault="003E7288" w:rsidP="003E7288">
      <w:pPr>
        <w:pStyle w:val="subparaa"/>
      </w:pPr>
      <w:r w:rsidRPr="003237DF">
        <w:t xml:space="preserve">Option 3: </w:t>
      </w:r>
      <w:r w:rsidR="00EF627F" w:rsidRPr="003237DF">
        <w:t xml:space="preserve">maintain </w:t>
      </w:r>
      <w:r w:rsidR="007C5CC7" w:rsidRPr="003237DF">
        <w:t xml:space="preserve">our existing approach to relief in line with </w:t>
      </w:r>
      <w:r w:rsidR="00153C8E" w:rsidRPr="003237DF">
        <w:t>[CO </w:t>
      </w:r>
      <w:r w:rsidR="007C5CC7" w:rsidRPr="003237DF">
        <w:t>03/184] but include some minor and technical changes and updates that are mechanical in nature.</w:t>
      </w:r>
      <w:r w:rsidR="00255E68" w:rsidRPr="003237DF">
        <w:t xml:space="preserve"> </w:t>
      </w:r>
    </w:p>
    <w:p w:rsidR="00A2379C" w:rsidRPr="003237DF" w:rsidRDefault="00136419" w:rsidP="00136419">
      <w:pPr>
        <w:pStyle w:val="BodyText"/>
      </w:pPr>
      <w:r w:rsidRPr="003237DF">
        <w:t xml:space="preserve">We did not consider </w:t>
      </w:r>
      <w:r w:rsidR="00F9051F" w:rsidRPr="003237DF">
        <w:t xml:space="preserve">that </w:t>
      </w:r>
      <w:r w:rsidR="00F26979" w:rsidRPr="003237DF">
        <w:t xml:space="preserve">allowing the </w:t>
      </w:r>
      <w:r w:rsidRPr="003237DF">
        <w:t xml:space="preserve">class order </w:t>
      </w:r>
      <w:r w:rsidR="00F26979" w:rsidRPr="003237DF">
        <w:t xml:space="preserve">to </w:t>
      </w:r>
      <w:r w:rsidR="00F9051F" w:rsidRPr="003237DF">
        <w:rPr>
          <w:lang w:val="en"/>
        </w:rPr>
        <w:t xml:space="preserve">expire </w:t>
      </w:r>
      <w:r w:rsidRPr="003237DF">
        <w:t>was a</w:t>
      </w:r>
      <w:r w:rsidR="00F26979" w:rsidRPr="003237DF">
        <w:t xml:space="preserve"> </w:t>
      </w:r>
      <w:r w:rsidR="00AD7FBE" w:rsidRPr="003237DF">
        <w:t xml:space="preserve">viable </w:t>
      </w:r>
      <w:r w:rsidRPr="003237DF">
        <w:t>option</w:t>
      </w:r>
      <w:r w:rsidR="001E0204" w:rsidRPr="003237DF">
        <w:t>,</w:t>
      </w:r>
      <w:r w:rsidRPr="003237DF">
        <w:t xml:space="preserve"> given the reliance that many employers </w:t>
      </w:r>
      <w:r w:rsidR="007C5CC7" w:rsidRPr="003237DF">
        <w:t xml:space="preserve">currently </w:t>
      </w:r>
      <w:r w:rsidRPr="003237DF">
        <w:t xml:space="preserve">place on our </w:t>
      </w:r>
      <w:r w:rsidR="007C5CC7" w:rsidRPr="003237DF">
        <w:t xml:space="preserve">class order </w:t>
      </w:r>
      <w:r w:rsidRPr="003237DF">
        <w:t>relief</w:t>
      </w:r>
      <w:r w:rsidR="007C5CC7" w:rsidRPr="003237DF">
        <w:t>.</w:t>
      </w:r>
      <w:r w:rsidR="00946724" w:rsidRPr="003237DF">
        <w:t xml:space="preserve"> </w:t>
      </w:r>
      <w:r w:rsidR="00F26979" w:rsidRPr="003237DF">
        <w:t xml:space="preserve">Doing so </w:t>
      </w:r>
      <w:r w:rsidR="007C5CC7" w:rsidRPr="003237DF">
        <w:t>would result in an exponential</w:t>
      </w:r>
      <w:r w:rsidRPr="003237DF">
        <w:t xml:space="preserve"> increase in </w:t>
      </w:r>
      <w:r w:rsidR="007C5CC7" w:rsidRPr="003237DF">
        <w:t xml:space="preserve">the number of </w:t>
      </w:r>
      <w:r w:rsidRPr="003237DF">
        <w:t xml:space="preserve">applications for case-by-case relief that </w:t>
      </w:r>
      <w:r w:rsidR="007C5CC7" w:rsidRPr="003237DF">
        <w:t xml:space="preserve">would significantly increase the costs to industry, employers and employees, and </w:t>
      </w:r>
      <w:r w:rsidR="00F26979" w:rsidRPr="003237DF">
        <w:t xml:space="preserve">be a significant and unnecessary resource drain on </w:t>
      </w:r>
      <w:r w:rsidR="007C5CC7" w:rsidRPr="003237DF">
        <w:t>ASIC</w:t>
      </w:r>
      <w:r w:rsidRPr="003237DF">
        <w:t>.</w:t>
      </w:r>
      <w:r w:rsidR="007D7520" w:rsidRPr="003237DF">
        <w:t xml:space="preserve"> </w:t>
      </w:r>
    </w:p>
    <w:p w:rsidR="00136419" w:rsidRPr="003237DF" w:rsidRDefault="007D7520" w:rsidP="00136419">
      <w:pPr>
        <w:pStyle w:val="BodyText"/>
      </w:pPr>
      <w:r w:rsidRPr="003237DF">
        <w:t xml:space="preserve">As discussed below, full compliance would cost approximately $15,000 or more per disclosure document and $30,000 or more to obtain any relevant licences. While large listed bodies may consider </w:t>
      </w:r>
      <w:r w:rsidR="00836929" w:rsidRPr="003237DF">
        <w:t>that</w:t>
      </w:r>
      <w:r w:rsidR="001E0204" w:rsidRPr="003237DF">
        <w:t xml:space="preserve"> </w:t>
      </w:r>
      <w:r w:rsidRPr="003237DF">
        <w:t>the cost of preparing a disclosure document may justify the benefits, in a large number of cases, this would not be the case</w:t>
      </w:r>
      <w:r w:rsidR="00836929" w:rsidRPr="003237DF">
        <w:t>.</w:t>
      </w:r>
      <w:r w:rsidR="00946724" w:rsidRPr="003237DF">
        <w:t xml:space="preserve"> </w:t>
      </w:r>
      <w:r w:rsidR="00836929" w:rsidRPr="003237DF">
        <w:t>I</w:t>
      </w:r>
      <w:r w:rsidRPr="003237DF">
        <w:t>n particular</w:t>
      </w:r>
      <w:r w:rsidR="00836929" w:rsidRPr="003237DF">
        <w:t>,</w:t>
      </w:r>
      <w:r w:rsidRPr="003237DF">
        <w:t xml:space="preserve"> foreign bodies with a limited number of Australian</w:t>
      </w:r>
      <w:r w:rsidR="00EC7E35">
        <w:t>-resident</w:t>
      </w:r>
      <w:r w:rsidRPr="003237DF">
        <w:t xml:space="preserve"> employees have indicated that</w:t>
      </w:r>
      <w:r w:rsidR="00F9051F" w:rsidRPr="003237DF">
        <w:t>,</w:t>
      </w:r>
      <w:r w:rsidRPr="003237DF">
        <w:t xml:space="preserve"> </w:t>
      </w:r>
      <w:r w:rsidR="00A2379C" w:rsidRPr="003237DF">
        <w:t xml:space="preserve">without </w:t>
      </w:r>
      <w:r w:rsidRPr="003237DF">
        <w:t>relief, the</w:t>
      </w:r>
      <w:r w:rsidR="0073150F" w:rsidRPr="003237DF">
        <w:t xml:space="preserve"> costs would outweigh the benefits</w:t>
      </w:r>
      <w:r w:rsidR="00CF0545" w:rsidRPr="003237DF">
        <w:t>.</w:t>
      </w:r>
      <w:r w:rsidRPr="003237DF">
        <w:t xml:space="preserve"> As such, the benefits of aligning the interests of employers and employees would</w:t>
      </w:r>
      <w:r w:rsidR="0073150F" w:rsidRPr="003237DF">
        <w:t xml:space="preserve"> not be realised because of</w:t>
      </w:r>
      <w:r w:rsidRPr="003237DF">
        <w:t xml:space="preserve"> the expense of having to prepare complying documents.</w:t>
      </w:r>
    </w:p>
    <w:p w:rsidR="00AC5C87" w:rsidRPr="003237DF" w:rsidRDefault="00AC5C87" w:rsidP="000B3763">
      <w:pPr>
        <w:pStyle w:val="Heading2"/>
      </w:pPr>
      <w:bookmarkStart w:id="27" w:name="_Toc398206734"/>
      <w:r w:rsidRPr="003237DF">
        <w:t xml:space="preserve">Option </w:t>
      </w:r>
      <w:r w:rsidR="007C5CC7" w:rsidRPr="003237DF">
        <w:t>1</w:t>
      </w:r>
      <w:r w:rsidR="00644C70" w:rsidRPr="003237DF">
        <w:t>:</w:t>
      </w:r>
      <w:r w:rsidR="00F86B7C" w:rsidRPr="003237DF">
        <w:t xml:space="preserve"> </w:t>
      </w:r>
      <w:r w:rsidR="00644C70" w:rsidRPr="003237DF">
        <w:t>Make substantive changes to the current guidance and relief</w:t>
      </w:r>
      <w:r w:rsidR="003B70AD" w:rsidRPr="003237DF">
        <w:t xml:space="preserve"> (preferred option)</w:t>
      </w:r>
      <w:bookmarkEnd w:id="27"/>
    </w:p>
    <w:p w:rsidR="00D86E12" w:rsidRPr="003237DF" w:rsidRDefault="00644C70" w:rsidP="00F86B7C">
      <w:pPr>
        <w:pStyle w:val="BodyText"/>
      </w:pPr>
      <w:r w:rsidRPr="003237DF">
        <w:t xml:space="preserve">Under </w:t>
      </w:r>
      <w:r w:rsidR="00F9269C" w:rsidRPr="003237DF">
        <w:t>O</w:t>
      </w:r>
      <w:r w:rsidRPr="003237DF">
        <w:t xml:space="preserve">ption </w:t>
      </w:r>
      <w:r w:rsidR="007C5CC7" w:rsidRPr="003237DF">
        <w:t>1</w:t>
      </w:r>
      <w:r w:rsidRPr="003237DF">
        <w:t xml:space="preserve">, </w:t>
      </w:r>
      <w:r w:rsidR="0099556E" w:rsidRPr="003237DF">
        <w:t>we would publish a revised RG 49 and new class order</w:t>
      </w:r>
      <w:r w:rsidR="006E193C" w:rsidRPr="003237DF">
        <w:t xml:space="preserve"> relief</w:t>
      </w:r>
      <w:r w:rsidR="0099556E" w:rsidRPr="003237DF">
        <w:t xml:space="preserve">, reflecting </w:t>
      </w:r>
      <w:r w:rsidR="006E193C" w:rsidRPr="003237DF">
        <w:t xml:space="preserve">some </w:t>
      </w:r>
      <w:r w:rsidR="0099556E" w:rsidRPr="003237DF">
        <w:t xml:space="preserve">substantive changes </w:t>
      </w:r>
      <w:r w:rsidR="00F9269C" w:rsidRPr="003237DF">
        <w:t>to our current policy and relief</w:t>
      </w:r>
      <w:r w:rsidR="000B3763" w:rsidRPr="003237DF">
        <w:t>.</w:t>
      </w:r>
    </w:p>
    <w:p w:rsidR="00D86E12" w:rsidRPr="003237DF" w:rsidRDefault="000B3763" w:rsidP="00F86B7C">
      <w:pPr>
        <w:pStyle w:val="BodyText"/>
      </w:pPr>
      <w:r w:rsidRPr="003237DF">
        <w:t xml:space="preserve">The intention is to </w:t>
      </w:r>
      <w:r w:rsidR="00F9269C" w:rsidRPr="003237DF">
        <w:t xml:space="preserve">make it easier for employers to </w:t>
      </w:r>
      <w:r w:rsidR="006E193C" w:rsidRPr="003237DF">
        <w:t>implement</w:t>
      </w:r>
      <w:r w:rsidR="00F9269C" w:rsidRPr="003237DF">
        <w:t xml:space="preserve"> </w:t>
      </w:r>
      <w:r w:rsidR="006E193C" w:rsidRPr="003237DF">
        <w:t xml:space="preserve">appropriate </w:t>
      </w:r>
      <w:r w:rsidR="00F9269C" w:rsidRPr="003237DF">
        <w:t>employee incentive scheme</w:t>
      </w:r>
      <w:r w:rsidR="00136419" w:rsidRPr="003237DF">
        <w:t>s</w:t>
      </w:r>
      <w:r w:rsidRPr="003237DF">
        <w:t xml:space="preserve"> which reflect market practice</w:t>
      </w:r>
      <w:r w:rsidR="000A7A80" w:rsidRPr="003237DF">
        <w:t>s</w:t>
      </w:r>
      <w:r w:rsidR="00136419" w:rsidRPr="003237DF">
        <w:t>.</w:t>
      </w:r>
      <w:r w:rsidR="00946724" w:rsidRPr="003237DF">
        <w:t xml:space="preserve"> </w:t>
      </w:r>
      <w:r w:rsidR="00136419" w:rsidRPr="003237DF">
        <w:t>We would also modify</w:t>
      </w:r>
      <w:r w:rsidR="007C5CC7" w:rsidRPr="003237DF">
        <w:t xml:space="preserve"> </w:t>
      </w:r>
      <w:r w:rsidR="00136419" w:rsidRPr="003237DF">
        <w:t>the conditions of relief to ensure that</w:t>
      </w:r>
      <w:r w:rsidR="00D86E12" w:rsidRPr="003237DF">
        <w:t>,</w:t>
      </w:r>
      <w:r w:rsidR="00136419" w:rsidRPr="003237DF">
        <w:t xml:space="preserve"> while we ma</w:t>
      </w:r>
      <w:r w:rsidR="00F9051F" w:rsidRPr="003237DF">
        <w:t>k</w:t>
      </w:r>
      <w:r w:rsidR="00136419" w:rsidRPr="003237DF">
        <w:t xml:space="preserve">e </w:t>
      </w:r>
      <w:r w:rsidR="00F9051F" w:rsidRPr="003237DF">
        <w:t>the relief</w:t>
      </w:r>
      <w:r w:rsidR="00136419" w:rsidRPr="003237DF">
        <w:t xml:space="preserve"> easier </w:t>
      </w:r>
      <w:r w:rsidR="00D86E12" w:rsidRPr="003237DF">
        <w:t xml:space="preserve">to use </w:t>
      </w:r>
      <w:r w:rsidR="00136419" w:rsidRPr="003237DF">
        <w:t xml:space="preserve">for employers, it would also </w:t>
      </w:r>
      <w:r w:rsidR="00F9269C" w:rsidRPr="003237DF">
        <w:t xml:space="preserve">support the interests of </w:t>
      </w:r>
      <w:r w:rsidR="00136419" w:rsidRPr="003237DF">
        <w:t xml:space="preserve">employees by ensuring that they continue to receive adequate information about the offers that </w:t>
      </w:r>
      <w:r w:rsidR="00F9051F" w:rsidRPr="003237DF">
        <w:t xml:space="preserve">are </w:t>
      </w:r>
      <w:r w:rsidR="00136419" w:rsidRPr="003237DF">
        <w:t>being made to them.</w:t>
      </w:r>
      <w:r w:rsidR="00F9269C" w:rsidRPr="003237DF">
        <w:t xml:space="preserve"> </w:t>
      </w:r>
    </w:p>
    <w:p w:rsidR="005E79B4" w:rsidRPr="003237DF" w:rsidRDefault="00930B38" w:rsidP="00F86B7C">
      <w:pPr>
        <w:pStyle w:val="BodyText"/>
      </w:pPr>
      <w:r w:rsidRPr="003237DF">
        <w:t xml:space="preserve">We </w:t>
      </w:r>
      <w:r w:rsidR="008C2E09" w:rsidRPr="003237DF">
        <w:t>note that we will create two class orders</w:t>
      </w:r>
      <w:r w:rsidR="00F9051F" w:rsidRPr="003237DF">
        <w:t>—</w:t>
      </w:r>
      <w:r w:rsidR="00FA3D24" w:rsidRPr="003237DF">
        <w:t>[CO 14/1000]</w:t>
      </w:r>
      <w:r w:rsidRPr="003237DF">
        <w:t xml:space="preserve"> </w:t>
      </w:r>
      <w:r w:rsidRPr="003237DF">
        <w:rPr>
          <w:i/>
        </w:rPr>
        <w:t>Employee incentive schemes: Listed bodies</w:t>
      </w:r>
      <w:r w:rsidRPr="003237DF">
        <w:t xml:space="preserve"> and </w:t>
      </w:r>
      <w:r w:rsidR="00FA3D24" w:rsidRPr="003237DF">
        <w:t>[CO 14/1001]</w:t>
      </w:r>
      <w:r w:rsidRPr="003237DF">
        <w:t xml:space="preserve"> </w:t>
      </w:r>
      <w:r w:rsidRPr="003237DF">
        <w:rPr>
          <w:i/>
        </w:rPr>
        <w:t>Employee incentive schemes: Unlisted bodies</w:t>
      </w:r>
      <w:r w:rsidRPr="003237DF">
        <w:t>.</w:t>
      </w:r>
      <w:r w:rsidR="002A4F24" w:rsidRPr="003237DF">
        <w:t xml:space="preserve">  The reason we have created two class orders is because the recipients of relief do not overlap, and although there are a number of similarities including that our relief covers relief from equivalent obligations under the Corporations Act for both listed bodies and unlisted bodies, there are a number of conditions which are different between the class orders.  These differences are necessary because in the case of relief granted in relation to listed bodies, there is a public market price relating to the underlying financial products, and a higher level of public disclosure and transparency about the listed body.  The different conditions that we have imposed in relation to unlisted bodies are </w:t>
      </w:r>
      <w:r w:rsidR="00325387" w:rsidRPr="003237DF">
        <w:t xml:space="preserve">to </w:t>
      </w:r>
      <w:r w:rsidR="002A4F24" w:rsidRPr="003237DF">
        <w:t>protect participants in the less regulated and less transparent environment in which unlisted bodies operate.</w:t>
      </w:r>
      <w:r w:rsidR="00511A0B">
        <w:t xml:space="preserve">  Also see paragraphs 128-133</w:t>
      </w:r>
      <w:r w:rsidR="00325387" w:rsidRPr="003237DF">
        <w:t>.</w:t>
      </w:r>
    </w:p>
    <w:p w:rsidR="00481AC1" w:rsidRPr="003237DF" w:rsidRDefault="00481AC1" w:rsidP="00F86B7C">
      <w:pPr>
        <w:pStyle w:val="BodyText"/>
      </w:pPr>
      <w:r w:rsidRPr="003237DF">
        <w:t xml:space="preserve">We </w:t>
      </w:r>
      <w:r w:rsidR="00F9051F" w:rsidRPr="003237DF">
        <w:t xml:space="preserve">will </w:t>
      </w:r>
      <w:r w:rsidRPr="003237DF">
        <w:t>also creat</w:t>
      </w:r>
      <w:r w:rsidR="00F9051F" w:rsidRPr="003237DF">
        <w:t>e</w:t>
      </w:r>
      <w:r w:rsidRPr="003237DF">
        <w:t xml:space="preserve"> a new class order</w:t>
      </w:r>
      <w:r w:rsidR="00F9051F" w:rsidRPr="003237DF">
        <w:t>—</w:t>
      </w:r>
      <w:r w:rsidR="00153C8E" w:rsidRPr="003237DF">
        <w:t>[CO </w:t>
      </w:r>
      <w:r w:rsidRPr="003237DF">
        <w:t>14/</w:t>
      </w:r>
      <w:r w:rsidR="00FA3D24" w:rsidRPr="003237DF">
        <w:t>978</w:t>
      </w:r>
      <w:r w:rsidRPr="003237DF">
        <w:t xml:space="preserve">] </w:t>
      </w:r>
      <w:r w:rsidRPr="003237DF">
        <w:rPr>
          <w:i/>
        </w:rPr>
        <w:t xml:space="preserve">Employee incentive schemes: </w:t>
      </w:r>
      <w:r w:rsidR="00D86E12" w:rsidRPr="003237DF">
        <w:rPr>
          <w:i/>
        </w:rPr>
        <w:t>P</w:t>
      </w:r>
      <w:r w:rsidRPr="003237DF">
        <w:rPr>
          <w:i/>
        </w:rPr>
        <w:t>ersonal offers</w:t>
      </w:r>
      <w:r w:rsidR="00F9051F" w:rsidRPr="003237DF">
        <w:t>—</w:t>
      </w:r>
      <w:r w:rsidRPr="003237DF">
        <w:t xml:space="preserve">which will </w:t>
      </w:r>
      <w:r w:rsidR="0028584A" w:rsidRPr="003237DF">
        <w:t>entitle employers to continue to make personal offers under s708</w:t>
      </w:r>
      <w:r w:rsidR="001E0204" w:rsidRPr="003237DF">
        <w:t xml:space="preserve"> of the Corporations Act</w:t>
      </w:r>
      <w:r w:rsidR="006A7EEE" w:rsidRPr="003237DF">
        <w:t>,</w:t>
      </w:r>
      <w:r w:rsidR="0028584A" w:rsidRPr="003237DF">
        <w:t xml:space="preserve"> notwithstanding that they </w:t>
      </w:r>
      <w:r w:rsidR="00511A0B">
        <w:t xml:space="preserve">may have </w:t>
      </w:r>
      <w:r w:rsidR="0028584A" w:rsidRPr="003237DF">
        <w:t xml:space="preserve">also </w:t>
      </w:r>
      <w:r w:rsidR="00511A0B">
        <w:t xml:space="preserve">made </w:t>
      </w:r>
      <w:r w:rsidR="0028584A" w:rsidRPr="003237DF">
        <w:t xml:space="preserve">offers under an employee incentive scheme in reliance on </w:t>
      </w:r>
      <w:r w:rsidR="00FA3D24" w:rsidRPr="003237DF">
        <w:t>[CO 14/1000]</w:t>
      </w:r>
      <w:r w:rsidRPr="003237DF">
        <w:t xml:space="preserve">, </w:t>
      </w:r>
      <w:r w:rsidR="00FA3D24" w:rsidRPr="003237DF">
        <w:t>[CO 14/1001]</w:t>
      </w:r>
      <w:r w:rsidRPr="003237DF">
        <w:t xml:space="preserve"> or case-by-case relief</w:t>
      </w:r>
      <w:r w:rsidR="0028584A" w:rsidRPr="003237DF">
        <w:t xml:space="preserve"> of a similar kind.</w:t>
      </w:r>
    </w:p>
    <w:p w:rsidR="000B3763" w:rsidRPr="003237DF" w:rsidRDefault="00A2379C" w:rsidP="00F86B7C">
      <w:pPr>
        <w:pStyle w:val="BodyText"/>
      </w:pPr>
      <w:r w:rsidRPr="003237DF">
        <w:fldChar w:fldCharType="begin"/>
      </w:r>
      <w:r w:rsidRPr="003237DF">
        <w:instrText xml:space="preserve"> REF _Ref398211148 \h </w:instrText>
      </w:r>
      <w:r w:rsidR="003237DF">
        <w:instrText xml:space="preserve"> \* MERGEFORMAT </w:instrText>
      </w:r>
      <w:r w:rsidRPr="003237DF">
        <w:fldChar w:fldCharType="separate"/>
      </w:r>
      <w:r w:rsidR="00EC75CF" w:rsidRPr="003237DF">
        <w:t xml:space="preserve">Table </w:t>
      </w:r>
      <w:r w:rsidR="00EC75CF" w:rsidRPr="003237DF">
        <w:rPr>
          <w:noProof/>
        </w:rPr>
        <w:t>1</w:t>
      </w:r>
      <w:r w:rsidRPr="003237DF">
        <w:fldChar w:fldCharType="end"/>
      </w:r>
      <w:r w:rsidRPr="003237DF">
        <w:t xml:space="preserve"> </w:t>
      </w:r>
      <w:r w:rsidR="008B2474" w:rsidRPr="003237DF">
        <w:t xml:space="preserve">below summarises the key terms </w:t>
      </w:r>
      <w:r w:rsidR="00635A7E" w:rsidRPr="003237DF">
        <w:t xml:space="preserve">of relief </w:t>
      </w:r>
      <w:r w:rsidR="008B2474" w:rsidRPr="003237DF">
        <w:t xml:space="preserve">under </w:t>
      </w:r>
      <w:r w:rsidR="00153C8E" w:rsidRPr="003237DF">
        <w:t>[CO </w:t>
      </w:r>
      <w:r w:rsidR="004E7A34" w:rsidRPr="003237DF">
        <w:t>03/184]</w:t>
      </w:r>
      <w:r w:rsidR="00D86E12" w:rsidRPr="003237DF">
        <w:t>,</w:t>
      </w:r>
      <w:r w:rsidR="00FF3673" w:rsidRPr="003237DF">
        <w:t xml:space="preserve"> </w:t>
      </w:r>
      <w:r w:rsidR="008B2474" w:rsidRPr="003237DF">
        <w:t xml:space="preserve">compared </w:t>
      </w:r>
      <w:r w:rsidR="00D86E12" w:rsidRPr="003237DF">
        <w:t xml:space="preserve">with </w:t>
      </w:r>
      <w:r w:rsidR="008B2474" w:rsidRPr="003237DF">
        <w:rPr>
          <w:spacing w:val="-2"/>
        </w:rPr>
        <w:t xml:space="preserve">our new employee incentive scheme class orders </w:t>
      </w:r>
      <w:r w:rsidR="00FA3D24" w:rsidRPr="003237DF">
        <w:rPr>
          <w:spacing w:val="-2"/>
        </w:rPr>
        <w:t>[CO 14/1000]</w:t>
      </w:r>
      <w:r w:rsidR="008B2474" w:rsidRPr="003237DF">
        <w:rPr>
          <w:spacing w:val="-2"/>
        </w:rPr>
        <w:t xml:space="preserve"> and </w:t>
      </w:r>
      <w:r w:rsidR="00FA3D24" w:rsidRPr="003237DF">
        <w:rPr>
          <w:spacing w:val="-2"/>
        </w:rPr>
        <w:t>[CO 14/1001]</w:t>
      </w:r>
      <w:r w:rsidR="000B3763" w:rsidRPr="003237DF">
        <w:rPr>
          <w:spacing w:val="-2"/>
        </w:rPr>
        <w:t>.</w:t>
      </w:r>
    </w:p>
    <w:p w:rsidR="000B3763" w:rsidRPr="003237DF" w:rsidRDefault="000B3763">
      <w:pPr>
        <w:spacing w:after="0"/>
        <w:rPr>
          <w:szCs w:val="22"/>
        </w:rPr>
      </w:pPr>
    </w:p>
    <w:p w:rsidR="000A7A80" w:rsidRPr="003237DF" w:rsidRDefault="000A7A80" w:rsidP="00592318">
      <w:pPr>
        <w:pStyle w:val="Heading4"/>
        <w:sectPr w:rsidR="000A7A80" w:rsidRPr="003237DF" w:rsidSect="003E672D">
          <w:headerReference w:type="default" r:id="rId12"/>
          <w:footerReference w:type="default" r:id="rId13"/>
          <w:headerReference w:type="first" r:id="rId14"/>
          <w:pgSz w:w="11906" w:h="16838" w:code="9"/>
          <w:pgMar w:top="1644" w:right="1418" w:bottom="1418" w:left="1418" w:header="567" w:footer="567" w:gutter="0"/>
          <w:pgNumType w:start="1"/>
          <w:cols w:space="720"/>
          <w:titlePg/>
          <w:docGrid w:linePitch="299"/>
        </w:sectPr>
      </w:pPr>
    </w:p>
    <w:p w:rsidR="00153C8E" w:rsidRPr="003237DF" w:rsidRDefault="00153C8E" w:rsidP="0068096F">
      <w:pPr>
        <w:pStyle w:val="tabletitlefullwidth"/>
        <w:spacing w:before="0" w:after="80"/>
      </w:pPr>
      <w:bookmarkStart w:id="28" w:name="_Ref398211148"/>
      <w:r w:rsidRPr="003237DF">
        <w:t xml:space="preserve">Table </w:t>
      </w:r>
      <w:r w:rsidR="00993A97">
        <w:fldChar w:fldCharType="begin"/>
      </w:r>
      <w:r w:rsidR="00993A97">
        <w:instrText xml:space="preserve"> SEQ Table \* ARABIC </w:instrText>
      </w:r>
      <w:r w:rsidR="00993A97">
        <w:fldChar w:fldCharType="separate"/>
      </w:r>
      <w:r w:rsidR="00EC75CF" w:rsidRPr="003237DF">
        <w:rPr>
          <w:noProof/>
        </w:rPr>
        <w:t>1</w:t>
      </w:r>
      <w:r w:rsidR="00993A97">
        <w:rPr>
          <w:noProof/>
        </w:rPr>
        <w:fldChar w:fldCharType="end"/>
      </w:r>
      <w:bookmarkEnd w:id="28"/>
      <w:r w:rsidR="000A7A80" w:rsidRPr="003237DF">
        <w:t>:</w:t>
      </w:r>
      <w:r w:rsidR="000A7A80" w:rsidRPr="003237DF">
        <w:tab/>
        <w:t xml:space="preserve">Summary of </w:t>
      </w:r>
      <w:r w:rsidR="00FF3673" w:rsidRPr="003237DF">
        <w:t xml:space="preserve">current relief under </w:t>
      </w:r>
      <w:r w:rsidRPr="003237DF">
        <w:t>[CO </w:t>
      </w:r>
      <w:r w:rsidR="000A7A80" w:rsidRPr="003237DF">
        <w:t>03/184]</w:t>
      </w:r>
      <w:r w:rsidR="00FF3673" w:rsidRPr="003237DF">
        <w:t xml:space="preserve"> compared </w:t>
      </w:r>
      <w:r w:rsidR="00D06D1F" w:rsidRPr="003237DF">
        <w:t xml:space="preserve">with the </w:t>
      </w:r>
      <w:r w:rsidR="00FF3673" w:rsidRPr="003237DF">
        <w:t>new</w:t>
      </w:r>
      <w:r w:rsidR="000A7A80" w:rsidRPr="003237DF">
        <w:t xml:space="preserve"> </w:t>
      </w:r>
      <w:r w:rsidR="007132EC" w:rsidRPr="003237DF">
        <w:t xml:space="preserve">class order </w:t>
      </w:r>
      <w:r w:rsidR="000A7A80" w:rsidRPr="003237DF">
        <w:t xml:space="preserve">relief </w:t>
      </w:r>
      <w:r w:rsidR="00FF3673" w:rsidRPr="003237DF">
        <w:t xml:space="preserve">under </w:t>
      </w:r>
      <w:r w:rsidR="00FA3D24" w:rsidRPr="003237DF">
        <w:t>[CO 14/1000]</w:t>
      </w:r>
      <w:r w:rsidR="000A7A80" w:rsidRPr="003237DF">
        <w:t xml:space="preserve"> and </w:t>
      </w:r>
      <w:r w:rsidR="00FA3D24" w:rsidRPr="003237DF">
        <w:t>[CO 14/1001]</w:t>
      </w:r>
    </w:p>
    <w:tbl>
      <w:tblPr>
        <w:tblStyle w:val="TableGrid"/>
        <w:tblW w:w="14548" w:type="dxa"/>
        <w:tblInd w:w="-176"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418"/>
        <w:gridCol w:w="2552"/>
        <w:gridCol w:w="4111"/>
        <w:gridCol w:w="2268"/>
        <w:gridCol w:w="4199"/>
      </w:tblGrid>
      <w:tr w:rsidR="00FF3673" w:rsidRPr="003237DF" w:rsidTr="001900AD">
        <w:trPr>
          <w:tblHeader/>
        </w:trPr>
        <w:tc>
          <w:tcPr>
            <w:tcW w:w="1418" w:type="dxa"/>
            <w:tcBorders>
              <w:top w:val="single" w:sz="4" w:space="0" w:color="A6A6A6" w:themeColor="background1" w:themeShade="A6"/>
              <w:bottom w:val="single" w:sz="4" w:space="0" w:color="A6A6A6" w:themeColor="background1" w:themeShade="A6"/>
            </w:tcBorders>
            <w:shd w:val="clear" w:color="auto" w:fill="C2E3FA"/>
            <w:vAlign w:val="center"/>
          </w:tcPr>
          <w:p w:rsidR="00FF3673" w:rsidRPr="003237DF" w:rsidRDefault="00FF3673" w:rsidP="001900AD">
            <w:pPr>
              <w:pStyle w:val="tablehead"/>
              <w:spacing w:before="80" w:after="40"/>
            </w:pPr>
            <w:r w:rsidRPr="003237DF">
              <w:t>Topic</w:t>
            </w:r>
          </w:p>
        </w:tc>
        <w:tc>
          <w:tcPr>
            <w:tcW w:w="2552" w:type="dxa"/>
            <w:tcBorders>
              <w:top w:val="single" w:sz="4" w:space="0" w:color="A6A6A6" w:themeColor="background1" w:themeShade="A6"/>
              <w:bottom w:val="single" w:sz="4" w:space="0" w:color="A6A6A6" w:themeColor="background1" w:themeShade="A6"/>
            </w:tcBorders>
            <w:shd w:val="clear" w:color="auto" w:fill="C2E3FA"/>
            <w:vAlign w:val="center"/>
          </w:tcPr>
          <w:p w:rsidR="00FF3673" w:rsidRPr="003237DF" w:rsidRDefault="00FF3673" w:rsidP="001900AD">
            <w:pPr>
              <w:pStyle w:val="tablehead"/>
              <w:spacing w:before="80" w:after="40"/>
            </w:pPr>
            <w:r w:rsidRPr="003237DF">
              <w:t xml:space="preserve">Listed bodies: Relief under </w:t>
            </w:r>
            <w:r w:rsidR="00153C8E" w:rsidRPr="003237DF">
              <w:t>[CO </w:t>
            </w:r>
            <w:r w:rsidRPr="003237DF">
              <w:t>03/184]</w:t>
            </w:r>
          </w:p>
        </w:tc>
        <w:tc>
          <w:tcPr>
            <w:tcW w:w="4111" w:type="dxa"/>
            <w:tcBorders>
              <w:top w:val="single" w:sz="4" w:space="0" w:color="A6A6A6" w:themeColor="background1" w:themeShade="A6"/>
              <w:bottom w:val="single" w:sz="4" w:space="0" w:color="A6A6A6" w:themeColor="background1" w:themeShade="A6"/>
            </w:tcBorders>
            <w:shd w:val="clear" w:color="auto" w:fill="C2E3FA"/>
          </w:tcPr>
          <w:p w:rsidR="00FF3673" w:rsidRPr="003237DF" w:rsidRDefault="00FF3673" w:rsidP="001900AD">
            <w:pPr>
              <w:pStyle w:val="tablehead"/>
              <w:spacing w:before="80" w:after="40"/>
            </w:pPr>
            <w:r w:rsidRPr="003237DF">
              <w:t xml:space="preserve">Listed bodies: New relief under </w:t>
            </w:r>
            <w:r w:rsidR="00FA3D24" w:rsidRPr="003237DF">
              <w:t>[CO 14/1000]</w:t>
            </w:r>
          </w:p>
        </w:tc>
        <w:tc>
          <w:tcPr>
            <w:tcW w:w="2268" w:type="dxa"/>
            <w:tcBorders>
              <w:top w:val="single" w:sz="4" w:space="0" w:color="A6A6A6" w:themeColor="background1" w:themeShade="A6"/>
              <w:bottom w:val="single" w:sz="4" w:space="0" w:color="A6A6A6" w:themeColor="background1" w:themeShade="A6"/>
            </w:tcBorders>
            <w:shd w:val="clear" w:color="auto" w:fill="C2E3FA"/>
            <w:vAlign w:val="center"/>
          </w:tcPr>
          <w:p w:rsidR="00FF3673" w:rsidRPr="003237DF" w:rsidRDefault="00FF3673" w:rsidP="001900AD">
            <w:pPr>
              <w:pStyle w:val="tablehead"/>
              <w:spacing w:before="80" w:after="40"/>
            </w:pPr>
            <w:r w:rsidRPr="003237DF">
              <w:t xml:space="preserve">Unlisted bodies: Relief under </w:t>
            </w:r>
            <w:r w:rsidR="00153C8E" w:rsidRPr="003237DF">
              <w:t>[CO </w:t>
            </w:r>
            <w:r w:rsidRPr="003237DF">
              <w:t>03/184]</w:t>
            </w:r>
          </w:p>
        </w:tc>
        <w:tc>
          <w:tcPr>
            <w:tcW w:w="4199" w:type="dxa"/>
            <w:tcBorders>
              <w:top w:val="single" w:sz="4" w:space="0" w:color="A6A6A6" w:themeColor="background1" w:themeShade="A6"/>
              <w:bottom w:val="single" w:sz="4" w:space="0" w:color="A6A6A6" w:themeColor="background1" w:themeShade="A6"/>
            </w:tcBorders>
            <w:shd w:val="clear" w:color="auto" w:fill="C2E3FA"/>
          </w:tcPr>
          <w:p w:rsidR="00FF3673" w:rsidRPr="003237DF" w:rsidRDefault="00FF3673" w:rsidP="001900AD">
            <w:pPr>
              <w:pStyle w:val="tablehead"/>
              <w:spacing w:before="80" w:after="40"/>
            </w:pPr>
            <w:r w:rsidRPr="003237DF">
              <w:t xml:space="preserve">Unlisted bodies: New relief under </w:t>
            </w:r>
            <w:r w:rsidR="00FA3D24" w:rsidRPr="003237DF">
              <w:t>[CO 14/1001]</w:t>
            </w:r>
          </w:p>
        </w:tc>
      </w:tr>
      <w:tr w:rsidR="00FF3673" w:rsidRPr="003237DF" w:rsidTr="001900AD">
        <w:tc>
          <w:tcPr>
            <w:tcW w:w="141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bltext"/>
              <w:spacing w:before="80" w:after="80" w:line="220" w:lineRule="atLeast"/>
            </w:pPr>
            <w:r w:rsidRPr="003237DF">
              <w:t>Who can make offers?</w:t>
            </w:r>
          </w:p>
        </w:tc>
        <w:tc>
          <w:tcPr>
            <w:tcW w:w="2552"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ablebullet"/>
              <w:spacing w:line="220" w:lineRule="atLeast"/>
            </w:pPr>
            <w:r w:rsidRPr="003237DF">
              <w:t xml:space="preserve">Issuer </w:t>
            </w:r>
          </w:p>
          <w:p w:rsidR="00FF3673" w:rsidRPr="003237DF" w:rsidRDefault="00FF3673" w:rsidP="00864906">
            <w:pPr>
              <w:pStyle w:val="tablebullet"/>
              <w:spacing w:before="40" w:after="20" w:line="220" w:lineRule="atLeast"/>
            </w:pPr>
            <w:r w:rsidRPr="003237DF">
              <w:t>Associated bodies corporate of the issuer (20% voting power)</w:t>
            </w:r>
          </w:p>
        </w:tc>
        <w:tc>
          <w:tcPr>
            <w:tcW w:w="4111"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bltext"/>
              <w:spacing w:before="80" w:after="80" w:line="220" w:lineRule="atLeast"/>
            </w:pPr>
            <w:r w:rsidRPr="003237DF">
              <w:t xml:space="preserve">Same as </w:t>
            </w:r>
            <w:r w:rsidR="00153C8E" w:rsidRPr="003237DF">
              <w:t>[CO </w:t>
            </w:r>
            <w:r w:rsidRPr="003237DF">
              <w:t xml:space="preserve">03/184] </w:t>
            </w:r>
          </w:p>
        </w:tc>
        <w:tc>
          <w:tcPr>
            <w:tcW w:w="226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ablebullet"/>
              <w:spacing w:line="220" w:lineRule="atLeast"/>
            </w:pPr>
            <w:r w:rsidRPr="003237DF">
              <w:t xml:space="preserve">Issuer </w:t>
            </w:r>
          </w:p>
          <w:p w:rsidR="00FF3673" w:rsidRPr="003237DF" w:rsidRDefault="00FF3673" w:rsidP="00864906">
            <w:pPr>
              <w:pStyle w:val="tablebullet"/>
              <w:spacing w:before="40" w:line="220" w:lineRule="atLeast"/>
            </w:pPr>
            <w:r w:rsidRPr="003237DF">
              <w:t>Associated bodies corporate of the issuer (20% voting power)</w:t>
            </w:r>
          </w:p>
        </w:tc>
        <w:tc>
          <w:tcPr>
            <w:tcW w:w="4199"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ablebullet"/>
              <w:spacing w:line="220" w:lineRule="atLeast"/>
            </w:pPr>
            <w:r w:rsidRPr="003237DF">
              <w:t>Issuer</w:t>
            </w:r>
          </w:p>
          <w:p w:rsidR="00FF3673" w:rsidRPr="003237DF" w:rsidRDefault="00FF3673" w:rsidP="001900AD">
            <w:pPr>
              <w:pStyle w:val="tablebullet"/>
              <w:spacing w:line="220" w:lineRule="atLeast"/>
            </w:pPr>
            <w:r w:rsidRPr="003237DF">
              <w:t>Wholly owned subsidiaries of the issuer</w:t>
            </w:r>
          </w:p>
        </w:tc>
      </w:tr>
      <w:tr w:rsidR="00FF3673" w:rsidRPr="003237DF" w:rsidTr="001900AD">
        <w:tc>
          <w:tcPr>
            <w:tcW w:w="141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bltext"/>
              <w:spacing w:before="80" w:after="80" w:line="220" w:lineRule="atLeast"/>
            </w:pPr>
            <w:r w:rsidRPr="003237DF">
              <w:t>Who can receive offers?</w:t>
            </w:r>
          </w:p>
        </w:tc>
        <w:tc>
          <w:tcPr>
            <w:tcW w:w="2552"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ablebullet"/>
              <w:spacing w:line="220" w:lineRule="atLeast"/>
            </w:pPr>
            <w:r w:rsidRPr="003237DF">
              <w:t>Full</w:t>
            </w:r>
            <w:r w:rsidR="00864906" w:rsidRPr="003237DF">
              <w:t>-</w:t>
            </w:r>
            <w:r w:rsidRPr="003237DF">
              <w:t>time employees</w:t>
            </w:r>
          </w:p>
          <w:p w:rsidR="00FF3673" w:rsidRPr="003237DF" w:rsidRDefault="00FF3673" w:rsidP="001900AD">
            <w:pPr>
              <w:pStyle w:val="tablebullet"/>
              <w:spacing w:line="220" w:lineRule="atLeast"/>
            </w:pPr>
            <w:r w:rsidRPr="003237DF">
              <w:t>Part-time employees</w:t>
            </w:r>
          </w:p>
          <w:p w:rsidR="00FF3673" w:rsidRPr="003237DF" w:rsidRDefault="00FF3673" w:rsidP="001900AD">
            <w:pPr>
              <w:pStyle w:val="tablebullet"/>
              <w:spacing w:line="220" w:lineRule="atLeast"/>
            </w:pPr>
            <w:r w:rsidRPr="003237DF">
              <w:t>Directors</w:t>
            </w:r>
            <w:r w:rsidR="00946724" w:rsidRPr="003237DF">
              <w:t xml:space="preserve"> </w:t>
            </w:r>
          </w:p>
        </w:tc>
        <w:tc>
          <w:tcPr>
            <w:tcW w:w="4111"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widowControl w:val="0"/>
              <w:spacing w:before="80" w:after="40" w:line="220" w:lineRule="atLeast"/>
              <w:rPr>
                <w:rFonts w:ascii="Arial" w:hAnsi="Arial" w:cs="Arial"/>
                <w:sz w:val="18"/>
                <w:szCs w:val="18"/>
              </w:rPr>
            </w:pPr>
            <w:r w:rsidRPr="003237DF">
              <w:rPr>
                <w:rFonts w:ascii="Arial" w:hAnsi="Arial" w:cs="Arial"/>
                <w:sz w:val="18"/>
                <w:szCs w:val="18"/>
              </w:rPr>
              <w:t xml:space="preserve">Same as </w:t>
            </w:r>
            <w:r w:rsidR="00153C8E" w:rsidRPr="003237DF">
              <w:rPr>
                <w:rFonts w:ascii="Arial" w:hAnsi="Arial" w:cs="Arial"/>
                <w:sz w:val="18"/>
                <w:szCs w:val="18"/>
              </w:rPr>
              <w:t>[CO </w:t>
            </w:r>
            <w:r w:rsidRPr="003237DF">
              <w:rPr>
                <w:rFonts w:ascii="Arial" w:hAnsi="Arial" w:cs="Arial"/>
                <w:sz w:val="18"/>
                <w:szCs w:val="18"/>
              </w:rPr>
              <w:t xml:space="preserve">03/184] and </w:t>
            </w:r>
            <w:r w:rsidR="0047771C" w:rsidRPr="003237DF">
              <w:rPr>
                <w:rFonts w:ascii="Arial" w:hAnsi="Arial" w:cs="Arial"/>
                <w:sz w:val="18"/>
                <w:szCs w:val="18"/>
              </w:rPr>
              <w:t xml:space="preserve">in </w:t>
            </w:r>
            <w:r w:rsidRPr="003237DF">
              <w:rPr>
                <w:rFonts w:ascii="Arial" w:hAnsi="Arial" w:cs="Arial"/>
                <w:sz w:val="18"/>
                <w:szCs w:val="18"/>
              </w:rPr>
              <w:t>addition:</w:t>
            </w:r>
          </w:p>
          <w:p w:rsidR="00FF3673" w:rsidRPr="003237DF" w:rsidRDefault="00864906" w:rsidP="00864906">
            <w:pPr>
              <w:pStyle w:val="tablebullet"/>
              <w:spacing w:before="40" w:line="220" w:lineRule="atLeast"/>
            </w:pPr>
            <w:r w:rsidRPr="003237DF">
              <w:t>contractors—</w:t>
            </w:r>
            <w:r w:rsidR="00FF3673" w:rsidRPr="003237DF">
              <w:t>reduced to 40% of full</w:t>
            </w:r>
            <w:r w:rsidRPr="003237DF">
              <w:t>-</w:t>
            </w:r>
            <w:r w:rsidR="00FF3673" w:rsidRPr="003237DF">
              <w:t>time equivalent</w:t>
            </w:r>
          </w:p>
          <w:p w:rsidR="00FF3673" w:rsidRPr="003237DF" w:rsidRDefault="00864906" w:rsidP="00864906">
            <w:pPr>
              <w:pStyle w:val="tablebullet"/>
              <w:spacing w:before="40" w:line="220" w:lineRule="atLeast"/>
            </w:pPr>
            <w:r w:rsidRPr="003237DF">
              <w:t>casuals—</w:t>
            </w:r>
            <w:r w:rsidR="00FF3673" w:rsidRPr="003237DF">
              <w:t>12</w:t>
            </w:r>
            <w:r w:rsidRPr="003237DF">
              <w:t>-</w:t>
            </w:r>
            <w:r w:rsidR="00FF3673" w:rsidRPr="003237DF">
              <w:t>month prior history omitted</w:t>
            </w:r>
          </w:p>
          <w:p w:rsidR="00FF3673" w:rsidRPr="003237DF" w:rsidRDefault="00864906" w:rsidP="00864906">
            <w:pPr>
              <w:pStyle w:val="tablebullet"/>
              <w:spacing w:after="20" w:line="220" w:lineRule="atLeast"/>
            </w:pPr>
            <w:r w:rsidRPr="003237DF">
              <w:t>non</w:t>
            </w:r>
            <w:r w:rsidR="00FF3673" w:rsidRPr="003237DF">
              <w:t>-executive directors</w:t>
            </w:r>
            <w:r w:rsidR="0047771C" w:rsidRPr="003237DF">
              <w:t xml:space="preserve"> included</w:t>
            </w:r>
          </w:p>
        </w:tc>
        <w:tc>
          <w:tcPr>
            <w:tcW w:w="226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511A0B">
            <w:pPr>
              <w:pStyle w:val="tablebullet"/>
              <w:spacing w:before="80" w:line="220" w:lineRule="atLeast"/>
            </w:pPr>
            <w:r w:rsidRPr="003237DF">
              <w:t>Full</w:t>
            </w:r>
            <w:r w:rsidR="00864906" w:rsidRPr="003237DF">
              <w:t>-</w:t>
            </w:r>
            <w:r w:rsidRPr="003237DF">
              <w:t>time employees</w:t>
            </w:r>
          </w:p>
          <w:p w:rsidR="00FF3673" w:rsidRPr="003237DF" w:rsidRDefault="00FF3673" w:rsidP="001900AD">
            <w:pPr>
              <w:pStyle w:val="tablebullet"/>
              <w:spacing w:line="220" w:lineRule="atLeast"/>
            </w:pPr>
            <w:r w:rsidRPr="003237DF">
              <w:t>Part-time employees</w:t>
            </w:r>
          </w:p>
          <w:p w:rsidR="00FF3673" w:rsidRPr="003237DF" w:rsidRDefault="00FF3673" w:rsidP="001900AD">
            <w:pPr>
              <w:pStyle w:val="tablebullet"/>
              <w:spacing w:line="220" w:lineRule="atLeast"/>
            </w:pPr>
            <w:r w:rsidRPr="003237DF">
              <w:t>Directors</w:t>
            </w:r>
            <w:r w:rsidR="00946724" w:rsidRPr="003237DF">
              <w:t xml:space="preserve"> </w:t>
            </w:r>
          </w:p>
        </w:tc>
        <w:tc>
          <w:tcPr>
            <w:tcW w:w="4199"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bltext"/>
              <w:spacing w:before="80" w:after="80" w:line="220" w:lineRule="atLeast"/>
            </w:pPr>
            <w:r w:rsidRPr="003237DF">
              <w:t xml:space="preserve">Same as final relief for listed bodies </w:t>
            </w:r>
            <w:r w:rsidR="00FA3D24" w:rsidRPr="003237DF">
              <w:t>[CO 14/1000]</w:t>
            </w:r>
          </w:p>
        </w:tc>
      </w:tr>
      <w:tr w:rsidR="00FF3673" w:rsidRPr="003237DF" w:rsidTr="001900AD">
        <w:tc>
          <w:tcPr>
            <w:tcW w:w="141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bltext"/>
              <w:spacing w:before="80" w:after="80" w:line="220" w:lineRule="atLeast"/>
            </w:pPr>
            <w:r w:rsidRPr="003237DF">
              <w:t>What can be offered?</w:t>
            </w:r>
          </w:p>
        </w:tc>
        <w:tc>
          <w:tcPr>
            <w:tcW w:w="2552"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ablebullet"/>
              <w:spacing w:line="220" w:lineRule="atLeast"/>
            </w:pPr>
            <w:r w:rsidRPr="003237DF">
              <w:t>Shares and stock on ASX or an approved foreign market</w:t>
            </w:r>
          </w:p>
          <w:p w:rsidR="00FF3673" w:rsidRPr="003237DF" w:rsidRDefault="00FF3673" w:rsidP="001900AD">
            <w:pPr>
              <w:pStyle w:val="tablebullet"/>
              <w:spacing w:line="220" w:lineRule="atLeast"/>
            </w:pPr>
            <w:r w:rsidRPr="003237DF">
              <w:t>Options over shares and stock on ASX or an approved foreign market</w:t>
            </w:r>
          </w:p>
        </w:tc>
        <w:tc>
          <w:tcPr>
            <w:tcW w:w="4111"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widowControl w:val="0"/>
              <w:spacing w:before="80" w:after="40" w:line="220" w:lineRule="atLeast"/>
              <w:rPr>
                <w:rFonts w:ascii="Arial" w:hAnsi="Arial" w:cs="Arial"/>
                <w:sz w:val="18"/>
                <w:szCs w:val="18"/>
              </w:rPr>
            </w:pPr>
            <w:r w:rsidRPr="003237DF">
              <w:rPr>
                <w:rFonts w:ascii="Arial" w:hAnsi="Arial" w:cs="Arial"/>
                <w:sz w:val="18"/>
                <w:szCs w:val="18"/>
              </w:rPr>
              <w:t xml:space="preserve">Same as </w:t>
            </w:r>
            <w:r w:rsidR="00153C8E" w:rsidRPr="003237DF">
              <w:rPr>
                <w:rFonts w:ascii="Arial" w:hAnsi="Arial" w:cs="Arial"/>
                <w:sz w:val="18"/>
                <w:szCs w:val="18"/>
              </w:rPr>
              <w:t>[CO </w:t>
            </w:r>
            <w:r w:rsidRPr="003237DF">
              <w:rPr>
                <w:rFonts w:ascii="Arial" w:hAnsi="Arial" w:cs="Arial"/>
                <w:sz w:val="18"/>
                <w:szCs w:val="18"/>
              </w:rPr>
              <w:t xml:space="preserve">03/184] and </w:t>
            </w:r>
            <w:r w:rsidR="0047771C" w:rsidRPr="003237DF">
              <w:rPr>
                <w:rFonts w:ascii="Arial" w:hAnsi="Arial" w:cs="Arial"/>
                <w:sz w:val="18"/>
                <w:szCs w:val="18"/>
              </w:rPr>
              <w:t xml:space="preserve">in </w:t>
            </w:r>
            <w:r w:rsidRPr="003237DF">
              <w:rPr>
                <w:rFonts w:ascii="Arial" w:hAnsi="Arial" w:cs="Arial"/>
                <w:sz w:val="18"/>
                <w:szCs w:val="18"/>
              </w:rPr>
              <w:t>addition:</w:t>
            </w:r>
          </w:p>
          <w:p w:rsidR="00FF3673" w:rsidRPr="003237DF" w:rsidRDefault="0047771C" w:rsidP="00864906">
            <w:pPr>
              <w:pStyle w:val="tablebullet"/>
              <w:spacing w:before="40" w:line="220" w:lineRule="atLeast"/>
            </w:pPr>
            <w:r w:rsidRPr="003237DF">
              <w:t>beneficial (</w:t>
            </w:r>
            <w:r w:rsidR="00864906" w:rsidRPr="003237DF">
              <w:t>deposit</w:t>
            </w:r>
            <w:r w:rsidR="00511A0B">
              <w:t>a</w:t>
            </w:r>
            <w:r w:rsidR="00864906" w:rsidRPr="003237DF">
              <w:t>ry</w:t>
            </w:r>
            <w:r w:rsidRPr="003237DF">
              <w:t>)</w:t>
            </w:r>
            <w:r w:rsidR="00864906" w:rsidRPr="003237DF">
              <w:t xml:space="preserve"> </w:t>
            </w:r>
            <w:r w:rsidR="00FF3673" w:rsidRPr="003237DF">
              <w:t>interests quoted on an approved foreign market</w:t>
            </w:r>
          </w:p>
          <w:p w:rsidR="00FF3673" w:rsidRPr="003237DF" w:rsidRDefault="00FF3673" w:rsidP="00864906">
            <w:pPr>
              <w:pStyle w:val="tablebullet"/>
              <w:spacing w:before="40" w:line="220" w:lineRule="atLeast"/>
            </w:pPr>
            <w:r w:rsidRPr="003237DF">
              <w:t>ASX</w:t>
            </w:r>
            <w:r w:rsidR="00236EBE" w:rsidRPr="003237DF">
              <w:t>-</w:t>
            </w:r>
            <w:r w:rsidRPr="003237DF">
              <w:t>quoted managed investment schemes</w:t>
            </w:r>
          </w:p>
          <w:p w:rsidR="00FF3673" w:rsidRPr="003237DF" w:rsidRDefault="00FF3673" w:rsidP="00864906">
            <w:pPr>
              <w:pStyle w:val="tablebullet"/>
              <w:spacing w:before="40" w:line="220" w:lineRule="atLeast"/>
            </w:pPr>
            <w:r w:rsidRPr="003237DF">
              <w:t>ASX</w:t>
            </w:r>
            <w:r w:rsidR="00236EBE" w:rsidRPr="003237DF">
              <w:t>-</w:t>
            </w:r>
            <w:r w:rsidRPr="003237DF">
              <w:t>quoted stapled securities</w:t>
            </w:r>
          </w:p>
          <w:p w:rsidR="00FF3673" w:rsidRPr="003237DF" w:rsidRDefault="00864906" w:rsidP="00864906">
            <w:pPr>
              <w:pStyle w:val="tablebullet"/>
              <w:spacing w:after="20" w:line="220" w:lineRule="atLeast"/>
            </w:pPr>
            <w:r w:rsidRPr="003237DF">
              <w:t xml:space="preserve">options </w:t>
            </w:r>
            <w:r w:rsidR="00FF3673" w:rsidRPr="003237DF">
              <w:t xml:space="preserve">and incentive rights </w:t>
            </w:r>
            <w:r w:rsidR="00236EBE" w:rsidRPr="003237DF">
              <w:t xml:space="preserve">over </w:t>
            </w:r>
            <w:r w:rsidR="00FF3673" w:rsidRPr="003237DF">
              <w:t>the above</w:t>
            </w:r>
          </w:p>
        </w:tc>
        <w:tc>
          <w:tcPr>
            <w:tcW w:w="226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511A0B">
            <w:pPr>
              <w:pStyle w:val="tablebullet"/>
              <w:spacing w:before="80" w:line="220" w:lineRule="atLeast"/>
            </w:pPr>
            <w:r w:rsidRPr="003237DF">
              <w:t>Options over shares</w:t>
            </w:r>
          </w:p>
        </w:tc>
        <w:tc>
          <w:tcPr>
            <w:tcW w:w="4199"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widowControl w:val="0"/>
              <w:spacing w:before="80" w:after="80" w:line="220" w:lineRule="atLeast"/>
              <w:rPr>
                <w:rFonts w:ascii="Arial" w:hAnsi="Arial" w:cs="Arial"/>
                <w:sz w:val="18"/>
                <w:szCs w:val="18"/>
              </w:rPr>
            </w:pPr>
            <w:r w:rsidRPr="003237DF">
              <w:rPr>
                <w:rFonts w:ascii="Arial" w:hAnsi="Arial" w:cs="Arial"/>
                <w:sz w:val="18"/>
                <w:szCs w:val="18"/>
              </w:rPr>
              <w:t>Changed to:</w:t>
            </w:r>
          </w:p>
          <w:p w:rsidR="00FF3673" w:rsidRPr="003237DF" w:rsidRDefault="00864906" w:rsidP="001900AD">
            <w:pPr>
              <w:pStyle w:val="tablebullet"/>
              <w:spacing w:line="220" w:lineRule="atLeast"/>
            </w:pPr>
            <w:r w:rsidRPr="003237DF">
              <w:t xml:space="preserve">fully </w:t>
            </w:r>
            <w:r w:rsidR="00FF3673" w:rsidRPr="003237DF">
              <w:t xml:space="preserve">paid </w:t>
            </w:r>
            <w:r w:rsidR="0047771C" w:rsidRPr="003237DF">
              <w:t xml:space="preserve">voting </w:t>
            </w:r>
            <w:r w:rsidR="00FF3673" w:rsidRPr="003237DF">
              <w:t xml:space="preserve">ordinary shares </w:t>
            </w:r>
          </w:p>
          <w:p w:rsidR="00FF3673" w:rsidRPr="003237DF" w:rsidRDefault="00864906" w:rsidP="001900AD">
            <w:pPr>
              <w:pStyle w:val="tablebullet"/>
              <w:spacing w:line="220" w:lineRule="atLeast"/>
            </w:pPr>
            <w:r w:rsidRPr="003237DF">
              <w:t xml:space="preserve">options </w:t>
            </w:r>
            <w:r w:rsidR="00FF3673" w:rsidRPr="003237DF">
              <w:t>over ordinary shares</w:t>
            </w:r>
            <w:r w:rsidR="00946724" w:rsidRPr="003237DF">
              <w:t xml:space="preserve"> </w:t>
            </w:r>
          </w:p>
          <w:p w:rsidR="00FF3673" w:rsidRPr="003237DF" w:rsidRDefault="00864906" w:rsidP="001900AD">
            <w:pPr>
              <w:pStyle w:val="tablebullet"/>
              <w:spacing w:line="220" w:lineRule="atLeast"/>
            </w:pPr>
            <w:r w:rsidRPr="003237DF">
              <w:t xml:space="preserve">incentive </w:t>
            </w:r>
            <w:r w:rsidR="00FF3673" w:rsidRPr="003237DF">
              <w:t xml:space="preserve">rights over ordinary shares </w:t>
            </w:r>
          </w:p>
        </w:tc>
      </w:tr>
      <w:tr w:rsidR="00FF3673" w:rsidRPr="003237DF" w:rsidTr="001900AD">
        <w:tc>
          <w:tcPr>
            <w:tcW w:w="141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bltext"/>
              <w:spacing w:before="80" w:after="80" w:line="220" w:lineRule="atLeast"/>
            </w:pPr>
            <w:r w:rsidRPr="003237DF">
              <w:t>What structures can be used?</w:t>
            </w:r>
          </w:p>
        </w:tc>
        <w:tc>
          <w:tcPr>
            <w:tcW w:w="2552"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ablebullet"/>
              <w:spacing w:line="220" w:lineRule="atLeast"/>
            </w:pPr>
            <w:r w:rsidRPr="003237DF">
              <w:t>Trusts (5% limit, audit obligation</w:t>
            </w:r>
            <w:r w:rsidR="006F595E" w:rsidRPr="003237DF">
              <w:t>, all underlying eligible products must confer right to direct voting and right to dividends</w:t>
            </w:r>
            <w:r w:rsidRPr="003237DF">
              <w:t>)</w:t>
            </w:r>
          </w:p>
          <w:p w:rsidR="00FF3673" w:rsidRPr="003237DF" w:rsidRDefault="00FF3673" w:rsidP="001900AD">
            <w:pPr>
              <w:pStyle w:val="tablebullet"/>
              <w:spacing w:line="220" w:lineRule="atLeast"/>
            </w:pPr>
            <w:r w:rsidRPr="003237DF">
              <w:t>Contribution plans (no loans)</w:t>
            </w:r>
          </w:p>
          <w:p w:rsidR="00FF3673" w:rsidRPr="003237DF" w:rsidRDefault="00FF3673" w:rsidP="001900AD">
            <w:pPr>
              <w:pStyle w:val="tablebullet"/>
              <w:spacing w:line="220" w:lineRule="atLeast"/>
            </w:pPr>
            <w:r w:rsidRPr="003237DF">
              <w:t>Loans (no contribution plans)</w:t>
            </w:r>
          </w:p>
        </w:tc>
        <w:tc>
          <w:tcPr>
            <w:tcW w:w="4111"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pStyle w:val="tablebullet"/>
              <w:spacing w:line="220" w:lineRule="atLeast"/>
            </w:pPr>
            <w:r w:rsidRPr="003237DF">
              <w:t>Trust</w:t>
            </w:r>
            <w:r w:rsidR="00864906" w:rsidRPr="003237DF">
              <w:t>s</w:t>
            </w:r>
            <w:r w:rsidRPr="003237DF">
              <w:t xml:space="preserve"> (5% limit, </w:t>
            </w:r>
            <w:r w:rsidR="00E4499F" w:rsidRPr="003237DF">
              <w:t xml:space="preserve">no </w:t>
            </w:r>
            <w:r w:rsidR="0047771C" w:rsidRPr="003237DF">
              <w:t xml:space="preserve">separate </w:t>
            </w:r>
            <w:r w:rsidR="00E4499F" w:rsidRPr="003237DF">
              <w:t>audit obligation</w:t>
            </w:r>
            <w:r w:rsidRPr="003237DF">
              <w:t xml:space="preserve">, </w:t>
            </w:r>
            <w:r w:rsidR="00065EAF" w:rsidRPr="003237DF">
              <w:t>no voting if</w:t>
            </w:r>
            <w:r w:rsidR="001900AD" w:rsidRPr="003237DF">
              <w:t> </w:t>
            </w:r>
            <w:r w:rsidR="00065EAF" w:rsidRPr="003237DF">
              <w:t>trustee is an associate of the unlisted body</w:t>
            </w:r>
            <w:r w:rsidR="00C25225" w:rsidRPr="003237DF">
              <w:t>, reasonable charges can be claimed against trust funds</w:t>
            </w:r>
            <w:r w:rsidR="006F595E" w:rsidRPr="003237DF">
              <w:t xml:space="preserve">, underlying eligible products held </w:t>
            </w:r>
            <w:r w:rsidR="0047771C" w:rsidRPr="003237DF">
              <w:t xml:space="preserve">on an </w:t>
            </w:r>
            <w:r w:rsidR="006F595E" w:rsidRPr="003237DF">
              <w:t xml:space="preserve">allocated </w:t>
            </w:r>
            <w:r w:rsidR="0047771C" w:rsidRPr="003237DF">
              <w:t>or unallocated basis</w:t>
            </w:r>
            <w:r w:rsidRPr="003237DF">
              <w:t>)</w:t>
            </w:r>
          </w:p>
          <w:p w:rsidR="00FF3673" w:rsidRPr="003237DF" w:rsidRDefault="00FF3673" w:rsidP="00864906">
            <w:pPr>
              <w:pStyle w:val="tablebullet"/>
              <w:spacing w:before="40" w:line="220" w:lineRule="atLeast"/>
            </w:pPr>
            <w:r w:rsidRPr="003237DF">
              <w:t>Contribution plans (opt</w:t>
            </w:r>
            <w:r w:rsidR="00864906" w:rsidRPr="003237DF">
              <w:t>-</w:t>
            </w:r>
            <w:r w:rsidRPr="003237DF">
              <w:t xml:space="preserve">out </w:t>
            </w:r>
            <w:r w:rsidR="00F706AB" w:rsidRPr="003237DF">
              <w:t>notice period is</w:t>
            </w:r>
            <w:r w:rsidRPr="003237DF">
              <w:t xml:space="preserve"> 45</w:t>
            </w:r>
            <w:r w:rsidR="001900AD" w:rsidRPr="003237DF">
              <w:t> </w:t>
            </w:r>
            <w:r w:rsidRPr="003237DF">
              <w:t xml:space="preserve">days, </w:t>
            </w:r>
            <w:r w:rsidR="00F706AB" w:rsidRPr="003237DF">
              <w:t>new requirement that contributions cannot be collected for the acquisition of options or incentive rights (as these must be issued for no more than nominal monetary consideration</w:t>
            </w:r>
            <w:r w:rsidR="007F1877" w:rsidRPr="003237DF">
              <w:t>)</w:t>
            </w:r>
            <w:r w:rsidR="00F706AB" w:rsidRPr="003237DF">
              <w:t xml:space="preserve">, </w:t>
            </w:r>
            <w:r w:rsidRPr="003237DF">
              <w:t>new requirement that contribution</w:t>
            </w:r>
            <w:r w:rsidR="0047771C" w:rsidRPr="003237DF">
              <w:t>s</w:t>
            </w:r>
            <w:r w:rsidRPr="003237DF">
              <w:t xml:space="preserve"> </w:t>
            </w:r>
            <w:r w:rsidR="0047771C" w:rsidRPr="003237DF">
              <w:t xml:space="preserve">used to acquire </w:t>
            </w:r>
            <w:r w:rsidRPr="003237DF">
              <w:t>underlying eligible product</w:t>
            </w:r>
            <w:r w:rsidR="00864906" w:rsidRPr="003237DF">
              <w:t>s</w:t>
            </w:r>
            <w:r w:rsidRPr="003237DF">
              <w:t xml:space="preserve"> </w:t>
            </w:r>
            <w:r w:rsidR="0047771C" w:rsidRPr="003237DF">
              <w:t>confers a</w:t>
            </w:r>
            <w:r w:rsidRPr="003237DF">
              <w:t xml:space="preserve"> right to direct voting and </w:t>
            </w:r>
            <w:r w:rsidR="0047771C" w:rsidRPr="003237DF">
              <w:t xml:space="preserve">a </w:t>
            </w:r>
            <w:r w:rsidRPr="003237DF">
              <w:t>right to dividends)</w:t>
            </w:r>
          </w:p>
          <w:p w:rsidR="00FF3673" w:rsidRPr="003237DF" w:rsidRDefault="00FF3673" w:rsidP="00864906">
            <w:pPr>
              <w:pStyle w:val="tablebullet"/>
              <w:spacing w:after="20" w:line="220" w:lineRule="atLeast"/>
            </w:pPr>
            <w:r w:rsidRPr="003237DF">
              <w:t>Loans (</w:t>
            </w:r>
            <w:r w:rsidR="00D12A33" w:rsidRPr="003237DF">
              <w:t xml:space="preserve">requirement: </w:t>
            </w:r>
            <w:r w:rsidR="00086048" w:rsidRPr="003237DF">
              <w:t xml:space="preserve">no </w:t>
            </w:r>
            <w:r w:rsidR="00864906" w:rsidRPr="003237DF">
              <w:t xml:space="preserve">recourse </w:t>
            </w:r>
            <w:r w:rsidR="00086048" w:rsidRPr="003237DF">
              <w:t>or limited recourse</w:t>
            </w:r>
            <w:r w:rsidR="004A4B7D" w:rsidRPr="003237DF">
              <w:t xml:space="preserve"> only</w:t>
            </w:r>
            <w:r w:rsidR="00086048" w:rsidRPr="003237DF">
              <w:t xml:space="preserve">, </w:t>
            </w:r>
            <w:r w:rsidR="00036615" w:rsidRPr="003237DF">
              <w:t xml:space="preserve">no </w:t>
            </w:r>
            <w:r w:rsidR="0047771C" w:rsidRPr="003237DF">
              <w:t xml:space="preserve">interest or </w:t>
            </w:r>
            <w:r w:rsidR="00036615" w:rsidRPr="003237DF">
              <w:t>charges</w:t>
            </w:r>
            <w:r w:rsidRPr="003237DF">
              <w:t>)</w:t>
            </w:r>
          </w:p>
        </w:tc>
        <w:tc>
          <w:tcPr>
            <w:tcW w:w="226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1900AD">
            <w:pPr>
              <w:pStyle w:val="tbltext"/>
              <w:spacing w:before="80" w:after="80" w:line="220" w:lineRule="atLeast"/>
            </w:pPr>
            <w:r w:rsidRPr="003237DF">
              <w:t>Not applicable</w:t>
            </w:r>
          </w:p>
        </w:tc>
        <w:tc>
          <w:tcPr>
            <w:tcW w:w="4199"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47771C">
            <w:pPr>
              <w:pStyle w:val="tablebullet"/>
              <w:spacing w:line="220" w:lineRule="atLeast"/>
            </w:pPr>
            <w:r w:rsidRPr="003237DF">
              <w:t>Trust</w:t>
            </w:r>
            <w:r w:rsidR="00864906" w:rsidRPr="003237DF">
              <w:t>s</w:t>
            </w:r>
            <w:r w:rsidRPr="003237DF">
              <w:t xml:space="preserve"> (</w:t>
            </w:r>
            <w:r w:rsidR="0047771C" w:rsidRPr="003237DF">
              <w:t xml:space="preserve">same as for listed bodies except that the </w:t>
            </w:r>
            <w:r w:rsidRPr="003237DF">
              <w:t>holding limit</w:t>
            </w:r>
            <w:r w:rsidR="0047771C" w:rsidRPr="003237DF">
              <w:t xml:space="preserve"> is 20%)</w:t>
            </w:r>
          </w:p>
          <w:p w:rsidR="0047771C" w:rsidRPr="003237DF" w:rsidRDefault="0047771C" w:rsidP="00511A0B">
            <w:pPr>
              <w:pStyle w:val="tablebullet"/>
              <w:spacing w:line="220" w:lineRule="atLeast"/>
            </w:pPr>
            <w:r w:rsidRPr="003237DF">
              <w:t xml:space="preserve">Contribution plans and loans </w:t>
            </w:r>
            <w:r w:rsidR="00511A0B">
              <w:t>not permitted</w:t>
            </w:r>
          </w:p>
        </w:tc>
      </w:tr>
      <w:tr w:rsidR="00FF3673" w:rsidRPr="003237DF" w:rsidTr="001900AD">
        <w:tc>
          <w:tcPr>
            <w:tcW w:w="141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spacing w:before="120" w:after="80" w:line="240" w:lineRule="atLeast"/>
              <w:rPr>
                <w:rFonts w:ascii="Arial" w:hAnsi="Arial" w:cs="Arial"/>
                <w:sz w:val="18"/>
                <w:szCs w:val="18"/>
              </w:rPr>
            </w:pPr>
            <w:r w:rsidRPr="003237DF">
              <w:rPr>
                <w:rFonts w:ascii="Arial" w:hAnsi="Arial" w:cs="Arial"/>
                <w:sz w:val="18"/>
                <w:szCs w:val="18"/>
              </w:rPr>
              <w:t>What conditions will apply?</w:t>
            </w:r>
          </w:p>
        </w:tc>
        <w:tc>
          <w:tcPr>
            <w:tcW w:w="2552"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pStyle w:val="tablebullet"/>
              <w:spacing w:before="120"/>
            </w:pPr>
            <w:r w:rsidRPr="003237DF">
              <w:t>Quotation period (12</w:t>
            </w:r>
            <w:r w:rsidR="00593438" w:rsidRPr="003237DF">
              <w:t> </w:t>
            </w:r>
            <w:r w:rsidRPr="003237DF">
              <w:t>months)</w:t>
            </w:r>
          </w:p>
          <w:p w:rsidR="00FF3673" w:rsidRPr="003237DF" w:rsidRDefault="00FF3673" w:rsidP="00864906">
            <w:pPr>
              <w:pStyle w:val="tablebullet"/>
            </w:pPr>
            <w:r w:rsidRPr="003237DF">
              <w:t>Suspension period (2</w:t>
            </w:r>
            <w:r w:rsidR="00593438" w:rsidRPr="003237DF">
              <w:t> </w:t>
            </w:r>
            <w:r w:rsidRPr="003237DF">
              <w:t>days)</w:t>
            </w:r>
          </w:p>
          <w:p w:rsidR="00FF3673" w:rsidRPr="003237DF" w:rsidRDefault="00FF3673" w:rsidP="00864906">
            <w:pPr>
              <w:pStyle w:val="tablebullet"/>
            </w:pPr>
            <w:r w:rsidRPr="003237DF">
              <w:t>5% offer limit (based on current offer and offers over last 5 years )</w:t>
            </w:r>
          </w:p>
          <w:p w:rsidR="00FF3673" w:rsidRPr="003237DF" w:rsidRDefault="00FF3673" w:rsidP="00864906">
            <w:pPr>
              <w:pStyle w:val="tablebullet"/>
            </w:pPr>
            <w:r w:rsidRPr="003237DF">
              <w:t>Certain prescribed disclosure about general advice warning, ter</w:t>
            </w:r>
            <w:r w:rsidR="00710CEE" w:rsidRPr="003237DF">
              <w:t>ms of loans, acquisition price</w:t>
            </w:r>
          </w:p>
          <w:p w:rsidR="00FF3673" w:rsidRPr="003237DF" w:rsidRDefault="00FF3673" w:rsidP="00864906">
            <w:pPr>
              <w:pStyle w:val="tablebullet"/>
            </w:pPr>
            <w:r w:rsidRPr="003237DF">
              <w:t>Provision of offer document and related documents to</w:t>
            </w:r>
            <w:r w:rsidR="00946724" w:rsidRPr="003237DF">
              <w:t xml:space="preserve"> </w:t>
            </w:r>
            <w:r w:rsidRPr="003237DF">
              <w:t>ASIC within 7 days</w:t>
            </w:r>
          </w:p>
        </w:tc>
        <w:tc>
          <w:tcPr>
            <w:tcW w:w="4111"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pStyle w:val="tablebullet"/>
              <w:spacing w:before="120"/>
            </w:pPr>
            <w:r w:rsidRPr="003237DF">
              <w:t>Quotation period (3 months)</w:t>
            </w:r>
          </w:p>
          <w:p w:rsidR="00FF3673" w:rsidRPr="003237DF" w:rsidRDefault="00FF3673" w:rsidP="00864906">
            <w:pPr>
              <w:pStyle w:val="tablebullet"/>
            </w:pPr>
            <w:r w:rsidRPr="003237DF">
              <w:t>Suspension period (5 days)</w:t>
            </w:r>
          </w:p>
          <w:p w:rsidR="00FF3673" w:rsidRPr="003237DF" w:rsidRDefault="00FF3673" w:rsidP="00864906">
            <w:pPr>
              <w:pStyle w:val="tablebullet"/>
            </w:pPr>
            <w:r w:rsidRPr="003237DF">
              <w:t>5% issue limit (current plus last 3 years and simplified formula)</w:t>
            </w:r>
          </w:p>
          <w:p w:rsidR="00FF3673" w:rsidRPr="003237DF" w:rsidRDefault="00FF3673" w:rsidP="00864906">
            <w:pPr>
              <w:pStyle w:val="tablebullet"/>
            </w:pPr>
            <w:r w:rsidRPr="003237DF">
              <w:t>Clear, concise and effective</w:t>
            </w:r>
          </w:p>
          <w:p w:rsidR="00FF3673" w:rsidRPr="003237DF" w:rsidRDefault="00C25AE7" w:rsidP="00864906">
            <w:pPr>
              <w:pStyle w:val="tablebullet"/>
            </w:pPr>
            <w:r w:rsidRPr="003237DF">
              <w:t>Prominent</w:t>
            </w:r>
            <w:r w:rsidR="00CA12CF" w:rsidRPr="003237DF">
              <w:t xml:space="preserve"> </w:t>
            </w:r>
            <w:r w:rsidR="00C25225" w:rsidRPr="003237DF">
              <w:t xml:space="preserve">general </w:t>
            </w:r>
            <w:r w:rsidR="00CA12CF" w:rsidRPr="003237DF">
              <w:t>p</w:t>
            </w:r>
            <w:r w:rsidR="00FF3673" w:rsidRPr="003237DF">
              <w:t>roduct warning, terms of any trust, contribution plans or loans</w:t>
            </w:r>
          </w:p>
          <w:p w:rsidR="004A4B7D" w:rsidRPr="003237DF" w:rsidRDefault="004A4B7D" w:rsidP="00864906">
            <w:pPr>
              <w:pStyle w:val="tablebullet"/>
            </w:pPr>
            <w:r w:rsidRPr="003237DF">
              <w:t>ASIC power to request copies of employee incentive scheme documents</w:t>
            </w:r>
          </w:p>
          <w:p w:rsidR="00FF3673" w:rsidRPr="003237DF" w:rsidRDefault="00A05532" w:rsidP="00864906">
            <w:pPr>
              <w:pStyle w:val="tablebullet"/>
            </w:pPr>
            <w:r w:rsidRPr="003237DF">
              <w:t xml:space="preserve">Notice </w:t>
            </w:r>
            <w:r w:rsidR="00FF3673" w:rsidRPr="003237DF">
              <w:t xml:space="preserve">of reliance to ASIC (no later than </w:t>
            </w:r>
            <w:r w:rsidR="001900AD" w:rsidRPr="003237DF">
              <w:t>one</w:t>
            </w:r>
            <w:r w:rsidR="00FF3673" w:rsidRPr="003237DF">
              <w:t xml:space="preserve"> month after first reliance, certain minimum content </w:t>
            </w:r>
            <w:r w:rsidRPr="003237DF">
              <w:t>reporting</w:t>
            </w:r>
            <w:r w:rsidR="00FF3673" w:rsidRPr="003237DF">
              <w:t xml:space="preserve">) </w:t>
            </w:r>
          </w:p>
          <w:p w:rsidR="00FF3673" w:rsidRPr="003237DF" w:rsidRDefault="004A4B7D" w:rsidP="00864906">
            <w:pPr>
              <w:pStyle w:val="tablebullet"/>
            </w:pPr>
            <w:r w:rsidRPr="003237DF">
              <w:t xml:space="preserve">ASIC power to exclude </w:t>
            </w:r>
            <w:r w:rsidR="00511A0B">
              <w:t xml:space="preserve">a body from </w:t>
            </w:r>
            <w:r w:rsidRPr="003237DF">
              <w:t>reliance on class order relief</w:t>
            </w:r>
          </w:p>
        </w:tc>
        <w:tc>
          <w:tcPr>
            <w:tcW w:w="2268"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pStyle w:val="tablebullet"/>
              <w:spacing w:before="120"/>
              <w:rPr>
                <w:rFonts w:ascii="Times New Roman" w:hAnsi="Times New Roman" w:cs="Times New Roman"/>
              </w:rPr>
            </w:pPr>
            <w:r w:rsidRPr="003237DF">
              <w:t>5% issue limit (based on current offer and offers over last 5 years)</w:t>
            </w:r>
          </w:p>
          <w:p w:rsidR="00FF3673" w:rsidRPr="003237DF" w:rsidRDefault="00FF3673" w:rsidP="00864906">
            <w:pPr>
              <w:pStyle w:val="tablebullet"/>
              <w:rPr>
                <w:rFonts w:ascii="Times New Roman" w:hAnsi="Times New Roman" w:cs="Times New Roman"/>
              </w:rPr>
            </w:pPr>
            <w:r w:rsidRPr="003237DF">
              <w:t>Certain prescribed disclosure about general advice warning</w:t>
            </w:r>
          </w:p>
          <w:p w:rsidR="00FF3673" w:rsidRPr="003237DF" w:rsidRDefault="00FF3673" w:rsidP="00864906">
            <w:pPr>
              <w:pStyle w:val="tablebullet"/>
            </w:pPr>
            <w:r w:rsidRPr="003237DF">
              <w:t>Requirement that on exercise of options</w:t>
            </w:r>
            <w:r w:rsidR="00511A0B">
              <w:t>, the underlying</w:t>
            </w:r>
            <w:r w:rsidRPr="003237DF">
              <w:t xml:space="preserve"> </w:t>
            </w:r>
            <w:r w:rsidR="00511A0B">
              <w:t xml:space="preserve">financial product </w:t>
            </w:r>
            <w:r w:rsidRPr="003237DF">
              <w:t>must be quoted for 12</w:t>
            </w:r>
            <w:r w:rsidR="001900AD" w:rsidRPr="003237DF">
              <w:t> </w:t>
            </w:r>
            <w:r w:rsidRPr="003237DF">
              <w:t>months without suspension for more than 2 trading days or being provided with a current prospectus</w:t>
            </w:r>
          </w:p>
        </w:tc>
        <w:tc>
          <w:tcPr>
            <w:tcW w:w="4199" w:type="dxa"/>
            <w:tcBorders>
              <w:top w:val="single" w:sz="4" w:space="0" w:color="A6A6A6" w:themeColor="background1" w:themeShade="A6"/>
              <w:bottom w:val="single" w:sz="4" w:space="0" w:color="A6A6A6" w:themeColor="background1" w:themeShade="A6"/>
            </w:tcBorders>
            <w:shd w:val="clear" w:color="auto" w:fill="auto"/>
          </w:tcPr>
          <w:p w:rsidR="00FF3673" w:rsidRPr="003237DF" w:rsidRDefault="00FF3673" w:rsidP="00864906">
            <w:pPr>
              <w:pStyle w:val="tablebullet"/>
              <w:spacing w:before="120"/>
            </w:pPr>
            <w:r w:rsidRPr="003237DF">
              <w:t xml:space="preserve">Offers of fully paid </w:t>
            </w:r>
            <w:r w:rsidR="00A05532" w:rsidRPr="003237DF">
              <w:t xml:space="preserve">voting </w:t>
            </w:r>
            <w:r w:rsidRPr="003237DF">
              <w:t>ordinary shares (no offers of other classes of shares)</w:t>
            </w:r>
            <w:r w:rsidR="00A05532" w:rsidRPr="003237DF">
              <w:t xml:space="preserve"> for no more than nominal monetary consideration</w:t>
            </w:r>
          </w:p>
          <w:p w:rsidR="00FF3673" w:rsidRPr="003237DF" w:rsidRDefault="00FF3673" w:rsidP="00864906">
            <w:pPr>
              <w:pStyle w:val="tablebullet"/>
            </w:pPr>
            <w:r w:rsidRPr="003237DF">
              <w:t xml:space="preserve">Offers of options and incentive rights </w:t>
            </w:r>
            <w:r w:rsidR="00511A0B">
              <w:t>(</w:t>
            </w:r>
            <w:r w:rsidRPr="003237DF">
              <w:t>over ordinary shares) for no more than nominal monetary consideration</w:t>
            </w:r>
          </w:p>
          <w:p w:rsidR="00FF3673" w:rsidRPr="003237DF" w:rsidRDefault="00FF3673" w:rsidP="00864906">
            <w:pPr>
              <w:pStyle w:val="tablebullet"/>
            </w:pPr>
            <w:r w:rsidRPr="003237DF">
              <w:t xml:space="preserve">Offers of all financial products must be no more than $5,000 per participant per </w:t>
            </w:r>
            <w:r w:rsidR="00593438" w:rsidRPr="003237DF">
              <w:t xml:space="preserve">year </w:t>
            </w:r>
            <w:r w:rsidRPr="003237DF">
              <w:t xml:space="preserve">at the time of the offer </w:t>
            </w:r>
          </w:p>
          <w:p w:rsidR="00FF3673" w:rsidRPr="003237DF" w:rsidRDefault="00FF3673" w:rsidP="00864906">
            <w:pPr>
              <w:pStyle w:val="tablebullet"/>
            </w:pPr>
            <w:r w:rsidRPr="003237DF">
              <w:t xml:space="preserve">Basis of valuation as approved by directors </w:t>
            </w:r>
            <w:r w:rsidR="00A05532" w:rsidRPr="003237DF">
              <w:t>disclosed</w:t>
            </w:r>
          </w:p>
          <w:p w:rsidR="00FF3673" w:rsidRPr="003237DF" w:rsidRDefault="00FF3673" w:rsidP="00864906">
            <w:pPr>
              <w:pStyle w:val="tablebullet"/>
            </w:pPr>
            <w:r w:rsidRPr="003237DF">
              <w:t>20% offer limit (up from 5%) changed to current plus last 3 years and formula simplified (same formula as for listed bodies)</w:t>
            </w:r>
          </w:p>
          <w:p w:rsidR="00FF3673" w:rsidRPr="003237DF" w:rsidRDefault="00FF3673" w:rsidP="00864906">
            <w:pPr>
              <w:pStyle w:val="tablebullet"/>
            </w:pPr>
            <w:r w:rsidRPr="003237DF">
              <w:t>Clear, concise and effective</w:t>
            </w:r>
          </w:p>
          <w:p w:rsidR="00FF3673" w:rsidRPr="003237DF" w:rsidRDefault="004A4B7D" w:rsidP="00864906">
            <w:pPr>
              <w:pStyle w:val="tablebullet"/>
            </w:pPr>
            <w:r w:rsidRPr="003237DF">
              <w:t>Prominent general p</w:t>
            </w:r>
            <w:r w:rsidR="00FF3673" w:rsidRPr="003237DF">
              <w:t>roduct warning, terms of trust</w:t>
            </w:r>
          </w:p>
          <w:p w:rsidR="00FF3673" w:rsidRPr="003237DF" w:rsidRDefault="00FF3673" w:rsidP="00864906">
            <w:pPr>
              <w:pStyle w:val="tablebullet"/>
            </w:pPr>
            <w:r w:rsidRPr="003237DF">
              <w:t xml:space="preserve">Front page and prominent warning </w:t>
            </w:r>
            <w:r w:rsidR="00864906" w:rsidRPr="003237DF">
              <w:t xml:space="preserve">about </w:t>
            </w:r>
            <w:r w:rsidRPr="003237DF">
              <w:t>liquidity and realisation value</w:t>
            </w:r>
          </w:p>
          <w:p w:rsidR="00FF3673" w:rsidRPr="003237DF" w:rsidRDefault="00511A0B" w:rsidP="00864906">
            <w:pPr>
              <w:pStyle w:val="tablebullet"/>
            </w:pPr>
            <w:r>
              <w:t>S</w:t>
            </w:r>
            <w:r w:rsidR="00A05532" w:rsidRPr="003237DF">
              <w:t xml:space="preserve">pecial purpose </w:t>
            </w:r>
            <w:r w:rsidR="00FF3673" w:rsidRPr="003237DF">
              <w:t xml:space="preserve">financial report </w:t>
            </w:r>
            <w:r w:rsidR="00A05532" w:rsidRPr="003237DF">
              <w:t xml:space="preserve">to be provided </w:t>
            </w:r>
            <w:r w:rsidR="00FF3673" w:rsidRPr="003237DF">
              <w:t>unless statutory obligation to prepare audited accounts</w:t>
            </w:r>
          </w:p>
          <w:p w:rsidR="00FF3673" w:rsidRPr="003237DF" w:rsidRDefault="00FF3673" w:rsidP="00864906">
            <w:pPr>
              <w:pStyle w:val="tablebullet"/>
            </w:pPr>
            <w:r w:rsidRPr="003237DF">
              <w:t>Directors</w:t>
            </w:r>
            <w:r w:rsidR="00946724" w:rsidRPr="003237DF">
              <w:t>’</w:t>
            </w:r>
            <w:r w:rsidRPr="003237DF">
              <w:t xml:space="preserve"> solvency declaration</w:t>
            </w:r>
          </w:p>
          <w:p w:rsidR="00FF3673" w:rsidRPr="003237DF" w:rsidRDefault="00FF3673" w:rsidP="00864906">
            <w:pPr>
              <w:pStyle w:val="tablebullet"/>
            </w:pPr>
            <w:r w:rsidRPr="003237DF">
              <w:t>Obligation to provide future financial report if requested</w:t>
            </w:r>
          </w:p>
          <w:p w:rsidR="00FF3673" w:rsidRPr="003237DF" w:rsidRDefault="00FF3673" w:rsidP="00864906">
            <w:pPr>
              <w:pStyle w:val="tablebullet"/>
              <w:spacing w:after="60"/>
            </w:pPr>
            <w:r w:rsidRPr="003237DF">
              <w:t xml:space="preserve">Payment of </w:t>
            </w:r>
            <w:r w:rsidR="006B75B9" w:rsidRPr="003237DF">
              <w:t xml:space="preserve">more than nominal </w:t>
            </w:r>
            <w:r w:rsidRPr="003237DF">
              <w:t xml:space="preserve">monetary consideration on exercise or vesting </w:t>
            </w:r>
            <w:r w:rsidR="006B75B9" w:rsidRPr="003237DF">
              <w:t xml:space="preserve">of the </w:t>
            </w:r>
            <w:r w:rsidRPr="003237DF">
              <w:t xml:space="preserve">underlying </w:t>
            </w:r>
            <w:r w:rsidR="006B75B9" w:rsidRPr="003237DF">
              <w:t xml:space="preserve">ordinary shares is </w:t>
            </w:r>
            <w:r w:rsidRPr="003237DF">
              <w:t xml:space="preserve">only </w:t>
            </w:r>
            <w:r w:rsidR="006B75B9" w:rsidRPr="003237DF">
              <w:t xml:space="preserve">permitted </w:t>
            </w:r>
            <w:r w:rsidRPr="003237DF">
              <w:rPr>
                <w:spacing w:val="-2"/>
              </w:rPr>
              <w:t xml:space="preserve">where </w:t>
            </w:r>
            <w:r w:rsidR="006B75B9" w:rsidRPr="003237DF">
              <w:rPr>
                <w:spacing w:val="-2"/>
              </w:rPr>
              <w:t>the following alternative</w:t>
            </w:r>
            <w:r w:rsidR="004411E5" w:rsidRPr="003237DF">
              <w:rPr>
                <w:spacing w:val="-2"/>
              </w:rPr>
              <w:t xml:space="preserve"> circumstance</w:t>
            </w:r>
            <w:r w:rsidR="006B75B9" w:rsidRPr="003237DF">
              <w:rPr>
                <w:spacing w:val="-2"/>
              </w:rPr>
              <w:t>s</w:t>
            </w:r>
            <w:r w:rsidR="006B75B9" w:rsidRPr="003237DF">
              <w:t xml:space="preserve"> are included</w:t>
            </w:r>
            <w:r w:rsidR="004411E5" w:rsidRPr="003237DF">
              <w:t xml:space="preserve"> as terms of the</w:t>
            </w:r>
            <w:r w:rsidR="001900AD" w:rsidRPr="003237DF">
              <w:t> </w:t>
            </w:r>
            <w:r w:rsidR="004411E5" w:rsidRPr="003237DF">
              <w:t>offer</w:t>
            </w:r>
            <w:r w:rsidRPr="003237DF">
              <w:t>:</w:t>
            </w:r>
          </w:p>
          <w:p w:rsidR="00FF3673" w:rsidRPr="003237DF" w:rsidRDefault="00864906" w:rsidP="00593438">
            <w:pPr>
              <w:pStyle w:val="tabledash"/>
              <w:spacing w:before="40" w:after="40"/>
            </w:pPr>
            <w:r w:rsidRPr="003237DF">
              <w:t xml:space="preserve">quotation </w:t>
            </w:r>
            <w:r w:rsidR="004411E5" w:rsidRPr="003237DF">
              <w:t>of the underlying ordinary shares</w:t>
            </w:r>
            <w:r w:rsidR="00FF3673" w:rsidRPr="003237DF">
              <w:t xml:space="preserve"> for 3 months and not suspended for more than 5 trading days</w:t>
            </w:r>
          </w:p>
          <w:p w:rsidR="00FF3673" w:rsidRPr="003237DF" w:rsidRDefault="00FF3673" w:rsidP="00864906">
            <w:pPr>
              <w:pStyle w:val="tabledash"/>
            </w:pPr>
            <w:r w:rsidRPr="003237DF">
              <w:t>a current disclosure document (</w:t>
            </w:r>
            <w:r w:rsidR="00593438" w:rsidRPr="003237DF">
              <w:rPr>
                <w:lang w:val="en"/>
              </w:rPr>
              <w:t>offer information statement</w:t>
            </w:r>
            <w:r w:rsidRPr="003237DF">
              <w:t xml:space="preserve"> or prospectus) </w:t>
            </w:r>
            <w:r w:rsidR="004411E5" w:rsidRPr="003237DF">
              <w:t xml:space="preserve">is </w:t>
            </w:r>
            <w:r w:rsidRPr="003237DF">
              <w:t>provided</w:t>
            </w:r>
            <w:r w:rsidR="004411E5" w:rsidRPr="003237DF">
              <w:t xml:space="preserve"> no later </w:t>
            </w:r>
            <w:r w:rsidR="00593438" w:rsidRPr="003237DF">
              <w:t xml:space="preserve">than </w:t>
            </w:r>
            <w:r w:rsidR="004411E5" w:rsidRPr="003237DF">
              <w:t xml:space="preserve">14 days </w:t>
            </w:r>
            <w:r w:rsidR="00593438" w:rsidRPr="003237DF">
              <w:t xml:space="preserve">before </w:t>
            </w:r>
            <w:r w:rsidR="004411E5" w:rsidRPr="003237DF">
              <w:t>exercise or vesting</w:t>
            </w:r>
          </w:p>
          <w:p w:rsidR="00FF3673" w:rsidRPr="003237DF" w:rsidRDefault="00A05532" w:rsidP="00864906">
            <w:pPr>
              <w:pStyle w:val="tabledash"/>
            </w:pPr>
            <w:r w:rsidRPr="003237DF">
              <w:t xml:space="preserve">written </w:t>
            </w:r>
            <w:r w:rsidR="00FF3673" w:rsidRPr="003237DF">
              <w:t xml:space="preserve">evidence of consideration </w:t>
            </w:r>
            <w:r w:rsidRPr="003237DF">
              <w:t xml:space="preserve">paid </w:t>
            </w:r>
            <w:r w:rsidR="00FF3673" w:rsidRPr="003237DF">
              <w:t>if arm</w:t>
            </w:r>
            <w:r w:rsidR="00946724" w:rsidRPr="003237DF">
              <w:t>’</w:t>
            </w:r>
            <w:r w:rsidR="00FF3673" w:rsidRPr="003237DF">
              <w:t>s length and not with an associate</w:t>
            </w:r>
          </w:p>
          <w:p w:rsidR="00FF3673" w:rsidRPr="003237DF" w:rsidRDefault="00FF3673" w:rsidP="00864906">
            <w:pPr>
              <w:pStyle w:val="tabledash"/>
            </w:pPr>
            <w:r w:rsidRPr="003237DF">
              <w:t>an independent expert</w:t>
            </w:r>
            <w:r w:rsidR="00946724" w:rsidRPr="003237DF">
              <w:t>’</w:t>
            </w:r>
            <w:r w:rsidRPr="003237DF">
              <w:t>s report if not at arm</w:t>
            </w:r>
            <w:r w:rsidR="00946724" w:rsidRPr="003237DF">
              <w:t>’</w:t>
            </w:r>
            <w:r w:rsidRPr="003237DF">
              <w:t>s length or to an associate of issuer</w:t>
            </w:r>
          </w:p>
          <w:p w:rsidR="004A4B7D" w:rsidRPr="003237DF" w:rsidRDefault="004A4B7D" w:rsidP="00864906">
            <w:pPr>
              <w:pStyle w:val="tablebullet"/>
              <w:rPr>
                <w:i/>
              </w:rPr>
            </w:pPr>
            <w:r w:rsidRPr="003237DF">
              <w:t>ASIC power to request copies of employee incentive scheme documents</w:t>
            </w:r>
          </w:p>
          <w:p w:rsidR="004A4B7D" w:rsidRPr="003237DF" w:rsidRDefault="004A4B7D" w:rsidP="00864906">
            <w:pPr>
              <w:pStyle w:val="tablebullet"/>
              <w:spacing w:after="60"/>
              <w:rPr>
                <w:i/>
              </w:rPr>
            </w:pPr>
            <w:r w:rsidRPr="003237DF">
              <w:t>ASIC power to exclude reliance on class order relief</w:t>
            </w:r>
          </w:p>
        </w:tc>
      </w:tr>
      <w:tr w:rsidR="00FF3673" w:rsidRPr="003237DF" w:rsidTr="001900AD">
        <w:tc>
          <w:tcPr>
            <w:tcW w:w="1418" w:type="dxa"/>
            <w:tcBorders>
              <w:top w:val="single" w:sz="4" w:space="0" w:color="A6A6A6" w:themeColor="background1" w:themeShade="A6"/>
            </w:tcBorders>
            <w:shd w:val="clear" w:color="auto" w:fill="auto"/>
          </w:tcPr>
          <w:p w:rsidR="00FF3673" w:rsidRPr="003237DF" w:rsidRDefault="00FF3673" w:rsidP="00353713">
            <w:pPr>
              <w:pStyle w:val="tbltext"/>
              <w:keepNext/>
              <w:spacing w:before="80" w:after="80"/>
            </w:pPr>
            <w:r w:rsidRPr="003237DF">
              <w:t>What other relief applies?</w:t>
            </w:r>
          </w:p>
        </w:tc>
        <w:tc>
          <w:tcPr>
            <w:tcW w:w="2552" w:type="dxa"/>
            <w:tcBorders>
              <w:top w:val="single" w:sz="4" w:space="0" w:color="A6A6A6" w:themeColor="background1" w:themeShade="A6"/>
            </w:tcBorders>
            <w:shd w:val="clear" w:color="auto" w:fill="auto"/>
          </w:tcPr>
          <w:p w:rsidR="00FF3673" w:rsidRPr="003237DF" w:rsidRDefault="00FF3673" w:rsidP="00153C8E">
            <w:pPr>
              <w:pStyle w:val="tablebullet"/>
            </w:pPr>
            <w:r w:rsidRPr="003237DF">
              <w:t>Licensing relief</w:t>
            </w:r>
          </w:p>
          <w:p w:rsidR="00FF3673" w:rsidRPr="003237DF" w:rsidRDefault="00FF3673" w:rsidP="00153C8E">
            <w:pPr>
              <w:pStyle w:val="tablebullet"/>
            </w:pPr>
            <w:r w:rsidRPr="003237DF">
              <w:t>Managed investment scheme relief</w:t>
            </w:r>
          </w:p>
          <w:p w:rsidR="00FF3673" w:rsidRPr="003237DF" w:rsidRDefault="00FF3673" w:rsidP="00153C8E">
            <w:pPr>
              <w:pStyle w:val="tablebullet"/>
            </w:pPr>
            <w:r w:rsidRPr="003237DF">
              <w:t>Advertising relief</w:t>
            </w:r>
          </w:p>
          <w:p w:rsidR="00593438" w:rsidRPr="003237DF" w:rsidRDefault="00593438" w:rsidP="00153C8E">
            <w:pPr>
              <w:pStyle w:val="tablebullet"/>
            </w:pPr>
            <w:r w:rsidRPr="003237DF">
              <w:t>Hawking relief</w:t>
            </w:r>
          </w:p>
          <w:p w:rsidR="00FF3673" w:rsidRPr="003237DF" w:rsidRDefault="00FF3673" w:rsidP="00864906">
            <w:pPr>
              <w:pStyle w:val="tablebullet"/>
              <w:spacing w:after="60" w:line="220" w:lineRule="atLeast"/>
            </w:pPr>
            <w:r w:rsidRPr="003237DF">
              <w:t xml:space="preserve">On-sale relief </w:t>
            </w:r>
            <w:r w:rsidR="00593438" w:rsidRPr="003237DF">
              <w:t xml:space="preserve">under </w:t>
            </w:r>
            <w:r w:rsidR="00153C8E" w:rsidRPr="003237DF">
              <w:t>[CO </w:t>
            </w:r>
            <w:r w:rsidRPr="003237DF">
              <w:t>04/671]</w:t>
            </w:r>
          </w:p>
        </w:tc>
        <w:tc>
          <w:tcPr>
            <w:tcW w:w="4111" w:type="dxa"/>
            <w:tcBorders>
              <w:top w:val="single" w:sz="4" w:space="0" w:color="A6A6A6" w:themeColor="background1" w:themeShade="A6"/>
            </w:tcBorders>
            <w:shd w:val="clear" w:color="auto" w:fill="auto"/>
          </w:tcPr>
          <w:p w:rsidR="00FF3673" w:rsidRPr="003237DF" w:rsidRDefault="00FF3673" w:rsidP="00353713">
            <w:pPr>
              <w:keepNext/>
              <w:spacing w:before="80" w:after="80"/>
              <w:rPr>
                <w:rFonts w:ascii="Arial" w:hAnsi="Arial" w:cs="Arial"/>
                <w:sz w:val="18"/>
                <w:szCs w:val="18"/>
              </w:rPr>
            </w:pPr>
            <w:r w:rsidRPr="003237DF">
              <w:rPr>
                <w:rFonts w:ascii="Arial" w:hAnsi="Arial" w:cs="Arial"/>
                <w:sz w:val="18"/>
                <w:szCs w:val="18"/>
              </w:rPr>
              <w:t xml:space="preserve">Same as </w:t>
            </w:r>
            <w:r w:rsidR="00153C8E" w:rsidRPr="003237DF">
              <w:rPr>
                <w:rFonts w:ascii="Arial" w:hAnsi="Arial" w:cs="Arial"/>
                <w:sz w:val="18"/>
                <w:szCs w:val="18"/>
              </w:rPr>
              <w:t>[CO </w:t>
            </w:r>
            <w:r w:rsidRPr="003237DF">
              <w:rPr>
                <w:rFonts w:ascii="Arial" w:hAnsi="Arial" w:cs="Arial"/>
                <w:sz w:val="18"/>
                <w:szCs w:val="18"/>
              </w:rPr>
              <w:t xml:space="preserve">03/184] and </w:t>
            </w:r>
            <w:r w:rsidR="00A05532" w:rsidRPr="003237DF">
              <w:rPr>
                <w:rFonts w:ascii="Arial" w:hAnsi="Arial" w:cs="Arial"/>
                <w:sz w:val="18"/>
                <w:szCs w:val="18"/>
              </w:rPr>
              <w:t xml:space="preserve">in </w:t>
            </w:r>
            <w:r w:rsidRPr="003237DF">
              <w:rPr>
                <w:rFonts w:ascii="Arial" w:hAnsi="Arial" w:cs="Arial"/>
                <w:sz w:val="18"/>
                <w:szCs w:val="18"/>
              </w:rPr>
              <w:t>addition:</w:t>
            </w:r>
          </w:p>
          <w:p w:rsidR="00FF3673" w:rsidRPr="003237DF" w:rsidRDefault="00864906" w:rsidP="00153C8E">
            <w:pPr>
              <w:pStyle w:val="tablebullet"/>
            </w:pPr>
            <w:r w:rsidRPr="003237DF">
              <w:t xml:space="preserve">trustees added </w:t>
            </w:r>
            <w:r w:rsidR="00FF3673" w:rsidRPr="003237DF">
              <w:t>to advertising and licensing relief for advice on incidental managed investment schemes</w:t>
            </w:r>
          </w:p>
        </w:tc>
        <w:tc>
          <w:tcPr>
            <w:tcW w:w="2268" w:type="dxa"/>
            <w:tcBorders>
              <w:top w:val="single" w:sz="4" w:space="0" w:color="A6A6A6" w:themeColor="background1" w:themeShade="A6"/>
            </w:tcBorders>
            <w:shd w:val="clear" w:color="auto" w:fill="auto"/>
          </w:tcPr>
          <w:p w:rsidR="00FF3673" w:rsidRPr="003237DF" w:rsidRDefault="00FF3673" w:rsidP="00153C8E">
            <w:pPr>
              <w:pStyle w:val="tablebullet"/>
            </w:pPr>
            <w:r w:rsidRPr="003237DF">
              <w:t>Licensing relief</w:t>
            </w:r>
          </w:p>
          <w:p w:rsidR="00FF3673" w:rsidRPr="003237DF" w:rsidRDefault="00FF3673" w:rsidP="00153C8E">
            <w:pPr>
              <w:pStyle w:val="tablebullet"/>
            </w:pPr>
            <w:r w:rsidRPr="003237DF">
              <w:t>Hawking relief</w:t>
            </w:r>
          </w:p>
          <w:p w:rsidR="00FF3673" w:rsidRPr="003237DF" w:rsidRDefault="00FF3673" w:rsidP="00153C8E">
            <w:pPr>
              <w:pStyle w:val="tablebullet"/>
            </w:pPr>
            <w:r w:rsidRPr="003237DF">
              <w:t xml:space="preserve">On-sale relief </w:t>
            </w:r>
            <w:r w:rsidR="00593438" w:rsidRPr="003237DF">
              <w:t xml:space="preserve">under </w:t>
            </w:r>
            <w:r w:rsidR="00153C8E" w:rsidRPr="003237DF">
              <w:t>[CO </w:t>
            </w:r>
            <w:r w:rsidRPr="003237DF">
              <w:t>04/671]</w:t>
            </w:r>
          </w:p>
        </w:tc>
        <w:tc>
          <w:tcPr>
            <w:tcW w:w="4199" w:type="dxa"/>
            <w:tcBorders>
              <w:top w:val="single" w:sz="4" w:space="0" w:color="A6A6A6" w:themeColor="background1" w:themeShade="A6"/>
            </w:tcBorders>
            <w:shd w:val="clear" w:color="auto" w:fill="auto"/>
          </w:tcPr>
          <w:p w:rsidR="00FF3673" w:rsidRPr="003237DF" w:rsidRDefault="00FF3673" w:rsidP="00A05532">
            <w:pPr>
              <w:pStyle w:val="tbltext"/>
              <w:keepNext/>
              <w:spacing w:before="80" w:after="80"/>
            </w:pPr>
            <w:r w:rsidRPr="003237DF">
              <w:t xml:space="preserve">Same as final relief for listed bodies </w:t>
            </w:r>
            <w:r w:rsidR="00FA3D24" w:rsidRPr="003237DF">
              <w:t>[CO 14/1000]</w:t>
            </w:r>
            <w:r w:rsidRPr="003237DF">
              <w:t xml:space="preserve"> except incidental managed investment scheme relief</w:t>
            </w:r>
            <w:r w:rsidR="00A05532" w:rsidRPr="003237DF">
              <w:t xml:space="preserve"> not applicable</w:t>
            </w:r>
          </w:p>
        </w:tc>
      </w:tr>
    </w:tbl>
    <w:p w:rsidR="000A7A80" w:rsidRPr="003237DF" w:rsidRDefault="000A7A80" w:rsidP="00592318">
      <w:pPr>
        <w:pStyle w:val="Heading4"/>
        <w:sectPr w:rsidR="000A7A80" w:rsidRPr="003237DF" w:rsidSect="0047115C">
          <w:footerReference w:type="default" r:id="rId15"/>
          <w:pgSz w:w="16838" w:h="11906" w:orient="landscape" w:code="9"/>
          <w:pgMar w:top="1418" w:right="1644" w:bottom="1418" w:left="1418" w:header="567" w:footer="567" w:gutter="0"/>
          <w:cols w:space="720"/>
          <w:docGrid w:linePitch="299"/>
        </w:sectPr>
      </w:pPr>
    </w:p>
    <w:p w:rsidR="00D740A0" w:rsidRPr="003237DF" w:rsidRDefault="00D740A0" w:rsidP="008271B9">
      <w:pPr>
        <w:pStyle w:val="Heading3"/>
        <w:spacing w:before="120"/>
      </w:pPr>
      <w:r w:rsidRPr="003237DF">
        <w:t>Impact on employers</w:t>
      </w:r>
    </w:p>
    <w:p w:rsidR="00AF035F" w:rsidRPr="003237DF" w:rsidRDefault="00AF035F" w:rsidP="00AF035F">
      <w:pPr>
        <w:pStyle w:val="BodyText"/>
      </w:pPr>
      <w:r w:rsidRPr="003237DF">
        <w:t xml:space="preserve">The </w:t>
      </w:r>
      <w:r w:rsidR="00E83CA0" w:rsidRPr="003237DF">
        <w:t>employers</w:t>
      </w:r>
      <w:r w:rsidRPr="003237DF">
        <w:t xml:space="preserve"> that either use</w:t>
      </w:r>
      <w:r w:rsidR="00746E4E" w:rsidRPr="003237DF">
        <w:t>,</w:t>
      </w:r>
      <w:r w:rsidRPr="003237DF">
        <w:t xml:space="preserve"> or would like to use</w:t>
      </w:r>
      <w:r w:rsidR="00746E4E" w:rsidRPr="003237DF">
        <w:t>,</w:t>
      </w:r>
      <w:r w:rsidRPr="003237DF">
        <w:t xml:space="preserve"> employee incentive schemes fall into three </w:t>
      </w:r>
      <w:r w:rsidR="00842DE0" w:rsidRPr="003237DF">
        <w:t>distinct</w:t>
      </w:r>
      <w:r w:rsidRPr="003237DF">
        <w:t xml:space="preserve"> groups relevant to Option 1: </w:t>
      </w:r>
    </w:p>
    <w:p w:rsidR="00AF035F" w:rsidRPr="003237DF" w:rsidRDefault="00E92291" w:rsidP="00AF035F">
      <w:pPr>
        <w:pStyle w:val="subparaa"/>
      </w:pPr>
      <w:r w:rsidRPr="003237DF">
        <w:t xml:space="preserve">Listed </w:t>
      </w:r>
      <w:r w:rsidR="00AF035F" w:rsidRPr="003237DF">
        <w:t xml:space="preserve">and unlisted bodies </w:t>
      </w:r>
      <w:r w:rsidR="00D86E12" w:rsidRPr="003237DF">
        <w:t xml:space="preserve">that </w:t>
      </w:r>
      <w:r w:rsidR="00AF035F" w:rsidRPr="003237DF">
        <w:t xml:space="preserve">qualify under our current </w:t>
      </w:r>
      <w:r w:rsidR="00153C8E" w:rsidRPr="003237DF">
        <w:t>[CO </w:t>
      </w:r>
      <w:r w:rsidR="00E83CA0" w:rsidRPr="003237DF">
        <w:t xml:space="preserve">03/184] </w:t>
      </w:r>
      <w:r w:rsidR="00AF035F" w:rsidRPr="003237DF">
        <w:t>relief and currently have a scheme on offer</w:t>
      </w:r>
      <w:r w:rsidR="00D86E12" w:rsidRPr="003237DF">
        <w:t>—</w:t>
      </w:r>
      <w:r w:rsidR="00AF035F" w:rsidRPr="003237DF">
        <w:t xml:space="preserve">given the </w:t>
      </w:r>
      <w:r w:rsidR="00645182" w:rsidRPr="003237DF">
        <w:t>‘</w:t>
      </w:r>
      <w:r w:rsidR="00AF035F" w:rsidRPr="003237DF">
        <w:t>grandfathering</w:t>
      </w:r>
      <w:r w:rsidR="00645182" w:rsidRPr="003237DF">
        <w:t>’</w:t>
      </w:r>
      <w:r w:rsidR="00AF035F" w:rsidRPr="003237DF">
        <w:t xml:space="preserve"> of existing schemes, the impact on these entities will be negligible</w:t>
      </w:r>
      <w:r w:rsidR="006A7EEE" w:rsidRPr="003237DF">
        <w:t>.</w:t>
      </w:r>
      <w:r w:rsidR="00946724" w:rsidRPr="003237DF">
        <w:t xml:space="preserve"> </w:t>
      </w:r>
      <w:r w:rsidR="006A7EEE" w:rsidRPr="003237DF">
        <w:t>B</w:t>
      </w:r>
      <w:r w:rsidR="006C4FD3" w:rsidRPr="003237DF">
        <w:t xml:space="preserve">ased on lodgements in the </w:t>
      </w:r>
      <w:r w:rsidR="00645182" w:rsidRPr="003237DF">
        <w:t>p</w:t>
      </w:r>
      <w:r w:rsidR="006C4FD3" w:rsidRPr="003237DF">
        <w:t xml:space="preserve">ast </w:t>
      </w:r>
      <w:r w:rsidR="00F733EB" w:rsidRPr="003237DF">
        <w:t>10</w:t>
      </w:r>
      <w:r w:rsidR="006C4FD3" w:rsidRPr="003237DF">
        <w:t xml:space="preserve"> years, there have been</w:t>
      </w:r>
      <w:r w:rsidRPr="003237DF">
        <w:t>,</w:t>
      </w:r>
      <w:r w:rsidR="006C4FD3" w:rsidRPr="003237DF">
        <w:t xml:space="preserve"> </w:t>
      </w:r>
      <w:r w:rsidR="00561303" w:rsidRPr="003237DF">
        <w:t>on average</w:t>
      </w:r>
      <w:r w:rsidRPr="003237DF">
        <w:t>,</w:t>
      </w:r>
      <w:r w:rsidR="00561303" w:rsidRPr="003237DF">
        <w:t xml:space="preserve"> </w:t>
      </w:r>
      <w:r w:rsidR="006C4FD3" w:rsidRPr="003237DF">
        <w:t xml:space="preserve">over </w:t>
      </w:r>
      <w:r w:rsidR="00561303" w:rsidRPr="003237DF">
        <w:t xml:space="preserve">530 </w:t>
      </w:r>
      <w:r w:rsidR="006C4FD3" w:rsidRPr="003237DF">
        <w:t xml:space="preserve">bodies </w:t>
      </w:r>
      <w:r w:rsidR="00561303" w:rsidRPr="003237DF">
        <w:t xml:space="preserve">per year </w:t>
      </w:r>
      <w:r w:rsidR="006C4FD3" w:rsidRPr="003237DF">
        <w:t xml:space="preserve">that have lodged under </w:t>
      </w:r>
      <w:r w:rsidR="00153C8E" w:rsidRPr="003237DF">
        <w:t>[CO </w:t>
      </w:r>
      <w:r w:rsidR="006C4FD3" w:rsidRPr="003237DF">
        <w:t>03/184]</w:t>
      </w:r>
      <w:r w:rsidR="006A7EEE" w:rsidRPr="003237DF">
        <w:t>,</w:t>
      </w:r>
      <w:r w:rsidR="006C4FD3" w:rsidRPr="003237DF">
        <w:t xml:space="preserve"> with slightly more than half of these </w:t>
      </w:r>
      <w:r w:rsidRPr="003237DF">
        <w:t xml:space="preserve">being </w:t>
      </w:r>
      <w:r w:rsidR="006C4FD3" w:rsidRPr="003237DF">
        <w:t xml:space="preserve">Australian </w:t>
      </w:r>
      <w:r w:rsidR="00E83CA0" w:rsidRPr="003237DF">
        <w:t xml:space="preserve">listed </w:t>
      </w:r>
      <w:r w:rsidR="006C4FD3" w:rsidRPr="003237DF">
        <w:t>bodies</w:t>
      </w:r>
      <w:r w:rsidR="00E83CA0" w:rsidRPr="003237DF">
        <w:t xml:space="preserve"> or their unlisted subsidiaries, and the majority of the remainder </w:t>
      </w:r>
      <w:r w:rsidRPr="003237DF">
        <w:t xml:space="preserve">being </w:t>
      </w:r>
      <w:r w:rsidR="00E83CA0" w:rsidRPr="003237DF">
        <w:t>foreign listed bodies or their unlisted subsidiaries</w:t>
      </w:r>
      <w:r w:rsidRPr="003237DF">
        <w:t>.</w:t>
      </w:r>
      <w:r w:rsidR="00AF035F" w:rsidRPr="003237DF">
        <w:t xml:space="preserve"> </w:t>
      </w:r>
    </w:p>
    <w:p w:rsidR="00AF035F" w:rsidRPr="003237DF" w:rsidRDefault="00E92291" w:rsidP="00AF035F">
      <w:pPr>
        <w:pStyle w:val="subparaa"/>
      </w:pPr>
      <w:r w:rsidRPr="003237DF">
        <w:t xml:space="preserve">Listed </w:t>
      </w:r>
      <w:r w:rsidR="00AF035F" w:rsidRPr="003237DF">
        <w:t xml:space="preserve">and unlisted bodies </w:t>
      </w:r>
      <w:r w:rsidR="00D86E12" w:rsidRPr="003237DF">
        <w:t>that</w:t>
      </w:r>
      <w:r w:rsidR="00AF035F" w:rsidRPr="003237DF">
        <w:t xml:space="preserve"> would qualify under </w:t>
      </w:r>
      <w:r w:rsidR="00153C8E" w:rsidRPr="003237DF">
        <w:t>[CO </w:t>
      </w:r>
      <w:r w:rsidR="00682B30" w:rsidRPr="003237DF">
        <w:t>03/184]</w:t>
      </w:r>
      <w:r w:rsidR="00AF035F" w:rsidRPr="003237DF">
        <w:t xml:space="preserve"> but do not currently have a scheme on offer</w:t>
      </w:r>
      <w:r w:rsidR="00D86E12" w:rsidRPr="003237DF">
        <w:t>—</w:t>
      </w:r>
      <w:r w:rsidR="00AF035F" w:rsidRPr="003237DF">
        <w:t>these bodies might have increased compliance costs</w:t>
      </w:r>
      <w:r w:rsidR="00D06D1F" w:rsidRPr="003237DF">
        <w:t xml:space="preserve"> because </w:t>
      </w:r>
      <w:r w:rsidR="00AF035F" w:rsidRPr="003237DF">
        <w:t xml:space="preserve">the proposed conditions are in some </w:t>
      </w:r>
      <w:r w:rsidR="007D0497" w:rsidRPr="003237DF">
        <w:t xml:space="preserve">respects </w:t>
      </w:r>
      <w:r w:rsidR="00AF035F" w:rsidRPr="003237DF">
        <w:t>more strict than the conditions o</w:t>
      </w:r>
      <w:r w:rsidRPr="003237DF">
        <w:t>f</w:t>
      </w:r>
      <w:r w:rsidR="00AF035F" w:rsidRPr="003237DF">
        <w:t xml:space="preserve"> our current relief, but </w:t>
      </w:r>
      <w:r w:rsidRPr="003237DF">
        <w:t xml:space="preserve">may </w:t>
      </w:r>
      <w:r w:rsidR="00AF035F" w:rsidRPr="003237DF">
        <w:t xml:space="preserve">have reduced compliance costs in </w:t>
      </w:r>
      <w:r w:rsidRPr="003237DF">
        <w:t xml:space="preserve">other </w:t>
      </w:r>
      <w:r w:rsidR="00AF035F" w:rsidRPr="003237DF">
        <w:t>respects</w:t>
      </w:r>
      <w:r w:rsidRPr="003237DF">
        <w:t xml:space="preserve"> where the conditions are more relaxed</w:t>
      </w:r>
      <w:r w:rsidR="006A7EEE" w:rsidRPr="003237DF">
        <w:t>.</w:t>
      </w:r>
      <w:r w:rsidR="00946724" w:rsidRPr="003237DF">
        <w:t xml:space="preserve"> </w:t>
      </w:r>
      <w:r w:rsidR="006A7EEE" w:rsidRPr="003237DF">
        <w:t>W</w:t>
      </w:r>
      <w:r w:rsidR="007E73FA" w:rsidRPr="003237DF">
        <w:t xml:space="preserve">e do not think it is possible to estimate how many of these bodies there may be, but as we consider </w:t>
      </w:r>
      <w:r w:rsidR="007D0497" w:rsidRPr="003237DF">
        <w:t xml:space="preserve">that </w:t>
      </w:r>
      <w:r w:rsidR="007E73FA" w:rsidRPr="003237DF">
        <w:t>the net impact of the compliance costs would be neutral, we have not sought to estimate these numbers</w:t>
      </w:r>
      <w:r w:rsidRPr="003237DF">
        <w:t>.</w:t>
      </w:r>
      <w:r w:rsidR="00AF035F" w:rsidRPr="003237DF">
        <w:t xml:space="preserve"> </w:t>
      </w:r>
    </w:p>
    <w:p w:rsidR="00AF035F" w:rsidRPr="003237DF" w:rsidRDefault="00E92291" w:rsidP="00F733EB">
      <w:pPr>
        <w:pStyle w:val="subparaa"/>
      </w:pPr>
      <w:bookmarkStart w:id="29" w:name="_ASICRef301"/>
      <w:r w:rsidRPr="003237DF">
        <w:t xml:space="preserve">Listed </w:t>
      </w:r>
      <w:r w:rsidR="00AF035F" w:rsidRPr="003237DF">
        <w:t xml:space="preserve">and unlisted bodies </w:t>
      </w:r>
      <w:r w:rsidR="00D86E12" w:rsidRPr="003237DF">
        <w:t xml:space="preserve">that </w:t>
      </w:r>
      <w:r w:rsidR="00AF035F" w:rsidRPr="003237DF">
        <w:t xml:space="preserve">do not currently qualify for relief under </w:t>
      </w:r>
      <w:r w:rsidR="00153C8E" w:rsidRPr="003237DF">
        <w:t>[CO </w:t>
      </w:r>
      <w:r w:rsidR="00AF035F" w:rsidRPr="003237DF">
        <w:t xml:space="preserve">03/184] but </w:t>
      </w:r>
      <w:r w:rsidR="00E83CA0" w:rsidRPr="003237DF">
        <w:t>would</w:t>
      </w:r>
      <w:r w:rsidR="00AF035F" w:rsidRPr="003237DF">
        <w:t xml:space="preserve"> qualify under </w:t>
      </w:r>
      <w:r w:rsidR="00FA3D24" w:rsidRPr="003237DF">
        <w:t>[CO 14/1000]</w:t>
      </w:r>
      <w:r w:rsidR="00AF035F" w:rsidRPr="003237DF">
        <w:t xml:space="preserve"> or </w:t>
      </w:r>
      <w:r w:rsidR="00FA3D24" w:rsidRPr="003237DF">
        <w:t>[CO 14/1001]</w:t>
      </w:r>
      <w:r w:rsidR="00D86E12" w:rsidRPr="003237DF">
        <w:t>—</w:t>
      </w:r>
      <w:r w:rsidR="00AF035F" w:rsidRPr="003237DF">
        <w:t>these bodies will have reduced compliance costs</w:t>
      </w:r>
      <w:r w:rsidR="00D06D1F" w:rsidRPr="003237DF">
        <w:t xml:space="preserve"> because </w:t>
      </w:r>
      <w:r w:rsidR="00AF035F" w:rsidRPr="003237DF">
        <w:t xml:space="preserve">they will be able to offer an employee </w:t>
      </w:r>
      <w:r w:rsidR="00682B30" w:rsidRPr="003237DF">
        <w:t>incentiv</w:t>
      </w:r>
      <w:r w:rsidR="00AF035F" w:rsidRPr="003237DF">
        <w:t>e scheme without having to meet the Corporations Act requirements or will be able to avoid the costs of applying to ASIC for case</w:t>
      </w:r>
      <w:r w:rsidRPr="003237DF">
        <w:t>-</w:t>
      </w:r>
      <w:r w:rsidR="00AF035F" w:rsidRPr="003237DF">
        <w:t>by</w:t>
      </w:r>
      <w:r w:rsidRPr="003237DF">
        <w:t>-</w:t>
      </w:r>
      <w:r w:rsidR="00AF035F" w:rsidRPr="003237DF">
        <w:t>case relief</w:t>
      </w:r>
      <w:r w:rsidR="006A7EEE" w:rsidRPr="003237DF">
        <w:t>.</w:t>
      </w:r>
      <w:r w:rsidR="00946724" w:rsidRPr="003237DF">
        <w:t xml:space="preserve"> </w:t>
      </w:r>
      <w:r w:rsidR="006A7EEE" w:rsidRPr="003237DF">
        <w:t>B</w:t>
      </w:r>
      <w:r w:rsidR="007E73FA" w:rsidRPr="003237DF">
        <w:t xml:space="preserve">ased on the analysis below, we estimate that there would be in excess of </w:t>
      </w:r>
      <w:r w:rsidR="0039486D" w:rsidRPr="003237DF">
        <w:t>3</w:t>
      </w:r>
      <w:r w:rsidR="00CB13A0" w:rsidRPr="003237DF">
        <w:t>,300</w:t>
      </w:r>
      <w:r w:rsidR="007E73FA" w:rsidRPr="003237DF">
        <w:t xml:space="preserve"> bodies who fall within this category</w:t>
      </w:r>
      <w:r w:rsidR="00F733EB" w:rsidRPr="003237DF">
        <w:t>.</w:t>
      </w:r>
      <w:r w:rsidR="00AF035F" w:rsidRPr="003237DF">
        <w:t xml:space="preserve"> </w:t>
      </w:r>
      <w:bookmarkEnd w:id="29"/>
    </w:p>
    <w:p w:rsidR="007E73FA" w:rsidRPr="003237DF" w:rsidRDefault="0039486D" w:rsidP="007E73FA">
      <w:pPr>
        <w:pStyle w:val="BodyText"/>
        <w:shd w:val="clear" w:color="auto" w:fill="FFFFFF" w:themeFill="background1"/>
      </w:pPr>
      <w:r w:rsidRPr="003237DF">
        <w:t>We have estimated the 3</w:t>
      </w:r>
      <w:r w:rsidR="00CB13A0" w:rsidRPr="003237DF">
        <w:t>,300</w:t>
      </w:r>
      <w:r w:rsidR="007E73FA" w:rsidRPr="003237DF">
        <w:t xml:space="preserve"> bodies falling under the third category </w:t>
      </w:r>
      <w:r w:rsidR="00E92291" w:rsidRPr="003237DF">
        <w:t xml:space="preserve">in paragraph </w:t>
      </w:r>
      <w:r w:rsidR="00E92291" w:rsidRPr="003237DF">
        <w:fldChar w:fldCharType="begin"/>
      </w:r>
      <w:r w:rsidR="00E92291" w:rsidRPr="003237DF">
        <w:instrText xml:space="preserve"> REF _ASICRef301 \w \h </w:instrText>
      </w:r>
      <w:r w:rsidR="003237DF">
        <w:instrText xml:space="preserve"> \* MERGEFORMAT </w:instrText>
      </w:r>
      <w:r w:rsidR="00E92291" w:rsidRPr="003237DF">
        <w:fldChar w:fldCharType="separate"/>
      </w:r>
      <w:r w:rsidR="00E92291" w:rsidRPr="003237DF">
        <w:t>66(c)</w:t>
      </w:r>
      <w:r w:rsidR="00E92291" w:rsidRPr="003237DF">
        <w:fldChar w:fldCharType="end"/>
      </w:r>
      <w:r w:rsidR="00E92291" w:rsidRPr="003237DF">
        <w:t xml:space="preserve">, </w:t>
      </w:r>
      <w:r w:rsidR="007E73FA" w:rsidRPr="003237DF">
        <w:t>based on the following:</w:t>
      </w:r>
    </w:p>
    <w:p w:rsidR="00A3675D" w:rsidRPr="003237DF" w:rsidRDefault="00A3675D" w:rsidP="007E73FA">
      <w:pPr>
        <w:pStyle w:val="subparaa"/>
      </w:pPr>
      <w:r w:rsidRPr="003237DF">
        <w:t xml:space="preserve">In the </w:t>
      </w:r>
      <w:r w:rsidR="00D86E12" w:rsidRPr="003237DF">
        <w:t>p</w:t>
      </w:r>
      <w:r w:rsidRPr="003237DF">
        <w:t xml:space="preserve">ast </w:t>
      </w:r>
      <w:r w:rsidR="00842DE0" w:rsidRPr="003237DF">
        <w:t>12 months</w:t>
      </w:r>
      <w:r w:rsidRPr="003237DF">
        <w:t xml:space="preserve">, we have received in excess of </w:t>
      </w:r>
      <w:r w:rsidR="00842DE0" w:rsidRPr="003237DF">
        <w:t>110</w:t>
      </w:r>
      <w:r w:rsidRPr="003237DF">
        <w:t xml:space="preserve"> </w:t>
      </w:r>
      <w:r w:rsidR="00842DE0" w:rsidRPr="003237DF">
        <w:t xml:space="preserve">applications for </w:t>
      </w:r>
      <w:r w:rsidRPr="003237DF">
        <w:t>individual relief</w:t>
      </w:r>
      <w:r w:rsidR="00384D03" w:rsidRPr="003237DF">
        <w:t>.</w:t>
      </w:r>
      <w:r w:rsidR="00946724" w:rsidRPr="003237DF">
        <w:t xml:space="preserve"> </w:t>
      </w:r>
      <w:r w:rsidR="00845571" w:rsidRPr="003237DF">
        <w:t>T</w:t>
      </w:r>
      <w:r w:rsidRPr="003237DF">
        <w:t>he majority of these employee incentive scheme</w:t>
      </w:r>
      <w:r w:rsidR="004E30F8" w:rsidRPr="003237DF">
        <w:t>s</w:t>
      </w:r>
      <w:r w:rsidRPr="003237DF">
        <w:t xml:space="preserve"> </w:t>
      </w:r>
      <w:r w:rsidR="004E30F8" w:rsidRPr="003237DF">
        <w:t xml:space="preserve">would qualify for </w:t>
      </w:r>
      <w:r w:rsidRPr="003237DF">
        <w:t>relief under the new class orders</w:t>
      </w:r>
      <w:r w:rsidR="00D86E12" w:rsidRPr="003237DF">
        <w:t>.</w:t>
      </w:r>
    </w:p>
    <w:p w:rsidR="00845571" w:rsidRPr="003237DF" w:rsidRDefault="007E73FA" w:rsidP="007E73FA">
      <w:pPr>
        <w:pStyle w:val="subparaa"/>
      </w:pPr>
      <w:r w:rsidRPr="003237DF">
        <w:t>There are 2,156</w:t>
      </w:r>
      <w:r w:rsidR="00A3675D" w:rsidRPr="003237DF">
        <w:t xml:space="preserve"> bodies</w:t>
      </w:r>
      <w:r w:rsidRPr="003237DF">
        <w:t xml:space="preserve"> listed on ASX.</w:t>
      </w:r>
      <w:r w:rsidR="00A3675D" w:rsidRPr="003237DF">
        <w:rPr>
          <w:rStyle w:val="FootnoteReference"/>
        </w:rPr>
        <w:footnoteReference w:id="11"/>
      </w:r>
      <w:r w:rsidR="00A3675D" w:rsidRPr="003237DF">
        <w:t xml:space="preserve"> </w:t>
      </w:r>
      <w:r w:rsidR="00384D03" w:rsidRPr="003237DF">
        <w:t>We estimate that</w:t>
      </w:r>
      <w:r w:rsidR="00946724" w:rsidRPr="003237DF">
        <w:t xml:space="preserve"> </w:t>
      </w:r>
      <w:r w:rsidR="00384D03" w:rsidRPr="003237DF">
        <w:t xml:space="preserve">approximately 200 (10%) of these 2,156 do not currently fit into either the first or second groups </w:t>
      </w:r>
      <w:r w:rsidR="006A7EEE" w:rsidRPr="003237DF">
        <w:t>that</w:t>
      </w:r>
      <w:r w:rsidR="00384D03" w:rsidRPr="003237DF">
        <w:t xml:space="preserve"> </w:t>
      </w:r>
      <w:r w:rsidR="00845571" w:rsidRPr="003237DF">
        <w:t>c</w:t>
      </w:r>
      <w:r w:rsidR="00384D03" w:rsidRPr="003237DF">
        <w:t xml:space="preserve">ould </w:t>
      </w:r>
      <w:r w:rsidR="00845571" w:rsidRPr="003237DF">
        <w:t xml:space="preserve">now </w:t>
      </w:r>
      <w:r w:rsidR="00384D03" w:rsidRPr="003237DF">
        <w:t xml:space="preserve">offer an employee incentive scheme in reliance on </w:t>
      </w:r>
      <w:r w:rsidR="00FA3D24" w:rsidRPr="003237DF">
        <w:t>[CO 14/1000]</w:t>
      </w:r>
      <w:r w:rsidR="00D86E12" w:rsidRPr="003237DF">
        <w:t>.</w:t>
      </w:r>
      <w:r w:rsidR="00384D03" w:rsidRPr="003237DF">
        <w:t xml:space="preserve"> </w:t>
      </w:r>
    </w:p>
    <w:p w:rsidR="007E73FA" w:rsidRPr="003237DF" w:rsidRDefault="00AF522D" w:rsidP="007E73FA">
      <w:pPr>
        <w:pStyle w:val="subparaa"/>
      </w:pPr>
      <w:r w:rsidRPr="003237DF">
        <w:t xml:space="preserve">In the </w:t>
      </w:r>
      <w:r w:rsidR="00D86E12" w:rsidRPr="003237DF">
        <w:t>p</w:t>
      </w:r>
      <w:r w:rsidRPr="003237DF">
        <w:t>ast 10 years, we have had approximately 2</w:t>
      </w:r>
      <w:r w:rsidR="0039486D" w:rsidRPr="003237DF">
        <w:t>40</w:t>
      </w:r>
      <w:r w:rsidRPr="003237DF">
        <w:t xml:space="preserve"> foreign listed bodies per year rely on [</w:t>
      </w:r>
      <w:r w:rsidR="004E30F8" w:rsidRPr="003237DF">
        <w:t>CO </w:t>
      </w:r>
      <w:r w:rsidRPr="003237DF">
        <w:t xml:space="preserve">03/184]. We estimate that the number of foreign bodies seeking to rely on our new relief would increase by </w:t>
      </w:r>
      <w:r w:rsidR="0039486D" w:rsidRPr="003237DF">
        <w:t>in excess of 40</w:t>
      </w:r>
      <w:r w:rsidRPr="003237DF">
        <w:t xml:space="preserve"> (20%)</w:t>
      </w:r>
      <w:r w:rsidR="004E30F8" w:rsidRPr="003237DF">
        <w:t>,</w:t>
      </w:r>
      <w:r w:rsidRPr="003237DF">
        <w:t xml:space="preserve"> with the additional classes of financial products as well as the lower level of compliance requirements</w:t>
      </w:r>
      <w:r w:rsidR="00D86E12" w:rsidRPr="003237DF">
        <w:t>.</w:t>
      </w:r>
    </w:p>
    <w:p w:rsidR="0039486D" w:rsidRPr="003237DF" w:rsidRDefault="00CB13A0" w:rsidP="007E73FA">
      <w:pPr>
        <w:pStyle w:val="subparaa"/>
      </w:pPr>
      <w:bookmarkStart w:id="30" w:name="_ASICRef579"/>
      <w:r w:rsidRPr="003237DF">
        <w:t>There are over 20,000 u</w:t>
      </w:r>
      <w:r w:rsidR="00384D03" w:rsidRPr="003237DF">
        <w:t>nlisted bodies</w:t>
      </w:r>
      <w:r w:rsidRPr="003237DF">
        <w:t xml:space="preserve"> registered with ASIC</w:t>
      </w:r>
      <w:r w:rsidR="004E30F8" w:rsidRPr="003237DF">
        <w:t>,</w:t>
      </w:r>
      <w:r w:rsidR="0039486D" w:rsidRPr="003237DF">
        <w:t xml:space="preserve"> some of which are local subsidiaries of foreign bodies</w:t>
      </w:r>
      <w:r w:rsidRPr="003237DF">
        <w:t>.</w:t>
      </w:r>
      <w:r w:rsidRPr="003237DF">
        <w:rPr>
          <w:rStyle w:val="FootnoteReference"/>
        </w:rPr>
        <w:footnoteReference w:id="12"/>
      </w:r>
      <w:r w:rsidR="00384D03" w:rsidRPr="003237DF">
        <w:t xml:space="preserve"> </w:t>
      </w:r>
      <w:r w:rsidR="0039486D" w:rsidRPr="003237DF">
        <w:t xml:space="preserve">Given the interest shown in the responses we received for </w:t>
      </w:r>
      <w:r w:rsidR="00390D88" w:rsidRPr="003237DF">
        <w:t>substantially broadening the class order relief for unlisted bodies</w:t>
      </w:r>
      <w:r w:rsidR="00DF790A" w:rsidRPr="003237DF">
        <w:t xml:space="preserve"> and the low cost of compliance with the new conditions of class order relief</w:t>
      </w:r>
      <w:r w:rsidR="00390D88" w:rsidRPr="003237DF">
        <w:t xml:space="preserve">, we </w:t>
      </w:r>
      <w:r w:rsidRPr="003237DF">
        <w:t xml:space="preserve">estimate that </w:t>
      </w:r>
      <w:r w:rsidR="0039486D" w:rsidRPr="003237DF">
        <w:t xml:space="preserve">approximately </w:t>
      </w:r>
      <w:r w:rsidR="00DF790A" w:rsidRPr="003237DF">
        <w:t>3,000 (</w:t>
      </w:r>
      <w:r w:rsidRPr="003237DF">
        <w:t>1</w:t>
      </w:r>
      <w:r w:rsidR="0039486D" w:rsidRPr="003237DF">
        <w:t>5</w:t>
      </w:r>
      <w:r w:rsidRPr="003237DF">
        <w:t>%</w:t>
      </w:r>
      <w:r w:rsidR="00DF790A" w:rsidRPr="003237DF">
        <w:t>)</w:t>
      </w:r>
      <w:r w:rsidRPr="003237DF">
        <w:t xml:space="preserve"> of these </w:t>
      </w:r>
      <w:r w:rsidR="00390D88" w:rsidRPr="003237DF">
        <w:t xml:space="preserve">20,000 </w:t>
      </w:r>
      <w:r w:rsidRPr="003237DF">
        <w:t>would fall within the third category</w:t>
      </w:r>
      <w:r w:rsidR="00CE7A92" w:rsidRPr="003237DF">
        <w:t xml:space="preserve"> in paragraph </w:t>
      </w:r>
      <w:r w:rsidR="004E30F8" w:rsidRPr="003237DF">
        <w:fldChar w:fldCharType="begin"/>
      </w:r>
      <w:r w:rsidR="004E30F8" w:rsidRPr="003237DF">
        <w:instrText xml:space="preserve"> REF _ASICRef301 \w \h  \* MERGEFORMAT </w:instrText>
      </w:r>
      <w:r w:rsidR="004E30F8" w:rsidRPr="003237DF">
        <w:fldChar w:fldCharType="separate"/>
      </w:r>
      <w:r w:rsidR="004E30F8" w:rsidRPr="003237DF">
        <w:t>66(c)</w:t>
      </w:r>
      <w:r w:rsidR="004E30F8" w:rsidRPr="003237DF">
        <w:fldChar w:fldCharType="end"/>
      </w:r>
      <w:r w:rsidR="00390D88" w:rsidRPr="003237DF">
        <w:t>.</w:t>
      </w:r>
      <w:bookmarkEnd w:id="30"/>
    </w:p>
    <w:p w:rsidR="0010240E" w:rsidRPr="003237DF" w:rsidRDefault="001E5F7F" w:rsidP="001E5F7F">
      <w:pPr>
        <w:pStyle w:val="BodyText"/>
        <w:shd w:val="clear" w:color="auto" w:fill="FFFFFF" w:themeFill="background1"/>
      </w:pPr>
      <w:r w:rsidRPr="003237DF">
        <w:t xml:space="preserve">Option 1 is designed to facilitate the </w:t>
      </w:r>
      <w:r w:rsidR="00143ADC" w:rsidRPr="003237DF">
        <w:t xml:space="preserve">widest scope for employers to </w:t>
      </w:r>
      <w:r w:rsidR="00AE21B5" w:rsidRPr="003237DF">
        <w:t>utilise</w:t>
      </w:r>
      <w:r w:rsidR="00143ADC" w:rsidRPr="003237DF">
        <w:t xml:space="preserve"> </w:t>
      </w:r>
      <w:r w:rsidR="00AE21B5" w:rsidRPr="003237DF">
        <w:t xml:space="preserve">our class order </w:t>
      </w:r>
      <w:r w:rsidR="004E30F8" w:rsidRPr="003237DF">
        <w:t xml:space="preserve">relief </w:t>
      </w:r>
      <w:r w:rsidR="00AE21B5" w:rsidRPr="003237DF">
        <w:t xml:space="preserve">when offering </w:t>
      </w:r>
      <w:r w:rsidRPr="003237DF">
        <w:t>employee incentive schemes</w:t>
      </w:r>
      <w:r w:rsidR="006A7EEE" w:rsidRPr="003237DF">
        <w:t>,</w:t>
      </w:r>
      <w:r w:rsidRPr="003237DF">
        <w:t xml:space="preserve"> while ensuring that employees still receive adequate information about the financial products they are being offered. The changes proposed to our class order relief will reduce </w:t>
      </w:r>
      <w:r w:rsidR="0010240E" w:rsidRPr="003237DF">
        <w:t xml:space="preserve">or remove </w:t>
      </w:r>
      <w:r w:rsidRPr="003237DF">
        <w:t xml:space="preserve">the costs </w:t>
      </w:r>
      <w:r w:rsidR="004E30F8" w:rsidRPr="003237DF">
        <w:t xml:space="preserve">for </w:t>
      </w:r>
      <w:r w:rsidRPr="003237DF">
        <w:t xml:space="preserve">employers </w:t>
      </w:r>
      <w:r w:rsidR="0010240E" w:rsidRPr="003237DF">
        <w:t xml:space="preserve">of </w:t>
      </w:r>
      <w:r w:rsidRPr="003237DF">
        <w:t>having to</w:t>
      </w:r>
      <w:r w:rsidR="0010240E" w:rsidRPr="003237DF">
        <w:t>:</w:t>
      </w:r>
    </w:p>
    <w:p w:rsidR="00CA5124" w:rsidRPr="003237DF" w:rsidRDefault="0010240E" w:rsidP="0010240E">
      <w:pPr>
        <w:pStyle w:val="subparaa"/>
        <w:rPr>
          <w:spacing w:val="-2"/>
        </w:rPr>
      </w:pPr>
      <w:bookmarkStart w:id="31" w:name="_ASICRef774"/>
      <w:r w:rsidRPr="003237DF">
        <w:rPr>
          <w:spacing w:val="-2"/>
        </w:rPr>
        <w:t xml:space="preserve">seek individual relief because the terms of their employee incentive schemes are outside the scope of </w:t>
      </w:r>
      <w:r w:rsidR="00153C8E" w:rsidRPr="003237DF">
        <w:rPr>
          <w:spacing w:val="-2"/>
        </w:rPr>
        <w:t>[CO </w:t>
      </w:r>
      <w:r w:rsidRPr="003237DF">
        <w:rPr>
          <w:spacing w:val="-2"/>
        </w:rPr>
        <w:t>03/184]</w:t>
      </w:r>
      <w:r w:rsidR="000E1EB3" w:rsidRPr="003237DF">
        <w:rPr>
          <w:spacing w:val="-2"/>
        </w:rPr>
        <w:t xml:space="preserve">. </w:t>
      </w:r>
      <w:r w:rsidR="00E30291" w:rsidRPr="003237DF">
        <w:rPr>
          <w:spacing w:val="-2"/>
        </w:rPr>
        <w:t xml:space="preserve">While it is unclear how much it costs an employer to obtain advice and to make an application </w:t>
      </w:r>
      <w:r w:rsidR="00217664" w:rsidRPr="003237DF">
        <w:rPr>
          <w:spacing w:val="-2"/>
        </w:rPr>
        <w:t xml:space="preserve">to ASIC </w:t>
      </w:r>
      <w:r w:rsidR="00E30291" w:rsidRPr="003237DF">
        <w:rPr>
          <w:spacing w:val="-2"/>
        </w:rPr>
        <w:t>for individual relief, we estimate such costs to be approximately $10,000. This is based on</w:t>
      </w:r>
      <w:r w:rsidR="00CA5124" w:rsidRPr="003237DF">
        <w:rPr>
          <w:spacing w:val="-2"/>
        </w:rPr>
        <w:t>:</w:t>
      </w:r>
      <w:r w:rsidR="00E30291" w:rsidRPr="003237DF">
        <w:rPr>
          <w:spacing w:val="-2"/>
        </w:rPr>
        <w:t xml:space="preserve"> </w:t>
      </w:r>
      <w:bookmarkEnd w:id="31"/>
    </w:p>
    <w:p w:rsidR="00CA5124" w:rsidRPr="003237DF" w:rsidRDefault="00E30291" w:rsidP="008271B9">
      <w:pPr>
        <w:pStyle w:val="subsubparai"/>
      </w:pPr>
      <w:r w:rsidRPr="003237DF">
        <w:t>a prescribed application fee of approximately $1,000</w:t>
      </w:r>
      <w:r w:rsidR="006A7EEE" w:rsidRPr="003237DF">
        <w:t>;</w:t>
      </w:r>
      <w:r w:rsidRPr="003237DF">
        <w:t xml:space="preserve"> </w:t>
      </w:r>
    </w:p>
    <w:p w:rsidR="00CA5124" w:rsidRPr="003237DF" w:rsidRDefault="00E30291" w:rsidP="008271B9">
      <w:pPr>
        <w:pStyle w:val="subsubparai"/>
      </w:pPr>
      <w:r w:rsidRPr="003237DF">
        <w:rPr>
          <w:spacing w:val="-4"/>
        </w:rPr>
        <w:t>the cost of the employer</w:t>
      </w:r>
      <w:r w:rsidR="00946724" w:rsidRPr="003237DF">
        <w:rPr>
          <w:spacing w:val="-4"/>
        </w:rPr>
        <w:t>’</w:t>
      </w:r>
      <w:r w:rsidRPr="003237DF">
        <w:rPr>
          <w:spacing w:val="-4"/>
        </w:rPr>
        <w:t>s management time of approximately $2,000</w:t>
      </w:r>
      <w:r w:rsidR="006A7EEE" w:rsidRPr="003237DF">
        <w:t>;</w:t>
      </w:r>
      <w:r w:rsidRPr="003237DF">
        <w:t xml:space="preserve"> </w:t>
      </w:r>
    </w:p>
    <w:p w:rsidR="00CA5124" w:rsidRPr="003237DF" w:rsidRDefault="00E30291" w:rsidP="008271B9">
      <w:pPr>
        <w:pStyle w:val="subsubparai"/>
      </w:pPr>
      <w:r w:rsidRPr="003237DF">
        <w:t>the costs of legal advice of approximately $6,000</w:t>
      </w:r>
      <w:r w:rsidR="006A7EEE" w:rsidRPr="003237DF">
        <w:t>;</w:t>
      </w:r>
      <w:r w:rsidRPr="003237DF">
        <w:t xml:space="preserve"> and </w:t>
      </w:r>
    </w:p>
    <w:p w:rsidR="00CA5124" w:rsidRPr="003237DF" w:rsidRDefault="00E30291" w:rsidP="008271B9">
      <w:pPr>
        <w:pStyle w:val="subsubparai"/>
      </w:pPr>
      <w:r w:rsidRPr="003237DF">
        <w:t xml:space="preserve">processing and lodgement costs of $1,000. </w:t>
      </w:r>
    </w:p>
    <w:p w:rsidR="0010240E" w:rsidRPr="003237DF" w:rsidRDefault="00E30291" w:rsidP="008271B9">
      <w:pPr>
        <w:pStyle w:val="subparaa"/>
        <w:numPr>
          <w:ilvl w:val="0"/>
          <w:numId w:val="0"/>
        </w:numPr>
        <w:ind w:left="2693"/>
        <w:rPr>
          <w:spacing w:val="-2"/>
        </w:rPr>
      </w:pPr>
      <w:r w:rsidRPr="003237DF">
        <w:rPr>
          <w:spacing w:val="-2"/>
        </w:rPr>
        <w:t xml:space="preserve">Based on the 110 applications for individual relief that we received in the </w:t>
      </w:r>
      <w:r w:rsidR="00D86E12" w:rsidRPr="003237DF">
        <w:rPr>
          <w:spacing w:val="-2"/>
        </w:rPr>
        <w:t>p</w:t>
      </w:r>
      <w:r w:rsidRPr="003237DF">
        <w:rPr>
          <w:spacing w:val="-2"/>
        </w:rPr>
        <w:t>ast 12</w:t>
      </w:r>
      <w:r w:rsidR="00D86E12" w:rsidRPr="003237DF">
        <w:rPr>
          <w:spacing w:val="-2"/>
        </w:rPr>
        <w:t> </w:t>
      </w:r>
      <w:r w:rsidRPr="003237DF">
        <w:rPr>
          <w:spacing w:val="-2"/>
        </w:rPr>
        <w:t>months, this costs employers in excess of $1.1 million</w:t>
      </w:r>
      <w:r w:rsidR="0010240E" w:rsidRPr="003237DF">
        <w:rPr>
          <w:spacing w:val="-2"/>
        </w:rPr>
        <w:t>;</w:t>
      </w:r>
    </w:p>
    <w:p w:rsidR="000E1EB3" w:rsidRPr="003237DF" w:rsidRDefault="0010240E" w:rsidP="0010240E">
      <w:pPr>
        <w:pStyle w:val="subparaa"/>
      </w:pPr>
      <w:r w:rsidRPr="003237DF">
        <w:t xml:space="preserve">comply with the requirement to </w:t>
      </w:r>
      <w:r w:rsidR="001E5F7F" w:rsidRPr="003237DF">
        <w:t>prepare disclosure documents</w:t>
      </w:r>
      <w:r w:rsidR="000E1EB3" w:rsidRPr="003237DF">
        <w:t xml:space="preserve"> for those </w:t>
      </w:r>
      <w:r w:rsidR="006A7EEE" w:rsidRPr="003237DF">
        <w:t>that are</w:t>
      </w:r>
      <w:r w:rsidR="000E1EB3" w:rsidRPr="003237DF">
        <w:t xml:space="preserve"> ineligible for relief</w:t>
      </w:r>
      <w:r w:rsidR="00A62822" w:rsidRPr="003237DF">
        <w:t xml:space="preserve"> (e.g. unlisted bodies wishing to offer shares)</w:t>
      </w:r>
      <w:r w:rsidR="000E1EB3" w:rsidRPr="003237DF">
        <w:t xml:space="preserve">, or </w:t>
      </w:r>
      <w:r w:rsidR="00964A83" w:rsidRPr="003237DF">
        <w:t xml:space="preserve">that </w:t>
      </w:r>
      <w:r w:rsidR="000E1EB3" w:rsidRPr="003237DF">
        <w:t>do not wish to apply for individual relief. We estimate the costs of preparing a disclosure document to be approximately $15,000</w:t>
      </w:r>
      <w:r w:rsidR="00E30291" w:rsidRPr="003237DF">
        <w:t xml:space="preserve"> and</w:t>
      </w:r>
      <w:r w:rsidR="00CA5124" w:rsidRPr="003237DF">
        <w:t>,</w:t>
      </w:r>
      <w:r w:rsidR="00E30291" w:rsidRPr="003237DF">
        <w:t xml:space="preserve"> while most employers are likely to decide not to implement employee incentive schemes through the use of a disclosure document, we have seen a few instances where this has been done. We estimate this </w:t>
      </w:r>
      <w:r w:rsidR="006A7EEE" w:rsidRPr="003237DF">
        <w:t>to be</w:t>
      </w:r>
      <w:r w:rsidR="00E30291" w:rsidRPr="003237DF">
        <w:t xml:space="preserve"> approximately </w:t>
      </w:r>
      <w:r w:rsidR="00D86E12" w:rsidRPr="003237DF">
        <w:t>three</w:t>
      </w:r>
      <w:r w:rsidR="00E30291" w:rsidRPr="003237DF">
        <w:t xml:space="preserve"> in a year</w:t>
      </w:r>
      <w:r w:rsidR="006A7EEE" w:rsidRPr="003237DF">
        <w:t>,</w:t>
      </w:r>
      <w:r w:rsidR="00E30291" w:rsidRPr="003237DF">
        <w:t xml:space="preserve"> at a cost of $45,000</w:t>
      </w:r>
      <w:r w:rsidR="000E1EB3" w:rsidRPr="003237DF">
        <w:t>;</w:t>
      </w:r>
    </w:p>
    <w:p w:rsidR="0010240E" w:rsidRPr="003237DF" w:rsidRDefault="00CE5166" w:rsidP="0010240E">
      <w:pPr>
        <w:pStyle w:val="subparaa"/>
      </w:pPr>
      <w:r w:rsidRPr="003237DF">
        <w:t>comply with auditing obligations</w:t>
      </w:r>
      <w:r w:rsidR="002443FD" w:rsidRPr="003237DF">
        <w:t xml:space="preserve"> associated with operating a trust for the purposes of the employee incentive scheme. We estimate that</w:t>
      </w:r>
      <w:r w:rsidR="00964A83" w:rsidRPr="003237DF">
        <w:t>,</w:t>
      </w:r>
      <w:r w:rsidR="00E30291" w:rsidRPr="003237DF">
        <w:t xml:space="preserve"> of the average of 540</w:t>
      </w:r>
      <w:r w:rsidR="00D86E12" w:rsidRPr="003237DF">
        <w:t> </w:t>
      </w:r>
      <w:r w:rsidR="00E30291" w:rsidRPr="003237DF">
        <w:t>lodgements we receive</w:t>
      </w:r>
      <w:r w:rsidR="007D0497" w:rsidRPr="003237DF">
        <w:t>d</w:t>
      </w:r>
      <w:r w:rsidR="00E30291" w:rsidRPr="003237DF">
        <w:t xml:space="preserve"> in reliance o</w:t>
      </w:r>
      <w:r w:rsidR="00964A83" w:rsidRPr="003237DF">
        <w:t>n</w:t>
      </w:r>
      <w:r w:rsidR="00E30291" w:rsidRPr="003237DF">
        <w:t xml:space="preserve"> </w:t>
      </w:r>
      <w:r w:rsidR="00153C8E" w:rsidRPr="003237DF">
        <w:t>[CO </w:t>
      </w:r>
      <w:r w:rsidR="00E30291" w:rsidRPr="003237DF">
        <w:t>03/184] and the 110</w:t>
      </w:r>
      <w:r w:rsidR="00D86E12" w:rsidRPr="003237DF">
        <w:t> </w:t>
      </w:r>
      <w:r w:rsidR="00E30291" w:rsidRPr="003237DF">
        <w:t xml:space="preserve">applications for individual relief that we received in the </w:t>
      </w:r>
      <w:r w:rsidR="00D86E12" w:rsidRPr="003237DF">
        <w:t>p</w:t>
      </w:r>
      <w:r w:rsidR="00E30291" w:rsidRPr="003237DF">
        <w:t>ast 12</w:t>
      </w:r>
      <w:r w:rsidR="00D86E12" w:rsidRPr="003237DF">
        <w:t> </w:t>
      </w:r>
      <w:r w:rsidR="00E30291" w:rsidRPr="003237DF">
        <w:t>months,</w:t>
      </w:r>
      <w:r w:rsidR="002443FD" w:rsidRPr="003237DF">
        <w:t xml:space="preserve"> </w:t>
      </w:r>
      <w:r w:rsidR="00E30291" w:rsidRPr="003237DF">
        <w:t xml:space="preserve">at least </w:t>
      </w:r>
      <w:r w:rsidR="002443FD" w:rsidRPr="003237DF">
        <w:t xml:space="preserve">30% of </w:t>
      </w:r>
      <w:r w:rsidR="00E30291" w:rsidRPr="003237DF">
        <w:t xml:space="preserve">these </w:t>
      </w:r>
      <w:r w:rsidR="002443FD" w:rsidRPr="003237DF">
        <w:t>would operate through a trust</w:t>
      </w:r>
      <w:r w:rsidR="00E30291" w:rsidRPr="003237DF">
        <w:t>.</w:t>
      </w:r>
      <w:r w:rsidR="00946724" w:rsidRPr="003237DF">
        <w:t xml:space="preserve"> </w:t>
      </w:r>
      <w:r w:rsidR="00E30291" w:rsidRPr="003237DF">
        <w:t xml:space="preserve">We estimate that </w:t>
      </w:r>
      <w:r w:rsidR="002443FD" w:rsidRPr="003237DF">
        <w:t>the audit costs for each trust would be approximately $2,000 per year</w:t>
      </w:r>
      <w:r w:rsidR="00964A83" w:rsidRPr="003237DF">
        <w:t>,</w:t>
      </w:r>
      <w:r w:rsidR="00E30291" w:rsidRPr="003237DF">
        <w:t xml:space="preserve"> totalling $1.3 million</w:t>
      </w:r>
      <w:r w:rsidR="0010240E" w:rsidRPr="003237DF">
        <w:t>;</w:t>
      </w:r>
      <w:r w:rsidR="00116BF8" w:rsidRPr="003237DF">
        <w:t xml:space="preserve"> and</w:t>
      </w:r>
    </w:p>
    <w:p w:rsidR="001E5F7F" w:rsidRPr="003237DF" w:rsidRDefault="001E5F7F" w:rsidP="0010240E">
      <w:pPr>
        <w:pStyle w:val="subparaa"/>
      </w:pPr>
      <w:bookmarkStart w:id="32" w:name="_ASICRef14"/>
      <w:r w:rsidRPr="003237DF">
        <w:t>comply with more detailed administrative requirements</w:t>
      </w:r>
      <w:r w:rsidR="006A7EEE" w:rsidRPr="003237DF">
        <w:t>,</w:t>
      </w:r>
      <w:r w:rsidRPr="003237DF">
        <w:t xml:space="preserve"> such as having to provide ASIC with copies of anonymised offer documents</w:t>
      </w:r>
      <w:r w:rsidR="006A7EEE" w:rsidRPr="003237DF">
        <w:t>,</w:t>
      </w:r>
      <w:r w:rsidRPr="003237DF">
        <w:t xml:space="preserve"> along with the offer document, trust deeds and plan rules</w:t>
      </w:r>
      <w:r w:rsidR="002443FD" w:rsidRPr="003237DF">
        <w:t xml:space="preserve">. Based on an estimate from a </w:t>
      </w:r>
      <w:r w:rsidR="00E30291" w:rsidRPr="003237DF">
        <w:t>high</w:t>
      </w:r>
      <w:r w:rsidR="00964A83" w:rsidRPr="003237DF">
        <w:t>-</w:t>
      </w:r>
      <w:r w:rsidR="00E30291" w:rsidRPr="003237DF">
        <w:t xml:space="preserve">volume lodging </w:t>
      </w:r>
      <w:r w:rsidR="002443FD" w:rsidRPr="003237DF">
        <w:t xml:space="preserve">respondent, we understand the </w:t>
      </w:r>
      <w:r w:rsidR="00E30291" w:rsidRPr="003237DF">
        <w:t xml:space="preserve">cost </w:t>
      </w:r>
      <w:r w:rsidR="002443FD" w:rsidRPr="003237DF">
        <w:t>is approximately $1,000 per lodgement</w:t>
      </w:r>
      <w:r w:rsidR="00E30291" w:rsidRPr="003237DF">
        <w:t>. With an average of 650</w:t>
      </w:r>
      <w:r w:rsidR="00CA5124" w:rsidRPr="003237DF">
        <w:t> </w:t>
      </w:r>
      <w:r w:rsidR="00E30291" w:rsidRPr="003237DF">
        <w:t>lodgements a year, this would cost approximately $650,000</w:t>
      </w:r>
      <w:r w:rsidRPr="003237DF">
        <w:t>.</w:t>
      </w:r>
      <w:bookmarkEnd w:id="32"/>
    </w:p>
    <w:p w:rsidR="00542219" w:rsidRPr="003237DF" w:rsidRDefault="00542219" w:rsidP="0010240E">
      <w:pPr>
        <w:pStyle w:val="BodyText"/>
        <w:shd w:val="clear" w:color="auto" w:fill="FFFFFF" w:themeFill="background1"/>
      </w:pPr>
      <w:r w:rsidRPr="003237DF">
        <w:rPr>
          <w:spacing w:val="-2"/>
        </w:rPr>
        <w:t xml:space="preserve">The aggregated estimate of </w:t>
      </w:r>
      <w:r w:rsidR="00BE7F0B" w:rsidRPr="003237DF">
        <w:rPr>
          <w:spacing w:val="-2"/>
        </w:rPr>
        <w:t xml:space="preserve">compliance </w:t>
      </w:r>
      <w:r w:rsidRPr="003237DF">
        <w:rPr>
          <w:spacing w:val="-2"/>
        </w:rPr>
        <w:t xml:space="preserve">cost savings </w:t>
      </w:r>
      <w:r w:rsidR="00964A83" w:rsidRPr="003237DF">
        <w:rPr>
          <w:spacing w:val="-2"/>
        </w:rPr>
        <w:t xml:space="preserve">in </w:t>
      </w:r>
      <w:r w:rsidRPr="003237DF">
        <w:rPr>
          <w:spacing w:val="-2"/>
        </w:rPr>
        <w:t xml:space="preserve">paragraph </w:t>
      </w:r>
      <w:r w:rsidR="00964A83" w:rsidRPr="003237DF">
        <w:rPr>
          <w:spacing w:val="-2"/>
        </w:rPr>
        <w:fldChar w:fldCharType="begin"/>
      </w:r>
      <w:r w:rsidR="00964A83" w:rsidRPr="003237DF">
        <w:rPr>
          <w:spacing w:val="-2"/>
        </w:rPr>
        <w:instrText xml:space="preserve"> REF _ASICRef774 \w \h  \* MERGEFORMAT </w:instrText>
      </w:r>
      <w:r w:rsidR="00964A83" w:rsidRPr="003237DF">
        <w:rPr>
          <w:spacing w:val="-2"/>
        </w:rPr>
      </w:r>
      <w:r w:rsidR="00964A83" w:rsidRPr="003237DF">
        <w:rPr>
          <w:spacing w:val="-2"/>
        </w:rPr>
        <w:fldChar w:fldCharType="separate"/>
      </w:r>
      <w:r w:rsidR="00964A83" w:rsidRPr="003237DF">
        <w:rPr>
          <w:spacing w:val="-2"/>
        </w:rPr>
        <w:t>68(a)</w:t>
      </w:r>
      <w:r w:rsidR="00964A83" w:rsidRPr="003237DF">
        <w:rPr>
          <w:spacing w:val="-2"/>
        </w:rPr>
        <w:fldChar w:fldCharType="end"/>
      </w:r>
      <w:r w:rsidR="00964A83" w:rsidRPr="003237DF">
        <w:rPr>
          <w:spacing w:val="-2"/>
        </w:rPr>
        <w:t>–</w:t>
      </w:r>
      <w:r w:rsidR="00964A83" w:rsidRPr="003237DF">
        <w:rPr>
          <w:spacing w:val="-2"/>
        </w:rPr>
        <w:fldChar w:fldCharType="begin"/>
      </w:r>
      <w:r w:rsidR="00964A83" w:rsidRPr="003237DF">
        <w:rPr>
          <w:spacing w:val="-2"/>
        </w:rPr>
        <w:instrText xml:space="preserve"> REF _ASICRef14 \w \h  \* MERGEFORMAT </w:instrText>
      </w:r>
      <w:r w:rsidR="00964A83" w:rsidRPr="003237DF">
        <w:rPr>
          <w:spacing w:val="-2"/>
        </w:rPr>
      </w:r>
      <w:r w:rsidR="00964A83" w:rsidRPr="003237DF">
        <w:rPr>
          <w:spacing w:val="-2"/>
        </w:rPr>
        <w:fldChar w:fldCharType="separate"/>
      </w:r>
      <w:r w:rsidR="00964A83" w:rsidRPr="003237DF">
        <w:rPr>
          <w:spacing w:val="-2"/>
        </w:rPr>
        <w:t>68(d)</w:t>
      </w:r>
      <w:r w:rsidR="00964A83" w:rsidRPr="003237DF">
        <w:rPr>
          <w:spacing w:val="-2"/>
        </w:rPr>
        <w:fldChar w:fldCharType="end"/>
      </w:r>
      <w:r w:rsidR="00964A83" w:rsidRPr="003237DF">
        <w:t xml:space="preserve"> </w:t>
      </w:r>
      <w:r w:rsidRPr="003237DF">
        <w:t>under the new class order relief would be approximately $3.095</w:t>
      </w:r>
      <w:r w:rsidR="00CA5124" w:rsidRPr="003237DF">
        <w:t> </w:t>
      </w:r>
      <w:r w:rsidRPr="003237DF">
        <w:t>million</w:t>
      </w:r>
      <w:r w:rsidR="00BE7F0B" w:rsidRPr="003237DF">
        <w:t xml:space="preserve"> per</w:t>
      </w:r>
      <w:r w:rsidR="00964A83" w:rsidRPr="003237DF">
        <w:t> </w:t>
      </w:r>
      <w:r w:rsidR="00BE7F0B" w:rsidRPr="003237DF">
        <w:t>year</w:t>
      </w:r>
      <w:r w:rsidRPr="003237DF">
        <w:t xml:space="preserve">. </w:t>
      </w:r>
    </w:p>
    <w:p w:rsidR="0010240E" w:rsidRPr="003237DF" w:rsidRDefault="0010240E" w:rsidP="0010240E">
      <w:pPr>
        <w:pStyle w:val="BodyText"/>
        <w:shd w:val="clear" w:color="auto" w:fill="FFFFFF" w:themeFill="background1"/>
      </w:pPr>
      <w:r w:rsidRPr="003237DF">
        <w:t>Some of the proposed benefits of our class order relief</w:t>
      </w:r>
      <w:r w:rsidR="00964A83" w:rsidRPr="003237DF">
        <w:t>,</w:t>
      </w:r>
      <w:r w:rsidRPr="003237DF">
        <w:t xml:space="preserve"> </w:t>
      </w:r>
      <w:r w:rsidR="004F35F5" w:rsidRPr="003237DF">
        <w:t>which we have not sought to quantify</w:t>
      </w:r>
      <w:r w:rsidR="00964A83" w:rsidRPr="003237DF">
        <w:t>,</w:t>
      </w:r>
      <w:r w:rsidR="004F35F5" w:rsidRPr="003237DF">
        <w:t xml:space="preserve"> </w:t>
      </w:r>
      <w:r w:rsidRPr="003237DF">
        <w:t>include:</w:t>
      </w:r>
    </w:p>
    <w:p w:rsidR="0010240E" w:rsidRPr="003237DF" w:rsidRDefault="0010240E" w:rsidP="0010240E">
      <w:pPr>
        <w:pStyle w:val="subparaa"/>
      </w:pPr>
      <w:r w:rsidRPr="003237DF">
        <w:t>being able to offer a wider range of financial products</w:t>
      </w:r>
      <w:r w:rsidR="00367D1E" w:rsidRPr="003237DF">
        <w:t>, particularly incentive rights (very commonly offered by US</w:t>
      </w:r>
      <w:r w:rsidR="005D791E" w:rsidRPr="003237DF">
        <w:t>-</w:t>
      </w:r>
      <w:r w:rsidR="00367D1E" w:rsidRPr="003237DF">
        <w:t>based employers)</w:t>
      </w:r>
      <w:r w:rsidRPr="003237DF">
        <w:t>;</w:t>
      </w:r>
    </w:p>
    <w:p w:rsidR="0010240E" w:rsidRPr="003237DF" w:rsidRDefault="0010240E" w:rsidP="0010240E">
      <w:pPr>
        <w:pStyle w:val="subparaa"/>
      </w:pPr>
      <w:r w:rsidRPr="003237DF">
        <w:t xml:space="preserve">being able to offer the employee incentive scheme to a </w:t>
      </w:r>
      <w:r w:rsidR="00964A83" w:rsidRPr="003237DF">
        <w:t xml:space="preserve">broader </w:t>
      </w:r>
      <w:r w:rsidRPr="003237DF">
        <w:t>range of</w:t>
      </w:r>
      <w:r w:rsidR="00964A83" w:rsidRPr="003237DF">
        <w:t> </w:t>
      </w:r>
      <w:r w:rsidR="00F94F4A" w:rsidRPr="003237DF">
        <w:t>personnel (i.e. contractors, casual employees and non-executive directors)</w:t>
      </w:r>
      <w:r w:rsidRPr="003237DF">
        <w:t>;</w:t>
      </w:r>
    </w:p>
    <w:p w:rsidR="0010240E" w:rsidRPr="003237DF" w:rsidRDefault="00964A83" w:rsidP="0010240E">
      <w:pPr>
        <w:pStyle w:val="subparaa"/>
      </w:pPr>
      <w:r w:rsidRPr="003237DF">
        <w:t xml:space="preserve">listed bodies </w:t>
      </w:r>
      <w:r w:rsidR="0010240E" w:rsidRPr="003237DF">
        <w:t>being able to offer loans in conjunction with contribution plans;</w:t>
      </w:r>
    </w:p>
    <w:p w:rsidR="0010240E" w:rsidRPr="003237DF" w:rsidRDefault="0010240E" w:rsidP="0010240E">
      <w:pPr>
        <w:pStyle w:val="subparaa"/>
      </w:pPr>
      <w:r w:rsidRPr="003237DF">
        <w:t xml:space="preserve">unlisted bodies </w:t>
      </w:r>
      <w:r w:rsidR="00964A83" w:rsidRPr="003237DF">
        <w:t xml:space="preserve">being able </w:t>
      </w:r>
      <w:r w:rsidRPr="003237DF">
        <w:t>to offer shares</w:t>
      </w:r>
      <w:r w:rsidR="00F94F4A" w:rsidRPr="003237DF">
        <w:t xml:space="preserve"> and use trust arrangements</w:t>
      </w:r>
      <w:r w:rsidRPr="003237DF">
        <w:t>;</w:t>
      </w:r>
      <w:r w:rsidR="00EC7018" w:rsidRPr="003237DF">
        <w:t xml:space="preserve"> and</w:t>
      </w:r>
    </w:p>
    <w:p w:rsidR="0010240E" w:rsidRPr="003237DF" w:rsidRDefault="00367D1E" w:rsidP="0010240E">
      <w:pPr>
        <w:pStyle w:val="subparaa"/>
      </w:pPr>
      <w:r w:rsidRPr="003237DF">
        <w:t>reduc</w:t>
      </w:r>
      <w:r w:rsidR="00964A83" w:rsidRPr="003237DF">
        <w:t>ing</w:t>
      </w:r>
      <w:r w:rsidR="0010240E" w:rsidRPr="003237DF">
        <w:t xml:space="preserve"> the amount of paperwork and administration associated with lodging documents with ASIC.</w:t>
      </w:r>
    </w:p>
    <w:p w:rsidR="00E251D0" w:rsidRPr="003237DF" w:rsidRDefault="00E251D0" w:rsidP="000E1EB3">
      <w:pPr>
        <w:pStyle w:val="BodyText"/>
        <w:shd w:val="clear" w:color="auto" w:fill="FFFFFF" w:themeFill="background1"/>
      </w:pPr>
      <w:r w:rsidRPr="003237DF">
        <w:t xml:space="preserve">As noted at paragraphs </w:t>
      </w:r>
      <w:r w:rsidR="00D27517" w:rsidRPr="003237DF">
        <w:fldChar w:fldCharType="begin"/>
      </w:r>
      <w:r w:rsidR="00D27517" w:rsidRPr="003237DF">
        <w:instrText xml:space="preserve"> REF _Ref396983795 \r \h </w:instrText>
      </w:r>
      <w:r w:rsidR="003237DF">
        <w:instrText xml:space="preserve"> \* MERGEFORMAT </w:instrText>
      </w:r>
      <w:r w:rsidR="00D27517" w:rsidRPr="003237DF">
        <w:fldChar w:fldCharType="separate"/>
      </w:r>
      <w:r w:rsidR="00D27517" w:rsidRPr="003237DF">
        <w:t>25</w:t>
      </w:r>
      <w:r w:rsidR="00D27517" w:rsidRPr="003237DF">
        <w:fldChar w:fldCharType="end"/>
      </w:r>
      <w:r w:rsidR="00D27517" w:rsidRPr="003237DF">
        <w:t>–</w:t>
      </w:r>
      <w:r w:rsidR="00D27517" w:rsidRPr="003237DF">
        <w:fldChar w:fldCharType="begin"/>
      </w:r>
      <w:r w:rsidR="00D27517" w:rsidRPr="003237DF">
        <w:instrText xml:space="preserve"> REF _Ref396983807 \r \h </w:instrText>
      </w:r>
      <w:r w:rsidR="003237DF">
        <w:instrText xml:space="preserve"> \* MERGEFORMAT </w:instrText>
      </w:r>
      <w:r w:rsidR="00D27517" w:rsidRPr="003237DF">
        <w:fldChar w:fldCharType="separate"/>
      </w:r>
      <w:r w:rsidR="00D27517" w:rsidRPr="003237DF">
        <w:t>31</w:t>
      </w:r>
      <w:r w:rsidR="00D27517" w:rsidRPr="003237DF">
        <w:fldChar w:fldCharType="end"/>
      </w:r>
      <w:r w:rsidRPr="003237DF">
        <w:t xml:space="preserve">, there is strong evidence that employee </w:t>
      </w:r>
      <w:r w:rsidR="00A61E21" w:rsidRPr="003237DF">
        <w:t xml:space="preserve">incentive </w:t>
      </w:r>
      <w:r w:rsidRPr="003237DF">
        <w:t>scheme</w:t>
      </w:r>
      <w:r w:rsidR="00D27517" w:rsidRPr="003237DF">
        <w:t>s</w:t>
      </w:r>
      <w:r w:rsidRPr="003237DF">
        <w:t xml:space="preserve"> </w:t>
      </w:r>
      <w:r w:rsidR="00D27517" w:rsidRPr="003237DF">
        <w:t xml:space="preserve">are </w:t>
      </w:r>
      <w:r w:rsidRPr="003237DF">
        <w:t>beneficial for both employers and employees.</w:t>
      </w:r>
      <w:r w:rsidR="00946724" w:rsidRPr="003237DF">
        <w:t xml:space="preserve"> </w:t>
      </w:r>
      <w:r w:rsidRPr="003237DF">
        <w:t xml:space="preserve">We have not quantified the benefit to those employers (and their employees) </w:t>
      </w:r>
      <w:r w:rsidR="00C8774E" w:rsidRPr="003237DF">
        <w:t>who</w:t>
      </w:r>
      <w:r w:rsidRPr="003237DF">
        <w:t xml:space="preserve"> were previously outside the scope of our relief</w:t>
      </w:r>
      <w:r w:rsidR="00C8774E" w:rsidRPr="003237DF">
        <w:t>,</w:t>
      </w:r>
      <w:r w:rsidRPr="003237DF">
        <w:t xml:space="preserve"> </w:t>
      </w:r>
      <w:r w:rsidR="00C8774E" w:rsidRPr="003237DF">
        <w:t xml:space="preserve">but </w:t>
      </w:r>
      <w:r w:rsidRPr="003237DF">
        <w:t xml:space="preserve">will now be able to offer employee </w:t>
      </w:r>
      <w:r w:rsidR="00D27517" w:rsidRPr="003237DF">
        <w:t>incentive</w:t>
      </w:r>
      <w:r w:rsidRPr="003237DF">
        <w:t xml:space="preserve"> schemes</w:t>
      </w:r>
      <w:r w:rsidR="003679CA" w:rsidRPr="003237DF">
        <w:t xml:space="preserve"> under our class orders</w:t>
      </w:r>
      <w:r w:rsidRPr="003237DF">
        <w:t xml:space="preserve">. </w:t>
      </w:r>
    </w:p>
    <w:p w:rsidR="000E1EB3" w:rsidRPr="003237DF" w:rsidRDefault="000E1EB3" w:rsidP="000E1EB3">
      <w:pPr>
        <w:pStyle w:val="BodyText"/>
        <w:shd w:val="clear" w:color="auto" w:fill="FFFFFF" w:themeFill="background1"/>
      </w:pPr>
      <w:r w:rsidRPr="003237DF">
        <w:t>There is also a subset of listed bodies and unlisted bodies</w:t>
      </w:r>
      <w:r w:rsidR="00D27517" w:rsidRPr="003237DF">
        <w:t>,</w:t>
      </w:r>
      <w:r w:rsidRPr="003237DF">
        <w:t xml:space="preserve"> </w:t>
      </w:r>
      <w:r w:rsidR="00D27517" w:rsidRPr="003237DF">
        <w:t xml:space="preserve">which </w:t>
      </w:r>
      <w:r w:rsidRPr="003237DF">
        <w:t xml:space="preserve">either currently rely on </w:t>
      </w:r>
      <w:r w:rsidR="00153C8E" w:rsidRPr="003237DF">
        <w:t>[CO </w:t>
      </w:r>
      <w:r w:rsidRPr="003237DF">
        <w:t>03/184] or will rely on the new class orders</w:t>
      </w:r>
      <w:r w:rsidR="00D27517" w:rsidRPr="003237DF">
        <w:t>,</w:t>
      </w:r>
      <w:r w:rsidRPr="003237DF">
        <w:t xml:space="preserve"> </w:t>
      </w:r>
      <w:r w:rsidR="00D27517" w:rsidRPr="003237DF">
        <w:t xml:space="preserve">that </w:t>
      </w:r>
      <w:r w:rsidRPr="003237DF">
        <w:t xml:space="preserve">are, or would be, prevented from making personal offers </w:t>
      </w:r>
      <w:r w:rsidR="00D27517" w:rsidRPr="003237DF">
        <w:t xml:space="preserve">under </w:t>
      </w:r>
      <w:r w:rsidRPr="003237DF">
        <w:t>s708(1)</w:t>
      </w:r>
      <w:r w:rsidR="00D27517" w:rsidRPr="003237DF">
        <w:t xml:space="preserve"> of the Corporations Act</w:t>
      </w:r>
      <w:r w:rsidRPr="003237DF">
        <w:t>.</w:t>
      </w:r>
      <w:r w:rsidR="00946724" w:rsidRPr="003237DF">
        <w:t xml:space="preserve"> </w:t>
      </w:r>
      <w:r w:rsidRPr="003237DF">
        <w:t xml:space="preserve">Relief under </w:t>
      </w:r>
      <w:r w:rsidR="00153C8E" w:rsidRPr="003237DF">
        <w:t>[CO </w:t>
      </w:r>
      <w:r w:rsidRPr="003237DF">
        <w:t>14/</w:t>
      </w:r>
      <w:r w:rsidR="00FA3D24" w:rsidRPr="003237DF">
        <w:t>978</w:t>
      </w:r>
      <w:r w:rsidRPr="003237DF">
        <w:t xml:space="preserve">] would permit these bodies </w:t>
      </w:r>
      <w:r w:rsidR="00E251D0" w:rsidRPr="003237DF">
        <w:t xml:space="preserve">to </w:t>
      </w:r>
      <w:r w:rsidRPr="003237DF">
        <w:t>continu</w:t>
      </w:r>
      <w:r w:rsidR="00E251D0" w:rsidRPr="003237DF">
        <w:t>e</w:t>
      </w:r>
      <w:r w:rsidRPr="003237DF">
        <w:t xml:space="preserve"> to rely on s708(1) to make personal offers rather than having to prepare a regulated disclosure document to make such offers.</w:t>
      </w:r>
      <w:r w:rsidR="00946724" w:rsidRPr="003237DF">
        <w:t xml:space="preserve"> </w:t>
      </w:r>
      <w:r w:rsidRPr="003237DF">
        <w:t>While the cost savings would be in excess of $15,000 if they had to prepare a disclosure document</w:t>
      </w:r>
      <w:r w:rsidR="00D27517" w:rsidRPr="003237DF">
        <w:t>—</w:t>
      </w:r>
      <w:r w:rsidRPr="003237DF">
        <w:t xml:space="preserve">given </w:t>
      </w:r>
      <w:r w:rsidR="00D27517" w:rsidRPr="003237DF">
        <w:t xml:space="preserve">that </w:t>
      </w:r>
      <w:r w:rsidRPr="003237DF">
        <w:t>they could not rely on s708(1), we have not estimated this</w:t>
      </w:r>
      <w:r w:rsidR="00D06D1F" w:rsidRPr="003237DF">
        <w:t xml:space="preserve"> </w:t>
      </w:r>
      <w:r w:rsidR="00D27517" w:rsidRPr="003237DF">
        <w:t xml:space="preserve">amount </w:t>
      </w:r>
      <w:r w:rsidR="00D06D1F" w:rsidRPr="003237DF">
        <w:t xml:space="preserve">because </w:t>
      </w:r>
      <w:r w:rsidRPr="003237DF">
        <w:t xml:space="preserve">we expect such employers would consider this cost prohibitive and would </w:t>
      </w:r>
      <w:r w:rsidR="00D27517" w:rsidRPr="003237DF">
        <w:t xml:space="preserve">simply </w:t>
      </w:r>
      <w:r w:rsidRPr="003237DF">
        <w:t>not make such</w:t>
      </w:r>
      <w:r w:rsidR="00956605" w:rsidRPr="003237DF">
        <w:t> </w:t>
      </w:r>
      <w:r w:rsidRPr="003237DF">
        <w:t>offers.</w:t>
      </w:r>
    </w:p>
    <w:p w:rsidR="00D740A0" w:rsidRPr="003237DF" w:rsidRDefault="00D740A0" w:rsidP="00D740A0">
      <w:pPr>
        <w:pStyle w:val="Heading3"/>
      </w:pPr>
      <w:r w:rsidRPr="003237DF">
        <w:t>Impact on employee</w:t>
      </w:r>
      <w:r w:rsidR="000E1EB3" w:rsidRPr="003237DF">
        <w:t>s</w:t>
      </w:r>
    </w:p>
    <w:p w:rsidR="00054196" w:rsidRPr="003237DF" w:rsidRDefault="00054196" w:rsidP="00054196">
      <w:pPr>
        <w:pStyle w:val="BodyText"/>
        <w:shd w:val="clear" w:color="auto" w:fill="FFFFFF" w:themeFill="background1"/>
      </w:pPr>
      <w:r w:rsidRPr="003237DF">
        <w:t>The impact on employees is that our class order relief will enable more employees (i.e. contractors, casual</w:t>
      </w:r>
      <w:r w:rsidR="00511A0B">
        <w:t xml:space="preserve"> employee</w:t>
      </w:r>
      <w:r w:rsidRPr="003237DF">
        <w:t>s and non-executive directors) to be eligible to participate in their employer</w:t>
      </w:r>
      <w:r w:rsidR="00946724" w:rsidRPr="003237DF">
        <w:t>’</w:t>
      </w:r>
      <w:r w:rsidRPr="003237DF">
        <w:t>s employee incentive schemes, and to acquire an interest in a broader range of financial products.</w:t>
      </w:r>
    </w:p>
    <w:p w:rsidR="00054196" w:rsidRPr="003237DF" w:rsidRDefault="00054196" w:rsidP="00054196">
      <w:pPr>
        <w:pStyle w:val="BodyText"/>
        <w:shd w:val="clear" w:color="auto" w:fill="FFFFFF" w:themeFill="background1"/>
      </w:pPr>
      <w:r w:rsidRPr="003237DF">
        <w:t>In the case of unlisted bodies, employees will</w:t>
      </w:r>
      <w:r w:rsidR="00D06D1F" w:rsidRPr="003237DF">
        <w:t>,</w:t>
      </w:r>
      <w:r w:rsidRPr="003237DF">
        <w:t xml:space="preserve"> for the first time</w:t>
      </w:r>
      <w:r w:rsidR="007D0497" w:rsidRPr="003237DF">
        <w:t>,</w:t>
      </w:r>
      <w:r w:rsidRPr="003237DF">
        <w:t xml:space="preserve"> be eligible to participate in direct ownership of the unlisted body</w:t>
      </w:r>
      <w:r w:rsidR="00D06D1F" w:rsidRPr="003237DF">
        <w:t xml:space="preserve"> because </w:t>
      </w:r>
      <w:r w:rsidRPr="003237DF">
        <w:t>they will be eligible to be offered fully paid ordinary voting shares of the body.</w:t>
      </w:r>
      <w:r w:rsidR="00946724" w:rsidRPr="003237DF">
        <w:t xml:space="preserve"> </w:t>
      </w:r>
      <w:r w:rsidRPr="003237DF">
        <w:t xml:space="preserve">They will also be eligible to be offered options and incentive rights in a wider range of circumstances than is available under </w:t>
      </w:r>
      <w:r w:rsidR="00153C8E" w:rsidRPr="003237DF">
        <w:t>[CO </w:t>
      </w:r>
      <w:r w:rsidRPr="003237DF">
        <w:t>03/184].</w:t>
      </w:r>
      <w:r w:rsidR="00946724" w:rsidRPr="003237DF">
        <w:t xml:space="preserve"> </w:t>
      </w:r>
      <w:r w:rsidRPr="003237DF">
        <w:t xml:space="preserve"> </w:t>
      </w:r>
    </w:p>
    <w:p w:rsidR="00166DAE" w:rsidRPr="003237DF" w:rsidRDefault="009A2E4A" w:rsidP="00D740A0">
      <w:pPr>
        <w:pStyle w:val="BodyText"/>
        <w:shd w:val="clear" w:color="auto" w:fill="FFFFFF" w:themeFill="background1"/>
      </w:pPr>
      <w:r w:rsidRPr="003237DF">
        <w:t>While this will benefit employees who were previously prevented from being made offers in reliance o</w:t>
      </w:r>
      <w:r w:rsidR="006A7EEE" w:rsidRPr="003237DF">
        <w:t>n</w:t>
      </w:r>
      <w:r w:rsidRPr="003237DF">
        <w:t xml:space="preserve"> ASIC relief, the </w:t>
      </w:r>
      <w:r w:rsidR="00D65835" w:rsidRPr="003237DF">
        <w:t xml:space="preserve">risk </w:t>
      </w:r>
      <w:r w:rsidRPr="003237DF">
        <w:t xml:space="preserve">is that more employees will be exposed to the </w:t>
      </w:r>
      <w:r w:rsidR="00054196" w:rsidRPr="003237DF">
        <w:t>potential financial and economic success</w:t>
      </w:r>
      <w:r w:rsidRPr="003237DF">
        <w:t xml:space="preserve"> and failure of </w:t>
      </w:r>
      <w:r w:rsidR="00054196" w:rsidRPr="003237DF">
        <w:t>their employer.</w:t>
      </w:r>
      <w:r w:rsidR="00946724" w:rsidRPr="003237DF">
        <w:t xml:space="preserve"> </w:t>
      </w:r>
      <w:r w:rsidR="00321D70" w:rsidRPr="003237DF">
        <w:t xml:space="preserve">Employees may also not engage in appropriate diversification of their investment portfolios, or otherwise over-invest in their employer, depending on their outlook.  </w:t>
      </w:r>
      <w:r w:rsidR="00FC4F18" w:rsidRPr="003237DF">
        <w:t xml:space="preserve">While there </w:t>
      </w:r>
      <w:r w:rsidR="00F96569" w:rsidRPr="003237DF">
        <w:t xml:space="preserve">is a risk that </w:t>
      </w:r>
      <w:r w:rsidR="00FC4F18" w:rsidRPr="003237DF">
        <w:t xml:space="preserve">some </w:t>
      </w:r>
      <w:r w:rsidR="00F96569" w:rsidRPr="003237DF">
        <w:t>employees may limit their investments to financial products offered by their employer</w:t>
      </w:r>
      <w:r w:rsidR="00FC4F18" w:rsidRPr="003237DF">
        <w:t xml:space="preserve">, for </w:t>
      </w:r>
      <w:r w:rsidR="00F96569" w:rsidRPr="003237DF">
        <w:t>employees</w:t>
      </w:r>
      <w:r w:rsidR="00FC4F18" w:rsidRPr="003237DF">
        <w:t xml:space="preserve"> </w:t>
      </w:r>
      <w:r w:rsidR="00F96569" w:rsidRPr="003237DF">
        <w:t>who may never invest their discretionary funds in financial products</w:t>
      </w:r>
      <w:r w:rsidR="00E36088" w:rsidRPr="003237DF">
        <w:t xml:space="preserve"> at all</w:t>
      </w:r>
      <w:r w:rsidR="00F96569" w:rsidRPr="003237DF">
        <w:t xml:space="preserve">, </w:t>
      </w:r>
      <w:r w:rsidR="00FC4F18" w:rsidRPr="003237DF">
        <w:t xml:space="preserve">the benefit would be to </w:t>
      </w:r>
      <w:r w:rsidR="00F96569" w:rsidRPr="003237DF">
        <w:t xml:space="preserve">provide </w:t>
      </w:r>
      <w:r w:rsidR="00FC4F18" w:rsidRPr="003237DF">
        <w:t xml:space="preserve">them with an </w:t>
      </w:r>
      <w:r w:rsidR="00F96569" w:rsidRPr="003237DF">
        <w:t xml:space="preserve">investment </w:t>
      </w:r>
      <w:r w:rsidR="00FC4F18" w:rsidRPr="003237DF">
        <w:t xml:space="preserve">in a financial product </w:t>
      </w:r>
      <w:r w:rsidR="00F96569" w:rsidRPr="003237DF">
        <w:t xml:space="preserve">outside of superannuation that </w:t>
      </w:r>
      <w:r w:rsidR="0028473D" w:rsidRPr="003237DF">
        <w:t xml:space="preserve">they may </w:t>
      </w:r>
      <w:r w:rsidR="00F96569" w:rsidRPr="003237DF">
        <w:t>not otherwise</w:t>
      </w:r>
      <w:r w:rsidR="0028473D" w:rsidRPr="003237DF">
        <w:t xml:space="preserve"> </w:t>
      </w:r>
      <w:r w:rsidR="00321D70" w:rsidRPr="003237DF">
        <w:t>undertake</w:t>
      </w:r>
      <w:r w:rsidR="00F96569" w:rsidRPr="003237DF">
        <w:t>.</w:t>
      </w:r>
      <w:r w:rsidR="00946724" w:rsidRPr="003237DF">
        <w:t xml:space="preserve"> </w:t>
      </w:r>
    </w:p>
    <w:p w:rsidR="00054196" w:rsidRPr="003237DF" w:rsidRDefault="0028473D" w:rsidP="00D740A0">
      <w:pPr>
        <w:pStyle w:val="BodyText"/>
        <w:shd w:val="clear" w:color="auto" w:fill="FFFFFF" w:themeFill="background1"/>
      </w:pPr>
      <w:r w:rsidRPr="003237DF">
        <w:t xml:space="preserve">The relief also imposes a </w:t>
      </w:r>
      <w:r w:rsidR="0084056B" w:rsidRPr="003237DF">
        <w:t xml:space="preserve">number of conditions </w:t>
      </w:r>
      <w:r w:rsidR="00166DAE" w:rsidRPr="003237DF">
        <w:t xml:space="preserve">that </w:t>
      </w:r>
      <w:r w:rsidR="0084056B" w:rsidRPr="003237DF">
        <w:t>are designed to provide some risk mitigation for employees</w:t>
      </w:r>
      <w:r w:rsidR="00166DAE" w:rsidRPr="003237DF">
        <w:t>,</w:t>
      </w:r>
      <w:r w:rsidR="003C4F26" w:rsidRPr="003237DF">
        <w:t xml:space="preserve"> including a requirement to expressly warn that employees should seek independent financial advice as well as a number of other measures (e.g. see para</w:t>
      </w:r>
      <w:r w:rsidR="00956605" w:rsidRPr="003237DF">
        <w:t>graph</w:t>
      </w:r>
      <w:r w:rsidR="003C4F26" w:rsidRPr="003237DF">
        <w:t xml:space="preserve"> </w:t>
      </w:r>
      <w:r w:rsidR="00346668" w:rsidRPr="003237DF">
        <w:t>80</w:t>
      </w:r>
      <w:r w:rsidR="003C4F26" w:rsidRPr="003237DF">
        <w:t>)</w:t>
      </w:r>
      <w:r w:rsidR="0084056B" w:rsidRPr="003237DF">
        <w:t>.</w:t>
      </w:r>
    </w:p>
    <w:p w:rsidR="00D740A0" w:rsidRPr="003237DF" w:rsidRDefault="009A2E4A" w:rsidP="00D740A0">
      <w:pPr>
        <w:pStyle w:val="BodyText"/>
        <w:shd w:val="clear" w:color="auto" w:fill="FFFFFF" w:themeFill="background1"/>
      </w:pPr>
      <w:r w:rsidRPr="003237DF">
        <w:t>Another cost, and benefit, is that</w:t>
      </w:r>
      <w:r w:rsidR="00D06D1F" w:rsidRPr="003237DF">
        <w:t xml:space="preserve"> because </w:t>
      </w:r>
      <w:r w:rsidRPr="003237DF">
        <w:t>the employee incentive scheme is generally a feature of an employee</w:t>
      </w:r>
      <w:r w:rsidR="00946724" w:rsidRPr="003237DF">
        <w:t>’</w:t>
      </w:r>
      <w:r w:rsidRPr="003237DF">
        <w:t xml:space="preserve">s remuneration package, employees </w:t>
      </w:r>
      <w:r w:rsidR="00346668" w:rsidRPr="003237DF">
        <w:t xml:space="preserve">will </w:t>
      </w:r>
      <w:r w:rsidRPr="003237DF">
        <w:t xml:space="preserve">be offered less </w:t>
      </w:r>
      <w:r w:rsidR="00346668" w:rsidRPr="003237DF">
        <w:t xml:space="preserve">cash </w:t>
      </w:r>
      <w:r w:rsidRPr="003237DF">
        <w:t xml:space="preserve">than </w:t>
      </w:r>
      <w:r w:rsidR="00D740A0" w:rsidRPr="003237DF">
        <w:t>remuneration arrangements without employee incentive schemes</w:t>
      </w:r>
      <w:r w:rsidRPr="003237DF">
        <w:t xml:space="preserve">. </w:t>
      </w:r>
      <w:r w:rsidR="00D740A0" w:rsidRPr="003237DF">
        <w:t>While this is part and parcel of the risk</w:t>
      </w:r>
      <w:r w:rsidR="00956605" w:rsidRPr="003237DF">
        <w:t>–</w:t>
      </w:r>
      <w:r w:rsidR="00D740A0" w:rsidRPr="003237DF">
        <w:t xml:space="preserve">return trade-off, there is the additional risk that some employers may seek to take advantage of relief by offering remuneration arrangements that result in being more </w:t>
      </w:r>
      <w:r w:rsidR="00346668" w:rsidRPr="003237DF">
        <w:t xml:space="preserve">adverse </w:t>
      </w:r>
      <w:r w:rsidR="00D740A0" w:rsidRPr="003237DF">
        <w:t>on this risk</w:t>
      </w:r>
      <w:r w:rsidR="00166DAE" w:rsidRPr="003237DF">
        <w:t>–</w:t>
      </w:r>
      <w:r w:rsidR="00D740A0" w:rsidRPr="003237DF">
        <w:t xml:space="preserve">return trade-off because </w:t>
      </w:r>
      <w:r w:rsidR="00546092" w:rsidRPr="003237DF">
        <w:t xml:space="preserve">employers </w:t>
      </w:r>
      <w:r w:rsidR="00166DAE" w:rsidRPr="003237DF">
        <w:t>are in a better bargaining position than their employees</w:t>
      </w:r>
      <w:r w:rsidR="00D740A0" w:rsidRPr="003237DF">
        <w:t>.</w:t>
      </w:r>
      <w:r w:rsidR="00946724" w:rsidRPr="003237DF">
        <w:t xml:space="preserve"> </w:t>
      </w:r>
      <w:r w:rsidR="00D740A0" w:rsidRPr="003237DF">
        <w:t>The overall impact is somewhat mitigated by the fact that employee incentive schemes are generally voluntary, leaving it to an employee to determine which remuneration arrangement they prefer</w:t>
      </w:r>
      <w:r w:rsidR="00166DAE" w:rsidRPr="003237DF">
        <w:t>.</w:t>
      </w:r>
      <w:r w:rsidR="00D740A0" w:rsidRPr="003237DF">
        <w:t xml:space="preserve"> </w:t>
      </w:r>
      <w:r w:rsidR="00166DAE" w:rsidRPr="003237DF">
        <w:t>M</w:t>
      </w:r>
      <w:r w:rsidR="00D740A0" w:rsidRPr="003237DF">
        <w:t>arket forces relating to commercial arrangements will generally shape the attractiveness of including or excluding certain terms in an employer</w:t>
      </w:r>
      <w:r w:rsidR="00946724" w:rsidRPr="003237DF">
        <w:t>’</w:t>
      </w:r>
      <w:r w:rsidR="00D740A0" w:rsidRPr="003237DF">
        <w:t>s employee incentive scheme.</w:t>
      </w:r>
      <w:r w:rsidR="00946724" w:rsidRPr="003237DF">
        <w:t xml:space="preserve"> </w:t>
      </w:r>
    </w:p>
    <w:p w:rsidR="00546092" w:rsidRPr="003237DF" w:rsidRDefault="00D740A0" w:rsidP="00D740A0">
      <w:pPr>
        <w:pStyle w:val="BodyText"/>
        <w:shd w:val="clear" w:color="auto" w:fill="FFFFFF" w:themeFill="background1"/>
      </w:pPr>
      <w:r w:rsidRPr="003237DF">
        <w:t xml:space="preserve">Our new class order relief </w:t>
      </w:r>
      <w:r w:rsidR="00054196" w:rsidRPr="003237DF">
        <w:t xml:space="preserve">is designed to </w:t>
      </w:r>
      <w:r w:rsidRPr="003237DF">
        <w:t xml:space="preserve">ensure that </w:t>
      </w:r>
      <w:r w:rsidR="00054196" w:rsidRPr="003237DF">
        <w:t xml:space="preserve">the financial risk </w:t>
      </w:r>
      <w:r w:rsidR="00E251D0" w:rsidRPr="003237DF">
        <w:t xml:space="preserve">employees </w:t>
      </w:r>
      <w:r w:rsidR="00054196" w:rsidRPr="003237DF">
        <w:t>face is</w:t>
      </w:r>
      <w:r w:rsidR="00625B71" w:rsidRPr="003237DF">
        <w:t xml:space="preserve"> </w:t>
      </w:r>
      <w:r w:rsidR="00054196" w:rsidRPr="003237DF">
        <w:t>limited</w:t>
      </w:r>
      <w:r w:rsidR="009A2E4A" w:rsidRPr="003237DF">
        <w:t xml:space="preserve"> (particularly in the case of unlisted bodies)</w:t>
      </w:r>
      <w:r w:rsidR="00054196" w:rsidRPr="003237DF">
        <w:t>, and the information they receive about the employee incentive scheme is</w:t>
      </w:r>
      <w:r w:rsidRPr="003237DF">
        <w:t xml:space="preserve"> adequate.</w:t>
      </w:r>
      <w:r w:rsidR="00C12EB4" w:rsidRPr="003237DF">
        <w:t xml:space="preserve"> </w:t>
      </w:r>
    </w:p>
    <w:p w:rsidR="00546092" w:rsidRPr="003237DF" w:rsidRDefault="003C4F26" w:rsidP="00D740A0">
      <w:pPr>
        <w:pStyle w:val="BodyText"/>
        <w:shd w:val="clear" w:color="auto" w:fill="FFFFFF" w:themeFill="background1"/>
      </w:pPr>
      <w:r w:rsidRPr="003237DF">
        <w:t xml:space="preserve">For unlisted bodies, unlike </w:t>
      </w:r>
      <w:r w:rsidR="00546092" w:rsidRPr="003237DF">
        <w:t xml:space="preserve">in </w:t>
      </w:r>
      <w:r w:rsidRPr="003237DF">
        <w:t>a fundraising situation, the employer is not permitted to seek funds from the employee</w:t>
      </w:r>
      <w:r w:rsidR="00956605" w:rsidRPr="003237DF">
        <w:t>—</w:t>
      </w:r>
      <w:r w:rsidRPr="003237DF">
        <w:t xml:space="preserve">the offers must be for no more than nominal monetary consideration, limited in value to no more than $5,000 per </w:t>
      </w:r>
      <w:r w:rsidR="00956605" w:rsidRPr="003237DF">
        <w:t>year</w:t>
      </w:r>
      <w:r w:rsidR="00511A0B">
        <w:t xml:space="preserve">; and </w:t>
      </w:r>
      <w:r w:rsidRPr="003237DF">
        <w:t>limited to no more than 20% of the issued capital of the unlisted body.</w:t>
      </w:r>
      <w:r w:rsidR="00647CE0" w:rsidRPr="003237DF">
        <w:t xml:space="preserve">  </w:t>
      </w:r>
      <w:r w:rsidR="00271DE5" w:rsidRPr="003237DF">
        <w:t xml:space="preserve">This limits the financial exposure of an employee.  </w:t>
      </w:r>
      <w:r w:rsidR="00647CE0" w:rsidRPr="003237DF">
        <w:t>In addition</w:t>
      </w:r>
      <w:r w:rsidR="00271DE5" w:rsidRPr="003237DF">
        <w:t>,</w:t>
      </w:r>
      <w:r w:rsidR="00647CE0" w:rsidRPr="003237DF">
        <w:t xml:space="preserve"> there are requirements regarding solvency, preparation of financial information and prominent warnings about the speculative nature of holding shares in an unlisted body.</w:t>
      </w:r>
      <w:r w:rsidR="00946724" w:rsidRPr="003237DF">
        <w:t xml:space="preserve"> </w:t>
      </w:r>
    </w:p>
    <w:p w:rsidR="00546092" w:rsidRPr="003237DF" w:rsidRDefault="00C12EB4" w:rsidP="00D740A0">
      <w:pPr>
        <w:pStyle w:val="BodyText"/>
        <w:shd w:val="clear" w:color="auto" w:fill="FFFFFF" w:themeFill="background1"/>
      </w:pPr>
      <w:r w:rsidRPr="003237DF">
        <w:t>In the case of both listed and unlisted bodies</w:t>
      </w:r>
      <w:r w:rsidR="00546092" w:rsidRPr="003237DF">
        <w:t>, employers will still:</w:t>
      </w:r>
      <w:r w:rsidRPr="003237DF">
        <w:t xml:space="preserve"> </w:t>
      </w:r>
    </w:p>
    <w:p w:rsidR="00546092" w:rsidRPr="003237DF" w:rsidRDefault="00546092" w:rsidP="00546092">
      <w:pPr>
        <w:pStyle w:val="subparaa"/>
      </w:pPr>
      <w:r w:rsidRPr="003237DF">
        <w:t xml:space="preserve">provide </w:t>
      </w:r>
      <w:r w:rsidR="00C12EB4" w:rsidRPr="003237DF">
        <w:t xml:space="preserve">employees </w:t>
      </w:r>
      <w:r w:rsidRPr="003237DF">
        <w:t>with</w:t>
      </w:r>
      <w:r w:rsidR="00C12EB4" w:rsidRPr="003237DF">
        <w:t xml:space="preserve"> an offer document</w:t>
      </w:r>
      <w:r w:rsidRPr="003237DF">
        <w:t>,</w:t>
      </w:r>
      <w:r w:rsidR="00C12EB4" w:rsidRPr="003237DF">
        <w:t xml:space="preserve"> which must be presented in a clear, concise and effective manner</w:t>
      </w:r>
      <w:r w:rsidRPr="003237DF">
        <w:t>;</w:t>
      </w:r>
      <w:r w:rsidR="00C12EB4" w:rsidRPr="003237DF">
        <w:t xml:space="preserve"> </w:t>
      </w:r>
    </w:p>
    <w:p w:rsidR="00546092" w:rsidRPr="003237DF" w:rsidRDefault="00C12EB4" w:rsidP="00546092">
      <w:pPr>
        <w:pStyle w:val="subparaa"/>
      </w:pPr>
      <w:r w:rsidRPr="003237DF">
        <w:t xml:space="preserve">have trust arrangements </w:t>
      </w:r>
      <w:r w:rsidR="00546092" w:rsidRPr="003237DF">
        <w:t xml:space="preserve">that </w:t>
      </w:r>
      <w:r w:rsidRPr="003237DF">
        <w:t>recognise and protect the interest</w:t>
      </w:r>
      <w:r w:rsidR="00546092" w:rsidRPr="003237DF">
        <w:t>s</w:t>
      </w:r>
      <w:r w:rsidRPr="003237DF">
        <w:t xml:space="preserve"> of employees</w:t>
      </w:r>
      <w:r w:rsidR="00546092" w:rsidRPr="003237DF">
        <w:t>;</w:t>
      </w:r>
      <w:r w:rsidRPr="003237DF">
        <w:t xml:space="preserve"> </w:t>
      </w:r>
      <w:r w:rsidR="00546092" w:rsidRPr="003237DF">
        <w:t xml:space="preserve">and </w:t>
      </w:r>
    </w:p>
    <w:p w:rsidR="00546092" w:rsidRPr="003237DF" w:rsidRDefault="00C12EB4" w:rsidP="00546092">
      <w:pPr>
        <w:pStyle w:val="subparaa"/>
      </w:pPr>
      <w:r w:rsidRPr="003237DF">
        <w:t xml:space="preserve">provide general product warnings and caution employees </w:t>
      </w:r>
      <w:r w:rsidR="00BD10BC" w:rsidRPr="003237DF">
        <w:t xml:space="preserve">to seek independent financial advice. </w:t>
      </w:r>
    </w:p>
    <w:p w:rsidR="00D740A0" w:rsidRPr="003237DF" w:rsidRDefault="00BD10BC" w:rsidP="00D740A0">
      <w:pPr>
        <w:pStyle w:val="BodyText"/>
        <w:shd w:val="clear" w:color="auto" w:fill="FFFFFF" w:themeFill="background1"/>
      </w:pPr>
      <w:r w:rsidRPr="003237DF">
        <w:t xml:space="preserve">For listed bodies, </w:t>
      </w:r>
      <w:r w:rsidR="00647CE0" w:rsidRPr="003237DF">
        <w:t xml:space="preserve">there is a restriction from requiring payment for options and incentive rights at the point of the offer, </w:t>
      </w:r>
      <w:r w:rsidRPr="003237DF">
        <w:t>while loans and contribution plans are permissible, the offer document is required to explain these terms in a clear, concise and effective manner.</w:t>
      </w:r>
      <w:r w:rsidR="00D06D1F" w:rsidRPr="003237DF">
        <w:t xml:space="preserve"> Because </w:t>
      </w:r>
      <w:r w:rsidRPr="003237DF">
        <w:t xml:space="preserve">the loan arrangements </w:t>
      </w:r>
      <w:r w:rsidR="00455195" w:rsidRPr="003237DF">
        <w:t xml:space="preserve">will only have the benefit of relief where they </w:t>
      </w:r>
      <w:r w:rsidRPr="003237DF">
        <w:t>are no recourse, or limited recourse</w:t>
      </w:r>
      <w:r w:rsidR="00455195" w:rsidRPr="003237DF">
        <w:t xml:space="preserve">; and need to be provided free of </w:t>
      </w:r>
      <w:r w:rsidRPr="003237DF">
        <w:t xml:space="preserve">interest </w:t>
      </w:r>
      <w:r w:rsidR="00455195" w:rsidRPr="003237DF">
        <w:t xml:space="preserve">charges </w:t>
      </w:r>
      <w:r w:rsidRPr="003237DF">
        <w:t>and fee</w:t>
      </w:r>
      <w:r w:rsidR="00455195" w:rsidRPr="003237DF">
        <w:t>s</w:t>
      </w:r>
      <w:r w:rsidRPr="003237DF">
        <w:t xml:space="preserve">, this means that </w:t>
      </w:r>
      <w:r w:rsidR="00494F33" w:rsidRPr="003237DF">
        <w:t xml:space="preserve">aside from the risk of holding the financial product, </w:t>
      </w:r>
      <w:r w:rsidRPr="003237DF">
        <w:t xml:space="preserve">the only </w:t>
      </w:r>
      <w:r w:rsidR="00494F33" w:rsidRPr="003237DF">
        <w:t xml:space="preserve">other </w:t>
      </w:r>
      <w:r w:rsidRPr="003237DF">
        <w:t xml:space="preserve">financial risk the employee faces where loans are </w:t>
      </w:r>
      <w:r w:rsidR="00494F33" w:rsidRPr="003237DF">
        <w:t xml:space="preserve">provided relates to </w:t>
      </w:r>
      <w:r w:rsidRPr="003237DF">
        <w:t>the value of the financial product itself.</w:t>
      </w:r>
      <w:r w:rsidR="00946724" w:rsidRPr="003237DF">
        <w:t xml:space="preserve"> </w:t>
      </w:r>
      <w:r w:rsidRPr="003237DF">
        <w:t xml:space="preserve">In the event </w:t>
      </w:r>
      <w:r w:rsidR="007D0497" w:rsidRPr="003237DF">
        <w:t xml:space="preserve">that </w:t>
      </w:r>
      <w:r w:rsidRPr="003237DF">
        <w:t>the financial product is worth less than the amount owing on the loan, the employee is not responsible for the debt</w:t>
      </w:r>
      <w:r w:rsidR="00836929" w:rsidRPr="003237DF">
        <w:t>,</w:t>
      </w:r>
      <w:r w:rsidRPr="003237DF">
        <w:t xml:space="preserve"> which is borne by the employer.</w:t>
      </w:r>
    </w:p>
    <w:p w:rsidR="00D740A0" w:rsidRPr="003237DF" w:rsidRDefault="00054196" w:rsidP="00D740A0">
      <w:pPr>
        <w:pStyle w:val="BodyText"/>
        <w:shd w:val="clear" w:color="auto" w:fill="FFFFFF" w:themeFill="background1"/>
      </w:pPr>
      <w:r w:rsidRPr="003237DF">
        <w:t>Australian</w:t>
      </w:r>
      <w:r w:rsidR="00511A0B">
        <w:t>-resident</w:t>
      </w:r>
      <w:r w:rsidRPr="003237DF">
        <w:t xml:space="preserve"> employees of a f</w:t>
      </w:r>
      <w:r w:rsidR="00D740A0" w:rsidRPr="003237DF">
        <w:t xml:space="preserve">oreign employer with a small </w:t>
      </w:r>
      <w:r w:rsidR="009A2E4A" w:rsidRPr="003237DF">
        <w:t xml:space="preserve">workforce </w:t>
      </w:r>
      <w:r w:rsidRPr="003237DF">
        <w:t>in Australia will have a greater opportunity to participate</w:t>
      </w:r>
      <w:r w:rsidR="007D0497" w:rsidRPr="003237DF">
        <w:t>,</w:t>
      </w:r>
      <w:r w:rsidR="00D06D1F" w:rsidRPr="003237DF">
        <w:t xml:space="preserve"> because </w:t>
      </w:r>
      <w:r w:rsidRPr="003237DF">
        <w:t xml:space="preserve">the new class order will make it less costly for </w:t>
      </w:r>
      <w:r w:rsidR="004F35F5" w:rsidRPr="003237DF">
        <w:t>foreign employer</w:t>
      </w:r>
      <w:r w:rsidR="000A69B0" w:rsidRPr="003237DF">
        <w:t>s</w:t>
      </w:r>
      <w:r w:rsidR="004F35F5" w:rsidRPr="003237DF">
        <w:t xml:space="preserve"> to make their multinational employee incentive scheme</w:t>
      </w:r>
      <w:r w:rsidR="000A69B0" w:rsidRPr="003237DF">
        <w:t>s</w:t>
      </w:r>
      <w:r w:rsidR="004F35F5" w:rsidRPr="003237DF">
        <w:t xml:space="preserve"> available to their Australian</w:t>
      </w:r>
      <w:r w:rsidR="00511A0B">
        <w:t>-resident</w:t>
      </w:r>
      <w:r w:rsidR="004F35F5" w:rsidRPr="003237DF">
        <w:t xml:space="preserve"> employees.</w:t>
      </w:r>
    </w:p>
    <w:p w:rsidR="000E1EB3" w:rsidRPr="003237DF" w:rsidRDefault="000E1EB3" w:rsidP="000E1EB3">
      <w:pPr>
        <w:pStyle w:val="Heading3"/>
      </w:pPr>
      <w:r w:rsidRPr="003237DF">
        <w:t>Impact</w:t>
      </w:r>
      <w:r w:rsidR="004F35F5" w:rsidRPr="003237DF">
        <w:t xml:space="preserve">, costs and benefits to </w:t>
      </w:r>
      <w:r w:rsidRPr="003237DF">
        <w:t>other stakeholders</w:t>
      </w:r>
    </w:p>
    <w:p w:rsidR="000E1EB3" w:rsidRPr="003237DF" w:rsidRDefault="000E1EB3" w:rsidP="000E1EB3">
      <w:pPr>
        <w:pStyle w:val="Heading4"/>
        <w:shd w:val="clear" w:color="auto" w:fill="FFFFFF" w:themeFill="background1"/>
      </w:pPr>
      <w:r w:rsidRPr="003237DF">
        <w:t>Trustees</w:t>
      </w:r>
    </w:p>
    <w:p w:rsidR="00D740A0" w:rsidRPr="003237DF" w:rsidRDefault="00D740A0" w:rsidP="00D740A0">
      <w:pPr>
        <w:pStyle w:val="BodyText"/>
        <w:shd w:val="clear" w:color="auto" w:fill="FFFFFF" w:themeFill="background1"/>
      </w:pPr>
      <w:r w:rsidRPr="003237DF">
        <w:t xml:space="preserve">We have </w:t>
      </w:r>
      <w:r w:rsidR="00E251D0" w:rsidRPr="003237DF">
        <w:t xml:space="preserve">removed </w:t>
      </w:r>
      <w:r w:rsidRPr="003237DF">
        <w:t>from our class order the obligation to have the financial records of the trust audited.</w:t>
      </w:r>
      <w:r w:rsidR="00946724" w:rsidRPr="003237DF">
        <w:t xml:space="preserve"> </w:t>
      </w:r>
      <w:r w:rsidR="00036615" w:rsidRPr="003237DF">
        <w:t>W</w:t>
      </w:r>
      <w:r w:rsidRPr="003237DF">
        <w:t xml:space="preserve">e </w:t>
      </w:r>
      <w:r w:rsidR="00036615" w:rsidRPr="003237DF">
        <w:t xml:space="preserve">have been </w:t>
      </w:r>
      <w:r w:rsidRPr="003237DF">
        <w:t>told</w:t>
      </w:r>
      <w:r w:rsidR="00036615" w:rsidRPr="003237DF">
        <w:t xml:space="preserve"> that this imposes </w:t>
      </w:r>
      <w:r w:rsidRPr="003237DF">
        <w:t>an additional</w:t>
      </w:r>
      <w:r w:rsidR="00036615" w:rsidRPr="003237DF">
        <w:t xml:space="preserve"> and</w:t>
      </w:r>
      <w:r w:rsidRPr="003237DF">
        <w:t xml:space="preserve"> unnecessary burden</w:t>
      </w:r>
      <w:r w:rsidR="007A3F33" w:rsidRPr="003237DF">
        <w:t xml:space="preserve"> </w:t>
      </w:r>
      <w:r w:rsidRPr="003237DF">
        <w:t xml:space="preserve">where the trust </w:t>
      </w:r>
      <w:r w:rsidR="007A3F33" w:rsidRPr="003237DF">
        <w:t xml:space="preserve">is </w:t>
      </w:r>
      <w:r w:rsidRPr="003237DF">
        <w:t>not already required</w:t>
      </w:r>
      <w:r w:rsidR="00511A0B">
        <w:t>,</w:t>
      </w:r>
      <w:r w:rsidRPr="003237DF">
        <w:t xml:space="preserve"> under the Corporations Act</w:t>
      </w:r>
      <w:r w:rsidR="00511A0B">
        <w:t xml:space="preserve">, </w:t>
      </w:r>
      <w:r w:rsidR="00511A0B" w:rsidRPr="003237DF">
        <w:t>to undertake an audit</w:t>
      </w:r>
      <w:r w:rsidRPr="003237DF">
        <w:t>.</w:t>
      </w:r>
      <w:r w:rsidR="00946724" w:rsidRPr="003237DF">
        <w:t xml:space="preserve"> </w:t>
      </w:r>
    </w:p>
    <w:p w:rsidR="00D740A0" w:rsidRPr="003237DF" w:rsidRDefault="007A3F33" w:rsidP="00D740A0">
      <w:pPr>
        <w:pStyle w:val="BodyText"/>
        <w:shd w:val="clear" w:color="auto" w:fill="FFFFFF" w:themeFill="background1"/>
      </w:pPr>
      <w:r w:rsidRPr="003237DF">
        <w:t xml:space="preserve">Our new class orders will also permit </w:t>
      </w:r>
      <w:r w:rsidR="00D740A0" w:rsidRPr="003237DF">
        <w:t xml:space="preserve">underlying financial products </w:t>
      </w:r>
      <w:r w:rsidRPr="003237DF">
        <w:t>to be held on a</w:t>
      </w:r>
      <w:r w:rsidR="00D740A0" w:rsidRPr="003237DF">
        <w:t xml:space="preserve"> pooled basis</w:t>
      </w:r>
      <w:r w:rsidR="00306DC7" w:rsidRPr="003237DF">
        <w:t>,</w:t>
      </w:r>
      <w:r w:rsidRPr="003237DF">
        <w:t xml:space="preserve"> which </w:t>
      </w:r>
      <w:r w:rsidR="00D740A0" w:rsidRPr="003237DF">
        <w:t xml:space="preserve">was not permissible under </w:t>
      </w:r>
      <w:r w:rsidR="00153C8E" w:rsidRPr="003237DF">
        <w:t>[CO </w:t>
      </w:r>
      <w:r w:rsidR="00D740A0" w:rsidRPr="003237DF">
        <w:t>03/184]</w:t>
      </w:r>
      <w:r w:rsidRPr="003237DF">
        <w:t xml:space="preserve">. This will broaden the services </w:t>
      </w:r>
      <w:r w:rsidR="007D0497" w:rsidRPr="003237DF">
        <w:t xml:space="preserve">that </w:t>
      </w:r>
      <w:r w:rsidRPr="003237DF">
        <w:t xml:space="preserve">a </w:t>
      </w:r>
      <w:r w:rsidR="00D740A0" w:rsidRPr="003237DF">
        <w:t xml:space="preserve">professional trustee is </w:t>
      </w:r>
      <w:r w:rsidRPr="003237DF">
        <w:t>able to provide their employer-cl</w:t>
      </w:r>
      <w:r w:rsidR="00D740A0" w:rsidRPr="003237DF">
        <w:t>ient</w:t>
      </w:r>
      <w:r w:rsidRPr="003237DF">
        <w:t>s</w:t>
      </w:r>
      <w:r w:rsidR="00D740A0" w:rsidRPr="003237DF">
        <w:t xml:space="preserve">. </w:t>
      </w:r>
    </w:p>
    <w:p w:rsidR="00D740A0" w:rsidRPr="003237DF" w:rsidRDefault="00D740A0" w:rsidP="00D740A0">
      <w:pPr>
        <w:pStyle w:val="Heading4"/>
      </w:pPr>
      <w:r w:rsidRPr="003237DF">
        <w:t>ASIC</w:t>
      </w:r>
    </w:p>
    <w:p w:rsidR="00D740A0" w:rsidRPr="003237DF" w:rsidRDefault="00D740A0" w:rsidP="00D740A0">
      <w:pPr>
        <w:pStyle w:val="BodyText"/>
        <w:shd w:val="clear" w:color="auto" w:fill="FFFFFF" w:themeFill="background1"/>
      </w:pPr>
      <w:r w:rsidRPr="003237DF">
        <w:t xml:space="preserve">The broadening of relief under the new class orders and revised RG 49 will reduce the need for ASIC to </w:t>
      </w:r>
      <w:r w:rsidR="00306DC7" w:rsidRPr="003237DF">
        <w:t xml:space="preserve">utilise </w:t>
      </w:r>
      <w:r w:rsidRPr="003237DF">
        <w:t>staff and resources in assessing employee incentive scheme applications, and will reduce the administration required to process the offer document and related employee incentive scheme documentation.</w:t>
      </w:r>
      <w:r w:rsidR="00946724" w:rsidRPr="003237DF">
        <w:t xml:space="preserve"> </w:t>
      </w:r>
      <w:r w:rsidRPr="003237DF">
        <w:t>This will enable ASIC to better utilise its resources on undertaking more surveillance, compliance and enforcement activities where there is a greater risk to investors</w:t>
      </w:r>
      <w:r w:rsidR="006A7EEE" w:rsidRPr="003237DF">
        <w:t xml:space="preserve"> and </w:t>
      </w:r>
      <w:r w:rsidR="00306DC7" w:rsidRPr="003237DF">
        <w:t xml:space="preserve">a </w:t>
      </w:r>
      <w:r w:rsidRPr="003237DF">
        <w:t xml:space="preserve">greater </w:t>
      </w:r>
      <w:r w:rsidR="00306DC7" w:rsidRPr="003237DF">
        <w:t xml:space="preserve">potential </w:t>
      </w:r>
      <w:r w:rsidRPr="003237DF">
        <w:t xml:space="preserve">benefit to the market. </w:t>
      </w:r>
    </w:p>
    <w:p w:rsidR="009B42CA" w:rsidRPr="003237DF" w:rsidRDefault="009A2E4A" w:rsidP="0084546B">
      <w:pPr>
        <w:pStyle w:val="BodyText"/>
        <w:shd w:val="clear" w:color="auto" w:fill="FFFFFF" w:themeFill="background1"/>
      </w:pPr>
      <w:r w:rsidRPr="003237DF">
        <w:t xml:space="preserve">The simplification of the notification requirements will reduce the administrative processes </w:t>
      </w:r>
      <w:r w:rsidR="00306DC7" w:rsidRPr="003237DF">
        <w:t xml:space="preserve">that </w:t>
      </w:r>
      <w:r w:rsidRPr="003237DF">
        <w:t xml:space="preserve">ASIC has to undertake </w:t>
      </w:r>
      <w:r w:rsidR="007D0497" w:rsidRPr="003237DF">
        <w:t xml:space="preserve">and </w:t>
      </w:r>
      <w:r w:rsidRPr="003237DF">
        <w:t>will result in some savings to ASIC</w:t>
      </w:r>
      <w:r w:rsidR="00946724" w:rsidRPr="003237DF">
        <w:t>’</w:t>
      </w:r>
      <w:r w:rsidRPr="003237DF">
        <w:t xml:space="preserve">s registry functions. </w:t>
      </w:r>
    </w:p>
    <w:p w:rsidR="00DA4F32" w:rsidRPr="003237DF" w:rsidRDefault="00DA4F32" w:rsidP="0047115C">
      <w:pPr>
        <w:pStyle w:val="Heading3"/>
      </w:pPr>
      <w:r w:rsidRPr="003237DF">
        <w:t>What is the net impact?</w:t>
      </w:r>
    </w:p>
    <w:p w:rsidR="00A1462E" w:rsidRPr="003237DF" w:rsidRDefault="00306DC7" w:rsidP="00A1462E">
      <w:pPr>
        <w:pStyle w:val="BodyText"/>
        <w:shd w:val="clear" w:color="auto" w:fill="FFFFFF" w:themeFill="background1"/>
      </w:pPr>
      <w:r w:rsidRPr="003237DF">
        <w:t xml:space="preserve">Because </w:t>
      </w:r>
      <w:r w:rsidR="00A62822" w:rsidRPr="003237DF">
        <w:t xml:space="preserve">our proposals </w:t>
      </w:r>
      <w:r w:rsidR="004F35F5" w:rsidRPr="003237DF">
        <w:t xml:space="preserve">are expanding the scope of </w:t>
      </w:r>
      <w:r w:rsidR="00A62822" w:rsidRPr="003237DF">
        <w:t xml:space="preserve">employee incentive scheme </w:t>
      </w:r>
      <w:r w:rsidR="004F35F5" w:rsidRPr="003237DF">
        <w:t xml:space="preserve">relief </w:t>
      </w:r>
      <w:r w:rsidR="00A62822" w:rsidRPr="003237DF">
        <w:t xml:space="preserve">from what </w:t>
      </w:r>
      <w:r w:rsidR="004F35F5" w:rsidRPr="003237DF">
        <w:t xml:space="preserve">is currently available under </w:t>
      </w:r>
      <w:r w:rsidR="00153C8E" w:rsidRPr="003237DF">
        <w:t>[CO </w:t>
      </w:r>
      <w:r w:rsidR="004F35F5" w:rsidRPr="003237DF">
        <w:t xml:space="preserve">03/184], </w:t>
      </w:r>
      <w:r w:rsidR="00BE7F0B" w:rsidRPr="003237DF">
        <w:t xml:space="preserve">while maintaining protection for </w:t>
      </w:r>
      <w:r w:rsidR="00F70F84" w:rsidRPr="003237DF">
        <w:t>employees</w:t>
      </w:r>
      <w:r w:rsidR="00BE7F0B" w:rsidRPr="003237DF">
        <w:t xml:space="preserve">, </w:t>
      </w:r>
      <w:r w:rsidR="004F35F5" w:rsidRPr="003237DF">
        <w:t xml:space="preserve">we </w:t>
      </w:r>
      <w:r w:rsidR="00A62822" w:rsidRPr="003237DF">
        <w:t xml:space="preserve">consider the </w:t>
      </w:r>
      <w:r w:rsidR="00890424" w:rsidRPr="003237DF">
        <w:t xml:space="preserve">net impact </w:t>
      </w:r>
      <w:r w:rsidR="004F35F5" w:rsidRPr="003237DF">
        <w:t xml:space="preserve">is positive. </w:t>
      </w:r>
    </w:p>
    <w:p w:rsidR="00DA4F32" w:rsidRPr="003237DF" w:rsidRDefault="00DA4F32" w:rsidP="003D756A">
      <w:pPr>
        <w:pStyle w:val="Heading3"/>
      </w:pPr>
      <w:r w:rsidRPr="003237DF">
        <w:t>Are there any competition considerations?</w:t>
      </w:r>
    </w:p>
    <w:p w:rsidR="00DA4F32" w:rsidRPr="003237DF" w:rsidRDefault="00A62822" w:rsidP="00DA4F32">
      <w:pPr>
        <w:pStyle w:val="BodyText"/>
      </w:pPr>
      <w:r w:rsidRPr="003237DF">
        <w:t xml:space="preserve">The only competition consideration is the </w:t>
      </w:r>
      <w:r w:rsidR="00A1462E" w:rsidRPr="003237DF">
        <w:t xml:space="preserve">different </w:t>
      </w:r>
      <w:r w:rsidRPr="003237DF">
        <w:t>conditions o</w:t>
      </w:r>
      <w:r w:rsidR="00306DC7" w:rsidRPr="003237DF">
        <w:t>f</w:t>
      </w:r>
      <w:r w:rsidRPr="003237DF">
        <w:t xml:space="preserve"> class order relief </w:t>
      </w:r>
      <w:r w:rsidR="003076E0" w:rsidRPr="003237DF">
        <w:t xml:space="preserve">for </w:t>
      </w:r>
      <w:r w:rsidRPr="003237DF">
        <w:t xml:space="preserve">listed bodies and unlisted bodies. </w:t>
      </w:r>
      <w:r w:rsidR="00A1462E" w:rsidRPr="003237DF">
        <w:t xml:space="preserve">While </w:t>
      </w:r>
      <w:r w:rsidR="003076E0" w:rsidRPr="003237DF">
        <w:t xml:space="preserve">less conditions are imposed on </w:t>
      </w:r>
      <w:r w:rsidR="00BE7F0B" w:rsidRPr="003237DF">
        <w:t xml:space="preserve">offers to employees of listed companies under </w:t>
      </w:r>
      <w:r w:rsidR="00FA3D24" w:rsidRPr="003237DF">
        <w:t>[CO 14/1000]</w:t>
      </w:r>
      <w:r w:rsidRPr="003237DF">
        <w:t xml:space="preserve"> than </w:t>
      </w:r>
      <w:r w:rsidR="00BE7F0B" w:rsidRPr="003237DF">
        <w:t xml:space="preserve">offers to employees of unlisted companies under </w:t>
      </w:r>
      <w:r w:rsidR="00FA3D24" w:rsidRPr="003237DF">
        <w:t>[CO 14/1001]</w:t>
      </w:r>
      <w:r w:rsidRPr="003237DF">
        <w:t xml:space="preserve">, we consider </w:t>
      </w:r>
      <w:r w:rsidR="003076E0" w:rsidRPr="003237DF">
        <w:t xml:space="preserve">that </w:t>
      </w:r>
      <w:r w:rsidR="00A1462E" w:rsidRPr="003237DF">
        <w:t xml:space="preserve">our concerns about the adequacy of information available to employees in relation to unlisted employers makes this </w:t>
      </w:r>
      <w:r w:rsidRPr="003237DF">
        <w:t xml:space="preserve">necessary and </w:t>
      </w:r>
      <w:r w:rsidR="00A1462E" w:rsidRPr="003237DF">
        <w:t>unavoidable.</w:t>
      </w:r>
    </w:p>
    <w:p w:rsidR="00A1462E" w:rsidRPr="003237DF" w:rsidRDefault="00A62822" w:rsidP="00DA4F32">
      <w:pPr>
        <w:pStyle w:val="BodyText"/>
      </w:pPr>
      <w:r w:rsidRPr="003237DF">
        <w:t>We note that</w:t>
      </w:r>
      <w:r w:rsidR="003076E0" w:rsidRPr="003237DF">
        <w:t>,</w:t>
      </w:r>
      <w:r w:rsidRPr="003237DF">
        <w:t xml:space="preserve"> </w:t>
      </w:r>
      <w:r w:rsidR="00A1462E" w:rsidRPr="003237DF">
        <w:t xml:space="preserve">compared </w:t>
      </w:r>
      <w:r w:rsidR="00D06D1F" w:rsidRPr="003237DF">
        <w:t>with</w:t>
      </w:r>
      <w:r w:rsidR="00A1462E" w:rsidRPr="003237DF">
        <w:t xml:space="preserve"> </w:t>
      </w:r>
      <w:r w:rsidR="00153C8E" w:rsidRPr="003237DF">
        <w:t>[CO </w:t>
      </w:r>
      <w:r w:rsidR="00A1462E" w:rsidRPr="003237DF">
        <w:t xml:space="preserve">03/184], </w:t>
      </w:r>
      <w:r w:rsidR="00FA3D24" w:rsidRPr="003237DF">
        <w:t>[CO 14/1001]</w:t>
      </w:r>
      <w:r w:rsidR="00A1462E" w:rsidRPr="003237DF">
        <w:t xml:space="preserve"> has substantially broadened the scope of relief</w:t>
      </w:r>
      <w:r w:rsidR="00D740A0" w:rsidRPr="003237DF">
        <w:t xml:space="preserve"> </w:t>
      </w:r>
      <w:r w:rsidR="003076E0" w:rsidRPr="003237DF">
        <w:t xml:space="preserve">available </w:t>
      </w:r>
      <w:r w:rsidR="00D740A0" w:rsidRPr="003237DF">
        <w:t>for unlisted bodies.</w:t>
      </w:r>
    </w:p>
    <w:p w:rsidR="007C5CC7" w:rsidRPr="003237DF" w:rsidRDefault="007C5CC7" w:rsidP="000C743E">
      <w:pPr>
        <w:pStyle w:val="Heading2"/>
      </w:pPr>
      <w:bookmarkStart w:id="33" w:name="_Toc398206735"/>
      <w:r w:rsidRPr="003237DF">
        <w:t xml:space="preserve">Option 2: Making substantive changes </w:t>
      </w:r>
      <w:r w:rsidR="007473D1" w:rsidRPr="003237DF">
        <w:t xml:space="preserve">to broaden the scope of relief </w:t>
      </w:r>
      <w:r w:rsidRPr="003237DF">
        <w:t>without imposing conditions</w:t>
      </w:r>
      <w:bookmarkEnd w:id="33"/>
    </w:p>
    <w:p w:rsidR="009F7FB9" w:rsidRPr="003237DF" w:rsidRDefault="007B4988" w:rsidP="006C63BA">
      <w:pPr>
        <w:pStyle w:val="BodyText"/>
      </w:pPr>
      <w:r w:rsidRPr="003237DF">
        <w:t>Under this proposal</w:t>
      </w:r>
      <w:r w:rsidR="00C8718A" w:rsidRPr="003237DF">
        <w:t>,</w:t>
      </w:r>
      <w:r w:rsidRPr="003237DF">
        <w:t xml:space="preserve"> we would broaden our relief (similar to Option 1)</w:t>
      </w:r>
      <w:r w:rsidR="00956605" w:rsidRPr="003237DF">
        <w:t>—</w:t>
      </w:r>
      <w:r w:rsidRPr="003237DF">
        <w:t>however</w:t>
      </w:r>
      <w:r w:rsidR="00956605" w:rsidRPr="003237DF">
        <w:t>,</w:t>
      </w:r>
      <w:r w:rsidRPr="003237DF">
        <w:t xml:space="preserve"> we would not impose </w:t>
      </w:r>
      <w:r w:rsidR="009F7FB9" w:rsidRPr="003237DF">
        <w:t>particular conditions on such relief.</w:t>
      </w:r>
      <w:r w:rsidR="00946724" w:rsidRPr="003237DF">
        <w:t xml:space="preserve"> </w:t>
      </w:r>
      <w:r w:rsidR="009F7FB9" w:rsidRPr="003237DF">
        <w:t xml:space="preserve">For example, </w:t>
      </w:r>
      <w:r w:rsidR="0071224D" w:rsidRPr="003237DF">
        <w:t xml:space="preserve">this would mean </w:t>
      </w:r>
      <w:r w:rsidR="00EF627F" w:rsidRPr="003237DF">
        <w:t xml:space="preserve">that </w:t>
      </w:r>
      <w:r w:rsidR="009F7FB9" w:rsidRPr="003237DF">
        <w:t>we would:</w:t>
      </w:r>
    </w:p>
    <w:p w:rsidR="0071224D" w:rsidRPr="003237DF" w:rsidRDefault="0071224D" w:rsidP="0071224D">
      <w:pPr>
        <w:pStyle w:val="subparaa"/>
      </w:pPr>
      <w:r w:rsidRPr="003237DF">
        <w:t xml:space="preserve">leave it to employers to determine whether they had a sufficient relationship with the issuer to </w:t>
      </w:r>
      <w:r w:rsidR="009F7FB9" w:rsidRPr="003237DF">
        <w:t xml:space="preserve">offer financial products </w:t>
      </w:r>
      <w:r w:rsidRPr="003237DF">
        <w:t>of the issuer;</w:t>
      </w:r>
    </w:p>
    <w:p w:rsidR="0071224D" w:rsidRPr="003237DF" w:rsidRDefault="0071224D" w:rsidP="0071224D">
      <w:pPr>
        <w:pStyle w:val="subparaa"/>
      </w:pPr>
      <w:r w:rsidRPr="003237DF">
        <w:t>leave it to employers to determine the categories of</w:t>
      </w:r>
      <w:r w:rsidR="009F7FB9" w:rsidRPr="003237DF">
        <w:t xml:space="preserve"> persons </w:t>
      </w:r>
      <w:r w:rsidRPr="003237DF">
        <w:t xml:space="preserve">they would make </w:t>
      </w:r>
      <w:r w:rsidR="009F7FB9" w:rsidRPr="003237DF">
        <w:t xml:space="preserve">offers </w:t>
      </w:r>
      <w:r w:rsidRPr="003237DF">
        <w:t>to;</w:t>
      </w:r>
    </w:p>
    <w:p w:rsidR="0071224D" w:rsidRPr="003237DF" w:rsidRDefault="0071224D" w:rsidP="0071224D">
      <w:pPr>
        <w:pStyle w:val="subparaa"/>
      </w:pPr>
      <w:r w:rsidRPr="003237DF">
        <w:t>not place any issue limits on the number of underlying financial products that could be issued under an employee incentive scheme;</w:t>
      </w:r>
      <w:r w:rsidR="006A7EEE" w:rsidRPr="003237DF">
        <w:t xml:space="preserve"> and</w:t>
      </w:r>
    </w:p>
    <w:p w:rsidR="007B4988" w:rsidRPr="003237DF" w:rsidRDefault="0071224D" w:rsidP="0071224D">
      <w:pPr>
        <w:pStyle w:val="subparaa"/>
      </w:pPr>
      <w:r w:rsidRPr="003237DF">
        <w:t xml:space="preserve">leave it to commercial arrangements to determine the terms of any trusts, contribution plans and loans. </w:t>
      </w:r>
    </w:p>
    <w:p w:rsidR="009E330E" w:rsidRPr="003237DF" w:rsidRDefault="009E330E" w:rsidP="0047115C">
      <w:pPr>
        <w:pStyle w:val="Heading3"/>
      </w:pPr>
      <w:r w:rsidRPr="003237DF">
        <w:t xml:space="preserve">Impact on </w:t>
      </w:r>
      <w:r w:rsidR="004F35F5" w:rsidRPr="003237DF">
        <w:t>employers</w:t>
      </w:r>
    </w:p>
    <w:p w:rsidR="00C8718A" w:rsidRPr="003237DF" w:rsidRDefault="00BA7CB9" w:rsidP="009E330E">
      <w:pPr>
        <w:pStyle w:val="BodyText"/>
      </w:pPr>
      <w:r w:rsidRPr="003237DF">
        <w:t xml:space="preserve">The effect of providing employers with relief from </w:t>
      </w:r>
      <w:r w:rsidR="00C8718A" w:rsidRPr="003237DF">
        <w:t xml:space="preserve">the </w:t>
      </w:r>
      <w:r w:rsidRPr="003237DF">
        <w:t>disclosure, licensing, managed investment scheme registration, advertising</w:t>
      </w:r>
      <w:r w:rsidR="00C8718A" w:rsidRPr="003237DF">
        <w:t>, hawking,</w:t>
      </w:r>
      <w:r w:rsidRPr="003237DF">
        <w:t xml:space="preserve"> and on-sale</w:t>
      </w:r>
      <w:r w:rsidR="00C8718A" w:rsidRPr="003237DF">
        <w:t xml:space="preserve"> provisions </w:t>
      </w:r>
      <w:r w:rsidRPr="003237DF">
        <w:t>to make offers of financial products under employee incentive schemes would reduce the cost to industry.</w:t>
      </w:r>
      <w:r w:rsidR="00DC7548" w:rsidRPr="003237DF">
        <w:t xml:space="preserve"> </w:t>
      </w:r>
    </w:p>
    <w:p w:rsidR="009E330E" w:rsidRPr="003237DF" w:rsidRDefault="00DC7548" w:rsidP="009E330E">
      <w:pPr>
        <w:pStyle w:val="BodyText"/>
      </w:pPr>
      <w:r w:rsidRPr="003237DF">
        <w:t xml:space="preserve">The cost savings of Option 2 </w:t>
      </w:r>
      <w:r w:rsidR="00BD10BC" w:rsidRPr="003237DF">
        <w:t xml:space="preserve">are estimated </w:t>
      </w:r>
      <w:r w:rsidRPr="003237DF">
        <w:t>roughly equivalent to Option 1.</w:t>
      </w:r>
      <w:r w:rsidR="00A87581" w:rsidRPr="003237DF">
        <w:t xml:space="preserve"> This is because</w:t>
      </w:r>
      <w:r w:rsidR="002A4F24" w:rsidRPr="003237DF">
        <w:t>, while the economic benefits will be greater under Option 2,</w:t>
      </w:r>
      <w:r w:rsidR="00A87581" w:rsidRPr="003237DF">
        <w:t xml:space="preserve"> the cost</w:t>
      </w:r>
      <w:r w:rsidR="00C8718A" w:rsidRPr="003237DF">
        <w:t>s</w:t>
      </w:r>
      <w:r w:rsidR="00A87581" w:rsidRPr="003237DF">
        <w:t xml:space="preserve"> of complying with the conditions imposed under Option 1 </w:t>
      </w:r>
      <w:r w:rsidR="00C8718A" w:rsidRPr="003237DF">
        <w:t xml:space="preserve">are </w:t>
      </w:r>
      <w:r w:rsidR="00A87581" w:rsidRPr="003237DF">
        <w:t>not considered to be significant</w:t>
      </w:r>
      <w:r w:rsidR="002A4F24" w:rsidRPr="003237DF">
        <w:t>ly different to those under Option 2</w:t>
      </w:r>
      <w:r w:rsidR="00A87581" w:rsidRPr="003237DF">
        <w:t>. Employers will generally need to seek advice on structuring their employee incentive schemes</w:t>
      </w:r>
      <w:r w:rsidR="00C8718A" w:rsidRPr="003237DF">
        <w:t>,</w:t>
      </w:r>
      <w:r w:rsidR="00A87581" w:rsidRPr="003237DF">
        <w:t xml:space="preserve"> and ASIC</w:t>
      </w:r>
      <w:r w:rsidR="00946724" w:rsidRPr="003237DF">
        <w:t>’</w:t>
      </w:r>
      <w:r w:rsidR="00A87581" w:rsidRPr="003237DF">
        <w:t xml:space="preserve">s conditions </w:t>
      </w:r>
      <w:r w:rsidR="00C8718A" w:rsidRPr="003237DF">
        <w:t xml:space="preserve">by </w:t>
      </w:r>
      <w:r w:rsidR="00A87581" w:rsidRPr="003237DF">
        <w:t>themselves do not impose significant additional compliance issues for employers.</w:t>
      </w:r>
      <w:r w:rsidR="00946724" w:rsidRPr="003237DF">
        <w:t xml:space="preserve"> </w:t>
      </w:r>
      <w:r w:rsidR="009F1667" w:rsidRPr="003237DF">
        <w:t xml:space="preserve">We </w:t>
      </w:r>
      <w:r w:rsidR="002A4F24" w:rsidRPr="003237DF">
        <w:t xml:space="preserve">therefore </w:t>
      </w:r>
      <w:r w:rsidR="009F1667" w:rsidRPr="003237DF">
        <w:t xml:space="preserve">estimate the cost savings associated with Option 2 to </w:t>
      </w:r>
      <w:r w:rsidR="002A4F24" w:rsidRPr="003237DF">
        <w:t xml:space="preserve">also </w:t>
      </w:r>
      <w:r w:rsidR="009F1667" w:rsidRPr="003237DF">
        <w:t xml:space="preserve">be </w:t>
      </w:r>
      <w:r w:rsidR="006E5AB7" w:rsidRPr="003237DF">
        <w:t>approximately $3.095 million per year</w:t>
      </w:r>
      <w:r w:rsidR="009F1667" w:rsidRPr="003237DF">
        <w:t>.</w:t>
      </w:r>
    </w:p>
    <w:p w:rsidR="009B23D5" w:rsidRPr="003237DF" w:rsidRDefault="0071224D" w:rsidP="009E330E">
      <w:pPr>
        <w:pStyle w:val="BodyText"/>
      </w:pPr>
      <w:r w:rsidRPr="003237DF">
        <w:t xml:space="preserve">However, responses to </w:t>
      </w:r>
      <w:r w:rsidR="009B23D5" w:rsidRPr="003237DF">
        <w:t>our public consultation</w:t>
      </w:r>
      <w:r w:rsidRPr="003237DF">
        <w:t xml:space="preserve"> acknowledged that this would not provide </w:t>
      </w:r>
      <w:r w:rsidR="00C45A0B">
        <w:t>a</w:t>
      </w:r>
      <w:r w:rsidR="00455195" w:rsidRPr="003237DF">
        <w:t xml:space="preserve"> level</w:t>
      </w:r>
      <w:r w:rsidRPr="003237DF">
        <w:t xml:space="preserve"> of protection to employees </w:t>
      </w:r>
      <w:r w:rsidR="006C63BA" w:rsidRPr="003237DF">
        <w:t>that</w:t>
      </w:r>
      <w:r w:rsidR="00E54BCF" w:rsidRPr="003237DF">
        <w:t xml:space="preserve"> </w:t>
      </w:r>
      <w:r w:rsidR="00455195" w:rsidRPr="003237DF">
        <w:t>employees are entitled to assume they will receive, notwithstanding they will not receive a regulated disclosure document.</w:t>
      </w:r>
    </w:p>
    <w:p w:rsidR="00BA7CB9" w:rsidRPr="003237DF" w:rsidRDefault="00BA7CB9" w:rsidP="0047115C">
      <w:pPr>
        <w:pStyle w:val="Heading3"/>
      </w:pPr>
      <w:r w:rsidRPr="003237DF">
        <w:t xml:space="preserve">Impact on </w:t>
      </w:r>
      <w:r w:rsidR="007B4988" w:rsidRPr="003237DF">
        <w:t>employees</w:t>
      </w:r>
    </w:p>
    <w:p w:rsidR="00CB6E2D" w:rsidRPr="003237DF" w:rsidRDefault="007473D1" w:rsidP="00CB6E2D">
      <w:pPr>
        <w:pStyle w:val="BodyText"/>
      </w:pPr>
      <w:r w:rsidRPr="003237DF">
        <w:t xml:space="preserve">From the submissions we received, it </w:t>
      </w:r>
      <w:r w:rsidR="00CB6E2D" w:rsidRPr="003237DF">
        <w:t xml:space="preserve">is apparent </w:t>
      </w:r>
      <w:r w:rsidRPr="003237DF">
        <w:t xml:space="preserve">that </w:t>
      </w:r>
      <w:r w:rsidR="00C8718A" w:rsidRPr="003237DF">
        <w:t xml:space="preserve">under Option 2 </w:t>
      </w:r>
      <w:r w:rsidR="00CB6E2D" w:rsidRPr="003237DF">
        <w:t xml:space="preserve">employers would be at liberty to offer </w:t>
      </w:r>
      <w:r w:rsidRPr="003237DF">
        <w:t xml:space="preserve">employee incentive schemes </w:t>
      </w:r>
      <w:r w:rsidR="00CB6E2D" w:rsidRPr="003237DF">
        <w:t>without limitation.</w:t>
      </w:r>
      <w:r w:rsidR="00946724" w:rsidRPr="003237DF">
        <w:t xml:space="preserve"> </w:t>
      </w:r>
      <w:r w:rsidR="00CB6E2D" w:rsidRPr="003237DF">
        <w:t>While this would mean that employee incentive schemes would be accessible to a much larger population of employees, it would also mean that a large number of employees may not understand the risks and terms of the offer.</w:t>
      </w:r>
    </w:p>
    <w:p w:rsidR="007473D1" w:rsidRPr="003237DF" w:rsidRDefault="007473D1" w:rsidP="00CB6E2D">
      <w:pPr>
        <w:pStyle w:val="BodyText"/>
      </w:pPr>
      <w:r w:rsidRPr="003237DF">
        <w:t>We consider that a certain minimum level of information and disclosure is still required despite the existing employer</w:t>
      </w:r>
      <w:r w:rsidR="00956605" w:rsidRPr="003237DF">
        <w:t>–</w:t>
      </w:r>
      <w:r w:rsidRPr="003237DF">
        <w:t>employee relationship.</w:t>
      </w:r>
    </w:p>
    <w:p w:rsidR="00BA7CB9" w:rsidRPr="003237DF" w:rsidRDefault="00BA7CB9" w:rsidP="00BA7CB9">
      <w:pPr>
        <w:pStyle w:val="BodyText"/>
      </w:pPr>
      <w:r w:rsidRPr="003237DF">
        <w:t xml:space="preserve">The </w:t>
      </w:r>
      <w:r w:rsidR="00CB6E2D" w:rsidRPr="003237DF">
        <w:t xml:space="preserve">cost </w:t>
      </w:r>
      <w:r w:rsidRPr="003237DF">
        <w:t xml:space="preserve">to </w:t>
      </w:r>
      <w:r w:rsidR="007473D1" w:rsidRPr="003237DF">
        <w:t xml:space="preserve">employees </w:t>
      </w:r>
      <w:r w:rsidRPr="003237DF">
        <w:t>is that</w:t>
      </w:r>
      <w:r w:rsidR="00C8718A" w:rsidRPr="003237DF">
        <w:t>,</w:t>
      </w:r>
      <w:r w:rsidRPr="003237DF">
        <w:t xml:space="preserve"> without an appropriate framework</w:t>
      </w:r>
      <w:r w:rsidR="0071224D" w:rsidRPr="003237DF">
        <w:t xml:space="preserve"> created by the imposition of certain conditions o</w:t>
      </w:r>
      <w:r w:rsidR="00C8718A" w:rsidRPr="003237DF">
        <w:t>f</w:t>
      </w:r>
      <w:r w:rsidR="0071224D" w:rsidRPr="003237DF">
        <w:t xml:space="preserve"> relief</w:t>
      </w:r>
      <w:r w:rsidRPr="003237DF">
        <w:t xml:space="preserve">, employees may </w:t>
      </w:r>
      <w:r w:rsidR="0071224D" w:rsidRPr="003237DF">
        <w:t>be taken advantage of</w:t>
      </w:r>
      <w:r w:rsidR="0079432B" w:rsidRPr="003237DF">
        <w:t>—</w:t>
      </w:r>
      <w:r w:rsidR="0071224D" w:rsidRPr="003237DF">
        <w:t>both in terms of the employee incentive scheme</w:t>
      </w:r>
      <w:r w:rsidR="00322A29" w:rsidRPr="003237DF">
        <w:t>,</w:t>
      </w:r>
      <w:r w:rsidR="0071224D" w:rsidRPr="003237DF">
        <w:t xml:space="preserve"> given their poor negotiating position </w:t>
      </w:r>
      <w:r w:rsidR="00322A29" w:rsidRPr="003237DF">
        <w:t xml:space="preserve">compared with </w:t>
      </w:r>
      <w:r w:rsidR="0071224D" w:rsidRPr="003237DF">
        <w:t xml:space="preserve">that of an employer, and also </w:t>
      </w:r>
      <w:r w:rsidR="0079432B" w:rsidRPr="003237DF">
        <w:t xml:space="preserve">in </w:t>
      </w:r>
      <w:r w:rsidR="0071224D" w:rsidRPr="003237DF">
        <w:t>the level of disclosure abou</w:t>
      </w:r>
      <w:r w:rsidR="00E54BCF" w:rsidRPr="003237DF">
        <w:t>t the arrangements that</w:t>
      </w:r>
      <w:r w:rsidR="0071224D" w:rsidRPr="003237DF">
        <w:t xml:space="preserve"> would apply under the relevant schemes.</w:t>
      </w:r>
      <w:r w:rsidR="00D06D1F" w:rsidRPr="003237DF">
        <w:t xml:space="preserve"> Because </w:t>
      </w:r>
      <w:r w:rsidR="0071224D" w:rsidRPr="003237DF">
        <w:t xml:space="preserve">the terms </w:t>
      </w:r>
      <w:r w:rsidR="0079432B" w:rsidRPr="003237DF">
        <w:t xml:space="preserve">of the scheme </w:t>
      </w:r>
      <w:r w:rsidR="0071224D" w:rsidRPr="003237DF">
        <w:t>would be the subject of individual contractual arrangements between each employee and their employer</w:t>
      </w:r>
      <w:r w:rsidR="00E54BCF" w:rsidRPr="003237DF">
        <w:t>, employees would incur the cost of seeking advice about the arrangement, rather than being able to rely on uniform requirements</w:t>
      </w:r>
      <w:r w:rsidR="0071224D" w:rsidRPr="003237DF">
        <w:t>.</w:t>
      </w:r>
      <w:r w:rsidR="00946724" w:rsidRPr="003237DF">
        <w:t xml:space="preserve"> </w:t>
      </w:r>
      <w:r w:rsidR="0071224D" w:rsidRPr="003237DF">
        <w:t>Further, without appropriate conditions, employers may seek to offer high</w:t>
      </w:r>
      <w:r w:rsidR="00322A29" w:rsidRPr="003237DF">
        <w:t>-</w:t>
      </w:r>
      <w:r w:rsidR="0071224D" w:rsidRPr="003237DF">
        <w:t xml:space="preserve">risk financial products which </w:t>
      </w:r>
      <w:r w:rsidR="0079432B" w:rsidRPr="003237DF">
        <w:t xml:space="preserve">may </w:t>
      </w:r>
      <w:r w:rsidR="0071224D" w:rsidRPr="003237DF">
        <w:t>compound the financial exposure that an employee faces</w:t>
      </w:r>
      <w:r w:rsidR="00EB7357" w:rsidRPr="003237DF">
        <w:t xml:space="preserve"> in circumstances where they are already reliant on the employer for their main or significant source of income. </w:t>
      </w:r>
    </w:p>
    <w:p w:rsidR="009E330E" w:rsidRPr="003237DF" w:rsidRDefault="009E330E" w:rsidP="0047115C">
      <w:pPr>
        <w:pStyle w:val="Heading3"/>
      </w:pPr>
      <w:r w:rsidRPr="003237DF">
        <w:t xml:space="preserve">Impact on </w:t>
      </w:r>
      <w:r w:rsidR="0071224D" w:rsidRPr="003237DF">
        <w:t>ASIC</w:t>
      </w:r>
    </w:p>
    <w:p w:rsidR="00BA7CB9" w:rsidRPr="003237DF" w:rsidRDefault="00E532DA" w:rsidP="00BA7CB9">
      <w:pPr>
        <w:pStyle w:val="BodyText"/>
      </w:pPr>
      <w:r w:rsidRPr="003237DF">
        <w:t xml:space="preserve">The impact of </w:t>
      </w:r>
      <w:r w:rsidR="0079432B" w:rsidRPr="003237DF">
        <w:t>Option 2</w:t>
      </w:r>
      <w:r w:rsidRPr="003237DF">
        <w:t xml:space="preserve"> would mean that ASIC would not have</w:t>
      </w:r>
      <w:r w:rsidR="00060768" w:rsidRPr="003237DF">
        <w:t xml:space="preserve"> to</w:t>
      </w:r>
      <w:r w:rsidRPr="003237DF">
        <w:t xml:space="preserve"> </w:t>
      </w:r>
      <w:r w:rsidR="007773A0" w:rsidRPr="003237DF">
        <w:t>consider</w:t>
      </w:r>
      <w:r w:rsidRPr="003237DF">
        <w:t xml:space="preserve"> applications for case-by-case relief</w:t>
      </w:r>
      <w:r w:rsidR="009E330E" w:rsidRPr="003237DF">
        <w:t>.</w:t>
      </w:r>
      <w:r w:rsidR="00946724" w:rsidRPr="003237DF">
        <w:t xml:space="preserve"> </w:t>
      </w:r>
      <w:r w:rsidRPr="003237DF">
        <w:t xml:space="preserve">However, without conditions, the number of complaints that ASIC may receive could increase substantially as uninformed employees suffer financial losses as a result of not </w:t>
      </w:r>
      <w:r w:rsidR="00CB6E2D" w:rsidRPr="003237DF">
        <w:t xml:space="preserve">understanding </w:t>
      </w:r>
      <w:r w:rsidRPr="003237DF">
        <w:t>the offers they have accepted under an employee incentive scheme</w:t>
      </w:r>
      <w:r w:rsidR="00CB6E2D" w:rsidRPr="003237DF">
        <w:t xml:space="preserve"> made without any minimum conditions of disclosure or conduct</w:t>
      </w:r>
      <w:r w:rsidRPr="003237DF">
        <w:t>.</w:t>
      </w:r>
      <w:r w:rsidR="009E330E" w:rsidRPr="003237DF">
        <w:t xml:space="preserve"> </w:t>
      </w:r>
    </w:p>
    <w:p w:rsidR="00A7697F" w:rsidRPr="003237DF" w:rsidRDefault="00A7697F" w:rsidP="0047115C">
      <w:pPr>
        <w:pStyle w:val="Heading2"/>
      </w:pPr>
      <w:bookmarkStart w:id="34" w:name="_Toc398206736"/>
      <w:r w:rsidRPr="003237DF">
        <w:t>Option 3: Making changes of a minor or mechanical nature</w:t>
      </w:r>
      <w:bookmarkEnd w:id="34"/>
    </w:p>
    <w:p w:rsidR="00EB7357" w:rsidRPr="003237DF" w:rsidRDefault="007B4988" w:rsidP="00EB7357">
      <w:pPr>
        <w:pStyle w:val="BodyText"/>
      </w:pPr>
      <w:r w:rsidRPr="003237DF">
        <w:t>Under this option</w:t>
      </w:r>
      <w:r w:rsidR="00956605" w:rsidRPr="003237DF">
        <w:t>,</w:t>
      </w:r>
      <w:r w:rsidRPr="003237DF">
        <w:t xml:space="preserve"> we would retain our existing relief in </w:t>
      </w:r>
      <w:r w:rsidR="00153C8E" w:rsidRPr="003237DF">
        <w:t>[CO </w:t>
      </w:r>
      <w:r w:rsidRPr="003237DF">
        <w:t>03/184</w:t>
      </w:r>
      <w:r w:rsidR="00060768" w:rsidRPr="003237DF">
        <w:t>]</w:t>
      </w:r>
      <w:r w:rsidRPr="003237DF">
        <w:t xml:space="preserve"> and RG</w:t>
      </w:r>
      <w:r w:rsidR="00956605" w:rsidRPr="003237DF">
        <w:t> </w:t>
      </w:r>
      <w:r w:rsidRPr="003237DF">
        <w:t>49</w:t>
      </w:r>
      <w:r w:rsidR="00956605" w:rsidRPr="003237DF">
        <w:t>—</w:t>
      </w:r>
      <w:r w:rsidRPr="003237DF">
        <w:t>however</w:t>
      </w:r>
      <w:r w:rsidR="00956605" w:rsidRPr="003237DF">
        <w:t>,</w:t>
      </w:r>
      <w:r w:rsidRPr="003237DF">
        <w:t xml:space="preserve"> we would make the following minor </w:t>
      </w:r>
      <w:r w:rsidR="00091F83" w:rsidRPr="003237DF">
        <w:t xml:space="preserve">or mechanical </w:t>
      </w:r>
      <w:r w:rsidR="00EB7357" w:rsidRPr="003237DF">
        <w:t>changes to the conditions:</w:t>
      </w:r>
    </w:p>
    <w:p w:rsidR="007B4988" w:rsidRPr="003237DF" w:rsidRDefault="00091F83" w:rsidP="00091F83">
      <w:pPr>
        <w:pStyle w:val="subparaa"/>
      </w:pPr>
      <w:r w:rsidRPr="003237DF">
        <w:t>reducing the quotation requirement;</w:t>
      </w:r>
    </w:p>
    <w:p w:rsidR="00091F83" w:rsidRPr="003237DF" w:rsidRDefault="00091F83" w:rsidP="00091F83">
      <w:pPr>
        <w:pStyle w:val="subparaa"/>
      </w:pPr>
      <w:r w:rsidRPr="003237DF">
        <w:t>relaxing the trust requirements for listed bodies;</w:t>
      </w:r>
    </w:p>
    <w:p w:rsidR="00091F83" w:rsidRPr="003237DF" w:rsidRDefault="00091F83" w:rsidP="00091F83">
      <w:pPr>
        <w:pStyle w:val="subparaa"/>
      </w:pPr>
      <w:r w:rsidRPr="003237DF">
        <w:t>clarifying the inclusion of non-executive directors in the class order;</w:t>
      </w:r>
      <w:r w:rsidR="00956605" w:rsidRPr="003237DF">
        <w:t> </w:t>
      </w:r>
      <w:r w:rsidR="00060768" w:rsidRPr="003237DF">
        <w:t>and</w:t>
      </w:r>
    </w:p>
    <w:p w:rsidR="00091F83" w:rsidRPr="003237DF" w:rsidRDefault="00091F83" w:rsidP="00091F83">
      <w:pPr>
        <w:pStyle w:val="subparaa"/>
      </w:pPr>
      <w:r w:rsidRPr="003237DF">
        <w:t>reducing the issue limit calculation from five</w:t>
      </w:r>
      <w:r w:rsidR="00946724" w:rsidRPr="003237DF">
        <w:t xml:space="preserve"> </w:t>
      </w:r>
      <w:r w:rsidRPr="003237DF">
        <w:t>to three years.</w:t>
      </w:r>
    </w:p>
    <w:p w:rsidR="00A7697F" w:rsidRPr="003237DF" w:rsidRDefault="00A7697F" w:rsidP="003D756A">
      <w:pPr>
        <w:pStyle w:val="Heading3"/>
      </w:pPr>
      <w:r w:rsidRPr="003237DF">
        <w:t xml:space="preserve">Impact on </w:t>
      </w:r>
      <w:r w:rsidR="00373F20" w:rsidRPr="003237DF">
        <w:t>employers</w:t>
      </w:r>
    </w:p>
    <w:p w:rsidR="00A7697F" w:rsidRPr="003237DF" w:rsidRDefault="00B75DAE" w:rsidP="00A7697F">
      <w:pPr>
        <w:pStyle w:val="BodyText"/>
      </w:pPr>
      <w:r w:rsidRPr="003237DF">
        <w:t>While this would address a small number of instances where individual relief has been so</w:t>
      </w:r>
      <w:r w:rsidR="00060768" w:rsidRPr="003237DF">
        <w:t>ugh</w:t>
      </w:r>
      <w:r w:rsidRPr="003237DF">
        <w:t>t, it would not address the more substantive shortcomings of our existing class order relief</w:t>
      </w:r>
      <w:r w:rsidR="00A7697F" w:rsidRPr="003237DF">
        <w:t>.</w:t>
      </w:r>
      <w:r w:rsidRPr="003237DF">
        <w:t xml:space="preserve"> This would mean </w:t>
      </w:r>
      <w:r w:rsidR="00F143A2" w:rsidRPr="003237DF">
        <w:t xml:space="preserve">that </w:t>
      </w:r>
      <w:r w:rsidRPr="003237DF">
        <w:t>employers would have to continue to seek individual relief in a large number of instances.</w:t>
      </w:r>
      <w:r w:rsidR="00946724" w:rsidRPr="003237DF">
        <w:t xml:space="preserve"> </w:t>
      </w:r>
      <w:r w:rsidRPr="003237DF">
        <w:t>This alternative was not supported in the responses we received to CP 218.</w:t>
      </w:r>
    </w:p>
    <w:p w:rsidR="00373F20" w:rsidRPr="003237DF" w:rsidRDefault="00373F20" w:rsidP="00571ABB">
      <w:pPr>
        <w:pStyle w:val="BodyText"/>
      </w:pPr>
      <w:r w:rsidRPr="003237DF">
        <w:t xml:space="preserve">Option 3 would not </w:t>
      </w:r>
      <w:r w:rsidR="00DB6F6F" w:rsidRPr="003237DF">
        <w:t xml:space="preserve">reduce or </w:t>
      </w:r>
      <w:r w:rsidRPr="003237DF">
        <w:t xml:space="preserve">remove </w:t>
      </w:r>
      <w:r w:rsidR="00DB6F6F" w:rsidRPr="003237DF">
        <w:t>the bulk of the compliance costs discussed under Option 1</w:t>
      </w:r>
      <w:r w:rsidR="007D0497" w:rsidRPr="003237DF">
        <w:t>,</w:t>
      </w:r>
      <w:r w:rsidR="00DB6F6F" w:rsidRPr="003237DF">
        <w:t xml:space="preserve"> given </w:t>
      </w:r>
      <w:r w:rsidR="00EF627F" w:rsidRPr="003237DF">
        <w:t xml:space="preserve">that </w:t>
      </w:r>
      <w:r w:rsidR="00DB6F6F" w:rsidRPr="003237DF">
        <w:t xml:space="preserve">the majority of individual relief applications would still </w:t>
      </w:r>
      <w:r w:rsidR="00F143A2" w:rsidRPr="003237DF">
        <w:t>need</w:t>
      </w:r>
      <w:r w:rsidR="00DB6F6F" w:rsidRPr="003237DF">
        <w:t xml:space="preserve"> to be made (at a cost of over $1 million</w:t>
      </w:r>
      <w:r w:rsidR="00346668" w:rsidRPr="003237DF">
        <w:t xml:space="preserve"> (see paragraph 6</w:t>
      </w:r>
      <w:r w:rsidR="00C45A0B">
        <w:t>9</w:t>
      </w:r>
      <w:r w:rsidR="00346668" w:rsidRPr="003237DF">
        <w:t>(</w:t>
      </w:r>
      <w:r w:rsidR="00C45A0B">
        <w:t>a</w:t>
      </w:r>
      <w:r w:rsidR="00346668" w:rsidRPr="003237DF">
        <w:t>)</w:t>
      </w:r>
      <w:r w:rsidR="00E85DF1" w:rsidRPr="003237DF">
        <w:t>)</w:t>
      </w:r>
      <w:r w:rsidR="00DB6F6F" w:rsidRPr="003237DF">
        <w:t>)</w:t>
      </w:r>
      <w:r w:rsidR="00E85DF1" w:rsidRPr="003237DF">
        <w:t>;</w:t>
      </w:r>
      <w:r w:rsidR="00DB6F6F" w:rsidRPr="003237DF">
        <w:t xml:space="preserve"> and the trust arrangements would not reflect pooled arrangements, and removing an audit requirement (at a cost of over $1 million</w:t>
      </w:r>
      <w:r w:rsidR="00E85DF1" w:rsidRPr="003237DF">
        <w:t xml:space="preserve"> (see paragraph 6</w:t>
      </w:r>
      <w:r w:rsidR="00C45A0B">
        <w:t>9</w:t>
      </w:r>
      <w:r w:rsidR="00E85DF1" w:rsidRPr="003237DF">
        <w:t>(c))</w:t>
      </w:r>
      <w:r w:rsidR="00DB6F6F" w:rsidRPr="003237DF">
        <w:t>).</w:t>
      </w:r>
      <w:r w:rsidR="00946724" w:rsidRPr="003237DF">
        <w:t xml:space="preserve"> </w:t>
      </w:r>
      <w:r w:rsidR="00DB6F6F" w:rsidRPr="003237DF">
        <w:t xml:space="preserve">If we were to change the lodgement obligation to accord with the lodgement obligation in </w:t>
      </w:r>
      <w:r w:rsidR="00DB6F6F" w:rsidRPr="003237DF">
        <w:rPr>
          <w:spacing w:val="-2"/>
        </w:rPr>
        <w:t>Option 1, this would result in an estimated saving of approximately $650,000.</w:t>
      </w:r>
    </w:p>
    <w:p w:rsidR="00A7697F" w:rsidRPr="003237DF" w:rsidRDefault="00A7697F" w:rsidP="003D756A">
      <w:pPr>
        <w:pStyle w:val="Heading3"/>
      </w:pPr>
      <w:r w:rsidRPr="003237DF">
        <w:t xml:space="preserve">Impact on </w:t>
      </w:r>
      <w:r w:rsidR="00373F20" w:rsidRPr="003237DF">
        <w:t>employees</w:t>
      </w:r>
    </w:p>
    <w:p w:rsidR="00A7697F" w:rsidRPr="003237DF" w:rsidRDefault="00B75DAE" w:rsidP="00A7697F">
      <w:pPr>
        <w:pStyle w:val="BodyText"/>
      </w:pPr>
      <w:r w:rsidRPr="003237DF">
        <w:t xml:space="preserve">Where employers are unable to rely on </w:t>
      </w:r>
      <w:r w:rsidR="00153C8E" w:rsidRPr="003237DF">
        <w:t>[CO </w:t>
      </w:r>
      <w:r w:rsidRPr="003237DF">
        <w:t>03/184] or the other exemptions in the Corporations Act, consumers (employees) would continue to miss out on the opportunity to participate in employee incentive arrangements</w:t>
      </w:r>
      <w:r w:rsidR="00A7697F" w:rsidRPr="003237DF">
        <w:t>.</w:t>
      </w:r>
    </w:p>
    <w:p w:rsidR="00A7697F" w:rsidRPr="003237DF" w:rsidRDefault="00A7697F" w:rsidP="003D756A">
      <w:pPr>
        <w:pStyle w:val="Heading3"/>
      </w:pPr>
      <w:r w:rsidRPr="003237DF">
        <w:t xml:space="preserve">Impact on </w:t>
      </w:r>
      <w:r w:rsidR="00864CC0" w:rsidRPr="003237DF">
        <w:t xml:space="preserve">ASIC </w:t>
      </w:r>
    </w:p>
    <w:p w:rsidR="00A7697F" w:rsidRPr="003237DF" w:rsidRDefault="00060768" w:rsidP="00A7697F">
      <w:pPr>
        <w:pStyle w:val="BodyText"/>
      </w:pPr>
      <w:r w:rsidRPr="003237DF">
        <w:t>Under this option</w:t>
      </w:r>
      <w:r w:rsidR="00956605" w:rsidRPr="003237DF">
        <w:t>,</w:t>
      </w:r>
      <w:r w:rsidRPr="003237DF">
        <w:t xml:space="preserve"> </w:t>
      </w:r>
      <w:r w:rsidR="00864CC0" w:rsidRPr="003237DF">
        <w:t>ASIC w</w:t>
      </w:r>
      <w:r w:rsidRPr="003237DF">
        <w:t>ould</w:t>
      </w:r>
      <w:r w:rsidR="00864CC0" w:rsidRPr="003237DF">
        <w:t xml:space="preserve"> continue to receive a significant number of individual applications for relief</w:t>
      </w:r>
      <w:r w:rsidR="00F143A2" w:rsidRPr="003237DF">
        <w:t>,</w:t>
      </w:r>
      <w:r w:rsidR="00864CC0" w:rsidRPr="003237DF">
        <w:t xml:space="preserve"> which </w:t>
      </w:r>
      <w:r w:rsidRPr="003237DF">
        <w:t>would</w:t>
      </w:r>
      <w:r w:rsidR="00864CC0" w:rsidRPr="003237DF">
        <w:t xml:space="preserve"> not best utilise ASIC</w:t>
      </w:r>
      <w:r w:rsidR="00946724" w:rsidRPr="003237DF">
        <w:t>’</w:t>
      </w:r>
      <w:r w:rsidR="00864CC0" w:rsidRPr="003237DF">
        <w:t>s limited resources</w:t>
      </w:r>
      <w:r w:rsidR="00A7697F" w:rsidRPr="003237DF">
        <w:t xml:space="preserve">. </w:t>
      </w:r>
    </w:p>
    <w:p w:rsidR="00E57737" w:rsidRPr="003237DF" w:rsidRDefault="000C2596" w:rsidP="009E5B4B">
      <w:pPr>
        <w:pStyle w:val="Heading1"/>
      </w:pPr>
      <w:bookmarkStart w:id="35" w:name="_Toc256689340"/>
      <w:bookmarkStart w:id="36" w:name="_Toc398206737"/>
      <w:r w:rsidRPr="003237DF">
        <w:t>Consultation</w:t>
      </w:r>
      <w:bookmarkEnd w:id="35"/>
      <w:bookmarkEnd w:id="36"/>
    </w:p>
    <w:p w:rsidR="000C743E" w:rsidRPr="003237DF" w:rsidRDefault="000C743E" w:rsidP="000C743E">
      <w:pPr>
        <w:pStyle w:val="Heading2"/>
        <w:rPr>
          <w:i/>
        </w:rPr>
      </w:pPr>
      <w:bookmarkStart w:id="37" w:name="_Toc398206738"/>
      <w:r w:rsidRPr="003237DF">
        <w:t xml:space="preserve">CP 218 </w:t>
      </w:r>
      <w:r w:rsidRPr="003237DF">
        <w:rPr>
          <w:i/>
        </w:rPr>
        <w:t>Employee incentive schemes</w:t>
      </w:r>
      <w:bookmarkEnd w:id="37"/>
    </w:p>
    <w:p w:rsidR="00A31787" w:rsidRPr="003237DF" w:rsidRDefault="00225365" w:rsidP="000C2596">
      <w:pPr>
        <w:pStyle w:val="BodyText"/>
      </w:pPr>
      <w:r w:rsidRPr="003237DF">
        <w:t xml:space="preserve">We </w:t>
      </w:r>
      <w:r w:rsidR="000C743E" w:rsidRPr="003237DF">
        <w:t>undertook</w:t>
      </w:r>
      <w:r w:rsidR="0067456D" w:rsidRPr="003237DF">
        <w:t xml:space="preserve"> </w:t>
      </w:r>
      <w:r w:rsidR="003A2917" w:rsidRPr="003237DF">
        <w:t xml:space="preserve">informal roundtable discussions in Melbourne, </w:t>
      </w:r>
      <w:r w:rsidR="00060768" w:rsidRPr="003237DF">
        <w:t xml:space="preserve">Perth and </w:t>
      </w:r>
      <w:r w:rsidR="003A2917" w:rsidRPr="003237DF">
        <w:t xml:space="preserve">Sydney. We then </w:t>
      </w:r>
      <w:r w:rsidR="0067456D" w:rsidRPr="003237DF">
        <w:t xml:space="preserve">published </w:t>
      </w:r>
      <w:r w:rsidR="00553DC9" w:rsidRPr="003237DF">
        <w:t xml:space="preserve">CP 218 </w:t>
      </w:r>
      <w:r w:rsidR="003A2917" w:rsidRPr="003237DF">
        <w:t xml:space="preserve">and allowed 10 weeks for </w:t>
      </w:r>
      <w:r w:rsidR="0067456D" w:rsidRPr="003237DF">
        <w:t xml:space="preserve">stakeholders to </w:t>
      </w:r>
      <w:r w:rsidR="005579DB" w:rsidRPr="003237DF">
        <w:t>respon</w:t>
      </w:r>
      <w:r w:rsidR="0067456D" w:rsidRPr="003237DF">
        <w:t>d</w:t>
      </w:r>
      <w:r w:rsidR="000B6AB2" w:rsidRPr="003237DF">
        <w:t>.</w:t>
      </w:r>
      <w:r w:rsidR="00946724" w:rsidRPr="003237DF">
        <w:t xml:space="preserve"> </w:t>
      </w:r>
      <w:r w:rsidR="003A2917" w:rsidRPr="003237DF">
        <w:t xml:space="preserve">This consultation canvassed the </w:t>
      </w:r>
      <w:r w:rsidR="0067456D" w:rsidRPr="003237DF">
        <w:t xml:space="preserve">various </w:t>
      </w:r>
      <w:r w:rsidR="003A2917" w:rsidRPr="003237DF">
        <w:t xml:space="preserve">options and focused in detail </w:t>
      </w:r>
      <w:r w:rsidR="00E8619C" w:rsidRPr="003237DF">
        <w:t>on</w:t>
      </w:r>
      <w:r w:rsidR="004510FA" w:rsidRPr="003237DF">
        <w:t xml:space="preserve"> Option 1</w:t>
      </w:r>
      <w:r w:rsidR="003A2917" w:rsidRPr="003237DF">
        <w:t>.</w:t>
      </w:r>
      <w:r w:rsidR="00946724" w:rsidRPr="003237DF">
        <w:t xml:space="preserve"> </w:t>
      </w:r>
      <w:r w:rsidR="003A2917" w:rsidRPr="003237DF">
        <w:t>This was because</w:t>
      </w:r>
      <w:r w:rsidR="000B6AB2" w:rsidRPr="003237DF">
        <w:t xml:space="preserve"> </w:t>
      </w:r>
      <w:r w:rsidR="003A2917" w:rsidRPr="003237DF">
        <w:t>our</w:t>
      </w:r>
      <w:r w:rsidR="00DA160B" w:rsidRPr="003237DF">
        <w:t xml:space="preserve"> review and </w:t>
      </w:r>
      <w:r w:rsidR="00E8619C" w:rsidRPr="003237DF">
        <w:t>consultation</w:t>
      </w:r>
      <w:r w:rsidR="00DA160B" w:rsidRPr="003237DF">
        <w:t xml:space="preserve"> indicated that this option would provide the most benefit to industry (employers) and consumers (employees)</w:t>
      </w:r>
      <w:r w:rsidR="003A2917" w:rsidRPr="003237DF">
        <w:t>,</w:t>
      </w:r>
      <w:r w:rsidR="00DA160B" w:rsidRPr="003237DF">
        <w:t xml:space="preserve"> while continuing to address our </w:t>
      </w:r>
      <w:r w:rsidR="005579DB" w:rsidRPr="003237DF">
        <w:t xml:space="preserve">objective of </w:t>
      </w:r>
      <w:r w:rsidR="003A2917" w:rsidRPr="003237DF">
        <w:t>ensuring</w:t>
      </w:r>
      <w:r w:rsidR="00DA160B" w:rsidRPr="003237DF">
        <w:t xml:space="preserve"> that employees receive adequate information about, and safeguards</w:t>
      </w:r>
      <w:r w:rsidR="006379D7" w:rsidRPr="003237DF">
        <w:t xml:space="preserve"> around,</w:t>
      </w:r>
      <w:r w:rsidR="00DA160B" w:rsidRPr="003237DF">
        <w:t xml:space="preserve"> the financial products they </w:t>
      </w:r>
      <w:r w:rsidR="0056559E" w:rsidRPr="003237DF">
        <w:t>a</w:t>
      </w:r>
      <w:r w:rsidR="00DA160B" w:rsidRPr="003237DF">
        <w:t>re being offered.</w:t>
      </w:r>
      <w:r w:rsidR="00946724" w:rsidRPr="003237DF">
        <w:t xml:space="preserve"> </w:t>
      </w:r>
    </w:p>
    <w:p w:rsidR="0056559E" w:rsidRPr="003237DF" w:rsidRDefault="006379D7" w:rsidP="006379D7">
      <w:pPr>
        <w:pStyle w:val="BodyText"/>
      </w:pPr>
      <w:r w:rsidRPr="003237DF">
        <w:t>We received 21 written responses</w:t>
      </w:r>
      <w:r w:rsidR="006A7EEE" w:rsidRPr="003237DF">
        <w:t>,</w:t>
      </w:r>
      <w:r w:rsidRPr="003237DF">
        <w:t xml:space="preserve"> including </w:t>
      </w:r>
      <w:r w:rsidR="0067456D" w:rsidRPr="003237DF">
        <w:t xml:space="preserve">from </w:t>
      </w:r>
      <w:r w:rsidRPr="003237DF">
        <w:t>large ASX</w:t>
      </w:r>
      <w:r w:rsidR="00553DC9" w:rsidRPr="003237DF">
        <w:t>-</w:t>
      </w:r>
      <w:r w:rsidRPr="003237DF">
        <w:t>listed employers, law and accountancy firms, remuneration consultants and advisers, employee share scheme trustee and administration service providers</w:t>
      </w:r>
      <w:r w:rsidR="0056559E" w:rsidRPr="003237DF">
        <w:t>,</w:t>
      </w:r>
      <w:r w:rsidRPr="003237DF">
        <w:t xml:space="preserve"> and a number of industry associations and governance bodies.</w:t>
      </w:r>
      <w:r w:rsidR="00946724" w:rsidRPr="003237DF">
        <w:t xml:space="preserve"> </w:t>
      </w:r>
      <w:r w:rsidR="0067456D" w:rsidRPr="003237DF">
        <w:t xml:space="preserve">We also reviewed </w:t>
      </w:r>
      <w:r w:rsidR="00553DC9" w:rsidRPr="003237DF">
        <w:t xml:space="preserve">public newsletters commenting on CP 218 </w:t>
      </w:r>
      <w:r w:rsidR="0067456D" w:rsidRPr="003237DF">
        <w:t>and took questions from</w:t>
      </w:r>
      <w:r w:rsidR="003A2917" w:rsidRPr="003237DF">
        <w:t xml:space="preserve"> a number of other stakeholders who contacted us but </w:t>
      </w:r>
      <w:r w:rsidR="0067456D" w:rsidRPr="003237DF">
        <w:t>did not make</w:t>
      </w:r>
      <w:r w:rsidR="003A2917" w:rsidRPr="003237DF">
        <w:t xml:space="preserve"> </w:t>
      </w:r>
      <w:r w:rsidR="0067456D" w:rsidRPr="003237DF">
        <w:t xml:space="preserve">written </w:t>
      </w:r>
      <w:r w:rsidR="003A2917" w:rsidRPr="003237DF">
        <w:t>submissions.</w:t>
      </w:r>
      <w:r w:rsidR="00946724" w:rsidRPr="003237DF">
        <w:t xml:space="preserve"> </w:t>
      </w:r>
    </w:p>
    <w:p w:rsidR="00C05662" w:rsidRPr="003237DF" w:rsidRDefault="0067456D" w:rsidP="006379D7">
      <w:pPr>
        <w:pStyle w:val="BodyText"/>
      </w:pPr>
      <w:r w:rsidRPr="003237DF">
        <w:t>E</w:t>
      </w:r>
      <w:r w:rsidR="00776A9C" w:rsidRPr="003237DF">
        <w:t>ight</w:t>
      </w:r>
      <w:r w:rsidR="006379D7" w:rsidRPr="003237DF">
        <w:t xml:space="preserve"> </w:t>
      </w:r>
      <w:r w:rsidRPr="003237DF">
        <w:t xml:space="preserve">submissions </w:t>
      </w:r>
      <w:r w:rsidR="0035248C" w:rsidRPr="003237DF">
        <w:t>expressly comment</w:t>
      </w:r>
      <w:r w:rsidR="003A2917" w:rsidRPr="003237DF">
        <w:t>ed</w:t>
      </w:r>
      <w:r w:rsidR="0035248C" w:rsidRPr="003237DF">
        <w:t xml:space="preserve"> </w:t>
      </w:r>
      <w:r w:rsidR="00553DC9" w:rsidRPr="003237DF">
        <w:t xml:space="preserve">on </w:t>
      </w:r>
      <w:r w:rsidRPr="003237DF">
        <w:t>the proposed options and a</w:t>
      </w:r>
      <w:r w:rsidR="003A2917" w:rsidRPr="003237DF">
        <w:t xml:space="preserve">ll </w:t>
      </w:r>
      <w:r w:rsidR="00776A9C" w:rsidRPr="003237DF">
        <w:t>eight</w:t>
      </w:r>
      <w:r w:rsidR="006379D7" w:rsidRPr="003237DF">
        <w:t xml:space="preserve"> supported Option 1 (which was Option 2 in CP 218) over the other options.</w:t>
      </w:r>
      <w:r w:rsidR="00946724" w:rsidRPr="003237DF">
        <w:t xml:space="preserve"> </w:t>
      </w:r>
      <w:r w:rsidR="00EF2AFE" w:rsidRPr="003237DF">
        <w:t xml:space="preserve">While all supported </w:t>
      </w:r>
      <w:r w:rsidR="006379D7" w:rsidRPr="003237DF">
        <w:t>Option 1</w:t>
      </w:r>
      <w:r w:rsidR="00EF2AFE" w:rsidRPr="003237DF">
        <w:t>, the</w:t>
      </w:r>
      <w:r w:rsidR="005579DB" w:rsidRPr="003237DF">
        <w:t xml:space="preserve">se </w:t>
      </w:r>
      <w:r w:rsidR="00EF2AFE" w:rsidRPr="003237DF">
        <w:t xml:space="preserve">submissions </w:t>
      </w:r>
      <w:r w:rsidR="005579DB" w:rsidRPr="003237DF">
        <w:t xml:space="preserve">suggested </w:t>
      </w:r>
      <w:r w:rsidR="00320515" w:rsidRPr="003237DF">
        <w:t xml:space="preserve">a number of </w:t>
      </w:r>
      <w:r w:rsidR="006379D7" w:rsidRPr="003237DF">
        <w:t xml:space="preserve">the </w:t>
      </w:r>
      <w:r w:rsidR="00320515" w:rsidRPr="003237DF">
        <w:t xml:space="preserve">requirements </w:t>
      </w:r>
      <w:r w:rsidR="006379D7" w:rsidRPr="003237DF">
        <w:t>we proposed</w:t>
      </w:r>
      <w:r w:rsidR="0035248C" w:rsidRPr="003237DF">
        <w:t xml:space="preserve"> in CP 218</w:t>
      </w:r>
      <w:r w:rsidR="00320515" w:rsidRPr="003237DF">
        <w:t xml:space="preserve"> </w:t>
      </w:r>
      <w:r w:rsidR="005579DB" w:rsidRPr="003237DF">
        <w:t xml:space="preserve">should be </w:t>
      </w:r>
      <w:r w:rsidR="00320515" w:rsidRPr="003237DF">
        <w:t xml:space="preserve">changed. </w:t>
      </w:r>
    </w:p>
    <w:p w:rsidR="00CF1757" w:rsidRPr="003237DF" w:rsidRDefault="00CF1757" w:rsidP="00CF1757">
      <w:pPr>
        <w:pStyle w:val="BodyText"/>
      </w:pPr>
      <w:r w:rsidRPr="003237DF">
        <w:t>One respondent submitted that ASIC should not seek to regulate employee incentive scheme offers where there is no investment decision, but is merely a remuneration</w:t>
      </w:r>
      <w:r w:rsidR="002662B8" w:rsidRPr="003237DF">
        <w:t>-</w:t>
      </w:r>
      <w:r w:rsidRPr="003237DF">
        <w:t xml:space="preserve">related payment with no risks of financial loss. We did not agree. Our view is that employee incentive schemes that involve offers of financial products almost always involve an investment decision that warrants class order relief with appropriate conditions. </w:t>
      </w:r>
    </w:p>
    <w:p w:rsidR="0056559E" w:rsidRPr="003237DF" w:rsidRDefault="00E737BF" w:rsidP="00CF1757">
      <w:pPr>
        <w:pStyle w:val="BodyText"/>
      </w:pPr>
      <w:r w:rsidRPr="003237DF">
        <w:t xml:space="preserve">In summary, the substantive issues raised include: </w:t>
      </w:r>
    </w:p>
    <w:p w:rsidR="0056559E" w:rsidRPr="003237DF" w:rsidRDefault="00E737BF" w:rsidP="008271B9">
      <w:pPr>
        <w:pStyle w:val="subparaa"/>
      </w:pPr>
      <w:r w:rsidRPr="003237DF">
        <w:t xml:space="preserve">the relief for unlisted bodies being too onerous; </w:t>
      </w:r>
    </w:p>
    <w:p w:rsidR="0056559E" w:rsidRPr="003237DF" w:rsidRDefault="00E737BF" w:rsidP="008271B9">
      <w:pPr>
        <w:pStyle w:val="subparaa"/>
      </w:pPr>
      <w:r w:rsidRPr="003237DF">
        <w:t xml:space="preserve">the definition of </w:t>
      </w:r>
      <w:r w:rsidR="0056559E" w:rsidRPr="003237DF">
        <w:t>‘</w:t>
      </w:r>
      <w:r w:rsidRPr="003237DF">
        <w:t>incentive right</w:t>
      </w:r>
      <w:r w:rsidR="0056559E" w:rsidRPr="003237DF">
        <w:t>’</w:t>
      </w:r>
      <w:r w:rsidRPr="003237DF">
        <w:t xml:space="preserve"> being too narrow; </w:t>
      </w:r>
    </w:p>
    <w:p w:rsidR="0056559E" w:rsidRPr="003237DF" w:rsidRDefault="00E737BF" w:rsidP="008271B9">
      <w:pPr>
        <w:pStyle w:val="subparaa"/>
      </w:pPr>
      <w:r w:rsidRPr="003237DF">
        <w:t xml:space="preserve">the objective requirement we proposed for demonstrating interdependence </w:t>
      </w:r>
      <w:r w:rsidR="0056559E" w:rsidRPr="003237DF">
        <w:t xml:space="preserve">being </w:t>
      </w:r>
      <w:r w:rsidRPr="003237DF">
        <w:t xml:space="preserve">too restrictive; </w:t>
      </w:r>
    </w:p>
    <w:p w:rsidR="0056559E" w:rsidRPr="003237DF" w:rsidRDefault="00E737BF" w:rsidP="008271B9">
      <w:pPr>
        <w:pStyle w:val="subparaa"/>
      </w:pPr>
      <w:r w:rsidRPr="003237DF">
        <w:t xml:space="preserve">requiring a narrower form of relief for non-executive directors </w:t>
      </w:r>
      <w:r w:rsidR="0056559E" w:rsidRPr="003237DF">
        <w:t xml:space="preserve">being </w:t>
      </w:r>
      <w:r w:rsidRPr="003237DF">
        <w:t>unnecessary and out of step with market practice</w:t>
      </w:r>
      <w:r w:rsidR="000D37B3" w:rsidRPr="003237DF">
        <w:t xml:space="preserve">; </w:t>
      </w:r>
      <w:r w:rsidR="007D0497" w:rsidRPr="003237DF">
        <w:t xml:space="preserve">and </w:t>
      </w:r>
    </w:p>
    <w:p w:rsidR="00E737BF" w:rsidRPr="003237DF" w:rsidRDefault="000D37B3" w:rsidP="008271B9">
      <w:pPr>
        <w:pStyle w:val="subparaa"/>
      </w:pPr>
      <w:r w:rsidRPr="003237DF">
        <w:t xml:space="preserve">the trust requirements </w:t>
      </w:r>
      <w:r w:rsidR="0056559E" w:rsidRPr="003237DF">
        <w:t xml:space="preserve">being </w:t>
      </w:r>
      <w:r w:rsidRPr="003237DF">
        <w:t>burdensome and unnecessary</w:t>
      </w:r>
      <w:r w:rsidR="00E737BF" w:rsidRPr="003237DF">
        <w:t>.</w:t>
      </w:r>
    </w:p>
    <w:p w:rsidR="00E4499F" w:rsidRPr="003237DF" w:rsidRDefault="005579DB" w:rsidP="000C2596">
      <w:pPr>
        <w:pStyle w:val="BodyText"/>
      </w:pPr>
      <w:r w:rsidRPr="003237DF">
        <w:t xml:space="preserve">In light of the submissions, </w:t>
      </w:r>
      <w:r w:rsidR="0034390C" w:rsidRPr="003237DF">
        <w:t xml:space="preserve">a number of </w:t>
      </w:r>
      <w:r w:rsidR="00320515" w:rsidRPr="003237DF">
        <w:t xml:space="preserve">the </w:t>
      </w:r>
      <w:r w:rsidR="0034390C" w:rsidRPr="003237DF">
        <w:t>class order conditions proposed under</w:t>
      </w:r>
      <w:r w:rsidRPr="003237DF">
        <w:t xml:space="preserve"> O</w:t>
      </w:r>
      <w:r w:rsidR="00422189" w:rsidRPr="003237DF">
        <w:t xml:space="preserve">ption </w:t>
      </w:r>
      <w:r w:rsidRPr="003237DF">
        <w:t xml:space="preserve">1 </w:t>
      </w:r>
      <w:r w:rsidR="0034390C" w:rsidRPr="003237DF">
        <w:t xml:space="preserve">have been significantly </w:t>
      </w:r>
      <w:r w:rsidRPr="003237DF">
        <w:t xml:space="preserve">broadened and </w:t>
      </w:r>
      <w:r w:rsidR="0034390C" w:rsidRPr="003237DF">
        <w:t>refined.</w:t>
      </w:r>
      <w:r w:rsidR="007773A0" w:rsidRPr="003237DF">
        <w:t xml:space="preserve"> </w:t>
      </w:r>
      <w:r w:rsidR="00956605" w:rsidRPr="003237DF">
        <w:fldChar w:fldCharType="begin"/>
      </w:r>
      <w:r w:rsidR="00956605" w:rsidRPr="003237DF">
        <w:instrText xml:space="preserve"> REF _Ref398212875 \h </w:instrText>
      </w:r>
      <w:r w:rsidR="003237DF">
        <w:instrText xml:space="preserve"> \* MERGEFORMAT </w:instrText>
      </w:r>
      <w:r w:rsidR="00956605" w:rsidRPr="003237DF">
        <w:fldChar w:fldCharType="separate"/>
      </w:r>
      <w:r w:rsidR="00EC75CF" w:rsidRPr="003237DF">
        <w:t xml:space="preserve">Table </w:t>
      </w:r>
      <w:r w:rsidR="00EC75CF" w:rsidRPr="003237DF">
        <w:rPr>
          <w:noProof/>
        </w:rPr>
        <w:t>2</w:t>
      </w:r>
      <w:r w:rsidR="00956605" w:rsidRPr="003237DF">
        <w:fldChar w:fldCharType="end"/>
      </w:r>
      <w:r w:rsidR="00956605" w:rsidRPr="003237DF">
        <w:t xml:space="preserve"> </w:t>
      </w:r>
      <w:r w:rsidR="004E77CF" w:rsidRPr="003237DF">
        <w:t>sets out the changes that we proposed in CP 218 and what we ended up deciding was the appropriate balance between providing class order relief that was deregulatory and requiring the imposition of new conditions within the scope of that deregulatory relief.</w:t>
      </w:r>
    </w:p>
    <w:p w:rsidR="00EB7357" w:rsidRPr="003237DF" w:rsidRDefault="00EB7357" w:rsidP="00956605">
      <w:pPr>
        <w:pStyle w:val="Heading2"/>
        <w:keepLines/>
      </w:pPr>
      <w:bookmarkStart w:id="38" w:name="_Toc398206739"/>
      <w:bookmarkStart w:id="39" w:name="_Toc256689341"/>
      <w:r w:rsidRPr="003237DF">
        <w:t>Key changes made as a result of our CP</w:t>
      </w:r>
      <w:r w:rsidR="00924C86" w:rsidRPr="003237DF">
        <w:t xml:space="preserve"> 218</w:t>
      </w:r>
      <w:r w:rsidRPr="003237DF">
        <w:t xml:space="preserve"> consultation</w:t>
      </w:r>
      <w:bookmarkEnd w:id="38"/>
    </w:p>
    <w:p w:rsidR="00353713" w:rsidRPr="003237DF" w:rsidRDefault="00EB7357" w:rsidP="00956605">
      <w:pPr>
        <w:pStyle w:val="BodyText"/>
        <w:keepNext/>
        <w:keepLines/>
      </w:pPr>
      <w:r w:rsidRPr="003237DF">
        <w:t>T</w:t>
      </w:r>
      <w:r w:rsidR="009F7FB9" w:rsidRPr="003237DF">
        <w:t xml:space="preserve">he following is a summary of our consultation and how we propose to respond in our new class order relief. </w:t>
      </w:r>
    </w:p>
    <w:p w:rsidR="00EB7357" w:rsidRPr="003237DF" w:rsidRDefault="00EB7357" w:rsidP="00353713">
      <w:pPr>
        <w:pStyle w:val="BodyText"/>
      </w:pPr>
      <w:r w:rsidRPr="003237DF">
        <w:t>We note that</w:t>
      </w:r>
      <w:r w:rsidR="00146090" w:rsidRPr="003237DF">
        <w:t>,</w:t>
      </w:r>
      <w:r w:rsidRPr="003237DF">
        <w:t xml:space="preserve"> while we started out with having one class order to provide </w:t>
      </w:r>
      <w:r w:rsidRPr="003237DF">
        <w:rPr>
          <w:spacing w:val="-4"/>
        </w:rPr>
        <w:t>relief for employee incentive schemes, we decided to split it into two separate</w:t>
      </w:r>
      <w:r w:rsidRPr="003237DF">
        <w:t xml:space="preserve"> class orders</w:t>
      </w:r>
      <w:r w:rsidR="00146090" w:rsidRPr="003237DF">
        <w:t>—</w:t>
      </w:r>
      <w:r w:rsidR="00FA3D24" w:rsidRPr="003237DF">
        <w:t>[CO 14/1000]</w:t>
      </w:r>
      <w:r w:rsidR="002F4150" w:rsidRPr="003237DF">
        <w:t xml:space="preserve"> for listed bodies and </w:t>
      </w:r>
      <w:r w:rsidR="00FA3D24" w:rsidRPr="003237DF">
        <w:t>[CO 14/1001]</w:t>
      </w:r>
      <w:r w:rsidR="002F4150" w:rsidRPr="003237DF">
        <w:t xml:space="preserve"> for unlisted bodies)</w:t>
      </w:r>
      <w:r w:rsidR="00146090" w:rsidRPr="003237DF">
        <w:t>—</w:t>
      </w:r>
      <w:r w:rsidRPr="003237DF">
        <w:t xml:space="preserve">given </w:t>
      </w:r>
      <w:r w:rsidR="00637A26" w:rsidRPr="003237DF">
        <w:t xml:space="preserve">that </w:t>
      </w:r>
      <w:r w:rsidRPr="003237DF">
        <w:t>the employers will generally be mutually exclusive.</w:t>
      </w:r>
    </w:p>
    <w:p w:rsidR="00192E28" w:rsidRPr="003237DF" w:rsidRDefault="00606F75" w:rsidP="00606F75">
      <w:pPr>
        <w:pStyle w:val="Heading2"/>
      </w:pPr>
      <w:bookmarkStart w:id="40" w:name="_Toc398206740"/>
      <w:bookmarkStart w:id="41" w:name="_Toc395270570"/>
      <w:r w:rsidRPr="003237DF">
        <w:t>Listed bodies</w:t>
      </w:r>
      <w:bookmarkEnd w:id="40"/>
    </w:p>
    <w:p w:rsidR="00606F75" w:rsidRPr="003237DF" w:rsidRDefault="00606F75" w:rsidP="00192E28">
      <w:pPr>
        <w:pStyle w:val="Heading3"/>
      </w:pPr>
      <w:r w:rsidRPr="003237DF">
        <w:t>Who can make offers?</w:t>
      </w:r>
      <w:bookmarkEnd w:id="41"/>
    </w:p>
    <w:p w:rsidR="00606F75" w:rsidRPr="003237DF" w:rsidRDefault="00606F75" w:rsidP="00606F75">
      <w:pPr>
        <w:pStyle w:val="BodyText"/>
      </w:pPr>
      <w:r w:rsidRPr="003237DF">
        <w:t>Responses were generally supportive of the proposed updates to our relief and guidance in relation to which listed bodies and their related parties can make offers under an employee incentive scheme.</w:t>
      </w:r>
    </w:p>
    <w:p w:rsidR="00606F75" w:rsidRPr="003237DF" w:rsidRDefault="00606F75" w:rsidP="00606F75">
      <w:pPr>
        <w:pStyle w:val="BodyText"/>
      </w:pPr>
      <w:r w:rsidRPr="003237DF">
        <w:t>We received feedback suggesting that we should broaden the scope of our class order relief to include bodies listed on other foreign markets, and leave it to the bodies to determine whether there is a sufficient connection between the participant and the listed body.</w:t>
      </w:r>
    </w:p>
    <w:p w:rsidR="00606F75" w:rsidRPr="003237DF" w:rsidRDefault="00606F75" w:rsidP="00606F75">
      <w:pPr>
        <w:pStyle w:val="BodyText"/>
      </w:pPr>
      <w:r w:rsidRPr="003237DF">
        <w:t>Given the scope of relief covered by our class order, we did not consider it appropriate to leave it to the listed body to decide whether relief should apply. We have retained our proposal that our class order relief should cover the listed body and its associated bodies corporate.</w:t>
      </w:r>
    </w:p>
    <w:p w:rsidR="00606F75" w:rsidRPr="003237DF" w:rsidRDefault="00606F75" w:rsidP="00192E28">
      <w:pPr>
        <w:pStyle w:val="Heading3"/>
      </w:pPr>
      <w:bookmarkStart w:id="42" w:name="_Toc395270573"/>
      <w:r w:rsidRPr="003237DF">
        <w:t>Who can participate in offers?</w:t>
      </w:r>
      <w:bookmarkEnd w:id="42"/>
    </w:p>
    <w:p w:rsidR="00606F75" w:rsidRPr="003237DF" w:rsidRDefault="00606F75" w:rsidP="00606F75">
      <w:pPr>
        <w:pStyle w:val="BodyText"/>
      </w:pPr>
      <w:r w:rsidRPr="003237DF">
        <w:t xml:space="preserve">There was widespread support from respondents to expand the categories of eligible participants to whom offers may be made under our class order to include contractors, casual employees and prospective employees. </w:t>
      </w:r>
    </w:p>
    <w:p w:rsidR="00606F75" w:rsidRPr="003237DF" w:rsidRDefault="00606F75" w:rsidP="00606F75">
      <w:pPr>
        <w:pStyle w:val="BodyText"/>
      </w:pPr>
      <w:r w:rsidRPr="003237DF">
        <w:t>Some submissions suggested that some of our proposed parameters were still too narrow.</w:t>
      </w:r>
    </w:p>
    <w:p w:rsidR="00606F75" w:rsidRPr="003237DF" w:rsidRDefault="00606F75" w:rsidP="00606F75">
      <w:pPr>
        <w:pStyle w:val="BodyText"/>
      </w:pPr>
      <w:r w:rsidRPr="003237DF">
        <w:t>We have retained the categories of participants that we proposed in CP 218 but reduced the requirements in relation to contractors</w:t>
      </w:r>
      <w:r w:rsidR="00CB2083" w:rsidRPr="003237DF">
        <w:t xml:space="preserve"> and casual</w:t>
      </w:r>
      <w:r w:rsidR="00C45A0B">
        <w:t xml:space="preserve"> employee</w:t>
      </w:r>
      <w:r w:rsidR="00CB2083" w:rsidRPr="003237DF">
        <w:t>s,</w:t>
      </w:r>
      <w:r w:rsidRPr="003237DF">
        <w:t xml:space="preserve"> and</w:t>
      </w:r>
      <w:r w:rsidR="00CB2083" w:rsidRPr="003237DF">
        <w:t xml:space="preserve"> we </w:t>
      </w:r>
      <w:r w:rsidR="00637A26" w:rsidRPr="003237DF">
        <w:t xml:space="preserve">have </w:t>
      </w:r>
      <w:r w:rsidRPr="003237DF">
        <w:t>removed the restrictions applying to non-executive directors.</w:t>
      </w:r>
    </w:p>
    <w:p w:rsidR="00606F75" w:rsidRPr="003237DF" w:rsidRDefault="00606F75" w:rsidP="00192E28">
      <w:pPr>
        <w:pStyle w:val="Heading3"/>
      </w:pPr>
      <w:bookmarkStart w:id="43" w:name="_Toc395270578"/>
      <w:r w:rsidRPr="003237DF">
        <w:t>What financial products can be offered?</w:t>
      </w:r>
      <w:bookmarkEnd w:id="43"/>
    </w:p>
    <w:p w:rsidR="00606F75" w:rsidRPr="003237DF" w:rsidRDefault="00606F75" w:rsidP="00606F75">
      <w:pPr>
        <w:pStyle w:val="BodyText"/>
      </w:pPr>
      <w:r w:rsidRPr="003237DF">
        <w:t>There was strong support for our proposal to expand the scope of our relief to cover offers by listed bodies of equity-based securities, including stapled securities, certain quoted deposit</w:t>
      </w:r>
      <w:r w:rsidR="00C45A0B">
        <w:t>a</w:t>
      </w:r>
      <w:r w:rsidRPr="003237DF">
        <w:t>ry interests, and options over</w:t>
      </w:r>
      <w:r w:rsidR="00FE03DE" w:rsidRPr="003237DF">
        <w:t xml:space="preserve">, and </w:t>
      </w:r>
      <w:r w:rsidR="007D0497" w:rsidRPr="003237DF">
        <w:t xml:space="preserve">incentive </w:t>
      </w:r>
      <w:r w:rsidRPr="003237DF">
        <w:t>rights in relation to</w:t>
      </w:r>
      <w:r w:rsidR="00D215D6" w:rsidRPr="003237DF">
        <w:t>,</w:t>
      </w:r>
      <w:r w:rsidRPr="003237DF">
        <w:t xml:space="preserve"> these quoted financial products. </w:t>
      </w:r>
    </w:p>
    <w:p w:rsidR="00606F75" w:rsidRPr="003237DF" w:rsidRDefault="00606F75" w:rsidP="00606F75">
      <w:pPr>
        <w:pStyle w:val="BodyText"/>
      </w:pPr>
      <w:r w:rsidRPr="003237DF">
        <w:t>Some respondents submitted that we had not gone far enough in covering the</w:t>
      </w:r>
      <w:r w:rsidR="00956605" w:rsidRPr="003237DF">
        <w:t> </w:t>
      </w:r>
      <w:r w:rsidRPr="003237DF">
        <w:t>types of financial products to which relief should apply</w:t>
      </w:r>
      <w:r w:rsidR="00956605" w:rsidRPr="003237DF">
        <w:t>,</w:t>
      </w:r>
      <w:r w:rsidRPr="003237DF">
        <w:t xml:space="preserve"> and that the conditions proposed for our definition of </w:t>
      </w:r>
      <w:r w:rsidR="00946724" w:rsidRPr="003237DF">
        <w:t>‘</w:t>
      </w:r>
      <w:r w:rsidRPr="003237DF">
        <w:t>performance rights</w:t>
      </w:r>
      <w:r w:rsidR="00946724" w:rsidRPr="003237DF">
        <w:t>’</w:t>
      </w:r>
      <w:r w:rsidRPr="003237DF">
        <w:t xml:space="preserve"> would exclude a large number of derivatives currently being offered under employee incentive schemes.</w:t>
      </w:r>
    </w:p>
    <w:p w:rsidR="00606F75" w:rsidRPr="003237DF" w:rsidRDefault="00606F75" w:rsidP="00606F75">
      <w:pPr>
        <w:pStyle w:val="BodyText"/>
      </w:pPr>
      <w:r w:rsidRPr="003237DF">
        <w:t xml:space="preserve">We decided to expand our class order relief to cover offers by listed bodies of units in managed investment schemes quoted on ASX; and </w:t>
      </w:r>
      <w:r w:rsidR="00D215D6" w:rsidRPr="003237DF">
        <w:t xml:space="preserve">to offers of </w:t>
      </w:r>
      <w:r w:rsidRPr="003237DF">
        <w:t>stapled securities</w:t>
      </w:r>
      <w:r w:rsidR="00D215D6" w:rsidRPr="003237DF">
        <w:t xml:space="preserve"> quoted on ASX</w:t>
      </w:r>
      <w:r w:rsidRPr="003237DF">
        <w:t xml:space="preserve">, without the need to be stapled to a share. We have also modified the definition of </w:t>
      </w:r>
      <w:r w:rsidR="00946724" w:rsidRPr="003237DF">
        <w:t>‘</w:t>
      </w:r>
      <w:r w:rsidRPr="003237DF">
        <w:t>performance right</w:t>
      </w:r>
      <w:r w:rsidR="00946724" w:rsidRPr="003237DF">
        <w:t>’</w:t>
      </w:r>
      <w:r w:rsidRPr="003237DF">
        <w:t xml:space="preserve"> (referred to in our new class orders and updated RG 49 as an </w:t>
      </w:r>
      <w:r w:rsidR="00946724" w:rsidRPr="003237DF">
        <w:t>‘</w:t>
      </w:r>
      <w:r w:rsidRPr="003237DF">
        <w:t>incentive right</w:t>
      </w:r>
      <w:r w:rsidR="00946724" w:rsidRPr="003237DF">
        <w:t>’</w:t>
      </w:r>
      <w:r w:rsidRPr="003237DF">
        <w:t>) so that it does not exclude a large number of derivatives that are being offered in relation to listed bodies.</w:t>
      </w:r>
    </w:p>
    <w:p w:rsidR="00606F75" w:rsidRPr="003237DF" w:rsidRDefault="00606F75" w:rsidP="00192E28">
      <w:pPr>
        <w:pStyle w:val="Heading3"/>
      </w:pPr>
      <w:bookmarkStart w:id="44" w:name="_Toc395270585"/>
      <w:r w:rsidRPr="003237DF">
        <w:t>What structures can be used?</w:t>
      </w:r>
      <w:bookmarkEnd w:id="44"/>
    </w:p>
    <w:p w:rsidR="00606F75" w:rsidRPr="003237DF" w:rsidRDefault="00606F75" w:rsidP="00606F75">
      <w:pPr>
        <w:pStyle w:val="BodyText"/>
        <w:rPr>
          <w:lang w:val="en"/>
        </w:rPr>
      </w:pPr>
      <w:r w:rsidRPr="003237DF">
        <w:rPr>
          <w:lang w:val="en"/>
        </w:rPr>
        <w:t xml:space="preserve">Respondents supported our proposal to recognise the use of trusts for holding allocated products and unallocated products. </w:t>
      </w:r>
    </w:p>
    <w:p w:rsidR="00D215D6" w:rsidRPr="003237DF" w:rsidRDefault="00606F75" w:rsidP="00606F75">
      <w:pPr>
        <w:pStyle w:val="BodyText"/>
        <w:rPr>
          <w:lang w:val="en"/>
        </w:rPr>
      </w:pPr>
      <w:r w:rsidRPr="003237DF">
        <w:rPr>
          <w:lang w:val="en"/>
        </w:rPr>
        <w:t>Some submissions did not agree with our proposed conditions</w:t>
      </w:r>
      <w:r w:rsidR="00D215D6" w:rsidRPr="003237DF">
        <w:rPr>
          <w:lang w:val="en"/>
        </w:rPr>
        <w:t>,</w:t>
      </w:r>
      <w:r w:rsidRPr="003237DF">
        <w:rPr>
          <w:lang w:val="en"/>
        </w:rPr>
        <w:t xml:space="preserve"> including</w:t>
      </w:r>
      <w:r w:rsidR="00D215D6" w:rsidRPr="003237DF">
        <w:rPr>
          <w:lang w:val="en"/>
        </w:rPr>
        <w:t>:</w:t>
      </w:r>
    </w:p>
    <w:p w:rsidR="00D336B6" w:rsidRPr="003237DF" w:rsidRDefault="00606F75" w:rsidP="008271B9">
      <w:pPr>
        <w:pStyle w:val="subparaa"/>
        <w:rPr>
          <w:lang w:val="en"/>
        </w:rPr>
      </w:pPr>
      <w:r w:rsidRPr="003237DF">
        <w:rPr>
          <w:lang w:val="en"/>
        </w:rPr>
        <w:t>requiring the auditing of financial records</w:t>
      </w:r>
      <w:r w:rsidR="0074591B" w:rsidRPr="003237DF">
        <w:rPr>
          <w:lang w:val="en"/>
        </w:rPr>
        <w:t>;</w:t>
      </w:r>
      <w:r w:rsidRPr="003237DF">
        <w:rPr>
          <w:lang w:val="en"/>
        </w:rPr>
        <w:t xml:space="preserve"> </w:t>
      </w:r>
    </w:p>
    <w:p w:rsidR="00D336B6" w:rsidRPr="003237DF" w:rsidRDefault="00606F75" w:rsidP="008271B9">
      <w:pPr>
        <w:pStyle w:val="subparaa"/>
        <w:rPr>
          <w:lang w:val="en"/>
        </w:rPr>
      </w:pPr>
      <w:r w:rsidRPr="003237DF">
        <w:rPr>
          <w:lang w:val="en"/>
        </w:rPr>
        <w:t xml:space="preserve">preventing claims for fees and charges; </w:t>
      </w:r>
      <w:r w:rsidR="0074591B" w:rsidRPr="003237DF">
        <w:rPr>
          <w:lang w:val="en"/>
        </w:rPr>
        <w:t xml:space="preserve">and </w:t>
      </w:r>
    </w:p>
    <w:p w:rsidR="00606F75" w:rsidRPr="003237DF" w:rsidRDefault="00D336B6" w:rsidP="008271B9">
      <w:pPr>
        <w:pStyle w:val="subparaa"/>
        <w:rPr>
          <w:lang w:val="en"/>
        </w:rPr>
      </w:pPr>
      <w:r w:rsidRPr="003237DF">
        <w:rPr>
          <w:lang w:val="en"/>
        </w:rPr>
        <w:t xml:space="preserve">requiring </w:t>
      </w:r>
      <w:r w:rsidR="00606F75" w:rsidRPr="003237DF">
        <w:rPr>
          <w:lang w:val="en"/>
        </w:rPr>
        <w:t xml:space="preserve">that participants have substantially the same rights as </w:t>
      </w:r>
      <w:r w:rsidR="00606F75" w:rsidRPr="003237DF">
        <w:rPr>
          <w:spacing w:val="-2"/>
          <w:lang w:val="en"/>
        </w:rPr>
        <w:t>if they were the legal owner including an entitlement to dividends and voting.</w:t>
      </w:r>
      <w:r w:rsidR="00606F75" w:rsidRPr="003237DF">
        <w:rPr>
          <w:lang w:val="en"/>
        </w:rPr>
        <w:t xml:space="preserve"> </w:t>
      </w:r>
    </w:p>
    <w:p w:rsidR="00606F75" w:rsidRPr="003237DF" w:rsidRDefault="00606F75" w:rsidP="00606F75">
      <w:pPr>
        <w:pStyle w:val="BodyText"/>
        <w:rPr>
          <w:lang w:val="en"/>
        </w:rPr>
      </w:pPr>
      <w:r w:rsidRPr="003237DF">
        <w:rPr>
          <w:lang w:val="en"/>
        </w:rPr>
        <w:t xml:space="preserve">There was broad agreement </w:t>
      </w:r>
      <w:r w:rsidR="00D336B6" w:rsidRPr="003237DF">
        <w:rPr>
          <w:lang w:val="en"/>
        </w:rPr>
        <w:t xml:space="preserve">with </w:t>
      </w:r>
      <w:r w:rsidRPr="003237DF">
        <w:rPr>
          <w:lang w:val="en"/>
        </w:rPr>
        <w:t>our proposal to permit the use of both contribution plans and loans in an employee incentive scheme.</w:t>
      </w:r>
    </w:p>
    <w:p w:rsidR="00606F75" w:rsidRPr="003237DF" w:rsidRDefault="00606F75" w:rsidP="00606F75">
      <w:pPr>
        <w:pStyle w:val="BodyText"/>
        <w:rPr>
          <w:lang w:val="en"/>
        </w:rPr>
      </w:pPr>
      <w:r w:rsidRPr="003237DF">
        <w:rPr>
          <w:lang w:val="en"/>
        </w:rPr>
        <w:t>While we retained a number of conditions for trusts, loans and contribution plans, we decided to remove the audit obligation on trusts, to permit the use of dividends to pay down loans, to permit claims for reasonable disbursements</w:t>
      </w:r>
      <w:r w:rsidR="00D336B6" w:rsidRPr="003237DF">
        <w:rPr>
          <w:lang w:val="en"/>
        </w:rPr>
        <w:t>,</w:t>
      </w:r>
      <w:r w:rsidR="0074591B" w:rsidRPr="003237DF">
        <w:rPr>
          <w:lang w:val="en"/>
        </w:rPr>
        <w:t xml:space="preserve"> and </w:t>
      </w:r>
      <w:r w:rsidRPr="003237DF">
        <w:rPr>
          <w:lang w:val="en"/>
        </w:rPr>
        <w:t xml:space="preserve">not to prevent professional trustees who </w:t>
      </w:r>
      <w:r w:rsidR="00D336B6" w:rsidRPr="003237DF">
        <w:rPr>
          <w:lang w:val="en"/>
        </w:rPr>
        <w:t xml:space="preserve">are </w:t>
      </w:r>
      <w:r w:rsidRPr="003237DF">
        <w:rPr>
          <w:lang w:val="en"/>
        </w:rPr>
        <w:t xml:space="preserve">not associates of the body from voting under their duties as trustees if it </w:t>
      </w:r>
      <w:r w:rsidR="00D336B6" w:rsidRPr="003237DF">
        <w:rPr>
          <w:lang w:val="en"/>
        </w:rPr>
        <w:t xml:space="preserve">is </w:t>
      </w:r>
      <w:r w:rsidRPr="003237DF">
        <w:rPr>
          <w:lang w:val="en"/>
        </w:rPr>
        <w:t>in the best interest of beneficiaries for the trustee to vote.</w:t>
      </w:r>
    </w:p>
    <w:p w:rsidR="00606F75" w:rsidRPr="003237DF" w:rsidRDefault="00606F75" w:rsidP="00192E28">
      <w:pPr>
        <w:pStyle w:val="Heading3"/>
      </w:pPr>
      <w:bookmarkStart w:id="45" w:name="_Toc395270589"/>
      <w:r w:rsidRPr="003237DF">
        <w:t>What general conditions apply?</w:t>
      </w:r>
      <w:bookmarkEnd w:id="45"/>
    </w:p>
    <w:p w:rsidR="00606F75" w:rsidRPr="003237DF" w:rsidRDefault="00606F75" w:rsidP="00F7572C">
      <w:pPr>
        <w:pStyle w:val="BodyText"/>
      </w:pPr>
      <w:r w:rsidRPr="003237DF">
        <w:t xml:space="preserve">All respondents supported a relaxation of the quotation requirements, and most respondents agreed that offers of options and incentive rights be offered for </w:t>
      </w:r>
      <w:r w:rsidR="00946724" w:rsidRPr="003237DF">
        <w:t>‘</w:t>
      </w:r>
      <w:r w:rsidRPr="003237DF">
        <w:t>no more than nominal monetary consideration</w:t>
      </w:r>
      <w:r w:rsidR="00946724" w:rsidRPr="003237DF">
        <w:t>’</w:t>
      </w:r>
      <w:r w:rsidRPr="003237DF">
        <w:t>.</w:t>
      </w:r>
    </w:p>
    <w:p w:rsidR="00606F75" w:rsidRPr="003237DF" w:rsidRDefault="00606F75" w:rsidP="00F7572C">
      <w:pPr>
        <w:pStyle w:val="BodyText"/>
      </w:pPr>
      <w:r w:rsidRPr="003237DF">
        <w:t xml:space="preserve">Some respondents did not agree with our formulation for calculating the 5% </w:t>
      </w:r>
      <w:r w:rsidRPr="003237DF">
        <w:rPr>
          <w:spacing w:val="-4"/>
        </w:rPr>
        <w:t>offer limit and many did not support our proposal to establish interdependence</w:t>
      </w:r>
      <w:r w:rsidRPr="003237DF">
        <w:t xml:space="preserve"> by imposing a 12</w:t>
      </w:r>
      <w:r w:rsidR="0074591B" w:rsidRPr="003237DF">
        <w:t>-</w:t>
      </w:r>
      <w:r w:rsidRPr="003237DF">
        <w:t>month restriction (where no more than 75% of an employee incentive scheme could vest absolutely within a 12</w:t>
      </w:r>
      <w:r w:rsidR="00956605" w:rsidRPr="003237DF">
        <w:t>-</w:t>
      </w:r>
      <w:r w:rsidRPr="003237DF">
        <w:t>month period).</w:t>
      </w:r>
    </w:p>
    <w:p w:rsidR="000C743E" w:rsidRPr="003237DF" w:rsidRDefault="00606F75" w:rsidP="00606F75">
      <w:pPr>
        <w:pStyle w:val="BodyText"/>
      </w:pPr>
      <w:r w:rsidRPr="003237DF">
        <w:t>We have simplified the formula for calculating the 5% offer limit and are not proceeding with a quantitative interdependence test. We have also significantly reduced the content of the notification of reliance on our class order and are not prescribing the disclosure of material risks.</w:t>
      </w:r>
    </w:p>
    <w:p w:rsidR="00192E28" w:rsidRPr="003237DF" w:rsidRDefault="00192E28" w:rsidP="00606F75">
      <w:pPr>
        <w:pStyle w:val="Heading2"/>
      </w:pPr>
      <w:bookmarkStart w:id="46" w:name="_Toc398206741"/>
      <w:bookmarkStart w:id="47" w:name="_Toc395270595"/>
      <w:r w:rsidRPr="003237DF">
        <w:t>Unlisted bodies</w:t>
      </w:r>
      <w:bookmarkEnd w:id="46"/>
    </w:p>
    <w:p w:rsidR="00606F75" w:rsidRPr="003237DF" w:rsidRDefault="00606F75" w:rsidP="00192E28">
      <w:pPr>
        <w:pStyle w:val="Heading3"/>
      </w:pPr>
      <w:r w:rsidRPr="003237DF">
        <w:t xml:space="preserve">What relief is available? </w:t>
      </w:r>
      <w:bookmarkEnd w:id="47"/>
    </w:p>
    <w:p w:rsidR="00F44F42" w:rsidRPr="003237DF" w:rsidRDefault="00F44F42" w:rsidP="00F44F42">
      <w:pPr>
        <w:pStyle w:val="BodyText"/>
      </w:pPr>
      <w:r w:rsidRPr="003237DF">
        <w:t xml:space="preserve">Given </w:t>
      </w:r>
      <w:r w:rsidR="00C46F14" w:rsidRPr="003237DF">
        <w:t xml:space="preserve">that </w:t>
      </w:r>
      <w:r w:rsidR="00A00ADB" w:rsidRPr="003237DF">
        <w:t>listed and unlisted bodies are mutual</w:t>
      </w:r>
      <w:r w:rsidR="006A7EEE" w:rsidRPr="003237DF">
        <w:t>ly</w:t>
      </w:r>
      <w:r w:rsidR="00A00ADB" w:rsidRPr="003237DF">
        <w:t xml:space="preserve"> exclusive categories, </w:t>
      </w:r>
      <w:r w:rsidRPr="003237DF">
        <w:t xml:space="preserve">we </w:t>
      </w:r>
      <w:r w:rsidR="00CB2083" w:rsidRPr="003237DF">
        <w:t xml:space="preserve">decided to </w:t>
      </w:r>
      <w:r w:rsidRPr="003237DF">
        <w:t xml:space="preserve">create a separate class order </w:t>
      </w:r>
      <w:r w:rsidR="00FA3D24" w:rsidRPr="003237DF">
        <w:t>[CO 14/1001]</w:t>
      </w:r>
      <w:r w:rsidRPr="003237DF">
        <w:t xml:space="preserve"> for unlisted bodies. </w:t>
      </w:r>
    </w:p>
    <w:p w:rsidR="00606F75" w:rsidRPr="003237DF" w:rsidRDefault="00606F75" w:rsidP="00BD10BC">
      <w:pPr>
        <w:pStyle w:val="BodyText"/>
      </w:pPr>
      <w:r w:rsidRPr="003237DF">
        <w:t>The majority of the restrictions we proposed in order to protect participants in the less regulated and less transparent environment of unlisted bodies were generally not supported</w:t>
      </w:r>
      <w:r w:rsidR="00F44F42" w:rsidRPr="003237DF">
        <w:t xml:space="preserve"> by respondents</w:t>
      </w:r>
      <w:r w:rsidRPr="003237DF">
        <w:t>.</w:t>
      </w:r>
      <w:r w:rsidR="00CB2083" w:rsidRPr="003237DF">
        <w:t xml:space="preserve"> We were told that they were too onerous and would render the relief </w:t>
      </w:r>
      <w:r w:rsidR="006A7EEE" w:rsidRPr="003237DF">
        <w:t xml:space="preserve">to be </w:t>
      </w:r>
      <w:r w:rsidR="00CB2083" w:rsidRPr="003237DF">
        <w:t>of little use.</w:t>
      </w:r>
    </w:p>
    <w:p w:rsidR="00645182" w:rsidRPr="003237DF" w:rsidRDefault="005A78B6" w:rsidP="00571ABB">
      <w:pPr>
        <w:pStyle w:val="BodyText"/>
      </w:pPr>
      <w:r w:rsidRPr="003237DF">
        <w:t>Unlisted bodies, particularly smaller enterprises (e.g. start-up companies)</w:t>
      </w:r>
      <w:r w:rsidR="00645182" w:rsidRPr="003237DF">
        <w:t>,</w:t>
      </w:r>
      <w:r w:rsidRPr="003237DF">
        <w:t xml:space="preserve"> are very interested in offering employee incentive schemes.</w:t>
      </w:r>
      <w:r w:rsidR="00946724" w:rsidRPr="003237DF">
        <w:t xml:space="preserve"> </w:t>
      </w:r>
      <w:r w:rsidRPr="003237DF">
        <w:t>The experience overseas, particularly in the United States, is that start-up enterprises have used employee incentive schemes to attract talented employees in circumstances where the enterprises are cash poor and unable to remunerate staff sufficiently based on cash salaries alone.</w:t>
      </w:r>
      <w:r w:rsidR="00946724" w:rsidRPr="003237DF">
        <w:t xml:space="preserve"> </w:t>
      </w:r>
    </w:p>
    <w:p w:rsidR="00784379" w:rsidRPr="003237DF" w:rsidRDefault="005A78B6" w:rsidP="00571ABB">
      <w:pPr>
        <w:pStyle w:val="BodyText"/>
      </w:pPr>
      <w:r w:rsidRPr="003237DF">
        <w:t xml:space="preserve">While the experience both in Australia and overseas is that employee incentive schemes are popular for either end of the corporate landscape (i.e. from billion dollar listed companies down to small start-up enterprises), it would appear that class order relief would benefit unlisted bodies to a larger degree than </w:t>
      </w:r>
      <w:r w:rsidR="00C45A0B">
        <w:t xml:space="preserve">it would </w:t>
      </w:r>
      <w:r w:rsidRPr="003237DF">
        <w:t>benefit listed bodies</w:t>
      </w:r>
      <w:r w:rsidR="00645182" w:rsidRPr="003237DF">
        <w:t>,</w:t>
      </w:r>
      <w:r w:rsidRPr="003237DF">
        <w:t xml:space="preserve"> given</w:t>
      </w:r>
      <w:r w:rsidR="007D0497" w:rsidRPr="003237DF">
        <w:t xml:space="preserve"> that</w:t>
      </w:r>
      <w:r w:rsidRPr="003237DF">
        <w:t xml:space="preserve"> the outlay for having to otherwise comply with the Corporations Act </w:t>
      </w:r>
      <w:r w:rsidR="00645182" w:rsidRPr="003237DF">
        <w:t xml:space="preserve">is </w:t>
      </w:r>
      <w:r w:rsidR="00836929" w:rsidRPr="003237DF">
        <w:t xml:space="preserve">generally </w:t>
      </w:r>
      <w:r w:rsidRPr="003237DF">
        <w:t>equivalent.</w:t>
      </w:r>
      <w:r w:rsidR="00946724" w:rsidRPr="003237DF">
        <w:t xml:space="preserve"> </w:t>
      </w:r>
      <w:r w:rsidRPr="003237DF">
        <w:t>Therefore, based on the figures discussed at para</w:t>
      </w:r>
      <w:r w:rsidR="00645182" w:rsidRPr="003237DF">
        <w:t>graph</w:t>
      </w:r>
      <w:r w:rsidRPr="003237DF">
        <w:t xml:space="preserve"> </w:t>
      </w:r>
      <w:r w:rsidR="00645182" w:rsidRPr="003237DF">
        <w:fldChar w:fldCharType="begin"/>
      </w:r>
      <w:r w:rsidR="00645182" w:rsidRPr="003237DF">
        <w:instrText xml:space="preserve"> REF _ASICRef579 \w \h </w:instrText>
      </w:r>
      <w:r w:rsidR="003237DF">
        <w:instrText xml:space="preserve"> \* MERGEFORMAT </w:instrText>
      </w:r>
      <w:r w:rsidR="00645182" w:rsidRPr="003237DF">
        <w:fldChar w:fldCharType="separate"/>
      </w:r>
      <w:r w:rsidR="00EC75CF" w:rsidRPr="003237DF">
        <w:t>59(d)</w:t>
      </w:r>
      <w:r w:rsidR="00645182" w:rsidRPr="003237DF">
        <w:fldChar w:fldCharType="end"/>
      </w:r>
      <w:r w:rsidR="00DE5653" w:rsidRPr="003237DF">
        <w:t>, even 10% to 15% of the 20,000 unlisted bodies registered with ASIC would mean that 2,000 to 3,000 unlisted bodies, a portion of which would be start-up enterprise</w:t>
      </w:r>
      <w:r w:rsidR="00645182" w:rsidRPr="003237DF">
        <w:t>s</w:t>
      </w:r>
      <w:r w:rsidR="00DE5653" w:rsidRPr="003237DF">
        <w:t>,</w:t>
      </w:r>
      <w:r w:rsidR="007D0497" w:rsidRPr="003237DF">
        <w:t xml:space="preserve"> could avail</w:t>
      </w:r>
      <w:r w:rsidR="00DE5653" w:rsidRPr="003237DF">
        <w:t xml:space="preserve"> </w:t>
      </w:r>
      <w:r w:rsidR="00501BBD" w:rsidRPr="003237DF">
        <w:t xml:space="preserve">themselves </w:t>
      </w:r>
      <w:r w:rsidR="00DE5653" w:rsidRPr="003237DF">
        <w:t>of the proposed class order relief under</w:t>
      </w:r>
      <w:r w:rsidR="00501BBD" w:rsidRPr="003237DF">
        <w:t> </w:t>
      </w:r>
      <w:r w:rsidR="00FA3D24" w:rsidRPr="003237DF">
        <w:t>[CO 14/1001]</w:t>
      </w:r>
      <w:r w:rsidR="00DE5653" w:rsidRPr="003237DF">
        <w:t>.</w:t>
      </w:r>
    </w:p>
    <w:p w:rsidR="00625B71" w:rsidRPr="003237DF" w:rsidRDefault="00606F75" w:rsidP="00625B71">
      <w:pPr>
        <w:pStyle w:val="BodyText"/>
      </w:pPr>
      <w:r w:rsidRPr="003237DF">
        <w:t>To maintain participant protections in the unlisted environment, we have retained the condition in our class order that offers of all eligible products must be for no more than nominal monetary consideration, and must not involve contribution plans or loans.</w:t>
      </w:r>
      <w:r w:rsidR="00946724" w:rsidRPr="003237DF">
        <w:t xml:space="preserve"> </w:t>
      </w:r>
    </w:p>
    <w:p w:rsidR="00040153" w:rsidRPr="003237DF" w:rsidRDefault="003B628E" w:rsidP="00571ABB">
      <w:pPr>
        <w:pStyle w:val="BodyText"/>
      </w:pPr>
      <w:r w:rsidRPr="003237DF">
        <w:t xml:space="preserve">We have omitted or amended a number of </w:t>
      </w:r>
      <w:r w:rsidR="00501BBD" w:rsidRPr="003237DF">
        <w:t xml:space="preserve">class order </w:t>
      </w:r>
      <w:r w:rsidRPr="003237DF">
        <w:t>conditions because</w:t>
      </w:r>
      <w:r w:rsidR="00501BBD" w:rsidRPr="003237DF">
        <w:t>,</w:t>
      </w:r>
      <w:r w:rsidRPr="003237DF">
        <w:t xml:space="preserve"> in light of submissions we have received, we consider that</w:t>
      </w:r>
      <w:r w:rsidR="00501BBD" w:rsidRPr="003237DF">
        <w:t>,</w:t>
      </w:r>
      <w:r w:rsidRPr="003237DF">
        <w:t xml:space="preserve"> on balance, the risks associated with relief can be reasonably managed by the other proposed restrictions, and the benefits </w:t>
      </w:r>
      <w:r w:rsidR="00501BBD" w:rsidRPr="003237DF">
        <w:t xml:space="preserve">of </w:t>
      </w:r>
      <w:r w:rsidRPr="003237DF">
        <w:t xml:space="preserve">changing these </w:t>
      </w:r>
      <w:r w:rsidR="00501BBD" w:rsidRPr="003237DF">
        <w:t>conditions</w:t>
      </w:r>
      <w:r w:rsidRPr="003237DF">
        <w:t xml:space="preserve"> (i.e. </w:t>
      </w:r>
      <w:r w:rsidR="00501BBD" w:rsidRPr="003237DF">
        <w:t xml:space="preserve">to </w:t>
      </w:r>
      <w:r w:rsidRPr="003237DF">
        <w:t>provid</w:t>
      </w:r>
      <w:r w:rsidR="00501BBD" w:rsidRPr="003237DF">
        <w:t>e</w:t>
      </w:r>
      <w:r w:rsidRPr="003237DF">
        <w:t xml:space="preserve"> workable relief) outweigh the risks.</w:t>
      </w:r>
      <w:r w:rsidR="00946724" w:rsidRPr="003237DF">
        <w:t xml:space="preserve"> </w:t>
      </w:r>
      <w:r w:rsidR="00836929" w:rsidRPr="003237DF">
        <w:t xml:space="preserve">We made the following changes to the conditions: </w:t>
      </w:r>
    </w:p>
    <w:p w:rsidR="00E61E7B" w:rsidRPr="003237DF" w:rsidRDefault="00836929" w:rsidP="00040153">
      <w:pPr>
        <w:pStyle w:val="subparaa"/>
      </w:pPr>
      <w:r w:rsidRPr="003237DF">
        <w:t>W</w:t>
      </w:r>
      <w:r w:rsidR="003B628E" w:rsidRPr="003237DF">
        <w:t xml:space="preserve">e were told that </w:t>
      </w:r>
      <w:r w:rsidR="00040153" w:rsidRPr="003237DF">
        <w:t xml:space="preserve">the </w:t>
      </w:r>
      <w:r w:rsidR="003B628E" w:rsidRPr="003237DF">
        <w:t xml:space="preserve">offer limit </w:t>
      </w:r>
      <w:r w:rsidR="00501BBD" w:rsidRPr="003237DF">
        <w:t xml:space="preserve">of up to $1,000 </w:t>
      </w:r>
      <w:r w:rsidR="003B628E" w:rsidRPr="003237DF">
        <w:t xml:space="preserve">was too low to be workable, but </w:t>
      </w:r>
      <w:r w:rsidR="00501BBD" w:rsidRPr="003237DF">
        <w:t xml:space="preserve">that </w:t>
      </w:r>
      <w:r w:rsidR="003B628E" w:rsidRPr="003237DF">
        <w:t xml:space="preserve">increasing it to </w:t>
      </w:r>
      <w:r w:rsidR="00040153" w:rsidRPr="003237DF">
        <w:t xml:space="preserve">up to </w:t>
      </w:r>
      <w:r w:rsidR="003B628E" w:rsidRPr="003237DF">
        <w:t xml:space="preserve">$5,000 would </w:t>
      </w:r>
      <w:r w:rsidR="00040153" w:rsidRPr="003237DF">
        <w:t>make it useable</w:t>
      </w:r>
      <w:r w:rsidR="003B628E" w:rsidRPr="003237DF">
        <w:t>.</w:t>
      </w:r>
      <w:r w:rsidR="00946724" w:rsidRPr="003237DF">
        <w:t xml:space="preserve"> </w:t>
      </w:r>
      <w:r w:rsidR="003B628E" w:rsidRPr="003237DF">
        <w:t>By retaining the condition that the offer</w:t>
      </w:r>
      <w:r w:rsidR="00501BBD" w:rsidRPr="003237DF">
        <w:t>,</w:t>
      </w:r>
      <w:r w:rsidR="003B628E" w:rsidRPr="003237DF">
        <w:t xml:space="preserve"> </w:t>
      </w:r>
      <w:r w:rsidR="00501BBD" w:rsidRPr="003237DF">
        <w:t xml:space="preserve">of up to $5,000, </w:t>
      </w:r>
      <w:r w:rsidR="003B628E" w:rsidRPr="003237DF">
        <w:t>must be for no more than nominal monetary consideration</w:t>
      </w:r>
      <w:r w:rsidRPr="003237DF">
        <w:t>, we have</w:t>
      </w:r>
      <w:r w:rsidR="003B628E" w:rsidRPr="003237DF">
        <w:t xml:space="preserve"> limit</w:t>
      </w:r>
      <w:r w:rsidRPr="003237DF">
        <w:t>ed</w:t>
      </w:r>
      <w:r w:rsidR="003B628E" w:rsidRPr="003237DF">
        <w:t xml:space="preserve"> the risk </w:t>
      </w:r>
      <w:r w:rsidR="00501BBD" w:rsidRPr="003237DF">
        <w:t xml:space="preserve">for </w:t>
      </w:r>
      <w:r w:rsidR="003B628E" w:rsidRPr="003237DF">
        <w:t xml:space="preserve">employees in </w:t>
      </w:r>
      <w:r w:rsidR="00040153" w:rsidRPr="003237DF">
        <w:t xml:space="preserve">that employees are not </w:t>
      </w:r>
      <w:r w:rsidR="003B628E" w:rsidRPr="003237DF">
        <w:t>required to outlay additional funds to receive the benefit</w:t>
      </w:r>
      <w:r w:rsidRPr="003237DF">
        <w:t>.</w:t>
      </w:r>
    </w:p>
    <w:p w:rsidR="00040153" w:rsidRPr="003237DF" w:rsidRDefault="00836929" w:rsidP="00040153">
      <w:pPr>
        <w:pStyle w:val="subparaa"/>
      </w:pPr>
      <w:r w:rsidRPr="003237DF">
        <w:t>We</w:t>
      </w:r>
      <w:r w:rsidR="00E61E7B" w:rsidRPr="003237DF">
        <w:t xml:space="preserve"> have removed the requirement that the offer must be accompanied by audited accounts or an independent expert</w:t>
      </w:r>
      <w:r w:rsidR="00946724" w:rsidRPr="003237DF">
        <w:t>’</w:t>
      </w:r>
      <w:r w:rsidR="00E61E7B" w:rsidRPr="003237DF">
        <w:t>s report</w:t>
      </w:r>
      <w:r w:rsidR="00501BBD" w:rsidRPr="003237DF">
        <w:t>,</w:t>
      </w:r>
      <w:r w:rsidR="00E61E7B" w:rsidRPr="003237DF">
        <w:t xml:space="preserve"> on the grounds that it would be commercially unattractive for many unlisted bodies</w:t>
      </w:r>
      <w:r w:rsidR="00040153" w:rsidRPr="003237DF">
        <w:t>.</w:t>
      </w:r>
      <w:r w:rsidR="00946724" w:rsidRPr="003237DF">
        <w:t xml:space="preserve"> </w:t>
      </w:r>
      <w:r w:rsidR="00E61E7B" w:rsidRPr="003237DF">
        <w:t xml:space="preserve">Instead of this, we have devised conditions </w:t>
      </w:r>
      <w:r w:rsidR="00501BBD" w:rsidRPr="003237DF">
        <w:t xml:space="preserve">that </w:t>
      </w:r>
      <w:r w:rsidR="00E61E7B" w:rsidRPr="003237DF">
        <w:t xml:space="preserve">require unaudited accounts and representations regarding </w:t>
      </w:r>
      <w:r w:rsidRPr="003237DF">
        <w:t xml:space="preserve">the </w:t>
      </w:r>
      <w:r w:rsidR="00E61E7B" w:rsidRPr="003237DF">
        <w:t>basis of valuation and solvency</w:t>
      </w:r>
      <w:r w:rsidR="00040153" w:rsidRPr="003237DF">
        <w:t xml:space="preserve"> </w:t>
      </w:r>
      <w:r w:rsidR="00E61E7B" w:rsidRPr="003237DF">
        <w:t>to safeguard employees.</w:t>
      </w:r>
      <w:r w:rsidR="00946724" w:rsidRPr="003237DF">
        <w:t xml:space="preserve"> </w:t>
      </w:r>
      <w:r w:rsidR="00E61E7B" w:rsidRPr="003237DF">
        <w:t xml:space="preserve">This is further reinforced with </w:t>
      </w:r>
      <w:r w:rsidR="00040153" w:rsidRPr="003237DF">
        <w:t>a new condition requiring a prominent front page warning that makes it clear that the financial return may not eventuate</w:t>
      </w:r>
      <w:r w:rsidR="00501BBD" w:rsidRPr="003237DF">
        <w:t>,</w:t>
      </w:r>
      <w:r w:rsidR="00040153" w:rsidRPr="003237DF">
        <w:t xml:space="preserve"> to remove any suggestion that it provides a substitute for a cash salary</w:t>
      </w:r>
      <w:r w:rsidRPr="003237DF">
        <w:t>.</w:t>
      </w:r>
      <w:r w:rsidR="00946724" w:rsidRPr="003237DF">
        <w:t xml:space="preserve"> </w:t>
      </w:r>
    </w:p>
    <w:p w:rsidR="005F5695" w:rsidRPr="003237DF" w:rsidRDefault="005F5695" w:rsidP="00040153">
      <w:pPr>
        <w:pStyle w:val="subparaa"/>
      </w:pPr>
      <w:r w:rsidRPr="003237DF">
        <w:t xml:space="preserve">Submissions indicated that it was not </w:t>
      </w:r>
      <w:r w:rsidR="00376A9F" w:rsidRPr="003237DF">
        <w:t xml:space="preserve">commercially </w:t>
      </w:r>
      <w:r w:rsidRPr="003237DF">
        <w:t>attractive to prevent unlisted bodies from having different classes of shares with different rights outside of the employee incentive scheme arrangement</w:t>
      </w:r>
      <w:r w:rsidR="00376A9F" w:rsidRPr="003237DF">
        <w:t>,</w:t>
      </w:r>
      <w:r w:rsidRPr="003237DF">
        <w:t xml:space="preserve"> and we agreed </w:t>
      </w:r>
      <w:r w:rsidR="001F5221" w:rsidRPr="003237DF">
        <w:t xml:space="preserve">with this position. We decided </w:t>
      </w:r>
      <w:r w:rsidRPr="003237DF">
        <w:t>that</w:t>
      </w:r>
      <w:r w:rsidR="00376A9F" w:rsidRPr="003237DF">
        <w:t>,</w:t>
      </w:r>
      <w:r w:rsidRPr="003237DF">
        <w:t xml:space="preserve"> on balance, most of the safeguards </w:t>
      </w:r>
      <w:r w:rsidR="001F5221" w:rsidRPr="003237DF">
        <w:t xml:space="preserve">we were intending to provide could be achieved </w:t>
      </w:r>
      <w:r w:rsidRPr="003237DF">
        <w:t>by limit</w:t>
      </w:r>
      <w:r w:rsidR="00376A9F" w:rsidRPr="003237DF">
        <w:t>ing</w:t>
      </w:r>
      <w:r w:rsidRPr="003237DF">
        <w:t xml:space="preserve"> the restriction to </w:t>
      </w:r>
      <w:r w:rsidR="001F5221" w:rsidRPr="003237DF">
        <w:t xml:space="preserve">apply only to </w:t>
      </w:r>
      <w:r w:rsidRPr="003237DF">
        <w:t>offers made in reliance on ASIC relief</w:t>
      </w:r>
      <w:r w:rsidR="00376A9F" w:rsidRPr="003237DF">
        <w:t>.</w:t>
      </w:r>
      <w:r w:rsidR="001F5221" w:rsidRPr="003237DF">
        <w:t xml:space="preserve"> That is, unlisted bodies can only </w:t>
      </w:r>
      <w:r w:rsidR="00425F08" w:rsidRPr="003237DF">
        <w:t xml:space="preserve">offer </w:t>
      </w:r>
      <w:r w:rsidR="001F5221" w:rsidRPr="003237DF">
        <w:t>fully paid voting ordinary shares to participants under an employee incentive scheme in reliance on ASIC relief</w:t>
      </w:r>
      <w:r w:rsidR="00425F08" w:rsidRPr="003237DF">
        <w:t xml:space="preserve">, but </w:t>
      </w:r>
      <w:r w:rsidR="00C45A0B">
        <w:t>are otherwise</w:t>
      </w:r>
      <w:r w:rsidR="00425F08" w:rsidRPr="003237DF">
        <w:t xml:space="preserve"> </w:t>
      </w:r>
      <w:r w:rsidR="00C45A0B">
        <w:t xml:space="preserve">able </w:t>
      </w:r>
      <w:r w:rsidR="00425F08" w:rsidRPr="003237DF">
        <w:t>to issue other classes of share</w:t>
      </w:r>
      <w:r w:rsidR="00C45A0B">
        <w:t>s</w:t>
      </w:r>
      <w:r w:rsidR="001F5221" w:rsidRPr="003237DF">
        <w:t>.</w:t>
      </w:r>
    </w:p>
    <w:p w:rsidR="003B628E" w:rsidRPr="003237DF" w:rsidRDefault="00836929" w:rsidP="00040153">
      <w:pPr>
        <w:pStyle w:val="subparaa"/>
      </w:pPr>
      <w:r w:rsidRPr="003237DF">
        <w:t>W</w:t>
      </w:r>
      <w:r w:rsidR="00040153" w:rsidRPr="003237DF">
        <w:t>e also originally omitted the use of trusts to keep the structural arrangements simple.</w:t>
      </w:r>
      <w:r w:rsidR="00946724" w:rsidRPr="003237DF">
        <w:t xml:space="preserve"> </w:t>
      </w:r>
      <w:r w:rsidR="00040153" w:rsidRPr="003237DF">
        <w:t>However, we were told that trust arrangements are commonplace and assist with the costs and administration of the employee incentive scheme.</w:t>
      </w:r>
      <w:r w:rsidR="00D06D1F" w:rsidRPr="003237DF">
        <w:t xml:space="preserve"> Because </w:t>
      </w:r>
      <w:r w:rsidR="00040153" w:rsidRPr="003237DF">
        <w:t>trusts are there to recognise the interest of the employee-participant, we accepted that permitting relief to cover trusts</w:t>
      </w:r>
      <w:r w:rsidRPr="003237DF">
        <w:t xml:space="preserve"> would provide</w:t>
      </w:r>
      <w:r w:rsidR="00076BEF" w:rsidRPr="003237DF">
        <w:t xml:space="preserve"> </w:t>
      </w:r>
      <w:r w:rsidR="00040153" w:rsidRPr="003237DF">
        <w:t>additional safeguards</w:t>
      </w:r>
      <w:r w:rsidRPr="003237DF">
        <w:t xml:space="preserve"> for</w:t>
      </w:r>
      <w:r w:rsidR="00040153" w:rsidRPr="003237DF">
        <w:t xml:space="preserve"> the interests of employees</w:t>
      </w:r>
      <w:r w:rsidRPr="003237DF">
        <w:t>, even though they do introduce a degree of complexity</w:t>
      </w:r>
      <w:r w:rsidR="00040153" w:rsidRPr="003237DF">
        <w:t xml:space="preserve">. </w:t>
      </w:r>
    </w:p>
    <w:p w:rsidR="003513EF" w:rsidRPr="003237DF" w:rsidRDefault="003513EF" w:rsidP="003513EF">
      <w:pPr>
        <w:pStyle w:val="Heading1"/>
      </w:pPr>
      <w:bookmarkStart w:id="48" w:name="_Toc398206742"/>
      <w:bookmarkStart w:id="49" w:name="_ASICRef705"/>
      <w:r w:rsidRPr="003237DF">
        <w:t>Conclusion and recommended option</w:t>
      </w:r>
      <w:bookmarkEnd w:id="39"/>
      <w:bookmarkEnd w:id="48"/>
      <w:bookmarkEnd w:id="49"/>
    </w:p>
    <w:p w:rsidR="00F75A32" w:rsidRPr="003237DF" w:rsidRDefault="00F75A32" w:rsidP="003513EF">
      <w:pPr>
        <w:pStyle w:val="BodyText"/>
      </w:pPr>
      <w:r w:rsidRPr="003237DF">
        <w:t>In arriving at our conclusion and recommended option, we have considered the counterfactual- that is, the likelihood that ASIC would and should permit its class order relief</w:t>
      </w:r>
      <w:r w:rsidR="001A092A" w:rsidRPr="003237DF">
        <w:t xml:space="preserve"> to lapse and require</w:t>
      </w:r>
      <w:r w:rsidRPr="003237DF">
        <w:t xml:space="preserve"> employers to undertake full compliance with regulated disclosure and financial services activities without relief.  We would estimate the cost to employers, employees and the economy more generally to be in the order of tens </w:t>
      </w:r>
      <w:r w:rsidR="001A092A" w:rsidRPr="003237DF">
        <w:t xml:space="preserve">of millions of dollars due to loss productivity, innovation and tax revenue. Given the research and evidence supporting the benefits of employee incentive schemes both in Australia and </w:t>
      </w:r>
      <w:r w:rsidR="009B75C0">
        <w:t xml:space="preserve">for </w:t>
      </w:r>
      <w:r w:rsidR="001A092A" w:rsidRPr="003237DF">
        <w:t xml:space="preserve">some of our most significant trading partners, </w:t>
      </w:r>
      <w:r w:rsidR="009B75C0">
        <w:t xml:space="preserve">and </w:t>
      </w:r>
      <w:r w:rsidR="001A092A" w:rsidRPr="003237DF">
        <w:t>the fact that ASIC has not received complaints about providing disclosure and licensing relief for employee incentive schemes, there seems to be no realistic possibility of this occurring.</w:t>
      </w:r>
    </w:p>
    <w:p w:rsidR="00816732" w:rsidRPr="003237DF" w:rsidRDefault="00057387" w:rsidP="003513EF">
      <w:pPr>
        <w:pStyle w:val="BodyText"/>
      </w:pPr>
      <w:r w:rsidRPr="003237DF">
        <w:t xml:space="preserve">With the change in </w:t>
      </w:r>
      <w:r w:rsidR="00174341" w:rsidRPr="003237DF">
        <w:t xml:space="preserve">market </w:t>
      </w:r>
      <w:r w:rsidRPr="003237DF">
        <w:t xml:space="preserve">practices and </w:t>
      </w:r>
      <w:r w:rsidR="00174341" w:rsidRPr="003237DF">
        <w:t xml:space="preserve">the mechanisms employers are utilising to </w:t>
      </w:r>
      <w:r w:rsidRPr="003237DF">
        <w:t xml:space="preserve">provide employee incentive schemes, our current RG 49 and </w:t>
      </w:r>
      <w:r w:rsidR="00153C8E" w:rsidRPr="003237DF">
        <w:t>[CO </w:t>
      </w:r>
      <w:r w:rsidRPr="003237DF">
        <w:t>03/184] ha</w:t>
      </w:r>
      <w:r w:rsidR="0074591B" w:rsidRPr="003237DF">
        <w:t>ve</w:t>
      </w:r>
      <w:r w:rsidRPr="003237DF">
        <w:t xml:space="preserve"> become outdated and </w:t>
      </w:r>
      <w:r w:rsidR="00174341" w:rsidRPr="003237DF">
        <w:t xml:space="preserve">no longer reflect </w:t>
      </w:r>
      <w:r w:rsidRPr="003237DF">
        <w:t xml:space="preserve">the </w:t>
      </w:r>
      <w:r w:rsidR="00174341" w:rsidRPr="003237DF">
        <w:t xml:space="preserve">diverse range of offers </w:t>
      </w:r>
      <w:r w:rsidRPr="003237DF">
        <w:t>relevant to the employer</w:t>
      </w:r>
      <w:r w:rsidR="00956605" w:rsidRPr="003237DF">
        <w:t>–</w:t>
      </w:r>
      <w:r w:rsidRPr="003237DF">
        <w:t xml:space="preserve">employee relationship. </w:t>
      </w:r>
      <w:r w:rsidR="00583DA9" w:rsidRPr="003237DF">
        <w:t>Further, a</w:t>
      </w:r>
      <w:r w:rsidRPr="003237DF">
        <w:t xml:space="preserve">s the </w:t>
      </w:r>
      <w:r w:rsidR="00583DA9" w:rsidRPr="003237DF">
        <w:t>use of</w:t>
      </w:r>
      <w:r w:rsidRPr="003237DF">
        <w:t xml:space="preserve"> empl</w:t>
      </w:r>
      <w:r w:rsidR="00583DA9" w:rsidRPr="003237DF">
        <w:t xml:space="preserve">oyee incentive schemes </w:t>
      </w:r>
      <w:r w:rsidR="00174341" w:rsidRPr="003237DF">
        <w:t xml:space="preserve">expand </w:t>
      </w:r>
      <w:r w:rsidR="00583DA9" w:rsidRPr="003237DF">
        <w:t xml:space="preserve">globally, more employers would prefer to implement these schemes without the burden of </w:t>
      </w:r>
      <w:r w:rsidR="00174341" w:rsidRPr="003237DF">
        <w:t xml:space="preserve">having to either </w:t>
      </w:r>
      <w:r w:rsidR="00583DA9" w:rsidRPr="003237DF">
        <w:t>comply with the Corporations Act</w:t>
      </w:r>
      <w:r w:rsidR="00174341" w:rsidRPr="003237DF">
        <w:t xml:space="preserve">, or </w:t>
      </w:r>
      <w:r w:rsidR="006C482A" w:rsidRPr="003237DF">
        <w:t xml:space="preserve">to offer these schemes under </w:t>
      </w:r>
      <w:r w:rsidR="00174341" w:rsidRPr="003237DF">
        <w:t xml:space="preserve">the limited relief available under </w:t>
      </w:r>
      <w:r w:rsidR="00153C8E" w:rsidRPr="003237DF">
        <w:t>[CO </w:t>
      </w:r>
      <w:r w:rsidR="00174341" w:rsidRPr="003237DF">
        <w:t>03/184]</w:t>
      </w:r>
      <w:r w:rsidR="00583DA9" w:rsidRPr="003237DF">
        <w:t xml:space="preserve">. These issues were evident during our review process of applications for relief, commentary on employee incentive schemes and industry feedback. </w:t>
      </w:r>
    </w:p>
    <w:p w:rsidR="00760969" w:rsidRPr="003237DF" w:rsidRDefault="00197F5C" w:rsidP="003513EF">
      <w:pPr>
        <w:pStyle w:val="BodyText"/>
      </w:pPr>
      <w:r w:rsidRPr="003237DF">
        <w:t xml:space="preserve">To address the issues identified, we recommend implementing Option </w:t>
      </w:r>
      <w:r w:rsidR="007B4988" w:rsidRPr="003237DF">
        <w:t>1</w:t>
      </w:r>
      <w:r w:rsidR="00EF627F" w:rsidRPr="003237DF">
        <w:t>—t</w:t>
      </w:r>
      <w:r w:rsidR="00174341" w:rsidRPr="003237DF">
        <w:t xml:space="preserve">hat is, </w:t>
      </w:r>
      <w:r w:rsidRPr="003237DF">
        <w:t xml:space="preserve">to make substantive changes to our existing policy by issuing revised guidance and </w:t>
      </w:r>
      <w:r w:rsidR="00726BD6" w:rsidRPr="003237DF">
        <w:t xml:space="preserve">new class order </w:t>
      </w:r>
      <w:r w:rsidRPr="003237DF">
        <w:t xml:space="preserve">relief. Option </w:t>
      </w:r>
      <w:r w:rsidR="007B4988" w:rsidRPr="003237DF">
        <w:t xml:space="preserve">1 </w:t>
      </w:r>
      <w:r w:rsidRPr="003237DF">
        <w:t xml:space="preserve">achieves our </w:t>
      </w:r>
      <w:r w:rsidR="007A523E" w:rsidRPr="003237DF">
        <w:t xml:space="preserve">policy </w:t>
      </w:r>
      <w:r w:rsidRPr="003237DF">
        <w:t>objectives of</w:t>
      </w:r>
      <w:r w:rsidR="007B4988" w:rsidRPr="003237DF">
        <w:t xml:space="preserve"> facilitating offers of employee incentive schemes where the benefits </w:t>
      </w:r>
      <w:r w:rsidR="00760969" w:rsidRPr="003237DF">
        <w:t xml:space="preserve">to employers, employees and ASIC </w:t>
      </w:r>
      <w:r w:rsidR="00726BD6" w:rsidRPr="003237DF">
        <w:t xml:space="preserve">are balanced against </w:t>
      </w:r>
      <w:r w:rsidR="007B4988" w:rsidRPr="003237DF">
        <w:t>the risks to employees</w:t>
      </w:r>
      <w:r w:rsidR="00726BD6" w:rsidRPr="003237DF">
        <w:t xml:space="preserve"> of being offered financial products without disclosure under a regulated disclosure document, or in limited circumstances under </w:t>
      </w:r>
      <w:r w:rsidR="00153C8E" w:rsidRPr="003237DF">
        <w:t>[CO </w:t>
      </w:r>
      <w:r w:rsidR="00726BD6" w:rsidRPr="003237DF">
        <w:t>03/184]</w:t>
      </w:r>
      <w:r w:rsidR="00760969" w:rsidRPr="003237DF">
        <w:t>.</w:t>
      </w:r>
    </w:p>
    <w:p w:rsidR="003513EF" w:rsidRPr="003237DF" w:rsidRDefault="007A523E" w:rsidP="00CA7AEE">
      <w:pPr>
        <w:pStyle w:val="BodyText"/>
      </w:pPr>
      <w:r w:rsidRPr="003237DF">
        <w:t xml:space="preserve">We recommend Option </w:t>
      </w:r>
      <w:r w:rsidR="007B4988" w:rsidRPr="003237DF">
        <w:t>1</w:t>
      </w:r>
      <w:r w:rsidR="00D06D1F" w:rsidRPr="003237DF">
        <w:t xml:space="preserve"> because </w:t>
      </w:r>
      <w:r w:rsidRPr="003237DF">
        <w:t>it achieves our policy objectives without imposing an unreasonable burden on employers, employees and industry stakeholders.</w:t>
      </w:r>
      <w:r w:rsidR="00946724" w:rsidRPr="003237DF">
        <w:t xml:space="preserve"> </w:t>
      </w:r>
      <w:r w:rsidRPr="003237DF">
        <w:t xml:space="preserve">Option </w:t>
      </w:r>
      <w:r w:rsidR="007B4988" w:rsidRPr="003237DF">
        <w:t xml:space="preserve">1 </w:t>
      </w:r>
      <w:r w:rsidRPr="003237DF">
        <w:t xml:space="preserve">achieves a net benefit </w:t>
      </w:r>
      <w:r w:rsidR="006C482A" w:rsidRPr="003237DF">
        <w:t xml:space="preserve">for </w:t>
      </w:r>
      <w:r w:rsidRPr="003237DF">
        <w:t xml:space="preserve">those involved in employee incentive schemes by providing certainty about our existing policy, expanding the scope of our relief and addressing key emerging issues in the market for employee incentive schemes. </w:t>
      </w:r>
    </w:p>
    <w:p w:rsidR="003513EF" w:rsidRPr="003237DF" w:rsidRDefault="003513EF" w:rsidP="005B3777">
      <w:pPr>
        <w:pStyle w:val="BodyText"/>
        <w:numPr>
          <w:ilvl w:val="0"/>
          <w:numId w:val="0"/>
        </w:numPr>
        <w:ind w:left="2268"/>
      </w:pPr>
    </w:p>
    <w:p w:rsidR="000C2596" w:rsidRPr="003237DF" w:rsidRDefault="000C2596" w:rsidP="009E5B4B">
      <w:pPr>
        <w:pStyle w:val="Heading1"/>
      </w:pPr>
      <w:bookmarkStart w:id="50" w:name="_Toc256689342"/>
      <w:bookmarkStart w:id="51" w:name="_Toc398206743"/>
      <w:r w:rsidRPr="003237DF">
        <w:t>Implementation and review</w:t>
      </w:r>
      <w:bookmarkEnd w:id="50"/>
      <w:bookmarkEnd w:id="51"/>
    </w:p>
    <w:p w:rsidR="00DA4FB7" w:rsidRPr="003237DF" w:rsidRDefault="00DA4FB7" w:rsidP="00DA4FB7">
      <w:pPr>
        <w:pStyle w:val="Heading2"/>
      </w:pPr>
      <w:bookmarkStart w:id="52" w:name="_Toc398206744"/>
      <w:r w:rsidRPr="003237DF">
        <w:t>Implementation</w:t>
      </w:r>
      <w:bookmarkEnd w:id="52"/>
    </w:p>
    <w:p w:rsidR="000C2596" w:rsidRPr="003237DF" w:rsidRDefault="00DA4FB7" w:rsidP="000C2596">
      <w:pPr>
        <w:pStyle w:val="BodyText"/>
      </w:pPr>
      <w:r w:rsidRPr="003237DF">
        <w:t xml:space="preserve">Our recommendations in Section </w:t>
      </w:r>
      <w:r w:rsidR="00956605" w:rsidRPr="003237DF">
        <w:fldChar w:fldCharType="begin"/>
      </w:r>
      <w:r w:rsidR="00956605" w:rsidRPr="003237DF">
        <w:instrText xml:space="preserve"> REF _ASICRef705 \w \h </w:instrText>
      </w:r>
      <w:r w:rsidR="003237DF">
        <w:instrText xml:space="preserve"> \* MERGEFORMAT </w:instrText>
      </w:r>
      <w:r w:rsidR="00956605" w:rsidRPr="003237DF">
        <w:fldChar w:fldCharType="separate"/>
      </w:r>
      <w:r w:rsidR="00EC75CF" w:rsidRPr="003237DF">
        <w:t>E</w:t>
      </w:r>
      <w:r w:rsidR="00956605" w:rsidRPr="003237DF">
        <w:fldChar w:fldCharType="end"/>
      </w:r>
      <w:r w:rsidRPr="003237DF">
        <w:t xml:space="preserve"> would be implemented by publishing the following documents:</w:t>
      </w:r>
    </w:p>
    <w:p w:rsidR="00DA4FB7" w:rsidRPr="003237DF" w:rsidRDefault="00DA4FB7" w:rsidP="00DA4FB7">
      <w:pPr>
        <w:pStyle w:val="subparaa"/>
      </w:pPr>
      <w:r w:rsidRPr="003237DF">
        <w:t xml:space="preserve">a revised </w:t>
      </w:r>
      <w:r w:rsidR="00562586">
        <w:t xml:space="preserve">Regulatory Guide </w:t>
      </w:r>
      <w:r w:rsidRPr="003237DF">
        <w:t>49</w:t>
      </w:r>
      <w:r w:rsidR="00562586">
        <w:t xml:space="preserve"> </w:t>
      </w:r>
      <w:r w:rsidR="00562586">
        <w:rPr>
          <w:i/>
        </w:rPr>
        <w:t>Employee incentive schemes</w:t>
      </w:r>
      <w:r w:rsidRPr="003237DF">
        <w:t>;</w:t>
      </w:r>
    </w:p>
    <w:p w:rsidR="006C482A" w:rsidRPr="003237DF" w:rsidRDefault="00DA4FB7" w:rsidP="00DA4FB7">
      <w:pPr>
        <w:pStyle w:val="subparaa"/>
      </w:pPr>
      <w:r w:rsidRPr="003237DF">
        <w:t>new class order</w:t>
      </w:r>
      <w:r w:rsidR="007964C8" w:rsidRPr="003237DF">
        <w:t>s</w:t>
      </w:r>
      <w:r w:rsidR="006C482A" w:rsidRPr="003237DF">
        <w:t>:</w:t>
      </w:r>
    </w:p>
    <w:p w:rsidR="006C482A" w:rsidRPr="003237DF" w:rsidRDefault="00FA3D24" w:rsidP="006C482A">
      <w:pPr>
        <w:pStyle w:val="subsubparai"/>
      </w:pPr>
      <w:r w:rsidRPr="003237DF">
        <w:t>[CO 14/1000]</w:t>
      </w:r>
      <w:r w:rsidR="007964C8" w:rsidRPr="003237DF">
        <w:t xml:space="preserve"> </w:t>
      </w:r>
      <w:r w:rsidR="007964C8" w:rsidRPr="003237DF">
        <w:rPr>
          <w:i/>
        </w:rPr>
        <w:t>Employee incentive schemes: Listed bodies</w:t>
      </w:r>
      <w:r w:rsidR="006C482A" w:rsidRPr="003237DF">
        <w:t>;</w:t>
      </w:r>
      <w:r w:rsidR="00946724" w:rsidRPr="003237DF">
        <w:t xml:space="preserve"> </w:t>
      </w:r>
    </w:p>
    <w:p w:rsidR="006C482A" w:rsidRPr="003237DF" w:rsidRDefault="00FA3D24" w:rsidP="006C482A">
      <w:pPr>
        <w:pStyle w:val="subsubparai"/>
      </w:pPr>
      <w:r w:rsidRPr="003237DF">
        <w:t>[CO 14/1001]</w:t>
      </w:r>
      <w:r w:rsidR="007964C8" w:rsidRPr="003237DF">
        <w:t xml:space="preserve"> </w:t>
      </w:r>
      <w:r w:rsidR="007964C8" w:rsidRPr="003237DF">
        <w:rPr>
          <w:i/>
        </w:rPr>
        <w:t>Employee incentive schemes: Unlisted bodies</w:t>
      </w:r>
      <w:r w:rsidR="006C482A" w:rsidRPr="003237DF">
        <w:t>;</w:t>
      </w:r>
      <w:r w:rsidR="004A10D8" w:rsidRPr="003237DF">
        <w:t xml:space="preserve"> </w:t>
      </w:r>
      <w:r w:rsidRPr="003237DF">
        <w:t>and</w:t>
      </w:r>
      <w:r w:rsidRPr="003237DF" w:rsidDel="00425F08">
        <w:t xml:space="preserve"> </w:t>
      </w:r>
    </w:p>
    <w:p w:rsidR="00DA4FB7" w:rsidRPr="003237DF" w:rsidRDefault="006C482A" w:rsidP="006C482A">
      <w:pPr>
        <w:pStyle w:val="subsubparai"/>
      </w:pPr>
      <w:r w:rsidRPr="003237DF">
        <w:t>[</w:t>
      </w:r>
      <w:r w:rsidR="00153C8E" w:rsidRPr="003237DF">
        <w:t>CO </w:t>
      </w:r>
      <w:r w:rsidR="00A00ADB" w:rsidRPr="003237DF">
        <w:t>14/</w:t>
      </w:r>
      <w:r w:rsidR="00FA3D24" w:rsidRPr="003237DF">
        <w:t>978</w:t>
      </w:r>
      <w:r w:rsidR="004A10D8" w:rsidRPr="003237DF">
        <w:t xml:space="preserve">] </w:t>
      </w:r>
      <w:r w:rsidR="00A00ADB" w:rsidRPr="003237DF">
        <w:rPr>
          <w:i/>
        </w:rPr>
        <w:t>Employee incentive schemes:</w:t>
      </w:r>
      <w:r w:rsidR="004A10D8" w:rsidRPr="003237DF">
        <w:rPr>
          <w:i/>
        </w:rPr>
        <w:t xml:space="preserve"> </w:t>
      </w:r>
      <w:r w:rsidRPr="003237DF">
        <w:rPr>
          <w:i/>
        </w:rPr>
        <w:t>P</w:t>
      </w:r>
      <w:r w:rsidR="004A10D8" w:rsidRPr="003237DF">
        <w:rPr>
          <w:i/>
        </w:rPr>
        <w:t>ersonal o</w:t>
      </w:r>
      <w:r w:rsidR="004A10D8" w:rsidRPr="003237DF">
        <w:t>ffers</w:t>
      </w:r>
      <w:r w:rsidR="00DA4FB7" w:rsidRPr="003237DF">
        <w:t>;</w:t>
      </w:r>
      <w:r w:rsidR="006C63BA" w:rsidRPr="003237DF">
        <w:t xml:space="preserve"> </w:t>
      </w:r>
    </w:p>
    <w:p w:rsidR="00DA4FB7" w:rsidRPr="003237DF" w:rsidRDefault="00DA4FB7" w:rsidP="006C482A">
      <w:pPr>
        <w:pStyle w:val="subparaa"/>
      </w:pPr>
      <w:r w:rsidRPr="003237DF">
        <w:t>a report on submissions received on CP 218 (</w:t>
      </w:r>
      <w:r w:rsidR="006C482A" w:rsidRPr="003237DF">
        <w:t xml:space="preserve">Report </w:t>
      </w:r>
      <w:r w:rsidR="00FB122B">
        <w:t>[</w:t>
      </w:r>
      <w:r w:rsidR="006C482A" w:rsidRPr="003237DF">
        <w:t>XXX</w:t>
      </w:r>
      <w:r w:rsidR="00FB122B">
        <w:t>]</w:t>
      </w:r>
      <w:r w:rsidR="006C482A" w:rsidRPr="003237DF">
        <w:t xml:space="preserve"> </w:t>
      </w:r>
      <w:r w:rsidR="006C482A" w:rsidRPr="003237DF">
        <w:rPr>
          <w:i/>
        </w:rPr>
        <w:t>Response to submissions on CP 218 Employee incentive schemes</w:t>
      </w:r>
      <w:r w:rsidR="006C482A" w:rsidRPr="003237DF">
        <w:t xml:space="preserve"> (</w:t>
      </w:r>
      <w:r w:rsidRPr="003237DF">
        <w:t>REP</w:t>
      </w:r>
      <w:r w:rsidR="006C482A" w:rsidRPr="003237DF">
        <w:t xml:space="preserve"> XXX)</w:t>
      </w:r>
      <w:r w:rsidRPr="003237DF">
        <w:t>).</w:t>
      </w:r>
    </w:p>
    <w:p w:rsidR="00DA4FB7" w:rsidRPr="003237DF" w:rsidRDefault="00DA4FB7" w:rsidP="00DA4FB7">
      <w:pPr>
        <w:pStyle w:val="BodyText"/>
      </w:pPr>
      <w:r w:rsidRPr="003237DF">
        <w:t xml:space="preserve">We expect to publish these documents in </w:t>
      </w:r>
      <w:r w:rsidR="00425F08" w:rsidRPr="003237DF">
        <w:t>October</w:t>
      </w:r>
      <w:r w:rsidRPr="003237DF">
        <w:t xml:space="preserve"> 2014. </w:t>
      </w:r>
    </w:p>
    <w:p w:rsidR="00645182" w:rsidRPr="003237DF" w:rsidRDefault="00174341" w:rsidP="00DA4FB7">
      <w:pPr>
        <w:pStyle w:val="BodyText"/>
      </w:pPr>
      <w:r w:rsidRPr="003237DF">
        <w:t xml:space="preserve">We will provide </w:t>
      </w:r>
      <w:r w:rsidR="001F5559" w:rsidRPr="003237DF">
        <w:t>a transition period.</w:t>
      </w:r>
      <w:r w:rsidR="00946724" w:rsidRPr="003237DF">
        <w:t xml:space="preserve"> </w:t>
      </w:r>
      <w:r w:rsidR="007964C8" w:rsidRPr="003237DF">
        <w:t xml:space="preserve">Employers and employees will be entitled to continue to rely on </w:t>
      </w:r>
      <w:r w:rsidR="00153C8E" w:rsidRPr="003237DF">
        <w:t>[CO </w:t>
      </w:r>
      <w:r w:rsidR="007964C8" w:rsidRPr="003237DF">
        <w:t xml:space="preserve">03/184] after the date </w:t>
      </w:r>
      <w:r w:rsidR="00645182" w:rsidRPr="003237DF">
        <w:t xml:space="preserve">that </w:t>
      </w:r>
      <w:r w:rsidR="007964C8" w:rsidRPr="003237DF">
        <w:t>the new class orders and updated RG 49 come into operation</w:t>
      </w:r>
      <w:r w:rsidR="00645182" w:rsidRPr="003237DF">
        <w:t>,</w:t>
      </w:r>
      <w:r w:rsidR="007964C8" w:rsidRPr="003237DF">
        <w:t xml:space="preserve"> provided </w:t>
      </w:r>
      <w:r w:rsidR="00645182" w:rsidRPr="003237DF">
        <w:t xml:space="preserve">that the </w:t>
      </w:r>
      <w:r w:rsidR="00645182" w:rsidRPr="003237DF">
        <w:rPr>
          <w:lang w:val="en"/>
        </w:rPr>
        <w:t>employee share scheme arrangements</w:t>
      </w:r>
      <w:r w:rsidR="007964C8" w:rsidRPr="003237DF">
        <w:t xml:space="preserve"> have been approved, or are already in use </w:t>
      </w:r>
      <w:r w:rsidR="00767046" w:rsidRPr="003237DF">
        <w:t>before</w:t>
      </w:r>
      <w:r w:rsidR="007964C8" w:rsidRPr="003237DF">
        <w:t xml:space="preserve"> this date.</w:t>
      </w:r>
      <w:r w:rsidR="00D06D1F" w:rsidRPr="003237DF">
        <w:t xml:space="preserve"> </w:t>
      </w:r>
    </w:p>
    <w:p w:rsidR="001F5559" w:rsidRPr="003237DF" w:rsidRDefault="00D06D1F" w:rsidP="00DA4FB7">
      <w:pPr>
        <w:pStyle w:val="BodyText"/>
      </w:pPr>
      <w:r w:rsidRPr="003237DF">
        <w:t xml:space="preserve">Because </w:t>
      </w:r>
      <w:r w:rsidR="007964C8" w:rsidRPr="003237DF">
        <w:t xml:space="preserve">the intention is that our new class orders will broaden the scope of relief, we do not envisage that employers will have difficulty </w:t>
      </w:r>
      <w:r w:rsidR="006C482A" w:rsidRPr="003237DF">
        <w:t xml:space="preserve">in </w:t>
      </w:r>
      <w:r w:rsidR="007964C8" w:rsidRPr="003237DF">
        <w:t>transitioning to the new arrangements.</w:t>
      </w:r>
      <w:r w:rsidR="00946724" w:rsidRPr="003237DF">
        <w:t xml:space="preserve"> </w:t>
      </w:r>
      <w:r w:rsidR="00E8619C" w:rsidRPr="003237DF">
        <w:t xml:space="preserve">To the extent </w:t>
      </w:r>
      <w:r w:rsidR="00767046" w:rsidRPr="003237DF">
        <w:t xml:space="preserve">that </w:t>
      </w:r>
      <w:r w:rsidR="00E8619C" w:rsidRPr="003237DF">
        <w:t>employers have difficulties, we will consider case-by-case relief.</w:t>
      </w:r>
      <w:r w:rsidR="00946724" w:rsidRPr="003237DF">
        <w:t xml:space="preserve"> </w:t>
      </w:r>
      <w:r w:rsidR="001F5559" w:rsidRPr="003237DF">
        <w:t xml:space="preserve">We will apply the requirements in </w:t>
      </w:r>
      <w:r w:rsidR="007964C8" w:rsidRPr="003237DF">
        <w:t xml:space="preserve">our new class orders and our policy under </w:t>
      </w:r>
      <w:r w:rsidR="006C482A" w:rsidRPr="003237DF">
        <w:t xml:space="preserve">the </w:t>
      </w:r>
      <w:r w:rsidR="001F5559" w:rsidRPr="003237DF">
        <w:t>revised RG 49 from</w:t>
      </w:r>
      <w:r w:rsidR="007964C8" w:rsidRPr="003237DF">
        <w:t xml:space="preserve"> </w:t>
      </w:r>
      <w:r w:rsidR="00425F08" w:rsidRPr="003237DF">
        <w:t>October</w:t>
      </w:r>
      <w:r w:rsidR="007964C8" w:rsidRPr="003237DF">
        <w:t xml:space="preserve"> 2014 </w:t>
      </w:r>
      <w:r w:rsidR="001F5559" w:rsidRPr="003237DF">
        <w:t xml:space="preserve">when assessing </w:t>
      </w:r>
      <w:r w:rsidR="007964C8" w:rsidRPr="003237DF">
        <w:t xml:space="preserve">any </w:t>
      </w:r>
      <w:r w:rsidR="001F5559" w:rsidRPr="003237DF">
        <w:t xml:space="preserve">applications for individual </w:t>
      </w:r>
      <w:r w:rsidR="00E8619C" w:rsidRPr="003237DF">
        <w:t>employee incentive scheme</w:t>
      </w:r>
      <w:r w:rsidR="006C482A" w:rsidRPr="003237DF">
        <w:t> </w:t>
      </w:r>
      <w:r w:rsidR="001F5559" w:rsidRPr="003237DF">
        <w:t xml:space="preserve">relief. </w:t>
      </w:r>
    </w:p>
    <w:p w:rsidR="00DA4FB7" w:rsidRPr="003237DF" w:rsidRDefault="00DA4FB7" w:rsidP="00DA4FB7">
      <w:pPr>
        <w:pStyle w:val="Heading2"/>
      </w:pPr>
      <w:bookmarkStart w:id="53" w:name="_Toc398206745"/>
      <w:r w:rsidRPr="003237DF">
        <w:t>Review</w:t>
      </w:r>
      <w:bookmarkEnd w:id="53"/>
    </w:p>
    <w:p w:rsidR="00F7572C" w:rsidRPr="003237DF" w:rsidRDefault="007051DA" w:rsidP="000C2596">
      <w:pPr>
        <w:pStyle w:val="BodyText"/>
      </w:pPr>
      <w:r w:rsidRPr="003237DF">
        <w:t>To rely on the relief under</w:t>
      </w:r>
      <w:r w:rsidR="001F5559" w:rsidRPr="003237DF">
        <w:t xml:space="preserve"> our new class order</w:t>
      </w:r>
      <w:r w:rsidR="00F70F84" w:rsidRPr="003237DF">
        <w:t>s</w:t>
      </w:r>
      <w:r w:rsidRPr="003237DF">
        <w:t xml:space="preserve"> </w:t>
      </w:r>
      <w:r w:rsidR="00FA3D24" w:rsidRPr="003237DF">
        <w:t>[CO 14/1000]</w:t>
      </w:r>
      <w:r w:rsidR="00BE7F0B" w:rsidRPr="003237DF">
        <w:t xml:space="preserve"> and </w:t>
      </w:r>
      <w:r w:rsidR="00FA3D24" w:rsidRPr="003237DF">
        <w:t>[CO 14/1001]</w:t>
      </w:r>
      <w:r w:rsidRPr="003237DF">
        <w:t xml:space="preserve">, a body must </w:t>
      </w:r>
      <w:r w:rsidR="00353713" w:rsidRPr="003237DF">
        <w:t xml:space="preserve">notify ASIC and disclose some basic </w:t>
      </w:r>
      <w:r w:rsidRPr="003237DF">
        <w:t>information</w:t>
      </w:r>
      <w:r w:rsidR="00353713" w:rsidRPr="003237DF">
        <w:t xml:space="preserve"> about their employee incentive scheme</w:t>
      </w:r>
      <w:r w:rsidR="00A31787" w:rsidRPr="003237DF">
        <w:t>.</w:t>
      </w:r>
      <w:r w:rsidR="00946724" w:rsidRPr="003237DF">
        <w:t xml:space="preserve"> </w:t>
      </w:r>
      <w:r w:rsidR="00767046" w:rsidRPr="003237DF">
        <w:t xml:space="preserve">Because </w:t>
      </w:r>
      <w:r w:rsidR="00570ABB" w:rsidRPr="003237DF">
        <w:t xml:space="preserve">employee </w:t>
      </w:r>
      <w:r w:rsidR="004A10D8" w:rsidRPr="003237DF">
        <w:t xml:space="preserve">incentive </w:t>
      </w:r>
      <w:r w:rsidR="00570ABB" w:rsidRPr="003237DF">
        <w:t>schemes are generally private arrangements with little public promotion, ASIC would not have a means of monitoring these schemes without a notification requirement.</w:t>
      </w:r>
      <w:r w:rsidR="00946724" w:rsidRPr="003237DF">
        <w:t xml:space="preserve"> </w:t>
      </w:r>
      <w:r w:rsidR="00760969" w:rsidRPr="003237DF">
        <w:t xml:space="preserve">This will enable </w:t>
      </w:r>
      <w:r w:rsidR="006C482A" w:rsidRPr="003237DF">
        <w:t xml:space="preserve">us </w:t>
      </w:r>
      <w:r w:rsidR="00760969" w:rsidRPr="003237DF">
        <w:t xml:space="preserve">to monitor </w:t>
      </w:r>
      <w:r w:rsidR="004E465D" w:rsidRPr="003237DF">
        <w:t xml:space="preserve">reliance on </w:t>
      </w:r>
      <w:r w:rsidR="006C482A" w:rsidRPr="003237DF">
        <w:t xml:space="preserve">our </w:t>
      </w:r>
      <w:r w:rsidR="004E465D" w:rsidRPr="003237DF">
        <w:t xml:space="preserve">class order </w:t>
      </w:r>
      <w:r w:rsidR="00760969" w:rsidRPr="003237DF">
        <w:t xml:space="preserve">relief and to make determinations preventing employers from relying on it in the event that they are </w:t>
      </w:r>
      <w:r w:rsidR="00F7572C" w:rsidRPr="003237DF">
        <w:t xml:space="preserve">substantively failing to comply with the </w:t>
      </w:r>
      <w:r w:rsidR="00760969" w:rsidRPr="003237DF">
        <w:t>conditio</w:t>
      </w:r>
      <w:r w:rsidR="004E465D" w:rsidRPr="003237DF">
        <w:t>ns</w:t>
      </w:r>
      <w:r w:rsidR="00F7572C" w:rsidRPr="003237DF">
        <w:t xml:space="preserve"> of our relief</w:t>
      </w:r>
      <w:r w:rsidR="004E465D" w:rsidRPr="003237DF">
        <w:t>, or where ASIC has other substantive concerns about the activities or governance of a particular employer.</w:t>
      </w:r>
      <w:r w:rsidR="00946724" w:rsidRPr="003237DF">
        <w:t xml:space="preserve"> </w:t>
      </w:r>
    </w:p>
    <w:p w:rsidR="007512BF" w:rsidRPr="003237DF" w:rsidRDefault="007512BF" w:rsidP="007512BF">
      <w:pPr>
        <w:pStyle w:val="Heading1"/>
      </w:pPr>
      <w:bookmarkStart w:id="54" w:name="_Toc393804596"/>
      <w:bookmarkStart w:id="55" w:name="_Toc398206746"/>
      <w:r w:rsidRPr="003237DF">
        <w:t xml:space="preserve">Regulatory </w:t>
      </w:r>
      <w:r w:rsidR="00767046" w:rsidRPr="003237DF">
        <w:t>burden and cost offset</w:t>
      </w:r>
      <w:r w:rsidRPr="003237DF">
        <w:t xml:space="preserve"> (RBCO) </w:t>
      </w:r>
      <w:r w:rsidR="00767046" w:rsidRPr="003237DF">
        <w:t>estimate table</w:t>
      </w:r>
      <w:bookmarkEnd w:id="54"/>
      <w:bookmarkEnd w:id="55"/>
      <w:r w:rsidR="00633732" w:rsidRPr="003237DF">
        <w:t>s</w:t>
      </w:r>
    </w:p>
    <w:p w:rsidR="007512BF" w:rsidRPr="003237DF" w:rsidRDefault="003D756A" w:rsidP="003D756A">
      <w:pPr>
        <w:pStyle w:val="tabletitlefullwidth"/>
      </w:pPr>
      <w:bookmarkStart w:id="56" w:name="_Ref398212875"/>
      <w:r w:rsidRPr="003237DF">
        <w:t xml:space="preserve">Table </w:t>
      </w:r>
      <w:r w:rsidR="00993A97">
        <w:fldChar w:fldCharType="begin"/>
      </w:r>
      <w:r w:rsidR="00993A97">
        <w:instrText xml:space="preserve"> SEQ Table \* ARABIC </w:instrText>
      </w:r>
      <w:r w:rsidR="00993A97">
        <w:fldChar w:fldCharType="separate"/>
      </w:r>
      <w:r w:rsidR="00EC75CF" w:rsidRPr="003237DF">
        <w:rPr>
          <w:noProof/>
        </w:rPr>
        <w:t>2</w:t>
      </w:r>
      <w:r w:rsidR="00993A97">
        <w:rPr>
          <w:noProof/>
        </w:rPr>
        <w:fldChar w:fldCharType="end"/>
      </w:r>
      <w:bookmarkEnd w:id="56"/>
      <w:r w:rsidRPr="003237DF">
        <w:t>:</w:t>
      </w:r>
      <w:r w:rsidRPr="003237DF">
        <w:tab/>
      </w:r>
      <w:r w:rsidR="00373F20" w:rsidRPr="003237DF">
        <w:t xml:space="preserve">Option 1: </w:t>
      </w:r>
      <w:r w:rsidR="007512BF" w:rsidRPr="003237DF">
        <w:t>Average annual compliance costs (from business as usual)</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14"/>
        <w:gridCol w:w="1814"/>
        <w:gridCol w:w="1814"/>
        <w:gridCol w:w="1814"/>
        <w:gridCol w:w="1814"/>
      </w:tblGrid>
      <w:tr w:rsidR="007512BF" w:rsidRPr="003237DF" w:rsidTr="007E73FA">
        <w:trPr>
          <w:cantSplit/>
          <w:tblHeader/>
        </w:trPr>
        <w:tc>
          <w:tcPr>
            <w:tcW w:w="1814" w:type="dxa"/>
            <w:shd w:val="clear" w:color="auto" w:fill="C2E3FA"/>
          </w:tcPr>
          <w:p w:rsidR="007512BF" w:rsidRPr="003237DF" w:rsidRDefault="007512BF" w:rsidP="007E73FA">
            <w:pPr>
              <w:pStyle w:val="tablehead"/>
            </w:pPr>
            <w:r w:rsidRPr="003237DF">
              <w:t>Costs ($m)</w:t>
            </w:r>
          </w:p>
        </w:tc>
        <w:tc>
          <w:tcPr>
            <w:tcW w:w="1814" w:type="dxa"/>
            <w:shd w:val="clear" w:color="auto" w:fill="C2E3FA"/>
          </w:tcPr>
          <w:p w:rsidR="007512BF" w:rsidRPr="003237DF" w:rsidRDefault="007512BF" w:rsidP="007E73FA">
            <w:pPr>
              <w:pStyle w:val="tablehead"/>
              <w:jc w:val="center"/>
              <w:rPr>
                <w:kern w:val="28"/>
              </w:rPr>
            </w:pPr>
            <w:r w:rsidRPr="003237DF">
              <w:t>Business</w:t>
            </w:r>
          </w:p>
        </w:tc>
        <w:tc>
          <w:tcPr>
            <w:tcW w:w="1814" w:type="dxa"/>
            <w:shd w:val="clear" w:color="auto" w:fill="C2E3FA"/>
          </w:tcPr>
          <w:p w:rsidR="007512BF" w:rsidRPr="003237DF" w:rsidRDefault="007512BF" w:rsidP="007E73FA">
            <w:pPr>
              <w:pStyle w:val="tablehead"/>
              <w:jc w:val="center"/>
              <w:rPr>
                <w:kern w:val="28"/>
              </w:rPr>
            </w:pPr>
            <w:r w:rsidRPr="003237DF">
              <w:t xml:space="preserve">Community </w:t>
            </w:r>
            <w:r w:rsidR="00767046" w:rsidRPr="003237DF">
              <w:t>organisations</w:t>
            </w:r>
          </w:p>
        </w:tc>
        <w:tc>
          <w:tcPr>
            <w:tcW w:w="1814" w:type="dxa"/>
            <w:shd w:val="clear" w:color="auto" w:fill="C2E3FA"/>
          </w:tcPr>
          <w:p w:rsidR="007512BF" w:rsidRPr="003237DF" w:rsidRDefault="007512BF" w:rsidP="007E73FA">
            <w:pPr>
              <w:pStyle w:val="tablehead"/>
              <w:jc w:val="center"/>
              <w:rPr>
                <w:kern w:val="28"/>
              </w:rPr>
            </w:pPr>
            <w:r w:rsidRPr="003237DF">
              <w:t>Individuals</w:t>
            </w:r>
          </w:p>
        </w:tc>
        <w:tc>
          <w:tcPr>
            <w:tcW w:w="1814" w:type="dxa"/>
            <w:shd w:val="clear" w:color="auto" w:fill="C2E3FA"/>
          </w:tcPr>
          <w:p w:rsidR="007512BF" w:rsidRPr="003237DF" w:rsidRDefault="007512BF" w:rsidP="007E73FA">
            <w:pPr>
              <w:pStyle w:val="tablehead"/>
              <w:jc w:val="center"/>
              <w:rPr>
                <w:kern w:val="28"/>
              </w:rPr>
            </w:pPr>
            <w:r w:rsidRPr="003237DF">
              <w:t xml:space="preserve">Total cost </w:t>
            </w:r>
          </w:p>
        </w:tc>
      </w:tr>
      <w:tr w:rsidR="007512BF" w:rsidRPr="003237DF" w:rsidTr="007E73FA">
        <w:trPr>
          <w:cantSplit/>
        </w:trPr>
        <w:tc>
          <w:tcPr>
            <w:tcW w:w="1814" w:type="dxa"/>
          </w:tcPr>
          <w:p w:rsidR="007512BF" w:rsidRPr="003237DF" w:rsidRDefault="007512BF" w:rsidP="007E73FA">
            <w:pPr>
              <w:pStyle w:val="tbltext"/>
            </w:pPr>
            <w:r w:rsidRPr="003237DF">
              <w:t>Total by sector</w:t>
            </w:r>
          </w:p>
        </w:tc>
        <w:tc>
          <w:tcPr>
            <w:tcW w:w="1814" w:type="dxa"/>
          </w:tcPr>
          <w:p w:rsidR="007512BF" w:rsidRPr="003237DF" w:rsidRDefault="00F82F91" w:rsidP="00633732">
            <w:pPr>
              <w:pStyle w:val="tbltext"/>
              <w:jc w:val="center"/>
              <w:rPr>
                <w:kern w:val="28"/>
              </w:rPr>
            </w:pPr>
            <w:r w:rsidRPr="003237DF">
              <w:t>(</w:t>
            </w:r>
            <w:r w:rsidR="00767046" w:rsidRPr="003237DF">
              <w:t>–</w:t>
            </w:r>
            <w:r w:rsidR="007512BF" w:rsidRPr="003237DF">
              <w:t>$</w:t>
            </w:r>
            <w:r w:rsidRPr="003237DF">
              <w:t>3.095m)</w:t>
            </w:r>
          </w:p>
        </w:tc>
        <w:tc>
          <w:tcPr>
            <w:tcW w:w="1814" w:type="dxa"/>
          </w:tcPr>
          <w:p w:rsidR="007512BF" w:rsidRPr="003237DF" w:rsidRDefault="007512BF" w:rsidP="007E73FA">
            <w:pPr>
              <w:pStyle w:val="tbltext"/>
              <w:jc w:val="center"/>
              <w:rPr>
                <w:kern w:val="28"/>
              </w:rPr>
            </w:pPr>
            <w:r w:rsidRPr="003237DF">
              <w:rPr>
                <w:kern w:val="28"/>
              </w:rPr>
              <w:t>$</w:t>
            </w:r>
            <w:r w:rsidR="00AF035F" w:rsidRPr="003237DF">
              <w:rPr>
                <w:kern w:val="28"/>
              </w:rPr>
              <w:t>nil</w:t>
            </w:r>
          </w:p>
        </w:tc>
        <w:tc>
          <w:tcPr>
            <w:tcW w:w="1814" w:type="dxa"/>
          </w:tcPr>
          <w:p w:rsidR="007512BF" w:rsidRPr="003237DF" w:rsidRDefault="007512BF" w:rsidP="007E73FA">
            <w:pPr>
              <w:pStyle w:val="tbltext"/>
              <w:jc w:val="center"/>
              <w:rPr>
                <w:kern w:val="28"/>
              </w:rPr>
            </w:pPr>
            <w:r w:rsidRPr="003237DF">
              <w:rPr>
                <w:kern w:val="28"/>
              </w:rPr>
              <w:t>$</w:t>
            </w:r>
            <w:r w:rsidR="00AF035F" w:rsidRPr="003237DF">
              <w:rPr>
                <w:kern w:val="28"/>
              </w:rPr>
              <w:t>nil</w:t>
            </w:r>
          </w:p>
        </w:tc>
        <w:tc>
          <w:tcPr>
            <w:tcW w:w="1814" w:type="dxa"/>
          </w:tcPr>
          <w:p w:rsidR="007512BF" w:rsidRPr="003237DF" w:rsidRDefault="00F82F91" w:rsidP="00633732">
            <w:pPr>
              <w:pStyle w:val="tbltext"/>
              <w:jc w:val="center"/>
              <w:rPr>
                <w:kern w:val="28"/>
              </w:rPr>
            </w:pPr>
            <w:r w:rsidRPr="003237DF">
              <w:t>(</w:t>
            </w:r>
            <w:r w:rsidR="00767046" w:rsidRPr="003237DF">
              <w:t>–</w:t>
            </w:r>
            <w:r w:rsidRPr="003237DF">
              <w:t>$3.095m)</w:t>
            </w:r>
          </w:p>
        </w:tc>
      </w:tr>
      <w:tr w:rsidR="007512BF" w:rsidRPr="003237DF" w:rsidTr="008271B9">
        <w:trPr>
          <w:cantSplit/>
        </w:trPr>
        <w:tc>
          <w:tcPr>
            <w:tcW w:w="1814" w:type="dxa"/>
            <w:shd w:val="clear" w:color="auto" w:fill="E7E7E7"/>
          </w:tcPr>
          <w:p w:rsidR="007512BF" w:rsidRPr="003237DF" w:rsidRDefault="007512BF" w:rsidP="007E73FA">
            <w:pPr>
              <w:pStyle w:val="tablehead"/>
            </w:pPr>
            <w:r w:rsidRPr="003237DF">
              <w:t>Cost offset ($m)</w:t>
            </w:r>
          </w:p>
        </w:tc>
        <w:tc>
          <w:tcPr>
            <w:tcW w:w="1814" w:type="dxa"/>
            <w:shd w:val="clear" w:color="auto" w:fill="E7E7E7"/>
          </w:tcPr>
          <w:p w:rsidR="007512BF" w:rsidRPr="003237DF" w:rsidRDefault="007512BF" w:rsidP="007E73FA">
            <w:pPr>
              <w:pStyle w:val="tablehead"/>
              <w:jc w:val="center"/>
              <w:rPr>
                <w:kern w:val="28"/>
              </w:rPr>
            </w:pPr>
            <w:r w:rsidRPr="003237DF">
              <w:t>Business</w:t>
            </w:r>
          </w:p>
        </w:tc>
        <w:tc>
          <w:tcPr>
            <w:tcW w:w="1814" w:type="dxa"/>
            <w:shd w:val="clear" w:color="auto" w:fill="E7E7E7"/>
          </w:tcPr>
          <w:p w:rsidR="007512BF" w:rsidRPr="003237DF" w:rsidRDefault="007512BF" w:rsidP="007E73FA">
            <w:pPr>
              <w:pStyle w:val="tablehead"/>
              <w:jc w:val="center"/>
              <w:rPr>
                <w:kern w:val="28"/>
              </w:rPr>
            </w:pPr>
            <w:r w:rsidRPr="003237DF">
              <w:t xml:space="preserve">Community </w:t>
            </w:r>
            <w:r w:rsidR="00767046" w:rsidRPr="003237DF">
              <w:t>organisations</w:t>
            </w:r>
          </w:p>
        </w:tc>
        <w:tc>
          <w:tcPr>
            <w:tcW w:w="1814" w:type="dxa"/>
            <w:shd w:val="clear" w:color="auto" w:fill="E7E7E7"/>
          </w:tcPr>
          <w:p w:rsidR="007512BF" w:rsidRPr="003237DF" w:rsidRDefault="007512BF" w:rsidP="007E73FA">
            <w:pPr>
              <w:pStyle w:val="tablehead"/>
              <w:jc w:val="center"/>
              <w:rPr>
                <w:kern w:val="28"/>
              </w:rPr>
            </w:pPr>
            <w:r w:rsidRPr="003237DF">
              <w:t>Individuals</w:t>
            </w:r>
          </w:p>
        </w:tc>
        <w:tc>
          <w:tcPr>
            <w:tcW w:w="1814" w:type="dxa"/>
            <w:shd w:val="clear" w:color="auto" w:fill="E7E7E7"/>
          </w:tcPr>
          <w:p w:rsidR="007512BF" w:rsidRPr="003237DF" w:rsidRDefault="007512BF" w:rsidP="007E73FA">
            <w:pPr>
              <w:pStyle w:val="tablehead"/>
              <w:jc w:val="center"/>
              <w:rPr>
                <w:kern w:val="28"/>
              </w:rPr>
            </w:pPr>
            <w:r w:rsidRPr="003237DF">
              <w:t xml:space="preserve">Total by source </w:t>
            </w:r>
          </w:p>
        </w:tc>
      </w:tr>
      <w:tr w:rsidR="007512BF" w:rsidRPr="003237DF" w:rsidTr="007E73FA">
        <w:trPr>
          <w:cantSplit/>
        </w:trPr>
        <w:tc>
          <w:tcPr>
            <w:tcW w:w="1814" w:type="dxa"/>
          </w:tcPr>
          <w:p w:rsidR="007512BF" w:rsidRPr="003237DF" w:rsidRDefault="007512BF" w:rsidP="007E73FA">
            <w:pPr>
              <w:pStyle w:val="tbltext"/>
            </w:pPr>
            <w:r w:rsidRPr="003237DF">
              <w:t>Agency</w:t>
            </w:r>
          </w:p>
        </w:tc>
        <w:tc>
          <w:tcPr>
            <w:tcW w:w="1814" w:type="dxa"/>
          </w:tcPr>
          <w:p w:rsidR="007512BF" w:rsidRPr="003237DF" w:rsidRDefault="00D762A4" w:rsidP="007E73FA">
            <w:pPr>
              <w:pStyle w:val="tbltext"/>
              <w:jc w:val="center"/>
            </w:pPr>
            <w:r w:rsidRPr="003237DF">
              <w:rPr>
                <w:kern w:val="28"/>
              </w:rPr>
              <w:t>NA</w:t>
            </w:r>
          </w:p>
        </w:tc>
        <w:tc>
          <w:tcPr>
            <w:tcW w:w="1814" w:type="dxa"/>
          </w:tcPr>
          <w:p w:rsidR="007512BF" w:rsidRPr="003237DF" w:rsidRDefault="001B20B2" w:rsidP="001B20B2">
            <w:pPr>
              <w:pStyle w:val="tbltext"/>
              <w:jc w:val="center"/>
            </w:pPr>
            <w:r w:rsidRPr="003237DF">
              <w:rPr>
                <w:kern w:val="28"/>
              </w:rPr>
              <w:t>NA</w:t>
            </w:r>
          </w:p>
        </w:tc>
        <w:tc>
          <w:tcPr>
            <w:tcW w:w="1814" w:type="dxa"/>
          </w:tcPr>
          <w:p w:rsidR="007512BF" w:rsidRPr="003237DF" w:rsidRDefault="001B20B2" w:rsidP="007E73FA">
            <w:pPr>
              <w:pStyle w:val="tbltext"/>
              <w:jc w:val="center"/>
            </w:pPr>
            <w:r w:rsidRPr="003237DF">
              <w:rPr>
                <w:kern w:val="28"/>
              </w:rPr>
              <w:t>NA</w:t>
            </w:r>
          </w:p>
        </w:tc>
        <w:tc>
          <w:tcPr>
            <w:tcW w:w="1814" w:type="dxa"/>
          </w:tcPr>
          <w:p w:rsidR="007512BF" w:rsidRPr="003237DF" w:rsidRDefault="00D762A4" w:rsidP="007E73FA">
            <w:pPr>
              <w:pStyle w:val="tbltext"/>
              <w:jc w:val="center"/>
            </w:pPr>
            <w:r w:rsidRPr="003237DF">
              <w:rPr>
                <w:kern w:val="28"/>
              </w:rPr>
              <w:t>NA</w:t>
            </w:r>
          </w:p>
        </w:tc>
      </w:tr>
      <w:tr w:rsidR="007512BF" w:rsidRPr="003237DF" w:rsidTr="007E73FA">
        <w:trPr>
          <w:cantSplit/>
        </w:trPr>
        <w:tc>
          <w:tcPr>
            <w:tcW w:w="1814" w:type="dxa"/>
          </w:tcPr>
          <w:p w:rsidR="007512BF" w:rsidRPr="003237DF" w:rsidRDefault="007512BF" w:rsidP="007E73FA">
            <w:pPr>
              <w:pStyle w:val="tbltext"/>
            </w:pPr>
            <w:r w:rsidRPr="003237DF">
              <w:t>Within portfolio</w:t>
            </w:r>
          </w:p>
        </w:tc>
        <w:tc>
          <w:tcPr>
            <w:tcW w:w="1814" w:type="dxa"/>
          </w:tcPr>
          <w:p w:rsidR="007512BF" w:rsidRPr="003237DF" w:rsidRDefault="00D762A4" w:rsidP="007E73FA">
            <w:pPr>
              <w:pStyle w:val="tbltext"/>
              <w:jc w:val="center"/>
            </w:pPr>
            <w:r w:rsidRPr="003237DF">
              <w:rPr>
                <w:kern w:val="28"/>
              </w:rPr>
              <w:t>NA</w:t>
            </w:r>
          </w:p>
        </w:tc>
        <w:tc>
          <w:tcPr>
            <w:tcW w:w="1814" w:type="dxa"/>
          </w:tcPr>
          <w:p w:rsidR="007512BF" w:rsidRPr="003237DF" w:rsidRDefault="001B20B2" w:rsidP="007E73FA">
            <w:pPr>
              <w:pStyle w:val="tbltext"/>
              <w:jc w:val="center"/>
            </w:pPr>
            <w:r w:rsidRPr="003237DF">
              <w:rPr>
                <w:kern w:val="28"/>
              </w:rPr>
              <w:t>NA</w:t>
            </w:r>
          </w:p>
        </w:tc>
        <w:tc>
          <w:tcPr>
            <w:tcW w:w="1814" w:type="dxa"/>
          </w:tcPr>
          <w:p w:rsidR="007512BF" w:rsidRPr="003237DF" w:rsidRDefault="001B20B2" w:rsidP="007E73FA">
            <w:pPr>
              <w:pStyle w:val="tbltext"/>
              <w:jc w:val="center"/>
            </w:pPr>
            <w:r w:rsidRPr="003237DF">
              <w:rPr>
                <w:kern w:val="28"/>
              </w:rPr>
              <w:t>NA</w:t>
            </w:r>
          </w:p>
        </w:tc>
        <w:tc>
          <w:tcPr>
            <w:tcW w:w="1814" w:type="dxa"/>
          </w:tcPr>
          <w:p w:rsidR="007512BF" w:rsidRPr="003237DF" w:rsidRDefault="00D762A4" w:rsidP="007E73FA">
            <w:pPr>
              <w:pStyle w:val="tbltext"/>
              <w:jc w:val="center"/>
            </w:pPr>
            <w:r w:rsidRPr="003237DF">
              <w:rPr>
                <w:kern w:val="28"/>
              </w:rPr>
              <w:t>NA</w:t>
            </w:r>
          </w:p>
        </w:tc>
      </w:tr>
      <w:tr w:rsidR="007512BF" w:rsidRPr="003237DF" w:rsidTr="00633732">
        <w:trPr>
          <w:cantSplit/>
        </w:trPr>
        <w:tc>
          <w:tcPr>
            <w:tcW w:w="1814" w:type="dxa"/>
            <w:tcBorders>
              <w:bottom w:val="single" w:sz="4" w:space="0" w:color="999999"/>
            </w:tcBorders>
          </w:tcPr>
          <w:p w:rsidR="007512BF" w:rsidRPr="003237DF" w:rsidRDefault="007512BF" w:rsidP="007E73FA">
            <w:pPr>
              <w:pStyle w:val="tbltext"/>
            </w:pPr>
            <w:r w:rsidRPr="003237DF">
              <w:t>Outside portfolio</w:t>
            </w:r>
          </w:p>
        </w:tc>
        <w:tc>
          <w:tcPr>
            <w:tcW w:w="1814" w:type="dxa"/>
            <w:tcBorders>
              <w:bottom w:val="single" w:sz="4" w:space="0" w:color="999999"/>
            </w:tcBorders>
          </w:tcPr>
          <w:p w:rsidR="007512BF" w:rsidRPr="003237DF" w:rsidRDefault="00D762A4" w:rsidP="007E73FA">
            <w:pPr>
              <w:pStyle w:val="tbltext"/>
              <w:jc w:val="center"/>
              <w:rPr>
                <w:kern w:val="28"/>
              </w:rPr>
            </w:pPr>
            <w:r w:rsidRPr="003237DF">
              <w:rPr>
                <w:kern w:val="28"/>
              </w:rPr>
              <w:t>NA</w:t>
            </w:r>
          </w:p>
        </w:tc>
        <w:tc>
          <w:tcPr>
            <w:tcW w:w="1814" w:type="dxa"/>
            <w:tcBorders>
              <w:bottom w:val="single" w:sz="4" w:space="0" w:color="999999"/>
            </w:tcBorders>
          </w:tcPr>
          <w:p w:rsidR="007512BF" w:rsidRPr="003237DF" w:rsidRDefault="001B20B2" w:rsidP="007E73FA">
            <w:pPr>
              <w:pStyle w:val="tbltext"/>
              <w:jc w:val="center"/>
              <w:rPr>
                <w:kern w:val="28"/>
              </w:rPr>
            </w:pPr>
            <w:r w:rsidRPr="003237DF">
              <w:rPr>
                <w:kern w:val="28"/>
              </w:rPr>
              <w:t>NA</w:t>
            </w:r>
          </w:p>
        </w:tc>
        <w:tc>
          <w:tcPr>
            <w:tcW w:w="1814" w:type="dxa"/>
            <w:tcBorders>
              <w:bottom w:val="single" w:sz="4" w:space="0" w:color="999999"/>
            </w:tcBorders>
          </w:tcPr>
          <w:p w:rsidR="007512BF" w:rsidRPr="003237DF" w:rsidRDefault="001B20B2" w:rsidP="007E73FA">
            <w:pPr>
              <w:pStyle w:val="tbltext"/>
              <w:jc w:val="center"/>
              <w:rPr>
                <w:kern w:val="28"/>
              </w:rPr>
            </w:pPr>
            <w:r w:rsidRPr="003237DF">
              <w:rPr>
                <w:kern w:val="28"/>
              </w:rPr>
              <w:t>NA</w:t>
            </w:r>
          </w:p>
        </w:tc>
        <w:tc>
          <w:tcPr>
            <w:tcW w:w="1814" w:type="dxa"/>
            <w:tcBorders>
              <w:bottom w:val="single" w:sz="4" w:space="0" w:color="999999"/>
            </w:tcBorders>
          </w:tcPr>
          <w:p w:rsidR="007512BF" w:rsidRPr="003237DF" w:rsidRDefault="00D762A4" w:rsidP="007E73FA">
            <w:pPr>
              <w:pStyle w:val="tbltext"/>
              <w:jc w:val="center"/>
              <w:rPr>
                <w:kern w:val="28"/>
              </w:rPr>
            </w:pPr>
            <w:r w:rsidRPr="003237DF">
              <w:rPr>
                <w:kern w:val="28"/>
              </w:rPr>
              <w:t>NA</w:t>
            </w:r>
          </w:p>
        </w:tc>
      </w:tr>
      <w:tr w:rsidR="007512BF" w:rsidRPr="003237DF" w:rsidTr="00633732">
        <w:trPr>
          <w:cantSplit/>
        </w:trPr>
        <w:tc>
          <w:tcPr>
            <w:tcW w:w="1814" w:type="dxa"/>
            <w:tcBorders>
              <w:bottom w:val="single" w:sz="4" w:space="0" w:color="auto"/>
            </w:tcBorders>
          </w:tcPr>
          <w:p w:rsidR="007512BF" w:rsidRPr="003237DF" w:rsidRDefault="007512BF" w:rsidP="007E73FA">
            <w:pPr>
              <w:pStyle w:val="tbltext"/>
            </w:pPr>
            <w:r w:rsidRPr="003237DF">
              <w:t>Total by sector</w:t>
            </w:r>
          </w:p>
        </w:tc>
        <w:tc>
          <w:tcPr>
            <w:tcW w:w="1814" w:type="dxa"/>
            <w:tcBorders>
              <w:bottom w:val="single" w:sz="4" w:space="0" w:color="auto"/>
            </w:tcBorders>
          </w:tcPr>
          <w:p w:rsidR="007512BF" w:rsidRPr="003237DF" w:rsidRDefault="00D762A4" w:rsidP="007E73FA">
            <w:pPr>
              <w:pStyle w:val="tbltext"/>
              <w:jc w:val="center"/>
            </w:pPr>
            <w:r w:rsidRPr="003237DF">
              <w:rPr>
                <w:kern w:val="28"/>
              </w:rPr>
              <w:t>NA</w:t>
            </w:r>
          </w:p>
        </w:tc>
        <w:tc>
          <w:tcPr>
            <w:tcW w:w="1814" w:type="dxa"/>
            <w:tcBorders>
              <w:bottom w:val="single" w:sz="4" w:space="0" w:color="auto"/>
            </w:tcBorders>
          </w:tcPr>
          <w:p w:rsidR="007512BF" w:rsidRPr="003237DF" w:rsidRDefault="001B20B2" w:rsidP="007E73FA">
            <w:pPr>
              <w:pStyle w:val="tbltext"/>
              <w:jc w:val="center"/>
            </w:pPr>
            <w:r w:rsidRPr="003237DF">
              <w:rPr>
                <w:kern w:val="28"/>
              </w:rPr>
              <w:t>NA</w:t>
            </w:r>
          </w:p>
        </w:tc>
        <w:tc>
          <w:tcPr>
            <w:tcW w:w="1814" w:type="dxa"/>
            <w:tcBorders>
              <w:bottom w:val="single" w:sz="4" w:space="0" w:color="auto"/>
            </w:tcBorders>
          </w:tcPr>
          <w:p w:rsidR="007512BF" w:rsidRPr="003237DF" w:rsidRDefault="001B20B2" w:rsidP="007E73FA">
            <w:pPr>
              <w:pStyle w:val="tbltext"/>
              <w:jc w:val="center"/>
            </w:pPr>
            <w:r w:rsidRPr="003237DF">
              <w:rPr>
                <w:kern w:val="28"/>
              </w:rPr>
              <w:t>NA</w:t>
            </w:r>
          </w:p>
        </w:tc>
        <w:tc>
          <w:tcPr>
            <w:tcW w:w="1814" w:type="dxa"/>
            <w:tcBorders>
              <w:bottom w:val="single" w:sz="4" w:space="0" w:color="auto"/>
            </w:tcBorders>
          </w:tcPr>
          <w:p w:rsidR="007512BF" w:rsidRPr="003237DF" w:rsidRDefault="00D762A4" w:rsidP="007E73FA">
            <w:pPr>
              <w:pStyle w:val="tbltext"/>
              <w:jc w:val="center"/>
            </w:pPr>
            <w:r w:rsidRPr="003237DF">
              <w:rPr>
                <w:kern w:val="28"/>
              </w:rPr>
              <w:t>NA</w:t>
            </w:r>
          </w:p>
        </w:tc>
      </w:tr>
      <w:tr w:rsidR="007512BF" w:rsidRPr="003237DF" w:rsidTr="00633732">
        <w:trPr>
          <w:cantSplit/>
        </w:trPr>
        <w:tc>
          <w:tcPr>
            <w:tcW w:w="3628" w:type="dxa"/>
            <w:gridSpan w:val="2"/>
            <w:tcBorders>
              <w:top w:val="single" w:sz="4" w:space="0" w:color="auto"/>
            </w:tcBorders>
          </w:tcPr>
          <w:p w:rsidR="007512BF" w:rsidRPr="003237DF" w:rsidRDefault="007512BF" w:rsidP="00633732">
            <w:pPr>
              <w:pStyle w:val="tbltext"/>
              <w:tabs>
                <w:tab w:val="left" w:pos="2444"/>
              </w:tabs>
            </w:pPr>
            <w:r w:rsidRPr="003237DF">
              <w:t>Proposal is cost neutral?</w:t>
            </w:r>
            <w:r w:rsidR="00633732" w:rsidRPr="003237DF">
              <w:tab/>
            </w:r>
            <w:r w:rsidR="00767046" w:rsidRPr="003237DF">
              <w:t>No</w:t>
            </w:r>
          </w:p>
        </w:tc>
        <w:tc>
          <w:tcPr>
            <w:tcW w:w="1814" w:type="dxa"/>
            <w:tcBorders>
              <w:top w:val="single" w:sz="4" w:space="0" w:color="auto"/>
            </w:tcBorders>
          </w:tcPr>
          <w:p w:rsidR="007512BF" w:rsidRPr="003237DF" w:rsidRDefault="007512BF" w:rsidP="007E73FA">
            <w:pPr>
              <w:pStyle w:val="tbltext"/>
              <w:jc w:val="center"/>
            </w:pPr>
          </w:p>
        </w:tc>
        <w:tc>
          <w:tcPr>
            <w:tcW w:w="1814" w:type="dxa"/>
            <w:tcBorders>
              <w:top w:val="single" w:sz="4" w:space="0" w:color="auto"/>
            </w:tcBorders>
          </w:tcPr>
          <w:p w:rsidR="007512BF" w:rsidRPr="003237DF" w:rsidRDefault="007512BF" w:rsidP="007E73FA">
            <w:pPr>
              <w:pStyle w:val="tbltext"/>
              <w:jc w:val="center"/>
            </w:pPr>
          </w:p>
        </w:tc>
        <w:tc>
          <w:tcPr>
            <w:tcW w:w="1814" w:type="dxa"/>
            <w:tcBorders>
              <w:top w:val="single" w:sz="4" w:space="0" w:color="auto"/>
            </w:tcBorders>
          </w:tcPr>
          <w:p w:rsidR="007512BF" w:rsidRPr="003237DF" w:rsidRDefault="007512BF" w:rsidP="007E73FA">
            <w:pPr>
              <w:pStyle w:val="tbltext"/>
              <w:jc w:val="center"/>
            </w:pPr>
          </w:p>
        </w:tc>
      </w:tr>
      <w:tr w:rsidR="007512BF" w:rsidRPr="003237DF" w:rsidTr="007E73FA">
        <w:trPr>
          <w:cantSplit/>
        </w:trPr>
        <w:tc>
          <w:tcPr>
            <w:tcW w:w="3628" w:type="dxa"/>
            <w:gridSpan w:val="2"/>
          </w:tcPr>
          <w:p w:rsidR="007512BF" w:rsidRPr="003237DF" w:rsidRDefault="007512BF" w:rsidP="00633732">
            <w:pPr>
              <w:pStyle w:val="tbltext"/>
              <w:tabs>
                <w:tab w:val="left" w:pos="2444"/>
              </w:tabs>
            </w:pPr>
            <w:r w:rsidRPr="003237DF">
              <w:t>Proposal is deregulatory?</w:t>
            </w:r>
            <w:r w:rsidR="00633732" w:rsidRPr="003237DF">
              <w:tab/>
            </w:r>
            <w:r w:rsidR="00767046" w:rsidRPr="003237DF">
              <w:t>Yes</w:t>
            </w:r>
          </w:p>
        </w:tc>
        <w:tc>
          <w:tcPr>
            <w:tcW w:w="1814" w:type="dxa"/>
          </w:tcPr>
          <w:p w:rsidR="007512BF" w:rsidRPr="003237DF" w:rsidRDefault="007512BF" w:rsidP="007E73FA">
            <w:pPr>
              <w:pStyle w:val="tbltext"/>
              <w:jc w:val="center"/>
            </w:pPr>
          </w:p>
        </w:tc>
        <w:tc>
          <w:tcPr>
            <w:tcW w:w="1814" w:type="dxa"/>
          </w:tcPr>
          <w:p w:rsidR="007512BF" w:rsidRPr="003237DF" w:rsidRDefault="007512BF" w:rsidP="007E73FA">
            <w:pPr>
              <w:pStyle w:val="tbltext"/>
              <w:jc w:val="center"/>
            </w:pPr>
          </w:p>
        </w:tc>
        <w:tc>
          <w:tcPr>
            <w:tcW w:w="1814" w:type="dxa"/>
          </w:tcPr>
          <w:p w:rsidR="007512BF" w:rsidRPr="003237DF" w:rsidRDefault="007512BF" w:rsidP="007E73FA">
            <w:pPr>
              <w:pStyle w:val="tbltext"/>
              <w:jc w:val="center"/>
            </w:pPr>
          </w:p>
        </w:tc>
      </w:tr>
      <w:tr w:rsidR="007512BF" w:rsidRPr="003237DF" w:rsidTr="007E73FA">
        <w:trPr>
          <w:cantSplit/>
        </w:trPr>
        <w:tc>
          <w:tcPr>
            <w:tcW w:w="3628" w:type="dxa"/>
            <w:gridSpan w:val="2"/>
          </w:tcPr>
          <w:p w:rsidR="007512BF" w:rsidRPr="003237DF" w:rsidRDefault="007512BF" w:rsidP="00633732">
            <w:pPr>
              <w:pStyle w:val="tbltext"/>
              <w:tabs>
                <w:tab w:val="left" w:pos="2444"/>
              </w:tabs>
            </w:pPr>
            <w:r w:rsidRPr="003237DF">
              <w:t>Balance of cost offsets</w:t>
            </w:r>
            <w:r w:rsidR="00633732" w:rsidRPr="003237DF">
              <w:tab/>
            </w:r>
            <w:r w:rsidR="00F82F91" w:rsidRPr="003237DF">
              <w:t>$3.095m</w:t>
            </w:r>
          </w:p>
        </w:tc>
        <w:tc>
          <w:tcPr>
            <w:tcW w:w="1814" w:type="dxa"/>
          </w:tcPr>
          <w:p w:rsidR="007512BF" w:rsidRPr="003237DF" w:rsidRDefault="007512BF" w:rsidP="007E73FA">
            <w:pPr>
              <w:pStyle w:val="tbltext"/>
              <w:jc w:val="center"/>
            </w:pPr>
          </w:p>
        </w:tc>
        <w:tc>
          <w:tcPr>
            <w:tcW w:w="1814" w:type="dxa"/>
          </w:tcPr>
          <w:p w:rsidR="007512BF" w:rsidRPr="003237DF" w:rsidRDefault="007512BF" w:rsidP="007E73FA">
            <w:pPr>
              <w:pStyle w:val="tbltext"/>
              <w:jc w:val="center"/>
            </w:pPr>
          </w:p>
        </w:tc>
        <w:tc>
          <w:tcPr>
            <w:tcW w:w="1814" w:type="dxa"/>
          </w:tcPr>
          <w:p w:rsidR="007512BF" w:rsidRPr="003237DF" w:rsidRDefault="007512BF" w:rsidP="007E73FA">
            <w:pPr>
              <w:pStyle w:val="tbltext"/>
              <w:jc w:val="center"/>
            </w:pPr>
          </w:p>
        </w:tc>
      </w:tr>
    </w:tbl>
    <w:p w:rsidR="00633732" w:rsidRPr="003237DF" w:rsidRDefault="00633732" w:rsidP="00633732">
      <w:pPr>
        <w:pStyle w:val="sourcenotefullwidth"/>
      </w:pPr>
      <w:r w:rsidRPr="003237DF">
        <w:t>Note: NA = not applicable.</w:t>
      </w:r>
    </w:p>
    <w:p w:rsidR="00373F20" w:rsidRPr="003237DF" w:rsidRDefault="00B27E43" w:rsidP="008271B9">
      <w:pPr>
        <w:pStyle w:val="tabletitlefullwidth"/>
        <w:spacing w:before="480"/>
      </w:pPr>
      <w:r w:rsidRPr="003237DF">
        <w:t xml:space="preserve">Table </w:t>
      </w:r>
      <w:r w:rsidR="00993A97">
        <w:fldChar w:fldCharType="begin"/>
      </w:r>
      <w:r w:rsidR="00993A97">
        <w:instrText xml:space="preserve"> SEQ Table \* ARABIC </w:instrText>
      </w:r>
      <w:r w:rsidR="00993A97">
        <w:fldChar w:fldCharType="separate"/>
      </w:r>
      <w:r w:rsidR="00EC75CF" w:rsidRPr="003237DF">
        <w:rPr>
          <w:noProof/>
        </w:rPr>
        <w:t>3</w:t>
      </w:r>
      <w:r w:rsidR="00993A97">
        <w:rPr>
          <w:noProof/>
        </w:rPr>
        <w:fldChar w:fldCharType="end"/>
      </w:r>
      <w:r w:rsidR="00373F20" w:rsidRPr="003237DF">
        <w:t>:</w:t>
      </w:r>
      <w:r w:rsidR="00373F20" w:rsidRPr="003237DF">
        <w:tab/>
        <w:t>Option 2: Average annual compliance costs (from business as usual)</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14"/>
        <w:gridCol w:w="1814"/>
        <w:gridCol w:w="1814"/>
        <w:gridCol w:w="1814"/>
        <w:gridCol w:w="1814"/>
      </w:tblGrid>
      <w:tr w:rsidR="00373F20" w:rsidRPr="003237DF" w:rsidTr="00AC6D63">
        <w:trPr>
          <w:cantSplit/>
          <w:tblHeader/>
        </w:trPr>
        <w:tc>
          <w:tcPr>
            <w:tcW w:w="1814" w:type="dxa"/>
            <w:shd w:val="clear" w:color="auto" w:fill="C2E3FA"/>
          </w:tcPr>
          <w:p w:rsidR="00373F20" w:rsidRPr="003237DF" w:rsidRDefault="00373F20" w:rsidP="00AC6D63">
            <w:pPr>
              <w:pStyle w:val="tablehead"/>
            </w:pPr>
            <w:r w:rsidRPr="003237DF">
              <w:t>Costs ($m)</w:t>
            </w:r>
          </w:p>
        </w:tc>
        <w:tc>
          <w:tcPr>
            <w:tcW w:w="1814" w:type="dxa"/>
            <w:shd w:val="clear" w:color="auto" w:fill="C2E3FA"/>
          </w:tcPr>
          <w:p w:rsidR="00373F20" w:rsidRPr="003237DF" w:rsidRDefault="00373F20" w:rsidP="00AC6D63">
            <w:pPr>
              <w:pStyle w:val="tablehead"/>
              <w:jc w:val="center"/>
              <w:rPr>
                <w:kern w:val="28"/>
              </w:rPr>
            </w:pPr>
            <w:r w:rsidRPr="003237DF">
              <w:t>Business</w:t>
            </w:r>
          </w:p>
        </w:tc>
        <w:tc>
          <w:tcPr>
            <w:tcW w:w="1814" w:type="dxa"/>
            <w:shd w:val="clear" w:color="auto" w:fill="C2E3FA"/>
          </w:tcPr>
          <w:p w:rsidR="00373F20" w:rsidRPr="003237DF" w:rsidRDefault="00373F20" w:rsidP="00AC6D63">
            <w:pPr>
              <w:pStyle w:val="tablehead"/>
              <w:jc w:val="center"/>
              <w:rPr>
                <w:kern w:val="28"/>
              </w:rPr>
            </w:pPr>
            <w:r w:rsidRPr="003237DF">
              <w:t xml:space="preserve">Community </w:t>
            </w:r>
            <w:r w:rsidR="00B27E43" w:rsidRPr="003237DF">
              <w:t>organisations</w:t>
            </w:r>
          </w:p>
        </w:tc>
        <w:tc>
          <w:tcPr>
            <w:tcW w:w="1814" w:type="dxa"/>
            <w:shd w:val="clear" w:color="auto" w:fill="C2E3FA"/>
          </w:tcPr>
          <w:p w:rsidR="00373F20" w:rsidRPr="003237DF" w:rsidRDefault="00373F20" w:rsidP="00AC6D63">
            <w:pPr>
              <w:pStyle w:val="tablehead"/>
              <w:jc w:val="center"/>
              <w:rPr>
                <w:kern w:val="28"/>
              </w:rPr>
            </w:pPr>
            <w:r w:rsidRPr="003237DF">
              <w:t>Individuals</w:t>
            </w:r>
          </w:p>
        </w:tc>
        <w:tc>
          <w:tcPr>
            <w:tcW w:w="1814" w:type="dxa"/>
            <w:shd w:val="clear" w:color="auto" w:fill="C2E3FA"/>
          </w:tcPr>
          <w:p w:rsidR="00373F20" w:rsidRPr="003237DF" w:rsidRDefault="00373F20" w:rsidP="00AC6D63">
            <w:pPr>
              <w:pStyle w:val="tablehead"/>
              <w:jc w:val="center"/>
              <w:rPr>
                <w:kern w:val="28"/>
              </w:rPr>
            </w:pPr>
            <w:r w:rsidRPr="003237DF">
              <w:t xml:space="preserve">Total cost </w:t>
            </w:r>
          </w:p>
        </w:tc>
      </w:tr>
      <w:tr w:rsidR="00277958" w:rsidRPr="003237DF" w:rsidTr="00AC6D63">
        <w:trPr>
          <w:cantSplit/>
        </w:trPr>
        <w:tc>
          <w:tcPr>
            <w:tcW w:w="1814" w:type="dxa"/>
          </w:tcPr>
          <w:p w:rsidR="00277958" w:rsidRPr="003237DF" w:rsidRDefault="00277958" w:rsidP="00AC6D63">
            <w:pPr>
              <w:pStyle w:val="tbltext"/>
            </w:pPr>
            <w:r w:rsidRPr="003237DF">
              <w:t>Total by sector</w:t>
            </w:r>
          </w:p>
        </w:tc>
        <w:tc>
          <w:tcPr>
            <w:tcW w:w="1814" w:type="dxa"/>
          </w:tcPr>
          <w:p w:rsidR="00277958" w:rsidRPr="003237DF" w:rsidRDefault="00277958" w:rsidP="003A6990">
            <w:pPr>
              <w:pStyle w:val="tbltext"/>
              <w:jc w:val="center"/>
              <w:rPr>
                <w:kern w:val="28"/>
              </w:rPr>
            </w:pPr>
            <w:r w:rsidRPr="003237DF">
              <w:t>(</w:t>
            </w:r>
            <w:r w:rsidR="00B27E43" w:rsidRPr="003237DF">
              <w:t>–</w:t>
            </w:r>
            <w:r w:rsidRPr="003237DF">
              <w:t>$3.</w:t>
            </w:r>
            <w:r w:rsidR="003A6990" w:rsidRPr="003237DF">
              <w:t>095</w:t>
            </w:r>
            <w:r w:rsidRPr="003237DF">
              <w:t>m)</w:t>
            </w:r>
          </w:p>
        </w:tc>
        <w:tc>
          <w:tcPr>
            <w:tcW w:w="1814" w:type="dxa"/>
          </w:tcPr>
          <w:p w:rsidR="00277958" w:rsidRPr="003237DF" w:rsidRDefault="00277958" w:rsidP="00AC6D63">
            <w:pPr>
              <w:pStyle w:val="tbltext"/>
              <w:jc w:val="center"/>
              <w:rPr>
                <w:kern w:val="28"/>
              </w:rPr>
            </w:pPr>
            <w:r w:rsidRPr="003237DF">
              <w:rPr>
                <w:kern w:val="28"/>
              </w:rPr>
              <w:t>$nil</w:t>
            </w:r>
          </w:p>
        </w:tc>
        <w:tc>
          <w:tcPr>
            <w:tcW w:w="1814" w:type="dxa"/>
          </w:tcPr>
          <w:p w:rsidR="00277958" w:rsidRPr="003237DF" w:rsidRDefault="00277958" w:rsidP="00AC6D63">
            <w:pPr>
              <w:pStyle w:val="tbltext"/>
              <w:jc w:val="center"/>
              <w:rPr>
                <w:kern w:val="28"/>
              </w:rPr>
            </w:pPr>
            <w:r w:rsidRPr="003237DF">
              <w:rPr>
                <w:kern w:val="28"/>
              </w:rPr>
              <w:t>$nil</w:t>
            </w:r>
          </w:p>
        </w:tc>
        <w:tc>
          <w:tcPr>
            <w:tcW w:w="1814" w:type="dxa"/>
          </w:tcPr>
          <w:p w:rsidR="00277958" w:rsidRPr="003237DF" w:rsidRDefault="00277958" w:rsidP="003A6990">
            <w:pPr>
              <w:pStyle w:val="tbltext"/>
              <w:jc w:val="center"/>
              <w:rPr>
                <w:kern w:val="28"/>
              </w:rPr>
            </w:pPr>
            <w:r w:rsidRPr="003237DF">
              <w:t>(</w:t>
            </w:r>
            <w:r w:rsidR="00B27E43" w:rsidRPr="003237DF">
              <w:t>–</w:t>
            </w:r>
            <w:r w:rsidRPr="003237DF">
              <w:t>$3.</w:t>
            </w:r>
            <w:r w:rsidR="003A6990" w:rsidRPr="003237DF">
              <w:t>095</w:t>
            </w:r>
            <w:r w:rsidRPr="003237DF">
              <w:t>m)</w:t>
            </w:r>
          </w:p>
        </w:tc>
      </w:tr>
      <w:tr w:rsidR="00373F20" w:rsidRPr="003237DF" w:rsidTr="008271B9">
        <w:trPr>
          <w:cantSplit/>
        </w:trPr>
        <w:tc>
          <w:tcPr>
            <w:tcW w:w="1814" w:type="dxa"/>
            <w:shd w:val="clear" w:color="auto" w:fill="E7E7E7"/>
          </w:tcPr>
          <w:p w:rsidR="00373F20" w:rsidRPr="003237DF" w:rsidRDefault="00373F20" w:rsidP="00AC6D63">
            <w:pPr>
              <w:pStyle w:val="tablehead"/>
            </w:pPr>
            <w:r w:rsidRPr="003237DF">
              <w:t>Cost offset ($m)</w:t>
            </w:r>
          </w:p>
        </w:tc>
        <w:tc>
          <w:tcPr>
            <w:tcW w:w="1814" w:type="dxa"/>
            <w:shd w:val="clear" w:color="auto" w:fill="E7E7E7"/>
          </w:tcPr>
          <w:p w:rsidR="00373F20" w:rsidRPr="003237DF" w:rsidRDefault="00373F20" w:rsidP="00AC6D63">
            <w:pPr>
              <w:pStyle w:val="tablehead"/>
              <w:jc w:val="center"/>
              <w:rPr>
                <w:kern w:val="28"/>
              </w:rPr>
            </w:pPr>
            <w:r w:rsidRPr="003237DF">
              <w:t>Business</w:t>
            </w:r>
          </w:p>
        </w:tc>
        <w:tc>
          <w:tcPr>
            <w:tcW w:w="1814" w:type="dxa"/>
            <w:shd w:val="clear" w:color="auto" w:fill="E7E7E7"/>
          </w:tcPr>
          <w:p w:rsidR="00373F20" w:rsidRPr="003237DF" w:rsidRDefault="00373F20" w:rsidP="00AC6D63">
            <w:pPr>
              <w:pStyle w:val="tablehead"/>
              <w:jc w:val="center"/>
              <w:rPr>
                <w:kern w:val="28"/>
              </w:rPr>
            </w:pPr>
            <w:r w:rsidRPr="003237DF">
              <w:t xml:space="preserve">Community </w:t>
            </w:r>
            <w:r w:rsidR="00B27E43" w:rsidRPr="003237DF">
              <w:t>organisations</w:t>
            </w:r>
          </w:p>
        </w:tc>
        <w:tc>
          <w:tcPr>
            <w:tcW w:w="1814" w:type="dxa"/>
            <w:shd w:val="clear" w:color="auto" w:fill="E7E7E7"/>
          </w:tcPr>
          <w:p w:rsidR="00373F20" w:rsidRPr="003237DF" w:rsidRDefault="00373F20" w:rsidP="00AC6D63">
            <w:pPr>
              <w:pStyle w:val="tablehead"/>
              <w:jc w:val="center"/>
              <w:rPr>
                <w:kern w:val="28"/>
              </w:rPr>
            </w:pPr>
            <w:r w:rsidRPr="003237DF">
              <w:t>Individuals</w:t>
            </w:r>
          </w:p>
        </w:tc>
        <w:tc>
          <w:tcPr>
            <w:tcW w:w="1814" w:type="dxa"/>
            <w:shd w:val="clear" w:color="auto" w:fill="E7E7E7"/>
          </w:tcPr>
          <w:p w:rsidR="00373F20" w:rsidRPr="003237DF" w:rsidRDefault="00373F20" w:rsidP="00AC6D63">
            <w:pPr>
              <w:pStyle w:val="tablehead"/>
              <w:jc w:val="center"/>
              <w:rPr>
                <w:kern w:val="28"/>
              </w:rPr>
            </w:pPr>
            <w:r w:rsidRPr="003237DF">
              <w:t xml:space="preserve">Total by source </w:t>
            </w:r>
          </w:p>
        </w:tc>
      </w:tr>
      <w:tr w:rsidR="00373F20" w:rsidRPr="003237DF" w:rsidTr="00AC6D63">
        <w:trPr>
          <w:cantSplit/>
        </w:trPr>
        <w:tc>
          <w:tcPr>
            <w:tcW w:w="1814" w:type="dxa"/>
          </w:tcPr>
          <w:p w:rsidR="00373F20" w:rsidRPr="003237DF" w:rsidRDefault="00373F20" w:rsidP="00AC6D63">
            <w:pPr>
              <w:pStyle w:val="tbltext"/>
            </w:pPr>
            <w:r w:rsidRPr="003237DF">
              <w:t>Agency</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r>
      <w:tr w:rsidR="00373F20" w:rsidRPr="003237DF" w:rsidTr="00AC6D63">
        <w:trPr>
          <w:cantSplit/>
        </w:trPr>
        <w:tc>
          <w:tcPr>
            <w:tcW w:w="1814" w:type="dxa"/>
          </w:tcPr>
          <w:p w:rsidR="00373F20" w:rsidRPr="003237DF" w:rsidRDefault="00373F20" w:rsidP="00AC6D63">
            <w:pPr>
              <w:pStyle w:val="tbltext"/>
            </w:pPr>
            <w:r w:rsidRPr="003237DF">
              <w:t>Within portfolio</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r>
      <w:tr w:rsidR="00373F20" w:rsidRPr="003237DF" w:rsidTr="00633732">
        <w:trPr>
          <w:cantSplit/>
        </w:trPr>
        <w:tc>
          <w:tcPr>
            <w:tcW w:w="1814" w:type="dxa"/>
            <w:tcBorders>
              <w:bottom w:val="single" w:sz="4" w:space="0" w:color="999999"/>
            </w:tcBorders>
          </w:tcPr>
          <w:p w:rsidR="00373F20" w:rsidRPr="003237DF" w:rsidRDefault="00373F20" w:rsidP="00AC6D63">
            <w:pPr>
              <w:pStyle w:val="tbltext"/>
            </w:pPr>
            <w:r w:rsidRPr="003237DF">
              <w:t>Outside portfolio</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r>
      <w:tr w:rsidR="00373F20" w:rsidRPr="003237DF" w:rsidTr="00633732">
        <w:trPr>
          <w:cantSplit/>
        </w:trPr>
        <w:tc>
          <w:tcPr>
            <w:tcW w:w="1814" w:type="dxa"/>
            <w:tcBorders>
              <w:bottom w:val="single" w:sz="4" w:space="0" w:color="auto"/>
            </w:tcBorders>
          </w:tcPr>
          <w:p w:rsidR="00373F20" w:rsidRPr="003237DF" w:rsidRDefault="00373F20" w:rsidP="00AC6D63">
            <w:pPr>
              <w:pStyle w:val="tbltext"/>
            </w:pPr>
            <w:r w:rsidRPr="003237DF">
              <w:t>Total by sector</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r>
      <w:tr w:rsidR="00373F20" w:rsidRPr="003237DF" w:rsidTr="00633732">
        <w:trPr>
          <w:cantSplit/>
        </w:trPr>
        <w:tc>
          <w:tcPr>
            <w:tcW w:w="3628" w:type="dxa"/>
            <w:gridSpan w:val="2"/>
            <w:tcBorders>
              <w:top w:val="single" w:sz="4" w:space="0" w:color="auto"/>
            </w:tcBorders>
          </w:tcPr>
          <w:p w:rsidR="00373F20" w:rsidRPr="003237DF" w:rsidRDefault="00373F20" w:rsidP="00633732">
            <w:pPr>
              <w:pStyle w:val="tbltext"/>
              <w:tabs>
                <w:tab w:val="left" w:pos="2444"/>
              </w:tabs>
            </w:pPr>
            <w:r w:rsidRPr="003237DF">
              <w:t>Proposal is cost neutral?</w:t>
            </w:r>
            <w:r w:rsidR="00633732" w:rsidRPr="003237DF">
              <w:tab/>
            </w:r>
            <w:r w:rsidR="00767046" w:rsidRPr="003237DF">
              <w:t>No</w:t>
            </w:r>
          </w:p>
        </w:tc>
        <w:tc>
          <w:tcPr>
            <w:tcW w:w="1814" w:type="dxa"/>
            <w:tcBorders>
              <w:top w:val="single" w:sz="4" w:space="0" w:color="auto"/>
            </w:tcBorders>
          </w:tcPr>
          <w:p w:rsidR="00373F20" w:rsidRPr="003237DF" w:rsidRDefault="00373F20" w:rsidP="00AC6D63">
            <w:pPr>
              <w:pStyle w:val="tbltext"/>
              <w:jc w:val="center"/>
            </w:pPr>
          </w:p>
        </w:tc>
        <w:tc>
          <w:tcPr>
            <w:tcW w:w="1814" w:type="dxa"/>
            <w:tcBorders>
              <w:top w:val="single" w:sz="4" w:space="0" w:color="auto"/>
            </w:tcBorders>
          </w:tcPr>
          <w:p w:rsidR="00373F20" w:rsidRPr="003237DF" w:rsidRDefault="00373F20" w:rsidP="00AC6D63">
            <w:pPr>
              <w:pStyle w:val="tbltext"/>
              <w:jc w:val="center"/>
            </w:pPr>
          </w:p>
        </w:tc>
        <w:tc>
          <w:tcPr>
            <w:tcW w:w="1814" w:type="dxa"/>
            <w:tcBorders>
              <w:top w:val="single" w:sz="4" w:space="0" w:color="auto"/>
            </w:tcBorders>
          </w:tcPr>
          <w:p w:rsidR="00373F20" w:rsidRPr="003237DF" w:rsidRDefault="00373F20" w:rsidP="00AC6D63">
            <w:pPr>
              <w:pStyle w:val="tbltext"/>
              <w:jc w:val="center"/>
            </w:pPr>
          </w:p>
        </w:tc>
      </w:tr>
      <w:tr w:rsidR="00373F20" w:rsidRPr="003237DF" w:rsidTr="00AC6D63">
        <w:trPr>
          <w:cantSplit/>
        </w:trPr>
        <w:tc>
          <w:tcPr>
            <w:tcW w:w="3628" w:type="dxa"/>
            <w:gridSpan w:val="2"/>
          </w:tcPr>
          <w:p w:rsidR="00373F20" w:rsidRPr="003237DF" w:rsidRDefault="00373F20" w:rsidP="00633732">
            <w:pPr>
              <w:pStyle w:val="tbltext"/>
              <w:tabs>
                <w:tab w:val="left" w:pos="2444"/>
              </w:tabs>
            </w:pPr>
            <w:r w:rsidRPr="003237DF">
              <w:t>Proposal is deregulatory?</w:t>
            </w:r>
            <w:r w:rsidR="00633732" w:rsidRPr="003237DF">
              <w:tab/>
            </w:r>
            <w:r w:rsidR="00767046" w:rsidRPr="003237DF">
              <w:t>Yes</w:t>
            </w: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r>
      <w:tr w:rsidR="00373F20" w:rsidRPr="003237DF" w:rsidTr="00AC6D63">
        <w:trPr>
          <w:cantSplit/>
        </w:trPr>
        <w:tc>
          <w:tcPr>
            <w:tcW w:w="3628" w:type="dxa"/>
            <w:gridSpan w:val="2"/>
          </w:tcPr>
          <w:p w:rsidR="00373F20" w:rsidRPr="003237DF" w:rsidRDefault="00373F20" w:rsidP="003A6990">
            <w:pPr>
              <w:pStyle w:val="tbltext"/>
              <w:tabs>
                <w:tab w:val="left" w:pos="2444"/>
              </w:tabs>
            </w:pPr>
            <w:r w:rsidRPr="003237DF">
              <w:t>Balance of cost offsets</w:t>
            </w:r>
            <w:r w:rsidR="00633732" w:rsidRPr="003237DF">
              <w:tab/>
            </w:r>
            <w:r w:rsidR="004E34E7" w:rsidRPr="003237DF">
              <w:t>$</w:t>
            </w:r>
            <w:r w:rsidR="00DC7548" w:rsidRPr="003237DF">
              <w:t>3.</w:t>
            </w:r>
            <w:r w:rsidR="003A6990" w:rsidRPr="003237DF">
              <w:t>095</w:t>
            </w:r>
            <w:r w:rsidRPr="003237DF">
              <w:t>m</w:t>
            </w: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r>
    </w:tbl>
    <w:p w:rsidR="00633732" w:rsidRPr="003237DF" w:rsidRDefault="00633732" w:rsidP="00633732">
      <w:pPr>
        <w:pStyle w:val="sourcenotefullwidth"/>
      </w:pPr>
      <w:r w:rsidRPr="003237DF">
        <w:t>Note: NA = not applicable.</w:t>
      </w:r>
    </w:p>
    <w:p w:rsidR="00373F20" w:rsidRPr="003237DF" w:rsidRDefault="00373F20" w:rsidP="00373F20">
      <w:pPr>
        <w:pStyle w:val="tabletitlefullwidth"/>
      </w:pPr>
      <w:r w:rsidRPr="003237DF">
        <w:t>Table 4:</w:t>
      </w:r>
      <w:r w:rsidRPr="003237DF">
        <w:tab/>
        <w:t>Option 3: Average annual compliance costs (from business as usual)</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14"/>
        <w:gridCol w:w="1814"/>
        <w:gridCol w:w="1814"/>
        <w:gridCol w:w="1814"/>
        <w:gridCol w:w="1814"/>
      </w:tblGrid>
      <w:tr w:rsidR="00373F20" w:rsidRPr="003237DF" w:rsidTr="00AC6D63">
        <w:trPr>
          <w:cantSplit/>
          <w:tblHeader/>
        </w:trPr>
        <w:tc>
          <w:tcPr>
            <w:tcW w:w="1814" w:type="dxa"/>
            <w:shd w:val="clear" w:color="auto" w:fill="C2E3FA"/>
          </w:tcPr>
          <w:p w:rsidR="00373F20" w:rsidRPr="003237DF" w:rsidRDefault="00373F20" w:rsidP="00AC6D63">
            <w:pPr>
              <w:pStyle w:val="tablehead"/>
            </w:pPr>
            <w:r w:rsidRPr="003237DF">
              <w:t>Costs ($m)</w:t>
            </w:r>
          </w:p>
        </w:tc>
        <w:tc>
          <w:tcPr>
            <w:tcW w:w="1814" w:type="dxa"/>
            <w:shd w:val="clear" w:color="auto" w:fill="C2E3FA"/>
          </w:tcPr>
          <w:p w:rsidR="00373F20" w:rsidRPr="003237DF" w:rsidRDefault="00373F20" w:rsidP="00AC6D63">
            <w:pPr>
              <w:pStyle w:val="tablehead"/>
              <w:jc w:val="center"/>
              <w:rPr>
                <w:kern w:val="28"/>
              </w:rPr>
            </w:pPr>
            <w:r w:rsidRPr="003237DF">
              <w:t>Business</w:t>
            </w:r>
          </w:p>
        </w:tc>
        <w:tc>
          <w:tcPr>
            <w:tcW w:w="1814" w:type="dxa"/>
            <w:shd w:val="clear" w:color="auto" w:fill="C2E3FA"/>
          </w:tcPr>
          <w:p w:rsidR="00373F20" w:rsidRPr="003237DF" w:rsidRDefault="00373F20" w:rsidP="00AC6D63">
            <w:pPr>
              <w:pStyle w:val="tablehead"/>
              <w:jc w:val="center"/>
              <w:rPr>
                <w:kern w:val="28"/>
              </w:rPr>
            </w:pPr>
            <w:r w:rsidRPr="003237DF">
              <w:t xml:space="preserve">Community </w:t>
            </w:r>
            <w:r w:rsidR="00B27E43" w:rsidRPr="003237DF">
              <w:t>organisations</w:t>
            </w:r>
          </w:p>
        </w:tc>
        <w:tc>
          <w:tcPr>
            <w:tcW w:w="1814" w:type="dxa"/>
            <w:shd w:val="clear" w:color="auto" w:fill="C2E3FA"/>
          </w:tcPr>
          <w:p w:rsidR="00373F20" w:rsidRPr="003237DF" w:rsidRDefault="00373F20" w:rsidP="00AC6D63">
            <w:pPr>
              <w:pStyle w:val="tablehead"/>
              <w:jc w:val="center"/>
              <w:rPr>
                <w:kern w:val="28"/>
              </w:rPr>
            </w:pPr>
            <w:r w:rsidRPr="003237DF">
              <w:t>Individuals</w:t>
            </w:r>
          </w:p>
        </w:tc>
        <w:tc>
          <w:tcPr>
            <w:tcW w:w="1814" w:type="dxa"/>
            <w:shd w:val="clear" w:color="auto" w:fill="C2E3FA"/>
          </w:tcPr>
          <w:p w:rsidR="00373F20" w:rsidRPr="003237DF" w:rsidRDefault="00373F20" w:rsidP="00AC6D63">
            <w:pPr>
              <w:pStyle w:val="tablehead"/>
              <w:jc w:val="center"/>
              <w:rPr>
                <w:kern w:val="28"/>
              </w:rPr>
            </w:pPr>
            <w:r w:rsidRPr="003237DF">
              <w:t xml:space="preserve">Total cost </w:t>
            </w:r>
          </w:p>
        </w:tc>
      </w:tr>
      <w:tr w:rsidR="00FB0452" w:rsidRPr="003237DF" w:rsidTr="00AC6D63">
        <w:trPr>
          <w:cantSplit/>
        </w:trPr>
        <w:tc>
          <w:tcPr>
            <w:tcW w:w="1814" w:type="dxa"/>
          </w:tcPr>
          <w:p w:rsidR="00FB0452" w:rsidRPr="003237DF" w:rsidRDefault="00FB0452" w:rsidP="00AC6D63">
            <w:pPr>
              <w:pStyle w:val="tbltext"/>
            </w:pPr>
            <w:r w:rsidRPr="003237DF">
              <w:t>Total by sector</w:t>
            </w:r>
          </w:p>
        </w:tc>
        <w:tc>
          <w:tcPr>
            <w:tcW w:w="1814" w:type="dxa"/>
          </w:tcPr>
          <w:p w:rsidR="00FB0452" w:rsidRPr="003237DF" w:rsidRDefault="00767046">
            <w:pPr>
              <w:pStyle w:val="tbltext"/>
              <w:jc w:val="center"/>
              <w:rPr>
                <w:kern w:val="28"/>
              </w:rPr>
            </w:pPr>
            <w:r w:rsidRPr="003237DF">
              <w:t>(–$</w:t>
            </w:r>
            <w:r w:rsidR="009F1667" w:rsidRPr="003237DF">
              <w:t>6</w:t>
            </w:r>
            <w:r w:rsidR="00FB0452" w:rsidRPr="003237DF">
              <w:t>50,000)</w:t>
            </w:r>
          </w:p>
        </w:tc>
        <w:tc>
          <w:tcPr>
            <w:tcW w:w="1814" w:type="dxa"/>
          </w:tcPr>
          <w:p w:rsidR="00FB0452" w:rsidRPr="003237DF" w:rsidRDefault="00FB0452" w:rsidP="00AC6D63">
            <w:pPr>
              <w:pStyle w:val="tbltext"/>
              <w:jc w:val="center"/>
              <w:rPr>
                <w:kern w:val="28"/>
              </w:rPr>
            </w:pPr>
            <w:r w:rsidRPr="003237DF">
              <w:rPr>
                <w:kern w:val="28"/>
              </w:rPr>
              <w:t>$nil</w:t>
            </w:r>
          </w:p>
        </w:tc>
        <w:tc>
          <w:tcPr>
            <w:tcW w:w="1814" w:type="dxa"/>
          </w:tcPr>
          <w:p w:rsidR="00FB0452" w:rsidRPr="003237DF" w:rsidRDefault="00FB0452" w:rsidP="00AC6D63">
            <w:pPr>
              <w:pStyle w:val="tbltext"/>
              <w:jc w:val="center"/>
              <w:rPr>
                <w:kern w:val="28"/>
              </w:rPr>
            </w:pPr>
            <w:r w:rsidRPr="003237DF">
              <w:rPr>
                <w:kern w:val="28"/>
              </w:rPr>
              <w:t>$nil</w:t>
            </w:r>
          </w:p>
        </w:tc>
        <w:tc>
          <w:tcPr>
            <w:tcW w:w="1814" w:type="dxa"/>
          </w:tcPr>
          <w:p w:rsidR="00FB0452" w:rsidRPr="003237DF" w:rsidRDefault="00767046">
            <w:pPr>
              <w:pStyle w:val="tbltext"/>
              <w:jc w:val="center"/>
              <w:rPr>
                <w:kern w:val="28"/>
              </w:rPr>
            </w:pPr>
            <w:r w:rsidRPr="003237DF">
              <w:t>(–$</w:t>
            </w:r>
            <w:r w:rsidR="009F1667" w:rsidRPr="003237DF">
              <w:t>6</w:t>
            </w:r>
            <w:r w:rsidR="00FB0452" w:rsidRPr="003237DF">
              <w:t>50,000)</w:t>
            </w:r>
          </w:p>
        </w:tc>
      </w:tr>
      <w:tr w:rsidR="00373F20" w:rsidRPr="003237DF" w:rsidTr="008271B9">
        <w:trPr>
          <w:cantSplit/>
        </w:trPr>
        <w:tc>
          <w:tcPr>
            <w:tcW w:w="1814" w:type="dxa"/>
            <w:shd w:val="clear" w:color="auto" w:fill="E7E7E7"/>
          </w:tcPr>
          <w:p w:rsidR="00373F20" w:rsidRPr="003237DF" w:rsidRDefault="00373F20" w:rsidP="00AC6D63">
            <w:pPr>
              <w:pStyle w:val="tablehead"/>
            </w:pPr>
            <w:r w:rsidRPr="003237DF">
              <w:t>Cost offset ($m)</w:t>
            </w:r>
          </w:p>
        </w:tc>
        <w:tc>
          <w:tcPr>
            <w:tcW w:w="1814" w:type="dxa"/>
            <w:shd w:val="clear" w:color="auto" w:fill="E7E7E7"/>
          </w:tcPr>
          <w:p w:rsidR="00373F20" w:rsidRPr="003237DF" w:rsidRDefault="00373F20" w:rsidP="00AC6D63">
            <w:pPr>
              <w:pStyle w:val="tablehead"/>
              <w:jc w:val="center"/>
              <w:rPr>
                <w:kern w:val="28"/>
              </w:rPr>
            </w:pPr>
            <w:r w:rsidRPr="003237DF">
              <w:t>Business</w:t>
            </w:r>
          </w:p>
        </w:tc>
        <w:tc>
          <w:tcPr>
            <w:tcW w:w="1814" w:type="dxa"/>
            <w:shd w:val="clear" w:color="auto" w:fill="E7E7E7"/>
          </w:tcPr>
          <w:p w:rsidR="00373F20" w:rsidRPr="003237DF" w:rsidRDefault="00373F20" w:rsidP="00AC6D63">
            <w:pPr>
              <w:pStyle w:val="tablehead"/>
              <w:jc w:val="center"/>
              <w:rPr>
                <w:kern w:val="28"/>
              </w:rPr>
            </w:pPr>
            <w:r w:rsidRPr="003237DF">
              <w:t xml:space="preserve">Community </w:t>
            </w:r>
            <w:r w:rsidR="00B27E43" w:rsidRPr="003237DF">
              <w:t>organisations</w:t>
            </w:r>
          </w:p>
        </w:tc>
        <w:tc>
          <w:tcPr>
            <w:tcW w:w="1814" w:type="dxa"/>
            <w:shd w:val="clear" w:color="auto" w:fill="E7E7E7"/>
          </w:tcPr>
          <w:p w:rsidR="00373F20" w:rsidRPr="003237DF" w:rsidRDefault="00373F20" w:rsidP="00AC6D63">
            <w:pPr>
              <w:pStyle w:val="tablehead"/>
              <w:jc w:val="center"/>
              <w:rPr>
                <w:kern w:val="28"/>
              </w:rPr>
            </w:pPr>
            <w:r w:rsidRPr="003237DF">
              <w:t>Individuals</w:t>
            </w:r>
          </w:p>
        </w:tc>
        <w:tc>
          <w:tcPr>
            <w:tcW w:w="1814" w:type="dxa"/>
            <w:shd w:val="clear" w:color="auto" w:fill="E7E7E7"/>
          </w:tcPr>
          <w:p w:rsidR="00373F20" w:rsidRPr="003237DF" w:rsidRDefault="00373F20" w:rsidP="00AC6D63">
            <w:pPr>
              <w:pStyle w:val="tablehead"/>
              <w:jc w:val="center"/>
              <w:rPr>
                <w:kern w:val="28"/>
              </w:rPr>
            </w:pPr>
            <w:r w:rsidRPr="003237DF">
              <w:t xml:space="preserve">Total by source </w:t>
            </w:r>
          </w:p>
        </w:tc>
      </w:tr>
      <w:tr w:rsidR="00373F20" w:rsidRPr="003237DF" w:rsidTr="00AC6D63">
        <w:trPr>
          <w:cantSplit/>
        </w:trPr>
        <w:tc>
          <w:tcPr>
            <w:tcW w:w="1814" w:type="dxa"/>
          </w:tcPr>
          <w:p w:rsidR="00373F20" w:rsidRPr="003237DF" w:rsidRDefault="00373F20" w:rsidP="00AC6D63">
            <w:pPr>
              <w:pStyle w:val="tbltext"/>
            </w:pPr>
            <w:r w:rsidRPr="003237DF">
              <w:t>Agency</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r>
      <w:tr w:rsidR="00373F20" w:rsidRPr="003237DF" w:rsidTr="00AC6D63">
        <w:trPr>
          <w:cantSplit/>
        </w:trPr>
        <w:tc>
          <w:tcPr>
            <w:tcW w:w="1814" w:type="dxa"/>
          </w:tcPr>
          <w:p w:rsidR="00373F20" w:rsidRPr="003237DF" w:rsidRDefault="00373F20" w:rsidP="00AC6D63">
            <w:pPr>
              <w:pStyle w:val="tbltext"/>
            </w:pPr>
            <w:r w:rsidRPr="003237DF">
              <w:t>Within portfolio</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c>
          <w:tcPr>
            <w:tcW w:w="1814" w:type="dxa"/>
          </w:tcPr>
          <w:p w:rsidR="00373F20" w:rsidRPr="003237DF" w:rsidRDefault="00373F20" w:rsidP="00AC6D63">
            <w:pPr>
              <w:pStyle w:val="tbltext"/>
              <w:jc w:val="center"/>
            </w:pPr>
            <w:r w:rsidRPr="003237DF">
              <w:rPr>
                <w:kern w:val="28"/>
              </w:rPr>
              <w:t>NA</w:t>
            </w:r>
          </w:p>
        </w:tc>
      </w:tr>
      <w:tr w:rsidR="00373F20" w:rsidRPr="003237DF" w:rsidTr="00633732">
        <w:trPr>
          <w:cantSplit/>
        </w:trPr>
        <w:tc>
          <w:tcPr>
            <w:tcW w:w="1814" w:type="dxa"/>
            <w:tcBorders>
              <w:bottom w:val="single" w:sz="4" w:space="0" w:color="999999"/>
            </w:tcBorders>
          </w:tcPr>
          <w:p w:rsidR="00373F20" w:rsidRPr="003237DF" w:rsidRDefault="00373F20" w:rsidP="00AC6D63">
            <w:pPr>
              <w:pStyle w:val="tbltext"/>
            </w:pPr>
            <w:r w:rsidRPr="003237DF">
              <w:t>Outside portfolio</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c>
          <w:tcPr>
            <w:tcW w:w="1814" w:type="dxa"/>
            <w:tcBorders>
              <w:bottom w:val="single" w:sz="4" w:space="0" w:color="999999"/>
            </w:tcBorders>
          </w:tcPr>
          <w:p w:rsidR="00373F20" w:rsidRPr="003237DF" w:rsidRDefault="00373F20" w:rsidP="00AC6D63">
            <w:pPr>
              <w:pStyle w:val="tbltext"/>
              <w:jc w:val="center"/>
              <w:rPr>
                <w:kern w:val="28"/>
              </w:rPr>
            </w:pPr>
            <w:r w:rsidRPr="003237DF">
              <w:rPr>
                <w:kern w:val="28"/>
              </w:rPr>
              <w:t>NA</w:t>
            </w:r>
          </w:p>
        </w:tc>
      </w:tr>
      <w:tr w:rsidR="00373F20" w:rsidRPr="003237DF" w:rsidTr="00633732">
        <w:trPr>
          <w:cantSplit/>
        </w:trPr>
        <w:tc>
          <w:tcPr>
            <w:tcW w:w="1814" w:type="dxa"/>
            <w:tcBorders>
              <w:bottom w:val="single" w:sz="4" w:space="0" w:color="auto"/>
            </w:tcBorders>
          </w:tcPr>
          <w:p w:rsidR="00373F20" w:rsidRPr="003237DF" w:rsidRDefault="00373F20" w:rsidP="00AC6D63">
            <w:pPr>
              <w:pStyle w:val="tbltext"/>
            </w:pPr>
            <w:r w:rsidRPr="003237DF">
              <w:t>Total by sector</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c>
          <w:tcPr>
            <w:tcW w:w="1814" w:type="dxa"/>
            <w:tcBorders>
              <w:bottom w:val="single" w:sz="4" w:space="0" w:color="auto"/>
            </w:tcBorders>
          </w:tcPr>
          <w:p w:rsidR="00373F20" w:rsidRPr="003237DF" w:rsidRDefault="00373F20" w:rsidP="00AC6D63">
            <w:pPr>
              <w:pStyle w:val="tbltext"/>
              <w:jc w:val="center"/>
            </w:pPr>
            <w:r w:rsidRPr="003237DF">
              <w:rPr>
                <w:kern w:val="28"/>
              </w:rPr>
              <w:t>NA</w:t>
            </w:r>
          </w:p>
        </w:tc>
      </w:tr>
      <w:tr w:rsidR="00373F20" w:rsidRPr="003237DF" w:rsidTr="00633732">
        <w:trPr>
          <w:cantSplit/>
        </w:trPr>
        <w:tc>
          <w:tcPr>
            <w:tcW w:w="3628" w:type="dxa"/>
            <w:gridSpan w:val="2"/>
            <w:tcBorders>
              <w:top w:val="single" w:sz="4" w:space="0" w:color="auto"/>
            </w:tcBorders>
          </w:tcPr>
          <w:p w:rsidR="00373F20" w:rsidRPr="003237DF" w:rsidRDefault="00373F20" w:rsidP="00633732">
            <w:pPr>
              <w:pStyle w:val="tbltext"/>
              <w:tabs>
                <w:tab w:val="left" w:pos="2444"/>
              </w:tabs>
            </w:pPr>
            <w:r w:rsidRPr="003237DF">
              <w:t>Proposal is cost neutral?</w:t>
            </w:r>
            <w:r w:rsidR="00633732" w:rsidRPr="003237DF">
              <w:tab/>
            </w:r>
            <w:r w:rsidR="00767046" w:rsidRPr="003237DF">
              <w:t>No</w:t>
            </w:r>
          </w:p>
        </w:tc>
        <w:tc>
          <w:tcPr>
            <w:tcW w:w="1814" w:type="dxa"/>
            <w:tcBorders>
              <w:top w:val="single" w:sz="4" w:space="0" w:color="auto"/>
            </w:tcBorders>
          </w:tcPr>
          <w:p w:rsidR="00373F20" w:rsidRPr="003237DF" w:rsidRDefault="00373F20" w:rsidP="00AC6D63">
            <w:pPr>
              <w:pStyle w:val="tbltext"/>
              <w:jc w:val="center"/>
            </w:pPr>
          </w:p>
        </w:tc>
        <w:tc>
          <w:tcPr>
            <w:tcW w:w="1814" w:type="dxa"/>
            <w:tcBorders>
              <w:top w:val="single" w:sz="4" w:space="0" w:color="auto"/>
            </w:tcBorders>
          </w:tcPr>
          <w:p w:rsidR="00373F20" w:rsidRPr="003237DF" w:rsidRDefault="00373F20" w:rsidP="00AC6D63">
            <w:pPr>
              <w:pStyle w:val="tbltext"/>
              <w:jc w:val="center"/>
            </w:pPr>
          </w:p>
        </w:tc>
        <w:tc>
          <w:tcPr>
            <w:tcW w:w="1814" w:type="dxa"/>
            <w:tcBorders>
              <w:top w:val="single" w:sz="4" w:space="0" w:color="auto"/>
            </w:tcBorders>
          </w:tcPr>
          <w:p w:rsidR="00373F20" w:rsidRPr="003237DF" w:rsidRDefault="00373F20" w:rsidP="00AC6D63">
            <w:pPr>
              <w:pStyle w:val="tbltext"/>
              <w:jc w:val="center"/>
            </w:pPr>
          </w:p>
        </w:tc>
      </w:tr>
      <w:tr w:rsidR="00373F20" w:rsidRPr="003237DF" w:rsidTr="00AC6D63">
        <w:trPr>
          <w:cantSplit/>
        </w:trPr>
        <w:tc>
          <w:tcPr>
            <w:tcW w:w="3628" w:type="dxa"/>
            <w:gridSpan w:val="2"/>
          </w:tcPr>
          <w:p w:rsidR="00373F20" w:rsidRPr="003237DF" w:rsidRDefault="00373F20" w:rsidP="00633732">
            <w:pPr>
              <w:pStyle w:val="tbltext"/>
              <w:tabs>
                <w:tab w:val="left" w:pos="2444"/>
              </w:tabs>
            </w:pPr>
            <w:r w:rsidRPr="003237DF">
              <w:t>Proposal is deregulatory?</w:t>
            </w:r>
            <w:r w:rsidR="00633732" w:rsidRPr="003237DF">
              <w:tab/>
            </w:r>
            <w:r w:rsidR="00767046" w:rsidRPr="003237DF">
              <w:t>Yes</w:t>
            </w: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r>
      <w:tr w:rsidR="00373F20" w:rsidRPr="003237DF" w:rsidTr="00AC6D63">
        <w:trPr>
          <w:cantSplit/>
        </w:trPr>
        <w:tc>
          <w:tcPr>
            <w:tcW w:w="3628" w:type="dxa"/>
            <w:gridSpan w:val="2"/>
          </w:tcPr>
          <w:p w:rsidR="00373F20" w:rsidRPr="003237DF" w:rsidRDefault="00373F20" w:rsidP="00633732">
            <w:pPr>
              <w:pStyle w:val="tbltext"/>
              <w:tabs>
                <w:tab w:val="left" w:pos="2444"/>
              </w:tabs>
            </w:pPr>
            <w:r w:rsidRPr="003237DF">
              <w:t>Balance of cost offsets</w:t>
            </w:r>
            <w:r w:rsidR="00633732" w:rsidRPr="003237DF">
              <w:tab/>
            </w:r>
            <w:r w:rsidRPr="003237DF">
              <w:t>$</w:t>
            </w:r>
            <w:r w:rsidR="009F1667" w:rsidRPr="003237DF">
              <w:t>6</w:t>
            </w:r>
            <w:r w:rsidR="00FB0452" w:rsidRPr="003237DF">
              <w:t>50,000</w:t>
            </w: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c>
          <w:tcPr>
            <w:tcW w:w="1814" w:type="dxa"/>
          </w:tcPr>
          <w:p w:rsidR="00373F20" w:rsidRPr="003237DF" w:rsidRDefault="00373F20" w:rsidP="00AC6D63">
            <w:pPr>
              <w:pStyle w:val="tbltext"/>
              <w:jc w:val="center"/>
            </w:pPr>
          </w:p>
        </w:tc>
      </w:tr>
    </w:tbl>
    <w:p w:rsidR="00373F20" w:rsidRDefault="00633732" w:rsidP="00633732">
      <w:pPr>
        <w:pStyle w:val="sourcenotefullwidth"/>
      </w:pPr>
      <w:r w:rsidRPr="003237DF">
        <w:t>Note: NA = not applicable.</w:t>
      </w:r>
    </w:p>
    <w:p w:rsidR="007512BF" w:rsidRDefault="007512BF" w:rsidP="007512BF">
      <w:pPr>
        <w:pStyle w:val="BodyText"/>
        <w:numPr>
          <w:ilvl w:val="0"/>
          <w:numId w:val="0"/>
        </w:numPr>
        <w:ind w:left="2268" w:hanging="1134"/>
      </w:pPr>
    </w:p>
    <w:sectPr w:rsidR="007512BF" w:rsidSect="003D756A">
      <w:footerReference w:type="default" r:id="rId16"/>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33" w:rsidRDefault="00921433">
      <w:r>
        <w:separator/>
      </w:r>
    </w:p>
  </w:endnote>
  <w:endnote w:type="continuationSeparator" w:id="0">
    <w:p w:rsidR="00921433" w:rsidRDefault="0092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35" w:rsidRDefault="00EC7E35">
    <w:pPr>
      <w:pStyle w:val="Footer"/>
      <w:pBdr>
        <w:top w:val="single" w:sz="4" w:space="1" w:color="117DC7"/>
      </w:pBdr>
      <w:rPr>
        <w:b/>
        <w:color w:val="117DC7"/>
      </w:rPr>
    </w:pPr>
    <w:r>
      <w:rPr>
        <w:color w:val="117DC7"/>
      </w:rPr>
      <w:t xml:space="preserve">© Australian Securities and Investments Commission </w:t>
    </w:r>
    <w:r>
      <w:rPr>
        <w:color w:val="117DC7"/>
      </w:rPr>
      <w:fldChar w:fldCharType="begin"/>
    </w:r>
    <w:r>
      <w:rPr>
        <w:color w:val="117DC7"/>
      </w:rPr>
      <w:instrText xml:space="preserve"> DOCPROPERTY  "Issue date"  \* MERGEFORMAT </w:instrText>
    </w:r>
    <w:r>
      <w:rPr>
        <w:color w:val="117DC7"/>
      </w:rPr>
      <w:fldChar w:fldCharType="separate"/>
    </w:r>
    <w:r>
      <w:rPr>
        <w:color w:val="117DC7"/>
      </w:rPr>
      <w:t>September 2014</w:t>
    </w:r>
    <w:r>
      <w:rPr>
        <w:color w:val="117DC7"/>
      </w:rPr>
      <w:fldChar w:fldCharType="end"/>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993A97">
      <w:rPr>
        <w:rStyle w:val="PageNumber"/>
        <w:noProof/>
        <w:color w:val="117DC7"/>
        <w:sz w:val="16"/>
      </w:rPr>
      <w:t>15</w:t>
    </w:r>
    <w:r>
      <w:rPr>
        <w:rStyle w:val="PageNumber"/>
        <w:color w:val="117DC7"/>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35" w:rsidRDefault="00EC7E35" w:rsidP="0047115C">
    <w:pPr>
      <w:pStyle w:val="Footer"/>
      <w:pBdr>
        <w:top w:val="single" w:sz="4" w:space="1" w:color="117DC7"/>
      </w:pBdr>
      <w:tabs>
        <w:tab w:val="clear" w:pos="9070"/>
        <w:tab w:val="right" w:pos="13750"/>
      </w:tabs>
      <w:rPr>
        <w:b/>
        <w:color w:val="117DC7"/>
      </w:rPr>
    </w:pPr>
    <w:r>
      <w:rPr>
        <w:color w:val="117DC7"/>
      </w:rPr>
      <w:t xml:space="preserve">© Australian Securities and Investments Commission </w:t>
    </w:r>
    <w:r>
      <w:rPr>
        <w:color w:val="117DC7"/>
      </w:rPr>
      <w:fldChar w:fldCharType="begin"/>
    </w:r>
    <w:r>
      <w:rPr>
        <w:color w:val="117DC7"/>
      </w:rPr>
      <w:instrText xml:space="preserve"> DOCPROPERTY  "Issue date"  \* MERGEFORMAT </w:instrText>
    </w:r>
    <w:r>
      <w:rPr>
        <w:color w:val="117DC7"/>
      </w:rPr>
      <w:fldChar w:fldCharType="separate"/>
    </w:r>
    <w:r>
      <w:rPr>
        <w:color w:val="117DC7"/>
      </w:rPr>
      <w:t>September 2014</w:t>
    </w:r>
    <w:r>
      <w:rPr>
        <w:color w:val="117DC7"/>
      </w:rPr>
      <w:fldChar w:fldCharType="end"/>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511A0B">
      <w:rPr>
        <w:rStyle w:val="PageNumber"/>
        <w:noProof/>
        <w:color w:val="117DC7"/>
        <w:sz w:val="16"/>
      </w:rPr>
      <w:t>21</w:t>
    </w:r>
    <w:r>
      <w:rPr>
        <w:rStyle w:val="PageNumber"/>
        <w:color w:val="117DC7"/>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35" w:rsidRDefault="00EC7E35" w:rsidP="0047115C">
    <w:pPr>
      <w:pStyle w:val="Footer"/>
      <w:pBdr>
        <w:top w:val="single" w:sz="4" w:space="1" w:color="117DC7"/>
      </w:pBdr>
      <w:tabs>
        <w:tab w:val="clear" w:pos="9070"/>
        <w:tab w:val="right" w:pos="9072"/>
      </w:tabs>
      <w:rPr>
        <w:b/>
        <w:color w:val="117DC7"/>
      </w:rPr>
    </w:pPr>
    <w:r>
      <w:rPr>
        <w:color w:val="117DC7"/>
      </w:rPr>
      <w:t xml:space="preserve">© Australian Securities and Investments Commission </w:t>
    </w:r>
    <w:r>
      <w:rPr>
        <w:color w:val="117DC7"/>
      </w:rPr>
      <w:fldChar w:fldCharType="begin"/>
    </w:r>
    <w:r>
      <w:rPr>
        <w:color w:val="117DC7"/>
      </w:rPr>
      <w:instrText xml:space="preserve"> DOCPROPERTY  "Issue date"  \* MERGEFORMAT </w:instrText>
    </w:r>
    <w:r>
      <w:rPr>
        <w:color w:val="117DC7"/>
      </w:rPr>
      <w:fldChar w:fldCharType="separate"/>
    </w:r>
    <w:r>
      <w:rPr>
        <w:color w:val="117DC7"/>
      </w:rPr>
      <w:t>September 2014</w:t>
    </w:r>
    <w:r>
      <w:rPr>
        <w:color w:val="117DC7"/>
      </w:rPr>
      <w:fldChar w:fldCharType="end"/>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D04B3A">
      <w:rPr>
        <w:rStyle w:val="PageNumber"/>
        <w:noProof/>
        <w:color w:val="117DC7"/>
        <w:sz w:val="16"/>
      </w:rPr>
      <w:t>37</w:t>
    </w:r>
    <w:r>
      <w:rPr>
        <w:rStyle w:val="PageNumber"/>
        <w:color w:val="117DC7"/>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33" w:rsidRDefault="00921433">
      <w:r>
        <w:separator/>
      </w:r>
    </w:p>
  </w:footnote>
  <w:footnote w:type="continuationSeparator" w:id="0">
    <w:p w:rsidR="00921433" w:rsidRDefault="00921433">
      <w:r>
        <w:continuationSeparator/>
      </w:r>
    </w:p>
  </w:footnote>
  <w:footnote w:id="1">
    <w:p w:rsidR="00EC7E35" w:rsidRDefault="00EC7E35" w:rsidP="002320ED">
      <w:pPr>
        <w:pStyle w:val="FootnoteText"/>
      </w:pPr>
      <w:r>
        <w:rPr>
          <w:rStyle w:val="FootnoteReference"/>
        </w:rPr>
        <w:footnoteRef/>
      </w:r>
      <w:r>
        <w:t xml:space="preserve"> I Landau, A O’Connell and I Ramsay, </w:t>
      </w:r>
      <w:r w:rsidRPr="00EF0E9D">
        <w:rPr>
          <w:i/>
        </w:rPr>
        <w:t>Incentivising employees—The theory, policy and practice of employee share ownership plans in Australia</w:t>
      </w:r>
      <w:r>
        <w:t>, 2012, p. 37.</w:t>
      </w:r>
    </w:p>
  </w:footnote>
  <w:footnote w:id="2">
    <w:p w:rsidR="00EC7E35" w:rsidRDefault="00EC7E35" w:rsidP="00142D38">
      <w:pPr>
        <w:pStyle w:val="FootnoteText"/>
      </w:pPr>
      <w:r>
        <w:rPr>
          <w:rStyle w:val="FootnoteReference"/>
        </w:rPr>
        <w:footnoteRef/>
      </w:r>
      <w:r>
        <w:t xml:space="preserve"> </w:t>
      </w:r>
      <w:r w:rsidRPr="00142D38">
        <w:t>The Employee Share Ownership Project is a joint initiative of the Centre for Corporate Law and</w:t>
      </w:r>
      <w:r>
        <w:t xml:space="preserve"> </w:t>
      </w:r>
      <w:r w:rsidRPr="00142D38">
        <w:t>Securities Regulation, the Centre for Employment and Labour Relations Law and The Tax Group at</w:t>
      </w:r>
      <w:r>
        <w:t xml:space="preserve"> </w:t>
      </w:r>
      <w:r w:rsidRPr="00142D38">
        <w:t>the Melbourne Law School. It is funded by an Australian Research Council Discovery Project</w:t>
      </w:r>
      <w:r>
        <w:t xml:space="preserve"> g</w:t>
      </w:r>
      <w:r w:rsidRPr="00142D38">
        <w:t>rant</w:t>
      </w:r>
      <w:r>
        <w:t xml:space="preserve"> that was authored by I Landau, R Mitchell, A O’Connell, I Ramsay and S Marshall who published the report: </w:t>
      </w:r>
      <w:r w:rsidRPr="005A2490">
        <w:rPr>
          <w:i/>
        </w:rPr>
        <w:t>Broad-based employee share ownership in Australian listed companies: Survey report</w:t>
      </w:r>
      <w:r>
        <w:t>, research report, Employee Share Ownership Project, 2009.</w:t>
      </w:r>
    </w:p>
  </w:footnote>
  <w:footnote w:id="3">
    <w:p w:rsidR="00EC7E35" w:rsidRDefault="00EC7E35" w:rsidP="00EB7231">
      <w:pPr>
        <w:pStyle w:val="FootnoteText"/>
      </w:pPr>
      <w:r>
        <w:rPr>
          <w:rStyle w:val="FootnoteReference"/>
        </w:rPr>
        <w:footnoteRef/>
      </w:r>
      <w:r>
        <w:t xml:space="preserve"> </w:t>
      </w:r>
      <w:r>
        <w:rPr>
          <w:lang w:val="en-US"/>
        </w:rPr>
        <w:t>Employee Ownership Australia and New Zealand (EOA) was formed in July 2011 out of the Australian Employee Ownership Association (AEOA)—</w:t>
      </w:r>
      <w:r w:rsidRPr="00EC7E35">
        <w:rPr>
          <w:lang w:val="en-US"/>
        </w:rPr>
        <w:t>a member-focused, non-profit association that was formed by 20 companies in 1986 to assist members with their employee ownership (or co-ownership) plan, employee engagement and involvement, and employee participation levels.</w:t>
      </w:r>
    </w:p>
  </w:footnote>
  <w:footnote w:id="4">
    <w:p w:rsidR="00EC7E35" w:rsidRPr="00447B07" w:rsidRDefault="00EC7E35" w:rsidP="00EB7231">
      <w:pPr>
        <w:pStyle w:val="FootnoteText"/>
      </w:pPr>
      <w:r>
        <w:rPr>
          <w:rStyle w:val="FootnoteReference"/>
        </w:rPr>
        <w:footnoteRef/>
      </w:r>
      <w:r>
        <w:t xml:space="preserve"> EOA’s expert panel’s research report: </w:t>
      </w:r>
      <w:r w:rsidRPr="00447B07">
        <w:rPr>
          <w:i/>
        </w:rPr>
        <w:t>Employee share schemes</w:t>
      </w:r>
      <w:r>
        <w:rPr>
          <w:i/>
        </w:rPr>
        <w:t>—</w:t>
      </w:r>
      <w:r w:rsidRPr="00447B07">
        <w:rPr>
          <w:i/>
        </w:rPr>
        <w:t xml:space="preserve"> Their importance to the economy</w:t>
      </w:r>
      <w:r>
        <w:t>,</w:t>
      </w:r>
      <w:r>
        <w:rPr>
          <w:i/>
        </w:rPr>
        <w:t xml:space="preserve"> </w:t>
      </w:r>
      <w:r>
        <w:t>July 2014.</w:t>
      </w:r>
    </w:p>
  </w:footnote>
  <w:footnote w:id="5">
    <w:p w:rsidR="00EC7E35" w:rsidRDefault="00EC7E35" w:rsidP="002320ED">
      <w:pPr>
        <w:pStyle w:val="FootnoteText"/>
      </w:pPr>
      <w:r>
        <w:rPr>
          <w:rStyle w:val="FootnoteReference"/>
        </w:rPr>
        <w:footnoteRef/>
      </w:r>
      <w:r>
        <w:t xml:space="preserve"> </w:t>
      </w:r>
      <w:r w:rsidRPr="00EC7E35">
        <w:t xml:space="preserve">G Nuttall, </w:t>
      </w:r>
      <w:r w:rsidRPr="00EC7E35">
        <w:rPr>
          <w:i/>
        </w:rPr>
        <w:t>Sharing</w:t>
      </w:r>
      <w:r w:rsidRPr="008271B9">
        <w:rPr>
          <w:i/>
        </w:rPr>
        <w:t xml:space="preserve"> success: The Nuttal review of employee ownership</w:t>
      </w:r>
      <w:r>
        <w:t>, July 2012, p. 23.</w:t>
      </w:r>
    </w:p>
  </w:footnote>
  <w:footnote w:id="6">
    <w:p w:rsidR="00EC7E35" w:rsidRDefault="00EC7E35" w:rsidP="002320ED">
      <w:pPr>
        <w:pStyle w:val="FootnoteText"/>
      </w:pPr>
      <w:r>
        <w:rPr>
          <w:rStyle w:val="FootnoteReference"/>
        </w:rPr>
        <w:footnoteRef/>
      </w:r>
      <w:r>
        <w:t xml:space="preserve"> EOA’s expert panel’s research report: </w:t>
      </w:r>
      <w:r w:rsidRPr="00447B07">
        <w:rPr>
          <w:i/>
        </w:rPr>
        <w:t>Employee share schemes</w:t>
      </w:r>
      <w:r>
        <w:rPr>
          <w:i/>
        </w:rPr>
        <w:t>—</w:t>
      </w:r>
      <w:r w:rsidRPr="00447B07">
        <w:rPr>
          <w:i/>
        </w:rPr>
        <w:t>Their importance to the economy</w:t>
      </w:r>
      <w:r>
        <w:t>,</w:t>
      </w:r>
      <w:r>
        <w:rPr>
          <w:i/>
        </w:rPr>
        <w:t xml:space="preserve"> </w:t>
      </w:r>
      <w:r>
        <w:t>July 2014, p. 11.</w:t>
      </w:r>
    </w:p>
  </w:footnote>
  <w:footnote w:id="7">
    <w:p w:rsidR="00EC7E35" w:rsidRDefault="00EC7E35" w:rsidP="002320ED">
      <w:pPr>
        <w:pStyle w:val="FootnoteText"/>
      </w:pPr>
      <w:r>
        <w:rPr>
          <w:rStyle w:val="FootnoteReference"/>
        </w:rPr>
        <w:footnoteRef/>
      </w:r>
      <w:r>
        <w:t xml:space="preserve"> </w:t>
      </w:r>
      <w:r w:rsidRPr="00A13B6A">
        <w:t xml:space="preserve"> http://www.employeeownership.com.au/news-archives/employee-ownership-reform-could-significantly-boost-the-economy-new-report-shows-2/</w:t>
      </w:r>
    </w:p>
  </w:footnote>
  <w:footnote w:id="8">
    <w:p w:rsidR="00EC7E35" w:rsidRDefault="00EC7E35" w:rsidP="002320ED">
      <w:pPr>
        <w:pStyle w:val="FootnoteText"/>
      </w:pPr>
      <w:r>
        <w:rPr>
          <w:rStyle w:val="FootnoteReference"/>
        </w:rPr>
        <w:footnoteRef/>
      </w:r>
      <w:r>
        <w:t xml:space="preserve"> Standing Committee on Employment, Education and Workplace Relations, </w:t>
      </w:r>
      <w:r w:rsidRPr="00953000">
        <w:rPr>
          <w:i/>
        </w:rPr>
        <w:t>Shared endeavours:</w:t>
      </w:r>
      <w:r w:rsidRPr="00953000">
        <w:t xml:space="preserve"> </w:t>
      </w:r>
      <w:r w:rsidRPr="00953000">
        <w:rPr>
          <w:i/>
        </w:rPr>
        <w:t>Inquiry into employee share ownership in Australian enterprises</w:t>
      </w:r>
      <w:r>
        <w:t>, 2000, p. 180.</w:t>
      </w:r>
    </w:p>
  </w:footnote>
  <w:footnote w:id="9">
    <w:p w:rsidR="00EC7E35" w:rsidRDefault="00EC7E35" w:rsidP="002320ED">
      <w:pPr>
        <w:pStyle w:val="FootnoteText"/>
      </w:pPr>
      <w:r>
        <w:rPr>
          <w:rStyle w:val="FootnoteReference"/>
        </w:rPr>
        <w:footnoteRef/>
      </w:r>
      <w:r>
        <w:t xml:space="preserve"> Standing Committee on Employment, Education and Workplace Relations, </w:t>
      </w:r>
      <w:r w:rsidRPr="00953000">
        <w:rPr>
          <w:i/>
        </w:rPr>
        <w:t>Shared endeavours:</w:t>
      </w:r>
      <w:r w:rsidRPr="00953000">
        <w:t xml:space="preserve"> </w:t>
      </w:r>
      <w:r w:rsidRPr="00953000">
        <w:rPr>
          <w:i/>
        </w:rPr>
        <w:t>Inquiry into employee share ownership in Australian enterprises</w:t>
      </w:r>
      <w:r>
        <w:t>, 2000, p. 183.</w:t>
      </w:r>
    </w:p>
  </w:footnote>
  <w:footnote w:id="10">
    <w:p w:rsidR="00EC7E35" w:rsidRDefault="00EC7E35">
      <w:pPr>
        <w:pStyle w:val="FootnoteText"/>
      </w:pPr>
      <w:r>
        <w:rPr>
          <w:rStyle w:val="FootnoteReference"/>
        </w:rPr>
        <w:footnoteRef/>
      </w:r>
      <w:r>
        <w:t xml:space="preserve"> This calculation is based on the number of unique entity names and does not include instances where the entity has applied for the same relief on different occasions (e.g. the 2008 plan and the 2010 </w:t>
      </w:r>
      <w:r w:rsidRPr="00EC7E35">
        <w:t>plan) or has applied for additional elements of relief not required on an earlier occasion where relief was granted. This calculation includes applications regardless</w:t>
      </w:r>
      <w:r>
        <w:t xml:space="preserve"> of whether relief was granted or refused.</w:t>
      </w:r>
    </w:p>
  </w:footnote>
  <w:footnote w:id="11">
    <w:p w:rsidR="00EC7E35" w:rsidRDefault="00EC7E35">
      <w:pPr>
        <w:pStyle w:val="FootnoteText"/>
      </w:pPr>
      <w:r>
        <w:rPr>
          <w:rStyle w:val="FootnoteReference"/>
        </w:rPr>
        <w:footnoteRef/>
      </w:r>
      <w:r>
        <w:t xml:space="preserve"> Source: ASX as at 26 August 2014.</w:t>
      </w:r>
    </w:p>
  </w:footnote>
  <w:footnote w:id="12">
    <w:p w:rsidR="00EC7E35" w:rsidRDefault="00EC7E35">
      <w:pPr>
        <w:pStyle w:val="FootnoteText"/>
      </w:pPr>
      <w:r>
        <w:rPr>
          <w:rStyle w:val="FootnoteReference"/>
        </w:rPr>
        <w:footnoteRef/>
      </w:r>
      <w:r>
        <w:t xml:space="preserve"> </w:t>
      </w:r>
      <w:r w:rsidRPr="00070A3C">
        <w:rPr>
          <w:i/>
        </w:rPr>
        <w:t>ASIC Annual Report 2012–13</w:t>
      </w:r>
      <w:r>
        <w:t>, p.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35" w:rsidRDefault="00EC7E35">
    <w:pPr>
      <w:pStyle w:val="Footer"/>
      <w:pBdr>
        <w:bottom w:val="single" w:sz="4" w:space="1" w:color="117DC7"/>
      </w:pBdr>
      <w:jc w:val="right"/>
      <w:rPr>
        <w:color w:val="117DC7"/>
      </w:rPr>
    </w:pPr>
    <w:r>
      <w:tab/>
    </w:r>
    <w:r>
      <w:rPr>
        <w:color w:val="117DC7"/>
      </w:rPr>
      <w:t>Regulation Impact Statement: Employee incentive schemes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35" w:rsidRDefault="00EC7E35" w:rsidP="008271B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E0EF3"/>
    <w:multiLevelType w:val="multilevel"/>
    <w:tmpl w:val="0712AC66"/>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3447"/>
        </w:tabs>
        <w:ind w:left="344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167"/>
        </w:tabs>
        <w:ind w:left="4167" w:hanging="360"/>
      </w:pPr>
    </w:lvl>
    <w:lvl w:ilvl="6">
      <w:start w:val="1"/>
      <w:numFmt w:val="decimal"/>
      <w:lvlText w:val="%7."/>
      <w:lvlJc w:val="left"/>
      <w:pPr>
        <w:tabs>
          <w:tab w:val="num" w:pos="4527"/>
        </w:tabs>
        <w:ind w:left="4527" w:hanging="360"/>
      </w:pPr>
    </w:lvl>
    <w:lvl w:ilvl="7">
      <w:start w:val="1"/>
      <w:numFmt w:val="lowerLetter"/>
      <w:lvlText w:val="%8."/>
      <w:lvlJc w:val="left"/>
      <w:pPr>
        <w:tabs>
          <w:tab w:val="num" w:pos="4887"/>
        </w:tabs>
        <w:ind w:left="4887" w:hanging="360"/>
      </w:pPr>
    </w:lvl>
    <w:lvl w:ilvl="8">
      <w:start w:val="1"/>
      <w:numFmt w:val="lowerRoman"/>
      <w:lvlText w:val="%9."/>
      <w:lvlJc w:val="left"/>
      <w:pPr>
        <w:tabs>
          <w:tab w:val="num" w:pos="5247"/>
        </w:tabs>
        <w:ind w:left="5247" w:hanging="360"/>
      </w:p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145744"/>
    <w:multiLevelType w:val="multilevel"/>
    <w:tmpl w:val="08E6C660"/>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bullet"/>
      <w:lvlText w:val=""/>
      <w:lvlJc w:val="left"/>
      <w:pPr>
        <w:tabs>
          <w:tab w:val="num" w:pos="2693"/>
        </w:tabs>
        <w:ind w:left="2693" w:hanging="425"/>
      </w:pPr>
      <w:rPr>
        <w:rFonts w:ascii="Symbol" w:hAnsi="Symbol"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0D5B1668"/>
    <w:multiLevelType w:val="hybridMultilevel"/>
    <w:tmpl w:val="9D5C5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0C6808"/>
    <w:multiLevelType w:val="multilevel"/>
    <w:tmpl w:val="A6EAE842"/>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CA74B2"/>
    <w:multiLevelType w:val="multilevel"/>
    <w:tmpl w:val="94F2AE08"/>
    <w:lvl w:ilvl="0">
      <w:start w:val="1"/>
      <w:numFmt w:val="decimal"/>
      <w:lvlText w:val="%1"/>
      <w:lvlJc w:val="right"/>
      <w:pPr>
        <w:tabs>
          <w:tab w:val="num" w:pos="2268"/>
        </w:tabs>
        <w:ind w:left="2268" w:hanging="283"/>
      </w:pPr>
      <w:rPr>
        <w:rFonts w:hint="default"/>
        <w:b/>
        <w:i w:val="0"/>
        <w:color w:val="auto"/>
        <w:sz w:val="36"/>
        <w:szCs w:val="36"/>
      </w:rPr>
    </w:lvl>
    <w:lvl w:ilvl="1">
      <w:start w:val="1"/>
      <w:numFmt w:val="decimal"/>
      <w:lvlText w:val="%1.%2"/>
      <w:lvlJc w:val="right"/>
      <w:pPr>
        <w:tabs>
          <w:tab w:val="num" w:pos="2268"/>
        </w:tabs>
        <w:ind w:left="2268" w:hanging="283"/>
      </w:pPr>
      <w:rPr>
        <w:rFonts w:hint="default"/>
        <w:b w:val="0"/>
        <w:i w:val="0"/>
        <w:color w:val="auto"/>
        <w:sz w:val="28"/>
        <w:szCs w:val="28"/>
      </w:rPr>
    </w:lvl>
    <w:lvl w:ilvl="2">
      <w:start w:val="1"/>
      <w:numFmt w:val="decimal"/>
      <w:lvlText w:val="%1.%2.%3"/>
      <w:lvlJc w:val="right"/>
      <w:pPr>
        <w:tabs>
          <w:tab w:val="num" w:pos="2268"/>
        </w:tabs>
        <w:ind w:left="2268" w:hanging="283"/>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vertAlign w:val="baseline"/>
        <w:em w:val="no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0">
    <w:nsid w:val="45B454AF"/>
    <w:multiLevelType w:val="hybridMultilevel"/>
    <w:tmpl w:val="22E0775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C02327"/>
    <w:multiLevelType w:val="multilevel"/>
    <w:tmpl w:val="FE9E8CA0"/>
    <w:lvl w:ilvl="0">
      <w:start w:val="1"/>
      <w:numFmt w:val="decimal"/>
      <w:pStyle w:val="Articlestyle1"/>
      <w:lvlText w:val="[%1]"/>
      <w:lvlJc w:val="left"/>
      <w:pPr>
        <w:tabs>
          <w:tab w:val="num" w:pos="855"/>
        </w:tabs>
        <w:ind w:left="855" w:hanging="855"/>
      </w:pPr>
      <w:rPr>
        <w:rFonts w:hint="default"/>
        <w:b w:val="0"/>
        <w:i w:val="0"/>
        <w:color w:val="auto"/>
        <w:sz w:val="24"/>
        <w:szCs w:val="24"/>
      </w:rPr>
    </w:lvl>
    <w:lvl w:ilvl="1">
      <w:start w:val="1"/>
      <w:numFmt w:val="lowerLetter"/>
      <w:lvlText w:val="(%2)"/>
      <w:lvlJc w:val="left"/>
      <w:pPr>
        <w:tabs>
          <w:tab w:val="num" w:pos="1226"/>
        </w:tabs>
        <w:ind w:left="1226" w:hanging="375"/>
      </w:pPr>
      <w:rPr>
        <w:rFonts w:hint="default"/>
        <w:b w:val="0"/>
        <w:i w:val="0"/>
        <w:color w:val="auto"/>
        <w:sz w:val="24"/>
        <w:szCs w:val="24"/>
      </w:rPr>
    </w:lvl>
    <w:lvl w:ilvl="2">
      <w:start w:val="1"/>
      <w:numFmt w:val="decimal"/>
      <w:lvlText w:val="[%2]"/>
      <w:lvlJc w:val="left"/>
      <w:pPr>
        <w:tabs>
          <w:tab w:val="num" w:pos="1702"/>
        </w:tabs>
        <w:ind w:left="1702" w:hanging="851"/>
      </w:pPr>
      <w:rPr>
        <w:rFonts w:hint="default"/>
      </w:rPr>
    </w:lvl>
    <w:lvl w:ilvl="3">
      <w:start w:val="1"/>
      <w:numFmt w:val="lowerLetter"/>
      <w:lvlText w:val="(%4)"/>
      <w:lvlJc w:val="left"/>
      <w:pPr>
        <w:tabs>
          <w:tab w:val="num" w:pos="1702"/>
        </w:tabs>
        <w:ind w:left="1702" w:hanging="851"/>
      </w:pPr>
      <w:rPr>
        <w:rFonts w:hint="default"/>
        <w:b w:val="0"/>
      </w:rPr>
    </w:lvl>
    <w:lvl w:ilvl="4">
      <w:start w:val="1"/>
      <w:numFmt w:val="lowerRoman"/>
      <w:lvlText w:val="(%5)"/>
      <w:lvlJc w:val="left"/>
      <w:pPr>
        <w:tabs>
          <w:tab w:val="num" w:pos="2552"/>
        </w:tabs>
        <w:ind w:left="2552" w:hanging="850"/>
      </w:pPr>
      <w:rPr>
        <w:rFonts w:hint="default"/>
        <w:b w:val="0"/>
      </w:rPr>
    </w:lvl>
    <w:lvl w:ilvl="5">
      <w:start w:val="1"/>
      <w:numFmt w:val="upperLetter"/>
      <w:lvlText w:val="(%6)"/>
      <w:lvlJc w:val="left"/>
      <w:pPr>
        <w:tabs>
          <w:tab w:val="num" w:pos="3403"/>
        </w:tabs>
        <w:ind w:left="3403" w:hanging="851"/>
      </w:pPr>
      <w:rPr>
        <w:rFonts w:hint="default"/>
      </w:rPr>
    </w:lvl>
    <w:lvl w:ilvl="6">
      <w:start w:val="1"/>
      <w:numFmt w:val="decimal"/>
      <w:lvlText w:val="(%7)"/>
      <w:lvlJc w:val="left"/>
      <w:pPr>
        <w:tabs>
          <w:tab w:val="num" w:pos="4253"/>
        </w:tabs>
        <w:ind w:left="4253" w:hanging="850"/>
      </w:pPr>
      <w:rPr>
        <w:rFonts w:hint="default"/>
      </w:rPr>
    </w:lvl>
    <w:lvl w:ilvl="7">
      <w:start w:val="1"/>
      <w:numFmt w:val="bullet"/>
      <w:lvlText w:val=""/>
      <w:lvlJc w:val="left"/>
      <w:pPr>
        <w:tabs>
          <w:tab w:val="num" w:pos="5104"/>
        </w:tabs>
        <w:ind w:left="5104" w:hanging="851"/>
      </w:pPr>
      <w:rPr>
        <w:rFonts w:ascii="Symbol" w:hAnsi="Symbol" w:hint="default"/>
      </w:rPr>
    </w:lvl>
    <w:lvl w:ilvl="8">
      <w:start w:val="1"/>
      <w:numFmt w:val="none"/>
      <w:suff w:val="nothing"/>
      <w:lvlText w:val=""/>
      <w:lvlJc w:val="left"/>
      <w:pPr>
        <w:ind w:left="851" w:firstLine="0"/>
      </w:pPr>
      <w:rPr>
        <w:rFonts w:hint="default"/>
      </w:rPr>
    </w:lvl>
  </w:abstractNum>
  <w:abstractNum w:abstractNumId="16">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7">
    <w:nsid w:val="7342081D"/>
    <w:multiLevelType w:val="multilevel"/>
    <w:tmpl w:val="04D2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04370D"/>
    <w:multiLevelType w:val="hybridMultilevel"/>
    <w:tmpl w:val="94749C48"/>
    <w:lvl w:ilvl="0" w:tplc="21A06F82">
      <w:start w:val="1"/>
      <w:numFmt w:val="bullet"/>
      <w:pStyle w:val="Listdash"/>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4"/>
  </w:num>
  <w:num w:numId="4">
    <w:abstractNumId w:val="2"/>
  </w:num>
  <w:num w:numId="5">
    <w:abstractNumId w:val="13"/>
  </w:num>
  <w:num w:numId="6">
    <w:abstractNumId w:val="6"/>
  </w:num>
  <w:num w:numId="7">
    <w:abstractNumId w:val="5"/>
  </w:num>
  <w:num w:numId="8">
    <w:abstractNumId w:val="18"/>
  </w:num>
  <w:num w:numId="9">
    <w:abstractNumId w:val="11"/>
  </w:num>
  <w:num w:numId="10">
    <w:abstractNumId w:val="12"/>
  </w:num>
  <w:num w:numId="11">
    <w:abstractNumId w:val="0"/>
  </w:num>
  <w:num w:numId="12">
    <w:abstractNumId w:val="3"/>
  </w:num>
  <w:num w:numId="13">
    <w:abstractNumId w:val="17"/>
  </w:num>
  <w:num w:numId="14">
    <w:abstractNumId w:val="15"/>
  </w:num>
  <w:num w:numId="15">
    <w:abstractNumId w:val="4"/>
  </w:num>
  <w:num w:numId="1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0"/>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5"/>
  </w:num>
  <w:num w:numId="43">
    <w:abstractNumId w:val="6"/>
  </w:num>
  <w:num w:numId="44">
    <w:abstractNumId w:val="8"/>
  </w:num>
  <w:num w:numId="45">
    <w:abstractNumId w:val="5"/>
  </w:num>
  <w:num w:numId="46">
    <w:abstractNumId w:val="5"/>
  </w:num>
  <w:num w:numId="47">
    <w:abstractNumId w:val="5"/>
  </w:num>
  <w:num w:numId="48">
    <w:abstractNumId w:val="5"/>
  </w:num>
  <w:num w:numId="49">
    <w:abstractNumId w:val="5"/>
  </w:num>
  <w:num w:numId="50">
    <w:abstractNumId w:val="5"/>
  </w:num>
  <w:num w:numId="51">
    <w:abstractNumId w:val="5"/>
  </w:num>
  <w:num w:numId="52">
    <w:abstractNumId w:val="5"/>
  </w:num>
  <w:num w:numId="53">
    <w:abstractNumId w:val="5"/>
  </w:num>
  <w:num w:numId="54">
    <w:abstractNumId w:val="5"/>
  </w:num>
  <w:num w:numId="55">
    <w:abstractNumId w:val="5"/>
  </w:num>
  <w:num w:numId="56">
    <w:abstractNumId w:val="5"/>
  </w:num>
  <w:num w:numId="57">
    <w:abstractNumId w:val="5"/>
  </w:num>
  <w:num w:numId="5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4097">
      <o:colormru v:ext="edit" colors="#00a8d0,#008eb0,#1492e8,#1287d6,#117dc7,#c2e3f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84"/>
    <w:rsid w:val="000020B1"/>
    <w:rsid w:val="0000279E"/>
    <w:rsid w:val="000036B0"/>
    <w:rsid w:val="00003F62"/>
    <w:rsid w:val="000117CD"/>
    <w:rsid w:val="00013E16"/>
    <w:rsid w:val="00015132"/>
    <w:rsid w:val="00022CFE"/>
    <w:rsid w:val="00026DC1"/>
    <w:rsid w:val="00027175"/>
    <w:rsid w:val="00035F9B"/>
    <w:rsid w:val="00036615"/>
    <w:rsid w:val="00036648"/>
    <w:rsid w:val="00040153"/>
    <w:rsid w:val="00054196"/>
    <w:rsid w:val="00054FA7"/>
    <w:rsid w:val="00057387"/>
    <w:rsid w:val="00060768"/>
    <w:rsid w:val="00061550"/>
    <w:rsid w:val="0006449E"/>
    <w:rsid w:val="00065EAF"/>
    <w:rsid w:val="00070A3C"/>
    <w:rsid w:val="00072D85"/>
    <w:rsid w:val="00075D23"/>
    <w:rsid w:val="00076350"/>
    <w:rsid w:val="00076BEF"/>
    <w:rsid w:val="0008046E"/>
    <w:rsid w:val="000822EF"/>
    <w:rsid w:val="00086048"/>
    <w:rsid w:val="000873E8"/>
    <w:rsid w:val="00087A89"/>
    <w:rsid w:val="00087D85"/>
    <w:rsid w:val="00091F83"/>
    <w:rsid w:val="000A054A"/>
    <w:rsid w:val="000A443F"/>
    <w:rsid w:val="000A4747"/>
    <w:rsid w:val="000A69B0"/>
    <w:rsid w:val="000A7A80"/>
    <w:rsid w:val="000B162E"/>
    <w:rsid w:val="000B28AF"/>
    <w:rsid w:val="000B3763"/>
    <w:rsid w:val="000B3928"/>
    <w:rsid w:val="000B51B4"/>
    <w:rsid w:val="000B6AB2"/>
    <w:rsid w:val="000B6E58"/>
    <w:rsid w:val="000C2596"/>
    <w:rsid w:val="000C547A"/>
    <w:rsid w:val="000C743E"/>
    <w:rsid w:val="000C7DC4"/>
    <w:rsid w:val="000D3683"/>
    <w:rsid w:val="000D37B3"/>
    <w:rsid w:val="000E09EC"/>
    <w:rsid w:val="000E1EB3"/>
    <w:rsid w:val="000E54E5"/>
    <w:rsid w:val="000E689B"/>
    <w:rsid w:val="000E7614"/>
    <w:rsid w:val="000F3B23"/>
    <w:rsid w:val="000F4561"/>
    <w:rsid w:val="000F6DEF"/>
    <w:rsid w:val="001007F9"/>
    <w:rsid w:val="0010240E"/>
    <w:rsid w:val="0010257C"/>
    <w:rsid w:val="001049AA"/>
    <w:rsid w:val="001050AA"/>
    <w:rsid w:val="00113F44"/>
    <w:rsid w:val="00116BF8"/>
    <w:rsid w:val="001301CE"/>
    <w:rsid w:val="00130268"/>
    <w:rsid w:val="00132863"/>
    <w:rsid w:val="00136419"/>
    <w:rsid w:val="00142D38"/>
    <w:rsid w:val="001432EF"/>
    <w:rsid w:val="00143ADC"/>
    <w:rsid w:val="0014574B"/>
    <w:rsid w:val="00146090"/>
    <w:rsid w:val="00153C8E"/>
    <w:rsid w:val="0016206A"/>
    <w:rsid w:val="00165378"/>
    <w:rsid w:val="00165A39"/>
    <w:rsid w:val="00166DAE"/>
    <w:rsid w:val="00172E33"/>
    <w:rsid w:val="00172EDF"/>
    <w:rsid w:val="00174341"/>
    <w:rsid w:val="0017781E"/>
    <w:rsid w:val="00180063"/>
    <w:rsid w:val="0018182D"/>
    <w:rsid w:val="0018457C"/>
    <w:rsid w:val="001900AD"/>
    <w:rsid w:val="001908E1"/>
    <w:rsid w:val="00192E28"/>
    <w:rsid w:val="001953B4"/>
    <w:rsid w:val="00196A1C"/>
    <w:rsid w:val="00196C49"/>
    <w:rsid w:val="00197F5C"/>
    <w:rsid w:val="001A092A"/>
    <w:rsid w:val="001B1E0B"/>
    <w:rsid w:val="001B20B2"/>
    <w:rsid w:val="001B2CE0"/>
    <w:rsid w:val="001B33C8"/>
    <w:rsid w:val="001B4E0A"/>
    <w:rsid w:val="001C0122"/>
    <w:rsid w:val="001C02C5"/>
    <w:rsid w:val="001D0A0A"/>
    <w:rsid w:val="001D539C"/>
    <w:rsid w:val="001E0204"/>
    <w:rsid w:val="001E5F7F"/>
    <w:rsid w:val="001E64E9"/>
    <w:rsid w:val="001F06ED"/>
    <w:rsid w:val="001F51A7"/>
    <w:rsid w:val="001F5221"/>
    <w:rsid w:val="001F5514"/>
    <w:rsid w:val="001F5559"/>
    <w:rsid w:val="002059C0"/>
    <w:rsid w:val="00206DB6"/>
    <w:rsid w:val="00211427"/>
    <w:rsid w:val="00213B56"/>
    <w:rsid w:val="00214BDD"/>
    <w:rsid w:val="0021604D"/>
    <w:rsid w:val="002164AF"/>
    <w:rsid w:val="00216520"/>
    <w:rsid w:val="00217664"/>
    <w:rsid w:val="00225365"/>
    <w:rsid w:val="002268F0"/>
    <w:rsid w:val="002320ED"/>
    <w:rsid w:val="00235C55"/>
    <w:rsid w:val="002368FC"/>
    <w:rsid w:val="00236EBE"/>
    <w:rsid w:val="00237438"/>
    <w:rsid w:val="0024297F"/>
    <w:rsid w:val="002443FD"/>
    <w:rsid w:val="002526D9"/>
    <w:rsid w:val="00255E68"/>
    <w:rsid w:val="0025798B"/>
    <w:rsid w:val="00257BE6"/>
    <w:rsid w:val="00261812"/>
    <w:rsid w:val="00261927"/>
    <w:rsid w:val="0026306D"/>
    <w:rsid w:val="002662B8"/>
    <w:rsid w:val="00271B42"/>
    <w:rsid w:val="00271DE5"/>
    <w:rsid w:val="00274E86"/>
    <w:rsid w:val="00276CE5"/>
    <w:rsid w:val="00277958"/>
    <w:rsid w:val="00280DFA"/>
    <w:rsid w:val="00281488"/>
    <w:rsid w:val="00281C53"/>
    <w:rsid w:val="0028473D"/>
    <w:rsid w:val="0028584A"/>
    <w:rsid w:val="00290391"/>
    <w:rsid w:val="00291C59"/>
    <w:rsid w:val="00293F09"/>
    <w:rsid w:val="00294570"/>
    <w:rsid w:val="002962FE"/>
    <w:rsid w:val="002969F6"/>
    <w:rsid w:val="00297064"/>
    <w:rsid w:val="002A14D1"/>
    <w:rsid w:val="002A3822"/>
    <w:rsid w:val="002A4F24"/>
    <w:rsid w:val="002A5C9D"/>
    <w:rsid w:val="002D4582"/>
    <w:rsid w:val="002E062A"/>
    <w:rsid w:val="002E3514"/>
    <w:rsid w:val="002E7BBC"/>
    <w:rsid w:val="002E7F4F"/>
    <w:rsid w:val="002F2716"/>
    <w:rsid w:val="002F4150"/>
    <w:rsid w:val="002F6609"/>
    <w:rsid w:val="003009AA"/>
    <w:rsid w:val="003053D7"/>
    <w:rsid w:val="00306DC7"/>
    <w:rsid w:val="003076E0"/>
    <w:rsid w:val="0031145D"/>
    <w:rsid w:val="00312F0A"/>
    <w:rsid w:val="003154B0"/>
    <w:rsid w:val="00317A50"/>
    <w:rsid w:val="00320515"/>
    <w:rsid w:val="00321BC2"/>
    <w:rsid w:val="00321D70"/>
    <w:rsid w:val="00322A29"/>
    <w:rsid w:val="003237DF"/>
    <w:rsid w:val="003250D4"/>
    <w:rsid w:val="00325387"/>
    <w:rsid w:val="00325C9B"/>
    <w:rsid w:val="00327FB6"/>
    <w:rsid w:val="00333787"/>
    <w:rsid w:val="00343583"/>
    <w:rsid w:val="0034390C"/>
    <w:rsid w:val="00343CE5"/>
    <w:rsid w:val="003448B5"/>
    <w:rsid w:val="00345ABA"/>
    <w:rsid w:val="00346668"/>
    <w:rsid w:val="003513EF"/>
    <w:rsid w:val="0035248C"/>
    <w:rsid w:val="00353713"/>
    <w:rsid w:val="00357CDD"/>
    <w:rsid w:val="003615F7"/>
    <w:rsid w:val="003640D6"/>
    <w:rsid w:val="003679CA"/>
    <w:rsid w:val="00367D1E"/>
    <w:rsid w:val="00373F20"/>
    <w:rsid w:val="00376A9F"/>
    <w:rsid w:val="00376D9F"/>
    <w:rsid w:val="00380C00"/>
    <w:rsid w:val="003836C4"/>
    <w:rsid w:val="00383ADB"/>
    <w:rsid w:val="00384ACC"/>
    <w:rsid w:val="00384D03"/>
    <w:rsid w:val="00386793"/>
    <w:rsid w:val="00390D88"/>
    <w:rsid w:val="003911E7"/>
    <w:rsid w:val="00392A8B"/>
    <w:rsid w:val="0039391D"/>
    <w:rsid w:val="0039486D"/>
    <w:rsid w:val="0039498E"/>
    <w:rsid w:val="00397FED"/>
    <w:rsid w:val="003A2917"/>
    <w:rsid w:val="003A4C5C"/>
    <w:rsid w:val="003A6990"/>
    <w:rsid w:val="003B0508"/>
    <w:rsid w:val="003B278E"/>
    <w:rsid w:val="003B4FE9"/>
    <w:rsid w:val="003B5A9D"/>
    <w:rsid w:val="003B628E"/>
    <w:rsid w:val="003B70AD"/>
    <w:rsid w:val="003C2D54"/>
    <w:rsid w:val="003C3DC0"/>
    <w:rsid w:val="003C4F26"/>
    <w:rsid w:val="003C53A2"/>
    <w:rsid w:val="003C55BC"/>
    <w:rsid w:val="003C7A09"/>
    <w:rsid w:val="003D4A46"/>
    <w:rsid w:val="003D60EC"/>
    <w:rsid w:val="003D756A"/>
    <w:rsid w:val="003D7B03"/>
    <w:rsid w:val="003D7FE2"/>
    <w:rsid w:val="003E00E5"/>
    <w:rsid w:val="003E09F6"/>
    <w:rsid w:val="003E2ECE"/>
    <w:rsid w:val="003E4D26"/>
    <w:rsid w:val="003E4F7D"/>
    <w:rsid w:val="003E672D"/>
    <w:rsid w:val="003E7288"/>
    <w:rsid w:val="003F4ABA"/>
    <w:rsid w:val="003F6056"/>
    <w:rsid w:val="003F651B"/>
    <w:rsid w:val="003F722B"/>
    <w:rsid w:val="003F78E2"/>
    <w:rsid w:val="0040005F"/>
    <w:rsid w:val="00411184"/>
    <w:rsid w:val="00411F3F"/>
    <w:rsid w:val="004137C9"/>
    <w:rsid w:val="00416F9D"/>
    <w:rsid w:val="00422189"/>
    <w:rsid w:val="00422B50"/>
    <w:rsid w:val="00423DD9"/>
    <w:rsid w:val="00425F08"/>
    <w:rsid w:val="00434054"/>
    <w:rsid w:val="0043545A"/>
    <w:rsid w:val="004411E5"/>
    <w:rsid w:val="00442716"/>
    <w:rsid w:val="00442EB9"/>
    <w:rsid w:val="00444175"/>
    <w:rsid w:val="00447912"/>
    <w:rsid w:val="00447B07"/>
    <w:rsid w:val="00447B17"/>
    <w:rsid w:val="00450543"/>
    <w:rsid w:val="004510FA"/>
    <w:rsid w:val="00453B0F"/>
    <w:rsid w:val="00455195"/>
    <w:rsid w:val="00456C21"/>
    <w:rsid w:val="00470AD2"/>
    <w:rsid w:val="00471051"/>
    <w:rsid w:val="0047115C"/>
    <w:rsid w:val="00472A7B"/>
    <w:rsid w:val="004748D7"/>
    <w:rsid w:val="0047771C"/>
    <w:rsid w:val="00481AC1"/>
    <w:rsid w:val="00482C4A"/>
    <w:rsid w:val="004831BB"/>
    <w:rsid w:val="004863A3"/>
    <w:rsid w:val="004867BB"/>
    <w:rsid w:val="00491403"/>
    <w:rsid w:val="00494F33"/>
    <w:rsid w:val="00494FFB"/>
    <w:rsid w:val="00495F51"/>
    <w:rsid w:val="004964BB"/>
    <w:rsid w:val="004A077C"/>
    <w:rsid w:val="004A10D8"/>
    <w:rsid w:val="004A4B7D"/>
    <w:rsid w:val="004B0343"/>
    <w:rsid w:val="004B2348"/>
    <w:rsid w:val="004B2FA1"/>
    <w:rsid w:val="004C42C9"/>
    <w:rsid w:val="004C44B9"/>
    <w:rsid w:val="004D1211"/>
    <w:rsid w:val="004D532E"/>
    <w:rsid w:val="004D5BF1"/>
    <w:rsid w:val="004D69FE"/>
    <w:rsid w:val="004E30F8"/>
    <w:rsid w:val="004E34E7"/>
    <w:rsid w:val="004E465D"/>
    <w:rsid w:val="004E77CF"/>
    <w:rsid w:val="004E7A34"/>
    <w:rsid w:val="004F0365"/>
    <w:rsid w:val="004F35F5"/>
    <w:rsid w:val="004F58C4"/>
    <w:rsid w:val="004F68C4"/>
    <w:rsid w:val="00501BBD"/>
    <w:rsid w:val="005027CE"/>
    <w:rsid w:val="00502BB3"/>
    <w:rsid w:val="0050338A"/>
    <w:rsid w:val="00503E62"/>
    <w:rsid w:val="00505CC1"/>
    <w:rsid w:val="005100D5"/>
    <w:rsid w:val="00511132"/>
    <w:rsid w:val="00511A0B"/>
    <w:rsid w:val="00512D45"/>
    <w:rsid w:val="00513077"/>
    <w:rsid w:val="00514219"/>
    <w:rsid w:val="00520E31"/>
    <w:rsid w:val="00521114"/>
    <w:rsid w:val="00524177"/>
    <w:rsid w:val="00533047"/>
    <w:rsid w:val="00542219"/>
    <w:rsid w:val="005452D6"/>
    <w:rsid w:val="00546092"/>
    <w:rsid w:val="00553DC9"/>
    <w:rsid w:val="0055744D"/>
    <w:rsid w:val="00557692"/>
    <w:rsid w:val="005579DB"/>
    <w:rsid w:val="00560506"/>
    <w:rsid w:val="00560ED2"/>
    <w:rsid w:val="00561303"/>
    <w:rsid w:val="00562586"/>
    <w:rsid w:val="0056559E"/>
    <w:rsid w:val="005663C3"/>
    <w:rsid w:val="005708D5"/>
    <w:rsid w:val="00570ABB"/>
    <w:rsid w:val="00571ABB"/>
    <w:rsid w:val="005731F8"/>
    <w:rsid w:val="00574B59"/>
    <w:rsid w:val="0058025E"/>
    <w:rsid w:val="00583513"/>
    <w:rsid w:val="00583DA9"/>
    <w:rsid w:val="0058481B"/>
    <w:rsid w:val="005853B3"/>
    <w:rsid w:val="00585862"/>
    <w:rsid w:val="00592318"/>
    <w:rsid w:val="00593438"/>
    <w:rsid w:val="005949E6"/>
    <w:rsid w:val="00595384"/>
    <w:rsid w:val="005964BC"/>
    <w:rsid w:val="0059664F"/>
    <w:rsid w:val="005979BE"/>
    <w:rsid w:val="005A05F4"/>
    <w:rsid w:val="005A16F8"/>
    <w:rsid w:val="005A1A8C"/>
    <w:rsid w:val="005A21ED"/>
    <w:rsid w:val="005A2490"/>
    <w:rsid w:val="005A3D5E"/>
    <w:rsid w:val="005A56EF"/>
    <w:rsid w:val="005A78B6"/>
    <w:rsid w:val="005B3777"/>
    <w:rsid w:val="005B7310"/>
    <w:rsid w:val="005D65E0"/>
    <w:rsid w:val="005D6F4A"/>
    <w:rsid w:val="005D791E"/>
    <w:rsid w:val="005E79B4"/>
    <w:rsid w:val="005E7F1A"/>
    <w:rsid w:val="005F05AF"/>
    <w:rsid w:val="005F2A12"/>
    <w:rsid w:val="005F5695"/>
    <w:rsid w:val="005F6945"/>
    <w:rsid w:val="00601004"/>
    <w:rsid w:val="0060368E"/>
    <w:rsid w:val="0060404D"/>
    <w:rsid w:val="00606F75"/>
    <w:rsid w:val="00607473"/>
    <w:rsid w:val="006105E0"/>
    <w:rsid w:val="0061683F"/>
    <w:rsid w:val="006178BB"/>
    <w:rsid w:val="00620144"/>
    <w:rsid w:val="00622314"/>
    <w:rsid w:val="006241AB"/>
    <w:rsid w:val="00625775"/>
    <w:rsid w:val="00625B71"/>
    <w:rsid w:val="00626DEC"/>
    <w:rsid w:val="006316EB"/>
    <w:rsid w:val="00633732"/>
    <w:rsid w:val="00634D6C"/>
    <w:rsid w:val="00635A7E"/>
    <w:rsid w:val="006379D7"/>
    <w:rsid w:val="00637A26"/>
    <w:rsid w:val="00643ED1"/>
    <w:rsid w:val="00644C70"/>
    <w:rsid w:val="00645182"/>
    <w:rsid w:val="00647CE0"/>
    <w:rsid w:val="006505B0"/>
    <w:rsid w:val="00650EA0"/>
    <w:rsid w:val="006542A9"/>
    <w:rsid w:val="00657275"/>
    <w:rsid w:val="00662FD1"/>
    <w:rsid w:val="006640F8"/>
    <w:rsid w:val="006647CE"/>
    <w:rsid w:val="00667098"/>
    <w:rsid w:val="00672679"/>
    <w:rsid w:val="006739E6"/>
    <w:rsid w:val="0067456D"/>
    <w:rsid w:val="0068096F"/>
    <w:rsid w:val="00682B30"/>
    <w:rsid w:val="00683753"/>
    <w:rsid w:val="00683E25"/>
    <w:rsid w:val="00685551"/>
    <w:rsid w:val="00687F78"/>
    <w:rsid w:val="00692808"/>
    <w:rsid w:val="00694577"/>
    <w:rsid w:val="006A7EEE"/>
    <w:rsid w:val="006B1015"/>
    <w:rsid w:val="006B75B9"/>
    <w:rsid w:val="006C33D4"/>
    <w:rsid w:val="006C3DBB"/>
    <w:rsid w:val="006C482A"/>
    <w:rsid w:val="006C4E60"/>
    <w:rsid w:val="006C4EE2"/>
    <w:rsid w:val="006C4FD3"/>
    <w:rsid w:val="006C63BA"/>
    <w:rsid w:val="006D3449"/>
    <w:rsid w:val="006E193C"/>
    <w:rsid w:val="006E1EC0"/>
    <w:rsid w:val="006E41EA"/>
    <w:rsid w:val="006E5305"/>
    <w:rsid w:val="006E5AB7"/>
    <w:rsid w:val="006F1A56"/>
    <w:rsid w:val="006F3C9D"/>
    <w:rsid w:val="006F4563"/>
    <w:rsid w:val="006F595E"/>
    <w:rsid w:val="006F5A6C"/>
    <w:rsid w:val="007013E0"/>
    <w:rsid w:val="00701ED2"/>
    <w:rsid w:val="007051DA"/>
    <w:rsid w:val="00710CEE"/>
    <w:rsid w:val="0071224D"/>
    <w:rsid w:val="007132EC"/>
    <w:rsid w:val="00716420"/>
    <w:rsid w:val="00721F1B"/>
    <w:rsid w:val="00723E3D"/>
    <w:rsid w:val="00726BD6"/>
    <w:rsid w:val="00730556"/>
    <w:rsid w:val="0073101F"/>
    <w:rsid w:val="0073150F"/>
    <w:rsid w:val="00734DBA"/>
    <w:rsid w:val="0073712D"/>
    <w:rsid w:val="0074591B"/>
    <w:rsid w:val="00746807"/>
    <w:rsid w:val="00746E4E"/>
    <w:rsid w:val="007473D1"/>
    <w:rsid w:val="00750CBA"/>
    <w:rsid w:val="007512BF"/>
    <w:rsid w:val="00754AE5"/>
    <w:rsid w:val="00756211"/>
    <w:rsid w:val="00757CC3"/>
    <w:rsid w:val="0076089B"/>
    <w:rsid w:val="00760969"/>
    <w:rsid w:val="00763253"/>
    <w:rsid w:val="00767046"/>
    <w:rsid w:val="00767F46"/>
    <w:rsid w:val="0077188E"/>
    <w:rsid w:val="00772098"/>
    <w:rsid w:val="00772622"/>
    <w:rsid w:val="00775B6C"/>
    <w:rsid w:val="00776A9C"/>
    <w:rsid w:val="007773A0"/>
    <w:rsid w:val="00781F4F"/>
    <w:rsid w:val="0078243C"/>
    <w:rsid w:val="00784379"/>
    <w:rsid w:val="00787FA9"/>
    <w:rsid w:val="0079432B"/>
    <w:rsid w:val="007964C8"/>
    <w:rsid w:val="007A1637"/>
    <w:rsid w:val="007A3F33"/>
    <w:rsid w:val="007A432F"/>
    <w:rsid w:val="007A523E"/>
    <w:rsid w:val="007B02B7"/>
    <w:rsid w:val="007B0F26"/>
    <w:rsid w:val="007B1086"/>
    <w:rsid w:val="007B22B7"/>
    <w:rsid w:val="007B4988"/>
    <w:rsid w:val="007B5A4D"/>
    <w:rsid w:val="007C2288"/>
    <w:rsid w:val="007C4034"/>
    <w:rsid w:val="007C5CC7"/>
    <w:rsid w:val="007D0497"/>
    <w:rsid w:val="007D070E"/>
    <w:rsid w:val="007D297B"/>
    <w:rsid w:val="007D4768"/>
    <w:rsid w:val="007D7520"/>
    <w:rsid w:val="007E13B5"/>
    <w:rsid w:val="007E3B50"/>
    <w:rsid w:val="007E570C"/>
    <w:rsid w:val="007E73FA"/>
    <w:rsid w:val="007F09F9"/>
    <w:rsid w:val="007F1877"/>
    <w:rsid w:val="007F2795"/>
    <w:rsid w:val="007F3CC0"/>
    <w:rsid w:val="007F418E"/>
    <w:rsid w:val="007F56DD"/>
    <w:rsid w:val="007F6970"/>
    <w:rsid w:val="007F6EF6"/>
    <w:rsid w:val="00800430"/>
    <w:rsid w:val="00802C6A"/>
    <w:rsid w:val="008042EB"/>
    <w:rsid w:val="008113CF"/>
    <w:rsid w:val="00813A6B"/>
    <w:rsid w:val="00815E2B"/>
    <w:rsid w:val="00816732"/>
    <w:rsid w:val="00816A30"/>
    <w:rsid w:val="00826D24"/>
    <w:rsid w:val="008271B9"/>
    <w:rsid w:val="00827727"/>
    <w:rsid w:val="0083390D"/>
    <w:rsid w:val="00836929"/>
    <w:rsid w:val="0084056B"/>
    <w:rsid w:val="00841C47"/>
    <w:rsid w:val="00842DE0"/>
    <w:rsid w:val="0084546B"/>
    <w:rsid w:val="00845571"/>
    <w:rsid w:val="00852DA6"/>
    <w:rsid w:val="00855BD4"/>
    <w:rsid w:val="008571B1"/>
    <w:rsid w:val="0085739D"/>
    <w:rsid w:val="00860B5C"/>
    <w:rsid w:val="00861AC0"/>
    <w:rsid w:val="00863B12"/>
    <w:rsid w:val="0086441D"/>
    <w:rsid w:val="00864906"/>
    <w:rsid w:val="00864CC0"/>
    <w:rsid w:val="008660DF"/>
    <w:rsid w:val="0086631E"/>
    <w:rsid w:val="00867A7F"/>
    <w:rsid w:val="00874306"/>
    <w:rsid w:val="00877028"/>
    <w:rsid w:val="00881C1D"/>
    <w:rsid w:val="00883964"/>
    <w:rsid w:val="00885493"/>
    <w:rsid w:val="00890424"/>
    <w:rsid w:val="008958FC"/>
    <w:rsid w:val="008A0799"/>
    <w:rsid w:val="008A1237"/>
    <w:rsid w:val="008A466A"/>
    <w:rsid w:val="008A56AA"/>
    <w:rsid w:val="008A5D7A"/>
    <w:rsid w:val="008A7328"/>
    <w:rsid w:val="008A783E"/>
    <w:rsid w:val="008B2474"/>
    <w:rsid w:val="008B2C91"/>
    <w:rsid w:val="008B358A"/>
    <w:rsid w:val="008B518E"/>
    <w:rsid w:val="008B61AC"/>
    <w:rsid w:val="008B67DD"/>
    <w:rsid w:val="008C2E09"/>
    <w:rsid w:val="008C511C"/>
    <w:rsid w:val="008C6EA5"/>
    <w:rsid w:val="008C73FA"/>
    <w:rsid w:val="008D2272"/>
    <w:rsid w:val="008D589E"/>
    <w:rsid w:val="008D5BCB"/>
    <w:rsid w:val="008E3284"/>
    <w:rsid w:val="008E49DD"/>
    <w:rsid w:val="008E6BD1"/>
    <w:rsid w:val="008F0641"/>
    <w:rsid w:val="008F4E99"/>
    <w:rsid w:val="008F5D71"/>
    <w:rsid w:val="008F6939"/>
    <w:rsid w:val="00902C41"/>
    <w:rsid w:val="0090721A"/>
    <w:rsid w:val="009118CC"/>
    <w:rsid w:val="0091238E"/>
    <w:rsid w:val="0091313A"/>
    <w:rsid w:val="00915D83"/>
    <w:rsid w:val="00917B27"/>
    <w:rsid w:val="00917FFB"/>
    <w:rsid w:val="00921433"/>
    <w:rsid w:val="0092249D"/>
    <w:rsid w:val="00924C86"/>
    <w:rsid w:val="00930B38"/>
    <w:rsid w:val="00931F4B"/>
    <w:rsid w:val="0093424E"/>
    <w:rsid w:val="009368B9"/>
    <w:rsid w:val="009406E0"/>
    <w:rsid w:val="00942EC9"/>
    <w:rsid w:val="00946724"/>
    <w:rsid w:val="009515A3"/>
    <w:rsid w:val="00952417"/>
    <w:rsid w:val="00952473"/>
    <w:rsid w:val="00953000"/>
    <w:rsid w:val="00953184"/>
    <w:rsid w:val="009540E3"/>
    <w:rsid w:val="00956605"/>
    <w:rsid w:val="00961DB4"/>
    <w:rsid w:val="00964A83"/>
    <w:rsid w:val="009668FE"/>
    <w:rsid w:val="00973A76"/>
    <w:rsid w:val="00975950"/>
    <w:rsid w:val="009826C4"/>
    <w:rsid w:val="00982856"/>
    <w:rsid w:val="009864CF"/>
    <w:rsid w:val="009869C7"/>
    <w:rsid w:val="009879BA"/>
    <w:rsid w:val="00987B50"/>
    <w:rsid w:val="00993A97"/>
    <w:rsid w:val="0099556E"/>
    <w:rsid w:val="009A2E4A"/>
    <w:rsid w:val="009A62DA"/>
    <w:rsid w:val="009A674D"/>
    <w:rsid w:val="009B0610"/>
    <w:rsid w:val="009B1056"/>
    <w:rsid w:val="009B1809"/>
    <w:rsid w:val="009B23D5"/>
    <w:rsid w:val="009B42CA"/>
    <w:rsid w:val="009B6026"/>
    <w:rsid w:val="009B75C0"/>
    <w:rsid w:val="009C14BE"/>
    <w:rsid w:val="009C491A"/>
    <w:rsid w:val="009C671B"/>
    <w:rsid w:val="009C70BF"/>
    <w:rsid w:val="009D1D11"/>
    <w:rsid w:val="009D2996"/>
    <w:rsid w:val="009D323D"/>
    <w:rsid w:val="009D41E1"/>
    <w:rsid w:val="009D64D8"/>
    <w:rsid w:val="009E1060"/>
    <w:rsid w:val="009E330E"/>
    <w:rsid w:val="009E5B4B"/>
    <w:rsid w:val="009E7EB6"/>
    <w:rsid w:val="009F0CF7"/>
    <w:rsid w:val="009F134E"/>
    <w:rsid w:val="009F1667"/>
    <w:rsid w:val="009F38B6"/>
    <w:rsid w:val="009F44AB"/>
    <w:rsid w:val="009F7FB9"/>
    <w:rsid w:val="00A00ADB"/>
    <w:rsid w:val="00A03388"/>
    <w:rsid w:val="00A04C72"/>
    <w:rsid w:val="00A05532"/>
    <w:rsid w:val="00A06A95"/>
    <w:rsid w:val="00A07330"/>
    <w:rsid w:val="00A1033A"/>
    <w:rsid w:val="00A12157"/>
    <w:rsid w:val="00A13934"/>
    <w:rsid w:val="00A13A47"/>
    <w:rsid w:val="00A13B6A"/>
    <w:rsid w:val="00A1462E"/>
    <w:rsid w:val="00A1500F"/>
    <w:rsid w:val="00A150FE"/>
    <w:rsid w:val="00A154F5"/>
    <w:rsid w:val="00A162E1"/>
    <w:rsid w:val="00A17BE8"/>
    <w:rsid w:val="00A22459"/>
    <w:rsid w:val="00A22D38"/>
    <w:rsid w:val="00A22D92"/>
    <w:rsid w:val="00A2379C"/>
    <w:rsid w:val="00A31275"/>
    <w:rsid w:val="00A31787"/>
    <w:rsid w:val="00A32333"/>
    <w:rsid w:val="00A33A89"/>
    <w:rsid w:val="00A353B2"/>
    <w:rsid w:val="00A3675D"/>
    <w:rsid w:val="00A36834"/>
    <w:rsid w:val="00A368B8"/>
    <w:rsid w:val="00A41BEC"/>
    <w:rsid w:val="00A426EF"/>
    <w:rsid w:val="00A45C46"/>
    <w:rsid w:val="00A55DF8"/>
    <w:rsid w:val="00A60DB0"/>
    <w:rsid w:val="00A61E21"/>
    <w:rsid w:val="00A62822"/>
    <w:rsid w:val="00A645E4"/>
    <w:rsid w:val="00A75185"/>
    <w:rsid w:val="00A7697F"/>
    <w:rsid w:val="00A7729B"/>
    <w:rsid w:val="00A87581"/>
    <w:rsid w:val="00A9222F"/>
    <w:rsid w:val="00A928DA"/>
    <w:rsid w:val="00AA2981"/>
    <w:rsid w:val="00AA2F8D"/>
    <w:rsid w:val="00AA36F8"/>
    <w:rsid w:val="00AA5C87"/>
    <w:rsid w:val="00AA6919"/>
    <w:rsid w:val="00AB24C5"/>
    <w:rsid w:val="00AB6B24"/>
    <w:rsid w:val="00AC0AED"/>
    <w:rsid w:val="00AC1FCA"/>
    <w:rsid w:val="00AC51CB"/>
    <w:rsid w:val="00AC5C87"/>
    <w:rsid w:val="00AC6D63"/>
    <w:rsid w:val="00AD774C"/>
    <w:rsid w:val="00AD7FBE"/>
    <w:rsid w:val="00AE0AAA"/>
    <w:rsid w:val="00AE21B5"/>
    <w:rsid w:val="00AE4AF0"/>
    <w:rsid w:val="00AE613F"/>
    <w:rsid w:val="00AF035F"/>
    <w:rsid w:val="00AF13C1"/>
    <w:rsid w:val="00AF1EE0"/>
    <w:rsid w:val="00AF522D"/>
    <w:rsid w:val="00B0132D"/>
    <w:rsid w:val="00B03152"/>
    <w:rsid w:val="00B161BF"/>
    <w:rsid w:val="00B267DC"/>
    <w:rsid w:val="00B27E43"/>
    <w:rsid w:val="00B30CCA"/>
    <w:rsid w:val="00B31EC1"/>
    <w:rsid w:val="00B32C39"/>
    <w:rsid w:val="00B352E3"/>
    <w:rsid w:val="00B40778"/>
    <w:rsid w:val="00B4157E"/>
    <w:rsid w:val="00B448AC"/>
    <w:rsid w:val="00B461A8"/>
    <w:rsid w:val="00B46520"/>
    <w:rsid w:val="00B54717"/>
    <w:rsid w:val="00B62919"/>
    <w:rsid w:val="00B70AF4"/>
    <w:rsid w:val="00B745BB"/>
    <w:rsid w:val="00B758BD"/>
    <w:rsid w:val="00B75DAE"/>
    <w:rsid w:val="00B839F0"/>
    <w:rsid w:val="00B84D96"/>
    <w:rsid w:val="00B97D06"/>
    <w:rsid w:val="00B97D14"/>
    <w:rsid w:val="00BA15F4"/>
    <w:rsid w:val="00BA4A8F"/>
    <w:rsid w:val="00BA4DBB"/>
    <w:rsid w:val="00BA6471"/>
    <w:rsid w:val="00BA6A3E"/>
    <w:rsid w:val="00BA7CB9"/>
    <w:rsid w:val="00BB2DB3"/>
    <w:rsid w:val="00BB337E"/>
    <w:rsid w:val="00BC02FA"/>
    <w:rsid w:val="00BC46C7"/>
    <w:rsid w:val="00BC6568"/>
    <w:rsid w:val="00BC6B6A"/>
    <w:rsid w:val="00BD10BC"/>
    <w:rsid w:val="00BD7AF7"/>
    <w:rsid w:val="00BD7B24"/>
    <w:rsid w:val="00BE39A3"/>
    <w:rsid w:val="00BE55C6"/>
    <w:rsid w:val="00BE7F0B"/>
    <w:rsid w:val="00BE7F34"/>
    <w:rsid w:val="00BF39FA"/>
    <w:rsid w:val="00C0102C"/>
    <w:rsid w:val="00C0215A"/>
    <w:rsid w:val="00C02F1D"/>
    <w:rsid w:val="00C033C7"/>
    <w:rsid w:val="00C04B4E"/>
    <w:rsid w:val="00C05662"/>
    <w:rsid w:val="00C0682C"/>
    <w:rsid w:val="00C12EB4"/>
    <w:rsid w:val="00C13731"/>
    <w:rsid w:val="00C1518D"/>
    <w:rsid w:val="00C16768"/>
    <w:rsid w:val="00C1754E"/>
    <w:rsid w:val="00C2072A"/>
    <w:rsid w:val="00C25225"/>
    <w:rsid w:val="00C25A39"/>
    <w:rsid w:val="00C25AE7"/>
    <w:rsid w:val="00C274B1"/>
    <w:rsid w:val="00C31B92"/>
    <w:rsid w:val="00C35709"/>
    <w:rsid w:val="00C401A9"/>
    <w:rsid w:val="00C40B3D"/>
    <w:rsid w:val="00C4337F"/>
    <w:rsid w:val="00C451FB"/>
    <w:rsid w:val="00C45A0B"/>
    <w:rsid w:val="00C46F14"/>
    <w:rsid w:val="00C51ECA"/>
    <w:rsid w:val="00C5202C"/>
    <w:rsid w:val="00C5468B"/>
    <w:rsid w:val="00C562BA"/>
    <w:rsid w:val="00C61F82"/>
    <w:rsid w:val="00C7177D"/>
    <w:rsid w:val="00C7277B"/>
    <w:rsid w:val="00C74F9F"/>
    <w:rsid w:val="00C776DD"/>
    <w:rsid w:val="00C8069E"/>
    <w:rsid w:val="00C8326E"/>
    <w:rsid w:val="00C84C87"/>
    <w:rsid w:val="00C8718A"/>
    <w:rsid w:val="00C8774E"/>
    <w:rsid w:val="00C936DC"/>
    <w:rsid w:val="00C93C11"/>
    <w:rsid w:val="00CA12CF"/>
    <w:rsid w:val="00CA1309"/>
    <w:rsid w:val="00CA5124"/>
    <w:rsid w:val="00CA7AEE"/>
    <w:rsid w:val="00CB0DA0"/>
    <w:rsid w:val="00CB13A0"/>
    <w:rsid w:val="00CB2083"/>
    <w:rsid w:val="00CB3B5D"/>
    <w:rsid w:val="00CB4F6D"/>
    <w:rsid w:val="00CB551C"/>
    <w:rsid w:val="00CB6E2D"/>
    <w:rsid w:val="00CC0B63"/>
    <w:rsid w:val="00CC270E"/>
    <w:rsid w:val="00CC3ABC"/>
    <w:rsid w:val="00CC5F24"/>
    <w:rsid w:val="00CC73F9"/>
    <w:rsid w:val="00CD2773"/>
    <w:rsid w:val="00CD718E"/>
    <w:rsid w:val="00CD7A09"/>
    <w:rsid w:val="00CD7C82"/>
    <w:rsid w:val="00CE06CB"/>
    <w:rsid w:val="00CE1B55"/>
    <w:rsid w:val="00CE5166"/>
    <w:rsid w:val="00CE7A92"/>
    <w:rsid w:val="00CE7EBC"/>
    <w:rsid w:val="00CE7FE3"/>
    <w:rsid w:val="00CF0545"/>
    <w:rsid w:val="00CF1757"/>
    <w:rsid w:val="00CF3590"/>
    <w:rsid w:val="00CF7669"/>
    <w:rsid w:val="00D04B3A"/>
    <w:rsid w:val="00D052C8"/>
    <w:rsid w:val="00D06137"/>
    <w:rsid w:val="00D06D1F"/>
    <w:rsid w:val="00D0737A"/>
    <w:rsid w:val="00D07A81"/>
    <w:rsid w:val="00D10721"/>
    <w:rsid w:val="00D1143F"/>
    <w:rsid w:val="00D12A33"/>
    <w:rsid w:val="00D215D6"/>
    <w:rsid w:val="00D21FB9"/>
    <w:rsid w:val="00D22B56"/>
    <w:rsid w:val="00D27517"/>
    <w:rsid w:val="00D336B6"/>
    <w:rsid w:val="00D37B7C"/>
    <w:rsid w:val="00D42747"/>
    <w:rsid w:val="00D462FE"/>
    <w:rsid w:val="00D50205"/>
    <w:rsid w:val="00D61709"/>
    <w:rsid w:val="00D6324E"/>
    <w:rsid w:val="00D6465D"/>
    <w:rsid w:val="00D65835"/>
    <w:rsid w:val="00D72BDE"/>
    <w:rsid w:val="00D73FF1"/>
    <w:rsid w:val="00D740A0"/>
    <w:rsid w:val="00D748BF"/>
    <w:rsid w:val="00D74D4E"/>
    <w:rsid w:val="00D7522D"/>
    <w:rsid w:val="00D75F53"/>
    <w:rsid w:val="00D76091"/>
    <w:rsid w:val="00D762A4"/>
    <w:rsid w:val="00D76A6D"/>
    <w:rsid w:val="00D8020D"/>
    <w:rsid w:val="00D86A7B"/>
    <w:rsid w:val="00D86E12"/>
    <w:rsid w:val="00D92A5A"/>
    <w:rsid w:val="00D94325"/>
    <w:rsid w:val="00DA040A"/>
    <w:rsid w:val="00DA0C80"/>
    <w:rsid w:val="00DA160B"/>
    <w:rsid w:val="00DA4F32"/>
    <w:rsid w:val="00DA4F98"/>
    <w:rsid w:val="00DA4FB7"/>
    <w:rsid w:val="00DA71C7"/>
    <w:rsid w:val="00DB6F6F"/>
    <w:rsid w:val="00DC125C"/>
    <w:rsid w:val="00DC2B66"/>
    <w:rsid w:val="00DC3679"/>
    <w:rsid w:val="00DC4129"/>
    <w:rsid w:val="00DC5637"/>
    <w:rsid w:val="00DC7548"/>
    <w:rsid w:val="00DC757F"/>
    <w:rsid w:val="00DD020C"/>
    <w:rsid w:val="00DD432A"/>
    <w:rsid w:val="00DD5482"/>
    <w:rsid w:val="00DD5A2D"/>
    <w:rsid w:val="00DE0EC8"/>
    <w:rsid w:val="00DE5653"/>
    <w:rsid w:val="00DE5F09"/>
    <w:rsid w:val="00DE7472"/>
    <w:rsid w:val="00DF076F"/>
    <w:rsid w:val="00DF790A"/>
    <w:rsid w:val="00E01A11"/>
    <w:rsid w:val="00E01A3D"/>
    <w:rsid w:val="00E02AF0"/>
    <w:rsid w:val="00E04480"/>
    <w:rsid w:val="00E0708E"/>
    <w:rsid w:val="00E12BCB"/>
    <w:rsid w:val="00E1709B"/>
    <w:rsid w:val="00E20F33"/>
    <w:rsid w:val="00E21858"/>
    <w:rsid w:val="00E221DB"/>
    <w:rsid w:val="00E22F80"/>
    <w:rsid w:val="00E251D0"/>
    <w:rsid w:val="00E25C9A"/>
    <w:rsid w:val="00E30291"/>
    <w:rsid w:val="00E31133"/>
    <w:rsid w:val="00E32423"/>
    <w:rsid w:val="00E36088"/>
    <w:rsid w:val="00E41CDF"/>
    <w:rsid w:val="00E426D2"/>
    <w:rsid w:val="00E439E9"/>
    <w:rsid w:val="00E43BD8"/>
    <w:rsid w:val="00E4414A"/>
    <w:rsid w:val="00E4499F"/>
    <w:rsid w:val="00E4637D"/>
    <w:rsid w:val="00E50163"/>
    <w:rsid w:val="00E50854"/>
    <w:rsid w:val="00E532DA"/>
    <w:rsid w:val="00E54BCF"/>
    <w:rsid w:val="00E55832"/>
    <w:rsid w:val="00E55D67"/>
    <w:rsid w:val="00E57737"/>
    <w:rsid w:val="00E61E7B"/>
    <w:rsid w:val="00E63D71"/>
    <w:rsid w:val="00E64FE3"/>
    <w:rsid w:val="00E70013"/>
    <w:rsid w:val="00E737BF"/>
    <w:rsid w:val="00E83CA0"/>
    <w:rsid w:val="00E85DF1"/>
    <w:rsid w:val="00E8619C"/>
    <w:rsid w:val="00E92291"/>
    <w:rsid w:val="00E9622A"/>
    <w:rsid w:val="00EA06D6"/>
    <w:rsid w:val="00EA2D14"/>
    <w:rsid w:val="00EA6380"/>
    <w:rsid w:val="00EB0237"/>
    <w:rsid w:val="00EB0657"/>
    <w:rsid w:val="00EB4409"/>
    <w:rsid w:val="00EB4D4F"/>
    <w:rsid w:val="00EB7231"/>
    <w:rsid w:val="00EB7357"/>
    <w:rsid w:val="00EC3CCF"/>
    <w:rsid w:val="00EC47AF"/>
    <w:rsid w:val="00EC7018"/>
    <w:rsid w:val="00EC75CF"/>
    <w:rsid w:val="00EC7893"/>
    <w:rsid w:val="00EC7E35"/>
    <w:rsid w:val="00ED1BFB"/>
    <w:rsid w:val="00ED1F02"/>
    <w:rsid w:val="00ED3BA3"/>
    <w:rsid w:val="00ED762B"/>
    <w:rsid w:val="00EE2DE9"/>
    <w:rsid w:val="00EE7213"/>
    <w:rsid w:val="00EE73B9"/>
    <w:rsid w:val="00EE7C7C"/>
    <w:rsid w:val="00EF0E9D"/>
    <w:rsid w:val="00EF2AFE"/>
    <w:rsid w:val="00EF4190"/>
    <w:rsid w:val="00EF553C"/>
    <w:rsid w:val="00EF627F"/>
    <w:rsid w:val="00F05300"/>
    <w:rsid w:val="00F10751"/>
    <w:rsid w:val="00F11675"/>
    <w:rsid w:val="00F1348C"/>
    <w:rsid w:val="00F143A2"/>
    <w:rsid w:val="00F14569"/>
    <w:rsid w:val="00F20A37"/>
    <w:rsid w:val="00F21523"/>
    <w:rsid w:val="00F21FEC"/>
    <w:rsid w:val="00F22825"/>
    <w:rsid w:val="00F234D4"/>
    <w:rsid w:val="00F24007"/>
    <w:rsid w:val="00F26979"/>
    <w:rsid w:val="00F275C5"/>
    <w:rsid w:val="00F31CD1"/>
    <w:rsid w:val="00F32A7A"/>
    <w:rsid w:val="00F34369"/>
    <w:rsid w:val="00F34F95"/>
    <w:rsid w:val="00F35C9F"/>
    <w:rsid w:val="00F437E9"/>
    <w:rsid w:val="00F446AE"/>
    <w:rsid w:val="00F44F42"/>
    <w:rsid w:val="00F463D1"/>
    <w:rsid w:val="00F46440"/>
    <w:rsid w:val="00F46AEC"/>
    <w:rsid w:val="00F50A51"/>
    <w:rsid w:val="00F539CE"/>
    <w:rsid w:val="00F53A50"/>
    <w:rsid w:val="00F53FC4"/>
    <w:rsid w:val="00F560A9"/>
    <w:rsid w:val="00F57928"/>
    <w:rsid w:val="00F57BFD"/>
    <w:rsid w:val="00F66B07"/>
    <w:rsid w:val="00F706AB"/>
    <w:rsid w:val="00F70F84"/>
    <w:rsid w:val="00F733EB"/>
    <w:rsid w:val="00F7572C"/>
    <w:rsid w:val="00F75A32"/>
    <w:rsid w:val="00F768FF"/>
    <w:rsid w:val="00F82F91"/>
    <w:rsid w:val="00F841A5"/>
    <w:rsid w:val="00F86B7C"/>
    <w:rsid w:val="00F9051F"/>
    <w:rsid w:val="00F9269C"/>
    <w:rsid w:val="00F94335"/>
    <w:rsid w:val="00F94F4A"/>
    <w:rsid w:val="00F96569"/>
    <w:rsid w:val="00FA2EDA"/>
    <w:rsid w:val="00FA33B4"/>
    <w:rsid w:val="00FA3D24"/>
    <w:rsid w:val="00FA40AD"/>
    <w:rsid w:val="00FA7F64"/>
    <w:rsid w:val="00FB0452"/>
    <w:rsid w:val="00FB122B"/>
    <w:rsid w:val="00FB423D"/>
    <w:rsid w:val="00FB6C55"/>
    <w:rsid w:val="00FC4F18"/>
    <w:rsid w:val="00FD33F7"/>
    <w:rsid w:val="00FD55EC"/>
    <w:rsid w:val="00FD6D06"/>
    <w:rsid w:val="00FE03DE"/>
    <w:rsid w:val="00FE3E1F"/>
    <w:rsid w:val="00FE46C7"/>
    <w:rsid w:val="00FE4AAA"/>
    <w:rsid w:val="00FE5CF0"/>
    <w:rsid w:val="00FF0372"/>
    <w:rsid w:val="00FF3673"/>
    <w:rsid w:val="00FF6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a8d0,#008eb0,#1492e8,#1287d6,#117dc7,#c2e3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21"/>
    <w:pPr>
      <w:spacing w:after="240"/>
    </w:pPr>
    <w:rPr>
      <w:sz w:val="22"/>
    </w:rPr>
  </w:style>
  <w:style w:type="paragraph" w:styleId="Heading1">
    <w:name w:val="heading 1"/>
    <w:basedOn w:val="Normal"/>
    <w:next w:val="BodyText"/>
    <w:link w:val="Heading1Char"/>
    <w:qFormat/>
    <w:rsid w:val="00D1072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D10721"/>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D1072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D1072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D1072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D1072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D1072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0721"/>
    <w:pPr>
      <w:numPr>
        <w:numId w:val="7"/>
      </w:numPr>
      <w:spacing w:before="200" w:after="0" w:line="300" w:lineRule="atLeast"/>
    </w:pPr>
    <w:rPr>
      <w:szCs w:val="22"/>
    </w:rPr>
  </w:style>
  <w:style w:type="paragraph" w:customStyle="1" w:styleId="Tiptext">
    <w:name w:val="Tip text"/>
    <w:basedOn w:val="Fronttext"/>
    <w:next w:val="Bodytextplain"/>
    <w:rsid w:val="007C2288"/>
    <w:rPr>
      <w:vanish/>
      <w:color w:val="800000"/>
    </w:rPr>
  </w:style>
  <w:style w:type="paragraph" w:customStyle="1" w:styleId="tblnote">
    <w:name w:val="tbl note"/>
    <w:basedOn w:val="sourcenotefullwidth"/>
    <w:next w:val="tbltext"/>
    <w:qFormat/>
    <w:rsid w:val="00D10721"/>
    <w:pPr>
      <w:ind w:left="425"/>
    </w:pPr>
  </w:style>
  <w:style w:type="paragraph" w:styleId="Footer">
    <w:name w:val="footer"/>
    <w:basedOn w:val="Normal"/>
    <w:link w:val="FooterChar"/>
    <w:rsid w:val="00D10721"/>
    <w:pPr>
      <w:tabs>
        <w:tab w:val="right" w:pos="9070"/>
      </w:tabs>
      <w:spacing w:after="0"/>
    </w:pPr>
    <w:rPr>
      <w:rFonts w:ascii="Arial" w:hAnsi="Arial"/>
      <w:sz w:val="16"/>
      <w:szCs w:val="16"/>
    </w:rPr>
  </w:style>
  <w:style w:type="character" w:styleId="PageNumber">
    <w:name w:val="page number"/>
    <w:basedOn w:val="DefaultParagraphFont"/>
    <w:rsid w:val="00D10721"/>
    <w:rPr>
      <w:b/>
      <w:sz w:val="20"/>
    </w:rPr>
  </w:style>
  <w:style w:type="paragraph" w:styleId="Header">
    <w:name w:val="header"/>
    <w:basedOn w:val="Normal"/>
    <w:link w:val="HeaderChar"/>
    <w:rsid w:val="00D1072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D1072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D10721"/>
    <w:pPr>
      <w:numPr>
        <w:ilvl w:val="1"/>
      </w:numPr>
    </w:pPr>
  </w:style>
  <w:style w:type="paragraph" w:customStyle="1" w:styleId="ListNumber10">
    <w:name w:val="List Number1"/>
    <w:basedOn w:val="Normal"/>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D10721"/>
    <w:pPr>
      <w:ind w:left="3260"/>
    </w:pPr>
  </w:style>
  <w:style w:type="paragraph" w:customStyle="1" w:styleId="figuretitlefullwidth">
    <w:name w:val="figure title full width"/>
    <w:basedOn w:val="tabletitlefullwidth"/>
    <w:next w:val="figuretext"/>
    <w:rsid w:val="00D10721"/>
    <w:rPr>
      <w:szCs w:val="22"/>
    </w:rPr>
  </w:style>
  <w:style w:type="paragraph" w:customStyle="1" w:styleId="tabletitlefullwidth">
    <w:name w:val="table title full width"/>
    <w:basedOn w:val="Normal"/>
    <w:rsid w:val="00D1072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D10721"/>
    <w:pPr>
      <w:widowControl w:val="0"/>
      <w:spacing w:after="0" w:line="240" w:lineRule="atLeast"/>
    </w:pPr>
    <w:rPr>
      <w:rFonts w:ascii="Arial" w:hAnsi="Arial" w:cs="Arial"/>
      <w:sz w:val="18"/>
      <w:szCs w:val="18"/>
    </w:rPr>
  </w:style>
  <w:style w:type="paragraph" w:customStyle="1" w:styleId="tbltext">
    <w:name w:val="tbl text"/>
    <w:basedOn w:val="Bodytextplain"/>
    <w:rsid w:val="00D10721"/>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D10721"/>
    <w:pPr>
      <w:numPr>
        <w:numId w:val="0"/>
      </w:numPr>
      <w:ind w:left="2268"/>
    </w:pPr>
  </w:style>
  <w:style w:type="paragraph" w:customStyle="1" w:styleId="tablehead">
    <w:name w:val="table head"/>
    <w:basedOn w:val="Normal"/>
    <w:rsid w:val="00D10721"/>
    <w:pPr>
      <w:keepNext/>
      <w:spacing w:before="120" w:after="0" w:line="240" w:lineRule="atLeast"/>
    </w:pPr>
    <w:rPr>
      <w:rFonts w:ascii="Arial" w:hAnsi="Arial" w:cs="Arial"/>
      <w:b/>
      <w:sz w:val="18"/>
      <w:szCs w:val="18"/>
    </w:rPr>
  </w:style>
  <w:style w:type="paragraph" w:styleId="ListBullet2">
    <w:name w:val="List Bullet 2"/>
    <w:basedOn w:val="Normal"/>
    <w:rsid w:val="00D1072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D10721"/>
    <w:rPr>
      <w:color w:val="0000FF"/>
      <w:u w:val="single"/>
    </w:rPr>
  </w:style>
  <w:style w:type="paragraph" w:customStyle="1" w:styleId="tablebullet">
    <w:name w:val="table bullet"/>
    <w:basedOn w:val="Normal"/>
    <w:rsid w:val="00D1072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D10721"/>
    <w:pPr>
      <w:spacing w:after="0"/>
    </w:pPr>
    <w:rPr>
      <w:sz w:val="18"/>
    </w:rPr>
  </w:style>
  <w:style w:type="character" w:styleId="FootnoteReference">
    <w:name w:val="footnote reference"/>
    <w:basedOn w:val="DefaultParagraphFont"/>
    <w:semiHidden/>
    <w:rsid w:val="00D10721"/>
    <w:rPr>
      <w:vertAlign w:val="superscript"/>
    </w:rPr>
  </w:style>
  <w:style w:type="paragraph" w:styleId="TOC1">
    <w:name w:val="toc 1"/>
    <w:basedOn w:val="Normal"/>
    <w:next w:val="Normal"/>
    <w:autoRedefine/>
    <w:uiPriority w:val="39"/>
    <w:rsid w:val="00D1072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D10721"/>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D1072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D1072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pPr>
      <w:numPr>
        <w:numId w:val="0"/>
      </w:numPr>
    </w:pPr>
  </w:style>
  <w:style w:type="paragraph" w:customStyle="1" w:styleId="tabletitleindented">
    <w:name w:val="table title indented"/>
    <w:basedOn w:val="tabletitlefullwidth"/>
    <w:rsid w:val="00D10721"/>
    <w:pPr>
      <w:ind w:left="3260"/>
    </w:pPr>
  </w:style>
  <w:style w:type="paragraph" w:styleId="Caption">
    <w:name w:val="caption"/>
    <w:basedOn w:val="Normal"/>
    <w:next w:val="Normal"/>
    <w:qFormat/>
    <w:rsid w:val="00D10721"/>
    <w:pPr>
      <w:spacing w:before="120" w:after="120"/>
    </w:pPr>
    <w:rPr>
      <w:b/>
      <w:bCs/>
      <w:sz w:val="20"/>
    </w:rPr>
  </w:style>
  <w:style w:type="paragraph" w:customStyle="1" w:styleId="tabledash">
    <w:name w:val="table dash"/>
    <w:basedOn w:val="tablebullet"/>
    <w:rsid w:val="00D10721"/>
    <w:pPr>
      <w:numPr>
        <w:numId w:val="4"/>
      </w:numPr>
    </w:pPr>
  </w:style>
  <w:style w:type="paragraph" w:customStyle="1" w:styleId="Tablebody">
    <w:name w:val="Table body"/>
    <w:basedOn w:val="Normal"/>
    <w:semiHidden/>
    <w:rsid w:val="00D1072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D1072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D1072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D10721"/>
    <w:rPr>
      <w:b w:val="0"/>
    </w:rPr>
  </w:style>
  <w:style w:type="character" w:customStyle="1" w:styleId="KPboldChar">
    <w:name w:val="KP bold Char"/>
    <w:rPr>
      <w:rFonts w:ascii="Arial" w:hAnsi="Arial" w:cs="Arial"/>
      <w:b/>
      <w:lang w:val="en-AU" w:eastAsia="en-AU" w:bidi="ar-SA"/>
    </w:rPr>
  </w:style>
  <w:style w:type="paragraph" w:customStyle="1" w:styleId="KPbullet">
    <w:name w:val="KP bullet"/>
    <w:basedOn w:val="KPtext"/>
    <w:rsid w:val="00D10721"/>
    <w:pPr>
      <w:numPr>
        <w:numId w:val="5"/>
      </w:numPr>
      <w:tabs>
        <w:tab w:val="clear" w:pos="2807"/>
        <w:tab w:val="left" w:pos="2665"/>
      </w:tabs>
      <w:spacing w:before="100"/>
      <w:ind w:left="2665" w:hanging="284"/>
    </w:pPr>
  </w:style>
  <w:style w:type="paragraph" w:customStyle="1" w:styleId="Note">
    <w:name w:val="Note"/>
    <w:basedOn w:val="BodyText"/>
    <w:next w:val="BodyText"/>
    <w:rsid w:val="00D10721"/>
    <w:pPr>
      <w:numPr>
        <w:numId w:val="0"/>
      </w:numPr>
      <w:spacing w:line="240" w:lineRule="atLeast"/>
      <w:ind w:left="2693"/>
    </w:pPr>
    <w:rPr>
      <w:sz w:val="18"/>
    </w:rPr>
  </w:style>
  <w:style w:type="paragraph" w:customStyle="1" w:styleId="subparaa">
    <w:name w:val="sub para (a)"/>
    <w:basedOn w:val="BodyText"/>
    <w:rsid w:val="00D10721"/>
    <w:pPr>
      <w:numPr>
        <w:ilvl w:val="1"/>
      </w:numPr>
      <w:spacing w:before="100"/>
    </w:pPr>
  </w:style>
  <w:style w:type="paragraph" w:customStyle="1" w:styleId="Listdash">
    <w:name w:val="List dash"/>
    <w:basedOn w:val="Normal"/>
    <w:pPr>
      <w:numPr>
        <w:numId w:val="8"/>
      </w:numPr>
      <w:spacing w:before="100" w:after="0" w:line="300" w:lineRule="atLeast"/>
      <w:ind w:left="3118" w:hanging="425"/>
    </w:pPr>
  </w:style>
  <w:style w:type="paragraph" w:customStyle="1" w:styleId="Feedbackhead">
    <w:name w:val="Feedback head"/>
    <w:basedOn w:val="KPhead"/>
    <w:next w:val="Feedbackquestion"/>
    <w:rsid w:val="00D1072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D1072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D10721"/>
    <w:pPr>
      <w:numPr>
        <w:ilvl w:val="5"/>
      </w:numPr>
    </w:pPr>
  </w:style>
  <w:style w:type="paragraph" w:customStyle="1" w:styleId="figuretitle">
    <w:name w:val="figure title"/>
    <w:basedOn w:val="Normal"/>
    <w:next w:val="figuretext"/>
    <w:pPr>
      <w:keepNext/>
      <w:spacing w:before="360" w:after="60"/>
      <w:ind w:left="2268" w:hanging="1276"/>
    </w:pPr>
    <w:rPr>
      <w:rFonts w:ascii="Arial" w:hAnsi="Arial"/>
      <w:b/>
      <w:sz w:val="20"/>
    </w:rPr>
  </w:style>
  <w:style w:type="paragraph" w:customStyle="1" w:styleId="subsubparai">
    <w:name w:val="sub sub para (i)"/>
    <w:basedOn w:val="subparaa"/>
    <w:rsid w:val="00D10721"/>
    <w:pPr>
      <w:numPr>
        <w:ilvl w:val="2"/>
      </w:numPr>
    </w:pPr>
  </w:style>
  <w:style w:type="paragraph" w:customStyle="1" w:styleId="DescriptorRG">
    <w:name w:val="Descriptor RG"/>
    <w:basedOn w:val="Normal"/>
    <w:next w:val="Normal"/>
    <w:rsid w:val="00D1072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7C2288"/>
    <w:pPr>
      <w:keepNext w:val="0"/>
    </w:pPr>
    <w:rPr>
      <w:b w:val="0"/>
    </w:rPr>
  </w:style>
  <w:style w:type="paragraph" w:customStyle="1" w:styleId="DescriptorCP">
    <w:name w:val="Descriptor CP"/>
    <w:basedOn w:val="DescriptorRG"/>
    <w:next w:val="Normal"/>
    <w:rsid w:val="00D1072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D10721"/>
    <w:pPr>
      <w:spacing w:line="260" w:lineRule="atLeast"/>
    </w:pPr>
    <w:rPr>
      <w:rFonts w:ascii="Arial" w:hAnsi="Arial" w:cs="Arial"/>
      <w:sz w:val="20"/>
      <w:szCs w:val="20"/>
    </w:rPr>
  </w:style>
  <w:style w:type="paragraph" w:customStyle="1" w:styleId="Frontbullet">
    <w:name w:val="Front bullet"/>
    <w:basedOn w:val="Fronttext"/>
    <w:rsid w:val="00D10721"/>
    <w:pPr>
      <w:numPr>
        <w:ilvl w:val="5"/>
        <w:numId w:val="9"/>
      </w:numPr>
      <w:spacing w:before="120"/>
    </w:pPr>
  </w:style>
  <w:style w:type="paragraph" w:customStyle="1" w:styleId="Frontheading">
    <w:name w:val="Front heading"/>
    <w:basedOn w:val="Heading3"/>
    <w:next w:val="Fronttext"/>
    <w:rsid w:val="00D10721"/>
  </w:style>
  <w:style w:type="paragraph" w:customStyle="1" w:styleId="Blockquote">
    <w:name w:val="Block quote"/>
    <w:basedOn w:val="Bodytextplain"/>
    <w:rsid w:val="00D10721"/>
    <w:pPr>
      <w:spacing w:before="100" w:line="240" w:lineRule="auto"/>
      <w:ind w:left="2693"/>
    </w:pPr>
    <w:rPr>
      <w:sz w:val="21"/>
      <w:szCs w:val="21"/>
    </w:rPr>
  </w:style>
  <w:style w:type="paragraph" w:customStyle="1" w:styleId="Heading2noToC">
    <w:name w:val="Heading 2 no ToC"/>
    <w:basedOn w:val="Bodytextplain"/>
    <w:next w:val="Bodytextplain"/>
    <w:pPr>
      <w:spacing w:before="720"/>
      <w:ind w:left="0"/>
    </w:pPr>
    <w:rPr>
      <w:rFonts w:ascii="Arial" w:hAnsi="Arial" w:cs="Arial"/>
      <w:b/>
      <w:sz w:val="28"/>
      <w:szCs w:val="28"/>
    </w:rPr>
  </w:style>
  <w:style w:type="paragraph" w:customStyle="1" w:styleId="Proposalhead">
    <w:name w:val="Proposal head"/>
    <w:basedOn w:val="Bodytextplain"/>
    <w:next w:val="Proposaltext"/>
    <w:rsid w:val="00D1072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D1072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D10721"/>
    <w:pPr>
      <w:numPr>
        <w:ilvl w:val="2"/>
      </w:numPr>
      <w:spacing w:before="100"/>
    </w:pPr>
  </w:style>
  <w:style w:type="paragraph" w:customStyle="1" w:styleId="Proposalsubsubpara">
    <w:name w:val="Proposal sub sub para"/>
    <w:basedOn w:val="Proposaltext"/>
    <w:rsid w:val="00D10721"/>
    <w:pPr>
      <w:numPr>
        <w:ilvl w:val="3"/>
      </w:numPr>
      <w:spacing w:before="100"/>
    </w:pPr>
  </w:style>
  <w:style w:type="paragraph" w:customStyle="1" w:styleId="Proposalnote">
    <w:name w:val="Proposal note"/>
    <w:basedOn w:val="Note"/>
    <w:rsid w:val="00D10721"/>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D10721"/>
    <w:rPr>
      <w:sz w:val="16"/>
      <w:szCs w:val="16"/>
    </w:rPr>
  </w:style>
  <w:style w:type="paragraph" w:styleId="CommentText">
    <w:name w:val="annotation text"/>
    <w:basedOn w:val="Normal"/>
    <w:link w:val="CommentTextChar"/>
    <w:uiPriority w:val="99"/>
    <w:semiHidden/>
    <w:rsid w:val="00D10721"/>
    <w:rPr>
      <w:sz w:val="20"/>
    </w:rPr>
  </w:style>
  <w:style w:type="paragraph" w:customStyle="1" w:styleId="issueddate">
    <w:name w:val="issued dat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D10721"/>
    <w:rPr>
      <w:rFonts w:ascii="Tahoma" w:hAnsi="Tahoma" w:cs="Tahoma"/>
      <w:sz w:val="16"/>
      <w:szCs w:val="16"/>
    </w:rPr>
  </w:style>
  <w:style w:type="paragraph" w:customStyle="1" w:styleId="boxbullet">
    <w:name w:val="box bullet"/>
    <w:basedOn w:val="Frontbullet"/>
    <w:rsid w:val="00D10721"/>
    <w:pPr>
      <w:numPr>
        <w:ilvl w:val="0"/>
        <w:numId w:val="11"/>
      </w:numPr>
      <w:spacing w:before="60"/>
    </w:pPr>
  </w:style>
  <w:style w:type="paragraph" w:customStyle="1" w:styleId="boxtext">
    <w:name w:val="box text"/>
    <w:basedOn w:val="Fronttext"/>
    <w:rsid w:val="00D10721"/>
    <w:pPr>
      <w:spacing w:before="120"/>
      <w:ind w:left="0"/>
    </w:pPr>
  </w:style>
  <w:style w:type="character" w:customStyle="1" w:styleId="FooterChar">
    <w:name w:val="Footer Char"/>
    <w:link w:val="Footer"/>
    <w:rsid w:val="00EA6380"/>
    <w:rPr>
      <w:rFonts w:ascii="Arial" w:hAnsi="Arial"/>
      <w:sz w:val="16"/>
      <w:szCs w:val="16"/>
    </w:rPr>
  </w:style>
  <w:style w:type="paragraph" w:customStyle="1" w:styleId="sourcenotefullwidth">
    <w:name w:val="source note full width"/>
    <w:rsid w:val="00D10721"/>
    <w:pPr>
      <w:spacing w:before="120"/>
    </w:pPr>
    <w:rPr>
      <w:rFonts w:ascii="Arial" w:hAnsi="Arial"/>
      <w:sz w:val="16"/>
      <w:szCs w:val="22"/>
    </w:rPr>
  </w:style>
  <w:style w:type="paragraph" w:customStyle="1" w:styleId="ListNumber1">
    <w:name w:val="List Number1"/>
    <w:basedOn w:val="Normal"/>
    <w:rsid w:val="00D10721"/>
    <w:pPr>
      <w:numPr>
        <w:numId w:val="1"/>
      </w:numPr>
      <w:spacing w:before="100" w:after="0" w:line="300" w:lineRule="atLeast"/>
    </w:pPr>
    <w:rPr>
      <w:szCs w:val="24"/>
    </w:rPr>
  </w:style>
  <w:style w:type="paragraph" w:customStyle="1" w:styleId="sub3paraA">
    <w:name w:val="sub3para (A)"/>
    <w:basedOn w:val="subsubparai"/>
    <w:qFormat/>
    <w:rsid w:val="00D10721"/>
    <w:pPr>
      <w:numPr>
        <w:ilvl w:val="3"/>
      </w:numPr>
    </w:pPr>
  </w:style>
  <w:style w:type="paragraph" w:customStyle="1" w:styleId="sub4paraI">
    <w:name w:val="sub4para (I)"/>
    <w:basedOn w:val="subsubparai"/>
    <w:qFormat/>
    <w:rsid w:val="00D10721"/>
    <w:pPr>
      <w:numPr>
        <w:ilvl w:val="4"/>
      </w:numPr>
    </w:pPr>
  </w:style>
  <w:style w:type="paragraph" w:customStyle="1" w:styleId="Feedbacksubsubquestion">
    <w:name w:val="Feedback subsubquestion"/>
    <w:basedOn w:val="Feedbacksubquestion"/>
    <w:qFormat/>
    <w:rsid w:val="00D10721"/>
    <w:pPr>
      <w:numPr>
        <w:ilvl w:val="6"/>
      </w:numPr>
    </w:pPr>
  </w:style>
  <w:style w:type="paragraph" w:customStyle="1" w:styleId="sourcenoteindented">
    <w:name w:val="source note indented"/>
    <w:basedOn w:val="sourcenotefullwidth"/>
    <w:qFormat/>
    <w:rsid w:val="00D10721"/>
    <w:pPr>
      <w:ind w:left="2268"/>
    </w:pPr>
  </w:style>
  <w:style w:type="paragraph" w:customStyle="1" w:styleId="tblProposalsubpara">
    <w:name w:val="tbl Proposal sub para"/>
    <w:basedOn w:val="tbltext"/>
    <w:qFormat/>
    <w:rsid w:val="00D10721"/>
    <w:pPr>
      <w:ind w:left="885" w:hanging="425"/>
    </w:pPr>
  </w:style>
  <w:style w:type="paragraph" w:customStyle="1" w:styleId="tblProposalsubsubpara">
    <w:name w:val="tbl Proposal sub sub para"/>
    <w:basedOn w:val="tbltext"/>
    <w:qFormat/>
    <w:rsid w:val="00D10721"/>
    <w:pPr>
      <w:ind w:left="1310" w:hanging="425"/>
    </w:pPr>
  </w:style>
  <w:style w:type="paragraph" w:customStyle="1" w:styleId="tblProposaltext">
    <w:name w:val="tbl Proposal text"/>
    <w:basedOn w:val="tbltext"/>
    <w:qFormat/>
    <w:rsid w:val="00D10721"/>
    <w:pPr>
      <w:ind w:left="425" w:hanging="425"/>
    </w:pPr>
  </w:style>
  <w:style w:type="paragraph" w:customStyle="1" w:styleId="tblProposaltextnonumber">
    <w:name w:val="tbl Proposal text no number"/>
    <w:basedOn w:val="tbltext"/>
    <w:qFormat/>
    <w:rsid w:val="00D10721"/>
    <w:pPr>
      <w:ind w:left="425"/>
    </w:pPr>
  </w:style>
  <w:style w:type="paragraph" w:customStyle="1" w:styleId="tblFeedbackquestion">
    <w:name w:val="tbl Feedback question"/>
    <w:basedOn w:val="Proposaltext"/>
    <w:qFormat/>
    <w:rsid w:val="00D1072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D10721"/>
    <w:rPr>
      <w:sz w:val="16"/>
      <w:szCs w:val="16"/>
    </w:rPr>
  </w:style>
  <w:style w:type="paragraph" w:customStyle="1" w:styleId="tblFeedbacksubquestion">
    <w:name w:val="tbl Feedback subquestion"/>
    <w:basedOn w:val="tblProposalsubpara"/>
    <w:rsid w:val="00D10721"/>
    <w:pPr>
      <w:ind w:left="964" w:hanging="340"/>
    </w:pPr>
  </w:style>
  <w:style w:type="paragraph" w:customStyle="1" w:styleId="tblFeedbacksubsubquestion">
    <w:name w:val="tbl Feedback subsubquestion"/>
    <w:basedOn w:val="tblProposalsubsubpara"/>
    <w:qFormat/>
    <w:rsid w:val="00D10721"/>
    <w:pPr>
      <w:ind w:left="1304" w:hanging="340"/>
    </w:pPr>
  </w:style>
  <w:style w:type="character" w:customStyle="1" w:styleId="Heading4Char">
    <w:name w:val="Heading 4 Char"/>
    <w:basedOn w:val="DefaultParagraphFont"/>
    <w:link w:val="Heading4"/>
    <w:rsid w:val="001E64E9"/>
    <w:rPr>
      <w:rFonts w:ascii="Arial" w:hAnsi="Arial" w:cs="Arial"/>
      <w:b/>
      <w:szCs w:val="22"/>
    </w:rPr>
  </w:style>
  <w:style w:type="character" w:styleId="Strong">
    <w:name w:val="Strong"/>
    <w:basedOn w:val="DefaultParagraphFont"/>
    <w:uiPriority w:val="22"/>
    <w:qFormat/>
    <w:rsid w:val="00CF7669"/>
    <w:rPr>
      <w:b/>
      <w:bCs/>
      <w:sz w:val="24"/>
      <w:szCs w:val="24"/>
      <w:bdr w:val="none" w:sz="0" w:space="0" w:color="auto" w:frame="1"/>
      <w:vertAlign w:val="baseline"/>
    </w:rPr>
  </w:style>
  <w:style w:type="paragraph" w:styleId="ListParagraph">
    <w:name w:val="List Paragraph"/>
    <w:basedOn w:val="Normal"/>
    <w:uiPriority w:val="34"/>
    <w:qFormat/>
    <w:rsid w:val="00CF7669"/>
    <w:pPr>
      <w:ind w:left="720"/>
      <w:contextualSpacing/>
    </w:pPr>
  </w:style>
  <w:style w:type="paragraph" w:customStyle="1" w:styleId="Articlestyle1">
    <w:name w:val="Article style1"/>
    <w:basedOn w:val="Normal"/>
    <w:rsid w:val="000A7A80"/>
    <w:pPr>
      <w:numPr>
        <w:numId w:val="14"/>
      </w:numPr>
      <w:spacing w:before="100" w:beforeAutospacing="1" w:after="100" w:afterAutospacing="1"/>
    </w:pPr>
    <w:rPr>
      <w:rFonts w:ascii="Arial" w:hAnsi="Arial"/>
      <w:sz w:val="20"/>
    </w:rPr>
  </w:style>
  <w:style w:type="character" w:customStyle="1" w:styleId="CommentTextChar">
    <w:name w:val="Comment Text Char"/>
    <w:basedOn w:val="DefaultParagraphFont"/>
    <w:link w:val="CommentText"/>
    <w:semiHidden/>
    <w:rsid w:val="000A7A80"/>
  </w:style>
  <w:style w:type="paragraph" w:customStyle="1" w:styleId="Bullet">
    <w:name w:val="Bullet"/>
    <w:aliases w:val="b"/>
    <w:basedOn w:val="Normal"/>
    <w:uiPriority w:val="99"/>
    <w:rsid w:val="00D61709"/>
    <w:pPr>
      <w:numPr>
        <w:numId w:val="16"/>
      </w:numPr>
    </w:pPr>
    <w:rPr>
      <w:rFonts w:asciiTheme="minorHAnsi" w:eastAsiaTheme="minorHAnsi" w:hAnsiTheme="minorHAnsi" w:cstheme="minorBidi"/>
      <w:sz w:val="24"/>
      <w:szCs w:val="22"/>
      <w:lang w:eastAsia="en-US"/>
    </w:rPr>
  </w:style>
  <w:style w:type="paragraph" w:customStyle="1" w:styleId="Dash">
    <w:name w:val="Dash"/>
    <w:basedOn w:val="Normal"/>
    <w:rsid w:val="00D61709"/>
    <w:pPr>
      <w:numPr>
        <w:ilvl w:val="1"/>
        <w:numId w:val="16"/>
      </w:numPr>
    </w:pPr>
    <w:rPr>
      <w:sz w:val="24"/>
    </w:rPr>
  </w:style>
  <w:style w:type="paragraph" w:customStyle="1" w:styleId="DoubleDot">
    <w:name w:val="Double Dot"/>
    <w:basedOn w:val="Normal"/>
    <w:rsid w:val="00D61709"/>
    <w:pPr>
      <w:numPr>
        <w:ilvl w:val="2"/>
        <w:numId w:val="16"/>
      </w:numPr>
    </w:pPr>
    <w:rPr>
      <w:sz w:val="24"/>
    </w:rPr>
  </w:style>
  <w:style w:type="paragraph" w:customStyle="1" w:styleId="Default">
    <w:name w:val="Default"/>
    <w:rsid w:val="006C3DB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A40AD"/>
    <w:rPr>
      <w:b/>
      <w:bCs/>
    </w:rPr>
  </w:style>
  <w:style w:type="character" w:customStyle="1" w:styleId="CommentSubjectChar">
    <w:name w:val="Comment Subject Char"/>
    <w:basedOn w:val="CommentTextChar"/>
    <w:link w:val="CommentSubject"/>
    <w:uiPriority w:val="99"/>
    <w:semiHidden/>
    <w:rsid w:val="00FA40AD"/>
    <w:rPr>
      <w:b/>
      <w:bCs/>
    </w:rPr>
  </w:style>
  <w:style w:type="table" w:styleId="TableGrid">
    <w:name w:val="Table Grid"/>
    <w:basedOn w:val="TableNormal"/>
    <w:uiPriority w:val="59"/>
    <w:rsid w:val="00FF36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579DB"/>
    <w:rPr>
      <w:sz w:val="22"/>
      <w:szCs w:val="22"/>
    </w:rPr>
  </w:style>
  <w:style w:type="character" w:customStyle="1" w:styleId="Heading1Char">
    <w:name w:val="Heading 1 Char"/>
    <w:basedOn w:val="DefaultParagraphFont"/>
    <w:link w:val="Heading1"/>
    <w:rsid w:val="00606F75"/>
    <w:rPr>
      <w:rFonts w:ascii="Arial" w:hAnsi="Arial" w:cs="Arial"/>
      <w:b/>
      <w:kern w:val="28"/>
      <w:sz w:val="36"/>
      <w:szCs w:val="36"/>
    </w:rPr>
  </w:style>
  <w:style w:type="paragraph" w:styleId="Revision">
    <w:name w:val="Revision"/>
    <w:hidden/>
    <w:uiPriority w:val="99"/>
    <w:semiHidden/>
    <w:rsid w:val="00C2072A"/>
    <w:rPr>
      <w:sz w:val="22"/>
    </w:rPr>
  </w:style>
  <w:style w:type="character" w:customStyle="1" w:styleId="HeaderChar">
    <w:name w:val="Header Char"/>
    <w:basedOn w:val="DefaultParagraphFont"/>
    <w:link w:val="Header"/>
    <w:rsid w:val="00153C8E"/>
    <w:rPr>
      <w:rFonts w:ascii="Arial" w:hAnsi="Arial" w:cs="Arial"/>
      <w:caps/>
      <w:color w:val="00829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21"/>
    <w:pPr>
      <w:spacing w:after="240"/>
    </w:pPr>
    <w:rPr>
      <w:sz w:val="22"/>
    </w:rPr>
  </w:style>
  <w:style w:type="paragraph" w:styleId="Heading1">
    <w:name w:val="heading 1"/>
    <w:basedOn w:val="Normal"/>
    <w:next w:val="BodyText"/>
    <w:link w:val="Heading1Char"/>
    <w:qFormat/>
    <w:rsid w:val="00D1072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D10721"/>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D1072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D1072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D1072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D1072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D1072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0721"/>
    <w:pPr>
      <w:numPr>
        <w:numId w:val="7"/>
      </w:numPr>
      <w:spacing w:before="200" w:after="0" w:line="300" w:lineRule="atLeast"/>
    </w:pPr>
    <w:rPr>
      <w:szCs w:val="22"/>
    </w:rPr>
  </w:style>
  <w:style w:type="paragraph" w:customStyle="1" w:styleId="Tiptext">
    <w:name w:val="Tip text"/>
    <w:basedOn w:val="Fronttext"/>
    <w:next w:val="Bodytextplain"/>
    <w:rsid w:val="007C2288"/>
    <w:rPr>
      <w:vanish/>
      <w:color w:val="800000"/>
    </w:rPr>
  </w:style>
  <w:style w:type="paragraph" w:customStyle="1" w:styleId="tblnote">
    <w:name w:val="tbl note"/>
    <w:basedOn w:val="sourcenotefullwidth"/>
    <w:next w:val="tbltext"/>
    <w:qFormat/>
    <w:rsid w:val="00D10721"/>
    <w:pPr>
      <w:ind w:left="425"/>
    </w:pPr>
  </w:style>
  <w:style w:type="paragraph" w:styleId="Footer">
    <w:name w:val="footer"/>
    <w:basedOn w:val="Normal"/>
    <w:link w:val="FooterChar"/>
    <w:rsid w:val="00D10721"/>
    <w:pPr>
      <w:tabs>
        <w:tab w:val="right" w:pos="9070"/>
      </w:tabs>
      <w:spacing w:after="0"/>
    </w:pPr>
    <w:rPr>
      <w:rFonts w:ascii="Arial" w:hAnsi="Arial"/>
      <w:sz w:val="16"/>
      <w:szCs w:val="16"/>
    </w:rPr>
  </w:style>
  <w:style w:type="character" w:styleId="PageNumber">
    <w:name w:val="page number"/>
    <w:basedOn w:val="DefaultParagraphFont"/>
    <w:rsid w:val="00D10721"/>
    <w:rPr>
      <w:b/>
      <w:sz w:val="20"/>
    </w:rPr>
  </w:style>
  <w:style w:type="paragraph" w:styleId="Header">
    <w:name w:val="header"/>
    <w:basedOn w:val="Normal"/>
    <w:link w:val="HeaderChar"/>
    <w:rsid w:val="00D1072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D1072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D10721"/>
    <w:pPr>
      <w:numPr>
        <w:ilvl w:val="1"/>
      </w:numPr>
    </w:pPr>
  </w:style>
  <w:style w:type="paragraph" w:customStyle="1" w:styleId="ListNumber10">
    <w:name w:val="List Number1"/>
    <w:basedOn w:val="Normal"/>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D10721"/>
    <w:pPr>
      <w:ind w:left="3260"/>
    </w:pPr>
  </w:style>
  <w:style w:type="paragraph" w:customStyle="1" w:styleId="figuretitlefullwidth">
    <w:name w:val="figure title full width"/>
    <w:basedOn w:val="tabletitlefullwidth"/>
    <w:next w:val="figuretext"/>
    <w:rsid w:val="00D10721"/>
    <w:rPr>
      <w:szCs w:val="22"/>
    </w:rPr>
  </w:style>
  <w:style w:type="paragraph" w:customStyle="1" w:styleId="tabletitlefullwidth">
    <w:name w:val="table title full width"/>
    <w:basedOn w:val="Normal"/>
    <w:rsid w:val="00D1072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D10721"/>
    <w:pPr>
      <w:widowControl w:val="0"/>
      <w:spacing w:after="0" w:line="240" w:lineRule="atLeast"/>
    </w:pPr>
    <w:rPr>
      <w:rFonts w:ascii="Arial" w:hAnsi="Arial" w:cs="Arial"/>
      <w:sz w:val="18"/>
      <w:szCs w:val="18"/>
    </w:rPr>
  </w:style>
  <w:style w:type="paragraph" w:customStyle="1" w:styleId="tbltext">
    <w:name w:val="tbl text"/>
    <w:basedOn w:val="Bodytextplain"/>
    <w:rsid w:val="00D10721"/>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D10721"/>
    <w:pPr>
      <w:numPr>
        <w:numId w:val="0"/>
      </w:numPr>
      <w:ind w:left="2268"/>
    </w:pPr>
  </w:style>
  <w:style w:type="paragraph" w:customStyle="1" w:styleId="tablehead">
    <w:name w:val="table head"/>
    <w:basedOn w:val="Normal"/>
    <w:rsid w:val="00D10721"/>
    <w:pPr>
      <w:keepNext/>
      <w:spacing w:before="120" w:after="0" w:line="240" w:lineRule="atLeast"/>
    </w:pPr>
    <w:rPr>
      <w:rFonts w:ascii="Arial" w:hAnsi="Arial" w:cs="Arial"/>
      <w:b/>
      <w:sz w:val="18"/>
      <w:szCs w:val="18"/>
    </w:rPr>
  </w:style>
  <w:style w:type="paragraph" w:styleId="ListBullet2">
    <w:name w:val="List Bullet 2"/>
    <w:basedOn w:val="Normal"/>
    <w:rsid w:val="00D1072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D10721"/>
    <w:rPr>
      <w:color w:val="0000FF"/>
      <w:u w:val="single"/>
    </w:rPr>
  </w:style>
  <w:style w:type="paragraph" w:customStyle="1" w:styleId="tablebullet">
    <w:name w:val="table bullet"/>
    <w:basedOn w:val="Normal"/>
    <w:rsid w:val="00D1072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D10721"/>
    <w:pPr>
      <w:spacing w:after="0"/>
    </w:pPr>
    <w:rPr>
      <w:sz w:val="18"/>
    </w:rPr>
  </w:style>
  <w:style w:type="character" w:styleId="FootnoteReference">
    <w:name w:val="footnote reference"/>
    <w:basedOn w:val="DefaultParagraphFont"/>
    <w:semiHidden/>
    <w:rsid w:val="00D10721"/>
    <w:rPr>
      <w:vertAlign w:val="superscript"/>
    </w:rPr>
  </w:style>
  <w:style w:type="paragraph" w:styleId="TOC1">
    <w:name w:val="toc 1"/>
    <w:basedOn w:val="Normal"/>
    <w:next w:val="Normal"/>
    <w:autoRedefine/>
    <w:uiPriority w:val="39"/>
    <w:rsid w:val="00D1072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D10721"/>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D1072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D1072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pPr>
      <w:numPr>
        <w:numId w:val="0"/>
      </w:numPr>
    </w:pPr>
  </w:style>
  <w:style w:type="paragraph" w:customStyle="1" w:styleId="tabletitleindented">
    <w:name w:val="table title indented"/>
    <w:basedOn w:val="tabletitlefullwidth"/>
    <w:rsid w:val="00D10721"/>
    <w:pPr>
      <w:ind w:left="3260"/>
    </w:pPr>
  </w:style>
  <w:style w:type="paragraph" w:styleId="Caption">
    <w:name w:val="caption"/>
    <w:basedOn w:val="Normal"/>
    <w:next w:val="Normal"/>
    <w:qFormat/>
    <w:rsid w:val="00D10721"/>
    <w:pPr>
      <w:spacing w:before="120" w:after="120"/>
    </w:pPr>
    <w:rPr>
      <w:b/>
      <w:bCs/>
      <w:sz w:val="20"/>
    </w:rPr>
  </w:style>
  <w:style w:type="paragraph" w:customStyle="1" w:styleId="tabledash">
    <w:name w:val="table dash"/>
    <w:basedOn w:val="tablebullet"/>
    <w:rsid w:val="00D10721"/>
    <w:pPr>
      <w:numPr>
        <w:numId w:val="4"/>
      </w:numPr>
    </w:pPr>
  </w:style>
  <w:style w:type="paragraph" w:customStyle="1" w:styleId="Tablebody">
    <w:name w:val="Table body"/>
    <w:basedOn w:val="Normal"/>
    <w:semiHidden/>
    <w:rsid w:val="00D1072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D1072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D1072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D10721"/>
    <w:rPr>
      <w:b w:val="0"/>
    </w:rPr>
  </w:style>
  <w:style w:type="character" w:customStyle="1" w:styleId="KPboldChar">
    <w:name w:val="KP bold Char"/>
    <w:rPr>
      <w:rFonts w:ascii="Arial" w:hAnsi="Arial" w:cs="Arial"/>
      <w:b/>
      <w:lang w:val="en-AU" w:eastAsia="en-AU" w:bidi="ar-SA"/>
    </w:rPr>
  </w:style>
  <w:style w:type="paragraph" w:customStyle="1" w:styleId="KPbullet">
    <w:name w:val="KP bullet"/>
    <w:basedOn w:val="KPtext"/>
    <w:rsid w:val="00D10721"/>
    <w:pPr>
      <w:numPr>
        <w:numId w:val="5"/>
      </w:numPr>
      <w:tabs>
        <w:tab w:val="clear" w:pos="2807"/>
        <w:tab w:val="left" w:pos="2665"/>
      </w:tabs>
      <w:spacing w:before="100"/>
      <w:ind w:left="2665" w:hanging="284"/>
    </w:pPr>
  </w:style>
  <w:style w:type="paragraph" w:customStyle="1" w:styleId="Note">
    <w:name w:val="Note"/>
    <w:basedOn w:val="BodyText"/>
    <w:next w:val="BodyText"/>
    <w:rsid w:val="00D10721"/>
    <w:pPr>
      <w:numPr>
        <w:numId w:val="0"/>
      </w:numPr>
      <w:spacing w:line="240" w:lineRule="atLeast"/>
      <w:ind w:left="2693"/>
    </w:pPr>
    <w:rPr>
      <w:sz w:val="18"/>
    </w:rPr>
  </w:style>
  <w:style w:type="paragraph" w:customStyle="1" w:styleId="subparaa">
    <w:name w:val="sub para (a)"/>
    <w:basedOn w:val="BodyText"/>
    <w:rsid w:val="00D10721"/>
    <w:pPr>
      <w:numPr>
        <w:ilvl w:val="1"/>
      </w:numPr>
      <w:spacing w:before="100"/>
    </w:pPr>
  </w:style>
  <w:style w:type="paragraph" w:customStyle="1" w:styleId="Listdash">
    <w:name w:val="List dash"/>
    <w:basedOn w:val="Normal"/>
    <w:pPr>
      <w:numPr>
        <w:numId w:val="8"/>
      </w:numPr>
      <w:spacing w:before="100" w:after="0" w:line="300" w:lineRule="atLeast"/>
      <w:ind w:left="3118" w:hanging="425"/>
    </w:pPr>
  </w:style>
  <w:style w:type="paragraph" w:customStyle="1" w:styleId="Feedbackhead">
    <w:name w:val="Feedback head"/>
    <w:basedOn w:val="KPhead"/>
    <w:next w:val="Feedbackquestion"/>
    <w:rsid w:val="00D1072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D1072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D10721"/>
    <w:pPr>
      <w:numPr>
        <w:ilvl w:val="5"/>
      </w:numPr>
    </w:pPr>
  </w:style>
  <w:style w:type="paragraph" w:customStyle="1" w:styleId="figuretitle">
    <w:name w:val="figure title"/>
    <w:basedOn w:val="Normal"/>
    <w:next w:val="figuretext"/>
    <w:pPr>
      <w:keepNext/>
      <w:spacing w:before="360" w:after="60"/>
      <w:ind w:left="2268" w:hanging="1276"/>
    </w:pPr>
    <w:rPr>
      <w:rFonts w:ascii="Arial" w:hAnsi="Arial"/>
      <w:b/>
      <w:sz w:val="20"/>
    </w:rPr>
  </w:style>
  <w:style w:type="paragraph" w:customStyle="1" w:styleId="subsubparai">
    <w:name w:val="sub sub para (i)"/>
    <w:basedOn w:val="subparaa"/>
    <w:rsid w:val="00D10721"/>
    <w:pPr>
      <w:numPr>
        <w:ilvl w:val="2"/>
      </w:numPr>
    </w:pPr>
  </w:style>
  <w:style w:type="paragraph" w:customStyle="1" w:styleId="DescriptorRG">
    <w:name w:val="Descriptor RG"/>
    <w:basedOn w:val="Normal"/>
    <w:next w:val="Normal"/>
    <w:rsid w:val="00D1072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7C2288"/>
    <w:pPr>
      <w:keepNext w:val="0"/>
    </w:pPr>
    <w:rPr>
      <w:b w:val="0"/>
    </w:rPr>
  </w:style>
  <w:style w:type="paragraph" w:customStyle="1" w:styleId="DescriptorCP">
    <w:name w:val="Descriptor CP"/>
    <w:basedOn w:val="DescriptorRG"/>
    <w:next w:val="Normal"/>
    <w:rsid w:val="00D1072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D10721"/>
    <w:pPr>
      <w:spacing w:line="260" w:lineRule="atLeast"/>
    </w:pPr>
    <w:rPr>
      <w:rFonts w:ascii="Arial" w:hAnsi="Arial" w:cs="Arial"/>
      <w:sz w:val="20"/>
      <w:szCs w:val="20"/>
    </w:rPr>
  </w:style>
  <w:style w:type="paragraph" w:customStyle="1" w:styleId="Frontbullet">
    <w:name w:val="Front bullet"/>
    <w:basedOn w:val="Fronttext"/>
    <w:rsid w:val="00D10721"/>
    <w:pPr>
      <w:numPr>
        <w:ilvl w:val="5"/>
        <w:numId w:val="9"/>
      </w:numPr>
      <w:spacing w:before="120"/>
    </w:pPr>
  </w:style>
  <w:style w:type="paragraph" w:customStyle="1" w:styleId="Frontheading">
    <w:name w:val="Front heading"/>
    <w:basedOn w:val="Heading3"/>
    <w:next w:val="Fronttext"/>
    <w:rsid w:val="00D10721"/>
  </w:style>
  <w:style w:type="paragraph" w:customStyle="1" w:styleId="Blockquote">
    <w:name w:val="Block quote"/>
    <w:basedOn w:val="Bodytextplain"/>
    <w:rsid w:val="00D10721"/>
    <w:pPr>
      <w:spacing w:before="100" w:line="240" w:lineRule="auto"/>
      <w:ind w:left="2693"/>
    </w:pPr>
    <w:rPr>
      <w:sz w:val="21"/>
      <w:szCs w:val="21"/>
    </w:rPr>
  </w:style>
  <w:style w:type="paragraph" w:customStyle="1" w:styleId="Heading2noToC">
    <w:name w:val="Heading 2 no ToC"/>
    <w:basedOn w:val="Bodytextplain"/>
    <w:next w:val="Bodytextplain"/>
    <w:pPr>
      <w:spacing w:before="720"/>
      <w:ind w:left="0"/>
    </w:pPr>
    <w:rPr>
      <w:rFonts w:ascii="Arial" w:hAnsi="Arial" w:cs="Arial"/>
      <w:b/>
      <w:sz w:val="28"/>
      <w:szCs w:val="28"/>
    </w:rPr>
  </w:style>
  <w:style w:type="paragraph" w:customStyle="1" w:styleId="Proposalhead">
    <w:name w:val="Proposal head"/>
    <w:basedOn w:val="Bodytextplain"/>
    <w:next w:val="Proposaltext"/>
    <w:rsid w:val="00D1072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D1072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D10721"/>
    <w:pPr>
      <w:numPr>
        <w:ilvl w:val="2"/>
      </w:numPr>
      <w:spacing w:before="100"/>
    </w:pPr>
  </w:style>
  <w:style w:type="paragraph" w:customStyle="1" w:styleId="Proposalsubsubpara">
    <w:name w:val="Proposal sub sub para"/>
    <w:basedOn w:val="Proposaltext"/>
    <w:rsid w:val="00D10721"/>
    <w:pPr>
      <w:numPr>
        <w:ilvl w:val="3"/>
      </w:numPr>
      <w:spacing w:before="100"/>
    </w:pPr>
  </w:style>
  <w:style w:type="paragraph" w:customStyle="1" w:styleId="Proposalnote">
    <w:name w:val="Proposal note"/>
    <w:basedOn w:val="Note"/>
    <w:rsid w:val="00D10721"/>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D10721"/>
    <w:rPr>
      <w:sz w:val="16"/>
      <w:szCs w:val="16"/>
    </w:rPr>
  </w:style>
  <w:style w:type="paragraph" w:styleId="CommentText">
    <w:name w:val="annotation text"/>
    <w:basedOn w:val="Normal"/>
    <w:link w:val="CommentTextChar"/>
    <w:uiPriority w:val="99"/>
    <w:semiHidden/>
    <w:rsid w:val="00D10721"/>
    <w:rPr>
      <w:sz w:val="20"/>
    </w:rPr>
  </w:style>
  <w:style w:type="paragraph" w:customStyle="1" w:styleId="issueddate">
    <w:name w:val="issued dat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D10721"/>
    <w:rPr>
      <w:rFonts w:ascii="Tahoma" w:hAnsi="Tahoma" w:cs="Tahoma"/>
      <w:sz w:val="16"/>
      <w:szCs w:val="16"/>
    </w:rPr>
  </w:style>
  <w:style w:type="paragraph" w:customStyle="1" w:styleId="boxbullet">
    <w:name w:val="box bullet"/>
    <w:basedOn w:val="Frontbullet"/>
    <w:rsid w:val="00D10721"/>
    <w:pPr>
      <w:numPr>
        <w:ilvl w:val="0"/>
        <w:numId w:val="11"/>
      </w:numPr>
      <w:spacing w:before="60"/>
    </w:pPr>
  </w:style>
  <w:style w:type="paragraph" w:customStyle="1" w:styleId="boxtext">
    <w:name w:val="box text"/>
    <w:basedOn w:val="Fronttext"/>
    <w:rsid w:val="00D10721"/>
    <w:pPr>
      <w:spacing w:before="120"/>
      <w:ind w:left="0"/>
    </w:pPr>
  </w:style>
  <w:style w:type="character" w:customStyle="1" w:styleId="FooterChar">
    <w:name w:val="Footer Char"/>
    <w:link w:val="Footer"/>
    <w:rsid w:val="00EA6380"/>
    <w:rPr>
      <w:rFonts w:ascii="Arial" w:hAnsi="Arial"/>
      <w:sz w:val="16"/>
      <w:szCs w:val="16"/>
    </w:rPr>
  </w:style>
  <w:style w:type="paragraph" w:customStyle="1" w:styleId="sourcenotefullwidth">
    <w:name w:val="source note full width"/>
    <w:rsid w:val="00D10721"/>
    <w:pPr>
      <w:spacing w:before="120"/>
    </w:pPr>
    <w:rPr>
      <w:rFonts w:ascii="Arial" w:hAnsi="Arial"/>
      <w:sz w:val="16"/>
      <w:szCs w:val="22"/>
    </w:rPr>
  </w:style>
  <w:style w:type="paragraph" w:customStyle="1" w:styleId="ListNumber1">
    <w:name w:val="List Number1"/>
    <w:basedOn w:val="Normal"/>
    <w:rsid w:val="00D10721"/>
    <w:pPr>
      <w:numPr>
        <w:numId w:val="1"/>
      </w:numPr>
      <w:spacing w:before="100" w:after="0" w:line="300" w:lineRule="atLeast"/>
    </w:pPr>
    <w:rPr>
      <w:szCs w:val="24"/>
    </w:rPr>
  </w:style>
  <w:style w:type="paragraph" w:customStyle="1" w:styleId="sub3paraA">
    <w:name w:val="sub3para (A)"/>
    <w:basedOn w:val="subsubparai"/>
    <w:qFormat/>
    <w:rsid w:val="00D10721"/>
    <w:pPr>
      <w:numPr>
        <w:ilvl w:val="3"/>
      </w:numPr>
    </w:pPr>
  </w:style>
  <w:style w:type="paragraph" w:customStyle="1" w:styleId="sub4paraI">
    <w:name w:val="sub4para (I)"/>
    <w:basedOn w:val="subsubparai"/>
    <w:qFormat/>
    <w:rsid w:val="00D10721"/>
    <w:pPr>
      <w:numPr>
        <w:ilvl w:val="4"/>
      </w:numPr>
    </w:pPr>
  </w:style>
  <w:style w:type="paragraph" w:customStyle="1" w:styleId="Feedbacksubsubquestion">
    <w:name w:val="Feedback subsubquestion"/>
    <w:basedOn w:val="Feedbacksubquestion"/>
    <w:qFormat/>
    <w:rsid w:val="00D10721"/>
    <w:pPr>
      <w:numPr>
        <w:ilvl w:val="6"/>
      </w:numPr>
    </w:pPr>
  </w:style>
  <w:style w:type="paragraph" w:customStyle="1" w:styleId="sourcenoteindented">
    <w:name w:val="source note indented"/>
    <w:basedOn w:val="sourcenotefullwidth"/>
    <w:qFormat/>
    <w:rsid w:val="00D10721"/>
    <w:pPr>
      <w:ind w:left="2268"/>
    </w:pPr>
  </w:style>
  <w:style w:type="paragraph" w:customStyle="1" w:styleId="tblProposalsubpara">
    <w:name w:val="tbl Proposal sub para"/>
    <w:basedOn w:val="tbltext"/>
    <w:qFormat/>
    <w:rsid w:val="00D10721"/>
    <w:pPr>
      <w:ind w:left="885" w:hanging="425"/>
    </w:pPr>
  </w:style>
  <w:style w:type="paragraph" w:customStyle="1" w:styleId="tblProposalsubsubpara">
    <w:name w:val="tbl Proposal sub sub para"/>
    <w:basedOn w:val="tbltext"/>
    <w:qFormat/>
    <w:rsid w:val="00D10721"/>
    <w:pPr>
      <w:ind w:left="1310" w:hanging="425"/>
    </w:pPr>
  </w:style>
  <w:style w:type="paragraph" w:customStyle="1" w:styleId="tblProposaltext">
    <w:name w:val="tbl Proposal text"/>
    <w:basedOn w:val="tbltext"/>
    <w:qFormat/>
    <w:rsid w:val="00D10721"/>
    <w:pPr>
      <w:ind w:left="425" w:hanging="425"/>
    </w:pPr>
  </w:style>
  <w:style w:type="paragraph" w:customStyle="1" w:styleId="tblProposaltextnonumber">
    <w:name w:val="tbl Proposal text no number"/>
    <w:basedOn w:val="tbltext"/>
    <w:qFormat/>
    <w:rsid w:val="00D10721"/>
    <w:pPr>
      <w:ind w:left="425"/>
    </w:pPr>
  </w:style>
  <w:style w:type="paragraph" w:customStyle="1" w:styleId="tblFeedbackquestion">
    <w:name w:val="tbl Feedback question"/>
    <w:basedOn w:val="Proposaltext"/>
    <w:qFormat/>
    <w:rsid w:val="00D1072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D10721"/>
    <w:rPr>
      <w:sz w:val="16"/>
      <w:szCs w:val="16"/>
    </w:rPr>
  </w:style>
  <w:style w:type="paragraph" w:customStyle="1" w:styleId="tblFeedbacksubquestion">
    <w:name w:val="tbl Feedback subquestion"/>
    <w:basedOn w:val="tblProposalsubpara"/>
    <w:rsid w:val="00D10721"/>
    <w:pPr>
      <w:ind w:left="964" w:hanging="340"/>
    </w:pPr>
  </w:style>
  <w:style w:type="paragraph" w:customStyle="1" w:styleId="tblFeedbacksubsubquestion">
    <w:name w:val="tbl Feedback subsubquestion"/>
    <w:basedOn w:val="tblProposalsubsubpara"/>
    <w:qFormat/>
    <w:rsid w:val="00D10721"/>
    <w:pPr>
      <w:ind w:left="1304" w:hanging="340"/>
    </w:pPr>
  </w:style>
  <w:style w:type="character" w:customStyle="1" w:styleId="Heading4Char">
    <w:name w:val="Heading 4 Char"/>
    <w:basedOn w:val="DefaultParagraphFont"/>
    <w:link w:val="Heading4"/>
    <w:rsid w:val="001E64E9"/>
    <w:rPr>
      <w:rFonts w:ascii="Arial" w:hAnsi="Arial" w:cs="Arial"/>
      <w:b/>
      <w:szCs w:val="22"/>
    </w:rPr>
  </w:style>
  <w:style w:type="character" w:styleId="Strong">
    <w:name w:val="Strong"/>
    <w:basedOn w:val="DefaultParagraphFont"/>
    <w:uiPriority w:val="22"/>
    <w:qFormat/>
    <w:rsid w:val="00CF7669"/>
    <w:rPr>
      <w:b/>
      <w:bCs/>
      <w:sz w:val="24"/>
      <w:szCs w:val="24"/>
      <w:bdr w:val="none" w:sz="0" w:space="0" w:color="auto" w:frame="1"/>
      <w:vertAlign w:val="baseline"/>
    </w:rPr>
  </w:style>
  <w:style w:type="paragraph" w:styleId="ListParagraph">
    <w:name w:val="List Paragraph"/>
    <w:basedOn w:val="Normal"/>
    <w:uiPriority w:val="34"/>
    <w:qFormat/>
    <w:rsid w:val="00CF7669"/>
    <w:pPr>
      <w:ind w:left="720"/>
      <w:contextualSpacing/>
    </w:pPr>
  </w:style>
  <w:style w:type="paragraph" w:customStyle="1" w:styleId="Articlestyle1">
    <w:name w:val="Article style1"/>
    <w:basedOn w:val="Normal"/>
    <w:rsid w:val="000A7A80"/>
    <w:pPr>
      <w:numPr>
        <w:numId w:val="14"/>
      </w:numPr>
      <w:spacing w:before="100" w:beforeAutospacing="1" w:after="100" w:afterAutospacing="1"/>
    </w:pPr>
    <w:rPr>
      <w:rFonts w:ascii="Arial" w:hAnsi="Arial"/>
      <w:sz w:val="20"/>
    </w:rPr>
  </w:style>
  <w:style w:type="character" w:customStyle="1" w:styleId="CommentTextChar">
    <w:name w:val="Comment Text Char"/>
    <w:basedOn w:val="DefaultParagraphFont"/>
    <w:link w:val="CommentText"/>
    <w:semiHidden/>
    <w:rsid w:val="000A7A80"/>
  </w:style>
  <w:style w:type="paragraph" w:customStyle="1" w:styleId="Bullet">
    <w:name w:val="Bullet"/>
    <w:aliases w:val="b"/>
    <w:basedOn w:val="Normal"/>
    <w:uiPriority w:val="99"/>
    <w:rsid w:val="00D61709"/>
    <w:pPr>
      <w:numPr>
        <w:numId w:val="16"/>
      </w:numPr>
    </w:pPr>
    <w:rPr>
      <w:rFonts w:asciiTheme="minorHAnsi" w:eastAsiaTheme="minorHAnsi" w:hAnsiTheme="minorHAnsi" w:cstheme="minorBidi"/>
      <w:sz w:val="24"/>
      <w:szCs w:val="22"/>
      <w:lang w:eastAsia="en-US"/>
    </w:rPr>
  </w:style>
  <w:style w:type="paragraph" w:customStyle="1" w:styleId="Dash">
    <w:name w:val="Dash"/>
    <w:basedOn w:val="Normal"/>
    <w:rsid w:val="00D61709"/>
    <w:pPr>
      <w:numPr>
        <w:ilvl w:val="1"/>
        <w:numId w:val="16"/>
      </w:numPr>
    </w:pPr>
    <w:rPr>
      <w:sz w:val="24"/>
    </w:rPr>
  </w:style>
  <w:style w:type="paragraph" w:customStyle="1" w:styleId="DoubleDot">
    <w:name w:val="Double Dot"/>
    <w:basedOn w:val="Normal"/>
    <w:rsid w:val="00D61709"/>
    <w:pPr>
      <w:numPr>
        <w:ilvl w:val="2"/>
        <w:numId w:val="16"/>
      </w:numPr>
    </w:pPr>
    <w:rPr>
      <w:sz w:val="24"/>
    </w:rPr>
  </w:style>
  <w:style w:type="paragraph" w:customStyle="1" w:styleId="Default">
    <w:name w:val="Default"/>
    <w:rsid w:val="006C3DB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A40AD"/>
    <w:rPr>
      <w:b/>
      <w:bCs/>
    </w:rPr>
  </w:style>
  <w:style w:type="character" w:customStyle="1" w:styleId="CommentSubjectChar">
    <w:name w:val="Comment Subject Char"/>
    <w:basedOn w:val="CommentTextChar"/>
    <w:link w:val="CommentSubject"/>
    <w:uiPriority w:val="99"/>
    <w:semiHidden/>
    <w:rsid w:val="00FA40AD"/>
    <w:rPr>
      <w:b/>
      <w:bCs/>
    </w:rPr>
  </w:style>
  <w:style w:type="table" w:styleId="TableGrid">
    <w:name w:val="Table Grid"/>
    <w:basedOn w:val="TableNormal"/>
    <w:uiPriority w:val="59"/>
    <w:rsid w:val="00FF36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579DB"/>
    <w:rPr>
      <w:sz w:val="22"/>
      <w:szCs w:val="22"/>
    </w:rPr>
  </w:style>
  <w:style w:type="character" w:customStyle="1" w:styleId="Heading1Char">
    <w:name w:val="Heading 1 Char"/>
    <w:basedOn w:val="DefaultParagraphFont"/>
    <w:link w:val="Heading1"/>
    <w:rsid w:val="00606F75"/>
    <w:rPr>
      <w:rFonts w:ascii="Arial" w:hAnsi="Arial" w:cs="Arial"/>
      <w:b/>
      <w:kern w:val="28"/>
      <w:sz w:val="36"/>
      <w:szCs w:val="36"/>
    </w:rPr>
  </w:style>
  <w:style w:type="paragraph" w:styleId="Revision">
    <w:name w:val="Revision"/>
    <w:hidden/>
    <w:uiPriority w:val="99"/>
    <w:semiHidden/>
    <w:rsid w:val="00C2072A"/>
    <w:rPr>
      <w:sz w:val="22"/>
    </w:rPr>
  </w:style>
  <w:style w:type="character" w:customStyle="1" w:styleId="HeaderChar">
    <w:name w:val="Header Char"/>
    <w:basedOn w:val="DefaultParagraphFont"/>
    <w:link w:val="Header"/>
    <w:rsid w:val="00153C8E"/>
    <w:rPr>
      <w:rFonts w:ascii="Arial" w:hAnsi="Arial" w:cs="Arial"/>
      <w:caps/>
      <w:color w:val="00829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3071">
      <w:bodyDiv w:val="1"/>
      <w:marLeft w:val="0"/>
      <w:marRight w:val="0"/>
      <w:marTop w:val="0"/>
      <w:marBottom w:val="0"/>
      <w:divBdr>
        <w:top w:val="none" w:sz="0" w:space="0" w:color="auto"/>
        <w:left w:val="none" w:sz="0" w:space="0" w:color="auto"/>
        <w:bottom w:val="none" w:sz="0" w:space="0" w:color="auto"/>
        <w:right w:val="none" w:sz="0" w:space="0" w:color="auto"/>
      </w:divBdr>
      <w:divsChild>
        <w:div w:id="368647571">
          <w:marLeft w:val="0"/>
          <w:marRight w:val="0"/>
          <w:marTop w:val="0"/>
          <w:marBottom w:val="0"/>
          <w:divBdr>
            <w:top w:val="none" w:sz="0" w:space="0" w:color="auto"/>
            <w:left w:val="none" w:sz="0" w:space="0" w:color="auto"/>
            <w:bottom w:val="none" w:sz="0" w:space="0" w:color="auto"/>
            <w:right w:val="none" w:sz="0" w:space="0" w:color="auto"/>
          </w:divBdr>
          <w:divsChild>
            <w:div w:id="1424454444">
              <w:marLeft w:val="0"/>
              <w:marRight w:val="0"/>
              <w:marTop w:val="0"/>
              <w:marBottom w:val="0"/>
              <w:divBdr>
                <w:top w:val="none" w:sz="0" w:space="0" w:color="auto"/>
                <w:left w:val="none" w:sz="0" w:space="0" w:color="auto"/>
                <w:bottom w:val="none" w:sz="0" w:space="0" w:color="auto"/>
                <w:right w:val="none" w:sz="0" w:space="0" w:color="auto"/>
              </w:divBdr>
              <w:divsChild>
                <w:div w:id="1304232979">
                  <w:marLeft w:val="0"/>
                  <w:marRight w:val="0"/>
                  <w:marTop w:val="0"/>
                  <w:marBottom w:val="0"/>
                  <w:divBdr>
                    <w:top w:val="none" w:sz="0" w:space="0" w:color="auto"/>
                    <w:left w:val="none" w:sz="0" w:space="0" w:color="auto"/>
                    <w:bottom w:val="none" w:sz="0" w:space="0" w:color="auto"/>
                    <w:right w:val="none" w:sz="0" w:space="0" w:color="auto"/>
                  </w:divBdr>
                  <w:divsChild>
                    <w:div w:id="1021664695">
                      <w:marLeft w:val="150"/>
                      <w:marRight w:val="150"/>
                      <w:marTop w:val="0"/>
                      <w:marBottom w:val="0"/>
                      <w:divBdr>
                        <w:top w:val="none" w:sz="0" w:space="0" w:color="auto"/>
                        <w:left w:val="none" w:sz="0" w:space="0" w:color="auto"/>
                        <w:bottom w:val="none" w:sz="0" w:space="0" w:color="auto"/>
                        <w:right w:val="none" w:sz="0" w:space="0" w:color="auto"/>
                      </w:divBdr>
                      <w:divsChild>
                        <w:div w:id="1047559452">
                          <w:marLeft w:val="0"/>
                          <w:marRight w:val="0"/>
                          <w:marTop w:val="0"/>
                          <w:marBottom w:val="0"/>
                          <w:divBdr>
                            <w:top w:val="none" w:sz="0" w:space="0" w:color="auto"/>
                            <w:left w:val="none" w:sz="0" w:space="0" w:color="auto"/>
                            <w:bottom w:val="none" w:sz="0" w:space="0" w:color="auto"/>
                            <w:right w:val="none" w:sz="0" w:space="0" w:color="auto"/>
                          </w:divBdr>
                          <w:divsChild>
                            <w:div w:id="1201167988">
                              <w:marLeft w:val="0"/>
                              <w:marRight w:val="0"/>
                              <w:marTop w:val="0"/>
                              <w:marBottom w:val="0"/>
                              <w:divBdr>
                                <w:top w:val="none" w:sz="0" w:space="0" w:color="auto"/>
                                <w:left w:val="none" w:sz="0" w:space="0" w:color="auto"/>
                                <w:bottom w:val="none" w:sz="0" w:space="0" w:color="auto"/>
                                <w:right w:val="none" w:sz="0" w:space="0" w:color="auto"/>
                              </w:divBdr>
                              <w:divsChild>
                                <w:div w:id="2015186931">
                                  <w:marLeft w:val="0"/>
                                  <w:marRight w:val="0"/>
                                  <w:marTop w:val="0"/>
                                  <w:marBottom w:val="0"/>
                                  <w:divBdr>
                                    <w:top w:val="none" w:sz="0" w:space="0" w:color="auto"/>
                                    <w:left w:val="none" w:sz="0" w:space="0" w:color="auto"/>
                                    <w:bottom w:val="none" w:sz="0" w:space="0" w:color="auto"/>
                                    <w:right w:val="none" w:sz="0" w:space="0" w:color="auto"/>
                                  </w:divBdr>
                                  <w:divsChild>
                                    <w:div w:id="1027560340">
                                      <w:marLeft w:val="0"/>
                                      <w:marRight w:val="0"/>
                                      <w:marTop w:val="0"/>
                                      <w:marBottom w:val="0"/>
                                      <w:divBdr>
                                        <w:top w:val="none" w:sz="0" w:space="0" w:color="auto"/>
                                        <w:left w:val="none" w:sz="0" w:space="0" w:color="auto"/>
                                        <w:bottom w:val="none" w:sz="0" w:space="0" w:color="auto"/>
                                        <w:right w:val="none" w:sz="0" w:space="0" w:color="auto"/>
                                      </w:divBdr>
                                      <w:divsChild>
                                        <w:div w:id="490564760">
                                          <w:marLeft w:val="0"/>
                                          <w:marRight w:val="0"/>
                                          <w:marTop w:val="0"/>
                                          <w:marBottom w:val="0"/>
                                          <w:divBdr>
                                            <w:top w:val="none" w:sz="0" w:space="0" w:color="auto"/>
                                            <w:left w:val="none" w:sz="0" w:space="0" w:color="auto"/>
                                            <w:bottom w:val="none" w:sz="0" w:space="0" w:color="auto"/>
                                            <w:right w:val="none" w:sz="0" w:space="0" w:color="auto"/>
                                          </w:divBdr>
                                          <w:divsChild>
                                            <w:div w:id="266616530">
                                              <w:marLeft w:val="0"/>
                                              <w:marRight w:val="0"/>
                                              <w:marTop w:val="0"/>
                                              <w:marBottom w:val="0"/>
                                              <w:divBdr>
                                                <w:top w:val="none" w:sz="0" w:space="0" w:color="auto"/>
                                                <w:left w:val="none" w:sz="0" w:space="0" w:color="auto"/>
                                                <w:bottom w:val="none" w:sz="0" w:space="0" w:color="auto"/>
                                                <w:right w:val="none" w:sz="0" w:space="0" w:color="auto"/>
                                              </w:divBdr>
                                              <w:divsChild>
                                                <w:div w:id="1687781252">
                                                  <w:marLeft w:val="0"/>
                                                  <w:marRight w:val="0"/>
                                                  <w:marTop w:val="0"/>
                                                  <w:marBottom w:val="0"/>
                                                  <w:divBdr>
                                                    <w:top w:val="none" w:sz="0" w:space="0" w:color="auto"/>
                                                    <w:left w:val="none" w:sz="0" w:space="0" w:color="auto"/>
                                                    <w:bottom w:val="none" w:sz="0" w:space="0" w:color="auto"/>
                                                    <w:right w:val="none" w:sz="0" w:space="0" w:color="auto"/>
                                                  </w:divBdr>
                                                  <w:divsChild>
                                                    <w:div w:id="18726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CF84-7375-4436-B4A1-082D96DC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0</TotalTime>
  <Pages>16</Pages>
  <Words>11722</Words>
  <Characters>66816</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78382</CharactersWithSpaces>
  <SharedDoc>false</SharedDoc>
  <HyperlinkBase/>
  <HLinks>
    <vt:vector size="60" baseType="variant">
      <vt:variant>
        <vt:i4>1638463</vt:i4>
      </vt:variant>
      <vt:variant>
        <vt:i4>59</vt:i4>
      </vt:variant>
      <vt:variant>
        <vt:i4>0</vt:i4>
      </vt:variant>
      <vt:variant>
        <vt:i4>5</vt:i4>
      </vt:variant>
      <vt:variant>
        <vt:lpwstr/>
      </vt:variant>
      <vt:variant>
        <vt:lpwstr>_Toc256689342</vt:lpwstr>
      </vt:variant>
      <vt:variant>
        <vt:i4>1638463</vt:i4>
      </vt:variant>
      <vt:variant>
        <vt:i4>53</vt:i4>
      </vt:variant>
      <vt:variant>
        <vt:i4>0</vt:i4>
      </vt:variant>
      <vt:variant>
        <vt:i4>5</vt:i4>
      </vt:variant>
      <vt:variant>
        <vt:lpwstr/>
      </vt:variant>
      <vt:variant>
        <vt:lpwstr>_Toc256689341</vt:lpwstr>
      </vt:variant>
      <vt:variant>
        <vt:i4>1638463</vt:i4>
      </vt:variant>
      <vt:variant>
        <vt:i4>47</vt:i4>
      </vt:variant>
      <vt:variant>
        <vt:i4>0</vt:i4>
      </vt:variant>
      <vt:variant>
        <vt:i4>5</vt:i4>
      </vt:variant>
      <vt:variant>
        <vt:lpwstr/>
      </vt:variant>
      <vt:variant>
        <vt:lpwstr>_Toc256689340</vt:lpwstr>
      </vt:variant>
      <vt:variant>
        <vt:i4>1966143</vt:i4>
      </vt:variant>
      <vt:variant>
        <vt:i4>41</vt:i4>
      </vt:variant>
      <vt:variant>
        <vt:i4>0</vt:i4>
      </vt:variant>
      <vt:variant>
        <vt:i4>5</vt:i4>
      </vt:variant>
      <vt:variant>
        <vt:lpwstr/>
      </vt:variant>
      <vt:variant>
        <vt:lpwstr>_Toc256689339</vt:lpwstr>
      </vt:variant>
      <vt:variant>
        <vt:i4>1966143</vt:i4>
      </vt:variant>
      <vt:variant>
        <vt:i4>35</vt:i4>
      </vt:variant>
      <vt:variant>
        <vt:i4>0</vt:i4>
      </vt:variant>
      <vt:variant>
        <vt:i4>5</vt:i4>
      </vt:variant>
      <vt:variant>
        <vt:lpwstr/>
      </vt:variant>
      <vt:variant>
        <vt:lpwstr>_Toc256689338</vt:lpwstr>
      </vt:variant>
      <vt:variant>
        <vt:i4>1966143</vt:i4>
      </vt:variant>
      <vt:variant>
        <vt:i4>29</vt:i4>
      </vt:variant>
      <vt:variant>
        <vt:i4>0</vt:i4>
      </vt:variant>
      <vt:variant>
        <vt:i4>5</vt:i4>
      </vt:variant>
      <vt:variant>
        <vt:lpwstr/>
      </vt:variant>
      <vt:variant>
        <vt:lpwstr>_Toc256689337</vt:lpwstr>
      </vt:variant>
      <vt:variant>
        <vt:i4>1966143</vt:i4>
      </vt:variant>
      <vt:variant>
        <vt:i4>23</vt:i4>
      </vt:variant>
      <vt:variant>
        <vt:i4>0</vt:i4>
      </vt:variant>
      <vt:variant>
        <vt:i4>5</vt:i4>
      </vt:variant>
      <vt:variant>
        <vt:lpwstr/>
      </vt:variant>
      <vt:variant>
        <vt:lpwstr>_Toc256689336</vt:lpwstr>
      </vt:variant>
      <vt:variant>
        <vt:i4>1966143</vt:i4>
      </vt:variant>
      <vt:variant>
        <vt:i4>17</vt:i4>
      </vt:variant>
      <vt:variant>
        <vt:i4>0</vt:i4>
      </vt:variant>
      <vt:variant>
        <vt:i4>5</vt:i4>
      </vt:variant>
      <vt:variant>
        <vt:lpwstr/>
      </vt:variant>
      <vt:variant>
        <vt:lpwstr>_Toc256689335</vt:lpwstr>
      </vt:variant>
      <vt:variant>
        <vt:i4>1966143</vt:i4>
      </vt:variant>
      <vt:variant>
        <vt:i4>11</vt:i4>
      </vt:variant>
      <vt:variant>
        <vt:i4>0</vt:i4>
      </vt:variant>
      <vt:variant>
        <vt:i4>5</vt:i4>
      </vt:variant>
      <vt:variant>
        <vt:lpwstr/>
      </vt:variant>
      <vt:variant>
        <vt:lpwstr>_Toc256689334</vt:lpwstr>
      </vt:variant>
      <vt:variant>
        <vt:i4>1966143</vt:i4>
      </vt:variant>
      <vt:variant>
        <vt:i4>5</vt:i4>
      </vt:variant>
      <vt:variant>
        <vt:i4>0</vt:i4>
      </vt:variant>
      <vt:variant>
        <vt:i4>5</vt:i4>
      </vt:variant>
      <vt:variant>
        <vt:lpwstr/>
      </vt:variant>
      <vt:variant>
        <vt:lpwstr>_Toc256689333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ASIC Reg Docs Template Ver 1.10</dc:subject>
  <dc:creator>Geoffrey Leveritt</dc:creator>
  <cp:lastModifiedBy>peng.lee</cp:lastModifiedBy>
  <cp:revision>2</cp:revision>
  <cp:lastPrinted>2014-09-12T02:17:00Z</cp:lastPrinted>
  <dcterms:created xsi:type="dcterms:W3CDTF">2014-10-27T04:08:00Z</dcterms:created>
  <dcterms:modified xsi:type="dcterms:W3CDTF">2014-10-27T04:08:00Z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ASIC implementation of the National Credit Law</vt:lpwstr>
  </property>
  <property fmtid="{D5CDD505-2E9C-101B-9397-08002B2CF9AE}" pid="4" name="Document num">
    <vt:lpwstr>000</vt:lpwstr>
  </property>
  <property fmtid="{D5CDD505-2E9C-101B-9397-08002B2CF9AE}" pid="5" name="Issue date">
    <vt:lpwstr>September 2014</vt:lpwstr>
  </property>
  <property fmtid="{D5CDD505-2E9C-101B-9397-08002B2CF9AE}" pid="6" name="Source file type">
    <vt:lpwstr>RR</vt:lpwstr>
  </property>
  <property fmtid="{D5CDD505-2E9C-101B-9397-08002B2CF9AE}" pid="7" name="Objective-Id">
    <vt:lpwstr>B854624</vt:lpwstr>
  </property>
  <property fmtid="{D5CDD505-2E9C-101B-9397-08002B2CF9AE}" pid="8" name="Objective-Title">
    <vt:lpwstr>Final RIS Employee incentive schemes 17Oct14</vt:lpwstr>
  </property>
  <property fmtid="{D5CDD505-2E9C-101B-9397-08002B2CF9AE}" pid="9" name="Objective-Comment">
    <vt:lpwstr>
    </vt:lpwstr>
  </property>
  <property fmtid="{D5CDD505-2E9C-101B-9397-08002B2CF9AE}" pid="10" name="Objective-CreationStamp">
    <vt:filetime>2014-10-16T23:13:43Z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2014-10-18T21:02:50Z</vt:filetime>
  </property>
  <property fmtid="{D5CDD505-2E9C-101B-9397-08002B2CF9AE}" pid="14" name="Objective-ModificationStamp">
    <vt:filetime>2014-10-18T21:06:36Z</vt:filetime>
  </property>
  <property fmtid="{D5CDD505-2E9C-101B-9397-08002B2CF9AE}" pid="15" name="Objective-Owner">
    <vt:lpwstr>Peng Lee</vt:lpwstr>
  </property>
  <property fmtid="{D5CDD505-2E9C-101B-9397-08002B2CF9AE}" pid="16" name="Objective-Path">
    <vt:lpwstr>ASIC BCS:REGULATION &amp; COMPLIANCE:Business Activity Projects:Corporations Projects:Corporate Governance:ESS:EIS AA Final:OBPR:</vt:lpwstr>
  </property>
  <property fmtid="{D5CDD505-2E9C-101B-9397-08002B2CF9AE}" pid="17" name="Objective-Parent">
    <vt:lpwstr>OBPR</vt:lpwstr>
  </property>
  <property fmtid="{D5CDD505-2E9C-101B-9397-08002B2CF9AE}" pid="18" name="Objective-State">
    <vt:lpwstr>Published</vt:lpwstr>
  </property>
  <property fmtid="{D5CDD505-2E9C-101B-9397-08002B2CF9AE}" pid="19" name="Objective-Version">
    <vt:lpwstr>1.0</vt:lpwstr>
  </property>
  <property fmtid="{D5CDD505-2E9C-101B-9397-08002B2CF9AE}" pid="20" name="Objective-VersionNumber">
    <vt:i4>2</vt:i4>
  </property>
  <property fmtid="{D5CDD505-2E9C-101B-9397-08002B2CF9AE}" pid="21" name="Objective-VersionComment">
    <vt:lpwstr>Version 2</vt:lpwstr>
  </property>
  <property fmtid="{D5CDD505-2E9C-101B-9397-08002B2CF9AE}" pid="22" name="Objective-FileNumber">
    <vt:lpwstr>2012 - 004545</vt:lpwstr>
  </property>
  <property fmtid="{D5CDD505-2E9C-101B-9397-08002B2CF9AE}" pid="23" name="Objective-Classification">
    <vt:lpwstr>[Inherited - IN-CONFIDENCE]</vt:lpwstr>
  </property>
  <property fmtid="{D5CDD505-2E9C-101B-9397-08002B2CF9AE}" pid="24" name="Objective-Caveats">
    <vt:lpwstr>
    </vt:lpwstr>
  </property>
  <property fmtid="{D5CDD505-2E9C-101B-9397-08002B2CF9AE}" pid="25" name="Objective-Category [system]">
    <vt:lpwstr>
    </vt:lpwstr>
  </property>
</Properties>
</file>