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295" w:rsidRDefault="00017295" w:rsidP="00017295">
      <w:pPr>
        <w:pStyle w:val="Heading2"/>
        <w:ind w:left="0" w:firstLine="0"/>
      </w:pPr>
      <w:r>
        <w:t>Explanatory Statement</w:t>
      </w:r>
    </w:p>
    <w:p w:rsidR="00017295" w:rsidRPr="000576EB" w:rsidRDefault="00017295" w:rsidP="00017295">
      <w:pPr>
        <w:rPr>
          <w:b/>
          <w:lang w:val="en-AU" w:eastAsia="en-GB" w:bidi="ar-SA"/>
        </w:rPr>
      </w:pPr>
      <w:r w:rsidRPr="000576EB">
        <w:rPr>
          <w:b/>
          <w:lang w:val="en-AU" w:eastAsia="en-GB" w:bidi="ar-SA"/>
        </w:rPr>
        <w:t>1.</w:t>
      </w:r>
      <w:r w:rsidRPr="000576EB">
        <w:rPr>
          <w:b/>
          <w:lang w:val="en-AU" w:eastAsia="en-GB" w:bidi="ar-SA"/>
        </w:rPr>
        <w:tab/>
        <w:t>Authority</w:t>
      </w:r>
    </w:p>
    <w:p w:rsidR="00017295" w:rsidRDefault="00017295" w:rsidP="00017295">
      <w:pPr>
        <w:rPr>
          <w:lang w:val="en-AU" w:eastAsia="en-GB" w:bidi="ar-SA"/>
        </w:rPr>
      </w:pPr>
    </w:p>
    <w:p w:rsidR="00017295" w:rsidRPr="00D13E34" w:rsidRDefault="00017295" w:rsidP="00017295">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rsidR="00017295" w:rsidRPr="00D13E34" w:rsidRDefault="00017295" w:rsidP="00017295">
      <w:pPr>
        <w:widowControl/>
        <w:autoSpaceDE w:val="0"/>
        <w:autoSpaceDN w:val="0"/>
        <w:adjustRightInd w:val="0"/>
        <w:rPr>
          <w:rFonts w:eastAsia="Calibri" w:cs="Arial"/>
          <w:bCs/>
          <w:szCs w:val="22"/>
          <w:lang w:val="en-AU" w:bidi="ar-SA"/>
        </w:rPr>
      </w:pPr>
    </w:p>
    <w:p w:rsidR="00017295" w:rsidRPr="00354F1E" w:rsidRDefault="00017295" w:rsidP="00017295">
      <w:pPr>
        <w:widowControl/>
        <w:autoSpaceDE w:val="0"/>
        <w:autoSpaceDN w:val="0"/>
        <w:adjustRightInd w:val="0"/>
        <w:rPr>
          <w:rFonts w:eastAsia="Calibri" w:cs="Arial"/>
          <w:bCs/>
          <w:szCs w:val="22"/>
          <w:lang w:val="en-AU" w:bidi="ar-SA"/>
        </w:rPr>
      </w:pPr>
      <w:r w:rsidRPr="00354F1E">
        <w:rPr>
          <w:rFonts w:eastAsia="Calibri" w:cs="Arial"/>
          <w:bCs/>
          <w:szCs w:val="22"/>
          <w:lang w:val="en-AU" w:bidi="ar-SA"/>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017295" w:rsidRPr="00354F1E" w:rsidRDefault="00017295" w:rsidP="00017295">
      <w:pPr>
        <w:widowControl/>
        <w:autoSpaceDE w:val="0"/>
        <w:autoSpaceDN w:val="0"/>
        <w:adjustRightInd w:val="0"/>
        <w:rPr>
          <w:rFonts w:eastAsia="Calibri" w:cs="Arial"/>
          <w:bCs/>
          <w:szCs w:val="22"/>
          <w:lang w:val="en-AU" w:bidi="ar-SA"/>
        </w:rPr>
      </w:pPr>
    </w:p>
    <w:p w:rsidR="00017295" w:rsidRPr="00354F1E" w:rsidRDefault="00017295" w:rsidP="00017295">
      <w:pPr>
        <w:widowControl/>
        <w:autoSpaceDE w:val="0"/>
        <w:autoSpaceDN w:val="0"/>
        <w:adjustRightInd w:val="0"/>
        <w:rPr>
          <w:rFonts w:eastAsia="Calibri" w:cs="Arial"/>
          <w:bCs/>
          <w:szCs w:val="22"/>
          <w:lang w:val="en-AU" w:bidi="ar-SA"/>
        </w:rPr>
      </w:pPr>
      <w:r w:rsidRPr="00354F1E">
        <w:rPr>
          <w:rFonts w:eastAsia="Calibri" w:cs="Arial"/>
          <w:bCs/>
          <w:szCs w:val="22"/>
          <w:lang w:val="en-AU" w:bidi="ar-SA"/>
        </w:rPr>
        <w:t>FSANZ prepared Proposa</w:t>
      </w:r>
      <w:r w:rsidRPr="004C4597">
        <w:rPr>
          <w:rFonts w:eastAsia="Calibri" w:cs="Arial"/>
          <w:bCs/>
          <w:szCs w:val="22"/>
          <w:lang w:val="en-AU" w:bidi="ar-SA"/>
        </w:rPr>
        <w:t>l P103</w:t>
      </w:r>
      <w:r>
        <w:rPr>
          <w:rFonts w:eastAsia="Calibri" w:cs="Arial"/>
          <w:bCs/>
          <w:szCs w:val="22"/>
          <w:lang w:val="en-AU" w:bidi="ar-SA"/>
        </w:rPr>
        <w:t>3</w:t>
      </w:r>
      <w:r w:rsidRPr="004C4597">
        <w:rPr>
          <w:rFonts w:eastAsia="Calibri" w:cs="Arial"/>
          <w:bCs/>
          <w:szCs w:val="22"/>
          <w:lang w:val="en-AU" w:bidi="ar-SA"/>
        </w:rPr>
        <w:t xml:space="preserve"> to make </w:t>
      </w:r>
      <w:r>
        <w:rPr>
          <w:rFonts w:eastAsia="Calibri" w:cs="Arial"/>
          <w:bCs/>
          <w:szCs w:val="22"/>
          <w:lang w:val="en-AU" w:bidi="ar-SA"/>
        </w:rPr>
        <w:t xml:space="preserve">a number of relatively </w:t>
      </w:r>
      <w:r w:rsidRPr="004C4597">
        <w:rPr>
          <w:rFonts w:eastAsia="Calibri" w:cs="Arial"/>
          <w:bCs/>
          <w:szCs w:val="22"/>
          <w:lang w:val="en-AU" w:bidi="ar-SA"/>
        </w:rPr>
        <w:t xml:space="preserve">minor amendments </w:t>
      </w:r>
      <w:r>
        <w:rPr>
          <w:rFonts w:eastAsia="Calibri" w:cs="Arial"/>
          <w:bCs/>
          <w:szCs w:val="22"/>
          <w:lang w:val="en-AU" w:bidi="ar-SA"/>
        </w:rPr>
        <w:t xml:space="preserve">to the Code. </w:t>
      </w:r>
      <w:r w:rsidRPr="00354F1E">
        <w:rPr>
          <w:rFonts w:eastAsia="Calibri" w:cs="Arial"/>
          <w:bCs/>
          <w:szCs w:val="22"/>
          <w:lang w:val="en-AU" w:bidi="ar-SA"/>
        </w:rPr>
        <w:t xml:space="preserve">The Authority considered the Proposal in accordance with Division 2 of Part 3 and has approved draft </w:t>
      </w:r>
      <w:r w:rsidRPr="004C4597">
        <w:rPr>
          <w:rFonts w:eastAsia="Calibri" w:cs="Arial"/>
          <w:bCs/>
          <w:szCs w:val="22"/>
          <w:lang w:val="en-AU" w:bidi="ar-SA"/>
        </w:rPr>
        <w:t>variations to a number of Standards.</w:t>
      </w:r>
      <w:r w:rsidRPr="00354F1E">
        <w:rPr>
          <w:rFonts w:eastAsia="Calibri" w:cs="Arial"/>
          <w:bCs/>
          <w:szCs w:val="22"/>
          <w:lang w:val="en-AU" w:bidi="ar-SA"/>
        </w:rPr>
        <w:t xml:space="preserve"> </w:t>
      </w:r>
    </w:p>
    <w:p w:rsidR="00017295" w:rsidRPr="00D13E34" w:rsidRDefault="00017295" w:rsidP="00017295">
      <w:pPr>
        <w:widowControl/>
        <w:autoSpaceDE w:val="0"/>
        <w:autoSpaceDN w:val="0"/>
        <w:adjustRightInd w:val="0"/>
        <w:rPr>
          <w:rFonts w:eastAsia="Calibri" w:cs="Arial"/>
          <w:bCs/>
          <w:szCs w:val="22"/>
          <w:lang w:val="en-AU" w:bidi="ar-SA"/>
        </w:rPr>
      </w:pPr>
    </w:p>
    <w:p w:rsidR="00017295" w:rsidRPr="00D13E34" w:rsidRDefault="00017295" w:rsidP="00017295">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Arial"/>
        </w:rPr>
        <w:t>Legislative and Governance Forum on Food Regulation</w:t>
      </w:r>
      <w:r>
        <w:rPr>
          <w:rStyle w:val="FootnoteReference"/>
          <w:rFonts w:cs="Arial"/>
        </w:rPr>
        <w:footnoteReference w:id="1"/>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rsidR="00017295" w:rsidRPr="00D13E34" w:rsidRDefault="00017295" w:rsidP="00017295">
      <w:pPr>
        <w:widowControl/>
        <w:autoSpaceDE w:val="0"/>
        <w:autoSpaceDN w:val="0"/>
        <w:adjustRightInd w:val="0"/>
        <w:rPr>
          <w:rFonts w:eastAsia="Calibri" w:cs="Arial"/>
          <w:bCs/>
          <w:szCs w:val="22"/>
          <w:lang w:val="en-AU" w:bidi="ar-SA"/>
        </w:rPr>
      </w:pPr>
    </w:p>
    <w:p w:rsidR="00017295" w:rsidRPr="00D13E34" w:rsidRDefault="00017295" w:rsidP="00017295">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Legislative Instruments Act 2003</w:t>
      </w:r>
      <w:r>
        <w:rPr>
          <w:rFonts w:eastAsia="Calibri" w:cs="Arial"/>
          <w:color w:val="000000"/>
          <w:szCs w:val="22"/>
          <w:lang w:val="en-AU" w:bidi="ar-SA"/>
        </w:rPr>
        <w:t>.</w:t>
      </w:r>
    </w:p>
    <w:p w:rsidR="00017295" w:rsidRDefault="00017295" w:rsidP="00017295">
      <w:pPr>
        <w:rPr>
          <w:lang w:val="en-AU" w:eastAsia="en-GB" w:bidi="ar-SA"/>
        </w:rPr>
      </w:pPr>
    </w:p>
    <w:p w:rsidR="00017295" w:rsidRDefault="00017295" w:rsidP="00017295">
      <w:pPr>
        <w:rPr>
          <w:b/>
          <w:lang w:val="en-AU" w:eastAsia="en-GB" w:bidi="ar-SA"/>
        </w:rPr>
      </w:pPr>
      <w:r>
        <w:rPr>
          <w:b/>
          <w:lang w:val="en-AU" w:eastAsia="en-GB" w:bidi="ar-SA"/>
        </w:rPr>
        <w:t>2.</w:t>
      </w:r>
      <w:r>
        <w:rPr>
          <w:b/>
          <w:lang w:val="en-AU" w:eastAsia="en-GB" w:bidi="ar-SA"/>
        </w:rPr>
        <w:tab/>
        <w:t xml:space="preserve">Purpose </w:t>
      </w:r>
    </w:p>
    <w:p w:rsidR="00017295" w:rsidRDefault="00017295" w:rsidP="00017295">
      <w:pPr>
        <w:rPr>
          <w:lang w:val="en-AU" w:eastAsia="en-GB" w:bidi="ar-SA"/>
        </w:rPr>
      </w:pPr>
    </w:p>
    <w:p w:rsidR="00017295" w:rsidRPr="009D6553" w:rsidRDefault="00017295" w:rsidP="00017295">
      <w:r>
        <w:rPr>
          <w:lang w:val="en-AU" w:eastAsia="en-GB" w:bidi="ar-SA"/>
        </w:rPr>
        <w:t xml:space="preserve">The Authority has approved </w:t>
      </w:r>
      <w:r w:rsidRPr="009D6553">
        <w:rPr>
          <w:lang w:val="en-AU" w:eastAsia="en-GB" w:bidi="ar-SA"/>
        </w:rPr>
        <w:t>draft variations. T</w:t>
      </w:r>
      <w:r w:rsidRPr="009D6553">
        <w:t>he issues considered are relatively minor in nature, and fall into the following broad categories:</w:t>
      </w:r>
    </w:p>
    <w:p w:rsidR="00017295" w:rsidRPr="009D6553" w:rsidRDefault="00017295" w:rsidP="00017295"/>
    <w:p w:rsidR="00017295" w:rsidRPr="009D6553" w:rsidRDefault="00017295" w:rsidP="00017295">
      <w:pPr>
        <w:pStyle w:val="FSBullet1"/>
        <w:widowControl/>
        <w:numPr>
          <w:ilvl w:val="0"/>
          <w:numId w:val="14"/>
        </w:numPr>
        <w:ind w:left="567" w:hanging="567"/>
      </w:pPr>
      <w:r w:rsidRPr="009D6553">
        <w:t>correcting minor errors and omissions, and improving clarity</w:t>
      </w:r>
    </w:p>
    <w:p w:rsidR="00017295" w:rsidRPr="009D6553" w:rsidRDefault="00017295" w:rsidP="00017295">
      <w:pPr>
        <w:pStyle w:val="FSBullet1"/>
        <w:widowControl/>
        <w:numPr>
          <w:ilvl w:val="0"/>
          <w:numId w:val="14"/>
        </w:numPr>
        <w:ind w:left="567" w:hanging="567"/>
      </w:pPr>
      <w:r w:rsidRPr="009D6553">
        <w:t>updating references</w:t>
      </w:r>
    </w:p>
    <w:p w:rsidR="00017295" w:rsidRPr="009D6553" w:rsidRDefault="00017295" w:rsidP="00017295">
      <w:pPr>
        <w:pStyle w:val="FSBullet1"/>
        <w:widowControl/>
        <w:numPr>
          <w:ilvl w:val="0"/>
          <w:numId w:val="14"/>
        </w:numPr>
        <w:ind w:left="567" w:hanging="567"/>
        <w:rPr>
          <w:szCs w:val="22"/>
        </w:rPr>
      </w:pPr>
      <w:r w:rsidRPr="009D6553">
        <w:rPr>
          <w:szCs w:val="22"/>
        </w:rPr>
        <w:t>updating material from international sources</w:t>
      </w:r>
    </w:p>
    <w:p w:rsidR="00017295" w:rsidRPr="009D6553" w:rsidRDefault="00017295" w:rsidP="00017295">
      <w:pPr>
        <w:pStyle w:val="FSBullet1"/>
        <w:widowControl/>
        <w:numPr>
          <w:ilvl w:val="0"/>
          <w:numId w:val="14"/>
        </w:numPr>
        <w:ind w:left="567" w:hanging="567"/>
        <w:rPr>
          <w:szCs w:val="22"/>
        </w:rPr>
      </w:pPr>
      <w:r w:rsidRPr="009D6553">
        <w:rPr>
          <w:szCs w:val="22"/>
        </w:rPr>
        <w:t>omitting material that is no longer required</w:t>
      </w:r>
    </w:p>
    <w:p w:rsidR="00017295" w:rsidRPr="009D6553" w:rsidRDefault="00017295" w:rsidP="00017295">
      <w:pPr>
        <w:pStyle w:val="FSBullet1"/>
        <w:widowControl/>
        <w:numPr>
          <w:ilvl w:val="0"/>
          <w:numId w:val="14"/>
        </w:numPr>
        <w:ind w:left="567" w:hanging="567"/>
        <w:rPr>
          <w:szCs w:val="22"/>
        </w:rPr>
      </w:pPr>
      <w:proofErr w:type="gramStart"/>
      <w:r w:rsidRPr="009D6553">
        <w:rPr>
          <w:szCs w:val="22"/>
        </w:rPr>
        <w:t>variations</w:t>
      </w:r>
      <w:proofErr w:type="gramEnd"/>
      <w:r w:rsidRPr="009D6553">
        <w:rPr>
          <w:szCs w:val="22"/>
        </w:rPr>
        <w:t xml:space="preserve"> to Editorial notes.</w:t>
      </w:r>
    </w:p>
    <w:p w:rsidR="00017295" w:rsidRDefault="00017295" w:rsidP="00017295">
      <w:pPr>
        <w:rPr>
          <w:lang w:val="en-AU" w:eastAsia="en-GB" w:bidi="ar-SA"/>
        </w:rPr>
      </w:pPr>
    </w:p>
    <w:p w:rsidR="00017295" w:rsidRPr="000576EB" w:rsidRDefault="00017295" w:rsidP="00017295">
      <w:pPr>
        <w:rPr>
          <w:b/>
          <w:lang w:val="en-AU" w:eastAsia="en-GB" w:bidi="ar-SA"/>
        </w:rPr>
      </w:pPr>
      <w:r w:rsidRPr="000576EB">
        <w:rPr>
          <w:b/>
          <w:lang w:val="en-AU" w:eastAsia="en-GB" w:bidi="ar-SA"/>
        </w:rPr>
        <w:t>3.</w:t>
      </w:r>
      <w:r w:rsidRPr="000576EB">
        <w:rPr>
          <w:b/>
          <w:lang w:val="en-AU" w:eastAsia="en-GB" w:bidi="ar-SA"/>
        </w:rPr>
        <w:tab/>
        <w:t>Documents incorporated by reference</w:t>
      </w:r>
    </w:p>
    <w:p w:rsidR="00017295" w:rsidRDefault="00017295" w:rsidP="00017295">
      <w:pPr>
        <w:rPr>
          <w:lang w:val="en-AU" w:eastAsia="en-GB" w:bidi="ar-SA"/>
        </w:rPr>
      </w:pPr>
    </w:p>
    <w:p w:rsidR="00017295" w:rsidRPr="00354F1E" w:rsidRDefault="00017295" w:rsidP="00017295">
      <w:pPr>
        <w:widowControl/>
        <w:autoSpaceDE w:val="0"/>
        <w:autoSpaceDN w:val="0"/>
        <w:adjustRightInd w:val="0"/>
        <w:rPr>
          <w:rFonts w:eastAsia="Calibri" w:cs="Arial"/>
          <w:bCs/>
          <w:szCs w:val="22"/>
          <w:lang w:val="en-AU" w:bidi="ar-SA"/>
        </w:rPr>
      </w:pPr>
      <w:r w:rsidRPr="00354F1E">
        <w:rPr>
          <w:rFonts w:eastAsia="Calibri" w:cs="Arial"/>
          <w:bCs/>
          <w:szCs w:val="22"/>
          <w:lang w:val="en-AU" w:bidi="ar-SA"/>
        </w:rPr>
        <w:t>Some of the variations to food regulatory measures update documents incorporated by reference. The documents are as follows:</w:t>
      </w:r>
    </w:p>
    <w:p w:rsidR="00017295" w:rsidRPr="00354F1E" w:rsidRDefault="00017295" w:rsidP="00017295">
      <w:pPr>
        <w:widowControl/>
        <w:autoSpaceDE w:val="0"/>
        <w:autoSpaceDN w:val="0"/>
        <w:adjustRightInd w:val="0"/>
        <w:rPr>
          <w:rFonts w:eastAsia="Calibri" w:cs="Arial"/>
          <w:bCs/>
          <w:szCs w:val="22"/>
          <w:lang w:val="en-AU" w:bidi="ar-SA"/>
        </w:rPr>
      </w:pPr>
    </w:p>
    <w:p w:rsidR="00017295" w:rsidRPr="00354F1E" w:rsidRDefault="00017295" w:rsidP="00017295">
      <w:pPr>
        <w:pStyle w:val="FSBullet1"/>
        <w:widowControl/>
        <w:numPr>
          <w:ilvl w:val="0"/>
          <w:numId w:val="14"/>
        </w:numPr>
        <w:ind w:left="567" w:hanging="567"/>
      </w:pPr>
      <w:r w:rsidRPr="00354F1E">
        <w:t>Generally Recognised as Safe (GRAS) lists of flavouring substances published by the Flavour and Extract Manufacturers’ Association of the United States from 1960 to 2013 (edition 26)</w:t>
      </w:r>
    </w:p>
    <w:p w:rsidR="00017295" w:rsidRPr="00354F1E" w:rsidRDefault="00017295" w:rsidP="00017295">
      <w:pPr>
        <w:pStyle w:val="FSBullet1"/>
        <w:widowControl/>
        <w:numPr>
          <w:ilvl w:val="0"/>
          <w:numId w:val="14"/>
        </w:numPr>
        <w:ind w:left="567" w:hanging="567"/>
      </w:pPr>
      <w:r w:rsidRPr="00354F1E">
        <w:t>Chemically-defined flavouring substances, Council of Europe, November 2000</w:t>
      </w:r>
    </w:p>
    <w:p w:rsidR="00017295" w:rsidRPr="00354F1E" w:rsidRDefault="00017295" w:rsidP="00017295">
      <w:pPr>
        <w:pStyle w:val="FSBullet1"/>
        <w:widowControl/>
        <w:numPr>
          <w:ilvl w:val="0"/>
          <w:numId w:val="14"/>
        </w:numPr>
        <w:ind w:left="567" w:hanging="567"/>
      </w:pPr>
      <w:r w:rsidRPr="00354F1E">
        <w:t>Annex 1 of Council Regulation (EU) No 872/2012 of 1 October 2012 adopting the list of flavouring substances [2012] OJ L267/1</w:t>
      </w:r>
    </w:p>
    <w:p w:rsidR="00DD29DB" w:rsidRDefault="00017295" w:rsidP="00017295">
      <w:pPr>
        <w:pStyle w:val="FSBullet1"/>
        <w:widowControl/>
        <w:numPr>
          <w:ilvl w:val="0"/>
          <w:numId w:val="14"/>
        </w:numPr>
        <w:ind w:left="567" w:hanging="567"/>
      </w:pPr>
      <w:r w:rsidRPr="00354F1E">
        <w:t>21 CFR § 172.515</w:t>
      </w:r>
      <w:r w:rsidR="00DD29DB">
        <w:br w:type="page"/>
      </w:r>
    </w:p>
    <w:p w:rsidR="00017295" w:rsidRPr="00354F1E" w:rsidRDefault="00017295" w:rsidP="00017295">
      <w:pPr>
        <w:pStyle w:val="FSBullet1"/>
        <w:widowControl/>
        <w:numPr>
          <w:ilvl w:val="0"/>
          <w:numId w:val="14"/>
        </w:numPr>
        <w:ind w:left="567" w:hanging="567"/>
      </w:pPr>
      <w:bookmarkStart w:id="0" w:name="_GoBack"/>
      <w:bookmarkEnd w:id="0"/>
      <w:r w:rsidRPr="00354F1E">
        <w:lastRenderedPageBreak/>
        <w:t xml:space="preserve">United States Pharmacopeial Convention (2014) Food chemicals codex. </w:t>
      </w:r>
      <w:proofErr w:type="gramStart"/>
      <w:r w:rsidRPr="00354F1E">
        <w:t>9</w:t>
      </w:r>
      <w:r w:rsidRPr="00354F1E">
        <w:rPr>
          <w:vertAlign w:val="superscript"/>
        </w:rPr>
        <w:t>th</w:t>
      </w:r>
      <w:r w:rsidRPr="00354F1E">
        <w:t xml:space="preserve"> </w:t>
      </w:r>
      <w:r w:rsidRPr="00354F1E">
        <w:rPr>
          <w:vertAlign w:val="superscript"/>
        </w:rPr>
        <w:t xml:space="preserve"> </w:t>
      </w:r>
      <w:r w:rsidRPr="00354F1E">
        <w:t>ed</w:t>
      </w:r>
      <w:proofErr w:type="gramEnd"/>
      <w:r w:rsidRPr="00354F1E">
        <w:t>, United States Pharmacopeial Convention, Rockville, MD.</w:t>
      </w:r>
    </w:p>
    <w:p w:rsidR="00017295" w:rsidRPr="00354F1E" w:rsidRDefault="00017295" w:rsidP="00017295">
      <w:pPr>
        <w:pStyle w:val="FSBullet1"/>
        <w:widowControl/>
        <w:numPr>
          <w:ilvl w:val="0"/>
          <w:numId w:val="14"/>
        </w:numPr>
        <w:ind w:left="567" w:hanging="567"/>
      </w:pPr>
      <w:r w:rsidRPr="00354F1E">
        <w:t>Commission Regulation (EU) No 231/2012 of 9 March 2012 laying down specifications for food additives</w:t>
      </w:r>
    </w:p>
    <w:p w:rsidR="00017295" w:rsidRPr="00354F1E" w:rsidRDefault="00017295" w:rsidP="00017295">
      <w:pPr>
        <w:pStyle w:val="FSBullet1"/>
        <w:widowControl/>
        <w:numPr>
          <w:ilvl w:val="0"/>
          <w:numId w:val="14"/>
        </w:numPr>
        <w:ind w:left="567" w:hanging="567"/>
      </w:pPr>
      <w:proofErr w:type="gramStart"/>
      <w:r w:rsidRPr="00354F1E">
        <w:t>the</w:t>
      </w:r>
      <w:proofErr w:type="gramEnd"/>
      <w:r w:rsidRPr="00354F1E">
        <w:t xml:space="preserve"> Specifications and Standards for Food Additives,</w:t>
      </w:r>
      <w:r w:rsidRPr="00354F1E">
        <w:rPr>
          <w:i/>
        </w:rPr>
        <w:t xml:space="preserve"> </w:t>
      </w:r>
      <w:r w:rsidRPr="00354F1E">
        <w:t>8</w:t>
      </w:r>
      <w:r w:rsidRPr="00354F1E">
        <w:rPr>
          <w:vertAlign w:val="superscript"/>
        </w:rPr>
        <w:t>th</w:t>
      </w:r>
      <w:r w:rsidRPr="00354F1E">
        <w:t xml:space="preserve"> Edition (2007), Ministry of Health and Welfare (Japan).</w:t>
      </w:r>
    </w:p>
    <w:p w:rsidR="00017295" w:rsidRDefault="00017295" w:rsidP="00017295">
      <w:pPr>
        <w:rPr>
          <w:lang w:val="en-AU" w:eastAsia="en-GB" w:bidi="ar-SA"/>
        </w:rPr>
      </w:pPr>
    </w:p>
    <w:p w:rsidR="00017295" w:rsidRPr="000576EB" w:rsidRDefault="00017295" w:rsidP="00017295">
      <w:pPr>
        <w:rPr>
          <w:b/>
          <w:lang w:val="en-AU" w:eastAsia="en-GB" w:bidi="ar-SA"/>
        </w:rPr>
      </w:pPr>
      <w:r w:rsidRPr="000576EB">
        <w:rPr>
          <w:b/>
          <w:lang w:val="en-AU" w:eastAsia="en-GB" w:bidi="ar-SA"/>
        </w:rPr>
        <w:t>4.</w:t>
      </w:r>
      <w:r w:rsidRPr="000576EB">
        <w:rPr>
          <w:b/>
          <w:lang w:val="en-AU" w:eastAsia="en-GB" w:bidi="ar-SA"/>
        </w:rPr>
        <w:tab/>
        <w:t>Consultation</w:t>
      </w:r>
    </w:p>
    <w:p w:rsidR="00017295" w:rsidRDefault="00017295" w:rsidP="00017295">
      <w:pPr>
        <w:rPr>
          <w:lang w:val="en-AU" w:eastAsia="en-GB" w:bidi="ar-SA"/>
        </w:rPr>
      </w:pPr>
    </w:p>
    <w:p w:rsidR="00017295" w:rsidRPr="00354F1E" w:rsidRDefault="00017295" w:rsidP="00017295">
      <w:pPr>
        <w:rPr>
          <w:szCs w:val="22"/>
        </w:rPr>
      </w:pPr>
      <w:r w:rsidRPr="00F634A1">
        <w:rPr>
          <w:szCs w:val="22"/>
        </w:rPr>
        <w:t xml:space="preserve">In accordance with the procedure in Division </w:t>
      </w:r>
      <w:r>
        <w:rPr>
          <w:szCs w:val="22"/>
        </w:rPr>
        <w:t>2</w:t>
      </w:r>
      <w:r>
        <w:rPr>
          <w:color w:val="FF0000"/>
          <w:szCs w:val="22"/>
        </w:rPr>
        <w:t xml:space="preserve"> </w:t>
      </w:r>
      <w:r w:rsidRPr="00F634A1">
        <w:rPr>
          <w:szCs w:val="22"/>
        </w:rPr>
        <w:t xml:space="preserve">of Part </w:t>
      </w:r>
      <w:r>
        <w:rPr>
          <w:szCs w:val="22"/>
        </w:rPr>
        <w:t>3</w:t>
      </w:r>
      <w:r w:rsidRPr="00D06616">
        <w:rPr>
          <w:color w:val="FF0000"/>
          <w:szCs w:val="22"/>
        </w:rPr>
        <w:t xml:space="preserve"> </w:t>
      </w:r>
      <w:r w:rsidRPr="00F634A1">
        <w:rPr>
          <w:szCs w:val="22"/>
        </w:rPr>
        <w:t xml:space="preserve">of the FSANZ Act, </w:t>
      </w:r>
      <w:r w:rsidRPr="00F634A1">
        <w:rPr>
          <w:rFonts w:eastAsia="Calibri" w:cs="Arial"/>
          <w:bCs/>
          <w:szCs w:val="22"/>
          <w:lang w:val="en-AU" w:bidi="ar-SA"/>
        </w:rPr>
        <w:t>the Authority</w:t>
      </w:r>
      <w:r w:rsidRPr="00F634A1">
        <w:rPr>
          <w:szCs w:val="22"/>
        </w:rPr>
        <w:t xml:space="preserve">’s consideration of </w:t>
      </w:r>
      <w:r w:rsidRPr="00354F1E">
        <w:rPr>
          <w:szCs w:val="22"/>
        </w:rPr>
        <w:t xml:space="preserve">Proposal P1033 included one round of public consultation following an assessment and the preparation of draft variations to a number of Standards and associated assessment summary. Submissions were called for on 6 June 2014 for a four-week consultation period. </w:t>
      </w:r>
    </w:p>
    <w:p w:rsidR="00017295" w:rsidRPr="00354F1E" w:rsidRDefault="00017295" w:rsidP="00017295">
      <w:pPr>
        <w:rPr>
          <w:lang w:val="en-AU"/>
        </w:rPr>
      </w:pPr>
    </w:p>
    <w:p w:rsidR="00017295" w:rsidRPr="00354F1E" w:rsidRDefault="00017295" w:rsidP="00017295">
      <w:pPr>
        <w:widowControl/>
        <w:autoSpaceDE w:val="0"/>
        <w:autoSpaceDN w:val="0"/>
        <w:adjustRightInd w:val="0"/>
        <w:rPr>
          <w:rFonts w:cs="Arial"/>
          <w:szCs w:val="22"/>
        </w:rPr>
      </w:pPr>
      <w:r w:rsidRPr="00354F1E">
        <w:rPr>
          <w:rFonts w:eastAsia="Calibri" w:cs="Arial"/>
          <w:bCs/>
          <w:szCs w:val="22"/>
          <w:lang w:val="en-AU" w:bidi="ar-SA"/>
        </w:rPr>
        <w:t xml:space="preserve">A Regulation Impact Statement was not required because of the nature of the proposed variations </w:t>
      </w:r>
      <w:r w:rsidRPr="00354F1E">
        <w:t xml:space="preserve">as described in section 2 above. </w:t>
      </w:r>
    </w:p>
    <w:p w:rsidR="00017295" w:rsidRPr="00354F1E" w:rsidRDefault="00017295" w:rsidP="00017295">
      <w:pPr>
        <w:rPr>
          <w:lang w:val="en-AU" w:eastAsia="en-GB" w:bidi="ar-SA"/>
        </w:rPr>
      </w:pPr>
    </w:p>
    <w:p w:rsidR="00017295" w:rsidRDefault="00017295" w:rsidP="00017295">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rsidR="00017295" w:rsidRDefault="00017295" w:rsidP="00017295">
      <w:pPr>
        <w:rPr>
          <w:rFonts w:eastAsiaTheme="minorHAnsi"/>
          <w:lang w:val="en-AU" w:bidi="ar-SA"/>
        </w:rPr>
      </w:pPr>
    </w:p>
    <w:p w:rsidR="00017295" w:rsidRDefault="00017295" w:rsidP="00017295">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rsidR="00017295" w:rsidRDefault="00017295" w:rsidP="00017295">
      <w:pPr>
        <w:rPr>
          <w:rFonts w:eastAsiaTheme="minorHAnsi"/>
          <w:lang w:val="en-AU" w:bidi="ar-SA"/>
        </w:rPr>
      </w:pPr>
    </w:p>
    <w:p w:rsidR="00017295" w:rsidRPr="00432A42" w:rsidRDefault="00017295" w:rsidP="00017295">
      <w:pPr>
        <w:rPr>
          <w:b/>
          <w:lang w:val="en-AU" w:eastAsia="en-GB" w:bidi="ar-SA"/>
        </w:rPr>
      </w:pPr>
      <w:r w:rsidRPr="00432A42">
        <w:rPr>
          <w:b/>
        </w:rPr>
        <w:t>6.</w:t>
      </w:r>
      <w:r w:rsidRPr="00432A42">
        <w:rPr>
          <w:b/>
        </w:rPr>
        <w:tab/>
      </w:r>
      <w:r>
        <w:rPr>
          <w:b/>
          <w:lang w:val="en-AU" w:eastAsia="en-GB" w:bidi="ar-SA"/>
        </w:rPr>
        <w:t>Variations</w:t>
      </w:r>
    </w:p>
    <w:p w:rsidR="00017295" w:rsidRPr="00432A42" w:rsidRDefault="00017295" w:rsidP="00017295">
      <w:pPr>
        <w:rPr>
          <w:b/>
        </w:rPr>
      </w:pPr>
    </w:p>
    <w:p w:rsidR="00017295" w:rsidRPr="009D6553" w:rsidRDefault="00017295" w:rsidP="00017295">
      <w:r w:rsidRPr="009D6553">
        <w:rPr>
          <w:i/>
        </w:rPr>
        <w:t>6.1</w:t>
      </w:r>
      <w:r w:rsidRPr="009D6553">
        <w:rPr>
          <w:i/>
        </w:rPr>
        <w:tab/>
      </w:r>
      <w:r w:rsidRPr="009D6553">
        <w:rPr>
          <w:i/>
          <w:szCs w:val="22"/>
        </w:rPr>
        <w:t>Correcting minor errors and omissions, and improving clarity</w:t>
      </w:r>
    </w:p>
    <w:p w:rsidR="00017295" w:rsidRPr="009D6553" w:rsidRDefault="00017295" w:rsidP="00017295"/>
    <w:p w:rsidR="00017295" w:rsidRPr="009D6553" w:rsidRDefault="00017295" w:rsidP="00017295">
      <w:r w:rsidRPr="00435914">
        <w:t>Items [1], [3.1]–[3.5], [6], [7], [8.2], [9.2], [9.5]–[9.6], [11], [12.3], [13]–[18], [20], [21] and [24.2]–[24.3] include amendments to correct minor errors and omissions to text and punctuation, as well improving clarity of some text.</w:t>
      </w:r>
      <w:r w:rsidRPr="009D6553">
        <w:t xml:space="preserve">  </w:t>
      </w:r>
    </w:p>
    <w:p w:rsidR="00017295" w:rsidRPr="009D6553" w:rsidRDefault="00017295" w:rsidP="00017295"/>
    <w:p w:rsidR="00017295" w:rsidRPr="009D6553" w:rsidRDefault="00017295" w:rsidP="00017295">
      <w:pPr>
        <w:rPr>
          <w:i/>
          <w:lang w:val="en-AU" w:eastAsia="en-GB" w:bidi="ar-SA"/>
        </w:rPr>
      </w:pPr>
      <w:r w:rsidRPr="009D6553">
        <w:rPr>
          <w:i/>
          <w:lang w:val="en-AU" w:eastAsia="en-GB" w:bidi="ar-SA"/>
        </w:rPr>
        <w:t>6.2</w:t>
      </w:r>
      <w:r w:rsidRPr="009D6553">
        <w:rPr>
          <w:i/>
          <w:lang w:val="en-AU" w:eastAsia="en-GB" w:bidi="ar-SA"/>
        </w:rPr>
        <w:tab/>
        <w:t>Updating references</w:t>
      </w:r>
    </w:p>
    <w:p w:rsidR="00017295" w:rsidRPr="009D6553" w:rsidRDefault="00017295" w:rsidP="00017295">
      <w:pPr>
        <w:rPr>
          <w:lang w:val="en-AU" w:eastAsia="en-GB" w:bidi="ar-SA"/>
        </w:rPr>
      </w:pPr>
    </w:p>
    <w:p w:rsidR="00017295" w:rsidRPr="009D6553" w:rsidRDefault="00017295" w:rsidP="00017295">
      <w:pPr>
        <w:rPr>
          <w:lang w:val="en-AU" w:eastAsia="en-GB" w:bidi="ar-SA"/>
        </w:rPr>
      </w:pPr>
      <w:r>
        <w:rPr>
          <w:lang w:val="en-AU" w:eastAsia="en-GB" w:bidi="ar-SA"/>
        </w:rPr>
        <w:t>Items [3.6</w:t>
      </w:r>
      <w:r w:rsidRPr="009D6553">
        <w:rPr>
          <w:lang w:val="en-AU" w:eastAsia="en-GB" w:bidi="ar-SA"/>
        </w:rPr>
        <w:t>], [10], [19] and [22] update references including changes to the names of Standards or cross-references within the Code or to relevant Australian legislation.</w:t>
      </w:r>
    </w:p>
    <w:p w:rsidR="00017295" w:rsidRPr="009D6553" w:rsidRDefault="00017295" w:rsidP="00017295">
      <w:pPr>
        <w:rPr>
          <w:lang w:val="en-AU" w:eastAsia="en-GB" w:bidi="ar-SA"/>
        </w:rPr>
      </w:pPr>
    </w:p>
    <w:p w:rsidR="00017295" w:rsidRPr="009D6553" w:rsidRDefault="00017295" w:rsidP="00017295">
      <w:pPr>
        <w:rPr>
          <w:i/>
          <w:szCs w:val="22"/>
        </w:rPr>
      </w:pPr>
      <w:r w:rsidRPr="009D6553">
        <w:rPr>
          <w:i/>
          <w:szCs w:val="22"/>
        </w:rPr>
        <w:t>6.3</w:t>
      </w:r>
      <w:r w:rsidRPr="009D6553">
        <w:rPr>
          <w:i/>
          <w:szCs w:val="22"/>
        </w:rPr>
        <w:tab/>
        <w:t>Updating material from international sources</w:t>
      </w:r>
    </w:p>
    <w:p w:rsidR="00017295" w:rsidRPr="009D6553" w:rsidRDefault="00017295" w:rsidP="00017295"/>
    <w:p w:rsidR="00017295" w:rsidRPr="009D6553" w:rsidRDefault="00017295" w:rsidP="00017295">
      <w:r>
        <w:t>Items [4.1</w:t>
      </w:r>
      <w:r w:rsidRPr="009D6553">
        <w:t>]</w:t>
      </w:r>
      <w:r>
        <w:rPr>
          <w:lang w:val="en-AU" w:eastAsia="en-GB" w:bidi="ar-SA"/>
        </w:rPr>
        <w:t>–[4.10</w:t>
      </w:r>
      <w:r w:rsidRPr="009D6553">
        <w:rPr>
          <w:lang w:val="en-AU" w:eastAsia="en-GB" w:bidi="ar-SA"/>
        </w:rPr>
        <w:t xml:space="preserve">], [9.1], [9.3]–[9.4], [9.8]–[9.9] and [12.1]–[12.2] </w:t>
      </w:r>
      <w:r w:rsidRPr="009D6553">
        <w:t>reflect changes to documents incorporated by reference or changes in nomenclature or INS numbering developed by international bodies. Additional references are included in paragraphs 11(a) of Standard 1.3.1 and 2(c) of Standard 1.3.4.</w:t>
      </w:r>
    </w:p>
    <w:p w:rsidR="00017295" w:rsidRPr="009D6553" w:rsidRDefault="00017295" w:rsidP="00017295"/>
    <w:p w:rsidR="00017295" w:rsidRPr="009D6553" w:rsidRDefault="00017295" w:rsidP="00017295">
      <w:pPr>
        <w:rPr>
          <w:i/>
          <w:szCs w:val="22"/>
        </w:rPr>
      </w:pPr>
      <w:r w:rsidRPr="009D6553">
        <w:rPr>
          <w:i/>
          <w:szCs w:val="22"/>
        </w:rPr>
        <w:t>6.4</w:t>
      </w:r>
      <w:r w:rsidRPr="009D6553">
        <w:rPr>
          <w:i/>
          <w:szCs w:val="22"/>
        </w:rPr>
        <w:tab/>
        <w:t>Omitting material that is no longer required</w:t>
      </w:r>
    </w:p>
    <w:p w:rsidR="00017295" w:rsidRPr="009D6553" w:rsidRDefault="00017295" w:rsidP="00017295">
      <w:pPr>
        <w:rPr>
          <w:szCs w:val="22"/>
        </w:rPr>
      </w:pPr>
    </w:p>
    <w:p w:rsidR="00017295" w:rsidRPr="009D6553" w:rsidRDefault="00017295" w:rsidP="00017295">
      <w:r w:rsidRPr="00435914">
        <w:t>Item [2] omit</w:t>
      </w:r>
      <w:r>
        <w:t>s</w:t>
      </w:r>
      <w:r w:rsidRPr="00435914">
        <w:t xml:space="preserve"> provisions t</w:t>
      </w:r>
      <w:r>
        <w:t>hat have ceased to have effect</w:t>
      </w:r>
      <w:r w:rsidRPr="00435914">
        <w:t>.</w:t>
      </w:r>
      <w:r w:rsidRPr="009D6553">
        <w:t xml:space="preserve"> </w:t>
      </w:r>
    </w:p>
    <w:p w:rsidR="00017295" w:rsidRPr="009D6553" w:rsidRDefault="00017295" w:rsidP="00017295"/>
    <w:p w:rsidR="00017295" w:rsidRPr="009D6553" w:rsidRDefault="00017295" w:rsidP="00017295">
      <w:r w:rsidRPr="009D6553">
        <w:t>Item [24.1] removes duplication of definitional text which is already located in Standard 1.1.1.</w:t>
      </w:r>
    </w:p>
    <w:p w:rsidR="00017295" w:rsidRPr="009D6553" w:rsidRDefault="00017295" w:rsidP="00017295"/>
    <w:p w:rsidR="00017295" w:rsidRPr="009D6553" w:rsidRDefault="00017295" w:rsidP="00017295">
      <w:pPr>
        <w:rPr>
          <w:i/>
          <w:szCs w:val="22"/>
        </w:rPr>
      </w:pPr>
      <w:r w:rsidRPr="009D6553">
        <w:rPr>
          <w:i/>
          <w:szCs w:val="22"/>
        </w:rPr>
        <w:t>6.5</w:t>
      </w:r>
      <w:r w:rsidRPr="009D6553">
        <w:rPr>
          <w:i/>
          <w:szCs w:val="22"/>
        </w:rPr>
        <w:tab/>
        <w:t>Variations to Editorial notes</w:t>
      </w:r>
    </w:p>
    <w:p w:rsidR="00017295" w:rsidRPr="009D6553" w:rsidRDefault="00017295" w:rsidP="00017295">
      <w:pPr>
        <w:rPr>
          <w:i/>
          <w:szCs w:val="22"/>
        </w:rPr>
      </w:pPr>
    </w:p>
    <w:p w:rsidR="00017295" w:rsidRPr="009D6553" w:rsidRDefault="00017295" w:rsidP="00017295">
      <w:pPr>
        <w:rPr>
          <w:iCs/>
          <w:szCs w:val="22"/>
        </w:rPr>
      </w:pPr>
      <w:r>
        <w:rPr>
          <w:iCs/>
          <w:szCs w:val="22"/>
        </w:rPr>
        <w:t>Items [4.11</w:t>
      </w:r>
      <w:r w:rsidRPr="009D6553">
        <w:rPr>
          <w:iCs/>
          <w:szCs w:val="22"/>
        </w:rPr>
        <w:t>]–[4.1</w:t>
      </w:r>
      <w:r>
        <w:rPr>
          <w:iCs/>
          <w:szCs w:val="22"/>
        </w:rPr>
        <w:t>2</w:t>
      </w:r>
      <w:r w:rsidRPr="009D6553">
        <w:rPr>
          <w:iCs/>
          <w:szCs w:val="22"/>
        </w:rPr>
        <w:t xml:space="preserve">] and [9.7] delete three editorial notes that are out-of-date. </w:t>
      </w:r>
    </w:p>
    <w:p w:rsidR="00017295" w:rsidRPr="009D6553" w:rsidRDefault="00017295" w:rsidP="00017295">
      <w:pPr>
        <w:rPr>
          <w:iCs/>
          <w:szCs w:val="22"/>
        </w:rPr>
      </w:pPr>
    </w:p>
    <w:p w:rsidR="00017295" w:rsidRDefault="00017295" w:rsidP="00017295">
      <w:pPr>
        <w:rPr>
          <w:iCs/>
          <w:szCs w:val="22"/>
        </w:rPr>
      </w:pPr>
      <w:r>
        <w:rPr>
          <w:iCs/>
          <w:szCs w:val="22"/>
        </w:rPr>
        <w:br w:type="page"/>
      </w:r>
    </w:p>
    <w:p w:rsidR="00017295" w:rsidRPr="009D6553" w:rsidRDefault="00017295" w:rsidP="00017295">
      <w:pPr>
        <w:rPr>
          <w:bCs/>
        </w:rPr>
      </w:pPr>
      <w:r w:rsidRPr="009D6553">
        <w:rPr>
          <w:iCs/>
          <w:szCs w:val="22"/>
        </w:rPr>
        <w:lastRenderedPageBreak/>
        <w:t>Items [5], [8.1], [8.3] and [23] amend or delete</w:t>
      </w:r>
      <w:r w:rsidRPr="009D6553">
        <w:rPr>
          <w:bCs/>
        </w:rPr>
        <w:t xml:space="preserve"> Editorial notes to remove information that is not suitable for inclusion in an Editorial note or update cross-references within the Code. </w:t>
      </w:r>
    </w:p>
    <w:p w:rsidR="00017295" w:rsidRPr="009D6553" w:rsidRDefault="00017295" w:rsidP="00017295">
      <w:pPr>
        <w:rPr>
          <w:bCs/>
        </w:rPr>
      </w:pPr>
    </w:p>
    <w:p w:rsidR="00017295" w:rsidRPr="009D6553" w:rsidRDefault="00017295" w:rsidP="00017295">
      <w:pPr>
        <w:rPr>
          <w:bCs/>
        </w:rPr>
      </w:pPr>
      <w:r w:rsidRPr="009D6553">
        <w:rPr>
          <w:bCs/>
        </w:rPr>
        <w:t>Editorial notes are not, by virtue of the definition of a ‘standard’ in the FSANZ Act, part of a draft standard and are therefore not subject to the standards development process under part 3 of the FSANZ Act. The Editorial notes have only been provided for completeness.</w:t>
      </w:r>
    </w:p>
    <w:p w:rsidR="00017295" w:rsidRPr="009D6553" w:rsidRDefault="00017295" w:rsidP="00017295">
      <w:pPr>
        <w:rPr>
          <w:bCs/>
        </w:rPr>
      </w:pPr>
    </w:p>
    <w:p w:rsidR="00D5526B" w:rsidRPr="00184403" w:rsidRDefault="00D5526B" w:rsidP="00793DE6"/>
    <w:sectPr w:rsidR="00D5526B" w:rsidRPr="00184403"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295" w:rsidRDefault="00017295" w:rsidP="00017295">
      <w:r>
        <w:separator/>
      </w:r>
    </w:p>
  </w:endnote>
  <w:endnote w:type="continuationSeparator" w:id="0">
    <w:p w:rsidR="00017295" w:rsidRDefault="00017295" w:rsidP="0001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959009"/>
      <w:docPartObj>
        <w:docPartGallery w:val="Page Numbers (Bottom of Page)"/>
        <w:docPartUnique/>
      </w:docPartObj>
    </w:sdtPr>
    <w:sdtEndPr>
      <w:rPr>
        <w:noProof/>
      </w:rPr>
    </w:sdtEndPr>
    <w:sdtContent>
      <w:p w:rsidR="00017295" w:rsidRDefault="00017295" w:rsidP="00017295">
        <w:pPr>
          <w:pStyle w:val="Footer"/>
          <w:jc w:val="center"/>
        </w:pPr>
        <w:r>
          <w:fldChar w:fldCharType="begin"/>
        </w:r>
        <w:r>
          <w:instrText xml:space="preserve"> PAGE   \* MERGEFORMAT </w:instrText>
        </w:r>
        <w:r>
          <w:fldChar w:fldCharType="separate"/>
        </w:r>
        <w:r w:rsidR="00DD29DB">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295" w:rsidRDefault="00017295" w:rsidP="00017295">
      <w:r>
        <w:separator/>
      </w:r>
    </w:p>
  </w:footnote>
  <w:footnote w:type="continuationSeparator" w:id="0">
    <w:p w:rsidR="00017295" w:rsidRDefault="00017295" w:rsidP="00017295">
      <w:r>
        <w:continuationSeparator/>
      </w:r>
    </w:p>
  </w:footnote>
  <w:footnote w:id="1">
    <w:p w:rsidR="00017295" w:rsidRPr="006E1858" w:rsidRDefault="00017295" w:rsidP="00017295">
      <w:pPr>
        <w:pStyle w:val="Footnote"/>
        <w:rPr>
          <w:lang w:val="en-AU"/>
        </w:rPr>
      </w:pPr>
      <w:r>
        <w:rPr>
          <w:rStyle w:val="FootnoteReference"/>
        </w:rPr>
        <w:footnoteRef/>
      </w:r>
      <w:r>
        <w:t xml:space="preserve"> </w:t>
      </w:r>
      <w:r>
        <w:rPr>
          <w:lang w:val="en-AU"/>
        </w:rPr>
        <w:t>Previously known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33E8"/>
    <w:multiLevelType w:val="hybridMultilevel"/>
    <w:tmpl w:val="F348A5B4"/>
    <w:lvl w:ilvl="0" w:tplc="E188D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4"/>
  </w:num>
  <w:num w:numId="9">
    <w:abstractNumId w:val="2"/>
  </w:num>
  <w:num w:numId="10">
    <w:abstractNumId w:val="3"/>
  </w:num>
  <w:num w:numId="11">
    <w:abstractNumId w:val="4"/>
  </w:num>
  <w:num w:numId="12">
    <w:abstractNumId w:val="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295"/>
    <w:rsid w:val="0000542C"/>
    <w:rsid w:val="00017295"/>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E2339"/>
    <w:rsid w:val="00935023"/>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D29DB"/>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017295"/>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qFormat/>
    <w:rsid w:val="00234C31"/>
    <w:pPr>
      <w:numPr>
        <w:numId w:val="11"/>
      </w:numPr>
      <w:ind w:left="567" w:hanging="567"/>
    </w:pPr>
    <w:rPr>
      <w:rFonts w:cs="Arial"/>
    </w:rPr>
  </w:style>
  <w:style w:type="character" w:customStyle="1" w:styleId="FSBullet1Char">
    <w:name w:val="FSBullet 1 Char"/>
    <w:basedOn w:val="DefaultParagraphFont"/>
    <w:link w:val="FSBullet1"/>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017295"/>
    <w:pPr>
      <w:tabs>
        <w:tab w:val="left" w:pos="851"/>
      </w:tabs>
    </w:pPr>
    <w:rPr>
      <w:sz w:val="18"/>
      <w:szCs w:val="20"/>
    </w:rPr>
  </w:style>
  <w:style w:type="character" w:styleId="FootnoteReference">
    <w:name w:val="footnote reference"/>
    <w:basedOn w:val="DefaultParagraphFont"/>
    <w:semiHidden/>
    <w:rsid w:val="000172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017295"/>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qFormat/>
    <w:rsid w:val="00234C31"/>
    <w:pPr>
      <w:numPr>
        <w:numId w:val="11"/>
      </w:numPr>
      <w:ind w:left="567" w:hanging="567"/>
    </w:pPr>
    <w:rPr>
      <w:rFonts w:cs="Arial"/>
    </w:rPr>
  </w:style>
  <w:style w:type="character" w:customStyle="1" w:styleId="FSBullet1Char">
    <w:name w:val="FSBullet 1 Char"/>
    <w:basedOn w:val="DefaultParagraphFont"/>
    <w:link w:val="FSBullet1"/>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017295"/>
    <w:pPr>
      <w:tabs>
        <w:tab w:val="left" w:pos="851"/>
      </w:tabs>
    </w:pPr>
    <w:rPr>
      <w:sz w:val="18"/>
      <w:szCs w:val="20"/>
    </w:rPr>
  </w:style>
  <w:style w:type="character" w:styleId="FootnoteReference">
    <w:name w:val="footnote reference"/>
    <w:basedOn w:val="DefaultParagraphFont"/>
    <w:semiHidden/>
    <w:rsid w:val="000172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896C5-602D-447C-A9AF-3AED999AF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4310</Characters>
  <Application>Microsoft Office Word</Application>
  <DocSecurity>0</DocSecurity>
  <Lines>35</Lines>
  <Paragraphs>10</Paragraphs>
  <ScaleCrop>false</ScaleCrop>
  <Company>Foodstandards</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2</cp:revision>
  <dcterms:created xsi:type="dcterms:W3CDTF">2014-08-13T01:54:00Z</dcterms:created>
  <dcterms:modified xsi:type="dcterms:W3CDTF">2014-10-23T22:05:00Z</dcterms:modified>
</cp:coreProperties>
</file>