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135499761"/>
    <w:bookmarkEnd w:id="1"/>
    <w:p w:rsidR="00C25E49" w:rsidRPr="00C25E49" w:rsidRDefault="00C25E49" w:rsidP="00C25E49">
      <w:pPr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E49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8289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78.9pt" o:ole="" fillcolor="window">
            <v:imagedata r:id="rId8" o:title=""/>
          </v:shape>
          <o:OLEObject Type="Embed" ProgID="Word.Picture.8" ShapeID="_x0000_i1025" DrawAspect="Content" ObjectID="_1475585825" r:id="rId9"/>
        </w:object>
      </w:r>
    </w:p>
    <w:p w:rsidR="00C25E49" w:rsidRPr="005F6BF5" w:rsidRDefault="00C25E49" w:rsidP="00C25E49">
      <w:pPr>
        <w:rPr>
          <w:b/>
          <w:sz w:val="36"/>
        </w:rPr>
      </w:pPr>
    </w:p>
    <w:p w:rsidR="00C25E49" w:rsidRPr="005F6BF5" w:rsidRDefault="00C25E49" w:rsidP="00C25E49">
      <w:pPr>
        <w:rPr>
          <w:b/>
          <w:sz w:val="40"/>
          <w:szCs w:val="40"/>
        </w:rPr>
      </w:pPr>
      <w:r w:rsidRPr="005F6BF5">
        <w:rPr>
          <w:b/>
          <w:sz w:val="40"/>
          <w:szCs w:val="40"/>
        </w:rPr>
        <w:t>Fisheries Management (</w:t>
      </w:r>
      <w:r w:rsidR="00FF31FC">
        <w:rPr>
          <w:b/>
          <w:sz w:val="40"/>
          <w:szCs w:val="40"/>
        </w:rPr>
        <w:t>Southern Bluefin Tuna Fishery Management Plan 1995</w:t>
      </w:r>
      <w:r w:rsidRPr="005F6BF5">
        <w:rPr>
          <w:b/>
          <w:sz w:val="40"/>
          <w:szCs w:val="40"/>
        </w:rPr>
        <w:t>) Temporary Order 20</w:t>
      </w:r>
      <w:r>
        <w:rPr>
          <w:b/>
          <w:sz w:val="40"/>
          <w:szCs w:val="40"/>
        </w:rPr>
        <w:t>1</w:t>
      </w:r>
      <w:r w:rsidR="00FF31FC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No. 1</w:t>
      </w:r>
    </w:p>
    <w:p w:rsidR="00C25E49" w:rsidRPr="005F6BF5" w:rsidRDefault="00C25E49" w:rsidP="00C25E49">
      <w:pPr>
        <w:rPr>
          <w:b/>
          <w:sz w:val="40"/>
          <w:szCs w:val="40"/>
        </w:rPr>
      </w:pPr>
    </w:p>
    <w:p w:rsidR="00C25E49" w:rsidRPr="005F6BF5" w:rsidRDefault="00C25E49" w:rsidP="00C25E49">
      <w:pPr>
        <w:tabs>
          <w:tab w:val="left" w:pos="8820"/>
        </w:tabs>
        <w:rPr>
          <w:rFonts w:ascii="Arial" w:hAnsi="Arial" w:cs="Arial"/>
          <w:sz w:val="32"/>
          <w:szCs w:val="32"/>
        </w:rPr>
      </w:pPr>
      <w:r w:rsidRPr="005F6BF5">
        <w:rPr>
          <w:rFonts w:ascii="Arial" w:hAnsi="Arial" w:cs="Arial"/>
          <w:i/>
          <w:sz w:val="32"/>
          <w:szCs w:val="32"/>
          <w:u w:val="single"/>
        </w:rPr>
        <w:t>Fisheries Management Act 1991</w:t>
      </w:r>
      <w:r w:rsidRPr="005F6BF5">
        <w:rPr>
          <w:rFonts w:ascii="Arial" w:hAnsi="Arial" w:cs="Arial"/>
          <w:i/>
          <w:sz w:val="32"/>
          <w:szCs w:val="32"/>
          <w:u w:val="single"/>
        </w:rPr>
        <w:tab/>
      </w:r>
    </w:p>
    <w:p w:rsidR="00C25E49" w:rsidRDefault="00C25E49" w:rsidP="00C25E49">
      <w:pPr>
        <w:tabs>
          <w:tab w:val="left" w:pos="8820"/>
        </w:tabs>
        <w:rPr>
          <w:sz w:val="32"/>
          <w:szCs w:val="32"/>
        </w:rPr>
      </w:pPr>
    </w:p>
    <w:p w:rsidR="00C25E49" w:rsidRDefault="00C25E49" w:rsidP="00C25E49">
      <w:pPr>
        <w:tabs>
          <w:tab w:val="left" w:pos="8640"/>
          <w:tab w:val="left" w:pos="8820"/>
        </w:tabs>
        <w:spacing w:line="360" w:lineRule="auto"/>
      </w:pPr>
      <w:r>
        <w:t>I, JAMES FINDLAY,</w:t>
      </w:r>
      <w:r w:rsidRPr="005F6BF5">
        <w:t xml:space="preserve"> </w:t>
      </w:r>
      <w:r>
        <w:t xml:space="preserve">Chief Executive Officer and </w:t>
      </w:r>
      <w:r w:rsidRPr="005F6BF5">
        <w:t xml:space="preserve">delegate of </w:t>
      </w:r>
      <w:r>
        <w:t xml:space="preserve">the </w:t>
      </w:r>
      <w:r w:rsidRPr="005F6BF5">
        <w:t>Australian Fisheries Management Authority</w:t>
      </w:r>
      <w:r>
        <w:t xml:space="preserve">, make this order under subsection 43(2) of the </w:t>
      </w:r>
      <w:r w:rsidRPr="005F6BF5">
        <w:rPr>
          <w:i/>
        </w:rPr>
        <w:t>Fisheries Management Act 199</w:t>
      </w:r>
      <w:r>
        <w:rPr>
          <w:i/>
        </w:rPr>
        <w:t xml:space="preserve">1, </w:t>
      </w:r>
      <w:r w:rsidRPr="005F6BF5">
        <w:t>being</w:t>
      </w:r>
      <w:r>
        <w:t xml:space="preserve"> satisfied that:</w:t>
      </w: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  <w:r>
        <w:t>(a)</w:t>
      </w:r>
      <w:r>
        <w:tab/>
        <w:t>it is necessary to take action under section 43 of the Management Act;</w:t>
      </w:r>
    </w:p>
    <w:p w:rsidR="00C25E49" w:rsidRDefault="00C25E49" w:rsidP="00C25E49">
      <w:pPr>
        <w:tabs>
          <w:tab w:val="left" w:pos="540"/>
          <w:tab w:val="left" w:pos="8820"/>
        </w:tabs>
        <w:spacing w:line="360" w:lineRule="auto"/>
      </w:pPr>
      <w:r>
        <w:t>(b)</w:t>
      </w:r>
      <w:r>
        <w:tab/>
        <w:t>the action is consistent with AFMA objectives; and</w:t>
      </w: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  <w:r>
        <w:t>(c)</w:t>
      </w:r>
      <w:r>
        <w:tab/>
        <w:t>no other action is appropriate.</w:t>
      </w: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</w:p>
    <w:p w:rsidR="00C25E49" w:rsidRDefault="00154753" w:rsidP="00C25E49">
      <w:pPr>
        <w:tabs>
          <w:tab w:val="left" w:pos="540"/>
          <w:tab w:val="left" w:pos="8640"/>
          <w:tab w:val="left" w:pos="8820"/>
        </w:tabs>
        <w:spacing w:line="360" w:lineRule="auto"/>
      </w:pPr>
      <w:r>
        <w:t>Dated:    23</w:t>
      </w:r>
      <w:r w:rsidR="00E7702A">
        <w:t xml:space="preserve"> </w:t>
      </w:r>
      <w:r w:rsidR="00ED5867">
        <w:t>October</w:t>
      </w:r>
      <w:r w:rsidR="00FF31FC">
        <w:t xml:space="preserve"> 2014</w:t>
      </w: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  <w:r>
        <w:t xml:space="preserve">JAMES </w:t>
      </w:r>
      <w:smartTag w:uri="urn:schemas-microsoft-com:office:smarttags" w:element="place">
        <w:smartTag w:uri="urn:schemas-microsoft-com:office:smarttags" w:element="City">
          <w:r>
            <w:t>FINDLAY</w:t>
          </w:r>
        </w:smartTag>
      </w:smartTag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  <w:r>
        <w:t>Chief Executive Officer</w:t>
      </w: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  <w:r>
        <w:t>Australian Fisheries Management Authority</w:t>
      </w:r>
    </w:p>
    <w:p w:rsidR="00C25E49" w:rsidRPr="005F6BF5" w:rsidRDefault="00C25E49" w:rsidP="00C25E49">
      <w:pPr>
        <w:tabs>
          <w:tab w:val="left" w:pos="540"/>
          <w:tab w:val="left" w:pos="8820"/>
        </w:tabs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25E49" w:rsidRPr="00610046" w:rsidRDefault="00C25E49" w:rsidP="00C25E49">
      <w:pPr>
        <w:tabs>
          <w:tab w:val="left" w:pos="8820"/>
        </w:tabs>
      </w:pPr>
      <w:r>
        <w:br w:type="page"/>
      </w:r>
    </w:p>
    <w:p w:rsidR="00C25E49" w:rsidRPr="00610046" w:rsidRDefault="00C25E49" w:rsidP="00C25E49">
      <w:pPr>
        <w:tabs>
          <w:tab w:val="left" w:pos="900"/>
          <w:tab w:val="left" w:pos="8820"/>
        </w:tabs>
        <w:spacing w:before="100" w:beforeAutospacing="1" w:line="360" w:lineRule="auto"/>
        <w:ind w:left="720" w:hanging="720"/>
        <w:rPr>
          <w:b/>
        </w:rPr>
      </w:pPr>
      <w:r w:rsidRPr="00610046">
        <w:rPr>
          <w:b/>
        </w:rPr>
        <w:lastRenderedPageBreak/>
        <w:t>1</w:t>
      </w:r>
      <w:r>
        <w:rPr>
          <w:b/>
        </w:rPr>
        <w:t>.</w:t>
      </w:r>
      <w:r w:rsidRPr="00610046">
        <w:rPr>
          <w:b/>
        </w:rPr>
        <w:tab/>
        <w:t>Name of Order</w:t>
      </w:r>
    </w:p>
    <w:p w:rsidR="00C25E49" w:rsidRPr="00610046" w:rsidRDefault="00C25E49" w:rsidP="00C25E49">
      <w:pPr>
        <w:tabs>
          <w:tab w:val="left" w:pos="900"/>
          <w:tab w:val="left" w:pos="8820"/>
        </w:tabs>
        <w:spacing w:before="100" w:beforeAutospacing="1" w:line="360" w:lineRule="auto"/>
        <w:ind w:left="720"/>
      </w:pPr>
      <w:r w:rsidRPr="00610046">
        <w:t xml:space="preserve">This Order </w:t>
      </w:r>
      <w:r>
        <w:t xml:space="preserve">may be cited as </w:t>
      </w:r>
      <w:r w:rsidRPr="00610046">
        <w:t xml:space="preserve">the </w:t>
      </w:r>
      <w:r w:rsidR="00FF31FC" w:rsidRPr="00FF31FC">
        <w:rPr>
          <w:i/>
        </w:rPr>
        <w:t>Fisheries Management (Southern Bluefin Tuna Fishery Management Plan 1995) Temporary Order 2014 No. 1</w:t>
      </w:r>
      <w:r w:rsidR="00FF31FC">
        <w:t>.</w:t>
      </w:r>
    </w:p>
    <w:p w:rsidR="00C25E49" w:rsidRPr="00610046" w:rsidRDefault="00C25E49" w:rsidP="00C25E49">
      <w:pPr>
        <w:tabs>
          <w:tab w:val="left" w:pos="900"/>
          <w:tab w:val="left" w:pos="8820"/>
        </w:tabs>
        <w:spacing w:before="100" w:beforeAutospacing="1" w:line="360" w:lineRule="auto"/>
        <w:ind w:left="720" w:hanging="720"/>
        <w:rPr>
          <w:b/>
        </w:rPr>
      </w:pPr>
      <w:r w:rsidRPr="00610046">
        <w:rPr>
          <w:b/>
        </w:rPr>
        <w:t>2</w:t>
      </w:r>
      <w:r>
        <w:rPr>
          <w:b/>
        </w:rPr>
        <w:t>.</w:t>
      </w:r>
      <w:r w:rsidRPr="00610046">
        <w:rPr>
          <w:b/>
        </w:rPr>
        <w:tab/>
        <w:t>Commencement</w:t>
      </w:r>
      <w:r w:rsidR="009E1E54">
        <w:rPr>
          <w:b/>
        </w:rPr>
        <w:t xml:space="preserve"> and Cessation</w:t>
      </w:r>
    </w:p>
    <w:p w:rsidR="00C25E49" w:rsidRPr="00610046" w:rsidRDefault="00C25E49" w:rsidP="00C25E49">
      <w:pPr>
        <w:tabs>
          <w:tab w:val="left" w:pos="900"/>
          <w:tab w:val="left" w:pos="8820"/>
        </w:tabs>
        <w:spacing w:before="100" w:beforeAutospacing="1" w:line="360" w:lineRule="auto"/>
        <w:ind w:left="720"/>
      </w:pPr>
      <w:r w:rsidRPr="00610046">
        <w:t xml:space="preserve">This Order commences </w:t>
      </w:r>
      <w:r>
        <w:t>on the day after registration on the Federal Register of Legislative Instruments</w:t>
      </w:r>
      <w:r w:rsidR="009E1E54">
        <w:t xml:space="preserve"> and ceases on </w:t>
      </w:r>
      <w:r w:rsidR="00F43F6D">
        <w:t>30 November</w:t>
      </w:r>
      <w:r w:rsidR="009E1E54">
        <w:t xml:space="preserve"> 201</w:t>
      </w:r>
      <w:r w:rsidR="003D78B4">
        <w:t>4</w:t>
      </w:r>
      <w:r w:rsidR="009E1E54">
        <w:t>.</w:t>
      </w:r>
    </w:p>
    <w:p w:rsidR="00C25E49" w:rsidRPr="00610046" w:rsidRDefault="00C25E49" w:rsidP="00C25E49">
      <w:pPr>
        <w:spacing w:before="100" w:beforeAutospacing="1" w:line="360" w:lineRule="auto"/>
        <w:ind w:left="720" w:hanging="720"/>
        <w:jc w:val="both"/>
        <w:rPr>
          <w:b/>
        </w:rPr>
      </w:pPr>
      <w:r>
        <w:rPr>
          <w:b/>
        </w:rPr>
        <w:t>3.</w:t>
      </w:r>
      <w:r w:rsidRPr="00610046">
        <w:rPr>
          <w:b/>
        </w:rPr>
        <w:tab/>
        <w:t>Definitions</w:t>
      </w:r>
    </w:p>
    <w:p w:rsidR="00C25E49" w:rsidRPr="00610046" w:rsidRDefault="00C25E49" w:rsidP="00C25E49">
      <w:pPr>
        <w:spacing w:before="100" w:beforeAutospacing="1" w:line="360" w:lineRule="auto"/>
        <w:ind w:left="720"/>
        <w:jc w:val="both"/>
      </w:pPr>
      <w:r w:rsidRPr="00610046">
        <w:t>In this Order:</w:t>
      </w:r>
    </w:p>
    <w:p w:rsidR="00C25E49" w:rsidRDefault="00C25E49" w:rsidP="008D0290">
      <w:pPr>
        <w:spacing w:before="100" w:beforeAutospacing="1" w:line="360" w:lineRule="auto"/>
        <w:ind w:left="709" w:firstLine="11"/>
        <w:jc w:val="both"/>
        <w:rPr>
          <w:i/>
        </w:rPr>
      </w:pPr>
      <w:r w:rsidRPr="00610046">
        <w:t xml:space="preserve">Terms used have the same meaning that they have in the </w:t>
      </w:r>
      <w:r w:rsidR="00E97DA6" w:rsidRPr="000C0758">
        <w:rPr>
          <w:i/>
        </w:rPr>
        <w:t xml:space="preserve">Fisheries </w:t>
      </w:r>
      <w:r w:rsidRPr="000C0758">
        <w:rPr>
          <w:i/>
        </w:rPr>
        <w:t>Management Act</w:t>
      </w:r>
      <w:r w:rsidR="00E97DA6">
        <w:t xml:space="preserve"> </w:t>
      </w:r>
      <w:r w:rsidR="00E97DA6" w:rsidRPr="000C0758">
        <w:rPr>
          <w:i/>
        </w:rPr>
        <w:t>1991</w:t>
      </w:r>
      <w:r w:rsidRPr="00610046">
        <w:t xml:space="preserve"> </w:t>
      </w:r>
      <w:r w:rsidR="000C0758">
        <w:t>(the Management Act) and</w:t>
      </w:r>
      <w:r w:rsidR="000C0758" w:rsidRPr="00610046">
        <w:t xml:space="preserve"> </w:t>
      </w:r>
      <w:r w:rsidRPr="00610046">
        <w:t xml:space="preserve">in the </w:t>
      </w:r>
      <w:r w:rsidR="00FF31FC" w:rsidRPr="00FF31FC">
        <w:rPr>
          <w:i/>
        </w:rPr>
        <w:t>Southern Bluefin Tuna Fishery Management Plan 1995</w:t>
      </w:r>
      <w:r w:rsidRPr="00610046">
        <w:t xml:space="preserve"> (the Management Plan)</w:t>
      </w:r>
      <w:r w:rsidRPr="00610046">
        <w:rPr>
          <w:i/>
        </w:rPr>
        <w:t>.</w:t>
      </w:r>
    </w:p>
    <w:p w:rsidR="00C25E49" w:rsidRPr="00610046" w:rsidRDefault="00C25E49" w:rsidP="00C25E49">
      <w:pPr>
        <w:spacing w:before="100" w:beforeAutospacing="1" w:line="360" w:lineRule="auto"/>
        <w:jc w:val="both"/>
        <w:rPr>
          <w:b/>
        </w:rPr>
      </w:pPr>
      <w:r>
        <w:rPr>
          <w:b/>
        </w:rPr>
        <w:t>4</w:t>
      </w:r>
      <w:r w:rsidRPr="00610046">
        <w:rPr>
          <w:b/>
        </w:rPr>
        <w:t>.</w:t>
      </w:r>
      <w:r w:rsidRPr="00610046">
        <w:rPr>
          <w:b/>
        </w:rPr>
        <w:tab/>
      </w:r>
      <w:bookmarkStart w:id="2" w:name="_Toc366769725"/>
      <w:r w:rsidR="00B509F1">
        <w:rPr>
          <w:b/>
        </w:rPr>
        <w:t>AFMA’s power to determine</w:t>
      </w:r>
      <w:r w:rsidR="002B7CC9" w:rsidRPr="000D4354">
        <w:rPr>
          <w:b/>
        </w:rPr>
        <w:t xml:space="preserve"> national catch allocation</w:t>
      </w:r>
      <w:bookmarkEnd w:id="2"/>
    </w:p>
    <w:p w:rsidR="008211D9" w:rsidRPr="00582B6B" w:rsidRDefault="000D4354" w:rsidP="00C6183C">
      <w:pPr>
        <w:spacing w:before="100" w:beforeAutospacing="1" w:line="360" w:lineRule="auto"/>
        <w:ind w:left="709" w:firstLine="11"/>
        <w:jc w:val="both"/>
        <w:rPr>
          <w:color w:val="FF0000"/>
        </w:rPr>
      </w:pPr>
      <w:r w:rsidRPr="00582B6B">
        <w:rPr>
          <w:color w:val="000000" w:themeColor="text1"/>
        </w:rPr>
        <w:t>Clause</w:t>
      </w:r>
      <w:r w:rsidR="00C25E49" w:rsidRPr="00582B6B">
        <w:rPr>
          <w:color w:val="000000" w:themeColor="text1"/>
        </w:rPr>
        <w:t xml:space="preserve"> </w:t>
      </w:r>
      <w:r w:rsidR="002B7CC9" w:rsidRPr="00582B6B">
        <w:rPr>
          <w:color w:val="000000" w:themeColor="text1"/>
        </w:rPr>
        <w:t>17</w:t>
      </w:r>
      <w:r w:rsidR="00C25E49" w:rsidRPr="00582B6B">
        <w:rPr>
          <w:color w:val="000000" w:themeColor="text1"/>
        </w:rPr>
        <w:t xml:space="preserve"> of the Management Plan has no effect</w:t>
      </w:r>
      <w:r w:rsidR="0041666E" w:rsidRPr="00582B6B">
        <w:rPr>
          <w:color w:val="000000" w:themeColor="text1"/>
        </w:rPr>
        <w:t xml:space="preserve"> to the extent that</w:t>
      </w:r>
      <w:r w:rsidR="002B7CC9" w:rsidRPr="00582B6B">
        <w:rPr>
          <w:color w:val="000000" w:themeColor="text1"/>
        </w:rPr>
        <w:t xml:space="preserve"> it</w:t>
      </w:r>
      <w:r w:rsidR="00942FEE">
        <w:rPr>
          <w:color w:val="000000" w:themeColor="text1"/>
        </w:rPr>
        <w:t xml:space="preserve"> restricts, or</w:t>
      </w:r>
      <w:r w:rsidR="002B7CC9" w:rsidRPr="00582B6B">
        <w:rPr>
          <w:color w:val="000000" w:themeColor="text1"/>
        </w:rPr>
        <w:t xml:space="preserve"> </w:t>
      </w:r>
      <w:r w:rsidR="000064D7">
        <w:rPr>
          <w:color w:val="000000" w:themeColor="text1"/>
        </w:rPr>
        <w:t>would restrict</w:t>
      </w:r>
      <w:r w:rsidR="00942FEE">
        <w:rPr>
          <w:color w:val="000000" w:themeColor="text1"/>
        </w:rPr>
        <w:t>,</w:t>
      </w:r>
      <w:r w:rsidR="00C6183C" w:rsidRPr="00582B6B">
        <w:rPr>
          <w:color w:val="000000" w:themeColor="text1"/>
        </w:rPr>
        <w:t xml:space="preserve"> AFMA </w:t>
      </w:r>
      <w:r w:rsidR="000064D7">
        <w:rPr>
          <w:color w:val="000000" w:themeColor="text1"/>
        </w:rPr>
        <w:t>from making</w:t>
      </w:r>
      <w:r w:rsidR="00C6183C" w:rsidRPr="00582B6B">
        <w:rPr>
          <w:color w:val="000000" w:themeColor="text1"/>
        </w:rPr>
        <w:t>, vary</w:t>
      </w:r>
      <w:r w:rsidR="000064D7">
        <w:rPr>
          <w:color w:val="000000" w:themeColor="text1"/>
        </w:rPr>
        <w:t>ing, remaking or revoking</w:t>
      </w:r>
      <w:r w:rsidR="00C6183C" w:rsidRPr="00582B6B">
        <w:rPr>
          <w:color w:val="000000" w:themeColor="text1"/>
        </w:rPr>
        <w:t xml:space="preserve"> a</w:t>
      </w:r>
      <w:r w:rsidRPr="00582B6B">
        <w:rPr>
          <w:color w:val="000000" w:themeColor="text1"/>
        </w:rPr>
        <w:t xml:space="preserve"> determination relating to</w:t>
      </w:r>
      <w:r w:rsidR="002B7CC9" w:rsidRPr="00582B6B">
        <w:rPr>
          <w:color w:val="000000" w:themeColor="text1"/>
        </w:rPr>
        <w:t xml:space="preserve"> Australia’s </w:t>
      </w:r>
      <w:r w:rsidR="002B7CC9" w:rsidRPr="000C0758">
        <w:rPr>
          <w:color w:val="000000" w:themeColor="text1"/>
        </w:rPr>
        <w:t>national catch allocation</w:t>
      </w:r>
      <w:r w:rsidR="002B7CC9" w:rsidRPr="00582B6B">
        <w:rPr>
          <w:color w:val="000000" w:themeColor="text1"/>
        </w:rPr>
        <w:t xml:space="preserve"> for the 2013-2014</w:t>
      </w:r>
      <w:r w:rsidR="007B22DE">
        <w:rPr>
          <w:color w:val="000000" w:themeColor="text1"/>
        </w:rPr>
        <w:t xml:space="preserve"> and 2014-201</w:t>
      </w:r>
      <w:r w:rsidR="00E324CD">
        <w:rPr>
          <w:color w:val="000000" w:themeColor="text1"/>
        </w:rPr>
        <w:t>5</w:t>
      </w:r>
      <w:r w:rsidR="002B7CC9" w:rsidRPr="00582B6B">
        <w:rPr>
          <w:color w:val="000000" w:themeColor="text1"/>
        </w:rPr>
        <w:t xml:space="preserve"> </w:t>
      </w:r>
      <w:r w:rsidR="00C6183C" w:rsidRPr="00582B6B">
        <w:rPr>
          <w:color w:val="000000" w:themeColor="text1"/>
        </w:rPr>
        <w:t>season</w:t>
      </w:r>
      <w:r w:rsidR="007B22DE">
        <w:rPr>
          <w:color w:val="000000" w:themeColor="text1"/>
        </w:rPr>
        <w:t>s</w:t>
      </w:r>
      <w:r w:rsidR="00C6183C" w:rsidRPr="000064D7">
        <w:t>.</w:t>
      </w:r>
    </w:p>
    <w:p w:rsidR="00B509F1" w:rsidRDefault="00B509F1" w:rsidP="00B509F1">
      <w:pPr>
        <w:spacing w:before="100" w:beforeAutospacing="1" w:line="360" w:lineRule="auto"/>
        <w:jc w:val="both"/>
      </w:pPr>
      <w:r>
        <w:rPr>
          <w:b/>
        </w:rPr>
        <w:t>5</w:t>
      </w:r>
      <w:r w:rsidRPr="00610046">
        <w:rPr>
          <w:b/>
        </w:rPr>
        <w:t>.</w:t>
      </w:r>
      <w:r>
        <w:rPr>
          <w:b/>
        </w:rPr>
        <w:tab/>
        <w:t xml:space="preserve">Circumstances of determining national catch </w:t>
      </w:r>
      <w:r w:rsidRPr="009E1E54">
        <w:rPr>
          <w:b/>
        </w:rPr>
        <w:t>allocation</w:t>
      </w:r>
    </w:p>
    <w:p w:rsidR="00C6183C" w:rsidRPr="00FF31FC" w:rsidRDefault="00C6183C" w:rsidP="00B509F1">
      <w:pPr>
        <w:spacing w:before="100" w:beforeAutospacing="1" w:line="360" w:lineRule="auto"/>
        <w:ind w:left="708"/>
        <w:jc w:val="both"/>
      </w:pPr>
      <w:r w:rsidRPr="00B509F1">
        <w:t>Clause</w:t>
      </w:r>
      <w:r>
        <w:t xml:space="preserve"> 17 of the Management Plan has no effect to the extent that it limits</w:t>
      </w:r>
      <w:r w:rsidR="000064D7">
        <w:t>, or would limit,</w:t>
      </w:r>
      <w:r>
        <w:t xml:space="preserve"> the circumstances in which AFMA can exercise a power under the Management Plan or Management Act to </w:t>
      </w:r>
      <w:r w:rsidR="003B6B4A">
        <w:t>make or vary a determination</w:t>
      </w:r>
      <w:r>
        <w:t xml:space="preserve"> </w:t>
      </w:r>
      <w:r w:rsidR="003B6B4A">
        <w:t xml:space="preserve">of </w:t>
      </w:r>
      <w:r>
        <w:t xml:space="preserve">Australia’s </w:t>
      </w:r>
      <w:r w:rsidRPr="000C0758">
        <w:t>national catch allocation</w:t>
      </w:r>
      <w:r>
        <w:rPr>
          <w:b/>
          <w:i/>
        </w:rPr>
        <w:t xml:space="preserve"> </w:t>
      </w:r>
      <w:r>
        <w:t>for the 2013-2014</w:t>
      </w:r>
      <w:r w:rsidR="007B22DE">
        <w:t xml:space="preserve"> and 2014-2015</w:t>
      </w:r>
      <w:r>
        <w:t xml:space="preserve"> season</w:t>
      </w:r>
      <w:r w:rsidR="007B22DE">
        <w:t>s</w:t>
      </w:r>
      <w:r>
        <w:t xml:space="preserve">. </w:t>
      </w:r>
    </w:p>
    <w:p w:rsidR="00D771F9" w:rsidRDefault="00B509F1" w:rsidP="00C25E49">
      <w:pPr>
        <w:spacing w:before="100" w:beforeAutospacing="1" w:line="360" w:lineRule="auto"/>
        <w:jc w:val="both"/>
        <w:rPr>
          <w:b/>
        </w:rPr>
      </w:pPr>
      <w:r>
        <w:rPr>
          <w:b/>
        </w:rPr>
        <w:t>6</w:t>
      </w:r>
      <w:r w:rsidR="00C25E49" w:rsidRPr="00610046">
        <w:t>.</w:t>
      </w:r>
      <w:r w:rsidR="00C25E49" w:rsidRPr="00610046">
        <w:tab/>
      </w:r>
      <w:r w:rsidR="00D771F9">
        <w:rPr>
          <w:b/>
        </w:rPr>
        <w:t>AFMA’s power to vary actual live weight value of a statutory fishing right</w:t>
      </w:r>
    </w:p>
    <w:p w:rsidR="00D771F9" w:rsidRPr="00D771F9" w:rsidRDefault="00D771F9" w:rsidP="00E324CD">
      <w:pPr>
        <w:spacing w:before="100" w:beforeAutospacing="1" w:line="360" w:lineRule="auto"/>
        <w:ind w:left="705"/>
        <w:jc w:val="both"/>
      </w:pPr>
      <w:r>
        <w:t>Clause 18 of the Management Plan, and in particular subclause 18.8, has no effect to the extent that it prohibits, or would prohibit, AFMA from varying or re-determining the actual live weight of a statutory fishing right for the 2013-2014 and 2014-2015 fishing seasons.</w:t>
      </w:r>
    </w:p>
    <w:p w:rsidR="00C25E49" w:rsidRPr="00610046" w:rsidRDefault="00D771F9" w:rsidP="00C25E49">
      <w:pPr>
        <w:spacing w:before="100" w:beforeAutospacing="1" w:line="360" w:lineRule="auto"/>
        <w:jc w:val="both"/>
        <w:rPr>
          <w:b/>
        </w:rPr>
      </w:pPr>
      <w:r w:rsidRPr="002419BD">
        <w:rPr>
          <w:b/>
        </w:rPr>
        <w:lastRenderedPageBreak/>
        <w:t>7</w:t>
      </w:r>
      <w:r>
        <w:t>.</w:t>
      </w:r>
      <w:r>
        <w:tab/>
      </w:r>
      <w:r w:rsidR="000D4354">
        <w:rPr>
          <w:b/>
        </w:rPr>
        <w:t xml:space="preserve">AFMA </w:t>
      </w:r>
      <w:r w:rsidR="00C6183C">
        <w:rPr>
          <w:b/>
        </w:rPr>
        <w:t>still obliged to pursue objectives</w:t>
      </w:r>
      <w:r w:rsidR="000D4354">
        <w:rPr>
          <w:b/>
        </w:rPr>
        <w:t xml:space="preserve"> </w:t>
      </w:r>
      <w:r w:rsidR="00C25E49" w:rsidRPr="00610046">
        <w:rPr>
          <w:b/>
        </w:rPr>
        <w:t xml:space="preserve"> </w:t>
      </w:r>
    </w:p>
    <w:p w:rsidR="00FE07CE" w:rsidRDefault="00276C7F" w:rsidP="000C0758">
      <w:pPr>
        <w:spacing w:before="100" w:beforeAutospacing="1" w:line="360" w:lineRule="auto"/>
        <w:ind w:left="720"/>
        <w:jc w:val="both"/>
      </w:pPr>
      <w:r>
        <w:t>For the avoidance of dou</w:t>
      </w:r>
      <w:r w:rsidR="00B509F1">
        <w:t xml:space="preserve">bt, in </w:t>
      </w:r>
      <w:r w:rsidR="009E1E54">
        <w:t>determining</w:t>
      </w:r>
      <w:r w:rsidR="00B509F1">
        <w:t xml:space="preserve"> a </w:t>
      </w:r>
      <w:r w:rsidR="00B509F1" w:rsidRPr="000C0758">
        <w:t>national catch allocation</w:t>
      </w:r>
      <w:r w:rsidR="00B509F1">
        <w:t>, AFMA must pursue the objectives set out in Division 1.2 of the Management Plan and sections 3 and 3A of the Management Act</w:t>
      </w:r>
      <w:r w:rsidR="007B22DE">
        <w:t xml:space="preserve"> and not act inconsistently with a decision of the Commission relating to Australia’s national catch allocation</w:t>
      </w:r>
      <w:r w:rsidR="009E1E54">
        <w:t xml:space="preserve">.    </w:t>
      </w:r>
    </w:p>
    <w:sectPr w:rsidR="00FE07CE" w:rsidSect="0079405F">
      <w:footerReference w:type="even" r:id="rId10"/>
      <w:footerReference w:type="default" r:id="rId11"/>
      <w:pgSz w:w="11906" w:h="16838"/>
      <w:pgMar w:top="1440" w:right="1286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6E" w:rsidRDefault="0007526E">
      <w:r>
        <w:separator/>
      </w:r>
    </w:p>
  </w:endnote>
  <w:endnote w:type="continuationSeparator" w:id="0">
    <w:p w:rsidR="0007526E" w:rsidRDefault="0007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5F" w:rsidRDefault="00FE215C" w:rsidP="007940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05F" w:rsidRDefault="00710CF1" w:rsidP="007940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5F" w:rsidRDefault="00FE215C" w:rsidP="007940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CF1">
      <w:rPr>
        <w:rStyle w:val="PageNumber"/>
        <w:noProof/>
      </w:rPr>
      <w:t>1</w:t>
    </w:r>
    <w:r>
      <w:rPr>
        <w:rStyle w:val="PageNumber"/>
      </w:rPr>
      <w:fldChar w:fldCharType="end"/>
    </w:r>
  </w:p>
  <w:p w:rsidR="0079405F" w:rsidRDefault="00710CF1" w:rsidP="007940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6E" w:rsidRDefault="0007526E">
      <w:r>
        <w:separator/>
      </w:r>
    </w:p>
  </w:footnote>
  <w:footnote w:type="continuationSeparator" w:id="0">
    <w:p w:rsidR="0007526E" w:rsidRDefault="0007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0CD5D4"/>
    <w:lvl w:ilvl="0">
      <w:numFmt w:val="bullet"/>
      <w:lvlText w:val="*"/>
      <w:lvlJc w:val="left"/>
    </w:lvl>
  </w:abstractNum>
  <w:abstractNum w:abstractNumId="1">
    <w:nsid w:val="24882CDA"/>
    <w:multiLevelType w:val="hybridMultilevel"/>
    <w:tmpl w:val="0260672E"/>
    <w:lvl w:ilvl="0" w:tplc="35AA0952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E557EB8"/>
    <w:multiLevelType w:val="hybridMultilevel"/>
    <w:tmpl w:val="352C6774"/>
    <w:lvl w:ilvl="0" w:tplc="FB220AA2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1576D4"/>
    <w:multiLevelType w:val="hybridMultilevel"/>
    <w:tmpl w:val="55C85488"/>
    <w:lvl w:ilvl="0" w:tplc="78560C5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49"/>
    <w:rsid w:val="000064D7"/>
    <w:rsid w:val="00072C25"/>
    <w:rsid w:val="0007526E"/>
    <w:rsid w:val="000C0758"/>
    <w:rsid w:val="000D4354"/>
    <w:rsid w:val="001313B3"/>
    <w:rsid w:val="00154753"/>
    <w:rsid w:val="001B5206"/>
    <w:rsid w:val="002419BD"/>
    <w:rsid w:val="00276C7F"/>
    <w:rsid w:val="002B7CC9"/>
    <w:rsid w:val="003A2BD1"/>
    <w:rsid w:val="003B6B4A"/>
    <w:rsid w:val="003C4A6E"/>
    <w:rsid w:val="003D1A45"/>
    <w:rsid w:val="003D78B4"/>
    <w:rsid w:val="0041666E"/>
    <w:rsid w:val="004840C0"/>
    <w:rsid w:val="004D1EC1"/>
    <w:rsid w:val="00582B6B"/>
    <w:rsid w:val="006B6170"/>
    <w:rsid w:val="0070503B"/>
    <w:rsid w:val="00710CF1"/>
    <w:rsid w:val="0079296A"/>
    <w:rsid w:val="007A428A"/>
    <w:rsid w:val="007B22DE"/>
    <w:rsid w:val="008211D9"/>
    <w:rsid w:val="008D0290"/>
    <w:rsid w:val="00931234"/>
    <w:rsid w:val="00942FEE"/>
    <w:rsid w:val="009E1E54"/>
    <w:rsid w:val="00A20840"/>
    <w:rsid w:val="00A35A33"/>
    <w:rsid w:val="00A62B07"/>
    <w:rsid w:val="00A83E7A"/>
    <w:rsid w:val="00B413E8"/>
    <w:rsid w:val="00B509F1"/>
    <w:rsid w:val="00C25E49"/>
    <w:rsid w:val="00C541AA"/>
    <w:rsid w:val="00C6183C"/>
    <w:rsid w:val="00CD7E84"/>
    <w:rsid w:val="00D016B0"/>
    <w:rsid w:val="00D07763"/>
    <w:rsid w:val="00D22F4F"/>
    <w:rsid w:val="00D771F9"/>
    <w:rsid w:val="00E324CD"/>
    <w:rsid w:val="00E7702A"/>
    <w:rsid w:val="00E97DA6"/>
    <w:rsid w:val="00ED5867"/>
    <w:rsid w:val="00F43F6D"/>
    <w:rsid w:val="00FE07CE"/>
    <w:rsid w:val="00FE215C"/>
    <w:rsid w:val="00FE53D9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5E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5E4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C25E49"/>
  </w:style>
  <w:style w:type="character" w:styleId="Hyperlink">
    <w:name w:val="Hyperlink"/>
    <w:basedOn w:val="DefaultParagraphFont"/>
    <w:rsid w:val="00C25E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0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2B7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5E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5E4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C25E49"/>
  </w:style>
  <w:style w:type="character" w:styleId="Hyperlink">
    <w:name w:val="Hyperlink"/>
    <w:basedOn w:val="DefaultParagraphFont"/>
    <w:rsid w:val="00C25E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0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2B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KEARNEY Brendan</dc:creator>
  <cp:lastModifiedBy>KILDEA, Brian</cp:lastModifiedBy>
  <cp:revision>2</cp:revision>
  <cp:lastPrinted>2014-10-22T02:25:00Z</cp:lastPrinted>
  <dcterms:created xsi:type="dcterms:W3CDTF">2014-10-23T05:11:00Z</dcterms:created>
  <dcterms:modified xsi:type="dcterms:W3CDTF">2014-10-23T05:11:00Z</dcterms:modified>
</cp:coreProperties>
</file>