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7" w:rsidRDefault="00223F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23F77" w:rsidRDefault="00E024B0">
      <w:pPr>
        <w:spacing w:line="200" w:lineRule="atLeast"/>
        <w:ind w:left="1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44587998" wp14:editId="113D95C3">
            <wp:extent cx="1410313" cy="10955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313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77" w:rsidRDefault="00223F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3F77" w:rsidRDefault="00E024B0">
      <w:pPr>
        <w:spacing w:before="165"/>
        <w:ind w:left="12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Banking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exemption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No.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2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2014</w:t>
      </w:r>
    </w:p>
    <w:p w:rsidR="00223F77" w:rsidRDefault="00223F77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223F77" w:rsidRDefault="00E024B0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223F77" w:rsidRDefault="00223F77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223F77" w:rsidRDefault="00F2211C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n-AU" w:eastAsia="en-AU"/>
        </w:rPr>
        <mc:AlternateContent>
          <mc:Choice Requires="wpg">
            <w:drawing>
              <wp:inline distT="0" distB="0" distL="0" distR="0">
                <wp:extent cx="5688965" cy="19685"/>
                <wp:effectExtent l="0" t="0" r="698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9685"/>
                          <a:chOff x="0" y="0"/>
                          <a:chExt cx="8959" cy="31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933" cy="2"/>
                            <a:chOff x="11" y="11"/>
                            <a:chExt cx="8933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93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33"/>
                                <a:gd name="T2" fmla="+- 0 8943 11"/>
                                <a:gd name="T3" fmla="*/ T2 w 8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3">
                                  <a:moveTo>
                                    <a:pt x="0" y="0"/>
                                  </a:moveTo>
                                  <a:lnTo>
                                    <a:pt x="8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5" y="20"/>
                            <a:ext cx="8933" cy="2"/>
                            <a:chOff x="15" y="20"/>
                            <a:chExt cx="8933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5" y="20"/>
                              <a:ext cx="893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933"/>
                                <a:gd name="T2" fmla="+- 0 8948 15"/>
                                <a:gd name="T3" fmla="*/ T2 w 8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3">
                                  <a:moveTo>
                                    <a:pt x="0" y="0"/>
                                  </a:moveTo>
                                  <a:lnTo>
                                    <a:pt x="89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4D0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95pt;height:1.55pt;mso-position-horizontal-relative:char;mso-position-vertical-relative:line" coordsize="895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">
                <v:group id="Group 5" o:spid="_x0000_s1027" style="position:absolute;left:11;top:11;width:8933;height:2" coordorigin="11,11" coordsize="8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11;top:11;width:8933;height:2;visibility:visible;mso-wrap-style:square;v-text-anchor:top" coordsize="8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h2sUA&#10;AADaAAAADwAAAGRycy9kb3ducmV2LnhtbESP3WrCQBSE74W+w3IK3unGoCVEN9KKBaEUMS0F7w7Z&#10;kx/cPRuyW41v3y0UejnMzDfMZjtaI640+M6xgsU8AUFcOd1xo+Dz43WWgfABWaNxTAru5GFbPEw2&#10;mGt34xNdy9CICGGfo4I2hD6X0lctWfRz1xNHr3aDxRDl0Eg94C3CrZFpkjxJix3HhRZ72rVUXcpv&#10;q+C8f0kvjTm+Hcv0fbXqTyarvxZKTR/H5zWIQGP4D/+1D1rBEn6vxBs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SHaxQAAANoAAAAPAAAAAAAAAAAAAAAAAJgCAABkcnMv&#10;ZG93bnJldi54bWxQSwUGAAAAAAQABAD1AAAAigMAAAAA&#10;" path="m,l8932,e" filled="f" strokecolor="#7f7f7f" strokeweight="1.06pt">
                    <v:path arrowok="t" o:connecttype="custom" o:connectlocs="0,0;8932,0" o:connectangles="0,0"/>
                  </v:shape>
                </v:group>
                <v:group id="Group 3" o:spid="_x0000_s1029" style="position:absolute;left:15;top:20;width:8933;height:2" coordorigin="15,20" coordsize="8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15;top:20;width:8933;height:2;visibility:visible;mso-wrap-style:square;v-text-anchor:top" coordsize="8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ss8IA&#10;AADaAAAADwAAAGRycy9kb3ducmV2LnhtbESPT4vCMBTE7wt+h/CEvSya6kKVahQR/IMHwSp6fTbP&#10;tti8lCar3W9vhIU9DjPzG2Y6b00lHtS40rKCQT8CQZxZXXKu4HRc9cYgnEfWWFkmBb/kYD7rfEwx&#10;0fbJB3qkPhcBwi5BBYX3dSKlywoy6Pq2Jg7ezTYGfZBNLnWDzwA3lRxGUSwNlhwWCqxpWVB2T3+M&#10;AtzYanS+3HPyvP4eXHf7r3hJSn1228UEhKfW/4f/2lutI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yyzwgAAANoAAAAPAAAAAAAAAAAAAAAAAJgCAABkcnMvZG93&#10;bnJldi54bWxQSwUGAAAAAAQABAD1AAAAhwMAAAAA&#10;" path="m,l8933,e" filled="f" strokecolor="#d4d0c8" strokeweight="1.06pt">
                    <v:path arrowok="t" o:connecttype="custom" o:connectlocs="0,0;8933,0" o:connectangles="0,0"/>
                  </v:shape>
                </v:group>
                <w10:anchorlock/>
              </v:group>
            </w:pict>
          </mc:Fallback>
        </mc:AlternateContent>
      </w:r>
    </w:p>
    <w:p w:rsidR="00223F77" w:rsidRDefault="00223F77">
      <w:pPr>
        <w:rPr>
          <w:rFonts w:ascii="Arial" w:eastAsia="Arial" w:hAnsi="Arial" w:cs="Arial"/>
          <w:i/>
          <w:sz w:val="20"/>
          <w:szCs w:val="20"/>
        </w:rPr>
      </w:pPr>
    </w:p>
    <w:p w:rsidR="00223F77" w:rsidRDefault="00E024B0" w:rsidP="00F2211C">
      <w:pPr>
        <w:pStyle w:val="BodyText"/>
        <w:spacing w:before="0"/>
        <w:ind w:left="119"/>
      </w:pPr>
      <w:r>
        <w:rPr>
          <w:spacing w:val="-2"/>
        </w:rPr>
        <w:t>SINCE</w:t>
      </w:r>
    </w:p>
    <w:p w:rsidR="00223F77" w:rsidRPr="00F2211C" w:rsidRDefault="00223F77" w:rsidP="00F2211C">
      <w:pPr>
        <w:rPr>
          <w:rFonts w:ascii="Arial" w:eastAsia="Arial" w:hAnsi="Arial" w:cs="Arial"/>
          <w:i/>
          <w:sz w:val="20"/>
          <w:szCs w:val="20"/>
        </w:rPr>
      </w:pPr>
    </w:p>
    <w:p w:rsidR="00223F77" w:rsidRDefault="00E024B0" w:rsidP="00F2211C">
      <w:pPr>
        <w:pStyle w:val="BodyText"/>
        <w:numPr>
          <w:ilvl w:val="0"/>
          <w:numId w:val="1"/>
        </w:numPr>
        <w:tabs>
          <w:tab w:val="left" w:pos="840"/>
        </w:tabs>
        <w:spacing w:before="0" w:line="230" w:lineRule="auto"/>
        <w:ind w:left="839" w:right="132"/>
      </w:pPr>
      <w:r>
        <w:t>on</w:t>
      </w:r>
      <w:r>
        <w:rPr>
          <w:spacing w:val="-1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rPr>
          <w:spacing w:val="-1"/>
        </w:rPr>
        <w:t>June</w:t>
      </w:r>
      <w:r>
        <w:rPr>
          <w:spacing w:val="17"/>
        </w:rPr>
        <w:t xml:space="preserve"> </w:t>
      </w:r>
      <w:r>
        <w:t>2014</w:t>
      </w:r>
      <w:r>
        <w:rPr>
          <w:spacing w:val="9"/>
        </w:rPr>
        <w:t xml:space="preserve"> </w:t>
      </w:r>
      <w:r>
        <w:rPr>
          <w:spacing w:val="-1"/>
        </w:rPr>
        <w:t>APRA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t xml:space="preserve"> 1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2014</w:t>
      </w:r>
      <w:r>
        <w:rPr>
          <w:spacing w:val="9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Order)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r>
        <w:rPr>
          <w:spacing w:val="-1"/>
        </w:rPr>
        <w:t>11(1)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i/>
          <w:spacing w:val="-1"/>
        </w:rPr>
        <w:t>Banking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1959</w:t>
      </w:r>
      <w:r>
        <w:rPr>
          <w:i/>
          <w:spacing w:val="-3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Act),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conditions,</w:t>
      </w:r>
      <w:r>
        <w:rPr>
          <w:spacing w:val="25"/>
          <w:w w:val="99"/>
        </w:rPr>
        <w:t xml:space="preserve"> </w:t>
      </w:r>
      <w:r>
        <w:rPr>
          <w:spacing w:val="-1"/>
        </w:rPr>
        <w:t>sections</w:t>
      </w:r>
      <w:r>
        <w:rPr>
          <w:spacing w:val="1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Act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Order;</w:t>
      </w:r>
      <w:r>
        <w:rPr>
          <w:spacing w:val="-7"/>
        </w:rPr>
        <w:t xml:space="preserve"> </w:t>
      </w:r>
      <w:r>
        <w:t>and</w:t>
      </w:r>
    </w:p>
    <w:p w:rsidR="00223F77" w:rsidRDefault="00E024B0" w:rsidP="00F2211C">
      <w:pPr>
        <w:pStyle w:val="BodyText"/>
        <w:numPr>
          <w:ilvl w:val="0"/>
          <w:numId w:val="1"/>
        </w:numPr>
        <w:tabs>
          <w:tab w:val="left" w:pos="840"/>
        </w:tabs>
        <w:spacing w:before="0" w:line="233" w:lineRule="auto"/>
        <w:ind w:left="839" w:right="158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23</w:t>
      </w:r>
      <w:r w:rsidR="00247C94">
        <w:rPr>
          <w:spacing w:val="23"/>
        </w:rPr>
        <w:t> </w:t>
      </w:r>
      <w:r>
        <w:rPr>
          <w:spacing w:val="-1"/>
        </w:rPr>
        <w:t>June</w:t>
      </w:r>
      <w:r>
        <w:rPr>
          <w:spacing w:val="20"/>
        </w:rPr>
        <w:t xml:space="preserve"> </w:t>
      </w:r>
      <w:r>
        <w:t>2014.</w:t>
      </w:r>
    </w:p>
    <w:p w:rsidR="00223F77" w:rsidRPr="00F2211C" w:rsidRDefault="00223F77">
      <w:pPr>
        <w:rPr>
          <w:rFonts w:ascii="Arial" w:eastAsia="Arial" w:hAnsi="Arial" w:cs="Arial"/>
          <w:i/>
          <w:sz w:val="20"/>
          <w:szCs w:val="20"/>
        </w:rPr>
      </w:pPr>
    </w:p>
    <w:p w:rsidR="00223F77" w:rsidRPr="00F2211C" w:rsidRDefault="00223F77" w:rsidP="00F2211C">
      <w:pPr>
        <w:rPr>
          <w:rFonts w:ascii="Arial" w:eastAsia="Arial" w:hAnsi="Arial" w:cs="Arial"/>
          <w:i/>
          <w:sz w:val="20"/>
          <w:szCs w:val="20"/>
        </w:rPr>
      </w:pPr>
    </w:p>
    <w:p w:rsidR="00223F77" w:rsidRDefault="00E024B0" w:rsidP="00F2211C">
      <w:pPr>
        <w:pStyle w:val="BodyText"/>
        <w:spacing w:before="0"/>
        <w:ind w:left="119" w:right="159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rPr>
          <w:spacing w:val="-1"/>
        </w:rPr>
        <w:t>Sarah</w:t>
      </w:r>
      <w:r>
        <w:rPr>
          <w:spacing w:val="-2"/>
        </w:rPr>
        <w:t xml:space="preserve"> </w:t>
      </w:r>
      <w:r>
        <w:rPr>
          <w:spacing w:val="-1"/>
        </w:rPr>
        <w:t>Goodman,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delegate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APRA,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11(4)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rPr>
          <w:spacing w:val="-1"/>
        </w:rPr>
        <w:t>REVOKE</w:t>
      </w:r>
      <w:r>
        <w:rPr>
          <w:spacing w:val="24"/>
        </w:rPr>
        <w:t xml:space="preserve"> </w:t>
      </w:r>
      <w:proofErr w:type="gramStart"/>
      <w:r>
        <w:t>Banking</w:t>
      </w:r>
      <w:proofErr w:type="gramEnd"/>
      <w:r>
        <w:rPr>
          <w:spacing w:val="-4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2014.</w:t>
      </w:r>
    </w:p>
    <w:p w:rsidR="00223F77" w:rsidRPr="00F2211C" w:rsidRDefault="00223F77" w:rsidP="00F2211C">
      <w:pPr>
        <w:rPr>
          <w:rFonts w:ascii="Arial" w:eastAsia="Arial" w:hAnsi="Arial" w:cs="Arial"/>
          <w:i/>
          <w:sz w:val="20"/>
          <w:szCs w:val="20"/>
        </w:rPr>
      </w:pPr>
    </w:p>
    <w:p w:rsidR="00223F77" w:rsidRPr="00F2211C" w:rsidRDefault="00E024B0" w:rsidP="00F2211C">
      <w:pPr>
        <w:pStyle w:val="BodyText"/>
        <w:spacing w:before="0"/>
        <w:ind w:left="119" w:right="159"/>
        <w:rPr>
          <w:spacing w:val="-1"/>
        </w:rPr>
      </w:pPr>
      <w:r>
        <w:rPr>
          <w:spacing w:val="-1"/>
        </w:rPr>
        <w:t>This</w:t>
      </w:r>
      <w:r w:rsidRPr="00F2211C">
        <w:rPr>
          <w:spacing w:val="-1"/>
        </w:rPr>
        <w:t xml:space="preserve"> </w:t>
      </w:r>
      <w:r>
        <w:rPr>
          <w:spacing w:val="-1"/>
        </w:rPr>
        <w:t>order</w:t>
      </w:r>
      <w:r w:rsidRPr="00F2211C">
        <w:rPr>
          <w:spacing w:val="-1"/>
        </w:rPr>
        <w:t xml:space="preserve"> </w:t>
      </w:r>
      <w:r>
        <w:rPr>
          <w:spacing w:val="-1"/>
        </w:rPr>
        <w:t>takes</w:t>
      </w:r>
      <w:r w:rsidRPr="00F2211C">
        <w:rPr>
          <w:spacing w:val="-1"/>
        </w:rPr>
        <w:t xml:space="preserve"> </w:t>
      </w:r>
      <w:r>
        <w:rPr>
          <w:spacing w:val="-1"/>
        </w:rPr>
        <w:t>effect</w:t>
      </w:r>
      <w:r w:rsidRPr="00F2211C">
        <w:rPr>
          <w:spacing w:val="-1"/>
        </w:rPr>
        <w:t xml:space="preserve"> </w:t>
      </w:r>
      <w:r>
        <w:rPr>
          <w:spacing w:val="-1"/>
        </w:rPr>
        <w:t>on</w:t>
      </w:r>
      <w:r w:rsidRPr="00F2211C">
        <w:rPr>
          <w:spacing w:val="-1"/>
        </w:rPr>
        <w:t xml:space="preserve"> the </w:t>
      </w:r>
      <w:r>
        <w:rPr>
          <w:spacing w:val="-1"/>
        </w:rPr>
        <w:t>date</w:t>
      </w:r>
      <w:r w:rsidRPr="00F2211C">
        <w:rPr>
          <w:spacing w:val="-1"/>
        </w:rPr>
        <w:t xml:space="preserve"> it is </w:t>
      </w:r>
      <w:r>
        <w:rPr>
          <w:spacing w:val="-1"/>
        </w:rPr>
        <w:t>registered</w:t>
      </w:r>
      <w:r w:rsidRPr="00F2211C">
        <w:rPr>
          <w:spacing w:val="-1"/>
        </w:rPr>
        <w:t xml:space="preserve"> </w:t>
      </w:r>
      <w:r>
        <w:rPr>
          <w:spacing w:val="-1"/>
        </w:rPr>
        <w:t>on</w:t>
      </w:r>
      <w:r w:rsidRPr="00F2211C">
        <w:rPr>
          <w:spacing w:val="-1"/>
        </w:rPr>
        <w:t xml:space="preserve"> the </w:t>
      </w:r>
      <w:r>
        <w:rPr>
          <w:spacing w:val="-1"/>
        </w:rPr>
        <w:t>Federal</w:t>
      </w:r>
      <w:r w:rsidRPr="00F2211C">
        <w:rPr>
          <w:spacing w:val="-1"/>
        </w:rPr>
        <w:t xml:space="preserve"> </w:t>
      </w:r>
      <w:r>
        <w:rPr>
          <w:spacing w:val="-1"/>
        </w:rPr>
        <w:t>Register</w:t>
      </w:r>
      <w:r w:rsidRPr="00F2211C">
        <w:rPr>
          <w:spacing w:val="-1"/>
        </w:rPr>
        <w:t xml:space="preserve"> </w:t>
      </w:r>
      <w:r>
        <w:rPr>
          <w:spacing w:val="-1"/>
        </w:rPr>
        <w:t>of</w:t>
      </w:r>
      <w:r w:rsidRPr="00F2211C">
        <w:rPr>
          <w:spacing w:val="-1"/>
        </w:rPr>
        <w:t xml:space="preserve"> Legislative </w:t>
      </w:r>
      <w:r>
        <w:rPr>
          <w:spacing w:val="-1"/>
        </w:rPr>
        <w:t>Instruments.</w:t>
      </w:r>
    </w:p>
    <w:p w:rsidR="00223F77" w:rsidRPr="00F2211C" w:rsidRDefault="00223F77">
      <w:pPr>
        <w:rPr>
          <w:rFonts w:ascii="Arial" w:eastAsia="Arial" w:hAnsi="Arial" w:cs="Arial"/>
          <w:i/>
          <w:sz w:val="20"/>
          <w:szCs w:val="20"/>
        </w:rPr>
      </w:pPr>
    </w:p>
    <w:p w:rsidR="00223F77" w:rsidRPr="00F2211C" w:rsidRDefault="00223F77" w:rsidP="00F2211C">
      <w:pPr>
        <w:rPr>
          <w:rFonts w:ascii="Arial" w:eastAsia="Arial" w:hAnsi="Arial" w:cs="Arial"/>
          <w:i/>
          <w:sz w:val="20"/>
          <w:szCs w:val="20"/>
        </w:rPr>
      </w:pPr>
    </w:p>
    <w:p w:rsidR="00223F77" w:rsidRDefault="00E024B0">
      <w:pPr>
        <w:pStyle w:val="BodyText"/>
        <w:spacing w:before="0"/>
        <w:ind w:left="119"/>
        <w:rPr>
          <w:spacing w:val="-1"/>
        </w:rPr>
      </w:pPr>
      <w:r>
        <w:rPr>
          <w:spacing w:val="-1"/>
        </w:rPr>
        <w:t>Dated</w:t>
      </w:r>
      <w:r w:rsidR="00901812">
        <w:rPr>
          <w:spacing w:val="-1"/>
        </w:rPr>
        <w:t>:   13 October 2014</w:t>
      </w:r>
    </w:p>
    <w:p w:rsidR="00901812" w:rsidRDefault="00901812">
      <w:pPr>
        <w:pStyle w:val="BodyText"/>
        <w:spacing w:before="0"/>
        <w:ind w:left="119"/>
        <w:rPr>
          <w:spacing w:val="-1"/>
        </w:rPr>
      </w:pPr>
    </w:p>
    <w:p w:rsidR="00901812" w:rsidRDefault="00901812">
      <w:pPr>
        <w:pStyle w:val="BodyText"/>
        <w:spacing w:before="0"/>
        <w:ind w:left="119"/>
      </w:pPr>
      <w:r>
        <w:rPr>
          <w:spacing w:val="-1"/>
        </w:rPr>
        <w:t>[Signed]</w:t>
      </w:r>
    </w:p>
    <w:p w:rsidR="00223F77" w:rsidRPr="00901812" w:rsidRDefault="00223F77" w:rsidP="00901812">
      <w:pPr>
        <w:pStyle w:val="BodyText"/>
        <w:spacing w:before="0"/>
        <w:ind w:left="119"/>
        <w:rPr>
          <w:spacing w:val="-1"/>
        </w:rPr>
      </w:pPr>
    </w:p>
    <w:p w:rsidR="00223F77" w:rsidRPr="00901812" w:rsidRDefault="00223F77" w:rsidP="00901812">
      <w:pPr>
        <w:pStyle w:val="BodyText"/>
        <w:spacing w:before="0"/>
        <w:ind w:left="119"/>
        <w:rPr>
          <w:spacing w:val="-1"/>
        </w:rPr>
      </w:pPr>
    </w:p>
    <w:p w:rsidR="00901812" w:rsidRDefault="00901812" w:rsidP="00901812">
      <w:pPr>
        <w:pStyle w:val="BodyText"/>
        <w:spacing w:before="0"/>
        <w:ind w:left="119"/>
        <w:rPr>
          <w:spacing w:val="-1"/>
        </w:rPr>
      </w:pPr>
    </w:p>
    <w:p w:rsidR="00223F77" w:rsidRDefault="00E024B0">
      <w:pPr>
        <w:pStyle w:val="BodyText"/>
        <w:spacing w:before="0" w:line="266" w:lineRule="exact"/>
        <w:ind w:left="120"/>
      </w:pPr>
      <w:r>
        <w:rPr>
          <w:spacing w:val="-1"/>
        </w:rPr>
        <w:t>Sarah</w:t>
      </w:r>
      <w:r>
        <w:rPr>
          <w:spacing w:val="-13"/>
        </w:rPr>
        <w:t xml:space="preserve"> </w:t>
      </w:r>
      <w:r>
        <w:rPr>
          <w:spacing w:val="-1"/>
        </w:rPr>
        <w:t>Goodman</w:t>
      </w:r>
    </w:p>
    <w:p w:rsidR="00223F77" w:rsidRDefault="00E024B0">
      <w:pPr>
        <w:pStyle w:val="BodyText"/>
        <w:spacing w:before="9" w:line="264" w:lineRule="exact"/>
        <w:ind w:left="120" w:right="5658"/>
      </w:pP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22"/>
          <w:w w:val="99"/>
        </w:rPr>
        <w:t xml:space="preserve"> </w:t>
      </w:r>
      <w:r>
        <w:rPr>
          <w:spacing w:val="-1"/>
        </w:rPr>
        <w:t>Supervisory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Division</w:t>
      </w:r>
      <w:r>
        <w:rPr>
          <w:spacing w:val="22"/>
          <w:w w:val="99"/>
        </w:rPr>
        <w:t xml:space="preserve"> </w:t>
      </w:r>
      <w:r>
        <w:rPr>
          <w:spacing w:val="-1"/>
        </w:rPr>
        <w:t>APRA</w:t>
      </w:r>
    </w:p>
    <w:p w:rsidR="00223F77" w:rsidRDefault="00223F7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223F77" w:rsidRDefault="00E024B0">
      <w:pPr>
        <w:tabs>
          <w:tab w:val="left" w:pos="6859"/>
        </w:tabs>
        <w:ind w:left="16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214608</w:t>
      </w:r>
    </w:p>
    <w:p w:rsidR="00223F77" w:rsidRDefault="00E024B0">
      <w:pPr>
        <w:pStyle w:val="BodyText"/>
        <w:spacing w:before="68"/>
        <w:ind w:left="163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order</w:t>
      </w:r>
    </w:p>
    <w:p w:rsidR="00223F77" w:rsidRDefault="00E024B0" w:rsidP="00F2211C">
      <w:pPr>
        <w:pStyle w:val="BodyText"/>
        <w:spacing w:before="84"/>
        <w:ind w:left="163" w:right="98"/>
      </w:pPr>
      <w:r>
        <w:rPr>
          <w:b/>
          <w:i/>
          <w:spacing w:val="-1"/>
        </w:rPr>
        <w:t>APRA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Prudential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p w:rsidR="00223F77" w:rsidRDefault="00E024B0" w:rsidP="00F2211C">
      <w:pPr>
        <w:spacing w:before="92" w:line="264" w:lineRule="exact"/>
        <w:ind w:left="163" w:right="98"/>
        <w:rPr>
          <w:rFonts w:ascii="Times New Roman"/>
          <w:i/>
          <w:sz w:val="24"/>
        </w:rPr>
      </w:pPr>
      <w:r>
        <w:rPr>
          <w:rFonts w:ascii="Times New Roman"/>
          <w:b/>
          <w:i/>
          <w:sz w:val="24"/>
        </w:rPr>
        <w:t>Federal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Register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Legislative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Instruments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register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established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20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Legislative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Instruments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 w:rsidR="00247C94"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z w:val="24"/>
        </w:rPr>
        <w:t>2003.</w:t>
      </w:r>
    </w:p>
    <w:p w:rsidR="00247C94" w:rsidRDefault="00247C94">
      <w:pPr>
        <w:spacing w:before="92" w:line="264" w:lineRule="exact"/>
        <w:ind w:left="163" w:right="132"/>
        <w:rPr>
          <w:rFonts w:ascii="Times New Roman" w:eastAsia="Times New Roman" w:hAnsi="Times New Roman" w:cs="Times New Roman"/>
          <w:sz w:val="24"/>
          <w:szCs w:val="24"/>
        </w:rPr>
      </w:pPr>
    </w:p>
    <w:p w:rsidR="00223F77" w:rsidRDefault="00223F77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223F77" w:rsidSect="00F2211C">
          <w:type w:val="continuous"/>
          <w:pgSz w:w="11910" w:h="16840"/>
          <w:pgMar w:top="1134" w:right="1420" w:bottom="851" w:left="1320" w:header="720" w:footer="720" w:gutter="0"/>
          <w:cols w:space="720"/>
        </w:sectPr>
      </w:pPr>
    </w:p>
    <w:p w:rsidR="00223F77" w:rsidRPr="00F2211C" w:rsidRDefault="00E024B0" w:rsidP="00F2211C">
      <w:pPr>
        <w:spacing w:before="219" w:line="404" w:lineRule="exact"/>
        <w:ind w:left="120" w:right="78"/>
        <w:rPr>
          <w:rFonts w:ascii="Arial" w:hAnsi="Arial" w:cs="Arial"/>
          <w:b/>
          <w:spacing w:val="-1"/>
          <w:sz w:val="36"/>
        </w:rPr>
      </w:pPr>
      <w:r w:rsidRPr="00F2211C">
        <w:rPr>
          <w:rFonts w:ascii="Arial" w:hAnsi="Arial" w:cs="Arial"/>
          <w:b/>
          <w:spacing w:val="-1"/>
          <w:sz w:val="36"/>
        </w:rPr>
        <w:lastRenderedPageBreak/>
        <w:t>Schedule- the class of persons to whom the revoked order applied</w:t>
      </w:r>
    </w:p>
    <w:p w:rsidR="00223F77" w:rsidRPr="0052709B" w:rsidRDefault="00223F77" w:rsidP="0052709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2781E" w:rsidRDefault="0052709B" w:rsidP="00D84518">
      <w:pPr>
        <w:pStyle w:val="BodyText"/>
        <w:tabs>
          <w:tab w:val="left" w:pos="567"/>
        </w:tabs>
        <w:spacing w:before="0"/>
        <w:ind w:left="142" w:right="123"/>
      </w:pPr>
      <w:r>
        <w:t xml:space="preserve">The revoked order </w:t>
      </w:r>
      <w:r w:rsidR="00E024B0" w:rsidRPr="00F2211C">
        <w:t>appl</w:t>
      </w:r>
      <w:r w:rsidR="00303B49">
        <w:t>ied</w:t>
      </w:r>
      <w:r w:rsidR="00E024B0" w:rsidRPr="00F2211C">
        <w:t xml:space="preserve"> to</w:t>
      </w:r>
      <w:r w:rsidR="0032781E">
        <w:t>:</w:t>
      </w:r>
    </w:p>
    <w:p w:rsidR="0032781E" w:rsidRDefault="0032781E" w:rsidP="00D84518">
      <w:pPr>
        <w:pStyle w:val="BodyText"/>
        <w:tabs>
          <w:tab w:val="left" w:pos="567"/>
        </w:tabs>
        <w:spacing w:before="0"/>
        <w:ind w:left="142" w:right="123"/>
      </w:pPr>
    </w:p>
    <w:p w:rsidR="0032781E" w:rsidRDefault="0032781E" w:rsidP="00D84518">
      <w:pPr>
        <w:pStyle w:val="BodyText"/>
        <w:numPr>
          <w:ilvl w:val="0"/>
          <w:numId w:val="3"/>
        </w:numPr>
        <w:tabs>
          <w:tab w:val="left" w:pos="567"/>
        </w:tabs>
        <w:spacing w:before="0"/>
        <w:ind w:left="567" w:right="123" w:hanging="425"/>
      </w:pPr>
      <w:r>
        <w:t>a</w:t>
      </w:r>
      <w:r w:rsidRPr="006D00BE">
        <w:t xml:space="preserve"> person who is a controlling entity of a fund in the list below; and</w:t>
      </w:r>
    </w:p>
    <w:p w:rsidR="0032781E" w:rsidRDefault="0032781E" w:rsidP="00D84518">
      <w:pPr>
        <w:pStyle w:val="BodyText"/>
        <w:tabs>
          <w:tab w:val="left" w:pos="567"/>
        </w:tabs>
        <w:spacing w:before="0"/>
        <w:ind w:left="567" w:right="123"/>
      </w:pPr>
    </w:p>
    <w:p w:rsidR="00223F77" w:rsidRDefault="00E024B0" w:rsidP="00D84518">
      <w:pPr>
        <w:pStyle w:val="BodyText"/>
        <w:numPr>
          <w:ilvl w:val="0"/>
          <w:numId w:val="3"/>
        </w:numPr>
        <w:tabs>
          <w:tab w:val="left" w:pos="567"/>
        </w:tabs>
        <w:spacing w:before="0"/>
        <w:ind w:left="567" w:right="123" w:hanging="425"/>
      </w:pPr>
      <w:r>
        <w:t>a</w:t>
      </w:r>
      <w:r w:rsidRPr="00F2211C">
        <w:t xml:space="preserve"> fund that is </w:t>
      </w:r>
      <w:r>
        <w:t>a</w:t>
      </w:r>
      <w:r w:rsidRPr="00F2211C">
        <w:t xml:space="preserve"> </w:t>
      </w:r>
      <w:r>
        <w:t>body</w:t>
      </w:r>
      <w:r w:rsidRPr="00F2211C">
        <w:t xml:space="preserve"> corporate, </w:t>
      </w:r>
      <w:r>
        <w:t>or</w:t>
      </w:r>
      <w:r w:rsidRPr="00F2211C">
        <w:t xml:space="preserve"> </w:t>
      </w:r>
      <w:r>
        <w:t>a</w:t>
      </w:r>
      <w:r w:rsidRPr="00F2211C">
        <w:t xml:space="preserve"> </w:t>
      </w:r>
      <w:r>
        <w:t>body</w:t>
      </w:r>
      <w:r w:rsidRPr="00F2211C">
        <w:t xml:space="preserve"> corporate that is </w:t>
      </w:r>
      <w:r>
        <w:t>a</w:t>
      </w:r>
      <w:r w:rsidRPr="00F2211C">
        <w:t xml:space="preserve"> controlling entity </w:t>
      </w:r>
      <w:r>
        <w:t>of</w:t>
      </w:r>
      <w:r w:rsidRPr="00F2211C">
        <w:t xml:space="preserve"> </w:t>
      </w:r>
      <w:r>
        <w:t>a</w:t>
      </w:r>
      <w:r w:rsidRPr="00F2211C">
        <w:t xml:space="preserve"> fund,</w:t>
      </w:r>
      <w:r>
        <w:t xml:space="preserve"> </w:t>
      </w:r>
      <w:r w:rsidRPr="00F2211C">
        <w:t>in the list below:</w:t>
      </w:r>
    </w:p>
    <w:p w:rsidR="00223F77" w:rsidRDefault="00223F77" w:rsidP="00D84518">
      <w:pPr>
        <w:pStyle w:val="BodyText"/>
        <w:tabs>
          <w:tab w:val="left" w:pos="567"/>
        </w:tabs>
        <w:spacing w:before="0"/>
        <w:ind w:left="567" w:right="123"/>
        <w:rPr>
          <w:rFonts w:cs="Times New Roman"/>
        </w:rPr>
      </w:pP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Funds</w:t>
      </w:r>
      <w:r w:rsidRPr="00F2211C">
        <w:rPr>
          <w:spacing w:val="-1"/>
        </w:rPr>
        <w:t xml:space="preserve"> – </w:t>
      </w:r>
      <w:r>
        <w:rPr>
          <w:spacing w:val="-1"/>
        </w:rPr>
        <w:t>South</w:t>
      </w:r>
      <w:r w:rsidRPr="00F2211C">
        <w:rPr>
          <w:spacing w:val="-1"/>
        </w:rPr>
        <w:t xml:space="preserve"> </w:t>
      </w:r>
      <w:r>
        <w:rPr>
          <w:spacing w:val="-1"/>
        </w:rPr>
        <w:t>Australia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Community</w:t>
      </w:r>
      <w:r w:rsidRPr="00F2211C">
        <w:rPr>
          <w:spacing w:val="-1"/>
        </w:rPr>
        <w:t xml:space="preserve"> Fund </w:t>
      </w:r>
      <w:r>
        <w:rPr>
          <w:spacing w:val="-1"/>
        </w:rPr>
        <w:t>(Inc)</w:t>
      </w:r>
      <w:r w:rsidRPr="00F2211C">
        <w:rPr>
          <w:spacing w:val="-1"/>
        </w:rPr>
        <w:t xml:space="preserve"> </w:t>
      </w:r>
      <w:r>
        <w:rPr>
          <w:spacing w:val="-1"/>
        </w:rPr>
        <w:t>(previously</w:t>
      </w:r>
      <w:r w:rsidRPr="00F2211C">
        <w:rPr>
          <w:spacing w:val="-1"/>
        </w:rPr>
        <w:t xml:space="preserve"> </w:t>
      </w:r>
      <w:r>
        <w:rPr>
          <w:spacing w:val="-1"/>
        </w:rPr>
        <w:t>known</w:t>
      </w:r>
      <w:r w:rsidRPr="00F2211C">
        <w:rPr>
          <w:spacing w:val="-1"/>
        </w:rPr>
        <w:t xml:space="preserve"> </w:t>
      </w:r>
      <w:r>
        <w:rPr>
          <w:spacing w:val="-1"/>
        </w:rPr>
        <w:t>as</w:t>
      </w:r>
      <w:r w:rsidRPr="00F2211C">
        <w:rPr>
          <w:spacing w:val="-1"/>
        </w:rPr>
        <w:t xml:space="preserve"> </w:t>
      </w: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Deposit</w:t>
      </w:r>
      <w:r w:rsidRPr="00F2211C">
        <w:rPr>
          <w:spacing w:val="-1"/>
        </w:rPr>
        <w:t xml:space="preserve"> Fund </w:t>
      </w:r>
      <w:r>
        <w:rPr>
          <w:spacing w:val="-1"/>
        </w:rPr>
        <w:t>Perth</w:t>
      </w:r>
      <w:r w:rsidRPr="00F2211C">
        <w:rPr>
          <w:spacing w:val="-1"/>
        </w:rPr>
        <w:t xml:space="preserve"> </w:t>
      </w:r>
      <w:r>
        <w:rPr>
          <w:spacing w:val="-1"/>
        </w:rPr>
        <w:t>(Inc))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– </w:t>
      </w:r>
      <w:proofErr w:type="spellStart"/>
      <w:r>
        <w:rPr>
          <w:spacing w:val="-1"/>
        </w:rPr>
        <w:t>Gippsland</w:t>
      </w:r>
      <w:proofErr w:type="spellEnd"/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(Diocese</w:t>
      </w:r>
      <w:r w:rsidRPr="00F2211C">
        <w:rPr>
          <w:spacing w:val="-1"/>
        </w:rPr>
        <w:t xml:space="preserve"> of </w:t>
      </w:r>
      <w:r>
        <w:rPr>
          <w:spacing w:val="-1"/>
        </w:rPr>
        <w:t>Melbourne)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(Diocese</w:t>
      </w:r>
      <w:r w:rsidRPr="00F2211C">
        <w:rPr>
          <w:spacing w:val="-1"/>
        </w:rPr>
        <w:t xml:space="preserve"> of </w:t>
      </w:r>
      <w:r>
        <w:rPr>
          <w:spacing w:val="-1"/>
        </w:rPr>
        <w:t>Tasmania)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Bathurst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Financial</w:t>
      </w:r>
      <w:r w:rsidRPr="00F2211C">
        <w:rPr>
          <w:spacing w:val="-1"/>
        </w:rPr>
        <w:t xml:space="preserve"> </w:t>
      </w:r>
      <w:r>
        <w:rPr>
          <w:spacing w:val="-1"/>
        </w:rPr>
        <w:t>Services</w:t>
      </w:r>
      <w:r w:rsidRPr="00F2211C">
        <w:rPr>
          <w:spacing w:val="-1"/>
        </w:rPr>
        <w:t xml:space="preserve"> </w:t>
      </w:r>
      <w:r>
        <w:rPr>
          <w:spacing w:val="-1"/>
        </w:rPr>
        <w:t>(ANFIN)</w:t>
      </w:r>
      <w:r w:rsidRPr="00F2211C">
        <w:rPr>
          <w:spacing w:val="-1"/>
        </w:rPr>
        <w:t xml:space="preserve"> </w:t>
      </w:r>
      <w:r>
        <w:rPr>
          <w:spacing w:val="-1"/>
        </w:rPr>
        <w:t>(Diocese</w:t>
      </w:r>
      <w:r w:rsidRPr="00F2211C">
        <w:rPr>
          <w:spacing w:val="-1"/>
        </w:rPr>
        <w:t xml:space="preserve"> of </w:t>
      </w:r>
      <w:r>
        <w:rPr>
          <w:spacing w:val="-1"/>
        </w:rPr>
        <w:t>Brisbane)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</w:t>
      </w:r>
      <w:r>
        <w:rPr>
          <w:spacing w:val="-1"/>
        </w:rPr>
        <w:t>and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Managed</w:t>
      </w:r>
      <w:r w:rsidRPr="00F2211C">
        <w:rPr>
          <w:spacing w:val="-1"/>
        </w:rPr>
        <w:t xml:space="preserve"> </w:t>
      </w:r>
      <w:r>
        <w:rPr>
          <w:spacing w:val="-1"/>
        </w:rPr>
        <w:t>Investments</w:t>
      </w:r>
      <w:r w:rsidRPr="00F2211C">
        <w:rPr>
          <w:spacing w:val="-1"/>
        </w:rPr>
        <w:t xml:space="preserve"> Fund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Bathurst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Savings</w:t>
      </w:r>
      <w:r w:rsidRPr="00F2211C">
        <w:rPr>
          <w:spacing w:val="-1"/>
        </w:rPr>
        <w:t xml:space="preserve"> </w:t>
      </w:r>
      <w:r>
        <w:rPr>
          <w:spacing w:val="-1"/>
        </w:rPr>
        <w:t>and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Newcastle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Adelaide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Brisbane</w:t>
      </w:r>
      <w:r w:rsidRPr="00F2211C">
        <w:rPr>
          <w:spacing w:val="-1"/>
        </w:rPr>
        <w:t xml:space="preserve"> – </w:t>
      </w:r>
      <w:r>
        <w:rPr>
          <w:spacing w:val="-1"/>
        </w:rPr>
        <w:t>Archdiocesan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>Corporation</w:t>
      </w:r>
      <w:r w:rsidRPr="00F2211C">
        <w:rPr>
          <w:spacing w:val="-1"/>
        </w:rPr>
        <w:t xml:space="preserve"> of the </w:t>
      </w:r>
      <w:r>
        <w:rPr>
          <w:spacing w:val="-1"/>
        </w:rPr>
        <w:t>Trustees</w:t>
      </w:r>
      <w:r w:rsidRPr="00F2211C">
        <w:rPr>
          <w:spacing w:val="-1"/>
        </w:rPr>
        <w:t xml:space="preserve"> 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 xml:space="preserve">Archdiocese </w:t>
      </w:r>
      <w:r w:rsidRPr="00F2211C">
        <w:rPr>
          <w:spacing w:val="-1"/>
        </w:rPr>
        <w:t xml:space="preserve">of </w:t>
      </w:r>
      <w:r>
        <w:rPr>
          <w:spacing w:val="-1"/>
        </w:rPr>
        <w:t>Brisbane)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Canberra </w:t>
      </w:r>
      <w:r>
        <w:rPr>
          <w:spacing w:val="-1"/>
        </w:rPr>
        <w:t>and</w:t>
      </w:r>
      <w:r w:rsidRPr="00F2211C">
        <w:rPr>
          <w:spacing w:val="-1"/>
        </w:rPr>
        <w:t xml:space="preserve"> </w:t>
      </w:r>
      <w:proofErr w:type="spellStart"/>
      <w:r>
        <w:rPr>
          <w:spacing w:val="-1"/>
        </w:rPr>
        <w:t>Goulburn</w:t>
      </w:r>
      <w:proofErr w:type="spellEnd"/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 xml:space="preserve">Trustees </w:t>
      </w:r>
      <w:r w:rsidRPr="00F2211C">
        <w:rPr>
          <w:spacing w:val="-1"/>
        </w:rPr>
        <w:t xml:space="preserve">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for</w:t>
      </w:r>
      <w:r>
        <w:rPr>
          <w:spacing w:val="-1"/>
        </w:rPr>
        <w:t xml:space="preserve"> </w:t>
      </w:r>
      <w:r w:rsidRPr="00F2211C">
        <w:rPr>
          <w:spacing w:val="-1"/>
        </w:rPr>
        <w:t xml:space="preserve">the </w:t>
      </w:r>
      <w:r>
        <w:rPr>
          <w:spacing w:val="-1"/>
        </w:rPr>
        <w:t>Archdiocese</w:t>
      </w:r>
      <w:r w:rsidRPr="00F2211C">
        <w:rPr>
          <w:spacing w:val="-1"/>
        </w:rPr>
        <w:t xml:space="preserve"> of Canberra </w:t>
      </w:r>
      <w:r>
        <w:rPr>
          <w:spacing w:val="-1"/>
        </w:rPr>
        <w:t>and</w:t>
      </w:r>
      <w:r w:rsidRPr="00F2211C">
        <w:rPr>
          <w:spacing w:val="-1"/>
        </w:rPr>
        <w:t xml:space="preserve"> </w:t>
      </w:r>
      <w:proofErr w:type="spellStart"/>
      <w:r>
        <w:rPr>
          <w:spacing w:val="-1"/>
        </w:rPr>
        <w:t>Goulburn</w:t>
      </w:r>
      <w:proofErr w:type="spellEnd"/>
      <w:r w:rsidRPr="00F2211C">
        <w:rPr>
          <w:spacing w:val="-1"/>
        </w:rPr>
        <w:t xml:space="preserve"> </w:t>
      </w:r>
      <w:r>
        <w:rPr>
          <w:spacing w:val="-1"/>
        </w:rPr>
        <w:t>(ACT)</w:t>
      </w:r>
      <w:r w:rsidRPr="00F2211C">
        <w:rPr>
          <w:spacing w:val="-1"/>
        </w:rPr>
        <w:t xml:space="preserve"> &amp; </w:t>
      </w:r>
      <w:r>
        <w:rPr>
          <w:spacing w:val="-1"/>
        </w:rPr>
        <w:t>(NSW))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Hobart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Melbourne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Perth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Sydney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</w:t>
      </w:r>
      <w:r>
        <w:rPr>
          <w:spacing w:val="-1"/>
        </w:rPr>
        <w:t xml:space="preserve"> </w:t>
      </w:r>
      <w:r w:rsidRPr="00F2211C">
        <w:rPr>
          <w:spacing w:val="-1"/>
        </w:rPr>
        <w:t xml:space="preserve">The </w:t>
      </w:r>
      <w:r>
        <w:rPr>
          <w:spacing w:val="-1"/>
        </w:rPr>
        <w:t xml:space="preserve">Trustees </w:t>
      </w:r>
      <w:r w:rsidRPr="00F2211C">
        <w:rPr>
          <w:spacing w:val="-1"/>
        </w:rPr>
        <w:t xml:space="preserve">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for the </w:t>
      </w:r>
      <w:r>
        <w:rPr>
          <w:spacing w:val="-1"/>
        </w:rPr>
        <w:t>Archdiocese</w:t>
      </w:r>
      <w:r w:rsidRPr="00F2211C">
        <w:rPr>
          <w:spacing w:val="-1"/>
        </w:rPr>
        <w:t xml:space="preserve"> of </w:t>
      </w:r>
      <w:r>
        <w:rPr>
          <w:spacing w:val="-1"/>
        </w:rPr>
        <w:t>Sydney)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proofErr w:type="spellStart"/>
      <w:r>
        <w:rPr>
          <w:spacing w:val="-1"/>
        </w:rPr>
        <w:t>Armidale</w:t>
      </w:r>
      <w:proofErr w:type="spellEnd"/>
      <w:r w:rsidRPr="00F2211C">
        <w:rPr>
          <w:spacing w:val="-1"/>
        </w:rPr>
        <w:t xml:space="preserve">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</w:t>
      </w:r>
      <w:r>
        <w:rPr>
          <w:spacing w:val="-1"/>
        </w:rPr>
        <w:t>Group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Assemblies</w:t>
      </w:r>
      <w:r w:rsidRPr="00F2211C">
        <w:rPr>
          <w:spacing w:val="-1"/>
        </w:rPr>
        <w:t xml:space="preserve"> of </w:t>
      </w:r>
      <w:r>
        <w:rPr>
          <w:spacing w:val="-1"/>
        </w:rPr>
        <w:t>God</w:t>
      </w:r>
      <w:r w:rsidRPr="00F2211C">
        <w:rPr>
          <w:spacing w:val="-1"/>
        </w:rPr>
        <w:t xml:space="preserve"> in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Ltd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Baptist</w:t>
      </w:r>
      <w:r w:rsidRPr="00F2211C">
        <w:rPr>
          <w:spacing w:val="-1"/>
        </w:rPr>
        <w:t xml:space="preserve"> </w:t>
      </w:r>
      <w:r>
        <w:rPr>
          <w:spacing w:val="-1"/>
        </w:rPr>
        <w:t>Financial</w:t>
      </w:r>
      <w:r w:rsidRPr="00F2211C">
        <w:rPr>
          <w:spacing w:val="-1"/>
        </w:rPr>
        <w:t xml:space="preserve"> </w:t>
      </w:r>
      <w:r>
        <w:rPr>
          <w:spacing w:val="-1"/>
        </w:rPr>
        <w:t>Services</w:t>
      </w:r>
      <w:r w:rsidRPr="00F2211C">
        <w:rPr>
          <w:spacing w:val="-1"/>
        </w:rPr>
        <w:t xml:space="preserve">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Limited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Port</w:t>
      </w:r>
      <w:r w:rsidRPr="00F2211C">
        <w:rPr>
          <w:spacing w:val="-1"/>
        </w:rPr>
        <w:t xml:space="preserve"> </w:t>
      </w:r>
      <w:r>
        <w:rPr>
          <w:spacing w:val="-1"/>
        </w:rPr>
        <w:t>Pirie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Centenary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</w:t>
      </w:r>
      <w:r>
        <w:rPr>
          <w:spacing w:val="-1"/>
        </w:rPr>
        <w:t>Foundation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Christian</w:t>
      </w:r>
      <w:r w:rsidRPr="00F2211C">
        <w:rPr>
          <w:spacing w:val="-1"/>
        </w:rPr>
        <w:t xml:space="preserve"> </w:t>
      </w:r>
      <w:r>
        <w:rPr>
          <w:spacing w:val="-1"/>
        </w:rPr>
        <w:t>Outreach</w:t>
      </w:r>
      <w:r w:rsidRPr="00F2211C">
        <w:rPr>
          <w:spacing w:val="-1"/>
        </w:rPr>
        <w:t xml:space="preserve"> </w:t>
      </w:r>
      <w:r>
        <w:rPr>
          <w:spacing w:val="-1"/>
        </w:rPr>
        <w:t>Centre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Churches</w:t>
      </w:r>
      <w:r w:rsidRPr="00F2211C">
        <w:rPr>
          <w:spacing w:val="-1"/>
        </w:rPr>
        <w:t xml:space="preserve"> of </w:t>
      </w:r>
      <w:r>
        <w:rPr>
          <w:spacing w:val="-1"/>
        </w:rPr>
        <w:t>Christ</w:t>
      </w:r>
      <w:r w:rsidRPr="00F2211C">
        <w:rPr>
          <w:spacing w:val="-1"/>
        </w:rPr>
        <w:t xml:space="preserve"> Building Extension </w:t>
      </w:r>
      <w:r>
        <w:rPr>
          <w:spacing w:val="-1"/>
        </w:rPr>
        <w:t>Mutual</w:t>
      </w:r>
      <w:r w:rsidRPr="00F2211C">
        <w:rPr>
          <w:spacing w:val="-1"/>
        </w:rPr>
        <w:t xml:space="preserve"> Fund </w:t>
      </w:r>
      <w:r>
        <w:rPr>
          <w:spacing w:val="-1"/>
        </w:rPr>
        <w:t>Incorporated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– </w:t>
      </w: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proofErr w:type="spellStart"/>
      <w:r>
        <w:rPr>
          <w:spacing w:val="-1"/>
        </w:rPr>
        <w:t>Bendigo</w:t>
      </w:r>
      <w:proofErr w:type="spellEnd"/>
    </w:p>
    <w:p w:rsidR="00223F77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</w:t>
      </w:r>
      <w:r>
        <w:rPr>
          <w:spacing w:val="-1"/>
        </w:rPr>
        <w:t>(Diocese</w:t>
      </w:r>
      <w:r w:rsidRPr="00F2211C">
        <w:rPr>
          <w:spacing w:val="-1"/>
        </w:rPr>
        <w:t xml:space="preserve"> of </w:t>
      </w:r>
      <w:proofErr w:type="spellStart"/>
      <w:r>
        <w:rPr>
          <w:spacing w:val="-1"/>
        </w:rPr>
        <w:t>Armidale</w:t>
      </w:r>
      <w:proofErr w:type="spellEnd"/>
      <w:r>
        <w:rPr>
          <w:spacing w:val="-1"/>
        </w:rPr>
        <w:t>)</w:t>
      </w:r>
    </w:p>
    <w:p w:rsidR="00303B49" w:rsidRDefault="00303B49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420940">
        <w:rPr>
          <w:spacing w:val="-1"/>
        </w:rPr>
        <w:t xml:space="preserve"> of </w:t>
      </w:r>
      <w:proofErr w:type="spellStart"/>
      <w:r>
        <w:rPr>
          <w:spacing w:val="-1"/>
        </w:rPr>
        <w:t>Ballarat</w:t>
      </w:r>
      <w:proofErr w:type="spellEnd"/>
      <w:r w:rsidRPr="00420940">
        <w:rPr>
          <w:spacing w:val="-1"/>
        </w:rPr>
        <w:t xml:space="preserve"> – </w:t>
      </w:r>
      <w:r>
        <w:rPr>
          <w:spacing w:val="-1"/>
        </w:rPr>
        <w:t>Catholic</w:t>
      </w:r>
      <w:r w:rsidRPr="00420940">
        <w:rPr>
          <w:spacing w:val="-1"/>
        </w:rPr>
        <w:t xml:space="preserve"> </w:t>
      </w:r>
      <w:r>
        <w:rPr>
          <w:spacing w:val="-1"/>
        </w:rPr>
        <w:t>Development</w:t>
      </w:r>
      <w:r w:rsidRPr="00420940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303B49">
        <w:rPr>
          <w:spacing w:val="-1"/>
        </w:rPr>
        <w:t>Diocese</w:t>
      </w:r>
      <w:r w:rsidRPr="00F2211C">
        <w:rPr>
          <w:spacing w:val="-1"/>
        </w:rPr>
        <w:t xml:space="preserve"> of </w:t>
      </w:r>
      <w:r w:rsidRPr="00303B49">
        <w:rPr>
          <w:spacing w:val="-1"/>
        </w:rPr>
        <w:t>Bathurst</w:t>
      </w:r>
      <w:r w:rsidRPr="00F2211C">
        <w:rPr>
          <w:spacing w:val="-1"/>
        </w:rPr>
        <w:t xml:space="preserve"> – </w:t>
      </w:r>
      <w:r w:rsidRPr="00303B49">
        <w:rPr>
          <w:spacing w:val="-1"/>
        </w:rPr>
        <w:t>Catholic</w:t>
      </w:r>
      <w:r w:rsidRPr="00F2211C">
        <w:rPr>
          <w:spacing w:val="-1"/>
        </w:rPr>
        <w:t xml:space="preserve"> </w:t>
      </w:r>
      <w:r w:rsidRPr="00303B49"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Broken</w:t>
      </w:r>
      <w:r w:rsidRPr="00F2211C">
        <w:rPr>
          <w:spacing w:val="-1"/>
        </w:rPr>
        <w:t xml:space="preserve"> Bay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</w:t>
      </w:r>
      <w:r>
        <w:rPr>
          <w:spacing w:val="-1"/>
        </w:rPr>
        <w:t>Trustees</w:t>
      </w:r>
      <w:r w:rsidRPr="00F2211C">
        <w:rPr>
          <w:spacing w:val="-1"/>
        </w:rPr>
        <w:t xml:space="preserve"> 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for the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Broken</w:t>
      </w:r>
      <w:r w:rsidRPr="00F2211C">
        <w:rPr>
          <w:spacing w:val="-1"/>
        </w:rPr>
        <w:t xml:space="preserve"> </w:t>
      </w:r>
      <w:r>
        <w:rPr>
          <w:spacing w:val="-1"/>
        </w:rPr>
        <w:t>Bay)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lastRenderedPageBreak/>
        <w:t xml:space="preserve">Diocese </w:t>
      </w:r>
      <w:r w:rsidRPr="00F2211C">
        <w:rPr>
          <w:spacing w:val="-1"/>
        </w:rPr>
        <w:t xml:space="preserve">of </w:t>
      </w:r>
      <w:proofErr w:type="spellStart"/>
      <w:r w:rsidRPr="00F2211C">
        <w:rPr>
          <w:spacing w:val="-1"/>
        </w:rPr>
        <w:t>Bunbury</w:t>
      </w:r>
      <w:proofErr w:type="spellEnd"/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 xml:space="preserve">Diocese </w:t>
      </w:r>
      <w:r w:rsidRPr="00F2211C">
        <w:rPr>
          <w:spacing w:val="-1"/>
        </w:rPr>
        <w:t xml:space="preserve">of </w:t>
      </w:r>
      <w:r>
        <w:rPr>
          <w:spacing w:val="-1"/>
        </w:rPr>
        <w:t>Cairns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Trust</w:t>
      </w:r>
      <w:r w:rsidRPr="00F2211C">
        <w:rPr>
          <w:spacing w:val="-1"/>
        </w:rPr>
        <w:t xml:space="preserve"> </w:t>
      </w:r>
      <w:r>
        <w:rPr>
          <w:spacing w:val="-1"/>
        </w:rPr>
        <w:t>Corporation</w:t>
      </w:r>
      <w:r w:rsidRPr="00F2211C">
        <w:rPr>
          <w:spacing w:val="-1"/>
        </w:rPr>
        <w:t xml:space="preserve"> for the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Cairns)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Darwin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of the </w:t>
      </w:r>
      <w:r>
        <w:rPr>
          <w:spacing w:val="-1"/>
        </w:rPr>
        <w:t>Diocese</w:t>
      </w:r>
      <w:r w:rsidRPr="00F2211C">
        <w:rPr>
          <w:spacing w:val="-1"/>
        </w:rPr>
        <w:t xml:space="preserve"> </w:t>
      </w:r>
      <w:r>
        <w:rPr>
          <w:spacing w:val="-1"/>
        </w:rPr>
        <w:t>of</w:t>
      </w:r>
      <w:r w:rsidRPr="00F2211C">
        <w:rPr>
          <w:spacing w:val="-1"/>
        </w:rPr>
        <w:t xml:space="preserve"> </w:t>
      </w:r>
      <w:r>
        <w:rPr>
          <w:spacing w:val="-1"/>
        </w:rPr>
        <w:t>Darwin</w:t>
      </w:r>
      <w:r w:rsidRPr="00F2211C">
        <w:rPr>
          <w:spacing w:val="-1"/>
        </w:rPr>
        <w:t xml:space="preserve"> </w:t>
      </w:r>
      <w:r>
        <w:rPr>
          <w:spacing w:val="-1"/>
        </w:rPr>
        <w:t>Property</w:t>
      </w:r>
      <w:r w:rsidRPr="00F2211C">
        <w:rPr>
          <w:spacing w:val="-1"/>
        </w:rPr>
        <w:t xml:space="preserve"> </w:t>
      </w:r>
      <w:r>
        <w:rPr>
          <w:spacing w:val="-1"/>
        </w:rPr>
        <w:t>Trust</w:t>
      </w:r>
      <w:r w:rsidRPr="00F2211C">
        <w:rPr>
          <w:spacing w:val="-1"/>
        </w:rPr>
        <w:t xml:space="preserve"> – </w:t>
      </w:r>
      <w:r>
        <w:rPr>
          <w:spacing w:val="-1"/>
        </w:rPr>
        <w:t>Darwin</w:t>
      </w:r>
      <w:r w:rsidRPr="00F2211C">
        <w:rPr>
          <w:spacing w:val="-1"/>
        </w:rPr>
        <w:t xml:space="preserve">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</w:t>
      </w:r>
      <w:r>
        <w:rPr>
          <w:spacing w:val="-1"/>
        </w:rPr>
        <w:t>Fund)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Lismore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>Trustees</w:t>
      </w:r>
      <w:r w:rsidRPr="00F2211C">
        <w:rPr>
          <w:spacing w:val="-1"/>
        </w:rPr>
        <w:t xml:space="preserve"> 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for the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Lismore)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 xml:space="preserve">Diocese </w:t>
      </w:r>
      <w:r w:rsidRPr="00F2211C">
        <w:rPr>
          <w:spacing w:val="-1"/>
        </w:rPr>
        <w:t xml:space="preserve">of </w:t>
      </w:r>
      <w:r>
        <w:rPr>
          <w:spacing w:val="-1"/>
        </w:rPr>
        <w:t>Maitland</w:t>
      </w:r>
      <w:r w:rsidRPr="00F2211C">
        <w:rPr>
          <w:spacing w:val="-1"/>
        </w:rPr>
        <w:t xml:space="preserve"> – </w:t>
      </w:r>
      <w:r>
        <w:rPr>
          <w:spacing w:val="-1"/>
        </w:rPr>
        <w:t>Newcastle</w:t>
      </w:r>
      <w:r w:rsidRPr="00F2211C">
        <w:rPr>
          <w:spacing w:val="-1"/>
        </w:rPr>
        <w:t xml:space="preserve">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>Trustees</w:t>
      </w:r>
      <w:r w:rsidRPr="00F2211C">
        <w:rPr>
          <w:spacing w:val="-1"/>
        </w:rPr>
        <w:t xml:space="preserve"> of </w:t>
      </w:r>
      <w:r>
        <w:rPr>
          <w:spacing w:val="-1"/>
        </w:rPr>
        <w:t>Church</w:t>
      </w:r>
      <w:r w:rsidRPr="00F2211C">
        <w:rPr>
          <w:spacing w:val="-1"/>
        </w:rPr>
        <w:t xml:space="preserve"> </w:t>
      </w:r>
      <w:r>
        <w:rPr>
          <w:spacing w:val="-1"/>
        </w:rPr>
        <w:t>Property</w:t>
      </w:r>
      <w:r w:rsidRPr="00F2211C">
        <w:rPr>
          <w:spacing w:val="-1"/>
        </w:rPr>
        <w:t xml:space="preserve"> for the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Newcastle)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Parramatta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proofErr w:type="spellStart"/>
      <w:r>
        <w:rPr>
          <w:spacing w:val="-1"/>
        </w:rPr>
        <w:t>Rockhampton</w:t>
      </w:r>
      <w:proofErr w:type="spellEnd"/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 xml:space="preserve">Diocese </w:t>
      </w:r>
      <w:r w:rsidRPr="00F2211C">
        <w:rPr>
          <w:spacing w:val="-1"/>
        </w:rPr>
        <w:t xml:space="preserve">of Sale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proofErr w:type="spellStart"/>
      <w:r>
        <w:rPr>
          <w:spacing w:val="-1"/>
        </w:rPr>
        <w:t>Sandhurst</w:t>
      </w:r>
      <w:proofErr w:type="spellEnd"/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Toowoomba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Townsville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Wagga</w:t>
      </w:r>
      <w:r w:rsidRPr="00F2211C">
        <w:rPr>
          <w:spacing w:val="-1"/>
        </w:rPr>
        <w:t xml:space="preserve"> </w:t>
      </w:r>
      <w:r>
        <w:rPr>
          <w:spacing w:val="-1"/>
        </w:rPr>
        <w:t>Wagga</w:t>
      </w:r>
      <w:r w:rsidRPr="00F2211C">
        <w:rPr>
          <w:spacing w:val="-1"/>
        </w:rPr>
        <w:t xml:space="preserve"> – </w:t>
      </w:r>
      <w:r>
        <w:rPr>
          <w:spacing w:val="-1"/>
        </w:rPr>
        <w:t>Diocesan</w:t>
      </w:r>
      <w:r w:rsidRPr="00F2211C">
        <w:rPr>
          <w:spacing w:val="-1"/>
        </w:rPr>
        <w:t xml:space="preserve"> </w:t>
      </w:r>
      <w:r>
        <w:rPr>
          <w:spacing w:val="-1"/>
        </w:rPr>
        <w:t>Provident</w:t>
      </w:r>
      <w:r w:rsidRPr="00F2211C">
        <w:rPr>
          <w:spacing w:val="-1"/>
        </w:rPr>
        <w:t xml:space="preserve"> Fund (or The </w:t>
      </w:r>
      <w:r>
        <w:rPr>
          <w:spacing w:val="-1"/>
        </w:rPr>
        <w:t>Trustees</w:t>
      </w:r>
      <w:r w:rsidRPr="00F2211C">
        <w:rPr>
          <w:spacing w:val="-1"/>
        </w:rPr>
        <w:t xml:space="preserve"> of the </w:t>
      </w:r>
      <w:r>
        <w:rPr>
          <w:spacing w:val="-1"/>
        </w:rPr>
        <w:t>Roman</w:t>
      </w:r>
      <w:r w:rsidRPr="00F2211C">
        <w:rPr>
          <w:spacing w:val="-1"/>
        </w:rPr>
        <w:t xml:space="preserve">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for the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Wagga</w:t>
      </w:r>
      <w:r w:rsidRPr="00F2211C">
        <w:rPr>
          <w:spacing w:val="-1"/>
        </w:rPr>
        <w:t xml:space="preserve"> </w:t>
      </w:r>
      <w:r>
        <w:rPr>
          <w:spacing w:val="-1"/>
        </w:rPr>
        <w:t>Wagga)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Diocese</w:t>
      </w:r>
      <w:r w:rsidRPr="00F2211C">
        <w:rPr>
          <w:spacing w:val="-1"/>
        </w:rPr>
        <w:t xml:space="preserve"> of Wollongong – </w:t>
      </w:r>
      <w:r>
        <w:rPr>
          <w:spacing w:val="-1"/>
        </w:rPr>
        <w:t>Catholic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EFKS</w:t>
      </w:r>
      <w:r w:rsidRPr="00F2211C">
        <w:rPr>
          <w:spacing w:val="-1"/>
        </w:rPr>
        <w:t xml:space="preserve"> </w:t>
      </w:r>
      <w:r>
        <w:rPr>
          <w:spacing w:val="-1"/>
        </w:rPr>
        <w:t>Financial</w:t>
      </w:r>
      <w:r w:rsidRPr="00F2211C">
        <w:rPr>
          <w:spacing w:val="-1"/>
        </w:rPr>
        <w:t xml:space="preserve"> </w:t>
      </w:r>
      <w:r>
        <w:rPr>
          <w:spacing w:val="-1"/>
        </w:rPr>
        <w:t>and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</w:t>
      </w:r>
      <w:r>
        <w:rPr>
          <w:spacing w:val="-1"/>
        </w:rPr>
        <w:t>Services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Glebe</w:t>
      </w:r>
      <w:r w:rsidRPr="00F2211C">
        <w:rPr>
          <w:spacing w:val="-1"/>
        </w:rPr>
        <w:t xml:space="preserve"> </w:t>
      </w:r>
      <w:r>
        <w:rPr>
          <w:spacing w:val="-1"/>
        </w:rPr>
        <w:t>Income</w:t>
      </w:r>
      <w:r w:rsidRPr="00F2211C">
        <w:rPr>
          <w:spacing w:val="-1"/>
        </w:rPr>
        <w:t xml:space="preserve"> </w:t>
      </w:r>
      <w:r>
        <w:rPr>
          <w:spacing w:val="-1"/>
        </w:rPr>
        <w:t>Accounts</w:t>
      </w:r>
      <w:r w:rsidRPr="00F2211C">
        <w:rPr>
          <w:spacing w:val="-1"/>
        </w:rPr>
        <w:t xml:space="preserve"> </w:t>
      </w:r>
      <w:r>
        <w:rPr>
          <w:spacing w:val="-1"/>
        </w:rPr>
        <w:t>(Anglican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</w:t>
      </w:r>
      <w:r>
        <w:rPr>
          <w:spacing w:val="-1"/>
        </w:rPr>
        <w:t>Diocese</w:t>
      </w:r>
      <w:r w:rsidRPr="00F2211C">
        <w:rPr>
          <w:spacing w:val="-1"/>
        </w:rPr>
        <w:t xml:space="preserve"> of </w:t>
      </w:r>
      <w:r>
        <w:rPr>
          <w:spacing w:val="-1"/>
        </w:rPr>
        <w:t>Sydney)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Lutheran</w:t>
      </w:r>
      <w:r w:rsidRPr="00F2211C">
        <w:rPr>
          <w:spacing w:val="-1"/>
        </w:rPr>
        <w:t xml:space="preserve"> Lay </w:t>
      </w:r>
      <w:r>
        <w:rPr>
          <w:spacing w:val="-1"/>
        </w:rPr>
        <w:t>People’s</w:t>
      </w:r>
      <w:r w:rsidRPr="00F2211C">
        <w:rPr>
          <w:spacing w:val="-1"/>
        </w:rPr>
        <w:t xml:space="preserve"> </w:t>
      </w:r>
      <w:r>
        <w:rPr>
          <w:spacing w:val="-1"/>
        </w:rPr>
        <w:t>League</w:t>
      </w:r>
      <w:r w:rsidRPr="00F2211C">
        <w:rPr>
          <w:spacing w:val="-1"/>
        </w:rPr>
        <w:t xml:space="preserve"> of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Incorporated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proofErr w:type="spellStart"/>
      <w:r w:rsidRPr="00F2211C">
        <w:rPr>
          <w:spacing w:val="-1"/>
        </w:rPr>
        <w:t>Riverina</w:t>
      </w:r>
      <w:proofErr w:type="spellEnd"/>
      <w:r w:rsidRPr="00F2211C">
        <w:rPr>
          <w:spacing w:val="-1"/>
        </w:rPr>
        <w:t xml:space="preserve"> </w:t>
      </w: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Stewards’ </w:t>
      </w:r>
      <w:r>
        <w:rPr>
          <w:spacing w:val="-1"/>
        </w:rPr>
        <w:t>Foundation</w:t>
      </w:r>
      <w:r w:rsidRPr="00F2211C">
        <w:rPr>
          <w:spacing w:val="-1"/>
        </w:rPr>
        <w:t xml:space="preserve"> of </w:t>
      </w:r>
      <w:r>
        <w:rPr>
          <w:spacing w:val="-1"/>
        </w:rPr>
        <w:t>Christian</w:t>
      </w:r>
      <w:r w:rsidRPr="00F2211C">
        <w:rPr>
          <w:spacing w:val="-1"/>
        </w:rPr>
        <w:t xml:space="preserve"> </w:t>
      </w:r>
      <w:r>
        <w:rPr>
          <w:spacing w:val="-1"/>
        </w:rPr>
        <w:t>Brethren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Temple</w:t>
      </w:r>
      <w:r w:rsidRPr="00F2211C">
        <w:rPr>
          <w:spacing w:val="-1"/>
        </w:rPr>
        <w:t xml:space="preserve"> Society </w:t>
      </w:r>
      <w:r>
        <w:rPr>
          <w:spacing w:val="-1"/>
        </w:rPr>
        <w:t>Australia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The </w:t>
      </w:r>
      <w:r>
        <w:rPr>
          <w:spacing w:val="-1"/>
        </w:rPr>
        <w:t>Baptist</w:t>
      </w:r>
      <w:r w:rsidRPr="00F2211C">
        <w:rPr>
          <w:spacing w:val="-1"/>
        </w:rPr>
        <w:t xml:space="preserve"> </w:t>
      </w:r>
      <w:r>
        <w:rPr>
          <w:spacing w:val="-1"/>
        </w:rPr>
        <w:t>Union</w:t>
      </w:r>
      <w:r w:rsidRPr="00F2211C">
        <w:rPr>
          <w:spacing w:val="-1"/>
        </w:rPr>
        <w:t xml:space="preserve"> of </w:t>
      </w:r>
      <w:r>
        <w:rPr>
          <w:spacing w:val="-1"/>
        </w:rPr>
        <w:t>Queensland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The </w:t>
      </w:r>
      <w:r>
        <w:rPr>
          <w:spacing w:val="-1"/>
        </w:rPr>
        <w:t>Churches</w:t>
      </w:r>
      <w:r w:rsidRPr="00F2211C">
        <w:rPr>
          <w:spacing w:val="-1"/>
        </w:rPr>
        <w:t xml:space="preserve"> of </w:t>
      </w:r>
      <w:r>
        <w:rPr>
          <w:spacing w:val="-1"/>
        </w:rPr>
        <w:t>Christ</w:t>
      </w:r>
      <w:r w:rsidRPr="00F2211C">
        <w:rPr>
          <w:spacing w:val="-1"/>
        </w:rPr>
        <w:t xml:space="preserve"> </w:t>
      </w:r>
      <w:r>
        <w:rPr>
          <w:spacing w:val="-1"/>
        </w:rPr>
        <w:t>Property</w:t>
      </w:r>
      <w:r w:rsidRPr="00F2211C">
        <w:rPr>
          <w:spacing w:val="-1"/>
        </w:rPr>
        <w:t xml:space="preserve"> </w:t>
      </w:r>
      <w:r>
        <w:rPr>
          <w:spacing w:val="-1"/>
        </w:rPr>
        <w:t>Trust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>The</w:t>
      </w:r>
      <w:r>
        <w:rPr>
          <w:spacing w:val="-1"/>
        </w:rPr>
        <w:t xml:space="preserve"> Corporate</w:t>
      </w:r>
      <w:r w:rsidRPr="00F2211C">
        <w:rPr>
          <w:spacing w:val="-1"/>
        </w:rPr>
        <w:t xml:space="preserve"> </w:t>
      </w:r>
      <w:r>
        <w:rPr>
          <w:spacing w:val="-1"/>
        </w:rPr>
        <w:t>Trustees</w:t>
      </w:r>
      <w:r w:rsidRPr="00F2211C">
        <w:rPr>
          <w:spacing w:val="-1"/>
        </w:rPr>
        <w:t xml:space="preserve"> of the</w:t>
      </w:r>
      <w:r>
        <w:rPr>
          <w:spacing w:val="-1"/>
        </w:rPr>
        <w:t xml:space="preserve"> Diocese</w:t>
      </w:r>
      <w:r w:rsidRPr="00F2211C">
        <w:rPr>
          <w:spacing w:val="-1"/>
        </w:rPr>
        <w:t xml:space="preserve"> of </w:t>
      </w:r>
      <w:r>
        <w:rPr>
          <w:spacing w:val="-1"/>
        </w:rPr>
        <w:t>Grafton</w:t>
      </w:r>
      <w:r w:rsidRPr="00F2211C">
        <w:rPr>
          <w:spacing w:val="-1"/>
        </w:rPr>
        <w:t xml:space="preserve"> – </w:t>
      </w:r>
      <w:r>
        <w:rPr>
          <w:spacing w:val="-1"/>
        </w:rPr>
        <w:t>Grafton</w:t>
      </w:r>
      <w:r w:rsidRPr="00F2211C">
        <w:rPr>
          <w:spacing w:val="-1"/>
        </w:rPr>
        <w:t xml:space="preserve"> </w:t>
      </w:r>
      <w:r>
        <w:rPr>
          <w:spacing w:val="-1"/>
        </w:rPr>
        <w:t>Diocese Investment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The </w:t>
      </w:r>
      <w:r>
        <w:rPr>
          <w:spacing w:val="-1"/>
        </w:rPr>
        <w:t>Properties</w:t>
      </w:r>
      <w:r w:rsidRPr="00F2211C">
        <w:rPr>
          <w:spacing w:val="-1"/>
        </w:rPr>
        <w:t xml:space="preserve"> </w:t>
      </w:r>
      <w:r>
        <w:rPr>
          <w:spacing w:val="-1"/>
        </w:rPr>
        <w:t>Corporation</w:t>
      </w:r>
      <w:r w:rsidRPr="00F2211C">
        <w:rPr>
          <w:spacing w:val="-1"/>
        </w:rPr>
        <w:t xml:space="preserve"> of the </w:t>
      </w:r>
      <w:r>
        <w:rPr>
          <w:spacing w:val="-1"/>
        </w:rPr>
        <w:t>Churches</w:t>
      </w:r>
      <w:r w:rsidRPr="00F2211C">
        <w:rPr>
          <w:spacing w:val="-1"/>
        </w:rPr>
        <w:t xml:space="preserve"> of </w:t>
      </w:r>
      <w:r>
        <w:rPr>
          <w:spacing w:val="-1"/>
        </w:rPr>
        <w:t>Christ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The </w:t>
      </w:r>
      <w:r>
        <w:rPr>
          <w:spacing w:val="-1"/>
        </w:rPr>
        <w:t>Uniting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in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Property</w:t>
      </w:r>
      <w:r w:rsidRPr="00F2211C">
        <w:rPr>
          <w:spacing w:val="-1"/>
        </w:rPr>
        <w:t xml:space="preserve"> </w:t>
      </w:r>
      <w:r>
        <w:rPr>
          <w:spacing w:val="-1"/>
        </w:rPr>
        <w:t>Trust</w:t>
      </w:r>
      <w:r w:rsidRPr="00F2211C">
        <w:rPr>
          <w:spacing w:val="-1"/>
        </w:rPr>
        <w:t xml:space="preserve"> </w:t>
      </w:r>
      <w:r>
        <w:rPr>
          <w:spacing w:val="-1"/>
        </w:rPr>
        <w:t>(SA)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The </w:t>
      </w:r>
      <w:r>
        <w:rPr>
          <w:spacing w:val="-1"/>
        </w:rPr>
        <w:t>Uniting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</w:t>
      </w:r>
      <w:r>
        <w:rPr>
          <w:spacing w:val="-1"/>
        </w:rPr>
        <w:t>Service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F2211C">
        <w:rPr>
          <w:spacing w:val="-1"/>
        </w:rPr>
        <w:t xml:space="preserve">UCA </w:t>
      </w:r>
      <w:r>
        <w:rPr>
          <w:spacing w:val="-1"/>
        </w:rPr>
        <w:t xml:space="preserve">Funds </w:t>
      </w:r>
      <w:r w:rsidRPr="00F2211C">
        <w:rPr>
          <w:spacing w:val="-1"/>
        </w:rPr>
        <w:t xml:space="preserve">(incorporating UCA Cash </w:t>
      </w:r>
      <w:r>
        <w:rPr>
          <w:spacing w:val="-1"/>
        </w:rPr>
        <w:t>Management</w:t>
      </w:r>
      <w:r w:rsidRPr="00F2211C">
        <w:rPr>
          <w:spacing w:val="-1"/>
        </w:rPr>
        <w:t xml:space="preserve"> Fund </w:t>
      </w:r>
      <w:r>
        <w:rPr>
          <w:spacing w:val="-1"/>
        </w:rPr>
        <w:t xml:space="preserve">Limited, </w:t>
      </w:r>
      <w:r w:rsidRPr="00F2211C">
        <w:rPr>
          <w:spacing w:val="-1"/>
        </w:rPr>
        <w:t xml:space="preserve">UCA </w:t>
      </w:r>
      <w:r>
        <w:rPr>
          <w:spacing w:val="-1"/>
        </w:rPr>
        <w:t>Growth</w:t>
      </w:r>
      <w:r w:rsidRPr="00F2211C">
        <w:rPr>
          <w:spacing w:val="-1"/>
        </w:rPr>
        <w:t xml:space="preserve"> Fund </w:t>
      </w:r>
      <w:r>
        <w:rPr>
          <w:spacing w:val="-1"/>
        </w:rPr>
        <w:t xml:space="preserve">Limited, </w:t>
      </w:r>
      <w:r w:rsidRPr="00F2211C">
        <w:rPr>
          <w:spacing w:val="-1"/>
        </w:rPr>
        <w:t xml:space="preserve">UCA </w:t>
      </w:r>
      <w:r>
        <w:rPr>
          <w:spacing w:val="-1"/>
        </w:rPr>
        <w:t>Funds</w:t>
      </w:r>
      <w:r w:rsidRPr="00F2211C">
        <w:rPr>
          <w:spacing w:val="-1"/>
        </w:rPr>
        <w:t xml:space="preserve"> </w:t>
      </w:r>
      <w:r>
        <w:rPr>
          <w:spacing w:val="-1"/>
        </w:rPr>
        <w:t>Management</w:t>
      </w:r>
      <w:r w:rsidRPr="00F2211C">
        <w:rPr>
          <w:spacing w:val="-1"/>
        </w:rPr>
        <w:t xml:space="preserve"> </w:t>
      </w:r>
      <w:r>
        <w:rPr>
          <w:spacing w:val="-1"/>
        </w:rPr>
        <w:t>Limited,</w:t>
      </w:r>
      <w:r w:rsidRPr="00F2211C">
        <w:rPr>
          <w:spacing w:val="-1"/>
        </w:rPr>
        <w:t xml:space="preserve"> the </w:t>
      </w:r>
      <w:r>
        <w:rPr>
          <w:spacing w:val="-1"/>
        </w:rPr>
        <w:t>Development</w:t>
      </w:r>
      <w:r w:rsidRPr="00F2211C">
        <w:rPr>
          <w:spacing w:val="-1"/>
        </w:rPr>
        <w:t xml:space="preserve"> </w:t>
      </w:r>
      <w:r>
        <w:rPr>
          <w:spacing w:val="-1"/>
        </w:rPr>
        <w:t>Fund,</w:t>
      </w:r>
      <w:r w:rsidRPr="00F2211C">
        <w:rPr>
          <w:spacing w:val="-1"/>
        </w:rPr>
        <w:t xml:space="preserve"> The </w:t>
      </w:r>
      <w:r>
        <w:rPr>
          <w:spacing w:val="-1"/>
        </w:rPr>
        <w:t>Uniting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in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Property</w:t>
      </w:r>
      <w:r w:rsidRPr="00F2211C">
        <w:rPr>
          <w:spacing w:val="-1"/>
        </w:rPr>
        <w:t xml:space="preserve"> </w:t>
      </w:r>
      <w:r>
        <w:rPr>
          <w:spacing w:val="-1"/>
        </w:rPr>
        <w:t>Trust</w:t>
      </w:r>
      <w:r w:rsidRPr="00F2211C">
        <w:rPr>
          <w:spacing w:val="-1"/>
        </w:rPr>
        <w:t xml:space="preserve"> </w:t>
      </w:r>
      <w:r>
        <w:rPr>
          <w:spacing w:val="-1"/>
        </w:rPr>
        <w:t>(Victoria)</w:t>
      </w:r>
      <w:r w:rsidRPr="00F2211C">
        <w:rPr>
          <w:spacing w:val="-1"/>
        </w:rPr>
        <w:t xml:space="preserve"> </w:t>
      </w:r>
      <w:r>
        <w:rPr>
          <w:spacing w:val="-1"/>
        </w:rPr>
        <w:t>and</w:t>
      </w:r>
      <w:r w:rsidRPr="00F2211C">
        <w:rPr>
          <w:spacing w:val="-1"/>
        </w:rPr>
        <w:t xml:space="preserve"> the</w:t>
      </w:r>
      <w:r>
        <w:rPr>
          <w:spacing w:val="-1"/>
        </w:rPr>
        <w:t xml:space="preserve"> Funeral</w:t>
      </w:r>
      <w:r w:rsidRPr="00F2211C">
        <w:rPr>
          <w:spacing w:val="-1"/>
        </w:rPr>
        <w:t xml:space="preserve"> </w:t>
      </w:r>
      <w:r>
        <w:rPr>
          <w:spacing w:val="-1"/>
        </w:rPr>
        <w:t>Fund)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>
        <w:rPr>
          <w:spacing w:val="-1"/>
        </w:rPr>
        <w:t>Uniting Church</w:t>
      </w:r>
      <w:r w:rsidRPr="00F2211C">
        <w:rPr>
          <w:spacing w:val="-1"/>
        </w:rPr>
        <w:t xml:space="preserve"> in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Synod</w:t>
      </w:r>
      <w:r w:rsidRPr="00F2211C">
        <w:rPr>
          <w:spacing w:val="-1"/>
        </w:rPr>
        <w:t xml:space="preserve"> of </w:t>
      </w:r>
      <w:r>
        <w:rPr>
          <w:spacing w:val="-1"/>
        </w:rPr>
        <w:t>Western</w:t>
      </w:r>
      <w:r w:rsidRPr="00F2211C">
        <w:rPr>
          <w:spacing w:val="-1"/>
        </w:rPr>
        <w:t xml:space="preserve"> </w:t>
      </w:r>
      <w:r>
        <w:rPr>
          <w:spacing w:val="-1"/>
        </w:rPr>
        <w:t>Australia</w:t>
      </w:r>
      <w:r w:rsidRPr="00F2211C">
        <w:rPr>
          <w:spacing w:val="-1"/>
        </w:rPr>
        <w:t xml:space="preserve"> </w:t>
      </w:r>
      <w:r>
        <w:rPr>
          <w:spacing w:val="-1"/>
        </w:rPr>
        <w:t>Uniting</w:t>
      </w:r>
      <w:r w:rsidRPr="00F2211C">
        <w:rPr>
          <w:spacing w:val="-1"/>
        </w:rPr>
        <w:t xml:space="preserve"> </w:t>
      </w:r>
      <w:r>
        <w:rPr>
          <w:spacing w:val="-1"/>
        </w:rPr>
        <w:t>Church</w:t>
      </w:r>
      <w:r w:rsidRPr="00F2211C">
        <w:rPr>
          <w:spacing w:val="-1"/>
        </w:rPr>
        <w:t xml:space="preserve"> </w:t>
      </w:r>
      <w:r>
        <w:rPr>
          <w:spacing w:val="-1"/>
        </w:rPr>
        <w:t>Investment</w:t>
      </w:r>
      <w:r w:rsidRPr="00F2211C">
        <w:rPr>
          <w:spacing w:val="-1"/>
        </w:rPr>
        <w:t xml:space="preserve"> Fund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r w:rsidRPr="00646665">
        <w:rPr>
          <w:spacing w:val="-1"/>
        </w:rPr>
        <w:t>Uniting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Financial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Services</w:t>
      </w:r>
      <w:r w:rsidRPr="00F2211C">
        <w:rPr>
          <w:spacing w:val="-1"/>
        </w:rPr>
        <w:t xml:space="preserve"> (incorporating The </w:t>
      </w:r>
      <w:r w:rsidRPr="00646665">
        <w:rPr>
          <w:spacing w:val="-1"/>
        </w:rPr>
        <w:t>Uniting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Church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(NSW)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Trust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Association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Limited,</w:t>
      </w:r>
      <w:r w:rsidRPr="00F2211C">
        <w:rPr>
          <w:spacing w:val="-1"/>
        </w:rPr>
        <w:t xml:space="preserve"> The </w:t>
      </w:r>
      <w:r w:rsidRPr="00646665">
        <w:rPr>
          <w:spacing w:val="-1"/>
        </w:rPr>
        <w:t>Uniting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Church</w:t>
      </w:r>
      <w:r w:rsidRPr="00F2211C">
        <w:rPr>
          <w:spacing w:val="-1"/>
        </w:rPr>
        <w:t xml:space="preserve"> in </w:t>
      </w:r>
      <w:r w:rsidRPr="00646665">
        <w:rPr>
          <w:spacing w:val="-1"/>
        </w:rPr>
        <w:t>Australia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Property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Trust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(NSW),</w:t>
      </w:r>
      <w:r w:rsidRPr="00F2211C">
        <w:rPr>
          <w:spacing w:val="-1"/>
        </w:rPr>
        <w:t xml:space="preserve"> the </w:t>
      </w:r>
      <w:r w:rsidRPr="00646665">
        <w:rPr>
          <w:spacing w:val="-1"/>
        </w:rPr>
        <w:t>Funeral</w:t>
      </w:r>
      <w:r w:rsidRPr="00F2211C">
        <w:rPr>
          <w:spacing w:val="-1"/>
        </w:rPr>
        <w:t xml:space="preserve"> Fund </w:t>
      </w:r>
      <w:r w:rsidRPr="00646665">
        <w:rPr>
          <w:spacing w:val="-1"/>
        </w:rPr>
        <w:t>and</w:t>
      </w:r>
      <w:r w:rsidRPr="00F2211C">
        <w:rPr>
          <w:spacing w:val="-1"/>
        </w:rPr>
        <w:t xml:space="preserve"> the Self–</w:t>
      </w:r>
      <w:r w:rsidRPr="00646665">
        <w:rPr>
          <w:spacing w:val="-1"/>
        </w:rPr>
        <w:t xml:space="preserve"> Help</w:t>
      </w:r>
      <w:r w:rsidRPr="00F2211C">
        <w:rPr>
          <w:spacing w:val="-1"/>
        </w:rPr>
        <w:t xml:space="preserve"> </w:t>
      </w:r>
      <w:r w:rsidRPr="00646665">
        <w:rPr>
          <w:spacing w:val="-1"/>
        </w:rPr>
        <w:t>Fund)</w:t>
      </w:r>
    </w:p>
    <w:p w:rsidR="00223F77" w:rsidRPr="00F2211C" w:rsidRDefault="00E024B0" w:rsidP="00F2211C">
      <w:pPr>
        <w:pStyle w:val="BodyTex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rPr>
          <w:spacing w:val="-1"/>
        </w:rPr>
      </w:pPr>
      <w:proofErr w:type="spellStart"/>
      <w:r>
        <w:rPr>
          <w:spacing w:val="-1"/>
        </w:rPr>
        <w:t>Wangaratta</w:t>
      </w:r>
      <w:proofErr w:type="spellEnd"/>
      <w:r w:rsidRPr="00F2211C">
        <w:rPr>
          <w:spacing w:val="-1"/>
        </w:rPr>
        <w:t xml:space="preserve"> </w:t>
      </w:r>
      <w:r>
        <w:rPr>
          <w:spacing w:val="-1"/>
        </w:rPr>
        <w:t>Anglican</w:t>
      </w:r>
      <w:r w:rsidRPr="00F2211C">
        <w:rPr>
          <w:spacing w:val="-1"/>
        </w:rPr>
        <w:t xml:space="preserve"> </w:t>
      </w:r>
      <w:r>
        <w:rPr>
          <w:spacing w:val="-1"/>
        </w:rPr>
        <w:t>Development</w:t>
      </w:r>
      <w:r w:rsidRPr="00F2211C">
        <w:rPr>
          <w:spacing w:val="-1"/>
        </w:rPr>
        <w:t xml:space="preserve"> Fund</w:t>
      </w:r>
    </w:p>
    <w:p w:rsidR="00223F77" w:rsidRDefault="00223F77" w:rsidP="00F2211C">
      <w:pPr>
        <w:spacing w:before="7"/>
        <w:rPr>
          <w:rFonts w:ascii="Times New Roman" w:eastAsia="Times New Roman" w:hAnsi="Times New Roman" w:cs="Times New Roman"/>
        </w:rPr>
      </w:pPr>
    </w:p>
    <w:p w:rsidR="00223F77" w:rsidRDefault="00E024B0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Definitions</w:t>
      </w:r>
    </w:p>
    <w:p w:rsidR="00223F77" w:rsidRPr="00F2211C" w:rsidRDefault="00223F77" w:rsidP="00F2211C">
      <w:pPr>
        <w:spacing w:before="7"/>
        <w:rPr>
          <w:rFonts w:ascii="Times New Roman" w:eastAsia="Times New Roman" w:hAnsi="Times New Roman" w:cs="Times New Roman"/>
        </w:rPr>
      </w:pPr>
    </w:p>
    <w:p w:rsidR="00223F77" w:rsidRDefault="00E024B0">
      <w:pPr>
        <w:pStyle w:val="BodyText"/>
        <w:spacing w:before="0"/>
        <w:ind w:left="100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 xml:space="preserve">this </w:t>
      </w:r>
      <w:r>
        <w:rPr>
          <w:spacing w:val="-1"/>
        </w:rPr>
        <w:t>Schedule:</w:t>
      </w:r>
    </w:p>
    <w:p w:rsidR="00223F77" w:rsidRPr="00F2211C" w:rsidRDefault="00223F77" w:rsidP="00F2211C">
      <w:pPr>
        <w:spacing w:before="7"/>
        <w:rPr>
          <w:rFonts w:ascii="Times New Roman" w:eastAsia="Times New Roman" w:hAnsi="Times New Roman" w:cs="Times New Roman"/>
        </w:rPr>
      </w:pPr>
    </w:p>
    <w:p w:rsidR="00223F77" w:rsidRDefault="00E024B0" w:rsidP="00F2211C">
      <w:pPr>
        <w:pStyle w:val="BodyText"/>
        <w:spacing w:before="0" w:line="236" w:lineRule="exact"/>
        <w:ind w:left="100" w:right="142"/>
      </w:pPr>
      <w:proofErr w:type="gramStart"/>
      <w:r>
        <w:rPr>
          <w:b/>
          <w:i/>
          <w:spacing w:val="-1"/>
        </w:rPr>
        <w:t>controlling</w:t>
      </w:r>
      <w:proofErr w:type="gramEnd"/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entity</w:t>
      </w:r>
      <w:r>
        <w:rPr>
          <w:b/>
          <w:i/>
          <w:spacing w:val="3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rPr>
          <w:spacing w:val="-1"/>
        </w:rPr>
        <w:t>corporate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>
        <w:rPr>
          <w:spacing w:val="-3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t>trustee</w:t>
      </w:r>
      <w:r>
        <w:rPr>
          <w:spacing w:val="-2"/>
        </w:rPr>
        <w:t xml:space="preserve"> of,</w:t>
      </w:r>
      <w:r>
        <w:rPr>
          <w:spacing w:val="-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concerned</w:t>
      </w:r>
      <w:r>
        <w:rPr>
          <w:spacing w:val="-3"/>
        </w:rPr>
        <w:t xml:space="preserve"> 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2"/>
        </w:rPr>
        <w:t xml:space="preserve">of,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fund.</w:t>
      </w:r>
    </w:p>
    <w:sectPr w:rsidR="00223F77" w:rsidSect="00F2211C">
      <w:pgSz w:w="11910" w:h="16840"/>
      <w:pgMar w:top="1134" w:right="142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868"/>
    <w:multiLevelType w:val="hybridMultilevel"/>
    <w:tmpl w:val="7FDEC454"/>
    <w:lvl w:ilvl="0" w:tplc="46300242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D1EB95E">
      <w:start w:val="1"/>
      <w:numFmt w:val="decimal"/>
      <w:lvlText w:val="%2."/>
      <w:lvlJc w:val="left"/>
      <w:pPr>
        <w:ind w:left="805" w:hanging="3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50485C8">
      <w:start w:val="1"/>
      <w:numFmt w:val="bullet"/>
      <w:lvlText w:val="•"/>
      <w:lvlJc w:val="left"/>
      <w:pPr>
        <w:ind w:left="1760" w:hanging="365"/>
      </w:pPr>
      <w:rPr>
        <w:rFonts w:hint="default"/>
      </w:rPr>
    </w:lvl>
    <w:lvl w:ilvl="3" w:tplc="AD44AE5E">
      <w:start w:val="1"/>
      <w:numFmt w:val="bullet"/>
      <w:lvlText w:val="•"/>
      <w:lvlJc w:val="left"/>
      <w:pPr>
        <w:ind w:left="2681" w:hanging="365"/>
      </w:pPr>
      <w:rPr>
        <w:rFonts w:hint="default"/>
      </w:rPr>
    </w:lvl>
    <w:lvl w:ilvl="4" w:tplc="CB5AC2EE">
      <w:start w:val="1"/>
      <w:numFmt w:val="bullet"/>
      <w:lvlText w:val="•"/>
      <w:lvlJc w:val="left"/>
      <w:pPr>
        <w:ind w:left="3601" w:hanging="365"/>
      </w:pPr>
      <w:rPr>
        <w:rFonts w:hint="default"/>
      </w:rPr>
    </w:lvl>
    <w:lvl w:ilvl="5" w:tplc="B2BEBC4C">
      <w:start w:val="1"/>
      <w:numFmt w:val="bullet"/>
      <w:lvlText w:val="•"/>
      <w:lvlJc w:val="left"/>
      <w:pPr>
        <w:ind w:left="4522" w:hanging="365"/>
      </w:pPr>
      <w:rPr>
        <w:rFonts w:hint="default"/>
      </w:rPr>
    </w:lvl>
    <w:lvl w:ilvl="6" w:tplc="4B30C6CC">
      <w:start w:val="1"/>
      <w:numFmt w:val="bullet"/>
      <w:lvlText w:val="•"/>
      <w:lvlJc w:val="left"/>
      <w:pPr>
        <w:ind w:left="5443" w:hanging="365"/>
      </w:pPr>
      <w:rPr>
        <w:rFonts w:hint="default"/>
      </w:rPr>
    </w:lvl>
    <w:lvl w:ilvl="7" w:tplc="FDDA6314">
      <w:start w:val="1"/>
      <w:numFmt w:val="bullet"/>
      <w:lvlText w:val="•"/>
      <w:lvlJc w:val="left"/>
      <w:pPr>
        <w:ind w:left="6363" w:hanging="365"/>
      </w:pPr>
      <w:rPr>
        <w:rFonts w:hint="default"/>
      </w:rPr>
    </w:lvl>
    <w:lvl w:ilvl="8" w:tplc="567AE0F2">
      <w:start w:val="1"/>
      <w:numFmt w:val="bullet"/>
      <w:lvlText w:val="•"/>
      <w:lvlJc w:val="left"/>
      <w:pPr>
        <w:ind w:left="7284" w:hanging="365"/>
      </w:pPr>
      <w:rPr>
        <w:rFonts w:hint="default"/>
      </w:rPr>
    </w:lvl>
  </w:abstractNum>
  <w:abstractNum w:abstractNumId="1">
    <w:nsid w:val="75951618"/>
    <w:multiLevelType w:val="hybridMultilevel"/>
    <w:tmpl w:val="B17ED522"/>
    <w:lvl w:ilvl="0" w:tplc="10B8A790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8E4FC1"/>
    <w:multiLevelType w:val="hybridMultilevel"/>
    <w:tmpl w:val="135AB324"/>
    <w:lvl w:ilvl="0" w:tplc="1BD645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7"/>
    <w:rsid w:val="00076A1D"/>
    <w:rsid w:val="000F6B4E"/>
    <w:rsid w:val="00184305"/>
    <w:rsid w:val="00223F77"/>
    <w:rsid w:val="00247C94"/>
    <w:rsid w:val="00303B49"/>
    <w:rsid w:val="0032781E"/>
    <w:rsid w:val="003C4C93"/>
    <w:rsid w:val="004E26D5"/>
    <w:rsid w:val="0052709B"/>
    <w:rsid w:val="00646665"/>
    <w:rsid w:val="00901812"/>
    <w:rsid w:val="00D84518"/>
    <w:rsid w:val="00E024B0"/>
    <w:rsid w:val="00F2211C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56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7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56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7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SIP0214608.htm</vt:lpstr>
    </vt:vector>
  </TitlesOfParts>
  <Company>APRA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SIP0214608.htm</dc:title>
  <dc:creator>Vik, Christopher</dc:creator>
  <cp:lastModifiedBy>Antonietta Discala</cp:lastModifiedBy>
  <cp:revision>2</cp:revision>
  <dcterms:created xsi:type="dcterms:W3CDTF">2014-10-22T00:29:00Z</dcterms:created>
  <dcterms:modified xsi:type="dcterms:W3CDTF">2014-10-22T00:29:00Z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LastSaved">
    <vt:filetime>2014-09-16T00:00:00Z</vt:filetime>
  </property>
</Properties>
</file>