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D7430" w14:textId="77777777" w:rsidR="00FF6E5C" w:rsidRPr="0037495D" w:rsidRDefault="00FF6E5C" w:rsidP="00FF6E5C">
      <w:pPr>
        <w:pStyle w:val="Title"/>
        <w:rPr>
          <w:u w:val="none"/>
        </w:rPr>
      </w:pPr>
      <w:bookmarkStart w:id="0" w:name="_GoBack"/>
      <w:bookmarkEnd w:id="0"/>
      <w:r w:rsidRPr="0037495D">
        <w:rPr>
          <w:u w:val="none"/>
        </w:rPr>
        <w:t>EXPLANATORY STATEMENT</w:t>
      </w:r>
    </w:p>
    <w:p w14:paraId="724D7431" w14:textId="77777777" w:rsidR="004964E2" w:rsidRPr="0037495D" w:rsidRDefault="004964E2" w:rsidP="004964E2">
      <w:pPr>
        <w:pStyle w:val="Title"/>
        <w:spacing w:before="240"/>
        <w:rPr>
          <w:u w:val="none"/>
        </w:rPr>
      </w:pPr>
      <w:r w:rsidRPr="0037495D">
        <w:rPr>
          <w:u w:val="none"/>
        </w:rPr>
        <w:t>Prepared by the Australian Communications and Media Authority</w:t>
      </w:r>
    </w:p>
    <w:p w14:paraId="724D7432" w14:textId="77777777" w:rsidR="00FF6E5C" w:rsidRPr="0037495D" w:rsidRDefault="00FF6E5C" w:rsidP="00FF6E5C"/>
    <w:p w14:paraId="724D7433" w14:textId="77777777" w:rsidR="00FF6E5C" w:rsidRPr="00D44F88" w:rsidRDefault="00D44F88" w:rsidP="00FF6E5C">
      <w:pPr>
        <w:jc w:val="center"/>
        <w:rPr>
          <w:b/>
          <w:i/>
          <w:sz w:val="28"/>
          <w:szCs w:val="28"/>
        </w:rPr>
      </w:pPr>
      <w:r w:rsidRPr="00D44F88">
        <w:rPr>
          <w:b/>
          <w:i/>
          <w:sz w:val="28"/>
          <w:szCs w:val="28"/>
        </w:rPr>
        <w:t>Telecommunications Universal Service Management Agency (Approved Auditor) Amendment Determination 2014 (No.1)</w:t>
      </w:r>
    </w:p>
    <w:p w14:paraId="724D7434" w14:textId="77777777" w:rsidR="00FF6E5C" w:rsidRPr="0037495D" w:rsidRDefault="00FF6E5C" w:rsidP="00FF6E5C"/>
    <w:p w14:paraId="724D7435" w14:textId="77777777" w:rsidR="00FF6E5C" w:rsidRPr="0037495D" w:rsidRDefault="00D44F88" w:rsidP="00FF6E5C">
      <w:pPr>
        <w:tabs>
          <w:tab w:val="center" w:pos="4111"/>
        </w:tabs>
        <w:jc w:val="center"/>
        <w:rPr>
          <w:i/>
          <w:sz w:val="24"/>
          <w:szCs w:val="24"/>
        </w:rPr>
      </w:pPr>
      <w:r w:rsidRPr="008827DE">
        <w:rPr>
          <w:i/>
          <w:sz w:val="24"/>
          <w:szCs w:val="24"/>
        </w:rPr>
        <w:t>Telecommunications Universal Ser</w:t>
      </w:r>
      <w:r>
        <w:rPr>
          <w:i/>
          <w:sz w:val="24"/>
          <w:szCs w:val="24"/>
        </w:rPr>
        <w:t>vice Management Agency Act 2012</w:t>
      </w:r>
    </w:p>
    <w:p w14:paraId="724D7436" w14:textId="77777777" w:rsidR="00722911" w:rsidRPr="0037495D" w:rsidRDefault="00722911"/>
    <w:p w14:paraId="724D7437" w14:textId="77777777" w:rsidR="0087589F" w:rsidRPr="0087589F" w:rsidRDefault="00314EB1">
      <w:pPr>
        <w:rPr>
          <w:sz w:val="24"/>
          <w:szCs w:val="24"/>
        </w:rPr>
      </w:pPr>
      <w:r w:rsidRPr="0037495D">
        <w:rPr>
          <w:sz w:val="24"/>
        </w:rPr>
        <w:t>The</w:t>
      </w:r>
      <w:r w:rsidR="00D44F88" w:rsidRPr="00EB101C">
        <w:rPr>
          <w:sz w:val="24"/>
          <w:szCs w:val="24"/>
        </w:rPr>
        <w:t xml:space="preserve"> </w:t>
      </w:r>
      <w:r w:rsidR="00D44F88" w:rsidRPr="00EB101C">
        <w:rPr>
          <w:i/>
          <w:sz w:val="24"/>
          <w:szCs w:val="24"/>
        </w:rPr>
        <w:t xml:space="preserve">Telecommunications Universal Service Management Agency (Approved Auditor) </w:t>
      </w:r>
      <w:r w:rsidR="00D44F88">
        <w:rPr>
          <w:i/>
          <w:sz w:val="24"/>
          <w:szCs w:val="24"/>
        </w:rPr>
        <w:t xml:space="preserve">Amendment </w:t>
      </w:r>
      <w:r w:rsidR="00D44F88" w:rsidRPr="00EB101C">
        <w:rPr>
          <w:i/>
          <w:sz w:val="24"/>
          <w:szCs w:val="24"/>
        </w:rPr>
        <w:t>Determination 201</w:t>
      </w:r>
      <w:r w:rsidR="00D44F88">
        <w:rPr>
          <w:i/>
          <w:sz w:val="24"/>
          <w:szCs w:val="24"/>
        </w:rPr>
        <w:t>4 (No.1)</w:t>
      </w:r>
      <w:r w:rsidR="00D44F88">
        <w:rPr>
          <w:sz w:val="24"/>
          <w:szCs w:val="24"/>
        </w:rPr>
        <w:t xml:space="preserve"> (the </w:t>
      </w:r>
      <w:r w:rsidR="00EA0061">
        <w:rPr>
          <w:sz w:val="24"/>
          <w:szCs w:val="24"/>
        </w:rPr>
        <w:t xml:space="preserve">Amendment </w:t>
      </w:r>
      <w:r w:rsidR="00D44F88">
        <w:rPr>
          <w:sz w:val="24"/>
          <w:szCs w:val="24"/>
        </w:rPr>
        <w:t xml:space="preserve">Determination) </w:t>
      </w:r>
      <w:r w:rsidR="00722911" w:rsidRPr="0037495D">
        <w:rPr>
          <w:sz w:val="24"/>
        </w:rPr>
        <w:t xml:space="preserve">is </w:t>
      </w:r>
      <w:r w:rsidR="0030093C" w:rsidRPr="0037495D">
        <w:rPr>
          <w:sz w:val="24"/>
        </w:rPr>
        <w:t xml:space="preserve">made </w:t>
      </w:r>
      <w:r w:rsidR="00333097" w:rsidRPr="0037495D">
        <w:rPr>
          <w:sz w:val="24"/>
        </w:rPr>
        <w:t xml:space="preserve">by the Australian Communications </w:t>
      </w:r>
      <w:r w:rsidR="00F607E1" w:rsidRPr="0037495D">
        <w:rPr>
          <w:sz w:val="24"/>
        </w:rPr>
        <w:t xml:space="preserve">and Media </w:t>
      </w:r>
      <w:r w:rsidR="00333097" w:rsidRPr="0037495D">
        <w:rPr>
          <w:sz w:val="24"/>
        </w:rPr>
        <w:t>Authority (</w:t>
      </w:r>
      <w:r w:rsidR="0030093C" w:rsidRPr="0037495D">
        <w:rPr>
          <w:sz w:val="24"/>
        </w:rPr>
        <w:t xml:space="preserve">the </w:t>
      </w:r>
      <w:r w:rsidR="00333097" w:rsidRPr="0037495D">
        <w:rPr>
          <w:sz w:val="24"/>
        </w:rPr>
        <w:t>AC</w:t>
      </w:r>
      <w:r w:rsidR="00F607E1" w:rsidRPr="0037495D">
        <w:rPr>
          <w:sz w:val="24"/>
        </w:rPr>
        <w:t>M</w:t>
      </w:r>
      <w:r w:rsidR="00333097" w:rsidRPr="0037495D">
        <w:rPr>
          <w:sz w:val="24"/>
        </w:rPr>
        <w:t>A)</w:t>
      </w:r>
      <w:r w:rsidR="0030093C" w:rsidRPr="0037495D">
        <w:rPr>
          <w:sz w:val="24"/>
        </w:rPr>
        <w:t xml:space="preserve"> </w:t>
      </w:r>
      <w:r w:rsidR="000D71CD" w:rsidRPr="0037495D">
        <w:rPr>
          <w:sz w:val="24"/>
        </w:rPr>
        <w:t>under</w:t>
      </w:r>
      <w:r w:rsidR="00D44F88" w:rsidRPr="00D44F88">
        <w:rPr>
          <w:sz w:val="24"/>
          <w:szCs w:val="24"/>
        </w:rPr>
        <w:t xml:space="preserve"> </w:t>
      </w:r>
      <w:r w:rsidR="00D44F88" w:rsidRPr="008827DE">
        <w:rPr>
          <w:sz w:val="24"/>
          <w:szCs w:val="24"/>
        </w:rPr>
        <w:t xml:space="preserve">subsection 94(4) of the </w:t>
      </w:r>
      <w:r w:rsidR="00D44F88" w:rsidRPr="008827DE">
        <w:rPr>
          <w:i/>
          <w:sz w:val="24"/>
          <w:szCs w:val="24"/>
        </w:rPr>
        <w:t>Telecommunications Universal Service Management Agency Act 201</w:t>
      </w:r>
      <w:r w:rsidR="00D44F88">
        <w:rPr>
          <w:i/>
          <w:sz w:val="24"/>
          <w:szCs w:val="24"/>
        </w:rPr>
        <w:t xml:space="preserve">2 </w:t>
      </w:r>
      <w:r w:rsidR="00D44F88" w:rsidRPr="00D44F88">
        <w:rPr>
          <w:sz w:val="24"/>
          <w:szCs w:val="24"/>
        </w:rPr>
        <w:t xml:space="preserve">(the </w:t>
      </w:r>
      <w:r w:rsidR="00D44F88">
        <w:rPr>
          <w:sz w:val="24"/>
          <w:szCs w:val="24"/>
        </w:rPr>
        <w:t xml:space="preserve">TUSMA </w:t>
      </w:r>
      <w:r w:rsidR="00D44F88" w:rsidRPr="00D44F88">
        <w:rPr>
          <w:sz w:val="24"/>
          <w:szCs w:val="24"/>
        </w:rPr>
        <w:t>Act)</w:t>
      </w:r>
      <w:r w:rsidR="0087589F" w:rsidRPr="00585B87">
        <w:rPr>
          <w:sz w:val="24"/>
          <w:szCs w:val="24"/>
        </w:rPr>
        <w:t xml:space="preserve"> </w:t>
      </w:r>
      <w:r w:rsidR="0087589F" w:rsidRPr="005C3F7B">
        <w:rPr>
          <w:sz w:val="24"/>
          <w:szCs w:val="24"/>
        </w:rPr>
        <w:t xml:space="preserve">and </w:t>
      </w:r>
      <w:r w:rsidR="0087589F">
        <w:rPr>
          <w:sz w:val="24"/>
          <w:szCs w:val="24"/>
        </w:rPr>
        <w:t xml:space="preserve">in accordance with </w:t>
      </w:r>
      <w:r w:rsidR="0087589F" w:rsidRPr="005C3F7B">
        <w:rPr>
          <w:sz w:val="24"/>
          <w:szCs w:val="24"/>
        </w:rPr>
        <w:t xml:space="preserve">subsection 33(3) of the </w:t>
      </w:r>
      <w:r w:rsidR="0087589F" w:rsidRPr="005C3F7B">
        <w:rPr>
          <w:i/>
          <w:sz w:val="24"/>
          <w:szCs w:val="24"/>
        </w:rPr>
        <w:t>Acts Interpretation Act 1901</w:t>
      </w:r>
      <w:r w:rsidR="0087589F">
        <w:rPr>
          <w:sz w:val="24"/>
          <w:szCs w:val="24"/>
        </w:rPr>
        <w:t>.</w:t>
      </w:r>
    </w:p>
    <w:p w14:paraId="724D7438" w14:textId="77777777" w:rsidR="00333097" w:rsidRDefault="00333097">
      <w:pPr>
        <w:rPr>
          <w:sz w:val="24"/>
        </w:rPr>
      </w:pPr>
    </w:p>
    <w:p w14:paraId="724D7439" w14:textId="77777777" w:rsidR="00333097" w:rsidRDefault="008C74DD">
      <w:pPr>
        <w:rPr>
          <w:b/>
          <w:sz w:val="24"/>
          <w:szCs w:val="24"/>
        </w:rPr>
      </w:pPr>
      <w:r w:rsidRPr="0037495D">
        <w:rPr>
          <w:b/>
          <w:sz w:val="24"/>
          <w:szCs w:val="24"/>
        </w:rPr>
        <w:t>Background</w:t>
      </w:r>
    </w:p>
    <w:p w14:paraId="724D743A" w14:textId="77777777" w:rsidR="00741EC3" w:rsidRDefault="00741EC3">
      <w:pPr>
        <w:rPr>
          <w:sz w:val="24"/>
          <w:szCs w:val="24"/>
        </w:rPr>
      </w:pPr>
    </w:p>
    <w:p w14:paraId="724D743B" w14:textId="77777777" w:rsidR="003874AC" w:rsidRDefault="00D56367" w:rsidP="00EE19DA">
      <w:pPr>
        <w:pStyle w:val="ABABulletLevel1"/>
        <w:spacing w:after="120"/>
        <w:jc w:val="both"/>
      </w:pPr>
      <w:r>
        <w:t>Paragraph</w:t>
      </w:r>
      <w:r w:rsidR="009E1632">
        <w:t xml:space="preserve"> 91(1)</w:t>
      </w:r>
      <w:r>
        <w:t>(a)</w:t>
      </w:r>
      <w:r w:rsidR="009E1632">
        <w:t xml:space="preserve"> of the TUSMA Act provides that a</w:t>
      </w:r>
      <w:r w:rsidR="008A0476">
        <w:t xml:space="preserve"> participating person for an eligible revenue period</w:t>
      </w:r>
      <w:r w:rsidR="009E1632">
        <w:t xml:space="preserve"> (other than the first eligible revenue period)</w:t>
      </w:r>
      <w:r w:rsidR="002769F5">
        <w:rPr>
          <w:rStyle w:val="FootnoteReference"/>
        </w:rPr>
        <w:footnoteReference w:id="1"/>
      </w:r>
      <w:r w:rsidR="008A0476">
        <w:t xml:space="preserve"> must give the ACMA a written return</w:t>
      </w:r>
      <w:r w:rsidR="00EE19DA">
        <w:t xml:space="preserve"> of the person’s e</w:t>
      </w:r>
      <w:r w:rsidR="009E1632">
        <w:t>ligible revenue for that period</w:t>
      </w:r>
      <w:r w:rsidR="002769F5">
        <w:rPr>
          <w:rStyle w:val="FootnoteReference"/>
        </w:rPr>
        <w:footnoteReference w:id="2"/>
      </w:r>
      <w:r w:rsidR="00585D87">
        <w:t xml:space="preserve"> (eligible revenue return)</w:t>
      </w:r>
      <w:r w:rsidR="00EE19DA">
        <w:t>.</w:t>
      </w:r>
      <w:r w:rsidR="005223BE">
        <w:rPr>
          <w:rStyle w:val="FootnoteReference"/>
        </w:rPr>
        <w:footnoteReference w:id="3"/>
      </w:r>
      <w:r w:rsidR="00B73F96">
        <w:t xml:space="preserve">  </w:t>
      </w:r>
    </w:p>
    <w:p w14:paraId="724D743C" w14:textId="77777777" w:rsidR="004F2394" w:rsidRDefault="009E1632" w:rsidP="00EE19DA">
      <w:pPr>
        <w:pStyle w:val="ABABulletLevel1"/>
        <w:spacing w:after="120"/>
        <w:jc w:val="both"/>
      </w:pPr>
      <w:r>
        <w:t xml:space="preserve">Subsection 94(1) </w:t>
      </w:r>
      <w:r w:rsidR="00F93977">
        <w:t xml:space="preserve">of the TUSMA Act </w:t>
      </w:r>
      <w:r>
        <w:t>provides that t</w:t>
      </w:r>
      <w:r w:rsidR="00EE19DA">
        <w:t xml:space="preserve">he </w:t>
      </w:r>
      <w:r w:rsidR="0030594F">
        <w:t xml:space="preserve">eligible revenue </w:t>
      </w:r>
      <w:r w:rsidR="00EE19DA">
        <w:t>return must be accompanied by a report of an approved auditor</w:t>
      </w:r>
      <w:r w:rsidR="00630A9A">
        <w:t xml:space="preserve"> which meets certain requirements as to form and content</w:t>
      </w:r>
      <w:r w:rsidR="00E8652B">
        <w:t xml:space="preserve"> (audit report)</w:t>
      </w:r>
      <w:r w:rsidR="00F93977">
        <w:t>.</w:t>
      </w:r>
      <w:r w:rsidR="00F93977">
        <w:rPr>
          <w:rStyle w:val="FootnoteReference"/>
        </w:rPr>
        <w:footnoteReference w:id="4"/>
      </w:r>
      <w:r w:rsidR="00E8652B">
        <w:t xml:space="preserve">  </w:t>
      </w:r>
    </w:p>
    <w:p w14:paraId="724D743D" w14:textId="77777777" w:rsidR="00F93977" w:rsidRPr="00A6364B" w:rsidRDefault="00EE19DA" w:rsidP="00A6364B">
      <w:pPr>
        <w:pStyle w:val="ABABulletLevel1"/>
        <w:spacing w:after="120"/>
        <w:jc w:val="both"/>
      </w:pPr>
      <w:r>
        <w:t>Subsection 94(4)</w:t>
      </w:r>
      <w:r w:rsidR="00F93977">
        <w:t xml:space="preserve"> of the TUSMA Act</w:t>
      </w:r>
      <w:r w:rsidRPr="00B76A7C">
        <w:t xml:space="preserve"> provide</w:t>
      </w:r>
      <w:r>
        <w:t>s</w:t>
      </w:r>
      <w:r w:rsidRPr="00B76A7C">
        <w:t xml:space="preserve"> that</w:t>
      </w:r>
      <w:r>
        <w:t xml:space="preserve"> the ACMA may, by legislative instrument, determine that a specified person is an </w:t>
      </w:r>
      <w:r w:rsidRPr="0079740D">
        <w:t>approved auditor</w:t>
      </w:r>
      <w:r>
        <w:rPr>
          <w:i/>
        </w:rPr>
        <w:t xml:space="preserve"> </w:t>
      </w:r>
      <w:r>
        <w:t>for the purpose</w:t>
      </w:r>
      <w:r w:rsidR="00F93977">
        <w:t>s of section 94 of that Act</w:t>
      </w:r>
      <w:r>
        <w:t xml:space="preserve">. </w:t>
      </w:r>
    </w:p>
    <w:p w14:paraId="724D743E" w14:textId="77777777" w:rsidR="009B05CA" w:rsidRDefault="003868E9" w:rsidP="009B05CA">
      <w:pPr>
        <w:rPr>
          <w:sz w:val="24"/>
          <w:lang w:eastAsia="en-US"/>
        </w:rPr>
      </w:pPr>
      <w:r>
        <w:rPr>
          <w:sz w:val="24"/>
          <w:szCs w:val="24"/>
        </w:rPr>
        <w:t>In</w:t>
      </w:r>
      <w:r w:rsidR="009C7D50">
        <w:rPr>
          <w:sz w:val="24"/>
          <w:szCs w:val="24"/>
        </w:rPr>
        <w:t xml:space="preserve"> June 2013</w:t>
      </w:r>
      <w:r w:rsidR="009B05CA">
        <w:rPr>
          <w:sz w:val="24"/>
          <w:szCs w:val="24"/>
        </w:rPr>
        <w:t>,</w:t>
      </w:r>
      <w:r w:rsidR="009C7D50">
        <w:rPr>
          <w:sz w:val="24"/>
          <w:szCs w:val="24"/>
        </w:rPr>
        <w:t xml:space="preserve"> the ACMA made </w:t>
      </w:r>
      <w:r w:rsidR="009F7F77" w:rsidRPr="009F7F77">
        <w:rPr>
          <w:sz w:val="24"/>
          <w:szCs w:val="24"/>
        </w:rPr>
        <w:t xml:space="preserve">the </w:t>
      </w:r>
      <w:r w:rsidR="009F7F77" w:rsidRPr="009F7F77">
        <w:rPr>
          <w:i/>
          <w:sz w:val="24"/>
          <w:szCs w:val="24"/>
        </w:rPr>
        <w:t>Telecommunications Universal Service Management Agency (Approved Auditor) Determination 2013</w:t>
      </w:r>
      <w:r w:rsidR="009F7F77">
        <w:rPr>
          <w:sz w:val="24"/>
          <w:szCs w:val="24"/>
        </w:rPr>
        <w:t xml:space="preserve"> (the Principal Determination) </w:t>
      </w:r>
      <w:r w:rsidR="002601C4">
        <w:rPr>
          <w:sz w:val="24"/>
          <w:szCs w:val="24"/>
        </w:rPr>
        <w:t>which</w:t>
      </w:r>
      <w:r w:rsidR="009C7D50">
        <w:rPr>
          <w:sz w:val="24"/>
          <w:szCs w:val="24"/>
        </w:rPr>
        <w:t xml:space="preserve"> specifies the class</w:t>
      </w:r>
      <w:r w:rsidR="009B05CA">
        <w:rPr>
          <w:sz w:val="24"/>
          <w:szCs w:val="24"/>
        </w:rPr>
        <w:t>es</w:t>
      </w:r>
      <w:r w:rsidR="009C7D50">
        <w:rPr>
          <w:sz w:val="24"/>
          <w:szCs w:val="24"/>
        </w:rPr>
        <w:t xml:space="preserve"> of </w:t>
      </w:r>
      <w:r w:rsidR="009C7D50" w:rsidRPr="009C7D50">
        <w:rPr>
          <w:sz w:val="24"/>
          <w:lang w:eastAsia="en-US"/>
        </w:rPr>
        <w:t>persons who are</w:t>
      </w:r>
      <w:r w:rsidR="00D44F88" w:rsidRPr="009C7D50">
        <w:rPr>
          <w:sz w:val="24"/>
          <w:lang w:eastAsia="en-US"/>
        </w:rPr>
        <w:t xml:space="preserve"> approved auditors for the purposes of section 94 of the</w:t>
      </w:r>
      <w:r w:rsidR="009C7D50">
        <w:rPr>
          <w:sz w:val="24"/>
          <w:lang w:eastAsia="en-US"/>
        </w:rPr>
        <w:t xml:space="preserve"> TUSMA Act</w:t>
      </w:r>
      <w:r w:rsidR="00D44F88" w:rsidRPr="009C7D50">
        <w:rPr>
          <w:sz w:val="24"/>
          <w:lang w:eastAsia="en-US"/>
        </w:rPr>
        <w:t>.</w:t>
      </w:r>
      <w:r w:rsidR="00DE4D41">
        <w:rPr>
          <w:sz w:val="24"/>
          <w:lang w:eastAsia="en-US"/>
        </w:rPr>
        <w:t xml:space="preserve">  Those classes</w:t>
      </w:r>
      <w:r w:rsidR="002B5944">
        <w:rPr>
          <w:sz w:val="24"/>
          <w:lang w:eastAsia="en-US"/>
        </w:rPr>
        <w:t xml:space="preserve"> relevantly</w:t>
      </w:r>
      <w:r w:rsidR="00DE4D41">
        <w:rPr>
          <w:sz w:val="24"/>
          <w:lang w:eastAsia="en-US"/>
        </w:rPr>
        <w:t xml:space="preserve"> include</w:t>
      </w:r>
      <w:r w:rsidR="009B05CA">
        <w:rPr>
          <w:sz w:val="24"/>
          <w:lang w:eastAsia="en-US"/>
        </w:rPr>
        <w:t>:</w:t>
      </w:r>
    </w:p>
    <w:p w14:paraId="724D743F" w14:textId="77777777" w:rsidR="00916B0A" w:rsidRDefault="001D49C3" w:rsidP="001F41FB">
      <w:pPr>
        <w:pStyle w:val="ABABulletLevel1"/>
        <w:numPr>
          <w:ilvl w:val="0"/>
          <w:numId w:val="10"/>
        </w:numPr>
        <w:spacing w:before="120" w:after="120"/>
        <w:ind w:left="714" w:hanging="357"/>
      </w:pPr>
      <w:r>
        <w:t>r</w:t>
      </w:r>
      <w:r w:rsidR="00C232D2">
        <w:t xml:space="preserve">egistered auditors </w:t>
      </w:r>
      <w:r w:rsidR="00C232D2" w:rsidRPr="00C0604F">
        <w:t>–</w:t>
      </w:r>
      <w:r w:rsidR="00C232D2">
        <w:t xml:space="preserve"> </w:t>
      </w:r>
      <w:r w:rsidR="00916B0A">
        <w:t>persons</w:t>
      </w:r>
      <w:r w:rsidR="00916B0A" w:rsidRPr="000A1365">
        <w:t xml:space="preserve"> registered as auditor</w:t>
      </w:r>
      <w:r w:rsidR="00916B0A">
        <w:t>s</w:t>
      </w:r>
      <w:r w:rsidR="00916B0A" w:rsidRPr="000A1365">
        <w:t xml:space="preserve"> under Part 9.2 of the </w:t>
      </w:r>
      <w:r w:rsidR="00916B0A" w:rsidRPr="0030594F">
        <w:rPr>
          <w:i/>
        </w:rPr>
        <w:t xml:space="preserve">Corporations Act </w:t>
      </w:r>
      <w:r w:rsidR="0030594F" w:rsidRPr="0030594F">
        <w:rPr>
          <w:i/>
        </w:rPr>
        <w:t>2001</w:t>
      </w:r>
      <w:r w:rsidR="0030594F">
        <w:t xml:space="preserve"> (the Corporations Act) </w:t>
      </w:r>
      <w:r w:rsidR="00916B0A" w:rsidRPr="000A1365">
        <w:t>and named in the Register of Auditors provided for in section 1285 of that Act</w:t>
      </w:r>
      <w:r w:rsidR="00C232D2">
        <w:t>; and</w:t>
      </w:r>
    </w:p>
    <w:p w14:paraId="724D7440" w14:textId="77777777" w:rsidR="001D49C3" w:rsidRPr="001F41FB" w:rsidRDefault="00C232D2" w:rsidP="001F41FB">
      <w:pPr>
        <w:pStyle w:val="ABABulletLevel1"/>
        <w:numPr>
          <w:ilvl w:val="0"/>
          <w:numId w:val="10"/>
        </w:numPr>
        <w:spacing w:before="240" w:after="120"/>
      </w:pPr>
      <w:r w:rsidRPr="00C0604F">
        <w:t xml:space="preserve">authorised audit companies – companies registered </w:t>
      </w:r>
      <w:r w:rsidR="0030594F">
        <w:t>as authorised audit companies</w:t>
      </w:r>
      <w:r>
        <w:t xml:space="preserve"> </w:t>
      </w:r>
      <w:r w:rsidRPr="00C0604F">
        <w:t>under Part 9.2A of the</w:t>
      </w:r>
      <w:r w:rsidRPr="00C0604F">
        <w:rPr>
          <w:i/>
        </w:rPr>
        <w:t xml:space="preserve"> </w:t>
      </w:r>
      <w:r>
        <w:t xml:space="preserve">Corporations Act </w:t>
      </w:r>
      <w:r w:rsidRPr="00C0604F">
        <w:t>and named in the Register of Authorised Audit Companies provided for in section 1299E of that Act</w:t>
      </w:r>
      <w:r>
        <w:t>.</w:t>
      </w:r>
    </w:p>
    <w:p w14:paraId="724D7441" w14:textId="77777777" w:rsidR="001D5D99" w:rsidRPr="006F0308" w:rsidRDefault="0030594F" w:rsidP="009C44BD">
      <w:pPr>
        <w:rPr>
          <w:sz w:val="24"/>
        </w:rPr>
      </w:pPr>
      <w:r>
        <w:rPr>
          <w:sz w:val="24"/>
        </w:rPr>
        <w:lastRenderedPageBreak/>
        <w:t>T</w:t>
      </w:r>
      <w:r w:rsidR="001D5D99" w:rsidRPr="00967677">
        <w:rPr>
          <w:sz w:val="24"/>
        </w:rPr>
        <w:t xml:space="preserve">he Australian Securities and Investments Commission (ASIC) </w:t>
      </w:r>
      <w:r>
        <w:rPr>
          <w:sz w:val="24"/>
        </w:rPr>
        <w:t xml:space="preserve">has recently informed the ACMA </w:t>
      </w:r>
      <w:r w:rsidR="001D5D99" w:rsidRPr="00967677">
        <w:rPr>
          <w:sz w:val="24"/>
        </w:rPr>
        <w:t>that</w:t>
      </w:r>
      <w:r w:rsidR="00EB3459" w:rsidRPr="00967677">
        <w:rPr>
          <w:sz w:val="24"/>
        </w:rPr>
        <w:t xml:space="preserve"> there </w:t>
      </w:r>
      <w:r w:rsidR="00E57814">
        <w:rPr>
          <w:sz w:val="24"/>
        </w:rPr>
        <w:t>i</w:t>
      </w:r>
      <w:r w:rsidR="00445BE4">
        <w:rPr>
          <w:sz w:val="24"/>
        </w:rPr>
        <w:t>s</w:t>
      </w:r>
      <w:r w:rsidR="00E57814">
        <w:rPr>
          <w:sz w:val="24"/>
        </w:rPr>
        <w:t xml:space="preserve"> </w:t>
      </w:r>
      <w:r w:rsidR="004A7A70">
        <w:rPr>
          <w:sz w:val="24"/>
        </w:rPr>
        <w:t xml:space="preserve">a </w:t>
      </w:r>
      <w:r w:rsidR="00E57814">
        <w:rPr>
          <w:sz w:val="24"/>
        </w:rPr>
        <w:t>potential defect in</w:t>
      </w:r>
      <w:r w:rsidR="009C44BD">
        <w:rPr>
          <w:sz w:val="24"/>
        </w:rPr>
        <w:t xml:space="preserve"> </w:t>
      </w:r>
      <w:r w:rsidR="006F0308" w:rsidRPr="009C44BD">
        <w:rPr>
          <w:sz w:val="24"/>
        </w:rPr>
        <w:t xml:space="preserve">the registration of </w:t>
      </w:r>
      <w:r w:rsidR="001D5D99" w:rsidRPr="009C44BD">
        <w:rPr>
          <w:sz w:val="24"/>
        </w:rPr>
        <w:t xml:space="preserve">certain </w:t>
      </w:r>
      <w:r w:rsidR="009C44BD">
        <w:rPr>
          <w:sz w:val="24"/>
        </w:rPr>
        <w:t>persons as audi</w:t>
      </w:r>
      <w:r w:rsidR="001D5D99" w:rsidRPr="009C44BD">
        <w:rPr>
          <w:sz w:val="24"/>
        </w:rPr>
        <w:t xml:space="preserve">tors </w:t>
      </w:r>
      <w:r w:rsidR="009C44BD">
        <w:rPr>
          <w:sz w:val="24"/>
        </w:rPr>
        <w:t xml:space="preserve">or </w:t>
      </w:r>
      <w:r w:rsidR="007B41B4">
        <w:rPr>
          <w:sz w:val="24"/>
        </w:rPr>
        <w:t xml:space="preserve">as </w:t>
      </w:r>
      <w:r w:rsidR="007B6DEF" w:rsidRPr="006F0308">
        <w:rPr>
          <w:sz w:val="24"/>
        </w:rPr>
        <w:t xml:space="preserve">authorised audit companies under </w:t>
      </w:r>
      <w:r w:rsidR="00092EA8">
        <w:rPr>
          <w:sz w:val="24"/>
        </w:rPr>
        <w:t xml:space="preserve">the Corporations </w:t>
      </w:r>
      <w:r w:rsidR="007B6DEF" w:rsidRPr="006F0308">
        <w:rPr>
          <w:sz w:val="24"/>
        </w:rPr>
        <w:t>Act</w:t>
      </w:r>
      <w:r w:rsidR="001D5D99" w:rsidRPr="006F0308">
        <w:rPr>
          <w:sz w:val="24"/>
        </w:rPr>
        <w:t xml:space="preserve">.  </w:t>
      </w:r>
    </w:p>
    <w:p w14:paraId="724D7442" w14:textId="77777777" w:rsidR="001D5D99" w:rsidRDefault="001D5D99" w:rsidP="006408B7">
      <w:pPr>
        <w:rPr>
          <w:sz w:val="24"/>
        </w:rPr>
      </w:pPr>
    </w:p>
    <w:p w14:paraId="724D7443" w14:textId="77777777" w:rsidR="00D06694" w:rsidRDefault="00D06694" w:rsidP="006408B7">
      <w:pPr>
        <w:rPr>
          <w:sz w:val="24"/>
        </w:rPr>
      </w:pPr>
      <w:r>
        <w:rPr>
          <w:sz w:val="24"/>
        </w:rPr>
        <w:t>ASIC has been registering</w:t>
      </w:r>
      <w:r w:rsidR="00C91415">
        <w:rPr>
          <w:sz w:val="24"/>
        </w:rPr>
        <w:t xml:space="preserve"> </w:t>
      </w:r>
      <w:r w:rsidR="007B41B4">
        <w:rPr>
          <w:sz w:val="24"/>
        </w:rPr>
        <w:t xml:space="preserve">certain </w:t>
      </w:r>
      <w:r w:rsidR="00C91415">
        <w:rPr>
          <w:sz w:val="24"/>
        </w:rPr>
        <w:t>persons as</w:t>
      </w:r>
      <w:r>
        <w:rPr>
          <w:sz w:val="24"/>
        </w:rPr>
        <w:t xml:space="preserve"> auditors in reliance on an auditing competency standard</w:t>
      </w:r>
      <w:r>
        <w:rPr>
          <w:rStyle w:val="FootnoteReference"/>
          <w:sz w:val="24"/>
        </w:rPr>
        <w:footnoteReference w:id="5"/>
      </w:r>
      <w:r>
        <w:rPr>
          <w:sz w:val="24"/>
        </w:rPr>
        <w:t xml:space="preserve"> approved</w:t>
      </w:r>
      <w:r w:rsidR="00834C6C">
        <w:rPr>
          <w:sz w:val="24"/>
        </w:rPr>
        <w:t xml:space="preserve"> by ASIC</w:t>
      </w:r>
      <w:r>
        <w:rPr>
          <w:sz w:val="24"/>
        </w:rPr>
        <w:t xml:space="preserve"> under </w:t>
      </w:r>
      <w:r w:rsidR="00017CD7">
        <w:rPr>
          <w:sz w:val="24"/>
        </w:rPr>
        <w:t>sub</w:t>
      </w:r>
      <w:r>
        <w:rPr>
          <w:sz w:val="24"/>
        </w:rPr>
        <w:t>section 1280A</w:t>
      </w:r>
      <w:r w:rsidR="00017CD7">
        <w:rPr>
          <w:sz w:val="24"/>
        </w:rPr>
        <w:t>(1)</w:t>
      </w:r>
      <w:r>
        <w:rPr>
          <w:sz w:val="24"/>
        </w:rPr>
        <w:t xml:space="preserve"> of the </w:t>
      </w:r>
      <w:r w:rsidRPr="00092EA8">
        <w:rPr>
          <w:sz w:val="24"/>
        </w:rPr>
        <w:t>Corporations Act</w:t>
      </w:r>
      <w:r w:rsidR="00834C6C">
        <w:rPr>
          <w:sz w:val="24"/>
        </w:rPr>
        <w:t xml:space="preserve"> by an instrument made </w:t>
      </w:r>
      <w:r>
        <w:rPr>
          <w:sz w:val="24"/>
        </w:rPr>
        <w:t>i</w:t>
      </w:r>
      <w:r w:rsidRPr="00E14402">
        <w:rPr>
          <w:sz w:val="24"/>
        </w:rPr>
        <w:t>n November 2004</w:t>
      </w:r>
      <w:r w:rsidR="007F66BB">
        <w:rPr>
          <w:sz w:val="24"/>
        </w:rPr>
        <w:t xml:space="preserve"> (the ASIC I</w:t>
      </w:r>
      <w:r>
        <w:rPr>
          <w:sz w:val="24"/>
        </w:rPr>
        <w:t>nstrument)</w:t>
      </w:r>
      <w:r w:rsidRPr="00E14402">
        <w:rPr>
          <w:sz w:val="24"/>
        </w:rPr>
        <w:t>.</w:t>
      </w:r>
      <w:r>
        <w:rPr>
          <w:sz w:val="24"/>
        </w:rPr>
        <w:t xml:space="preserve">  ASIC con</w:t>
      </w:r>
      <w:r w:rsidR="007F66BB">
        <w:rPr>
          <w:sz w:val="24"/>
        </w:rPr>
        <w:t>siders that the ASIC I</w:t>
      </w:r>
      <w:r>
        <w:rPr>
          <w:sz w:val="24"/>
        </w:rPr>
        <w:t>nstrument is likely to be a legislative instrument and it is likely that it was taken to have been repealed by</w:t>
      </w:r>
      <w:r w:rsidRPr="00DC1B41">
        <w:rPr>
          <w:sz w:val="24"/>
        </w:rPr>
        <w:t xml:space="preserve"> </w:t>
      </w:r>
      <w:r>
        <w:rPr>
          <w:sz w:val="24"/>
        </w:rPr>
        <w:t xml:space="preserve">the </w:t>
      </w:r>
      <w:r w:rsidRPr="00BB070F">
        <w:rPr>
          <w:i/>
          <w:sz w:val="24"/>
        </w:rPr>
        <w:t>Legislative Instruments Act 2003</w:t>
      </w:r>
      <w:r>
        <w:rPr>
          <w:sz w:val="24"/>
        </w:rPr>
        <w:t xml:space="preserve"> (the LIA) due to an inadvertent failure to </w:t>
      </w:r>
      <w:r w:rsidR="00C91415">
        <w:rPr>
          <w:sz w:val="24"/>
        </w:rPr>
        <w:t>have i</w:t>
      </w:r>
      <w:r w:rsidR="001E6DE3">
        <w:rPr>
          <w:sz w:val="24"/>
        </w:rPr>
        <w:t xml:space="preserve">t lodged </w:t>
      </w:r>
      <w:r w:rsidR="00C91415">
        <w:rPr>
          <w:sz w:val="24"/>
        </w:rPr>
        <w:t>for registration</w:t>
      </w:r>
      <w:r>
        <w:rPr>
          <w:sz w:val="24"/>
        </w:rPr>
        <w:t xml:space="preserve"> on the Federal Register of Legislative Instruments (FRLI)</w:t>
      </w:r>
      <w:r w:rsidR="006E32B7">
        <w:rPr>
          <w:sz w:val="24"/>
        </w:rPr>
        <w:t xml:space="preserve"> by the prescribed </w:t>
      </w:r>
      <w:r w:rsidR="00C91415">
        <w:rPr>
          <w:sz w:val="24"/>
        </w:rPr>
        <w:t>deadline</w:t>
      </w:r>
      <w:r w:rsidR="0030594F">
        <w:rPr>
          <w:sz w:val="24"/>
        </w:rPr>
        <w:t>.</w:t>
      </w:r>
      <w:r w:rsidR="0030594F">
        <w:rPr>
          <w:rStyle w:val="FootnoteReference"/>
          <w:sz w:val="24"/>
        </w:rPr>
        <w:footnoteReference w:id="6"/>
      </w:r>
    </w:p>
    <w:p w14:paraId="724D7444" w14:textId="77777777" w:rsidR="00D06694" w:rsidRDefault="00D06694" w:rsidP="006408B7">
      <w:pPr>
        <w:rPr>
          <w:sz w:val="24"/>
        </w:rPr>
      </w:pPr>
    </w:p>
    <w:p w14:paraId="724D7445" w14:textId="77777777" w:rsidR="0025429B" w:rsidRDefault="00C91415" w:rsidP="006216EE">
      <w:pPr>
        <w:rPr>
          <w:sz w:val="24"/>
        </w:rPr>
      </w:pPr>
      <w:r>
        <w:rPr>
          <w:sz w:val="24"/>
        </w:rPr>
        <w:t>Consequently,</w:t>
      </w:r>
      <w:r w:rsidRPr="00967677">
        <w:rPr>
          <w:sz w:val="24"/>
        </w:rPr>
        <w:t xml:space="preserve"> </w:t>
      </w:r>
      <w:r>
        <w:rPr>
          <w:sz w:val="24"/>
        </w:rPr>
        <w:t xml:space="preserve">there is some uncertainty surrounding the validity of </w:t>
      </w:r>
      <w:r w:rsidRPr="00C91415">
        <w:rPr>
          <w:sz w:val="24"/>
        </w:rPr>
        <w:t xml:space="preserve">the registration of </w:t>
      </w:r>
      <w:r w:rsidR="006216EE">
        <w:rPr>
          <w:sz w:val="24"/>
        </w:rPr>
        <w:t xml:space="preserve">persons </w:t>
      </w:r>
      <w:r w:rsidRPr="00C91415">
        <w:rPr>
          <w:sz w:val="24"/>
        </w:rPr>
        <w:t xml:space="preserve">as auditors in reliance on the auditing competency standard after </w:t>
      </w:r>
      <w:r>
        <w:rPr>
          <w:sz w:val="24"/>
        </w:rPr>
        <w:t>the prescribed deadline</w:t>
      </w:r>
      <w:r w:rsidRPr="00C91415">
        <w:rPr>
          <w:sz w:val="24"/>
        </w:rPr>
        <w:t xml:space="preserve"> (affected auditors)</w:t>
      </w:r>
      <w:r w:rsidR="0025429B">
        <w:rPr>
          <w:sz w:val="24"/>
        </w:rPr>
        <w:t xml:space="preserve">.  </w:t>
      </w:r>
    </w:p>
    <w:p w14:paraId="724D7446" w14:textId="77777777" w:rsidR="0025429B" w:rsidRDefault="0025429B" w:rsidP="006216EE">
      <w:pPr>
        <w:rPr>
          <w:sz w:val="24"/>
        </w:rPr>
      </w:pPr>
    </w:p>
    <w:p w14:paraId="724D7447" w14:textId="77777777" w:rsidR="006216EE" w:rsidRDefault="006216EE" w:rsidP="006216EE">
      <w:pPr>
        <w:rPr>
          <w:sz w:val="24"/>
        </w:rPr>
      </w:pPr>
      <w:r>
        <w:rPr>
          <w:sz w:val="24"/>
        </w:rPr>
        <w:t xml:space="preserve">As a company’s eligibility for registration as an authorised audit company requires it to have directors and members who are registered auditors, there is also some uncertainty surrounding the validity of the registration of </w:t>
      </w:r>
      <w:r w:rsidR="0091404F">
        <w:rPr>
          <w:sz w:val="24"/>
        </w:rPr>
        <w:t xml:space="preserve">certain </w:t>
      </w:r>
      <w:r>
        <w:rPr>
          <w:sz w:val="24"/>
        </w:rPr>
        <w:t>companies as authorised audit companies</w:t>
      </w:r>
      <w:r w:rsidR="0091404F">
        <w:rPr>
          <w:sz w:val="24"/>
        </w:rPr>
        <w:t xml:space="preserve"> </w:t>
      </w:r>
      <w:r w:rsidR="003B78BD">
        <w:rPr>
          <w:sz w:val="24"/>
        </w:rPr>
        <w:t xml:space="preserve">after the prescribed deadline </w:t>
      </w:r>
      <w:r>
        <w:rPr>
          <w:sz w:val="24"/>
        </w:rPr>
        <w:t xml:space="preserve">(affected audit companies). </w:t>
      </w:r>
    </w:p>
    <w:p w14:paraId="724D7448" w14:textId="77777777" w:rsidR="002E68AD" w:rsidRDefault="002E68AD" w:rsidP="00E14402">
      <w:pPr>
        <w:rPr>
          <w:sz w:val="24"/>
        </w:rPr>
      </w:pPr>
    </w:p>
    <w:p w14:paraId="724D7449" w14:textId="77777777" w:rsidR="00630A9A" w:rsidRDefault="00FC0DC7">
      <w:pPr>
        <w:rPr>
          <w:sz w:val="24"/>
        </w:rPr>
      </w:pPr>
      <w:r w:rsidRPr="00FC0DC7">
        <w:rPr>
          <w:sz w:val="24"/>
        </w:rPr>
        <w:t>ASIC has advised that the Australian Government will be introducing rem</w:t>
      </w:r>
      <w:r w:rsidR="0087589F">
        <w:rPr>
          <w:sz w:val="24"/>
        </w:rPr>
        <w:t xml:space="preserve">edial legislation </w:t>
      </w:r>
      <w:r w:rsidR="00CA6605">
        <w:rPr>
          <w:sz w:val="24"/>
        </w:rPr>
        <w:t xml:space="preserve">so as </w:t>
      </w:r>
      <w:r w:rsidR="0087589F">
        <w:rPr>
          <w:sz w:val="24"/>
        </w:rPr>
        <w:t>to ensure the</w:t>
      </w:r>
      <w:r w:rsidRPr="00FC0DC7">
        <w:rPr>
          <w:sz w:val="24"/>
        </w:rPr>
        <w:t xml:space="preserve"> validity of the registration of</w:t>
      </w:r>
      <w:r w:rsidR="00032CA0">
        <w:rPr>
          <w:sz w:val="24"/>
        </w:rPr>
        <w:t xml:space="preserve"> affected</w:t>
      </w:r>
      <w:r w:rsidRPr="00FC0DC7">
        <w:rPr>
          <w:sz w:val="24"/>
        </w:rPr>
        <w:t xml:space="preserve"> </w:t>
      </w:r>
      <w:r>
        <w:rPr>
          <w:sz w:val="24"/>
        </w:rPr>
        <w:t>auditors, with effect from their purported registration.</w:t>
      </w:r>
      <w:r w:rsidR="0025429B">
        <w:rPr>
          <w:sz w:val="24"/>
        </w:rPr>
        <w:t xml:space="preserve">  </w:t>
      </w:r>
      <w:r>
        <w:rPr>
          <w:sz w:val="24"/>
        </w:rPr>
        <w:t xml:space="preserve">In the interim, </w:t>
      </w:r>
      <w:r w:rsidR="002E68AD">
        <w:rPr>
          <w:sz w:val="24"/>
        </w:rPr>
        <w:t>ASIC has made ASIC Class Order [CO 14/757]</w:t>
      </w:r>
      <w:r w:rsidR="004A7A70">
        <w:rPr>
          <w:sz w:val="24"/>
        </w:rPr>
        <w:t xml:space="preserve"> (which is registered on FRLI)</w:t>
      </w:r>
      <w:r w:rsidR="002E68AD">
        <w:rPr>
          <w:sz w:val="24"/>
        </w:rPr>
        <w:t xml:space="preserve"> to</w:t>
      </w:r>
      <w:r w:rsidR="00412070">
        <w:rPr>
          <w:sz w:val="24"/>
        </w:rPr>
        <w:t xml:space="preserve"> give prospective relief, to the extent possible, so that acts and things t</w:t>
      </w:r>
      <w:r w:rsidR="002544D8">
        <w:rPr>
          <w:sz w:val="24"/>
        </w:rPr>
        <w:t>hat must be done by</w:t>
      </w:r>
      <w:r w:rsidR="00026685">
        <w:rPr>
          <w:sz w:val="24"/>
        </w:rPr>
        <w:t xml:space="preserve"> persons registered as</w:t>
      </w:r>
      <w:r>
        <w:rPr>
          <w:sz w:val="24"/>
        </w:rPr>
        <w:t xml:space="preserve"> </w:t>
      </w:r>
      <w:r w:rsidR="00026685">
        <w:rPr>
          <w:sz w:val="24"/>
        </w:rPr>
        <w:t xml:space="preserve">auditors </w:t>
      </w:r>
      <w:r w:rsidR="00DE4D41">
        <w:rPr>
          <w:sz w:val="24"/>
        </w:rPr>
        <w:t>or</w:t>
      </w:r>
      <w:r w:rsidR="004A7A70">
        <w:rPr>
          <w:sz w:val="24"/>
        </w:rPr>
        <w:t xml:space="preserve"> </w:t>
      </w:r>
      <w:r w:rsidR="007B41B4">
        <w:rPr>
          <w:sz w:val="24"/>
        </w:rPr>
        <w:t xml:space="preserve">as </w:t>
      </w:r>
      <w:r w:rsidR="00412070">
        <w:rPr>
          <w:sz w:val="24"/>
        </w:rPr>
        <w:t>authorised audit companies</w:t>
      </w:r>
      <w:r w:rsidR="00092EA8">
        <w:rPr>
          <w:sz w:val="24"/>
        </w:rPr>
        <w:t xml:space="preserve"> under the Corporations Act</w:t>
      </w:r>
      <w:r w:rsidR="00026685">
        <w:rPr>
          <w:sz w:val="24"/>
        </w:rPr>
        <w:t xml:space="preserve"> </w:t>
      </w:r>
      <w:r w:rsidR="00412070">
        <w:rPr>
          <w:sz w:val="24"/>
        </w:rPr>
        <w:t xml:space="preserve">may also be done by affected auditors </w:t>
      </w:r>
      <w:r w:rsidR="00DE4D41">
        <w:rPr>
          <w:sz w:val="24"/>
        </w:rPr>
        <w:t>or</w:t>
      </w:r>
      <w:r w:rsidR="00412070">
        <w:rPr>
          <w:sz w:val="24"/>
        </w:rPr>
        <w:t xml:space="preserve"> affected audit companies.</w:t>
      </w:r>
      <w:r w:rsidR="002544D8">
        <w:rPr>
          <w:rStyle w:val="FootnoteReference"/>
          <w:sz w:val="24"/>
        </w:rPr>
        <w:footnoteReference w:id="7"/>
      </w:r>
    </w:p>
    <w:p w14:paraId="724D744A" w14:textId="77777777" w:rsidR="0043118A" w:rsidRDefault="0043118A">
      <w:pPr>
        <w:rPr>
          <w:sz w:val="24"/>
        </w:rPr>
      </w:pPr>
    </w:p>
    <w:p w14:paraId="724D744B" w14:textId="77777777" w:rsidR="00DF1BAF" w:rsidRPr="00630A9A" w:rsidRDefault="00DF1BAF">
      <w:pPr>
        <w:rPr>
          <w:sz w:val="24"/>
        </w:rPr>
      </w:pPr>
      <w:r w:rsidRPr="00DF1BAF">
        <w:rPr>
          <w:b/>
          <w:sz w:val="24"/>
        </w:rPr>
        <w:t>Purpose</w:t>
      </w:r>
    </w:p>
    <w:p w14:paraId="724D744C" w14:textId="77777777" w:rsidR="00DE4770" w:rsidRDefault="00DE4770" w:rsidP="006B51D6">
      <w:pPr>
        <w:rPr>
          <w:sz w:val="24"/>
        </w:rPr>
      </w:pPr>
    </w:p>
    <w:p w14:paraId="724D744D" w14:textId="77777777" w:rsidR="00B30AB9" w:rsidRDefault="0043118A" w:rsidP="00B30AB9">
      <w:pPr>
        <w:rPr>
          <w:sz w:val="24"/>
        </w:rPr>
      </w:pPr>
      <w:r>
        <w:rPr>
          <w:sz w:val="24"/>
        </w:rPr>
        <w:t xml:space="preserve">The Amendment Determination </w:t>
      </w:r>
      <w:r w:rsidR="00E27ED8">
        <w:rPr>
          <w:sz w:val="24"/>
        </w:rPr>
        <w:t>has been made so</w:t>
      </w:r>
      <w:r w:rsidR="00B64707">
        <w:rPr>
          <w:sz w:val="24"/>
        </w:rPr>
        <w:t xml:space="preserve"> as to ensure</w:t>
      </w:r>
      <w:r w:rsidR="00E27ED8">
        <w:rPr>
          <w:sz w:val="24"/>
        </w:rPr>
        <w:t xml:space="preserve"> that</w:t>
      </w:r>
      <w:r w:rsidR="00C043A0" w:rsidRPr="00C043A0">
        <w:rPr>
          <w:sz w:val="24"/>
        </w:rPr>
        <w:t xml:space="preserve"> </w:t>
      </w:r>
      <w:r w:rsidR="00C043A0">
        <w:rPr>
          <w:sz w:val="24"/>
        </w:rPr>
        <w:t>affected auditors and affected audit companies are</w:t>
      </w:r>
      <w:r>
        <w:rPr>
          <w:sz w:val="24"/>
        </w:rPr>
        <w:t xml:space="preserve"> approved auditor</w:t>
      </w:r>
      <w:r w:rsidR="00B30AB9">
        <w:rPr>
          <w:sz w:val="24"/>
        </w:rPr>
        <w:t>s</w:t>
      </w:r>
      <w:r>
        <w:rPr>
          <w:sz w:val="24"/>
        </w:rPr>
        <w:t xml:space="preserve"> for the purposes of section 94 of the TUSMA Act</w:t>
      </w:r>
      <w:r w:rsidR="00B30AB9">
        <w:rPr>
          <w:sz w:val="24"/>
        </w:rPr>
        <w:t xml:space="preserve"> and, as such, are</w:t>
      </w:r>
      <w:r w:rsidR="00601DC5">
        <w:rPr>
          <w:sz w:val="24"/>
          <w:lang w:eastAsia="en-US"/>
        </w:rPr>
        <w:t xml:space="preserve"> </w:t>
      </w:r>
      <w:r w:rsidR="00240827">
        <w:rPr>
          <w:sz w:val="24"/>
          <w:lang w:eastAsia="en-US"/>
        </w:rPr>
        <w:t>qualified</w:t>
      </w:r>
      <w:r w:rsidR="00601DC5">
        <w:rPr>
          <w:sz w:val="24"/>
          <w:lang w:eastAsia="en-US"/>
        </w:rPr>
        <w:t xml:space="preserve"> to prepare</w:t>
      </w:r>
      <w:r w:rsidR="002769F5">
        <w:rPr>
          <w:sz w:val="24"/>
          <w:lang w:eastAsia="en-US"/>
        </w:rPr>
        <w:t xml:space="preserve"> audit</w:t>
      </w:r>
      <w:r w:rsidR="00B30AB9">
        <w:rPr>
          <w:sz w:val="24"/>
          <w:lang w:eastAsia="en-US"/>
        </w:rPr>
        <w:t xml:space="preserve"> reports</w:t>
      </w:r>
      <w:r w:rsidR="00601DC5">
        <w:rPr>
          <w:sz w:val="24"/>
          <w:lang w:eastAsia="en-US"/>
        </w:rPr>
        <w:t xml:space="preserve"> to accompany</w:t>
      </w:r>
      <w:r w:rsidR="002769F5">
        <w:rPr>
          <w:sz w:val="24"/>
          <w:lang w:eastAsia="en-US"/>
        </w:rPr>
        <w:t xml:space="preserve"> eligible revenue</w:t>
      </w:r>
      <w:r w:rsidR="00601DC5">
        <w:rPr>
          <w:sz w:val="24"/>
          <w:lang w:eastAsia="en-US"/>
        </w:rPr>
        <w:t xml:space="preserve"> re</w:t>
      </w:r>
      <w:r w:rsidR="002769F5">
        <w:rPr>
          <w:sz w:val="24"/>
          <w:lang w:eastAsia="en-US"/>
        </w:rPr>
        <w:t>turns</w:t>
      </w:r>
      <w:r w:rsidR="00B30AB9">
        <w:rPr>
          <w:sz w:val="24"/>
        </w:rPr>
        <w:t>.</w:t>
      </w:r>
      <w:r w:rsidR="007E18D9" w:rsidRPr="007E18D9">
        <w:rPr>
          <w:sz w:val="24"/>
          <w:szCs w:val="24"/>
        </w:rPr>
        <w:t xml:space="preserve"> </w:t>
      </w:r>
    </w:p>
    <w:p w14:paraId="724D744E" w14:textId="77777777" w:rsidR="0025429B" w:rsidRDefault="0025429B">
      <w:pPr>
        <w:rPr>
          <w:b/>
          <w:sz w:val="24"/>
        </w:rPr>
      </w:pPr>
    </w:p>
    <w:p w14:paraId="724D744F" w14:textId="77777777" w:rsidR="00EC6749" w:rsidRPr="0037495D" w:rsidRDefault="00EC6749">
      <w:pPr>
        <w:rPr>
          <w:b/>
          <w:sz w:val="24"/>
        </w:rPr>
      </w:pPr>
      <w:r w:rsidRPr="0037495D">
        <w:rPr>
          <w:b/>
          <w:sz w:val="24"/>
        </w:rPr>
        <w:t>Operation</w:t>
      </w:r>
    </w:p>
    <w:p w14:paraId="724D7450" w14:textId="77777777" w:rsidR="002601C4" w:rsidRDefault="002601C4" w:rsidP="0070738A">
      <w:pPr>
        <w:rPr>
          <w:sz w:val="24"/>
          <w:szCs w:val="24"/>
        </w:rPr>
      </w:pPr>
    </w:p>
    <w:p w14:paraId="724D7451" w14:textId="77777777" w:rsidR="009D1762" w:rsidRPr="00487477" w:rsidRDefault="009D1762" w:rsidP="009D1762">
      <w:pPr>
        <w:tabs>
          <w:tab w:val="left" w:pos="709"/>
        </w:tabs>
        <w:autoSpaceDE w:val="0"/>
        <w:autoSpaceDN w:val="0"/>
        <w:adjustRightInd w:val="0"/>
        <w:contextualSpacing/>
        <w:rPr>
          <w:sz w:val="24"/>
          <w:szCs w:val="24"/>
        </w:rPr>
      </w:pPr>
      <w:r>
        <w:rPr>
          <w:sz w:val="24"/>
          <w:szCs w:val="24"/>
        </w:rPr>
        <w:t>The Amendment Determination expands</w:t>
      </w:r>
      <w:r w:rsidRPr="008F3F36">
        <w:rPr>
          <w:sz w:val="24"/>
          <w:szCs w:val="24"/>
        </w:rPr>
        <w:t xml:space="preserve"> the definition of registered auditor</w:t>
      </w:r>
      <w:r>
        <w:rPr>
          <w:sz w:val="24"/>
          <w:szCs w:val="24"/>
        </w:rPr>
        <w:t xml:space="preserve"> in section 3 of the Principal Determination</w:t>
      </w:r>
      <w:r w:rsidRPr="008F3F36">
        <w:rPr>
          <w:sz w:val="24"/>
          <w:szCs w:val="24"/>
        </w:rPr>
        <w:t xml:space="preserve"> </w:t>
      </w:r>
      <w:r>
        <w:rPr>
          <w:sz w:val="24"/>
          <w:szCs w:val="24"/>
        </w:rPr>
        <w:t>to include</w:t>
      </w:r>
      <w:r w:rsidRPr="008F3F36">
        <w:rPr>
          <w:sz w:val="24"/>
          <w:szCs w:val="24"/>
        </w:rPr>
        <w:t xml:space="preserve"> an affected auditor within the meaning of ASIC Class Order [CO 14/757].</w:t>
      </w:r>
      <w:r>
        <w:rPr>
          <w:sz w:val="24"/>
          <w:szCs w:val="24"/>
        </w:rPr>
        <w:t xml:space="preserve">  </w:t>
      </w:r>
    </w:p>
    <w:p w14:paraId="724D7452" w14:textId="77777777" w:rsidR="001F41FB" w:rsidRDefault="001F41FB" w:rsidP="00CC791B">
      <w:pPr>
        <w:rPr>
          <w:sz w:val="24"/>
          <w:szCs w:val="24"/>
        </w:rPr>
      </w:pPr>
    </w:p>
    <w:p w14:paraId="724D7453" w14:textId="77777777" w:rsidR="00CC791B" w:rsidRPr="00454470" w:rsidRDefault="00CC791B" w:rsidP="00CC791B">
      <w:pPr>
        <w:rPr>
          <w:sz w:val="24"/>
          <w:szCs w:val="24"/>
        </w:rPr>
      </w:pPr>
      <w:r>
        <w:rPr>
          <w:sz w:val="24"/>
          <w:szCs w:val="24"/>
        </w:rPr>
        <w:lastRenderedPageBreak/>
        <w:t xml:space="preserve">The Amendment Determination expands the definition of authorised audit </w:t>
      </w:r>
      <w:r w:rsidRPr="008F3F36">
        <w:rPr>
          <w:sz w:val="24"/>
          <w:szCs w:val="24"/>
        </w:rPr>
        <w:t>company</w:t>
      </w:r>
      <w:r>
        <w:rPr>
          <w:sz w:val="24"/>
          <w:szCs w:val="24"/>
        </w:rPr>
        <w:t xml:space="preserve"> in section 3 of the Principal Determination to include an affected audit company within the meaning of ASIC Class Order [CO 14/757].  </w:t>
      </w:r>
      <w:r>
        <w:rPr>
          <w:sz w:val="24"/>
          <w:lang w:val="en-GB"/>
        </w:rPr>
        <w:t xml:space="preserve">The Amendment Determination also makes one minor editorial change to that definition to refer to the status of a company registered under Part 9.2A of the </w:t>
      </w:r>
      <w:r w:rsidRPr="00B52BC4">
        <w:rPr>
          <w:sz w:val="24"/>
          <w:lang w:val="en-GB"/>
        </w:rPr>
        <w:t>Corporations Act</w:t>
      </w:r>
      <w:r w:rsidRPr="007E72ED">
        <w:rPr>
          <w:i/>
          <w:sz w:val="24"/>
          <w:lang w:val="en-GB"/>
        </w:rPr>
        <w:t xml:space="preserve"> </w:t>
      </w:r>
      <w:r>
        <w:rPr>
          <w:sz w:val="24"/>
          <w:lang w:val="en-GB"/>
        </w:rPr>
        <w:t xml:space="preserve">as an authorised audit company.  </w:t>
      </w:r>
    </w:p>
    <w:p w14:paraId="724D7454" w14:textId="77777777" w:rsidR="00AD36E2" w:rsidRDefault="00AD36E2" w:rsidP="00AE517B">
      <w:pPr>
        <w:rPr>
          <w:sz w:val="24"/>
          <w:lang w:val="en-GB"/>
        </w:rPr>
      </w:pPr>
    </w:p>
    <w:p w14:paraId="724D7455" w14:textId="77777777" w:rsidR="00285CD6" w:rsidRPr="0037495D" w:rsidRDefault="00285CD6" w:rsidP="003A237C">
      <w:pPr>
        <w:rPr>
          <w:b/>
          <w:sz w:val="24"/>
          <w:szCs w:val="24"/>
        </w:rPr>
      </w:pPr>
      <w:r w:rsidRPr="0037495D">
        <w:rPr>
          <w:b/>
          <w:sz w:val="24"/>
          <w:szCs w:val="24"/>
        </w:rPr>
        <w:t>Regulation Impact</w:t>
      </w:r>
    </w:p>
    <w:p w14:paraId="724D7456" w14:textId="77777777" w:rsidR="00285CD6" w:rsidRPr="0037495D" w:rsidRDefault="00285CD6" w:rsidP="003A237C">
      <w:pPr>
        <w:rPr>
          <w:sz w:val="24"/>
          <w:szCs w:val="24"/>
        </w:rPr>
      </w:pPr>
    </w:p>
    <w:p w14:paraId="724D7457" w14:textId="77777777" w:rsidR="003A237C" w:rsidRDefault="00F426D1" w:rsidP="003A237C">
      <w:pPr>
        <w:rPr>
          <w:sz w:val="24"/>
          <w:szCs w:val="24"/>
        </w:rPr>
      </w:pPr>
      <w:r w:rsidRPr="00F764CD">
        <w:rPr>
          <w:sz w:val="24"/>
          <w:szCs w:val="24"/>
        </w:rPr>
        <w:t xml:space="preserve">On </w:t>
      </w:r>
      <w:r w:rsidR="000B2339">
        <w:rPr>
          <w:sz w:val="24"/>
          <w:szCs w:val="24"/>
        </w:rPr>
        <w:t>25 August</w:t>
      </w:r>
      <w:r w:rsidR="000B2339" w:rsidRPr="00F764CD">
        <w:rPr>
          <w:sz w:val="24"/>
          <w:szCs w:val="24"/>
        </w:rPr>
        <w:t xml:space="preserve"> </w:t>
      </w:r>
      <w:r w:rsidR="004A0D25" w:rsidRPr="00F764CD">
        <w:rPr>
          <w:sz w:val="24"/>
          <w:szCs w:val="24"/>
        </w:rPr>
        <w:t>201</w:t>
      </w:r>
      <w:r w:rsidR="00CE6DF0" w:rsidRPr="00F764CD">
        <w:rPr>
          <w:sz w:val="24"/>
          <w:szCs w:val="24"/>
        </w:rPr>
        <w:t>4</w:t>
      </w:r>
      <w:r w:rsidR="00A03828" w:rsidRPr="00F764CD">
        <w:rPr>
          <w:sz w:val="24"/>
          <w:szCs w:val="24"/>
        </w:rPr>
        <w:t>,</w:t>
      </w:r>
      <w:r w:rsidRPr="00F764CD">
        <w:rPr>
          <w:sz w:val="24"/>
          <w:szCs w:val="24"/>
        </w:rPr>
        <w:t xml:space="preserve"> t</w:t>
      </w:r>
      <w:r w:rsidR="003A237C" w:rsidRPr="00F764CD">
        <w:rPr>
          <w:sz w:val="24"/>
          <w:szCs w:val="24"/>
        </w:rPr>
        <w:t xml:space="preserve">he </w:t>
      </w:r>
      <w:r w:rsidR="00E16915" w:rsidRPr="00F764CD">
        <w:rPr>
          <w:sz w:val="24"/>
          <w:szCs w:val="24"/>
        </w:rPr>
        <w:t>O</w:t>
      </w:r>
      <w:r w:rsidR="003A237C" w:rsidRPr="00F764CD">
        <w:rPr>
          <w:sz w:val="24"/>
          <w:szCs w:val="24"/>
        </w:rPr>
        <w:t xml:space="preserve">ffice of </w:t>
      </w:r>
      <w:r w:rsidR="00C50967" w:rsidRPr="00F764CD">
        <w:rPr>
          <w:sz w:val="24"/>
          <w:szCs w:val="24"/>
        </w:rPr>
        <w:t xml:space="preserve">Best Practice </w:t>
      </w:r>
      <w:r w:rsidR="003A237C" w:rsidRPr="00F764CD">
        <w:rPr>
          <w:sz w:val="24"/>
          <w:szCs w:val="24"/>
        </w:rPr>
        <w:t>Regulation</w:t>
      </w:r>
      <w:r w:rsidR="007D27FF" w:rsidRPr="00F764CD">
        <w:rPr>
          <w:sz w:val="24"/>
          <w:szCs w:val="24"/>
        </w:rPr>
        <w:t xml:space="preserve"> (OBPR)</w:t>
      </w:r>
      <w:r w:rsidR="00C50967" w:rsidRPr="00F764CD">
        <w:rPr>
          <w:sz w:val="24"/>
          <w:szCs w:val="24"/>
        </w:rPr>
        <w:t xml:space="preserve"> </w:t>
      </w:r>
      <w:r w:rsidR="003A237C" w:rsidRPr="00F764CD">
        <w:rPr>
          <w:sz w:val="24"/>
          <w:szCs w:val="24"/>
        </w:rPr>
        <w:t xml:space="preserve">advised that a Regulation Impact Statement </w:t>
      </w:r>
      <w:r w:rsidR="00E16915" w:rsidRPr="00F764CD">
        <w:rPr>
          <w:sz w:val="24"/>
          <w:szCs w:val="24"/>
        </w:rPr>
        <w:t>was not</w:t>
      </w:r>
      <w:r w:rsidR="003A237C" w:rsidRPr="00F764CD">
        <w:rPr>
          <w:sz w:val="24"/>
          <w:szCs w:val="24"/>
        </w:rPr>
        <w:t xml:space="preserve"> required for </w:t>
      </w:r>
      <w:r w:rsidR="00E16915" w:rsidRPr="00F764CD">
        <w:rPr>
          <w:sz w:val="24"/>
          <w:szCs w:val="24"/>
        </w:rPr>
        <w:t>th</w:t>
      </w:r>
      <w:r w:rsidR="00D14FFC" w:rsidRPr="00F764CD">
        <w:rPr>
          <w:sz w:val="24"/>
          <w:szCs w:val="24"/>
        </w:rPr>
        <w:t>e</w:t>
      </w:r>
      <w:r w:rsidR="00E16915" w:rsidRPr="00F764CD">
        <w:rPr>
          <w:sz w:val="24"/>
          <w:szCs w:val="24"/>
        </w:rPr>
        <w:t xml:space="preserve"> </w:t>
      </w:r>
      <w:r w:rsidR="006B51D6" w:rsidRPr="00F764CD">
        <w:rPr>
          <w:sz w:val="24"/>
          <w:szCs w:val="24"/>
        </w:rPr>
        <w:t xml:space="preserve">Amendment </w:t>
      </w:r>
      <w:r w:rsidR="00594348" w:rsidRPr="00F764CD">
        <w:rPr>
          <w:sz w:val="24"/>
          <w:szCs w:val="24"/>
        </w:rPr>
        <w:t>D</w:t>
      </w:r>
      <w:r w:rsidR="00E16915" w:rsidRPr="00F764CD">
        <w:rPr>
          <w:sz w:val="24"/>
          <w:szCs w:val="24"/>
        </w:rPr>
        <w:t>etermination</w:t>
      </w:r>
      <w:r w:rsidR="00AF0D89" w:rsidRPr="00F764CD">
        <w:rPr>
          <w:sz w:val="24"/>
          <w:szCs w:val="24"/>
        </w:rPr>
        <w:t xml:space="preserve"> </w:t>
      </w:r>
      <w:r w:rsidR="007D2F3C" w:rsidRPr="00F764CD">
        <w:rPr>
          <w:sz w:val="24"/>
          <w:szCs w:val="24"/>
        </w:rPr>
        <w:t xml:space="preserve">then proposed to be made </w:t>
      </w:r>
      <w:r w:rsidR="00AF0D89" w:rsidRPr="00F764CD">
        <w:rPr>
          <w:sz w:val="24"/>
          <w:szCs w:val="24"/>
        </w:rPr>
        <w:t>on the basis that the changes</w:t>
      </w:r>
      <w:r w:rsidR="007D2F3C" w:rsidRPr="00F764CD">
        <w:rPr>
          <w:sz w:val="24"/>
          <w:szCs w:val="24"/>
        </w:rPr>
        <w:t xml:space="preserve"> would be</w:t>
      </w:r>
      <w:r w:rsidR="007D27FF" w:rsidRPr="00F764CD">
        <w:rPr>
          <w:sz w:val="24"/>
          <w:szCs w:val="24"/>
        </w:rPr>
        <w:t xml:space="preserve"> </w:t>
      </w:r>
      <w:r w:rsidR="000B2339">
        <w:rPr>
          <w:sz w:val="24"/>
          <w:szCs w:val="24"/>
        </w:rPr>
        <w:t xml:space="preserve">minor or </w:t>
      </w:r>
      <w:r w:rsidR="007D27FF" w:rsidRPr="00F764CD">
        <w:rPr>
          <w:sz w:val="24"/>
          <w:szCs w:val="24"/>
        </w:rPr>
        <w:t>machinery in nature</w:t>
      </w:r>
      <w:r w:rsidR="00AF0D89" w:rsidRPr="00F764CD">
        <w:rPr>
          <w:sz w:val="24"/>
          <w:szCs w:val="24"/>
        </w:rPr>
        <w:t xml:space="preserve"> </w:t>
      </w:r>
      <w:r w:rsidR="005261F2" w:rsidRPr="00F764CD">
        <w:rPr>
          <w:sz w:val="24"/>
          <w:szCs w:val="24"/>
        </w:rPr>
        <w:t>(</w:t>
      </w:r>
      <w:r w:rsidR="007D27FF" w:rsidRPr="00F764CD">
        <w:rPr>
          <w:sz w:val="24"/>
          <w:szCs w:val="24"/>
        </w:rPr>
        <w:t xml:space="preserve">OBPR </w:t>
      </w:r>
      <w:r w:rsidR="000B2339">
        <w:rPr>
          <w:sz w:val="24"/>
          <w:szCs w:val="24"/>
        </w:rPr>
        <w:t>ID 17488</w:t>
      </w:r>
      <w:r w:rsidR="00D00B05" w:rsidRPr="00F764CD">
        <w:rPr>
          <w:sz w:val="24"/>
          <w:szCs w:val="24"/>
        </w:rPr>
        <w:t>)</w:t>
      </w:r>
      <w:r w:rsidR="005D550C" w:rsidRPr="00F764CD">
        <w:rPr>
          <w:sz w:val="24"/>
          <w:szCs w:val="24"/>
        </w:rPr>
        <w:t>.</w:t>
      </w:r>
    </w:p>
    <w:p w14:paraId="724D7458" w14:textId="77777777" w:rsidR="00AF01DB" w:rsidRDefault="00AF01DB" w:rsidP="00AF01DB">
      <w:pPr>
        <w:rPr>
          <w:b/>
          <w:sz w:val="24"/>
          <w:szCs w:val="24"/>
          <w:highlight w:val="yellow"/>
        </w:rPr>
      </w:pPr>
    </w:p>
    <w:p w14:paraId="724D7459" w14:textId="77777777" w:rsidR="00AF01DB" w:rsidRPr="00AF01DB" w:rsidRDefault="00AF01DB" w:rsidP="00AF01DB">
      <w:pPr>
        <w:rPr>
          <w:b/>
          <w:sz w:val="24"/>
          <w:szCs w:val="24"/>
        </w:rPr>
      </w:pPr>
      <w:r w:rsidRPr="00AF01DB">
        <w:rPr>
          <w:b/>
          <w:sz w:val="24"/>
          <w:szCs w:val="24"/>
        </w:rPr>
        <w:t>Consultation</w:t>
      </w:r>
    </w:p>
    <w:p w14:paraId="724D745A" w14:textId="77777777" w:rsidR="00AF01DB" w:rsidRDefault="00AF01DB" w:rsidP="00AF01DB">
      <w:pPr>
        <w:rPr>
          <w:sz w:val="24"/>
          <w:szCs w:val="24"/>
        </w:rPr>
      </w:pPr>
    </w:p>
    <w:p w14:paraId="724D745B" w14:textId="77777777" w:rsidR="00455F8E" w:rsidRDefault="00455F8E" w:rsidP="00455F8E">
      <w:pPr>
        <w:rPr>
          <w:sz w:val="24"/>
          <w:szCs w:val="24"/>
        </w:rPr>
      </w:pPr>
      <w:r w:rsidRPr="00AF01DB">
        <w:rPr>
          <w:sz w:val="24"/>
          <w:szCs w:val="24"/>
        </w:rPr>
        <w:t>Consultation was n</w:t>
      </w:r>
      <w:r>
        <w:rPr>
          <w:sz w:val="24"/>
          <w:szCs w:val="24"/>
        </w:rPr>
        <w:t>ot undertaken before making the Amendment</w:t>
      </w:r>
      <w:r w:rsidRPr="00AF01DB">
        <w:rPr>
          <w:sz w:val="24"/>
          <w:szCs w:val="24"/>
        </w:rPr>
        <w:t xml:space="preserve"> Determination.</w:t>
      </w:r>
    </w:p>
    <w:p w14:paraId="724D745C" w14:textId="77777777" w:rsidR="00B52BC4" w:rsidRDefault="00B52BC4" w:rsidP="00B91075">
      <w:pPr>
        <w:rPr>
          <w:sz w:val="24"/>
        </w:rPr>
      </w:pPr>
    </w:p>
    <w:p w14:paraId="724D745D" w14:textId="77777777" w:rsidR="00601DC5" w:rsidRPr="00BD20C7" w:rsidRDefault="00BC3D72" w:rsidP="00BD20C7">
      <w:pPr>
        <w:tabs>
          <w:tab w:val="left" w:pos="709"/>
        </w:tabs>
        <w:autoSpaceDE w:val="0"/>
        <w:autoSpaceDN w:val="0"/>
        <w:adjustRightInd w:val="0"/>
        <w:contextualSpacing/>
        <w:rPr>
          <w:sz w:val="24"/>
        </w:rPr>
      </w:pPr>
      <w:r>
        <w:rPr>
          <w:sz w:val="24"/>
        </w:rPr>
        <w:t>As noted above, the Amendment Determination has been made so that</w:t>
      </w:r>
      <w:r w:rsidR="00601DC5" w:rsidRPr="00601DC5">
        <w:rPr>
          <w:sz w:val="24"/>
          <w:szCs w:val="24"/>
        </w:rPr>
        <w:t xml:space="preserve"> </w:t>
      </w:r>
      <w:r w:rsidR="00601DC5" w:rsidRPr="003D6BAA">
        <w:rPr>
          <w:sz w:val="24"/>
          <w:szCs w:val="24"/>
        </w:rPr>
        <w:t>affected auditors and affected audit companies are approved auditors for the purposes of section 94 of the TUSMA Act and, as such, are</w:t>
      </w:r>
      <w:r w:rsidR="00601DC5" w:rsidRPr="003D6BAA">
        <w:rPr>
          <w:sz w:val="24"/>
          <w:szCs w:val="24"/>
          <w:lang w:eastAsia="en-US"/>
        </w:rPr>
        <w:t xml:space="preserve"> </w:t>
      </w:r>
      <w:r w:rsidR="00240827">
        <w:rPr>
          <w:sz w:val="24"/>
          <w:szCs w:val="24"/>
          <w:lang w:eastAsia="en-US"/>
        </w:rPr>
        <w:t>qualified</w:t>
      </w:r>
      <w:r w:rsidR="00601DC5" w:rsidRPr="003D6BAA">
        <w:rPr>
          <w:sz w:val="24"/>
          <w:szCs w:val="24"/>
          <w:lang w:eastAsia="en-US"/>
        </w:rPr>
        <w:t xml:space="preserve"> to prepare </w:t>
      </w:r>
      <w:r w:rsidR="002769F5">
        <w:rPr>
          <w:sz w:val="24"/>
          <w:szCs w:val="24"/>
          <w:lang w:eastAsia="en-US"/>
        </w:rPr>
        <w:t xml:space="preserve">audit </w:t>
      </w:r>
      <w:r w:rsidR="00601DC5" w:rsidRPr="003D6BAA">
        <w:rPr>
          <w:sz w:val="24"/>
          <w:szCs w:val="24"/>
          <w:lang w:eastAsia="en-US"/>
        </w:rPr>
        <w:t>r</w:t>
      </w:r>
      <w:r w:rsidR="002769F5">
        <w:rPr>
          <w:sz w:val="24"/>
          <w:szCs w:val="24"/>
          <w:lang w:eastAsia="en-US"/>
        </w:rPr>
        <w:t>eports to accompany eligible revenue returns</w:t>
      </w:r>
      <w:r w:rsidR="00601DC5" w:rsidRPr="003D6BAA">
        <w:rPr>
          <w:sz w:val="24"/>
          <w:szCs w:val="24"/>
        </w:rPr>
        <w:t>.</w:t>
      </w:r>
      <w:r>
        <w:rPr>
          <w:sz w:val="24"/>
        </w:rPr>
        <w:t xml:space="preserve"> </w:t>
      </w:r>
      <w:r w:rsidR="007F66BB">
        <w:rPr>
          <w:sz w:val="24"/>
        </w:rPr>
        <w:t xml:space="preserve"> If the ASIC I</w:t>
      </w:r>
      <w:r>
        <w:rPr>
          <w:sz w:val="24"/>
        </w:rPr>
        <w:t>nstrument had been</w:t>
      </w:r>
      <w:r w:rsidR="00380998">
        <w:rPr>
          <w:sz w:val="24"/>
        </w:rPr>
        <w:t xml:space="preserve"> lodged</w:t>
      </w:r>
      <w:r w:rsidR="00F52D88">
        <w:rPr>
          <w:sz w:val="24"/>
        </w:rPr>
        <w:t xml:space="preserve"> </w:t>
      </w:r>
      <w:r w:rsidR="00380998">
        <w:rPr>
          <w:sz w:val="24"/>
        </w:rPr>
        <w:t>for registration</w:t>
      </w:r>
      <w:r w:rsidR="00F52D88">
        <w:rPr>
          <w:sz w:val="24"/>
        </w:rPr>
        <w:t xml:space="preserve"> on FRLI by the prescribed deadline</w:t>
      </w:r>
      <w:r>
        <w:rPr>
          <w:sz w:val="24"/>
        </w:rPr>
        <w:t>, those persons would be approved auditors</w:t>
      </w:r>
      <w:r w:rsidR="00B54DF3">
        <w:rPr>
          <w:sz w:val="24"/>
        </w:rPr>
        <w:t xml:space="preserve"> and</w:t>
      </w:r>
      <w:r w:rsidR="00BD20C7">
        <w:rPr>
          <w:sz w:val="24"/>
        </w:rPr>
        <w:t>, as such,</w:t>
      </w:r>
      <w:r w:rsidR="00601DC5">
        <w:rPr>
          <w:sz w:val="24"/>
        </w:rPr>
        <w:t xml:space="preserve"> would be </w:t>
      </w:r>
      <w:r w:rsidR="00240827">
        <w:rPr>
          <w:sz w:val="24"/>
        </w:rPr>
        <w:t>qualified</w:t>
      </w:r>
      <w:r w:rsidR="00BD20C7">
        <w:rPr>
          <w:sz w:val="24"/>
        </w:rPr>
        <w:t xml:space="preserve"> to prepare </w:t>
      </w:r>
      <w:r w:rsidR="00601DC5">
        <w:rPr>
          <w:sz w:val="24"/>
        </w:rPr>
        <w:t>reports</w:t>
      </w:r>
      <w:r w:rsidR="00BD20C7">
        <w:rPr>
          <w:sz w:val="24"/>
        </w:rPr>
        <w:t xml:space="preserve"> of that kind</w:t>
      </w:r>
      <w:r>
        <w:rPr>
          <w:sz w:val="24"/>
        </w:rPr>
        <w:t>.</w:t>
      </w:r>
    </w:p>
    <w:p w14:paraId="724D745E" w14:textId="77777777" w:rsidR="00601DC5" w:rsidRDefault="00601DC5" w:rsidP="00455F8E">
      <w:pPr>
        <w:rPr>
          <w:sz w:val="24"/>
          <w:szCs w:val="24"/>
        </w:rPr>
      </w:pPr>
    </w:p>
    <w:p w14:paraId="724D745F" w14:textId="77777777" w:rsidR="00455F8E" w:rsidRDefault="001B0C25" w:rsidP="00455F8E">
      <w:pPr>
        <w:rPr>
          <w:sz w:val="24"/>
        </w:rPr>
      </w:pPr>
      <w:r>
        <w:rPr>
          <w:sz w:val="24"/>
          <w:szCs w:val="24"/>
        </w:rPr>
        <w:t>A</w:t>
      </w:r>
      <w:r w:rsidR="00455F8E">
        <w:rPr>
          <w:sz w:val="24"/>
          <w:szCs w:val="24"/>
        </w:rPr>
        <w:t>ccordingly, t</w:t>
      </w:r>
      <w:r w:rsidR="00AF01DB" w:rsidRPr="00AF01DB">
        <w:rPr>
          <w:sz w:val="24"/>
          <w:szCs w:val="24"/>
        </w:rPr>
        <w:t xml:space="preserve">he ACMA considered that the </w:t>
      </w:r>
      <w:r w:rsidR="00D50A6A">
        <w:rPr>
          <w:sz w:val="24"/>
          <w:szCs w:val="24"/>
        </w:rPr>
        <w:t xml:space="preserve">making of the </w:t>
      </w:r>
      <w:r w:rsidR="006B51D6">
        <w:rPr>
          <w:sz w:val="24"/>
          <w:szCs w:val="24"/>
        </w:rPr>
        <w:t xml:space="preserve">Amendment </w:t>
      </w:r>
      <w:r w:rsidR="00C603D9">
        <w:rPr>
          <w:sz w:val="24"/>
          <w:szCs w:val="24"/>
        </w:rPr>
        <w:t xml:space="preserve">Determination </w:t>
      </w:r>
      <w:r w:rsidR="009B1B19">
        <w:rPr>
          <w:sz w:val="24"/>
          <w:szCs w:val="24"/>
        </w:rPr>
        <w:t>was</w:t>
      </w:r>
      <w:r w:rsidR="00C603D9">
        <w:rPr>
          <w:sz w:val="24"/>
          <w:szCs w:val="24"/>
        </w:rPr>
        <w:t xml:space="preserve"> of a </w:t>
      </w:r>
      <w:r w:rsidR="006B51D6" w:rsidRPr="009F7F77">
        <w:rPr>
          <w:sz w:val="24"/>
          <w:szCs w:val="24"/>
        </w:rPr>
        <w:t>technical</w:t>
      </w:r>
      <w:r w:rsidR="00AF01DB" w:rsidRPr="009F7F77">
        <w:rPr>
          <w:sz w:val="24"/>
          <w:szCs w:val="24"/>
        </w:rPr>
        <w:t xml:space="preserve"> nature</w:t>
      </w:r>
      <w:r w:rsidR="009B1B19">
        <w:rPr>
          <w:sz w:val="24"/>
          <w:szCs w:val="24"/>
        </w:rPr>
        <w:t xml:space="preserve">, that its </w:t>
      </w:r>
      <w:r w:rsidR="006A339E">
        <w:rPr>
          <w:sz w:val="24"/>
          <w:szCs w:val="24"/>
        </w:rPr>
        <w:t>regulatory impact</w:t>
      </w:r>
      <w:r w:rsidR="00FF1957">
        <w:rPr>
          <w:sz w:val="24"/>
          <w:szCs w:val="24"/>
        </w:rPr>
        <w:t xml:space="preserve"> </w:t>
      </w:r>
      <w:r w:rsidR="00CC4829">
        <w:rPr>
          <w:sz w:val="24"/>
          <w:szCs w:val="24"/>
        </w:rPr>
        <w:t>was minor</w:t>
      </w:r>
      <w:r w:rsidR="00F764CD">
        <w:rPr>
          <w:sz w:val="24"/>
          <w:szCs w:val="24"/>
        </w:rPr>
        <w:t xml:space="preserve"> or</w:t>
      </w:r>
      <w:r w:rsidR="00FF1957">
        <w:rPr>
          <w:sz w:val="24"/>
          <w:szCs w:val="24"/>
        </w:rPr>
        <w:t xml:space="preserve"> machinery</w:t>
      </w:r>
      <w:r w:rsidR="00D50A6A">
        <w:rPr>
          <w:sz w:val="24"/>
          <w:szCs w:val="24"/>
        </w:rPr>
        <w:t xml:space="preserve"> and, on that basis, </w:t>
      </w:r>
      <w:r w:rsidR="009B1B19">
        <w:rPr>
          <w:sz w:val="24"/>
          <w:szCs w:val="24"/>
        </w:rPr>
        <w:t xml:space="preserve">that </w:t>
      </w:r>
      <w:r w:rsidR="00D50A6A">
        <w:rPr>
          <w:sz w:val="24"/>
          <w:szCs w:val="24"/>
        </w:rPr>
        <w:t xml:space="preserve">consultation was not necessary.  </w:t>
      </w:r>
    </w:p>
    <w:p w14:paraId="724D7460" w14:textId="77777777" w:rsidR="000026C6" w:rsidRPr="0037495D" w:rsidRDefault="006B2234" w:rsidP="000026C6">
      <w:pPr>
        <w:keepNext/>
        <w:suppressAutoHyphens/>
        <w:spacing w:before="240"/>
        <w:outlineLvl w:val="3"/>
        <w:rPr>
          <w:b/>
          <w:sz w:val="24"/>
          <w:lang w:val="en-US"/>
        </w:rPr>
      </w:pPr>
      <w:r w:rsidRPr="0037495D">
        <w:rPr>
          <w:b/>
          <w:sz w:val="24"/>
          <w:lang w:val="en-US"/>
        </w:rPr>
        <w:t>Notes on Sections</w:t>
      </w:r>
    </w:p>
    <w:p w14:paraId="724D7461" w14:textId="77777777" w:rsidR="000026C6" w:rsidRPr="0037495D" w:rsidRDefault="000026C6" w:rsidP="000026C6">
      <w:pPr>
        <w:pStyle w:val="ACMABodyText"/>
        <w:spacing w:before="0" w:after="0"/>
      </w:pPr>
    </w:p>
    <w:p w14:paraId="724D7462" w14:textId="77777777" w:rsidR="000026C6" w:rsidRPr="004964E2" w:rsidRDefault="000026C6" w:rsidP="000026C6">
      <w:pPr>
        <w:pStyle w:val="ACMABodyText"/>
        <w:spacing w:before="0"/>
      </w:pPr>
      <w:r w:rsidRPr="0037495D">
        <w:t xml:space="preserve">The provisions of the </w:t>
      </w:r>
      <w:r w:rsidR="006B51D6">
        <w:t xml:space="preserve">Amendment </w:t>
      </w:r>
      <w:r w:rsidRPr="0037495D">
        <w:t xml:space="preserve">Determination are </w:t>
      </w:r>
      <w:r w:rsidR="006B2234" w:rsidRPr="0037495D">
        <w:t xml:space="preserve">described in </w:t>
      </w:r>
      <w:r w:rsidR="00F764CD">
        <w:t xml:space="preserve">the </w:t>
      </w:r>
      <w:r w:rsidR="006B2234" w:rsidRPr="0037495D">
        <w:t>Attachment.</w:t>
      </w:r>
    </w:p>
    <w:p w14:paraId="724D7463" w14:textId="77777777" w:rsidR="000026C6" w:rsidRPr="0037495D" w:rsidRDefault="006B2234" w:rsidP="000026C6">
      <w:pPr>
        <w:pStyle w:val="ACMABodyText"/>
        <w:spacing w:before="240" w:after="0"/>
        <w:rPr>
          <w:b/>
          <w:snapToGrid/>
          <w:lang w:val="en-US"/>
        </w:rPr>
      </w:pPr>
      <w:r w:rsidRPr="0037495D">
        <w:rPr>
          <w:b/>
          <w:snapToGrid/>
          <w:lang w:val="en-US"/>
        </w:rPr>
        <w:t>Statement of Compatibility with Human Rights</w:t>
      </w:r>
    </w:p>
    <w:p w14:paraId="724D7464" w14:textId="77777777" w:rsidR="000026C6" w:rsidRPr="0037495D" w:rsidRDefault="000026C6" w:rsidP="000026C6">
      <w:pPr>
        <w:pStyle w:val="ACMABodyTextChar"/>
        <w:spacing w:before="0" w:after="0"/>
        <w:jc w:val="both"/>
      </w:pPr>
    </w:p>
    <w:p w14:paraId="724D7465" w14:textId="77777777" w:rsidR="0018086E" w:rsidRDefault="0020058E" w:rsidP="00F764CD">
      <w:pPr>
        <w:pStyle w:val="ACMABodyTextChar"/>
        <w:spacing w:before="0" w:after="0"/>
        <w:jc w:val="both"/>
      </w:pPr>
      <w:r w:rsidRPr="0020058E">
        <w:t xml:space="preserve">Subsection 9(1) of the </w:t>
      </w:r>
      <w:r w:rsidRPr="0020058E">
        <w:rPr>
          <w:i/>
          <w:iCs/>
        </w:rPr>
        <w:t>Human Rights (Parliamentary Scrutiny) Act 2011</w:t>
      </w:r>
      <w:r w:rsidRPr="0020058E">
        <w:t xml:space="preserve"> requires the rule</w:t>
      </w:r>
      <w:r w:rsidR="00F470E0">
        <w:t>-</w:t>
      </w:r>
      <w:r w:rsidRPr="0020058E">
        <w:t>maker in relation to a legislative instrument to which section 42 (disallowance) of the LIA</w:t>
      </w:r>
      <w:r w:rsidRPr="0020058E">
        <w:rPr>
          <w:iCs/>
        </w:rPr>
        <w:t xml:space="preserve"> </w:t>
      </w:r>
      <w:r w:rsidRPr="0020058E">
        <w:t>applies to cause a statement of compatibility to be prepared in respect of that legislative instrument.</w:t>
      </w:r>
      <w:r w:rsidR="00A9657B">
        <w:t xml:space="preserve">  </w:t>
      </w:r>
      <w:r w:rsidRPr="0020058E">
        <w:t xml:space="preserve">This statement has been prepared </w:t>
      </w:r>
      <w:r w:rsidR="00EB12EA">
        <w:t>for that purpose</w:t>
      </w:r>
      <w:r w:rsidRPr="0020058E">
        <w:t>.</w:t>
      </w:r>
    </w:p>
    <w:p w14:paraId="724D7466" w14:textId="77777777" w:rsidR="0018086E" w:rsidRDefault="0018086E" w:rsidP="00F764CD">
      <w:pPr>
        <w:pStyle w:val="ACMABodyTextChar"/>
        <w:spacing w:before="0" w:after="0"/>
        <w:jc w:val="both"/>
      </w:pPr>
    </w:p>
    <w:p w14:paraId="724D7467" w14:textId="77777777" w:rsidR="0018086E" w:rsidRPr="00F470E0" w:rsidRDefault="0018086E" w:rsidP="00F764CD">
      <w:pPr>
        <w:pStyle w:val="ACMABodyTextChar"/>
        <w:spacing w:before="0" w:after="0"/>
        <w:jc w:val="both"/>
        <w:rPr>
          <w:b/>
          <w:i/>
          <w:szCs w:val="24"/>
        </w:rPr>
      </w:pPr>
      <w:r w:rsidRPr="00F764CD">
        <w:rPr>
          <w:b/>
          <w:i/>
          <w:szCs w:val="24"/>
        </w:rPr>
        <w:t>Human rights implications</w:t>
      </w:r>
    </w:p>
    <w:p w14:paraId="724D7468" w14:textId="77777777" w:rsidR="0018086E" w:rsidRPr="00F470E0" w:rsidRDefault="0018086E" w:rsidP="00F470E0">
      <w:pPr>
        <w:pStyle w:val="ACMABodyTextChar"/>
        <w:spacing w:before="240"/>
        <w:jc w:val="both"/>
      </w:pPr>
      <w:r w:rsidRPr="003D6BAA">
        <w:rPr>
          <w:szCs w:val="24"/>
        </w:rPr>
        <w:t xml:space="preserve">The </w:t>
      </w:r>
      <w:r>
        <w:rPr>
          <w:szCs w:val="24"/>
        </w:rPr>
        <w:t>Amendment Determination</w:t>
      </w:r>
      <w:r w:rsidRPr="003D6BAA">
        <w:rPr>
          <w:szCs w:val="24"/>
        </w:rPr>
        <w:t xml:space="preserve"> does not engage any of the rights or freedoms</w:t>
      </w:r>
      <w:r w:rsidR="00F470E0" w:rsidRPr="00F470E0">
        <w:t xml:space="preserve"> </w:t>
      </w:r>
      <w:r w:rsidR="00F470E0" w:rsidRPr="00304EC6">
        <w:t xml:space="preserve">recognised or declared </w:t>
      </w:r>
      <w:r w:rsidR="00F470E0">
        <w:t>by</w:t>
      </w:r>
      <w:r w:rsidR="00F470E0" w:rsidRPr="00304EC6">
        <w:t xml:space="preserve"> the international instrumen</w:t>
      </w:r>
      <w:r w:rsidR="00F470E0">
        <w:t>ts listed in</w:t>
      </w:r>
      <w:r w:rsidR="00F470E0" w:rsidRPr="00304EC6">
        <w:t xml:space="preserve"> section 3 of the </w:t>
      </w:r>
      <w:r w:rsidR="00F470E0" w:rsidRPr="00304EC6">
        <w:rPr>
          <w:i/>
        </w:rPr>
        <w:t>Human Rights (Parliamentary Scrutiny) Act 201</w:t>
      </w:r>
      <w:r w:rsidR="00F470E0">
        <w:rPr>
          <w:i/>
        </w:rPr>
        <w:t>1</w:t>
      </w:r>
      <w:r w:rsidRPr="003D6BAA">
        <w:rPr>
          <w:szCs w:val="24"/>
        </w:rPr>
        <w:t>.</w:t>
      </w:r>
    </w:p>
    <w:p w14:paraId="724D7469" w14:textId="77777777" w:rsidR="0018086E" w:rsidRPr="00F764CD" w:rsidRDefault="0018086E" w:rsidP="00F764CD">
      <w:pPr>
        <w:pStyle w:val="ACMABodyTextChar"/>
        <w:keepNext/>
        <w:spacing w:before="240" w:after="0" w:line="240" w:lineRule="auto"/>
        <w:rPr>
          <w:b/>
          <w:i/>
          <w:szCs w:val="24"/>
        </w:rPr>
      </w:pPr>
      <w:r w:rsidRPr="00F764CD">
        <w:rPr>
          <w:b/>
          <w:i/>
          <w:szCs w:val="24"/>
        </w:rPr>
        <w:t>Conclusion</w:t>
      </w:r>
    </w:p>
    <w:p w14:paraId="724D746A" w14:textId="77777777" w:rsidR="008A1142" w:rsidRPr="004964E2" w:rsidRDefault="00A9657B" w:rsidP="00F764CD">
      <w:pPr>
        <w:pStyle w:val="ACMABodyTextChar"/>
        <w:spacing w:before="240"/>
        <w:jc w:val="both"/>
      </w:pPr>
      <w:r>
        <w:rPr>
          <w:szCs w:val="24"/>
        </w:rPr>
        <w:t xml:space="preserve">The Amendment Determination </w:t>
      </w:r>
      <w:r w:rsidRPr="00304EC6">
        <w:t>is compatible with the</w:t>
      </w:r>
      <w:r w:rsidR="00F470E0">
        <w:t xml:space="preserve"> applicable</w:t>
      </w:r>
      <w:r w:rsidRPr="00304EC6">
        <w:t xml:space="preserve"> rights and freedoms </w:t>
      </w:r>
      <w:r w:rsidR="00F470E0">
        <w:t>as it does not raise any human rights issues</w:t>
      </w:r>
      <w:r w:rsidRPr="00304EC6">
        <w:t>.</w:t>
      </w:r>
    </w:p>
    <w:p w14:paraId="724D746B" w14:textId="77777777" w:rsidR="001610DF" w:rsidRPr="006946D5" w:rsidRDefault="001610DF" w:rsidP="006946D5">
      <w:pPr>
        <w:tabs>
          <w:tab w:val="left" w:pos="709"/>
        </w:tabs>
        <w:autoSpaceDE w:val="0"/>
        <w:autoSpaceDN w:val="0"/>
        <w:adjustRightInd w:val="0"/>
        <w:contextualSpacing/>
        <w:rPr>
          <w:szCs w:val="24"/>
        </w:rPr>
      </w:pPr>
    </w:p>
    <w:p w14:paraId="724D746C" w14:textId="77777777" w:rsidR="00333097" w:rsidRPr="00B150C3" w:rsidRDefault="00333097">
      <w:pPr>
        <w:jc w:val="right"/>
        <w:rPr>
          <w:rFonts w:ascii="Times" w:hAnsi="Times"/>
          <w:sz w:val="28"/>
        </w:rPr>
      </w:pPr>
      <w:r>
        <w:br w:type="page"/>
      </w:r>
      <w:r w:rsidRPr="00B150C3">
        <w:rPr>
          <w:rFonts w:ascii="Times" w:hAnsi="Times"/>
          <w:b/>
          <w:sz w:val="28"/>
        </w:rPr>
        <w:lastRenderedPageBreak/>
        <w:t>Attachment</w:t>
      </w:r>
    </w:p>
    <w:p w14:paraId="724D746D" w14:textId="77777777" w:rsidR="00333097" w:rsidRPr="00B150C3" w:rsidRDefault="00333097">
      <w:pPr>
        <w:jc w:val="right"/>
        <w:rPr>
          <w:rFonts w:ascii="Times" w:hAnsi="Times"/>
          <w:sz w:val="28"/>
        </w:rPr>
      </w:pPr>
    </w:p>
    <w:p w14:paraId="724D746E" w14:textId="77777777" w:rsidR="00333097" w:rsidRPr="00B150C3" w:rsidRDefault="00333097">
      <w:pPr>
        <w:pStyle w:val="Heading1"/>
        <w:rPr>
          <w:rFonts w:ascii="Times" w:hAnsi="Times"/>
        </w:rPr>
      </w:pPr>
      <w:r w:rsidRPr="00B150C3">
        <w:rPr>
          <w:rFonts w:ascii="Times" w:hAnsi="Times"/>
        </w:rPr>
        <w:t>Notes on</w:t>
      </w:r>
      <w:r w:rsidR="008E7A1B">
        <w:rPr>
          <w:rFonts w:ascii="Times" w:hAnsi="Times"/>
        </w:rPr>
        <w:t xml:space="preserve"> sections of</w:t>
      </w:r>
      <w:r w:rsidRPr="00B150C3">
        <w:rPr>
          <w:rFonts w:ascii="Times" w:hAnsi="Times"/>
        </w:rPr>
        <w:t xml:space="preserve"> the </w:t>
      </w:r>
      <w:r w:rsidR="00D047D9" w:rsidRPr="00D047D9">
        <w:rPr>
          <w:i/>
          <w:szCs w:val="28"/>
        </w:rPr>
        <w:t>Telecommunications Universal Service Management Agency (Approved Auditor) Amendment Determination 2014 (No.1)</w:t>
      </w:r>
    </w:p>
    <w:p w14:paraId="724D746F" w14:textId="77777777" w:rsidR="00333097" w:rsidRPr="00B150C3" w:rsidRDefault="00333097">
      <w:pPr>
        <w:rPr>
          <w:rFonts w:ascii="Times" w:hAnsi="Times"/>
        </w:rPr>
      </w:pPr>
    </w:p>
    <w:p w14:paraId="724D7470" w14:textId="77777777" w:rsidR="00333097" w:rsidRPr="00B150C3" w:rsidRDefault="00333097">
      <w:pPr>
        <w:rPr>
          <w:rFonts w:ascii="Times" w:hAnsi="Times"/>
        </w:rPr>
      </w:pPr>
    </w:p>
    <w:p w14:paraId="724D7471" w14:textId="77777777" w:rsidR="00333097" w:rsidRPr="00B15AE3" w:rsidRDefault="006145F6">
      <w:pPr>
        <w:pStyle w:val="Heading2"/>
        <w:jc w:val="left"/>
        <w:rPr>
          <w:szCs w:val="24"/>
        </w:rPr>
      </w:pPr>
      <w:r>
        <w:rPr>
          <w:szCs w:val="24"/>
        </w:rPr>
        <w:t xml:space="preserve">Section 1 </w:t>
      </w:r>
      <w:r w:rsidR="00487477">
        <w:rPr>
          <w:szCs w:val="24"/>
        </w:rPr>
        <w:t>–</w:t>
      </w:r>
      <w:r w:rsidR="002E3631" w:rsidRPr="002E3631">
        <w:rPr>
          <w:szCs w:val="24"/>
        </w:rPr>
        <w:t xml:space="preserve"> Name of Determination</w:t>
      </w:r>
    </w:p>
    <w:p w14:paraId="724D7472" w14:textId="77777777" w:rsidR="00333097" w:rsidRPr="00B15AE3" w:rsidRDefault="00333097">
      <w:pPr>
        <w:pStyle w:val="Heading3"/>
        <w:rPr>
          <w:b/>
          <w:szCs w:val="24"/>
        </w:rPr>
      </w:pPr>
    </w:p>
    <w:p w14:paraId="724D7473" w14:textId="77777777" w:rsidR="00333097" w:rsidRPr="00765384" w:rsidRDefault="002E3631" w:rsidP="00765384">
      <w:pPr>
        <w:rPr>
          <w:sz w:val="24"/>
          <w:szCs w:val="24"/>
          <w:highlight w:val="yellow"/>
        </w:rPr>
      </w:pPr>
      <w:r w:rsidRPr="00765384">
        <w:rPr>
          <w:sz w:val="24"/>
          <w:szCs w:val="24"/>
        </w:rPr>
        <w:t xml:space="preserve">This section </w:t>
      </w:r>
      <w:r w:rsidR="00765384" w:rsidRPr="00765384">
        <w:rPr>
          <w:sz w:val="24"/>
          <w:szCs w:val="24"/>
        </w:rPr>
        <w:t>provide</w:t>
      </w:r>
      <w:r w:rsidR="00F47CE2">
        <w:rPr>
          <w:sz w:val="24"/>
          <w:szCs w:val="24"/>
        </w:rPr>
        <w:t>s</w:t>
      </w:r>
      <w:r w:rsidR="00765384" w:rsidRPr="00765384">
        <w:rPr>
          <w:sz w:val="24"/>
          <w:szCs w:val="24"/>
        </w:rPr>
        <w:t xml:space="preserve"> that </w:t>
      </w:r>
      <w:r w:rsidRPr="00765384">
        <w:rPr>
          <w:sz w:val="24"/>
          <w:szCs w:val="24"/>
        </w:rPr>
        <w:t xml:space="preserve">the name of the </w:t>
      </w:r>
      <w:r w:rsidR="001C2104" w:rsidRPr="00765384">
        <w:rPr>
          <w:sz w:val="24"/>
          <w:szCs w:val="24"/>
        </w:rPr>
        <w:t>D</w:t>
      </w:r>
      <w:r w:rsidRPr="00765384">
        <w:rPr>
          <w:sz w:val="24"/>
          <w:szCs w:val="24"/>
        </w:rPr>
        <w:t>etermination</w:t>
      </w:r>
      <w:r w:rsidR="00765384" w:rsidRPr="00765384">
        <w:rPr>
          <w:sz w:val="24"/>
          <w:szCs w:val="24"/>
        </w:rPr>
        <w:t xml:space="preserve"> is</w:t>
      </w:r>
      <w:r w:rsidR="00A77876">
        <w:rPr>
          <w:sz w:val="24"/>
          <w:szCs w:val="24"/>
        </w:rPr>
        <w:t xml:space="preserve"> the</w:t>
      </w:r>
      <w:r w:rsidR="00487477" w:rsidRPr="00487477">
        <w:rPr>
          <w:i/>
          <w:sz w:val="24"/>
          <w:szCs w:val="24"/>
        </w:rPr>
        <w:t xml:space="preserve"> </w:t>
      </w:r>
      <w:r w:rsidR="00487477" w:rsidRPr="00EB101C">
        <w:rPr>
          <w:i/>
          <w:sz w:val="24"/>
          <w:szCs w:val="24"/>
        </w:rPr>
        <w:t xml:space="preserve">Telecommunications Universal Service Management Agency (Approved Auditor) </w:t>
      </w:r>
      <w:r w:rsidR="00487477">
        <w:rPr>
          <w:i/>
          <w:sz w:val="24"/>
          <w:szCs w:val="24"/>
        </w:rPr>
        <w:t xml:space="preserve">Amendment </w:t>
      </w:r>
      <w:r w:rsidR="00487477" w:rsidRPr="00EB101C">
        <w:rPr>
          <w:i/>
          <w:sz w:val="24"/>
          <w:szCs w:val="24"/>
        </w:rPr>
        <w:t>Determination 201</w:t>
      </w:r>
      <w:r w:rsidR="00487477">
        <w:rPr>
          <w:i/>
          <w:sz w:val="24"/>
          <w:szCs w:val="24"/>
        </w:rPr>
        <w:t>4 (No.1)</w:t>
      </w:r>
      <w:r w:rsidR="00487477" w:rsidRPr="00EB101C">
        <w:rPr>
          <w:sz w:val="24"/>
          <w:szCs w:val="24"/>
        </w:rPr>
        <w:t>.</w:t>
      </w:r>
    </w:p>
    <w:p w14:paraId="724D7474" w14:textId="77777777" w:rsidR="00333097" w:rsidRPr="00B15AE3" w:rsidRDefault="00333097">
      <w:pPr>
        <w:rPr>
          <w:sz w:val="24"/>
          <w:szCs w:val="24"/>
        </w:rPr>
      </w:pPr>
    </w:p>
    <w:p w14:paraId="724D7475" w14:textId="77777777" w:rsidR="00333097" w:rsidRPr="00B15AE3" w:rsidRDefault="006145F6">
      <w:pPr>
        <w:pStyle w:val="Heading2"/>
        <w:jc w:val="left"/>
        <w:rPr>
          <w:szCs w:val="24"/>
        </w:rPr>
      </w:pPr>
      <w:r>
        <w:rPr>
          <w:szCs w:val="24"/>
        </w:rPr>
        <w:t xml:space="preserve">Section 2 </w:t>
      </w:r>
      <w:r w:rsidR="00487477">
        <w:rPr>
          <w:szCs w:val="24"/>
        </w:rPr>
        <w:t>–</w:t>
      </w:r>
      <w:r w:rsidR="002E3631" w:rsidRPr="002E3631">
        <w:rPr>
          <w:szCs w:val="24"/>
        </w:rPr>
        <w:t xml:space="preserve"> Commencement</w:t>
      </w:r>
    </w:p>
    <w:p w14:paraId="724D7476" w14:textId="77777777" w:rsidR="00333097" w:rsidRPr="00B15AE3" w:rsidRDefault="00333097">
      <w:pPr>
        <w:rPr>
          <w:sz w:val="24"/>
          <w:szCs w:val="24"/>
        </w:rPr>
      </w:pPr>
    </w:p>
    <w:p w14:paraId="724D7477" w14:textId="77777777" w:rsidR="00333097" w:rsidRDefault="002E3631" w:rsidP="0037495D">
      <w:pPr>
        <w:pStyle w:val="Heading3"/>
        <w:rPr>
          <w:szCs w:val="24"/>
        </w:rPr>
      </w:pPr>
      <w:r w:rsidRPr="002E3631">
        <w:rPr>
          <w:szCs w:val="24"/>
        </w:rPr>
        <w:t xml:space="preserve">This section provides </w:t>
      </w:r>
      <w:r w:rsidR="00E10793">
        <w:rPr>
          <w:szCs w:val="24"/>
        </w:rPr>
        <w:t>that</w:t>
      </w:r>
      <w:r w:rsidRPr="002E3631">
        <w:rPr>
          <w:szCs w:val="24"/>
        </w:rPr>
        <w:t xml:space="preserve"> the</w:t>
      </w:r>
      <w:r w:rsidR="006B51D6">
        <w:rPr>
          <w:szCs w:val="24"/>
        </w:rPr>
        <w:t xml:space="preserve"> </w:t>
      </w:r>
      <w:r w:rsidR="001C2104">
        <w:rPr>
          <w:szCs w:val="24"/>
        </w:rPr>
        <w:t>D</w:t>
      </w:r>
      <w:r w:rsidRPr="002E3631">
        <w:rPr>
          <w:szCs w:val="24"/>
        </w:rPr>
        <w:t>etermination</w:t>
      </w:r>
      <w:r w:rsidR="00E10793">
        <w:rPr>
          <w:szCs w:val="24"/>
        </w:rPr>
        <w:t xml:space="preserve"> commences on</w:t>
      </w:r>
      <w:r w:rsidRPr="002E3631">
        <w:rPr>
          <w:szCs w:val="24"/>
        </w:rPr>
        <w:t xml:space="preserve"> the day after it is </w:t>
      </w:r>
      <w:r w:rsidRPr="00111FF6">
        <w:rPr>
          <w:szCs w:val="24"/>
        </w:rPr>
        <w:t>registered.</w:t>
      </w:r>
    </w:p>
    <w:p w14:paraId="724D7478" w14:textId="77777777" w:rsidR="007F66BB" w:rsidRDefault="007F66BB" w:rsidP="007F66BB"/>
    <w:p w14:paraId="724D7479" w14:textId="77777777" w:rsidR="007F66BB" w:rsidRPr="007F66BB" w:rsidRDefault="007F66BB" w:rsidP="007F66BB">
      <w:pPr>
        <w:rPr>
          <w:sz w:val="24"/>
          <w:szCs w:val="24"/>
        </w:rPr>
      </w:pPr>
      <w:r w:rsidRPr="007F66BB">
        <w:rPr>
          <w:sz w:val="24"/>
          <w:szCs w:val="24"/>
        </w:rPr>
        <w:t>The note</w:t>
      </w:r>
      <w:r w:rsidR="00053696">
        <w:rPr>
          <w:sz w:val="24"/>
          <w:szCs w:val="24"/>
        </w:rPr>
        <w:t xml:space="preserve"> at the end of</w:t>
      </w:r>
      <w:r w:rsidRPr="007F66BB">
        <w:rPr>
          <w:sz w:val="24"/>
          <w:szCs w:val="24"/>
        </w:rPr>
        <w:t xml:space="preserve"> the section indicates that all legislative instruments and compilations are registered on the Federal Register of Legislative Instruments kept under the </w:t>
      </w:r>
      <w:r w:rsidRPr="007F66BB">
        <w:rPr>
          <w:i/>
          <w:sz w:val="24"/>
          <w:szCs w:val="24"/>
        </w:rPr>
        <w:t xml:space="preserve">Legislative Instruments Act 2003 </w:t>
      </w:r>
      <w:r w:rsidRPr="007F66BB">
        <w:rPr>
          <w:sz w:val="24"/>
          <w:szCs w:val="24"/>
        </w:rPr>
        <w:t xml:space="preserve">(see </w:t>
      </w:r>
      <w:hyperlink r:id="rId13" w:history="1">
        <w:r w:rsidRPr="007F66BB">
          <w:rPr>
            <w:rStyle w:val="Hyperlink"/>
            <w:sz w:val="24"/>
            <w:szCs w:val="24"/>
          </w:rPr>
          <w:t>http://www.comlaw.gov.au</w:t>
        </w:r>
      </w:hyperlink>
      <w:r w:rsidRPr="007F66BB">
        <w:rPr>
          <w:sz w:val="24"/>
          <w:szCs w:val="24"/>
        </w:rPr>
        <w:t>).</w:t>
      </w:r>
    </w:p>
    <w:p w14:paraId="724D747A" w14:textId="77777777" w:rsidR="00111FF6" w:rsidRPr="00111FF6" w:rsidRDefault="00111FF6">
      <w:pPr>
        <w:pStyle w:val="Heading2"/>
        <w:jc w:val="left"/>
        <w:rPr>
          <w:szCs w:val="24"/>
        </w:rPr>
      </w:pPr>
    </w:p>
    <w:p w14:paraId="724D747B" w14:textId="77777777" w:rsidR="003355EC" w:rsidRPr="00111FF6" w:rsidRDefault="006145F6">
      <w:pPr>
        <w:pStyle w:val="Heading2"/>
        <w:jc w:val="left"/>
        <w:rPr>
          <w:szCs w:val="24"/>
        </w:rPr>
      </w:pPr>
      <w:r w:rsidRPr="00111FF6">
        <w:rPr>
          <w:szCs w:val="24"/>
        </w:rPr>
        <w:t xml:space="preserve">Section </w:t>
      </w:r>
      <w:r w:rsidR="00487477">
        <w:rPr>
          <w:szCs w:val="24"/>
        </w:rPr>
        <w:t>3</w:t>
      </w:r>
      <w:r w:rsidRPr="00111FF6">
        <w:rPr>
          <w:szCs w:val="24"/>
        </w:rPr>
        <w:t xml:space="preserve"> </w:t>
      </w:r>
      <w:r w:rsidR="00487477">
        <w:rPr>
          <w:szCs w:val="24"/>
        </w:rPr>
        <w:t>–</w:t>
      </w:r>
      <w:r w:rsidR="002E3631" w:rsidRPr="00111FF6">
        <w:rPr>
          <w:szCs w:val="24"/>
        </w:rPr>
        <w:t xml:space="preserve"> </w:t>
      </w:r>
      <w:r w:rsidR="00487477">
        <w:rPr>
          <w:szCs w:val="24"/>
        </w:rPr>
        <w:t>Amendment of the</w:t>
      </w:r>
      <w:r w:rsidR="00487477" w:rsidRPr="00487477">
        <w:rPr>
          <w:szCs w:val="24"/>
        </w:rPr>
        <w:t xml:space="preserve"> </w:t>
      </w:r>
      <w:r w:rsidR="00487477" w:rsidRPr="00487477">
        <w:rPr>
          <w:i/>
          <w:szCs w:val="24"/>
        </w:rPr>
        <w:t>Telecommunications Universal Service Management Agency (Approved Auditor) Determination 2013</w:t>
      </w:r>
    </w:p>
    <w:p w14:paraId="724D747C" w14:textId="77777777" w:rsidR="003355EC" w:rsidRDefault="003355EC">
      <w:pPr>
        <w:rPr>
          <w:sz w:val="24"/>
          <w:szCs w:val="24"/>
        </w:rPr>
      </w:pPr>
    </w:p>
    <w:p w14:paraId="724D747D" w14:textId="77777777" w:rsidR="00487477" w:rsidRDefault="002E3631" w:rsidP="00487477">
      <w:pPr>
        <w:rPr>
          <w:i/>
          <w:sz w:val="24"/>
          <w:szCs w:val="24"/>
        </w:rPr>
      </w:pPr>
      <w:r w:rsidRPr="0037495D">
        <w:rPr>
          <w:sz w:val="24"/>
          <w:szCs w:val="24"/>
        </w:rPr>
        <w:t>This section provides</w:t>
      </w:r>
      <w:r w:rsidR="0037495D">
        <w:rPr>
          <w:sz w:val="24"/>
          <w:szCs w:val="24"/>
        </w:rPr>
        <w:t xml:space="preserve"> that</w:t>
      </w:r>
      <w:r w:rsidR="00487477">
        <w:rPr>
          <w:sz w:val="24"/>
          <w:szCs w:val="24"/>
        </w:rPr>
        <w:t xml:space="preserve"> the Schedule amends the</w:t>
      </w:r>
      <w:r w:rsidR="00D047D9" w:rsidRPr="00487477">
        <w:rPr>
          <w:szCs w:val="24"/>
        </w:rPr>
        <w:t xml:space="preserve"> </w:t>
      </w:r>
      <w:r w:rsidR="00D047D9" w:rsidRPr="00D047D9">
        <w:rPr>
          <w:i/>
          <w:sz w:val="24"/>
          <w:szCs w:val="24"/>
        </w:rPr>
        <w:t>Telecommunications Universal Service Management Agency (Approved Auditor) Determination 2013</w:t>
      </w:r>
      <w:r w:rsidR="00D047D9">
        <w:rPr>
          <w:i/>
          <w:sz w:val="24"/>
          <w:szCs w:val="24"/>
        </w:rPr>
        <w:t xml:space="preserve"> </w:t>
      </w:r>
      <w:r w:rsidR="00D047D9" w:rsidRPr="00D047D9">
        <w:rPr>
          <w:sz w:val="24"/>
          <w:szCs w:val="24"/>
        </w:rPr>
        <w:t>(the Principal Determination)</w:t>
      </w:r>
      <w:r w:rsidR="0037495D" w:rsidRPr="00D047D9">
        <w:rPr>
          <w:i/>
          <w:sz w:val="24"/>
          <w:szCs w:val="24"/>
        </w:rPr>
        <w:t>.</w:t>
      </w:r>
    </w:p>
    <w:p w14:paraId="724D747E" w14:textId="77777777" w:rsidR="00487477" w:rsidRDefault="00487477" w:rsidP="00487477">
      <w:pPr>
        <w:rPr>
          <w:i/>
          <w:sz w:val="24"/>
          <w:szCs w:val="24"/>
        </w:rPr>
      </w:pPr>
    </w:p>
    <w:p w14:paraId="724D747F" w14:textId="77777777" w:rsidR="00487477" w:rsidRPr="00487477" w:rsidRDefault="00487477" w:rsidP="00487477">
      <w:pPr>
        <w:rPr>
          <w:i/>
          <w:sz w:val="24"/>
          <w:szCs w:val="24"/>
        </w:rPr>
      </w:pPr>
      <w:r w:rsidRPr="00487477">
        <w:rPr>
          <w:b/>
          <w:sz w:val="24"/>
          <w:szCs w:val="24"/>
        </w:rPr>
        <w:t>Schedule – Amendment of the</w:t>
      </w:r>
      <w:r w:rsidRPr="00487477">
        <w:rPr>
          <w:szCs w:val="24"/>
        </w:rPr>
        <w:t xml:space="preserve"> </w:t>
      </w:r>
      <w:r w:rsidRPr="00487477">
        <w:rPr>
          <w:b/>
          <w:i/>
          <w:sz w:val="24"/>
          <w:szCs w:val="24"/>
        </w:rPr>
        <w:t>Telecommunications Universal Service Management Agency (Approved Auditor) Determination 2013</w:t>
      </w:r>
    </w:p>
    <w:p w14:paraId="724D7480" w14:textId="77777777" w:rsidR="00487477" w:rsidRDefault="00487477">
      <w:pPr>
        <w:pStyle w:val="HR"/>
        <w:ind w:left="0" w:firstLine="0"/>
        <w:rPr>
          <w:rFonts w:ascii="Times New Roman" w:hAnsi="Times New Roman"/>
        </w:rPr>
      </w:pPr>
      <w:r>
        <w:rPr>
          <w:rFonts w:ascii="Times New Roman" w:hAnsi="Times New Roman"/>
        </w:rPr>
        <w:t xml:space="preserve">Item 1 </w:t>
      </w:r>
      <w:r w:rsidRPr="00487477">
        <w:rPr>
          <w:rFonts w:ascii="Times New Roman" w:hAnsi="Times New Roman"/>
        </w:rPr>
        <w:t>–</w:t>
      </w:r>
      <w:r>
        <w:rPr>
          <w:rFonts w:ascii="Times New Roman" w:hAnsi="Times New Roman"/>
        </w:rPr>
        <w:t xml:space="preserve"> Section 3, definition of</w:t>
      </w:r>
      <w:r w:rsidRPr="00487477">
        <w:rPr>
          <w:i/>
        </w:rPr>
        <w:t xml:space="preserve"> </w:t>
      </w:r>
      <w:r w:rsidR="008F3F36">
        <w:rPr>
          <w:rFonts w:ascii="Times New Roman" w:hAnsi="Times New Roman"/>
          <w:i/>
        </w:rPr>
        <w:t xml:space="preserve">authorised audit </w:t>
      </w:r>
      <w:r w:rsidRPr="00487477">
        <w:rPr>
          <w:rFonts w:ascii="Times New Roman" w:hAnsi="Times New Roman"/>
          <w:i/>
        </w:rPr>
        <w:t>company</w:t>
      </w:r>
    </w:p>
    <w:p w14:paraId="724D7481" w14:textId="77777777" w:rsidR="003355EC" w:rsidRDefault="003355EC">
      <w:pPr>
        <w:pStyle w:val="Heading2"/>
        <w:jc w:val="left"/>
        <w:rPr>
          <w:szCs w:val="24"/>
        </w:rPr>
      </w:pPr>
    </w:p>
    <w:p w14:paraId="724D7482" w14:textId="77777777" w:rsidR="003C7EB8" w:rsidRDefault="00B15AE3" w:rsidP="008F3F36">
      <w:pPr>
        <w:rPr>
          <w:sz w:val="24"/>
          <w:szCs w:val="24"/>
        </w:rPr>
      </w:pPr>
      <w:r>
        <w:rPr>
          <w:sz w:val="24"/>
          <w:szCs w:val="24"/>
        </w:rPr>
        <w:t xml:space="preserve">This </w:t>
      </w:r>
      <w:r w:rsidR="00D22480">
        <w:rPr>
          <w:sz w:val="24"/>
          <w:szCs w:val="24"/>
        </w:rPr>
        <w:t>item</w:t>
      </w:r>
      <w:r w:rsidR="008F3F36">
        <w:rPr>
          <w:sz w:val="24"/>
          <w:szCs w:val="24"/>
        </w:rPr>
        <w:t xml:space="preserve"> repeals the definition of authorised audit </w:t>
      </w:r>
      <w:r w:rsidR="008F3F36" w:rsidRPr="008F3F36">
        <w:rPr>
          <w:sz w:val="24"/>
          <w:szCs w:val="24"/>
        </w:rPr>
        <w:t>company</w:t>
      </w:r>
      <w:r w:rsidR="008F3F36">
        <w:rPr>
          <w:sz w:val="24"/>
          <w:szCs w:val="24"/>
        </w:rPr>
        <w:t xml:space="preserve"> </w:t>
      </w:r>
      <w:r w:rsidR="00D22480">
        <w:rPr>
          <w:sz w:val="24"/>
          <w:szCs w:val="24"/>
        </w:rPr>
        <w:t xml:space="preserve">in section 3 of the Principal Determination </w:t>
      </w:r>
      <w:r w:rsidR="008F3F36">
        <w:rPr>
          <w:sz w:val="24"/>
          <w:szCs w:val="24"/>
        </w:rPr>
        <w:t xml:space="preserve">and substitutes it with </w:t>
      </w:r>
      <w:r w:rsidR="00A66D05">
        <w:rPr>
          <w:sz w:val="24"/>
          <w:szCs w:val="24"/>
        </w:rPr>
        <w:t>a</w:t>
      </w:r>
      <w:r w:rsidR="0070738A">
        <w:rPr>
          <w:sz w:val="24"/>
          <w:szCs w:val="24"/>
        </w:rPr>
        <w:t xml:space="preserve"> </w:t>
      </w:r>
      <w:r w:rsidR="00637E19">
        <w:rPr>
          <w:sz w:val="24"/>
          <w:szCs w:val="24"/>
        </w:rPr>
        <w:t xml:space="preserve">new </w:t>
      </w:r>
      <w:r w:rsidR="008F3F36">
        <w:rPr>
          <w:sz w:val="24"/>
          <w:szCs w:val="24"/>
        </w:rPr>
        <w:t>definition</w:t>
      </w:r>
      <w:r w:rsidR="0070738A">
        <w:rPr>
          <w:sz w:val="24"/>
          <w:szCs w:val="24"/>
        </w:rPr>
        <w:t xml:space="preserve"> </w:t>
      </w:r>
      <w:r w:rsidR="0061475C">
        <w:rPr>
          <w:sz w:val="24"/>
          <w:szCs w:val="24"/>
        </w:rPr>
        <w:t xml:space="preserve">that has been expanded to </w:t>
      </w:r>
      <w:r w:rsidR="00637E19">
        <w:rPr>
          <w:sz w:val="24"/>
          <w:szCs w:val="24"/>
        </w:rPr>
        <w:t>include</w:t>
      </w:r>
      <w:r w:rsidR="008F3F36">
        <w:rPr>
          <w:sz w:val="24"/>
          <w:szCs w:val="24"/>
        </w:rPr>
        <w:t xml:space="preserve"> an affected audit company within the meaning of ASIC Class Order [CO 14/757]</w:t>
      </w:r>
      <w:r w:rsidR="0061475C">
        <w:rPr>
          <w:sz w:val="24"/>
          <w:szCs w:val="24"/>
        </w:rPr>
        <w:t>.</w:t>
      </w:r>
    </w:p>
    <w:p w14:paraId="724D7483" w14:textId="77777777" w:rsidR="005C6550" w:rsidRDefault="005C6550" w:rsidP="008F3F36">
      <w:pPr>
        <w:rPr>
          <w:sz w:val="24"/>
          <w:szCs w:val="24"/>
        </w:rPr>
      </w:pPr>
    </w:p>
    <w:p w14:paraId="724D7484" w14:textId="77777777" w:rsidR="00DC4081" w:rsidRDefault="00637E19" w:rsidP="00DC4081">
      <w:pPr>
        <w:rPr>
          <w:sz w:val="24"/>
          <w:lang w:val="en-GB"/>
        </w:rPr>
      </w:pPr>
      <w:r>
        <w:rPr>
          <w:sz w:val="24"/>
          <w:lang w:val="en-GB"/>
        </w:rPr>
        <w:t>The</w:t>
      </w:r>
      <w:r w:rsidR="00406534">
        <w:rPr>
          <w:sz w:val="24"/>
          <w:lang w:val="en-GB"/>
        </w:rPr>
        <w:t xml:space="preserve"> </w:t>
      </w:r>
      <w:r>
        <w:rPr>
          <w:sz w:val="24"/>
          <w:lang w:val="en-GB"/>
        </w:rPr>
        <w:t xml:space="preserve">new </w:t>
      </w:r>
      <w:r w:rsidR="00DC4081">
        <w:rPr>
          <w:sz w:val="24"/>
          <w:lang w:val="en-GB"/>
        </w:rPr>
        <w:t xml:space="preserve">definition </w:t>
      </w:r>
      <w:r w:rsidR="0061475C">
        <w:rPr>
          <w:sz w:val="24"/>
          <w:lang w:val="en-GB"/>
        </w:rPr>
        <w:t>also incorporates</w:t>
      </w:r>
      <w:r w:rsidR="00DC4081">
        <w:rPr>
          <w:sz w:val="24"/>
          <w:lang w:val="en-GB"/>
        </w:rPr>
        <w:t xml:space="preserve"> one minor editorial change to refer to the status of a company registered under Part 9.2A of the </w:t>
      </w:r>
      <w:r w:rsidR="00DC4081" w:rsidRPr="007E72ED">
        <w:rPr>
          <w:i/>
          <w:sz w:val="24"/>
          <w:lang w:val="en-GB"/>
        </w:rPr>
        <w:t>Corporations Act 200</w:t>
      </w:r>
      <w:r w:rsidR="00DC4081">
        <w:rPr>
          <w:i/>
          <w:sz w:val="24"/>
          <w:lang w:val="en-GB"/>
        </w:rPr>
        <w:t>1</w:t>
      </w:r>
      <w:r w:rsidR="00DC4081">
        <w:rPr>
          <w:sz w:val="24"/>
          <w:lang w:val="en-GB"/>
        </w:rPr>
        <w:t xml:space="preserve"> as an authorised audit company.  </w:t>
      </w:r>
    </w:p>
    <w:p w14:paraId="724D7485" w14:textId="77777777" w:rsidR="003355EC" w:rsidRPr="00487477" w:rsidRDefault="00487477" w:rsidP="00487477">
      <w:pPr>
        <w:pStyle w:val="HR"/>
        <w:ind w:left="0" w:firstLine="0"/>
        <w:rPr>
          <w:rFonts w:ascii="Times New Roman" w:hAnsi="Times New Roman"/>
        </w:rPr>
      </w:pPr>
      <w:r>
        <w:rPr>
          <w:rFonts w:ascii="Times New Roman" w:hAnsi="Times New Roman"/>
        </w:rPr>
        <w:t xml:space="preserve">Item 2 </w:t>
      </w:r>
      <w:r w:rsidRPr="00487477">
        <w:rPr>
          <w:rFonts w:ascii="Times New Roman" w:hAnsi="Times New Roman"/>
        </w:rPr>
        <w:t>–</w:t>
      </w:r>
      <w:r>
        <w:rPr>
          <w:rFonts w:ascii="Times New Roman" w:hAnsi="Times New Roman"/>
        </w:rPr>
        <w:t xml:space="preserve"> Section 3, </w:t>
      </w:r>
      <w:r w:rsidRPr="00487477">
        <w:rPr>
          <w:rFonts w:ascii="Times New Roman" w:hAnsi="Times New Roman"/>
        </w:rPr>
        <w:t xml:space="preserve">definition of </w:t>
      </w:r>
      <w:r w:rsidRPr="00487477">
        <w:rPr>
          <w:rFonts w:ascii="Times New Roman" w:hAnsi="Times New Roman"/>
          <w:i/>
        </w:rPr>
        <w:t>registered auditor</w:t>
      </w:r>
    </w:p>
    <w:p w14:paraId="724D7486" w14:textId="77777777" w:rsidR="00487477" w:rsidRDefault="00487477" w:rsidP="00487477">
      <w:pPr>
        <w:rPr>
          <w:sz w:val="24"/>
          <w:szCs w:val="24"/>
        </w:rPr>
      </w:pPr>
    </w:p>
    <w:p w14:paraId="724D7487" w14:textId="77777777" w:rsidR="00487477" w:rsidRDefault="00D22480" w:rsidP="00D22480">
      <w:pPr>
        <w:tabs>
          <w:tab w:val="left" w:pos="709"/>
        </w:tabs>
        <w:autoSpaceDE w:val="0"/>
        <w:autoSpaceDN w:val="0"/>
        <w:adjustRightInd w:val="0"/>
        <w:contextualSpacing/>
        <w:rPr>
          <w:sz w:val="24"/>
          <w:szCs w:val="24"/>
        </w:rPr>
      </w:pPr>
      <w:r>
        <w:rPr>
          <w:sz w:val="24"/>
          <w:szCs w:val="24"/>
        </w:rPr>
        <w:t>This item</w:t>
      </w:r>
      <w:r w:rsidR="008F3F36" w:rsidRPr="008F3F36">
        <w:rPr>
          <w:sz w:val="24"/>
          <w:szCs w:val="24"/>
        </w:rPr>
        <w:t xml:space="preserve"> repeals the definition of registered auditor</w:t>
      </w:r>
      <w:r>
        <w:rPr>
          <w:sz w:val="24"/>
          <w:szCs w:val="24"/>
        </w:rPr>
        <w:t xml:space="preserve"> in section 3 of the Principal Determination</w:t>
      </w:r>
      <w:r w:rsidR="008F3F36" w:rsidRPr="008F3F36">
        <w:rPr>
          <w:sz w:val="24"/>
          <w:szCs w:val="24"/>
        </w:rPr>
        <w:t xml:space="preserve"> and substitutes it with </w:t>
      </w:r>
      <w:r w:rsidR="00A66D05">
        <w:rPr>
          <w:sz w:val="24"/>
          <w:szCs w:val="24"/>
        </w:rPr>
        <w:t>a</w:t>
      </w:r>
      <w:r w:rsidR="00637E19">
        <w:rPr>
          <w:sz w:val="24"/>
          <w:szCs w:val="24"/>
        </w:rPr>
        <w:t xml:space="preserve"> new </w:t>
      </w:r>
      <w:r w:rsidR="008F3F36" w:rsidRPr="008F3F36">
        <w:rPr>
          <w:sz w:val="24"/>
          <w:szCs w:val="24"/>
        </w:rPr>
        <w:t>definition</w:t>
      </w:r>
      <w:r w:rsidR="003C7EB8">
        <w:rPr>
          <w:sz w:val="24"/>
          <w:szCs w:val="24"/>
        </w:rPr>
        <w:t xml:space="preserve"> that</w:t>
      </w:r>
      <w:r w:rsidR="00637E19">
        <w:rPr>
          <w:sz w:val="24"/>
          <w:szCs w:val="24"/>
        </w:rPr>
        <w:t xml:space="preserve"> has been expanded to</w:t>
      </w:r>
      <w:r w:rsidR="003C7EB8">
        <w:rPr>
          <w:sz w:val="24"/>
          <w:szCs w:val="24"/>
        </w:rPr>
        <w:t xml:space="preserve"> include</w:t>
      </w:r>
      <w:r w:rsidR="008F3F36" w:rsidRPr="008F3F36">
        <w:rPr>
          <w:sz w:val="24"/>
          <w:szCs w:val="24"/>
        </w:rPr>
        <w:t xml:space="preserve"> an affected auditor within the meaning of ASIC Class Order [CO 14/757].</w:t>
      </w:r>
    </w:p>
    <w:p w14:paraId="724D7488" w14:textId="77777777" w:rsidR="00487477" w:rsidRDefault="00487477" w:rsidP="00487477">
      <w:pPr>
        <w:pStyle w:val="HR"/>
        <w:ind w:left="0" w:firstLine="0"/>
        <w:rPr>
          <w:rFonts w:ascii="Times New Roman" w:hAnsi="Times New Roman"/>
        </w:rPr>
      </w:pPr>
      <w:r>
        <w:rPr>
          <w:rFonts w:ascii="Times New Roman" w:hAnsi="Times New Roman"/>
        </w:rPr>
        <w:lastRenderedPageBreak/>
        <w:t xml:space="preserve">Item 3 </w:t>
      </w:r>
      <w:r w:rsidRPr="00487477">
        <w:rPr>
          <w:rFonts w:ascii="Times New Roman" w:hAnsi="Times New Roman"/>
        </w:rPr>
        <w:t>–</w:t>
      </w:r>
      <w:r>
        <w:rPr>
          <w:rFonts w:ascii="Times New Roman" w:hAnsi="Times New Roman"/>
        </w:rPr>
        <w:t xml:space="preserve"> At the end of section 3</w:t>
      </w:r>
    </w:p>
    <w:p w14:paraId="724D7489" w14:textId="77777777" w:rsidR="00487477" w:rsidRDefault="00487477" w:rsidP="00487477">
      <w:pPr>
        <w:rPr>
          <w:sz w:val="24"/>
          <w:szCs w:val="24"/>
        </w:rPr>
      </w:pPr>
    </w:p>
    <w:p w14:paraId="724D748A" w14:textId="77777777" w:rsidR="00333097" w:rsidRPr="003D6BAA" w:rsidRDefault="00D22480" w:rsidP="00F764CD">
      <w:pPr>
        <w:rPr>
          <w:sz w:val="24"/>
          <w:szCs w:val="24"/>
        </w:rPr>
      </w:pPr>
      <w:r>
        <w:rPr>
          <w:sz w:val="24"/>
          <w:szCs w:val="24"/>
        </w:rPr>
        <w:t>This item</w:t>
      </w:r>
      <w:r w:rsidR="00487477">
        <w:rPr>
          <w:sz w:val="24"/>
          <w:szCs w:val="24"/>
        </w:rPr>
        <w:t xml:space="preserve"> adds a note at the end of section 3</w:t>
      </w:r>
      <w:r>
        <w:rPr>
          <w:sz w:val="24"/>
          <w:szCs w:val="24"/>
        </w:rPr>
        <w:t xml:space="preserve"> of the Principal Determination to indicate</w:t>
      </w:r>
      <w:r w:rsidR="00487477">
        <w:rPr>
          <w:sz w:val="24"/>
          <w:szCs w:val="24"/>
        </w:rPr>
        <w:t xml:space="preserve"> that </w:t>
      </w:r>
      <w:r w:rsidR="00487477" w:rsidRPr="00487477">
        <w:rPr>
          <w:sz w:val="24"/>
          <w:szCs w:val="24"/>
        </w:rPr>
        <w:t xml:space="preserve">ASIC Class Order [CO 14/757] is registered on the Federal Register of Legislative Instruments (see </w:t>
      </w:r>
      <w:hyperlink r:id="rId14" w:history="1">
        <w:r w:rsidR="00781956" w:rsidRPr="007F66BB">
          <w:rPr>
            <w:rStyle w:val="Hyperlink"/>
            <w:sz w:val="24"/>
            <w:szCs w:val="24"/>
          </w:rPr>
          <w:t>http://www.comlaw.gov.au</w:t>
        </w:r>
      </w:hyperlink>
      <w:r w:rsidR="00487477" w:rsidRPr="00487477">
        <w:rPr>
          <w:sz w:val="24"/>
          <w:szCs w:val="24"/>
        </w:rPr>
        <w:t>).</w:t>
      </w:r>
    </w:p>
    <w:sectPr w:rsidR="00333097" w:rsidRPr="003D6BAA" w:rsidSect="00454574">
      <w:footerReference w:type="default" r:id="rId15"/>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D748D" w14:textId="77777777" w:rsidR="005E070F" w:rsidRDefault="005E070F">
      <w:r>
        <w:separator/>
      </w:r>
    </w:p>
  </w:endnote>
  <w:endnote w:type="continuationSeparator" w:id="0">
    <w:p w14:paraId="724D748E" w14:textId="77777777" w:rsidR="005E070F" w:rsidRDefault="005E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002816"/>
      <w:docPartObj>
        <w:docPartGallery w:val="Page Numbers (Bottom of Page)"/>
        <w:docPartUnique/>
      </w:docPartObj>
    </w:sdtPr>
    <w:sdtEndPr>
      <w:rPr>
        <w:noProof/>
      </w:rPr>
    </w:sdtEndPr>
    <w:sdtContent>
      <w:p w14:paraId="724D748F" w14:textId="77777777" w:rsidR="00646A40" w:rsidRDefault="00D97E7C">
        <w:pPr>
          <w:pStyle w:val="Footer"/>
          <w:jc w:val="right"/>
        </w:pPr>
        <w:r>
          <w:fldChar w:fldCharType="begin"/>
        </w:r>
        <w:r w:rsidR="00646A40">
          <w:instrText xml:space="preserve"> PAGE   \* MERGEFORMAT </w:instrText>
        </w:r>
        <w:r>
          <w:fldChar w:fldCharType="separate"/>
        </w:r>
        <w:r w:rsidR="00D674A1">
          <w:rPr>
            <w:noProof/>
          </w:rPr>
          <w:t>5</w:t>
        </w:r>
        <w:r>
          <w:rPr>
            <w:noProof/>
          </w:rPr>
          <w:fldChar w:fldCharType="end"/>
        </w:r>
      </w:p>
    </w:sdtContent>
  </w:sdt>
  <w:p w14:paraId="724D7490" w14:textId="77777777" w:rsidR="00646A40" w:rsidRDefault="00646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D748B" w14:textId="77777777" w:rsidR="005E070F" w:rsidRDefault="005E070F">
      <w:r>
        <w:separator/>
      </w:r>
    </w:p>
  </w:footnote>
  <w:footnote w:type="continuationSeparator" w:id="0">
    <w:p w14:paraId="724D748C" w14:textId="77777777" w:rsidR="005E070F" w:rsidRDefault="005E070F">
      <w:r>
        <w:continuationSeparator/>
      </w:r>
    </w:p>
  </w:footnote>
  <w:footnote w:id="1">
    <w:p w14:paraId="724D7491" w14:textId="77777777" w:rsidR="002769F5" w:rsidRPr="002769F5" w:rsidRDefault="002769F5">
      <w:pPr>
        <w:pStyle w:val="FootnoteText"/>
        <w:rPr>
          <w:lang w:val="en-US"/>
        </w:rPr>
      </w:pPr>
      <w:r>
        <w:rPr>
          <w:rStyle w:val="FootnoteReference"/>
        </w:rPr>
        <w:footnoteRef/>
      </w:r>
      <w:r>
        <w:t xml:space="preserve"> </w:t>
      </w:r>
      <w:r>
        <w:rPr>
          <w:lang w:val="en-US"/>
        </w:rPr>
        <w:t xml:space="preserve">Section 92 of the TUSMA Act defines a participating person for an eligible revenue period for the purposes of that Act.  An eligible revenue period means the 2011-12 financial year or a later financial year.  </w:t>
      </w:r>
    </w:p>
  </w:footnote>
  <w:footnote w:id="2">
    <w:p w14:paraId="724D7492" w14:textId="77777777" w:rsidR="002769F5" w:rsidRPr="002769F5" w:rsidRDefault="002769F5">
      <w:pPr>
        <w:pStyle w:val="FootnoteText"/>
        <w:rPr>
          <w:lang w:val="en-US"/>
        </w:rPr>
      </w:pPr>
      <w:r>
        <w:rPr>
          <w:rStyle w:val="FootnoteReference"/>
        </w:rPr>
        <w:footnoteRef/>
      </w:r>
      <w:r>
        <w:t xml:space="preserve"> </w:t>
      </w:r>
      <w:r>
        <w:rPr>
          <w:lang w:val="en-US"/>
        </w:rPr>
        <w:t xml:space="preserve">Section 93 of the TUSMA Act defines eligible revenue of a person for an eligible revenue period (other than the first eligible revenue period) for the purposes of that Act.  </w:t>
      </w:r>
    </w:p>
  </w:footnote>
  <w:footnote w:id="3">
    <w:p w14:paraId="724D7493" w14:textId="77777777" w:rsidR="005223BE" w:rsidRPr="005223BE" w:rsidRDefault="005223BE">
      <w:pPr>
        <w:pStyle w:val="FootnoteText"/>
        <w:rPr>
          <w:lang w:val="en-US"/>
        </w:rPr>
      </w:pPr>
      <w:r>
        <w:rPr>
          <w:rStyle w:val="FootnoteReference"/>
        </w:rPr>
        <w:footnoteRef/>
      </w:r>
      <w:r>
        <w:t xml:space="preserve"> </w:t>
      </w:r>
      <w:r w:rsidR="002769F5">
        <w:rPr>
          <w:lang w:val="en-US"/>
        </w:rPr>
        <w:t>The eligible revenue return, once given,</w:t>
      </w:r>
      <w:r w:rsidR="002769F5" w:rsidRPr="005223BE">
        <w:t xml:space="preserve"> </w:t>
      </w:r>
      <w:r w:rsidR="002769F5">
        <w:t>is used by the ACMA in its assessment of the participating person’s eligible revenue and contribution</w:t>
      </w:r>
      <w:r w:rsidR="002769F5" w:rsidRPr="00A6364B">
        <w:t xml:space="preserve"> </w:t>
      </w:r>
      <w:r w:rsidR="002769F5">
        <w:t xml:space="preserve">to the industry levy imposed by the </w:t>
      </w:r>
      <w:r w:rsidR="002769F5" w:rsidRPr="003E3E1F">
        <w:rPr>
          <w:i/>
        </w:rPr>
        <w:t>Telecommunications (Industry Levy) Act 201</w:t>
      </w:r>
      <w:r w:rsidR="002769F5">
        <w:rPr>
          <w:i/>
        </w:rPr>
        <w:t>2</w:t>
      </w:r>
      <w:r w:rsidR="002769F5">
        <w:t>.</w:t>
      </w:r>
    </w:p>
  </w:footnote>
  <w:footnote w:id="4">
    <w:p w14:paraId="724D7494" w14:textId="77777777" w:rsidR="00F93977" w:rsidRPr="00F93977" w:rsidRDefault="00F93977">
      <w:pPr>
        <w:pStyle w:val="FootnoteText"/>
        <w:rPr>
          <w:lang w:val="en-US"/>
        </w:rPr>
      </w:pPr>
      <w:r>
        <w:rPr>
          <w:rStyle w:val="FootnoteReference"/>
        </w:rPr>
        <w:footnoteRef/>
      </w:r>
      <w:r>
        <w:t xml:space="preserve"> </w:t>
      </w:r>
      <w:r w:rsidR="005700B8">
        <w:t>Subsection 94(2) of the TUSMA Act permits t</w:t>
      </w:r>
      <w:r>
        <w:rPr>
          <w:lang w:val="en-US"/>
        </w:rPr>
        <w:t>he ACMA</w:t>
      </w:r>
      <w:r w:rsidR="005700B8">
        <w:rPr>
          <w:lang w:val="en-US"/>
        </w:rPr>
        <w:t xml:space="preserve"> </w:t>
      </w:r>
      <w:r>
        <w:rPr>
          <w:lang w:val="en-US"/>
        </w:rPr>
        <w:t xml:space="preserve">by written notice to exempt </w:t>
      </w:r>
      <w:r w:rsidR="005700B8">
        <w:rPr>
          <w:lang w:val="en-US"/>
        </w:rPr>
        <w:t>a</w:t>
      </w:r>
      <w:r>
        <w:rPr>
          <w:lang w:val="en-US"/>
        </w:rPr>
        <w:t xml:space="preserve"> pe</w:t>
      </w:r>
      <w:r w:rsidR="00630A9A">
        <w:rPr>
          <w:lang w:val="en-US"/>
        </w:rPr>
        <w:t>rson from the</w:t>
      </w:r>
      <w:r>
        <w:rPr>
          <w:lang w:val="en-US"/>
        </w:rPr>
        <w:t xml:space="preserve"> requirement</w:t>
      </w:r>
      <w:r w:rsidR="00630A9A">
        <w:rPr>
          <w:lang w:val="en-US"/>
        </w:rPr>
        <w:t xml:space="preserve">s in subsection </w:t>
      </w:r>
      <w:r w:rsidR="0030594F">
        <w:rPr>
          <w:lang w:val="en-US"/>
        </w:rPr>
        <w:t>94</w:t>
      </w:r>
      <w:r w:rsidR="00630A9A">
        <w:rPr>
          <w:lang w:val="en-US"/>
        </w:rPr>
        <w:t>(1)</w:t>
      </w:r>
      <w:r w:rsidR="0030594F">
        <w:rPr>
          <w:lang w:val="en-US"/>
        </w:rPr>
        <w:t xml:space="preserve"> of that Act</w:t>
      </w:r>
      <w:r>
        <w:rPr>
          <w:lang w:val="en-US"/>
        </w:rPr>
        <w:t>.</w:t>
      </w:r>
    </w:p>
  </w:footnote>
  <w:footnote w:id="5">
    <w:p w14:paraId="724D7495" w14:textId="77777777" w:rsidR="00D06694" w:rsidRPr="00EB3459" w:rsidRDefault="00D06694" w:rsidP="00D06694">
      <w:pPr>
        <w:pStyle w:val="FootnoteText"/>
        <w:rPr>
          <w:lang w:val="en-US"/>
        </w:rPr>
      </w:pPr>
      <w:r>
        <w:rPr>
          <w:rStyle w:val="FootnoteReference"/>
        </w:rPr>
        <w:footnoteRef/>
      </w:r>
      <w:r>
        <w:t xml:space="preserve"> </w:t>
      </w:r>
      <w:r>
        <w:rPr>
          <w:lang w:val="en-US"/>
        </w:rPr>
        <w:t xml:space="preserve">That is, the </w:t>
      </w:r>
      <w:r w:rsidRPr="00EB3459">
        <w:rPr>
          <w:i/>
          <w:lang w:val="en-US"/>
        </w:rPr>
        <w:t>Auditing Competency Standard for Registered Company Auditors</w:t>
      </w:r>
      <w:r>
        <w:rPr>
          <w:lang w:val="en-US"/>
        </w:rPr>
        <w:t xml:space="preserve"> issued by CPA Australia and the</w:t>
      </w:r>
      <w:r w:rsidR="00017CD7">
        <w:rPr>
          <w:lang w:val="en-US"/>
        </w:rPr>
        <w:t xml:space="preserve"> then</w:t>
      </w:r>
      <w:r>
        <w:rPr>
          <w:lang w:val="en-US"/>
        </w:rPr>
        <w:t xml:space="preserve"> Institute of Chartered Accountants in Australia as at 24 November 2004.</w:t>
      </w:r>
    </w:p>
  </w:footnote>
  <w:footnote w:id="6">
    <w:p w14:paraId="724D7496" w14:textId="77777777" w:rsidR="0030594F" w:rsidRPr="0030594F" w:rsidRDefault="0030594F">
      <w:pPr>
        <w:pStyle w:val="FootnoteText"/>
        <w:rPr>
          <w:lang w:val="en-US"/>
        </w:rPr>
      </w:pPr>
      <w:r>
        <w:rPr>
          <w:rStyle w:val="FootnoteReference"/>
        </w:rPr>
        <w:footnoteRef/>
      </w:r>
      <w:r>
        <w:t xml:space="preserve"> S</w:t>
      </w:r>
      <w:r w:rsidRPr="0030594F">
        <w:t>ee subsection 29(1)</w:t>
      </w:r>
      <w:r>
        <w:t xml:space="preserve"> of the LIA, </w:t>
      </w:r>
      <w:r w:rsidRPr="0030594F">
        <w:t xml:space="preserve">subregulation 6(1) of the </w:t>
      </w:r>
      <w:r w:rsidRPr="0030594F">
        <w:rPr>
          <w:i/>
        </w:rPr>
        <w:t>Legislative Instruments Regulations 2004</w:t>
      </w:r>
      <w:r w:rsidRPr="0030594F">
        <w:t xml:space="preserve"> and subsection 32(2) of the LIA.</w:t>
      </w:r>
      <w:r>
        <w:rPr>
          <w:sz w:val="24"/>
        </w:rPr>
        <w:t xml:space="preserve">  </w:t>
      </w:r>
    </w:p>
  </w:footnote>
  <w:footnote w:id="7">
    <w:p w14:paraId="724D7497" w14:textId="77777777" w:rsidR="002544D8" w:rsidRPr="002544D8" w:rsidRDefault="002544D8">
      <w:pPr>
        <w:pStyle w:val="FootnoteText"/>
        <w:rPr>
          <w:lang w:val="en-US"/>
        </w:rPr>
      </w:pPr>
      <w:r>
        <w:rPr>
          <w:rStyle w:val="FootnoteReference"/>
        </w:rPr>
        <w:footnoteRef/>
      </w:r>
      <w:r>
        <w:t xml:space="preserve"> </w:t>
      </w:r>
      <w:r w:rsidRPr="002544D8">
        <w:rPr>
          <w:lang w:val="en-US"/>
        </w:rPr>
        <w:t xml:space="preserve">ASIC has also made ASIC Class Order [CO 14/784] </w:t>
      </w:r>
      <w:r w:rsidR="004A7A70">
        <w:rPr>
          <w:lang w:val="en-US"/>
        </w:rPr>
        <w:t xml:space="preserve">(which is registered on FRLI) </w:t>
      </w:r>
      <w:r w:rsidRPr="002544D8">
        <w:rPr>
          <w:lang w:val="en-US"/>
        </w:rPr>
        <w:t>to re</w:t>
      </w:r>
      <w:r w:rsidR="008106E1">
        <w:rPr>
          <w:lang w:val="en-US"/>
        </w:rPr>
        <w:t>approve</w:t>
      </w:r>
      <w:r w:rsidRPr="002544D8">
        <w:rPr>
          <w:lang w:val="en-US"/>
        </w:rPr>
        <w:t xml:space="preserve"> the auditing competency standard so as to ensure that </w:t>
      </w:r>
      <w:r w:rsidR="0030594F">
        <w:rPr>
          <w:lang w:val="en-US"/>
        </w:rPr>
        <w:t>ASIC may register persons as auditors in reliance on that standard prospectively.</w:t>
      </w:r>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A22"/>
    <w:multiLevelType w:val="hybridMultilevel"/>
    <w:tmpl w:val="D8C214BC"/>
    <w:lvl w:ilvl="0" w:tplc="5BFE7B70">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01653CE2"/>
    <w:multiLevelType w:val="hybridMultilevel"/>
    <w:tmpl w:val="BDC251F4"/>
    <w:lvl w:ilvl="0" w:tplc="43F2F4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2101FE"/>
    <w:multiLevelType w:val="hybridMultilevel"/>
    <w:tmpl w:val="AF38961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0B4C0466"/>
    <w:multiLevelType w:val="hybridMultilevel"/>
    <w:tmpl w:val="D018A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14368E"/>
    <w:multiLevelType w:val="singleLevel"/>
    <w:tmpl w:val="F1A0227C"/>
    <w:lvl w:ilvl="0">
      <w:start w:val="1"/>
      <w:numFmt w:val="lowerLetter"/>
      <w:lvlText w:val="%1)"/>
      <w:legacy w:legacy="1" w:legacySpace="0" w:legacyIndent="283"/>
      <w:lvlJc w:val="left"/>
      <w:pPr>
        <w:ind w:left="720" w:hanging="283"/>
      </w:pPr>
    </w:lvl>
  </w:abstractNum>
  <w:abstractNum w:abstractNumId="5">
    <w:nsid w:val="0EC54DED"/>
    <w:multiLevelType w:val="hybridMultilevel"/>
    <w:tmpl w:val="43BA8784"/>
    <w:lvl w:ilvl="0" w:tplc="73E21634">
      <w:start w:val="4"/>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17683659"/>
    <w:multiLevelType w:val="hybridMultilevel"/>
    <w:tmpl w:val="5B5E9FF6"/>
    <w:lvl w:ilvl="0" w:tplc="FD6CBE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4476476"/>
    <w:multiLevelType w:val="hybridMultilevel"/>
    <w:tmpl w:val="4D761C3A"/>
    <w:lvl w:ilvl="0" w:tplc="C20CFEB6">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nsid w:val="4FB92E08"/>
    <w:multiLevelType w:val="hybridMultilevel"/>
    <w:tmpl w:val="BCFED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2A81464"/>
    <w:multiLevelType w:val="singleLevel"/>
    <w:tmpl w:val="F1A0227C"/>
    <w:lvl w:ilvl="0">
      <w:start w:val="1"/>
      <w:numFmt w:val="lowerLetter"/>
      <w:lvlText w:val="%1)"/>
      <w:legacy w:legacy="1" w:legacySpace="0" w:legacyIndent="283"/>
      <w:lvlJc w:val="left"/>
      <w:pPr>
        <w:ind w:left="720" w:hanging="283"/>
      </w:pPr>
    </w:lvl>
  </w:abstractNum>
  <w:abstractNum w:abstractNumId="10">
    <w:nsid w:val="6C4E2953"/>
    <w:multiLevelType w:val="hybridMultilevel"/>
    <w:tmpl w:val="37DEA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1727F12"/>
    <w:multiLevelType w:val="hybridMultilevel"/>
    <w:tmpl w:val="3B849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ACE0040"/>
    <w:multiLevelType w:val="hybridMultilevel"/>
    <w:tmpl w:val="0E902AE0"/>
    <w:lvl w:ilvl="0" w:tplc="AA3C696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2"/>
  </w:num>
  <w:num w:numId="5">
    <w:abstractNumId w:val="1"/>
  </w:num>
  <w:num w:numId="6">
    <w:abstractNumId w:val="12"/>
  </w:num>
  <w:num w:numId="7">
    <w:abstractNumId w:val="6"/>
  </w:num>
  <w:num w:numId="8">
    <w:abstractNumId w:val="7"/>
  </w:num>
  <w:num w:numId="9">
    <w:abstractNumId w:val="0"/>
  </w:num>
  <w:num w:numId="10">
    <w:abstractNumId w:val="8"/>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59"/>
    <w:rsid w:val="00000137"/>
    <w:rsid w:val="000026C6"/>
    <w:rsid w:val="00003EEA"/>
    <w:rsid w:val="0001137A"/>
    <w:rsid w:val="00017CD7"/>
    <w:rsid w:val="00020282"/>
    <w:rsid w:val="000246C6"/>
    <w:rsid w:val="0002609E"/>
    <w:rsid w:val="00026685"/>
    <w:rsid w:val="000271C5"/>
    <w:rsid w:val="00030A63"/>
    <w:rsid w:val="00032CA0"/>
    <w:rsid w:val="00041A28"/>
    <w:rsid w:val="00044C24"/>
    <w:rsid w:val="00052326"/>
    <w:rsid w:val="00053696"/>
    <w:rsid w:val="00060CD9"/>
    <w:rsid w:val="00065793"/>
    <w:rsid w:val="00074FD8"/>
    <w:rsid w:val="00075603"/>
    <w:rsid w:val="00091551"/>
    <w:rsid w:val="00092EA8"/>
    <w:rsid w:val="000A000C"/>
    <w:rsid w:val="000A1C92"/>
    <w:rsid w:val="000A5060"/>
    <w:rsid w:val="000B2339"/>
    <w:rsid w:val="000C130F"/>
    <w:rsid w:val="000D21D9"/>
    <w:rsid w:val="000D71CD"/>
    <w:rsid w:val="000E5ED6"/>
    <w:rsid w:val="000E6621"/>
    <w:rsid w:val="001071A8"/>
    <w:rsid w:val="00111FF6"/>
    <w:rsid w:val="00114028"/>
    <w:rsid w:val="00114E04"/>
    <w:rsid w:val="00117039"/>
    <w:rsid w:val="00131304"/>
    <w:rsid w:val="00140743"/>
    <w:rsid w:val="00142D19"/>
    <w:rsid w:val="0014667B"/>
    <w:rsid w:val="001476DC"/>
    <w:rsid w:val="001560ED"/>
    <w:rsid w:val="001575B8"/>
    <w:rsid w:val="001575BB"/>
    <w:rsid w:val="001610DF"/>
    <w:rsid w:val="00163ABF"/>
    <w:rsid w:val="00166B27"/>
    <w:rsid w:val="0016721F"/>
    <w:rsid w:val="00171788"/>
    <w:rsid w:val="001727A9"/>
    <w:rsid w:val="001736AD"/>
    <w:rsid w:val="00174F6E"/>
    <w:rsid w:val="0018086E"/>
    <w:rsid w:val="00184D32"/>
    <w:rsid w:val="00190797"/>
    <w:rsid w:val="00193C92"/>
    <w:rsid w:val="001942A1"/>
    <w:rsid w:val="001B0C25"/>
    <w:rsid w:val="001B22CD"/>
    <w:rsid w:val="001B3A43"/>
    <w:rsid w:val="001B4BE1"/>
    <w:rsid w:val="001B60E2"/>
    <w:rsid w:val="001B6FCD"/>
    <w:rsid w:val="001C2104"/>
    <w:rsid w:val="001C350E"/>
    <w:rsid w:val="001C710F"/>
    <w:rsid w:val="001D49C3"/>
    <w:rsid w:val="001D5D99"/>
    <w:rsid w:val="001D637F"/>
    <w:rsid w:val="001E5AB4"/>
    <w:rsid w:val="001E6DE3"/>
    <w:rsid w:val="001F3854"/>
    <w:rsid w:val="001F41FB"/>
    <w:rsid w:val="001F598A"/>
    <w:rsid w:val="0020058E"/>
    <w:rsid w:val="00203D5A"/>
    <w:rsid w:val="002054F8"/>
    <w:rsid w:val="00211743"/>
    <w:rsid w:val="002156DE"/>
    <w:rsid w:val="002221B4"/>
    <w:rsid w:val="00240827"/>
    <w:rsid w:val="002537E1"/>
    <w:rsid w:val="0025429B"/>
    <w:rsid w:val="002544D8"/>
    <w:rsid w:val="002601C4"/>
    <w:rsid w:val="00270B62"/>
    <w:rsid w:val="002768E9"/>
    <w:rsid w:val="002769F5"/>
    <w:rsid w:val="00282410"/>
    <w:rsid w:val="00285CD6"/>
    <w:rsid w:val="002A2FF6"/>
    <w:rsid w:val="002A4270"/>
    <w:rsid w:val="002A51F4"/>
    <w:rsid w:val="002A60FD"/>
    <w:rsid w:val="002B3386"/>
    <w:rsid w:val="002B5944"/>
    <w:rsid w:val="002B744B"/>
    <w:rsid w:val="002C0425"/>
    <w:rsid w:val="002C1465"/>
    <w:rsid w:val="002C2859"/>
    <w:rsid w:val="002D4D55"/>
    <w:rsid w:val="002E3631"/>
    <w:rsid w:val="002E68AD"/>
    <w:rsid w:val="002F0B66"/>
    <w:rsid w:val="002F32C8"/>
    <w:rsid w:val="0030093C"/>
    <w:rsid w:val="00303BF2"/>
    <w:rsid w:val="00304EC6"/>
    <w:rsid w:val="00304ED2"/>
    <w:rsid w:val="0030594F"/>
    <w:rsid w:val="00306964"/>
    <w:rsid w:val="00313F3F"/>
    <w:rsid w:val="00314EB1"/>
    <w:rsid w:val="00322F94"/>
    <w:rsid w:val="00327C76"/>
    <w:rsid w:val="003317A6"/>
    <w:rsid w:val="00332D35"/>
    <w:rsid w:val="00333097"/>
    <w:rsid w:val="003355EC"/>
    <w:rsid w:val="0034147C"/>
    <w:rsid w:val="0036295E"/>
    <w:rsid w:val="00362F26"/>
    <w:rsid w:val="0037495D"/>
    <w:rsid w:val="00380998"/>
    <w:rsid w:val="003868E9"/>
    <w:rsid w:val="003874AC"/>
    <w:rsid w:val="0039242D"/>
    <w:rsid w:val="00393A8D"/>
    <w:rsid w:val="003940DD"/>
    <w:rsid w:val="003A10D8"/>
    <w:rsid w:val="003A237C"/>
    <w:rsid w:val="003A2D61"/>
    <w:rsid w:val="003A2FBD"/>
    <w:rsid w:val="003A45B7"/>
    <w:rsid w:val="003A7548"/>
    <w:rsid w:val="003B78BD"/>
    <w:rsid w:val="003C0CF7"/>
    <w:rsid w:val="003C1F52"/>
    <w:rsid w:val="003C2A3B"/>
    <w:rsid w:val="003C5612"/>
    <w:rsid w:val="003C63D3"/>
    <w:rsid w:val="003C7EB8"/>
    <w:rsid w:val="003D0645"/>
    <w:rsid w:val="003D6BAA"/>
    <w:rsid w:val="003D78C6"/>
    <w:rsid w:val="003E3E1F"/>
    <w:rsid w:val="003E6AEA"/>
    <w:rsid w:val="003F3BB6"/>
    <w:rsid w:val="003F7C5D"/>
    <w:rsid w:val="00406534"/>
    <w:rsid w:val="00411B8E"/>
    <w:rsid w:val="00412070"/>
    <w:rsid w:val="00421B69"/>
    <w:rsid w:val="0043118A"/>
    <w:rsid w:val="00440E93"/>
    <w:rsid w:val="00444718"/>
    <w:rsid w:val="00445BE4"/>
    <w:rsid w:val="00454470"/>
    <w:rsid w:val="00454574"/>
    <w:rsid w:val="00455F8E"/>
    <w:rsid w:val="004627F9"/>
    <w:rsid w:val="00477FF9"/>
    <w:rsid w:val="004825B4"/>
    <w:rsid w:val="00487477"/>
    <w:rsid w:val="00487759"/>
    <w:rsid w:val="0049204F"/>
    <w:rsid w:val="004964E2"/>
    <w:rsid w:val="004A0D25"/>
    <w:rsid w:val="004A43AD"/>
    <w:rsid w:val="004A64CB"/>
    <w:rsid w:val="004A7A70"/>
    <w:rsid w:val="004C2984"/>
    <w:rsid w:val="004D3252"/>
    <w:rsid w:val="004D3822"/>
    <w:rsid w:val="004D3A52"/>
    <w:rsid w:val="004F2394"/>
    <w:rsid w:val="004F444A"/>
    <w:rsid w:val="004F591A"/>
    <w:rsid w:val="004F7839"/>
    <w:rsid w:val="004F7875"/>
    <w:rsid w:val="00513373"/>
    <w:rsid w:val="005223BE"/>
    <w:rsid w:val="005261F2"/>
    <w:rsid w:val="0053691C"/>
    <w:rsid w:val="005501F3"/>
    <w:rsid w:val="00570079"/>
    <w:rsid w:val="005700B8"/>
    <w:rsid w:val="00570FFF"/>
    <w:rsid w:val="0057614F"/>
    <w:rsid w:val="005771B4"/>
    <w:rsid w:val="00577F49"/>
    <w:rsid w:val="00581E31"/>
    <w:rsid w:val="005859AA"/>
    <w:rsid w:val="00585B87"/>
    <w:rsid w:val="00585D87"/>
    <w:rsid w:val="00587A30"/>
    <w:rsid w:val="00594348"/>
    <w:rsid w:val="005A7C12"/>
    <w:rsid w:val="005B0CDE"/>
    <w:rsid w:val="005B3645"/>
    <w:rsid w:val="005C2A55"/>
    <w:rsid w:val="005C4B2F"/>
    <w:rsid w:val="005C5B20"/>
    <w:rsid w:val="005C6550"/>
    <w:rsid w:val="005C7F41"/>
    <w:rsid w:val="005D1773"/>
    <w:rsid w:val="005D550C"/>
    <w:rsid w:val="005E070F"/>
    <w:rsid w:val="005E136B"/>
    <w:rsid w:val="005E1735"/>
    <w:rsid w:val="005E1E50"/>
    <w:rsid w:val="00601DC5"/>
    <w:rsid w:val="0061240E"/>
    <w:rsid w:val="006142B2"/>
    <w:rsid w:val="006145F6"/>
    <w:rsid w:val="0061475C"/>
    <w:rsid w:val="006216EE"/>
    <w:rsid w:val="00623A21"/>
    <w:rsid w:val="00627009"/>
    <w:rsid w:val="00630A9A"/>
    <w:rsid w:val="00631D74"/>
    <w:rsid w:val="006335D9"/>
    <w:rsid w:val="006342BC"/>
    <w:rsid w:val="00637E19"/>
    <w:rsid w:val="006408B7"/>
    <w:rsid w:val="00641456"/>
    <w:rsid w:val="006449C0"/>
    <w:rsid w:val="00645684"/>
    <w:rsid w:val="00646A40"/>
    <w:rsid w:val="006507FE"/>
    <w:rsid w:val="006517B7"/>
    <w:rsid w:val="006525DC"/>
    <w:rsid w:val="00660572"/>
    <w:rsid w:val="006852D3"/>
    <w:rsid w:val="006916F2"/>
    <w:rsid w:val="006946D5"/>
    <w:rsid w:val="006A339E"/>
    <w:rsid w:val="006A34FA"/>
    <w:rsid w:val="006A3556"/>
    <w:rsid w:val="006A4171"/>
    <w:rsid w:val="006B106C"/>
    <w:rsid w:val="006B2234"/>
    <w:rsid w:val="006B51D6"/>
    <w:rsid w:val="006B5F33"/>
    <w:rsid w:val="006C2C15"/>
    <w:rsid w:val="006E2119"/>
    <w:rsid w:val="006E2C30"/>
    <w:rsid w:val="006E32B7"/>
    <w:rsid w:val="006E40B7"/>
    <w:rsid w:val="006F0308"/>
    <w:rsid w:val="006F12EE"/>
    <w:rsid w:val="0070738A"/>
    <w:rsid w:val="00707F1F"/>
    <w:rsid w:val="00712104"/>
    <w:rsid w:val="00716D5F"/>
    <w:rsid w:val="00722911"/>
    <w:rsid w:val="00730F72"/>
    <w:rsid w:val="007329AE"/>
    <w:rsid w:val="00733B9D"/>
    <w:rsid w:val="00733D0A"/>
    <w:rsid w:val="00737FB8"/>
    <w:rsid w:val="00741EC3"/>
    <w:rsid w:val="00754FD3"/>
    <w:rsid w:val="00756A1A"/>
    <w:rsid w:val="00763061"/>
    <w:rsid w:val="00765384"/>
    <w:rsid w:val="00781956"/>
    <w:rsid w:val="0078781B"/>
    <w:rsid w:val="007A3F3B"/>
    <w:rsid w:val="007B1811"/>
    <w:rsid w:val="007B41B4"/>
    <w:rsid w:val="007B440B"/>
    <w:rsid w:val="007B4B58"/>
    <w:rsid w:val="007B6DEF"/>
    <w:rsid w:val="007D0C49"/>
    <w:rsid w:val="007D185C"/>
    <w:rsid w:val="007D27FF"/>
    <w:rsid w:val="007D2F3C"/>
    <w:rsid w:val="007D5066"/>
    <w:rsid w:val="007D7A3E"/>
    <w:rsid w:val="007E18D9"/>
    <w:rsid w:val="007E2F9F"/>
    <w:rsid w:val="007E4145"/>
    <w:rsid w:val="007E72ED"/>
    <w:rsid w:val="007F66BB"/>
    <w:rsid w:val="007F70B4"/>
    <w:rsid w:val="008106E1"/>
    <w:rsid w:val="00812B7B"/>
    <w:rsid w:val="00813C29"/>
    <w:rsid w:val="008251EE"/>
    <w:rsid w:val="00827FB6"/>
    <w:rsid w:val="00834C6C"/>
    <w:rsid w:val="00834F07"/>
    <w:rsid w:val="00837C90"/>
    <w:rsid w:val="00846DE4"/>
    <w:rsid w:val="008550D0"/>
    <w:rsid w:val="00862176"/>
    <w:rsid w:val="00871F88"/>
    <w:rsid w:val="00873F3E"/>
    <w:rsid w:val="008757B9"/>
    <w:rsid w:val="0087589F"/>
    <w:rsid w:val="00875CB6"/>
    <w:rsid w:val="00884AB8"/>
    <w:rsid w:val="00886170"/>
    <w:rsid w:val="008A0476"/>
    <w:rsid w:val="008A1142"/>
    <w:rsid w:val="008A16AE"/>
    <w:rsid w:val="008A6029"/>
    <w:rsid w:val="008B22A7"/>
    <w:rsid w:val="008B55DF"/>
    <w:rsid w:val="008C74DD"/>
    <w:rsid w:val="008D2533"/>
    <w:rsid w:val="008D6C83"/>
    <w:rsid w:val="008D7143"/>
    <w:rsid w:val="008E7A1B"/>
    <w:rsid w:val="008F3F36"/>
    <w:rsid w:val="008F6E04"/>
    <w:rsid w:val="00901C20"/>
    <w:rsid w:val="00907E4F"/>
    <w:rsid w:val="0091404F"/>
    <w:rsid w:val="009143A9"/>
    <w:rsid w:val="00916B0A"/>
    <w:rsid w:val="00917FFA"/>
    <w:rsid w:val="00921EA0"/>
    <w:rsid w:val="00925D33"/>
    <w:rsid w:val="009273FC"/>
    <w:rsid w:val="0093612B"/>
    <w:rsid w:val="00955F84"/>
    <w:rsid w:val="00967677"/>
    <w:rsid w:val="009724AE"/>
    <w:rsid w:val="00983711"/>
    <w:rsid w:val="009A65F1"/>
    <w:rsid w:val="009B05CA"/>
    <w:rsid w:val="009B0B48"/>
    <w:rsid w:val="009B1B19"/>
    <w:rsid w:val="009B5972"/>
    <w:rsid w:val="009B68D8"/>
    <w:rsid w:val="009C44BD"/>
    <w:rsid w:val="009C7D50"/>
    <w:rsid w:val="009D1762"/>
    <w:rsid w:val="009D5CD1"/>
    <w:rsid w:val="009E1632"/>
    <w:rsid w:val="009E7290"/>
    <w:rsid w:val="009F05F1"/>
    <w:rsid w:val="009F6044"/>
    <w:rsid w:val="009F7F77"/>
    <w:rsid w:val="00A03828"/>
    <w:rsid w:val="00A05582"/>
    <w:rsid w:val="00A07541"/>
    <w:rsid w:val="00A108CE"/>
    <w:rsid w:val="00A11B30"/>
    <w:rsid w:val="00A134C1"/>
    <w:rsid w:val="00A305C2"/>
    <w:rsid w:val="00A3122E"/>
    <w:rsid w:val="00A34B02"/>
    <w:rsid w:val="00A360C6"/>
    <w:rsid w:val="00A47BCD"/>
    <w:rsid w:val="00A51566"/>
    <w:rsid w:val="00A6364B"/>
    <w:rsid w:val="00A6374A"/>
    <w:rsid w:val="00A66D05"/>
    <w:rsid w:val="00A73C6D"/>
    <w:rsid w:val="00A7657D"/>
    <w:rsid w:val="00A77876"/>
    <w:rsid w:val="00A94255"/>
    <w:rsid w:val="00A9657B"/>
    <w:rsid w:val="00AA5590"/>
    <w:rsid w:val="00AA57BE"/>
    <w:rsid w:val="00AB00AF"/>
    <w:rsid w:val="00AB7CBE"/>
    <w:rsid w:val="00AC0D60"/>
    <w:rsid w:val="00AD0C6A"/>
    <w:rsid w:val="00AD36E2"/>
    <w:rsid w:val="00AE517B"/>
    <w:rsid w:val="00AF01DB"/>
    <w:rsid w:val="00AF0D89"/>
    <w:rsid w:val="00B02835"/>
    <w:rsid w:val="00B04B85"/>
    <w:rsid w:val="00B150C3"/>
    <w:rsid w:val="00B15AE3"/>
    <w:rsid w:val="00B17FCF"/>
    <w:rsid w:val="00B21275"/>
    <w:rsid w:val="00B30AB9"/>
    <w:rsid w:val="00B3142C"/>
    <w:rsid w:val="00B319BE"/>
    <w:rsid w:val="00B33B8F"/>
    <w:rsid w:val="00B51ECF"/>
    <w:rsid w:val="00B52BC4"/>
    <w:rsid w:val="00B54DF3"/>
    <w:rsid w:val="00B60EA6"/>
    <w:rsid w:val="00B63CEE"/>
    <w:rsid w:val="00B64707"/>
    <w:rsid w:val="00B653A9"/>
    <w:rsid w:val="00B73F96"/>
    <w:rsid w:val="00B7620F"/>
    <w:rsid w:val="00B8013C"/>
    <w:rsid w:val="00B87D45"/>
    <w:rsid w:val="00B91075"/>
    <w:rsid w:val="00BA136F"/>
    <w:rsid w:val="00BA1649"/>
    <w:rsid w:val="00BA549E"/>
    <w:rsid w:val="00BA5FE9"/>
    <w:rsid w:val="00BB070F"/>
    <w:rsid w:val="00BB24B3"/>
    <w:rsid w:val="00BC11CC"/>
    <w:rsid w:val="00BC3551"/>
    <w:rsid w:val="00BC3D72"/>
    <w:rsid w:val="00BD20C7"/>
    <w:rsid w:val="00BE2A57"/>
    <w:rsid w:val="00BF190E"/>
    <w:rsid w:val="00C043A0"/>
    <w:rsid w:val="00C0604F"/>
    <w:rsid w:val="00C232D2"/>
    <w:rsid w:val="00C50967"/>
    <w:rsid w:val="00C56AB0"/>
    <w:rsid w:val="00C603D9"/>
    <w:rsid w:val="00C63615"/>
    <w:rsid w:val="00C65220"/>
    <w:rsid w:val="00C91415"/>
    <w:rsid w:val="00C91F3A"/>
    <w:rsid w:val="00CA2EA8"/>
    <w:rsid w:val="00CA6605"/>
    <w:rsid w:val="00CB7E0B"/>
    <w:rsid w:val="00CC1598"/>
    <w:rsid w:val="00CC2335"/>
    <w:rsid w:val="00CC4829"/>
    <w:rsid w:val="00CC66F3"/>
    <w:rsid w:val="00CC791B"/>
    <w:rsid w:val="00CD143C"/>
    <w:rsid w:val="00CE1652"/>
    <w:rsid w:val="00CE3CFD"/>
    <w:rsid w:val="00CE54AD"/>
    <w:rsid w:val="00CE6DF0"/>
    <w:rsid w:val="00D009CB"/>
    <w:rsid w:val="00D00B05"/>
    <w:rsid w:val="00D04076"/>
    <w:rsid w:val="00D047D9"/>
    <w:rsid w:val="00D06694"/>
    <w:rsid w:val="00D124E8"/>
    <w:rsid w:val="00D14FFC"/>
    <w:rsid w:val="00D22480"/>
    <w:rsid w:val="00D32EC3"/>
    <w:rsid w:val="00D351A2"/>
    <w:rsid w:val="00D44F88"/>
    <w:rsid w:val="00D468D5"/>
    <w:rsid w:val="00D50A6A"/>
    <w:rsid w:val="00D56367"/>
    <w:rsid w:val="00D674A1"/>
    <w:rsid w:val="00D71C0B"/>
    <w:rsid w:val="00D826EF"/>
    <w:rsid w:val="00D97E7C"/>
    <w:rsid w:val="00DA43AC"/>
    <w:rsid w:val="00DB361F"/>
    <w:rsid w:val="00DB7E04"/>
    <w:rsid w:val="00DC0038"/>
    <w:rsid w:val="00DC1B41"/>
    <w:rsid w:val="00DC3F7A"/>
    <w:rsid w:val="00DC4081"/>
    <w:rsid w:val="00DD2AD9"/>
    <w:rsid w:val="00DD5348"/>
    <w:rsid w:val="00DD5B6B"/>
    <w:rsid w:val="00DD7B6F"/>
    <w:rsid w:val="00DE023F"/>
    <w:rsid w:val="00DE4770"/>
    <w:rsid w:val="00DE4D41"/>
    <w:rsid w:val="00DF1BAF"/>
    <w:rsid w:val="00DF2060"/>
    <w:rsid w:val="00DF39A4"/>
    <w:rsid w:val="00E05354"/>
    <w:rsid w:val="00E05D84"/>
    <w:rsid w:val="00E10793"/>
    <w:rsid w:val="00E12AAE"/>
    <w:rsid w:val="00E14402"/>
    <w:rsid w:val="00E16915"/>
    <w:rsid w:val="00E240BE"/>
    <w:rsid w:val="00E271C5"/>
    <w:rsid w:val="00E27ED8"/>
    <w:rsid w:val="00E44A17"/>
    <w:rsid w:val="00E51571"/>
    <w:rsid w:val="00E528B8"/>
    <w:rsid w:val="00E57814"/>
    <w:rsid w:val="00E63A19"/>
    <w:rsid w:val="00E80D31"/>
    <w:rsid w:val="00E8652B"/>
    <w:rsid w:val="00E95640"/>
    <w:rsid w:val="00EA0061"/>
    <w:rsid w:val="00EA6152"/>
    <w:rsid w:val="00EB12EA"/>
    <w:rsid w:val="00EB3459"/>
    <w:rsid w:val="00EC1BF3"/>
    <w:rsid w:val="00EC4E3E"/>
    <w:rsid w:val="00EC6749"/>
    <w:rsid w:val="00ED4A05"/>
    <w:rsid w:val="00EE19DA"/>
    <w:rsid w:val="00EE6D35"/>
    <w:rsid w:val="00EF5E37"/>
    <w:rsid w:val="00EF60CB"/>
    <w:rsid w:val="00F14E4F"/>
    <w:rsid w:val="00F22AEA"/>
    <w:rsid w:val="00F26AD4"/>
    <w:rsid w:val="00F347AD"/>
    <w:rsid w:val="00F4002F"/>
    <w:rsid w:val="00F426D1"/>
    <w:rsid w:val="00F4448D"/>
    <w:rsid w:val="00F470E0"/>
    <w:rsid w:val="00F47CE2"/>
    <w:rsid w:val="00F51A09"/>
    <w:rsid w:val="00F52D88"/>
    <w:rsid w:val="00F607E1"/>
    <w:rsid w:val="00F64868"/>
    <w:rsid w:val="00F66D95"/>
    <w:rsid w:val="00F764CD"/>
    <w:rsid w:val="00F821BF"/>
    <w:rsid w:val="00F8722E"/>
    <w:rsid w:val="00F93977"/>
    <w:rsid w:val="00FB1672"/>
    <w:rsid w:val="00FB27C8"/>
    <w:rsid w:val="00FB5DDA"/>
    <w:rsid w:val="00FC0DC7"/>
    <w:rsid w:val="00FC79D6"/>
    <w:rsid w:val="00FD08D1"/>
    <w:rsid w:val="00FE7F79"/>
    <w:rsid w:val="00FF1957"/>
    <w:rsid w:val="00FF2467"/>
    <w:rsid w:val="00FF6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4D7430"/>
  <w15:docId w15:val="{0A38C247-1A32-44FF-9FBD-B2FB8C3D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AE3"/>
  </w:style>
  <w:style w:type="paragraph" w:styleId="Heading1">
    <w:name w:val="heading 1"/>
    <w:basedOn w:val="Normal"/>
    <w:next w:val="Normal"/>
    <w:qFormat/>
    <w:rsid w:val="00F347AD"/>
    <w:pPr>
      <w:keepNext/>
      <w:outlineLvl w:val="0"/>
    </w:pPr>
    <w:rPr>
      <w:b/>
      <w:sz w:val="28"/>
    </w:rPr>
  </w:style>
  <w:style w:type="paragraph" w:styleId="Heading2">
    <w:name w:val="heading 2"/>
    <w:basedOn w:val="Normal"/>
    <w:next w:val="Normal"/>
    <w:qFormat/>
    <w:rsid w:val="00F347AD"/>
    <w:pPr>
      <w:keepNext/>
      <w:jc w:val="center"/>
      <w:outlineLvl w:val="1"/>
    </w:pPr>
    <w:rPr>
      <w:b/>
      <w:sz w:val="24"/>
    </w:rPr>
  </w:style>
  <w:style w:type="paragraph" w:styleId="Heading3">
    <w:name w:val="heading 3"/>
    <w:basedOn w:val="Normal"/>
    <w:next w:val="Normal"/>
    <w:qFormat/>
    <w:rsid w:val="00F347AD"/>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7AD"/>
    <w:pPr>
      <w:tabs>
        <w:tab w:val="center" w:pos="4153"/>
        <w:tab w:val="right" w:pos="8306"/>
      </w:tabs>
    </w:pPr>
  </w:style>
  <w:style w:type="paragraph" w:styleId="Footer">
    <w:name w:val="footer"/>
    <w:basedOn w:val="Normal"/>
    <w:link w:val="FooterChar"/>
    <w:uiPriority w:val="99"/>
    <w:rsid w:val="00F347AD"/>
    <w:pPr>
      <w:tabs>
        <w:tab w:val="center" w:pos="4153"/>
        <w:tab w:val="right" w:pos="8306"/>
      </w:tabs>
    </w:pPr>
  </w:style>
  <w:style w:type="paragraph" w:styleId="BalloonText">
    <w:name w:val="Balloon Text"/>
    <w:basedOn w:val="Normal"/>
    <w:semiHidden/>
    <w:rsid w:val="00F347AD"/>
    <w:rPr>
      <w:rFonts w:ascii="Tahoma" w:hAnsi="Tahoma" w:cs="Tahoma"/>
      <w:sz w:val="16"/>
      <w:szCs w:val="16"/>
    </w:rPr>
  </w:style>
  <w:style w:type="paragraph" w:customStyle="1" w:styleId="ACMABodyText">
    <w:name w:val="ACMA Body Text"/>
    <w:link w:val="ACMABodyTextChar1"/>
    <w:rsid w:val="00B150C3"/>
    <w:pPr>
      <w:suppressAutoHyphens/>
      <w:spacing w:before="80" w:after="120" w:line="280" w:lineRule="atLeast"/>
    </w:pPr>
    <w:rPr>
      <w:snapToGrid w:val="0"/>
      <w:sz w:val="24"/>
      <w:lang w:eastAsia="en-US"/>
    </w:rPr>
  </w:style>
  <w:style w:type="character" w:styleId="CommentReference">
    <w:name w:val="annotation reference"/>
    <w:basedOn w:val="DefaultParagraphFont"/>
    <w:uiPriority w:val="99"/>
    <w:semiHidden/>
    <w:rsid w:val="00B150C3"/>
    <w:rPr>
      <w:sz w:val="16"/>
      <w:szCs w:val="16"/>
    </w:rPr>
  </w:style>
  <w:style w:type="paragraph" w:styleId="CommentText">
    <w:name w:val="annotation text"/>
    <w:basedOn w:val="Normal"/>
    <w:link w:val="CommentTextChar"/>
    <w:uiPriority w:val="99"/>
    <w:semiHidden/>
    <w:rsid w:val="00B150C3"/>
  </w:style>
  <w:style w:type="paragraph" w:styleId="CommentSubject">
    <w:name w:val="annotation subject"/>
    <w:basedOn w:val="CommentText"/>
    <w:next w:val="CommentText"/>
    <w:semiHidden/>
    <w:rsid w:val="00B150C3"/>
    <w:rPr>
      <w:b/>
      <w:bCs/>
    </w:rPr>
  </w:style>
  <w:style w:type="paragraph" w:styleId="ListParagraph">
    <w:name w:val="List Paragraph"/>
    <w:basedOn w:val="Normal"/>
    <w:uiPriority w:val="34"/>
    <w:qFormat/>
    <w:rsid w:val="00314EB1"/>
    <w:pPr>
      <w:ind w:left="720"/>
    </w:pPr>
  </w:style>
  <w:style w:type="paragraph" w:customStyle="1" w:styleId="HR">
    <w:name w:val="HR"/>
    <w:aliases w:val="Regulation Heading"/>
    <w:basedOn w:val="Normal"/>
    <w:next w:val="Normal"/>
    <w:rsid w:val="00B15AE3"/>
    <w:pPr>
      <w:keepNext/>
      <w:keepLines/>
      <w:spacing w:before="360"/>
      <w:ind w:left="964" w:hanging="964"/>
    </w:pPr>
    <w:rPr>
      <w:rFonts w:ascii="Arial" w:hAnsi="Arial"/>
      <w:b/>
      <w:sz w:val="24"/>
      <w:szCs w:val="24"/>
    </w:rPr>
  </w:style>
  <w:style w:type="paragraph" w:styleId="Title">
    <w:name w:val="Title"/>
    <w:basedOn w:val="Normal"/>
    <w:link w:val="TitleChar"/>
    <w:qFormat/>
    <w:rsid w:val="00FF6E5C"/>
    <w:pPr>
      <w:jc w:val="center"/>
    </w:pPr>
    <w:rPr>
      <w:b/>
      <w:sz w:val="28"/>
      <w:u w:val="single"/>
      <w:lang w:val="en-GB"/>
    </w:rPr>
  </w:style>
  <w:style w:type="character" w:customStyle="1" w:styleId="TitleChar">
    <w:name w:val="Title Char"/>
    <w:basedOn w:val="DefaultParagraphFont"/>
    <w:link w:val="Title"/>
    <w:rsid w:val="00FF6E5C"/>
    <w:rPr>
      <w:b/>
      <w:sz w:val="28"/>
      <w:u w:val="single"/>
      <w:lang w:val="en-GB"/>
    </w:rPr>
  </w:style>
  <w:style w:type="character" w:customStyle="1" w:styleId="CommentTextChar">
    <w:name w:val="Comment Text Char"/>
    <w:basedOn w:val="DefaultParagraphFont"/>
    <w:link w:val="CommentText"/>
    <w:uiPriority w:val="99"/>
    <w:semiHidden/>
    <w:rsid w:val="00285CD6"/>
  </w:style>
  <w:style w:type="paragraph" w:customStyle="1" w:styleId="ACMABodyTextChar">
    <w:name w:val="ACMA Body Text Char"/>
    <w:link w:val="ACMABodyTextCharChar"/>
    <w:rsid w:val="000026C6"/>
    <w:pPr>
      <w:suppressAutoHyphens/>
      <w:spacing w:before="80" w:after="120" w:line="280" w:lineRule="atLeast"/>
    </w:pPr>
    <w:rPr>
      <w:snapToGrid w:val="0"/>
      <w:sz w:val="24"/>
      <w:lang w:eastAsia="en-US"/>
    </w:rPr>
  </w:style>
  <w:style w:type="character" w:customStyle="1" w:styleId="ACMABodyTextCharChar">
    <w:name w:val="ACMA Body Text Char Char"/>
    <w:link w:val="ACMABodyTextChar"/>
    <w:rsid w:val="000026C6"/>
    <w:rPr>
      <w:snapToGrid w:val="0"/>
      <w:sz w:val="24"/>
      <w:lang w:eastAsia="en-US"/>
    </w:rPr>
  </w:style>
  <w:style w:type="character" w:customStyle="1" w:styleId="ACMABodyTextChar1">
    <w:name w:val="ACMA Body Text Char1"/>
    <w:link w:val="ACMABodyText"/>
    <w:rsid w:val="000026C6"/>
    <w:rPr>
      <w:snapToGrid w:val="0"/>
      <w:sz w:val="24"/>
      <w:lang w:eastAsia="en-US"/>
    </w:rPr>
  </w:style>
  <w:style w:type="paragraph" w:styleId="FootnoteText">
    <w:name w:val="footnote text"/>
    <w:basedOn w:val="Normal"/>
    <w:link w:val="FootnoteTextChar"/>
    <w:rsid w:val="003A2D61"/>
  </w:style>
  <w:style w:type="character" w:customStyle="1" w:styleId="FootnoteTextChar">
    <w:name w:val="Footnote Text Char"/>
    <w:basedOn w:val="DefaultParagraphFont"/>
    <w:link w:val="FootnoteText"/>
    <w:rsid w:val="003A2D61"/>
  </w:style>
  <w:style w:type="character" w:styleId="FootnoteReference">
    <w:name w:val="footnote reference"/>
    <w:basedOn w:val="DefaultParagraphFont"/>
    <w:rsid w:val="003A2D61"/>
    <w:rPr>
      <w:vertAlign w:val="superscript"/>
    </w:rPr>
  </w:style>
  <w:style w:type="paragraph" w:customStyle="1" w:styleId="R1">
    <w:name w:val="R1"/>
    <w:aliases w:val="1. or 1.(1)"/>
    <w:basedOn w:val="Normal"/>
    <w:next w:val="Normal"/>
    <w:rsid w:val="008E7A1B"/>
    <w:pPr>
      <w:keepLines/>
      <w:tabs>
        <w:tab w:val="right" w:pos="794"/>
      </w:tabs>
      <w:spacing w:before="120" w:line="260" w:lineRule="exact"/>
      <w:ind w:left="964" w:hanging="964"/>
      <w:jc w:val="both"/>
    </w:pPr>
    <w:rPr>
      <w:sz w:val="24"/>
      <w:szCs w:val="24"/>
    </w:rPr>
  </w:style>
  <w:style w:type="character" w:customStyle="1" w:styleId="FooterChar">
    <w:name w:val="Footer Char"/>
    <w:basedOn w:val="DefaultParagraphFont"/>
    <w:link w:val="Footer"/>
    <w:uiPriority w:val="99"/>
    <w:rsid w:val="00646A40"/>
  </w:style>
  <w:style w:type="paragraph" w:customStyle="1" w:styleId="ABABulletLevel1">
    <w:name w:val="ABA Bullet Level 1"/>
    <w:rsid w:val="00D44F88"/>
    <w:rPr>
      <w:sz w:val="24"/>
      <w:lang w:eastAsia="en-US"/>
    </w:rPr>
  </w:style>
  <w:style w:type="character" w:styleId="Hyperlink">
    <w:name w:val="Hyperlink"/>
    <w:basedOn w:val="DefaultParagraphFont"/>
    <w:uiPriority w:val="99"/>
    <w:unhideWhenUsed/>
    <w:rsid w:val="00487477"/>
    <w:rPr>
      <w:color w:val="0000FF" w:themeColor="hyperlink"/>
      <w:u w:val="single"/>
    </w:rPr>
  </w:style>
  <w:style w:type="paragraph" w:customStyle="1" w:styleId="definition">
    <w:name w:val="definition"/>
    <w:basedOn w:val="Normal"/>
    <w:rsid w:val="006B106C"/>
    <w:pPr>
      <w:spacing w:before="100" w:beforeAutospacing="1" w:after="100" w:afterAutospacing="1"/>
    </w:pPr>
    <w:rPr>
      <w:sz w:val="24"/>
      <w:szCs w:val="24"/>
    </w:rPr>
  </w:style>
  <w:style w:type="paragraph" w:customStyle="1" w:styleId="paragraph">
    <w:name w:val="paragraph"/>
    <w:basedOn w:val="Normal"/>
    <w:rsid w:val="006B106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5571">
      <w:bodyDiv w:val="1"/>
      <w:marLeft w:val="0"/>
      <w:marRight w:val="0"/>
      <w:marTop w:val="0"/>
      <w:marBottom w:val="0"/>
      <w:divBdr>
        <w:top w:val="none" w:sz="0" w:space="0" w:color="auto"/>
        <w:left w:val="none" w:sz="0" w:space="0" w:color="auto"/>
        <w:bottom w:val="none" w:sz="0" w:space="0" w:color="auto"/>
        <w:right w:val="none" w:sz="0" w:space="0" w:color="auto"/>
      </w:divBdr>
    </w:div>
    <w:div w:id="1377773784">
      <w:bodyDiv w:val="1"/>
      <w:marLeft w:val="0"/>
      <w:marRight w:val="0"/>
      <w:marTop w:val="0"/>
      <w:marBottom w:val="0"/>
      <w:divBdr>
        <w:top w:val="none" w:sz="0" w:space="0" w:color="auto"/>
        <w:left w:val="none" w:sz="0" w:space="0" w:color="auto"/>
        <w:bottom w:val="none" w:sz="0" w:space="0" w:color="auto"/>
        <w:right w:val="none" w:sz="0" w:space="0" w:color="auto"/>
      </w:divBdr>
      <w:divsChild>
        <w:div w:id="794296759">
          <w:marLeft w:val="0"/>
          <w:marRight w:val="0"/>
          <w:marTop w:val="0"/>
          <w:marBottom w:val="0"/>
          <w:divBdr>
            <w:top w:val="none" w:sz="0" w:space="0" w:color="auto"/>
            <w:left w:val="none" w:sz="0" w:space="0" w:color="auto"/>
            <w:bottom w:val="none" w:sz="0" w:space="0" w:color="auto"/>
            <w:right w:val="none" w:sz="0" w:space="0" w:color="auto"/>
          </w:divBdr>
          <w:divsChild>
            <w:div w:id="602305785">
              <w:marLeft w:val="0"/>
              <w:marRight w:val="0"/>
              <w:marTop w:val="0"/>
              <w:marBottom w:val="0"/>
              <w:divBdr>
                <w:top w:val="none" w:sz="0" w:space="0" w:color="auto"/>
                <w:left w:val="none" w:sz="0" w:space="0" w:color="auto"/>
                <w:bottom w:val="none" w:sz="0" w:space="0" w:color="auto"/>
                <w:right w:val="none" w:sz="0" w:space="0" w:color="auto"/>
              </w:divBdr>
              <w:divsChild>
                <w:div w:id="617032718">
                  <w:marLeft w:val="0"/>
                  <w:marRight w:val="0"/>
                  <w:marTop w:val="0"/>
                  <w:marBottom w:val="0"/>
                  <w:divBdr>
                    <w:top w:val="none" w:sz="0" w:space="0" w:color="auto"/>
                    <w:left w:val="none" w:sz="0" w:space="0" w:color="auto"/>
                    <w:bottom w:val="none" w:sz="0" w:space="0" w:color="auto"/>
                    <w:right w:val="none" w:sz="0" w:space="0" w:color="auto"/>
                  </w:divBdr>
                  <w:divsChild>
                    <w:div w:id="696203579">
                      <w:marLeft w:val="0"/>
                      <w:marRight w:val="0"/>
                      <w:marTop w:val="0"/>
                      <w:marBottom w:val="0"/>
                      <w:divBdr>
                        <w:top w:val="none" w:sz="0" w:space="0" w:color="auto"/>
                        <w:left w:val="none" w:sz="0" w:space="0" w:color="auto"/>
                        <w:bottom w:val="none" w:sz="0" w:space="0" w:color="auto"/>
                        <w:right w:val="none" w:sz="0" w:space="0" w:color="auto"/>
                      </w:divBdr>
                      <w:divsChild>
                        <w:div w:id="1496530432">
                          <w:marLeft w:val="0"/>
                          <w:marRight w:val="0"/>
                          <w:marTop w:val="0"/>
                          <w:marBottom w:val="0"/>
                          <w:divBdr>
                            <w:top w:val="single" w:sz="6" w:space="0" w:color="828282"/>
                            <w:left w:val="single" w:sz="6" w:space="0" w:color="828282"/>
                            <w:bottom w:val="single" w:sz="6" w:space="0" w:color="828282"/>
                            <w:right w:val="single" w:sz="6" w:space="0" w:color="828282"/>
                          </w:divBdr>
                          <w:divsChild>
                            <w:div w:id="1085566562">
                              <w:marLeft w:val="0"/>
                              <w:marRight w:val="0"/>
                              <w:marTop w:val="0"/>
                              <w:marBottom w:val="0"/>
                              <w:divBdr>
                                <w:top w:val="none" w:sz="0" w:space="0" w:color="auto"/>
                                <w:left w:val="none" w:sz="0" w:space="0" w:color="auto"/>
                                <w:bottom w:val="none" w:sz="0" w:space="0" w:color="auto"/>
                                <w:right w:val="none" w:sz="0" w:space="0" w:color="auto"/>
                              </w:divBdr>
                              <w:divsChild>
                                <w:div w:id="274990078">
                                  <w:marLeft w:val="0"/>
                                  <w:marRight w:val="0"/>
                                  <w:marTop w:val="0"/>
                                  <w:marBottom w:val="0"/>
                                  <w:divBdr>
                                    <w:top w:val="none" w:sz="0" w:space="0" w:color="auto"/>
                                    <w:left w:val="none" w:sz="0" w:space="0" w:color="auto"/>
                                    <w:bottom w:val="none" w:sz="0" w:space="0" w:color="auto"/>
                                    <w:right w:val="none" w:sz="0" w:space="0" w:color="auto"/>
                                  </w:divBdr>
                                  <w:divsChild>
                                    <w:div w:id="637272131">
                                      <w:marLeft w:val="0"/>
                                      <w:marRight w:val="0"/>
                                      <w:marTop w:val="0"/>
                                      <w:marBottom w:val="0"/>
                                      <w:divBdr>
                                        <w:top w:val="none" w:sz="0" w:space="0" w:color="auto"/>
                                        <w:left w:val="none" w:sz="0" w:space="0" w:color="auto"/>
                                        <w:bottom w:val="none" w:sz="0" w:space="0" w:color="auto"/>
                                        <w:right w:val="none" w:sz="0" w:space="0" w:color="auto"/>
                                      </w:divBdr>
                                      <w:divsChild>
                                        <w:div w:id="375130921">
                                          <w:marLeft w:val="0"/>
                                          <w:marRight w:val="0"/>
                                          <w:marTop w:val="0"/>
                                          <w:marBottom w:val="0"/>
                                          <w:divBdr>
                                            <w:top w:val="none" w:sz="0" w:space="0" w:color="auto"/>
                                            <w:left w:val="none" w:sz="0" w:space="0" w:color="auto"/>
                                            <w:bottom w:val="none" w:sz="0" w:space="0" w:color="auto"/>
                                            <w:right w:val="none" w:sz="0" w:space="0" w:color="auto"/>
                                          </w:divBdr>
                                          <w:divsChild>
                                            <w:div w:id="833689966">
                                              <w:marLeft w:val="0"/>
                                              <w:marRight w:val="0"/>
                                              <w:marTop w:val="0"/>
                                              <w:marBottom w:val="0"/>
                                              <w:divBdr>
                                                <w:top w:val="none" w:sz="0" w:space="0" w:color="auto"/>
                                                <w:left w:val="none" w:sz="0" w:space="0" w:color="auto"/>
                                                <w:bottom w:val="none" w:sz="0" w:space="0" w:color="auto"/>
                                                <w:right w:val="none" w:sz="0" w:space="0" w:color="auto"/>
                                              </w:divBdr>
                                              <w:divsChild>
                                                <w:div w:id="447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406516">
      <w:bodyDiv w:val="1"/>
      <w:marLeft w:val="0"/>
      <w:marRight w:val="0"/>
      <w:marTop w:val="0"/>
      <w:marBottom w:val="0"/>
      <w:divBdr>
        <w:top w:val="none" w:sz="0" w:space="0" w:color="auto"/>
        <w:left w:val="none" w:sz="0" w:space="0" w:color="auto"/>
        <w:bottom w:val="none" w:sz="0" w:space="0" w:color="auto"/>
        <w:right w:val="none" w:sz="0" w:space="0" w:color="auto"/>
      </w:divBdr>
    </w:div>
    <w:div w:id="1751996550">
      <w:bodyDiv w:val="1"/>
      <w:marLeft w:val="0"/>
      <w:marRight w:val="0"/>
      <w:marTop w:val="0"/>
      <w:marBottom w:val="0"/>
      <w:divBdr>
        <w:top w:val="none" w:sz="0" w:space="0" w:color="auto"/>
        <w:left w:val="none" w:sz="0" w:space="0" w:color="auto"/>
        <w:bottom w:val="none" w:sz="0" w:space="0" w:color="auto"/>
        <w:right w:val="none" w:sz="0" w:space="0" w:color="auto"/>
      </w:divBdr>
    </w:div>
    <w:div w:id="191647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mlaw.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KNAH4PPFC442-2667-999</_dlc_DocId>
    <_dlc_DocIdUrl xmlns="6db8f3c6-01a1-4322-b043-a3b2a190f7a8">
      <Url>http://collaboration/organisation/Auth/Chair/Auth/_layouts/DocIdRedir.aspx?ID=KNAH4PPFC442-2667-999</Url>
      <Description>KNAH4PPFC442-2667-999</Description>
    </_dlc_DocIdUrl>
    <Record_x0020_Number xmlns="83630db1-6fc2-4dfd-b3fe-d61d34e1440c">ER2014/081874</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4.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40" ma:contentTypeDescription="A document enhanced so that it is automatically captured by RecordPoint." ma:contentTypeScope="" ma:versionID="e1161979c3ab31abd19025bfd3369921">
  <xsd:schema xmlns:xsd="http://www.w3.org/2001/XMLSchema" xmlns:xs="http://www.w3.org/2001/XMLSchema" xmlns:p="http://schemas.microsoft.com/office/2006/metadata/properties" xmlns:ns2="83630db1-6fc2-4dfd-b3fe-d61d34e1440c" xmlns:ns3="5e268b55-9e20-462b-aba6-694451a37717" xmlns:ns4="http://schemas.microsoft.com/sharepoint/v4" xmlns:ns5="6db8f3c6-01a1-4322-b043-a3b2a190f7a8" targetNamespace="http://schemas.microsoft.com/office/2006/metadata/properties" ma:root="true" ma:fieldsID="c2750737634e59da76f6456298cace41" ns2:_="" ns3:_="" ns4:_="" ns5:_="">
    <xsd:import namespace="83630db1-6fc2-4dfd-b3fe-d61d34e1440c"/>
    <xsd:import namespace="5e268b55-9e20-462b-aba6-694451a37717"/>
    <xsd:import namespace="http://schemas.microsoft.com/sharepoint/v4"/>
    <xsd:import namespace="6db8f3c6-01a1-4322-b043-a3b2a190f7a8"/>
    <xsd:element name="properties">
      <xsd:complexType>
        <xsd:sequence>
          <xsd:element name="documentManagement">
            <xsd:complexType>
              <xsd:all>
                <xsd:element ref="ns2:Legacy_x0020_Record_x0020_Number" minOccurs="0"/>
                <xsd:element ref="ns2:Record_x0020_Number" minOccurs="0"/>
                <xsd:element ref="ns3:Category"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0"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033047a-93aa-421b-8aef-52cbfb63cf36" ContentTypeId="0x01010070E27D6A746B5B48ADF22C2128054D55"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65B4-47C9-4F9D-B2FA-DBBC4EFFF8C0}">
  <ds:schemaRefs>
    <ds:schemaRef ds:uri="http://schemas.microsoft.com/sharepoint/events"/>
  </ds:schemaRefs>
</ds:datastoreItem>
</file>

<file path=customXml/itemProps2.xml><?xml version="1.0" encoding="utf-8"?>
<ds:datastoreItem xmlns:ds="http://schemas.openxmlformats.org/officeDocument/2006/customXml" ds:itemID="{03AFB9A7-B832-4A01-AA98-D10F7AC9BA17}">
  <ds:schemaRefs>
    <ds:schemaRef ds:uri="http://schemas.microsoft.com/sharepoint/v3/contenttype/forms"/>
  </ds:schemaRefs>
</ds:datastoreItem>
</file>

<file path=customXml/itemProps3.xml><?xml version="1.0" encoding="utf-8"?>
<ds:datastoreItem xmlns:ds="http://schemas.openxmlformats.org/officeDocument/2006/customXml" ds:itemID="{5B6C05A3-9DFD-4989-A0C6-C36665A2B118}">
  <ds:schemaRefs>
    <ds:schemaRef ds:uri="http://purl.org/dc/elements/1.1/"/>
    <ds:schemaRef ds:uri="http://schemas.microsoft.com/office/infopath/2007/PartnerControls"/>
    <ds:schemaRef ds:uri="6db8f3c6-01a1-4322-b043-a3b2a190f7a8"/>
    <ds:schemaRef ds:uri="http://purl.org/dc/dcmitype/"/>
    <ds:schemaRef ds:uri="http://schemas.microsoft.com/sharepoint/v4"/>
    <ds:schemaRef ds:uri="http://www.w3.org/XML/1998/namespace"/>
    <ds:schemaRef ds:uri="http://purl.org/dc/terms/"/>
    <ds:schemaRef ds:uri="http://schemas.microsoft.com/office/2006/documentManagement/types"/>
    <ds:schemaRef ds:uri="http://schemas.openxmlformats.org/package/2006/metadata/core-properties"/>
    <ds:schemaRef ds:uri="5e268b55-9e20-462b-aba6-694451a37717"/>
    <ds:schemaRef ds:uri="83630db1-6fc2-4dfd-b3fe-d61d34e1440c"/>
    <ds:schemaRef ds:uri="http://schemas.microsoft.com/office/2006/metadata/properties"/>
  </ds:schemaRefs>
</ds:datastoreItem>
</file>

<file path=customXml/itemProps4.xml><?xml version="1.0" encoding="utf-8"?>
<ds:datastoreItem xmlns:ds="http://schemas.openxmlformats.org/officeDocument/2006/customXml" ds:itemID="{5449D400-7068-49C5-9BCE-A402958B0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5e268b55-9e20-462b-aba6-694451a37717"/>
    <ds:schemaRef ds:uri="http://schemas.microsoft.com/sharepoint/v4"/>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B6ECEA-AC1B-4500-9B5D-79B0690891C8}">
  <ds:schemaRefs>
    <ds:schemaRef ds:uri="Microsoft.SharePoint.Taxonomy.ContentTypeSync"/>
  </ds:schemaRefs>
</ds:datastoreItem>
</file>

<file path=customXml/itemProps6.xml><?xml version="1.0" encoding="utf-8"?>
<ds:datastoreItem xmlns:ds="http://schemas.openxmlformats.org/officeDocument/2006/customXml" ds:itemID="{4A073206-9F49-4483-B7CB-B18E1986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7743</Characters>
  <Application>Microsoft Office Word</Application>
  <DocSecurity>6</DocSecurity>
  <Lines>64</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 Communications Authority</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pmiszalski</dc:creator>
  <cp:lastModifiedBy>Helen Turnbull</cp:lastModifiedBy>
  <cp:revision>2</cp:revision>
  <cp:lastPrinted>2014-08-28T01:47:00Z</cp:lastPrinted>
  <dcterms:created xsi:type="dcterms:W3CDTF">2014-09-22T05:28:00Z</dcterms:created>
  <dcterms:modified xsi:type="dcterms:W3CDTF">2014-09-22T05:28:00Z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76d7e4d1-e668-4e04-9811-467ab53d0fa6</vt:lpwstr>
  </property>
  <property fmtid="{D5CDD505-2E9C-101B-9397-08002B2CF9AE}" pid="3" name="ContentTypeId">
    <vt:lpwstr>0x01010070E27D6A746B5B48ADF22C2128054D5500A693152E1C35154185216143C34A3F31</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{aa02821a-f0b7-4f59-9c9d-33ae55ea486f}</vt:lpwstr>
  </property>
  <property fmtid="{D5CDD505-2E9C-101B-9397-08002B2CF9AE}" pid="7" name="RecordPoint_RecordFormat">
    <vt:lpwstr/>
  </property>
  <property fmtid="{D5CDD505-2E9C-101B-9397-08002B2CF9AE}" pid="8" name="RecordPoint_SubmissionCompleted">
    <vt:lpwstr>2014-09-10T15:46:23.1775437+10:00</vt:lpwstr>
  </property>
  <property fmtid="{D5CDD505-2E9C-101B-9397-08002B2CF9AE}" pid="9" name="RecordPoint_ActiveItemMoved">
    <vt:lpwstr/>
  </property>
  <property fmtid="{D5CDD505-2E9C-101B-9397-08002B2CF9AE}" pid="10" name="RecordPoint_ActiveItemUniqueId">
    <vt:lpwstr>{76d7e4d1-e668-4e04-9811-467ab53d0fa6}</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