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70A" w:rsidRDefault="00F73ECF" w:rsidP="0087170A">
      <w:pPr>
        <w:jc w:val="center"/>
        <w:rPr>
          <w:b/>
          <w:bCs/>
        </w:rPr>
      </w:pPr>
      <w:r>
        <w:rPr>
          <w:b/>
          <w:bCs/>
        </w:rPr>
        <w:t xml:space="preserve"> </w:t>
      </w:r>
    </w:p>
    <w:p w:rsidR="0087170A" w:rsidRDefault="0087170A" w:rsidP="0087170A">
      <w:pPr>
        <w:jc w:val="center"/>
        <w:rPr>
          <w:b/>
        </w:rPr>
      </w:pPr>
      <w:r>
        <w:rPr>
          <w:b/>
          <w:bCs/>
        </w:rPr>
        <w:t>EXPLANATORY STATEMENT</w:t>
      </w:r>
    </w:p>
    <w:p w:rsidR="0087170A" w:rsidRDefault="0087170A" w:rsidP="0087170A">
      <w:pPr>
        <w:jc w:val="center"/>
        <w:rPr>
          <w:b/>
        </w:rPr>
      </w:pPr>
    </w:p>
    <w:p w:rsidR="0087170A" w:rsidRDefault="0087170A" w:rsidP="0087170A">
      <w:pPr>
        <w:jc w:val="center"/>
        <w:rPr>
          <w:b/>
        </w:rPr>
      </w:pPr>
      <w:r>
        <w:rPr>
          <w:b/>
        </w:rPr>
        <w:t>Issued by the Authority of the delegate of the Minister for Health</w:t>
      </w:r>
    </w:p>
    <w:p w:rsidR="0087170A" w:rsidRDefault="0087170A" w:rsidP="0087170A">
      <w:pPr>
        <w:jc w:val="center"/>
        <w:rPr>
          <w:b/>
          <w:i/>
        </w:rPr>
      </w:pPr>
    </w:p>
    <w:p w:rsidR="0087170A" w:rsidRDefault="0087170A" w:rsidP="0087170A">
      <w:pPr>
        <w:jc w:val="center"/>
        <w:rPr>
          <w:b/>
          <w:i/>
        </w:rPr>
      </w:pPr>
      <w:r>
        <w:rPr>
          <w:b/>
          <w:i/>
        </w:rPr>
        <w:t>National Health Act 1953</w:t>
      </w:r>
    </w:p>
    <w:p w:rsidR="0087170A" w:rsidRDefault="0087170A" w:rsidP="0087170A">
      <w:pPr>
        <w:pStyle w:val="Header"/>
        <w:tabs>
          <w:tab w:val="left" w:pos="720"/>
        </w:tabs>
      </w:pPr>
      <w:bookmarkStart w:id="0" w:name="RecipNameAddr"/>
      <w:bookmarkEnd w:id="0"/>
    </w:p>
    <w:p w:rsidR="0087170A" w:rsidRDefault="0087170A" w:rsidP="0087170A">
      <w:pPr>
        <w:jc w:val="center"/>
        <w:rPr>
          <w:b/>
          <w:bCs/>
          <w:i/>
        </w:rPr>
      </w:pPr>
      <w:r>
        <w:rPr>
          <w:b/>
          <w:bCs/>
          <w:i/>
        </w:rPr>
        <w:t>National Health (Immunisation Program – Designated Vaccines) Determination 201</w:t>
      </w:r>
      <w:r w:rsidR="00ED75B0">
        <w:rPr>
          <w:b/>
          <w:bCs/>
          <w:i/>
        </w:rPr>
        <w:t>4</w:t>
      </w:r>
      <w:r>
        <w:rPr>
          <w:b/>
          <w:bCs/>
          <w:i/>
        </w:rPr>
        <w:t xml:space="preserve"> (No.</w:t>
      </w:r>
      <w:r w:rsidR="00FE6156">
        <w:rPr>
          <w:b/>
          <w:bCs/>
          <w:i/>
        </w:rPr>
        <w:t>1</w:t>
      </w:r>
      <w:r>
        <w:rPr>
          <w:b/>
          <w:bCs/>
          <w:i/>
        </w:rPr>
        <w:t>)</w:t>
      </w:r>
    </w:p>
    <w:p w:rsidR="0087170A" w:rsidRDefault="0087170A" w:rsidP="0087170A">
      <w:pPr>
        <w:jc w:val="center"/>
        <w:rPr>
          <w:sz w:val="28"/>
          <w:szCs w:val="28"/>
        </w:rPr>
      </w:pPr>
    </w:p>
    <w:p w:rsidR="0087170A" w:rsidRDefault="0087170A" w:rsidP="0087170A">
      <w:pPr>
        <w:pStyle w:val="Header"/>
        <w:tabs>
          <w:tab w:val="left" w:pos="720"/>
        </w:tabs>
      </w:pPr>
      <w:r>
        <w:rPr>
          <w:b/>
          <w:bCs/>
        </w:rPr>
        <w:t>Legislation</w:t>
      </w:r>
    </w:p>
    <w:p w:rsidR="0087170A" w:rsidRDefault="00C23B1D" w:rsidP="0087170A">
      <w:r>
        <w:t>S</w:t>
      </w:r>
      <w:r w:rsidR="0087170A">
        <w:t xml:space="preserve">ection 9B(1) of the </w:t>
      </w:r>
      <w:r w:rsidR="0087170A">
        <w:rPr>
          <w:i/>
        </w:rPr>
        <w:t xml:space="preserve">National Health Act 1953 </w:t>
      </w:r>
      <w:r w:rsidR="0087170A">
        <w:t xml:space="preserve">(the Act) states that the Minister may provide, or arrange for the provision of, designated vaccines and goods or services that are associated with, or incidental to, the provision or administration of designated vaccines.  </w:t>
      </w:r>
      <w:r>
        <w:t>S</w:t>
      </w:r>
      <w:r w:rsidR="0087170A">
        <w:t xml:space="preserve">ection </w:t>
      </w:r>
      <w:proofErr w:type="gramStart"/>
      <w:r w:rsidR="0087170A">
        <w:t>9B(</w:t>
      </w:r>
      <w:proofErr w:type="gramEnd"/>
      <w:r w:rsidR="0087170A">
        <w:t>2) provides that the Minister may, by legislative instrument, determine that a specified vaccine is a designated vaccine for</w:t>
      </w:r>
      <w:r>
        <w:t xml:space="preserve"> the purposes of this Act.  S</w:t>
      </w:r>
      <w:r w:rsidR="0087170A">
        <w:t xml:space="preserve">ection </w:t>
      </w:r>
      <w:proofErr w:type="gramStart"/>
      <w:r w:rsidR="0087170A">
        <w:t>9B(</w:t>
      </w:r>
      <w:proofErr w:type="gramEnd"/>
      <w:r w:rsidR="0087170A">
        <w:t>5) provides that in addition to specifying a vaccine, a determination under subsection (2) may specify the circumstances in which the vaccine may be provided.</w:t>
      </w:r>
    </w:p>
    <w:p w:rsidR="00A36360" w:rsidRDefault="00A36360" w:rsidP="0087170A">
      <w:pPr>
        <w:pStyle w:val="Header"/>
        <w:tabs>
          <w:tab w:val="left" w:pos="720"/>
        </w:tabs>
      </w:pPr>
    </w:p>
    <w:p w:rsidR="0087170A" w:rsidRDefault="0087170A" w:rsidP="0087170A">
      <w:pPr>
        <w:pStyle w:val="Header"/>
        <w:tabs>
          <w:tab w:val="left" w:pos="720"/>
        </w:tabs>
      </w:pPr>
      <w:r>
        <w:rPr>
          <w:b/>
          <w:bCs/>
        </w:rPr>
        <w:t>Purpose</w:t>
      </w:r>
    </w:p>
    <w:p w:rsidR="007F0DD6" w:rsidRDefault="007F0DD6" w:rsidP="0087170A">
      <w:pPr>
        <w:rPr>
          <w:bCs/>
        </w:rPr>
      </w:pPr>
      <w:r>
        <w:t xml:space="preserve">This Determination revokes and replaces the </w:t>
      </w:r>
      <w:r>
        <w:rPr>
          <w:bCs/>
          <w:i/>
        </w:rPr>
        <w:t>National Health (Immunisation Program – Designated Vaccines) Determination 2012 (No.1)</w:t>
      </w:r>
      <w:r>
        <w:t>.</w:t>
      </w:r>
    </w:p>
    <w:p w:rsidR="007F0DD6" w:rsidRDefault="007F0DD6" w:rsidP="0087170A">
      <w:pPr>
        <w:rPr>
          <w:bCs/>
        </w:rPr>
      </w:pPr>
    </w:p>
    <w:p w:rsidR="0087170A" w:rsidRDefault="0087170A" w:rsidP="0087170A">
      <w:r>
        <w:rPr>
          <w:bCs/>
        </w:rPr>
        <w:t>The purpose of the</w:t>
      </w:r>
      <w:r>
        <w:rPr>
          <w:bCs/>
          <w:i/>
        </w:rPr>
        <w:t xml:space="preserve"> National Health (Immunisation Program – Designated Vaccines) Determination 201</w:t>
      </w:r>
      <w:r w:rsidR="00ED75B0">
        <w:rPr>
          <w:bCs/>
          <w:i/>
        </w:rPr>
        <w:t>4</w:t>
      </w:r>
      <w:r>
        <w:rPr>
          <w:bCs/>
          <w:i/>
        </w:rPr>
        <w:t xml:space="preserve"> (No.</w:t>
      </w:r>
      <w:r w:rsidR="00FE6156">
        <w:rPr>
          <w:bCs/>
          <w:i/>
        </w:rPr>
        <w:t>1</w:t>
      </w:r>
      <w:r>
        <w:rPr>
          <w:bCs/>
          <w:i/>
        </w:rPr>
        <w:t xml:space="preserve">) </w:t>
      </w:r>
      <w:r>
        <w:rPr>
          <w:bCs/>
        </w:rPr>
        <w:t xml:space="preserve">(the New Determination) is to </w:t>
      </w:r>
      <w:r>
        <w:t>designate vaccines in accordance with subsection 9B(2) of the Act, and specify circumstances in which designated vaccines may be provided.</w:t>
      </w:r>
      <w:bookmarkStart w:id="1" w:name="_GoBack"/>
      <w:bookmarkEnd w:id="1"/>
    </w:p>
    <w:p w:rsidR="0087170A" w:rsidRDefault="0087170A" w:rsidP="0087170A"/>
    <w:p w:rsidR="0087170A" w:rsidRDefault="0087170A" w:rsidP="0087170A">
      <w:pPr>
        <w:autoSpaceDE w:val="0"/>
        <w:autoSpaceDN w:val="0"/>
        <w:adjustRightInd w:val="0"/>
      </w:pPr>
      <w:r>
        <w:t>A designated vaccine may be provided free of charge to eligible people under the National Immunisation Program</w:t>
      </w:r>
      <w:r w:rsidR="00EB7D2F">
        <w:t xml:space="preserve"> (NIP)</w:t>
      </w:r>
      <w:r>
        <w:t>, in the circumstances set out in the New Determination.</w:t>
      </w:r>
    </w:p>
    <w:p w:rsidR="0087170A" w:rsidRDefault="0087170A" w:rsidP="0087170A">
      <w:pPr>
        <w:autoSpaceDE w:val="0"/>
        <w:autoSpaceDN w:val="0"/>
        <w:adjustRightInd w:val="0"/>
        <w:rPr>
          <w:rStyle w:val="normalchar"/>
          <w:b/>
        </w:rPr>
      </w:pPr>
    </w:p>
    <w:p w:rsidR="0087170A" w:rsidRDefault="0087170A" w:rsidP="0087170A">
      <w:pPr>
        <w:autoSpaceDE w:val="0"/>
        <w:autoSpaceDN w:val="0"/>
        <w:adjustRightInd w:val="0"/>
        <w:rPr>
          <w:rStyle w:val="normalchar"/>
          <w:b/>
        </w:rPr>
      </w:pPr>
      <w:r>
        <w:rPr>
          <w:rStyle w:val="normalchar"/>
          <w:b/>
        </w:rPr>
        <w:t xml:space="preserve">Background </w:t>
      </w:r>
    </w:p>
    <w:p w:rsidR="0087170A" w:rsidRDefault="0087170A" w:rsidP="0087170A">
      <w:r>
        <w:rPr>
          <w:color w:val="000000"/>
        </w:rPr>
        <w:t xml:space="preserve">Section </w:t>
      </w:r>
      <w:proofErr w:type="gramStart"/>
      <w:r>
        <w:rPr>
          <w:color w:val="000000"/>
        </w:rPr>
        <w:t>9B(</w:t>
      </w:r>
      <w:proofErr w:type="gramEnd"/>
      <w:r>
        <w:rPr>
          <w:color w:val="000000"/>
        </w:rPr>
        <w:t>7) of the Act provides that a vaccine must not be spec</w:t>
      </w:r>
      <w:r w:rsidR="00C23B1D">
        <w:rPr>
          <w:color w:val="000000"/>
        </w:rPr>
        <w:t xml:space="preserve">ified in a determination under </w:t>
      </w:r>
      <w:r>
        <w:rPr>
          <w:color w:val="000000"/>
        </w:rPr>
        <w:t xml:space="preserve">section 9B(2) unless the </w:t>
      </w:r>
      <w:r>
        <w:t>Pharmaceutical Benefits Advisory Committee (</w:t>
      </w:r>
      <w:r>
        <w:rPr>
          <w:color w:val="000000"/>
        </w:rPr>
        <w:t xml:space="preserve">PBAC) has recommended to the Minister </w:t>
      </w:r>
      <w:r>
        <w:t xml:space="preserve">for Health </w:t>
      </w:r>
      <w:r>
        <w:rPr>
          <w:color w:val="000000"/>
        </w:rPr>
        <w:t>th</w:t>
      </w:r>
      <w:r w:rsidR="00FE2D27">
        <w:rPr>
          <w:color w:val="000000"/>
        </w:rPr>
        <w:t>at it be a designated vaccine.</w:t>
      </w:r>
    </w:p>
    <w:p w:rsidR="00B0197D" w:rsidRDefault="00B0197D"/>
    <w:p w:rsidR="006F36E2" w:rsidRDefault="0087170A" w:rsidP="006F36E2">
      <w:pPr>
        <w:rPr>
          <w:rFonts w:ascii="Times New (W1)" w:hAnsi="Times New (W1)"/>
        </w:rPr>
      </w:pPr>
      <w:r w:rsidRPr="005F23BA">
        <w:t xml:space="preserve">In </w:t>
      </w:r>
      <w:r w:rsidR="00683CD2" w:rsidRPr="005F23BA">
        <w:t>November 2009</w:t>
      </w:r>
      <w:r w:rsidRPr="005F23BA">
        <w:t xml:space="preserve">, </w:t>
      </w:r>
      <w:r w:rsidR="006F36E2" w:rsidRPr="005F23BA">
        <w:t xml:space="preserve">PBAC recommended the listing of </w:t>
      </w:r>
      <w:proofErr w:type="spellStart"/>
      <w:r w:rsidR="00683CD2" w:rsidRPr="005F23BA">
        <w:t>Agrippal</w:t>
      </w:r>
      <w:proofErr w:type="spellEnd"/>
      <w:r w:rsidR="00EB7D2F" w:rsidRPr="005F23BA">
        <w:rPr>
          <w:vertAlign w:val="superscript"/>
        </w:rPr>
        <w:t>®</w:t>
      </w:r>
      <w:r w:rsidR="00683CD2" w:rsidRPr="005F23BA">
        <w:rPr>
          <w:rFonts w:ascii="Times New (W1)" w:hAnsi="Times New (W1)"/>
        </w:rPr>
        <w:t xml:space="preserve">, and in March 2010 the PBAC recommended the listing of </w:t>
      </w:r>
      <w:proofErr w:type="spellStart"/>
      <w:r w:rsidR="00683CD2" w:rsidRPr="005F23BA">
        <w:rPr>
          <w:rFonts w:ascii="Times New (W1)" w:hAnsi="Times New (W1)"/>
        </w:rPr>
        <w:t>Fluvirin</w:t>
      </w:r>
      <w:proofErr w:type="spellEnd"/>
      <w:r w:rsidR="00683CD2" w:rsidRPr="005F23BA">
        <w:rPr>
          <w:rFonts w:ascii="Times New (W1)" w:hAnsi="Times New (W1)"/>
          <w:vertAlign w:val="superscript"/>
        </w:rPr>
        <w:t>®</w:t>
      </w:r>
      <w:r w:rsidR="00683CD2" w:rsidRPr="005F23BA">
        <w:rPr>
          <w:rFonts w:ascii="Times New (W1)" w:hAnsi="Times New (W1)"/>
        </w:rPr>
        <w:t xml:space="preserve"> on the NIP, to allow for the sponsor to participate in future national tenders.</w:t>
      </w:r>
    </w:p>
    <w:p w:rsidR="00E97DAE" w:rsidRDefault="00E97DAE" w:rsidP="006F36E2">
      <w:pPr>
        <w:rPr>
          <w:rFonts w:ascii="Times New (W1)" w:hAnsi="Times New (W1)"/>
        </w:rPr>
      </w:pPr>
    </w:p>
    <w:p w:rsidR="00E97DAE" w:rsidRDefault="00E97DAE" w:rsidP="006F36E2">
      <w:pPr>
        <w:rPr>
          <w:rFonts w:ascii="Times New (W1)" w:hAnsi="Times New (W1)"/>
        </w:rPr>
      </w:pPr>
      <w:r>
        <w:rPr>
          <w:rFonts w:ascii="Times New (W1)" w:hAnsi="Times New (W1)"/>
        </w:rPr>
        <w:t>In July 2008, PBAC</w:t>
      </w:r>
      <w:r w:rsidR="009D2DCF">
        <w:rPr>
          <w:rFonts w:ascii="Times New (W1)" w:hAnsi="Times New (W1)"/>
        </w:rPr>
        <w:t xml:space="preserve"> agreed that</w:t>
      </w:r>
      <w:r>
        <w:rPr>
          <w:rFonts w:ascii="Times New (W1)" w:hAnsi="Times New (W1)"/>
        </w:rPr>
        <w:t xml:space="preserve"> measles-mumps-rubella-varicella (MMRV) </w:t>
      </w:r>
      <w:r w:rsidRPr="00E97DAE">
        <w:rPr>
          <w:rFonts w:ascii="Times New (W1)" w:hAnsi="Times New (W1)"/>
          <w:u w:val="single"/>
        </w:rPr>
        <w:t>or</w:t>
      </w:r>
      <w:r>
        <w:rPr>
          <w:rFonts w:ascii="Times New (W1)" w:hAnsi="Times New (W1)"/>
        </w:rPr>
        <w:t xml:space="preserve"> MMR and varicella vaccine (VV) at 18 months</w:t>
      </w:r>
      <w:r w:rsidR="00741281">
        <w:rPr>
          <w:rFonts w:ascii="Times New (W1)" w:hAnsi="Times New (W1)"/>
        </w:rPr>
        <w:t xml:space="preserve"> of age</w:t>
      </w:r>
      <w:r w:rsidR="00042B02">
        <w:rPr>
          <w:rFonts w:ascii="Times New (W1)" w:hAnsi="Times New (W1)"/>
        </w:rPr>
        <w:t>, in case of a shortage of MMRV vaccine, be listed</w:t>
      </w:r>
      <w:r>
        <w:rPr>
          <w:rFonts w:ascii="Times New (W1)" w:hAnsi="Times New (W1)"/>
        </w:rPr>
        <w:t>.</w:t>
      </w:r>
    </w:p>
    <w:p w:rsidR="00065AC3" w:rsidRDefault="00065AC3" w:rsidP="0087170A">
      <w:pPr>
        <w:pStyle w:val="Header"/>
        <w:tabs>
          <w:tab w:val="left" w:pos="720"/>
        </w:tabs>
        <w:rPr>
          <w:b/>
          <w:bCs/>
        </w:rPr>
      </w:pPr>
    </w:p>
    <w:p w:rsidR="0087170A" w:rsidRDefault="0087170A" w:rsidP="0087170A">
      <w:pPr>
        <w:pStyle w:val="Header"/>
        <w:tabs>
          <w:tab w:val="left" w:pos="720"/>
        </w:tabs>
        <w:rPr>
          <w:b/>
          <w:bCs/>
        </w:rPr>
      </w:pPr>
      <w:r>
        <w:rPr>
          <w:b/>
          <w:bCs/>
        </w:rPr>
        <w:t>Instrument Description</w:t>
      </w:r>
    </w:p>
    <w:p w:rsidR="0087170A" w:rsidRPr="005F23BA" w:rsidRDefault="0087170A" w:rsidP="0087170A">
      <w:r w:rsidRPr="005F23BA">
        <w:t xml:space="preserve">The </w:t>
      </w:r>
      <w:r w:rsidRPr="005F23BA">
        <w:rPr>
          <w:i/>
        </w:rPr>
        <w:t>National Health (Immunisation Program - Designated Vaccines) Determination 201</w:t>
      </w:r>
      <w:r w:rsidR="00683CD2" w:rsidRPr="005F23BA">
        <w:rPr>
          <w:i/>
        </w:rPr>
        <w:t>2</w:t>
      </w:r>
      <w:r w:rsidRPr="005F23BA">
        <w:rPr>
          <w:i/>
        </w:rPr>
        <w:t xml:space="preserve"> (No.</w:t>
      </w:r>
      <w:r w:rsidR="00ED75B0" w:rsidRPr="005F23BA">
        <w:rPr>
          <w:i/>
        </w:rPr>
        <w:t>1</w:t>
      </w:r>
      <w:r w:rsidRPr="005F23BA">
        <w:rPr>
          <w:i/>
        </w:rPr>
        <w:t>)</w:t>
      </w:r>
      <w:r w:rsidRPr="005F23BA">
        <w:t xml:space="preserve"> (the Previous Determination) was made on </w:t>
      </w:r>
      <w:r w:rsidR="00A77183">
        <w:t>24</w:t>
      </w:r>
      <w:r w:rsidR="005F23BA" w:rsidRPr="005F23BA">
        <w:t xml:space="preserve"> September 2012</w:t>
      </w:r>
      <w:r w:rsidR="00FE2D27">
        <w:t xml:space="preserve">, </w:t>
      </w:r>
      <w:r w:rsidRPr="005F23BA">
        <w:t xml:space="preserve">came into effect on </w:t>
      </w:r>
      <w:r w:rsidR="005F23BA" w:rsidRPr="005F23BA">
        <w:t>28</w:t>
      </w:r>
      <w:r w:rsidR="00FE2D27">
        <w:t> </w:t>
      </w:r>
      <w:r w:rsidR="005F23BA" w:rsidRPr="005F23BA">
        <w:t>September 2012</w:t>
      </w:r>
      <w:r w:rsidR="00147F34">
        <w:t xml:space="preserve">, and was last amended on </w:t>
      </w:r>
      <w:r w:rsidR="00E14083">
        <w:t>15 June</w:t>
      </w:r>
      <w:r w:rsidR="00FE2D27">
        <w:t xml:space="preserve"> 2013.</w:t>
      </w:r>
    </w:p>
    <w:p w:rsidR="0087170A" w:rsidRPr="005F23BA" w:rsidRDefault="0087170A" w:rsidP="0087170A">
      <w:pPr>
        <w:autoSpaceDE w:val="0"/>
        <w:autoSpaceDN w:val="0"/>
        <w:adjustRightInd w:val="0"/>
      </w:pPr>
    </w:p>
    <w:p w:rsidR="0087170A" w:rsidRPr="009F602E" w:rsidRDefault="0087170A" w:rsidP="00FE6156">
      <w:pPr>
        <w:pStyle w:val="Header"/>
        <w:tabs>
          <w:tab w:val="left" w:pos="720"/>
        </w:tabs>
        <w:rPr>
          <w:color w:val="000000"/>
        </w:rPr>
      </w:pPr>
      <w:r w:rsidRPr="005F23BA">
        <w:rPr>
          <w:color w:val="000000"/>
        </w:rPr>
        <w:lastRenderedPageBreak/>
        <w:t xml:space="preserve">The </w:t>
      </w:r>
      <w:r w:rsidR="00996B99">
        <w:rPr>
          <w:color w:val="000000"/>
        </w:rPr>
        <w:t>Legislative Instrument</w:t>
      </w:r>
      <w:r w:rsidRPr="005F23BA">
        <w:rPr>
          <w:color w:val="000000"/>
        </w:rPr>
        <w:t xml:space="preserve"> is substantively the sam</w:t>
      </w:r>
      <w:r w:rsidR="005F23BA">
        <w:rPr>
          <w:color w:val="000000"/>
        </w:rPr>
        <w:t>e as the</w:t>
      </w:r>
      <w:r w:rsidR="007F0DD6">
        <w:rPr>
          <w:color w:val="000000"/>
        </w:rPr>
        <w:t xml:space="preserve"> p</w:t>
      </w:r>
      <w:r w:rsidR="00E97DAE">
        <w:rPr>
          <w:color w:val="000000"/>
        </w:rPr>
        <w:t xml:space="preserve">revious Determination, with </w:t>
      </w:r>
      <w:r w:rsidR="005F23BA">
        <w:t>the addition</w:t>
      </w:r>
      <w:r w:rsidR="00683CD2" w:rsidRPr="005F23BA">
        <w:t xml:space="preserve"> </w:t>
      </w:r>
      <w:r w:rsidR="00E97DAE">
        <w:t xml:space="preserve">of </w:t>
      </w:r>
      <w:r w:rsidR="00683CD2" w:rsidRPr="005F23BA">
        <w:t xml:space="preserve">two new Trivalent Influenza Vaccines </w:t>
      </w:r>
      <w:proofErr w:type="spellStart"/>
      <w:r w:rsidR="00683CD2" w:rsidRPr="005F23BA">
        <w:t>Agrippal</w:t>
      </w:r>
      <w:proofErr w:type="spellEnd"/>
      <w:r w:rsidR="00683CD2" w:rsidRPr="005F23BA">
        <w:rPr>
          <w:vertAlign w:val="superscript"/>
        </w:rPr>
        <w:t>®</w:t>
      </w:r>
      <w:r w:rsidR="00683CD2" w:rsidRPr="005F23BA">
        <w:t xml:space="preserve"> and </w:t>
      </w:r>
      <w:proofErr w:type="spellStart"/>
      <w:r w:rsidR="00683CD2" w:rsidRPr="005F23BA">
        <w:t>Fluvirin</w:t>
      </w:r>
      <w:proofErr w:type="spellEnd"/>
      <w:r w:rsidR="00683CD2" w:rsidRPr="005F23BA">
        <w:rPr>
          <w:vertAlign w:val="superscript"/>
        </w:rPr>
        <w:t>®</w:t>
      </w:r>
      <w:r w:rsidR="00E97DAE">
        <w:t xml:space="preserve">, and the addition of additional circumstances for the provision of the MMR vaccines </w:t>
      </w:r>
      <w:proofErr w:type="spellStart"/>
      <w:r w:rsidR="00E97DAE">
        <w:t>Priorix</w:t>
      </w:r>
      <w:proofErr w:type="spellEnd"/>
      <w:r w:rsidR="00E97DAE">
        <w:t xml:space="preserve"> and MMR-II.</w:t>
      </w:r>
    </w:p>
    <w:p w:rsidR="006302EA" w:rsidRDefault="006302EA" w:rsidP="0087170A"/>
    <w:p w:rsidR="006302EA" w:rsidRDefault="006302EA" w:rsidP="006302EA">
      <w:pPr>
        <w:spacing w:before="100" w:beforeAutospacing="1" w:after="100" w:afterAutospacing="1"/>
        <w:contextualSpacing/>
      </w:pPr>
      <w:r>
        <w:t xml:space="preserve">This instrument is a legislative instrument for the purposes of the </w:t>
      </w:r>
      <w:r>
        <w:rPr>
          <w:i/>
          <w:iCs/>
        </w:rPr>
        <w:t>Legislative Instruments Act 2003</w:t>
      </w:r>
      <w:r>
        <w:t>.</w:t>
      </w:r>
    </w:p>
    <w:p w:rsidR="006302EA" w:rsidRDefault="006302EA" w:rsidP="006302EA">
      <w:pPr>
        <w:spacing w:before="100" w:beforeAutospacing="1" w:after="100" w:afterAutospacing="1"/>
        <w:contextualSpacing/>
      </w:pPr>
    </w:p>
    <w:p w:rsidR="00ED75B0" w:rsidRDefault="006302EA" w:rsidP="005F23BA">
      <w:pPr>
        <w:spacing w:before="100" w:beforeAutospacing="1" w:after="100" w:afterAutospacing="1"/>
        <w:contextualSpacing/>
      </w:pPr>
      <w:r>
        <w:t xml:space="preserve">The instrument commenced on the day after it was registered on the Federal Register of Legislative Instruments. </w:t>
      </w:r>
    </w:p>
    <w:p w:rsidR="00E97DAE" w:rsidRDefault="00E97DAE" w:rsidP="005F23BA">
      <w:pPr>
        <w:spacing w:before="100" w:beforeAutospacing="1" w:after="100" w:afterAutospacing="1"/>
        <w:contextualSpacing/>
        <w:rPr>
          <w:b/>
        </w:rPr>
      </w:pPr>
    </w:p>
    <w:p w:rsidR="003250D6" w:rsidRDefault="003250D6" w:rsidP="003250D6">
      <w:pPr>
        <w:ind w:right="-136"/>
      </w:pPr>
      <w:r>
        <w:rPr>
          <w:b/>
        </w:rPr>
        <w:t>Consultation</w:t>
      </w:r>
    </w:p>
    <w:p w:rsidR="003250D6" w:rsidRDefault="003250D6" w:rsidP="003250D6">
      <w:r>
        <w:t xml:space="preserve">The Office of Best Practice Regulation considers that regulatory amendments that update the listing of vaccines on the National Immunisation Program and their associated price to be machinery in nature.  Therefore in accordance with section 18(a) of the Legislative Instruments Act it has been determined that further consultation is unnecessary. </w:t>
      </w:r>
    </w:p>
    <w:p w:rsidR="00E319CD" w:rsidRDefault="00E319CD" w:rsidP="003250D6"/>
    <w:p w:rsidR="00E319CD" w:rsidRDefault="00E319CD">
      <w:pPr>
        <w:spacing w:after="200" w:line="276" w:lineRule="auto"/>
        <w:rPr>
          <w:b/>
        </w:rPr>
      </w:pPr>
      <w:r>
        <w:rPr>
          <w:b/>
        </w:rPr>
        <w:br w:type="page"/>
      </w:r>
    </w:p>
    <w:p w:rsidR="00E319CD" w:rsidRPr="008C4AEB" w:rsidRDefault="00E319CD" w:rsidP="00E319CD">
      <w:pPr>
        <w:jc w:val="center"/>
        <w:rPr>
          <w:b/>
          <w:i/>
        </w:rPr>
      </w:pPr>
      <w:r w:rsidRPr="008C4AEB">
        <w:rPr>
          <w:b/>
        </w:rPr>
        <w:lastRenderedPageBreak/>
        <w:t>NOTES ON SECTIONS</w:t>
      </w:r>
    </w:p>
    <w:p w:rsidR="00E319CD" w:rsidRDefault="00E319CD" w:rsidP="00E319CD">
      <w:pPr>
        <w:jc w:val="both"/>
        <w:rPr>
          <w:b/>
        </w:rPr>
      </w:pPr>
    </w:p>
    <w:p w:rsidR="00E319CD" w:rsidRDefault="00E319CD" w:rsidP="00E319CD">
      <w:pPr>
        <w:jc w:val="both"/>
        <w:rPr>
          <w:b/>
        </w:rPr>
      </w:pPr>
      <w:r>
        <w:rPr>
          <w:b/>
        </w:rPr>
        <w:t>Section 1 – Name of Declaration</w:t>
      </w:r>
    </w:p>
    <w:p w:rsidR="00E319CD" w:rsidRDefault="00E319CD" w:rsidP="00E319CD">
      <w:pPr>
        <w:jc w:val="both"/>
        <w:rPr>
          <w:b/>
        </w:rPr>
      </w:pPr>
    </w:p>
    <w:p w:rsidR="00E319CD" w:rsidRPr="00E319CD" w:rsidRDefault="00E319CD" w:rsidP="00E319CD">
      <w:pPr>
        <w:rPr>
          <w:i/>
        </w:rPr>
      </w:pPr>
      <w:r>
        <w:t xml:space="preserve">This section provides that the title of the Determination is the </w:t>
      </w:r>
      <w:r w:rsidRPr="00E319CD">
        <w:rPr>
          <w:i/>
        </w:rPr>
        <w:t>National Health (Immunisation Program – Designated Vaccines) Determination 2014 (No.1)</w:t>
      </w:r>
      <w:r>
        <w:rPr>
          <w:i/>
        </w:rPr>
        <w:t>.</w:t>
      </w:r>
    </w:p>
    <w:p w:rsidR="00E319CD" w:rsidRDefault="00E319CD" w:rsidP="00E319CD"/>
    <w:p w:rsidR="00E319CD" w:rsidRPr="0080320D" w:rsidRDefault="00E319CD" w:rsidP="00E319CD">
      <w:pPr>
        <w:rPr>
          <w:b/>
        </w:rPr>
      </w:pPr>
      <w:r w:rsidRPr="0080320D">
        <w:rPr>
          <w:b/>
        </w:rPr>
        <w:t>Section 2 – Commencement</w:t>
      </w:r>
    </w:p>
    <w:p w:rsidR="00E319CD" w:rsidRDefault="00E319CD" w:rsidP="00E319CD"/>
    <w:p w:rsidR="00E319CD" w:rsidRDefault="00E319CD" w:rsidP="00E319CD">
      <w:r>
        <w:t>This section provides for the Determination to commence the day after it is registered.</w:t>
      </w:r>
    </w:p>
    <w:p w:rsidR="00E319CD" w:rsidRDefault="00E319CD" w:rsidP="00E319CD"/>
    <w:p w:rsidR="00E319CD" w:rsidRDefault="00E319CD" w:rsidP="00E319CD">
      <w:pPr>
        <w:rPr>
          <w:b/>
        </w:rPr>
      </w:pPr>
      <w:r w:rsidRPr="0080320D">
        <w:rPr>
          <w:b/>
        </w:rPr>
        <w:t xml:space="preserve">Section 3 </w:t>
      </w:r>
      <w:r>
        <w:rPr>
          <w:b/>
        </w:rPr>
        <w:t>–</w:t>
      </w:r>
      <w:r w:rsidRPr="0080320D">
        <w:rPr>
          <w:b/>
        </w:rPr>
        <w:t xml:space="preserve"> Repeal</w:t>
      </w:r>
    </w:p>
    <w:p w:rsidR="00E319CD" w:rsidRDefault="00E319CD" w:rsidP="00E319CD">
      <w:pPr>
        <w:rPr>
          <w:b/>
        </w:rPr>
      </w:pPr>
    </w:p>
    <w:p w:rsidR="00E319CD" w:rsidRDefault="00E319CD" w:rsidP="00E319CD">
      <w:r>
        <w:t>This section repe</w:t>
      </w:r>
      <w:r w:rsidR="00FE2D27">
        <w:t xml:space="preserve">als the previous Determination which was made </w:t>
      </w:r>
      <w:r w:rsidR="00FE2D27" w:rsidRPr="005F23BA">
        <w:t xml:space="preserve">on </w:t>
      </w:r>
      <w:r w:rsidR="00FE2D27">
        <w:t>24</w:t>
      </w:r>
      <w:r w:rsidR="00FE2D27" w:rsidRPr="005F23BA">
        <w:t xml:space="preserve"> September 2012</w:t>
      </w:r>
      <w:r w:rsidR="00FE2D27">
        <w:t xml:space="preserve">, </w:t>
      </w:r>
      <w:r w:rsidR="00FE2D27" w:rsidRPr="005F23BA">
        <w:t>came into effect on 28</w:t>
      </w:r>
      <w:r w:rsidR="00FE2D27">
        <w:t> </w:t>
      </w:r>
      <w:r w:rsidR="00FE2D27" w:rsidRPr="005F23BA">
        <w:t>September 2012</w:t>
      </w:r>
      <w:r w:rsidR="00FE2D27">
        <w:t xml:space="preserve">, and </w:t>
      </w:r>
      <w:r w:rsidR="00E14083">
        <w:t xml:space="preserve">was </w:t>
      </w:r>
      <w:r w:rsidR="00FE2D27">
        <w:t>last amended on 15 June 2013</w:t>
      </w:r>
      <w:r>
        <w:t xml:space="preserve">. </w:t>
      </w:r>
    </w:p>
    <w:p w:rsidR="00E319CD" w:rsidRDefault="00E319CD" w:rsidP="00E319CD"/>
    <w:p w:rsidR="00E319CD" w:rsidRDefault="00E319CD" w:rsidP="00E319CD">
      <w:pPr>
        <w:rPr>
          <w:b/>
        </w:rPr>
      </w:pPr>
      <w:r w:rsidRPr="00497259">
        <w:rPr>
          <w:b/>
        </w:rPr>
        <w:t xml:space="preserve">Section 4 </w:t>
      </w:r>
      <w:r>
        <w:rPr>
          <w:b/>
        </w:rPr>
        <w:t>–</w:t>
      </w:r>
      <w:r w:rsidRPr="00497259">
        <w:rPr>
          <w:b/>
        </w:rPr>
        <w:t xml:space="preserve"> </w:t>
      </w:r>
      <w:r>
        <w:rPr>
          <w:b/>
        </w:rPr>
        <w:t>Definitions</w:t>
      </w:r>
    </w:p>
    <w:p w:rsidR="00E319CD" w:rsidRDefault="00E319CD" w:rsidP="00E319CD">
      <w:pPr>
        <w:rPr>
          <w:b/>
        </w:rPr>
      </w:pPr>
    </w:p>
    <w:p w:rsidR="00E319CD" w:rsidRPr="003B6CEC" w:rsidRDefault="00E319CD" w:rsidP="00E319CD">
      <w:pPr>
        <w:rPr>
          <w:i/>
        </w:rPr>
      </w:pPr>
      <w:r>
        <w:t xml:space="preserve">This section provides for defined terms to be used in the Determination and gives shortened reference to the </w:t>
      </w:r>
      <w:r>
        <w:rPr>
          <w:i/>
        </w:rPr>
        <w:t>National Health Act 1953</w:t>
      </w:r>
      <w:r w:rsidRPr="003B6CEC">
        <w:rPr>
          <w:i/>
        </w:rPr>
        <w:t>.</w:t>
      </w:r>
    </w:p>
    <w:p w:rsidR="00E319CD" w:rsidRPr="00497259" w:rsidRDefault="00E319CD" w:rsidP="00E319CD">
      <w:pPr>
        <w:rPr>
          <w:b/>
        </w:rPr>
      </w:pPr>
    </w:p>
    <w:p w:rsidR="00E319CD" w:rsidRPr="00497259" w:rsidRDefault="00E319CD" w:rsidP="00E319CD">
      <w:pPr>
        <w:rPr>
          <w:b/>
        </w:rPr>
      </w:pPr>
      <w:r w:rsidRPr="00497259">
        <w:rPr>
          <w:b/>
        </w:rPr>
        <w:t xml:space="preserve">Section 5 – </w:t>
      </w:r>
      <w:r>
        <w:rPr>
          <w:b/>
        </w:rPr>
        <w:t>Designated vaccines</w:t>
      </w:r>
    </w:p>
    <w:p w:rsidR="00E319CD" w:rsidRDefault="00E319CD" w:rsidP="00E319CD"/>
    <w:p w:rsidR="00E319CD" w:rsidRDefault="00E319CD" w:rsidP="00E319CD">
      <w:r>
        <w:t xml:space="preserve">This section sets out the list of designated vaccines for the purpose of section </w:t>
      </w:r>
      <w:proofErr w:type="gramStart"/>
      <w:r>
        <w:t>9B(</w:t>
      </w:r>
      <w:proofErr w:type="gramEnd"/>
      <w:r>
        <w:t xml:space="preserve">2) of the National Health Act. </w:t>
      </w:r>
      <w:r w:rsidR="007F0DD6">
        <w:t xml:space="preserve"> </w:t>
      </w:r>
      <w:r>
        <w:t xml:space="preserve">This list will replace the previous list of vaccines that </w:t>
      </w:r>
      <w:r w:rsidR="00FE2D27">
        <w:t>was last amended on 15 June 2013</w:t>
      </w:r>
      <w:r>
        <w:t>.</w:t>
      </w:r>
    </w:p>
    <w:p w:rsidR="00E319CD" w:rsidRDefault="00E319CD" w:rsidP="00E319CD">
      <w:pPr>
        <w:rPr>
          <w:u w:val="single"/>
        </w:rPr>
      </w:pPr>
    </w:p>
    <w:p w:rsidR="00E319CD" w:rsidRPr="00497259" w:rsidRDefault="00E319CD" w:rsidP="00E319CD">
      <w:pPr>
        <w:rPr>
          <w:b/>
        </w:rPr>
      </w:pPr>
      <w:r>
        <w:rPr>
          <w:b/>
        </w:rPr>
        <w:t>Section 6</w:t>
      </w:r>
      <w:r w:rsidRPr="00497259">
        <w:rPr>
          <w:b/>
        </w:rPr>
        <w:t xml:space="preserve"> – </w:t>
      </w:r>
      <w:r>
        <w:rPr>
          <w:b/>
        </w:rPr>
        <w:t>Circumstances in which designated vaccines may be provided</w:t>
      </w:r>
    </w:p>
    <w:p w:rsidR="00E319CD" w:rsidRDefault="00E319CD" w:rsidP="00E319CD"/>
    <w:p w:rsidR="00E319CD" w:rsidRDefault="00E319CD" w:rsidP="00E319CD">
      <w:r>
        <w:t xml:space="preserve">This section sets out the circumstances under which designated vaccines </w:t>
      </w:r>
      <w:r w:rsidR="007F0DD6">
        <w:t xml:space="preserve">may be provided, </w:t>
      </w:r>
      <w:r>
        <w:t xml:space="preserve">for the purpose of section </w:t>
      </w:r>
      <w:proofErr w:type="gramStart"/>
      <w:r>
        <w:t>9B(</w:t>
      </w:r>
      <w:proofErr w:type="gramEnd"/>
      <w:r>
        <w:t>5) of the National Health Act.</w:t>
      </w:r>
      <w:r w:rsidR="007F0DD6">
        <w:t xml:space="preserve"> </w:t>
      </w:r>
      <w:r>
        <w:t xml:space="preserve"> This list will replace the previous list of vaccines that </w:t>
      </w:r>
      <w:r w:rsidR="00FE2D27">
        <w:t>was last amended on 15 June 2013</w:t>
      </w:r>
      <w:r>
        <w:t>.</w:t>
      </w:r>
    </w:p>
    <w:p w:rsidR="00E319CD" w:rsidRDefault="00E319CD" w:rsidP="003250D6"/>
    <w:p w:rsidR="00E319CD" w:rsidRPr="00497259" w:rsidRDefault="00E319CD" w:rsidP="00E319CD">
      <w:pPr>
        <w:rPr>
          <w:b/>
        </w:rPr>
      </w:pPr>
      <w:r>
        <w:rPr>
          <w:b/>
        </w:rPr>
        <w:t>Section 7</w:t>
      </w:r>
      <w:r w:rsidRPr="00497259">
        <w:rPr>
          <w:b/>
        </w:rPr>
        <w:t xml:space="preserve"> – </w:t>
      </w:r>
      <w:r>
        <w:rPr>
          <w:b/>
        </w:rPr>
        <w:t>Circumstances in which designated vaccines may be provided – particular vaccines</w:t>
      </w:r>
    </w:p>
    <w:p w:rsidR="00E319CD" w:rsidRDefault="00E319CD" w:rsidP="00E319CD"/>
    <w:p w:rsidR="00E319CD" w:rsidRDefault="00E319CD" w:rsidP="00E319CD">
      <w:r>
        <w:t xml:space="preserve">This section sets out the circumstances under which particular designated vaccines </w:t>
      </w:r>
      <w:r w:rsidR="007F0DD6">
        <w:t xml:space="preserve">may be provided, </w:t>
      </w:r>
      <w:r>
        <w:t xml:space="preserve">for the purpose of section </w:t>
      </w:r>
      <w:proofErr w:type="gramStart"/>
      <w:r>
        <w:t>9B(</w:t>
      </w:r>
      <w:proofErr w:type="gramEnd"/>
      <w:r>
        <w:t xml:space="preserve">5) of the National Health Act. </w:t>
      </w:r>
      <w:r w:rsidR="007F0DD6">
        <w:t xml:space="preserve"> </w:t>
      </w:r>
      <w:r>
        <w:t xml:space="preserve">This list will replace the previous list of vaccines that </w:t>
      </w:r>
      <w:r w:rsidR="00FE2D27">
        <w:t>was last amended on 15 June 2013</w:t>
      </w:r>
      <w:r>
        <w:t>.</w:t>
      </w:r>
    </w:p>
    <w:p w:rsidR="00E319CD" w:rsidRDefault="00E319CD" w:rsidP="00E319CD">
      <w:pPr>
        <w:rPr>
          <w:b/>
        </w:rPr>
      </w:pPr>
    </w:p>
    <w:p w:rsidR="00246EBD" w:rsidRDefault="0087170A" w:rsidP="00F91062">
      <w:pPr>
        <w:spacing w:after="200" w:line="276" w:lineRule="auto"/>
        <w:rPr>
          <w:b/>
          <w:sz w:val="28"/>
          <w:szCs w:val="28"/>
        </w:rPr>
      </w:pPr>
      <w:r>
        <w:rPr>
          <w:rFonts w:ascii="Calibri" w:hAnsi="Calibri" w:cs="Calibri"/>
          <w:b/>
          <w:sz w:val="22"/>
          <w:szCs w:val="22"/>
        </w:rPr>
        <w:br w:type="page"/>
      </w:r>
      <w:r w:rsidR="00246EBD">
        <w:rPr>
          <w:b/>
          <w:sz w:val="28"/>
          <w:szCs w:val="28"/>
        </w:rPr>
        <w:lastRenderedPageBreak/>
        <w:t>Statement of Compatibility with Human Rights</w:t>
      </w:r>
    </w:p>
    <w:p w:rsidR="00246EBD" w:rsidRDefault="00246EBD" w:rsidP="00246EBD">
      <w:pPr>
        <w:keepNext/>
        <w:keepLines/>
        <w:jc w:val="center"/>
        <w:rPr>
          <w:i/>
        </w:rPr>
      </w:pPr>
      <w:r>
        <w:rPr>
          <w:i/>
        </w:rPr>
        <w:t>Prepared in accordance with Part 3 of the Human Rights (Parliamentary Scrutiny) Act 2011</w:t>
      </w:r>
    </w:p>
    <w:p w:rsidR="00246EBD" w:rsidRDefault="00246EBD" w:rsidP="00246EBD">
      <w:pPr>
        <w:keepNext/>
        <w:keepLines/>
        <w:ind w:right="45"/>
        <w:jc w:val="center"/>
        <w:rPr>
          <w:b/>
          <w:iCs/>
        </w:rPr>
      </w:pPr>
    </w:p>
    <w:p w:rsidR="00633C6B" w:rsidRPr="00633C6B" w:rsidRDefault="00633C6B" w:rsidP="00633C6B">
      <w:pPr>
        <w:jc w:val="center"/>
        <w:rPr>
          <w:b/>
          <w:bCs/>
        </w:rPr>
      </w:pPr>
      <w:r w:rsidRPr="00633C6B">
        <w:rPr>
          <w:b/>
          <w:bCs/>
        </w:rPr>
        <w:t xml:space="preserve">National Health (Immunisation Program – Designated Vaccines) </w:t>
      </w:r>
      <w:r w:rsidR="005F18DC">
        <w:rPr>
          <w:b/>
          <w:bCs/>
        </w:rPr>
        <w:br/>
      </w:r>
      <w:r w:rsidRPr="00633C6B">
        <w:rPr>
          <w:b/>
          <w:bCs/>
        </w:rPr>
        <w:t>Determination 201</w:t>
      </w:r>
      <w:r w:rsidR="00996B99">
        <w:rPr>
          <w:b/>
          <w:bCs/>
        </w:rPr>
        <w:t>4</w:t>
      </w:r>
      <w:r w:rsidRPr="00633C6B">
        <w:rPr>
          <w:b/>
          <w:bCs/>
        </w:rPr>
        <w:t xml:space="preserve"> (No.</w:t>
      </w:r>
      <w:r w:rsidR="005F18DC">
        <w:rPr>
          <w:b/>
          <w:bCs/>
        </w:rPr>
        <w:t>1</w:t>
      </w:r>
      <w:r w:rsidRPr="00633C6B">
        <w:rPr>
          <w:b/>
          <w:bCs/>
        </w:rPr>
        <w:t>)</w:t>
      </w:r>
    </w:p>
    <w:p w:rsidR="00246EBD" w:rsidRDefault="00246EBD" w:rsidP="00246EBD">
      <w:pPr>
        <w:keepNext/>
        <w:keepLines/>
        <w:ind w:right="45"/>
        <w:jc w:val="center"/>
        <w:rPr>
          <w:b/>
          <w:iCs/>
        </w:rPr>
      </w:pPr>
    </w:p>
    <w:p w:rsidR="00246EBD" w:rsidRDefault="00246EBD" w:rsidP="005F18DC">
      <w:pPr>
        <w:keepNext/>
        <w:keepLines/>
        <w:ind w:right="91"/>
      </w:pPr>
      <w:r>
        <w:t xml:space="preserve">This legislative instrument is compatible with the human rights and freedoms recognised or declared in the international instruments listed in section 3 of the </w:t>
      </w:r>
      <w:r>
        <w:rPr>
          <w:i/>
        </w:rPr>
        <w:t>Human Rights (Parliamentary Scrutiny) Act 2011</w:t>
      </w:r>
      <w:r>
        <w:t>.</w:t>
      </w:r>
    </w:p>
    <w:p w:rsidR="00246EBD" w:rsidRDefault="00246EBD" w:rsidP="00246EBD">
      <w:pPr>
        <w:keepNext/>
        <w:keepLines/>
        <w:ind w:right="91"/>
      </w:pPr>
    </w:p>
    <w:p w:rsidR="00246EBD" w:rsidRDefault="00246EBD" w:rsidP="00246EBD">
      <w:pPr>
        <w:keepNext/>
        <w:keepLines/>
        <w:spacing w:after="120"/>
        <w:jc w:val="both"/>
        <w:rPr>
          <w:b/>
        </w:rPr>
      </w:pPr>
      <w:r>
        <w:rPr>
          <w:b/>
        </w:rPr>
        <w:t>Overview of the legislative instrument</w:t>
      </w:r>
    </w:p>
    <w:p w:rsidR="00246EBD" w:rsidRDefault="00246EBD" w:rsidP="00246EBD">
      <w:pPr>
        <w:keepNext/>
        <w:keepLines/>
        <w:ind w:right="-136"/>
      </w:pPr>
      <w:r>
        <w:t xml:space="preserve">The legislative instrument </w:t>
      </w:r>
      <w:r w:rsidR="00FE6156">
        <w:t xml:space="preserve"> replaces </w:t>
      </w:r>
      <w:r>
        <w:t>the</w:t>
      </w:r>
      <w:r w:rsidRPr="00B37257">
        <w:t xml:space="preserve"> </w:t>
      </w:r>
      <w:r w:rsidR="00B37257" w:rsidRPr="00B37257">
        <w:rPr>
          <w:bCs/>
          <w:i/>
        </w:rPr>
        <w:t>National Health (Immunisation Program – Designated Vaccines) Determination 201</w:t>
      </w:r>
      <w:r w:rsidR="00AA01D8">
        <w:rPr>
          <w:bCs/>
          <w:i/>
        </w:rPr>
        <w:t>2</w:t>
      </w:r>
      <w:r w:rsidR="00FE6156">
        <w:rPr>
          <w:bCs/>
          <w:i/>
        </w:rPr>
        <w:t xml:space="preserve"> (No.</w:t>
      </w:r>
      <w:r w:rsidR="00AA01D8">
        <w:rPr>
          <w:bCs/>
          <w:i/>
        </w:rPr>
        <w:t>1</w:t>
      </w:r>
      <w:r w:rsidR="00FE6156">
        <w:rPr>
          <w:bCs/>
          <w:i/>
        </w:rPr>
        <w:t>)</w:t>
      </w:r>
      <w:r w:rsidR="00B37257">
        <w:rPr>
          <w:b/>
          <w:bCs/>
          <w:i/>
        </w:rPr>
        <w:t xml:space="preserve"> </w:t>
      </w:r>
      <w:r>
        <w:t xml:space="preserve">(the </w:t>
      </w:r>
      <w:r w:rsidR="00FE6156">
        <w:t>Previous Determination</w:t>
      </w:r>
      <w:r>
        <w:t>)</w:t>
      </w:r>
      <w:r w:rsidR="00B37257">
        <w:t xml:space="preserve"> </w:t>
      </w:r>
      <w:r w:rsidR="00996B99">
        <w:t xml:space="preserve">as amended, </w:t>
      </w:r>
      <w:r w:rsidR="00B37257">
        <w:t>which</w:t>
      </w:r>
      <w:r>
        <w:t xml:space="preserve"> </w:t>
      </w:r>
      <w:r w:rsidR="00B37257">
        <w:t>designates vaccines in accordance with subsection 9B(2) of the Act, and specifies circumstances in which designated vaccines may be provided.</w:t>
      </w:r>
    </w:p>
    <w:p w:rsidR="00246EBD" w:rsidRDefault="00246EBD" w:rsidP="00246EBD">
      <w:pPr>
        <w:ind w:right="-136"/>
      </w:pPr>
    </w:p>
    <w:p w:rsidR="00E97DAE" w:rsidRPr="009F602E" w:rsidRDefault="00E97DAE" w:rsidP="00E97DAE">
      <w:pPr>
        <w:pStyle w:val="Header"/>
        <w:tabs>
          <w:tab w:val="left" w:pos="720"/>
        </w:tabs>
        <w:rPr>
          <w:color w:val="000000"/>
        </w:rPr>
      </w:pPr>
      <w:r w:rsidRPr="005F23BA">
        <w:rPr>
          <w:color w:val="000000"/>
        </w:rPr>
        <w:t xml:space="preserve">The </w:t>
      </w:r>
      <w:r>
        <w:rPr>
          <w:color w:val="000000"/>
        </w:rPr>
        <w:t>Legislative Instrument</w:t>
      </w:r>
      <w:r w:rsidRPr="005F23BA">
        <w:rPr>
          <w:color w:val="000000"/>
        </w:rPr>
        <w:t xml:space="preserve"> is substantively the sam</w:t>
      </w:r>
      <w:r>
        <w:rPr>
          <w:color w:val="000000"/>
        </w:rPr>
        <w:t xml:space="preserve">e as the Previous Determination, with </w:t>
      </w:r>
      <w:r>
        <w:t>the addition</w:t>
      </w:r>
      <w:r w:rsidRPr="005F23BA">
        <w:t xml:space="preserve"> </w:t>
      </w:r>
      <w:r>
        <w:t xml:space="preserve">of </w:t>
      </w:r>
      <w:r w:rsidRPr="005F23BA">
        <w:t xml:space="preserve">two new Trivalent Influenza Vaccines </w:t>
      </w:r>
      <w:proofErr w:type="spellStart"/>
      <w:r w:rsidRPr="005F23BA">
        <w:t>Agrippal</w:t>
      </w:r>
      <w:proofErr w:type="spellEnd"/>
      <w:r w:rsidRPr="005F23BA">
        <w:rPr>
          <w:vertAlign w:val="superscript"/>
        </w:rPr>
        <w:t>®</w:t>
      </w:r>
      <w:r w:rsidRPr="005F23BA">
        <w:t xml:space="preserve"> and </w:t>
      </w:r>
      <w:proofErr w:type="spellStart"/>
      <w:r w:rsidRPr="005F23BA">
        <w:t>Fluvirin</w:t>
      </w:r>
      <w:proofErr w:type="spellEnd"/>
      <w:r w:rsidRPr="005F23BA">
        <w:rPr>
          <w:vertAlign w:val="superscript"/>
        </w:rPr>
        <w:t>®</w:t>
      </w:r>
      <w:r>
        <w:t xml:space="preserve">, and the addition of additional circumstances for the provision of the MMR vaccines </w:t>
      </w:r>
      <w:proofErr w:type="spellStart"/>
      <w:r>
        <w:t>Priorix</w:t>
      </w:r>
      <w:proofErr w:type="spellEnd"/>
      <w:r>
        <w:t xml:space="preserve"> and MMR-II.</w:t>
      </w:r>
    </w:p>
    <w:p w:rsidR="005F23BA" w:rsidRPr="009F602E" w:rsidRDefault="005F23BA" w:rsidP="005F23BA">
      <w:pPr>
        <w:pStyle w:val="Header"/>
        <w:tabs>
          <w:tab w:val="left" w:pos="720"/>
        </w:tabs>
        <w:rPr>
          <w:color w:val="000000"/>
        </w:rPr>
      </w:pPr>
    </w:p>
    <w:p w:rsidR="00246EBD" w:rsidRDefault="00246EBD" w:rsidP="005F23BA">
      <w:pPr>
        <w:ind w:right="-136"/>
        <w:rPr>
          <w:b/>
        </w:rPr>
      </w:pPr>
      <w:r>
        <w:rPr>
          <w:b/>
        </w:rPr>
        <w:t>Human rights implications</w:t>
      </w:r>
    </w:p>
    <w:p w:rsidR="00246EBD" w:rsidRDefault="00246EBD" w:rsidP="00246EBD">
      <w:pPr>
        <w:ind w:right="-136"/>
      </w:pPr>
      <w:r>
        <w:t>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r w:rsidR="00C2512E">
        <w:t xml:space="preserve">  </w:t>
      </w:r>
    </w:p>
    <w:p w:rsidR="00246EBD" w:rsidRDefault="00246EBD" w:rsidP="00246EBD">
      <w:pPr>
        <w:ind w:right="-136"/>
      </w:pPr>
    </w:p>
    <w:p w:rsidR="00246EBD" w:rsidRDefault="00246EBD" w:rsidP="00246EBD">
      <w:pPr>
        <w:ind w:right="-136"/>
      </w:pPr>
      <w:r>
        <w:t xml:space="preserve">The </w:t>
      </w:r>
      <w:r w:rsidR="00E97DAE">
        <w:t>National Immunisation Program (</w:t>
      </w:r>
      <w:r w:rsidR="00371857">
        <w:t>NIP</w:t>
      </w:r>
      <w:r w:rsidR="00E97DAE">
        <w:t>)</w:t>
      </w:r>
      <w:r w:rsidR="00371857">
        <w:t xml:space="preserve"> assists the</w:t>
      </w:r>
      <w:r>
        <w:t xml:space="preserve"> advancement of this human right by providing free access for eligible people to designated vaccines.  This is a positive step towards attaining the highest standard of health for all Australians</w:t>
      </w:r>
      <w:r w:rsidR="00E97DAE">
        <w:t xml:space="preserve">, by protecting individuals and the community </w:t>
      </w:r>
      <w:r w:rsidR="00741281">
        <w:t>against</w:t>
      </w:r>
      <w:r w:rsidR="00E97DAE">
        <w:t xml:space="preserve"> vaccine preventable disease</w:t>
      </w:r>
      <w:r>
        <w:t xml:space="preserve">.  Efficient operational arrangements for the </w:t>
      </w:r>
      <w:r w:rsidR="00371857">
        <w:t>NIP</w:t>
      </w:r>
      <w:r>
        <w:t xml:space="preserve"> support effective administration of the </w:t>
      </w:r>
      <w:r w:rsidR="00371857">
        <w:t>Program</w:t>
      </w:r>
      <w:r>
        <w:t>.</w:t>
      </w:r>
    </w:p>
    <w:p w:rsidR="00D7769C" w:rsidRDefault="00D7769C" w:rsidP="00246EBD">
      <w:pPr>
        <w:ind w:right="-136"/>
      </w:pPr>
    </w:p>
    <w:p w:rsidR="00D7769C" w:rsidRDefault="00625A0A" w:rsidP="00246EBD">
      <w:pPr>
        <w:ind w:right="-136"/>
      </w:pPr>
      <w:r>
        <w:t xml:space="preserve">The NIP </w:t>
      </w:r>
      <w:r w:rsidR="00741281">
        <w:t>is also consistent</w:t>
      </w:r>
      <w:r>
        <w:t xml:space="preserve"> </w:t>
      </w:r>
      <w:r w:rsidR="00A77183">
        <w:t xml:space="preserve">with </w:t>
      </w:r>
      <w:r>
        <w:t>the advancement of Article 1 of the ICESCR.  Since vaccination is not mandatory in Australia this enables the right to self-determination.</w:t>
      </w:r>
    </w:p>
    <w:p w:rsidR="008B3CF1" w:rsidRDefault="008B3CF1" w:rsidP="00246EBD">
      <w:pPr>
        <w:ind w:right="-136"/>
      </w:pPr>
    </w:p>
    <w:p w:rsidR="00246EBD" w:rsidRDefault="00246EBD" w:rsidP="00246EBD">
      <w:pPr>
        <w:keepNext/>
        <w:keepLines/>
        <w:spacing w:after="120"/>
        <w:jc w:val="both"/>
        <w:rPr>
          <w:b/>
        </w:rPr>
      </w:pPr>
      <w:r>
        <w:rPr>
          <w:b/>
        </w:rPr>
        <w:t>Conclusion</w:t>
      </w:r>
    </w:p>
    <w:p w:rsidR="00246EBD" w:rsidRDefault="00246EBD" w:rsidP="00246EBD">
      <w:pPr>
        <w:keepNext/>
        <w:keepLines/>
        <w:ind w:right="-136"/>
      </w:pPr>
      <w:r>
        <w:t>This legislative instrument is compatible with human rights because it advances the protection of human rights</w:t>
      </w:r>
      <w:r w:rsidR="00741281">
        <w:t xml:space="preserve"> as outlined above</w:t>
      </w:r>
      <w:r>
        <w:t>.</w:t>
      </w:r>
    </w:p>
    <w:p w:rsidR="00B33933" w:rsidRDefault="00B33933" w:rsidP="00246EBD">
      <w:pPr>
        <w:keepNext/>
        <w:keepLines/>
        <w:ind w:right="-136"/>
      </w:pPr>
    </w:p>
    <w:p w:rsidR="00246EBD" w:rsidRDefault="00656CFE" w:rsidP="00246EBD">
      <w:pPr>
        <w:keepNext/>
        <w:keepLines/>
        <w:jc w:val="center"/>
        <w:rPr>
          <w:b/>
        </w:rPr>
      </w:pPr>
      <w:r>
        <w:rPr>
          <w:b/>
        </w:rPr>
        <w:t>Julianne Quaine</w:t>
      </w:r>
    </w:p>
    <w:p w:rsidR="005C3F0E" w:rsidRDefault="005C3F0E" w:rsidP="00B33933">
      <w:pPr>
        <w:keepNext/>
        <w:keepLines/>
        <w:jc w:val="center"/>
        <w:rPr>
          <w:b/>
        </w:rPr>
      </w:pPr>
      <w:r>
        <w:rPr>
          <w:b/>
        </w:rPr>
        <w:t>Assistant Secretary</w:t>
      </w:r>
    </w:p>
    <w:p w:rsidR="005C3F0E" w:rsidRDefault="005C3F0E" w:rsidP="00B33933">
      <w:pPr>
        <w:keepNext/>
        <w:keepLines/>
        <w:jc w:val="center"/>
        <w:rPr>
          <w:b/>
        </w:rPr>
      </w:pPr>
      <w:r>
        <w:rPr>
          <w:b/>
        </w:rPr>
        <w:t>Office of Health Protection</w:t>
      </w:r>
    </w:p>
    <w:p w:rsidR="005C3F0E" w:rsidRDefault="005C3F0E" w:rsidP="00B33933">
      <w:pPr>
        <w:keepNext/>
        <w:keepLines/>
        <w:jc w:val="center"/>
        <w:rPr>
          <w:b/>
        </w:rPr>
      </w:pPr>
      <w:r>
        <w:rPr>
          <w:b/>
        </w:rPr>
        <w:t>Department of Health and Ageing</w:t>
      </w:r>
    </w:p>
    <w:p w:rsidR="00246EBD" w:rsidRDefault="00246EBD" w:rsidP="00B33933">
      <w:pPr>
        <w:keepNext/>
        <w:keepLines/>
        <w:jc w:val="center"/>
        <w:rPr>
          <w:u w:val="single"/>
        </w:rPr>
      </w:pPr>
    </w:p>
    <w:p w:rsidR="0087170A" w:rsidRDefault="0087170A"/>
    <w:sectPr w:rsidR="0087170A" w:rsidSect="00A96A1B">
      <w:headerReference w:type="default" r:id="rId9"/>
      <w:footerReference w:type="default" r:id="rId10"/>
      <w:pgSz w:w="11906" w:h="16838"/>
      <w:pgMar w:top="1440" w:right="1440" w:bottom="107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C9E" w:rsidRDefault="009A7C9E" w:rsidP="00A96A1B">
      <w:r>
        <w:separator/>
      </w:r>
    </w:p>
  </w:endnote>
  <w:endnote w:type="continuationSeparator" w:id="0">
    <w:p w:rsidR="009A7C9E" w:rsidRDefault="009A7C9E" w:rsidP="00A96A1B">
      <w:r>
        <w:continuationSeparator/>
      </w:r>
    </w:p>
  </w:endnote>
  <w:endnote w:type="continuationNotice" w:id="1">
    <w:p w:rsidR="009A7C9E" w:rsidRDefault="009A7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DA0" w:rsidRDefault="00143D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C9E" w:rsidRDefault="009A7C9E" w:rsidP="00A96A1B">
      <w:r>
        <w:separator/>
      </w:r>
    </w:p>
  </w:footnote>
  <w:footnote w:type="continuationSeparator" w:id="0">
    <w:p w:rsidR="009A7C9E" w:rsidRDefault="009A7C9E" w:rsidP="00A96A1B">
      <w:r>
        <w:continuationSeparator/>
      </w:r>
    </w:p>
  </w:footnote>
  <w:footnote w:type="continuationNotice" w:id="1">
    <w:p w:rsidR="009A7C9E" w:rsidRDefault="009A7C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DA0" w:rsidRDefault="00143D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02A9"/>
    <w:multiLevelType w:val="hybridMultilevel"/>
    <w:tmpl w:val="57B43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8093439"/>
    <w:multiLevelType w:val="hybridMultilevel"/>
    <w:tmpl w:val="71E8309A"/>
    <w:lvl w:ilvl="0" w:tplc="0C09000F">
      <w:start w:val="1"/>
      <w:numFmt w:val="decimal"/>
      <w:lvlText w:val="%1."/>
      <w:lvlJc w:val="left"/>
      <w:pPr>
        <w:tabs>
          <w:tab w:val="num" w:pos="780"/>
        </w:tabs>
        <w:ind w:left="780" w:hanging="360"/>
      </w:pPr>
    </w:lvl>
    <w:lvl w:ilvl="1" w:tplc="0C090019">
      <w:start w:val="1"/>
      <w:numFmt w:val="lowerLetter"/>
      <w:lvlText w:val="%2."/>
      <w:lvlJc w:val="left"/>
      <w:pPr>
        <w:tabs>
          <w:tab w:val="num" w:pos="1500"/>
        </w:tabs>
        <w:ind w:left="1500" w:hanging="360"/>
      </w:pPr>
    </w:lvl>
    <w:lvl w:ilvl="2" w:tplc="0C09001B">
      <w:start w:val="1"/>
      <w:numFmt w:val="lowerRoman"/>
      <w:lvlText w:val="%3."/>
      <w:lvlJc w:val="right"/>
      <w:pPr>
        <w:tabs>
          <w:tab w:val="num" w:pos="2220"/>
        </w:tabs>
        <w:ind w:left="2220" w:hanging="180"/>
      </w:pPr>
    </w:lvl>
    <w:lvl w:ilvl="3" w:tplc="0C09000F">
      <w:start w:val="1"/>
      <w:numFmt w:val="decimal"/>
      <w:lvlText w:val="%4."/>
      <w:lvlJc w:val="left"/>
      <w:pPr>
        <w:tabs>
          <w:tab w:val="num" w:pos="2940"/>
        </w:tabs>
        <w:ind w:left="2940" w:hanging="360"/>
      </w:pPr>
    </w:lvl>
    <w:lvl w:ilvl="4" w:tplc="0C090019">
      <w:start w:val="1"/>
      <w:numFmt w:val="lowerLetter"/>
      <w:lvlText w:val="%5."/>
      <w:lvlJc w:val="left"/>
      <w:pPr>
        <w:tabs>
          <w:tab w:val="num" w:pos="3660"/>
        </w:tabs>
        <w:ind w:left="3660" w:hanging="360"/>
      </w:pPr>
    </w:lvl>
    <w:lvl w:ilvl="5" w:tplc="0C09001B">
      <w:start w:val="1"/>
      <w:numFmt w:val="lowerRoman"/>
      <w:lvlText w:val="%6."/>
      <w:lvlJc w:val="right"/>
      <w:pPr>
        <w:tabs>
          <w:tab w:val="num" w:pos="4380"/>
        </w:tabs>
        <w:ind w:left="4380" w:hanging="180"/>
      </w:pPr>
    </w:lvl>
    <w:lvl w:ilvl="6" w:tplc="0C09000F">
      <w:start w:val="1"/>
      <w:numFmt w:val="decimal"/>
      <w:lvlText w:val="%7."/>
      <w:lvlJc w:val="left"/>
      <w:pPr>
        <w:tabs>
          <w:tab w:val="num" w:pos="5100"/>
        </w:tabs>
        <w:ind w:left="5100" w:hanging="360"/>
      </w:pPr>
    </w:lvl>
    <w:lvl w:ilvl="7" w:tplc="0C090019">
      <w:start w:val="1"/>
      <w:numFmt w:val="lowerLetter"/>
      <w:lvlText w:val="%8."/>
      <w:lvlJc w:val="left"/>
      <w:pPr>
        <w:tabs>
          <w:tab w:val="num" w:pos="5820"/>
        </w:tabs>
        <w:ind w:left="5820" w:hanging="360"/>
      </w:pPr>
    </w:lvl>
    <w:lvl w:ilvl="8" w:tplc="0C09001B">
      <w:start w:val="1"/>
      <w:numFmt w:val="lowerRoman"/>
      <w:lvlText w:val="%9."/>
      <w:lvlJc w:val="right"/>
      <w:pPr>
        <w:tabs>
          <w:tab w:val="num" w:pos="6540"/>
        </w:tabs>
        <w:ind w:left="65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70A"/>
    <w:rsid w:val="00042B02"/>
    <w:rsid w:val="00065AC3"/>
    <w:rsid w:val="000D2F5C"/>
    <w:rsid w:val="00143DA0"/>
    <w:rsid w:val="00147F34"/>
    <w:rsid w:val="00246EBD"/>
    <w:rsid w:val="0026064A"/>
    <w:rsid w:val="00290ACD"/>
    <w:rsid w:val="0029310E"/>
    <w:rsid w:val="002B5B34"/>
    <w:rsid w:val="00322BC6"/>
    <w:rsid w:val="003250D6"/>
    <w:rsid w:val="00371857"/>
    <w:rsid w:val="003B029D"/>
    <w:rsid w:val="003E4617"/>
    <w:rsid w:val="004F0E86"/>
    <w:rsid w:val="00512CC6"/>
    <w:rsid w:val="00530B5D"/>
    <w:rsid w:val="005B1B9E"/>
    <w:rsid w:val="005C3F0E"/>
    <w:rsid w:val="005F18DC"/>
    <w:rsid w:val="005F23BA"/>
    <w:rsid w:val="0060348D"/>
    <w:rsid w:val="00625A0A"/>
    <w:rsid w:val="006302EA"/>
    <w:rsid w:val="00633C6B"/>
    <w:rsid w:val="00656CFE"/>
    <w:rsid w:val="00676C3B"/>
    <w:rsid w:val="00683CD2"/>
    <w:rsid w:val="006C280C"/>
    <w:rsid w:val="006E0BD0"/>
    <w:rsid w:val="006E2C81"/>
    <w:rsid w:val="006F36E2"/>
    <w:rsid w:val="00741281"/>
    <w:rsid w:val="007466F2"/>
    <w:rsid w:val="007F0DD6"/>
    <w:rsid w:val="007F4E20"/>
    <w:rsid w:val="00870DA6"/>
    <w:rsid w:val="0087170A"/>
    <w:rsid w:val="008B1349"/>
    <w:rsid w:val="008B3CF1"/>
    <w:rsid w:val="009369F9"/>
    <w:rsid w:val="009658C7"/>
    <w:rsid w:val="00996B99"/>
    <w:rsid w:val="009A7C9E"/>
    <w:rsid w:val="009D2DCF"/>
    <w:rsid w:val="009F602E"/>
    <w:rsid w:val="00A36360"/>
    <w:rsid w:val="00A77183"/>
    <w:rsid w:val="00A96A1B"/>
    <w:rsid w:val="00AA01D8"/>
    <w:rsid w:val="00B0197D"/>
    <w:rsid w:val="00B33933"/>
    <w:rsid w:val="00B37257"/>
    <w:rsid w:val="00BA3B32"/>
    <w:rsid w:val="00C23B1D"/>
    <w:rsid w:val="00C2512E"/>
    <w:rsid w:val="00C71423"/>
    <w:rsid w:val="00CE62D0"/>
    <w:rsid w:val="00D510DF"/>
    <w:rsid w:val="00D7769C"/>
    <w:rsid w:val="00DE3097"/>
    <w:rsid w:val="00E06C6C"/>
    <w:rsid w:val="00E14083"/>
    <w:rsid w:val="00E319CD"/>
    <w:rsid w:val="00E97DAE"/>
    <w:rsid w:val="00EA1615"/>
    <w:rsid w:val="00EB7D2F"/>
    <w:rsid w:val="00ED75B0"/>
    <w:rsid w:val="00ED7BBA"/>
    <w:rsid w:val="00EE09C9"/>
    <w:rsid w:val="00F73ECF"/>
    <w:rsid w:val="00F91062"/>
    <w:rsid w:val="00F97362"/>
    <w:rsid w:val="00FC53EE"/>
    <w:rsid w:val="00FE2D27"/>
    <w:rsid w:val="00FE61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70A"/>
    <w:pPr>
      <w:spacing w:after="0" w:line="240" w:lineRule="auto"/>
    </w:pPr>
    <w:rPr>
      <w:rFonts w:eastAsia="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170A"/>
    <w:pPr>
      <w:tabs>
        <w:tab w:val="center" w:pos="4153"/>
        <w:tab w:val="right" w:pos="8306"/>
      </w:tabs>
    </w:pPr>
  </w:style>
  <w:style w:type="character" w:customStyle="1" w:styleId="HeaderChar">
    <w:name w:val="Header Char"/>
    <w:basedOn w:val="DefaultParagraphFont"/>
    <w:link w:val="Header"/>
    <w:rsid w:val="0087170A"/>
    <w:rPr>
      <w:rFonts w:eastAsia="Times New Roman" w:cs="Times New Roman"/>
      <w:szCs w:val="24"/>
      <w:lang w:eastAsia="en-AU"/>
    </w:rPr>
  </w:style>
  <w:style w:type="character" w:customStyle="1" w:styleId="normalchar">
    <w:name w:val="normal_char"/>
    <w:basedOn w:val="DefaultParagraphFont"/>
    <w:rsid w:val="0087170A"/>
    <w:rPr>
      <w:color w:val="auto"/>
    </w:rPr>
  </w:style>
  <w:style w:type="paragraph" w:styleId="BalloonText">
    <w:name w:val="Balloon Text"/>
    <w:basedOn w:val="Normal"/>
    <w:link w:val="BalloonTextChar"/>
    <w:uiPriority w:val="99"/>
    <w:semiHidden/>
    <w:unhideWhenUsed/>
    <w:rsid w:val="00371857"/>
    <w:rPr>
      <w:rFonts w:ascii="Tahoma" w:hAnsi="Tahoma" w:cs="Tahoma"/>
      <w:sz w:val="16"/>
      <w:szCs w:val="16"/>
    </w:rPr>
  </w:style>
  <w:style w:type="character" w:customStyle="1" w:styleId="BalloonTextChar">
    <w:name w:val="Balloon Text Char"/>
    <w:basedOn w:val="DefaultParagraphFont"/>
    <w:link w:val="BalloonText"/>
    <w:uiPriority w:val="99"/>
    <w:semiHidden/>
    <w:rsid w:val="0037185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B37257"/>
    <w:rPr>
      <w:sz w:val="16"/>
      <w:szCs w:val="16"/>
    </w:rPr>
  </w:style>
  <w:style w:type="paragraph" w:styleId="CommentText">
    <w:name w:val="annotation text"/>
    <w:basedOn w:val="Normal"/>
    <w:link w:val="CommentTextChar"/>
    <w:uiPriority w:val="99"/>
    <w:semiHidden/>
    <w:unhideWhenUsed/>
    <w:rsid w:val="00B37257"/>
    <w:rPr>
      <w:sz w:val="20"/>
      <w:szCs w:val="20"/>
    </w:rPr>
  </w:style>
  <w:style w:type="character" w:customStyle="1" w:styleId="CommentTextChar">
    <w:name w:val="Comment Text Char"/>
    <w:basedOn w:val="DefaultParagraphFont"/>
    <w:link w:val="CommentText"/>
    <w:uiPriority w:val="99"/>
    <w:semiHidden/>
    <w:rsid w:val="00B37257"/>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37257"/>
    <w:rPr>
      <w:b/>
      <w:bCs/>
    </w:rPr>
  </w:style>
  <w:style w:type="character" w:customStyle="1" w:styleId="CommentSubjectChar">
    <w:name w:val="Comment Subject Char"/>
    <w:basedOn w:val="CommentTextChar"/>
    <w:link w:val="CommentSubject"/>
    <w:uiPriority w:val="99"/>
    <w:semiHidden/>
    <w:rsid w:val="00B37257"/>
    <w:rPr>
      <w:rFonts w:eastAsia="Times New Roman" w:cs="Times New Roman"/>
      <w:b/>
      <w:bCs/>
      <w:sz w:val="20"/>
      <w:szCs w:val="20"/>
      <w:lang w:eastAsia="en-AU"/>
    </w:rPr>
  </w:style>
  <w:style w:type="paragraph" w:styleId="Footer">
    <w:name w:val="footer"/>
    <w:basedOn w:val="Normal"/>
    <w:link w:val="FooterChar"/>
    <w:uiPriority w:val="99"/>
    <w:unhideWhenUsed/>
    <w:rsid w:val="00A96A1B"/>
    <w:pPr>
      <w:tabs>
        <w:tab w:val="center" w:pos="4513"/>
        <w:tab w:val="right" w:pos="9026"/>
      </w:tabs>
    </w:pPr>
  </w:style>
  <w:style w:type="character" w:customStyle="1" w:styleId="FooterChar">
    <w:name w:val="Footer Char"/>
    <w:basedOn w:val="DefaultParagraphFont"/>
    <w:link w:val="Footer"/>
    <w:uiPriority w:val="99"/>
    <w:rsid w:val="00A96A1B"/>
    <w:rPr>
      <w:rFonts w:eastAsia="Times New Roman" w:cs="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70A"/>
    <w:pPr>
      <w:spacing w:after="0" w:line="240" w:lineRule="auto"/>
    </w:pPr>
    <w:rPr>
      <w:rFonts w:eastAsia="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170A"/>
    <w:pPr>
      <w:tabs>
        <w:tab w:val="center" w:pos="4153"/>
        <w:tab w:val="right" w:pos="8306"/>
      </w:tabs>
    </w:pPr>
  </w:style>
  <w:style w:type="character" w:customStyle="1" w:styleId="HeaderChar">
    <w:name w:val="Header Char"/>
    <w:basedOn w:val="DefaultParagraphFont"/>
    <w:link w:val="Header"/>
    <w:rsid w:val="0087170A"/>
    <w:rPr>
      <w:rFonts w:eastAsia="Times New Roman" w:cs="Times New Roman"/>
      <w:szCs w:val="24"/>
      <w:lang w:eastAsia="en-AU"/>
    </w:rPr>
  </w:style>
  <w:style w:type="character" w:customStyle="1" w:styleId="normalchar">
    <w:name w:val="normal_char"/>
    <w:basedOn w:val="DefaultParagraphFont"/>
    <w:rsid w:val="0087170A"/>
    <w:rPr>
      <w:color w:val="auto"/>
    </w:rPr>
  </w:style>
  <w:style w:type="paragraph" w:styleId="BalloonText">
    <w:name w:val="Balloon Text"/>
    <w:basedOn w:val="Normal"/>
    <w:link w:val="BalloonTextChar"/>
    <w:uiPriority w:val="99"/>
    <w:semiHidden/>
    <w:unhideWhenUsed/>
    <w:rsid w:val="00371857"/>
    <w:rPr>
      <w:rFonts w:ascii="Tahoma" w:hAnsi="Tahoma" w:cs="Tahoma"/>
      <w:sz w:val="16"/>
      <w:szCs w:val="16"/>
    </w:rPr>
  </w:style>
  <w:style w:type="character" w:customStyle="1" w:styleId="BalloonTextChar">
    <w:name w:val="Balloon Text Char"/>
    <w:basedOn w:val="DefaultParagraphFont"/>
    <w:link w:val="BalloonText"/>
    <w:uiPriority w:val="99"/>
    <w:semiHidden/>
    <w:rsid w:val="0037185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B37257"/>
    <w:rPr>
      <w:sz w:val="16"/>
      <w:szCs w:val="16"/>
    </w:rPr>
  </w:style>
  <w:style w:type="paragraph" w:styleId="CommentText">
    <w:name w:val="annotation text"/>
    <w:basedOn w:val="Normal"/>
    <w:link w:val="CommentTextChar"/>
    <w:uiPriority w:val="99"/>
    <w:semiHidden/>
    <w:unhideWhenUsed/>
    <w:rsid w:val="00B37257"/>
    <w:rPr>
      <w:sz w:val="20"/>
      <w:szCs w:val="20"/>
    </w:rPr>
  </w:style>
  <w:style w:type="character" w:customStyle="1" w:styleId="CommentTextChar">
    <w:name w:val="Comment Text Char"/>
    <w:basedOn w:val="DefaultParagraphFont"/>
    <w:link w:val="CommentText"/>
    <w:uiPriority w:val="99"/>
    <w:semiHidden/>
    <w:rsid w:val="00B37257"/>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37257"/>
    <w:rPr>
      <w:b/>
      <w:bCs/>
    </w:rPr>
  </w:style>
  <w:style w:type="character" w:customStyle="1" w:styleId="CommentSubjectChar">
    <w:name w:val="Comment Subject Char"/>
    <w:basedOn w:val="CommentTextChar"/>
    <w:link w:val="CommentSubject"/>
    <w:uiPriority w:val="99"/>
    <w:semiHidden/>
    <w:rsid w:val="00B37257"/>
    <w:rPr>
      <w:rFonts w:eastAsia="Times New Roman" w:cs="Times New Roman"/>
      <w:b/>
      <w:bCs/>
      <w:sz w:val="20"/>
      <w:szCs w:val="20"/>
      <w:lang w:eastAsia="en-AU"/>
    </w:rPr>
  </w:style>
  <w:style w:type="paragraph" w:styleId="Footer">
    <w:name w:val="footer"/>
    <w:basedOn w:val="Normal"/>
    <w:link w:val="FooterChar"/>
    <w:uiPriority w:val="99"/>
    <w:unhideWhenUsed/>
    <w:rsid w:val="00A96A1B"/>
    <w:pPr>
      <w:tabs>
        <w:tab w:val="center" w:pos="4513"/>
        <w:tab w:val="right" w:pos="9026"/>
      </w:tabs>
    </w:pPr>
  </w:style>
  <w:style w:type="character" w:customStyle="1" w:styleId="FooterChar">
    <w:name w:val="Footer Char"/>
    <w:basedOn w:val="DefaultParagraphFont"/>
    <w:link w:val="Footer"/>
    <w:uiPriority w:val="99"/>
    <w:rsid w:val="00A96A1B"/>
    <w:rPr>
      <w:rFonts w:eastAsia="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877382">
      <w:bodyDiv w:val="1"/>
      <w:marLeft w:val="0"/>
      <w:marRight w:val="0"/>
      <w:marTop w:val="0"/>
      <w:marBottom w:val="0"/>
      <w:divBdr>
        <w:top w:val="none" w:sz="0" w:space="0" w:color="auto"/>
        <w:left w:val="none" w:sz="0" w:space="0" w:color="auto"/>
        <w:bottom w:val="none" w:sz="0" w:space="0" w:color="auto"/>
        <w:right w:val="none" w:sz="0" w:space="0" w:color="auto"/>
      </w:divBdr>
    </w:div>
    <w:div w:id="1024596833">
      <w:bodyDiv w:val="1"/>
      <w:marLeft w:val="0"/>
      <w:marRight w:val="0"/>
      <w:marTop w:val="0"/>
      <w:marBottom w:val="0"/>
      <w:divBdr>
        <w:top w:val="none" w:sz="0" w:space="0" w:color="auto"/>
        <w:left w:val="none" w:sz="0" w:space="0" w:color="auto"/>
        <w:bottom w:val="none" w:sz="0" w:space="0" w:color="auto"/>
        <w:right w:val="none" w:sz="0" w:space="0" w:color="auto"/>
      </w:divBdr>
    </w:div>
    <w:div w:id="1157108180">
      <w:bodyDiv w:val="1"/>
      <w:marLeft w:val="0"/>
      <w:marRight w:val="0"/>
      <w:marTop w:val="0"/>
      <w:marBottom w:val="0"/>
      <w:divBdr>
        <w:top w:val="none" w:sz="0" w:space="0" w:color="auto"/>
        <w:left w:val="none" w:sz="0" w:space="0" w:color="auto"/>
        <w:bottom w:val="none" w:sz="0" w:space="0" w:color="auto"/>
        <w:right w:val="none" w:sz="0" w:space="0" w:color="auto"/>
      </w:divBdr>
    </w:div>
    <w:div w:id="1316034537">
      <w:bodyDiv w:val="1"/>
      <w:marLeft w:val="0"/>
      <w:marRight w:val="0"/>
      <w:marTop w:val="0"/>
      <w:marBottom w:val="0"/>
      <w:divBdr>
        <w:top w:val="none" w:sz="0" w:space="0" w:color="auto"/>
        <w:left w:val="none" w:sz="0" w:space="0" w:color="auto"/>
        <w:bottom w:val="none" w:sz="0" w:space="0" w:color="auto"/>
        <w:right w:val="none" w:sz="0" w:space="0" w:color="auto"/>
      </w:divBdr>
      <w:divsChild>
        <w:div w:id="90009096">
          <w:marLeft w:val="0"/>
          <w:marRight w:val="0"/>
          <w:marTop w:val="0"/>
          <w:marBottom w:val="0"/>
          <w:divBdr>
            <w:top w:val="none" w:sz="0" w:space="0" w:color="auto"/>
            <w:left w:val="none" w:sz="0" w:space="0" w:color="auto"/>
            <w:bottom w:val="none" w:sz="0" w:space="0" w:color="auto"/>
            <w:right w:val="none" w:sz="0" w:space="0" w:color="auto"/>
          </w:divBdr>
          <w:divsChild>
            <w:div w:id="1167671300">
              <w:marLeft w:val="0"/>
              <w:marRight w:val="0"/>
              <w:marTop w:val="0"/>
              <w:marBottom w:val="0"/>
              <w:divBdr>
                <w:top w:val="none" w:sz="0" w:space="0" w:color="auto"/>
                <w:left w:val="none" w:sz="0" w:space="0" w:color="auto"/>
                <w:bottom w:val="none" w:sz="0" w:space="0" w:color="auto"/>
                <w:right w:val="none" w:sz="0" w:space="0" w:color="auto"/>
              </w:divBdr>
              <w:divsChild>
                <w:div w:id="1093933860">
                  <w:marLeft w:val="0"/>
                  <w:marRight w:val="0"/>
                  <w:marTop w:val="0"/>
                  <w:marBottom w:val="0"/>
                  <w:divBdr>
                    <w:top w:val="none" w:sz="0" w:space="0" w:color="auto"/>
                    <w:left w:val="none" w:sz="0" w:space="0" w:color="auto"/>
                    <w:bottom w:val="none" w:sz="0" w:space="0" w:color="auto"/>
                    <w:right w:val="none" w:sz="0" w:space="0" w:color="auto"/>
                  </w:divBdr>
                  <w:divsChild>
                    <w:div w:id="1986886940">
                      <w:marLeft w:val="0"/>
                      <w:marRight w:val="0"/>
                      <w:marTop w:val="0"/>
                      <w:marBottom w:val="0"/>
                      <w:divBdr>
                        <w:top w:val="none" w:sz="0" w:space="0" w:color="auto"/>
                        <w:left w:val="none" w:sz="0" w:space="0" w:color="auto"/>
                        <w:bottom w:val="none" w:sz="0" w:space="0" w:color="auto"/>
                        <w:right w:val="none" w:sz="0" w:space="0" w:color="auto"/>
                      </w:divBdr>
                      <w:divsChild>
                        <w:div w:id="834996828">
                          <w:marLeft w:val="0"/>
                          <w:marRight w:val="0"/>
                          <w:marTop w:val="0"/>
                          <w:marBottom w:val="0"/>
                          <w:divBdr>
                            <w:top w:val="single" w:sz="6" w:space="0" w:color="828282"/>
                            <w:left w:val="single" w:sz="6" w:space="0" w:color="828282"/>
                            <w:bottom w:val="single" w:sz="6" w:space="0" w:color="828282"/>
                            <w:right w:val="single" w:sz="6" w:space="0" w:color="828282"/>
                          </w:divBdr>
                          <w:divsChild>
                            <w:div w:id="1590652336">
                              <w:marLeft w:val="0"/>
                              <w:marRight w:val="0"/>
                              <w:marTop w:val="0"/>
                              <w:marBottom w:val="0"/>
                              <w:divBdr>
                                <w:top w:val="none" w:sz="0" w:space="0" w:color="auto"/>
                                <w:left w:val="none" w:sz="0" w:space="0" w:color="auto"/>
                                <w:bottom w:val="none" w:sz="0" w:space="0" w:color="auto"/>
                                <w:right w:val="none" w:sz="0" w:space="0" w:color="auto"/>
                              </w:divBdr>
                              <w:divsChild>
                                <w:div w:id="1953785348">
                                  <w:marLeft w:val="0"/>
                                  <w:marRight w:val="0"/>
                                  <w:marTop w:val="0"/>
                                  <w:marBottom w:val="0"/>
                                  <w:divBdr>
                                    <w:top w:val="none" w:sz="0" w:space="0" w:color="auto"/>
                                    <w:left w:val="none" w:sz="0" w:space="0" w:color="auto"/>
                                    <w:bottom w:val="none" w:sz="0" w:space="0" w:color="auto"/>
                                    <w:right w:val="none" w:sz="0" w:space="0" w:color="auto"/>
                                  </w:divBdr>
                                  <w:divsChild>
                                    <w:div w:id="409232700">
                                      <w:marLeft w:val="0"/>
                                      <w:marRight w:val="0"/>
                                      <w:marTop w:val="0"/>
                                      <w:marBottom w:val="0"/>
                                      <w:divBdr>
                                        <w:top w:val="none" w:sz="0" w:space="0" w:color="auto"/>
                                        <w:left w:val="none" w:sz="0" w:space="0" w:color="auto"/>
                                        <w:bottom w:val="none" w:sz="0" w:space="0" w:color="auto"/>
                                        <w:right w:val="none" w:sz="0" w:space="0" w:color="auto"/>
                                      </w:divBdr>
                                      <w:divsChild>
                                        <w:div w:id="1620721872">
                                          <w:marLeft w:val="0"/>
                                          <w:marRight w:val="0"/>
                                          <w:marTop w:val="0"/>
                                          <w:marBottom w:val="0"/>
                                          <w:divBdr>
                                            <w:top w:val="none" w:sz="0" w:space="0" w:color="auto"/>
                                            <w:left w:val="none" w:sz="0" w:space="0" w:color="auto"/>
                                            <w:bottom w:val="none" w:sz="0" w:space="0" w:color="auto"/>
                                            <w:right w:val="none" w:sz="0" w:space="0" w:color="auto"/>
                                          </w:divBdr>
                                          <w:divsChild>
                                            <w:div w:id="1421097036">
                                              <w:marLeft w:val="0"/>
                                              <w:marRight w:val="0"/>
                                              <w:marTop w:val="0"/>
                                              <w:marBottom w:val="0"/>
                                              <w:divBdr>
                                                <w:top w:val="none" w:sz="0" w:space="0" w:color="auto"/>
                                                <w:left w:val="none" w:sz="0" w:space="0" w:color="auto"/>
                                                <w:bottom w:val="none" w:sz="0" w:space="0" w:color="auto"/>
                                                <w:right w:val="none" w:sz="0" w:space="0" w:color="auto"/>
                                              </w:divBdr>
                                              <w:divsChild>
                                                <w:div w:id="14584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3188802">
      <w:bodyDiv w:val="1"/>
      <w:marLeft w:val="0"/>
      <w:marRight w:val="0"/>
      <w:marTop w:val="0"/>
      <w:marBottom w:val="0"/>
      <w:divBdr>
        <w:top w:val="none" w:sz="0" w:space="0" w:color="auto"/>
        <w:left w:val="none" w:sz="0" w:space="0" w:color="auto"/>
        <w:bottom w:val="none" w:sz="0" w:space="0" w:color="auto"/>
        <w:right w:val="none" w:sz="0" w:space="0" w:color="auto"/>
      </w:divBdr>
    </w:div>
    <w:div w:id="1783069968">
      <w:bodyDiv w:val="1"/>
      <w:marLeft w:val="0"/>
      <w:marRight w:val="0"/>
      <w:marTop w:val="0"/>
      <w:marBottom w:val="0"/>
      <w:divBdr>
        <w:top w:val="none" w:sz="0" w:space="0" w:color="auto"/>
        <w:left w:val="none" w:sz="0" w:space="0" w:color="auto"/>
        <w:bottom w:val="none" w:sz="0" w:space="0" w:color="auto"/>
        <w:right w:val="none" w:sz="0" w:space="0" w:color="auto"/>
      </w:divBdr>
      <w:divsChild>
        <w:div w:id="35158084">
          <w:marLeft w:val="0"/>
          <w:marRight w:val="0"/>
          <w:marTop w:val="0"/>
          <w:marBottom w:val="0"/>
          <w:divBdr>
            <w:top w:val="none" w:sz="0" w:space="0" w:color="auto"/>
            <w:left w:val="none" w:sz="0" w:space="0" w:color="auto"/>
            <w:bottom w:val="none" w:sz="0" w:space="0" w:color="auto"/>
            <w:right w:val="none" w:sz="0" w:space="0" w:color="auto"/>
          </w:divBdr>
          <w:divsChild>
            <w:div w:id="1872065724">
              <w:marLeft w:val="0"/>
              <w:marRight w:val="0"/>
              <w:marTop w:val="0"/>
              <w:marBottom w:val="0"/>
              <w:divBdr>
                <w:top w:val="none" w:sz="0" w:space="0" w:color="auto"/>
                <w:left w:val="none" w:sz="0" w:space="0" w:color="auto"/>
                <w:bottom w:val="none" w:sz="0" w:space="0" w:color="auto"/>
                <w:right w:val="none" w:sz="0" w:space="0" w:color="auto"/>
              </w:divBdr>
              <w:divsChild>
                <w:div w:id="44959634">
                  <w:marLeft w:val="0"/>
                  <w:marRight w:val="0"/>
                  <w:marTop w:val="0"/>
                  <w:marBottom w:val="0"/>
                  <w:divBdr>
                    <w:top w:val="none" w:sz="0" w:space="0" w:color="auto"/>
                    <w:left w:val="none" w:sz="0" w:space="0" w:color="auto"/>
                    <w:bottom w:val="none" w:sz="0" w:space="0" w:color="auto"/>
                    <w:right w:val="none" w:sz="0" w:space="0" w:color="auto"/>
                  </w:divBdr>
                  <w:divsChild>
                    <w:div w:id="48772810">
                      <w:marLeft w:val="0"/>
                      <w:marRight w:val="0"/>
                      <w:marTop w:val="0"/>
                      <w:marBottom w:val="0"/>
                      <w:divBdr>
                        <w:top w:val="none" w:sz="0" w:space="0" w:color="auto"/>
                        <w:left w:val="none" w:sz="0" w:space="0" w:color="auto"/>
                        <w:bottom w:val="none" w:sz="0" w:space="0" w:color="auto"/>
                        <w:right w:val="none" w:sz="0" w:space="0" w:color="auto"/>
                      </w:divBdr>
                      <w:divsChild>
                        <w:div w:id="1830946756">
                          <w:marLeft w:val="0"/>
                          <w:marRight w:val="0"/>
                          <w:marTop w:val="0"/>
                          <w:marBottom w:val="0"/>
                          <w:divBdr>
                            <w:top w:val="single" w:sz="6" w:space="0" w:color="828282"/>
                            <w:left w:val="single" w:sz="6" w:space="0" w:color="828282"/>
                            <w:bottom w:val="single" w:sz="6" w:space="0" w:color="828282"/>
                            <w:right w:val="single" w:sz="6" w:space="0" w:color="828282"/>
                          </w:divBdr>
                          <w:divsChild>
                            <w:div w:id="1207257119">
                              <w:marLeft w:val="0"/>
                              <w:marRight w:val="0"/>
                              <w:marTop w:val="0"/>
                              <w:marBottom w:val="0"/>
                              <w:divBdr>
                                <w:top w:val="none" w:sz="0" w:space="0" w:color="auto"/>
                                <w:left w:val="none" w:sz="0" w:space="0" w:color="auto"/>
                                <w:bottom w:val="none" w:sz="0" w:space="0" w:color="auto"/>
                                <w:right w:val="none" w:sz="0" w:space="0" w:color="auto"/>
                              </w:divBdr>
                              <w:divsChild>
                                <w:div w:id="455874170">
                                  <w:marLeft w:val="0"/>
                                  <w:marRight w:val="0"/>
                                  <w:marTop w:val="0"/>
                                  <w:marBottom w:val="0"/>
                                  <w:divBdr>
                                    <w:top w:val="none" w:sz="0" w:space="0" w:color="auto"/>
                                    <w:left w:val="none" w:sz="0" w:space="0" w:color="auto"/>
                                    <w:bottom w:val="none" w:sz="0" w:space="0" w:color="auto"/>
                                    <w:right w:val="none" w:sz="0" w:space="0" w:color="auto"/>
                                  </w:divBdr>
                                  <w:divsChild>
                                    <w:div w:id="752358334">
                                      <w:marLeft w:val="0"/>
                                      <w:marRight w:val="0"/>
                                      <w:marTop w:val="0"/>
                                      <w:marBottom w:val="0"/>
                                      <w:divBdr>
                                        <w:top w:val="none" w:sz="0" w:space="0" w:color="auto"/>
                                        <w:left w:val="none" w:sz="0" w:space="0" w:color="auto"/>
                                        <w:bottom w:val="none" w:sz="0" w:space="0" w:color="auto"/>
                                        <w:right w:val="none" w:sz="0" w:space="0" w:color="auto"/>
                                      </w:divBdr>
                                      <w:divsChild>
                                        <w:div w:id="1386641294">
                                          <w:marLeft w:val="0"/>
                                          <w:marRight w:val="0"/>
                                          <w:marTop w:val="0"/>
                                          <w:marBottom w:val="0"/>
                                          <w:divBdr>
                                            <w:top w:val="none" w:sz="0" w:space="0" w:color="auto"/>
                                            <w:left w:val="none" w:sz="0" w:space="0" w:color="auto"/>
                                            <w:bottom w:val="none" w:sz="0" w:space="0" w:color="auto"/>
                                            <w:right w:val="none" w:sz="0" w:space="0" w:color="auto"/>
                                          </w:divBdr>
                                          <w:divsChild>
                                            <w:div w:id="2126851544">
                                              <w:marLeft w:val="0"/>
                                              <w:marRight w:val="0"/>
                                              <w:marTop w:val="0"/>
                                              <w:marBottom w:val="0"/>
                                              <w:divBdr>
                                                <w:top w:val="none" w:sz="0" w:space="0" w:color="auto"/>
                                                <w:left w:val="none" w:sz="0" w:space="0" w:color="auto"/>
                                                <w:bottom w:val="none" w:sz="0" w:space="0" w:color="auto"/>
                                                <w:right w:val="none" w:sz="0" w:space="0" w:color="auto"/>
                                              </w:divBdr>
                                              <w:divsChild>
                                                <w:div w:id="44088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6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5650-B40A-48EC-992B-893C3A2EF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Burford</dc:creator>
  <cp:lastModifiedBy>Lewis Eleanor</cp:lastModifiedBy>
  <cp:revision>2</cp:revision>
  <cp:lastPrinted>2014-09-03T04:55:00Z</cp:lastPrinted>
  <dcterms:created xsi:type="dcterms:W3CDTF">2014-09-11T02:36:00Z</dcterms:created>
  <dcterms:modified xsi:type="dcterms:W3CDTF">2014-09-11T02:36:00Z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