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1" w:rsidRPr="009A2975" w:rsidRDefault="00DA4926" w:rsidP="00DF15E5">
      <w:pPr>
        <w:pStyle w:val="AMSCHTEXT"/>
      </w:pPr>
      <w:r>
        <w:rPr>
          <w:noProof/>
        </w:rPr>
        <w:drawing>
          <wp:inline distT="0" distB="0" distL="0" distR="0">
            <wp:extent cx="1422400" cy="1117600"/>
            <wp:effectExtent l="0" t="0" r="0" b="6350"/>
            <wp:docPr id="1" name="Picture 1" descr="Description: 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61" w:rsidRPr="00F53BFB" w:rsidRDefault="00AF1C61" w:rsidP="00AF1C61">
      <w:pPr>
        <w:pStyle w:val="Title"/>
      </w:pPr>
      <w:r>
        <w:t xml:space="preserve">National Health (Immunisation Program – </w:t>
      </w:r>
      <w:r w:rsidRPr="000D5BEC">
        <w:t xml:space="preserve">Designated Vaccines) </w:t>
      </w:r>
      <w:r w:rsidR="0062032E" w:rsidRPr="000D5BEC">
        <w:t>Determination 201</w:t>
      </w:r>
      <w:r w:rsidR="00DC106C">
        <w:t>4</w:t>
      </w:r>
      <w:r w:rsidR="000D5BEC" w:rsidRPr="000D5BEC">
        <w:t xml:space="preserve"> (No.1</w:t>
      </w:r>
      <w:r w:rsidRPr="000D5BEC">
        <w:t>)</w:t>
      </w:r>
    </w:p>
    <w:p w:rsidR="00E80077" w:rsidRPr="00E80077" w:rsidRDefault="00E80077" w:rsidP="00E80077">
      <w:pPr>
        <w:pStyle w:val="CoverMade"/>
        <w:spacing w:after="0"/>
        <w:rPr>
          <w:rFonts w:cs="Arial"/>
          <w:b/>
          <w:lang w:val="en-US"/>
        </w:rPr>
      </w:pPr>
      <w:r w:rsidRPr="00E80077">
        <w:rPr>
          <w:rFonts w:cs="Arial"/>
          <w:b/>
          <w:lang w:val="en-US"/>
        </w:rPr>
        <w:t>as amended</w:t>
      </w:r>
    </w:p>
    <w:p w:rsidR="00AF1C61" w:rsidRPr="00E80077" w:rsidRDefault="00AF1C61" w:rsidP="00AF1C61">
      <w:pPr>
        <w:pStyle w:val="CoverMade"/>
        <w:rPr>
          <w:rFonts w:ascii="Times New Roman" w:hAnsi="Times New Roman"/>
          <w:b/>
          <w:lang w:val="en-US"/>
        </w:rPr>
      </w:pPr>
      <w:r w:rsidRPr="00D347D3">
        <w:rPr>
          <w:rFonts w:ascii="Times New Roman" w:hAnsi="Times New Roman"/>
          <w:lang w:val="en-US"/>
        </w:rPr>
        <w:t xml:space="preserve">made under subsection </w:t>
      </w:r>
      <w:r w:rsidRPr="00D347D3">
        <w:rPr>
          <w:rFonts w:ascii="Times New Roman" w:hAnsi="Times New Roman"/>
        </w:rPr>
        <w:t>9B (2) and (5) of the</w:t>
      </w:r>
    </w:p>
    <w:p w:rsidR="00980CB1" w:rsidRPr="001E365E" w:rsidRDefault="00980CB1" w:rsidP="00980CB1">
      <w:pPr>
        <w:pStyle w:val="CoverAct"/>
        <w:rPr>
          <w:rFonts w:ascii="Times New Roman" w:hAnsi="Times New Roman"/>
          <w:sz w:val="24"/>
          <w:lang w:val="en-US"/>
        </w:rPr>
      </w:pPr>
      <w:r w:rsidRPr="001E365E">
        <w:rPr>
          <w:rFonts w:ascii="Times New Roman" w:hAnsi="Times New Roman"/>
          <w:sz w:val="24"/>
          <w:lang w:val="en-US"/>
        </w:rPr>
        <w:t>National Health Act 1953</w:t>
      </w:r>
    </w:p>
    <w:p w:rsidR="000B5572" w:rsidRPr="00642BE4" w:rsidRDefault="000B5572" w:rsidP="000B5572">
      <w:pPr>
        <w:spacing w:before="1000"/>
        <w:rPr>
          <w:rFonts w:cs="Arial"/>
          <w:sz w:val="24"/>
        </w:rPr>
      </w:pPr>
      <w:r w:rsidRPr="00642BE4">
        <w:rPr>
          <w:rFonts w:cs="Arial"/>
          <w:b/>
          <w:sz w:val="24"/>
        </w:rPr>
        <w:t>Compilation start date: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 xml:space="preserve">1 </w:t>
      </w:r>
      <w:r w:rsidR="00573A9B">
        <w:rPr>
          <w:rFonts w:cs="Arial"/>
          <w:sz w:val="24"/>
        </w:rPr>
        <w:t>June</w:t>
      </w:r>
      <w:r>
        <w:rPr>
          <w:rFonts w:cs="Arial"/>
          <w:sz w:val="24"/>
        </w:rPr>
        <w:t xml:space="preserve"> 2015</w:t>
      </w:r>
    </w:p>
    <w:p w:rsidR="001E365E" w:rsidRDefault="001E365E" w:rsidP="00F40C11">
      <w:pPr>
        <w:ind w:left="3600" w:hanging="3600"/>
        <w:rPr>
          <w:rFonts w:cs="Arial"/>
          <w:b/>
          <w:sz w:val="24"/>
        </w:rPr>
      </w:pPr>
    </w:p>
    <w:p w:rsidR="00AB18A9" w:rsidRPr="00F40C11" w:rsidRDefault="000B5572" w:rsidP="00F40C11">
      <w:pPr>
        <w:ind w:left="3600" w:hanging="3600"/>
        <w:rPr>
          <w:color w:val="000000"/>
          <w:sz w:val="24"/>
        </w:rPr>
      </w:pPr>
      <w:r w:rsidRPr="00642BE4">
        <w:rPr>
          <w:rFonts w:cs="Arial"/>
          <w:b/>
          <w:sz w:val="24"/>
        </w:rPr>
        <w:t>Includes amendments up to:</w:t>
      </w:r>
      <w:r w:rsidRPr="00642BE4">
        <w:rPr>
          <w:rFonts w:cs="Arial"/>
          <w:b/>
          <w:sz w:val="24"/>
        </w:rPr>
        <w:tab/>
      </w:r>
      <w:r w:rsidR="00AB18A9" w:rsidRPr="00F40C11">
        <w:rPr>
          <w:color w:val="000000"/>
          <w:sz w:val="24"/>
        </w:rPr>
        <w:t xml:space="preserve">National Health (Immunisation Program - Designated Vaccines) </w:t>
      </w:r>
      <w:r w:rsidR="00F40C11" w:rsidRPr="00F40C11">
        <w:rPr>
          <w:color w:val="000000"/>
          <w:sz w:val="24"/>
        </w:rPr>
        <w:t xml:space="preserve">Variation </w:t>
      </w:r>
      <w:r w:rsidR="00AB18A9" w:rsidRPr="00F40C11">
        <w:rPr>
          <w:color w:val="000000"/>
          <w:sz w:val="24"/>
        </w:rPr>
        <w:t>Determination 201</w:t>
      </w:r>
      <w:r w:rsidR="00573A9B">
        <w:rPr>
          <w:color w:val="000000"/>
          <w:sz w:val="24"/>
        </w:rPr>
        <w:t>5</w:t>
      </w:r>
      <w:r w:rsidR="00AB18A9" w:rsidRPr="00F40C11">
        <w:rPr>
          <w:color w:val="000000"/>
          <w:sz w:val="24"/>
        </w:rPr>
        <w:t xml:space="preserve"> (No.1)</w:t>
      </w:r>
    </w:p>
    <w:p w:rsidR="00AA28AC" w:rsidRDefault="00AA28AC" w:rsidP="00AA47B6">
      <w:pPr>
        <w:spacing w:before="240"/>
      </w:pPr>
    </w:p>
    <w:p w:rsidR="00544AAB" w:rsidRDefault="00544AAB" w:rsidP="00AA28AC"/>
    <w:p w:rsidR="00544AAB" w:rsidRDefault="00544AAB" w:rsidP="00AA28AC"/>
    <w:p w:rsidR="00544AAB" w:rsidRDefault="00544AAB" w:rsidP="00AA28AC"/>
    <w:p w:rsidR="00544AAB" w:rsidRDefault="00544AAB" w:rsidP="00AA28AC"/>
    <w:p w:rsidR="00544AAB" w:rsidRPr="00AA28AC" w:rsidRDefault="00544AAB" w:rsidP="00AA28AC">
      <w:pPr>
        <w:sectPr w:rsidR="00544AAB" w:rsidRPr="00AA28AC" w:rsidSect="009D0E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560" w:left="1797" w:header="567" w:footer="1984" w:gutter="0"/>
          <w:cols w:space="708"/>
          <w:titlePg/>
          <w:docGrid w:linePitch="360"/>
        </w:sectPr>
      </w:pPr>
    </w:p>
    <w:p w:rsidR="00402AE9" w:rsidRPr="00C27148" w:rsidRDefault="00402AE9" w:rsidP="00402AE9">
      <w:pPr>
        <w:pageBreakBefore/>
        <w:rPr>
          <w:rFonts w:cs="Arial"/>
          <w:b/>
          <w:sz w:val="32"/>
          <w:szCs w:val="32"/>
        </w:rPr>
      </w:pPr>
      <w:r w:rsidRPr="00C27148">
        <w:rPr>
          <w:rFonts w:cs="Arial"/>
          <w:b/>
          <w:sz w:val="32"/>
          <w:szCs w:val="32"/>
        </w:rPr>
        <w:lastRenderedPageBreak/>
        <w:t>About this compilation</w:t>
      </w:r>
    </w:p>
    <w:p w:rsidR="00C86176" w:rsidRPr="00C86176" w:rsidRDefault="00402AE9" w:rsidP="00C86176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This compilation</w:t>
      </w:r>
    </w:p>
    <w:p w:rsidR="003F6111" w:rsidRPr="003F6111" w:rsidRDefault="00402AE9" w:rsidP="00C86176">
      <w:pPr>
        <w:tabs>
          <w:tab w:val="left" w:pos="5640"/>
        </w:tabs>
        <w:spacing w:before="120" w:after="120"/>
        <w:rPr>
          <w:rFonts w:ascii="Arial" w:hAnsi="Arial" w:cs="Arial"/>
          <w:color w:val="000000"/>
          <w:sz w:val="16"/>
          <w:szCs w:val="16"/>
        </w:rPr>
      </w:pPr>
      <w:r w:rsidRPr="00C86176">
        <w:rPr>
          <w:rFonts w:cs="Arial"/>
          <w:szCs w:val="22"/>
        </w:rPr>
        <w:t xml:space="preserve">This is a compilation of the </w:t>
      </w:r>
      <w:r w:rsidR="003F6111" w:rsidRPr="00C86176">
        <w:rPr>
          <w:rFonts w:cs="Arial"/>
          <w:i/>
          <w:szCs w:val="22"/>
        </w:rPr>
        <w:t>National Health (Immunisation Program - Designated Vaccines) Determination 2014 (No.1)</w:t>
      </w:r>
      <w:r w:rsidR="003F6111" w:rsidRPr="00C86176">
        <w:rPr>
          <w:rFonts w:cs="Arial"/>
          <w:szCs w:val="22"/>
        </w:rPr>
        <w:t xml:space="preserve"> </w:t>
      </w:r>
      <w:r w:rsidRPr="00C86176">
        <w:rPr>
          <w:rFonts w:cs="Arial"/>
          <w:szCs w:val="22"/>
        </w:rPr>
        <w:t xml:space="preserve">as in force on </w:t>
      </w:r>
      <w:r w:rsidR="003F6111" w:rsidRPr="00C86176">
        <w:rPr>
          <w:rFonts w:cs="Arial"/>
          <w:szCs w:val="22"/>
        </w:rPr>
        <w:t xml:space="preserve">1 </w:t>
      </w:r>
      <w:r w:rsidR="00573A9B">
        <w:rPr>
          <w:rFonts w:cs="Arial"/>
          <w:szCs w:val="22"/>
        </w:rPr>
        <w:t>June</w:t>
      </w:r>
      <w:r w:rsidR="003F6111" w:rsidRPr="00C86176">
        <w:rPr>
          <w:rFonts w:cs="Arial"/>
          <w:szCs w:val="22"/>
        </w:rPr>
        <w:t xml:space="preserve"> 2015</w:t>
      </w:r>
      <w:r w:rsidRPr="00C86176">
        <w:rPr>
          <w:rFonts w:cs="Arial"/>
          <w:szCs w:val="22"/>
        </w:rPr>
        <w:t>. It includes any commenced amendment affecting the legislation to that date.</w:t>
      </w:r>
    </w:p>
    <w:p w:rsidR="00402AE9" w:rsidRPr="00BC57F4" w:rsidRDefault="00402AE9" w:rsidP="00402AE9">
      <w:pPr>
        <w:spacing w:after="120"/>
        <w:rPr>
          <w:rFonts w:cs="Arial"/>
          <w:szCs w:val="22"/>
        </w:rPr>
      </w:pPr>
      <w:r w:rsidRPr="00924E7E">
        <w:rPr>
          <w:rFonts w:cs="Arial"/>
          <w:szCs w:val="22"/>
        </w:rPr>
        <w:t xml:space="preserve">This compilation was prepared on </w:t>
      </w:r>
      <w:r w:rsidR="00924E7E" w:rsidRPr="00924E7E">
        <w:rPr>
          <w:rFonts w:cs="Arial"/>
          <w:szCs w:val="22"/>
        </w:rPr>
        <w:t>1 June</w:t>
      </w:r>
      <w:r w:rsidR="003F6111" w:rsidRPr="00924E7E">
        <w:rPr>
          <w:rFonts w:cs="Arial"/>
          <w:szCs w:val="22"/>
        </w:rPr>
        <w:t xml:space="preserve"> 2015</w:t>
      </w:r>
      <w:r w:rsidRPr="00924E7E">
        <w:rPr>
          <w:rFonts w:cs="Arial"/>
          <w:szCs w:val="22"/>
        </w:rPr>
        <w:t>.</w:t>
      </w:r>
    </w:p>
    <w:p w:rsidR="00402AE9" w:rsidRPr="00BC57F4" w:rsidRDefault="00402AE9" w:rsidP="00402AE9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The notes at the end of this compilation (the </w:t>
      </w:r>
      <w:r w:rsidRPr="00BC57F4">
        <w:rPr>
          <w:rFonts w:cs="Arial"/>
          <w:b/>
          <w:i/>
          <w:szCs w:val="22"/>
        </w:rPr>
        <w:t>endnotes</w:t>
      </w:r>
      <w:r w:rsidRPr="00BC57F4">
        <w:rPr>
          <w:rFonts w:cs="Arial"/>
          <w:szCs w:val="22"/>
        </w:rPr>
        <w:t>) include information about amending laws and the amendment history of each amended provision.</w:t>
      </w:r>
    </w:p>
    <w:p w:rsidR="00402AE9" w:rsidRPr="00BC57F4" w:rsidRDefault="00402AE9" w:rsidP="00402AE9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Uncommenced amendments</w:t>
      </w:r>
    </w:p>
    <w:p w:rsidR="00402AE9" w:rsidRPr="00BC57F4" w:rsidRDefault="00402AE9" w:rsidP="00402AE9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402AE9" w:rsidRPr="00BC57F4" w:rsidRDefault="00402AE9" w:rsidP="00402AE9">
      <w:pPr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Application, saving and transitional provisions for provisions and amendments</w:t>
      </w:r>
    </w:p>
    <w:p w:rsidR="00402AE9" w:rsidRPr="00BC57F4" w:rsidRDefault="00402AE9" w:rsidP="00402AE9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402AE9" w:rsidRPr="00BC57F4" w:rsidRDefault="00402AE9" w:rsidP="00402AE9">
      <w:pPr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Modifications</w:t>
      </w:r>
    </w:p>
    <w:p w:rsidR="00402AE9" w:rsidRPr="00BC57F4" w:rsidRDefault="00402AE9" w:rsidP="00402AE9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402AE9" w:rsidRPr="00BC57F4" w:rsidRDefault="00402AE9" w:rsidP="00402AE9">
      <w:pPr>
        <w:spacing w:before="8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Provisions ceasing to have effect</w:t>
      </w:r>
    </w:p>
    <w:p w:rsidR="00402AE9" w:rsidRPr="00BC57F4" w:rsidRDefault="00402AE9" w:rsidP="00402AE9">
      <w:pPr>
        <w:spacing w:after="120"/>
        <w:rPr>
          <w:rFonts w:cs="Arial"/>
        </w:rPr>
      </w:pPr>
      <w:r w:rsidRPr="00BC57F4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2065E7" w:rsidRDefault="002065E7" w:rsidP="002065E7"/>
    <w:p w:rsidR="00F32C0A" w:rsidRDefault="00F32C0A" w:rsidP="002065E7"/>
    <w:p w:rsidR="002065E7" w:rsidRPr="002065E7" w:rsidRDefault="002065E7" w:rsidP="002065E7">
      <w:pPr>
        <w:sectPr w:rsidR="002065E7" w:rsidRPr="002065E7" w:rsidSect="009D0E8C">
          <w:footerReference w:type="first" r:id="rId16"/>
          <w:pgSz w:w="11907" w:h="16839" w:code="9"/>
          <w:pgMar w:top="1440" w:right="1440" w:bottom="1560" w:left="1797" w:header="567" w:footer="1984" w:gutter="0"/>
          <w:cols w:space="708"/>
          <w:titlePg/>
          <w:docGrid w:linePitch="360"/>
        </w:sectPr>
      </w:pPr>
    </w:p>
    <w:p w:rsidR="00314420" w:rsidRPr="005D700D" w:rsidRDefault="00314420">
      <w:pPr>
        <w:pStyle w:val="ContentsHead"/>
        <w:rPr>
          <w:rFonts w:ascii="Times New Roman" w:hAnsi="Times New Roman"/>
          <w:sz w:val="36"/>
          <w:szCs w:val="36"/>
        </w:rPr>
      </w:pPr>
      <w:r w:rsidRPr="005D700D">
        <w:rPr>
          <w:rFonts w:ascii="Times New Roman" w:hAnsi="Times New Roman"/>
          <w:sz w:val="36"/>
          <w:szCs w:val="36"/>
        </w:rPr>
        <w:lastRenderedPageBreak/>
        <w:t>Contents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1.</w:t>
      </w:r>
      <w:r w:rsidRPr="00BE5C54">
        <w:rPr>
          <w:rFonts w:ascii="Times New Roman" w:hAnsi="Times New Roman"/>
          <w:szCs w:val="22"/>
        </w:rPr>
        <w:tab/>
        <w:t>Name of Determination</w:t>
      </w:r>
      <w:r w:rsidRPr="00BE5C54">
        <w:rPr>
          <w:rFonts w:ascii="Times New Roman" w:hAnsi="Times New Roman"/>
          <w:szCs w:val="22"/>
        </w:rPr>
        <w:tab/>
        <w:t>1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2</w:t>
      </w:r>
      <w:r w:rsidRPr="00BE5C54">
        <w:rPr>
          <w:rFonts w:ascii="Times New Roman" w:hAnsi="Times New Roman"/>
          <w:szCs w:val="22"/>
        </w:rPr>
        <w:tab/>
        <w:t>Commencement</w:t>
      </w:r>
      <w:r w:rsidRPr="00BE5C54">
        <w:rPr>
          <w:rFonts w:ascii="Times New Roman" w:hAnsi="Times New Roman"/>
          <w:szCs w:val="22"/>
        </w:rPr>
        <w:tab/>
        <w:t>1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3</w:t>
      </w:r>
      <w:r w:rsidRPr="00BE5C54">
        <w:rPr>
          <w:rFonts w:ascii="Times New Roman" w:hAnsi="Times New Roman"/>
          <w:szCs w:val="22"/>
        </w:rPr>
        <w:tab/>
        <w:t>Revocation</w:t>
      </w:r>
      <w:r w:rsidRPr="00BE5C54">
        <w:rPr>
          <w:rFonts w:ascii="Times New Roman" w:hAnsi="Times New Roman"/>
          <w:szCs w:val="22"/>
        </w:rPr>
        <w:tab/>
        <w:t>1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4</w:t>
      </w:r>
      <w:r w:rsidRPr="00BE5C54">
        <w:rPr>
          <w:rFonts w:ascii="Times New Roman" w:hAnsi="Times New Roman"/>
          <w:szCs w:val="22"/>
        </w:rPr>
        <w:tab/>
        <w:t>Definitions</w:t>
      </w:r>
      <w:r w:rsidRPr="00BE5C54">
        <w:rPr>
          <w:rFonts w:ascii="Times New Roman" w:hAnsi="Times New Roman"/>
          <w:szCs w:val="22"/>
        </w:rPr>
        <w:tab/>
        <w:t>1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5</w:t>
      </w:r>
      <w:r w:rsidRPr="00BE5C54">
        <w:rPr>
          <w:rFonts w:ascii="Times New Roman" w:hAnsi="Times New Roman"/>
          <w:szCs w:val="22"/>
        </w:rPr>
        <w:tab/>
        <w:t>Designated vaccines</w:t>
      </w:r>
      <w:r w:rsidRPr="00BE5C54">
        <w:rPr>
          <w:rFonts w:ascii="Times New Roman" w:hAnsi="Times New Roman"/>
          <w:szCs w:val="22"/>
        </w:rPr>
        <w:tab/>
        <w:t>2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6</w:t>
      </w:r>
      <w:r w:rsidRPr="00BE5C54">
        <w:rPr>
          <w:rFonts w:ascii="Times New Roman" w:hAnsi="Times New Roman"/>
          <w:szCs w:val="22"/>
        </w:rPr>
        <w:tab/>
        <w:t>Circumstances in which designated vaccines may be provided</w:t>
      </w:r>
      <w:r w:rsidRPr="00BE5C54">
        <w:rPr>
          <w:rFonts w:ascii="Times New Roman" w:hAnsi="Times New Roman"/>
          <w:szCs w:val="22"/>
        </w:rPr>
        <w:tab/>
        <w:t>2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7</w:t>
      </w:r>
      <w:r w:rsidRPr="00BE5C54">
        <w:rPr>
          <w:rFonts w:ascii="Times New Roman" w:hAnsi="Times New Roman"/>
          <w:szCs w:val="22"/>
        </w:rPr>
        <w:tab/>
        <w:t>Circumstances in which designated vaccines may be provided — particular vaccines</w:t>
      </w:r>
      <w:r w:rsidRPr="00BE5C54">
        <w:rPr>
          <w:rFonts w:ascii="Times New Roman" w:hAnsi="Times New Roman"/>
          <w:szCs w:val="22"/>
        </w:rPr>
        <w:tab/>
        <w:t>2</w:t>
      </w:r>
    </w:p>
    <w:p w:rsidR="00BE5C54" w:rsidRPr="00BE5C54" w:rsidRDefault="001C1E8E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Schedule 1 </w:t>
      </w:r>
      <w:r w:rsidR="00BE5C54" w:rsidRPr="00BE5C54">
        <w:rPr>
          <w:rFonts w:ascii="Times New Roman" w:hAnsi="Times New Roman"/>
          <w:szCs w:val="22"/>
        </w:rPr>
        <w:t>Designated vaccines and circumstances in which vaccines may be provided</w:t>
      </w:r>
      <w:r w:rsidR="00BE5C54" w:rsidRPr="00BE5C54">
        <w:rPr>
          <w:rFonts w:ascii="Times New Roman" w:hAnsi="Times New Roman"/>
          <w:szCs w:val="22"/>
        </w:rPr>
        <w:tab/>
        <w:t>6</w:t>
      </w:r>
    </w:p>
    <w:p w:rsidR="00BE5C54" w:rsidRPr="00BE5C54" w:rsidRDefault="00234515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Part 1  </w:t>
      </w:r>
      <w:r w:rsidR="00BE5C54" w:rsidRPr="00BE5C54">
        <w:rPr>
          <w:rFonts w:ascii="Times New Roman" w:hAnsi="Times New Roman"/>
          <w:szCs w:val="22"/>
        </w:rPr>
        <w:t>Bacterial vaccines</w:t>
      </w:r>
      <w:r w:rsidR="00BE5C54" w:rsidRPr="00BE5C54">
        <w:rPr>
          <w:rFonts w:ascii="Times New Roman" w:hAnsi="Times New Roman"/>
          <w:szCs w:val="22"/>
        </w:rPr>
        <w:tab/>
        <w:t>6</w:t>
      </w:r>
    </w:p>
    <w:p w:rsidR="00BE5C54" w:rsidRPr="00BE5C54" w:rsidRDefault="00234515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Part 2  </w:t>
      </w:r>
      <w:r w:rsidR="00BE5C54" w:rsidRPr="00BE5C54">
        <w:rPr>
          <w:rFonts w:ascii="Times New Roman" w:hAnsi="Times New Roman"/>
          <w:szCs w:val="22"/>
        </w:rPr>
        <w:t>Viral vaccines</w:t>
      </w:r>
      <w:r w:rsidR="00BE5C54" w:rsidRPr="00BE5C54">
        <w:rPr>
          <w:rFonts w:ascii="Times New Roman" w:hAnsi="Times New Roman"/>
          <w:szCs w:val="22"/>
        </w:rPr>
        <w:tab/>
        <w:t>16</w:t>
      </w:r>
    </w:p>
    <w:p w:rsidR="00BE5C54" w:rsidRPr="00BE5C54" w:rsidRDefault="00234515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Part 3  </w:t>
      </w:r>
      <w:r w:rsidR="00BE5C54" w:rsidRPr="00BE5C54">
        <w:rPr>
          <w:rFonts w:ascii="Times New Roman" w:hAnsi="Times New Roman"/>
          <w:szCs w:val="22"/>
        </w:rPr>
        <w:t>Combined bacterial and viral vaccines</w:t>
      </w:r>
      <w:r w:rsidR="00BE5C54" w:rsidRPr="00BE5C54">
        <w:rPr>
          <w:rFonts w:ascii="Times New Roman" w:hAnsi="Times New Roman"/>
          <w:szCs w:val="22"/>
        </w:rPr>
        <w:tab/>
        <w:t>34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Endnotes</w:t>
      </w:r>
      <w:r w:rsidRPr="00BE5C54">
        <w:rPr>
          <w:rFonts w:ascii="Times New Roman" w:hAnsi="Times New Roman"/>
          <w:szCs w:val="22"/>
        </w:rPr>
        <w:tab/>
      </w:r>
      <w:r w:rsidR="001C1E8E">
        <w:rPr>
          <w:rFonts w:ascii="Times New Roman" w:hAnsi="Times New Roman"/>
          <w:szCs w:val="22"/>
        </w:rPr>
        <w:tab/>
      </w:r>
      <w:r w:rsidRPr="00BE5C54">
        <w:rPr>
          <w:rFonts w:ascii="Times New Roman" w:hAnsi="Times New Roman"/>
          <w:szCs w:val="22"/>
        </w:rPr>
        <w:t>40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1—About the endnotes</w:t>
      </w:r>
      <w:r w:rsidRPr="00BE5C54">
        <w:rPr>
          <w:rFonts w:ascii="Times New Roman" w:hAnsi="Times New Roman"/>
          <w:szCs w:val="22"/>
        </w:rPr>
        <w:tab/>
        <w:t>40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2—Abbreviation key</w:t>
      </w:r>
      <w:r w:rsidRPr="00BE5C54">
        <w:rPr>
          <w:rFonts w:ascii="Times New Roman" w:hAnsi="Times New Roman"/>
          <w:szCs w:val="22"/>
        </w:rPr>
        <w:tab/>
        <w:t>42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3—Legislation history</w:t>
      </w:r>
      <w:r w:rsidRPr="00BE5C54">
        <w:rPr>
          <w:rFonts w:ascii="Times New Roman" w:hAnsi="Times New Roman"/>
          <w:szCs w:val="22"/>
        </w:rPr>
        <w:tab/>
        <w:t>43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4—Amendment history</w:t>
      </w:r>
      <w:r w:rsidRPr="00BE5C54">
        <w:rPr>
          <w:rFonts w:ascii="Times New Roman" w:hAnsi="Times New Roman"/>
          <w:szCs w:val="22"/>
        </w:rPr>
        <w:tab/>
        <w:t>44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5—Uncommenced amendments</w:t>
      </w:r>
      <w:r w:rsidRPr="00BE5C54">
        <w:rPr>
          <w:rFonts w:ascii="Times New Roman" w:hAnsi="Times New Roman"/>
          <w:szCs w:val="22"/>
        </w:rPr>
        <w:tab/>
        <w:t>45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6—Modifications</w:t>
      </w:r>
      <w:r w:rsidRPr="00BE5C54">
        <w:rPr>
          <w:rFonts w:ascii="Times New Roman" w:hAnsi="Times New Roman"/>
          <w:szCs w:val="22"/>
        </w:rPr>
        <w:tab/>
        <w:t>45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7—Misdescribed amendments</w:t>
      </w:r>
      <w:r w:rsidRPr="00BE5C54">
        <w:rPr>
          <w:rFonts w:ascii="Times New Roman" w:hAnsi="Times New Roman"/>
          <w:szCs w:val="22"/>
        </w:rPr>
        <w:tab/>
        <w:t>45</w:t>
      </w:r>
    </w:p>
    <w:p w:rsidR="00BE5C54" w:rsidRPr="00BE5C54" w:rsidRDefault="00BE5C54" w:rsidP="001C1E8E">
      <w:pPr>
        <w:pStyle w:val="HR"/>
        <w:tabs>
          <w:tab w:val="left" w:pos="567"/>
          <w:tab w:val="right" w:pos="8931"/>
        </w:tabs>
        <w:spacing w:before="120" w:after="120"/>
        <w:ind w:hanging="397"/>
        <w:rPr>
          <w:rFonts w:ascii="Times New Roman" w:hAnsi="Times New Roman"/>
          <w:szCs w:val="22"/>
        </w:rPr>
      </w:pPr>
      <w:r w:rsidRPr="00BE5C54">
        <w:rPr>
          <w:rFonts w:ascii="Times New Roman" w:hAnsi="Times New Roman"/>
          <w:szCs w:val="22"/>
        </w:rPr>
        <w:t>Endnote 8—Miscellaneous</w:t>
      </w:r>
      <w:r w:rsidRPr="00BE5C54">
        <w:rPr>
          <w:rFonts w:ascii="Times New Roman" w:hAnsi="Times New Roman"/>
          <w:szCs w:val="22"/>
        </w:rPr>
        <w:tab/>
        <w:t>45</w:t>
      </w:r>
    </w:p>
    <w:p w:rsidR="007F3B1D" w:rsidRDefault="007F3B1D" w:rsidP="00387BC0">
      <w:pPr>
        <w:pStyle w:val="HR"/>
        <w:tabs>
          <w:tab w:val="left" w:pos="567"/>
        </w:tabs>
        <w:rPr>
          <w:rFonts w:ascii="Times New Roman" w:hAnsi="Times New Roman"/>
          <w:sz w:val="18"/>
          <w:szCs w:val="18"/>
        </w:rPr>
      </w:pPr>
    </w:p>
    <w:p w:rsidR="001D7930" w:rsidRDefault="001D7930" w:rsidP="001D7930">
      <w:pPr>
        <w:pStyle w:val="R1"/>
      </w:pPr>
    </w:p>
    <w:p w:rsidR="001D7930" w:rsidRPr="001D7930" w:rsidRDefault="001D7930" w:rsidP="001D7930">
      <w:pPr>
        <w:pStyle w:val="R2"/>
        <w:sectPr w:rsidR="001D7930" w:rsidRPr="001D7930" w:rsidSect="009D0E8C">
          <w:footerReference w:type="first" r:id="rId17"/>
          <w:pgSz w:w="11907" w:h="16839" w:code="9"/>
          <w:pgMar w:top="1440" w:right="708" w:bottom="1560" w:left="1797" w:header="567" w:footer="1984" w:gutter="0"/>
          <w:pgNumType w:fmt="lowerRoman" w:start="1"/>
          <w:cols w:space="708"/>
          <w:titlePg/>
          <w:docGrid w:linePitch="360"/>
        </w:sectPr>
      </w:pPr>
    </w:p>
    <w:p w:rsidR="008645A4" w:rsidRPr="005A10ED" w:rsidRDefault="005A10ED" w:rsidP="005A10ED">
      <w:pPr>
        <w:pStyle w:val="SECNUM"/>
      </w:pPr>
      <w:bookmarkStart w:id="0" w:name="_Toc411257374"/>
      <w:r w:rsidRPr="005A10ED">
        <w:lastRenderedPageBreak/>
        <w:t>1</w:t>
      </w:r>
      <w:r w:rsidR="008645A4" w:rsidRPr="005A10ED">
        <w:t>.</w:t>
      </w:r>
      <w:r w:rsidR="008645A4" w:rsidRPr="005A10ED">
        <w:tab/>
        <w:t>Name of Determination</w:t>
      </w:r>
      <w:bookmarkEnd w:id="0"/>
    </w:p>
    <w:p w:rsidR="00E67D31" w:rsidRPr="00823C19" w:rsidRDefault="0085168C" w:rsidP="00E67D31">
      <w:pPr>
        <w:pStyle w:val="R1"/>
      </w:pPr>
      <w:r w:rsidRPr="00823C19">
        <w:tab/>
      </w:r>
      <w:r w:rsidRPr="00823C19">
        <w:tab/>
        <w:t>This</w:t>
      </w:r>
      <w:r w:rsidR="00E67D31" w:rsidRPr="00823C19">
        <w:t xml:space="preserve"> </w:t>
      </w:r>
      <w:r w:rsidR="0048364A" w:rsidRPr="00823C19">
        <w:t xml:space="preserve">Determination </w:t>
      </w:r>
      <w:r w:rsidR="00E67D31" w:rsidRPr="00823C19">
        <w:t xml:space="preserve">is the </w:t>
      </w:r>
      <w:r w:rsidR="00BB4136" w:rsidRPr="003245D2">
        <w:rPr>
          <w:i/>
        </w:rPr>
        <w:t xml:space="preserve">National Health (Immunisation Program — Designated Vaccines) Determination </w:t>
      </w:r>
      <w:r w:rsidR="00CC52F1" w:rsidRPr="003245D2">
        <w:rPr>
          <w:i/>
        </w:rPr>
        <w:t>201</w:t>
      </w:r>
      <w:r w:rsidR="00F87F4C" w:rsidRPr="003245D2">
        <w:rPr>
          <w:i/>
        </w:rPr>
        <w:t>4</w:t>
      </w:r>
      <w:r w:rsidR="00DB2DDB" w:rsidRPr="003245D2">
        <w:rPr>
          <w:i/>
        </w:rPr>
        <w:t xml:space="preserve"> (No.</w:t>
      </w:r>
      <w:r w:rsidR="004E0BF2" w:rsidRPr="003245D2">
        <w:rPr>
          <w:i/>
        </w:rPr>
        <w:t>1</w:t>
      </w:r>
      <w:r w:rsidR="00DB2DDB" w:rsidRPr="003245D2">
        <w:rPr>
          <w:i/>
        </w:rPr>
        <w:t>)</w:t>
      </w:r>
      <w:r w:rsidR="00E67D31" w:rsidRPr="00823C19">
        <w:t>.</w:t>
      </w:r>
    </w:p>
    <w:p w:rsidR="00E67D31" w:rsidRPr="00823C19" w:rsidRDefault="00E67D31" w:rsidP="005A10ED">
      <w:pPr>
        <w:pStyle w:val="SECNUM"/>
      </w:pPr>
      <w:bookmarkStart w:id="1" w:name="_Toc410898745"/>
      <w:bookmarkStart w:id="2" w:name="_Toc411257375"/>
      <w:r w:rsidRPr="005A10ED">
        <w:t>2</w:t>
      </w:r>
      <w:r w:rsidRPr="00823C19">
        <w:tab/>
        <w:t>Commencement</w:t>
      </w:r>
      <w:bookmarkEnd w:id="1"/>
      <w:bookmarkEnd w:id="2"/>
    </w:p>
    <w:p w:rsidR="00E67D31" w:rsidRPr="00823C19" w:rsidRDefault="00E67D31" w:rsidP="00E67D31">
      <w:pPr>
        <w:pStyle w:val="R1"/>
      </w:pPr>
      <w:r w:rsidRPr="00823C19">
        <w:tab/>
      </w:r>
      <w:r w:rsidRPr="00823C19">
        <w:tab/>
        <w:t xml:space="preserve">This Determination commences </w:t>
      </w:r>
      <w:r w:rsidRPr="00791AA0">
        <w:t xml:space="preserve">on </w:t>
      </w:r>
      <w:r w:rsidR="00C7030C">
        <w:t>23 September</w:t>
      </w:r>
      <w:r w:rsidR="000A01EC">
        <w:t xml:space="preserve"> 2014</w:t>
      </w:r>
      <w:r w:rsidRPr="00791AA0">
        <w:t>.</w:t>
      </w:r>
    </w:p>
    <w:p w:rsidR="00E67D31" w:rsidRPr="00823C19" w:rsidRDefault="00E67D31" w:rsidP="005A10ED">
      <w:pPr>
        <w:pStyle w:val="SECNUM"/>
      </w:pPr>
      <w:bookmarkStart w:id="3" w:name="_Toc410898746"/>
      <w:bookmarkStart w:id="4" w:name="_Toc411257376"/>
      <w:r w:rsidRPr="005A10ED">
        <w:t>3</w:t>
      </w:r>
      <w:r w:rsidRPr="00823C19">
        <w:tab/>
      </w:r>
      <w:r w:rsidR="0085168C" w:rsidRPr="00823C19">
        <w:t>Revocation</w:t>
      </w:r>
      <w:bookmarkEnd w:id="3"/>
      <w:bookmarkEnd w:id="4"/>
    </w:p>
    <w:p w:rsidR="0085168C" w:rsidRPr="00823C19" w:rsidRDefault="0085168C" w:rsidP="0085168C">
      <w:pPr>
        <w:pStyle w:val="R1"/>
      </w:pPr>
      <w:r w:rsidRPr="00823C19">
        <w:tab/>
      </w:r>
      <w:r w:rsidRPr="00823C19">
        <w:tab/>
        <w:t xml:space="preserve">The </w:t>
      </w:r>
      <w:r w:rsidRPr="00823C19">
        <w:rPr>
          <w:i/>
        </w:rPr>
        <w:t>National Health (Immunisation Program</w:t>
      </w:r>
      <w:r w:rsidR="00BC727D" w:rsidRPr="00823C19">
        <w:rPr>
          <w:i/>
        </w:rPr>
        <w:t> </w:t>
      </w:r>
      <w:r w:rsidRPr="00823C19">
        <w:rPr>
          <w:i/>
        </w:rPr>
        <w:t>— Designated Vaccines) Determination 20</w:t>
      </w:r>
      <w:r w:rsidR="00566EAE">
        <w:rPr>
          <w:i/>
        </w:rPr>
        <w:t>12</w:t>
      </w:r>
      <w:r w:rsidRPr="00823C19">
        <w:rPr>
          <w:i/>
        </w:rPr>
        <w:t xml:space="preserve"> (No.</w:t>
      </w:r>
      <w:r w:rsidR="00566EAE">
        <w:rPr>
          <w:i/>
        </w:rPr>
        <w:t>1</w:t>
      </w:r>
      <w:r w:rsidRPr="00823C19">
        <w:rPr>
          <w:i/>
        </w:rPr>
        <w:t>)</w:t>
      </w:r>
      <w:r w:rsidRPr="00823C19">
        <w:t xml:space="preserve"> is </w:t>
      </w:r>
      <w:r w:rsidR="00B10ECF">
        <w:t>revoked</w:t>
      </w:r>
      <w:r w:rsidRPr="00823C19">
        <w:t>.</w:t>
      </w:r>
    </w:p>
    <w:p w:rsidR="002F215E" w:rsidRPr="00823C19" w:rsidRDefault="002F215E" w:rsidP="005A10ED">
      <w:pPr>
        <w:pStyle w:val="SECNUM"/>
      </w:pPr>
      <w:bookmarkStart w:id="5" w:name="_Toc410898747"/>
      <w:bookmarkStart w:id="6" w:name="_Toc411257377"/>
      <w:r w:rsidRPr="005A10ED">
        <w:t>4</w:t>
      </w:r>
      <w:r w:rsidRPr="00823C19">
        <w:tab/>
        <w:t>Definitions</w:t>
      </w:r>
      <w:bookmarkEnd w:id="5"/>
      <w:bookmarkEnd w:id="6"/>
    </w:p>
    <w:p w:rsidR="002F215E" w:rsidRPr="00823C19" w:rsidRDefault="002F215E" w:rsidP="002F215E">
      <w:pPr>
        <w:pStyle w:val="definition"/>
      </w:pPr>
      <w:r w:rsidRPr="00823C19">
        <w:rPr>
          <w:b/>
          <w:i/>
          <w:sz w:val="20"/>
        </w:rPr>
        <w:t xml:space="preserve">µg </w:t>
      </w:r>
      <w:r w:rsidRPr="00823C19">
        <w:t>means microgram.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Act</w:t>
      </w:r>
      <w:r w:rsidRPr="00823C19">
        <w:t xml:space="preserve"> means the </w:t>
      </w:r>
      <w:r w:rsidRPr="00823C19">
        <w:rPr>
          <w:i/>
        </w:rPr>
        <w:t>National Health Act 1953</w:t>
      </w:r>
      <w:r w:rsidRPr="00823C19">
        <w:t>.</w:t>
      </w:r>
    </w:p>
    <w:p w:rsidR="002F215E" w:rsidRPr="00823C19" w:rsidRDefault="002F215E" w:rsidP="002F215E">
      <w:pPr>
        <w:pStyle w:val="definition"/>
        <w:rPr>
          <w:b/>
          <w:i/>
        </w:rPr>
      </w:pPr>
      <w:r w:rsidRPr="00823C19">
        <w:rPr>
          <w:b/>
          <w:i/>
        </w:rPr>
        <w:t>CCID</w:t>
      </w:r>
      <w:r w:rsidRPr="00823C19">
        <w:rPr>
          <w:b/>
          <w:i/>
          <w:vertAlign w:val="subscript"/>
        </w:rPr>
        <w:t>50</w:t>
      </w:r>
      <w:r w:rsidRPr="00823C19">
        <w:t xml:space="preserve"> means cell culture infectious dose 50%, being the quantity of an infectious agent that when inoculated onto a number of susceptible cell cultures will infect 50% of the individual cultures.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FHA</w:t>
      </w:r>
      <w:r w:rsidRPr="00823C19">
        <w:t xml:space="preserve"> means filamentous haemagglutinin.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FIM 2+3</w:t>
      </w:r>
      <w:r w:rsidRPr="00823C19">
        <w:t xml:space="preserve"> means fimbrial agglutinogens 2+3.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IU</w:t>
      </w:r>
      <w:r w:rsidRPr="00823C19">
        <w:t xml:space="preserve"> means International Unit.</w:t>
      </w:r>
    </w:p>
    <w:p w:rsidR="002F215E" w:rsidRPr="00823C19" w:rsidRDefault="002F215E" w:rsidP="005D6E3B">
      <w:pPr>
        <w:pStyle w:val="Zdefinition"/>
      </w:pPr>
      <w:r w:rsidRPr="00823C19">
        <w:rPr>
          <w:b/>
          <w:i/>
        </w:rPr>
        <w:t>member of a medical risk group</w:t>
      </w:r>
      <w:r w:rsidRPr="00823C19">
        <w:t xml:space="preserve"> means a person mentioned in any of the following paragraphs:</w:t>
      </w:r>
    </w:p>
    <w:p w:rsidR="002F215E" w:rsidRPr="00823C19" w:rsidRDefault="002F215E" w:rsidP="002F215E">
      <w:pPr>
        <w:pStyle w:val="P1"/>
      </w:pPr>
      <w:r w:rsidRPr="00823C19">
        <w:tab/>
        <w:t>(a)</w:t>
      </w:r>
      <w:r w:rsidRPr="00823C19">
        <w:tab/>
        <w:t>a person who has congenital immune deficiency (including symptomatic IgG subclass or isolated IgA deficiency) other than a person who requires monthly immunoglobulin infusion;</w:t>
      </w:r>
    </w:p>
    <w:p w:rsidR="002F215E" w:rsidRPr="00823C19" w:rsidRDefault="002F215E" w:rsidP="005D6E3B">
      <w:pPr>
        <w:pStyle w:val="ZP1"/>
      </w:pPr>
      <w:r w:rsidRPr="00823C19">
        <w:tab/>
        <w:t>(b)</w:t>
      </w:r>
      <w:r w:rsidRPr="00823C19">
        <w:tab/>
        <w:t>a person who has sufficient immune reconstitution for a vaccine response to be expected and is receiving a course of: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 xml:space="preserve">immunosuppressive therapy, including corticosteroid therapy equivalent to greater than 2mg/kg per day of prednisone for more than 2 weeks; or 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radiation therapy;</w:t>
      </w:r>
    </w:p>
    <w:p w:rsidR="002F215E" w:rsidRPr="00823C19" w:rsidRDefault="002F215E" w:rsidP="005D6E3B">
      <w:pPr>
        <w:pStyle w:val="ZP1"/>
      </w:pPr>
      <w:r w:rsidRPr="00823C19">
        <w:tab/>
        <w:t>(c)</w:t>
      </w:r>
      <w:r w:rsidRPr="00823C19">
        <w:tab/>
        <w:t>a person who has compromised splenic function because of: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 xml:space="preserve">sickle haemoglobinopathies; or </w:t>
      </w:r>
    </w:p>
    <w:p w:rsidR="002F215E" w:rsidRDefault="002F215E" w:rsidP="002F215E">
      <w:pPr>
        <w:pStyle w:val="P2"/>
      </w:pPr>
      <w:r w:rsidRPr="00823C19">
        <w:tab/>
        <w:t>(ii)</w:t>
      </w:r>
      <w:r w:rsidRPr="00823C19">
        <w:tab/>
        <w:t>congenital or acquired functional or anatomical asplenia;</w:t>
      </w:r>
    </w:p>
    <w:p w:rsidR="002F215E" w:rsidRPr="00823C19" w:rsidRDefault="002F215E" w:rsidP="002F215E">
      <w:pPr>
        <w:pStyle w:val="P1"/>
      </w:pPr>
      <w:r w:rsidRPr="00823C19">
        <w:tab/>
        <w:t>(d)</w:t>
      </w:r>
      <w:r w:rsidRPr="00823C19">
        <w:tab/>
        <w:t>a person who has an HIV infection, either before or after the development of AIDS;</w:t>
      </w:r>
    </w:p>
    <w:p w:rsidR="002F215E" w:rsidRPr="00823C19" w:rsidRDefault="002F215E" w:rsidP="005D6E3B">
      <w:pPr>
        <w:pStyle w:val="ZP1"/>
      </w:pPr>
      <w:r w:rsidRPr="00823C19">
        <w:tab/>
        <w:t>(e)</w:t>
      </w:r>
      <w:r w:rsidRPr="00823C19">
        <w:tab/>
        <w:t>a person who has:</w:t>
      </w:r>
    </w:p>
    <w:p w:rsidR="004E1823" w:rsidRDefault="002F215E" w:rsidP="00D16677">
      <w:pPr>
        <w:pStyle w:val="P2"/>
      </w:pPr>
      <w:r w:rsidRPr="00823C19">
        <w:tab/>
        <w:t>(i)</w:t>
      </w:r>
      <w:r w:rsidRPr="00823C19">
        <w:tab/>
        <w:t>renal failure; or</w:t>
      </w:r>
      <w:r w:rsidR="00DC79A1">
        <w:t xml:space="preserve">  </w:t>
      </w:r>
    </w:p>
    <w:p w:rsidR="00BF255E" w:rsidRDefault="004E1823" w:rsidP="00D16677">
      <w:pPr>
        <w:pStyle w:val="P2"/>
      </w:pPr>
      <w:r>
        <w:tab/>
      </w:r>
      <w:r w:rsidRPr="00823C19">
        <w:t>(ii)</w:t>
      </w:r>
      <w:r w:rsidRPr="00823C19">
        <w:tab/>
        <w:t>relapsing or persistent nephrotic syndrome</w:t>
      </w:r>
      <w:r>
        <w:t>;</w:t>
      </w:r>
    </w:p>
    <w:p w:rsidR="002F215E" w:rsidRPr="00823C19" w:rsidRDefault="00693A99" w:rsidP="00693A99">
      <w:pPr>
        <w:pStyle w:val="P1"/>
      </w:pPr>
      <w:r>
        <w:lastRenderedPageBreak/>
        <w:tab/>
      </w:r>
      <w:r w:rsidR="002F215E" w:rsidRPr="00823C19">
        <w:t>(f)</w:t>
      </w:r>
      <w:r w:rsidR="002F215E" w:rsidRPr="00823C19">
        <w:tab/>
        <w:t>a person who has Down’s syndrome;</w:t>
      </w:r>
    </w:p>
    <w:p w:rsidR="002F215E" w:rsidRPr="00823C19" w:rsidRDefault="002F215E" w:rsidP="002F215E">
      <w:pPr>
        <w:pStyle w:val="P1"/>
      </w:pPr>
      <w:r w:rsidRPr="00823C19">
        <w:tab/>
        <w:t>(g)</w:t>
      </w:r>
      <w:r w:rsidRPr="00823C19">
        <w:tab/>
        <w:t>a person who has heart disease associated with cyanosis or cardiac failure;</w:t>
      </w:r>
    </w:p>
    <w:p w:rsidR="002F215E" w:rsidRPr="00823C19" w:rsidRDefault="002F215E" w:rsidP="002F215E">
      <w:pPr>
        <w:pStyle w:val="P1"/>
      </w:pPr>
      <w:r w:rsidRPr="00823C19">
        <w:tab/>
        <w:t>(h)</w:t>
      </w:r>
      <w:r w:rsidRPr="00823C19">
        <w:tab/>
        <w:t>a person who was a premature infant and who has, or has had, chronic lung disease;</w:t>
      </w:r>
    </w:p>
    <w:p w:rsidR="002F215E" w:rsidRPr="00823C19" w:rsidRDefault="002F215E" w:rsidP="002F215E">
      <w:pPr>
        <w:pStyle w:val="P1"/>
      </w:pPr>
      <w:r w:rsidRPr="00823C19">
        <w:tab/>
        <w:t>(i)</w:t>
      </w:r>
      <w:r w:rsidRPr="00823C19">
        <w:tab/>
        <w:t>a person who was born at less than 28 weeks gestation;</w:t>
      </w:r>
    </w:p>
    <w:p w:rsidR="002F215E" w:rsidRPr="00823C19" w:rsidRDefault="002F215E" w:rsidP="002F215E">
      <w:pPr>
        <w:pStyle w:val="P1"/>
      </w:pPr>
      <w:r w:rsidRPr="00823C19">
        <w:tab/>
        <w:t>(j)</w:t>
      </w:r>
      <w:r w:rsidRPr="00823C19">
        <w:tab/>
        <w:t>a person who has cystic fibrosis;</w:t>
      </w:r>
    </w:p>
    <w:p w:rsidR="002F215E" w:rsidRPr="00823C19" w:rsidRDefault="002F215E" w:rsidP="002F215E">
      <w:pPr>
        <w:pStyle w:val="P1"/>
      </w:pPr>
      <w:r w:rsidRPr="00823C19">
        <w:tab/>
        <w:t>(k)</w:t>
      </w:r>
      <w:r w:rsidRPr="00823C19">
        <w:tab/>
        <w:t>a person who has insulin</w:t>
      </w:r>
      <w:r w:rsidR="00314420" w:rsidRPr="00823C19">
        <w:noBreakHyphen/>
      </w:r>
      <w:r w:rsidRPr="00823C19">
        <w:t>dependent diabetes mellitus;</w:t>
      </w:r>
    </w:p>
    <w:p w:rsidR="002F215E" w:rsidRPr="00823C19" w:rsidRDefault="002F215E" w:rsidP="002F215E">
      <w:pPr>
        <w:pStyle w:val="P1"/>
      </w:pPr>
      <w:r w:rsidRPr="00823C19">
        <w:tab/>
        <w:t>(l)</w:t>
      </w:r>
      <w:r w:rsidRPr="00823C19">
        <w:tab/>
        <w:t>a person who has proven or presumptive cerebrospinal fluid leak;</w:t>
      </w:r>
    </w:p>
    <w:p w:rsidR="002F215E" w:rsidRPr="00823C19" w:rsidRDefault="002F215E" w:rsidP="002F215E">
      <w:pPr>
        <w:pStyle w:val="P1"/>
      </w:pPr>
      <w:r w:rsidRPr="00823C19">
        <w:tab/>
        <w:t>(m)</w:t>
      </w:r>
      <w:r w:rsidRPr="00823C19">
        <w:tab/>
        <w:t>a person who has an intracranial shunt;</w:t>
      </w:r>
    </w:p>
    <w:p w:rsidR="002F215E" w:rsidRPr="00823C19" w:rsidRDefault="002F215E" w:rsidP="002F215E">
      <w:pPr>
        <w:pStyle w:val="P1"/>
      </w:pPr>
      <w:r w:rsidRPr="00823C19">
        <w:tab/>
        <w:t>(n)</w:t>
      </w:r>
      <w:r w:rsidRPr="00823C19">
        <w:tab/>
        <w:t>a person who has a cochlear implant.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PFU</w:t>
      </w:r>
      <w:r w:rsidRPr="00823C19">
        <w:t xml:space="preserve"> means plaque forming units.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 xml:space="preserve">PRN </w:t>
      </w:r>
      <w:r w:rsidRPr="00823C19">
        <w:t>means</w:t>
      </w:r>
      <w:r w:rsidRPr="00823C19">
        <w:rPr>
          <w:b/>
          <w:i/>
        </w:rPr>
        <w:t xml:space="preserve"> </w:t>
      </w:r>
      <w:r w:rsidRPr="00823C19">
        <w:t xml:space="preserve">pertactin. 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PT</w:t>
      </w:r>
      <w:r w:rsidRPr="00823C19">
        <w:t xml:space="preserve"> means pertussis toxoid.</w:t>
      </w:r>
    </w:p>
    <w:p w:rsidR="002F215E" w:rsidRPr="00823C19" w:rsidRDefault="002F215E" w:rsidP="002F215E">
      <w:pPr>
        <w:pStyle w:val="definition"/>
      </w:pPr>
      <w:r w:rsidRPr="00823C19">
        <w:rPr>
          <w:b/>
          <w:i/>
        </w:rPr>
        <w:t>TCID</w:t>
      </w:r>
      <w:r w:rsidRPr="00823C19">
        <w:rPr>
          <w:b/>
          <w:i/>
          <w:vertAlign w:val="subscript"/>
        </w:rPr>
        <w:t>50</w:t>
      </w:r>
      <w:r w:rsidRPr="00823C19">
        <w:t xml:space="preserve"> means tissue culture infectious dose 50%, being the quantity of an infectious agent that when inoculated onto a number of susceptible tissue cultures will infect 50% of the individual cultures.</w:t>
      </w:r>
    </w:p>
    <w:p w:rsidR="002F215E" w:rsidRPr="00823C19" w:rsidRDefault="002F215E" w:rsidP="005A10ED">
      <w:pPr>
        <w:pStyle w:val="SECNUM"/>
      </w:pPr>
      <w:bookmarkStart w:id="7" w:name="_Toc410898748"/>
      <w:bookmarkStart w:id="8" w:name="_Toc411257378"/>
      <w:r w:rsidRPr="005A10ED">
        <w:t>5</w:t>
      </w:r>
      <w:r w:rsidRPr="00823C19">
        <w:tab/>
        <w:t>Designated vaccines</w:t>
      </w:r>
      <w:bookmarkEnd w:id="7"/>
      <w:bookmarkEnd w:id="8"/>
    </w:p>
    <w:p w:rsidR="002F215E" w:rsidRPr="00823C19" w:rsidRDefault="002F215E" w:rsidP="002F215E">
      <w:pPr>
        <w:pStyle w:val="R1"/>
      </w:pPr>
      <w:r w:rsidRPr="00823C19">
        <w:tab/>
      </w:r>
      <w:r w:rsidRPr="00823C19">
        <w:tab/>
        <w:t>For subsection 9B</w:t>
      </w:r>
      <w:r w:rsidR="00BC727D" w:rsidRPr="00823C19">
        <w:t> </w:t>
      </w:r>
      <w:r w:rsidRPr="00823C19">
        <w:t>(2) of the Act, a vaccine mentioned in column 2 of Schedule 1 is a designated vaccine.</w:t>
      </w:r>
    </w:p>
    <w:p w:rsidR="002F215E" w:rsidRPr="00823C19" w:rsidRDefault="002F215E" w:rsidP="005A10ED">
      <w:pPr>
        <w:pStyle w:val="SECNUM"/>
      </w:pPr>
      <w:bookmarkStart w:id="9" w:name="_Toc410898749"/>
      <w:bookmarkStart w:id="10" w:name="_Toc411257379"/>
      <w:r w:rsidRPr="005A10ED">
        <w:t>6</w:t>
      </w:r>
      <w:r w:rsidRPr="00823C19">
        <w:tab/>
        <w:t>Circumstances in which designated vaccines may be provided</w:t>
      </w:r>
      <w:bookmarkEnd w:id="9"/>
      <w:bookmarkEnd w:id="10"/>
    </w:p>
    <w:p w:rsidR="002F215E" w:rsidRPr="00823C19" w:rsidRDefault="002F215E" w:rsidP="002F215E">
      <w:pPr>
        <w:pStyle w:val="R1"/>
      </w:pPr>
      <w:r w:rsidRPr="00823C19">
        <w:tab/>
      </w:r>
      <w:r w:rsidRPr="00823C19">
        <w:tab/>
        <w:t>For subsection 9B</w:t>
      </w:r>
      <w:r w:rsidR="00BC727D" w:rsidRPr="00823C19">
        <w:t> </w:t>
      </w:r>
      <w:r w:rsidRPr="00823C19">
        <w:t>(5) of the Act, a designated vaccine may be provided in the circumstances mentioned for it in Schedule 1.</w:t>
      </w:r>
    </w:p>
    <w:p w:rsidR="002F215E" w:rsidRPr="00823C19" w:rsidRDefault="002F215E" w:rsidP="009835C0">
      <w:pPr>
        <w:pStyle w:val="SECNUM"/>
        <w:ind w:left="993" w:hanging="993"/>
      </w:pPr>
      <w:bookmarkStart w:id="11" w:name="_Toc410898750"/>
      <w:bookmarkStart w:id="12" w:name="_Toc411257380"/>
      <w:r w:rsidRPr="005A10ED">
        <w:t>7</w:t>
      </w:r>
      <w:r w:rsidRPr="00823C19">
        <w:tab/>
        <w:t>Circumstances in which designated vaccines may be provided</w:t>
      </w:r>
      <w:r w:rsidR="00BC727D" w:rsidRPr="00823C19">
        <w:t> </w:t>
      </w:r>
      <w:r w:rsidRPr="00823C19">
        <w:t>— particular vaccines</w:t>
      </w:r>
      <w:bookmarkEnd w:id="11"/>
      <w:bookmarkEnd w:id="12"/>
    </w:p>
    <w:p w:rsidR="004E0BF2" w:rsidRDefault="002F215E" w:rsidP="005D6E3B">
      <w:pPr>
        <w:pStyle w:val="ZR1"/>
      </w:pPr>
      <w:r w:rsidRPr="00823C19">
        <w:tab/>
        <w:t>(1)</w:t>
      </w:r>
      <w:r w:rsidRPr="00823C19">
        <w:tab/>
      </w:r>
      <w:r w:rsidR="004E0BF2">
        <w:t>For item 1</w:t>
      </w:r>
      <w:r w:rsidR="00905D42">
        <w:t>10</w:t>
      </w:r>
      <w:r w:rsidR="004E0BF2">
        <w:t xml:space="preserve"> of Schedule 1, a designated vaccine in that item may be provided in the following </w:t>
      </w:r>
      <w:r w:rsidR="00B06B0F">
        <w:t>circumstances</w:t>
      </w:r>
      <w:r w:rsidR="004E0BF2">
        <w:t>:</w:t>
      </w:r>
    </w:p>
    <w:p w:rsidR="004E0BF2" w:rsidRPr="00823C19" w:rsidRDefault="00B06B0F" w:rsidP="00B06B0F">
      <w:pPr>
        <w:pStyle w:val="ZP1"/>
      </w:pPr>
      <w:r>
        <w:tab/>
        <w:t>(a)</w:t>
      </w:r>
      <w:r>
        <w:tab/>
      </w:r>
      <w:r w:rsidR="004E0BF2" w:rsidRPr="00823C19">
        <w:t>a dose of the vaccine may be provided to a child:</w:t>
      </w:r>
    </w:p>
    <w:p w:rsidR="004E0BF2" w:rsidRPr="00823C19" w:rsidRDefault="004E0BF2" w:rsidP="00B06B0F">
      <w:pPr>
        <w:pStyle w:val="ZP1"/>
      </w:pPr>
      <w:r w:rsidRPr="00823C19">
        <w:tab/>
      </w:r>
      <w:r w:rsidR="00B06B0F">
        <w:tab/>
        <w:t xml:space="preserve">(i) </w:t>
      </w:r>
      <w:r w:rsidRPr="00823C19">
        <w:t xml:space="preserve">who is an Aboriginal </w:t>
      </w:r>
      <w:r w:rsidR="007818A2">
        <w:t>and/or</w:t>
      </w:r>
      <w:r w:rsidRPr="00823C19">
        <w:t xml:space="preserve"> Torres Strait Islander; and</w:t>
      </w:r>
    </w:p>
    <w:p w:rsidR="004E0BF2" w:rsidRPr="00823C19" w:rsidRDefault="004E0BF2" w:rsidP="00B06B0F">
      <w:pPr>
        <w:pStyle w:val="ZP1"/>
      </w:pPr>
      <w:r w:rsidRPr="00823C19">
        <w:tab/>
      </w:r>
      <w:r w:rsidR="00B06B0F">
        <w:tab/>
        <w:t xml:space="preserve">(ii) </w:t>
      </w:r>
      <w:r w:rsidRPr="00823C19">
        <w:t xml:space="preserve">who is at least </w:t>
      </w:r>
      <w:r w:rsidR="00234A3F">
        <w:t>12</w:t>
      </w:r>
      <w:r w:rsidRPr="00823C19">
        <w:t xml:space="preserve"> months but not more than </w:t>
      </w:r>
      <w:r w:rsidR="00234A3F">
        <w:t>18</w:t>
      </w:r>
      <w:r w:rsidRPr="00823C19">
        <w:t xml:space="preserve"> months; and</w:t>
      </w:r>
    </w:p>
    <w:p w:rsidR="004E0BF2" w:rsidRPr="00823C19" w:rsidRDefault="00B06B0F" w:rsidP="00B06B0F">
      <w:pPr>
        <w:pStyle w:val="ZP1"/>
        <w:ind w:left="1440"/>
      </w:pPr>
      <w:r>
        <w:tab/>
      </w:r>
      <w:r>
        <w:tab/>
        <w:t xml:space="preserve">(iii) </w:t>
      </w:r>
      <w:r w:rsidR="004E0BF2" w:rsidRPr="00823C19">
        <w:t xml:space="preserve">who lives in Queensland, Western Australia, South Australia or the </w:t>
      </w:r>
      <w:r>
        <w:t xml:space="preserve">   </w:t>
      </w:r>
      <w:r w:rsidR="004E0BF2" w:rsidRPr="00823C19">
        <w:t>Northern Territory;</w:t>
      </w:r>
    </w:p>
    <w:p w:rsidR="002F215E" w:rsidRPr="00823C19" w:rsidRDefault="00B06B0F" w:rsidP="00B06B0F">
      <w:pPr>
        <w:pStyle w:val="ZR1"/>
      </w:pPr>
      <w:r>
        <w:t xml:space="preserve">        (2)</w:t>
      </w:r>
      <w:r>
        <w:tab/>
      </w:r>
      <w:r>
        <w:tab/>
      </w:r>
      <w:r w:rsidR="002F215E" w:rsidRPr="00823C19">
        <w:t>For item</w:t>
      </w:r>
      <w:r w:rsidR="00BC727D" w:rsidRPr="00823C19">
        <w:t> </w:t>
      </w:r>
      <w:r w:rsidR="00BB2483">
        <w:t>11</w:t>
      </w:r>
      <w:r w:rsidR="00905D42">
        <w:t>2</w:t>
      </w:r>
      <w:r w:rsidR="002F215E" w:rsidRPr="00823C19">
        <w:t xml:space="preserve"> of Schedule 1, a designated vaccine mentioned in that item may be provided in the following circumstances:</w:t>
      </w:r>
    </w:p>
    <w:p w:rsidR="002F215E" w:rsidRPr="00823C19" w:rsidRDefault="002F215E" w:rsidP="005D6E3B">
      <w:pPr>
        <w:pStyle w:val="ZP1"/>
      </w:pPr>
      <w:r w:rsidRPr="00823C19">
        <w:tab/>
        <w:t>(a)</w:t>
      </w:r>
      <w:r w:rsidRPr="00823C19">
        <w:tab/>
        <w:t>a first dose of the vaccine may be provided to a person: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 xml:space="preserve">who is not an </w:t>
      </w:r>
      <w:r w:rsidR="007818A2" w:rsidRPr="00823C19">
        <w:t xml:space="preserve">Aboriginal </w:t>
      </w:r>
      <w:r w:rsidR="007818A2">
        <w:t>and/or</w:t>
      </w:r>
      <w:r w:rsidR="007818A2" w:rsidRPr="00823C19">
        <w:t xml:space="preserve"> Torres Strait Islander</w:t>
      </w:r>
      <w:r w:rsidRPr="00823C19">
        <w:t>; and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who is at least 65 years;</w:t>
      </w:r>
    </w:p>
    <w:p w:rsidR="002F215E" w:rsidRPr="00823C19" w:rsidRDefault="002F215E" w:rsidP="005D6E3B">
      <w:pPr>
        <w:pStyle w:val="ZP1"/>
      </w:pPr>
      <w:r w:rsidRPr="00823C19">
        <w:tab/>
        <w:t>(b)</w:t>
      </w:r>
      <w:r w:rsidRPr="00823C19">
        <w:tab/>
        <w:t>a first dose of the vaccine may be provided to a person: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 xml:space="preserve">who is an </w:t>
      </w:r>
      <w:r w:rsidR="007818A2" w:rsidRPr="00823C19">
        <w:t xml:space="preserve">Aboriginal </w:t>
      </w:r>
      <w:r w:rsidR="007818A2">
        <w:t>and/or</w:t>
      </w:r>
      <w:r w:rsidR="007818A2" w:rsidRPr="00823C19">
        <w:t xml:space="preserve"> Torres Strait Islander</w:t>
      </w:r>
      <w:r w:rsidRPr="00823C19">
        <w:t>; and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who is at least 15</w:t>
      </w:r>
      <w:r w:rsidR="00BC727D" w:rsidRPr="00823C19">
        <w:t> </w:t>
      </w:r>
      <w:r w:rsidRPr="00823C19">
        <w:t>years but less than 50 years; and</w:t>
      </w:r>
    </w:p>
    <w:p w:rsidR="002F215E" w:rsidRPr="00823C19" w:rsidRDefault="002F215E" w:rsidP="005D6E3B">
      <w:pPr>
        <w:pStyle w:val="ZP2"/>
      </w:pPr>
      <w:r w:rsidRPr="00823C19">
        <w:lastRenderedPageBreak/>
        <w:tab/>
        <w:t>(iii)</w:t>
      </w:r>
      <w:r w:rsidRPr="00823C19">
        <w:tab/>
        <w:t>who:</w:t>
      </w:r>
    </w:p>
    <w:p w:rsidR="002F215E" w:rsidRPr="00823C19" w:rsidRDefault="002F215E" w:rsidP="002F215E">
      <w:pPr>
        <w:pStyle w:val="P3"/>
      </w:pPr>
      <w:r w:rsidRPr="00823C19">
        <w:tab/>
        <w:t>(A)</w:t>
      </w:r>
      <w:r w:rsidRPr="00823C19">
        <w:tab/>
        <w:t>has heart disease; or</w:t>
      </w:r>
    </w:p>
    <w:p w:rsidR="002F215E" w:rsidRPr="00823C19" w:rsidRDefault="002F215E" w:rsidP="002F215E">
      <w:pPr>
        <w:pStyle w:val="P3"/>
      </w:pPr>
      <w:r w:rsidRPr="00823C19">
        <w:tab/>
        <w:t>(B)</w:t>
      </w:r>
      <w:r w:rsidRPr="00823C19">
        <w:tab/>
        <w:t>has kidney disease; or</w:t>
      </w:r>
    </w:p>
    <w:p w:rsidR="002F215E" w:rsidRPr="00823C19" w:rsidRDefault="002F215E" w:rsidP="002F215E">
      <w:pPr>
        <w:pStyle w:val="P3"/>
      </w:pPr>
      <w:r w:rsidRPr="00823C19">
        <w:tab/>
        <w:t>(C)</w:t>
      </w:r>
      <w:r w:rsidRPr="00823C19">
        <w:tab/>
        <w:t>has lung disease; or</w:t>
      </w:r>
    </w:p>
    <w:p w:rsidR="002F215E" w:rsidRPr="00823C19" w:rsidRDefault="002F215E" w:rsidP="002F215E">
      <w:pPr>
        <w:pStyle w:val="P3"/>
      </w:pPr>
      <w:r w:rsidRPr="00823C19">
        <w:tab/>
        <w:t>(D)</w:t>
      </w:r>
      <w:r w:rsidRPr="00823C19">
        <w:tab/>
        <w:t>has asthma; or</w:t>
      </w:r>
    </w:p>
    <w:p w:rsidR="002F215E" w:rsidRPr="00823C19" w:rsidRDefault="002F215E" w:rsidP="002F215E">
      <w:pPr>
        <w:pStyle w:val="P3"/>
      </w:pPr>
      <w:r w:rsidRPr="00823C19">
        <w:tab/>
        <w:t>(E)</w:t>
      </w:r>
      <w:r w:rsidRPr="00823C19">
        <w:tab/>
        <w:t>has diabetes; or</w:t>
      </w:r>
    </w:p>
    <w:p w:rsidR="004E1823" w:rsidRPr="00823C19" w:rsidRDefault="002F215E" w:rsidP="00A47446">
      <w:pPr>
        <w:pStyle w:val="P3"/>
        <w:jc w:val="left"/>
      </w:pPr>
      <w:r w:rsidRPr="00823C19">
        <w:tab/>
        <w:t>(F)</w:t>
      </w:r>
      <w:r w:rsidRPr="00823C19">
        <w:tab/>
        <w:t>has an immune compromising condition; or</w:t>
      </w:r>
    </w:p>
    <w:p w:rsidR="002F215E" w:rsidRPr="00823C19" w:rsidRDefault="002F215E" w:rsidP="002F215E">
      <w:pPr>
        <w:pStyle w:val="P3"/>
      </w:pPr>
      <w:r w:rsidRPr="00823C19">
        <w:tab/>
        <w:t>(G)</w:t>
      </w:r>
      <w:r w:rsidRPr="00823C19">
        <w:tab/>
        <w:t>in the opinion of a medical practitioner, consumes alcohol excessively; or</w:t>
      </w:r>
    </w:p>
    <w:p w:rsidR="002F215E" w:rsidRPr="00823C19" w:rsidRDefault="002F215E" w:rsidP="002F215E">
      <w:pPr>
        <w:pStyle w:val="P3"/>
      </w:pPr>
      <w:r w:rsidRPr="00823C19">
        <w:tab/>
        <w:t>(H)</w:t>
      </w:r>
      <w:r w:rsidRPr="00823C19">
        <w:tab/>
        <w:t>smokes tobacco;</w:t>
      </w:r>
    </w:p>
    <w:p w:rsidR="002F215E" w:rsidRPr="00823C19" w:rsidRDefault="002F215E" w:rsidP="005D6E3B">
      <w:pPr>
        <w:pStyle w:val="ZP1"/>
      </w:pPr>
      <w:r w:rsidRPr="00823C19">
        <w:tab/>
        <w:t>(c)</w:t>
      </w:r>
      <w:r w:rsidRPr="00823C19">
        <w:tab/>
        <w:t>a first dose of the vaccine may be provided to a person: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 xml:space="preserve">who is an </w:t>
      </w:r>
      <w:r w:rsidR="007818A2" w:rsidRPr="00823C19">
        <w:t xml:space="preserve">Aboriginal </w:t>
      </w:r>
      <w:r w:rsidR="007818A2">
        <w:t>and/or</w:t>
      </w:r>
      <w:r w:rsidR="007818A2" w:rsidRPr="00823C19">
        <w:t xml:space="preserve"> Torres Strait Islander</w:t>
      </w:r>
      <w:r w:rsidRPr="00823C19">
        <w:t>; and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who is at least 50 years; and</w:t>
      </w:r>
    </w:p>
    <w:p w:rsidR="002F215E" w:rsidRPr="00823C19" w:rsidRDefault="002F215E" w:rsidP="002F215E">
      <w:pPr>
        <w:pStyle w:val="P2"/>
      </w:pPr>
      <w:r w:rsidRPr="00823C19">
        <w:tab/>
        <w:t>(iii)</w:t>
      </w:r>
      <w:r w:rsidRPr="00823C19">
        <w:tab/>
        <w:t>who has not received a dose of the vaccine under paragraph</w:t>
      </w:r>
      <w:r w:rsidR="00BC727D" w:rsidRPr="00823C19">
        <w:t> </w:t>
      </w:r>
      <w:r w:rsidRPr="00823C19">
        <w:t>(b);</w:t>
      </w:r>
    </w:p>
    <w:p w:rsidR="002F215E" w:rsidRPr="00823C19" w:rsidRDefault="002F215E" w:rsidP="002F215E">
      <w:pPr>
        <w:pStyle w:val="P1"/>
      </w:pPr>
      <w:r w:rsidRPr="00823C19">
        <w:tab/>
        <w:t>(d)</w:t>
      </w:r>
      <w:r w:rsidRPr="00823C19">
        <w:tab/>
        <w:t>a second dose of the vaccine may be provided to a person mentioned in paragraph</w:t>
      </w:r>
      <w:r w:rsidR="00BC727D" w:rsidRPr="00823C19">
        <w:t> </w:t>
      </w:r>
      <w:r w:rsidRPr="00823C19">
        <w:t>(a), (b) or (c) 5 years after the first dose was provided to the person under paragraph</w:t>
      </w:r>
      <w:r w:rsidR="00BC727D" w:rsidRPr="00823C19">
        <w:t> </w:t>
      </w:r>
      <w:r w:rsidRPr="00823C19">
        <w:t>(a), (b) or (c);</w:t>
      </w:r>
    </w:p>
    <w:p w:rsidR="002F215E" w:rsidRPr="00823C19" w:rsidRDefault="002F215E" w:rsidP="005D6E3B">
      <w:pPr>
        <w:pStyle w:val="ZP1"/>
      </w:pPr>
      <w:r w:rsidRPr="00823C19">
        <w:tab/>
        <w:t>(e)</w:t>
      </w:r>
      <w:r w:rsidRPr="00823C19">
        <w:tab/>
        <w:t>a third dose of the vaccine may be provided to a person mentioned in paragraph</w:t>
      </w:r>
      <w:r w:rsidR="00BC727D" w:rsidRPr="00823C19">
        <w:t> </w:t>
      </w:r>
      <w:r w:rsidRPr="00823C19">
        <w:t>(b) after the later of the following: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>the end of 5 years after the second dose was provided to the person under paragraph</w:t>
      </w:r>
      <w:r w:rsidR="00BC727D" w:rsidRPr="00823C19">
        <w:t> </w:t>
      </w:r>
      <w:r w:rsidRPr="00823C19">
        <w:t xml:space="preserve">(d); 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the person turns 50;</w:t>
      </w:r>
    </w:p>
    <w:p w:rsidR="002F215E" w:rsidRPr="00823C19" w:rsidRDefault="002F215E" w:rsidP="00ED05F5">
      <w:pPr>
        <w:pStyle w:val="ZP1"/>
      </w:pPr>
      <w:r w:rsidRPr="00823C19">
        <w:tab/>
        <w:t>(f)</w:t>
      </w:r>
      <w:r w:rsidRPr="00823C19">
        <w:tab/>
        <w:t>a dose of the vaccine may be provided to a child:</w:t>
      </w:r>
    </w:p>
    <w:p w:rsidR="002F215E" w:rsidRPr="00823C19" w:rsidRDefault="002F215E" w:rsidP="00B50358">
      <w:pPr>
        <w:pStyle w:val="ZP1"/>
      </w:pPr>
      <w:r w:rsidRPr="00823C19">
        <w:tab/>
      </w:r>
      <w:r w:rsidR="00FD176A">
        <w:tab/>
      </w:r>
      <w:r w:rsidRPr="00823C19">
        <w:t>(i)</w:t>
      </w:r>
      <w:r w:rsidRPr="00823C19">
        <w:tab/>
        <w:t xml:space="preserve">who is an </w:t>
      </w:r>
      <w:r w:rsidR="007818A2" w:rsidRPr="00823C19">
        <w:t xml:space="preserve">Aboriginal </w:t>
      </w:r>
      <w:r w:rsidR="007818A2">
        <w:t>and/or</w:t>
      </w:r>
      <w:r w:rsidR="007818A2" w:rsidRPr="00823C19">
        <w:t xml:space="preserve"> Torres Strait Islander</w:t>
      </w:r>
      <w:r w:rsidRPr="00823C19">
        <w:t>; and</w:t>
      </w:r>
    </w:p>
    <w:p w:rsidR="002F215E" w:rsidRPr="00823C19" w:rsidRDefault="002F215E" w:rsidP="00B50358">
      <w:pPr>
        <w:pStyle w:val="ZP1"/>
      </w:pPr>
      <w:r w:rsidRPr="00823C19">
        <w:tab/>
      </w:r>
      <w:r w:rsidR="00FD176A">
        <w:tab/>
      </w:r>
      <w:r w:rsidRPr="00823C19">
        <w:t>(ii)</w:t>
      </w:r>
      <w:r w:rsidRPr="00823C19">
        <w:tab/>
        <w:t>who is at least 18</w:t>
      </w:r>
      <w:r w:rsidR="00BC727D" w:rsidRPr="00823C19">
        <w:t> </w:t>
      </w:r>
      <w:r w:rsidRPr="00823C19">
        <w:t>months but not more than 24 months; and</w:t>
      </w:r>
    </w:p>
    <w:p w:rsidR="002F215E" w:rsidRPr="00823C19" w:rsidRDefault="002F215E" w:rsidP="00B50358">
      <w:pPr>
        <w:pStyle w:val="ZP1"/>
        <w:tabs>
          <w:tab w:val="clear" w:pos="1191"/>
          <w:tab w:val="right" w:pos="1701"/>
        </w:tabs>
        <w:ind w:left="2127" w:hanging="2127"/>
      </w:pPr>
      <w:r w:rsidRPr="00823C19">
        <w:tab/>
      </w:r>
      <w:r w:rsidR="00FD176A">
        <w:t xml:space="preserve">  </w:t>
      </w:r>
      <w:r w:rsidRPr="00823C19">
        <w:t>(iii)</w:t>
      </w:r>
      <w:r w:rsidRPr="00823C19">
        <w:tab/>
        <w:t>who lives in Queensland, Western Australia, South Australia or the</w:t>
      </w:r>
      <w:r w:rsidR="00FD176A">
        <w:t xml:space="preserve">     </w:t>
      </w:r>
      <w:r w:rsidRPr="00823C19">
        <w:t>Northern Territory;</w:t>
      </w:r>
    </w:p>
    <w:p w:rsidR="002F215E" w:rsidRPr="00823C19" w:rsidRDefault="002F215E" w:rsidP="005D6E3B">
      <w:pPr>
        <w:pStyle w:val="ZP1"/>
      </w:pPr>
      <w:r w:rsidRPr="00823C19">
        <w:tab/>
        <w:t>(g)</w:t>
      </w:r>
      <w:r w:rsidRPr="00823C19">
        <w:tab/>
        <w:t>a dose of the vaccine may be provided to a child: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>who is at least 4</w:t>
      </w:r>
      <w:r w:rsidR="00BC727D" w:rsidRPr="00823C19">
        <w:t> </w:t>
      </w:r>
      <w:r w:rsidRPr="00823C19">
        <w:t>years but less than 6</w:t>
      </w:r>
      <w:r w:rsidR="00BC727D" w:rsidRPr="00823C19">
        <w:t> </w:t>
      </w:r>
      <w:r w:rsidRPr="00823C19">
        <w:t>years; and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who is a member of a medical risk group.</w:t>
      </w:r>
    </w:p>
    <w:p w:rsidR="002F215E" w:rsidRPr="00823C19" w:rsidRDefault="002F215E" w:rsidP="005D6E3B">
      <w:pPr>
        <w:pStyle w:val="ZR2"/>
      </w:pPr>
      <w:r w:rsidRPr="00823C19">
        <w:tab/>
        <w:t>(</w:t>
      </w:r>
      <w:r w:rsidR="00FD176A">
        <w:t>3</w:t>
      </w:r>
      <w:r w:rsidRPr="00823C19">
        <w:t>)</w:t>
      </w:r>
      <w:r w:rsidRPr="00823C19">
        <w:tab/>
        <w:t>For item</w:t>
      </w:r>
      <w:r w:rsidR="00BC727D" w:rsidRPr="00823C19">
        <w:t> </w:t>
      </w:r>
      <w:r w:rsidR="00BB2483" w:rsidRPr="00823C19">
        <w:t>11</w:t>
      </w:r>
      <w:r w:rsidR="00905D42">
        <w:t>3</w:t>
      </w:r>
      <w:r w:rsidR="00BB2483" w:rsidRPr="00823C19">
        <w:t xml:space="preserve"> </w:t>
      </w:r>
      <w:r w:rsidRPr="00823C19">
        <w:t>of Schedule 1, a designated vaccine mentioned in that item may be provided to a person:</w:t>
      </w:r>
    </w:p>
    <w:p w:rsidR="002F215E" w:rsidRPr="00823C19" w:rsidRDefault="002F215E" w:rsidP="002F215E">
      <w:pPr>
        <w:pStyle w:val="P1"/>
      </w:pPr>
      <w:r w:rsidRPr="00823C19">
        <w:tab/>
        <w:t>(a)</w:t>
      </w:r>
      <w:r w:rsidRPr="00823C19">
        <w:tab/>
        <w:t>who is at least 15 years; and</w:t>
      </w:r>
    </w:p>
    <w:p w:rsidR="002F215E" w:rsidRPr="00823C19" w:rsidRDefault="002F215E" w:rsidP="005D6E3B">
      <w:pPr>
        <w:pStyle w:val="ZP1"/>
      </w:pPr>
      <w:r w:rsidRPr="00823C19">
        <w:tab/>
        <w:t>(b)</w:t>
      </w:r>
      <w:r w:rsidRPr="00823C19">
        <w:tab/>
        <w:t>who is one of the following:</w:t>
      </w:r>
    </w:p>
    <w:p w:rsidR="002F215E" w:rsidRPr="00823C19" w:rsidRDefault="002F215E" w:rsidP="002F215E">
      <w:pPr>
        <w:pStyle w:val="P2"/>
      </w:pPr>
      <w:r w:rsidRPr="00823C19">
        <w:tab/>
        <w:t>(i)</w:t>
      </w:r>
      <w:r w:rsidRPr="00823C19">
        <w:tab/>
        <w:t>an abattoir worker;</w:t>
      </w:r>
    </w:p>
    <w:p w:rsidR="002F215E" w:rsidRPr="00823C19" w:rsidRDefault="002F215E" w:rsidP="002F215E">
      <w:pPr>
        <w:pStyle w:val="P2"/>
      </w:pPr>
      <w:r w:rsidRPr="00823C19">
        <w:tab/>
        <w:t>(ii)</w:t>
      </w:r>
      <w:r w:rsidRPr="00823C19">
        <w:tab/>
        <w:t>a sheep shearer;</w:t>
      </w:r>
    </w:p>
    <w:p w:rsidR="002F215E" w:rsidRPr="00823C19" w:rsidRDefault="002F215E" w:rsidP="002F215E">
      <w:pPr>
        <w:pStyle w:val="P2"/>
      </w:pPr>
      <w:r w:rsidRPr="00823C19">
        <w:tab/>
        <w:t>(iii)</w:t>
      </w:r>
      <w:r w:rsidRPr="00823C19">
        <w:tab/>
        <w:t>a sheep, dairy or beef cattle farmer;</w:t>
      </w:r>
    </w:p>
    <w:p w:rsidR="002F215E" w:rsidRPr="00823C19" w:rsidRDefault="002F215E" w:rsidP="002F215E">
      <w:pPr>
        <w:pStyle w:val="P2"/>
        <w:rPr>
          <w:b/>
        </w:rPr>
      </w:pPr>
      <w:r w:rsidRPr="00823C19">
        <w:tab/>
        <w:t>(iv)</w:t>
      </w:r>
      <w:r w:rsidRPr="00823C19">
        <w:tab/>
        <w:t>an employee of a sheep, dairy or beef cattle farmer;</w:t>
      </w:r>
    </w:p>
    <w:p w:rsidR="002F215E" w:rsidRPr="00823C19" w:rsidRDefault="002F215E" w:rsidP="002F215E">
      <w:pPr>
        <w:pStyle w:val="P2"/>
      </w:pPr>
      <w:r w:rsidRPr="00823C19">
        <w:tab/>
        <w:t>(v)</w:t>
      </w:r>
      <w:r w:rsidRPr="00823C19">
        <w:tab/>
        <w:t>a member of the family of a sheep, dairy or beef cattle farmer who works on the sheep, dairy or beef cattle farm;</w:t>
      </w:r>
    </w:p>
    <w:p w:rsidR="009B4DB0" w:rsidRDefault="002F215E" w:rsidP="00D56BEF">
      <w:pPr>
        <w:pStyle w:val="P1"/>
        <w:tabs>
          <w:tab w:val="clear" w:pos="1191"/>
          <w:tab w:val="right" w:pos="1560"/>
        </w:tabs>
      </w:pPr>
      <w:r w:rsidRPr="00823C19">
        <w:tab/>
      </w:r>
      <w:r w:rsidR="00897C5C">
        <w:tab/>
        <w:t>(vi)</w:t>
      </w:r>
      <w:r w:rsidR="00B7545C">
        <w:t xml:space="preserve">   </w:t>
      </w:r>
      <w:r w:rsidRPr="00823C19">
        <w:t xml:space="preserve">an employee of a tannery; </w:t>
      </w:r>
      <w:r w:rsidR="00C56E9B">
        <w:t>and</w:t>
      </w:r>
    </w:p>
    <w:p w:rsidR="002F215E" w:rsidRPr="00823C19" w:rsidRDefault="002F215E" w:rsidP="002F215E">
      <w:pPr>
        <w:pStyle w:val="P1"/>
      </w:pPr>
      <w:r w:rsidRPr="00823C19">
        <w:lastRenderedPageBreak/>
        <w:tab/>
        <w:t>(c)</w:t>
      </w:r>
      <w:r w:rsidRPr="00823C19">
        <w:tab/>
        <w:t>who has had a Q</w:t>
      </w:r>
      <w:r w:rsidR="00314420" w:rsidRPr="00823C19">
        <w:noBreakHyphen/>
      </w:r>
      <w:r w:rsidRPr="00823C19">
        <w:t>Vax skin test and has received a negative result for that test; and</w:t>
      </w:r>
    </w:p>
    <w:p w:rsidR="002F215E" w:rsidRPr="00823C19" w:rsidRDefault="002F215E" w:rsidP="002F215E">
      <w:pPr>
        <w:pStyle w:val="P1"/>
      </w:pPr>
      <w:r w:rsidRPr="00823C19">
        <w:tab/>
        <w:t>(d)</w:t>
      </w:r>
      <w:r w:rsidRPr="00823C19">
        <w:tab/>
        <w:t xml:space="preserve">who has had a </w:t>
      </w:r>
      <w:r w:rsidRPr="00823C19">
        <w:rPr>
          <w:i/>
        </w:rPr>
        <w:t>Coxiella burnetii</w:t>
      </w:r>
      <w:r w:rsidRPr="00823C19">
        <w:t xml:space="preserve"> antibody serum study and has received a negative result for that study.</w:t>
      </w:r>
    </w:p>
    <w:p w:rsidR="002F215E" w:rsidRPr="00823C19" w:rsidRDefault="002F215E" w:rsidP="005D6E3B">
      <w:pPr>
        <w:pStyle w:val="ZR2"/>
      </w:pPr>
      <w:r w:rsidRPr="00823C19">
        <w:tab/>
        <w:t>(</w:t>
      </w:r>
      <w:r w:rsidR="00B6327F">
        <w:t>4</w:t>
      </w:r>
      <w:r w:rsidRPr="00823C19">
        <w:t>)</w:t>
      </w:r>
      <w:r w:rsidRPr="00823C19">
        <w:tab/>
        <w:t>For item</w:t>
      </w:r>
      <w:r w:rsidR="00BC727D" w:rsidRPr="00823C19">
        <w:t> </w:t>
      </w:r>
      <w:r w:rsidRPr="00823C19">
        <w:t>203 of Schedule 1, a designated vaccine mentioned in that item may be provided in the following circumstances:</w:t>
      </w:r>
    </w:p>
    <w:p w:rsidR="002F215E" w:rsidRPr="00823C19" w:rsidRDefault="002F215E" w:rsidP="00A47446">
      <w:pPr>
        <w:pStyle w:val="P1"/>
        <w:jc w:val="left"/>
      </w:pPr>
      <w:r w:rsidRPr="00823C19">
        <w:tab/>
        <w:t>(a)</w:t>
      </w:r>
      <w:r w:rsidRPr="00823C19">
        <w:tab/>
        <w:t>a dose of the vaccine may be provided to a newborn infant as soon as practicable after birth but no later than 7</w:t>
      </w:r>
      <w:r w:rsidR="00BC727D" w:rsidRPr="00823C19">
        <w:t> </w:t>
      </w:r>
      <w:r w:rsidRPr="00823C19">
        <w:t>days after birth;</w:t>
      </w:r>
    </w:p>
    <w:p w:rsidR="002F215E" w:rsidRDefault="002F215E" w:rsidP="004E1823">
      <w:pPr>
        <w:pStyle w:val="P1"/>
        <w:jc w:val="left"/>
      </w:pPr>
      <w:r w:rsidRPr="00823C19">
        <w:tab/>
        <w:t>(b)</w:t>
      </w:r>
      <w:r w:rsidRPr="00823C19">
        <w:tab/>
        <w:t>a first dose of the vaccine may be provided to a child who is at least 10</w:t>
      </w:r>
      <w:r w:rsidR="00BC727D" w:rsidRPr="00823C19">
        <w:t> </w:t>
      </w:r>
      <w:r w:rsidRPr="00823C19">
        <w:t>years but less than 14 years;</w:t>
      </w:r>
      <w:r w:rsidR="004E1823">
        <w:t xml:space="preserve"> </w:t>
      </w:r>
    </w:p>
    <w:p w:rsidR="002F215E" w:rsidRPr="00823C19" w:rsidRDefault="002F215E" w:rsidP="002F215E">
      <w:pPr>
        <w:pStyle w:val="P1"/>
      </w:pPr>
      <w:r w:rsidRPr="00823C19">
        <w:tab/>
        <w:t>(c)</w:t>
      </w:r>
      <w:r w:rsidRPr="00823C19">
        <w:tab/>
        <w:t>a second dose of the vaccine may be provided to a child mentioned in paragraph</w:t>
      </w:r>
      <w:r w:rsidR="00BC727D" w:rsidRPr="00823C19">
        <w:t> </w:t>
      </w:r>
      <w:r w:rsidRPr="00823C19">
        <w:t>(b) 1 month after the first dose was provided to the child under paragraph</w:t>
      </w:r>
      <w:r w:rsidR="00BC727D" w:rsidRPr="00823C19">
        <w:t> </w:t>
      </w:r>
      <w:r w:rsidRPr="00823C19">
        <w:t>(b);</w:t>
      </w:r>
    </w:p>
    <w:p w:rsidR="002F215E" w:rsidRPr="00823C19" w:rsidRDefault="002F215E" w:rsidP="002F215E">
      <w:pPr>
        <w:pStyle w:val="P1"/>
      </w:pPr>
      <w:r w:rsidRPr="00823C19">
        <w:tab/>
        <w:t>(d)</w:t>
      </w:r>
      <w:r w:rsidRPr="00823C19">
        <w:tab/>
        <w:t>a third dose of the vaccine may be provided to a child mentioned in paragraph</w:t>
      </w:r>
      <w:r w:rsidR="00BC727D" w:rsidRPr="00823C19">
        <w:t> </w:t>
      </w:r>
      <w:r w:rsidRPr="00823C19">
        <w:t>(b) 5 months after the second dose was provided to the child under paragraph</w:t>
      </w:r>
      <w:r w:rsidR="00BC727D" w:rsidRPr="00823C19">
        <w:t> </w:t>
      </w:r>
      <w:r w:rsidRPr="00823C19">
        <w:t>(c).</w:t>
      </w:r>
    </w:p>
    <w:p w:rsidR="00943281" w:rsidRPr="00823C19" w:rsidRDefault="002F215E" w:rsidP="00943281">
      <w:pPr>
        <w:pStyle w:val="ZR2"/>
      </w:pPr>
      <w:r w:rsidRPr="00823C19">
        <w:tab/>
        <w:t>(</w:t>
      </w:r>
      <w:r w:rsidR="00B6327F">
        <w:t>5</w:t>
      </w:r>
      <w:r w:rsidRPr="00823C19">
        <w:t>)</w:t>
      </w:r>
      <w:r w:rsidRPr="00823C19">
        <w:tab/>
      </w:r>
      <w:r w:rsidR="00943281" w:rsidRPr="00823C19">
        <w:t>For item</w:t>
      </w:r>
      <w:r w:rsidR="00943281">
        <w:t>s</w:t>
      </w:r>
      <w:r w:rsidR="00943281" w:rsidRPr="00823C19">
        <w:t> 205</w:t>
      </w:r>
      <w:r w:rsidR="00F87F4C">
        <w:t>, 208</w:t>
      </w:r>
      <w:r w:rsidR="00632545">
        <w:t>, 209</w:t>
      </w:r>
      <w:r w:rsidR="004803B0">
        <w:t xml:space="preserve"> and </w:t>
      </w:r>
      <w:r w:rsidR="00F87F4C">
        <w:t>2</w:t>
      </w:r>
      <w:r w:rsidR="00632545">
        <w:t>1</w:t>
      </w:r>
      <w:r w:rsidR="00F87F4C">
        <w:t>0</w:t>
      </w:r>
      <w:r w:rsidR="00F87F4C" w:rsidRPr="00823C19">
        <w:t xml:space="preserve"> </w:t>
      </w:r>
      <w:r w:rsidR="00943281" w:rsidRPr="00823C19">
        <w:t>of Schedule 1, a designated vaccine mentioned in th</w:t>
      </w:r>
      <w:r w:rsidR="00943281">
        <w:t>ose</w:t>
      </w:r>
      <w:r w:rsidR="00943281" w:rsidRPr="00823C19">
        <w:t xml:space="preserve"> item</w:t>
      </w:r>
      <w:r w:rsidR="00943281">
        <w:t>s</w:t>
      </w:r>
      <w:r w:rsidR="00943281" w:rsidRPr="00823C19">
        <w:t xml:space="preserve"> may be provided to:</w:t>
      </w:r>
    </w:p>
    <w:p w:rsidR="00943281" w:rsidRPr="00823C19" w:rsidRDefault="00943281" w:rsidP="00943281">
      <w:pPr>
        <w:pStyle w:val="P1"/>
      </w:pPr>
      <w:r w:rsidRPr="00823C19">
        <w:tab/>
        <w:t>(a)</w:t>
      </w:r>
      <w:r w:rsidRPr="00823C19">
        <w:tab/>
        <w:t>a person who is at least 65 years; or</w:t>
      </w:r>
    </w:p>
    <w:p w:rsidR="00E13A42" w:rsidRPr="00EA6880" w:rsidRDefault="00E13A42" w:rsidP="00E13A42">
      <w:pPr>
        <w:pStyle w:val="P1"/>
      </w:pPr>
      <w:r w:rsidRPr="00EA6880">
        <w:tab/>
        <w:t>(b)</w:t>
      </w:r>
      <w:r w:rsidRPr="00EA6880">
        <w:tab/>
        <w:t>an Aboriginal and/or Torres Strait Islander person who is:</w:t>
      </w:r>
    </w:p>
    <w:p w:rsidR="00E13A42" w:rsidRPr="00EA6880" w:rsidRDefault="00E13A42" w:rsidP="00E13A42">
      <w:pPr>
        <w:pStyle w:val="P2"/>
      </w:pPr>
      <w:r>
        <w:tab/>
      </w:r>
      <w:r w:rsidRPr="00EA6880">
        <w:t>(i)</w:t>
      </w:r>
      <w:r w:rsidRPr="00EA6880">
        <w:tab/>
        <w:t xml:space="preserve">aged at least 6 months but less than 5 years; or </w:t>
      </w:r>
    </w:p>
    <w:p w:rsidR="00E13A42" w:rsidRPr="00EA6880" w:rsidRDefault="00E13A42" w:rsidP="00E13A42">
      <w:pPr>
        <w:pStyle w:val="P2"/>
      </w:pPr>
      <w:r>
        <w:tab/>
      </w:r>
      <w:r w:rsidRPr="00EA6880">
        <w:t>(ii)</w:t>
      </w:r>
      <w:r w:rsidRPr="00EA6880">
        <w:tab/>
        <w:t>15 years or older; or</w:t>
      </w:r>
    </w:p>
    <w:p w:rsidR="00943281" w:rsidRDefault="00943281" w:rsidP="00943281">
      <w:pPr>
        <w:pStyle w:val="P1"/>
      </w:pPr>
      <w:r w:rsidRPr="00823C19">
        <w:tab/>
        <w:t>(</w:t>
      </w:r>
      <w:r>
        <w:t>c</w:t>
      </w:r>
      <w:r w:rsidRPr="00823C19">
        <w:t>)</w:t>
      </w:r>
      <w:r w:rsidRPr="00823C19">
        <w:tab/>
      </w:r>
      <w:r>
        <w:t xml:space="preserve">a person who is at least 6 months </w:t>
      </w:r>
    </w:p>
    <w:p w:rsidR="00943281" w:rsidRDefault="00943281" w:rsidP="00943281">
      <w:pPr>
        <w:pStyle w:val="P2"/>
      </w:pPr>
      <w:r>
        <w:tab/>
        <w:t>(i)</w:t>
      </w:r>
      <w:r>
        <w:tab/>
        <w:t>who:</w:t>
      </w:r>
    </w:p>
    <w:p w:rsidR="00943281" w:rsidRPr="00823C19" w:rsidRDefault="00943281" w:rsidP="00943281">
      <w:pPr>
        <w:pStyle w:val="P3"/>
      </w:pPr>
      <w:r w:rsidRPr="00823C19">
        <w:tab/>
        <w:t>(A)</w:t>
      </w:r>
      <w:r w:rsidRPr="00823C19">
        <w:tab/>
        <w:t xml:space="preserve">has </w:t>
      </w:r>
      <w:r>
        <w:t>cardiac</w:t>
      </w:r>
      <w:r w:rsidRPr="00823C19">
        <w:t xml:space="preserve"> disease</w:t>
      </w:r>
      <w:r>
        <w:t xml:space="preserve"> including cyanotic congenital heart disease, coronary artery disease and congestive heart failure</w:t>
      </w:r>
      <w:r w:rsidRPr="00823C19">
        <w:t xml:space="preserve">; or </w:t>
      </w:r>
    </w:p>
    <w:p w:rsidR="00943281" w:rsidRDefault="00943281" w:rsidP="00943281">
      <w:pPr>
        <w:pStyle w:val="P3"/>
      </w:pPr>
      <w:r w:rsidRPr="00823C19">
        <w:tab/>
        <w:t>(</w:t>
      </w:r>
      <w:r>
        <w:t>B</w:t>
      </w:r>
      <w:r w:rsidRPr="00823C19">
        <w:t>)</w:t>
      </w:r>
      <w:r w:rsidRPr="00823C19">
        <w:tab/>
      </w:r>
      <w:r>
        <w:t>has a chronic respiratory condition including suppurative lung disease, bronchiectasis, cystic fibrosis, chronic obstructive pulmonary disease, chronic emphysema and severe asthma; or</w:t>
      </w:r>
    </w:p>
    <w:p w:rsidR="00943281" w:rsidRDefault="00943281" w:rsidP="00943281">
      <w:pPr>
        <w:pStyle w:val="P3"/>
      </w:pPr>
      <w:r w:rsidRPr="00823C19">
        <w:tab/>
        <w:t>(</w:t>
      </w:r>
      <w:r>
        <w:t>C</w:t>
      </w:r>
      <w:r w:rsidRPr="00823C19">
        <w:t>)</w:t>
      </w:r>
      <w:r w:rsidRPr="00823C19">
        <w:tab/>
      </w:r>
      <w:r>
        <w:t>has another chronic illness requiring regular medical follow-up or hospitalisation in the preceding year, including diabetes mellitus, chronic metabolic diseases, chronic renal failure, haemoglobinopathies and impaired immunity (including drug-induced immune impairment); or</w:t>
      </w:r>
    </w:p>
    <w:p w:rsidR="00943281" w:rsidRDefault="00943281" w:rsidP="00943281">
      <w:pPr>
        <w:pStyle w:val="P3"/>
      </w:pPr>
      <w:r w:rsidRPr="00823C19">
        <w:tab/>
        <w:t>(</w:t>
      </w:r>
      <w:r>
        <w:t>D</w:t>
      </w:r>
      <w:r w:rsidRPr="00823C19">
        <w:t>)</w:t>
      </w:r>
      <w:r w:rsidRPr="00823C19">
        <w:tab/>
      </w:r>
      <w:r>
        <w:t>has a chronic neurological condition, including multiple sclerosis, spinal cord injuries, seizure disorders or other neuromuscular disorders; or</w:t>
      </w:r>
    </w:p>
    <w:p w:rsidR="00943281" w:rsidRDefault="00943281" w:rsidP="00943281">
      <w:pPr>
        <w:pStyle w:val="P3"/>
      </w:pPr>
      <w:r w:rsidRPr="00823C19">
        <w:tab/>
        <w:t>(</w:t>
      </w:r>
      <w:r>
        <w:t>E</w:t>
      </w:r>
      <w:r w:rsidRPr="00823C19">
        <w:t>)</w:t>
      </w:r>
      <w:r w:rsidRPr="00823C19">
        <w:tab/>
      </w:r>
      <w:r>
        <w:t>has impaired immunity, including HIV infection; or</w:t>
      </w:r>
    </w:p>
    <w:p w:rsidR="00943281" w:rsidRDefault="00943281" w:rsidP="00943281">
      <w:pPr>
        <w:pStyle w:val="P3"/>
      </w:pPr>
      <w:r w:rsidRPr="00823C19">
        <w:tab/>
        <w:t>(</w:t>
      </w:r>
      <w:r>
        <w:t>F</w:t>
      </w:r>
      <w:r w:rsidRPr="00823C19">
        <w:t>)</w:t>
      </w:r>
      <w:r w:rsidRPr="00823C19">
        <w:tab/>
      </w:r>
      <w:r>
        <w:t>is aged 6 months to 10 years and is receiving long-term aspirin therapy; or</w:t>
      </w:r>
    </w:p>
    <w:p w:rsidR="00943281" w:rsidRDefault="00943281" w:rsidP="00943281">
      <w:pPr>
        <w:pStyle w:val="P3"/>
      </w:pPr>
      <w:r w:rsidRPr="00823C19">
        <w:tab/>
        <w:t>(</w:t>
      </w:r>
      <w:r>
        <w:t>G</w:t>
      </w:r>
      <w:r w:rsidRPr="00823C19">
        <w:t>)</w:t>
      </w:r>
      <w:r w:rsidRPr="00823C19">
        <w:tab/>
      </w:r>
      <w:r>
        <w:t>is pregnant</w:t>
      </w:r>
      <w:r w:rsidR="00F07EE8">
        <w:t>.</w:t>
      </w:r>
    </w:p>
    <w:p w:rsidR="0086431D" w:rsidRDefault="0086431D" w:rsidP="0086431D">
      <w:pPr>
        <w:pStyle w:val="P3"/>
      </w:pPr>
    </w:p>
    <w:p w:rsidR="00876206" w:rsidRPr="00E34427" w:rsidRDefault="00876206" w:rsidP="00876206">
      <w:pPr>
        <w:keepNext/>
        <w:keepLines/>
        <w:tabs>
          <w:tab w:val="right" w:pos="794"/>
        </w:tabs>
        <w:spacing w:before="180" w:line="260" w:lineRule="exact"/>
        <w:ind w:left="964" w:hanging="484"/>
        <w:jc w:val="both"/>
      </w:pPr>
      <w:r w:rsidRPr="00E34427">
        <w:lastRenderedPageBreak/>
        <w:t xml:space="preserve">(6) </w:t>
      </w:r>
      <w:r w:rsidRPr="00E34427">
        <w:tab/>
        <w:t>For item 206 of Schedule 1, a designated vaccine mentioned in that item may be provided to a person who is at least 65 years of age.</w:t>
      </w:r>
    </w:p>
    <w:p w:rsidR="00876206" w:rsidRPr="00E34427" w:rsidRDefault="00876206" w:rsidP="00876206">
      <w:pPr>
        <w:keepNext/>
        <w:keepLines/>
        <w:tabs>
          <w:tab w:val="right" w:pos="794"/>
        </w:tabs>
        <w:spacing w:before="180" w:line="260" w:lineRule="exact"/>
        <w:ind w:left="964" w:hanging="484"/>
        <w:jc w:val="both"/>
      </w:pPr>
      <w:r w:rsidRPr="00E34427">
        <w:t xml:space="preserve">(7) </w:t>
      </w:r>
      <w:r w:rsidRPr="00E34427">
        <w:tab/>
        <w:t>For item 207 of Schedule 1, a designated vaccine mentioned in those items may be provided to:</w:t>
      </w:r>
    </w:p>
    <w:p w:rsidR="00876206" w:rsidRPr="00E34427" w:rsidRDefault="00876206" w:rsidP="00876206">
      <w:pPr>
        <w:keepLines/>
        <w:tabs>
          <w:tab w:val="right" w:pos="1191"/>
        </w:tabs>
        <w:spacing w:before="60" w:line="260" w:lineRule="exact"/>
        <w:ind w:left="1418" w:hanging="484"/>
        <w:jc w:val="both"/>
      </w:pPr>
      <w:r w:rsidRPr="00E34427">
        <w:tab/>
        <w:t>(a)</w:t>
      </w:r>
      <w:r w:rsidRPr="00E34427">
        <w:tab/>
        <w:t>a person who is at least 65 years; or</w:t>
      </w:r>
    </w:p>
    <w:p w:rsidR="00876206" w:rsidRPr="00E34427" w:rsidRDefault="00876206" w:rsidP="00876206">
      <w:pPr>
        <w:keepLines/>
        <w:tabs>
          <w:tab w:val="right" w:pos="1191"/>
        </w:tabs>
        <w:spacing w:before="60" w:line="260" w:lineRule="exact"/>
        <w:ind w:left="1418" w:hanging="484"/>
        <w:jc w:val="both"/>
      </w:pPr>
      <w:r w:rsidRPr="00E34427">
        <w:tab/>
        <w:t>(b)</w:t>
      </w:r>
      <w:r w:rsidRPr="00E34427">
        <w:tab/>
        <w:t xml:space="preserve">an </w:t>
      </w:r>
      <w:r w:rsidR="007818A2" w:rsidRPr="00823C19">
        <w:t xml:space="preserve">Aboriginal </w:t>
      </w:r>
      <w:r w:rsidR="007818A2">
        <w:t>and/or</w:t>
      </w:r>
      <w:r w:rsidR="007818A2" w:rsidRPr="00823C19">
        <w:t xml:space="preserve"> Torres Strait Islander</w:t>
      </w:r>
      <w:r w:rsidR="007818A2" w:rsidRPr="00E34427">
        <w:t xml:space="preserve"> </w:t>
      </w:r>
      <w:r w:rsidRPr="00E34427">
        <w:t>person who is at least 15 years; or</w:t>
      </w:r>
    </w:p>
    <w:p w:rsidR="00876206" w:rsidRPr="00E34427" w:rsidRDefault="00876206" w:rsidP="00876206">
      <w:pPr>
        <w:keepLines/>
        <w:tabs>
          <w:tab w:val="right" w:pos="1191"/>
        </w:tabs>
        <w:spacing w:before="60" w:line="260" w:lineRule="exact"/>
        <w:ind w:left="1418" w:hanging="484"/>
        <w:jc w:val="both"/>
      </w:pPr>
      <w:r w:rsidRPr="00E34427">
        <w:tab/>
        <w:t>(c)</w:t>
      </w:r>
      <w:r w:rsidRPr="00E34427">
        <w:tab/>
        <w:t xml:space="preserve">a person who is at least 5 years </w:t>
      </w:r>
    </w:p>
    <w:p w:rsidR="00876206" w:rsidRPr="00E34427" w:rsidRDefault="00876206" w:rsidP="00876206">
      <w:pPr>
        <w:keepLines/>
        <w:tabs>
          <w:tab w:val="right" w:pos="1758"/>
          <w:tab w:val="left" w:pos="2155"/>
        </w:tabs>
        <w:spacing w:before="60" w:line="260" w:lineRule="exact"/>
        <w:ind w:left="1985" w:hanging="484"/>
        <w:jc w:val="both"/>
      </w:pPr>
      <w:r w:rsidRPr="00E34427">
        <w:tab/>
        <w:t>(i)</w:t>
      </w:r>
      <w:r w:rsidRPr="00E34427">
        <w:tab/>
        <w:t>who: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(A)</w:t>
      </w:r>
      <w:r w:rsidRPr="00E34427">
        <w:tab/>
        <w:t xml:space="preserve">has cardiac disease including cyanotic congenital heart disease, coronary artery disease and congestive heart failure; or 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(B)</w:t>
      </w:r>
      <w:r w:rsidRPr="00E34427">
        <w:tab/>
        <w:t>has a chronic respiratory condition including suppurative lung disease, bronchiectasis, cystic fibrosis, chronic obstructive pulmonary disease, chronic emphysema and severe asthma; or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(C)</w:t>
      </w:r>
      <w:r w:rsidRPr="00E34427">
        <w:tab/>
        <w:t xml:space="preserve">has another chronic illness requiring regular medical follow-up or hospitalisation in the preceding year, including diabetes mellitus, chronic metabolic diseases, chronic renal failure, haemoglobinopathies and impaired immunity (including </w:t>
      </w:r>
      <w:r>
        <w:t>drug</w:t>
      </w:r>
      <w:r>
        <w:noBreakHyphen/>
      </w:r>
      <w:r w:rsidRPr="00E34427">
        <w:t>induced immune impairment); or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(D)</w:t>
      </w:r>
      <w:r w:rsidRPr="00E34427">
        <w:tab/>
        <w:t>has a chronic neurological condition, including multiple sclerosis, spinal cord injuries, seizure disorders or other neuromuscular disorders; or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(E)</w:t>
      </w:r>
      <w:r w:rsidRPr="00E34427">
        <w:tab/>
        <w:t>has impaired immunity, including HIV infection; or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(F)</w:t>
      </w:r>
      <w:r w:rsidRPr="00E34427">
        <w:tab/>
        <w:t>is aged 5 to 10 years and is receiving long-term aspirin therapy; or</w:t>
      </w:r>
    </w:p>
    <w:p w:rsidR="00876206" w:rsidRPr="00E34427" w:rsidRDefault="00876206" w:rsidP="00876206">
      <w:pPr>
        <w:tabs>
          <w:tab w:val="right" w:pos="2410"/>
        </w:tabs>
        <w:spacing w:before="60" w:line="260" w:lineRule="exact"/>
        <w:ind w:left="2693" w:hanging="2693"/>
        <w:jc w:val="both"/>
      </w:pPr>
      <w:r w:rsidRPr="00E34427">
        <w:tab/>
        <w:t>(G)</w:t>
      </w:r>
      <w:r w:rsidRPr="00E34427">
        <w:tab/>
        <w:t>is pregnant.</w:t>
      </w:r>
    </w:p>
    <w:p w:rsidR="004927FC" w:rsidRPr="004927FC" w:rsidRDefault="004927FC" w:rsidP="004927FC">
      <w:pPr>
        <w:tabs>
          <w:tab w:val="right" w:pos="2410"/>
        </w:tabs>
        <w:spacing w:before="60" w:line="260" w:lineRule="exact"/>
        <w:ind w:left="2693" w:hanging="2693"/>
        <w:jc w:val="both"/>
      </w:pPr>
    </w:p>
    <w:p w:rsidR="00AD5358" w:rsidRDefault="00AD5358" w:rsidP="00155A68">
      <w:pPr>
        <w:pStyle w:val="Scheduletitle"/>
        <w:ind w:left="0" w:firstLine="0"/>
        <w:rPr>
          <w:rStyle w:val="CharAmSchNo"/>
        </w:rPr>
        <w:sectPr w:rsidR="00AD5358" w:rsidSect="009D0E8C">
          <w:footerReference w:type="even" r:id="rId18"/>
          <w:footerReference w:type="default" r:id="rId19"/>
          <w:footerReference w:type="first" r:id="rId20"/>
          <w:pgSz w:w="11907" w:h="16839" w:code="9"/>
          <w:pgMar w:top="1440" w:right="1440" w:bottom="1560" w:left="1797" w:header="567" w:footer="1984" w:gutter="0"/>
          <w:pgNumType w:start="1"/>
          <w:cols w:space="708"/>
          <w:titlePg/>
          <w:docGrid w:linePitch="360"/>
        </w:sectPr>
      </w:pPr>
    </w:p>
    <w:p w:rsidR="002F215E" w:rsidRPr="00823C19" w:rsidRDefault="002F215E" w:rsidP="00E01D20">
      <w:pPr>
        <w:pStyle w:val="AMSCHTEXT"/>
      </w:pPr>
      <w:bookmarkStart w:id="13" w:name="_Toc410898751"/>
      <w:bookmarkStart w:id="14" w:name="_Toc411257381"/>
      <w:r w:rsidRPr="00823C19">
        <w:rPr>
          <w:rStyle w:val="CharAmSchNo"/>
        </w:rPr>
        <w:lastRenderedPageBreak/>
        <w:t>Schedule 1</w:t>
      </w:r>
      <w:r w:rsidRPr="00823C19">
        <w:tab/>
      </w:r>
      <w:r w:rsidRPr="004C7199">
        <w:rPr>
          <w:rStyle w:val="CharAmSchText"/>
        </w:rPr>
        <w:t>Designated</w:t>
      </w:r>
      <w:r w:rsidRPr="00823C19">
        <w:rPr>
          <w:rStyle w:val="CharAmSchText"/>
        </w:rPr>
        <w:t xml:space="preserve"> vaccines and circumstances in which vaccines may be provided</w:t>
      </w:r>
      <w:bookmarkEnd w:id="13"/>
      <w:bookmarkEnd w:id="14"/>
    </w:p>
    <w:p w:rsidR="002F215E" w:rsidRPr="00823C19" w:rsidRDefault="002F215E" w:rsidP="002F215E">
      <w:pPr>
        <w:pStyle w:val="Schedulereference"/>
      </w:pPr>
      <w:r w:rsidRPr="00823C19">
        <w:t>(sections 5 and 6)</w:t>
      </w:r>
    </w:p>
    <w:p w:rsidR="002F215E" w:rsidRPr="00E01D20" w:rsidRDefault="002F215E" w:rsidP="004B40EB">
      <w:pPr>
        <w:pStyle w:val="SCHPTTEXT"/>
      </w:pPr>
      <w:bookmarkStart w:id="15" w:name="Part_1"/>
      <w:bookmarkStart w:id="16" w:name="_Toc410898752"/>
      <w:bookmarkStart w:id="17" w:name="_Toc411257382"/>
      <w:r w:rsidRPr="00E01D20">
        <w:t>Part 1</w:t>
      </w:r>
      <w:bookmarkEnd w:id="15"/>
      <w:r w:rsidRPr="00E01D20">
        <w:tab/>
      </w:r>
      <w:bookmarkStart w:id="18" w:name="Bacteria_vaccines"/>
      <w:r w:rsidRPr="004B40EB">
        <w:rPr>
          <w:rStyle w:val="CharSchPTText"/>
        </w:rPr>
        <w:t>Bacterial</w:t>
      </w:r>
      <w:r w:rsidRPr="00E01D20">
        <w:rPr>
          <w:rStyle w:val="CharSchPTText"/>
        </w:rPr>
        <w:t xml:space="preserve"> vaccines</w:t>
      </w:r>
      <w:bookmarkEnd w:id="16"/>
      <w:bookmarkEnd w:id="17"/>
      <w:bookmarkEnd w:id="18"/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3032"/>
        <w:gridCol w:w="2166"/>
        <w:gridCol w:w="2186"/>
        <w:gridCol w:w="2716"/>
        <w:gridCol w:w="2512"/>
      </w:tblGrid>
      <w:tr w:rsidR="00905D42" w:rsidRPr="00823C19" w:rsidTr="00E15B15">
        <w:trPr>
          <w:cantSplit/>
          <w:tblHeader/>
        </w:trPr>
        <w:tc>
          <w:tcPr>
            <w:tcW w:w="551" w:type="pct"/>
            <w:tcBorders>
              <w:bottom w:val="single" w:sz="4" w:space="0" w:color="auto"/>
            </w:tcBorders>
            <w:vAlign w:val="bottom"/>
          </w:tcPr>
          <w:p w:rsidR="00905D42" w:rsidRPr="00823C19" w:rsidRDefault="00905D42" w:rsidP="00E15B15">
            <w:pPr>
              <w:pStyle w:val="TableColHead"/>
            </w:pPr>
            <w:r w:rsidRPr="00823C19">
              <w:t>Item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905D42" w:rsidRPr="00823C19" w:rsidRDefault="00905D42" w:rsidP="00E15B15">
            <w:pPr>
              <w:pStyle w:val="TableColHead"/>
            </w:pPr>
            <w:r w:rsidRPr="00823C19">
              <w:t>Vaccine and the circumstances in which vaccine may be provided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bottom"/>
          </w:tcPr>
          <w:p w:rsidR="00905D42" w:rsidRPr="00823C19" w:rsidRDefault="00905D42" w:rsidP="00E15B15">
            <w:pPr>
              <w:pStyle w:val="TableColHead"/>
            </w:pPr>
            <w:r w:rsidRPr="00823C19">
              <w:t>Brand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bottom"/>
          </w:tcPr>
          <w:p w:rsidR="00905D42" w:rsidRPr="00823C19" w:rsidRDefault="00905D42" w:rsidP="00E15B15">
            <w:pPr>
              <w:pStyle w:val="TableColHead"/>
            </w:pPr>
            <w:r w:rsidRPr="00823C19">
              <w:t>Formulation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:rsidR="00905D42" w:rsidRPr="00823C19" w:rsidRDefault="00905D42" w:rsidP="00E15B15">
            <w:pPr>
              <w:pStyle w:val="TableColHead"/>
            </w:pPr>
            <w:r w:rsidRPr="00823C19">
              <w:t>Active ingredient and strength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bottom"/>
          </w:tcPr>
          <w:p w:rsidR="00905D42" w:rsidRPr="00823C19" w:rsidRDefault="00905D42" w:rsidP="00E15B15">
            <w:pPr>
              <w:pStyle w:val="TableColHead"/>
            </w:pPr>
            <w:r w:rsidRPr="00823C19">
              <w:t>Number and timing of doses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101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Diphtheria, tetanus and pertussis (adult/adolescent)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Vaccine may be provided to a child who is at least 10 years but less than 18 years</w:t>
            </w:r>
            <w:r>
              <w:t xml:space="preserve"> old.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Boostrix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Each of the following: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 — not less than 2 IU;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 — not less than 20 IU;</w:t>
            </w:r>
          </w:p>
          <w:p w:rsidR="00905D42" w:rsidRPr="00731824" w:rsidRDefault="00905D42" w:rsidP="00E15B1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 — 8 µg;</w:t>
            </w:r>
          </w:p>
          <w:p w:rsidR="00905D42" w:rsidRPr="00731824" w:rsidRDefault="00905D42" w:rsidP="00E15B1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 — 8 µg;</w:t>
            </w:r>
          </w:p>
          <w:p w:rsidR="00905D42" w:rsidRPr="00731824" w:rsidRDefault="00905D42" w:rsidP="00E15B1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 — 2.5 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 dose (booster)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Default="00905D42" w:rsidP="00E15B15">
            <w:pPr>
              <w:pStyle w:val="TableText"/>
            </w:pPr>
            <w:r w:rsidRPr="00823C19">
              <w:lastRenderedPageBreak/>
              <w:t>102</w:t>
            </w: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Pr="00823C19" w:rsidRDefault="00573A9B" w:rsidP="00E15B15">
            <w:pPr>
              <w:pStyle w:val="TableText"/>
            </w:pPr>
            <w:r>
              <w:t>102A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Diphtheria, tetanus and pertussis (adult/adolescent)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Default="00905D42" w:rsidP="00E15B15">
            <w:pPr>
              <w:pStyle w:val="TableText"/>
            </w:pPr>
            <w:r w:rsidRPr="00823C19">
              <w:t>Vaccine may be provided to a child who is at least 10 years but less than 18 years</w:t>
            </w:r>
            <w:r>
              <w:t xml:space="preserve"> old.</w:t>
            </w: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Pr="00823C19" w:rsidRDefault="00573A9B" w:rsidP="00573A9B">
            <w:pPr>
              <w:pStyle w:val="TableColHead"/>
            </w:pPr>
            <w:r w:rsidRPr="00823C19">
              <w:t>Vaccine</w:t>
            </w:r>
          </w:p>
          <w:p w:rsidR="00573A9B" w:rsidRPr="00823C19" w:rsidRDefault="00573A9B" w:rsidP="00573A9B">
            <w:pPr>
              <w:pStyle w:val="TableText"/>
            </w:pPr>
            <w:r w:rsidRPr="00823C19">
              <w:t>Diphtheria, tetanus and pertussis (</w:t>
            </w:r>
            <w:r>
              <w:t>child</w:t>
            </w:r>
            <w:r w:rsidRPr="00823C19">
              <w:t>)</w:t>
            </w:r>
          </w:p>
          <w:p w:rsidR="00573A9B" w:rsidRPr="00823C19" w:rsidRDefault="00573A9B" w:rsidP="00573A9B">
            <w:pPr>
              <w:pStyle w:val="TableColHead"/>
            </w:pPr>
            <w:r w:rsidRPr="00823C19">
              <w:t>Circumstances</w:t>
            </w:r>
          </w:p>
          <w:p w:rsidR="00573A9B" w:rsidRDefault="00573A9B" w:rsidP="00573A9B">
            <w:pPr>
              <w:pStyle w:val="TableText"/>
            </w:pPr>
            <w:r w:rsidRPr="00823C19">
              <w:t xml:space="preserve">Vaccine may be provided to a child who is </w:t>
            </w:r>
            <w:r>
              <w:t>about 18 months of age.</w:t>
            </w: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Pr="00823C19" w:rsidRDefault="00573A9B" w:rsidP="00E15B15">
            <w:pPr>
              <w:pStyle w:val="TableText"/>
            </w:pPr>
          </w:p>
        </w:tc>
        <w:tc>
          <w:tcPr>
            <w:tcW w:w="764" w:type="pct"/>
          </w:tcPr>
          <w:p w:rsidR="00905D42" w:rsidRDefault="00905D42" w:rsidP="00E15B15">
            <w:pPr>
              <w:pStyle w:val="TableText"/>
            </w:pPr>
            <w:r w:rsidRPr="00823C19">
              <w:t>Adacel</w:t>
            </w: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Pr="00823C19" w:rsidRDefault="00573A9B" w:rsidP="00E15B15">
            <w:pPr>
              <w:pStyle w:val="TableText"/>
            </w:pPr>
            <w:r>
              <w:t>Infanrix</w:t>
            </w:r>
          </w:p>
        </w:tc>
        <w:tc>
          <w:tcPr>
            <w:tcW w:w="771" w:type="pct"/>
          </w:tcPr>
          <w:p w:rsidR="00905D42" w:rsidRDefault="00905D42" w:rsidP="00E15B15">
            <w:pPr>
              <w:pStyle w:val="TableText"/>
            </w:pPr>
            <w:r w:rsidRPr="00823C19">
              <w:t>Injection (0.5mL)</w:t>
            </w: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Pr="00823C19" w:rsidRDefault="00573A9B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Each of the following: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 — not less than 2 IU;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 — not less than 20 IU;</w:t>
            </w:r>
          </w:p>
          <w:p w:rsidR="00905D42" w:rsidRPr="00731824" w:rsidRDefault="00905D42" w:rsidP="00E15B1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 — 2.5 µg;</w:t>
            </w:r>
          </w:p>
          <w:p w:rsidR="00905D42" w:rsidRPr="00731824" w:rsidRDefault="00905D42" w:rsidP="00E15B1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 — 5 µg;</w:t>
            </w:r>
          </w:p>
          <w:p w:rsidR="00905D42" w:rsidRPr="00731824" w:rsidRDefault="00905D42" w:rsidP="00E15B1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 — 3 µg</w:t>
            </w:r>
          </w:p>
          <w:p w:rsidR="00905D42" w:rsidRDefault="00905D42" w:rsidP="00E15B15">
            <w:pPr>
              <w:pStyle w:val="TableP1a"/>
            </w:pPr>
            <w:r w:rsidRPr="00731824">
              <w:rPr>
                <w:lang w:val="de-DE"/>
              </w:rPr>
              <w:tab/>
            </w:r>
            <w:r w:rsidRPr="00823C19">
              <w:t>(f)</w:t>
            </w:r>
            <w:r w:rsidRPr="00823C19">
              <w:tab/>
              <w:t>FIM 2+3 — 5 µg</w:t>
            </w:r>
          </w:p>
          <w:p w:rsidR="00573A9B" w:rsidRDefault="00573A9B" w:rsidP="00E15B15">
            <w:pPr>
              <w:pStyle w:val="TableP1a"/>
            </w:pPr>
          </w:p>
          <w:p w:rsidR="00573A9B" w:rsidRPr="00342AFA" w:rsidRDefault="00573A9B" w:rsidP="00573A9B">
            <w:pPr>
              <w:pStyle w:val="TableText"/>
            </w:pPr>
            <w:r w:rsidRPr="00342AFA">
              <w:t>Each of the following:</w:t>
            </w:r>
          </w:p>
          <w:p w:rsidR="00573A9B" w:rsidRPr="00342AFA" w:rsidRDefault="00573A9B" w:rsidP="00573A9B">
            <w:pPr>
              <w:pStyle w:val="TableP1a"/>
            </w:pPr>
            <w:r w:rsidRPr="00342AFA">
              <w:tab/>
              <w:t>(a)</w:t>
            </w:r>
            <w:r w:rsidRPr="00342AFA">
              <w:tab/>
              <w:t xml:space="preserve">diphtheria toxoid — not less than </w:t>
            </w:r>
            <w:r w:rsidR="00D4764C" w:rsidRPr="00342AFA">
              <w:t>30</w:t>
            </w:r>
            <w:r w:rsidRPr="00342AFA">
              <w:t> IU;</w:t>
            </w:r>
          </w:p>
          <w:p w:rsidR="00573A9B" w:rsidRPr="00342AFA" w:rsidRDefault="00573A9B" w:rsidP="00573A9B">
            <w:pPr>
              <w:pStyle w:val="TableP1a"/>
            </w:pPr>
            <w:r w:rsidRPr="00342AFA">
              <w:tab/>
              <w:t>(b)</w:t>
            </w:r>
            <w:r w:rsidRPr="00342AFA">
              <w:tab/>
              <w:t xml:space="preserve">tetanus toxoid — not less than </w:t>
            </w:r>
            <w:r w:rsidR="00D4764C" w:rsidRPr="00342AFA">
              <w:t>4</w:t>
            </w:r>
            <w:r w:rsidRPr="00342AFA">
              <w:t>0 IU;</w:t>
            </w:r>
          </w:p>
          <w:p w:rsidR="00573A9B" w:rsidRPr="00342AFA" w:rsidRDefault="00573A9B" w:rsidP="00573A9B">
            <w:pPr>
              <w:pStyle w:val="TableP1a"/>
              <w:rPr>
                <w:lang w:val="de-DE"/>
              </w:rPr>
            </w:pPr>
            <w:r w:rsidRPr="00342AFA">
              <w:tab/>
            </w:r>
            <w:r w:rsidRPr="00342AFA">
              <w:rPr>
                <w:lang w:val="de-DE"/>
              </w:rPr>
              <w:t>(c)</w:t>
            </w:r>
            <w:r w:rsidRPr="00342AFA">
              <w:rPr>
                <w:lang w:val="de-DE"/>
              </w:rPr>
              <w:tab/>
              <w:t xml:space="preserve">PT — </w:t>
            </w:r>
            <w:r w:rsidR="00D4764C" w:rsidRPr="00342AFA">
              <w:rPr>
                <w:lang w:val="de-DE"/>
              </w:rPr>
              <w:t>2</w:t>
            </w:r>
            <w:r w:rsidRPr="00342AFA">
              <w:rPr>
                <w:lang w:val="de-DE"/>
              </w:rPr>
              <w:t>5 µg;</w:t>
            </w:r>
          </w:p>
          <w:p w:rsidR="00573A9B" w:rsidRPr="00342AFA" w:rsidRDefault="00573A9B" w:rsidP="00573A9B">
            <w:pPr>
              <w:pStyle w:val="TableP1a"/>
              <w:rPr>
                <w:lang w:val="de-DE"/>
              </w:rPr>
            </w:pPr>
            <w:r w:rsidRPr="00342AFA">
              <w:rPr>
                <w:lang w:val="de-DE"/>
              </w:rPr>
              <w:tab/>
              <w:t>(d)</w:t>
            </w:r>
            <w:r w:rsidRPr="00342AFA">
              <w:rPr>
                <w:lang w:val="de-DE"/>
              </w:rPr>
              <w:tab/>
              <w:t xml:space="preserve">FHA — </w:t>
            </w:r>
            <w:r w:rsidR="00D4764C" w:rsidRPr="00342AFA">
              <w:rPr>
                <w:lang w:val="de-DE"/>
              </w:rPr>
              <w:t>2</w:t>
            </w:r>
            <w:r w:rsidRPr="00342AFA">
              <w:rPr>
                <w:lang w:val="de-DE"/>
              </w:rPr>
              <w:t>5 µg;</w:t>
            </w:r>
          </w:p>
          <w:p w:rsidR="00573A9B" w:rsidRPr="00342AFA" w:rsidRDefault="00573A9B" w:rsidP="00573A9B">
            <w:pPr>
              <w:pStyle w:val="TableP1a"/>
              <w:rPr>
                <w:lang w:val="de-DE"/>
              </w:rPr>
            </w:pPr>
            <w:r w:rsidRPr="00342AFA">
              <w:rPr>
                <w:lang w:val="de-DE"/>
              </w:rPr>
              <w:tab/>
              <w:t>(e)</w:t>
            </w:r>
            <w:r w:rsidRPr="00342AFA">
              <w:rPr>
                <w:lang w:val="de-DE"/>
              </w:rPr>
              <w:tab/>
              <w:t xml:space="preserve">PRN — </w:t>
            </w:r>
            <w:r w:rsidR="00D4764C" w:rsidRPr="00342AFA">
              <w:rPr>
                <w:lang w:val="de-DE"/>
              </w:rPr>
              <w:t>8</w:t>
            </w:r>
            <w:r w:rsidRPr="00342AFA">
              <w:rPr>
                <w:lang w:val="de-DE"/>
              </w:rPr>
              <w:t> µg</w:t>
            </w:r>
          </w:p>
          <w:p w:rsidR="00573A9B" w:rsidRPr="00823C19" w:rsidRDefault="00573A9B" w:rsidP="00573A9B">
            <w:pPr>
              <w:pStyle w:val="TableP1a"/>
            </w:pPr>
          </w:p>
        </w:tc>
        <w:tc>
          <w:tcPr>
            <w:tcW w:w="886" w:type="pct"/>
          </w:tcPr>
          <w:p w:rsidR="00905D42" w:rsidRDefault="00905D42" w:rsidP="00E15B15">
            <w:pPr>
              <w:pStyle w:val="TableText"/>
            </w:pPr>
            <w:r w:rsidRPr="00823C19">
              <w:t>1 dose (booster)</w:t>
            </w: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</w:p>
          <w:p w:rsidR="00573A9B" w:rsidRDefault="00573A9B" w:rsidP="00E15B15">
            <w:pPr>
              <w:pStyle w:val="TableText"/>
            </w:pPr>
            <w:r w:rsidRPr="00823C19">
              <w:t>1 dose (booster)</w:t>
            </w:r>
          </w:p>
          <w:p w:rsidR="00573A9B" w:rsidRPr="00823C19" w:rsidRDefault="00573A9B" w:rsidP="00E15B15">
            <w:pPr>
              <w:pStyle w:val="TableText"/>
            </w:pP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lastRenderedPageBreak/>
              <w:t>103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rPr>
                <w:i/>
              </w:rPr>
              <w:t>Haemophilus influenzae</w:t>
            </w:r>
            <w:r w:rsidRPr="00823C19">
              <w:t xml:space="preserve"> type b (Hib) (monovalent PRP</w:t>
            </w:r>
            <w:r w:rsidRPr="00823C19">
              <w:noBreakHyphen/>
              <w:t>T)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Vaccine may be provided to a child who is about 12</w:t>
            </w:r>
            <w:r w:rsidR="001E6838">
              <w:t> </w:t>
            </w:r>
            <w:r w:rsidRPr="00823C19">
              <w:t>months</w:t>
            </w:r>
            <w:r w:rsidR="001E6838">
              <w:t> </w:t>
            </w:r>
            <w:r>
              <w:t>old.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ActHib or Hiberix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Refrigerated lyophilised preparation for injection (0.5mL) with separate diluent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Purified Hib capsular polysaccharide conjugated to tetanus toxoid — 10 </w:t>
            </w:r>
            <w:r w:rsidRPr="00823C19">
              <w:rPr>
                <w:sz w:val="20"/>
              </w:rPr>
              <w:t>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 dose (booster)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104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rPr>
                <w:i/>
                <w:iCs/>
              </w:rPr>
              <w:t>Haemophilus influenzae</w:t>
            </w:r>
            <w:r w:rsidRPr="00823C19">
              <w:t xml:space="preserve"> type b (Hib) (monovalent PRP</w:t>
            </w:r>
            <w:r w:rsidRPr="00823C19">
              <w:noBreakHyphen/>
              <w:t>OMP)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Default="00905D42" w:rsidP="00E15B15">
            <w:pPr>
              <w:pStyle w:val="TableText"/>
            </w:pPr>
            <w:r w:rsidRPr="00823C19">
              <w:t>Vaccine may be provided to a child who is about 2, 4 or 12 months</w:t>
            </w:r>
            <w:r>
              <w:t xml:space="preserve"> old.</w:t>
            </w:r>
          </w:p>
          <w:p w:rsidR="00905D42" w:rsidRPr="00823C19" w:rsidRDefault="00905D42" w:rsidP="00E15B15">
            <w:pPr>
              <w:pStyle w:val="TableText"/>
            </w:pP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Pedvax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Vial for 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Purified Hib capsular polysaccharide conjugated to meningococcal protein — 7.5 </w:t>
            </w:r>
            <w:r w:rsidRPr="00823C19">
              <w:rPr>
                <w:sz w:val="20"/>
              </w:rPr>
              <w:t>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3 doses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>
              <w:lastRenderedPageBreak/>
              <w:t>105</w:t>
            </w:r>
          </w:p>
        </w:tc>
        <w:tc>
          <w:tcPr>
            <w:tcW w:w="1069" w:type="pct"/>
          </w:tcPr>
          <w:p w:rsidR="00905D42" w:rsidRPr="00F904E6" w:rsidRDefault="00905D42" w:rsidP="00E15B15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F904E6">
              <w:rPr>
                <w:rFonts w:ascii="Arial" w:hAnsi="Arial" w:cs="Arial"/>
                <w:b/>
                <w:sz w:val="18"/>
                <w:szCs w:val="18"/>
              </w:rPr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rPr>
                <w:i/>
                <w:iCs/>
              </w:rPr>
              <w:t>Haemophilus influenzae</w:t>
            </w:r>
            <w:r w:rsidRPr="00823C19">
              <w:t xml:space="preserve"> type b (Hib) </w:t>
            </w:r>
            <w:r>
              <w:t>and Meningococcal C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Text"/>
            </w:pPr>
            <w:r>
              <w:t>Vaccine may be provided to a child who is about 12</w:t>
            </w:r>
            <w:r w:rsidR="001E6838">
              <w:t> </w:t>
            </w:r>
            <w:r>
              <w:t>months</w:t>
            </w:r>
            <w:r w:rsidR="001E6838">
              <w:t> </w:t>
            </w:r>
            <w:r>
              <w:t>old.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>
              <w:t>Menitorix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Refrigerated lyophilised preparation for injection (0.5mL) with separate diluent</w:t>
            </w:r>
          </w:p>
        </w:tc>
        <w:tc>
          <w:tcPr>
            <w:tcW w:w="958" w:type="pct"/>
          </w:tcPr>
          <w:p w:rsidR="00905D42" w:rsidRDefault="00905D42" w:rsidP="00E15B15">
            <w:pPr>
              <w:pStyle w:val="TableText"/>
              <w:rPr>
                <w:szCs w:val="22"/>
              </w:rPr>
            </w:pPr>
            <w:r w:rsidRPr="00E138EE">
              <w:rPr>
                <w:szCs w:val="22"/>
              </w:rPr>
              <w:t xml:space="preserve">Each of the following </w:t>
            </w:r>
            <w:r>
              <w:rPr>
                <w:szCs w:val="22"/>
              </w:rPr>
              <w:t>:</w:t>
            </w:r>
          </w:p>
          <w:p w:rsidR="00905D42" w:rsidRDefault="00905D42" w:rsidP="00E15B15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(a) Hib capsular polysaccharide conjugated to tetanus toxoid- 5</w:t>
            </w:r>
            <w:r w:rsidRPr="00823C19">
              <w:rPr>
                <w:sz w:val="20"/>
              </w:rPr>
              <w:t xml:space="preserve"> µg</w:t>
            </w:r>
          </w:p>
          <w:p w:rsidR="00905D42" w:rsidRPr="00823C19" w:rsidRDefault="00905D42" w:rsidP="00E15B15">
            <w:pPr>
              <w:pStyle w:val="TableText"/>
            </w:pPr>
            <w:r>
              <w:rPr>
                <w:szCs w:val="22"/>
              </w:rPr>
              <w:t>(b) Group C meningococcal polysaccharide conjugated to tetanus toxoid- 5</w:t>
            </w:r>
            <w:r w:rsidRPr="00823C19">
              <w:rPr>
                <w:sz w:val="20"/>
              </w:rPr>
              <w:t xml:space="preserve"> 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>
              <w:t>1 dose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lastRenderedPageBreak/>
              <w:t>10</w:t>
            </w:r>
            <w:r>
              <w:t>6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Meningococcal C (conjugate)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>Vaccine may be provided: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(a)</w:t>
            </w:r>
            <w:r w:rsidRPr="00823C19">
              <w:tab/>
              <w:t>to a child who is about</w:t>
            </w:r>
            <w:r w:rsidR="001E6838">
              <w:t xml:space="preserve"> </w:t>
            </w:r>
            <w:r w:rsidRPr="00823C19">
              <w:t>12</w:t>
            </w:r>
            <w:r w:rsidR="001E6838">
              <w:t> </w:t>
            </w:r>
            <w:r w:rsidRPr="00823C19">
              <w:t>months</w:t>
            </w:r>
            <w:r>
              <w:t xml:space="preserve"> old</w:t>
            </w:r>
            <w:r w:rsidRPr="00823C19">
              <w:t>; or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(b)</w:t>
            </w:r>
            <w:r w:rsidRPr="00823C19">
              <w:tab/>
              <w:t>in the period commencing on 1 January 2006 and ending at the end of 30</w:t>
            </w:r>
            <w:r w:rsidR="001E6838">
              <w:t> </w:t>
            </w:r>
            <w:r w:rsidRPr="00823C19">
              <w:t>June 2007, to a person:</w:t>
            </w:r>
          </w:p>
          <w:p w:rsidR="00905D42" w:rsidRPr="00823C19" w:rsidRDefault="00905D42" w:rsidP="00E15B15">
            <w:pPr>
              <w:pStyle w:val="TableP2i"/>
            </w:pPr>
            <w:r w:rsidRPr="00823C19">
              <w:tab/>
              <w:t>(i)</w:t>
            </w:r>
            <w:r w:rsidRPr="00823C19">
              <w:tab/>
              <w:t>who, on 1</w:t>
            </w:r>
            <w:r w:rsidR="001E6838">
              <w:t> </w:t>
            </w:r>
            <w:r w:rsidRPr="00823C19">
              <w:t>January</w:t>
            </w:r>
            <w:r w:rsidR="001E6838">
              <w:t> </w:t>
            </w:r>
            <w:r w:rsidRPr="00823C19">
              <w:t>2003, was at least 1</w:t>
            </w:r>
            <w:r w:rsidR="001E6838">
              <w:t> </w:t>
            </w:r>
            <w:r w:rsidRPr="00823C19">
              <w:t>year but less than 20 years</w:t>
            </w:r>
            <w:r>
              <w:t xml:space="preserve"> of age</w:t>
            </w:r>
            <w:r w:rsidRPr="00823C19">
              <w:t xml:space="preserve">; and </w:t>
            </w:r>
          </w:p>
          <w:p w:rsidR="00905D42" w:rsidRPr="00823C19" w:rsidRDefault="00905D42" w:rsidP="00E15B15">
            <w:pPr>
              <w:pStyle w:val="TableP2i"/>
            </w:pPr>
            <w:r w:rsidRPr="00823C19">
              <w:tab/>
              <w:t>(ii)</w:t>
            </w:r>
            <w:r w:rsidRPr="00823C19">
              <w:tab/>
              <w:t>who has not received a vaccine mentioned in this item or item 106 or 107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Meningitec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Meningococcal group C oligosaccharide conjugated to diphtheria protein — 10 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 dose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lastRenderedPageBreak/>
              <w:t>10</w:t>
            </w:r>
            <w:r>
              <w:t>7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Meningococcal C (conjugate)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>Vaccine may be provided: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(a)</w:t>
            </w:r>
            <w:r w:rsidRPr="00823C19">
              <w:tab/>
              <w:t>to a child who is about 12</w:t>
            </w:r>
            <w:r w:rsidR="001E6838">
              <w:t> </w:t>
            </w:r>
            <w:r w:rsidRPr="00823C19">
              <w:t>months</w:t>
            </w:r>
            <w:r>
              <w:t xml:space="preserve"> old</w:t>
            </w:r>
            <w:r w:rsidRPr="00823C19">
              <w:t>; or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(b)</w:t>
            </w:r>
            <w:r w:rsidRPr="00823C19">
              <w:tab/>
              <w:t>in the period commencing on 1 January 2006 and ending at the end of 30</w:t>
            </w:r>
            <w:r w:rsidR="001E6838">
              <w:t> </w:t>
            </w:r>
            <w:r w:rsidRPr="00823C19">
              <w:t>June 2007, to a person:</w:t>
            </w:r>
          </w:p>
          <w:p w:rsidR="00905D42" w:rsidRPr="00823C19" w:rsidRDefault="00905D42" w:rsidP="00E15B15">
            <w:pPr>
              <w:pStyle w:val="TableP2i"/>
            </w:pPr>
            <w:r w:rsidRPr="00823C19">
              <w:tab/>
              <w:t>(i)</w:t>
            </w:r>
            <w:r w:rsidRPr="00823C19">
              <w:tab/>
              <w:t>who, on 1</w:t>
            </w:r>
            <w:r w:rsidR="001E6838">
              <w:t> </w:t>
            </w:r>
            <w:r w:rsidRPr="00823C19">
              <w:t>January</w:t>
            </w:r>
            <w:r w:rsidR="001E6838">
              <w:t> </w:t>
            </w:r>
            <w:r w:rsidRPr="00823C19">
              <w:t>2003, was at least 1 year but less than 20 years</w:t>
            </w:r>
            <w:r>
              <w:t xml:space="preserve"> of age</w:t>
            </w:r>
            <w:r w:rsidRPr="00823C19">
              <w:t xml:space="preserve">; and </w:t>
            </w:r>
          </w:p>
          <w:p w:rsidR="00905D42" w:rsidRPr="00823C19" w:rsidRDefault="00905D42" w:rsidP="00E15B15">
            <w:pPr>
              <w:pStyle w:val="TableP2i"/>
            </w:pPr>
            <w:r w:rsidRPr="00823C19">
              <w:tab/>
              <w:t>(ii)</w:t>
            </w:r>
            <w:r w:rsidRPr="00823C19">
              <w:tab/>
              <w:t>who has not received a vaccine mentioned in this item or item 105 or 107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Menjugate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Refrigerated lyophilised preparation for injection (0.5mL) with separate diluent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Meningococcal group C oligosaccharide conjugated to diphtheria protein — 10 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 dose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lastRenderedPageBreak/>
              <w:t>10</w:t>
            </w:r>
            <w:r>
              <w:t>8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Meningococcal C (conjugate)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>Vaccine may be provided: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(a)</w:t>
            </w:r>
            <w:r w:rsidRPr="00823C19">
              <w:tab/>
              <w:t>to a child who is about</w:t>
            </w:r>
            <w:r w:rsidR="001E6838">
              <w:t xml:space="preserve"> </w:t>
            </w:r>
            <w:r w:rsidRPr="00823C19">
              <w:t>12</w:t>
            </w:r>
            <w:r w:rsidR="001E6838">
              <w:t> </w:t>
            </w:r>
            <w:r w:rsidRPr="00823C19">
              <w:t>months</w:t>
            </w:r>
            <w:r>
              <w:t xml:space="preserve"> old</w:t>
            </w:r>
            <w:r w:rsidRPr="00823C19">
              <w:t>; or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(b)</w:t>
            </w:r>
            <w:r w:rsidRPr="00823C19">
              <w:tab/>
              <w:t>in the period commencing on 1 January 2006 and ending at the end of 30</w:t>
            </w:r>
            <w:r w:rsidR="001E6838">
              <w:t> </w:t>
            </w:r>
            <w:r w:rsidRPr="00823C19">
              <w:t>June 2007, to a person:</w:t>
            </w:r>
          </w:p>
          <w:p w:rsidR="00905D42" w:rsidRPr="00823C19" w:rsidRDefault="00905D42" w:rsidP="00E15B15">
            <w:pPr>
              <w:pStyle w:val="TableP2i"/>
            </w:pPr>
            <w:r w:rsidRPr="00823C19">
              <w:tab/>
              <w:t>(i)</w:t>
            </w:r>
            <w:r w:rsidRPr="00823C19">
              <w:tab/>
              <w:t>who, on 1</w:t>
            </w:r>
            <w:r w:rsidR="001E6838">
              <w:t> </w:t>
            </w:r>
            <w:r w:rsidRPr="00823C19">
              <w:t>January</w:t>
            </w:r>
            <w:r w:rsidR="001E6838">
              <w:t> </w:t>
            </w:r>
            <w:r w:rsidRPr="00823C19">
              <w:t>2003, was at least 1 year but less than 20 years</w:t>
            </w:r>
            <w:r>
              <w:t xml:space="preserve"> of age</w:t>
            </w:r>
            <w:r w:rsidRPr="00823C19">
              <w:t xml:space="preserve">; and </w:t>
            </w:r>
          </w:p>
          <w:p w:rsidR="00905D42" w:rsidRPr="00823C19" w:rsidRDefault="00905D42" w:rsidP="00E15B15">
            <w:pPr>
              <w:pStyle w:val="TableP2i"/>
            </w:pPr>
            <w:r w:rsidRPr="00823C19">
              <w:tab/>
              <w:t>(ii)</w:t>
            </w:r>
            <w:r w:rsidRPr="00823C19">
              <w:tab/>
              <w:t>who has not received a vaccine mentioned in this item or item 105 or 106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NeisVac</w:t>
            </w:r>
            <w:r w:rsidRPr="00823C19">
              <w:noBreakHyphen/>
              <w:t>C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Meningococcal group C oligosaccharide conjugated to tetanus toxoid protein — 10 µg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 dose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lastRenderedPageBreak/>
              <w:t>10</w:t>
            </w:r>
            <w:r>
              <w:t>9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Pneumococcal (conjugate, 7</w:t>
            </w:r>
            <w:r w:rsidRPr="00823C19">
              <w:noBreakHyphen/>
              <w:t>valent)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Vaccine may be provided to:</w:t>
            </w:r>
          </w:p>
          <w:p w:rsidR="00905D42" w:rsidRPr="00823C19" w:rsidRDefault="00905D42" w:rsidP="00E15B15">
            <w:pPr>
              <w:pStyle w:val="TableP1a"/>
            </w:pPr>
            <w:r w:rsidRPr="00823C19">
              <w:tab/>
              <w:t>(a)</w:t>
            </w:r>
            <w:r w:rsidRPr="00823C19">
              <w:tab/>
              <w:t>a child who is about 2, 4 or 6 months</w:t>
            </w:r>
            <w:r>
              <w:t xml:space="preserve"> old</w:t>
            </w:r>
            <w:r w:rsidRPr="00823C19">
              <w:t>; or</w:t>
            </w:r>
          </w:p>
          <w:p w:rsidR="00905D42" w:rsidRPr="00823C19" w:rsidRDefault="00905D42" w:rsidP="00E15B15">
            <w:pPr>
              <w:pStyle w:val="TableP1a"/>
              <w:keepNext/>
            </w:pPr>
            <w:r w:rsidRPr="00823C19">
              <w:tab/>
              <w:t>(b)</w:t>
            </w:r>
            <w:r w:rsidRPr="00823C19">
              <w:tab/>
              <w:t>a child who is about 12</w:t>
            </w:r>
            <w:r w:rsidR="001E6838">
              <w:t> </w:t>
            </w:r>
            <w:r w:rsidRPr="00823C19">
              <w:t xml:space="preserve">months </w:t>
            </w:r>
            <w:r>
              <w:t xml:space="preserve">of age </w:t>
            </w:r>
            <w:r w:rsidRPr="00823C19">
              <w:t>and is a member of a medical risk group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Prevenar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 xml:space="preserve">Polysaccharides of </w:t>
            </w:r>
            <w:r w:rsidRPr="00823C19">
              <w:rPr>
                <w:i/>
              </w:rPr>
              <w:t>Streptococcus pneumoniae</w:t>
            </w:r>
            <w:r w:rsidRPr="00823C19">
              <w:t xml:space="preserve"> serotypes 4, 6B, 9V, 14, 18C, 19F and 23F conjugated to diphtheria protein — 2 µg of each of serotypes 4, 9V, 14, 18C, 19F and 23F, and 4 µg of serotype 6B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3 or 4 doses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Default="00905D42" w:rsidP="00E15B15">
            <w:pPr>
              <w:pStyle w:val="TableText"/>
            </w:pPr>
            <w:r>
              <w:lastRenderedPageBreak/>
              <w:t>110</w:t>
            </w:r>
          </w:p>
        </w:tc>
        <w:tc>
          <w:tcPr>
            <w:tcW w:w="1069" w:type="pct"/>
          </w:tcPr>
          <w:p w:rsidR="00905D42" w:rsidRPr="00ED05F5" w:rsidRDefault="00905D42" w:rsidP="00E15B15">
            <w:pPr>
              <w:pStyle w:val="TableColHead"/>
            </w:pPr>
            <w:r w:rsidRPr="00ED05F5">
              <w:t>Vaccine</w:t>
            </w:r>
          </w:p>
          <w:p w:rsidR="00905D42" w:rsidRPr="004E0BF2" w:rsidRDefault="00905D42" w:rsidP="00E15B15">
            <w:pPr>
              <w:pStyle w:val="TableText"/>
            </w:pPr>
            <w:r w:rsidRPr="004E0BF2">
              <w:t>Pneumococcal (conjugate, 13</w:t>
            </w:r>
            <w:r w:rsidRPr="004E0BF2">
              <w:noBreakHyphen/>
              <w:t>valent)</w:t>
            </w:r>
          </w:p>
          <w:p w:rsidR="00905D42" w:rsidRPr="00B06B0F" w:rsidRDefault="00905D42" w:rsidP="00E15B15">
            <w:pPr>
              <w:pStyle w:val="TableColHead"/>
            </w:pPr>
            <w:r w:rsidRPr="00B06B0F">
              <w:t>Circumstances</w:t>
            </w:r>
          </w:p>
          <w:p w:rsidR="00905D42" w:rsidRPr="00B06B0F" w:rsidRDefault="00905D42" w:rsidP="00E15B15">
            <w:pPr>
              <w:pStyle w:val="TableText"/>
            </w:pPr>
            <w:r w:rsidRPr="00B06B0F">
              <w:t>Vaccine may be provided:</w:t>
            </w:r>
          </w:p>
          <w:p w:rsidR="00905D42" w:rsidRPr="00B06B0F" w:rsidRDefault="00905D42" w:rsidP="00905D42">
            <w:pPr>
              <w:pStyle w:val="TableP1a"/>
              <w:numPr>
                <w:ilvl w:val="0"/>
                <w:numId w:val="14"/>
              </w:numPr>
            </w:pPr>
            <w:r w:rsidRPr="00B06B0F">
              <w:t>to a child who is about 2, 4 or 6 months old; and</w:t>
            </w:r>
          </w:p>
          <w:p w:rsidR="00905D42" w:rsidRPr="00B06B0F" w:rsidRDefault="00905D42" w:rsidP="00905D42">
            <w:pPr>
              <w:pStyle w:val="TableP1a"/>
              <w:numPr>
                <w:ilvl w:val="0"/>
                <w:numId w:val="14"/>
              </w:numPr>
            </w:pPr>
            <w:r w:rsidRPr="00B06B0F">
              <w:t>to a child who is about 12 months of age and is a member of a medical risk group; or</w:t>
            </w:r>
          </w:p>
          <w:p w:rsidR="00905D42" w:rsidRPr="00ED05F5" w:rsidRDefault="00905D42" w:rsidP="00905D42">
            <w:pPr>
              <w:pStyle w:val="TableP1a"/>
              <w:numPr>
                <w:ilvl w:val="0"/>
                <w:numId w:val="14"/>
              </w:numPr>
              <w:rPr>
                <w:b/>
                <w:szCs w:val="22"/>
              </w:rPr>
            </w:pPr>
            <w:r w:rsidRPr="00823C19">
              <w:t>Vaccine may be provided in the circumstances set out in subsection 7 (1)</w:t>
            </w:r>
          </w:p>
        </w:tc>
        <w:tc>
          <w:tcPr>
            <w:tcW w:w="764" w:type="pct"/>
          </w:tcPr>
          <w:p w:rsidR="00905D42" w:rsidRDefault="00905D42" w:rsidP="00E15B15">
            <w:pPr>
              <w:pStyle w:val="TableText"/>
            </w:pPr>
            <w:r>
              <w:t>Prevenar 13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 xml:space="preserve">Polysaccharides of </w:t>
            </w:r>
            <w:r w:rsidRPr="00823C19">
              <w:rPr>
                <w:i/>
              </w:rPr>
              <w:t>Streptococcus pneumoniae</w:t>
            </w:r>
            <w:r w:rsidRPr="00823C19">
              <w:t xml:space="preserve"> serotypes </w:t>
            </w:r>
            <w:r>
              <w:rPr>
                <w:sz w:val="23"/>
                <w:szCs w:val="23"/>
              </w:rPr>
              <w:t>1, 3, 4, 5, 6A, 7F, 9V, 14, 18C, 19A, 19F, 23F</w:t>
            </w:r>
            <w:r w:rsidRPr="00823C19">
              <w:t> </w:t>
            </w:r>
            <w:r>
              <w:t>-</w:t>
            </w:r>
            <w:r w:rsidRPr="00823C19">
              <w:t xml:space="preserve"> 2</w:t>
            </w:r>
            <w:r>
              <w:t>.2</w:t>
            </w:r>
            <w:r w:rsidRPr="00823C19">
              <w:t> µg of each of serotype</w:t>
            </w:r>
            <w:r>
              <w:t xml:space="preserve">, and </w:t>
            </w:r>
            <w:r>
              <w:rPr>
                <w:sz w:val="23"/>
                <w:szCs w:val="23"/>
              </w:rPr>
              <w:t>4.4 μg of serotype 6B</w:t>
            </w:r>
          </w:p>
        </w:tc>
        <w:tc>
          <w:tcPr>
            <w:tcW w:w="886" w:type="pct"/>
          </w:tcPr>
          <w:p w:rsidR="00905D42" w:rsidRDefault="00905D42" w:rsidP="00E15B15">
            <w:pPr>
              <w:pStyle w:val="TableText"/>
            </w:pPr>
            <w:r w:rsidRPr="00823C19">
              <w:t>3 or 4 doses</w:t>
            </w:r>
            <w:r>
              <w:t xml:space="preserve"> </w:t>
            </w:r>
            <w:r w:rsidRPr="00BB5ACA">
              <w:t xml:space="preserve">for a primary course </w:t>
            </w:r>
          </w:p>
          <w:p w:rsidR="00905D42" w:rsidRDefault="00905D42" w:rsidP="00E15B15">
            <w:pPr>
              <w:pStyle w:val="TableText"/>
            </w:pPr>
            <w:r w:rsidRPr="00BB5ACA">
              <w:t xml:space="preserve">or </w:t>
            </w:r>
            <w:r>
              <w:t>a single</w:t>
            </w:r>
            <w:r w:rsidRPr="00BB5ACA">
              <w:t xml:space="preserve"> supplementary dose</w:t>
            </w:r>
            <w:r>
              <w:t>.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>
              <w:lastRenderedPageBreak/>
              <w:t>111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 xml:space="preserve">Pneumococcal (conjugate, </w:t>
            </w:r>
            <w:r>
              <w:t>10</w:t>
            </w:r>
            <w:r w:rsidRPr="00823C19">
              <w:noBreakHyphen/>
              <w:t>valent)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9B4DB0">
            <w:pPr>
              <w:pStyle w:val="TableP1a"/>
              <w:keepNext/>
              <w:tabs>
                <w:tab w:val="clear" w:pos="408"/>
                <w:tab w:val="right" w:pos="12"/>
              </w:tabs>
              <w:ind w:left="0" w:firstLine="12"/>
            </w:pPr>
            <w:r w:rsidRPr="00823C19">
              <w:t>Vaccine may be provided to a child who is about 2, 4 or 6</w:t>
            </w:r>
            <w:r w:rsidR="001E6838">
              <w:t> </w:t>
            </w:r>
            <w:r w:rsidRPr="00823C19">
              <w:t>months</w:t>
            </w:r>
            <w:r>
              <w:t xml:space="preserve"> old</w:t>
            </w:r>
            <w:r w:rsidRPr="00823C19">
              <w:t xml:space="preserve">, or </w:t>
            </w:r>
            <w:r>
              <w:t>18 months old.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>
              <w:t>Synflorix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Default="00905D42" w:rsidP="00E15B15">
            <w:pPr>
              <w:pStyle w:val="TableText"/>
            </w:pPr>
            <w:r w:rsidRPr="00823C19">
              <w:t xml:space="preserve">Polysaccharides of </w:t>
            </w:r>
            <w:r w:rsidRPr="00D0541D">
              <w:t>Streptococcus</w:t>
            </w:r>
            <w:r w:rsidRPr="00FC7638">
              <w:rPr>
                <w:i/>
              </w:rPr>
              <w:t xml:space="preserve"> pneumoniae</w:t>
            </w:r>
            <w:r w:rsidRPr="0090085F">
              <w:t xml:space="preserve"> serotypes 1, </w:t>
            </w:r>
            <w:r>
              <w:t xml:space="preserve">4, </w:t>
            </w:r>
            <w:r w:rsidRPr="0090085F">
              <w:t xml:space="preserve">5, 6B, 7F, 9V, 14 and 23F </w:t>
            </w:r>
            <w:r>
              <w:t xml:space="preserve">conjugated to protein D (a surface protein from non-typeable </w:t>
            </w:r>
            <w:r w:rsidRPr="001A6BD9">
              <w:rPr>
                <w:i/>
              </w:rPr>
              <w:t>Haemophilus influenzae</w:t>
            </w:r>
            <w:r>
              <w:t xml:space="preserve">), serotype 18C conjugated to tetanus toxoid protein and serotype 19F conjugated to diptheria toxoid protein – 1 </w:t>
            </w:r>
            <w:r w:rsidRPr="00823C19">
              <w:t>µg</w:t>
            </w:r>
            <w:r>
              <w:t xml:space="preserve"> of each 1, 4, 6B, 7F, 9V, 14 and 23F and 3</w:t>
            </w:r>
            <w:r w:rsidRPr="00823C19">
              <w:t xml:space="preserve"> µg</w:t>
            </w:r>
            <w:r>
              <w:t xml:space="preserve"> of 4, 18C and 19F.</w:t>
            </w:r>
          </w:p>
          <w:p w:rsidR="00905D42" w:rsidRPr="00823C19" w:rsidRDefault="00905D42" w:rsidP="00E15B15">
            <w:pPr>
              <w:pStyle w:val="TableText"/>
            </w:pP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>
              <w:t>4 dose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</w:t>
            </w:r>
            <w:r>
              <w:t>12</w:t>
            </w:r>
          </w:p>
        </w:tc>
        <w:tc>
          <w:tcPr>
            <w:tcW w:w="1069" w:type="pct"/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Pneumococcal (polysaccharide, 23</w:t>
            </w:r>
            <w:r w:rsidRPr="00823C19">
              <w:noBreakHyphen/>
              <w:t>valent)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Vaccine may be provided in the circumstances set out in subsection 7 (</w:t>
            </w:r>
            <w:r>
              <w:t>2</w:t>
            </w:r>
            <w:r w:rsidRPr="00823C19">
              <w:t>)</w:t>
            </w:r>
          </w:p>
        </w:tc>
        <w:tc>
          <w:tcPr>
            <w:tcW w:w="764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PneumoVax 23</w:t>
            </w:r>
          </w:p>
        </w:tc>
        <w:tc>
          <w:tcPr>
            <w:tcW w:w="771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 xml:space="preserve">Polysaccharides of </w:t>
            </w:r>
            <w:r w:rsidRPr="00823C19">
              <w:rPr>
                <w:i/>
              </w:rPr>
              <w:t>Streptococcus pneumoniae</w:t>
            </w:r>
            <w:r w:rsidRPr="00823C19">
              <w:t xml:space="preserve"> serotypes 1, 2, 3, 4, 5, 6B, 7F, 8, 9N, 9V, 10A, 11A, 12F, 14, 15B, 17F, 18C, 19A, 19F, 20, 22F, 23F and 33F — 25 µg of each serotype</w:t>
            </w:r>
          </w:p>
        </w:tc>
        <w:tc>
          <w:tcPr>
            <w:tcW w:w="886" w:type="pct"/>
          </w:tcPr>
          <w:p w:rsidR="00905D42" w:rsidRPr="00823C19" w:rsidRDefault="00905D42" w:rsidP="00E15B15">
            <w:pPr>
              <w:pStyle w:val="TableText"/>
            </w:pPr>
            <w:r w:rsidRPr="00823C19">
              <w:t>1 to 3 doses</w:t>
            </w:r>
          </w:p>
        </w:tc>
      </w:tr>
      <w:tr w:rsidR="00905D42" w:rsidRPr="00823C19" w:rsidTr="00E15B15">
        <w:trPr>
          <w:cantSplit/>
        </w:trPr>
        <w:tc>
          <w:tcPr>
            <w:tcW w:w="551" w:type="pct"/>
            <w:tcBorders>
              <w:bottom w:val="single" w:sz="4" w:space="0" w:color="auto"/>
            </w:tcBorders>
          </w:tcPr>
          <w:p w:rsidR="00905D42" w:rsidRPr="00823C19" w:rsidRDefault="00905D42" w:rsidP="00E15B15">
            <w:pPr>
              <w:pStyle w:val="TableText"/>
            </w:pPr>
            <w:r w:rsidRPr="00823C19">
              <w:lastRenderedPageBreak/>
              <w:t>11</w:t>
            </w:r>
            <w: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905D42" w:rsidRPr="00823C19" w:rsidRDefault="00905D42" w:rsidP="00E15B15">
            <w:pPr>
              <w:pStyle w:val="TableColHead"/>
            </w:pPr>
            <w:r w:rsidRPr="00823C19">
              <w:t>Vaccine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Q fever</w:t>
            </w:r>
          </w:p>
          <w:p w:rsidR="00905D42" w:rsidRPr="00823C19" w:rsidRDefault="00905D42" w:rsidP="00E15B15">
            <w:pPr>
              <w:pStyle w:val="TableColHead"/>
            </w:pPr>
            <w:r w:rsidRPr="00823C19">
              <w:t>Circumstances</w:t>
            </w:r>
          </w:p>
          <w:p w:rsidR="00905D42" w:rsidRPr="00823C19" w:rsidRDefault="00905D42" w:rsidP="00E15B15">
            <w:pPr>
              <w:pStyle w:val="TableText"/>
            </w:pPr>
            <w:r w:rsidRPr="00823C19">
              <w:t>Vaccine may be provided in the circumstances set out in subsection 7 (</w:t>
            </w:r>
            <w:r>
              <w:t>3</w:t>
            </w:r>
            <w:r w:rsidRPr="00823C19">
              <w:t>)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905D42" w:rsidRPr="00823C19" w:rsidRDefault="00905D42" w:rsidP="00E15B15">
            <w:pPr>
              <w:pStyle w:val="TableText"/>
            </w:pPr>
            <w:r w:rsidRPr="00823C19">
              <w:t>Q</w:t>
            </w:r>
            <w:r w:rsidRPr="00823C19">
              <w:noBreakHyphen/>
              <w:t>Vax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905D42" w:rsidRPr="00823C19" w:rsidRDefault="00905D42" w:rsidP="00E15B1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905D42" w:rsidRPr="00823C19" w:rsidRDefault="00905D42" w:rsidP="00E15B15">
            <w:pPr>
              <w:pStyle w:val="TableText"/>
            </w:pPr>
            <w:r w:rsidRPr="00823C19">
              <w:t xml:space="preserve">Killed </w:t>
            </w:r>
            <w:r w:rsidRPr="00823C19">
              <w:rPr>
                <w:i/>
                <w:iCs/>
              </w:rPr>
              <w:t xml:space="preserve">Coxiella burnetii — </w:t>
            </w:r>
            <w:r w:rsidRPr="00823C19">
              <w:t>25 µg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905D42" w:rsidRPr="00823C19" w:rsidRDefault="00905D42" w:rsidP="00E15B15">
            <w:pPr>
              <w:pStyle w:val="TableText"/>
            </w:pPr>
            <w:r w:rsidRPr="00823C19">
              <w:t>1 dose</w:t>
            </w:r>
          </w:p>
        </w:tc>
      </w:tr>
    </w:tbl>
    <w:p w:rsidR="004843C2" w:rsidRDefault="004843C2" w:rsidP="002F215E"/>
    <w:p w:rsidR="002F215E" w:rsidRDefault="002F215E" w:rsidP="002F215E"/>
    <w:p w:rsidR="000467C3" w:rsidRDefault="000467C3" w:rsidP="00C274B8">
      <w:pPr>
        <w:pStyle w:val="SCHPTTEXT"/>
        <w:sectPr w:rsidR="000467C3" w:rsidSect="009D0E8C">
          <w:headerReference w:type="even" r:id="rId21"/>
          <w:headerReference w:type="default" r:id="rId22"/>
          <w:footerReference w:type="even" r:id="rId23"/>
          <w:footerReference w:type="default" r:id="rId24"/>
          <w:pgSz w:w="16839" w:h="11907" w:orient="landscape" w:code="9"/>
          <w:pgMar w:top="1797" w:right="1440" w:bottom="1440" w:left="1440" w:header="567" w:footer="1984" w:gutter="0"/>
          <w:cols w:space="708"/>
          <w:docGrid w:linePitch="360"/>
        </w:sectPr>
      </w:pPr>
      <w:bookmarkStart w:id="19" w:name="_Toc411257383"/>
    </w:p>
    <w:p w:rsidR="008F35FD" w:rsidRDefault="008F35FD" w:rsidP="00C274B8">
      <w:pPr>
        <w:pStyle w:val="SCHPTTEXT"/>
        <w:sectPr w:rsidR="008F35FD" w:rsidSect="009D0E8C">
          <w:headerReference w:type="even" r:id="rId25"/>
          <w:headerReference w:type="default" r:id="rId26"/>
          <w:pgSz w:w="16839" w:h="11907" w:orient="landscape" w:code="9"/>
          <w:pgMar w:top="1797" w:right="1440" w:bottom="1440" w:left="1440" w:header="567" w:footer="1984" w:gutter="0"/>
          <w:cols w:space="708"/>
          <w:docGrid w:linePitch="360"/>
        </w:sectPr>
      </w:pPr>
      <w:bookmarkStart w:id="20" w:name="Part_2"/>
    </w:p>
    <w:p w:rsidR="00876206" w:rsidRPr="00E34427" w:rsidRDefault="00C274B8" w:rsidP="00C274B8">
      <w:pPr>
        <w:pStyle w:val="SCHPTTEXT"/>
      </w:pPr>
      <w:r w:rsidRPr="00C274B8">
        <w:lastRenderedPageBreak/>
        <w:t>Part 2</w:t>
      </w:r>
      <w:bookmarkEnd w:id="20"/>
      <w:r w:rsidRPr="00C274B8">
        <w:tab/>
      </w:r>
      <w:bookmarkStart w:id="21" w:name="Viral_vaccines"/>
      <w:r w:rsidRPr="00C274B8">
        <w:t>Viral vaccines</w:t>
      </w:r>
      <w:bookmarkEnd w:id="19"/>
      <w:bookmarkEnd w:id="21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614"/>
        <w:gridCol w:w="4654"/>
        <w:gridCol w:w="2040"/>
        <w:gridCol w:w="1920"/>
        <w:gridCol w:w="3360"/>
        <w:gridCol w:w="1560"/>
      </w:tblGrid>
      <w:tr w:rsidR="00876206" w:rsidRPr="00E34427" w:rsidTr="00837107">
        <w:trPr>
          <w:cantSplit/>
          <w:tblHeader/>
        </w:trPr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  <w:jc w:val="right"/>
            </w:pPr>
            <w:r w:rsidRPr="00E34427">
              <w:t>Item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 and the circumstances in which vaccine may be provided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Brand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Formulation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Active ingredient and strength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Number and timing of doses</w:t>
            </w:r>
          </w:p>
        </w:tc>
      </w:tr>
      <w:tr w:rsidR="00876206" w:rsidRPr="00E34427" w:rsidTr="00837107">
        <w:trPr>
          <w:cantSplit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t>201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Hepatitis A (monovalent)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to a child:</w:t>
            </w:r>
          </w:p>
          <w:p w:rsidR="00876206" w:rsidRPr="00E34427" w:rsidRDefault="00DF15E5" w:rsidP="00837107">
            <w:pPr>
              <w:pStyle w:val="TableP1a"/>
            </w:pPr>
            <w:r>
              <w:tab/>
              <w:t>(a)</w:t>
            </w:r>
            <w:r>
              <w:tab/>
              <w:t xml:space="preserve">who is </w:t>
            </w:r>
            <w:r w:rsidR="00876206" w:rsidRPr="00E34427">
              <w:t xml:space="preserve">Aboriginal </w:t>
            </w:r>
            <w:r w:rsidR="002874BB">
              <w:t>and/or</w:t>
            </w:r>
            <w:r w:rsidR="00876206" w:rsidRPr="00E34427">
              <w:t xml:space="preserve"> Torres Strait Islander; and</w:t>
            </w:r>
          </w:p>
          <w:p w:rsidR="00876206" w:rsidRPr="00E34427" w:rsidRDefault="00876206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who is at least 1 year old but less than 5 years of age; and</w:t>
            </w:r>
          </w:p>
          <w:p w:rsidR="00876206" w:rsidRPr="00E34427" w:rsidRDefault="00876206" w:rsidP="00837107">
            <w:pPr>
              <w:pStyle w:val="TableP1a"/>
            </w:pPr>
            <w:r w:rsidRPr="00E34427">
              <w:tab/>
              <w:t>(c)</w:t>
            </w:r>
            <w:r w:rsidRPr="00E34427">
              <w:tab/>
              <w:t>who lives in Queensland, Western Australia, South Australia or the Northern Territory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VAQTA Paediatric/ Adolescent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Injection (0.5mL)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Hepatitis A virus protein — 25 units of the hepatitis A virus protein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2 doses, with the second dose given 6 months after the first dose</w:t>
            </w:r>
          </w:p>
        </w:tc>
      </w:tr>
      <w:tr w:rsidR="00876206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t>202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Hepatitis B (monovalent adult)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to a child who is at least 10 years old but less than 14 years of age.</w:t>
            </w:r>
          </w:p>
        </w:tc>
        <w:tc>
          <w:tcPr>
            <w:tcW w:w="204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H</w:t>
            </w:r>
            <w:r w:rsidRPr="00E34427">
              <w:noBreakHyphen/>
              <w:t>B</w:t>
            </w:r>
            <w:r w:rsidRPr="00E34427">
              <w:noBreakHyphen/>
              <w:t>Vax II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Vial for injection (1mL)</w:t>
            </w:r>
          </w:p>
        </w:tc>
        <w:tc>
          <w:tcPr>
            <w:tcW w:w="33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rPr>
                <w:lang w:val="fr-FR"/>
              </w:rPr>
            </w:pPr>
            <w:r w:rsidRPr="00E34427">
              <w:rPr>
                <w:lang w:val="fr-FR"/>
              </w:rPr>
              <w:t xml:space="preserve">Hepatitis B surface antigen protein — </w:t>
            </w:r>
            <w:r w:rsidRPr="00E34427">
              <w:t>10 µg</w:t>
            </w: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2 doses, with the second dose given 4 to 6 months after the first dose</w:t>
            </w:r>
          </w:p>
        </w:tc>
      </w:tr>
      <w:tr w:rsidR="00876206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lastRenderedPageBreak/>
              <w:t>203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Hepatitis B (monovalent paediatric)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in the circumstances set out in subsection 7 (4)</w:t>
            </w:r>
          </w:p>
        </w:tc>
        <w:tc>
          <w:tcPr>
            <w:tcW w:w="204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Engerix</w:t>
            </w:r>
            <w:r w:rsidRPr="00E34427">
              <w:noBreakHyphen/>
              <w:t>B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Vial for injection (0.5mL)</w:t>
            </w:r>
          </w:p>
        </w:tc>
        <w:tc>
          <w:tcPr>
            <w:tcW w:w="33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rPr>
                <w:lang w:val="fr-FR"/>
              </w:rPr>
            </w:pPr>
            <w:r w:rsidRPr="00E34427">
              <w:rPr>
                <w:lang w:val="fr-FR"/>
              </w:rPr>
              <w:t xml:space="preserve">Hepatitis B surface antigen protein — </w:t>
            </w:r>
            <w:r w:rsidRPr="00E34427">
              <w:t>10 µg</w:t>
            </w: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1 dose or 3 doses</w:t>
            </w:r>
          </w:p>
        </w:tc>
      </w:tr>
      <w:tr w:rsidR="00876206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t>204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Hepatitis B (monovalent paediatric)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to a newborn infant as soon as practicable after birth but no later than 7 days after birth.</w:t>
            </w:r>
          </w:p>
        </w:tc>
        <w:tc>
          <w:tcPr>
            <w:tcW w:w="204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H</w:t>
            </w:r>
            <w:r w:rsidRPr="00E34427">
              <w:noBreakHyphen/>
              <w:t>B</w:t>
            </w:r>
            <w:r w:rsidRPr="00E34427">
              <w:noBreakHyphen/>
              <w:t>Vax II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Vial for injection (0.5mL)</w:t>
            </w:r>
          </w:p>
        </w:tc>
        <w:tc>
          <w:tcPr>
            <w:tcW w:w="33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rPr>
                <w:lang w:val="fr-FR"/>
              </w:rPr>
            </w:pPr>
            <w:r w:rsidRPr="00E34427">
              <w:rPr>
                <w:lang w:val="fr-FR"/>
              </w:rPr>
              <w:t xml:space="preserve">Hepatitis B surface antigen protein — </w:t>
            </w:r>
            <w:r w:rsidRPr="00E34427">
              <w:t>5 µg</w:t>
            </w: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1 dose</w:t>
            </w:r>
          </w:p>
        </w:tc>
      </w:tr>
      <w:tr w:rsidR="00876206" w:rsidRPr="00E34427" w:rsidTr="00837107">
        <w:trPr>
          <w:cantSplit/>
          <w:trHeight w:val="5941"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lastRenderedPageBreak/>
              <w:t>205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 xml:space="preserve">Influenza 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in the circumstances set out in subsection 7 (5)</w:t>
            </w:r>
          </w:p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/>
          <w:p w:rsidR="00876206" w:rsidRPr="00E34427" w:rsidRDefault="00876206" w:rsidP="00837107">
            <w:pPr>
              <w:tabs>
                <w:tab w:val="left" w:pos="3232"/>
              </w:tabs>
            </w:pPr>
            <w:r w:rsidRPr="00E34427">
              <w:tab/>
            </w:r>
          </w:p>
        </w:tc>
        <w:tc>
          <w:tcPr>
            <w:tcW w:w="204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Vaxigrip or Influvac or Fluarix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Injection (0.5mL)</w:t>
            </w:r>
          </w:p>
          <w:p w:rsidR="00876206" w:rsidRPr="00E34427" w:rsidRDefault="00876206" w:rsidP="00837107">
            <w:pPr>
              <w:pStyle w:val="TableText"/>
            </w:pPr>
          </w:p>
        </w:tc>
        <w:tc>
          <w:tcPr>
            <w:tcW w:w="3360" w:type="dxa"/>
            <w:shd w:val="clear" w:color="auto" w:fill="auto"/>
          </w:tcPr>
          <w:p w:rsidR="00876206" w:rsidRPr="00E34427" w:rsidRDefault="00876206" w:rsidP="00837107">
            <w:pPr>
              <w:pStyle w:val="TableP1a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For children older than 6 </w:t>
            </w:r>
            <w:r>
              <w:t>months but less than 9 years, 2 </w:t>
            </w:r>
            <w:r w:rsidRPr="00E34427">
              <w:t>doses at least 1month apart for the first vaccination and 1 dose per calendar year after that. For persons 9 years and above, 1 dose per calendar year.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Note – For children aged between 6 months and less than 3 years the dose is 0.25ml</w:t>
            </w:r>
          </w:p>
        </w:tc>
      </w:tr>
      <w:tr w:rsidR="00876206" w:rsidRPr="00E34427" w:rsidTr="00837107">
        <w:trPr>
          <w:cantSplit/>
          <w:trHeight w:val="1263"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lastRenderedPageBreak/>
              <w:t>206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 xml:space="preserve">Influenza 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in the circumstances set out in subsection 7 (6)</w:t>
            </w:r>
          </w:p>
          <w:p w:rsidR="00876206" w:rsidRPr="00E34427" w:rsidRDefault="00876206" w:rsidP="00837107">
            <w:pPr>
              <w:pStyle w:val="TableColHead"/>
            </w:pPr>
          </w:p>
        </w:tc>
        <w:tc>
          <w:tcPr>
            <w:tcW w:w="2040" w:type="dxa"/>
            <w:shd w:val="clear" w:color="auto" w:fill="auto"/>
          </w:tcPr>
          <w:p w:rsidR="00876206" w:rsidRPr="00E34427" w:rsidRDefault="00876206" w:rsidP="00836DF8">
            <w:pPr>
              <w:pStyle w:val="TableText"/>
            </w:pPr>
            <w:r w:rsidRPr="004C2995">
              <w:t>Intanza</w:t>
            </w:r>
            <w:r w:rsidR="00E84340" w:rsidRPr="004C2995">
              <w:t xml:space="preserve"> 15 micrograms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Injection (0.1mL)</w:t>
            </w:r>
          </w:p>
        </w:tc>
        <w:tc>
          <w:tcPr>
            <w:tcW w:w="3360" w:type="dxa"/>
            <w:shd w:val="clear" w:color="auto" w:fill="auto"/>
          </w:tcPr>
          <w:p w:rsidR="00876206" w:rsidRPr="00E34427" w:rsidDel="00CE68AB" w:rsidRDefault="00876206" w:rsidP="00837107">
            <w:pPr>
              <w:pStyle w:val="TableP1a"/>
            </w:pP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For persons aged 65 years and over. 1</w:t>
            </w:r>
            <w:r>
              <w:t> </w:t>
            </w:r>
            <w:r w:rsidRPr="00E34427">
              <w:t>dose per calendar year.</w:t>
            </w:r>
          </w:p>
        </w:tc>
      </w:tr>
      <w:tr w:rsidR="00876206" w:rsidRPr="00E34427" w:rsidTr="00837107">
        <w:trPr>
          <w:cantSplit/>
          <w:trHeight w:val="1263"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t>207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 xml:space="preserve">Influenza 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>Vaccine may be provided in the circumstances set out in subsection 7 (7)</w:t>
            </w:r>
          </w:p>
          <w:p w:rsidR="00876206" w:rsidRPr="00E34427" w:rsidRDefault="00876206" w:rsidP="00837107">
            <w:pPr>
              <w:pStyle w:val="TableColHead"/>
            </w:pPr>
          </w:p>
        </w:tc>
        <w:tc>
          <w:tcPr>
            <w:tcW w:w="2040" w:type="dxa"/>
            <w:shd w:val="clear" w:color="auto" w:fill="auto"/>
          </w:tcPr>
          <w:p w:rsidR="00876206" w:rsidRPr="00E34427" w:rsidDel="00201357" w:rsidRDefault="00876206" w:rsidP="00837107">
            <w:pPr>
              <w:pStyle w:val="TableText"/>
            </w:pPr>
            <w:r w:rsidRPr="00E34427">
              <w:t>Fluvax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Injection (0.5mL)</w:t>
            </w:r>
          </w:p>
          <w:p w:rsidR="00876206" w:rsidRPr="00E34427" w:rsidRDefault="00876206" w:rsidP="00837107">
            <w:pPr>
              <w:pStyle w:val="TableText"/>
            </w:pPr>
          </w:p>
        </w:tc>
        <w:tc>
          <w:tcPr>
            <w:tcW w:w="3360" w:type="dxa"/>
            <w:shd w:val="clear" w:color="auto" w:fill="auto"/>
          </w:tcPr>
          <w:p w:rsidR="00876206" w:rsidRPr="00E34427" w:rsidDel="00CE68AB" w:rsidRDefault="00876206" w:rsidP="00837107">
            <w:pPr>
              <w:pStyle w:val="TableP1a"/>
            </w:pP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For children older than 5 years but less than 9 years, 2 doses at least 1 month apart for the first vaccination and 1 dose per calendar year after that. For persons 9 years and above, 1 dose per calendar year.</w:t>
            </w:r>
          </w:p>
        </w:tc>
      </w:tr>
      <w:tr w:rsidR="00876206" w:rsidRPr="00E34427" w:rsidTr="00014EA4">
        <w:trPr>
          <w:cantSplit/>
          <w:trHeight w:val="2963"/>
        </w:trPr>
        <w:tc>
          <w:tcPr>
            <w:tcW w:w="614" w:type="dxa"/>
            <w:shd w:val="clear" w:color="auto" w:fill="auto"/>
          </w:tcPr>
          <w:p w:rsidR="00876206" w:rsidRPr="00E34427" w:rsidRDefault="00876206" w:rsidP="00837107">
            <w:pPr>
              <w:pStyle w:val="TableText"/>
              <w:jc w:val="right"/>
            </w:pPr>
            <w:r w:rsidRPr="00E34427">
              <w:lastRenderedPageBreak/>
              <w:t>208</w:t>
            </w:r>
          </w:p>
        </w:tc>
        <w:tc>
          <w:tcPr>
            <w:tcW w:w="4654" w:type="dxa"/>
            <w:shd w:val="clear" w:color="auto" w:fill="auto"/>
          </w:tcPr>
          <w:p w:rsidR="00876206" w:rsidRPr="00E34427" w:rsidRDefault="00876206" w:rsidP="00837107">
            <w:pPr>
              <w:pStyle w:val="TableColHead"/>
            </w:pPr>
            <w:r w:rsidRPr="00E34427">
              <w:t>Vaccine</w:t>
            </w:r>
          </w:p>
          <w:p w:rsidR="00876206" w:rsidRPr="00E34427" w:rsidRDefault="00876206" w:rsidP="00837107">
            <w:pPr>
              <w:pStyle w:val="TableText"/>
            </w:pPr>
            <w:r w:rsidRPr="00E34427">
              <w:t xml:space="preserve">Influenza </w:t>
            </w:r>
          </w:p>
          <w:p w:rsidR="00876206" w:rsidRPr="00E34427" w:rsidRDefault="00876206" w:rsidP="00837107">
            <w:pPr>
              <w:pStyle w:val="TableColHead"/>
            </w:pPr>
            <w:r w:rsidRPr="00E34427">
              <w:t>Circumstances</w:t>
            </w:r>
          </w:p>
          <w:p w:rsidR="00876206" w:rsidRPr="00E34427" w:rsidRDefault="00876206" w:rsidP="00EE172B">
            <w:pPr>
              <w:pStyle w:val="TableText"/>
              <w:rPr>
                <w:b/>
              </w:rPr>
            </w:pPr>
            <w:r w:rsidRPr="00E34427">
              <w:t xml:space="preserve">Vaccine may be provided </w:t>
            </w:r>
            <w:r w:rsidR="005D66A8">
              <w:t xml:space="preserve">to </w:t>
            </w:r>
            <w:r w:rsidR="004B5F76">
              <w:t xml:space="preserve">a child that is older than </w:t>
            </w:r>
            <w:r w:rsidR="005D66A8">
              <w:t xml:space="preserve">6 months </w:t>
            </w:r>
            <w:r w:rsidR="004B5F76">
              <w:t xml:space="preserve">but less than </w:t>
            </w:r>
            <w:r w:rsidR="005D66A8">
              <w:t>3 years</w:t>
            </w:r>
            <w:r w:rsidR="00EE172B">
              <w:t>,</w:t>
            </w:r>
            <w:r w:rsidR="005D66A8">
              <w:t xml:space="preserve"> </w:t>
            </w:r>
            <w:r w:rsidRPr="00E34427">
              <w:t>in the circumstances set out in subsection 7 (5)</w:t>
            </w:r>
            <w:r w:rsidR="005D66A8">
              <w:t>(c).</w:t>
            </w:r>
          </w:p>
        </w:tc>
        <w:tc>
          <w:tcPr>
            <w:tcW w:w="204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 xml:space="preserve">Vaxigrip Junior </w:t>
            </w:r>
          </w:p>
        </w:tc>
        <w:tc>
          <w:tcPr>
            <w:tcW w:w="192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 xml:space="preserve">Injection (0.25mL) </w:t>
            </w:r>
          </w:p>
        </w:tc>
        <w:tc>
          <w:tcPr>
            <w:tcW w:w="3360" w:type="dxa"/>
            <w:shd w:val="clear" w:color="auto" w:fill="auto"/>
          </w:tcPr>
          <w:p w:rsidR="00876206" w:rsidRPr="00E34427" w:rsidRDefault="00876206" w:rsidP="00837107">
            <w:pPr>
              <w:pStyle w:val="TableP1a"/>
              <w:ind w:left="0" w:firstLine="0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76206" w:rsidRPr="00E34427" w:rsidRDefault="00876206" w:rsidP="00837107">
            <w:pPr>
              <w:pStyle w:val="TableText"/>
            </w:pPr>
            <w:r w:rsidRPr="00E34427">
              <w:t>For children older than 6 months but less than 3 years, 2 doses at least 1 month apart for the first vaccination and 1 dose per calendar year after that.</w:t>
            </w:r>
          </w:p>
        </w:tc>
      </w:tr>
      <w:tr w:rsidR="00F87F4C" w:rsidRPr="00014EA4" w:rsidTr="007026CA">
        <w:trPr>
          <w:cantSplit/>
        </w:trPr>
        <w:tc>
          <w:tcPr>
            <w:tcW w:w="614" w:type="dxa"/>
            <w:shd w:val="clear" w:color="auto" w:fill="auto"/>
          </w:tcPr>
          <w:p w:rsidR="00F87F4C" w:rsidRPr="00014EA4" w:rsidRDefault="00F87F4C" w:rsidP="007026CA">
            <w:pPr>
              <w:pStyle w:val="TableText"/>
              <w:jc w:val="right"/>
            </w:pPr>
            <w:r w:rsidRPr="00014EA4">
              <w:lastRenderedPageBreak/>
              <w:t>209</w:t>
            </w:r>
          </w:p>
        </w:tc>
        <w:tc>
          <w:tcPr>
            <w:tcW w:w="4654" w:type="dxa"/>
            <w:shd w:val="clear" w:color="auto" w:fill="auto"/>
          </w:tcPr>
          <w:p w:rsidR="00F87F4C" w:rsidRPr="00014EA4" w:rsidRDefault="00F87F4C" w:rsidP="007026CA">
            <w:pPr>
              <w:pStyle w:val="TableColHead"/>
            </w:pPr>
            <w:r w:rsidRPr="00014EA4">
              <w:t>Vaccine</w:t>
            </w:r>
          </w:p>
          <w:p w:rsidR="00F87F4C" w:rsidRPr="00014EA4" w:rsidRDefault="00F87F4C" w:rsidP="007026CA">
            <w:pPr>
              <w:pStyle w:val="TableText"/>
            </w:pPr>
            <w:r w:rsidRPr="00014EA4">
              <w:t>Influenza</w:t>
            </w:r>
          </w:p>
          <w:p w:rsidR="00F87F4C" w:rsidRPr="00014EA4" w:rsidRDefault="00F87F4C" w:rsidP="007026CA">
            <w:pPr>
              <w:pStyle w:val="TableColHead"/>
            </w:pPr>
            <w:r w:rsidRPr="00014EA4">
              <w:t>Circumstances</w:t>
            </w:r>
          </w:p>
          <w:p w:rsidR="00F87F4C" w:rsidRPr="00014EA4" w:rsidRDefault="00F87F4C" w:rsidP="007026CA">
            <w:pPr>
              <w:pStyle w:val="TableText"/>
            </w:pPr>
            <w:r w:rsidRPr="00014EA4">
              <w:t>Vaccine may be provided in the circumstances set out in subsection 7(5).</w:t>
            </w:r>
          </w:p>
        </w:tc>
        <w:tc>
          <w:tcPr>
            <w:tcW w:w="2040" w:type="dxa"/>
            <w:shd w:val="clear" w:color="auto" w:fill="auto"/>
          </w:tcPr>
          <w:p w:rsidR="00F87F4C" w:rsidRPr="00014EA4" w:rsidRDefault="00F87F4C" w:rsidP="00513A66">
            <w:pPr>
              <w:pStyle w:val="TableText"/>
            </w:pPr>
            <w:r w:rsidRPr="00014EA4">
              <w:t>Agrip</w:t>
            </w:r>
            <w:r w:rsidR="004A082E">
              <w:t>p</w:t>
            </w:r>
            <w:r w:rsidRPr="00014EA4">
              <w:t>al</w:t>
            </w:r>
          </w:p>
        </w:tc>
        <w:tc>
          <w:tcPr>
            <w:tcW w:w="1920" w:type="dxa"/>
            <w:shd w:val="clear" w:color="auto" w:fill="auto"/>
          </w:tcPr>
          <w:p w:rsidR="00F87F4C" w:rsidRPr="00014EA4" w:rsidRDefault="00F87F4C" w:rsidP="007026CA">
            <w:pPr>
              <w:pStyle w:val="TableText"/>
            </w:pPr>
            <w:r w:rsidRPr="00014EA4">
              <w:t>Injection (0.5mL)</w:t>
            </w:r>
          </w:p>
        </w:tc>
        <w:tc>
          <w:tcPr>
            <w:tcW w:w="3360" w:type="dxa"/>
            <w:shd w:val="clear" w:color="auto" w:fill="auto"/>
          </w:tcPr>
          <w:p w:rsidR="00F87F4C" w:rsidRPr="00014EA4" w:rsidRDefault="00F87F4C" w:rsidP="007026CA">
            <w:pPr>
              <w:pStyle w:val="TableP1a"/>
            </w:pPr>
          </w:p>
        </w:tc>
        <w:tc>
          <w:tcPr>
            <w:tcW w:w="1560" w:type="dxa"/>
            <w:shd w:val="clear" w:color="auto" w:fill="auto"/>
          </w:tcPr>
          <w:p w:rsidR="00F87F4C" w:rsidRPr="00014EA4" w:rsidRDefault="00F87F4C" w:rsidP="007026CA">
            <w:pPr>
              <w:pStyle w:val="TableText"/>
            </w:pPr>
            <w:r w:rsidRPr="00014EA4">
              <w:t>For children older than 6 months but less than 9 years, 2 doses at least 1month apart for the first vaccination and 1 dose per calendar year after that. For persons 9 years and above, 1 dose per calendar year.</w:t>
            </w:r>
          </w:p>
          <w:p w:rsidR="00F87F4C" w:rsidRPr="00014EA4" w:rsidRDefault="00F87F4C" w:rsidP="007026CA">
            <w:pPr>
              <w:pStyle w:val="TableText"/>
            </w:pPr>
            <w:r w:rsidRPr="00014EA4">
              <w:t>Note – For children aged between 6 months and less than 3 years the dose is 0.25ml</w:t>
            </w:r>
          </w:p>
        </w:tc>
      </w:tr>
      <w:tr w:rsidR="003C59B7" w:rsidRPr="00E34427" w:rsidTr="007026CA">
        <w:trPr>
          <w:cantSplit/>
        </w:trPr>
        <w:tc>
          <w:tcPr>
            <w:tcW w:w="614" w:type="dxa"/>
            <w:shd w:val="clear" w:color="auto" w:fill="auto"/>
          </w:tcPr>
          <w:p w:rsidR="003C59B7" w:rsidRPr="00014EA4" w:rsidRDefault="003C59B7" w:rsidP="007026CA">
            <w:pPr>
              <w:pStyle w:val="TableText"/>
              <w:jc w:val="right"/>
            </w:pPr>
            <w:r w:rsidRPr="00014EA4">
              <w:lastRenderedPageBreak/>
              <w:t>210</w:t>
            </w:r>
          </w:p>
        </w:tc>
        <w:tc>
          <w:tcPr>
            <w:tcW w:w="4654" w:type="dxa"/>
            <w:shd w:val="clear" w:color="auto" w:fill="auto"/>
          </w:tcPr>
          <w:p w:rsidR="003C59B7" w:rsidRPr="00014EA4" w:rsidRDefault="003C59B7" w:rsidP="007026CA">
            <w:pPr>
              <w:pStyle w:val="TableColHead"/>
            </w:pPr>
            <w:r w:rsidRPr="00014EA4">
              <w:t>Vaccine</w:t>
            </w:r>
          </w:p>
          <w:p w:rsidR="003C59B7" w:rsidRPr="00014EA4" w:rsidRDefault="003C59B7" w:rsidP="007026CA">
            <w:pPr>
              <w:pStyle w:val="TableText"/>
            </w:pPr>
            <w:r w:rsidRPr="00014EA4">
              <w:t>Influenza</w:t>
            </w:r>
          </w:p>
          <w:p w:rsidR="003C59B7" w:rsidRPr="00014EA4" w:rsidRDefault="003C59B7" w:rsidP="007026CA">
            <w:pPr>
              <w:pStyle w:val="TableColHead"/>
            </w:pPr>
            <w:r w:rsidRPr="00014EA4">
              <w:t>Circumstances</w:t>
            </w:r>
          </w:p>
          <w:p w:rsidR="003C59B7" w:rsidRPr="00014EA4" w:rsidRDefault="003C59B7" w:rsidP="00632545">
            <w:pPr>
              <w:pStyle w:val="TableText"/>
            </w:pPr>
            <w:r w:rsidRPr="00014EA4">
              <w:t>Vaccine may be provided in the circumstances set out in subsection 7(</w:t>
            </w:r>
            <w:r>
              <w:t>5</w:t>
            </w:r>
            <w:r w:rsidRPr="00014EA4">
              <w:t>).</w:t>
            </w:r>
          </w:p>
        </w:tc>
        <w:tc>
          <w:tcPr>
            <w:tcW w:w="2040" w:type="dxa"/>
            <w:shd w:val="clear" w:color="auto" w:fill="auto"/>
          </w:tcPr>
          <w:p w:rsidR="003C59B7" w:rsidRPr="00014EA4" w:rsidRDefault="003C59B7" w:rsidP="007026CA">
            <w:pPr>
              <w:pStyle w:val="TableText"/>
            </w:pPr>
            <w:r w:rsidRPr="00014EA4">
              <w:t>Fluvirin</w:t>
            </w:r>
          </w:p>
        </w:tc>
        <w:tc>
          <w:tcPr>
            <w:tcW w:w="1920" w:type="dxa"/>
            <w:shd w:val="clear" w:color="auto" w:fill="auto"/>
          </w:tcPr>
          <w:p w:rsidR="003C59B7" w:rsidRPr="00014EA4" w:rsidRDefault="003C59B7" w:rsidP="007026CA">
            <w:pPr>
              <w:pStyle w:val="TableText"/>
            </w:pPr>
            <w:r w:rsidRPr="00014EA4">
              <w:t>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014EA4" w:rsidRDefault="003C59B7" w:rsidP="007026CA">
            <w:pPr>
              <w:pStyle w:val="TableText"/>
            </w:pPr>
          </w:p>
          <w:p w:rsidR="003C59B7" w:rsidRPr="00014EA4" w:rsidRDefault="003C59B7" w:rsidP="007026CA">
            <w:pPr>
              <w:pStyle w:val="TableP1a"/>
            </w:pPr>
          </w:p>
        </w:tc>
        <w:tc>
          <w:tcPr>
            <w:tcW w:w="1560" w:type="dxa"/>
            <w:shd w:val="clear" w:color="auto" w:fill="auto"/>
          </w:tcPr>
          <w:p w:rsidR="003C59B7" w:rsidRPr="00014EA4" w:rsidRDefault="003C59B7" w:rsidP="00E14A3F">
            <w:pPr>
              <w:pStyle w:val="TableText"/>
            </w:pPr>
            <w:r w:rsidRPr="00014EA4">
              <w:t>For children older than 6 months but less than 9 years, 2 doses at least 1month apart for the first vaccination and 1 dose per calendar year after that. For persons 9 years and above, 1 dose per calendar year.</w:t>
            </w:r>
          </w:p>
          <w:p w:rsidR="003C59B7" w:rsidRPr="00E34427" w:rsidRDefault="003C59B7" w:rsidP="007026CA">
            <w:pPr>
              <w:pStyle w:val="TableText"/>
            </w:pPr>
            <w:r w:rsidRPr="00014EA4">
              <w:t>Note – For children aged between 6 months and less than 3 years the dose is 0.25ml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lastRenderedPageBreak/>
              <w:t>211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Measles, mumps and rubella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Default="003C59B7" w:rsidP="00837107">
            <w:pPr>
              <w:pStyle w:val="TableText"/>
            </w:pPr>
            <w:r w:rsidRPr="00E34427">
              <w:t>Vaccine may be provided to a child who is</w:t>
            </w:r>
            <w:r>
              <w:t>:</w:t>
            </w:r>
          </w:p>
          <w:p w:rsidR="00497308" w:rsidRDefault="003C59B7" w:rsidP="004C2995">
            <w:pPr>
              <w:pStyle w:val="TableText"/>
              <w:numPr>
                <w:ilvl w:val="0"/>
                <w:numId w:val="20"/>
              </w:numPr>
            </w:pPr>
            <w:r w:rsidRPr="00E34427">
              <w:t xml:space="preserve"> about 12 months old</w:t>
            </w:r>
            <w:r w:rsidR="004F0888">
              <w:t>;</w:t>
            </w:r>
            <w:r w:rsidRPr="00E34427">
              <w:t xml:space="preserve"> or </w:t>
            </w:r>
          </w:p>
          <w:p w:rsidR="003C59B7" w:rsidRDefault="004077E5" w:rsidP="004C2995">
            <w:pPr>
              <w:pStyle w:val="TableText"/>
              <w:numPr>
                <w:ilvl w:val="0"/>
                <w:numId w:val="20"/>
              </w:numPr>
            </w:pPr>
            <w:r>
              <w:t xml:space="preserve">about </w:t>
            </w:r>
            <w:r w:rsidR="004F0888">
              <w:t>4 years of age</w:t>
            </w:r>
            <w:r w:rsidR="004F0888" w:rsidRPr="00E34427" w:rsidDel="004F0888">
              <w:t xml:space="preserve"> </w:t>
            </w:r>
            <w:r w:rsidR="00497308">
              <w:t>if MMRV was not given at 18 months</w:t>
            </w:r>
            <w:r w:rsidR="003C59B7">
              <w:t xml:space="preserve">; or </w:t>
            </w:r>
          </w:p>
          <w:p w:rsidR="003C59B7" w:rsidRPr="00E34427" w:rsidRDefault="003C59B7" w:rsidP="004C2995">
            <w:pPr>
              <w:pStyle w:val="TableText"/>
              <w:numPr>
                <w:ilvl w:val="0"/>
                <w:numId w:val="20"/>
              </w:numPr>
            </w:pPr>
            <w:r>
              <w:t>about 18 months old when administered concurrently with a monovalent varicella vaccine.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M</w:t>
            </w:r>
            <w:r w:rsidRPr="00E34427">
              <w:noBreakHyphen/>
              <w:t>M</w:t>
            </w:r>
            <w:r w:rsidRPr="00E34427">
              <w:noBreakHyphen/>
              <w:t>R II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Refrigerated lyophilised preparation for 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P1a"/>
            </w:pPr>
            <w:r w:rsidRPr="00E34427">
              <w:t>Each of the following live attenuated viruses: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measles virus (Edmonston strain) — 1000 TCID50;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mumps virus (Jeryl Lynn strain) — 5000 TCID50;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(c)</w:t>
            </w:r>
            <w:r w:rsidRPr="00E34427">
              <w:tab/>
              <w:t>rubella virus (Wistar RA 27/3 strain) — 1000 TCID50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AF0640" w:rsidP="00837107">
            <w:pPr>
              <w:pStyle w:val="TableText"/>
            </w:pPr>
            <w:r>
              <w:t xml:space="preserve">1 or </w:t>
            </w:r>
            <w:r w:rsidR="003C59B7" w:rsidRPr="00E34427">
              <w:t>2 doses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t>212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Measles, mumps and rubella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Default="003C59B7" w:rsidP="00DC106C">
            <w:pPr>
              <w:pStyle w:val="TableText"/>
            </w:pPr>
            <w:r w:rsidRPr="00E34427">
              <w:t>Vaccine may be provided to a child who is</w:t>
            </w:r>
            <w:r>
              <w:t>;</w:t>
            </w:r>
          </w:p>
          <w:p w:rsidR="004F0888" w:rsidRDefault="003C59B7" w:rsidP="004C2995">
            <w:pPr>
              <w:pStyle w:val="TableText"/>
              <w:numPr>
                <w:ilvl w:val="0"/>
                <w:numId w:val="19"/>
              </w:numPr>
            </w:pPr>
            <w:r w:rsidRPr="00E34427">
              <w:t>about 12 months old</w:t>
            </w:r>
            <w:r w:rsidR="004F0888">
              <w:t>;</w:t>
            </w:r>
            <w:r w:rsidRPr="00E34427">
              <w:t xml:space="preserve"> or </w:t>
            </w:r>
          </w:p>
          <w:p w:rsidR="004F0888" w:rsidRDefault="004F0888" w:rsidP="004F0888">
            <w:pPr>
              <w:pStyle w:val="TableText"/>
              <w:numPr>
                <w:ilvl w:val="0"/>
                <w:numId w:val="19"/>
              </w:numPr>
            </w:pPr>
            <w:r>
              <w:t>a</w:t>
            </w:r>
            <w:r w:rsidR="004077E5">
              <w:t>bout</w:t>
            </w:r>
            <w:r>
              <w:t xml:space="preserve"> 4 years of age</w:t>
            </w:r>
            <w:r w:rsidRPr="00E34427" w:rsidDel="004F0888">
              <w:t xml:space="preserve"> </w:t>
            </w:r>
            <w:r>
              <w:t xml:space="preserve">if MMRV was not given at 18 months; or </w:t>
            </w:r>
          </w:p>
          <w:p w:rsidR="003C59B7" w:rsidRPr="00E34427" w:rsidRDefault="003C59B7" w:rsidP="004C2995">
            <w:pPr>
              <w:pStyle w:val="TableText"/>
              <w:numPr>
                <w:ilvl w:val="0"/>
                <w:numId w:val="19"/>
              </w:numPr>
            </w:pPr>
            <w:r>
              <w:t>about 18 months old when administered concurrently with a monovalent varicella vaccine.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Priorix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Refrigerated lyophilised preparation for 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Each of the following live attenuated viruses: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measles virus (Schwarz strain) —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3.0</w:t>
            </w:r>
            <w:r w:rsidRPr="00E34427">
              <w:t> CCID</w:t>
            </w:r>
            <w:r w:rsidRPr="00E34427">
              <w:rPr>
                <w:rFonts w:ascii="Times New (W1)" w:hAnsi="Times New (W1)" w:cs="Times New (W1)"/>
                <w:vertAlign w:val="subscript"/>
              </w:rPr>
              <w:t>50</w:t>
            </w:r>
            <w:r w:rsidRPr="00E34427">
              <w:t>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mumps virus (RIT 4385 derived from the Jeryl Lynn strain) —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3.7</w:t>
            </w:r>
            <w:r w:rsidRPr="00E34427">
              <w:t> CCID</w:t>
            </w:r>
            <w:r w:rsidRPr="00E34427">
              <w:rPr>
                <w:rFonts w:ascii="Times New (W1)" w:hAnsi="Times New (W1)" w:cs="Times New (W1)"/>
                <w:vertAlign w:val="subscript"/>
              </w:rPr>
              <w:t>50</w:t>
            </w:r>
            <w:r w:rsidRPr="00E34427">
              <w:t>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(c)</w:t>
            </w:r>
            <w:r w:rsidRPr="00E34427">
              <w:tab/>
              <w:t>rubella virus (Wistar RA 27/3 strain) —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3.0</w:t>
            </w:r>
            <w:r w:rsidRPr="00E34427">
              <w:t> CCID</w:t>
            </w:r>
            <w:r w:rsidRPr="00E34427">
              <w:rPr>
                <w:rFonts w:ascii="Times New (W1)" w:hAnsi="Times New (W1)" w:cs="Times New (W1)"/>
                <w:vertAlign w:val="subscript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AF0640" w:rsidP="00837107">
            <w:pPr>
              <w:pStyle w:val="TableText"/>
            </w:pPr>
            <w:r>
              <w:t xml:space="preserve">1 or </w:t>
            </w:r>
            <w:r w:rsidR="003C59B7" w:rsidRPr="00E34427">
              <w:t xml:space="preserve">2 doses 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lastRenderedPageBreak/>
              <w:t>213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Measles, mumps, rubella and varicella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  <w:rPr>
                <w:b/>
              </w:rPr>
            </w:pPr>
            <w:r w:rsidRPr="00E34427">
              <w:t>Vaccine may be provided to a child who is about 18 months of age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Priorix-Tetra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Powder for injection vial with diluent syringe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Each of the following live attenuated viruses:</w:t>
            </w:r>
          </w:p>
          <w:p w:rsidR="003C59B7" w:rsidRPr="00E34427" w:rsidRDefault="003C59B7" w:rsidP="008371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E34427">
              <w:rPr>
                <w:szCs w:val="22"/>
              </w:rPr>
              <w:t>measles virus (Schwarz strain) – 10</w:t>
            </w:r>
            <w:r w:rsidRPr="00E34427">
              <w:rPr>
                <w:szCs w:val="22"/>
                <w:vertAlign w:val="superscript"/>
              </w:rPr>
              <w:t xml:space="preserve">3.0 </w:t>
            </w:r>
            <w:r w:rsidRPr="00E34427">
              <w:rPr>
                <w:szCs w:val="22"/>
              </w:rPr>
              <w:t>CCID50</w:t>
            </w:r>
          </w:p>
          <w:p w:rsidR="003C59B7" w:rsidRPr="00E34427" w:rsidRDefault="003C59B7" w:rsidP="008371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E34427">
              <w:rPr>
                <w:szCs w:val="22"/>
              </w:rPr>
              <w:t xml:space="preserve"> mumps virus (RIT 4385 strain,derived from Jeryl Lynn strain) - 10</w:t>
            </w:r>
            <w:r w:rsidRPr="00E34427">
              <w:rPr>
                <w:szCs w:val="22"/>
                <w:vertAlign w:val="superscript"/>
              </w:rPr>
              <w:t>4.4</w:t>
            </w:r>
            <w:r w:rsidRPr="00E34427">
              <w:rPr>
                <w:szCs w:val="22"/>
              </w:rPr>
              <w:t>CCID50</w:t>
            </w:r>
          </w:p>
          <w:p w:rsidR="003C59B7" w:rsidRPr="00E34427" w:rsidRDefault="003C59B7" w:rsidP="008371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E34427">
              <w:rPr>
                <w:szCs w:val="22"/>
              </w:rPr>
              <w:t xml:space="preserve"> rubella virus (Wistar RA 27/3 strain) – 10</w:t>
            </w:r>
            <w:r w:rsidRPr="00E34427">
              <w:rPr>
                <w:szCs w:val="22"/>
                <w:vertAlign w:val="superscript"/>
              </w:rPr>
              <w:t xml:space="preserve">3.0 </w:t>
            </w:r>
            <w:r w:rsidRPr="00E34427">
              <w:rPr>
                <w:szCs w:val="22"/>
              </w:rPr>
              <w:t>CCID50</w:t>
            </w:r>
          </w:p>
          <w:p w:rsidR="003C59B7" w:rsidRPr="00E34427" w:rsidRDefault="003C59B7" w:rsidP="008371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E34427">
              <w:rPr>
                <w:szCs w:val="22"/>
              </w:rPr>
              <w:t>varicella virus (Oka strain) - 10</w:t>
            </w:r>
            <w:r w:rsidRPr="00E34427">
              <w:rPr>
                <w:szCs w:val="22"/>
                <w:vertAlign w:val="superscript"/>
              </w:rPr>
              <w:t>3.3</w:t>
            </w:r>
            <w:r w:rsidRPr="00E34427">
              <w:rPr>
                <w:szCs w:val="22"/>
              </w:rPr>
              <w:t xml:space="preserve"> PFU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1 dose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lastRenderedPageBreak/>
              <w:t>214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Measles, mumps, rubella and varicella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ColHead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4427">
              <w:rPr>
                <w:rFonts w:ascii="Times New Roman" w:hAnsi="Times New Roman"/>
                <w:b w:val="0"/>
                <w:sz w:val="22"/>
                <w:szCs w:val="22"/>
              </w:rPr>
              <w:t>Vaccine may be provided to a child who is about 18 months of age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ProQuad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Each of the following live attenuated viruses:</w:t>
            </w:r>
          </w:p>
          <w:p w:rsidR="003C59B7" w:rsidRPr="00E34427" w:rsidRDefault="003C59B7" w:rsidP="008762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E34427">
              <w:rPr>
                <w:szCs w:val="22"/>
              </w:rPr>
              <w:t>measles virus derived from Enders’ attenuated Edmonston  strain) – 10</w:t>
            </w:r>
            <w:r w:rsidRPr="00E34427">
              <w:rPr>
                <w:szCs w:val="22"/>
                <w:vertAlign w:val="superscript"/>
              </w:rPr>
              <w:t xml:space="preserve">3.0 </w:t>
            </w:r>
            <w:r w:rsidRPr="00E34427">
              <w:rPr>
                <w:szCs w:val="22"/>
              </w:rPr>
              <w:t>TCID50</w:t>
            </w:r>
          </w:p>
          <w:p w:rsidR="003C59B7" w:rsidRPr="00E34427" w:rsidRDefault="003C59B7" w:rsidP="008762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E34427">
              <w:rPr>
                <w:szCs w:val="22"/>
              </w:rPr>
              <w:t xml:space="preserve"> mumps virus (Jeryl Lynn™ (B Level) strain) - 10</w:t>
            </w:r>
            <w:r w:rsidRPr="00E34427">
              <w:rPr>
                <w:szCs w:val="22"/>
                <w:vertAlign w:val="superscript"/>
              </w:rPr>
              <w:t>4.3</w:t>
            </w:r>
            <w:r w:rsidRPr="00E34427">
              <w:rPr>
                <w:szCs w:val="22"/>
              </w:rPr>
              <w:t>TCID50</w:t>
            </w:r>
          </w:p>
          <w:p w:rsidR="003C59B7" w:rsidRPr="00E34427" w:rsidRDefault="003C59B7" w:rsidP="008762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E34427">
              <w:rPr>
                <w:szCs w:val="22"/>
              </w:rPr>
              <w:t xml:space="preserve"> rubella virus (Wistar RA 27/3 strain) – 10</w:t>
            </w:r>
            <w:r w:rsidRPr="00E34427">
              <w:rPr>
                <w:szCs w:val="22"/>
                <w:vertAlign w:val="superscript"/>
              </w:rPr>
              <w:t xml:space="preserve">3.0 </w:t>
            </w:r>
            <w:r w:rsidRPr="00E34427">
              <w:rPr>
                <w:szCs w:val="22"/>
              </w:rPr>
              <w:t>TCID50</w:t>
            </w:r>
          </w:p>
          <w:p w:rsidR="003C59B7" w:rsidRPr="00E34427" w:rsidRDefault="003C59B7" w:rsidP="00876206">
            <w:pPr>
              <w:pStyle w:val="TableText"/>
              <w:numPr>
                <w:ilvl w:val="0"/>
                <w:numId w:val="18"/>
              </w:numPr>
            </w:pPr>
            <w:r w:rsidRPr="00E34427">
              <w:rPr>
                <w:szCs w:val="22"/>
              </w:rPr>
              <w:t>Varicella-zoster virus (Oka/Merck strain) - 10</w:t>
            </w:r>
            <w:r w:rsidRPr="00E34427">
              <w:rPr>
                <w:szCs w:val="22"/>
                <w:vertAlign w:val="superscript"/>
              </w:rPr>
              <w:t>3.99</w:t>
            </w:r>
            <w:r w:rsidRPr="00E34427">
              <w:rPr>
                <w:szCs w:val="22"/>
              </w:rPr>
              <w:t xml:space="preserve"> PFU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1 dose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t>215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Poliomyelitis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 a child who is about 2, 4 or 6 months old or 4 years of age, if all other vaccines containing poliovirus are unsuitable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IPOL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Each of the following killed whole polioviruses: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type 1 (Mahoney) — 40 D</w:t>
            </w:r>
            <w:r w:rsidRPr="00E34427">
              <w:noBreakHyphen/>
              <w:t>antigen units;</w:t>
            </w:r>
          </w:p>
          <w:p w:rsidR="003C59B7" w:rsidRPr="00E34427" w:rsidRDefault="003C59B7" w:rsidP="00837107">
            <w:pPr>
              <w:pStyle w:val="TableP1a"/>
              <w:rPr>
                <w:lang w:val="de-DE"/>
              </w:rPr>
            </w:pPr>
            <w:r w:rsidRPr="00E34427">
              <w:tab/>
            </w:r>
            <w:r w:rsidRPr="00E34427">
              <w:rPr>
                <w:lang w:val="de-DE"/>
              </w:rPr>
              <w:t>(b)</w:t>
            </w:r>
            <w:r w:rsidRPr="00E34427">
              <w:rPr>
                <w:lang w:val="de-DE"/>
              </w:rPr>
              <w:tab/>
              <w:t>type 2 (MEF</w:t>
            </w:r>
            <w:r w:rsidRPr="00E34427">
              <w:rPr>
                <w:lang w:val="de-DE"/>
              </w:rPr>
              <w:noBreakHyphen/>
              <w:t>1) — 8 D</w:t>
            </w:r>
            <w:r w:rsidRPr="00E34427">
              <w:rPr>
                <w:lang w:val="de-DE"/>
              </w:rPr>
              <w:noBreakHyphen/>
              <w:t>antigen units;</w:t>
            </w:r>
          </w:p>
          <w:p w:rsidR="003C59B7" w:rsidRPr="00E34427" w:rsidRDefault="003C59B7" w:rsidP="00837107">
            <w:pPr>
              <w:pStyle w:val="TableP1a"/>
              <w:rPr>
                <w:lang w:val="de-DE"/>
              </w:rPr>
            </w:pPr>
            <w:r w:rsidRPr="00E34427">
              <w:rPr>
                <w:lang w:val="de-DE"/>
              </w:rPr>
              <w:tab/>
              <w:t>(c)</w:t>
            </w:r>
            <w:r w:rsidRPr="00E34427">
              <w:rPr>
                <w:lang w:val="de-DE"/>
              </w:rPr>
              <w:tab/>
              <w:t>type 3 (Saukett) — 32 D</w:t>
            </w:r>
            <w:r w:rsidRPr="00E34427">
              <w:rPr>
                <w:lang w:val="de-DE"/>
              </w:rPr>
              <w:noBreakHyphen/>
              <w:t>antigen units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No more than 4 doses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lastRenderedPageBreak/>
              <w:t>216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Varicella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a child who is about 18 months old; or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a child who is at least 10 years old but less than 14 years of age, if the child:</w:t>
            </w:r>
          </w:p>
          <w:p w:rsidR="003C59B7" w:rsidRPr="00E34427" w:rsidRDefault="003C59B7" w:rsidP="00837107">
            <w:pPr>
              <w:pStyle w:val="TableP2i"/>
            </w:pPr>
            <w:r w:rsidRPr="00E34427">
              <w:tab/>
              <w:t>(i)</w:t>
            </w:r>
            <w:r w:rsidRPr="00E34427">
              <w:tab/>
              <w:t>has not had varicella; and</w:t>
            </w:r>
          </w:p>
          <w:p w:rsidR="003C59B7" w:rsidRPr="00E34427" w:rsidRDefault="003C59B7" w:rsidP="00837107">
            <w:pPr>
              <w:pStyle w:val="TableP2i"/>
            </w:pPr>
            <w:r w:rsidRPr="00E34427">
              <w:tab/>
              <w:t>(ii)</w:t>
            </w:r>
            <w:r w:rsidRPr="00E34427">
              <w:tab/>
              <w:t>has not been vaccinated against varicella.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Varilrix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Refrigerated lyophilised preparation for 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Live attenuated Oka strain of the varicella</w:t>
            </w:r>
            <w:r w:rsidRPr="00E34427">
              <w:noBreakHyphen/>
              <w:t>zoster virus —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3.3 </w:t>
            </w:r>
            <w:r w:rsidRPr="00E34427">
              <w:t>PFU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1 dose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t>217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Varicella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a child who is about 18 months old; or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a child who is at least 10 years old but less than 14 years of age, if the child:</w:t>
            </w:r>
          </w:p>
          <w:p w:rsidR="003C59B7" w:rsidRPr="00E34427" w:rsidRDefault="003C59B7" w:rsidP="00837107">
            <w:pPr>
              <w:pStyle w:val="TableP2i"/>
            </w:pPr>
            <w:r w:rsidRPr="00E34427">
              <w:tab/>
              <w:t>(i)</w:t>
            </w:r>
            <w:r w:rsidRPr="00E34427">
              <w:tab/>
              <w:t>has not had varicella; and</w:t>
            </w:r>
          </w:p>
          <w:p w:rsidR="003C59B7" w:rsidRPr="00E34427" w:rsidRDefault="003C59B7" w:rsidP="00837107">
            <w:pPr>
              <w:pStyle w:val="TableP2i"/>
            </w:pPr>
            <w:r w:rsidRPr="00E34427">
              <w:tab/>
              <w:t>(ii)</w:t>
            </w:r>
            <w:r w:rsidRPr="00E34427">
              <w:tab/>
              <w:t>has not been vaccinated against varicella.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Varivax Refrigerated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Refrigerated lyophilised preparation for 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Live attenuated Oka/Merck strain of the varicella</w:t>
            </w:r>
            <w:r w:rsidRPr="00E34427">
              <w:noBreakHyphen/>
              <w:t>zoster virus — at least 1350 PFU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1 dose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lastRenderedPageBreak/>
              <w:t>218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Human papillomavirus (HPV)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a person who is at least 12 years old but less than 14 years of age; or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A male who, between 1 February 2013 and 31 December 2015, is at least 13 years old but less than 16 years old.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Gardasil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Each of the following: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HPV 6 L1 protein — 20 µg;</w:t>
            </w:r>
          </w:p>
          <w:p w:rsidR="003C59B7" w:rsidRPr="00E34427" w:rsidRDefault="003C59B7" w:rsidP="00837107">
            <w:pPr>
              <w:pStyle w:val="TableP1a"/>
              <w:rPr>
                <w:lang w:val="de-DE"/>
              </w:rPr>
            </w:pPr>
            <w:r w:rsidRPr="00E34427">
              <w:tab/>
            </w:r>
            <w:r w:rsidRPr="00E34427">
              <w:rPr>
                <w:lang w:val="de-DE"/>
              </w:rPr>
              <w:t>(b)</w:t>
            </w:r>
            <w:r w:rsidRPr="00E34427">
              <w:rPr>
                <w:lang w:val="de-DE"/>
              </w:rPr>
              <w:tab/>
              <w:t>HPV 11 L1 protein — 40 µg;</w:t>
            </w:r>
          </w:p>
          <w:p w:rsidR="003C59B7" w:rsidRPr="00E34427" w:rsidRDefault="003C59B7" w:rsidP="00837107">
            <w:pPr>
              <w:pStyle w:val="TableP1a"/>
              <w:rPr>
                <w:lang w:val="de-DE"/>
              </w:rPr>
            </w:pPr>
            <w:r w:rsidRPr="00E34427">
              <w:rPr>
                <w:lang w:val="de-DE"/>
              </w:rPr>
              <w:tab/>
              <w:t>(c)</w:t>
            </w:r>
            <w:r w:rsidRPr="00E34427">
              <w:rPr>
                <w:lang w:val="de-DE"/>
              </w:rPr>
              <w:tab/>
              <w:t>HPV 16 L1 protein — 40 µg;</w:t>
            </w:r>
          </w:p>
          <w:p w:rsidR="003C59B7" w:rsidRPr="00E34427" w:rsidRDefault="003C59B7" w:rsidP="00837107">
            <w:pPr>
              <w:pStyle w:val="TableP1a"/>
              <w:rPr>
                <w:lang w:val="de-DE"/>
              </w:rPr>
            </w:pPr>
            <w:r w:rsidRPr="00E34427">
              <w:rPr>
                <w:lang w:val="de-DE"/>
              </w:rPr>
              <w:tab/>
              <w:t>(d)</w:t>
            </w:r>
            <w:r w:rsidRPr="00E34427">
              <w:rPr>
                <w:lang w:val="de-DE"/>
              </w:rPr>
              <w:tab/>
              <w:t>HPV 18 L1 protein — 20 µg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3 doses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t>218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Human papillomavirus (HPV)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to:</w:t>
            </w:r>
          </w:p>
          <w:p w:rsidR="003C59B7" w:rsidRPr="00E34427" w:rsidRDefault="003C59B7" w:rsidP="00837107">
            <w:pPr>
              <w:pStyle w:val="TableP1a"/>
              <w:tabs>
                <w:tab w:val="clear" w:pos="408"/>
                <w:tab w:val="left" w:pos="0"/>
              </w:tabs>
              <w:ind w:left="-14" w:firstLine="14"/>
            </w:pPr>
            <w:r w:rsidRPr="00E34427">
              <w:t>a female who is at least 12 years old but less than 14 years of age.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Cervarix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Injection (0.5mL)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Each of the following:</w:t>
            </w:r>
          </w:p>
          <w:p w:rsidR="003C59B7" w:rsidRPr="00E34427" w:rsidRDefault="003C59B7" w:rsidP="00837107">
            <w:pPr>
              <w:numPr>
                <w:ilvl w:val="0"/>
                <w:numId w:val="4"/>
              </w:numPr>
            </w:pPr>
            <w:r w:rsidRPr="00E34427">
              <w:t xml:space="preserve">HPV 16 L1 protein - 20μg;  </w:t>
            </w:r>
          </w:p>
          <w:p w:rsidR="003C59B7" w:rsidRPr="00E34427" w:rsidRDefault="003C59B7" w:rsidP="00837107">
            <w:pPr>
              <w:numPr>
                <w:ilvl w:val="0"/>
                <w:numId w:val="4"/>
              </w:numPr>
            </w:pPr>
            <w:r w:rsidRPr="00E34427">
              <w:t xml:space="preserve">HPV 18 L1 protein - 20μg  </w:t>
            </w:r>
          </w:p>
          <w:p w:rsidR="003C59B7" w:rsidRPr="00E34427" w:rsidRDefault="003C59B7" w:rsidP="00837107">
            <w:pPr>
              <w:pStyle w:val="TableP1a"/>
            </w:pP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3 doses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bookmarkStart w:id="22" w:name="_GoBack"/>
            <w:bookmarkEnd w:id="22"/>
            <w:r>
              <w:lastRenderedPageBreak/>
              <w:t>220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Rotavirus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 a child who: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is about 2 or 4 months old.</w:t>
            </w: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Rotarix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rPr>
                <w:color w:val="000000"/>
              </w:rPr>
              <w:t>Oral suspension (1.5mL) in oral applicator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Human rotavirus vaccine, live attenuated, RIX 4414 strain (G1P[8]) — not less than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6</w:t>
            </w:r>
            <w:r w:rsidRPr="00E34427">
              <w:t xml:space="preserve"> CCID</w:t>
            </w:r>
            <w:r w:rsidRPr="00E34427">
              <w:rPr>
                <w:rFonts w:ascii="Times New (W1)" w:hAnsi="Times New (W1)" w:cs="Times New (W1)"/>
                <w:vertAlign w:val="subscript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2 doses: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first dose given at 6 to 14 weeks of age;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second dose given at 14 to 24 weeks of age</w:t>
            </w:r>
          </w:p>
        </w:tc>
      </w:tr>
      <w:tr w:rsidR="003C59B7" w:rsidRPr="00E34427" w:rsidTr="00837107">
        <w:trPr>
          <w:cantSplit/>
        </w:trPr>
        <w:tc>
          <w:tcPr>
            <w:tcW w:w="614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jc w:val="right"/>
            </w:pPr>
            <w:r>
              <w:lastRenderedPageBreak/>
              <w:t>221</w:t>
            </w:r>
          </w:p>
        </w:tc>
        <w:tc>
          <w:tcPr>
            <w:tcW w:w="4654" w:type="dxa"/>
            <w:shd w:val="clear" w:color="auto" w:fill="auto"/>
          </w:tcPr>
          <w:p w:rsidR="003C59B7" w:rsidRPr="00E34427" w:rsidRDefault="003C59B7" w:rsidP="00837107">
            <w:pPr>
              <w:pStyle w:val="TableColHead"/>
            </w:pPr>
            <w:r w:rsidRPr="00E34427">
              <w:t>Vaccine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Rotavirus</w:t>
            </w:r>
          </w:p>
          <w:p w:rsidR="003C59B7" w:rsidRPr="00E34427" w:rsidRDefault="003C59B7" w:rsidP="00837107">
            <w:pPr>
              <w:pStyle w:val="TableColHead"/>
            </w:pPr>
            <w:r w:rsidRPr="00E34427">
              <w:t>Circumstances</w:t>
            </w:r>
          </w:p>
          <w:p w:rsidR="003C59B7" w:rsidRPr="00E34427" w:rsidRDefault="003C59B7" w:rsidP="00837107">
            <w:pPr>
              <w:pStyle w:val="TableText"/>
            </w:pPr>
            <w:r w:rsidRPr="00E34427">
              <w:t>Vaccine may be provided to a child who:</w:t>
            </w:r>
          </w:p>
          <w:p w:rsidR="003C59B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is about 2, 4 or 6 months old.</w:t>
            </w:r>
          </w:p>
          <w:p w:rsidR="003C59B7" w:rsidRPr="0062032E" w:rsidRDefault="003C59B7" w:rsidP="0062032E">
            <w:pPr>
              <w:jc w:val="right"/>
            </w:pPr>
          </w:p>
        </w:tc>
        <w:tc>
          <w:tcPr>
            <w:tcW w:w="204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RotaTeq</w:t>
            </w:r>
          </w:p>
        </w:tc>
        <w:tc>
          <w:tcPr>
            <w:tcW w:w="1920" w:type="dxa"/>
            <w:shd w:val="clear" w:color="auto" w:fill="auto"/>
          </w:tcPr>
          <w:p w:rsidR="003C59B7" w:rsidRPr="00E34427" w:rsidRDefault="003C59B7" w:rsidP="00837107">
            <w:pPr>
              <w:pStyle w:val="TableText"/>
              <w:rPr>
                <w:color w:val="000000"/>
              </w:rPr>
            </w:pPr>
            <w:r w:rsidRPr="00E34427">
              <w:t>Oral solution (2.0mL)</w:t>
            </w:r>
          </w:p>
        </w:tc>
        <w:tc>
          <w:tcPr>
            <w:tcW w:w="33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Live pentavalent reassortant vaccine containing each of the following: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G1 — 2.2 x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6</w:t>
            </w:r>
            <w:r w:rsidRPr="00E34427">
              <w:rPr>
                <w:vertAlign w:val="superscript"/>
              </w:rPr>
              <w:t xml:space="preserve"> </w:t>
            </w:r>
            <w:r w:rsidRPr="00E34427">
              <w:t>IU;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G2 — 2.8 x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6</w:t>
            </w:r>
            <w:r w:rsidRPr="00E34427">
              <w:rPr>
                <w:vertAlign w:val="superscript"/>
              </w:rPr>
              <w:t xml:space="preserve"> </w:t>
            </w:r>
            <w:r w:rsidRPr="00E34427">
              <w:t>IU;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(c)</w:t>
            </w:r>
            <w:r w:rsidRPr="00E34427">
              <w:tab/>
              <w:t>G3 — 2.2 x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6</w:t>
            </w:r>
            <w:r w:rsidRPr="00E34427">
              <w:rPr>
                <w:vertAlign w:val="superscript"/>
              </w:rPr>
              <w:t xml:space="preserve"> </w:t>
            </w:r>
            <w:r w:rsidRPr="00E34427">
              <w:t>IU;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(d)</w:t>
            </w:r>
            <w:r w:rsidRPr="00E34427">
              <w:tab/>
              <w:t>G4 — 2.0 x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6</w:t>
            </w:r>
            <w:r w:rsidRPr="00E34427">
              <w:rPr>
                <w:vertAlign w:val="superscript"/>
              </w:rPr>
              <w:t xml:space="preserve"> </w:t>
            </w:r>
            <w:r w:rsidRPr="00E34427">
              <w:t>IU;</w:t>
            </w:r>
          </w:p>
          <w:p w:rsidR="003C59B7" w:rsidRPr="00E34427" w:rsidRDefault="003C59B7" w:rsidP="00837107">
            <w:pPr>
              <w:pStyle w:val="TableText"/>
            </w:pPr>
            <w:r>
              <w:t xml:space="preserve">   (e)   </w:t>
            </w:r>
            <w:r w:rsidRPr="00E34427">
              <w:t>P1 (8) — 2.3 x 10</w:t>
            </w:r>
            <w:r w:rsidRPr="00E34427">
              <w:rPr>
                <w:rFonts w:ascii="Times New (W1)" w:hAnsi="Times New (W1)" w:cs="Times New (W1)"/>
                <w:vertAlign w:val="superscript"/>
              </w:rPr>
              <w:t>6</w:t>
            </w:r>
            <w:r w:rsidRPr="00E34427">
              <w:rPr>
                <w:vertAlign w:val="superscript"/>
              </w:rPr>
              <w:t xml:space="preserve"> </w:t>
            </w:r>
            <w:r w:rsidRPr="00E34427">
              <w:t>IU</w:t>
            </w:r>
          </w:p>
        </w:tc>
        <w:tc>
          <w:tcPr>
            <w:tcW w:w="1560" w:type="dxa"/>
            <w:shd w:val="clear" w:color="auto" w:fill="auto"/>
          </w:tcPr>
          <w:p w:rsidR="003C59B7" w:rsidRPr="00E34427" w:rsidRDefault="003C59B7" w:rsidP="00837107">
            <w:pPr>
              <w:pStyle w:val="TableText"/>
            </w:pPr>
            <w:r w:rsidRPr="00E34427">
              <w:t>3 doses: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(a)</w:t>
            </w:r>
            <w:r w:rsidRPr="00E34427">
              <w:tab/>
              <w:t>first dose given at 6 to 14 weeks old;</w:t>
            </w:r>
          </w:p>
          <w:p w:rsidR="003C59B7" w:rsidRPr="00E34427" w:rsidRDefault="003C59B7" w:rsidP="00837107">
            <w:pPr>
              <w:pStyle w:val="TableP1a"/>
            </w:pPr>
            <w:r w:rsidRPr="00E34427">
              <w:tab/>
              <w:t>(b)</w:t>
            </w:r>
            <w:r w:rsidRPr="00E34427">
              <w:tab/>
              <w:t>second dose given at 14 to 24 weeks old;</w:t>
            </w:r>
          </w:p>
          <w:p w:rsidR="003C59B7" w:rsidRPr="00E34427" w:rsidRDefault="003C59B7" w:rsidP="00A865BD">
            <w:pPr>
              <w:pStyle w:val="TableText"/>
              <w:ind w:left="453" w:hanging="453"/>
            </w:pPr>
            <w:r w:rsidRPr="00E34427">
              <w:t xml:space="preserve">   </w:t>
            </w:r>
            <w:r>
              <w:t xml:space="preserve">(c)  </w:t>
            </w:r>
            <w:r w:rsidRPr="00E34427">
              <w:t xml:space="preserve">third </w:t>
            </w:r>
            <w:r>
              <w:t xml:space="preserve">   </w:t>
            </w:r>
            <w:r w:rsidRPr="00E34427">
              <w:t>dose given before 32 weeks old</w:t>
            </w:r>
          </w:p>
        </w:tc>
      </w:tr>
    </w:tbl>
    <w:p w:rsidR="00107873" w:rsidRDefault="00107873" w:rsidP="00981487">
      <w:pPr>
        <w:pStyle w:val="SCHPTTEXT"/>
      </w:pPr>
      <w:bookmarkStart w:id="23" w:name="_Toc410898754"/>
    </w:p>
    <w:p w:rsidR="000467C3" w:rsidRDefault="000467C3" w:rsidP="00BC75DB">
      <w:pPr>
        <w:pStyle w:val="SCHPTTEXT"/>
        <w:sectPr w:rsidR="000467C3" w:rsidSect="009D0E8C">
          <w:type w:val="continuous"/>
          <w:pgSz w:w="16839" w:h="11907" w:orient="landscape" w:code="9"/>
          <w:pgMar w:top="1797" w:right="1440" w:bottom="1440" w:left="1440" w:header="567" w:footer="1984" w:gutter="0"/>
          <w:cols w:space="708"/>
          <w:docGrid w:linePitch="360"/>
        </w:sectPr>
      </w:pPr>
      <w:bookmarkStart w:id="24" w:name="_Toc411257384"/>
      <w:bookmarkEnd w:id="23"/>
    </w:p>
    <w:p w:rsidR="00AF3A95" w:rsidRPr="00823C19" w:rsidRDefault="00BC75DB" w:rsidP="00BC75DB">
      <w:pPr>
        <w:pStyle w:val="SCHPTTEXT"/>
      </w:pPr>
      <w:bookmarkStart w:id="25" w:name="Part_3"/>
      <w:r w:rsidRPr="00BC75DB">
        <w:lastRenderedPageBreak/>
        <w:t>Part 3</w:t>
      </w:r>
      <w:bookmarkEnd w:id="25"/>
      <w:r w:rsidRPr="00BC75DB">
        <w:tab/>
      </w:r>
      <w:bookmarkStart w:id="26" w:name="Combined_bacterial_and_viral_vaccines"/>
      <w:r w:rsidRPr="00BC75DB">
        <w:t>Combined bacterial and viral vaccines</w:t>
      </w:r>
      <w:bookmarkEnd w:id="24"/>
      <w:bookmarkEnd w:id="26"/>
    </w:p>
    <w:tbl>
      <w:tblPr>
        <w:tblW w:w="14148" w:type="dxa"/>
        <w:tblLayout w:type="fixed"/>
        <w:tblLook w:val="0000" w:firstRow="0" w:lastRow="0" w:firstColumn="0" w:lastColumn="0" w:noHBand="0" w:noVBand="0"/>
      </w:tblPr>
      <w:tblGrid>
        <w:gridCol w:w="614"/>
        <w:gridCol w:w="4894"/>
        <w:gridCol w:w="1560"/>
        <w:gridCol w:w="1320"/>
        <w:gridCol w:w="4320"/>
        <w:gridCol w:w="1440"/>
      </w:tblGrid>
      <w:tr w:rsidR="00AF3A95" w:rsidRPr="00823C19">
        <w:trPr>
          <w:cantSplit/>
          <w:tblHeader/>
        </w:trPr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AF3A95" w:rsidRPr="00823C19" w:rsidRDefault="00AF3A95" w:rsidP="00AF3A95">
            <w:pPr>
              <w:pStyle w:val="TableColHead"/>
            </w:pPr>
            <w:r w:rsidRPr="00823C19">
              <w:t>Item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bottom"/>
          </w:tcPr>
          <w:p w:rsidR="00AF3A95" w:rsidRPr="00823C19" w:rsidRDefault="00AF3A95" w:rsidP="00AF3A95">
            <w:pPr>
              <w:pStyle w:val="TableColHead"/>
            </w:pPr>
            <w:r w:rsidRPr="00823C19">
              <w:t>Vaccine and the circumstances in which vaccine may be provided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F3A95" w:rsidRPr="00823C19" w:rsidRDefault="00AF3A95" w:rsidP="00AF3A95">
            <w:pPr>
              <w:pStyle w:val="TableColHead"/>
            </w:pPr>
            <w:r w:rsidRPr="00823C19">
              <w:t>Brand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AF3A95" w:rsidRPr="00823C19" w:rsidRDefault="00AF3A95" w:rsidP="00AF3A95">
            <w:pPr>
              <w:pStyle w:val="TableColHead"/>
            </w:pPr>
            <w:r w:rsidRPr="00823C19">
              <w:t>Formulation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AF3A95" w:rsidRPr="00823C19" w:rsidRDefault="00AF3A95" w:rsidP="00AF3A95">
            <w:pPr>
              <w:pStyle w:val="TableColHead"/>
            </w:pPr>
            <w:r w:rsidRPr="00823C19">
              <w:t>Active ingredient and strength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F3A95" w:rsidRPr="00823C19" w:rsidRDefault="00AF3A95" w:rsidP="00AF3A95">
            <w:pPr>
              <w:pStyle w:val="TableColHead"/>
            </w:pPr>
            <w:r w:rsidRPr="00823C19">
              <w:t>Number and timing of doses</w:t>
            </w:r>
          </w:p>
        </w:tc>
      </w:tr>
      <w:tr w:rsidR="00AF3A95" w:rsidRPr="00823C19">
        <w:trPr>
          <w:cantSplit/>
        </w:trPr>
        <w:tc>
          <w:tcPr>
            <w:tcW w:w="614" w:type="dxa"/>
            <w:tcBorders>
              <w:top w:val="single" w:sz="4" w:space="0" w:color="auto"/>
            </w:tcBorders>
          </w:tcPr>
          <w:p w:rsidR="00AF3A95" w:rsidRPr="00823C19" w:rsidRDefault="00AF3A95" w:rsidP="00AF3A95">
            <w:pPr>
              <w:pStyle w:val="TableText"/>
            </w:pPr>
            <w:r w:rsidRPr="00823C19">
              <w:t>301</w:t>
            </w:r>
          </w:p>
        </w:tc>
        <w:tc>
          <w:tcPr>
            <w:tcW w:w="4894" w:type="dxa"/>
          </w:tcPr>
          <w:p w:rsidR="00AF3A95" w:rsidRPr="00823C19" w:rsidRDefault="00AF3A95" w:rsidP="00AF3A95">
            <w:pPr>
              <w:pStyle w:val="TableColHead"/>
            </w:pPr>
            <w:r w:rsidRPr="00823C19">
              <w:t>Vaccine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Diphtheria, tetanus, pertussis and poliomyelitis</w:t>
            </w:r>
          </w:p>
          <w:p w:rsidR="00AF3A95" w:rsidRPr="00823C19" w:rsidRDefault="00AF3A95" w:rsidP="00AF3A95">
            <w:pPr>
              <w:pStyle w:val="TableColHead"/>
            </w:pPr>
            <w:r w:rsidRPr="00823C19">
              <w:t>Circumstances</w:t>
            </w:r>
          </w:p>
          <w:p w:rsidR="00AF3A95" w:rsidRPr="00823C19" w:rsidRDefault="00AF3A95" w:rsidP="009B4DB0">
            <w:pPr>
              <w:pStyle w:val="TableText"/>
            </w:pPr>
            <w:r w:rsidRPr="00823C19">
              <w:t>Vaccine may be provided to a child who is about 2</w:t>
            </w:r>
            <w:r w:rsidR="001E6838">
              <w:t>, </w:t>
            </w:r>
            <w:r w:rsidRPr="00823C19">
              <w:t>4 or 6 months</w:t>
            </w:r>
            <w:r w:rsidR="00956380">
              <w:t xml:space="preserve"> old</w:t>
            </w:r>
            <w:r w:rsidRPr="00823C19">
              <w:t xml:space="preserve">, or </w:t>
            </w:r>
            <w:r w:rsidR="00B75822">
              <w:t>between 3</w:t>
            </w:r>
            <w:r w:rsidR="00B75822" w:rsidRPr="00823C19">
              <w:t> years</w:t>
            </w:r>
            <w:r w:rsidR="00B75822">
              <w:t xml:space="preserve"> and 6</w:t>
            </w:r>
            <w:r w:rsidR="001E6838">
              <w:t> </w:t>
            </w:r>
            <w:r w:rsidR="00B75822">
              <w:t>months and 4 years</w:t>
            </w:r>
            <w:r w:rsidR="00956380">
              <w:t xml:space="preserve"> of age.</w:t>
            </w:r>
          </w:p>
        </w:tc>
        <w:tc>
          <w:tcPr>
            <w:tcW w:w="156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Infanrix</w:t>
            </w:r>
            <w:r w:rsidR="00314420" w:rsidRPr="00823C19">
              <w:noBreakHyphen/>
            </w:r>
            <w:r w:rsidRPr="00823C19">
              <w:t>IPV</w:t>
            </w:r>
          </w:p>
        </w:tc>
        <w:tc>
          <w:tcPr>
            <w:tcW w:w="1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4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Each of the following: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</w:t>
            </w:r>
            <w:r w:rsidR="00BC727D" w:rsidRPr="00823C19">
              <w:t> </w:t>
            </w:r>
            <w:r w:rsidRPr="00823C19">
              <w:t>— not less than 30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</w:t>
            </w:r>
            <w:r w:rsidR="00BC727D" w:rsidRPr="00823C19">
              <w:t> </w:t>
            </w:r>
            <w:r w:rsidRPr="00823C19">
              <w:t>— not less than 40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25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25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8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731824">
              <w:rPr>
                <w:lang w:val="de-DE"/>
              </w:rPr>
              <w:tab/>
            </w:r>
            <w:r w:rsidRPr="00823C19">
              <w:t>(f)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1 (Mahoney)</w:t>
            </w:r>
            <w:r w:rsidR="00BC727D" w:rsidRPr="00823C19">
              <w:t> </w:t>
            </w:r>
            <w:r w:rsidRPr="00823C19">
              <w:t>— 40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(g)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2 (MEF</w:t>
            </w:r>
            <w:r w:rsidR="00314420" w:rsidRPr="00823C19">
              <w:noBreakHyphen/>
            </w:r>
            <w:r w:rsidRPr="00823C19">
              <w:t>1)</w:t>
            </w:r>
            <w:r w:rsidR="00BC727D" w:rsidRPr="00823C19">
              <w:t> </w:t>
            </w:r>
            <w:r w:rsidRPr="00823C19">
              <w:t>— 8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(h)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3 (Saukett)</w:t>
            </w:r>
            <w:r w:rsidR="00BC727D" w:rsidRPr="00823C19">
              <w:t> </w:t>
            </w:r>
            <w:r w:rsidRPr="00823C19">
              <w:t>—32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 xml:space="preserve">antigen units </w:t>
            </w:r>
          </w:p>
        </w:tc>
        <w:tc>
          <w:tcPr>
            <w:tcW w:w="144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4 doses</w:t>
            </w:r>
          </w:p>
        </w:tc>
      </w:tr>
      <w:tr w:rsidR="00AF3A95" w:rsidRPr="00823C19">
        <w:trPr>
          <w:cantSplit/>
        </w:trPr>
        <w:tc>
          <w:tcPr>
            <w:tcW w:w="614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302</w:t>
            </w:r>
          </w:p>
        </w:tc>
        <w:tc>
          <w:tcPr>
            <w:tcW w:w="4894" w:type="dxa"/>
          </w:tcPr>
          <w:p w:rsidR="00AF3A95" w:rsidRPr="00823C19" w:rsidRDefault="00AF3A95" w:rsidP="00AF3A95">
            <w:pPr>
              <w:pStyle w:val="TableColHead"/>
            </w:pPr>
            <w:r w:rsidRPr="00823C19">
              <w:t>Vaccine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Diphtheria, tetanus, pertussis and poliomyelitis</w:t>
            </w:r>
          </w:p>
          <w:p w:rsidR="00AF3A95" w:rsidRPr="00823C19" w:rsidRDefault="00AF3A95" w:rsidP="00AF3A95">
            <w:pPr>
              <w:pStyle w:val="TableColHead"/>
            </w:pPr>
            <w:r w:rsidRPr="00823C19">
              <w:t>Circumstances</w:t>
            </w:r>
          </w:p>
          <w:p w:rsidR="00AF3A95" w:rsidRPr="00823C19" w:rsidRDefault="00C56E9B" w:rsidP="009B4DB0">
            <w:pPr>
              <w:pStyle w:val="TableText"/>
              <w:rPr>
                <w:b/>
              </w:rPr>
            </w:pPr>
            <w:r w:rsidRPr="00823C19">
              <w:t>Vaccine may be provided to a child who is about 2,</w:t>
            </w:r>
            <w:r w:rsidR="001E6838">
              <w:t> </w:t>
            </w:r>
            <w:r w:rsidRPr="00823C19">
              <w:t>4 or 6 months</w:t>
            </w:r>
            <w:r w:rsidR="00956380">
              <w:t xml:space="preserve"> old</w:t>
            </w:r>
            <w:r w:rsidRPr="00823C19">
              <w:t>, or</w:t>
            </w:r>
            <w:r w:rsidR="00A42D5B">
              <w:t xml:space="preserve"> </w:t>
            </w:r>
            <w:r w:rsidR="00B75822">
              <w:t xml:space="preserve">between </w:t>
            </w:r>
            <w:r>
              <w:t>3</w:t>
            </w:r>
            <w:r w:rsidRPr="00823C19">
              <w:t> years</w:t>
            </w:r>
            <w:r>
              <w:t xml:space="preserve"> and 6</w:t>
            </w:r>
            <w:r w:rsidR="001E6838">
              <w:t> </w:t>
            </w:r>
            <w:r>
              <w:t>months</w:t>
            </w:r>
            <w:r w:rsidR="00B75822">
              <w:t xml:space="preserve"> and 4 years</w:t>
            </w:r>
            <w:r w:rsidR="00956380">
              <w:t xml:space="preserve"> of age.</w:t>
            </w:r>
          </w:p>
        </w:tc>
        <w:tc>
          <w:tcPr>
            <w:tcW w:w="156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Quadracel</w:t>
            </w:r>
          </w:p>
        </w:tc>
        <w:tc>
          <w:tcPr>
            <w:tcW w:w="1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Vial for injection (0.5mL)</w:t>
            </w:r>
          </w:p>
        </w:tc>
        <w:tc>
          <w:tcPr>
            <w:tcW w:w="4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Each of the following: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</w:t>
            </w:r>
            <w:r w:rsidR="00BC727D" w:rsidRPr="00823C19">
              <w:t> </w:t>
            </w:r>
            <w:r w:rsidRPr="00823C19">
              <w:t>— not less than 30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</w:t>
            </w:r>
            <w:r w:rsidR="00BC727D" w:rsidRPr="00823C19">
              <w:t> </w:t>
            </w:r>
            <w:r w:rsidRPr="00823C19">
              <w:t>— not less than 40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20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20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3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731824">
              <w:rPr>
                <w:lang w:val="de-DE"/>
              </w:rPr>
              <w:tab/>
            </w:r>
            <w:r w:rsidRPr="00823C19">
              <w:t>(f)</w:t>
            </w:r>
            <w:r w:rsidRPr="00823C19">
              <w:tab/>
              <w:t>FIM 2+3</w:t>
            </w:r>
            <w:r w:rsidR="00BC727D" w:rsidRPr="00823C19">
              <w:t> </w:t>
            </w:r>
            <w:r w:rsidRPr="00823C19">
              <w:t>— 5</w:t>
            </w:r>
            <w:r w:rsidR="00BC727D" w:rsidRPr="00823C19">
              <w:t> </w:t>
            </w:r>
            <w:r w:rsidRPr="00823C19"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(g)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1 (Mahoney)</w:t>
            </w:r>
            <w:r w:rsidR="00BC727D" w:rsidRPr="00823C19">
              <w:t> </w:t>
            </w:r>
            <w:r w:rsidRPr="00823C19">
              <w:t>— 40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(h)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2 (MEF</w:t>
            </w:r>
            <w:r w:rsidR="00314420" w:rsidRPr="00823C19">
              <w:noBreakHyphen/>
            </w:r>
            <w:r w:rsidRPr="00823C19">
              <w:t>1)</w:t>
            </w:r>
            <w:r w:rsidR="00BC727D" w:rsidRPr="00823C19">
              <w:t> </w:t>
            </w:r>
            <w:r w:rsidRPr="00823C19">
              <w:t>— 8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(i)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3 (Saukett)</w:t>
            </w:r>
            <w:r w:rsidR="00BC727D" w:rsidRPr="00823C19">
              <w:t> </w:t>
            </w:r>
            <w:r w:rsidRPr="00823C19">
              <w:t>— 32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</w:t>
            </w:r>
          </w:p>
        </w:tc>
        <w:tc>
          <w:tcPr>
            <w:tcW w:w="144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4 doses</w:t>
            </w:r>
          </w:p>
        </w:tc>
      </w:tr>
      <w:tr w:rsidR="00AF3A95" w:rsidRPr="00823C19">
        <w:trPr>
          <w:cantSplit/>
        </w:trPr>
        <w:tc>
          <w:tcPr>
            <w:tcW w:w="614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303</w:t>
            </w:r>
          </w:p>
        </w:tc>
        <w:tc>
          <w:tcPr>
            <w:tcW w:w="4894" w:type="dxa"/>
          </w:tcPr>
          <w:p w:rsidR="00AF3A95" w:rsidRPr="00823C19" w:rsidRDefault="00AF3A95" w:rsidP="00AF3A95">
            <w:pPr>
              <w:pStyle w:val="TableColHead"/>
            </w:pPr>
            <w:r w:rsidRPr="00823C19">
              <w:t>Vaccine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Diphtheria, tetanus, pertussis, poliomyelitis and hepatitis</w:t>
            </w:r>
            <w:r w:rsidR="00BC727D" w:rsidRPr="00823C19">
              <w:t> </w:t>
            </w:r>
            <w:r w:rsidRPr="00823C19">
              <w:t>B</w:t>
            </w:r>
          </w:p>
          <w:p w:rsidR="00AF3A95" w:rsidRPr="00823C19" w:rsidRDefault="00AF3A95" w:rsidP="00AF3A95">
            <w:pPr>
              <w:pStyle w:val="TableColHead"/>
            </w:pPr>
            <w:r w:rsidRPr="00823C19">
              <w:t>Circumstances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Vaccine may be provided to a child who is about 2,</w:t>
            </w:r>
            <w:r w:rsidR="001E6838">
              <w:t> </w:t>
            </w:r>
            <w:r w:rsidRPr="00823C19">
              <w:t>4 or 6</w:t>
            </w:r>
            <w:r w:rsidR="00BC727D" w:rsidRPr="00823C19">
              <w:t> </w:t>
            </w:r>
            <w:r w:rsidRPr="00823C19">
              <w:t>months</w:t>
            </w:r>
            <w:r w:rsidR="00956380">
              <w:t xml:space="preserve"> old.</w:t>
            </w:r>
          </w:p>
        </w:tc>
        <w:tc>
          <w:tcPr>
            <w:tcW w:w="156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Infanrix</w:t>
            </w:r>
            <w:r w:rsidR="00314420" w:rsidRPr="00823C19">
              <w:noBreakHyphen/>
            </w:r>
            <w:r w:rsidRPr="00823C19">
              <w:t>Penta</w:t>
            </w:r>
          </w:p>
        </w:tc>
        <w:tc>
          <w:tcPr>
            <w:tcW w:w="1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4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Each of the following: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</w:t>
            </w:r>
            <w:r w:rsidR="00BC727D" w:rsidRPr="00823C19">
              <w:t> </w:t>
            </w:r>
            <w:r w:rsidRPr="00823C19">
              <w:t>— not less than 30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</w:t>
            </w:r>
            <w:r w:rsidR="00BC727D" w:rsidRPr="00823C19">
              <w:t> </w:t>
            </w:r>
            <w:r w:rsidRPr="00823C19">
              <w:t>— not less than 40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25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25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8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731824">
              <w:rPr>
                <w:lang w:val="de-DE"/>
              </w:rPr>
              <w:tab/>
            </w:r>
            <w:r w:rsidRPr="00823C19">
              <w:t>(f)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1 (Mahoney)</w:t>
            </w:r>
            <w:r w:rsidR="00BC727D" w:rsidRPr="00823C19">
              <w:t> </w:t>
            </w:r>
            <w:r w:rsidRPr="00823C19">
              <w:t>— 40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(g)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2 (MEF</w:t>
            </w:r>
            <w:r w:rsidR="00314420" w:rsidRPr="00823C19">
              <w:noBreakHyphen/>
            </w:r>
            <w:r w:rsidRPr="00823C19">
              <w:t>1)</w:t>
            </w:r>
            <w:r w:rsidR="00BC727D" w:rsidRPr="00823C19">
              <w:t> </w:t>
            </w:r>
            <w:r w:rsidRPr="00823C19">
              <w:t>— 8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(h)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3 (Saukett)</w:t>
            </w:r>
            <w:r w:rsidR="00BC727D" w:rsidRPr="00823C19">
              <w:t> </w:t>
            </w:r>
            <w:r w:rsidRPr="00823C19">
              <w:t>— 32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(i)</w:t>
            </w:r>
            <w:r w:rsidRPr="00823C19">
              <w:tab/>
              <w:t>recombinant hepatitis B surface antigen</w:t>
            </w:r>
            <w:r w:rsidR="00BC727D" w:rsidRPr="00823C19">
              <w:t> </w:t>
            </w:r>
            <w:r w:rsidRPr="00823C19">
              <w:t>— 10</w:t>
            </w:r>
            <w:r w:rsidR="00BC727D" w:rsidRPr="00823C19">
              <w:t> </w:t>
            </w:r>
            <w:r w:rsidRPr="00823C19">
              <w:t>µg</w:t>
            </w:r>
          </w:p>
        </w:tc>
        <w:tc>
          <w:tcPr>
            <w:tcW w:w="144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 doses</w:t>
            </w:r>
          </w:p>
        </w:tc>
      </w:tr>
      <w:tr w:rsidR="00AF3A95" w:rsidRPr="00823C19">
        <w:trPr>
          <w:cantSplit/>
        </w:trPr>
        <w:tc>
          <w:tcPr>
            <w:tcW w:w="614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304</w:t>
            </w:r>
          </w:p>
        </w:tc>
        <w:tc>
          <w:tcPr>
            <w:tcW w:w="4894" w:type="dxa"/>
          </w:tcPr>
          <w:p w:rsidR="00AF3A95" w:rsidRPr="00823C19" w:rsidRDefault="00AF3A95" w:rsidP="00AF3A95">
            <w:pPr>
              <w:pStyle w:val="TableColHead"/>
            </w:pPr>
            <w:r w:rsidRPr="00823C19">
              <w:t>Vaccine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 xml:space="preserve">Diphtheria, tetanus, pertussis, poliomyelitis and </w:t>
            </w:r>
            <w:r w:rsidRPr="00823C19">
              <w:rPr>
                <w:i/>
                <w:iCs/>
              </w:rPr>
              <w:t>Haemophilus influenzae</w:t>
            </w:r>
            <w:r w:rsidRPr="00823C19">
              <w:t xml:space="preserve"> type</w:t>
            </w:r>
            <w:r w:rsidR="00BC727D" w:rsidRPr="00823C19">
              <w:t> </w:t>
            </w:r>
            <w:r w:rsidRPr="00823C19">
              <w:t>b (Hib)</w:t>
            </w:r>
          </w:p>
          <w:p w:rsidR="00AF3A95" w:rsidRPr="00823C19" w:rsidRDefault="00AF3A95" w:rsidP="00AF3A95">
            <w:pPr>
              <w:pStyle w:val="TableColHead"/>
            </w:pPr>
            <w:r w:rsidRPr="00823C19">
              <w:t>Circumstances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Vaccine may be provided to a child who is about 2,</w:t>
            </w:r>
            <w:r w:rsidR="001E6838">
              <w:t> </w:t>
            </w:r>
            <w:r w:rsidRPr="00823C19">
              <w:t>4 or 6</w:t>
            </w:r>
            <w:r w:rsidR="00BC727D" w:rsidRPr="00823C19">
              <w:t> </w:t>
            </w:r>
            <w:r w:rsidRPr="00823C19">
              <w:t>months</w:t>
            </w:r>
            <w:r w:rsidR="001A2155">
              <w:t xml:space="preserve"> old.</w:t>
            </w:r>
          </w:p>
        </w:tc>
        <w:tc>
          <w:tcPr>
            <w:tcW w:w="156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Pediacel</w:t>
            </w:r>
          </w:p>
        </w:tc>
        <w:tc>
          <w:tcPr>
            <w:tcW w:w="1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Injection (0.5mL)</w:t>
            </w:r>
          </w:p>
        </w:tc>
        <w:tc>
          <w:tcPr>
            <w:tcW w:w="4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Each of the following: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</w:t>
            </w:r>
            <w:r w:rsidR="00BC727D" w:rsidRPr="00823C19">
              <w:t> </w:t>
            </w:r>
            <w:r w:rsidRPr="00823C19">
              <w:t>— not less than 30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</w:t>
            </w:r>
            <w:r w:rsidR="00BC727D" w:rsidRPr="00823C19">
              <w:t> </w:t>
            </w:r>
            <w:r w:rsidRPr="00823C19">
              <w:t>— not less than 40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20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20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3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731824">
              <w:rPr>
                <w:lang w:val="de-DE"/>
              </w:rPr>
              <w:tab/>
            </w:r>
            <w:r w:rsidRPr="00823C19">
              <w:t>(f)</w:t>
            </w:r>
            <w:r w:rsidRPr="00823C19">
              <w:tab/>
              <w:t>FIM 2+3</w:t>
            </w:r>
            <w:r w:rsidR="00BC727D" w:rsidRPr="00823C19">
              <w:t> </w:t>
            </w:r>
            <w:r w:rsidRPr="00823C19">
              <w:t>— 5</w:t>
            </w:r>
            <w:r w:rsidR="00BC727D" w:rsidRPr="00823C19">
              <w:t> </w:t>
            </w:r>
            <w:r w:rsidRPr="00823C19"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(g)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1 (Mahoney)</w:t>
            </w:r>
            <w:r w:rsidR="00BC727D" w:rsidRPr="00823C19">
              <w:t> </w:t>
            </w:r>
            <w:r w:rsidRPr="00823C19">
              <w:t>— 40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(h)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2 (MEF</w:t>
            </w:r>
            <w:r w:rsidR="00314420" w:rsidRPr="00823C19">
              <w:noBreakHyphen/>
            </w:r>
            <w:r w:rsidRPr="00823C19">
              <w:t>1)</w:t>
            </w:r>
            <w:r w:rsidR="00BC727D" w:rsidRPr="00823C19">
              <w:t> </w:t>
            </w:r>
            <w:r w:rsidRPr="00823C19">
              <w:t>— 8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(i)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3 (Saukett)</w:t>
            </w:r>
            <w:r w:rsidR="00BC727D" w:rsidRPr="00823C19">
              <w:t> </w:t>
            </w:r>
            <w:r w:rsidRPr="00823C19">
              <w:t>— 32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(j)</w:t>
            </w:r>
            <w:r w:rsidRPr="00823C19">
              <w:tab/>
              <w:t>purified Hib capsular polysaccharide conjugated to tetanus toxoid</w:t>
            </w:r>
            <w:r w:rsidR="00BC727D" w:rsidRPr="00823C19">
              <w:t> </w:t>
            </w:r>
            <w:r w:rsidRPr="00823C19">
              <w:t>— 10</w:t>
            </w:r>
            <w:r w:rsidR="00BC727D" w:rsidRPr="00823C19">
              <w:t> </w:t>
            </w:r>
            <w:r w:rsidRPr="00823C19">
              <w:t>µg</w:t>
            </w:r>
          </w:p>
        </w:tc>
        <w:tc>
          <w:tcPr>
            <w:tcW w:w="144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 doses</w:t>
            </w:r>
          </w:p>
        </w:tc>
      </w:tr>
      <w:tr w:rsidR="00AF3A95" w:rsidRPr="00823C19">
        <w:trPr>
          <w:cantSplit/>
        </w:trPr>
        <w:tc>
          <w:tcPr>
            <w:tcW w:w="614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305</w:t>
            </w:r>
          </w:p>
        </w:tc>
        <w:tc>
          <w:tcPr>
            <w:tcW w:w="4894" w:type="dxa"/>
          </w:tcPr>
          <w:p w:rsidR="00AF3A95" w:rsidRPr="00823C19" w:rsidRDefault="00AF3A95" w:rsidP="00AF3A95">
            <w:pPr>
              <w:pStyle w:val="TableColHead"/>
            </w:pPr>
            <w:r w:rsidRPr="00823C19">
              <w:t>Vaccine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 xml:space="preserve">Diphtheria, tetanus, pertussis, poliomyelitis, hepatitis B and </w:t>
            </w:r>
            <w:r w:rsidRPr="00823C19">
              <w:rPr>
                <w:i/>
                <w:iCs/>
              </w:rPr>
              <w:t>Haemophilus influenzae</w:t>
            </w:r>
            <w:r w:rsidRPr="00823C19">
              <w:t xml:space="preserve"> type</w:t>
            </w:r>
            <w:r w:rsidR="00BC727D" w:rsidRPr="00823C19">
              <w:t> </w:t>
            </w:r>
            <w:r w:rsidRPr="00823C19">
              <w:t>b (Hib)</w:t>
            </w:r>
          </w:p>
          <w:p w:rsidR="00AF3A95" w:rsidRPr="00823C19" w:rsidRDefault="00AF3A95" w:rsidP="00AF3A95">
            <w:pPr>
              <w:pStyle w:val="TableColHead"/>
            </w:pPr>
            <w:r w:rsidRPr="00823C19">
              <w:t>Circumstances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Vaccine may be provided to a child who is about 2,</w:t>
            </w:r>
            <w:r w:rsidR="001E6838">
              <w:t> </w:t>
            </w:r>
            <w:r w:rsidRPr="00823C19">
              <w:t>4 or 6</w:t>
            </w:r>
            <w:r w:rsidR="00BC727D" w:rsidRPr="00823C19">
              <w:t> </w:t>
            </w:r>
            <w:r w:rsidRPr="00823C19">
              <w:t>months</w:t>
            </w:r>
            <w:r w:rsidR="0096356E">
              <w:t xml:space="preserve"> old.</w:t>
            </w:r>
          </w:p>
        </w:tc>
        <w:tc>
          <w:tcPr>
            <w:tcW w:w="156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Infanrix</w:t>
            </w:r>
            <w:r w:rsidR="00314420" w:rsidRPr="00823C19">
              <w:noBreakHyphen/>
            </w:r>
            <w:r w:rsidRPr="00823C19">
              <w:t>Hexa</w:t>
            </w:r>
          </w:p>
        </w:tc>
        <w:tc>
          <w:tcPr>
            <w:tcW w:w="1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Injection (0.5mL) combination pack</w:t>
            </w:r>
          </w:p>
        </w:tc>
        <w:tc>
          <w:tcPr>
            <w:tcW w:w="432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Each of the following: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(a)</w:t>
            </w:r>
            <w:r w:rsidRPr="00823C19">
              <w:tab/>
              <w:t>diphtheria toxoid</w:t>
            </w:r>
            <w:r w:rsidR="00BC727D" w:rsidRPr="00823C19">
              <w:t> </w:t>
            </w:r>
            <w:r w:rsidRPr="00823C19">
              <w:t>— not less than 30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(b)</w:t>
            </w:r>
            <w:r w:rsidRPr="00823C19">
              <w:tab/>
              <w:t>tetanus toxoid</w:t>
            </w:r>
            <w:r w:rsidR="00BC727D" w:rsidRPr="00823C19">
              <w:t> </w:t>
            </w:r>
            <w:r w:rsidRPr="00823C19">
              <w:t>— not less than 40</w:t>
            </w:r>
            <w:r w:rsidR="00BC727D" w:rsidRPr="00823C19">
              <w:t> </w:t>
            </w:r>
            <w:r w:rsidRPr="00823C19">
              <w:t>IU;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823C19">
              <w:tab/>
            </w:r>
            <w:r w:rsidRPr="00731824">
              <w:rPr>
                <w:lang w:val="de-DE"/>
              </w:rPr>
              <w:t>(c)</w:t>
            </w:r>
            <w:r w:rsidRPr="00731824">
              <w:rPr>
                <w:lang w:val="de-DE"/>
              </w:rPr>
              <w:tab/>
              <w:t>PT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25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(d)</w:t>
            </w:r>
            <w:r w:rsidRPr="00731824">
              <w:rPr>
                <w:lang w:val="de-DE"/>
              </w:rPr>
              <w:tab/>
              <w:t>FHA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25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731824" w:rsidRDefault="00AF3A95" w:rsidP="00AF3A95">
            <w:pPr>
              <w:pStyle w:val="TableP1a"/>
              <w:rPr>
                <w:lang w:val="de-DE"/>
              </w:rPr>
            </w:pPr>
            <w:r w:rsidRPr="00731824">
              <w:rPr>
                <w:lang w:val="de-DE"/>
              </w:rPr>
              <w:tab/>
              <w:t>(e)</w:t>
            </w:r>
            <w:r w:rsidRPr="00731824">
              <w:rPr>
                <w:lang w:val="de-DE"/>
              </w:rPr>
              <w:tab/>
              <w:t>PRN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— 8</w:t>
            </w:r>
            <w:r w:rsidR="00BC727D" w:rsidRPr="00731824">
              <w:rPr>
                <w:lang w:val="de-DE"/>
              </w:rPr>
              <w:t> </w:t>
            </w:r>
            <w:r w:rsidRPr="00731824">
              <w:rPr>
                <w:lang w:val="de-DE"/>
              </w:rPr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731824">
              <w:rPr>
                <w:lang w:val="de-DE"/>
              </w:rPr>
              <w:tab/>
            </w:r>
            <w:r w:rsidRPr="00823C19">
              <w:t>(f)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1 (Mahoney)</w:t>
            </w:r>
            <w:r w:rsidR="00BC727D" w:rsidRPr="00823C19">
              <w:t> </w:t>
            </w:r>
            <w:r w:rsidRPr="00823C19">
              <w:t>— 40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(g)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2 (MEF</w:t>
            </w:r>
            <w:r w:rsidR="00314420" w:rsidRPr="00823C19">
              <w:noBreakHyphen/>
            </w:r>
            <w:r w:rsidRPr="00823C19">
              <w:t>1)</w:t>
            </w:r>
            <w:r w:rsidR="00BC727D" w:rsidRPr="00823C19">
              <w:t> </w:t>
            </w:r>
            <w:r w:rsidRPr="00823C19">
              <w:t>— 8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(h)</w:t>
            </w:r>
            <w:r w:rsidRPr="00823C19">
              <w:tab/>
              <w:t>inactivated poliovirus type</w:t>
            </w:r>
            <w:r w:rsidR="00BC727D" w:rsidRPr="00823C19">
              <w:t> </w:t>
            </w:r>
            <w:r w:rsidRPr="00823C19">
              <w:t>3 (Saukett)</w:t>
            </w:r>
            <w:r w:rsidR="00BC727D" w:rsidRPr="00823C19">
              <w:t> </w:t>
            </w:r>
            <w:r w:rsidRPr="00823C19">
              <w:t>— 32</w:t>
            </w:r>
            <w:r w:rsidR="00BC727D" w:rsidRPr="00823C19">
              <w:t> </w:t>
            </w:r>
            <w:r w:rsidRPr="00823C19">
              <w:t>D</w:t>
            </w:r>
            <w:r w:rsidR="00314420" w:rsidRPr="00823C19">
              <w:noBreakHyphen/>
            </w:r>
            <w:r w:rsidRPr="00823C19">
              <w:t>antigen units;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(i)</w:t>
            </w:r>
            <w:r w:rsidRPr="00823C19">
              <w:tab/>
              <w:t>recombinant hepatitis B surface antigen</w:t>
            </w:r>
            <w:r w:rsidR="00BC727D" w:rsidRPr="00823C19">
              <w:t> </w:t>
            </w:r>
            <w:r w:rsidRPr="00823C19">
              <w:t>— 10</w:t>
            </w:r>
            <w:r w:rsidR="00BC727D" w:rsidRPr="00823C19">
              <w:t> </w:t>
            </w:r>
            <w:r w:rsidRPr="00823C19">
              <w:t>µg;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(j)</w:t>
            </w:r>
            <w:r w:rsidRPr="00823C19">
              <w:tab/>
              <w:t>purified Hib capsular polysaccharide conjugated to tetanus toxoid</w:t>
            </w:r>
            <w:r w:rsidR="00BC727D" w:rsidRPr="00823C19">
              <w:t> </w:t>
            </w:r>
            <w:r w:rsidRPr="00823C19">
              <w:t>— 10</w:t>
            </w:r>
            <w:r w:rsidR="00BC727D" w:rsidRPr="00823C19">
              <w:t> </w:t>
            </w:r>
            <w:r w:rsidRPr="00823C19">
              <w:t>µg</w:t>
            </w:r>
          </w:p>
        </w:tc>
        <w:tc>
          <w:tcPr>
            <w:tcW w:w="1440" w:type="dxa"/>
          </w:tcPr>
          <w:p w:rsidR="00AF3A95" w:rsidRPr="00823C19" w:rsidRDefault="00AF3A95" w:rsidP="00AF3A95">
            <w:pPr>
              <w:pStyle w:val="TableText"/>
            </w:pPr>
            <w:r w:rsidRPr="00823C19">
              <w:t>3 doses</w:t>
            </w:r>
          </w:p>
        </w:tc>
      </w:tr>
      <w:tr w:rsidR="00AF3A95" w:rsidRPr="00823C19">
        <w:trPr>
          <w:cantSplit/>
        </w:trPr>
        <w:tc>
          <w:tcPr>
            <w:tcW w:w="614" w:type="dxa"/>
            <w:tcBorders>
              <w:bottom w:val="single" w:sz="4" w:space="0" w:color="auto"/>
            </w:tcBorders>
          </w:tcPr>
          <w:p w:rsidR="00AF3A95" w:rsidRPr="00823C19" w:rsidRDefault="00AF3A95" w:rsidP="00AF3A95">
            <w:pPr>
              <w:pStyle w:val="TableText"/>
            </w:pPr>
            <w:r w:rsidRPr="00823C19">
              <w:t>306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AF3A95" w:rsidRPr="00823C19" w:rsidRDefault="00AF3A95" w:rsidP="00AF3A95">
            <w:pPr>
              <w:pStyle w:val="TableColHead"/>
            </w:pPr>
            <w:r w:rsidRPr="00823C19">
              <w:t>Vaccine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 xml:space="preserve">Hepatitis B and </w:t>
            </w:r>
            <w:r w:rsidRPr="00823C19">
              <w:rPr>
                <w:i/>
                <w:iCs/>
              </w:rPr>
              <w:t>Haemophilus influenzae</w:t>
            </w:r>
            <w:r w:rsidRPr="00823C19">
              <w:t xml:space="preserve"> type b (Hib)</w:t>
            </w:r>
          </w:p>
          <w:p w:rsidR="00AF3A95" w:rsidRPr="00823C19" w:rsidRDefault="00AF3A95" w:rsidP="00AF3A95">
            <w:pPr>
              <w:pStyle w:val="TableColHead"/>
            </w:pPr>
            <w:r w:rsidRPr="00823C19">
              <w:t>Circumstances</w:t>
            </w:r>
          </w:p>
          <w:p w:rsidR="00AF3A95" w:rsidRPr="00823C19" w:rsidRDefault="00AF3A95" w:rsidP="00AF3A95">
            <w:pPr>
              <w:pStyle w:val="TableText"/>
            </w:pPr>
            <w:r w:rsidRPr="00823C19">
              <w:t>Vaccine may be provided to a child who is about 2,</w:t>
            </w:r>
            <w:r w:rsidR="001E6838">
              <w:t> </w:t>
            </w:r>
            <w:r w:rsidRPr="00823C19">
              <w:t>4 or 12</w:t>
            </w:r>
            <w:r w:rsidR="00BC727D" w:rsidRPr="00823C19">
              <w:t> </w:t>
            </w:r>
            <w:r w:rsidRPr="00823C19">
              <w:t>months</w:t>
            </w:r>
            <w:r w:rsidR="0096356E">
              <w:t xml:space="preserve"> old.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A95" w:rsidRPr="00823C19" w:rsidRDefault="00AF3A95" w:rsidP="00AF3A95">
            <w:pPr>
              <w:pStyle w:val="TableText"/>
            </w:pPr>
            <w:r w:rsidRPr="00823C19">
              <w:t>Comvax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F3A95" w:rsidRPr="00823C19" w:rsidRDefault="00AF3A95" w:rsidP="00AF3A95">
            <w:pPr>
              <w:pStyle w:val="TableText"/>
            </w:pPr>
            <w:r w:rsidRPr="00823C19">
              <w:t>Vial for injection (0.5mL)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F3A95" w:rsidRPr="00823C19" w:rsidRDefault="00AF3A95" w:rsidP="00AF3A95">
            <w:pPr>
              <w:pStyle w:val="TableText"/>
            </w:pPr>
            <w:r w:rsidRPr="00823C19">
              <w:t>Each of the following: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(a)</w:t>
            </w:r>
            <w:r w:rsidRPr="00823C19">
              <w:tab/>
              <w:t>Hepatitis B surface antigen</w:t>
            </w:r>
            <w:r w:rsidR="00BC727D" w:rsidRPr="00823C19">
              <w:t> </w:t>
            </w:r>
            <w:r w:rsidRPr="00823C19">
              <w:t>— 5µg;</w:t>
            </w:r>
          </w:p>
          <w:p w:rsidR="00AF3A95" w:rsidRPr="00823C19" w:rsidRDefault="00AF3A95" w:rsidP="00AF3A95">
            <w:pPr>
              <w:pStyle w:val="TableP1a"/>
            </w:pPr>
            <w:r w:rsidRPr="00823C19">
              <w:tab/>
              <w:t>(b)</w:t>
            </w:r>
            <w:r w:rsidRPr="00823C19">
              <w:tab/>
              <w:t>purified Hib capsular polysaccharide conjugated to meningococcal protein</w:t>
            </w:r>
            <w:r w:rsidR="00BC727D" w:rsidRPr="00823C19">
              <w:t> </w:t>
            </w:r>
            <w:r w:rsidRPr="00823C19">
              <w:t>— 7.5µg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3A95" w:rsidRPr="00823C19" w:rsidRDefault="00AF3A95" w:rsidP="00AF3A95">
            <w:pPr>
              <w:pStyle w:val="TableText"/>
            </w:pPr>
            <w:r w:rsidRPr="00823C19">
              <w:t>3 doses</w:t>
            </w:r>
          </w:p>
        </w:tc>
      </w:tr>
    </w:tbl>
    <w:p w:rsidR="00C24FB2" w:rsidRDefault="00C24FB2" w:rsidP="00C24FB2">
      <w:pPr>
        <w:pStyle w:val="NoteEnd"/>
        <w:keepNext/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</w:t>
      </w:r>
    </w:p>
    <w:p w:rsidR="00C24FB2" w:rsidRPr="00823C19" w:rsidRDefault="00C24FB2" w:rsidP="00F42B46">
      <w:pPr>
        <w:tabs>
          <w:tab w:val="left" w:pos="938"/>
        </w:tabs>
        <w:sectPr w:rsidR="00C24FB2" w:rsidRPr="00823C19" w:rsidSect="009D0E8C">
          <w:headerReference w:type="default" r:id="rId27"/>
          <w:pgSz w:w="16839" w:h="11907" w:orient="landscape" w:code="9"/>
          <w:pgMar w:top="1797" w:right="1440" w:bottom="1440" w:left="1440" w:header="567" w:footer="1984" w:gutter="0"/>
          <w:cols w:space="708"/>
          <w:docGrid w:linePitch="360"/>
        </w:sectPr>
      </w:pPr>
      <w:r>
        <w:t xml:space="preserve">All legislative instruments and compilations are registered on the Federal Register of Legislative Instruments kept under the </w:t>
      </w:r>
      <w:r>
        <w:rPr>
          <w:i/>
        </w:rPr>
        <w:t xml:space="preserve">Legislative Instruments Act 2003. </w:t>
      </w:r>
      <w:r>
        <w:t xml:space="preserve">See </w:t>
      </w:r>
      <w:hyperlink r:id="rId28" w:history="1">
        <w:r>
          <w:rPr>
            <w:rStyle w:val="Hyperlink"/>
          </w:rPr>
          <w:t>www.comlaw.gov.au</w:t>
        </w:r>
      </w:hyperlink>
      <w:r>
        <w:t>.</w:t>
      </w:r>
      <w:r w:rsidRPr="00C24FB2">
        <w:rPr>
          <w:i/>
        </w:rPr>
        <w:t xml:space="preserve"> </w:t>
      </w:r>
    </w:p>
    <w:p w:rsidR="00C24FB2" w:rsidRPr="00AB3394" w:rsidRDefault="00C93902" w:rsidP="00AB3394">
      <w:pPr>
        <w:pStyle w:val="ENotesHeading1"/>
      </w:pPr>
      <w:bookmarkStart w:id="27" w:name="_Toc410898755"/>
      <w:bookmarkStart w:id="28" w:name="_Toc410899240"/>
      <w:bookmarkStart w:id="29" w:name="_Toc411257385"/>
      <w:r w:rsidRPr="00AB3394">
        <w:t>Endnotes</w:t>
      </w:r>
      <w:bookmarkEnd w:id="27"/>
      <w:bookmarkEnd w:id="28"/>
      <w:bookmarkEnd w:id="29"/>
      <w:r w:rsidR="008C70B3">
        <w:tab/>
      </w:r>
    </w:p>
    <w:p w:rsidR="006059D8" w:rsidRPr="00BC57F4" w:rsidRDefault="006059D8" w:rsidP="006059D8">
      <w:pPr>
        <w:pStyle w:val="ENotesHeading2"/>
      </w:pPr>
      <w:bookmarkStart w:id="30" w:name="_Toc410898756"/>
      <w:bookmarkStart w:id="31" w:name="_Toc410899241"/>
      <w:bookmarkStart w:id="32" w:name="_Toc411257386"/>
      <w:r w:rsidRPr="00BC57F4">
        <w:t>Endnote 1—About the endnotes</w:t>
      </w:r>
      <w:bookmarkEnd w:id="30"/>
      <w:bookmarkEnd w:id="31"/>
      <w:bookmarkEnd w:id="32"/>
    </w:p>
    <w:p w:rsidR="006059D8" w:rsidRPr="00BC57F4" w:rsidRDefault="006059D8" w:rsidP="006059D8">
      <w:r w:rsidRPr="00BC57F4">
        <w:t>The endnotes provide details of the history of this</w:t>
      </w:r>
      <w:r>
        <w:t xml:space="preserve"> legislation</w:t>
      </w:r>
      <w:r w:rsidRPr="00BC57F4">
        <w:t xml:space="preserve"> and its provisions. The following endnotes are included in each compilation:</w:t>
      </w:r>
    </w:p>
    <w:p w:rsidR="006059D8" w:rsidRPr="00BC57F4" w:rsidRDefault="006059D8" w:rsidP="006059D8"/>
    <w:p w:rsidR="006059D8" w:rsidRPr="00BC57F4" w:rsidRDefault="006059D8" w:rsidP="006059D8">
      <w:r w:rsidRPr="00BC57F4">
        <w:t>Endnote 1—About the endnotes</w:t>
      </w:r>
    </w:p>
    <w:p w:rsidR="006059D8" w:rsidRPr="00BC57F4" w:rsidRDefault="006059D8" w:rsidP="006059D8">
      <w:r w:rsidRPr="00BC57F4">
        <w:t>Endnote 2—Abbreviation key</w:t>
      </w:r>
    </w:p>
    <w:p w:rsidR="006059D8" w:rsidRPr="00BC57F4" w:rsidRDefault="006059D8" w:rsidP="006059D8">
      <w:r w:rsidRPr="00BC57F4">
        <w:t>Endnote 3—Legislation history</w:t>
      </w:r>
    </w:p>
    <w:p w:rsidR="006059D8" w:rsidRPr="00BC57F4" w:rsidRDefault="006059D8" w:rsidP="006059D8">
      <w:r w:rsidRPr="00BC57F4">
        <w:t>Endnote 4—Amendment history</w:t>
      </w:r>
    </w:p>
    <w:p w:rsidR="006059D8" w:rsidRPr="00BC57F4" w:rsidRDefault="006059D8" w:rsidP="006059D8">
      <w:r w:rsidRPr="00BC57F4">
        <w:t>Endnote 5—Uncommenced amendments</w:t>
      </w:r>
    </w:p>
    <w:p w:rsidR="006059D8" w:rsidRPr="00BC57F4" w:rsidRDefault="006059D8" w:rsidP="006059D8">
      <w:r w:rsidRPr="00BC57F4">
        <w:t>Endnote 6—Modifications</w:t>
      </w:r>
    </w:p>
    <w:p w:rsidR="006059D8" w:rsidRPr="00BC57F4" w:rsidRDefault="006059D8" w:rsidP="006059D8">
      <w:r w:rsidRPr="00BC57F4">
        <w:t>Endnote 7—Misdescribed amendments</w:t>
      </w:r>
    </w:p>
    <w:p w:rsidR="006059D8" w:rsidRPr="00BC57F4" w:rsidRDefault="006059D8" w:rsidP="006059D8">
      <w:r w:rsidRPr="00BC57F4">
        <w:t>Endnote 8—Miscellaneous</w:t>
      </w:r>
    </w:p>
    <w:p w:rsidR="006059D8" w:rsidRPr="00BC57F4" w:rsidRDefault="006059D8" w:rsidP="006059D8">
      <w:pPr>
        <w:rPr>
          <w:b/>
        </w:rPr>
      </w:pPr>
    </w:p>
    <w:p w:rsidR="006059D8" w:rsidRPr="00BC57F4" w:rsidRDefault="006059D8" w:rsidP="006059D8">
      <w:r w:rsidRPr="00BC57F4">
        <w:t>If there is no information under a particular endnote, the word “none” will appear in square brackets after the endnote heading.</w:t>
      </w:r>
    </w:p>
    <w:p w:rsidR="006059D8" w:rsidRPr="00BC57F4" w:rsidRDefault="006059D8" w:rsidP="006059D8">
      <w:pPr>
        <w:rPr>
          <w:b/>
        </w:rPr>
      </w:pPr>
    </w:p>
    <w:p w:rsidR="006059D8" w:rsidRPr="00BC57F4" w:rsidRDefault="006059D8" w:rsidP="006059D8">
      <w:r w:rsidRPr="00BC57F4">
        <w:rPr>
          <w:b/>
        </w:rPr>
        <w:t>Abbreviation key—</w:t>
      </w:r>
      <w:r>
        <w:rPr>
          <w:b/>
        </w:rPr>
        <w:t>E</w:t>
      </w:r>
      <w:r w:rsidRPr="00BC57F4">
        <w:rPr>
          <w:b/>
        </w:rPr>
        <w:t>ndnote 2</w:t>
      </w:r>
    </w:p>
    <w:p w:rsidR="006059D8" w:rsidRPr="00BC57F4" w:rsidRDefault="006059D8" w:rsidP="006059D8">
      <w:r w:rsidRPr="00BC57F4">
        <w:t xml:space="preserve">The abbreviation key in this endnote sets out abbreviations </w:t>
      </w:r>
      <w:r>
        <w:t xml:space="preserve">that may be </w:t>
      </w:r>
      <w:r w:rsidRPr="00BC57F4">
        <w:t>used in the endnotes.</w:t>
      </w:r>
    </w:p>
    <w:p w:rsidR="006059D8" w:rsidRPr="00BC57F4" w:rsidRDefault="006059D8" w:rsidP="006059D8"/>
    <w:p w:rsidR="006059D8" w:rsidRPr="00BC57F4" w:rsidRDefault="006059D8" w:rsidP="006059D8">
      <w:pPr>
        <w:rPr>
          <w:b/>
        </w:rPr>
      </w:pPr>
      <w:r w:rsidRPr="00BC57F4">
        <w:rPr>
          <w:b/>
        </w:rPr>
        <w:t>Legislation history and amendment history—</w:t>
      </w:r>
      <w:r>
        <w:rPr>
          <w:b/>
        </w:rPr>
        <w:t>E</w:t>
      </w:r>
      <w:r w:rsidRPr="00BC57F4">
        <w:rPr>
          <w:b/>
        </w:rPr>
        <w:t>ndnotes 3 and 4</w:t>
      </w:r>
    </w:p>
    <w:p w:rsidR="006059D8" w:rsidRPr="00BC57F4" w:rsidRDefault="006059D8" w:rsidP="006059D8">
      <w:r w:rsidRPr="00BC57F4">
        <w:t>Amending laws are annotated in the legislation history and amendment history.</w:t>
      </w:r>
    </w:p>
    <w:p w:rsidR="006059D8" w:rsidRPr="00BC57F4" w:rsidRDefault="006059D8" w:rsidP="006059D8"/>
    <w:p w:rsidR="006059D8" w:rsidRPr="00BC57F4" w:rsidRDefault="006059D8" w:rsidP="006059D8">
      <w:r w:rsidRPr="00BC57F4">
        <w:t>The legislation history in endnote 3 provides information about each law that has amended the compiled law</w:t>
      </w:r>
      <w:r>
        <w:t xml:space="preserve">. </w:t>
      </w:r>
      <w:r w:rsidRPr="00BC57F4">
        <w:t xml:space="preserve">The information includes commencement information for amending laws and details of application, saving </w:t>
      </w:r>
      <w:r>
        <w:t>or</w:t>
      </w:r>
      <w:r w:rsidRPr="00BC57F4">
        <w:t xml:space="preserve"> transitional provisions that are not</w:t>
      </w:r>
      <w:r>
        <w:t xml:space="preserve"> included in this compilation.</w:t>
      </w:r>
    </w:p>
    <w:p w:rsidR="006059D8" w:rsidRPr="00BC57F4" w:rsidRDefault="006059D8" w:rsidP="006059D8"/>
    <w:p w:rsidR="006059D8" w:rsidRPr="00BC57F4" w:rsidRDefault="006059D8" w:rsidP="006059D8">
      <w:r w:rsidRPr="00BC57F4">
        <w:t xml:space="preserve">The amendment history in endnote 4 provides information about amendments at the provision level. It also includes information about any provisions that have expired or otherwise ceased to have effect in accordance with a provision of the compiled law. </w:t>
      </w:r>
    </w:p>
    <w:p w:rsidR="006059D8" w:rsidRPr="00BC57F4" w:rsidRDefault="006059D8" w:rsidP="006059D8">
      <w:pPr>
        <w:rPr>
          <w:b/>
        </w:rPr>
      </w:pPr>
    </w:p>
    <w:p w:rsidR="006059D8" w:rsidRPr="00BC57F4" w:rsidRDefault="006059D8" w:rsidP="006059D8">
      <w:pPr>
        <w:rPr>
          <w:b/>
        </w:rPr>
      </w:pPr>
      <w:r w:rsidRPr="00BC57F4">
        <w:rPr>
          <w:b/>
        </w:rPr>
        <w:t>Uncommenced amendments—</w:t>
      </w:r>
      <w:r>
        <w:rPr>
          <w:b/>
        </w:rPr>
        <w:t>E</w:t>
      </w:r>
      <w:r w:rsidRPr="00BC57F4">
        <w:rPr>
          <w:b/>
        </w:rPr>
        <w:t>ndnote 5</w:t>
      </w:r>
    </w:p>
    <w:p w:rsidR="006059D8" w:rsidRDefault="006059D8" w:rsidP="006059D8">
      <w:r w:rsidRPr="00BC57F4">
        <w:t xml:space="preserve">The effect of uncommenced amendments is not reflected in the text of the compiled law, but the text of the amendments </w:t>
      </w:r>
      <w:r>
        <w:t>is</w:t>
      </w:r>
      <w:r w:rsidRPr="00BC57F4">
        <w:t xml:space="preserve"> included in endnote 5.</w:t>
      </w:r>
    </w:p>
    <w:p w:rsidR="006059D8" w:rsidRPr="00BC57F4" w:rsidRDefault="006059D8" w:rsidP="006059D8"/>
    <w:p w:rsidR="006059D8" w:rsidRPr="00BC57F4" w:rsidRDefault="006059D8" w:rsidP="006059D8">
      <w:pPr>
        <w:keepNext/>
        <w:rPr>
          <w:b/>
        </w:rPr>
      </w:pPr>
      <w:r w:rsidRPr="00BC57F4">
        <w:rPr>
          <w:b/>
        </w:rPr>
        <w:t>Modifications—</w:t>
      </w:r>
      <w:r>
        <w:rPr>
          <w:b/>
        </w:rPr>
        <w:t>E</w:t>
      </w:r>
      <w:r w:rsidRPr="00BC57F4">
        <w:rPr>
          <w:b/>
        </w:rPr>
        <w:t>ndnote 6</w:t>
      </w:r>
    </w:p>
    <w:p w:rsidR="006059D8" w:rsidRPr="00BC57F4" w:rsidRDefault="006059D8" w:rsidP="006059D8">
      <w:r w:rsidRPr="00BC57F4">
        <w:t>If the compiled law is affected by a modification that is in force, details of the modification are included in endnote 6.</w:t>
      </w:r>
    </w:p>
    <w:p w:rsidR="006059D8" w:rsidRPr="00BC57F4" w:rsidRDefault="006059D8" w:rsidP="006059D8"/>
    <w:p w:rsidR="006059D8" w:rsidRPr="00BC57F4" w:rsidRDefault="006059D8" w:rsidP="006059D8">
      <w:pPr>
        <w:keepNext/>
      </w:pPr>
      <w:r w:rsidRPr="00BC57F4">
        <w:rPr>
          <w:b/>
        </w:rPr>
        <w:t>Misdescribed amendments—</w:t>
      </w:r>
      <w:r>
        <w:rPr>
          <w:b/>
        </w:rPr>
        <w:t>E</w:t>
      </w:r>
      <w:r w:rsidRPr="00BC57F4">
        <w:rPr>
          <w:b/>
        </w:rPr>
        <w:t>ndnote 7</w:t>
      </w:r>
    </w:p>
    <w:p w:rsidR="006059D8" w:rsidRPr="00BC57F4" w:rsidRDefault="006059D8" w:rsidP="006059D8">
      <w:r w:rsidRPr="00BC57F4">
        <w:t>An amendment is a misdescribed amendment if the effect of the amendment cannot be incorporated into the text of the compilation</w:t>
      </w:r>
      <w:r>
        <w:t>.</w:t>
      </w:r>
      <w:r w:rsidRPr="00BC57F4">
        <w:t xml:space="preserve"> Any misdescribed amendment is included in endnote </w:t>
      </w:r>
      <w:r>
        <w:t>7</w:t>
      </w:r>
      <w:r w:rsidRPr="00BC57F4">
        <w:t>.</w:t>
      </w:r>
    </w:p>
    <w:p w:rsidR="006059D8" w:rsidRPr="00BC57F4" w:rsidRDefault="006059D8" w:rsidP="006059D8"/>
    <w:p w:rsidR="006059D8" w:rsidRPr="00BC57F4" w:rsidRDefault="006059D8" w:rsidP="006059D8">
      <w:pPr>
        <w:rPr>
          <w:b/>
        </w:rPr>
      </w:pPr>
      <w:r w:rsidRPr="00BC57F4">
        <w:rPr>
          <w:b/>
        </w:rPr>
        <w:t>Miscellaneous—</w:t>
      </w:r>
      <w:r>
        <w:rPr>
          <w:b/>
        </w:rPr>
        <w:t>E</w:t>
      </w:r>
      <w:r w:rsidRPr="00BC57F4">
        <w:rPr>
          <w:b/>
        </w:rPr>
        <w:t xml:space="preserve">ndnote </w:t>
      </w:r>
      <w:r>
        <w:rPr>
          <w:b/>
        </w:rPr>
        <w:t>8</w:t>
      </w:r>
    </w:p>
    <w:p w:rsidR="006059D8" w:rsidRPr="00BC57F4" w:rsidRDefault="006059D8" w:rsidP="006059D8">
      <w:r w:rsidRPr="00BC57F4">
        <w:t xml:space="preserve">Endnote </w:t>
      </w:r>
      <w:r>
        <w:t>8</w:t>
      </w:r>
      <w:r w:rsidRPr="00BC57F4">
        <w:t xml:space="preserve"> includes any additional information </w:t>
      </w:r>
      <w:r>
        <w:t>that may</w:t>
      </w:r>
      <w:r w:rsidRPr="00BC57F4">
        <w:t xml:space="preserve"> be helpful for a reader of the compilation.</w:t>
      </w:r>
    </w:p>
    <w:p w:rsidR="006059D8" w:rsidRPr="00BC57F4" w:rsidRDefault="006059D8" w:rsidP="006059D8">
      <w:pPr>
        <w:pStyle w:val="ENotesHeading2"/>
        <w:pageBreakBefore/>
        <w:outlineLvl w:val="9"/>
      </w:pPr>
      <w:bookmarkStart w:id="33" w:name="_Toc410898757"/>
      <w:bookmarkStart w:id="34" w:name="_Toc410899242"/>
      <w:bookmarkStart w:id="35" w:name="_Toc411257387"/>
      <w:r w:rsidRPr="00BC57F4">
        <w:t>Endnote 2—Abbreviation key</w:t>
      </w:r>
      <w:bookmarkEnd w:id="33"/>
      <w:bookmarkEnd w:id="34"/>
      <w:bookmarkEnd w:id="35"/>
    </w:p>
    <w:p w:rsidR="006059D8" w:rsidRDefault="006059D8" w:rsidP="006059D8">
      <w:pPr>
        <w:pStyle w:val="Tabletext0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ad = added or inserted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pres = present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am = amended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prev = previous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c = clause(s)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(prev) = previously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Ch = Chapter(s)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Pt = Part(s)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def = definition(s)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 = regulation(s)/rule(s)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Dict = Dictionary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Reg = Regulation/Regulations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disallowed = disallowed by Parliament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reloc = relocated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Div = Division(s)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renum = renumbered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exp = expired or ceased to have effect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rep = repealed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hdg = heading(s)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rs = repealed and substituted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 xml:space="preserve">LI = </w:t>
            </w:r>
            <w:r>
              <w:rPr>
                <w:sz w:val="20"/>
              </w:rPr>
              <w:t>l</w:t>
            </w:r>
            <w:r w:rsidRPr="002F1C9A">
              <w:rPr>
                <w:sz w:val="20"/>
              </w:rPr>
              <w:t xml:space="preserve">egislative </w:t>
            </w:r>
            <w:r>
              <w:rPr>
                <w:sz w:val="20"/>
              </w:rPr>
              <w:t>i</w:t>
            </w:r>
            <w:r w:rsidRPr="002F1C9A">
              <w:rPr>
                <w:sz w:val="20"/>
              </w:rPr>
              <w:t>nstrument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 = section(s)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 xml:space="preserve">LIA = </w:t>
            </w:r>
            <w:r w:rsidRPr="002F1C9A">
              <w:rPr>
                <w:i/>
                <w:sz w:val="20"/>
              </w:rPr>
              <w:t>Legislative Instruments Act 2003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Sch = Schedule(s)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mod = modified/modification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Sdiv = Subdivision(s)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 xml:space="preserve">No </w:t>
            </w:r>
            <w:r>
              <w:rPr>
                <w:sz w:val="20"/>
              </w:rPr>
              <w:t>=</w:t>
            </w:r>
            <w:r w:rsidRPr="002F1C9A">
              <w:rPr>
                <w:sz w:val="20"/>
              </w:rPr>
              <w:t xml:space="preserve"> Number(s)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SLI = Select Legislative Instrument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o = order(s)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SR = Statutory Rules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Ord = Ordinance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Sub-Ch = Sub-Chapter(s)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orig = original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SubPt = Subpart(s)</w:t>
            </w: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par = paragraph(s)/subparagraph(s)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</w:p>
        </w:tc>
      </w:tr>
      <w:tr w:rsidR="006059D8" w:rsidRPr="002F1C9A" w:rsidTr="002F5D6A"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tabs>
                <w:tab w:val="left" w:pos="454"/>
              </w:tabs>
              <w:rPr>
                <w:sz w:val="20"/>
              </w:rPr>
            </w:pPr>
            <w:r w:rsidRPr="002F1C9A">
              <w:rPr>
                <w:sz w:val="20"/>
              </w:rPr>
              <w:tab/>
              <w:t>/sub</w:t>
            </w:r>
            <w:r>
              <w:rPr>
                <w:sz w:val="20"/>
              </w:rPr>
              <w:t>-</w:t>
            </w:r>
            <w:r w:rsidRPr="002F1C9A">
              <w:rPr>
                <w:sz w:val="20"/>
              </w:rPr>
              <w:t>subparagraph(s)</w:t>
            </w:r>
          </w:p>
        </w:tc>
        <w:tc>
          <w:tcPr>
            <w:tcW w:w="3543" w:type="dxa"/>
            <w:shd w:val="clear" w:color="auto" w:fill="auto"/>
          </w:tcPr>
          <w:p w:rsidR="006059D8" w:rsidRPr="002F1C9A" w:rsidRDefault="006059D8" w:rsidP="002F5D6A">
            <w:pPr>
              <w:pStyle w:val="ENoteTableText"/>
              <w:rPr>
                <w:sz w:val="20"/>
              </w:rPr>
            </w:pPr>
          </w:p>
        </w:tc>
      </w:tr>
    </w:tbl>
    <w:p w:rsidR="006059D8" w:rsidRPr="00BC57F4" w:rsidRDefault="006059D8" w:rsidP="006059D8">
      <w:pPr>
        <w:pStyle w:val="Tabletext0"/>
      </w:pPr>
    </w:p>
    <w:p w:rsidR="006059D8" w:rsidRDefault="006059D8" w:rsidP="006059D8">
      <w:pPr>
        <w:pStyle w:val="ENotesHeading2"/>
        <w:pageBreakBefore/>
      </w:pPr>
      <w:bookmarkStart w:id="36" w:name="_Toc410898758"/>
      <w:bookmarkStart w:id="37" w:name="_Toc410899243"/>
      <w:bookmarkStart w:id="38" w:name="_Toc411257388"/>
      <w:r>
        <w:t>Endnote 3—Legislation history</w:t>
      </w:r>
      <w:bookmarkEnd w:id="36"/>
      <w:bookmarkEnd w:id="37"/>
      <w:bookmarkEnd w:id="38"/>
    </w:p>
    <w:p w:rsidR="006059D8" w:rsidRDefault="006059D8" w:rsidP="006059D8">
      <w:pPr>
        <w:pStyle w:val="Tabletext0"/>
      </w:pPr>
    </w:p>
    <w:tbl>
      <w:tblPr>
        <w:tblW w:w="7224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</w:tblGrid>
      <w:tr w:rsidR="006059D8" w:rsidRPr="0098546F" w:rsidTr="002F5D6A">
        <w:trPr>
          <w:cantSplit/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59D8" w:rsidRPr="00E117A3" w:rsidRDefault="006059D8" w:rsidP="002F5D6A">
            <w:pPr>
              <w:pStyle w:val="ENoteTableHeading"/>
            </w:pPr>
            <w:r>
              <w:t>Name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59D8" w:rsidRPr="00E117A3" w:rsidRDefault="006059D8" w:rsidP="002F5D6A">
            <w:pPr>
              <w:pStyle w:val="ENoteTableHeading"/>
            </w:pPr>
            <w:r>
              <w:t>FRLI registration or gazettal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59D8" w:rsidRPr="00E117A3" w:rsidRDefault="006059D8" w:rsidP="002F5D6A">
            <w:pPr>
              <w:pStyle w:val="ENoteTableHeading"/>
            </w:pPr>
            <w:r>
              <w:t>Commencement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59D8" w:rsidRPr="00E117A3" w:rsidRDefault="006059D8" w:rsidP="002F5D6A">
            <w:pPr>
              <w:pStyle w:val="ENoteTableHeading"/>
            </w:pPr>
            <w:r w:rsidRPr="00E117A3">
              <w:t>Application, saving and transitional provisions</w:t>
            </w:r>
          </w:p>
        </w:tc>
      </w:tr>
      <w:tr w:rsidR="006059D8" w:rsidRPr="00E117A3" w:rsidTr="002F5D6A">
        <w:trPr>
          <w:cantSplit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59D8" w:rsidRPr="00E117A3" w:rsidRDefault="005505B0" w:rsidP="002F5D6A">
            <w:pPr>
              <w:pStyle w:val="ENoteTableText"/>
            </w:pPr>
            <w:r w:rsidRPr="00B815B4">
              <w:t>National Health (Immunisation Program — Designated Vaccines) Determination 2014 (No.1)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59D8" w:rsidRPr="00E117A3" w:rsidRDefault="00C3450B" w:rsidP="002F5D6A">
            <w:pPr>
              <w:pStyle w:val="ENoteTableText"/>
            </w:pPr>
            <w:r w:rsidRPr="00A555E7">
              <w:t>F2014L01255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59D8" w:rsidRPr="00E117A3" w:rsidRDefault="00A555E7" w:rsidP="002F5D6A">
            <w:pPr>
              <w:pStyle w:val="ENoteTableText"/>
            </w:pPr>
            <w:r>
              <w:t>23 Sept 2014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59D8" w:rsidRPr="00E117A3" w:rsidRDefault="00A555E7" w:rsidP="002F5D6A">
            <w:pPr>
              <w:pStyle w:val="ENoteTableText"/>
            </w:pPr>
            <w:r>
              <w:t>_</w:t>
            </w:r>
          </w:p>
        </w:tc>
      </w:tr>
      <w:tr w:rsidR="006059D8" w:rsidTr="00D27D89">
        <w:trPr>
          <w:cantSplit/>
        </w:trPr>
        <w:tc>
          <w:tcPr>
            <w:tcW w:w="1809" w:type="dxa"/>
            <w:shd w:val="clear" w:color="auto" w:fill="auto"/>
          </w:tcPr>
          <w:p w:rsidR="006059D8" w:rsidRPr="00E117A3" w:rsidRDefault="00086B46" w:rsidP="002F5D6A">
            <w:pPr>
              <w:pStyle w:val="ENoteTableText"/>
            </w:pPr>
            <w:r w:rsidRPr="00A555E7">
              <w:t>National Health (Immunisation Program - Designated Vaccines) Variation Determination 2014 (No.1)</w:t>
            </w:r>
          </w:p>
        </w:tc>
        <w:tc>
          <w:tcPr>
            <w:tcW w:w="1809" w:type="dxa"/>
            <w:shd w:val="clear" w:color="auto" w:fill="auto"/>
          </w:tcPr>
          <w:p w:rsidR="006059D8" w:rsidRPr="00E117A3" w:rsidRDefault="00086B46" w:rsidP="002F5D6A">
            <w:pPr>
              <w:pStyle w:val="ENoteTableText"/>
            </w:pPr>
            <w:r>
              <w:t>F2014L01822</w:t>
            </w:r>
          </w:p>
        </w:tc>
        <w:tc>
          <w:tcPr>
            <w:tcW w:w="1809" w:type="dxa"/>
            <w:shd w:val="clear" w:color="auto" w:fill="auto"/>
          </w:tcPr>
          <w:p w:rsidR="006059D8" w:rsidRPr="00E117A3" w:rsidRDefault="00086B46" w:rsidP="002F5D6A">
            <w:pPr>
              <w:pStyle w:val="ENoteTableText"/>
            </w:pPr>
            <w:r>
              <w:t>1 Jan 2015</w:t>
            </w:r>
          </w:p>
        </w:tc>
        <w:tc>
          <w:tcPr>
            <w:tcW w:w="1809" w:type="dxa"/>
            <w:shd w:val="clear" w:color="auto" w:fill="auto"/>
          </w:tcPr>
          <w:p w:rsidR="006059D8" w:rsidRPr="00E117A3" w:rsidRDefault="00C3450B" w:rsidP="002F5D6A">
            <w:pPr>
              <w:pStyle w:val="ENoteTableText"/>
            </w:pPr>
            <w:r>
              <w:t>_</w:t>
            </w:r>
          </w:p>
        </w:tc>
      </w:tr>
      <w:tr w:rsidR="00D27D89" w:rsidTr="002F5D6A">
        <w:trPr>
          <w:cantSplit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D27D89" w:rsidRPr="00C83DCD" w:rsidRDefault="00D27D89" w:rsidP="00D27D89">
            <w:pPr>
              <w:pStyle w:val="ENoteTableText"/>
            </w:pPr>
            <w:r w:rsidRPr="00C83DCD">
              <w:t>National Health (Immunisation Program - Designated Vaccines) Variation Determination 2015 (No.1)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D27D89" w:rsidRPr="00C83DCD" w:rsidRDefault="00C83DCD" w:rsidP="00C83DCD">
            <w:pPr>
              <w:pStyle w:val="ENoteTableText"/>
            </w:pPr>
            <w:r w:rsidRPr="00C83DCD">
              <w:t>F2015L00715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D27D89" w:rsidRPr="00C83DCD" w:rsidRDefault="00D27D89" w:rsidP="002F5D6A">
            <w:pPr>
              <w:pStyle w:val="ENoteTableText"/>
            </w:pPr>
            <w:r w:rsidRPr="00C83DCD">
              <w:t>1 June 2015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D27D89" w:rsidRDefault="00D27D89" w:rsidP="002F5D6A">
            <w:pPr>
              <w:pStyle w:val="ENoteTableText"/>
            </w:pPr>
            <w:r>
              <w:t>_</w:t>
            </w:r>
          </w:p>
        </w:tc>
      </w:tr>
    </w:tbl>
    <w:p w:rsidR="006059D8" w:rsidRDefault="006059D8" w:rsidP="006059D8"/>
    <w:p w:rsidR="006059D8" w:rsidRDefault="006059D8" w:rsidP="006059D8">
      <w:pPr>
        <w:pStyle w:val="ENotesHeading2"/>
        <w:pageBreakBefore/>
      </w:pPr>
      <w:bookmarkStart w:id="39" w:name="_Toc410898759"/>
      <w:bookmarkStart w:id="40" w:name="_Toc410899244"/>
      <w:bookmarkStart w:id="41" w:name="_Toc411257389"/>
      <w:r>
        <w:t>Endnote 4—Amendment history</w:t>
      </w:r>
      <w:bookmarkEnd w:id="39"/>
      <w:bookmarkEnd w:id="40"/>
      <w:bookmarkEnd w:id="41"/>
    </w:p>
    <w:p w:rsidR="006059D8" w:rsidRPr="00D27D89" w:rsidRDefault="006059D8" w:rsidP="006059D8">
      <w:pPr>
        <w:pStyle w:val="Tabletext0"/>
        <w:rPr>
          <w:sz w:val="16"/>
          <w:szCs w:val="16"/>
        </w:rPr>
      </w:pPr>
    </w:p>
    <w:tbl>
      <w:tblPr>
        <w:tblW w:w="708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39"/>
        <w:gridCol w:w="4943"/>
      </w:tblGrid>
      <w:tr w:rsidR="006059D8" w:rsidRPr="0098546F" w:rsidTr="002F5D6A">
        <w:trPr>
          <w:cantSplit/>
          <w:tblHeader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59D8" w:rsidRPr="00E117A3" w:rsidRDefault="006059D8" w:rsidP="002F5D6A">
            <w:pPr>
              <w:pStyle w:val="ENoteTableHeading"/>
            </w:pPr>
            <w:r w:rsidRPr="00E117A3">
              <w:t>Provision affected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59D8" w:rsidRPr="00E117A3" w:rsidRDefault="006059D8" w:rsidP="002F5D6A">
            <w:pPr>
              <w:pStyle w:val="ENoteTableHeading"/>
            </w:pPr>
            <w:r w:rsidRPr="00E117A3">
              <w:t>How affected</w:t>
            </w:r>
          </w:p>
        </w:tc>
      </w:tr>
      <w:tr w:rsidR="00981D02" w:rsidRPr="00E117A3" w:rsidTr="002F5D6A">
        <w:trPr>
          <w:cantSplit/>
        </w:trPr>
        <w:tc>
          <w:tcPr>
            <w:tcW w:w="2139" w:type="dxa"/>
            <w:tcBorders>
              <w:top w:val="single" w:sz="12" w:space="0" w:color="auto"/>
            </w:tcBorders>
            <w:shd w:val="clear" w:color="auto" w:fill="auto"/>
          </w:tcPr>
          <w:p w:rsidR="00981D02" w:rsidRPr="00C83DCD" w:rsidRDefault="00981D02" w:rsidP="002F5D6A">
            <w:pPr>
              <w:pStyle w:val="ENoteTableText"/>
            </w:pPr>
            <w:r w:rsidRPr="00C83DCD">
              <w:t>s.</w:t>
            </w:r>
            <w:r w:rsidR="00BA5CA5" w:rsidRPr="00C83DCD">
              <w:t xml:space="preserve"> </w:t>
            </w:r>
            <w:r w:rsidRPr="00C83DCD">
              <w:t>7</w:t>
            </w:r>
            <w:r w:rsidR="00BA5CA5" w:rsidRPr="00C83DCD">
              <w:t xml:space="preserve"> …………………………. </w:t>
            </w:r>
          </w:p>
          <w:p w:rsidR="00BA5CA5" w:rsidRPr="00C83DCD" w:rsidRDefault="00834BE0" w:rsidP="002F5D6A">
            <w:pPr>
              <w:pStyle w:val="ENoteTableText"/>
            </w:pPr>
            <w:r w:rsidRPr="00C83DCD">
              <w:t>Sch 1, Part 1, Item</w:t>
            </w:r>
            <w:r w:rsidR="00BA5CA5" w:rsidRPr="00C83DCD">
              <w:t xml:space="preserve"> 102A</w:t>
            </w:r>
            <w:r w:rsidR="00107DB0" w:rsidRPr="00C83DCD">
              <w:t xml:space="preserve"> </w:t>
            </w:r>
            <w:r w:rsidRPr="00C83DCD">
              <w:t>......</w:t>
            </w:r>
          </w:p>
          <w:p w:rsidR="00981D02" w:rsidRPr="00C83DCD" w:rsidRDefault="00981D02" w:rsidP="002F5D6A">
            <w:pPr>
              <w:pStyle w:val="ENoteTableText"/>
            </w:pPr>
            <w:r w:rsidRPr="00C83DCD">
              <w:t>Sch 1, Part 2</w:t>
            </w:r>
            <w:r w:rsidR="00BA5CA5" w:rsidRPr="00C83DCD">
              <w:t xml:space="preserve"> ………………..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shd w:val="clear" w:color="auto" w:fill="auto"/>
          </w:tcPr>
          <w:p w:rsidR="00981D02" w:rsidRPr="00C83DCD" w:rsidRDefault="00981D02" w:rsidP="00B0188E">
            <w:pPr>
              <w:pStyle w:val="ENoteTableText"/>
            </w:pPr>
            <w:r w:rsidRPr="00C83DCD">
              <w:t>am. F2014L01822</w:t>
            </w:r>
          </w:p>
          <w:p w:rsidR="00BA5CA5" w:rsidRPr="00C83DCD" w:rsidRDefault="00BA5CA5" w:rsidP="00981D02">
            <w:pPr>
              <w:pStyle w:val="ENoteTableText"/>
            </w:pPr>
            <w:r w:rsidRPr="00C83DCD">
              <w:t xml:space="preserve">ad. </w:t>
            </w:r>
            <w:r w:rsidR="00C83DCD" w:rsidRPr="00C83DCD">
              <w:t xml:space="preserve"> F2015L00715</w:t>
            </w:r>
          </w:p>
          <w:p w:rsidR="00981D02" w:rsidRPr="00C83DCD" w:rsidRDefault="00981D02" w:rsidP="00BA5CA5">
            <w:pPr>
              <w:pStyle w:val="ENoteTableText"/>
            </w:pPr>
            <w:r w:rsidRPr="00C83DCD">
              <w:t>am. F2014L01822</w:t>
            </w:r>
          </w:p>
        </w:tc>
      </w:tr>
      <w:tr w:rsidR="00981D02" w:rsidTr="002F5D6A">
        <w:trPr>
          <w:cantSplit/>
        </w:trPr>
        <w:tc>
          <w:tcPr>
            <w:tcW w:w="2139" w:type="dxa"/>
            <w:shd w:val="clear" w:color="auto" w:fill="auto"/>
          </w:tcPr>
          <w:p w:rsidR="00981D02" w:rsidRPr="00E117A3" w:rsidRDefault="00981D02" w:rsidP="002F5D6A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981D02" w:rsidRPr="00E117A3" w:rsidRDefault="00981D02" w:rsidP="00D27D89">
            <w:pPr>
              <w:pStyle w:val="ENoteTableText"/>
            </w:pPr>
          </w:p>
        </w:tc>
      </w:tr>
      <w:tr w:rsidR="00981D02" w:rsidTr="002F5D6A">
        <w:trPr>
          <w:cantSplit/>
        </w:trPr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:rsidR="00981D02" w:rsidRPr="00E117A3" w:rsidRDefault="00981D02" w:rsidP="002F5D6A">
            <w:pPr>
              <w:pStyle w:val="ENoteTableText"/>
            </w:pPr>
          </w:p>
        </w:tc>
        <w:tc>
          <w:tcPr>
            <w:tcW w:w="4943" w:type="dxa"/>
            <w:tcBorders>
              <w:bottom w:val="single" w:sz="12" w:space="0" w:color="auto"/>
            </w:tcBorders>
            <w:shd w:val="clear" w:color="auto" w:fill="auto"/>
          </w:tcPr>
          <w:p w:rsidR="00981D02" w:rsidRPr="00E117A3" w:rsidRDefault="00981D02" w:rsidP="002F5D6A">
            <w:pPr>
              <w:pStyle w:val="ENoteTableText"/>
            </w:pPr>
          </w:p>
        </w:tc>
      </w:tr>
    </w:tbl>
    <w:p w:rsidR="006059D8" w:rsidRDefault="006059D8" w:rsidP="006059D8">
      <w:pPr>
        <w:pStyle w:val="Tabletext0"/>
      </w:pPr>
    </w:p>
    <w:p w:rsidR="006059D8" w:rsidRDefault="006059D8" w:rsidP="006059D8">
      <w:pPr>
        <w:pStyle w:val="ENotesHeading2"/>
        <w:pageBreakBefore/>
      </w:pPr>
      <w:bookmarkStart w:id="42" w:name="_Toc410898760"/>
      <w:bookmarkStart w:id="43" w:name="_Toc410899245"/>
      <w:bookmarkStart w:id="44" w:name="_Toc411257390"/>
      <w:r>
        <w:t>Endnote 5—Uncommenced amendments</w:t>
      </w:r>
      <w:bookmarkEnd w:id="42"/>
      <w:bookmarkEnd w:id="43"/>
      <w:bookmarkEnd w:id="44"/>
      <w:r w:rsidR="00CA4A88">
        <w:t xml:space="preserve"> [none]</w:t>
      </w:r>
    </w:p>
    <w:p w:rsidR="006059D8" w:rsidRDefault="006059D8" w:rsidP="006059D8">
      <w:pPr>
        <w:pStyle w:val="ENotesHeading2"/>
      </w:pPr>
      <w:bookmarkStart w:id="45" w:name="_Toc410898761"/>
      <w:bookmarkStart w:id="46" w:name="_Toc410899246"/>
      <w:bookmarkStart w:id="47" w:name="_Toc411257391"/>
      <w:r>
        <w:t>Endn</w:t>
      </w:r>
      <w:r w:rsidRPr="00786FBC">
        <w:t xml:space="preserve">ote </w:t>
      </w:r>
      <w:r>
        <w:t>6</w:t>
      </w:r>
      <w:r w:rsidRPr="00786FBC">
        <w:t>—Modifications</w:t>
      </w:r>
      <w:bookmarkEnd w:id="45"/>
      <w:bookmarkEnd w:id="46"/>
      <w:bookmarkEnd w:id="47"/>
      <w:r w:rsidR="00CA4A88">
        <w:t xml:space="preserve"> [none]</w:t>
      </w:r>
    </w:p>
    <w:p w:rsidR="006059D8" w:rsidRPr="00723CF8" w:rsidRDefault="006059D8" w:rsidP="006059D8">
      <w:pPr>
        <w:pStyle w:val="ENotesHeading2"/>
      </w:pPr>
      <w:bookmarkStart w:id="48" w:name="_Toc410898762"/>
      <w:bookmarkStart w:id="49" w:name="_Toc410899247"/>
      <w:bookmarkStart w:id="50" w:name="_Toc411257392"/>
      <w:r>
        <w:t>Endnote 7</w:t>
      </w:r>
      <w:r w:rsidRPr="00723CF8">
        <w:t xml:space="preserve">—Misdescribed </w:t>
      </w:r>
      <w:r>
        <w:t>a</w:t>
      </w:r>
      <w:r w:rsidRPr="00723CF8">
        <w:t>mendments</w:t>
      </w:r>
      <w:bookmarkEnd w:id="48"/>
      <w:bookmarkEnd w:id="49"/>
      <w:bookmarkEnd w:id="50"/>
      <w:r w:rsidR="00CA4A88">
        <w:t xml:space="preserve"> [none]</w:t>
      </w:r>
    </w:p>
    <w:p w:rsidR="006059D8" w:rsidRDefault="006059D8" w:rsidP="006059D8">
      <w:pPr>
        <w:pStyle w:val="ENotesHeading2"/>
      </w:pPr>
      <w:bookmarkStart w:id="51" w:name="_Toc410898763"/>
      <w:bookmarkStart w:id="52" w:name="_Toc410899248"/>
      <w:bookmarkStart w:id="53" w:name="_Toc411257393"/>
      <w:r>
        <w:t>Endnote 8—Miscellaneous</w:t>
      </w:r>
      <w:bookmarkEnd w:id="51"/>
      <w:bookmarkEnd w:id="52"/>
      <w:bookmarkEnd w:id="53"/>
      <w:r w:rsidR="00CA4A88">
        <w:t xml:space="preserve"> [none]</w:t>
      </w:r>
    </w:p>
    <w:p w:rsidR="006059D8" w:rsidRDefault="006059D8" w:rsidP="006059D8"/>
    <w:p w:rsidR="006059D8" w:rsidRDefault="006059D8" w:rsidP="006059D8"/>
    <w:p w:rsidR="003B37E4" w:rsidRPr="00A14C1E" w:rsidRDefault="003B37E4" w:rsidP="00C24FB2">
      <w:pPr>
        <w:pStyle w:val="NoteEnd"/>
        <w:ind w:left="0" w:firstLine="0"/>
        <w:rPr>
          <w:rStyle w:val="CharENotesHeading"/>
        </w:rPr>
      </w:pPr>
    </w:p>
    <w:sectPr w:rsidR="003B37E4" w:rsidRPr="00A14C1E" w:rsidSect="009D0E8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7" w:h="16839" w:code="9"/>
      <w:pgMar w:top="1440" w:right="1797" w:bottom="1440" w:left="1797" w:header="567" w:footer="1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2C" w:rsidRDefault="00D30F2C">
      <w:r>
        <w:separator/>
      </w:r>
    </w:p>
    <w:p w:rsidR="00D30F2C" w:rsidRDefault="00D30F2C"/>
    <w:p w:rsidR="00D30F2C" w:rsidRDefault="00D30F2C"/>
  </w:endnote>
  <w:endnote w:type="continuationSeparator" w:id="0">
    <w:p w:rsidR="00D30F2C" w:rsidRDefault="00D30F2C">
      <w:r>
        <w:continuationSeparator/>
      </w:r>
    </w:p>
    <w:p w:rsidR="00D30F2C" w:rsidRDefault="00D30F2C"/>
    <w:p w:rsidR="00D30F2C" w:rsidRDefault="00D30F2C"/>
  </w:endnote>
  <w:endnote w:type="continuationNotice" w:id="1">
    <w:p w:rsidR="00D30F2C" w:rsidRDefault="00D30F2C"/>
    <w:p w:rsidR="00D30F2C" w:rsidRDefault="00D30F2C"/>
    <w:p w:rsidR="00D30F2C" w:rsidRDefault="00D30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8C" w:rsidRDefault="009D0E8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3C" w:rsidRDefault="0073123C" w:rsidP="0073123C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E8C">
      <w:rPr>
        <w:noProof/>
      </w:rPr>
      <w:t>29</w:t>
    </w:r>
    <w:r>
      <w:rPr>
        <w:noProof/>
      </w:rPr>
      <w:fldChar w:fldCharType="end"/>
    </w:r>
  </w:p>
  <w:p w:rsidR="009A43D2" w:rsidRPr="0073123C" w:rsidRDefault="0073123C" w:rsidP="00D20F55">
    <w:pPr>
      <w:pStyle w:val="Footer"/>
      <w:pBdr>
        <w:top w:val="single" w:sz="4" w:space="1" w:color="auto"/>
      </w:pBdr>
    </w:pPr>
    <w:r w:rsidRPr="00A0595B">
      <w:t>National Health (Immunisation Program – Designated Vaccines) Determination 2014  (No. 1)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0D" w:rsidRDefault="00B65C0D" w:rsidP="00A47233">
    <w:pPr>
      <w:pStyle w:val="Footer"/>
      <w:pBdr>
        <w:top w:val="single" w:sz="4" w:space="1" w:color="auto"/>
      </w:pBdr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7B6CE9">
      <w:rPr>
        <w:noProof/>
      </w:rPr>
      <w:t>38</w:t>
    </w:r>
    <w:r>
      <w:rPr>
        <w:noProof/>
      </w:rPr>
      <w:fldChar w:fldCharType="end"/>
    </w:r>
  </w:p>
  <w:p w:rsidR="00B65C0D" w:rsidRPr="003B37E4" w:rsidRDefault="00B65C0D" w:rsidP="00B65C0D">
    <w:pPr>
      <w:pStyle w:val="Footer"/>
      <w:pBdr>
        <w:top w:val="single" w:sz="4" w:space="1" w:color="auto"/>
      </w:pBdr>
    </w:pPr>
    <w:r w:rsidRPr="00A0595B">
      <w:t>National Health (Immunisation Program – Designated Vaccines) Determination 2014  (No. 1)</w:t>
    </w:r>
  </w:p>
  <w:p w:rsidR="00F42B46" w:rsidRPr="00B65C0D" w:rsidRDefault="00F42B46" w:rsidP="00B65C0D">
    <w:pPr>
      <w:pStyle w:val="Footer"/>
    </w:pPr>
  </w:p>
  <w:p w:rsidR="00E25E34" w:rsidRDefault="00E25E34"/>
  <w:p w:rsidR="00E25E34" w:rsidRDefault="00E25E3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4" w:rsidRDefault="003B37E4" w:rsidP="003B37E4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E8C">
      <w:rPr>
        <w:noProof/>
      </w:rPr>
      <w:t>36</w:t>
    </w:r>
    <w:r>
      <w:rPr>
        <w:noProof/>
      </w:rPr>
      <w:fldChar w:fldCharType="end"/>
    </w:r>
  </w:p>
  <w:p w:rsidR="00E25E34" w:rsidRPr="003B37E4" w:rsidRDefault="003B37E4" w:rsidP="003B37E4">
    <w:pPr>
      <w:pStyle w:val="Footer"/>
      <w:pBdr>
        <w:top w:val="single" w:sz="4" w:space="1" w:color="auto"/>
      </w:pBdr>
    </w:pPr>
    <w:r w:rsidRPr="00A0595B">
      <w:t>National Health (Immunisation Program – Designated Vaccines) Determination 2014  (No. 1)</w:t>
    </w:r>
  </w:p>
  <w:p w:rsidR="00E25E34" w:rsidRDefault="00E25E34"/>
  <w:p w:rsidR="00E25E34" w:rsidRDefault="00E25E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4" w:rsidRDefault="00E25E34" w:rsidP="00164844">
    <w:pPr>
      <w:spacing w:line="200" w:lineRule="exact"/>
    </w:pPr>
  </w:p>
  <w:p w:rsidR="00E25E34" w:rsidRDefault="00E25E34" w:rsidP="00FA34CF">
    <w:pPr>
      <w:pStyle w:val="Footer"/>
      <w:jc w:val="left"/>
    </w:pPr>
  </w:p>
  <w:p w:rsidR="004F23B5" w:rsidRDefault="004F23B5" w:rsidP="00FA34CF">
    <w:pPr>
      <w:pStyle w:val="Footer"/>
      <w:jc w:val="left"/>
    </w:pPr>
  </w:p>
  <w:p w:rsidR="00F42B46" w:rsidRPr="00A47446" w:rsidRDefault="00F42B46" w:rsidP="00FA34CF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B5" w:rsidRPr="00F42B46" w:rsidRDefault="00D808E1" w:rsidP="00A47233">
    <w:pPr>
      <w:pStyle w:val="CoverUpdate"/>
      <w:rPr>
        <w:sz w:val="20"/>
        <w:szCs w:val="20"/>
      </w:rPr>
    </w:pPr>
    <w:r w:rsidRPr="008A16E4">
      <w:t>Prepared by the Department of Health,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D0" w:rsidRPr="004136F9" w:rsidRDefault="00DA69D0" w:rsidP="00256FE9">
    <w:pPr>
      <w:pStyle w:val="Footer"/>
      <w:pBdr>
        <w:top w:val="single" w:sz="4" w:space="1" w:color="auto"/>
      </w:pBdr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9C" w:rsidRPr="00A47233" w:rsidRDefault="0026549C" w:rsidP="00051956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A47233">
      <w:rPr>
        <w:rFonts w:ascii="Times New Roman" w:hAnsi="Times New Roman"/>
        <w:sz w:val="22"/>
        <w:szCs w:val="22"/>
      </w:rPr>
      <w:fldChar w:fldCharType="begin"/>
    </w:r>
    <w:r w:rsidRPr="00A47233">
      <w:rPr>
        <w:rFonts w:ascii="Times New Roman" w:hAnsi="Times New Roman"/>
        <w:sz w:val="22"/>
        <w:szCs w:val="22"/>
      </w:rPr>
      <w:instrText xml:space="preserve"> PAGE   \* MERGEFORMAT </w:instrText>
    </w:r>
    <w:r w:rsidRPr="00A47233">
      <w:rPr>
        <w:rFonts w:ascii="Times New Roman" w:hAnsi="Times New Roman"/>
        <w:sz w:val="22"/>
        <w:szCs w:val="22"/>
      </w:rPr>
      <w:fldChar w:fldCharType="separate"/>
    </w:r>
    <w:r w:rsidR="009D0E8C">
      <w:rPr>
        <w:rFonts w:ascii="Times New Roman" w:hAnsi="Times New Roman"/>
        <w:noProof/>
        <w:sz w:val="22"/>
        <w:szCs w:val="22"/>
      </w:rPr>
      <w:t>i</w:t>
    </w:r>
    <w:r w:rsidRPr="00A47233">
      <w:rPr>
        <w:rFonts w:ascii="Times New Roman" w:hAnsi="Times New Roman"/>
        <w:noProof/>
        <w:sz w:val="22"/>
        <w:szCs w:val="22"/>
      </w:rPr>
      <w:fldChar w:fldCharType="end"/>
    </w:r>
  </w:p>
  <w:p w:rsidR="004136F9" w:rsidRPr="00A47233" w:rsidRDefault="005F476B" w:rsidP="0026549C">
    <w:pPr>
      <w:pStyle w:val="Footer"/>
      <w:pBdr>
        <w:top w:val="single" w:sz="4" w:space="1" w:color="auto"/>
      </w:pBdr>
      <w:rPr>
        <w:rFonts w:ascii="Times New Roman" w:hAnsi="Times New Roman"/>
        <w:sz w:val="22"/>
        <w:szCs w:val="22"/>
      </w:rPr>
    </w:pPr>
    <w:r w:rsidRPr="00A47233">
      <w:rPr>
        <w:rFonts w:ascii="Times New Roman" w:hAnsi="Times New Roman"/>
        <w:sz w:val="22"/>
        <w:szCs w:val="22"/>
      </w:rPr>
      <w:t>National Health (Immunisation Program – Designated Vaccines) Determination 2014 (No. 1)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9" w:rsidRPr="00456CC9" w:rsidRDefault="007200F9" w:rsidP="00456C32">
    <w:pPr>
      <w:pStyle w:val="Footer"/>
      <w:pBdr>
        <w:top w:val="single" w:sz="4" w:space="1" w:color="auto"/>
      </w:pBdr>
      <w:jc w:val="left"/>
      <w:rPr>
        <w:rFonts w:ascii="Times New Roman" w:hAnsi="Times New Roman"/>
        <w:sz w:val="22"/>
        <w:szCs w:val="22"/>
      </w:rPr>
    </w:pPr>
    <w:r w:rsidRPr="00456CC9">
      <w:rPr>
        <w:rFonts w:ascii="Times New Roman" w:hAnsi="Times New Roman"/>
        <w:sz w:val="22"/>
        <w:szCs w:val="22"/>
      </w:rPr>
      <w:fldChar w:fldCharType="begin"/>
    </w:r>
    <w:r w:rsidRPr="00456CC9">
      <w:rPr>
        <w:rFonts w:ascii="Times New Roman" w:hAnsi="Times New Roman"/>
        <w:sz w:val="22"/>
        <w:szCs w:val="22"/>
      </w:rPr>
      <w:instrText xml:space="preserve"> PAGE   \* MERGEFORMAT </w:instrText>
    </w:r>
    <w:r w:rsidRPr="00456CC9">
      <w:rPr>
        <w:rFonts w:ascii="Times New Roman" w:hAnsi="Times New Roman"/>
        <w:sz w:val="22"/>
        <w:szCs w:val="22"/>
      </w:rPr>
      <w:fldChar w:fldCharType="separate"/>
    </w:r>
    <w:r w:rsidR="007B6CE9">
      <w:rPr>
        <w:rFonts w:ascii="Times New Roman" w:hAnsi="Times New Roman"/>
        <w:noProof/>
        <w:sz w:val="22"/>
        <w:szCs w:val="22"/>
      </w:rPr>
      <w:t>4</w:t>
    </w:r>
    <w:r w:rsidRPr="00456CC9">
      <w:rPr>
        <w:rFonts w:ascii="Times New Roman" w:hAnsi="Times New Roman"/>
        <w:noProof/>
        <w:sz w:val="22"/>
        <w:szCs w:val="22"/>
      </w:rPr>
      <w:fldChar w:fldCharType="end"/>
    </w:r>
  </w:p>
  <w:p w:rsidR="007200F9" w:rsidRPr="00456CC9" w:rsidRDefault="007200F9" w:rsidP="007200F9">
    <w:pPr>
      <w:pStyle w:val="Footer"/>
      <w:pBdr>
        <w:top w:val="single" w:sz="4" w:space="1" w:color="auto"/>
      </w:pBdr>
      <w:rPr>
        <w:rFonts w:ascii="Times New Roman" w:hAnsi="Times New Roman"/>
        <w:sz w:val="22"/>
        <w:szCs w:val="22"/>
      </w:rPr>
    </w:pPr>
    <w:r w:rsidRPr="00456CC9">
      <w:rPr>
        <w:rFonts w:ascii="Times New Roman" w:hAnsi="Times New Roman"/>
        <w:sz w:val="22"/>
        <w:szCs w:val="22"/>
      </w:rPr>
      <w:t>National Health (Immunisation Program – Designated Vaccines) Determination 2014  (No. 1)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9" w:rsidRPr="00456CC9" w:rsidRDefault="007200F9" w:rsidP="007200F9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456CC9">
      <w:rPr>
        <w:rFonts w:ascii="Times New Roman" w:hAnsi="Times New Roman"/>
        <w:sz w:val="22"/>
        <w:szCs w:val="22"/>
      </w:rPr>
      <w:fldChar w:fldCharType="begin"/>
    </w:r>
    <w:r w:rsidRPr="00456CC9">
      <w:rPr>
        <w:rFonts w:ascii="Times New Roman" w:hAnsi="Times New Roman"/>
        <w:sz w:val="22"/>
        <w:szCs w:val="22"/>
      </w:rPr>
      <w:instrText xml:space="preserve"> PAGE   \* MERGEFORMAT </w:instrText>
    </w:r>
    <w:r w:rsidRPr="00456CC9">
      <w:rPr>
        <w:rFonts w:ascii="Times New Roman" w:hAnsi="Times New Roman"/>
        <w:sz w:val="22"/>
        <w:szCs w:val="22"/>
      </w:rPr>
      <w:fldChar w:fldCharType="separate"/>
    </w:r>
    <w:r w:rsidR="009D0E8C">
      <w:rPr>
        <w:rFonts w:ascii="Times New Roman" w:hAnsi="Times New Roman"/>
        <w:noProof/>
        <w:sz w:val="22"/>
        <w:szCs w:val="22"/>
      </w:rPr>
      <w:t>5</w:t>
    </w:r>
    <w:r w:rsidRPr="00456CC9">
      <w:rPr>
        <w:rFonts w:ascii="Times New Roman" w:hAnsi="Times New Roman"/>
        <w:noProof/>
        <w:sz w:val="22"/>
        <w:szCs w:val="22"/>
      </w:rPr>
      <w:fldChar w:fldCharType="end"/>
    </w:r>
  </w:p>
  <w:p w:rsidR="007200F9" w:rsidRPr="00456CC9" w:rsidRDefault="007200F9" w:rsidP="00AF2893">
    <w:pPr>
      <w:pStyle w:val="Footer"/>
      <w:pBdr>
        <w:top w:val="single" w:sz="4" w:space="1" w:color="auto"/>
      </w:pBdr>
      <w:rPr>
        <w:rFonts w:ascii="Times New Roman" w:hAnsi="Times New Roman"/>
        <w:sz w:val="22"/>
        <w:szCs w:val="22"/>
      </w:rPr>
    </w:pPr>
    <w:r w:rsidRPr="00456CC9">
      <w:rPr>
        <w:rFonts w:ascii="Times New Roman" w:hAnsi="Times New Roman"/>
        <w:sz w:val="22"/>
        <w:szCs w:val="22"/>
      </w:rPr>
      <w:t>National Health (Immunisation Program – Designated Vaccines) Determination 2014  (No. 1)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83" w:rsidRPr="00A47233" w:rsidRDefault="00131B83" w:rsidP="00131B83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A47233">
      <w:rPr>
        <w:rFonts w:ascii="Times New Roman" w:hAnsi="Times New Roman"/>
        <w:sz w:val="22"/>
        <w:szCs w:val="22"/>
      </w:rPr>
      <w:fldChar w:fldCharType="begin"/>
    </w:r>
    <w:r w:rsidRPr="00A47233">
      <w:rPr>
        <w:rFonts w:ascii="Times New Roman" w:hAnsi="Times New Roman"/>
        <w:sz w:val="22"/>
        <w:szCs w:val="22"/>
      </w:rPr>
      <w:instrText xml:space="preserve"> PAGE   \* MERGEFORMAT </w:instrText>
    </w:r>
    <w:r w:rsidRPr="00A47233">
      <w:rPr>
        <w:rFonts w:ascii="Times New Roman" w:hAnsi="Times New Roman"/>
        <w:sz w:val="22"/>
        <w:szCs w:val="22"/>
      </w:rPr>
      <w:fldChar w:fldCharType="separate"/>
    </w:r>
    <w:r w:rsidR="009D0E8C">
      <w:rPr>
        <w:rFonts w:ascii="Times New Roman" w:hAnsi="Times New Roman"/>
        <w:noProof/>
        <w:sz w:val="22"/>
        <w:szCs w:val="22"/>
      </w:rPr>
      <w:t>1</w:t>
    </w:r>
    <w:r w:rsidRPr="00A47233">
      <w:rPr>
        <w:rFonts w:ascii="Times New Roman" w:hAnsi="Times New Roman"/>
        <w:noProof/>
        <w:sz w:val="22"/>
        <w:szCs w:val="22"/>
      </w:rPr>
      <w:fldChar w:fldCharType="end"/>
    </w:r>
  </w:p>
  <w:p w:rsidR="007F3B1D" w:rsidRPr="00A47233" w:rsidRDefault="00131B83" w:rsidP="007200F9">
    <w:pPr>
      <w:pStyle w:val="Footer"/>
      <w:pBdr>
        <w:top w:val="single" w:sz="4" w:space="1" w:color="auto"/>
      </w:pBdr>
      <w:rPr>
        <w:rFonts w:ascii="Times New Roman" w:hAnsi="Times New Roman"/>
        <w:sz w:val="22"/>
        <w:szCs w:val="22"/>
      </w:rPr>
    </w:pPr>
    <w:r w:rsidRPr="00A47233">
      <w:rPr>
        <w:rFonts w:ascii="Times New Roman" w:hAnsi="Times New Roman"/>
        <w:sz w:val="22"/>
        <w:szCs w:val="22"/>
      </w:rPr>
      <w:t>National Health (Immunisation Program – Designated Vaccines) Determination 2014 (No. 1)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4" w:rsidRDefault="00E25E34">
    <w:pPr>
      <w:pStyle w:val="FooterInfo"/>
    </w:pPr>
    <w:r w:rsidRPr="00974D8C">
      <w:t xml:space="preserve"> </w:t>
    </w:r>
    <w:r>
      <w:t xml:space="preserve"> </w:t>
    </w: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11165"/>
      <w:gridCol w:w="1701"/>
    </w:tblGrid>
    <w:tr w:rsidR="00E25E34" w:rsidTr="00D55D54">
      <w:tc>
        <w:tcPr>
          <w:tcW w:w="1134" w:type="dxa"/>
          <w:shd w:val="clear" w:color="auto" w:fill="auto"/>
        </w:tcPr>
        <w:p w:rsidR="00E25E34" w:rsidRDefault="00E25E34" w:rsidP="00D55D54">
          <w:pPr>
            <w:spacing w:line="240" w:lineRule="exact"/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7B6CE9">
            <w:rPr>
              <w:rStyle w:val="PageNumber"/>
              <w:rFonts w:cs="Arial"/>
              <w:noProof/>
            </w:rPr>
            <w:t>6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11165" w:type="dxa"/>
          <w:shd w:val="clear" w:color="auto" w:fill="auto"/>
        </w:tcPr>
        <w:p w:rsidR="00E25E34" w:rsidRPr="004F5D6D" w:rsidRDefault="00E25E34" w:rsidP="00632545">
          <w:pPr>
            <w:pStyle w:val="FooterCitation"/>
          </w:pPr>
          <w:r>
            <w:t xml:space="preserve">National Health (Immunisation Program – Designated Vaccines) Determination </w:t>
          </w:r>
          <w:r w:rsidR="00632545">
            <w:t xml:space="preserve">2014  </w:t>
          </w:r>
          <w:r>
            <w:t>(No. 1)</w:t>
          </w:r>
        </w:p>
      </w:tc>
      <w:tc>
        <w:tcPr>
          <w:tcW w:w="1701" w:type="dxa"/>
          <w:shd w:val="clear" w:color="auto" w:fill="auto"/>
        </w:tcPr>
        <w:p w:rsidR="00E25E34" w:rsidRPr="003D7214" w:rsidRDefault="00E25E34" w:rsidP="00D55D54">
          <w:pPr>
            <w:spacing w:line="240" w:lineRule="exact"/>
            <w:jc w:val="right"/>
            <w:rPr>
              <w:rStyle w:val="PageNumber"/>
              <w:rFonts w:cs="Arial"/>
            </w:rPr>
          </w:pPr>
        </w:p>
      </w:tc>
    </w:tr>
  </w:tbl>
  <w:p w:rsidR="00E25E34" w:rsidRPr="00A47446" w:rsidRDefault="00E25E34" w:rsidP="00E34B72">
    <w:pPr>
      <w:pStyle w:val="Footer"/>
      <w:jc w:val="left"/>
    </w:pPr>
  </w:p>
  <w:p w:rsidR="00E25E34" w:rsidRDefault="00E25E34">
    <w:pPr>
      <w:pStyle w:val="FooterInf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2C" w:rsidRDefault="00D30F2C">
      <w:r>
        <w:separator/>
      </w:r>
    </w:p>
    <w:p w:rsidR="00D30F2C" w:rsidRDefault="00D30F2C"/>
    <w:p w:rsidR="00D30F2C" w:rsidRDefault="00D30F2C"/>
  </w:footnote>
  <w:footnote w:type="continuationSeparator" w:id="0">
    <w:p w:rsidR="00D30F2C" w:rsidRDefault="00D30F2C">
      <w:r>
        <w:continuationSeparator/>
      </w:r>
    </w:p>
    <w:p w:rsidR="00D30F2C" w:rsidRDefault="00D30F2C"/>
    <w:p w:rsidR="00D30F2C" w:rsidRDefault="00D30F2C"/>
  </w:footnote>
  <w:footnote w:type="continuationNotice" w:id="1">
    <w:p w:rsidR="00D30F2C" w:rsidRDefault="00D30F2C"/>
    <w:p w:rsidR="00D30F2C" w:rsidRDefault="00D30F2C"/>
    <w:p w:rsidR="00D30F2C" w:rsidRDefault="00D30F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4" w:rsidRPr="00E227E0" w:rsidRDefault="00E25E34" w:rsidP="00E227E0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4F" w:rsidRPr="00C4473E" w:rsidRDefault="00E1494F" w:rsidP="00B65C0D">
    <w:pPr>
      <w:jc w:val="right"/>
      <w:rPr>
        <w:sz w:val="26"/>
        <w:szCs w:val="26"/>
      </w:rPr>
    </w:pPr>
  </w:p>
  <w:p w:rsidR="00E1494F" w:rsidRPr="007A1328" w:rsidRDefault="00E1494F" w:rsidP="00B65C0D">
    <w:pPr>
      <w:jc w:val="right"/>
      <w:rPr>
        <w:sz w:val="20"/>
      </w:rPr>
    </w:pPr>
    <w:r w:rsidRPr="00965EE7">
      <w:rPr>
        <w:b/>
        <w:sz w:val="20"/>
      </w:rPr>
      <w:t>Endnotes</w:t>
    </w:r>
  </w:p>
  <w:p w:rsidR="00E25E34" w:rsidRDefault="00E25E3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4" w:rsidRDefault="00E25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4" w:rsidRDefault="00E25E34" w:rsidP="00E227E0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8" w:type="dxa"/>
      <w:tblLook w:val="01E0" w:firstRow="1" w:lastRow="1" w:firstColumn="1" w:lastColumn="1" w:noHBand="0" w:noVBand="0"/>
    </w:tblPr>
    <w:tblGrid>
      <w:gridCol w:w="12828"/>
      <w:gridCol w:w="1200"/>
    </w:tblGrid>
    <w:tr w:rsidR="002A4803" w:rsidTr="00F34F5B">
      <w:trPr>
        <w:trHeight w:val="260"/>
      </w:trPr>
      <w:tc>
        <w:tcPr>
          <w:tcW w:w="12828" w:type="dxa"/>
          <w:vAlign w:val="bottom"/>
        </w:tcPr>
        <w:p w:rsidR="002A4803" w:rsidRDefault="002A4803" w:rsidP="00F34F5B">
          <w:pPr>
            <w:pStyle w:val="HeaderLiteEven"/>
            <w:jc w:val="right"/>
          </w:pPr>
        </w:p>
      </w:tc>
      <w:tc>
        <w:tcPr>
          <w:tcW w:w="1200" w:type="dxa"/>
        </w:tcPr>
        <w:p w:rsidR="002A4803" w:rsidRDefault="002A4803" w:rsidP="00F34F5B">
          <w:pPr>
            <w:pStyle w:val="HeaderLiteEven"/>
            <w:jc w:val="right"/>
          </w:pPr>
          <w:r>
            <w:fldChar w:fldCharType="begin"/>
          </w:r>
          <w:r>
            <w:instrText xml:space="preserve"> STYLEREF CharAmSchNo \*Charformat </w:instrText>
          </w:r>
          <w:r>
            <w:fldChar w:fldCharType="end"/>
          </w:r>
        </w:p>
      </w:tc>
    </w:tr>
    <w:tr w:rsidR="002A4803" w:rsidTr="00F34F5B">
      <w:trPr>
        <w:trHeight w:val="260"/>
      </w:trPr>
      <w:tc>
        <w:tcPr>
          <w:tcW w:w="12828" w:type="dxa"/>
          <w:vAlign w:val="bottom"/>
        </w:tcPr>
        <w:p w:rsidR="002A4803" w:rsidRDefault="002A4803" w:rsidP="00F34F5B">
          <w:pPr>
            <w:pStyle w:val="HeaderLiteEven"/>
            <w:jc w:val="right"/>
          </w:pPr>
          <w:r>
            <w:fldChar w:fldCharType="begin"/>
          </w:r>
          <w:r>
            <w:instrText xml:space="preserve"> REF Viral_vaccines \h </w:instrText>
          </w:r>
          <w:r>
            <w:fldChar w:fldCharType="separate"/>
          </w:r>
          <w:r w:rsidR="00DA4926" w:rsidRPr="00C274B8">
            <w:t>Viral vaccines</w:t>
          </w:r>
          <w:r>
            <w:fldChar w:fldCharType="end"/>
          </w:r>
        </w:p>
      </w:tc>
      <w:tc>
        <w:tcPr>
          <w:tcW w:w="1200" w:type="dxa"/>
        </w:tcPr>
        <w:p w:rsidR="002A4803" w:rsidRDefault="002A4803" w:rsidP="00F34F5B">
          <w:pPr>
            <w:pStyle w:val="HeaderLiteEven"/>
            <w:jc w:val="right"/>
          </w:pPr>
          <w:r>
            <w:t xml:space="preserve">Part </w:t>
          </w:r>
          <w:r w:rsidR="00AD298B">
            <w:t>2</w:t>
          </w:r>
        </w:p>
      </w:tc>
    </w:tr>
  </w:tbl>
  <w:p w:rsidR="002A4803" w:rsidRDefault="002A480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8" w:type="dxa"/>
      <w:tblLook w:val="01E0" w:firstRow="1" w:lastRow="1" w:firstColumn="1" w:lastColumn="1" w:noHBand="0" w:noVBand="0"/>
    </w:tblPr>
    <w:tblGrid>
      <w:gridCol w:w="12828"/>
      <w:gridCol w:w="1200"/>
    </w:tblGrid>
    <w:tr w:rsidR="00E25E34" w:rsidTr="00D17664">
      <w:trPr>
        <w:trHeight w:val="260"/>
      </w:trPr>
      <w:tc>
        <w:tcPr>
          <w:tcW w:w="12828" w:type="dxa"/>
          <w:vAlign w:val="bottom"/>
        </w:tcPr>
        <w:p w:rsidR="00E25E34" w:rsidRDefault="00E25E34" w:rsidP="00D55D54">
          <w:pPr>
            <w:pStyle w:val="HeaderLiteEven"/>
            <w:jc w:val="right"/>
          </w:pPr>
          <w:fldSimple w:instr=" STYLEREF CharAmSchText \*Charformat ">
            <w:r w:rsidR="00DA4926">
              <w:rPr>
                <w:noProof/>
              </w:rPr>
              <w:t>Designated vaccines and circumstances in which vaccines may be provided</w:t>
            </w:r>
          </w:fldSimple>
        </w:p>
      </w:tc>
      <w:tc>
        <w:tcPr>
          <w:tcW w:w="1200" w:type="dxa"/>
        </w:tcPr>
        <w:p w:rsidR="00E25E34" w:rsidRDefault="00E25E34" w:rsidP="00D55D54">
          <w:pPr>
            <w:pStyle w:val="HeaderLiteEven"/>
            <w:jc w:val="right"/>
          </w:pPr>
          <w:r>
            <w:fldChar w:fldCharType="begin"/>
          </w:r>
          <w:r>
            <w:instrText xml:space="preserve"> STYLEREF CharAmSchNo \*Charformat </w:instrText>
          </w:r>
          <w:r>
            <w:fldChar w:fldCharType="end"/>
          </w:r>
        </w:p>
      </w:tc>
    </w:tr>
    <w:tr w:rsidR="00E25E34" w:rsidTr="00D17664">
      <w:trPr>
        <w:trHeight w:val="260"/>
      </w:trPr>
      <w:tc>
        <w:tcPr>
          <w:tcW w:w="12828" w:type="dxa"/>
          <w:vAlign w:val="bottom"/>
        </w:tcPr>
        <w:p w:rsidR="00E25E34" w:rsidRDefault="000467C3" w:rsidP="00D55D54">
          <w:pPr>
            <w:pStyle w:val="HeaderLiteEven"/>
            <w:jc w:val="right"/>
          </w:pPr>
          <w:r>
            <w:fldChar w:fldCharType="begin"/>
          </w:r>
          <w:r>
            <w:instrText xml:space="preserve"> REF Bacteria_vaccines \h </w:instrText>
          </w:r>
          <w:r>
            <w:fldChar w:fldCharType="separate"/>
          </w:r>
          <w:r w:rsidR="00DA4926" w:rsidRPr="004B40EB">
            <w:rPr>
              <w:rStyle w:val="CharSchPTText"/>
            </w:rPr>
            <w:t>Bacterial</w:t>
          </w:r>
          <w:r w:rsidR="00DA4926" w:rsidRPr="00E01D20">
            <w:rPr>
              <w:rStyle w:val="CharSchPTText"/>
            </w:rPr>
            <w:t xml:space="preserve"> vaccines</w:t>
          </w:r>
          <w:r>
            <w:fldChar w:fldCharType="end"/>
          </w:r>
        </w:p>
      </w:tc>
      <w:tc>
        <w:tcPr>
          <w:tcW w:w="1200" w:type="dxa"/>
        </w:tcPr>
        <w:p w:rsidR="00E25E34" w:rsidRDefault="000467C3" w:rsidP="000467C3">
          <w:pPr>
            <w:pStyle w:val="HeaderLiteEven"/>
            <w:jc w:val="right"/>
          </w:pPr>
          <w:r>
            <w:fldChar w:fldCharType="begin"/>
          </w:r>
          <w:r>
            <w:instrText xml:space="preserve"> REF Part_1 \h </w:instrText>
          </w:r>
          <w:r>
            <w:fldChar w:fldCharType="separate"/>
          </w:r>
          <w:r w:rsidR="00DA4926" w:rsidRPr="00E01D20">
            <w:t>Part 1</w:t>
          </w:r>
          <w:r>
            <w:fldChar w:fldCharType="end"/>
          </w:r>
        </w:p>
      </w:tc>
    </w:tr>
    <w:tr w:rsidR="00E25E34" w:rsidTr="00D17664">
      <w:trPr>
        <w:trHeight w:val="408"/>
      </w:trPr>
      <w:tc>
        <w:tcPr>
          <w:tcW w:w="140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25E34" w:rsidRDefault="00E25E34" w:rsidP="00D55D54">
          <w:pPr>
            <w:pStyle w:val="HeaderLiteEven"/>
            <w:spacing w:before="120" w:after="60"/>
            <w:ind w:right="-108"/>
          </w:pPr>
        </w:p>
      </w:tc>
    </w:tr>
  </w:tbl>
  <w:p w:rsidR="00E25E34" w:rsidRPr="007A59A4" w:rsidRDefault="00E25E34" w:rsidP="00E34B72">
    <w:pPr>
      <w:pStyle w:val="Header"/>
    </w:pPr>
  </w:p>
  <w:p w:rsidR="00E25E34" w:rsidRPr="00E34B72" w:rsidRDefault="00E25E34" w:rsidP="00E34B7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8" w:type="dxa"/>
      <w:tblLook w:val="01E0" w:firstRow="1" w:lastRow="1" w:firstColumn="1" w:lastColumn="1" w:noHBand="0" w:noVBand="0"/>
    </w:tblPr>
    <w:tblGrid>
      <w:gridCol w:w="12828"/>
      <w:gridCol w:w="1200"/>
    </w:tblGrid>
    <w:tr w:rsidR="00E25E34">
      <w:trPr>
        <w:trHeight w:val="260"/>
      </w:trPr>
      <w:tc>
        <w:tcPr>
          <w:tcW w:w="12828" w:type="dxa"/>
          <w:vAlign w:val="bottom"/>
        </w:tcPr>
        <w:p w:rsidR="00E25E34" w:rsidRDefault="00E25E34" w:rsidP="007A59A4">
          <w:pPr>
            <w:pStyle w:val="HeaderLiteEven"/>
            <w:jc w:val="right"/>
          </w:pPr>
          <w:fldSimple w:instr=" STYLEREF CharAmSchText \*Charformat ">
            <w:r w:rsidR="009D0E8C">
              <w:rPr>
                <w:noProof/>
              </w:rPr>
              <w:t>Designated vaccines and circumstances in which vaccines may be provided</w:t>
            </w:r>
          </w:fldSimple>
        </w:p>
      </w:tc>
      <w:tc>
        <w:tcPr>
          <w:tcW w:w="1200" w:type="dxa"/>
        </w:tcPr>
        <w:p w:rsidR="00E25E34" w:rsidRDefault="00E25E34" w:rsidP="007A59A4">
          <w:pPr>
            <w:pStyle w:val="HeaderLiteEven"/>
            <w:jc w:val="right"/>
          </w:pPr>
          <w:fldSimple w:instr=" STYLEREF CharAmSchNo \*Charformat ">
            <w:r w:rsidR="009D0E8C">
              <w:rPr>
                <w:noProof/>
              </w:rPr>
              <w:t>Schedule 1</w:t>
            </w:r>
          </w:fldSimple>
        </w:p>
      </w:tc>
    </w:tr>
    <w:tr w:rsidR="00E25E34">
      <w:trPr>
        <w:trHeight w:val="260"/>
      </w:trPr>
      <w:tc>
        <w:tcPr>
          <w:tcW w:w="12828" w:type="dxa"/>
          <w:vAlign w:val="bottom"/>
        </w:tcPr>
        <w:p w:rsidR="00E25E34" w:rsidRDefault="00686FB7" w:rsidP="00686FB7">
          <w:pPr>
            <w:pStyle w:val="HeaderLiteEven"/>
            <w:jc w:val="right"/>
          </w:pPr>
          <w:r>
            <w:t xml:space="preserve">Bacterial vaccines </w:t>
          </w:r>
        </w:p>
      </w:tc>
      <w:tc>
        <w:tcPr>
          <w:tcW w:w="1200" w:type="dxa"/>
        </w:tcPr>
        <w:p w:rsidR="00E25E34" w:rsidRDefault="00AA3B9D" w:rsidP="007A59A4">
          <w:pPr>
            <w:pStyle w:val="HeaderLiteEven"/>
            <w:jc w:val="right"/>
          </w:pPr>
          <w:r>
            <w:t xml:space="preserve">Part </w:t>
          </w:r>
          <w:r w:rsidR="007B6CE9">
            <w:t>1</w:t>
          </w:r>
        </w:p>
      </w:tc>
    </w:tr>
    <w:tr w:rsidR="00E25E34">
      <w:trPr>
        <w:trHeight w:val="408"/>
      </w:trPr>
      <w:tc>
        <w:tcPr>
          <w:tcW w:w="140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25E34" w:rsidRDefault="00863209" w:rsidP="00863209">
          <w:pPr>
            <w:pStyle w:val="HeaderLiteEven"/>
            <w:tabs>
              <w:tab w:val="clear" w:pos="3969"/>
              <w:tab w:val="clear" w:pos="8505"/>
              <w:tab w:val="left" w:pos="9629"/>
            </w:tabs>
            <w:spacing w:before="120" w:after="60"/>
            <w:ind w:right="-108"/>
          </w:pPr>
          <w:r>
            <w:tab/>
          </w:r>
        </w:p>
      </w:tc>
    </w:tr>
  </w:tbl>
  <w:p w:rsidR="00E25E34" w:rsidRPr="007A59A4" w:rsidRDefault="00E25E34" w:rsidP="007A59A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8" w:type="dxa"/>
      <w:tblLook w:val="01E0" w:firstRow="1" w:lastRow="1" w:firstColumn="1" w:lastColumn="1" w:noHBand="0" w:noVBand="0"/>
    </w:tblPr>
    <w:tblGrid>
      <w:gridCol w:w="12828"/>
      <w:gridCol w:w="1200"/>
    </w:tblGrid>
    <w:tr w:rsidR="000467C3" w:rsidTr="00D17664">
      <w:trPr>
        <w:trHeight w:val="260"/>
      </w:trPr>
      <w:tc>
        <w:tcPr>
          <w:tcW w:w="12828" w:type="dxa"/>
          <w:vAlign w:val="bottom"/>
        </w:tcPr>
        <w:p w:rsidR="000467C3" w:rsidRDefault="000467C3" w:rsidP="00D55D54">
          <w:pPr>
            <w:pStyle w:val="HeaderLiteEven"/>
            <w:jc w:val="right"/>
          </w:pPr>
          <w:fldSimple w:instr=" STYLEREF CharAmSchText \*Charformat ">
            <w:r w:rsidR="00DA4926">
              <w:rPr>
                <w:noProof/>
              </w:rPr>
              <w:t>Designated vaccines and circumstances in which vaccines may be provided</w:t>
            </w:r>
          </w:fldSimple>
        </w:p>
      </w:tc>
      <w:tc>
        <w:tcPr>
          <w:tcW w:w="1200" w:type="dxa"/>
        </w:tcPr>
        <w:p w:rsidR="000467C3" w:rsidRDefault="000467C3" w:rsidP="00D55D54">
          <w:pPr>
            <w:pStyle w:val="HeaderLiteEven"/>
            <w:jc w:val="right"/>
          </w:pPr>
          <w:fldSimple w:instr=" STYLEREF CharAmSchNo \*Charformat ">
            <w:r w:rsidR="00DA4926">
              <w:rPr>
                <w:noProof/>
              </w:rPr>
              <w:t>Schedule 1</w:t>
            </w:r>
          </w:fldSimple>
        </w:p>
      </w:tc>
    </w:tr>
    <w:tr w:rsidR="000467C3" w:rsidTr="00D17664">
      <w:trPr>
        <w:trHeight w:val="260"/>
      </w:trPr>
      <w:tc>
        <w:tcPr>
          <w:tcW w:w="12828" w:type="dxa"/>
          <w:vAlign w:val="bottom"/>
        </w:tcPr>
        <w:p w:rsidR="000467C3" w:rsidRDefault="00B2033F" w:rsidP="00D55D54">
          <w:pPr>
            <w:pStyle w:val="HeaderLiteEven"/>
            <w:jc w:val="right"/>
          </w:pPr>
          <w:r>
            <w:fldChar w:fldCharType="begin"/>
          </w:r>
          <w:r>
            <w:instrText xml:space="preserve"> REF Combined_bacterial_and_viral_vaccines \h </w:instrText>
          </w:r>
          <w:r>
            <w:fldChar w:fldCharType="separate"/>
          </w:r>
          <w:r w:rsidR="00DA4926" w:rsidRPr="00BC75DB">
            <w:t>Combined bacterial and viral vaccines</w:t>
          </w:r>
          <w:r>
            <w:fldChar w:fldCharType="end"/>
          </w:r>
        </w:p>
      </w:tc>
      <w:tc>
        <w:tcPr>
          <w:tcW w:w="1200" w:type="dxa"/>
        </w:tcPr>
        <w:p w:rsidR="000467C3" w:rsidRDefault="00B2033F" w:rsidP="000467C3">
          <w:pPr>
            <w:pStyle w:val="HeaderLiteEven"/>
            <w:jc w:val="right"/>
          </w:pPr>
          <w:r>
            <w:fldChar w:fldCharType="begin"/>
          </w:r>
          <w:r>
            <w:instrText xml:space="preserve"> REF Part_3 \h </w:instrText>
          </w:r>
          <w:r>
            <w:fldChar w:fldCharType="separate"/>
          </w:r>
          <w:r w:rsidR="00DA4926" w:rsidRPr="00BC75DB">
            <w:t>Part 3</w:t>
          </w:r>
          <w:r>
            <w:fldChar w:fldCharType="end"/>
          </w:r>
        </w:p>
      </w:tc>
    </w:tr>
    <w:tr w:rsidR="000467C3" w:rsidTr="00D17664">
      <w:trPr>
        <w:trHeight w:val="408"/>
      </w:trPr>
      <w:tc>
        <w:tcPr>
          <w:tcW w:w="140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67C3" w:rsidRDefault="000467C3" w:rsidP="00D55D54">
          <w:pPr>
            <w:pStyle w:val="HeaderLiteEven"/>
            <w:spacing w:before="120" w:after="60"/>
            <w:ind w:right="-108"/>
          </w:pPr>
        </w:p>
      </w:tc>
    </w:tr>
  </w:tbl>
  <w:p w:rsidR="000467C3" w:rsidRPr="007A59A4" w:rsidRDefault="000467C3" w:rsidP="00E34B72">
    <w:pPr>
      <w:pStyle w:val="Header"/>
    </w:pPr>
  </w:p>
  <w:p w:rsidR="000467C3" w:rsidRPr="00E34B72" w:rsidRDefault="000467C3" w:rsidP="00E34B7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8" w:type="dxa"/>
      <w:tblLook w:val="01E0" w:firstRow="1" w:lastRow="1" w:firstColumn="1" w:lastColumn="1" w:noHBand="0" w:noVBand="0"/>
    </w:tblPr>
    <w:tblGrid>
      <w:gridCol w:w="12828"/>
      <w:gridCol w:w="1200"/>
    </w:tblGrid>
    <w:tr w:rsidR="00BA277A">
      <w:trPr>
        <w:trHeight w:val="260"/>
      </w:trPr>
      <w:tc>
        <w:tcPr>
          <w:tcW w:w="12828" w:type="dxa"/>
          <w:vAlign w:val="bottom"/>
        </w:tcPr>
        <w:p w:rsidR="00BA277A" w:rsidRDefault="00BA277A" w:rsidP="007A59A4">
          <w:pPr>
            <w:pStyle w:val="HeaderLiteEven"/>
            <w:jc w:val="right"/>
          </w:pPr>
          <w:fldSimple w:instr=" STYLEREF CharAmSchText \*Charformat ">
            <w:r w:rsidR="009D0E8C">
              <w:rPr>
                <w:noProof/>
              </w:rPr>
              <w:t>Designated vaccines and circumstances in which vaccines may be provided</w:t>
            </w:r>
          </w:fldSimple>
        </w:p>
      </w:tc>
      <w:tc>
        <w:tcPr>
          <w:tcW w:w="1200" w:type="dxa"/>
        </w:tcPr>
        <w:p w:rsidR="00BA277A" w:rsidRDefault="00BA277A" w:rsidP="007A59A4">
          <w:pPr>
            <w:pStyle w:val="HeaderLiteEven"/>
            <w:jc w:val="right"/>
          </w:pPr>
          <w:fldSimple w:instr=" STYLEREF CharAmSchNo \*Charformat ">
            <w:r w:rsidR="009D0E8C">
              <w:rPr>
                <w:noProof/>
              </w:rPr>
              <w:t>Schedule 1</w:t>
            </w:r>
          </w:fldSimple>
        </w:p>
      </w:tc>
    </w:tr>
    <w:tr w:rsidR="00BA277A">
      <w:trPr>
        <w:trHeight w:val="260"/>
      </w:trPr>
      <w:tc>
        <w:tcPr>
          <w:tcW w:w="12828" w:type="dxa"/>
          <w:vAlign w:val="bottom"/>
        </w:tcPr>
        <w:p w:rsidR="00BA277A" w:rsidRDefault="00BA277A" w:rsidP="007A59A4">
          <w:pPr>
            <w:pStyle w:val="HeaderLiteEven"/>
            <w:jc w:val="right"/>
          </w:pPr>
          <w:r>
            <w:fldChar w:fldCharType="begin"/>
          </w:r>
          <w:r>
            <w:instrText xml:space="preserve"> REF Viral_vaccines \h </w:instrText>
          </w:r>
          <w:r>
            <w:fldChar w:fldCharType="separate"/>
          </w:r>
          <w:r w:rsidR="00DA4926" w:rsidRPr="00C274B8">
            <w:t>Viral vaccines</w:t>
          </w:r>
          <w:r>
            <w:fldChar w:fldCharType="end"/>
          </w:r>
        </w:p>
      </w:tc>
      <w:tc>
        <w:tcPr>
          <w:tcW w:w="1200" w:type="dxa"/>
        </w:tcPr>
        <w:p w:rsidR="00BA277A" w:rsidRDefault="00BA277A" w:rsidP="008F35FD">
          <w:pPr>
            <w:pStyle w:val="HeaderLiteEven"/>
            <w:jc w:val="right"/>
          </w:pPr>
          <w:r>
            <w:t xml:space="preserve">Part </w:t>
          </w:r>
          <w:r w:rsidR="008F35FD">
            <w:t>2</w:t>
          </w:r>
        </w:p>
      </w:tc>
    </w:tr>
    <w:tr w:rsidR="00BA277A">
      <w:trPr>
        <w:trHeight w:val="408"/>
      </w:trPr>
      <w:tc>
        <w:tcPr>
          <w:tcW w:w="140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A277A" w:rsidRDefault="00BA277A" w:rsidP="007A59A4">
          <w:pPr>
            <w:pStyle w:val="HeaderLiteEven"/>
            <w:spacing w:before="120" w:after="60"/>
            <w:ind w:right="-108"/>
          </w:pPr>
        </w:p>
      </w:tc>
    </w:tr>
  </w:tbl>
  <w:p w:rsidR="00BA277A" w:rsidRPr="007A59A4" w:rsidRDefault="00BA277A" w:rsidP="007A59A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8" w:type="dxa"/>
      <w:tblLook w:val="01E0" w:firstRow="1" w:lastRow="1" w:firstColumn="1" w:lastColumn="1" w:noHBand="0" w:noVBand="0"/>
    </w:tblPr>
    <w:tblGrid>
      <w:gridCol w:w="12828"/>
      <w:gridCol w:w="1200"/>
    </w:tblGrid>
    <w:tr w:rsidR="000467C3">
      <w:trPr>
        <w:trHeight w:val="260"/>
      </w:trPr>
      <w:tc>
        <w:tcPr>
          <w:tcW w:w="12828" w:type="dxa"/>
          <w:vAlign w:val="bottom"/>
        </w:tcPr>
        <w:p w:rsidR="000467C3" w:rsidRDefault="000467C3" w:rsidP="007A59A4">
          <w:pPr>
            <w:pStyle w:val="HeaderLiteEven"/>
            <w:jc w:val="right"/>
          </w:pPr>
          <w:fldSimple w:instr=" STYLEREF CharAmSchText \*Charformat ">
            <w:r w:rsidR="009D0E8C">
              <w:rPr>
                <w:noProof/>
              </w:rPr>
              <w:t>Designated vaccines and circumstances in which vaccines may be provided</w:t>
            </w:r>
          </w:fldSimple>
        </w:p>
      </w:tc>
      <w:tc>
        <w:tcPr>
          <w:tcW w:w="1200" w:type="dxa"/>
        </w:tcPr>
        <w:p w:rsidR="000467C3" w:rsidRDefault="000467C3" w:rsidP="007A59A4">
          <w:pPr>
            <w:pStyle w:val="HeaderLiteEven"/>
            <w:jc w:val="right"/>
          </w:pPr>
          <w:fldSimple w:instr=" STYLEREF CharAmSchNo \*Charformat ">
            <w:r w:rsidR="009D0E8C">
              <w:rPr>
                <w:noProof/>
              </w:rPr>
              <w:t>Schedule 1</w:t>
            </w:r>
          </w:fldSimple>
        </w:p>
      </w:tc>
    </w:tr>
    <w:tr w:rsidR="000467C3">
      <w:trPr>
        <w:trHeight w:val="260"/>
      </w:trPr>
      <w:tc>
        <w:tcPr>
          <w:tcW w:w="12828" w:type="dxa"/>
          <w:vAlign w:val="bottom"/>
        </w:tcPr>
        <w:p w:rsidR="000467C3" w:rsidRDefault="00B2033F" w:rsidP="007A59A4">
          <w:pPr>
            <w:pStyle w:val="HeaderLiteEven"/>
            <w:jc w:val="right"/>
          </w:pPr>
          <w:r>
            <w:fldChar w:fldCharType="begin"/>
          </w:r>
          <w:r>
            <w:instrText xml:space="preserve"> REF Combined_bacterial_and_viral_vaccines \h </w:instrText>
          </w:r>
          <w:r>
            <w:fldChar w:fldCharType="separate"/>
          </w:r>
          <w:r w:rsidR="00DA4926" w:rsidRPr="00BC75DB">
            <w:t>Combined bacterial and viral vaccines</w:t>
          </w:r>
          <w:r>
            <w:fldChar w:fldCharType="end"/>
          </w:r>
        </w:p>
      </w:tc>
      <w:tc>
        <w:tcPr>
          <w:tcW w:w="1200" w:type="dxa"/>
        </w:tcPr>
        <w:p w:rsidR="000467C3" w:rsidRDefault="00B2033F" w:rsidP="007A59A4">
          <w:pPr>
            <w:pStyle w:val="HeaderLiteEven"/>
            <w:jc w:val="right"/>
          </w:pPr>
          <w:r>
            <w:fldChar w:fldCharType="begin"/>
          </w:r>
          <w:r>
            <w:instrText xml:space="preserve"> REF Part_3 \h </w:instrText>
          </w:r>
          <w:r>
            <w:fldChar w:fldCharType="separate"/>
          </w:r>
          <w:r w:rsidR="00DA4926" w:rsidRPr="00BC75DB">
            <w:t>Part 3</w:t>
          </w:r>
          <w:r>
            <w:fldChar w:fldCharType="end"/>
          </w:r>
        </w:p>
      </w:tc>
    </w:tr>
    <w:tr w:rsidR="000467C3">
      <w:trPr>
        <w:trHeight w:val="408"/>
      </w:trPr>
      <w:tc>
        <w:tcPr>
          <w:tcW w:w="140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67C3" w:rsidRDefault="000467C3" w:rsidP="007A59A4">
          <w:pPr>
            <w:pStyle w:val="HeaderLiteEven"/>
            <w:spacing w:before="120" w:after="60"/>
            <w:ind w:right="-108"/>
          </w:pPr>
        </w:p>
      </w:tc>
    </w:tr>
  </w:tbl>
  <w:p w:rsidR="000467C3" w:rsidRPr="007A59A4" w:rsidRDefault="000467C3" w:rsidP="007A59A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0D" w:rsidRPr="00C4473E" w:rsidRDefault="00B65C0D" w:rsidP="00B65C0D">
    <w:pPr>
      <w:rPr>
        <w:sz w:val="26"/>
        <w:szCs w:val="26"/>
      </w:rPr>
    </w:pPr>
  </w:p>
  <w:p w:rsidR="00E25E34" w:rsidRDefault="00B65C0D">
    <w:r w:rsidRPr="00965EE7">
      <w:rPr>
        <w:b/>
        <w:sz w:val="20"/>
      </w:rPr>
      <w:t>Endnotes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111"/>
    <w:multiLevelType w:val="hybridMultilevel"/>
    <w:tmpl w:val="3FC4A19A"/>
    <w:lvl w:ilvl="0" w:tplc="05446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AC028BF"/>
    <w:multiLevelType w:val="hybridMultilevel"/>
    <w:tmpl w:val="5D84E47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916EC3"/>
    <w:multiLevelType w:val="hybridMultilevel"/>
    <w:tmpl w:val="3FC4A19A"/>
    <w:lvl w:ilvl="0" w:tplc="05446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2E25"/>
    <w:multiLevelType w:val="hybridMultilevel"/>
    <w:tmpl w:val="12989A0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90857"/>
    <w:multiLevelType w:val="hybridMultilevel"/>
    <w:tmpl w:val="9FC4B0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F3E"/>
    <w:multiLevelType w:val="hybridMultilevel"/>
    <w:tmpl w:val="4B94F936"/>
    <w:lvl w:ilvl="0" w:tplc="894CA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DA733F"/>
    <w:multiLevelType w:val="hybridMultilevel"/>
    <w:tmpl w:val="0ADE611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02F4"/>
    <w:multiLevelType w:val="hybridMultilevel"/>
    <w:tmpl w:val="1A0ED3C2"/>
    <w:lvl w:ilvl="0" w:tplc="B9A0C6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930201"/>
    <w:multiLevelType w:val="multilevel"/>
    <w:tmpl w:val="3BC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A3394"/>
    <w:multiLevelType w:val="hybridMultilevel"/>
    <w:tmpl w:val="AA3650BE"/>
    <w:lvl w:ilvl="0" w:tplc="211A31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07E5A"/>
    <w:multiLevelType w:val="hybridMultilevel"/>
    <w:tmpl w:val="44E43C8C"/>
    <w:lvl w:ilvl="0" w:tplc="ADCAA2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4">
    <w:nsid w:val="4D422632"/>
    <w:multiLevelType w:val="multilevel"/>
    <w:tmpl w:val="276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43D05"/>
    <w:multiLevelType w:val="hybridMultilevel"/>
    <w:tmpl w:val="59FA34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0779A"/>
    <w:multiLevelType w:val="hybridMultilevel"/>
    <w:tmpl w:val="37A07B5A"/>
    <w:lvl w:ilvl="0" w:tplc="0C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6B79511D"/>
    <w:multiLevelType w:val="multilevel"/>
    <w:tmpl w:val="040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37571"/>
    <w:multiLevelType w:val="hybridMultilevel"/>
    <w:tmpl w:val="0D6A18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46FD6"/>
    <w:multiLevelType w:val="hybridMultilevel"/>
    <w:tmpl w:val="9468C20C"/>
    <w:lvl w:ilvl="0" w:tplc="E82EAFB0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66987"/>
    <w:multiLevelType w:val="multilevel"/>
    <w:tmpl w:val="737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14"/>
  </w:num>
  <w:num w:numId="9">
    <w:abstractNumId w:val="20"/>
  </w:num>
  <w:num w:numId="10">
    <w:abstractNumId w:val="11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0"/>
  </w:num>
  <w:num w:numId="19">
    <w:abstractNumId w:val="8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embedTrueTypeFonts/>
  <w:saveSubsetFonts/>
  <w:attachedTemplate r:id="rId1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0876"/>
    <w:rsid w:val="000038A0"/>
    <w:rsid w:val="00006A2A"/>
    <w:rsid w:val="00012F8A"/>
    <w:rsid w:val="00013899"/>
    <w:rsid w:val="000149DE"/>
    <w:rsid w:val="00014EA4"/>
    <w:rsid w:val="00015039"/>
    <w:rsid w:val="0001662A"/>
    <w:rsid w:val="00017B1D"/>
    <w:rsid w:val="00020108"/>
    <w:rsid w:val="00020BA4"/>
    <w:rsid w:val="0003181F"/>
    <w:rsid w:val="00032F2C"/>
    <w:rsid w:val="00035991"/>
    <w:rsid w:val="0003702E"/>
    <w:rsid w:val="00040090"/>
    <w:rsid w:val="000403D5"/>
    <w:rsid w:val="000427E4"/>
    <w:rsid w:val="00045BA4"/>
    <w:rsid w:val="00045F1B"/>
    <w:rsid w:val="000467C3"/>
    <w:rsid w:val="00051956"/>
    <w:rsid w:val="00051F15"/>
    <w:rsid w:val="000521B7"/>
    <w:rsid w:val="0005339D"/>
    <w:rsid w:val="000553E5"/>
    <w:rsid w:val="00056172"/>
    <w:rsid w:val="0005726E"/>
    <w:rsid w:val="00057D55"/>
    <w:rsid w:val="00060076"/>
    <w:rsid w:val="00060E8C"/>
    <w:rsid w:val="000646EC"/>
    <w:rsid w:val="00064A01"/>
    <w:rsid w:val="00065118"/>
    <w:rsid w:val="00065296"/>
    <w:rsid w:val="000715D1"/>
    <w:rsid w:val="00071B44"/>
    <w:rsid w:val="000749C4"/>
    <w:rsid w:val="00082916"/>
    <w:rsid w:val="00083189"/>
    <w:rsid w:val="00083BF9"/>
    <w:rsid w:val="0008560A"/>
    <w:rsid w:val="00086B46"/>
    <w:rsid w:val="00090140"/>
    <w:rsid w:val="00091146"/>
    <w:rsid w:val="00092536"/>
    <w:rsid w:val="00093751"/>
    <w:rsid w:val="000954D1"/>
    <w:rsid w:val="00095849"/>
    <w:rsid w:val="00095EBA"/>
    <w:rsid w:val="000A01EC"/>
    <w:rsid w:val="000A0669"/>
    <w:rsid w:val="000A0788"/>
    <w:rsid w:val="000A0CCA"/>
    <w:rsid w:val="000A1742"/>
    <w:rsid w:val="000A2B27"/>
    <w:rsid w:val="000A2C80"/>
    <w:rsid w:val="000A620C"/>
    <w:rsid w:val="000A7869"/>
    <w:rsid w:val="000B1D43"/>
    <w:rsid w:val="000B4121"/>
    <w:rsid w:val="000B51B3"/>
    <w:rsid w:val="000B5572"/>
    <w:rsid w:val="000C4E6A"/>
    <w:rsid w:val="000C5648"/>
    <w:rsid w:val="000C5C7F"/>
    <w:rsid w:val="000D1916"/>
    <w:rsid w:val="000D347D"/>
    <w:rsid w:val="000D5BB8"/>
    <w:rsid w:val="000D5BEC"/>
    <w:rsid w:val="000D7325"/>
    <w:rsid w:val="000E16EC"/>
    <w:rsid w:val="000E27E3"/>
    <w:rsid w:val="000E48BD"/>
    <w:rsid w:val="000E5199"/>
    <w:rsid w:val="000E7494"/>
    <w:rsid w:val="000E7EA8"/>
    <w:rsid w:val="000F0294"/>
    <w:rsid w:val="000F4980"/>
    <w:rsid w:val="00100A5E"/>
    <w:rsid w:val="00104065"/>
    <w:rsid w:val="0010427B"/>
    <w:rsid w:val="0010518A"/>
    <w:rsid w:val="00105BB8"/>
    <w:rsid w:val="00105E41"/>
    <w:rsid w:val="00106B9A"/>
    <w:rsid w:val="00107873"/>
    <w:rsid w:val="00107DB0"/>
    <w:rsid w:val="001109A9"/>
    <w:rsid w:val="00110C5D"/>
    <w:rsid w:val="00111D90"/>
    <w:rsid w:val="0011240B"/>
    <w:rsid w:val="00113AD0"/>
    <w:rsid w:val="001161F8"/>
    <w:rsid w:val="00116989"/>
    <w:rsid w:val="00116E8E"/>
    <w:rsid w:val="00125657"/>
    <w:rsid w:val="00126614"/>
    <w:rsid w:val="001312D8"/>
    <w:rsid w:val="00131B83"/>
    <w:rsid w:val="00131BEA"/>
    <w:rsid w:val="001328CE"/>
    <w:rsid w:val="00133D7A"/>
    <w:rsid w:val="00134DDC"/>
    <w:rsid w:val="00140090"/>
    <w:rsid w:val="001409F1"/>
    <w:rsid w:val="0014186A"/>
    <w:rsid w:val="00141CBA"/>
    <w:rsid w:val="00144DE3"/>
    <w:rsid w:val="00153160"/>
    <w:rsid w:val="00153195"/>
    <w:rsid w:val="00155A68"/>
    <w:rsid w:val="00156369"/>
    <w:rsid w:val="00162609"/>
    <w:rsid w:val="001635F5"/>
    <w:rsid w:val="00164844"/>
    <w:rsid w:val="00164935"/>
    <w:rsid w:val="00165D61"/>
    <w:rsid w:val="00171296"/>
    <w:rsid w:val="001749EA"/>
    <w:rsid w:val="001760A4"/>
    <w:rsid w:val="0017685B"/>
    <w:rsid w:val="00181E6D"/>
    <w:rsid w:val="00185F83"/>
    <w:rsid w:val="00186360"/>
    <w:rsid w:val="00187D63"/>
    <w:rsid w:val="00190116"/>
    <w:rsid w:val="001903B7"/>
    <w:rsid w:val="00191452"/>
    <w:rsid w:val="00191FA5"/>
    <w:rsid w:val="00192C10"/>
    <w:rsid w:val="001937DD"/>
    <w:rsid w:val="00193B93"/>
    <w:rsid w:val="00193F32"/>
    <w:rsid w:val="00193F7F"/>
    <w:rsid w:val="001A2155"/>
    <w:rsid w:val="001A4DD7"/>
    <w:rsid w:val="001A6C36"/>
    <w:rsid w:val="001A6C59"/>
    <w:rsid w:val="001B0D61"/>
    <w:rsid w:val="001B644D"/>
    <w:rsid w:val="001C08D5"/>
    <w:rsid w:val="001C1E8E"/>
    <w:rsid w:val="001C2114"/>
    <w:rsid w:val="001C22F5"/>
    <w:rsid w:val="001C25FE"/>
    <w:rsid w:val="001D034D"/>
    <w:rsid w:val="001D264C"/>
    <w:rsid w:val="001D5937"/>
    <w:rsid w:val="001D6D71"/>
    <w:rsid w:val="001D7930"/>
    <w:rsid w:val="001E092D"/>
    <w:rsid w:val="001E1FA2"/>
    <w:rsid w:val="001E2DCF"/>
    <w:rsid w:val="001E365E"/>
    <w:rsid w:val="001E6838"/>
    <w:rsid w:val="001F108C"/>
    <w:rsid w:val="001F3FBB"/>
    <w:rsid w:val="001F41C5"/>
    <w:rsid w:val="002015B2"/>
    <w:rsid w:val="00201A6A"/>
    <w:rsid w:val="00203232"/>
    <w:rsid w:val="002065E7"/>
    <w:rsid w:val="0020770E"/>
    <w:rsid w:val="00210652"/>
    <w:rsid w:val="0021170B"/>
    <w:rsid w:val="00212C93"/>
    <w:rsid w:val="00214C3B"/>
    <w:rsid w:val="00220EAB"/>
    <w:rsid w:val="00222DB2"/>
    <w:rsid w:val="00222FD0"/>
    <w:rsid w:val="00223519"/>
    <w:rsid w:val="002252C7"/>
    <w:rsid w:val="0022734F"/>
    <w:rsid w:val="00233C57"/>
    <w:rsid w:val="00234256"/>
    <w:rsid w:val="00234515"/>
    <w:rsid w:val="0023489C"/>
    <w:rsid w:val="00234A3F"/>
    <w:rsid w:val="00236E9E"/>
    <w:rsid w:val="0024222C"/>
    <w:rsid w:val="00242C72"/>
    <w:rsid w:val="00242D94"/>
    <w:rsid w:val="00242EB0"/>
    <w:rsid w:val="00243601"/>
    <w:rsid w:val="00244C01"/>
    <w:rsid w:val="00246042"/>
    <w:rsid w:val="00247DDF"/>
    <w:rsid w:val="00252F17"/>
    <w:rsid w:val="00253DDD"/>
    <w:rsid w:val="00256C64"/>
    <w:rsid w:val="00256FE9"/>
    <w:rsid w:val="00260912"/>
    <w:rsid w:val="0026549C"/>
    <w:rsid w:val="00265D87"/>
    <w:rsid w:val="002720E1"/>
    <w:rsid w:val="00275245"/>
    <w:rsid w:val="00276870"/>
    <w:rsid w:val="00276888"/>
    <w:rsid w:val="00280C3E"/>
    <w:rsid w:val="00281E63"/>
    <w:rsid w:val="0028485F"/>
    <w:rsid w:val="0028609E"/>
    <w:rsid w:val="00286CEA"/>
    <w:rsid w:val="002874BB"/>
    <w:rsid w:val="00293BC3"/>
    <w:rsid w:val="002A01E2"/>
    <w:rsid w:val="002A0984"/>
    <w:rsid w:val="002A19B0"/>
    <w:rsid w:val="002A37DA"/>
    <w:rsid w:val="002A4803"/>
    <w:rsid w:val="002B1EBA"/>
    <w:rsid w:val="002B265A"/>
    <w:rsid w:val="002B3196"/>
    <w:rsid w:val="002B32C5"/>
    <w:rsid w:val="002B519A"/>
    <w:rsid w:val="002B7DCF"/>
    <w:rsid w:val="002C0C99"/>
    <w:rsid w:val="002C4383"/>
    <w:rsid w:val="002C592A"/>
    <w:rsid w:val="002D4558"/>
    <w:rsid w:val="002D71AC"/>
    <w:rsid w:val="002D7932"/>
    <w:rsid w:val="002E511C"/>
    <w:rsid w:val="002E5749"/>
    <w:rsid w:val="002E5C7B"/>
    <w:rsid w:val="002F2109"/>
    <w:rsid w:val="002F215E"/>
    <w:rsid w:val="002F5498"/>
    <w:rsid w:val="002F5D6A"/>
    <w:rsid w:val="002F78D5"/>
    <w:rsid w:val="00300467"/>
    <w:rsid w:val="00305FBF"/>
    <w:rsid w:val="00306194"/>
    <w:rsid w:val="00306743"/>
    <w:rsid w:val="00313018"/>
    <w:rsid w:val="00314420"/>
    <w:rsid w:val="00315FB9"/>
    <w:rsid w:val="0032289B"/>
    <w:rsid w:val="003231FF"/>
    <w:rsid w:val="003245D2"/>
    <w:rsid w:val="00327A75"/>
    <w:rsid w:val="0033573E"/>
    <w:rsid w:val="00336724"/>
    <w:rsid w:val="00340EEC"/>
    <w:rsid w:val="00342AFA"/>
    <w:rsid w:val="00343B24"/>
    <w:rsid w:val="003469E3"/>
    <w:rsid w:val="0035001E"/>
    <w:rsid w:val="00351D63"/>
    <w:rsid w:val="00353F3B"/>
    <w:rsid w:val="003545A6"/>
    <w:rsid w:val="003562D4"/>
    <w:rsid w:val="00357657"/>
    <w:rsid w:val="00361654"/>
    <w:rsid w:val="00363577"/>
    <w:rsid w:val="00367E3F"/>
    <w:rsid w:val="00370DD7"/>
    <w:rsid w:val="0037255F"/>
    <w:rsid w:val="00376C32"/>
    <w:rsid w:val="0038199B"/>
    <w:rsid w:val="00382A36"/>
    <w:rsid w:val="00385E4F"/>
    <w:rsid w:val="003865DD"/>
    <w:rsid w:val="00387BC0"/>
    <w:rsid w:val="00387F34"/>
    <w:rsid w:val="00390A52"/>
    <w:rsid w:val="003919FD"/>
    <w:rsid w:val="00392557"/>
    <w:rsid w:val="0039396B"/>
    <w:rsid w:val="003A1938"/>
    <w:rsid w:val="003A5AF1"/>
    <w:rsid w:val="003A69DE"/>
    <w:rsid w:val="003A77F7"/>
    <w:rsid w:val="003B0D29"/>
    <w:rsid w:val="003B1202"/>
    <w:rsid w:val="003B37E4"/>
    <w:rsid w:val="003B5256"/>
    <w:rsid w:val="003B7E2B"/>
    <w:rsid w:val="003C1D25"/>
    <w:rsid w:val="003C59B7"/>
    <w:rsid w:val="003D1079"/>
    <w:rsid w:val="003D1FD3"/>
    <w:rsid w:val="003D47B6"/>
    <w:rsid w:val="003D5FC8"/>
    <w:rsid w:val="003D659C"/>
    <w:rsid w:val="003D6F03"/>
    <w:rsid w:val="003E6D06"/>
    <w:rsid w:val="003F383B"/>
    <w:rsid w:val="003F3AB0"/>
    <w:rsid w:val="003F4CE8"/>
    <w:rsid w:val="003F5A0F"/>
    <w:rsid w:val="003F6111"/>
    <w:rsid w:val="003F6833"/>
    <w:rsid w:val="004002E3"/>
    <w:rsid w:val="004005D4"/>
    <w:rsid w:val="00402339"/>
    <w:rsid w:val="0040253A"/>
    <w:rsid w:val="00402AE9"/>
    <w:rsid w:val="00403F78"/>
    <w:rsid w:val="00405D7A"/>
    <w:rsid w:val="0040699A"/>
    <w:rsid w:val="004077E5"/>
    <w:rsid w:val="00412D4E"/>
    <w:rsid w:val="004136F9"/>
    <w:rsid w:val="004145AB"/>
    <w:rsid w:val="004160EE"/>
    <w:rsid w:val="00417A86"/>
    <w:rsid w:val="00421964"/>
    <w:rsid w:val="00422522"/>
    <w:rsid w:val="004255DD"/>
    <w:rsid w:val="0043187D"/>
    <w:rsid w:val="00433B06"/>
    <w:rsid w:val="004361A5"/>
    <w:rsid w:val="00440B24"/>
    <w:rsid w:val="00441D35"/>
    <w:rsid w:val="00442AA3"/>
    <w:rsid w:val="00443890"/>
    <w:rsid w:val="0044430D"/>
    <w:rsid w:val="00444F77"/>
    <w:rsid w:val="004459DE"/>
    <w:rsid w:val="00450211"/>
    <w:rsid w:val="00450DE1"/>
    <w:rsid w:val="004533FC"/>
    <w:rsid w:val="00456C32"/>
    <w:rsid w:val="00456CC9"/>
    <w:rsid w:val="00464092"/>
    <w:rsid w:val="004640EA"/>
    <w:rsid w:val="00464C4D"/>
    <w:rsid w:val="004668C3"/>
    <w:rsid w:val="00466DBA"/>
    <w:rsid w:val="00470F8E"/>
    <w:rsid w:val="00475E83"/>
    <w:rsid w:val="00476230"/>
    <w:rsid w:val="0047650A"/>
    <w:rsid w:val="004803B0"/>
    <w:rsid w:val="0048364A"/>
    <w:rsid w:val="004837A6"/>
    <w:rsid w:val="004843C2"/>
    <w:rsid w:val="00487504"/>
    <w:rsid w:val="004879CB"/>
    <w:rsid w:val="0049072A"/>
    <w:rsid w:val="0049172E"/>
    <w:rsid w:val="004927FC"/>
    <w:rsid w:val="004934CF"/>
    <w:rsid w:val="00494689"/>
    <w:rsid w:val="00497308"/>
    <w:rsid w:val="00497EB8"/>
    <w:rsid w:val="004A082E"/>
    <w:rsid w:val="004A20E2"/>
    <w:rsid w:val="004A34CE"/>
    <w:rsid w:val="004A37A8"/>
    <w:rsid w:val="004A6471"/>
    <w:rsid w:val="004A75D9"/>
    <w:rsid w:val="004A7713"/>
    <w:rsid w:val="004A7AA7"/>
    <w:rsid w:val="004A7F8F"/>
    <w:rsid w:val="004B1297"/>
    <w:rsid w:val="004B1AC1"/>
    <w:rsid w:val="004B40EB"/>
    <w:rsid w:val="004B4155"/>
    <w:rsid w:val="004B5234"/>
    <w:rsid w:val="004B5603"/>
    <w:rsid w:val="004B5F76"/>
    <w:rsid w:val="004B6C4F"/>
    <w:rsid w:val="004C2995"/>
    <w:rsid w:val="004C3AB4"/>
    <w:rsid w:val="004C7199"/>
    <w:rsid w:val="004D2C41"/>
    <w:rsid w:val="004D32C2"/>
    <w:rsid w:val="004D5726"/>
    <w:rsid w:val="004D5EAB"/>
    <w:rsid w:val="004D6045"/>
    <w:rsid w:val="004D7115"/>
    <w:rsid w:val="004D7545"/>
    <w:rsid w:val="004E0619"/>
    <w:rsid w:val="004E0BF2"/>
    <w:rsid w:val="004E1823"/>
    <w:rsid w:val="004E1C75"/>
    <w:rsid w:val="004E2FEB"/>
    <w:rsid w:val="004E7590"/>
    <w:rsid w:val="004F0888"/>
    <w:rsid w:val="004F0FE5"/>
    <w:rsid w:val="004F23B5"/>
    <w:rsid w:val="004F4A2C"/>
    <w:rsid w:val="004F5D6D"/>
    <w:rsid w:val="004F76FE"/>
    <w:rsid w:val="00501E0C"/>
    <w:rsid w:val="00502AAD"/>
    <w:rsid w:val="005056C8"/>
    <w:rsid w:val="0051137B"/>
    <w:rsid w:val="00511776"/>
    <w:rsid w:val="00511924"/>
    <w:rsid w:val="00512974"/>
    <w:rsid w:val="00513A66"/>
    <w:rsid w:val="0051511D"/>
    <w:rsid w:val="005201AD"/>
    <w:rsid w:val="005212A2"/>
    <w:rsid w:val="0052220C"/>
    <w:rsid w:val="005234C7"/>
    <w:rsid w:val="005238E0"/>
    <w:rsid w:val="005277E8"/>
    <w:rsid w:val="00532B40"/>
    <w:rsid w:val="005378B8"/>
    <w:rsid w:val="0054351E"/>
    <w:rsid w:val="00544AAB"/>
    <w:rsid w:val="005505B0"/>
    <w:rsid w:val="005516CA"/>
    <w:rsid w:val="0055418C"/>
    <w:rsid w:val="00560CD3"/>
    <w:rsid w:val="00561507"/>
    <w:rsid w:val="00561697"/>
    <w:rsid w:val="00564682"/>
    <w:rsid w:val="00566747"/>
    <w:rsid w:val="00566EAE"/>
    <w:rsid w:val="005672DE"/>
    <w:rsid w:val="00573A9B"/>
    <w:rsid w:val="00574860"/>
    <w:rsid w:val="005749F6"/>
    <w:rsid w:val="00576569"/>
    <w:rsid w:val="00577727"/>
    <w:rsid w:val="00580301"/>
    <w:rsid w:val="0058102B"/>
    <w:rsid w:val="00582805"/>
    <w:rsid w:val="005859FB"/>
    <w:rsid w:val="00586788"/>
    <w:rsid w:val="0058781B"/>
    <w:rsid w:val="00592222"/>
    <w:rsid w:val="005924C4"/>
    <w:rsid w:val="00593140"/>
    <w:rsid w:val="005943B6"/>
    <w:rsid w:val="0059642A"/>
    <w:rsid w:val="00597697"/>
    <w:rsid w:val="005A0A03"/>
    <w:rsid w:val="005A10ED"/>
    <w:rsid w:val="005A4031"/>
    <w:rsid w:val="005A584A"/>
    <w:rsid w:val="005B1A0E"/>
    <w:rsid w:val="005B5BAF"/>
    <w:rsid w:val="005B7B02"/>
    <w:rsid w:val="005C067A"/>
    <w:rsid w:val="005C2CA9"/>
    <w:rsid w:val="005C4A85"/>
    <w:rsid w:val="005C4B87"/>
    <w:rsid w:val="005C5892"/>
    <w:rsid w:val="005D070F"/>
    <w:rsid w:val="005D0D39"/>
    <w:rsid w:val="005D2F97"/>
    <w:rsid w:val="005D57DA"/>
    <w:rsid w:val="005D66A8"/>
    <w:rsid w:val="005D692B"/>
    <w:rsid w:val="005D6E3B"/>
    <w:rsid w:val="005D700D"/>
    <w:rsid w:val="005D7521"/>
    <w:rsid w:val="005E13EB"/>
    <w:rsid w:val="005E26E0"/>
    <w:rsid w:val="005E43E5"/>
    <w:rsid w:val="005E563D"/>
    <w:rsid w:val="005F29E2"/>
    <w:rsid w:val="005F347D"/>
    <w:rsid w:val="005F37E4"/>
    <w:rsid w:val="005F476B"/>
    <w:rsid w:val="005F47D8"/>
    <w:rsid w:val="005F52A1"/>
    <w:rsid w:val="005F7DAB"/>
    <w:rsid w:val="00601B5E"/>
    <w:rsid w:val="00602748"/>
    <w:rsid w:val="006047C5"/>
    <w:rsid w:val="00605301"/>
    <w:rsid w:val="006059D8"/>
    <w:rsid w:val="006109D6"/>
    <w:rsid w:val="00617CE9"/>
    <w:rsid w:val="0062032E"/>
    <w:rsid w:val="00621387"/>
    <w:rsid w:val="00621915"/>
    <w:rsid w:val="00623050"/>
    <w:rsid w:val="00624074"/>
    <w:rsid w:val="0062769F"/>
    <w:rsid w:val="00631E23"/>
    <w:rsid w:val="00632545"/>
    <w:rsid w:val="00634956"/>
    <w:rsid w:val="00641664"/>
    <w:rsid w:val="006433B3"/>
    <w:rsid w:val="006459BB"/>
    <w:rsid w:val="0065001E"/>
    <w:rsid w:val="00651546"/>
    <w:rsid w:val="006533B7"/>
    <w:rsid w:val="00666C42"/>
    <w:rsid w:val="00670455"/>
    <w:rsid w:val="00671134"/>
    <w:rsid w:val="00674B00"/>
    <w:rsid w:val="00675766"/>
    <w:rsid w:val="00684D4F"/>
    <w:rsid w:val="00686FB7"/>
    <w:rsid w:val="006872AB"/>
    <w:rsid w:val="00692F63"/>
    <w:rsid w:val="00693A99"/>
    <w:rsid w:val="006A4802"/>
    <w:rsid w:val="006A5D1D"/>
    <w:rsid w:val="006B314C"/>
    <w:rsid w:val="006C1516"/>
    <w:rsid w:val="006C2616"/>
    <w:rsid w:val="006C3A6E"/>
    <w:rsid w:val="006C5742"/>
    <w:rsid w:val="006D018E"/>
    <w:rsid w:val="006D3078"/>
    <w:rsid w:val="006D4034"/>
    <w:rsid w:val="006D4084"/>
    <w:rsid w:val="006D7C72"/>
    <w:rsid w:val="006E2530"/>
    <w:rsid w:val="006E548F"/>
    <w:rsid w:val="006F0BD8"/>
    <w:rsid w:val="006F1A4B"/>
    <w:rsid w:val="006F73F0"/>
    <w:rsid w:val="007026CA"/>
    <w:rsid w:val="00702998"/>
    <w:rsid w:val="0071055A"/>
    <w:rsid w:val="007110BC"/>
    <w:rsid w:val="0071280D"/>
    <w:rsid w:val="0071414A"/>
    <w:rsid w:val="0071514F"/>
    <w:rsid w:val="00716F1E"/>
    <w:rsid w:val="007200F9"/>
    <w:rsid w:val="00721A8F"/>
    <w:rsid w:val="00724A5B"/>
    <w:rsid w:val="00727685"/>
    <w:rsid w:val="00730AF8"/>
    <w:rsid w:val="0073123C"/>
    <w:rsid w:val="00731824"/>
    <w:rsid w:val="00735D7F"/>
    <w:rsid w:val="007375F7"/>
    <w:rsid w:val="00740322"/>
    <w:rsid w:val="00740916"/>
    <w:rsid w:val="007410C9"/>
    <w:rsid w:val="007431FF"/>
    <w:rsid w:val="007509A1"/>
    <w:rsid w:val="00756F9E"/>
    <w:rsid w:val="00761785"/>
    <w:rsid w:val="00772ADE"/>
    <w:rsid w:val="00777F6A"/>
    <w:rsid w:val="007818A2"/>
    <w:rsid w:val="00782025"/>
    <w:rsid w:val="0078300B"/>
    <w:rsid w:val="007833A9"/>
    <w:rsid w:val="00784BAD"/>
    <w:rsid w:val="007851E9"/>
    <w:rsid w:val="007869AC"/>
    <w:rsid w:val="00790B9F"/>
    <w:rsid w:val="007910D2"/>
    <w:rsid w:val="00791AA0"/>
    <w:rsid w:val="00793317"/>
    <w:rsid w:val="00794754"/>
    <w:rsid w:val="00795B4F"/>
    <w:rsid w:val="007A2D10"/>
    <w:rsid w:val="007A3064"/>
    <w:rsid w:val="007A59A4"/>
    <w:rsid w:val="007A5F6F"/>
    <w:rsid w:val="007B0F21"/>
    <w:rsid w:val="007B6CE9"/>
    <w:rsid w:val="007C1146"/>
    <w:rsid w:val="007C256E"/>
    <w:rsid w:val="007C7959"/>
    <w:rsid w:val="007D1A1E"/>
    <w:rsid w:val="007E231D"/>
    <w:rsid w:val="007E2674"/>
    <w:rsid w:val="007E3AA5"/>
    <w:rsid w:val="007E548D"/>
    <w:rsid w:val="007E6025"/>
    <w:rsid w:val="007E75E0"/>
    <w:rsid w:val="007F2FB8"/>
    <w:rsid w:val="007F3B1D"/>
    <w:rsid w:val="007F7130"/>
    <w:rsid w:val="007F75DF"/>
    <w:rsid w:val="008002E8"/>
    <w:rsid w:val="008006D5"/>
    <w:rsid w:val="008149B7"/>
    <w:rsid w:val="00817219"/>
    <w:rsid w:val="00823C19"/>
    <w:rsid w:val="00825250"/>
    <w:rsid w:val="00826175"/>
    <w:rsid w:val="008273BF"/>
    <w:rsid w:val="008322B6"/>
    <w:rsid w:val="008336AD"/>
    <w:rsid w:val="008349F1"/>
    <w:rsid w:val="00834BE0"/>
    <w:rsid w:val="008350A7"/>
    <w:rsid w:val="00836024"/>
    <w:rsid w:val="00836392"/>
    <w:rsid w:val="008369C3"/>
    <w:rsid w:val="008369C4"/>
    <w:rsid w:val="00836DF8"/>
    <w:rsid w:val="00837107"/>
    <w:rsid w:val="00840812"/>
    <w:rsid w:val="008416EA"/>
    <w:rsid w:val="008427DF"/>
    <w:rsid w:val="00844132"/>
    <w:rsid w:val="00845E15"/>
    <w:rsid w:val="00847850"/>
    <w:rsid w:val="0085168C"/>
    <w:rsid w:val="008546A9"/>
    <w:rsid w:val="00854857"/>
    <w:rsid w:val="00856EB5"/>
    <w:rsid w:val="00856FF6"/>
    <w:rsid w:val="00863209"/>
    <w:rsid w:val="00863597"/>
    <w:rsid w:val="0086431D"/>
    <w:rsid w:val="008645A4"/>
    <w:rsid w:val="0086648B"/>
    <w:rsid w:val="008673F2"/>
    <w:rsid w:val="008731F9"/>
    <w:rsid w:val="00873699"/>
    <w:rsid w:val="00873E3C"/>
    <w:rsid w:val="008750E2"/>
    <w:rsid w:val="00876206"/>
    <w:rsid w:val="00876486"/>
    <w:rsid w:val="00886003"/>
    <w:rsid w:val="008866E8"/>
    <w:rsid w:val="0088671C"/>
    <w:rsid w:val="00886C7C"/>
    <w:rsid w:val="00892B87"/>
    <w:rsid w:val="008934E5"/>
    <w:rsid w:val="00893ECB"/>
    <w:rsid w:val="008949E5"/>
    <w:rsid w:val="00897C5C"/>
    <w:rsid w:val="008A03CA"/>
    <w:rsid w:val="008A16E4"/>
    <w:rsid w:val="008A3CC2"/>
    <w:rsid w:val="008A4808"/>
    <w:rsid w:val="008A50BB"/>
    <w:rsid w:val="008A6DFE"/>
    <w:rsid w:val="008B0EFE"/>
    <w:rsid w:val="008B183C"/>
    <w:rsid w:val="008B1E93"/>
    <w:rsid w:val="008B3E57"/>
    <w:rsid w:val="008B5981"/>
    <w:rsid w:val="008B66A5"/>
    <w:rsid w:val="008B6C52"/>
    <w:rsid w:val="008C08E6"/>
    <w:rsid w:val="008C107B"/>
    <w:rsid w:val="008C2126"/>
    <w:rsid w:val="008C3068"/>
    <w:rsid w:val="008C43C2"/>
    <w:rsid w:val="008C48D9"/>
    <w:rsid w:val="008C4A81"/>
    <w:rsid w:val="008C70B3"/>
    <w:rsid w:val="008C7E05"/>
    <w:rsid w:val="008D1B25"/>
    <w:rsid w:val="008D5B3D"/>
    <w:rsid w:val="008E0B6E"/>
    <w:rsid w:val="008E2235"/>
    <w:rsid w:val="008E3423"/>
    <w:rsid w:val="008E63C4"/>
    <w:rsid w:val="008E7F3A"/>
    <w:rsid w:val="008F1DAB"/>
    <w:rsid w:val="008F35FD"/>
    <w:rsid w:val="008F3C01"/>
    <w:rsid w:val="009007F1"/>
    <w:rsid w:val="00904241"/>
    <w:rsid w:val="00904456"/>
    <w:rsid w:val="00905D42"/>
    <w:rsid w:val="009078CC"/>
    <w:rsid w:val="00911F7B"/>
    <w:rsid w:val="00913281"/>
    <w:rsid w:val="00913EA5"/>
    <w:rsid w:val="009146C1"/>
    <w:rsid w:val="00915D96"/>
    <w:rsid w:val="00924E7E"/>
    <w:rsid w:val="00927548"/>
    <w:rsid w:val="00927849"/>
    <w:rsid w:val="00930919"/>
    <w:rsid w:val="00936F40"/>
    <w:rsid w:val="009373EF"/>
    <w:rsid w:val="00937FE2"/>
    <w:rsid w:val="00942D49"/>
    <w:rsid w:val="00943281"/>
    <w:rsid w:val="00943CEA"/>
    <w:rsid w:val="00944FF8"/>
    <w:rsid w:val="00945A5E"/>
    <w:rsid w:val="00954241"/>
    <w:rsid w:val="00956380"/>
    <w:rsid w:val="00957459"/>
    <w:rsid w:val="009612A7"/>
    <w:rsid w:val="009628F2"/>
    <w:rsid w:val="0096356E"/>
    <w:rsid w:val="00963ADB"/>
    <w:rsid w:val="00967162"/>
    <w:rsid w:val="0096720B"/>
    <w:rsid w:val="00967444"/>
    <w:rsid w:val="00967F24"/>
    <w:rsid w:val="00976374"/>
    <w:rsid w:val="009766AC"/>
    <w:rsid w:val="00980CB1"/>
    <w:rsid w:val="00981487"/>
    <w:rsid w:val="00981D02"/>
    <w:rsid w:val="009835C0"/>
    <w:rsid w:val="00983A1F"/>
    <w:rsid w:val="00987485"/>
    <w:rsid w:val="0099167B"/>
    <w:rsid w:val="0099549B"/>
    <w:rsid w:val="0099678B"/>
    <w:rsid w:val="009974BE"/>
    <w:rsid w:val="009974F3"/>
    <w:rsid w:val="009A0CC8"/>
    <w:rsid w:val="009A196E"/>
    <w:rsid w:val="009A207B"/>
    <w:rsid w:val="009A43D2"/>
    <w:rsid w:val="009A5A0D"/>
    <w:rsid w:val="009A679E"/>
    <w:rsid w:val="009A6D1B"/>
    <w:rsid w:val="009B303B"/>
    <w:rsid w:val="009B3BDA"/>
    <w:rsid w:val="009B4DB0"/>
    <w:rsid w:val="009B76D8"/>
    <w:rsid w:val="009B785F"/>
    <w:rsid w:val="009C0398"/>
    <w:rsid w:val="009C0C01"/>
    <w:rsid w:val="009C4AF7"/>
    <w:rsid w:val="009C6063"/>
    <w:rsid w:val="009D0E8C"/>
    <w:rsid w:val="009D196C"/>
    <w:rsid w:val="009D3698"/>
    <w:rsid w:val="009D3809"/>
    <w:rsid w:val="009D6B2A"/>
    <w:rsid w:val="009D7A23"/>
    <w:rsid w:val="009D7BDF"/>
    <w:rsid w:val="009E1C06"/>
    <w:rsid w:val="009E28DB"/>
    <w:rsid w:val="009E2D2F"/>
    <w:rsid w:val="009E4B79"/>
    <w:rsid w:val="009F1697"/>
    <w:rsid w:val="009F3F7B"/>
    <w:rsid w:val="009F63E2"/>
    <w:rsid w:val="009F6F35"/>
    <w:rsid w:val="00A00C88"/>
    <w:rsid w:val="00A02D62"/>
    <w:rsid w:val="00A046F7"/>
    <w:rsid w:val="00A04CCB"/>
    <w:rsid w:val="00A0595B"/>
    <w:rsid w:val="00A077FD"/>
    <w:rsid w:val="00A12BC9"/>
    <w:rsid w:val="00A13F63"/>
    <w:rsid w:val="00A14C1E"/>
    <w:rsid w:val="00A1554D"/>
    <w:rsid w:val="00A21D2D"/>
    <w:rsid w:val="00A223AA"/>
    <w:rsid w:val="00A24F06"/>
    <w:rsid w:val="00A266F5"/>
    <w:rsid w:val="00A26BA7"/>
    <w:rsid w:val="00A30ABA"/>
    <w:rsid w:val="00A314B9"/>
    <w:rsid w:val="00A349F8"/>
    <w:rsid w:val="00A41885"/>
    <w:rsid w:val="00A41B45"/>
    <w:rsid w:val="00A42D5B"/>
    <w:rsid w:val="00A47233"/>
    <w:rsid w:val="00A47446"/>
    <w:rsid w:val="00A52515"/>
    <w:rsid w:val="00A54B37"/>
    <w:rsid w:val="00A555E7"/>
    <w:rsid w:val="00A55729"/>
    <w:rsid w:val="00A609DD"/>
    <w:rsid w:val="00A60B57"/>
    <w:rsid w:val="00A61815"/>
    <w:rsid w:val="00A62321"/>
    <w:rsid w:val="00A644DE"/>
    <w:rsid w:val="00A6740F"/>
    <w:rsid w:val="00A67A86"/>
    <w:rsid w:val="00A703F1"/>
    <w:rsid w:val="00A73D7E"/>
    <w:rsid w:val="00A74616"/>
    <w:rsid w:val="00A76E61"/>
    <w:rsid w:val="00A77491"/>
    <w:rsid w:val="00A82A25"/>
    <w:rsid w:val="00A835B7"/>
    <w:rsid w:val="00A865BD"/>
    <w:rsid w:val="00A93C7F"/>
    <w:rsid w:val="00A95A88"/>
    <w:rsid w:val="00A977A2"/>
    <w:rsid w:val="00AA1B63"/>
    <w:rsid w:val="00AA28AC"/>
    <w:rsid w:val="00AA3188"/>
    <w:rsid w:val="00AA3B9D"/>
    <w:rsid w:val="00AA420D"/>
    <w:rsid w:val="00AA439A"/>
    <w:rsid w:val="00AA47B6"/>
    <w:rsid w:val="00AB0375"/>
    <w:rsid w:val="00AB18A9"/>
    <w:rsid w:val="00AB2C8C"/>
    <w:rsid w:val="00AB3394"/>
    <w:rsid w:val="00AB444A"/>
    <w:rsid w:val="00AC1F51"/>
    <w:rsid w:val="00AC246C"/>
    <w:rsid w:val="00AC405E"/>
    <w:rsid w:val="00AC62FA"/>
    <w:rsid w:val="00AD298B"/>
    <w:rsid w:val="00AD5358"/>
    <w:rsid w:val="00AE1546"/>
    <w:rsid w:val="00AE5C7A"/>
    <w:rsid w:val="00AE5E75"/>
    <w:rsid w:val="00AE732F"/>
    <w:rsid w:val="00AF0640"/>
    <w:rsid w:val="00AF06C7"/>
    <w:rsid w:val="00AF074C"/>
    <w:rsid w:val="00AF1C61"/>
    <w:rsid w:val="00AF1F4F"/>
    <w:rsid w:val="00AF2893"/>
    <w:rsid w:val="00AF3A95"/>
    <w:rsid w:val="00AF52CD"/>
    <w:rsid w:val="00AF716F"/>
    <w:rsid w:val="00B005A5"/>
    <w:rsid w:val="00B0188E"/>
    <w:rsid w:val="00B03AF0"/>
    <w:rsid w:val="00B05373"/>
    <w:rsid w:val="00B067E6"/>
    <w:rsid w:val="00B06B0F"/>
    <w:rsid w:val="00B07DF0"/>
    <w:rsid w:val="00B10ECF"/>
    <w:rsid w:val="00B11A88"/>
    <w:rsid w:val="00B12260"/>
    <w:rsid w:val="00B13F00"/>
    <w:rsid w:val="00B14E24"/>
    <w:rsid w:val="00B156E1"/>
    <w:rsid w:val="00B2033F"/>
    <w:rsid w:val="00B214F5"/>
    <w:rsid w:val="00B25433"/>
    <w:rsid w:val="00B2626C"/>
    <w:rsid w:val="00B3728B"/>
    <w:rsid w:val="00B408B6"/>
    <w:rsid w:val="00B50358"/>
    <w:rsid w:val="00B531ED"/>
    <w:rsid w:val="00B53574"/>
    <w:rsid w:val="00B60027"/>
    <w:rsid w:val="00B61B27"/>
    <w:rsid w:val="00B6327F"/>
    <w:rsid w:val="00B63AE9"/>
    <w:rsid w:val="00B65C0D"/>
    <w:rsid w:val="00B670FF"/>
    <w:rsid w:val="00B717DB"/>
    <w:rsid w:val="00B730E3"/>
    <w:rsid w:val="00B7545C"/>
    <w:rsid w:val="00B75822"/>
    <w:rsid w:val="00B76B33"/>
    <w:rsid w:val="00B76BE0"/>
    <w:rsid w:val="00B80913"/>
    <w:rsid w:val="00B815B4"/>
    <w:rsid w:val="00B8421B"/>
    <w:rsid w:val="00B90C41"/>
    <w:rsid w:val="00B91A8D"/>
    <w:rsid w:val="00BA1115"/>
    <w:rsid w:val="00BA277A"/>
    <w:rsid w:val="00BA34AD"/>
    <w:rsid w:val="00BA3713"/>
    <w:rsid w:val="00BA3E11"/>
    <w:rsid w:val="00BA4B2A"/>
    <w:rsid w:val="00BA5CA5"/>
    <w:rsid w:val="00BB2483"/>
    <w:rsid w:val="00BB2D92"/>
    <w:rsid w:val="00BB4136"/>
    <w:rsid w:val="00BB69FF"/>
    <w:rsid w:val="00BB6A67"/>
    <w:rsid w:val="00BC4C60"/>
    <w:rsid w:val="00BC4D64"/>
    <w:rsid w:val="00BC5F13"/>
    <w:rsid w:val="00BC6D09"/>
    <w:rsid w:val="00BC6F19"/>
    <w:rsid w:val="00BC727D"/>
    <w:rsid w:val="00BC75DB"/>
    <w:rsid w:val="00BD1B86"/>
    <w:rsid w:val="00BD4778"/>
    <w:rsid w:val="00BD545A"/>
    <w:rsid w:val="00BD6374"/>
    <w:rsid w:val="00BE48F1"/>
    <w:rsid w:val="00BE57E3"/>
    <w:rsid w:val="00BE5C54"/>
    <w:rsid w:val="00BF1C2D"/>
    <w:rsid w:val="00BF1D19"/>
    <w:rsid w:val="00BF255E"/>
    <w:rsid w:val="00BF2735"/>
    <w:rsid w:val="00BF283D"/>
    <w:rsid w:val="00BF57A0"/>
    <w:rsid w:val="00BF738E"/>
    <w:rsid w:val="00BF7CEA"/>
    <w:rsid w:val="00C0402F"/>
    <w:rsid w:val="00C06A40"/>
    <w:rsid w:val="00C13981"/>
    <w:rsid w:val="00C14CE5"/>
    <w:rsid w:val="00C14EBB"/>
    <w:rsid w:val="00C15B4A"/>
    <w:rsid w:val="00C24D41"/>
    <w:rsid w:val="00C24FB2"/>
    <w:rsid w:val="00C25F38"/>
    <w:rsid w:val="00C274B8"/>
    <w:rsid w:val="00C31D80"/>
    <w:rsid w:val="00C329A2"/>
    <w:rsid w:val="00C3450B"/>
    <w:rsid w:val="00C35EC8"/>
    <w:rsid w:val="00C40385"/>
    <w:rsid w:val="00C4065A"/>
    <w:rsid w:val="00C412B4"/>
    <w:rsid w:val="00C42FF3"/>
    <w:rsid w:val="00C43254"/>
    <w:rsid w:val="00C447FD"/>
    <w:rsid w:val="00C44BA2"/>
    <w:rsid w:val="00C464FB"/>
    <w:rsid w:val="00C479EC"/>
    <w:rsid w:val="00C5024F"/>
    <w:rsid w:val="00C51630"/>
    <w:rsid w:val="00C521CE"/>
    <w:rsid w:val="00C52F4B"/>
    <w:rsid w:val="00C53754"/>
    <w:rsid w:val="00C56E9B"/>
    <w:rsid w:val="00C6035E"/>
    <w:rsid w:val="00C62431"/>
    <w:rsid w:val="00C634A2"/>
    <w:rsid w:val="00C639B5"/>
    <w:rsid w:val="00C651A6"/>
    <w:rsid w:val="00C6706D"/>
    <w:rsid w:val="00C67C1C"/>
    <w:rsid w:val="00C7030C"/>
    <w:rsid w:val="00C70CB9"/>
    <w:rsid w:val="00C72C99"/>
    <w:rsid w:val="00C822F8"/>
    <w:rsid w:val="00C8251B"/>
    <w:rsid w:val="00C82CDF"/>
    <w:rsid w:val="00C83482"/>
    <w:rsid w:val="00C83A6F"/>
    <w:rsid w:val="00C83DCD"/>
    <w:rsid w:val="00C86176"/>
    <w:rsid w:val="00C9156E"/>
    <w:rsid w:val="00C92D6F"/>
    <w:rsid w:val="00C93902"/>
    <w:rsid w:val="00C93DEA"/>
    <w:rsid w:val="00C97351"/>
    <w:rsid w:val="00C97D8E"/>
    <w:rsid w:val="00CA1B78"/>
    <w:rsid w:val="00CA2A23"/>
    <w:rsid w:val="00CA4A88"/>
    <w:rsid w:val="00CA6AD1"/>
    <w:rsid w:val="00CA752C"/>
    <w:rsid w:val="00CB009F"/>
    <w:rsid w:val="00CB1A47"/>
    <w:rsid w:val="00CB221F"/>
    <w:rsid w:val="00CC1081"/>
    <w:rsid w:val="00CC3524"/>
    <w:rsid w:val="00CC52F1"/>
    <w:rsid w:val="00CC530A"/>
    <w:rsid w:val="00CC58FB"/>
    <w:rsid w:val="00CD07E1"/>
    <w:rsid w:val="00CD2C1C"/>
    <w:rsid w:val="00CD3C04"/>
    <w:rsid w:val="00CD3C3C"/>
    <w:rsid w:val="00CE4C7F"/>
    <w:rsid w:val="00CE662A"/>
    <w:rsid w:val="00CE671E"/>
    <w:rsid w:val="00CE7B4D"/>
    <w:rsid w:val="00CF6E0E"/>
    <w:rsid w:val="00CF73A6"/>
    <w:rsid w:val="00D00C2F"/>
    <w:rsid w:val="00D04D8D"/>
    <w:rsid w:val="00D05575"/>
    <w:rsid w:val="00D06054"/>
    <w:rsid w:val="00D118BD"/>
    <w:rsid w:val="00D12F67"/>
    <w:rsid w:val="00D12FEC"/>
    <w:rsid w:val="00D13C76"/>
    <w:rsid w:val="00D15738"/>
    <w:rsid w:val="00D16677"/>
    <w:rsid w:val="00D17664"/>
    <w:rsid w:val="00D20F55"/>
    <w:rsid w:val="00D2157E"/>
    <w:rsid w:val="00D22AE7"/>
    <w:rsid w:val="00D23E59"/>
    <w:rsid w:val="00D2550B"/>
    <w:rsid w:val="00D25BD7"/>
    <w:rsid w:val="00D271FF"/>
    <w:rsid w:val="00D27D89"/>
    <w:rsid w:val="00D307D4"/>
    <w:rsid w:val="00D30EA7"/>
    <w:rsid w:val="00D30F2C"/>
    <w:rsid w:val="00D31319"/>
    <w:rsid w:val="00D3367E"/>
    <w:rsid w:val="00D33956"/>
    <w:rsid w:val="00D347D3"/>
    <w:rsid w:val="00D34F1B"/>
    <w:rsid w:val="00D35715"/>
    <w:rsid w:val="00D41229"/>
    <w:rsid w:val="00D43203"/>
    <w:rsid w:val="00D4367A"/>
    <w:rsid w:val="00D4764C"/>
    <w:rsid w:val="00D55084"/>
    <w:rsid w:val="00D55D54"/>
    <w:rsid w:val="00D56BEF"/>
    <w:rsid w:val="00D57D13"/>
    <w:rsid w:val="00D61EF4"/>
    <w:rsid w:val="00D6243F"/>
    <w:rsid w:val="00D6403A"/>
    <w:rsid w:val="00D72941"/>
    <w:rsid w:val="00D774C6"/>
    <w:rsid w:val="00D80163"/>
    <w:rsid w:val="00D808E1"/>
    <w:rsid w:val="00D84CCB"/>
    <w:rsid w:val="00D84E18"/>
    <w:rsid w:val="00D95125"/>
    <w:rsid w:val="00DA4926"/>
    <w:rsid w:val="00DA58A8"/>
    <w:rsid w:val="00DA69D0"/>
    <w:rsid w:val="00DB2470"/>
    <w:rsid w:val="00DB2DDB"/>
    <w:rsid w:val="00DB3BDD"/>
    <w:rsid w:val="00DB7F58"/>
    <w:rsid w:val="00DC0DED"/>
    <w:rsid w:val="00DC106C"/>
    <w:rsid w:val="00DC25AB"/>
    <w:rsid w:val="00DC40A3"/>
    <w:rsid w:val="00DC5523"/>
    <w:rsid w:val="00DC7357"/>
    <w:rsid w:val="00DC79A1"/>
    <w:rsid w:val="00DC7FB4"/>
    <w:rsid w:val="00DD54E4"/>
    <w:rsid w:val="00DE5043"/>
    <w:rsid w:val="00DE76FD"/>
    <w:rsid w:val="00DF15E5"/>
    <w:rsid w:val="00DF2BC2"/>
    <w:rsid w:val="00DF44BE"/>
    <w:rsid w:val="00DF64FD"/>
    <w:rsid w:val="00DF7EDD"/>
    <w:rsid w:val="00E010D0"/>
    <w:rsid w:val="00E012D6"/>
    <w:rsid w:val="00E01D20"/>
    <w:rsid w:val="00E05AF6"/>
    <w:rsid w:val="00E0776F"/>
    <w:rsid w:val="00E10958"/>
    <w:rsid w:val="00E127AC"/>
    <w:rsid w:val="00E135AA"/>
    <w:rsid w:val="00E13A42"/>
    <w:rsid w:val="00E14318"/>
    <w:rsid w:val="00E1494F"/>
    <w:rsid w:val="00E14A3F"/>
    <w:rsid w:val="00E15B15"/>
    <w:rsid w:val="00E1654E"/>
    <w:rsid w:val="00E17E18"/>
    <w:rsid w:val="00E21764"/>
    <w:rsid w:val="00E21F9B"/>
    <w:rsid w:val="00E227E0"/>
    <w:rsid w:val="00E24EF9"/>
    <w:rsid w:val="00E24FB9"/>
    <w:rsid w:val="00E25E34"/>
    <w:rsid w:val="00E26CD1"/>
    <w:rsid w:val="00E26F82"/>
    <w:rsid w:val="00E34B72"/>
    <w:rsid w:val="00E408D7"/>
    <w:rsid w:val="00E44149"/>
    <w:rsid w:val="00E44D80"/>
    <w:rsid w:val="00E44ECA"/>
    <w:rsid w:val="00E459C3"/>
    <w:rsid w:val="00E46C4C"/>
    <w:rsid w:val="00E53A61"/>
    <w:rsid w:val="00E53CCF"/>
    <w:rsid w:val="00E55FA0"/>
    <w:rsid w:val="00E57384"/>
    <w:rsid w:val="00E5755C"/>
    <w:rsid w:val="00E62837"/>
    <w:rsid w:val="00E6578A"/>
    <w:rsid w:val="00E67D31"/>
    <w:rsid w:val="00E707E3"/>
    <w:rsid w:val="00E70C92"/>
    <w:rsid w:val="00E7218F"/>
    <w:rsid w:val="00E7293B"/>
    <w:rsid w:val="00E73BFD"/>
    <w:rsid w:val="00E74109"/>
    <w:rsid w:val="00E750F1"/>
    <w:rsid w:val="00E75983"/>
    <w:rsid w:val="00E772B6"/>
    <w:rsid w:val="00E80077"/>
    <w:rsid w:val="00E805FA"/>
    <w:rsid w:val="00E814E3"/>
    <w:rsid w:val="00E83542"/>
    <w:rsid w:val="00E84340"/>
    <w:rsid w:val="00E86AE4"/>
    <w:rsid w:val="00EA0DC4"/>
    <w:rsid w:val="00EA0DE3"/>
    <w:rsid w:val="00EA0E4D"/>
    <w:rsid w:val="00EA6D2C"/>
    <w:rsid w:val="00EB1E0E"/>
    <w:rsid w:val="00EB2878"/>
    <w:rsid w:val="00EB7343"/>
    <w:rsid w:val="00EB77D8"/>
    <w:rsid w:val="00EB7CEA"/>
    <w:rsid w:val="00EC0667"/>
    <w:rsid w:val="00EC100A"/>
    <w:rsid w:val="00ED05F5"/>
    <w:rsid w:val="00ED1C66"/>
    <w:rsid w:val="00ED1D3A"/>
    <w:rsid w:val="00ED656F"/>
    <w:rsid w:val="00EE172B"/>
    <w:rsid w:val="00EE4BF8"/>
    <w:rsid w:val="00EE739D"/>
    <w:rsid w:val="00EE7956"/>
    <w:rsid w:val="00EF0B51"/>
    <w:rsid w:val="00EF15F7"/>
    <w:rsid w:val="00EF1EE8"/>
    <w:rsid w:val="00EF6314"/>
    <w:rsid w:val="00EF63BE"/>
    <w:rsid w:val="00EF69B2"/>
    <w:rsid w:val="00EF7CE6"/>
    <w:rsid w:val="00F02711"/>
    <w:rsid w:val="00F02993"/>
    <w:rsid w:val="00F029EA"/>
    <w:rsid w:val="00F07C4F"/>
    <w:rsid w:val="00F07EE8"/>
    <w:rsid w:val="00F10F95"/>
    <w:rsid w:val="00F11A57"/>
    <w:rsid w:val="00F159FE"/>
    <w:rsid w:val="00F172D2"/>
    <w:rsid w:val="00F242BC"/>
    <w:rsid w:val="00F242C4"/>
    <w:rsid w:val="00F30C37"/>
    <w:rsid w:val="00F317E9"/>
    <w:rsid w:val="00F32C0A"/>
    <w:rsid w:val="00F336D9"/>
    <w:rsid w:val="00F34F5B"/>
    <w:rsid w:val="00F36209"/>
    <w:rsid w:val="00F37E35"/>
    <w:rsid w:val="00F40C11"/>
    <w:rsid w:val="00F41F12"/>
    <w:rsid w:val="00F42B46"/>
    <w:rsid w:val="00F511C0"/>
    <w:rsid w:val="00F53BFB"/>
    <w:rsid w:val="00F57AD7"/>
    <w:rsid w:val="00F62F22"/>
    <w:rsid w:val="00F658D8"/>
    <w:rsid w:val="00F719EC"/>
    <w:rsid w:val="00F733CB"/>
    <w:rsid w:val="00F7591B"/>
    <w:rsid w:val="00F76797"/>
    <w:rsid w:val="00F76ECD"/>
    <w:rsid w:val="00F77B06"/>
    <w:rsid w:val="00F80D90"/>
    <w:rsid w:val="00F82503"/>
    <w:rsid w:val="00F826FA"/>
    <w:rsid w:val="00F834BA"/>
    <w:rsid w:val="00F84F9D"/>
    <w:rsid w:val="00F8536B"/>
    <w:rsid w:val="00F867D6"/>
    <w:rsid w:val="00F86BD5"/>
    <w:rsid w:val="00F87F4C"/>
    <w:rsid w:val="00F92D2D"/>
    <w:rsid w:val="00F94132"/>
    <w:rsid w:val="00F9606B"/>
    <w:rsid w:val="00F96711"/>
    <w:rsid w:val="00FA34CF"/>
    <w:rsid w:val="00FA7EAE"/>
    <w:rsid w:val="00FB1906"/>
    <w:rsid w:val="00FB2E7A"/>
    <w:rsid w:val="00FC2D9E"/>
    <w:rsid w:val="00FC6D9D"/>
    <w:rsid w:val="00FC7638"/>
    <w:rsid w:val="00FD0E19"/>
    <w:rsid w:val="00FD119D"/>
    <w:rsid w:val="00FD176A"/>
    <w:rsid w:val="00FD2574"/>
    <w:rsid w:val="00FD4B13"/>
    <w:rsid w:val="00FD6632"/>
    <w:rsid w:val="00FE00B4"/>
    <w:rsid w:val="00FE262A"/>
    <w:rsid w:val="00FE281C"/>
    <w:rsid w:val="00FE327E"/>
    <w:rsid w:val="00FE36CF"/>
    <w:rsid w:val="00FE3A0D"/>
    <w:rsid w:val="00FF25E0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8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115"/>
    <w:rPr>
      <w:sz w:val="22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uiPriority w:val="99"/>
    <w:rsid w:val="000A0669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1A6C36"/>
    <w:rPr>
      <w:rFonts w:ascii="Times New Roman" w:hAnsi="Times New Roman"/>
      <w:sz w:val="20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Sectno1">
    <w:name w:val="Sectno1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link w:val="HRChar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uiPriority w:val="99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8C70B3"/>
    <w:pPr>
      <w:keepNext/>
      <w:tabs>
        <w:tab w:val="left" w:pos="9072"/>
      </w:tabs>
      <w:spacing w:before="60" w:after="60"/>
      <w:ind w:left="567" w:hanging="567"/>
    </w:pPr>
    <w:rPr>
      <w:rFonts w:ascii="Arial" w:hAnsi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8C70B3"/>
    <w:pPr>
      <w:keepNext/>
      <w:tabs>
        <w:tab w:val="right" w:pos="9072"/>
      </w:tabs>
      <w:spacing w:before="60" w:after="6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SECNUM">
    <w:name w:val="SECNUM"/>
    <w:qFormat/>
    <w:rsid w:val="000D347D"/>
    <w:pPr>
      <w:tabs>
        <w:tab w:val="left" w:pos="993"/>
      </w:tabs>
      <w:spacing w:before="240" w:after="120"/>
    </w:pPr>
    <w:rPr>
      <w:rFonts w:cs="Arial"/>
      <w:b/>
      <w:sz w:val="24"/>
      <w:szCs w:val="24"/>
    </w:rPr>
  </w:style>
  <w:style w:type="paragraph" w:customStyle="1" w:styleId="AMSCHTEXT">
    <w:name w:val="AMSCHTEXT"/>
    <w:qFormat/>
    <w:rsid w:val="004C7199"/>
    <w:pPr>
      <w:spacing w:before="240" w:after="240"/>
    </w:pPr>
    <w:rPr>
      <w:b/>
      <w:sz w:val="32"/>
      <w:szCs w:val="24"/>
    </w:rPr>
  </w:style>
  <w:style w:type="character" w:customStyle="1" w:styleId="keyword">
    <w:name w:val="keyword"/>
    <w:basedOn w:val="DefaultParagraphFont"/>
    <w:rsid w:val="00E21764"/>
  </w:style>
  <w:style w:type="paragraph" w:customStyle="1" w:styleId="TableENotesHeading">
    <w:name w:val="TableENotesHeading"/>
    <w:basedOn w:val="Normal"/>
    <w:next w:val="Normal"/>
    <w:rsid w:val="00CC58FB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character" w:customStyle="1" w:styleId="CharENotesHeading">
    <w:name w:val="CharENotesHeading"/>
    <w:rsid w:val="00CC58FB"/>
  </w:style>
  <w:style w:type="paragraph" w:customStyle="1" w:styleId="TableOfAmend">
    <w:name w:val="TableOfAmend"/>
    <w:basedOn w:val="Normal"/>
    <w:rsid w:val="00CC58FB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Head">
    <w:name w:val="TableOfAmendHead"/>
    <w:basedOn w:val="TableOfAmend"/>
    <w:next w:val="Normal"/>
    <w:rsid w:val="00CC58FB"/>
    <w:pPr>
      <w:spacing w:after="60"/>
    </w:pPr>
    <w:rPr>
      <w:sz w:val="16"/>
    </w:rPr>
  </w:style>
  <w:style w:type="paragraph" w:customStyle="1" w:styleId="EndNotes">
    <w:name w:val="EndNotes"/>
    <w:basedOn w:val="Normal"/>
    <w:rsid w:val="00CC58FB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CC58FB"/>
    <w:pPr>
      <w:ind w:left="357" w:hanging="357"/>
    </w:pPr>
    <w:rPr>
      <w:rFonts w:ascii="Arial" w:hAnsi="Arial"/>
      <w:b/>
    </w:rPr>
  </w:style>
  <w:style w:type="paragraph" w:customStyle="1" w:styleId="TableENotesHeadingAmdt">
    <w:name w:val="TableENotesHeadingAmdt"/>
    <w:basedOn w:val="Normal"/>
    <w:rsid w:val="00CC58FB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customStyle="1" w:styleId="TableOfStatRules">
    <w:name w:val="TableOfStatRules"/>
    <w:basedOn w:val="Normal"/>
    <w:rsid w:val="00CC58FB"/>
    <w:pPr>
      <w:spacing w:before="60" w:line="200" w:lineRule="exact"/>
    </w:pPr>
    <w:rPr>
      <w:rFonts w:ascii="Arial" w:hAnsi="Arial"/>
      <w:sz w:val="18"/>
    </w:rPr>
  </w:style>
  <w:style w:type="character" w:customStyle="1" w:styleId="legsubtitle1">
    <w:name w:val="legsubtitle1"/>
    <w:rsid w:val="00D55084"/>
    <w:rPr>
      <w:rFonts w:ascii="Arial" w:hAnsi="Arial" w:cs="Arial" w:hint="default"/>
      <w:b/>
      <w:bCs/>
      <w:sz w:val="28"/>
      <w:szCs w:val="28"/>
    </w:rPr>
  </w:style>
  <w:style w:type="paragraph" w:customStyle="1" w:styleId="CoverUpdate">
    <w:name w:val="CoverUpdate"/>
    <w:basedOn w:val="Normal"/>
    <w:rsid w:val="00AF1C61"/>
    <w:pPr>
      <w:spacing w:before="240"/>
    </w:pPr>
  </w:style>
  <w:style w:type="paragraph" w:customStyle="1" w:styleId="CoverAct">
    <w:name w:val="CoverAct"/>
    <w:basedOn w:val="Normal"/>
    <w:next w:val="CoverUpdate"/>
    <w:rsid w:val="00AF1C61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AF1C61"/>
    <w:pPr>
      <w:spacing w:before="240" w:after="240"/>
    </w:pPr>
    <w:rPr>
      <w:rFonts w:ascii="Arial" w:hAnsi="Arial"/>
    </w:rPr>
  </w:style>
  <w:style w:type="paragraph" w:customStyle="1" w:styleId="CoverStatRule">
    <w:name w:val="CoverStatRule"/>
    <w:basedOn w:val="Normal"/>
    <w:next w:val="Normal"/>
    <w:rsid w:val="00AF1C61"/>
    <w:pPr>
      <w:spacing w:before="24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F476B"/>
    <w:rPr>
      <w:rFonts w:ascii="Arial" w:hAnsi="Arial"/>
      <w:i/>
      <w:sz w:val="18"/>
      <w:szCs w:val="18"/>
    </w:rPr>
  </w:style>
  <w:style w:type="paragraph" w:customStyle="1" w:styleId="Tabletext0">
    <w:name w:val="Tabletext"/>
    <w:aliases w:val="tt"/>
    <w:basedOn w:val="Normal"/>
    <w:rsid w:val="006059D8"/>
    <w:pPr>
      <w:spacing w:before="60" w:line="240" w:lineRule="atLeast"/>
    </w:pPr>
    <w:rPr>
      <w:sz w:val="20"/>
      <w:szCs w:val="20"/>
    </w:rPr>
  </w:style>
  <w:style w:type="paragraph" w:customStyle="1" w:styleId="ENoteTableHeading">
    <w:name w:val="ENoteTableHeading"/>
    <w:aliases w:val="enth"/>
    <w:basedOn w:val="Normal"/>
    <w:rsid w:val="006059D8"/>
    <w:pPr>
      <w:keepNext/>
      <w:spacing w:before="60" w:line="240" w:lineRule="atLeast"/>
    </w:pPr>
    <w:rPr>
      <w:rFonts w:ascii="Arial" w:hAnsi="Arial"/>
      <w:b/>
      <w:sz w:val="16"/>
      <w:szCs w:val="20"/>
    </w:rPr>
  </w:style>
  <w:style w:type="paragraph" w:customStyle="1" w:styleId="ENoteTableText">
    <w:name w:val="ENoteTableText"/>
    <w:aliases w:val="entt"/>
    <w:basedOn w:val="Normal"/>
    <w:rsid w:val="006059D8"/>
    <w:pPr>
      <w:spacing w:before="60" w:line="240" w:lineRule="atLeast"/>
    </w:pPr>
    <w:rPr>
      <w:sz w:val="16"/>
      <w:szCs w:val="20"/>
    </w:rPr>
  </w:style>
  <w:style w:type="paragraph" w:customStyle="1" w:styleId="ENotesHeading2">
    <w:name w:val="ENotes Heading 2"/>
    <w:basedOn w:val="Normal"/>
    <w:next w:val="Normal"/>
    <w:rsid w:val="006059D8"/>
    <w:pPr>
      <w:spacing w:before="120" w:after="120" w:line="260" w:lineRule="atLeast"/>
      <w:outlineLvl w:val="2"/>
    </w:pPr>
    <w:rPr>
      <w:b/>
      <w:szCs w:val="28"/>
    </w:rPr>
  </w:style>
  <w:style w:type="paragraph" w:customStyle="1" w:styleId="ENotesHeading1">
    <w:name w:val="ENotes Heading 1"/>
    <w:basedOn w:val="Normal"/>
    <w:next w:val="Normal"/>
    <w:rsid w:val="00AB3394"/>
    <w:pPr>
      <w:spacing w:before="120" w:line="260" w:lineRule="atLeast"/>
      <w:outlineLvl w:val="1"/>
    </w:pPr>
    <w:rPr>
      <w:b/>
      <w:sz w:val="28"/>
      <w:szCs w:val="28"/>
    </w:rPr>
  </w:style>
  <w:style w:type="character" w:customStyle="1" w:styleId="HRChar">
    <w:name w:val="HR Char"/>
    <w:aliases w:val="Regulation Heading Char"/>
    <w:link w:val="HR"/>
    <w:rsid w:val="0059642A"/>
    <w:rPr>
      <w:rFonts w:ascii="Arial" w:hAnsi="Arial"/>
      <w:b/>
      <w:sz w:val="22"/>
      <w:szCs w:val="24"/>
    </w:rPr>
  </w:style>
  <w:style w:type="paragraph" w:customStyle="1" w:styleId="SCHPTTEXT">
    <w:name w:val="SCHPTTEXT"/>
    <w:qFormat/>
    <w:rsid w:val="00981487"/>
    <w:pPr>
      <w:spacing w:before="120" w:after="120"/>
    </w:pPr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8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115"/>
    <w:rPr>
      <w:sz w:val="22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uiPriority w:val="99"/>
    <w:rsid w:val="000A0669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1A6C36"/>
    <w:rPr>
      <w:rFonts w:ascii="Times New Roman" w:hAnsi="Times New Roman"/>
      <w:sz w:val="20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Sectno1">
    <w:name w:val="Sectno1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link w:val="HRChar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uiPriority w:val="99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8C70B3"/>
    <w:pPr>
      <w:keepNext/>
      <w:tabs>
        <w:tab w:val="left" w:pos="9072"/>
      </w:tabs>
      <w:spacing w:before="60" w:after="60"/>
      <w:ind w:left="567" w:hanging="567"/>
    </w:pPr>
    <w:rPr>
      <w:rFonts w:ascii="Arial" w:hAnsi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8C70B3"/>
    <w:pPr>
      <w:keepNext/>
      <w:tabs>
        <w:tab w:val="right" w:pos="9072"/>
      </w:tabs>
      <w:spacing w:before="60" w:after="6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SECNUM">
    <w:name w:val="SECNUM"/>
    <w:qFormat/>
    <w:rsid w:val="000D347D"/>
    <w:pPr>
      <w:tabs>
        <w:tab w:val="left" w:pos="993"/>
      </w:tabs>
      <w:spacing w:before="240" w:after="120"/>
    </w:pPr>
    <w:rPr>
      <w:rFonts w:cs="Arial"/>
      <w:b/>
      <w:sz w:val="24"/>
      <w:szCs w:val="24"/>
    </w:rPr>
  </w:style>
  <w:style w:type="paragraph" w:customStyle="1" w:styleId="AMSCHTEXT">
    <w:name w:val="AMSCHTEXT"/>
    <w:qFormat/>
    <w:rsid w:val="004C7199"/>
    <w:pPr>
      <w:spacing w:before="240" w:after="240"/>
    </w:pPr>
    <w:rPr>
      <w:b/>
      <w:sz w:val="32"/>
      <w:szCs w:val="24"/>
    </w:rPr>
  </w:style>
  <w:style w:type="character" w:customStyle="1" w:styleId="keyword">
    <w:name w:val="keyword"/>
    <w:basedOn w:val="DefaultParagraphFont"/>
    <w:rsid w:val="00E21764"/>
  </w:style>
  <w:style w:type="paragraph" w:customStyle="1" w:styleId="TableENotesHeading">
    <w:name w:val="TableENotesHeading"/>
    <w:basedOn w:val="Normal"/>
    <w:next w:val="Normal"/>
    <w:rsid w:val="00CC58FB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character" w:customStyle="1" w:styleId="CharENotesHeading">
    <w:name w:val="CharENotesHeading"/>
    <w:rsid w:val="00CC58FB"/>
  </w:style>
  <w:style w:type="paragraph" w:customStyle="1" w:styleId="TableOfAmend">
    <w:name w:val="TableOfAmend"/>
    <w:basedOn w:val="Normal"/>
    <w:rsid w:val="00CC58FB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Head">
    <w:name w:val="TableOfAmendHead"/>
    <w:basedOn w:val="TableOfAmend"/>
    <w:next w:val="Normal"/>
    <w:rsid w:val="00CC58FB"/>
    <w:pPr>
      <w:spacing w:after="60"/>
    </w:pPr>
    <w:rPr>
      <w:sz w:val="16"/>
    </w:rPr>
  </w:style>
  <w:style w:type="paragraph" w:customStyle="1" w:styleId="EndNotes">
    <w:name w:val="EndNotes"/>
    <w:basedOn w:val="Normal"/>
    <w:rsid w:val="00CC58FB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CC58FB"/>
    <w:pPr>
      <w:ind w:left="357" w:hanging="357"/>
    </w:pPr>
    <w:rPr>
      <w:rFonts w:ascii="Arial" w:hAnsi="Arial"/>
      <w:b/>
    </w:rPr>
  </w:style>
  <w:style w:type="paragraph" w:customStyle="1" w:styleId="TableENotesHeadingAmdt">
    <w:name w:val="TableENotesHeadingAmdt"/>
    <w:basedOn w:val="Normal"/>
    <w:rsid w:val="00CC58FB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customStyle="1" w:styleId="TableOfStatRules">
    <w:name w:val="TableOfStatRules"/>
    <w:basedOn w:val="Normal"/>
    <w:rsid w:val="00CC58FB"/>
    <w:pPr>
      <w:spacing w:before="60" w:line="200" w:lineRule="exact"/>
    </w:pPr>
    <w:rPr>
      <w:rFonts w:ascii="Arial" w:hAnsi="Arial"/>
      <w:sz w:val="18"/>
    </w:rPr>
  </w:style>
  <w:style w:type="character" w:customStyle="1" w:styleId="legsubtitle1">
    <w:name w:val="legsubtitle1"/>
    <w:rsid w:val="00D55084"/>
    <w:rPr>
      <w:rFonts w:ascii="Arial" w:hAnsi="Arial" w:cs="Arial" w:hint="default"/>
      <w:b/>
      <w:bCs/>
      <w:sz w:val="28"/>
      <w:szCs w:val="28"/>
    </w:rPr>
  </w:style>
  <w:style w:type="paragraph" w:customStyle="1" w:styleId="CoverUpdate">
    <w:name w:val="CoverUpdate"/>
    <w:basedOn w:val="Normal"/>
    <w:rsid w:val="00AF1C61"/>
    <w:pPr>
      <w:spacing w:before="240"/>
    </w:pPr>
  </w:style>
  <w:style w:type="paragraph" w:customStyle="1" w:styleId="CoverAct">
    <w:name w:val="CoverAct"/>
    <w:basedOn w:val="Normal"/>
    <w:next w:val="CoverUpdate"/>
    <w:rsid w:val="00AF1C61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AF1C61"/>
    <w:pPr>
      <w:spacing w:before="240" w:after="240"/>
    </w:pPr>
    <w:rPr>
      <w:rFonts w:ascii="Arial" w:hAnsi="Arial"/>
    </w:rPr>
  </w:style>
  <w:style w:type="paragraph" w:customStyle="1" w:styleId="CoverStatRule">
    <w:name w:val="CoverStatRule"/>
    <w:basedOn w:val="Normal"/>
    <w:next w:val="Normal"/>
    <w:rsid w:val="00AF1C61"/>
    <w:pPr>
      <w:spacing w:before="24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F476B"/>
    <w:rPr>
      <w:rFonts w:ascii="Arial" w:hAnsi="Arial"/>
      <w:i/>
      <w:sz w:val="18"/>
      <w:szCs w:val="18"/>
    </w:rPr>
  </w:style>
  <w:style w:type="paragraph" w:customStyle="1" w:styleId="Tabletext0">
    <w:name w:val="Tabletext"/>
    <w:aliases w:val="tt"/>
    <w:basedOn w:val="Normal"/>
    <w:rsid w:val="006059D8"/>
    <w:pPr>
      <w:spacing w:before="60" w:line="240" w:lineRule="atLeast"/>
    </w:pPr>
    <w:rPr>
      <w:sz w:val="20"/>
      <w:szCs w:val="20"/>
    </w:rPr>
  </w:style>
  <w:style w:type="paragraph" w:customStyle="1" w:styleId="ENoteTableHeading">
    <w:name w:val="ENoteTableHeading"/>
    <w:aliases w:val="enth"/>
    <w:basedOn w:val="Normal"/>
    <w:rsid w:val="006059D8"/>
    <w:pPr>
      <w:keepNext/>
      <w:spacing w:before="60" w:line="240" w:lineRule="atLeast"/>
    </w:pPr>
    <w:rPr>
      <w:rFonts w:ascii="Arial" w:hAnsi="Arial"/>
      <w:b/>
      <w:sz w:val="16"/>
      <w:szCs w:val="20"/>
    </w:rPr>
  </w:style>
  <w:style w:type="paragraph" w:customStyle="1" w:styleId="ENoteTableText">
    <w:name w:val="ENoteTableText"/>
    <w:aliases w:val="entt"/>
    <w:basedOn w:val="Normal"/>
    <w:rsid w:val="006059D8"/>
    <w:pPr>
      <w:spacing w:before="60" w:line="240" w:lineRule="atLeast"/>
    </w:pPr>
    <w:rPr>
      <w:sz w:val="16"/>
      <w:szCs w:val="20"/>
    </w:rPr>
  </w:style>
  <w:style w:type="paragraph" w:customStyle="1" w:styleId="ENotesHeading2">
    <w:name w:val="ENotes Heading 2"/>
    <w:basedOn w:val="Normal"/>
    <w:next w:val="Normal"/>
    <w:rsid w:val="006059D8"/>
    <w:pPr>
      <w:spacing w:before="120" w:after="120" w:line="260" w:lineRule="atLeast"/>
      <w:outlineLvl w:val="2"/>
    </w:pPr>
    <w:rPr>
      <w:b/>
      <w:szCs w:val="28"/>
    </w:rPr>
  </w:style>
  <w:style w:type="paragraph" w:customStyle="1" w:styleId="ENotesHeading1">
    <w:name w:val="ENotes Heading 1"/>
    <w:basedOn w:val="Normal"/>
    <w:next w:val="Normal"/>
    <w:rsid w:val="00AB3394"/>
    <w:pPr>
      <w:spacing w:before="120" w:line="260" w:lineRule="atLeast"/>
      <w:outlineLvl w:val="1"/>
    </w:pPr>
    <w:rPr>
      <w:b/>
      <w:sz w:val="28"/>
      <w:szCs w:val="28"/>
    </w:rPr>
  </w:style>
  <w:style w:type="character" w:customStyle="1" w:styleId="HRChar">
    <w:name w:val="HR Char"/>
    <w:aliases w:val="Regulation Heading Char"/>
    <w:link w:val="HR"/>
    <w:rsid w:val="0059642A"/>
    <w:rPr>
      <w:rFonts w:ascii="Arial" w:hAnsi="Arial"/>
      <w:b/>
      <w:sz w:val="22"/>
      <w:szCs w:val="24"/>
    </w:rPr>
  </w:style>
  <w:style w:type="paragraph" w:customStyle="1" w:styleId="SCHPTTEXT">
    <w:name w:val="SCHPTTEXT"/>
    <w:qFormat/>
    <w:rsid w:val="00981487"/>
    <w:pPr>
      <w:spacing w:before="120" w:after="120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yperlink" Target="http://www.comlaw.gov.au/" TargetMode="Externa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7C9F-E2DB-4754-893E-2E2647D4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CONSOLINST_New.DOTX</Template>
  <TotalTime>0</TotalTime>
  <Pages>42</Pages>
  <Words>5564</Words>
  <Characters>27674</Characters>
  <Application>Microsoft Office Word</Application>
  <DocSecurity>0</DocSecurity>
  <PresentationFormat/>
  <Lines>1429</Lines>
  <Paragraphs>785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(Immunisation Program - Designated Vaccines) Determination 2008</vt:lpstr>
    </vt:vector>
  </TitlesOfParts>
  <Manager/>
  <Company/>
  <LinksUpToDate>false</LinksUpToDate>
  <CharactersWithSpaces>32836</CharactersWithSpaces>
  <SharedDoc>false</SharedDoc>
  <HyperlinkBase/>
  <HLinks>
    <vt:vector size="6" baseType="variant"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2011-07-12T06:46:00Z</cp:lastPrinted>
  <dcterms:created xsi:type="dcterms:W3CDTF">2020-07-24T08:21:00Z</dcterms:created>
  <dcterms:modified xsi:type="dcterms:W3CDTF">2020-07-24T08:21:00Z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Converted">
    <vt:bool>false</vt:bool>
  </property>
  <property fmtid="{D5CDD505-2E9C-101B-9397-08002B2CF9AE}" pid="9" name="Classification">
    <vt:lpwstr>UNCLASSIFIED</vt:lpwstr>
  </property>
  <property fmtid="{D5CDD505-2E9C-101B-9397-08002B2CF9AE}" pid="10" name="DLM">
    <vt:lpwstr>No DLM</vt:lpwstr>
  </property>
  <property fmtid="{D5CDD505-2E9C-101B-9397-08002B2CF9AE}" pid="11" name="ShortT">
    <vt:lpwstr/>
  </property>
  <property fmtid="{D5CDD505-2E9C-101B-9397-08002B2CF9AE}" pid="12" name="Actno">
    <vt:lpwstr/>
  </property>
  <property fmtid="{D5CDD505-2E9C-101B-9397-08002B2CF9AE}" pid="13" name="Compilation">
    <vt:lpwstr>Yes</vt:lpwstr>
  </property>
  <property fmtid="{D5CDD505-2E9C-101B-9397-08002B2CF9AE}" pid="14" name="Type">
    <vt:lpwstr>LI</vt:lpwstr>
  </property>
  <property fmtid="{D5CDD505-2E9C-101B-9397-08002B2CF9AE}" pid="15" name="DocType">
    <vt:lpwstr>NEW</vt:lpwstr>
  </property>
</Properties>
</file>