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jc w:val="center"/>
      </w:pPr>
    </w:p>
    <w:p w:rsidR="007F49FE" w:rsidRPr="00A27335" w:rsidRDefault="007F49FE" w:rsidP="007F49FE">
      <w:pPr>
        <w:tabs>
          <w:tab w:val="left" w:pos="900"/>
        </w:tabs>
        <w:jc w:val="center"/>
      </w:pPr>
    </w:p>
    <w:p w:rsidR="007F49FE" w:rsidRPr="00A27335" w:rsidRDefault="007F49FE" w:rsidP="007F49FE">
      <w:pPr>
        <w:pStyle w:val="ADRTitle"/>
        <w:tabs>
          <w:tab w:val="left" w:pos="900"/>
        </w:tabs>
        <w:jc w:val="center"/>
        <w:rPr>
          <w:sz w:val="39"/>
          <w:szCs w:val="39"/>
        </w:rPr>
      </w:pPr>
      <w:r w:rsidRPr="00A27335">
        <w:rPr>
          <w:sz w:val="39"/>
          <w:szCs w:val="39"/>
        </w:rPr>
        <w:t>Vehicle Standard (Australian Design Rule </w:t>
      </w:r>
      <w:bookmarkStart w:id="0" w:name="_GoBack"/>
      <w:bookmarkEnd w:id="0"/>
      <w:r w:rsidR="00D35023">
        <w:rPr>
          <w:sz w:val="39"/>
          <w:szCs w:val="39"/>
        </w:rPr>
        <w:t>35/0</w:t>
      </w:r>
      <w:r w:rsidR="004B6DBB">
        <w:rPr>
          <w:sz w:val="39"/>
          <w:szCs w:val="39"/>
        </w:rPr>
        <w:t>5</w:t>
      </w:r>
      <w:r w:rsidRPr="00A27335">
        <w:rPr>
          <w:sz w:val="39"/>
          <w:szCs w:val="39"/>
        </w:rPr>
        <w:t xml:space="preserve"> – </w:t>
      </w:r>
      <w:r w:rsidR="00D35023">
        <w:rPr>
          <w:sz w:val="39"/>
          <w:szCs w:val="39"/>
        </w:rPr>
        <w:t xml:space="preserve">Commercial Vehicle </w:t>
      </w:r>
      <w:r w:rsidR="00B04880">
        <w:rPr>
          <w:sz w:val="39"/>
          <w:szCs w:val="39"/>
        </w:rPr>
        <w:t>Brake</w:t>
      </w:r>
      <w:r w:rsidR="00D35023">
        <w:rPr>
          <w:sz w:val="39"/>
          <w:szCs w:val="39"/>
        </w:rPr>
        <w:t xml:space="preserve"> Systems) 20</w:t>
      </w:r>
      <w:r w:rsidR="00B250DE">
        <w:rPr>
          <w:sz w:val="39"/>
          <w:szCs w:val="39"/>
        </w:rPr>
        <w:t>13</w:t>
      </w:r>
      <w:r w:rsidR="00F808B9">
        <w:rPr>
          <w:sz w:val="39"/>
          <w:szCs w:val="39"/>
        </w:rPr>
        <w:t xml:space="preserve"> Amendment 1</w:t>
      </w: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jc w:val="center"/>
      </w:pPr>
      <w:r w:rsidRPr="00A27335">
        <w:t>Made under section 7 of the Motor Vehicle Standards Act 1989</w:t>
      </w: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pStyle w:val="ADRTitle"/>
        <w:tabs>
          <w:tab w:val="left" w:pos="900"/>
        </w:tabs>
        <w:jc w:val="center"/>
      </w:pPr>
      <w:r w:rsidRPr="00A27335">
        <w:t>Explanatory Statement</w:t>
      </w: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jc w:val="center"/>
      </w:pPr>
      <w:r w:rsidRPr="00A27335">
        <w:t xml:space="preserve">Issued by the authority of the </w:t>
      </w:r>
      <w:r w:rsidR="00A374ED" w:rsidRPr="006229D6">
        <w:t xml:space="preserve">Assistant Minister </w:t>
      </w:r>
      <w:r w:rsidR="00820A32">
        <w:t>for Infrastructure and Regional Development</w:t>
      </w: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7F49FE" w:rsidP="007F49FE">
      <w:pPr>
        <w:tabs>
          <w:tab w:val="left" w:pos="900"/>
        </w:tabs>
      </w:pPr>
    </w:p>
    <w:p w:rsidR="007F49FE" w:rsidRPr="00A27335" w:rsidRDefault="0083631D" w:rsidP="007F49FE">
      <w:pPr>
        <w:pStyle w:val="ADRTitle"/>
        <w:tabs>
          <w:tab w:val="left" w:pos="900"/>
        </w:tabs>
        <w:jc w:val="center"/>
      </w:pPr>
      <w:r w:rsidRPr="00354BEF">
        <w:t>August</w:t>
      </w:r>
      <w:r w:rsidR="00D35023">
        <w:t xml:space="preserve"> 2014</w:t>
      </w:r>
    </w:p>
    <w:p w:rsidR="007F49FE" w:rsidRPr="00A27335" w:rsidRDefault="007F49FE" w:rsidP="007F49FE">
      <w:pPr>
        <w:tabs>
          <w:tab w:val="left" w:pos="900"/>
        </w:tabs>
      </w:pPr>
    </w:p>
    <w:p w:rsidR="007F49FE" w:rsidRPr="00A27335" w:rsidRDefault="007F49FE" w:rsidP="007F49FE">
      <w:pPr>
        <w:tabs>
          <w:tab w:val="left" w:pos="900"/>
        </w:tabs>
        <w:jc w:val="center"/>
        <w:rPr>
          <w:b/>
        </w:rPr>
      </w:pPr>
    </w:p>
    <w:p w:rsidR="007F49FE" w:rsidRPr="00A27335" w:rsidRDefault="007F49FE" w:rsidP="007F49FE">
      <w:pPr>
        <w:tabs>
          <w:tab w:val="left" w:pos="900"/>
        </w:tabs>
        <w:jc w:val="center"/>
        <w:rPr>
          <w:b/>
        </w:rPr>
      </w:pPr>
      <w:r w:rsidRPr="00A27335">
        <w:rPr>
          <w:b/>
        </w:rPr>
        <w:br w:type="page"/>
      </w:r>
    </w:p>
    <w:p w:rsidR="007F49FE" w:rsidRPr="002E0426" w:rsidRDefault="007F49FE" w:rsidP="007F49FE">
      <w:pPr>
        <w:pStyle w:val="TOCHeading"/>
        <w:spacing w:before="120"/>
        <w:jc w:val="center"/>
        <w:rPr>
          <w:rFonts w:ascii="Times New Roman" w:hAnsi="Times New Roman"/>
          <w:caps/>
          <w:color w:val="auto"/>
          <w:sz w:val="24"/>
          <w:szCs w:val="24"/>
        </w:rPr>
      </w:pPr>
      <w:r w:rsidRPr="002E0426">
        <w:rPr>
          <w:rFonts w:ascii="Times New Roman" w:hAnsi="Times New Roman"/>
          <w:caps/>
          <w:color w:val="auto"/>
          <w:sz w:val="24"/>
          <w:szCs w:val="24"/>
        </w:rPr>
        <w:lastRenderedPageBreak/>
        <w:t>Contents</w:t>
      </w:r>
    </w:p>
    <w:p w:rsidR="00962E5D" w:rsidRDefault="00962E5D">
      <w:pPr>
        <w:pStyle w:val="TOC1"/>
        <w:rPr>
          <w:rFonts w:asciiTheme="minorHAnsi" w:eastAsiaTheme="minorEastAsia" w:hAnsiTheme="minorHAnsi" w:cstheme="minorBidi"/>
          <w:caps w:val="0"/>
          <w:noProof/>
          <w:sz w:val="22"/>
          <w:szCs w:val="22"/>
        </w:rPr>
      </w:pPr>
      <w:r w:rsidRPr="00F923EA">
        <w:rPr>
          <w:noProof/>
        </w:rPr>
        <w:t>1.</w:t>
      </w:r>
      <w:r>
        <w:rPr>
          <w:rFonts w:asciiTheme="minorHAnsi" w:eastAsiaTheme="minorEastAsia" w:hAnsiTheme="minorHAnsi" w:cstheme="minorBidi"/>
          <w:caps w:val="0"/>
          <w:noProof/>
          <w:sz w:val="22"/>
          <w:szCs w:val="22"/>
        </w:rPr>
        <w:tab/>
      </w:r>
      <w:r w:rsidRPr="00F923EA">
        <w:rPr>
          <w:noProof/>
        </w:rPr>
        <w:t>legislative context</w:t>
      </w:r>
      <w:r>
        <w:rPr>
          <w:noProof/>
          <w:webHidden/>
        </w:rPr>
        <w:tab/>
        <w:t>3</w:t>
      </w:r>
    </w:p>
    <w:p w:rsidR="00962E5D" w:rsidRDefault="00962E5D">
      <w:pPr>
        <w:pStyle w:val="TOC1"/>
        <w:rPr>
          <w:rFonts w:asciiTheme="minorHAnsi" w:eastAsiaTheme="minorEastAsia" w:hAnsiTheme="minorHAnsi" w:cstheme="minorBidi"/>
          <w:caps w:val="0"/>
          <w:noProof/>
          <w:sz w:val="22"/>
          <w:szCs w:val="22"/>
        </w:rPr>
      </w:pPr>
      <w:r w:rsidRPr="00F923EA">
        <w:rPr>
          <w:rFonts w:cs="Arial"/>
          <w:noProof/>
        </w:rPr>
        <w:t>2.</w:t>
      </w:r>
      <w:r>
        <w:rPr>
          <w:rFonts w:asciiTheme="minorHAnsi" w:eastAsiaTheme="minorEastAsia" w:hAnsiTheme="minorHAnsi" w:cstheme="minorBidi"/>
          <w:caps w:val="0"/>
          <w:noProof/>
          <w:sz w:val="22"/>
          <w:szCs w:val="22"/>
        </w:rPr>
        <w:tab/>
      </w:r>
      <w:r w:rsidRPr="00F923EA">
        <w:rPr>
          <w:noProof/>
        </w:rPr>
        <w:t xml:space="preserve">content and effect of ADR 35/05 </w:t>
      </w:r>
      <w:r w:rsidRPr="00F923EA">
        <w:rPr>
          <w:rFonts w:cs="Arial"/>
          <w:noProof/>
        </w:rPr>
        <w:t>and THE amendment</w:t>
      </w:r>
      <w:r>
        <w:rPr>
          <w:noProof/>
          <w:webHidden/>
        </w:rPr>
        <w:tab/>
        <w:t>3</w:t>
      </w:r>
    </w:p>
    <w:p w:rsidR="00962E5D" w:rsidRDefault="00962E5D">
      <w:pPr>
        <w:pStyle w:val="TOC2"/>
        <w:rPr>
          <w:rFonts w:asciiTheme="minorHAnsi" w:eastAsiaTheme="minorEastAsia" w:hAnsiTheme="minorHAnsi" w:cstheme="minorBidi"/>
          <w:noProof/>
          <w:sz w:val="22"/>
          <w:szCs w:val="22"/>
        </w:rPr>
      </w:pPr>
      <w:r w:rsidRPr="00F923EA">
        <w:rPr>
          <w:noProof/>
        </w:rPr>
        <w:t>2.1.</w:t>
      </w:r>
      <w:r>
        <w:rPr>
          <w:rFonts w:asciiTheme="minorHAnsi" w:eastAsiaTheme="minorEastAsia" w:hAnsiTheme="minorHAnsi" w:cstheme="minorBidi"/>
          <w:noProof/>
          <w:sz w:val="22"/>
          <w:szCs w:val="22"/>
        </w:rPr>
        <w:tab/>
      </w:r>
      <w:r w:rsidRPr="00F923EA">
        <w:rPr>
          <w:noProof/>
        </w:rPr>
        <w:t>Overview of the ADR</w:t>
      </w:r>
      <w:r>
        <w:rPr>
          <w:noProof/>
          <w:webHidden/>
        </w:rPr>
        <w:tab/>
        <w:t>3</w:t>
      </w:r>
    </w:p>
    <w:p w:rsidR="00962E5D" w:rsidRDefault="00962E5D">
      <w:pPr>
        <w:pStyle w:val="TOC2"/>
        <w:rPr>
          <w:rFonts w:asciiTheme="minorHAnsi" w:eastAsiaTheme="minorEastAsia" w:hAnsiTheme="minorHAnsi" w:cstheme="minorBidi"/>
          <w:noProof/>
          <w:sz w:val="22"/>
          <w:szCs w:val="22"/>
        </w:rPr>
      </w:pPr>
      <w:r w:rsidRPr="00F923EA">
        <w:rPr>
          <w:noProof/>
        </w:rPr>
        <w:t>2.2.</w:t>
      </w:r>
      <w:r>
        <w:rPr>
          <w:rFonts w:asciiTheme="minorHAnsi" w:eastAsiaTheme="minorEastAsia" w:hAnsiTheme="minorHAnsi" w:cstheme="minorBidi"/>
          <w:noProof/>
          <w:sz w:val="22"/>
          <w:szCs w:val="22"/>
        </w:rPr>
        <w:tab/>
      </w:r>
      <w:r w:rsidRPr="00F923EA">
        <w:rPr>
          <w:noProof/>
        </w:rPr>
        <w:t>Effect of the ADR Amendment</w:t>
      </w:r>
      <w:r>
        <w:rPr>
          <w:noProof/>
          <w:webHidden/>
        </w:rPr>
        <w:tab/>
        <w:t>3</w:t>
      </w:r>
    </w:p>
    <w:p w:rsidR="00962E5D" w:rsidRDefault="00962E5D">
      <w:pPr>
        <w:pStyle w:val="TOC1"/>
        <w:rPr>
          <w:rFonts w:asciiTheme="minorHAnsi" w:eastAsiaTheme="minorEastAsia" w:hAnsiTheme="minorHAnsi" w:cstheme="minorBidi"/>
          <w:caps w:val="0"/>
          <w:noProof/>
          <w:sz w:val="22"/>
          <w:szCs w:val="22"/>
        </w:rPr>
      </w:pPr>
      <w:r w:rsidRPr="00F923EA">
        <w:rPr>
          <w:noProof/>
        </w:rPr>
        <w:t>3.</w:t>
      </w:r>
      <w:r>
        <w:rPr>
          <w:rFonts w:asciiTheme="minorHAnsi" w:eastAsiaTheme="minorEastAsia" w:hAnsiTheme="minorHAnsi" w:cstheme="minorBidi"/>
          <w:caps w:val="0"/>
          <w:noProof/>
          <w:sz w:val="22"/>
          <w:szCs w:val="22"/>
        </w:rPr>
        <w:tab/>
      </w:r>
      <w:r w:rsidRPr="00F923EA">
        <w:rPr>
          <w:noProof/>
        </w:rPr>
        <w:t>best practice regulation</w:t>
      </w:r>
      <w:r>
        <w:rPr>
          <w:noProof/>
          <w:webHidden/>
        </w:rPr>
        <w:tab/>
        <w:t>3</w:t>
      </w:r>
    </w:p>
    <w:p w:rsidR="00962E5D" w:rsidRDefault="00962E5D">
      <w:pPr>
        <w:pStyle w:val="TOC2"/>
        <w:rPr>
          <w:rFonts w:asciiTheme="minorHAnsi" w:eastAsiaTheme="minorEastAsia" w:hAnsiTheme="minorHAnsi" w:cstheme="minorBidi"/>
          <w:noProof/>
          <w:sz w:val="22"/>
          <w:szCs w:val="22"/>
        </w:rPr>
      </w:pPr>
      <w:r w:rsidRPr="00F923EA">
        <w:rPr>
          <w:noProof/>
        </w:rPr>
        <w:t>3.1.</w:t>
      </w:r>
      <w:r>
        <w:rPr>
          <w:rFonts w:asciiTheme="minorHAnsi" w:eastAsiaTheme="minorEastAsia" w:hAnsiTheme="minorHAnsi" w:cstheme="minorBidi"/>
          <w:noProof/>
          <w:sz w:val="22"/>
          <w:szCs w:val="22"/>
        </w:rPr>
        <w:tab/>
      </w:r>
      <w:r w:rsidRPr="00F923EA">
        <w:rPr>
          <w:noProof/>
        </w:rPr>
        <w:t>Business Cost Calculator</w:t>
      </w:r>
      <w:r>
        <w:rPr>
          <w:noProof/>
          <w:webHidden/>
        </w:rPr>
        <w:tab/>
        <w:t>3</w:t>
      </w:r>
    </w:p>
    <w:p w:rsidR="00962E5D" w:rsidRDefault="00962E5D">
      <w:pPr>
        <w:pStyle w:val="TOC2"/>
        <w:rPr>
          <w:rFonts w:asciiTheme="minorHAnsi" w:eastAsiaTheme="minorEastAsia" w:hAnsiTheme="minorHAnsi" w:cstheme="minorBidi"/>
          <w:noProof/>
          <w:sz w:val="22"/>
          <w:szCs w:val="22"/>
        </w:rPr>
      </w:pPr>
      <w:r w:rsidRPr="00F923EA">
        <w:rPr>
          <w:noProof/>
        </w:rPr>
        <w:t>3.2.</w:t>
      </w:r>
      <w:r>
        <w:rPr>
          <w:rFonts w:asciiTheme="minorHAnsi" w:eastAsiaTheme="minorEastAsia" w:hAnsiTheme="minorHAnsi" w:cstheme="minorBidi"/>
          <w:noProof/>
          <w:sz w:val="22"/>
          <w:szCs w:val="22"/>
        </w:rPr>
        <w:tab/>
      </w:r>
      <w:r w:rsidRPr="00F923EA">
        <w:rPr>
          <w:noProof/>
        </w:rPr>
        <w:t>General Consultation Arrangements</w:t>
      </w:r>
      <w:r>
        <w:rPr>
          <w:noProof/>
          <w:webHidden/>
        </w:rPr>
        <w:tab/>
        <w:t>3</w:t>
      </w:r>
    </w:p>
    <w:p w:rsidR="00962E5D" w:rsidRDefault="00962E5D">
      <w:pPr>
        <w:pStyle w:val="TOC2"/>
        <w:rPr>
          <w:rFonts w:asciiTheme="minorHAnsi" w:eastAsiaTheme="minorEastAsia" w:hAnsiTheme="minorHAnsi" w:cstheme="minorBidi"/>
          <w:noProof/>
          <w:sz w:val="22"/>
          <w:szCs w:val="22"/>
        </w:rPr>
      </w:pPr>
      <w:r w:rsidRPr="00F923EA">
        <w:rPr>
          <w:noProof/>
        </w:rPr>
        <w:t>3.3.</w:t>
      </w:r>
      <w:r>
        <w:rPr>
          <w:rFonts w:asciiTheme="minorHAnsi" w:eastAsiaTheme="minorEastAsia" w:hAnsiTheme="minorHAnsi" w:cstheme="minorBidi"/>
          <w:noProof/>
          <w:sz w:val="22"/>
          <w:szCs w:val="22"/>
        </w:rPr>
        <w:tab/>
      </w:r>
      <w:r w:rsidRPr="00F923EA">
        <w:rPr>
          <w:noProof/>
        </w:rPr>
        <w:t>Specific Consultation Arrangements for this Vehicle Standard</w:t>
      </w:r>
      <w:r>
        <w:rPr>
          <w:noProof/>
          <w:webHidden/>
        </w:rPr>
        <w:tab/>
        <w:t>4</w:t>
      </w:r>
    </w:p>
    <w:p w:rsidR="00962E5D" w:rsidRDefault="00962E5D">
      <w:pPr>
        <w:pStyle w:val="TOC2"/>
        <w:rPr>
          <w:rFonts w:asciiTheme="minorHAnsi" w:eastAsiaTheme="minorEastAsia" w:hAnsiTheme="minorHAnsi" w:cstheme="minorBidi"/>
          <w:noProof/>
          <w:sz w:val="22"/>
          <w:szCs w:val="22"/>
        </w:rPr>
      </w:pPr>
      <w:r w:rsidRPr="00F923EA">
        <w:rPr>
          <w:noProof/>
        </w:rPr>
        <w:t>3.4.</w:t>
      </w:r>
      <w:r>
        <w:rPr>
          <w:rFonts w:asciiTheme="minorHAnsi" w:eastAsiaTheme="minorEastAsia" w:hAnsiTheme="minorHAnsi" w:cstheme="minorBidi"/>
          <w:noProof/>
          <w:sz w:val="22"/>
          <w:szCs w:val="22"/>
        </w:rPr>
        <w:tab/>
      </w:r>
      <w:r w:rsidRPr="00F923EA">
        <w:rPr>
          <w:noProof/>
        </w:rPr>
        <w:t>Regulation Impact Statement</w:t>
      </w:r>
      <w:r>
        <w:rPr>
          <w:noProof/>
          <w:webHidden/>
        </w:rPr>
        <w:tab/>
        <w:t>5</w:t>
      </w:r>
    </w:p>
    <w:p w:rsidR="00962E5D" w:rsidRDefault="00962E5D">
      <w:pPr>
        <w:pStyle w:val="TOC1"/>
        <w:rPr>
          <w:rFonts w:asciiTheme="minorHAnsi" w:eastAsiaTheme="minorEastAsia" w:hAnsiTheme="minorHAnsi" w:cstheme="minorBidi"/>
          <w:caps w:val="0"/>
          <w:noProof/>
          <w:sz w:val="22"/>
          <w:szCs w:val="22"/>
        </w:rPr>
      </w:pPr>
      <w:r w:rsidRPr="00F923EA">
        <w:rPr>
          <w:noProof/>
        </w:rPr>
        <w:t>4.</w:t>
      </w:r>
      <w:r>
        <w:rPr>
          <w:rFonts w:asciiTheme="minorHAnsi" w:eastAsiaTheme="minorEastAsia" w:hAnsiTheme="minorHAnsi" w:cstheme="minorBidi"/>
          <w:caps w:val="0"/>
          <w:noProof/>
          <w:sz w:val="22"/>
          <w:szCs w:val="22"/>
        </w:rPr>
        <w:tab/>
      </w:r>
      <w:r w:rsidRPr="00F923EA">
        <w:rPr>
          <w:noProof/>
        </w:rPr>
        <w:t>STATEMENT OF COMPATIBILITY WITH HUMAN RIGHTS</w:t>
      </w:r>
      <w:r>
        <w:rPr>
          <w:noProof/>
          <w:webHidden/>
        </w:rPr>
        <w:tab/>
        <w:t>5</w:t>
      </w:r>
    </w:p>
    <w:p w:rsidR="00962E5D" w:rsidRDefault="00962E5D">
      <w:pPr>
        <w:pStyle w:val="TOC2"/>
        <w:rPr>
          <w:rFonts w:asciiTheme="minorHAnsi" w:eastAsiaTheme="minorEastAsia" w:hAnsiTheme="minorHAnsi" w:cstheme="minorBidi"/>
          <w:noProof/>
          <w:sz w:val="22"/>
          <w:szCs w:val="22"/>
        </w:rPr>
      </w:pPr>
      <w:r w:rsidRPr="00F923EA">
        <w:rPr>
          <w:noProof/>
        </w:rPr>
        <w:t>4.1.</w:t>
      </w:r>
      <w:r>
        <w:rPr>
          <w:rFonts w:asciiTheme="minorHAnsi" w:eastAsiaTheme="minorEastAsia" w:hAnsiTheme="minorHAnsi" w:cstheme="minorBidi"/>
          <w:noProof/>
          <w:sz w:val="22"/>
          <w:szCs w:val="22"/>
        </w:rPr>
        <w:tab/>
      </w:r>
      <w:r w:rsidRPr="00F923EA">
        <w:rPr>
          <w:noProof/>
        </w:rPr>
        <w:t>Overview of the Legislative Instrument</w:t>
      </w:r>
      <w:r>
        <w:rPr>
          <w:noProof/>
          <w:webHidden/>
        </w:rPr>
        <w:tab/>
        <w:t>5</w:t>
      </w:r>
    </w:p>
    <w:p w:rsidR="00962E5D" w:rsidRDefault="00962E5D">
      <w:pPr>
        <w:pStyle w:val="TOC2"/>
        <w:rPr>
          <w:rFonts w:asciiTheme="minorHAnsi" w:eastAsiaTheme="minorEastAsia" w:hAnsiTheme="minorHAnsi" w:cstheme="minorBidi"/>
          <w:noProof/>
          <w:sz w:val="22"/>
          <w:szCs w:val="22"/>
        </w:rPr>
      </w:pPr>
      <w:r w:rsidRPr="00F923EA">
        <w:rPr>
          <w:noProof/>
        </w:rPr>
        <w:t>4.2.</w:t>
      </w:r>
      <w:r>
        <w:rPr>
          <w:rFonts w:asciiTheme="minorHAnsi" w:eastAsiaTheme="minorEastAsia" w:hAnsiTheme="minorHAnsi" w:cstheme="minorBidi"/>
          <w:noProof/>
          <w:sz w:val="22"/>
          <w:szCs w:val="22"/>
        </w:rPr>
        <w:tab/>
      </w:r>
      <w:r w:rsidRPr="00F923EA">
        <w:rPr>
          <w:noProof/>
        </w:rPr>
        <w:t>Human Rights Implications</w:t>
      </w:r>
      <w:r>
        <w:rPr>
          <w:noProof/>
          <w:webHidden/>
        </w:rPr>
        <w:tab/>
        <w:t>5</w:t>
      </w:r>
    </w:p>
    <w:p w:rsidR="00962E5D" w:rsidRDefault="00962E5D">
      <w:pPr>
        <w:pStyle w:val="TOC2"/>
        <w:rPr>
          <w:rFonts w:asciiTheme="minorHAnsi" w:eastAsiaTheme="minorEastAsia" w:hAnsiTheme="minorHAnsi" w:cstheme="minorBidi"/>
          <w:noProof/>
          <w:sz w:val="22"/>
          <w:szCs w:val="22"/>
        </w:rPr>
      </w:pPr>
      <w:r w:rsidRPr="00F923EA">
        <w:rPr>
          <w:noProof/>
        </w:rPr>
        <w:t>4.3.</w:t>
      </w:r>
      <w:r>
        <w:rPr>
          <w:rFonts w:asciiTheme="minorHAnsi" w:eastAsiaTheme="minorEastAsia" w:hAnsiTheme="minorHAnsi" w:cstheme="minorBidi"/>
          <w:noProof/>
          <w:sz w:val="22"/>
          <w:szCs w:val="22"/>
        </w:rPr>
        <w:tab/>
      </w:r>
      <w:r w:rsidRPr="00F923EA">
        <w:rPr>
          <w:noProof/>
        </w:rPr>
        <w:t>Conclusion</w:t>
      </w:r>
      <w:r>
        <w:rPr>
          <w:noProof/>
          <w:webHidden/>
        </w:rPr>
        <w:tab/>
        <w:t>5</w:t>
      </w:r>
    </w:p>
    <w:p w:rsidR="007F49FE" w:rsidRPr="00DD3D05" w:rsidRDefault="007F49FE" w:rsidP="007F49FE"/>
    <w:p w:rsidR="007F49FE" w:rsidRPr="00582BFD" w:rsidRDefault="007F49FE" w:rsidP="007F49FE">
      <w:pPr>
        <w:tabs>
          <w:tab w:val="left" w:pos="900"/>
        </w:tabs>
      </w:pPr>
    </w:p>
    <w:p w:rsidR="007F49FE" w:rsidRPr="00582BFD" w:rsidRDefault="007F49FE" w:rsidP="007F49FE">
      <w:pPr>
        <w:tabs>
          <w:tab w:val="left" w:pos="900"/>
        </w:tabs>
      </w:pPr>
    </w:p>
    <w:p w:rsidR="007F49FE" w:rsidRPr="00582BFD" w:rsidRDefault="007F49FE" w:rsidP="007F49FE">
      <w:pPr>
        <w:tabs>
          <w:tab w:val="left" w:pos="900"/>
        </w:tabs>
      </w:pPr>
    </w:p>
    <w:p w:rsidR="007F49FE" w:rsidRPr="00582BFD" w:rsidRDefault="007F49FE" w:rsidP="007F49FE">
      <w:pPr>
        <w:tabs>
          <w:tab w:val="left" w:pos="2220"/>
        </w:tabs>
      </w:pPr>
    </w:p>
    <w:p w:rsidR="007F49FE" w:rsidRPr="00582BFD" w:rsidRDefault="007F49FE" w:rsidP="007F49FE">
      <w:pPr>
        <w:tabs>
          <w:tab w:val="left" w:pos="900"/>
        </w:tabs>
      </w:pPr>
    </w:p>
    <w:p w:rsidR="007F49FE" w:rsidRPr="00582BFD" w:rsidRDefault="007F49FE" w:rsidP="007F49FE">
      <w:pPr>
        <w:tabs>
          <w:tab w:val="left" w:pos="900"/>
        </w:tabs>
      </w:pPr>
    </w:p>
    <w:p w:rsidR="007F49FE" w:rsidRPr="00582BFD" w:rsidRDefault="007F49FE" w:rsidP="007F49FE">
      <w:pPr>
        <w:tabs>
          <w:tab w:val="left" w:pos="900"/>
        </w:tabs>
      </w:pPr>
    </w:p>
    <w:p w:rsidR="007F49FE" w:rsidRPr="002E0426" w:rsidRDefault="007F49FE" w:rsidP="007F49FE">
      <w:pPr>
        <w:pStyle w:val="Heading1"/>
      </w:pPr>
      <w:r w:rsidRPr="00C12E27">
        <w:rPr>
          <w:color w:val="3366FF"/>
        </w:rPr>
        <w:br w:type="page"/>
      </w:r>
      <w:bookmarkStart w:id="1" w:name="_Toc167864611"/>
      <w:bookmarkStart w:id="2" w:name="_Toc398213695"/>
      <w:r w:rsidRPr="002E0426">
        <w:lastRenderedPageBreak/>
        <w:t>legislative context</w:t>
      </w:r>
      <w:bookmarkEnd w:id="1"/>
      <w:bookmarkEnd w:id="2"/>
    </w:p>
    <w:p w:rsidR="007F49FE" w:rsidRPr="00DD3D05" w:rsidRDefault="007F49FE" w:rsidP="007F49FE">
      <w:pPr>
        <w:spacing w:after="240"/>
        <w:rPr>
          <w:rFonts w:cs="Arial"/>
          <w:i/>
        </w:rPr>
      </w:pPr>
      <w:r w:rsidRPr="00170703">
        <w:rPr>
          <w:i/>
        </w:rPr>
        <w:t>Vehicle Stand</w:t>
      </w:r>
      <w:r>
        <w:rPr>
          <w:i/>
        </w:rPr>
        <w:t>ard (Australian Design Ru</w:t>
      </w:r>
      <w:r w:rsidR="007C316B">
        <w:rPr>
          <w:i/>
        </w:rPr>
        <w:t>le 35/0</w:t>
      </w:r>
      <w:r w:rsidR="004B6DBB">
        <w:rPr>
          <w:i/>
        </w:rPr>
        <w:t>5</w:t>
      </w:r>
      <w:r w:rsidR="007C316B">
        <w:rPr>
          <w:i/>
        </w:rPr>
        <w:t xml:space="preserve"> – Commercial Vehicle </w:t>
      </w:r>
      <w:r w:rsidR="00B04880">
        <w:rPr>
          <w:i/>
        </w:rPr>
        <w:t>Brake</w:t>
      </w:r>
      <w:r w:rsidR="007C316B">
        <w:rPr>
          <w:i/>
        </w:rPr>
        <w:t xml:space="preserve"> Systems</w:t>
      </w:r>
      <w:r w:rsidRPr="00170703">
        <w:rPr>
          <w:i/>
        </w:rPr>
        <w:t xml:space="preserve">) </w:t>
      </w:r>
      <w:r w:rsidR="007C316B">
        <w:rPr>
          <w:i/>
        </w:rPr>
        <w:t>20</w:t>
      </w:r>
      <w:r w:rsidR="00B250DE">
        <w:rPr>
          <w:i/>
        </w:rPr>
        <w:t>13</w:t>
      </w:r>
      <w:r>
        <w:rPr>
          <w:i/>
        </w:rPr>
        <w:t xml:space="preserve"> </w:t>
      </w:r>
      <w:r w:rsidRPr="00170703">
        <w:rPr>
          <w:i/>
        </w:rPr>
        <w:t xml:space="preserve">Amendment </w:t>
      </w:r>
      <w:r w:rsidR="00871296">
        <w:rPr>
          <w:i/>
        </w:rPr>
        <w:t>1</w:t>
      </w:r>
      <w:r>
        <w:t xml:space="preserve"> </w:t>
      </w:r>
      <w:r w:rsidRPr="003C5E51">
        <w:rPr>
          <w:rFonts w:cs="Arial"/>
        </w:rPr>
        <w:t xml:space="preserve">is made under the </w:t>
      </w:r>
      <w:r w:rsidRPr="003C5E51">
        <w:rPr>
          <w:rFonts w:cs="Arial"/>
          <w:i/>
        </w:rPr>
        <w:t>Motor Vehicle Standards Act 1989</w:t>
      </w:r>
      <w:r>
        <w:rPr>
          <w:rFonts w:cs="Arial"/>
        </w:rPr>
        <w:t xml:space="preserve"> (the Act)</w:t>
      </w:r>
      <w:r w:rsidRPr="00DD3D05">
        <w:rPr>
          <w:rFonts w:cs="Arial"/>
        </w:rPr>
        <w:t xml:space="preserve">.  The Act enables the Australian Government to establish nationally uniform standards </w:t>
      </w:r>
      <w:r>
        <w:rPr>
          <w:rFonts w:cs="Arial"/>
        </w:rPr>
        <w:t>that apply to new</w:t>
      </w:r>
      <w:r w:rsidRPr="00DD3D05">
        <w:rPr>
          <w:rFonts w:cs="Arial"/>
        </w:rPr>
        <w:t xml:space="preserve"> road vehicles when they are first supplied to the market in Australia.  The Act applies to such vehicles whether they are manufactured in Australia or imported.</w:t>
      </w:r>
    </w:p>
    <w:p w:rsidR="007F49FE" w:rsidRDefault="007F49FE" w:rsidP="007F49FE">
      <w:pPr>
        <w:pStyle w:val="dot"/>
        <w:spacing w:after="240"/>
        <w:ind w:left="0" w:firstLine="0"/>
        <w:rPr>
          <w:rFonts w:ascii="Times New Roman" w:hAnsi="Times New Roman"/>
        </w:rPr>
      </w:pPr>
      <w:r w:rsidRPr="00DD3D05">
        <w:rPr>
          <w:rFonts w:ascii="Times New Roman" w:hAnsi="Times New Roman"/>
        </w:rPr>
        <w:t>The making of the vehicle standards necessary for the Act's effective operation is provided for in section 7 which empowers the Minister to "determine vehicle standards for road vehicles or vehicle components".</w:t>
      </w:r>
    </w:p>
    <w:p w:rsidR="007F49FE" w:rsidRPr="00F8188F" w:rsidRDefault="007F49FE" w:rsidP="007F49FE">
      <w:pPr>
        <w:spacing w:after="240"/>
        <w:rPr>
          <w:rFonts w:cs="Arial"/>
        </w:rPr>
      </w:pPr>
      <w:r w:rsidRPr="00F8188F">
        <w:t>Vehicle Stand</w:t>
      </w:r>
      <w:r w:rsidR="002A1393">
        <w:t>ard (Australian Design Rule 35/0</w:t>
      </w:r>
      <w:r w:rsidR="004B6DBB">
        <w:t>5</w:t>
      </w:r>
      <w:r w:rsidRPr="00F8188F">
        <w:t xml:space="preserve"> – </w:t>
      </w:r>
      <w:r w:rsidR="002A1393">
        <w:t xml:space="preserve">Commercial Vehicle </w:t>
      </w:r>
      <w:r w:rsidR="00B04880">
        <w:t>Brake</w:t>
      </w:r>
      <w:r w:rsidR="002A1393">
        <w:t xml:space="preserve"> Systems) 20</w:t>
      </w:r>
      <w:r w:rsidR="00B250DE">
        <w:t>13</w:t>
      </w:r>
      <w:r w:rsidRPr="00F8188F">
        <w:t xml:space="preserve"> </w:t>
      </w:r>
      <w:r>
        <w:rPr>
          <w:rFonts w:cs="Arial"/>
        </w:rPr>
        <w:t>(ADR</w:t>
      </w:r>
      <w:r w:rsidR="002A1393">
        <w:rPr>
          <w:rFonts w:cs="Arial"/>
        </w:rPr>
        <w:t xml:space="preserve"> 35/0</w:t>
      </w:r>
      <w:r w:rsidR="004B6DBB">
        <w:rPr>
          <w:rFonts w:cs="Arial"/>
        </w:rPr>
        <w:t>5</w:t>
      </w:r>
      <w:r>
        <w:rPr>
          <w:rFonts w:cs="Arial"/>
        </w:rPr>
        <w:t>)</w:t>
      </w:r>
      <w:r w:rsidRPr="00F8188F">
        <w:rPr>
          <w:rFonts w:cs="Arial"/>
        </w:rPr>
        <w:t xml:space="preserve"> w</w:t>
      </w:r>
      <w:r w:rsidR="002A1393">
        <w:rPr>
          <w:rFonts w:cs="Arial"/>
        </w:rPr>
        <w:t>as originally determined in 20</w:t>
      </w:r>
      <w:r w:rsidR="00B250DE">
        <w:rPr>
          <w:rFonts w:cs="Arial"/>
        </w:rPr>
        <w:t>13</w:t>
      </w:r>
      <w:r>
        <w:rPr>
          <w:rFonts w:cs="Arial"/>
        </w:rPr>
        <w:t xml:space="preserve"> </w:t>
      </w:r>
      <w:r w:rsidRPr="005152CF">
        <w:rPr>
          <w:rFonts w:cs="Arial"/>
        </w:rPr>
        <w:t>an</w:t>
      </w:r>
      <w:r>
        <w:rPr>
          <w:rFonts w:cs="Arial"/>
        </w:rPr>
        <w:t xml:space="preserve">d </w:t>
      </w:r>
      <w:r w:rsidR="006424CB">
        <w:rPr>
          <w:rFonts w:cs="Arial"/>
        </w:rPr>
        <w:t>has never been amended</w:t>
      </w:r>
      <w:r w:rsidRPr="00F8188F">
        <w:rPr>
          <w:rFonts w:cs="Arial"/>
        </w:rPr>
        <w:t>.</w:t>
      </w:r>
    </w:p>
    <w:p w:rsidR="007F49FE" w:rsidRPr="00DD3D05" w:rsidRDefault="007F49FE" w:rsidP="007F49FE">
      <w:pPr>
        <w:pStyle w:val="Heading1"/>
        <w:rPr>
          <w:rFonts w:cs="Arial"/>
        </w:rPr>
      </w:pPr>
      <w:bookmarkStart w:id="3" w:name="_Toc167864612"/>
      <w:bookmarkStart w:id="4" w:name="_Toc398213696"/>
      <w:r w:rsidRPr="00DD3D05">
        <w:t xml:space="preserve">content and effect of ADR </w:t>
      </w:r>
      <w:r w:rsidR="006F29B5">
        <w:t>35/0</w:t>
      </w:r>
      <w:r w:rsidR="004B6DBB">
        <w:t>5</w:t>
      </w:r>
      <w:r w:rsidRPr="00DD3D05">
        <w:t xml:space="preserve"> </w:t>
      </w:r>
      <w:r w:rsidRPr="00DD3D05">
        <w:rPr>
          <w:rFonts w:cs="Arial"/>
        </w:rPr>
        <w:t xml:space="preserve">and </w:t>
      </w:r>
      <w:r>
        <w:rPr>
          <w:rFonts w:cs="Arial"/>
        </w:rPr>
        <w:t xml:space="preserve">THE </w:t>
      </w:r>
      <w:r w:rsidRPr="00DD3D05">
        <w:rPr>
          <w:rFonts w:cs="Arial"/>
        </w:rPr>
        <w:t>amendment</w:t>
      </w:r>
      <w:bookmarkEnd w:id="3"/>
      <w:bookmarkEnd w:id="4"/>
    </w:p>
    <w:p w:rsidR="007F49FE" w:rsidRPr="002E0426" w:rsidRDefault="007F49FE" w:rsidP="007F49FE">
      <w:pPr>
        <w:pStyle w:val="Heading2"/>
      </w:pPr>
      <w:bookmarkStart w:id="5" w:name="_Toc167864613"/>
      <w:bookmarkStart w:id="6" w:name="_Toc398213697"/>
      <w:r w:rsidRPr="002E0426">
        <w:t>Overview of the ADR</w:t>
      </w:r>
      <w:bookmarkEnd w:id="5"/>
      <w:bookmarkEnd w:id="6"/>
    </w:p>
    <w:p w:rsidR="007F49FE" w:rsidRPr="004E3B88" w:rsidRDefault="006424CB" w:rsidP="007F49FE">
      <w:r w:rsidRPr="006424CB">
        <w:t>The function of this vehicle standard is to ensure safe braking for commercial vehicles and large passenger vehicles under normal and emergency conditions.  The standard also contains provisions for some light passenger/commercial vehicles</w:t>
      </w:r>
      <w:r w:rsidR="007F49FE">
        <w:t>.</w:t>
      </w:r>
    </w:p>
    <w:p w:rsidR="007F49FE" w:rsidRPr="00DD3D05" w:rsidRDefault="007F49FE" w:rsidP="007F49FE">
      <w:pPr>
        <w:pStyle w:val="Heading2"/>
      </w:pPr>
      <w:bookmarkStart w:id="7" w:name="_Toc167864614"/>
      <w:bookmarkStart w:id="8" w:name="_Toc398213698"/>
      <w:r>
        <w:t>Effect of the ADR Amendment</w:t>
      </w:r>
      <w:bookmarkEnd w:id="7"/>
      <w:bookmarkEnd w:id="8"/>
    </w:p>
    <w:p w:rsidR="00540AF1" w:rsidRDefault="00540AF1" w:rsidP="00540AF1">
      <w:r>
        <w:t xml:space="preserve">This amendment implements the following changes: </w:t>
      </w:r>
    </w:p>
    <w:p w:rsidR="00153978" w:rsidRDefault="00153978" w:rsidP="00153978">
      <w:pPr>
        <w:pStyle w:val="ListParagraph"/>
        <w:numPr>
          <w:ilvl w:val="0"/>
          <w:numId w:val="4"/>
        </w:numPr>
        <w:spacing w:before="120"/>
        <w:ind w:left="714" w:hanging="357"/>
        <w:contextualSpacing w:val="0"/>
        <w:rPr>
          <w:rFonts w:cs="Arial"/>
        </w:rPr>
      </w:pPr>
      <w:r>
        <w:rPr>
          <w:rFonts w:cs="Arial"/>
        </w:rPr>
        <w:t>A c</w:t>
      </w:r>
      <w:r w:rsidRPr="00D87279">
        <w:rPr>
          <w:rFonts w:cs="Arial"/>
        </w:rPr>
        <w:t xml:space="preserve">orrection to clause 4.1.5.2.1 </w:t>
      </w:r>
      <w:r>
        <w:rPr>
          <w:rFonts w:cs="Arial"/>
        </w:rPr>
        <w:t>regarding a</w:t>
      </w:r>
      <w:r w:rsidRPr="00D87279">
        <w:rPr>
          <w:rFonts w:cs="Arial"/>
        </w:rPr>
        <w:t xml:space="preserve"> reference to </w:t>
      </w:r>
      <w:r>
        <w:rPr>
          <w:rFonts w:cs="Arial"/>
        </w:rPr>
        <w:t xml:space="preserve">a </w:t>
      </w:r>
      <w:r w:rsidRPr="00D87279">
        <w:rPr>
          <w:rFonts w:cs="Arial"/>
        </w:rPr>
        <w:t xml:space="preserve">test </w:t>
      </w:r>
      <w:r>
        <w:rPr>
          <w:rFonts w:cs="Arial"/>
        </w:rPr>
        <w:t>procedure</w:t>
      </w:r>
      <w:r w:rsidRPr="00D87279">
        <w:rPr>
          <w:rFonts w:cs="Arial"/>
        </w:rPr>
        <w:t xml:space="preserve">. </w:t>
      </w:r>
    </w:p>
    <w:p w:rsidR="00980776" w:rsidRDefault="00540AF1" w:rsidP="00354BEF">
      <w:pPr>
        <w:pStyle w:val="ListParagraph"/>
        <w:numPr>
          <w:ilvl w:val="0"/>
          <w:numId w:val="4"/>
        </w:numPr>
        <w:spacing w:before="120"/>
        <w:ind w:left="714" w:hanging="357"/>
        <w:contextualSpacing w:val="0"/>
        <w:rPr>
          <w:rFonts w:cs="Arial"/>
        </w:rPr>
      </w:pPr>
      <w:r>
        <w:rPr>
          <w:rFonts w:cs="Arial"/>
        </w:rPr>
        <w:t>A relaxation</w:t>
      </w:r>
      <w:r w:rsidRPr="008D0FA2">
        <w:rPr>
          <w:rFonts w:cs="Arial"/>
        </w:rPr>
        <w:t xml:space="preserve"> to clause 4.1.5.2.3 to allow </w:t>
      </w:r>
      <w:r>
        <w:rPr>
          <w:rFonts w:cs="Arial"/>
        </w:rPr>
        <w:t xml:space="preserve">an </w:t>
      </w:r>
      <w:r w:rsidRPr="008D0FA2">
        <w:rPr>
          <w:rFonts w:cs="Arial"/>
        </w:rPr>
        <w:t xml:space="preserve">additional </w:t>
      </w:r>
      <w:r>
        <w:rPr>
          <w:rFonts w:cs="Arial"/>
        </w:rPr>
        <w:t xml:space="preserve">way by which the Antilock Brake System (ABS) may be </w:t>
      </w:r>
      <w:r w:rsidRPr="003C2C24">
        <w:rPr>
          <w:rFonts w:cs="Arial"/>
        </w:rPr>
        <w:t>re</w:t>
      </w:r>
      <w:r w:rsidR="00F0586C">
        <w:rPr>
          <w:rFonts w:cs="Arial"/>
        </w:rPr>
        <w:t>connected</w:t>
      </w:r>
      <w:r>
        <w:rPr>
          <w:rFonts w:cs="Arial"/>
        </w:rPr>
        <w:t>.</w:t>
      </w:r>
    </w:p>
    <w:p w:rsidR="00980776" w:rsidRDefault="00540AF1" w:rsidP="00354BEF">
      <w:pPr>
        <w:pStyle w:val="ListParagraph"/>
        <w:numPr>
          <w:ilvl w:val="0"/>
          <w:numId w:val="4"/>
        </w:numPr>
        <w:spacing w:before="120"/>
        <w:ind w:left="714" w:hanging="357"/>
        <w:contextualSpacing w:val="0"/>
        <w:rPr>
          <w:rFonts w:cs="Arial"/>
        </w:rPr>
      </w:pPr>
      <w:r>
        <w:rPr>
          <w:rFonts w:cs="Arial"/>
        </w:rPr>
        <w:t>A c</w:t>
      </w:r>
      <w:r w:rsidRPr="00C47E5A">
        <w:rPr>
          <w:rFonts w:cs="Arial"/>
        </w:rPr>
        <w:t xml:space="preserve">larification </w:t>
      </w:r>
      <w:r>
        <w:rPr>
          <w:rFonts w:cs="Arial"/>
        </w:rPr>
        <w:t>of</w:t>
      </w:r>
      <w:r w:rsidRPr="00C47E5A">
        <w:rPr>
          <w:rFonts w:cs="Arial"/>
        </w:rPr>
        <w:t xml:space="preserve"> clause </w:t>
      </w:r>
      <w:r w:rsidRPr="003176CD">
        <w:rPr>
          <w:rFonts w:cs="Arial"/>
        </w:rPr>
        <w:t>4.1.</w:t>
      </w:r>
      <w:r w:rsidR="00F0586C">
        <w:rPr>
          <w:rFonts w:cs="Arial"/>
        </w:rPr>
        <w:t>5.</w:t>
      </w:r>
      <w:r w:rsidRPr="003176CD">
        <w:rPr>
          <w:rFonts w:cs="Arial"/>
        </w:rPr>
        <w:t xml:space="preserve">2.5 </w:t>
      </w:r>
      <w:r>
        <w:rPr>
          <w:rFonts w:cs="Arial"/>
        </w:rPr>
        <w:t>in that</w:t>
      </w:r>
      <w:r w:rsidRPr="00D87279">
        <w:rPr>
          <w:rFonts w:cs="Arial"/>
        </w:rPr>
        <w:t xml:space="preserve"> </w:t>
      </w:r>
      <w:r>
        <w:rPr>
          <w:rFonts w:cs="Arial"/>
        </w:rPr>
        <w:t xml:space="preserve">any </w:t>
      </w:r>
      <w:r w:rsidRPr="00D87279">
        <w:rPr>
          <w:rFonts w:cs="Arial"/>
        </w:rPr>
        <w:t xml:space="preserve">change in </w:t>
      </w:r>
      <w:r>
        <w:rPr>
          <w:rFonts w:cs="Arial"/>
        </w:rPr>
        <w:t xml:space="preserve">the </w:t>
      </w:r>
      <w:r w:rsidRPr="00D87279">
        <w:rPr>
          <w:rFonts w:cs="Arial"/>
        </w:rPr>
        <w:t>ABS control mode</w:t>
      </w:r>
      <w:r>
        <w:rPr>
          <w:rFonts w:cs="Arial"/>
        </w:rPr>
        <w:t xml:space="preserve"> (including connecting or disconnecting)</w:t>
      </w:r>
      <w:r w:rsidRPr="00D87279">
        <w:rPr>
          <w:rFonts w:cs="Arial"/>
        </w:rPr>
        <w:t xml:space="preserve"> </w:t>
      </w:r>
      <w:r w:rsidR="00F0586C">
        <w:rPr>
          <w:rFonts w:cs="Arial"/>
        </w:rPr>
        <w:t>applies to</w:t>
      </w:r>
      <w:r w:rsidRPr="00D87279">
        <w:rPr>
          <w:rFonts w:cs="Arial"/>
        </w:rPr>
        <w:t xml:space="preserve"> both </w:t>
      </w:r>
      <w:r w:rsidR="00F0586C">
        <w:rPr>
          <w:rFonts w:cs="Arial"/>
        </w:rPr>
        <w:t xml:space="preserve">the vehicle </w:t>
      </w:r>
      <w:r w:rsidRPr="00D87279">
        <w:rPr>
          <w:rFonts w:cs="Arial"/>
        </w:rPr>
        <w:t>and trailer.</w:t>
      </w:r>
    </w:p>
    <w:p w:rsidR="007F49FE" w:rsidRPr="001E2284" w:rsidRDefault="007F49FE" w:rsidP="007F49FE"/>
    <w:p w:rsidR="007F49FE" w:rsidRPr="00CA028A" w:rsidRDefault="00980776" w:rsidP="007F49FE">
      <w:r w:rsidRPr="00354BEF">
        <w:t>These</w:t>
      </w:r>
      <w:r w:rsidR="00F0586C" w:rsidRPr="001E2284">
        <w:t xml:space="preserve"> </w:t>
      </w:r>
      <w:r w:rsidRPr="00354BEF">
        <w:t>changes</w:t>
      </w:r>
      <w:r w:rsidR="007F49FE" w:rsidRPr="001E2284">
        <w:t xml:space="preserve"> do</w:t>
      </w:r>
      <w:r w:rsidRPr="00354BEF">
        <w:t xml:space="preserve"> not affect the original intent or operation of the standard but are</w:t>
      </w:r>
      <w:r w:rsidR="001E2284" w:rsidRPr="001E2284">
        <w:t xml:space="preserve"> </w:t>
      </w:r>
      <w:r w:rsidRPr="00354BEF">
        <w:t>expected to improve the ease of use of the ADR.</w:t>
      </w:r>
      <w:r w:rsidR="007F49FE">
        <w:t xml:space="preserve">  </w:t>
      </w:r>
    </w:p>
    <w:p w:rsidR="007F49FE" w:rsidRPr="00DD3D05" w:rsidRDefault="007F49FE" w:rsidP="007F49FE">
      <w:pPr>
        <w:pStyle w:val="Heading1"/>
      </w:pPr>
      <w:bookmarkStart w:id="9" w:name="_Toc167864615"/>
      <w:bookmarkStart w:id="10" w:name="_Toc398213699"/>
      <w:r w:rsidRPr="00DD3D05">
        <w:t>best practice regulation</w:t>
      </w:r>
      <w:bookmarkEnd w:id="9"/>
      <w:bookmarkEnd w:id="10"/>
    </w:p>
    <w:p w:rsidR="007F49FE" w:rsidRPr="0056701E" w:rsidRDefault="007F49FE" w:rsidP="007F49FE">
      <w:pPr>
        <w:pStyle w:val="Heading2"/>
      </w:pPr>
      <w:bookmarkStart w:id="11" w:name="_Toc398213700"/>
      <w:r>
        <w:t>Business Cost Calculator</w:t>
      </w:r>
      <w:bookmarkEnd w:id="11"/>
    </w:p>
    <w:p w:rsidR="007F49FE" w:rsidRPr="0056701E" w:rsidRDefault="007F49FE" w:rsidP="007F49FE">
      <w:r w:rsidRPr="00A6496C">
        <w:t>There is no expected increase in cost to manufacturers, as the proposed amendment do</w:t>
      </w:r>
      <w:r w:rsidR="001E2284">
        <w:t>es</w:t>
      </w:r>
      <w:r w:rsidRPr="00A6496C">
        <w:t xml:space="preserve"> not </w:t>
      </w:r>
      <w:r w:rsidR="001E2284">
        <w:t>increase</w:t>
      </w:r>
      <w:r w:rsidRPr="00A6496C">
        <w:t xml:space="preserve"> </w:t>
      </w:r>
      <w:r w:rsidR="001E2284">
        <w:t xml:space="preserve">the stringency </w:t>
      </w:r>
      <w:r w:rsidRPr="00A6496C">
        <w:t>of the ADR.</w:t>
      </w:r>
    </w:p>
    <w:p w:rsidR="007F49FE" w:rsidRPr="0056701E" w:rsidRDefault="007F49FE" w:rsidP="007F49FE">
      <w:pPr>
        <w:pStyle w:val="Heading2"/>
      </w:pPr>
      <w:bookmarkStart w:id="12" w:name="_Toc167864617"/>
      <w:bookmarkStart w:id="13" w:name="_Toc398213701"/>
      <w:r w:rsidRPr="0056701E">
        <w:t>General Consultation Arrangements</w:t>
      </w:r>
      <w:bookmarkEnd w:id="12"/>
      <w:bookmarkEnd w:id="13"/>
    </w:p>
    <w:p w:rsidR="007F49FE" w:rsidRDefault="007F49FE" w:rsidP="007F49FE">
      <w:pPr>
        <w:tabs>
          <w:tab w:val="right" w:pos="8222"/>
        </w:tabs>
        <w:spacing w:after="240"/>
        <w:rPr>
          <w:rFonts w:cs="Arial"/>
        </w:rPr>
      </w:pPr>
      <w:r w:rsidRPr="005D1AA0">
        <w:rPr>
          <w:rFonts w:cs="Arial"/>
        </w:rPr>
        <w:t>It has been longstanding practice to consult widely on proposed new or amended vehicle standards.  For many years there has been active collaborati</w:t>
      </w:r>
      <w:r>
        <w:rPr>
          <w:rFonts w:cs="Arial"/>
        </w:rPr>
        <w:t>on between the Federal and the state/territory g</w:t>
      </w:r>
      <w:r w:rsidRPr="005D1AA0">
        <w:rPr>
          <w:rFonts w:cs="Arial"/>
        </w:rPr>
        <w:t xml:space="preserve">overnments, as well as consultation with industry and consumer groups.  Much of the consultation takes place within institutional </w:t>
      </w:r>
      <w:r w:rsidRPr="005D1AA0">
        <w:rPr>
          <w:rFonts w:cs="Arial"/>
        </w:rPr>
        <w:lastRenderedPageBreak/>
        <w:t>arrangements established for this purpose.  The analysis and documentation prepared in a particular case, and the bodies consulted, depend on the degree of impact the new or amended standard is expected to have on industry or road users.</w:t>
      </w:r>
    </w:p>
    <w:p w:rsidR="00B95B33" w:rsidRDefault="00A51D28" w:rsidP="00354BEF">
      <w:pPr>
        <w:spacing w:after="160"/>
        <w:rPr>
          <w:rFonts w:cs="Arial"/>
        </w:rPr>
      </w:pPr>
      <w:r w:rsidRPr="005E2CAE">
        <w:rPr>
          <w:rFonts w:cs="Arial"/>
        </w:rPr>
        <w:t xml:space="preserve">Depending on the nature of the proposed changes, consultation could involve the Strategic </w:t>
      </w:r>
      <w:r>
        <w:rPr>
          <w:rFonts w:cs="Arial"/>
        </w:rPr>
        <w:t>Vehicle Safety and Environment</w:t>
      </w:r>
      <w:r w:rsidRPr="005E2CAE">
        <w:rPr>
          <w:rFonts w:cs="Arial"/>
        </w:rPr>
        <w:t xml:space="preserve"> Group (SVSEG), </w:t>
      </w:r>
      <w:r w:rsidRPr="00867B73">
        <w:rPr>
          <w:rFonts w:cs="Arial"/>
        </w:rPr>
        <w:t xml:space="preserve">Australian Motor Vehicle Certification Board (AMVCB), </w:t>
      </w:r>
      <w:r w:rsidRPr="005E2CAE">
        <w:rPr>
          <w:rFonts w:cs="Arial"/>
        </w:rPr>
        <w:t xml:space="preserve">Technical Liaison Group (TLG), </w:t>
      </w:r>
      <w:r>
        <w:rPr>
          <w:rFonts w:cs="Arial"/>
        </w:rPr>
        <w:t>Transport and Infrastructure Senior Officials’ Committee (TISOC) and the Transport and Infrastructure Council</w:t>
      </w:r>
      <w:r w:rsidRPr="005E2CAE">
        <w:rPr>
          <w:rFonts w:cs="Arial"/>
        </w:rPr>
        <w:t>.</w:t>
      </w:r>
    </w:p>
    <w:p w:rsidR="00B04880" w:rsidRDefault="00B04880" w:rsidP="00B04880">
      <w:pPr>
        <w:numPr>
          <w:ilvl w:val="0"/>
          <w:numId w:val="3"/>
        </w:numPr>
        <w:spacing w:after="160"/>
        <w:rPr>
          <w:rFonts w:cs="Arial"/>
        </w:rPr>
      </w:pPr>
      <w:r>
        <w:t>SVSEG</w:t>
      </w:r>
      <w:r w:rsidRPr="00CF25BC">
        <w:rPr>
          <w:rFonts w:cs="Arial"/>
        </w:rPr>
        <w:t xml:space="preserve"> </w:t>
      </w:r>
      <w:r w:rsidRPr="00A01A9E">
        <w:rPr>
          <w:rFonts w:cs="Arial"/>
        </w:rPr>
        <w:t xml:space="preserve">consists of </w:t>
      </w:r>
      <w:r>
        <w:rPr>
          <w:rFonts w:cs="Arial"/>
        </w:rPr>
        <w:t xml:space="preserve">senior </w:t>
      </w:r>
      <w:r w:rsidRPr="00A01A9E">
        <w:rPr>
          <w:rFonts w:cs="Arial"/>
        </w:rPr>
        <w:t>representatives of governme</w:t>
      </w:r>
      <w:r>
        <w:rPr>
          <w:rFonts w:cs="Arial"/>
        </w:rPr>
        <w:t>nt agencies (Australian and state/t</w:t>
      </w:r>
      <w:r w:rsidRPr="00A01A9E">
        <w:rPr>
          <w:rFonts w:cs="Arial"/>
        </w:rPr>
        <w:t xml:space="preserve">erritory), </w:t>
      </w:r>
      <w:r w:rsidRPr="000F4E2D">
        <w:rPr>
          <w:rFonts w:cs="Arial"/>
        </w:rPr>
        <w:t>the National Transport Commission and the National Heavy Vehicle Regulator,</w:t>
      </w:r>
      <w:r>
        <w:rPr>
          <w:rFonts w:cs="Arial"/>
        </w:rPr>
        <w:t xml:space="preserve"> </w:t>
      </w:r>
      <w:r w:rsidRPr="00A01A9E">
        <w:rPr>
          <w:rFonts w:cs="Arial"/>
        </w:rPr>
        <w:t>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B04880" w:rsidRDefault="00B04880" w:rsidP="00B04880">
      <w:pPr>
        <w:numPr>
          <w:ilvl w:val="0"/>
          <w:numId w:val="3"/>
        </w:numPr>
        <w:spacing w:after="160"/>
        <w:rPr>
          <w:rFonts w:cs="Arial"/>
        </w:rPr>
      </w:pPr>
      <w:r w:rsidRPr="00867B73">
        <w:rPr>
          <w:rFonts w:cs="Arial"/>
        </w:rPr>
        <w:t>AMVCB consists of</w:t>
      </w:r>
      <w:r>
        <w:rPr>
          <w:rFonts w:cs="Arial"/>
        </w:rPr>
        <w:t xml:space="preserve"> technical</w:t>
      </w:r>
      <w:r w:rsidRPr="00867B73">
        <w:rPr>
          <w:rFonts w:cs="Arial"/>
        </w:rPr>
        <w:t xml:space="preserve"> representatives of government regulatory authorities (Australian and state/territory) that deal with ADR and other general vehicle issues</w:t>
      </w:r>
      <w:r>
        <w:rPr>
          <w:rFonts w:cs="Arial"/>
        </w:rPr>
        <w:t xml:space="preserve">, </w:t>
      </w:r>
      <w:r w:rsidRPr="00C161EF">
        <w:rPr>
          <w:rFonts w:cs="Arial"/>
        </w:rPr>
        <w:t>and the National Transport Commission and the National Heavy Vehicle Regulator.</w:t>
      </w:r>
    </w:p>
    <w:p w:rsidR="00B04880" w:rsidRDefault="00B04880" w:rsidP="00B04880">
      <w:pPr>
        <w:numPr>
          <w:ilvl w:val="0"/>
          <w:numId w:val="3"/>
        </w:numPr>
        <w:spacing w:after="160"/>
        <w:rPr>
          <w:rFonts w:cs="Arial"/>
        </w:rPr>
      </w:pPr>
      <w:r w:rsidRPr="00867B73">
        <w:rPr>
          <w:rFonts w:cs="Arial"/>
        </w:rPr>
        <w:t xml:space="preserve">TLG consists of technical representatives of government </w:t>
      </w:r>
      <w:r>
        <w:rPr>
          <w:rFonts w:cs="Arial"/>
        </w:rPr>
        <w:t xml:space="preserve">agencies </w:t>
      </w:r>
      <w:r w:rsidRPr="00867B73">
        <w:rPr>
          <w:rFonts w:cs="Arial"/>
        </w:rPr>
        <w:t xml:space="preserve">(Australian and state/territory), </w:t>
      </w:r>
      <w:r w:rsidRPr="000D4EB6">
        <w:rPr>
          <w:rFonts w:cs="Arial"/>
        </w:rPr>
        <w:t>the National Transport Commission and the National Heavy Vehicle Regulator,</w:t>
      </w:r>
      <w:r>
        <w:rPr>
          <w:rFonts w:cs="Arial"/>
        </w:rPr>
        <w:t xml:space="preserve"> </w:t>
      </w:r>
      <w:r w:rsidRPr="00867B73">
        <w:rPr>
          <w:rFonts w:cs="Arial"/>
        </w:rPr>
        <w:t>the manufacturing and operational arms of the industry and of representative organisations of consumers and road users (the same organisations as represented in SVSEG).</w:t>
      </w:r>
    </w:p>
    <w:p w:rsidR="00B04880" w:rsidRPr="00A01A9E" w:rsidRDefault="00B04880" w:rsidP="00B04880">
      <w:pPr>
        <w:numPr>
          <w:ilvl w:val="0"/>
          <w:numId w:val="3"/>
        </w:numPr>
        <w:spacing w:after="160"/>
        <w:rPr>
          <w:rFonts w:cs="Arial"/>
        </w:rPr>
      </w:pPr>
      <w:r>
        <w:rPr>
          <w:rFonts w:cs="Arial"/>
        </w:rPr>
        <w:t>TISOC</w:t>
      </w:r>
      <w:r w:rsidRPr="00A01A9E">
        <w:rPr>
          <w:rFonts w:cs="Arial"/>
        </w:rPr>
        <w:t xml:space="preserve"> consists of </w:t>
      </w:r>
      <w:r w:rsidRPr="005351E3">
        <w:rPr>
          <w:rFonts w:cs="Arial"/>
        </w:rPr>
        <w:t>state and territory transport and/or infrastructure Chief Executive Officers (CEO) (or equivalents), the CEO of the National Transport Commission, New Zealand and the Australian Local Government Association.</w:t>
      </w:r>
    </w:p>
    <w:p w:rsidR="00B04880" w:rsidRPr="00A01A9E" w:rsidRDefault="00B04880" w:rsidP="00B04880">
      <w:pPr>
        <w:numPr>
          <w:ilvl w:val="0"/>
          <w:numId w:val="3"/>
        </w:numPr>
        <w:spacing w:after="240"/>
        <w:rPr>
          <w:rFonts w:cs="Arial"/>
        </w:rPr>
      </w:pPr>
      <w:r>
        <w:rPr>
          <w:rFonts w:cs="Arial"/>
        </w:rPr>
        <w:t>The Transport and Infrastructure Council consists of the Australian, state/t</w:t>
      </w:r>
      <w:r w:rsidRPr="00A01A9E">
        <w:rPr>
          <w:rFonts w:cs="Arial"/>
        </w:rPr>
        <w:t xml:space="preserve">erritory and New Zealand Ministers with responsibility for transport </w:t>
      </w:r>
      <w:r>
        <w:rPr>
          <w:rFonts w:cs="Arial"/>
        </w:rPr>
        <w:t xml:space="preserve">and infrastructure </w:t>
      </w:r>
      <w:r w:rsidRPr="00A01A9E">
        <w:rPr>
          <w:rFonts w:cs="Arial"/>
        </w:rPr>
        <w:t>issues.</w:t>
      </w:r>
    </w:p>
    <w:p w:rsidR="007F49FE" w:rsidRDefault="007F49FE" w:rsidP="007F49FE">
      <w:pPr>
        <w:tabs>
          <w:tab w:val="left" w:pos="900"/>
        </w:tabs>
        <w:rPr>
          <w:rFonts w:cs="Arial"/>
        </w:rPr>
      </w:pPr>
      <w:r>
        <w:rPr>
          <w:rFonts w:cs="Arial"/>
        </w:rPr>
        <w:t xml:space="preserve">Editorial changes and changes to correct errors are processed by the Department of </w:t>
      </w:r>
      <w:r>
        <w:t>Infras</w:t>
      </w:r>
      <w:r w:rsidR="006424CB">
        <w:t>tructure and Regional Development</w:t>
      </w:r>
      <w:r>
        <w:rPr>
          <w:rFonts w:cs="Arial"/>
        </w:rPr>
        <w:t>.  This approach is only used where the amendments do not vary the intent of the vehicle standard.</w:t>
      </w:r>
    </w:p>
    <w:p w:rsidR="007F49FE" w:rsidRDefault="007F49FE" w:rsidP="007F49FE">
      <w:pPr>
        <w:tabs>
          <w:tab w:val="left" w:pos="900"/>
        </w:tabs>
        <w:rPr>
          <w:rFonts w:cs="Arial"/>
        </w:rPr>
      </w:pPr>
    </w:p>
    <w:p w:rsidR="00BB348B" w:rsidRDefault="00BB348B" w:rsidP="00BB348B">
      <w:pPr>
        <w:spacing w:after="240"/>
        <w:rPr>
          <w:rFonts w:cs="Arial"/>
        </w:rPr>
      </w:pPr>
      <w:r w:rsidRPr="005D100B">
        <w:rPr>
          <w:rFonts w:cs="Arial"/>
        </w:rPr>
        <w:t xml:space="preserve">Proposals that are regarded as significant need to be supported by a Regulation Impact Statement meeting the requirements of the Office of Best Practice Regulation (OBPR) as published in </w:t>
      </w:r>
      <w:r w:rsidRPr="005D100B">
        <w:rPr>
          <w:rFonts w:cs="Arial"/>
          <w:i/>
          <w:iCs/>
        </w:rPr>
        <w:t>The Australian Government Guide to Regulation</w:t>
      </w:r>
      <w:r w:rsidRPr="005D100B">
        <w:rPr>
          <w:rFonts w:cs="Arial"/>
          <w:i/>
        </w:rPr>
        <w:t xml:space="preserve"> </w:t>
      </w:r>
      <w:r w:rsidRPr="005D100B">
        <w:rPr>
          <w:rFonts w:cs="Arial"/>
        </w:rPr>
        <w:t xml:space="preserve">and the Council of Australian Governments </w:t>
      </w:r>
      <w:r w:rsidRPr="005D100B">
        <w:rPr>
          <w:rFonts w:cs="Arial"/>
          <w:i/>
        </w:rPr>
        <w:t>Best Practice Regulation: A Guide for Ministerial Councils and National Standard Setting Bodies</w:t>
      </w:r>
      <w:r w:rsidRPr="005D100B">
        <w:rPr>
          <w:rFonts w:cs="Arial"/>
        </w:rPr>
        <w:t>.</w:t>
      </w:r>
    </w:p>
    <w:p w:rsidR="007F49FE" w:rsidRPr="00B559A6" w:rsidRDefault="007F49FE" w:rsidP="007F49FE">
      <w:pPr>
        <w:pStyle w:val="Heading2"/>
      </w:pPr>
      <w:bookmarkStart w:id="14" w:name="_Toc393872588"/>
      <w:bookmarkStart w:id="15" w:name="_Toc394571229"/>
      <w:bookmarkStart w:id="16" w:name="_Toc394572125"/>
      <w:bookmarkStart w:id="17" w:name="_Toc394580831"/>
      <w:bookmarkStart w:id="18" w:name="_Toc167864618"/>
      <w:bookmarkStart w:id="19" w:name="_Toc398213702"/>
      <w:bookmarkEnd w:id="14"/>
      <w:bookmarkEnd w:id="15"/>
      <w:bookmarkEnd w:id="16"/>
      <w:bookmarkEnd w:id="17"/>
      <w:r w:rsidRPr="00B559A6">
        <w:lastRenderedPageBreak/>
        <w:t>Specific Consultation Arrangements for this Vehicle Standard</w:t>
      </w:r>
      <w:bookmarkEnd w:id="18"/>
      <w:bookmarkEnd w:id="19"/>
    </w:p>
    <w:p w:rsidR="004C68A2" w:rsidRDefault="001E2284" w:rsidP="001E2284">
      <w:pPr>
        <w:rPr>
          <w:rFonts w:cs="Arial"/>
        </w:rPr>
      </w:pPr>
      <w:r w:rsidRPr="008D0FA2">
        <w:rPr>
          <w:rFonts w:cs="Arial"/>
        </w:rPr>
        <w:t xml:space="preserve">The </w:t>
      </w:r>
      <w:r>
        <w:rPr>
          <w:rFonts w:cs="Arial"/>
        </w:rPr>
        <w:t xml:space="preserve">changes </w:t>
      </w:r>
      <w:r w:rsidRPr="008D0FA2">
        <w:rPr>
          <w:rFonts w:cs="Arial"/>
        </w:rPr>
        <w:t xml:space="preserve">have been made in consultation </w:t>
      </w:r>
      <w:r>
        <w:rPr>
          <w:rFonts w:cs="Arial"/>
        </w:rPr>
        <w:t>and</w:t>
      </w:r>
      <w:r w:rsidRPr="008D0FA2">
        <w:rPr>
          <w:rFonts w:cs="Arial"/>
        </w:rPr>
        <w:t xml:space="preserve"> full agreement </w:t>
      </w:r>
      <w:r>
        <w:rPr>
          <w:rFonts w:cs="Arial"/>
        </w:rPr>
        <w:t xml:space="preserve">of the </w:t>
      </w:r>
      <w:r w:rsidRPr="008D0FA2">
        <w:rPr>
          <w:rFonts w:cs="Arial"/>
        </w:rPr>
        <w:t>AMVCB</w:t>
      </w:r>
      <w:r>
        <w:rPr>
          <w:rFonts w:cs="Arial"/>
        </w:rPr>
        <w:t xml:space="preserve"> and the</w:t>
      </w:r>
      <w:r w:rsidRPr="008D0FA2">
        <w:rPr>
          <w:rFonts w:cs="Arial"/>
        </w:rPr>
        <w:t xml:space="preserve"> SV</w:t>
      </w:r>
      <w:r>
        <w:rPr>
          <w:rFonts w:cs="Arial"/>
        </w:rPr>
        <w:t>S</w:t>
      </w:r>
      <w:r w:rsidRPr="008D0FA2">
        <w:rPr>
          <w:rFonts w:cs="Arial"/>
        </w:rPr>
        <w:t xml:space="preserve">EG </w:t>
      </w:r>
      <w:r>
        <w:rPr>
          <w:rFonts w:cs="Arial"/>
        </w:rPr>
        <w:t>industry reference group</w:t>
      </w:r>
      <w:r w:rsidRPr="008D0FA2">
        <w:rPr>
          <w:rFonts w:cs="Arial"/>
        </w:rPr>
        <w:t xml:space="preserve"> formed to discuss </w:t>
      </w:r>
      <w:r>
        <w:rPr>
          <w:rFonts w:cs="Arial"/>
        </w:rPr>
        <w:t xml:space="preserve">the </w:t>
      </w:r>
      <w:r w:rsidRPr="008D0FA2">
        <w:rPr>
          <w:rFonts w:cs="Arial"/>
        </w:rPr>
        <w:t>National Heavy Vehi</w:t>
      </w:r>
      <w:r>
        <w:rPr>
          <w:rFonts w:cs="Arial"/>
        </w:rPr>
        <w:t>cle Braking Strategy (NHVBS)</w:t>
      </w:r>
      <w:r w:rsidRPr="008D0FA2">
        <w:rPr>
          <w:rFonts w:cs="Arial"/>
        </w:rPr>
        <w:t>.</w:t>
      </w:r>
    </w:p>
    <w:p w:rsidR="004C68A2" w:rsidRDefault="004C68A2">
      <w:pPr>
        <w:spacing w:after="200" w:line="276" w:lineRule="auto"/>
        <w:rPr>
          <w:rFonts w:cs="Arial"/>
        </w:rPr>
      </w:pPr>
      <w:r>
        <w:rPr>
          <w:rFonts w:cs="Arial"/>
        </w:rPr>
        <w:br w:type="page"/>
      </w:r>
    </w:p>
    <w:p w:rsidR="007F49FE" w:rsidRDefault="007F49FE" w:rsidP="007F49FE">
      <w:pPr>
        <w:pStyle w:val="Heading2"/>
      </w:pPr>
      <w:bookmarkStart w:id="20" w:name="_Toc392951564"/>
      <w:bookmarkStart w:id="21" w:name="_Toc393872590"/>
      <w:bookmarkStart w:id="22" w:name="_Toc394571231"/>
      <w:bookmarkStart w:id="23" w:name="_Toc394572127"/>
      <w:bookmarkStart w:id="24" w:name="_Toc394580833"/>
      <w:bookmarkStart w:id="25" w:name="_Toc398213703"/>
      <w:bookmarkEnd w:id="20"/>
      <w:bookmarkEnd w:id="21"/>
      <w:bookmarkEnd w:id="22"/>
      <w:bookmarkEnd w:id="23"/>
      <w:bookmarkEnd w:id="24"/>
      <w:r>
        <w:lastRenderedPageBreak/>
        <w:t>Regulation Impact Statement</w:t>
      </w:r>
      <w:bookmarkEnd w:id="25"/>
    </w:p>
    <w:p w:rsidR="007F49FE" w:rsidRDefault="007F49FE" w:rsidP="007F49FE">
      <w:r w:rsidRPr="00C4114C">
        <w:t xml:space="preserve">As the proposed amendment does not </w:t>
      </w:r>
      <w:r>
        <w:t xml:space="preserve">increase the stringency of the </w:t>
      </w:r>
      <w:r w:rsidRPr="00C4114C">
        <w:t xml:space="preserve">ADR, a </w:t>
      </w:r>
      <w:r>
        <w:t>RIS is not required.</w:t>
      </w:r>
    </w:p>
    <w:p w:rsidR="007F49FE" w:rsidRPr="00C4114C" w:rsidRDefault="007F49FE" w:rsidP="007F49FE"/>
    <w:p w:rsidR="00A374ED" w:rsidRDefault="00A374ED" w:rsidP="00A374ED">
      <w:pPr>
        <w:spacing w:after="240"/>
      </w:pPr>
      <w:r>
        <w:t xml:space="preserve">Since the decision is made by the Assistant Minister for Infrastructure and </w:t>
      </w:r>
      <w:r w:rsidRPr="004F5D2F">
        <w:t xml:space="preserve">Regional Development </w:t>
      </w:r>
      <w:r>
        <w:t xml:space="preserve">without reference to the Transport and Infrastructure Council and the proposal is not considered significant, the Office of Best Practice Regulation requirements have been met for this regulatory proposal (OBPR Reference ID </w:t>
      </w:r>
      <w:r w:rsidR="000A6EDE">
        <w:t>17329</w:t>
      </w:r>
      <w:r>
        <w:t>).</w:t>
      </w:r>
    </w:p>
    <w:p w:rsidR="007F49FE" w:rsidRPr="00FB3EE2" w:rsidRDefault="007F49FE" w:rsidP="007F49FE">
      <w:pPr>
        <w:pStyle w:val="Heading1"/>
        <w:rPr>
          <w:noProof/>
        </w:rPr>
      </w:pPr>
      <w:bookmarkStart w:id="26" w:name="_Toc392948328"/>
      <w:bookmarkStart w:id="27" w:name="_Toc392948713"/>
      <w:bookmarkStart w:id="28" w:name="_Toc392948730"/>
      <w:bookmarkStart w:id="29" w:name="_Toc392951566"/>
      <w:bookmarkStart w:id="30" w:name="_Toc393872592"/>
      <w:bookmarkStart w:id="31" w:name="_Toc394571233"/>
      <w:bookmarkStart w:id="32" w:name="_Toc394572129"/>
      <w:bookmarkStart w:id="33" w:name="_Toc394580835"/>
      <w:bookmarkStart w:id="34" w:name="_Toc318271645"/>
      <w:bookmarkStart w:id="35" w:name="_Toc317171517"/>
      <w:bookmarkStart w:id="36" w:name="_Toc317171391"/>
      <w:bookmarkStart w:id="37" w:name="_Toc317158948"/>
      <w:bookmarkStart w:id="38" w:name="_Toc318272904"/>
      <w:bookmarkStart w:id="39" w:name="_Toc398213704"/>
      <w:bookmarkEnd w:id="26"/>
      <w:bookmarkEnd w:id="27"/>
      <w:bookmarkEnd w:id="28"/>
      <w:bookmarkEnd w:id="29"/>
      <w:bookmarkEnd w:id="30"/>
      <w:bookmarkEnd w:id="31"/>
      <w:bookmarkEnd w:id="32"/>
      <w:bookmarkEnd w:id="33"/>
      <w:r w:rsidRPr="00FB3EE2">
        <w:rPr>
          <w:noProof/>
        </w:rPr>
        <w:t>STATEMENT OF COMPATIBILITY WITH HUMAN RIGHTS</w:t>
      </w:r>
      <w:bookmarkEnd w:id="34"/>
      <w:bookmarkEnd w:id="35"/>
      <w:bookmarkEnd w:id="36"/>
      <w:bookmarkEnd w:id="37"/>
      <w:bookmarkEnd w:id="38"/>
      <w:bookmarkEnd w:id="39"/>
    </w:p>
    <w:p w:rsidR="007F49FE" w:rsidRDefault="007F49FE" w:rsidP="007F49FE">
      <w:r>
        <w:t xml:space="preserve">The following </w:t>
      </w:r>
      <w:r w:rsidR="00B04880">
        <w:t>s</w:t>
      </w:r>
      <w:r>
        <w:t xml:space="preserve">tatement is prepared in accordance with Part 3 of the </w:t>
      </w:r>
      <w:r>
        <w:rPr>
          <w:i/>
          <w:iCs/>
        </w:rPr>
        <w:t>Human Rights (Parliamentary Scrutiny) Act 2011.</w:t>
      </w:r>
      <w:r>
        <w:t xml:space="preserve"> </w:t>
      </w:r>
    </w:p>
    <w:p w:rsidR="007F49FE" w:rsidRDefault="007F49FE" w:rsidP="007F49FE">
      <w:pPr>
        <w:pStyle w:val="Heading2"/>
      </w:pPr>
      <w:bookmarkStart w:id="40" w:name="_Toc398213705"/>
      <w:r>
        <w:t>Overview of the Legislative Instrument</w:t>
      </w:r>
      <w:bookmarkEnd w:id="40"/>
    </w:p>
    <w:p w:rsidR="001E2284" w:rsidRPr="00BC5D29" w:rsidRDefault="001E2284" w:rsidP="001E2284">
      <w:r>
        <w:t xml:space="preserve">This amendment implements </w:t>
      </w:r>
      <w:r w:rsidR="004C68A2">
        <w:t xml:space="preserve">relaxations, clarifications and corrections </w:t>
      </w:r>
      <w:r>
        <w:t xml:space="preserve">to ADR 35/05.  It </w:t>
      </w:r>
      <w:r w:rsidRPr="00BC5D29">
        <w:t>do</w:t>
      </w:r>
      <w:r>
        <w:t>es</w:t>
      </w:r>
      <w:r w:rsidRPr="00BC5D29">
        <w:t xml:space="preserve"> not affect the original intent or operation of the standard.</w:t>
      </w:r>
    </w:p>
    <w:p w:rsidR="007F49FE" w:rsidRDefault="007F49FE" w:rsidP="007F49FE">
      <w:pPr>
        <w:pStyle w:val="Heading2"/>
      </w:pPr>
      <w:bookmarkStart w:id="41" w:name="_Toc392951569"/>
      <w:bookmarkStart w:id="42" w:name="_Toc393872595"/>
      <w:bookmarkStart w:id="43" w:name="_Toc394571236"/>
      <w:bookmarkStart w:id="44" w:name="_Toc394572132"/>
      <w:bookmarkStart w:id="45" w:name="_Toc394580838"/>
      <w:bookmarkStart w:id="46" w:name="_Toc318271647"/>
      <w:bookmarkStart w:id="47" w:name="_Toc317171519"/>
      <w:bookmarkStart w:id="48" w:name="_Toc317171393"/>
      <w:bookmarkStart w:id="49" w:name="_Toc318272906"/>
      <w:bookmarkStart w:id="50" w:name="_Toc398213706"/>
      <w:bookmarkEnd w:id="41"/>
      <w:bookmarkEnd w:id="42"/>
      <w:bookmarkEnd w:id="43"/>
      <w:bookmarkEnd w:id="44"/>
      <w:bookmarkEnd w:id="45"/>
      <w:r>
        <w:t>Human Rights Implications</w:t>
      </w:r>
      <w:bookmarkEnd w:id="46"/>
      <w:bookmarkEnd w:id="47"/>
      <w:bookmarkEnd w:id="48"/>
      <w:bookmarkEnd w:id="49"/>
      <w:bookmarkEnd w:id="50"/>
    </w:p>
    <w:p w:rsidR="007F49FE" w:rsidRPr="00454261" w:rsidRDefault="007F49FE" w:rsidP="007F49FE">
      <w:r w:rsidRPr="00454261">
        <w:t xml:space="preserve">This amendment does not engage any of the human rights and freedoms recognised or declared in the international instruments listed in section 3 of the </w:t>
      </w:r>
      <w:r w:rsidRPr="00454261">
        <w:rPr>
          <w:i/>
          <w:iCs/>
        </w:rPr>
        <w:t>Human Rights (Parliamentary Scrutiny) Act 2011</w:t>
      </w:r>
      <w:r w:rsidRPr="00454261">
        <w:t xml:space="preserve">. </w:t>
      </w:r>
    </w:p>
    <w:p w:rsidR="007F49FE" w:rsidRDefault="007F49FE" w:rsidP="007F49FE">
      <w:pPr>
        <w:pStyle w:val="Heading2"/>
      </w:pPr>
      <w:bookmarkStart w:id="51" w:name="_Toc398213707"/>
      <w:r>
        <w:t>Conclusion</w:t>
      </w:r>
      <w:bookmarkEnd w:id="51"/>
    </w:p>
    <w:p w:rsidR="007F49FE" w:rsidRPr="00454261" w:rsidRDefault="007F49FE" w:rsidP="007F49FE">
      <w:r w:rsidRPr="00454261">
        <w:t xml:space="preserve">The amendment to the ADR </w:t>
      </w:r>
      <w:r w:rsidR="001C4530">
        <w:t>35/0</w:t>
      </w:r>
      <w:r w:rsidR="004B6DBB">
        <w:t>5</w:t>
      </w:r>
      <w:r w:rsidRPr="00454261">
        <w:t xml:space="preserve"> is compatible with human rights as it does not raise any human rights issues.</w:t>
      </w:r>
    </w:p>
    <w:p w:rsidR="007F49FE" w:rsidRPr="006D3E64" w:rsidRDefault="007F49FE" w:rsidP="007F49FE"/>
    <w:p w:rsidR="007F49FE" w:rsidRPr="006D3E64" w:rsidRDefault="007F49FE" w:rsidP="007F49FE"/>
    <w:p w:rsidR="003006AA" w:rsidRDefault="003006AA"/>
    <w:sectPr w:rsidR="003006AA" w:rsidSect="00CF381F">
      <w:headerReference w:type="default" r:id="rId8"/>
      <w:footerReference w:type="default" r:id="rId9"/>
      <w:pgSz w:w="11906" w:h="16838" w:code="9"/>
      <w:pgMar w:top="1440" w:right="1701" w:bottom="144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6B" w:rsidRDefault="007C316B" w:rsidP="007C316B">
      <w:r>
        <w:separator/>
      </w:r>
    </w:p>
  </w:endnote>
  <w:endnote w:type="continuationSeparator" w:id="0">
    <w:p w:rsidR="007C316B" w:rsidRDefault="007C316B" w:rsidP="007C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377B77" w:rsidTr="00177D04">
      <w:tc>
        <w:tcPr>
          <w:tcW w:w="2906" w:type="dxa"/>
        </w:tcPr>
        <w:p w:rsidR="00377B77" w:rsidRDefault="00206977" w:rsidP="00177D04">
          <w:pPr>
            <w:pStyle w:val="Footer"/>
          </w:pPr>
        </w:p>
      </w:tc>
      <w:tc>
        <w:tcPr>
          <w:tcW w:w="2907" w:type="dxa"/>
        </w:tcPr>
        <w:p w:rsidR="00377B77" w:rsidRDefault="00206977" w:rsidP="00177D04">
          <w:pPr>
            <w:pStyle w:val="Footer"/>
          </w:pPr>
        </w:p>
      </w:tc>
      <w:tc>
        <w:tcPr>
          <w:tcW w:w="2907" w:type="dxa"/>
        </w:tcPr>
        <w:p w:rsidR="00377B77" w:rsidRDefault="00206977" w:rsidP="00177D04">
          <w:pPr>
            <w:pStyle w:val="Footer"/>
          </w:pPr>
        </w:p>
      </w:tc>
    </w:tr>
  </w:tbl>
  <w:p w:rsidR="00377B77" w:rsidRDefault="00206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6B" w:rsidRDefault="007C316B" w:rsidP="007C316B">
      <w:r>
        <w:separator/>
      </w:r>
    </w:p>
  </w:footnote>
  <w:footnote w:type="continuationSeparator" w:id="0">
    <w:p w:rsidR="007C316B" w:rsidRDefault="007C316B" w:rsidP="007C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1E0" w:firstRow="1" w:lastRow="1" w:firstColumn="1" w:lastColumn="1" w:noHBand="0" w:noVBand="0"/>
    </w:tblPr>
    <w:tblGrid>
      <w:gridCol w:w="8472"/>
      <w:gridCol w:w="248"/>
    </w:tblGrid>
    <w:tr w:rsidR="00391A8C" w:rsidRPr="00C9437A" w:rsidTr="00354BEF">
      <w:tc>
        <w:tcPr>
          <w:tcW w:w="8472" w:type="dxa"/>
        </w:tcPr>
        <w:p w:rsidR="00391A8C" w:rsidRPr="00C9437A" w:rsidRDefault="00324DBF" w:rsidP="00813D5C">
          <w:pPr>
            <w:pStyle w:val="Header"/>
            <w:rPr>
              <w:szCs w:val="20"/>
            </w:rPr>
          </w:pPr>
          <w:r w:rsidRPr="00C9437A">
            <w:rPr>
              <w:szCs w:val="20"/>
            </w:rPr>
            <w:t>Explanatory Statement</w:t>
          </w:r>
        </w:p>
        <w:p w:rsidR="00391A8C" w:rsidRPr="00C9437A" w:rsidRDefault="00A374ED" w:rsidP="00354BEF">
          <w:pPr>
            <w:pStyle w:val="Header"/>
          </w:pPr>
          <w:r>
            <w:t>Vehicle Standard (</w:t>
          </w:r>
          <w:r w:rsidR="007C316B">
            <w:t>Australian Design Rule 35/0</w:t>
          </w:r>
          <w:r w:rsidR="004B6DBB">
            <w:t>5</w:t>
          </w:r>
          <w:r>
            <w:t xml:space="preserve"> </w:t>
          </w:r>
          <w:r w:rsidRPr="00F8188F">
            <w:t>–</w:t>
          </w:r>
          <w:r w:rsidR="00FC166F">
            <w:t xml:space="preserve"> </w:t>
          </w:r>
          <w:r w:rsidR="007C316B">
            <w:t xml:space="preserve">Commercial Vehicles </w:t>
          </w:r>
          <w:r w:rsidR="00B04880">
            <w:t>Brake</w:t>
          </w:r>
          <w:r w:rsidR="007C316B">
            <w:t xml:space="preserve"> Systems</w:t>
          </w:r>
          <w:r>
            <w:t>) 20</w:t>
          </w:r>
          <w:r w:rsidR="004B6DBB">
            <w:t>13</w:t>
          </w:r>
          <w:r w:rsidR="00F808B9">
            <w:t xml:space="preserve"> Amendment 1</w:t>
          </w:r>
        </w:p>
      </w:tc>
      <w:tc>
        <w:tcPr>
          <w:tcW w:w="248" w:type="dxa"/>
        </w:tcPr>
        <w:p w:rsidR="00391A8C" w:rsidRPr="00C9437A" w:rsidRDefault="00980776" w:rsidP="00813D5C">
          <w:pPr>
            <w:pStyle w:val="Header"/>
            <w:jc w:val="center"/>
            <w:rPr>
              <w:szCs w:val="20"/>
            </w:rPr>
          </w:pPr>
          <w:r w:rsidRPr="00C9437A">
            <w:rPr>
              <w:rStyle w:val="PageNumber"/>
            </w:rPr>
            <w:fldChar w:fldCharType="begin"/>
          </w:r>
          <w:r w:rsidR="00324DBF" w:rsidRPr="00C9437A">
            <w:rPr>
              <w:rStyle w:val="PageNumber"/>
            </w:rPr>
            <w:instrText xml:space="preserve"> PAGE </w:instrText>
          </w:r>
          <w:r w:rsidRPr="00C9437A">
            <w:rPr>
              <w:rStyle w:val="PageNumber"/>
            </w:rPr>
            <w:fldChar w:fldCharType="separate"/>
          </w:r>
          <w:r w:rsidR="00206977">
            <w:rPr>
              <w:rStyle w:val="PageNumber"/>
              <w:noProof/>
            </w:rPr>
            <w:t>6</w:t>
          </w:r>
          <w:r w:rsidRPr="00C9437A">
            <w:rPr>
              <w:rStyle w:val="PageNumber"/>
            </w:rPr>
            <w:fldChar w:fldCharType="end"/>
          </w:r>
        </w:p>
      </w:tc>
    </w:tr>
  </w:tbl>
  <w:p w:rsidR="00A32D81" w:rsidRPr="000237DD" w:rsidRDefault="00206977" w:rsidP="00C12E27">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7990"/>
    <w:multiLevelType w:val="hybridMultilevel"/>
    <w:tmpl w:val="C7687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D16058E"/>
    <w:multiLevelType w:val="hybridMultilevel"/>
    <w:tmpl w:val="8B2A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8F7506F"/>
    <w:multiLevelType w:val="multilevel"/>
    <w:tmpl w:val="FE905E2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49FE"/>
    <w:rsid w:val="000A6EDE"/>
    <w:rsid w:val="00122DB2"/>
    <w:rsid w:val="00153978"/>
    <w:rsid w:val="00177A83"/>
    <w:rsid w:val="001C4530"/>
    <w:rsid w:val="001E2284"/>
    <w:rsid w:val="00206977"/>
    <w:rsid w:val="00241D58"/>
    <w:rsid w:val="002A1393"/>
    <w:rsid w:val="002C60A1"/>
    <w:rsid w:val="003006AA"/>
    <w:rsid w:val="00324DBF"/>
    <w:rsid w:val="00354BEF"/>
    <w:rsid w:val="003933DD"/>
    <w:rsid w:val="00497CAB"/>
    <w:rsid w:val="004A2FCE"/>
    <w:rsid w:val="004B6DBB"/>
    <w:rsid w:val="004C68A2"/>
    <w:rsid w:val="00540AF1"/>
    <w:rsid w:val="005D63EA"/>
    <w:rsid w:val="006424CB"/>
    <w:rsid w:val="006F29B5"/>
    <w:rsid w:val="007C316B"/>
    <w:rsid w:val="007C336C"/>
    <w:rsid w:val="007C73AB"/>
    <w:rsid w:val="007E3C2C"/>
    <w:rsid w:val="007F49FE"/>
    <w:rsid w:val="00820A32"/>
    <w:rsid w:val="0083631D"/>
    <w:rsid w:val="00871296"/>
    <w:rsid w:val="00962E5D"/>
    <w:rsid w:val="00980776"/>
    <w:rsid w:val="009D27D5"/>
    <w:rsid w:val="00A374ED"/>
    <w:rsid w:val="00A51D28"/>
    <w:rsid w:val="00B04880"/>
    <w:rsid w:val="00B16389"/>
    <w:rsid w:val="00B250DE"/>
    <w:rsid w:val="00B95B33"/>
    <w:rsid w:val="00BB348B"/>
    <w:rsid w:val="00C754EA"/>
    <w:rsid w:val="00D1134B"/>
    <w:rsid w:val="00D35023"/>
    <w:rsid w:val="00D9338E"/>
    <w:rsid w:val="00DA4610"/>
    <w:rsid w:val="00E67C7D"/>
    <w:rsid w:val="00EE21AF"/>
    <w:rsid w:val="00EE4940"/>
    <w:rsid w:val="00F0586C"/>
    <w:rsid w:val="00F808B9"/>
    <w:rsid w:val="00F923EA"/>
    <w:rsid w:val="00FC1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F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MainHeadding"/>
    <w:next w:val="Normal"/>
    <w:link w:val="Heading1Char"/>
    <w:qFormat/>
    <w:rsid w:val="007F49FE"/>
    <w:pPr>
      <w:tabs>
        <w:tab w:val="left" w:pos="900"/>
      </w:tabs>
      <w:outlineLvl w:val="0"/>
    </w:pPr>
  </w:style>
  <w:style w:type="paragraph" w:styleId="Heading2">
    <w:name w:val="heading 2"/>
    <w:basedOn w:val="Subsection"/>
    <w:next w:val="Normal"/>
    <w:link w:val="Heading2Char"/>
    <w:qFormat/>
    <w:rsid w:val="007F49F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FE"/>
    <w:rPr>
      <w:rFonts w:ascii="Times New Roman" w:eastAsia="Times New Roman" w:hAnsi="Times New Roman" w:cs="Times New Roman"/>
      <w:b/>
      <w:caps/>
      <w:sz w:val="24"/>
      <w:szCs w:val="24"/>
      <w:lang w:eastAsia="en-AU"/>
    </w:rPr>
  </w:style>
  <w:style w:type="character" w:customStyle="1" w:styleId="Heading2Char">
    <w:name w:val="Heading 2 Char"/>
    <w:basedOn w:val="DefaultParagraphFont"/>
    <w:link w:val="Heading2"/>
    <w:rsid w:val="007F49FE"/>
    <w:rPr>
      <w:rFonts w:ascii="Times New Roman" w:eastAsia="Times New Roman" w:hAnsi="Times New Roman" w:cs="Times New Roman"/>
      <w:sz w:val="24"/>
      <w:szCs w:val="24"/>
      <w:lang w:eastAsia="en-AU"/>
    </w:rPr>
  </w:style>
  <w:style w:type="paragraph" w:customStyle="1" w:styleId="ADRTitle">
    <w:name w:val="ADR Title"/>
    <w:basedOn w:val="Normal"/>
    <w:next w:val="Normal"/>
    <w:rsid w:val="007F49FE"/>
    <w:pPr>
      <w:spacing w:after="480"/>
    </w:pPr>
    <w:rPr>
      <w:b/>
      <w:sz w:val="40"/>
    </w:rPr>
  </w:style>
  <w:style w:type="paragraph" w:customStyle="1" w:styleId="MainHeadding">
    <w:name w:val="Main Headding"/>
    <w:basedOn w:val="Normal"/>
    <w:next w:val="Normal"/>
    <w:rsid w:val="007F49FE"/>
    <w:pPr>
      <w:numPr>
        <w:numId w:val="1"/>
      </w:numPr>
      <w:spacing w:before="240" w:after="120"/>
    </w:pPr>
    <w:rPr>
      <w:b/>
      <w:caps/>
    </w:rPr>
  </w:style>
  <w:style w:type="paragraph" w:customStyle="1" w:styleId="Subsection">
    <w:name w:val="Sub section"/>
    <w:basedOn w:val="Normal"/>
    <w:next w:val="Normal"/>
    <w:rsid w:val="007F49FE"/>
    <w:pPr>
      <w:numPr>
        <w:ilvl w:val="1"/>
        <w:numId w:val="1"/>
      </w:numPr>
      <w:spacing w:before="120" w:after="120"/>
    </w:pPr>
  </w:style>
  <w:style w:type="paragraph" w:customStyle="1" w:styleId="Subsubsection">
    <w:name w:val="Subsub section"/>
    <w:basedOn w:val="Normal"/>
    <w:next w:val="Normal"/>
    <w:rsid w:val="007F49FE"/>
    <w:pPr>
      <w:numPr>
        <w:ilvl w:val="2"/>
        <w:numId w:val="1"/>
      </w:numPr>
      <w:spacing w:before="120" w:after="120"/>
    </w:pPr>
  </w:style>
  <w:style w:type="paragraph" w:customStyle="1" w:styleId="Subsubsubsection">
    <w:name w:val="Subsubsub section"/>
    <w:basedOn w:val="Normal"/>
    <w:next w:val="Normal"/>
    <w:rsid w:val="007F49FE"/>
    <w:pPr>
      <w:numPr>
        <w:ilvl w:val="3"/>
        <w:numId w:val="1"/>
      </w:numPr>
      <w:spacing w:before="120" w:after="120"/>
    </w:pPr>
  </w:style>
  <w:style w:type="paragraph" w:styleId="TOC1">
    <w:name w:val="toc 1"/>
    <w:basedOn w:val="Normal"/>
    <w:next w:val="Normal"/>
    <w:autoRedefine/>
    <w:uiPriority w:val="39"/>
    <w:rsid w:val="007F49FE"/>
    <w:pPr>
      <w:tabs>
        <w:tab w:val="left" w:pos="851"/>
        <w:tab w:val="right" w:leader="dot" w:pos="8494"/>
      </w:tabs>
      <w:spacing w:before="120" w:after="120"/>
      <w:ind w:left="851" w:hanging="851"/>
    </w:pPr>
    <w:rPr>
      <w:caps/>
    </w:rPr>
  </w:style>
  <w:style w:type="paragraph" w:styleId="Header">
    <w:name w:val="header"/>
    <w:basedOn w:val="Normal"/>
    <w:link w:val="HeaderChar"/>
    <w:uiPriority w:val="99"/>
    <w:rsid w:val="007F49FE"/>
    <w:pPr>
      <w:tabs>
        <w:tab w:val="center" w:pos="4153"/>
        <w:tab w:val="right" w:pos="8306"/>
      </w:tabs>
    </w:pPr>
    <w:rPr>
      <w:sz w:val="20"/>
    </w:rPr>
  </w:style>
  <w:style w:type="character" w:customStyle="1" w:styleId="HeaderChar">
    <w:name w:val="Header Char"/>
    <w:basedOn w:val="DefaultParagraphFont"/>
    <w:link w:val="Header"/>
    <w:uiPriority w:val="99"/>
    <w:rsid w:val="007F49FE"/>
    <w:rPr>
      <w:rFonts w:ascii="Times New Roman" w:eastAsia="Times New Roman" w:hAnsi="Times New Roman" w:cs="Times New Roman"/>
      <w:sz w:val="20"/>
      <w:szCs w:val="24"/>
      <w:lang w:eastAsia="en-AU"/>
    </w:rPr>
  </w:style>
  <w:style w:type="paragraph" w:styleId="Footer">
    <w:name w:val="footer"/>
    <w:basedOn w:val="Normal"/>
    <w:link w:val="FooterChar"/>
    <w:rsid w:val="007F49FE"/>
    <w:pPr>
      <w:tabs>
        <w:tab w:val="center" w:pos="4153"/>
        <w:tab w:val="right" w:pos="8306"/>
      </w:tabs>
    </w:pPr>
    <w:rPr>
      <w:sz w:val="20"/>
    </w:rPr>
  </w:style>
  <w:style w:type="character" w:customStyle="1" w:styleId="FooterChar">
    <w:name w:val="Footer Char"/>
    <w:basedOn w:val="DefaultParagraphFont"/>
    <w:link w:val="Footer"/>
    <w:rsid w:val="007F49FE"/>
    <w:rPr>
      <w:rFonts w:ascii="Times New Roman" w:eastAsia="Times New Roman" w:hAnsi="Times New Roman" w:cs="Times New Roman"/>
      <w:sz w:val="20"/>
      <w:szCs w:val="24"/>
      <w:lang w:eastAsia="en-AU"/>
    </w:rPr>
  </w:style>
  <w:style w:type="character" w:styleId="PageNumber">
    <w:name w:val="page number"/>
    <w:basedOn w:val="DefaultParagraphFont"/>
    <w:rsid w:val="007F49FE"/>
  </w:style>
  <w:style w:type="paragraph" w:customStyle="1" w:styleId="dot">
    <w:name w:val="dot"/>
    <w:basedOn w:val="Normal"/>
    <w:rsid w:val="007F49FE"/>
    <w:pPr>
      <w:ind w:left="567" w:hanging="567"/>
    </w:pPr>
    <w:rPr>
      <w:rFonts w:ascii="Courier New" w:hAnsi="Courier New"/>
      <w:szCs w:val="20"/>
    </w:rPr>
  </w:style>
  <w:style w:type="paragraph" w:styleId="BodyText">
    <w:name w:val="Body Text"/>
    <w:basedOn w:val="Normal"/>
    <w:link w:val="BodyTextChar"/>
    <w:rsid w:val="007F49FE"/>
    <w:pPr>
      <w:spacing w:after="120"/>
    </w:pPr>
  </w:style>
  <w:style w:type="character" w:customStyle="1" w:styleId="BodyTextChar">
    <w:name w:val="Body Text Char"/>
    <w:basedOn w:val="DefaultParagraphFont"/>
    <w:link w:val="BodyText"/>
    <w:rsid w:val="007F49FE"/>
    <w:rPr>
      <w:rFonts w:ascii="Times New Roman" w:eastAsia="Times New Roman" w:hAnsi="Times New Roman" w:cs="Times New Roman"/>
      <w:sz w:val="24"/>
      <w:szCs w:val="24"/>
    </w:rPr>
  </w:style>
  <w:style w:type="character" w:styleId="Hyperlink">
    <w:name w:val="Hyperlink"/>
    <w:basedOn w:val="DefaultParagraphFont"/>
    <w:uiPriority w:val="99"/>
    <w:rsid w:val="007F49FE"/>
    <w:rPr>
      <w:color w:val="0000FF"/>
      <w:u w:val="single"/>
    </w:rPr>
  </w:style>
  <w:style w:type="paragraph" w:styleId="TOC2">
    <w:name w:val="toc 2"/>
    <w:basedOn w:val="Normal"/>
    <w:next w:val="Normal"/>
    <w:autoRedefine/>
    <w:uiPriority w:val="39"/>
    <w:rsid w:val="007F49FE"/>
    <w:pPr>
      <w:tabs>
        <w:tab w:val="left" w:pos="851"/>
        <w:tab w:val="right" w:leader="dot" w:pos="8505"/>
      </w:tabs>
      <w:ind w:left="240"/>
    </w:pPr>
  </w:style>
  <w:style w:type="paragraph" w:styleId="TOCHeading">
    <w:name w:val="TOC Heading"/>
    <w:basedOn w:val="Heading1"/>
    <w:next w:val="Normal"/>
    <w:uiPriority w:val="39"/>
    <w:semiHidden/>
    <w:unhideWhenUsed/>
    <w:qFormat/>
    <w:rsid w:val="007F49FE"/>
    <w:pPr>
      <w:keepNext/>
      <w:keepLines/>
      <w:numPr>
        <w:numId w:val="0"/>
      </w:numPr>
      <w:tabs>
        <w:tab w:val="clear" w:pos="900"/>
      </w:tabs>
      <w:spacing w:before="480" w:after="0" w:line="276" w:lineRule="auto"/>
      <w:outlineLvl w:val="9"/>
    </w:pPr>
    <w:rPr>
      <w:rFonts w:ascii="Cambria" w:hAnsi="Cambria"/>
      <w:bCs/>
      <w:caps w:val="0"/>
      <w:color w:val="365F91"/>
      <w:sz w:val="28"/>
      <w:szCs w:val="28"/>
      <w:lang w:val="en-US" w:eastAsia="en-US"/>
    </w:rPr>
  </w:style>
  <w:style w:type="paragraph" w:styleId="BalloonText">
    <w:name w:val="Balloon Text"/>
    <w:basedOn w:val="Normal"/>
    <w:link w:val="BalloonTextChar"/>
    <w:uiPriority w:val="99"/>
    <w:semiHidden/>
    <w:unhideWhenUsed/>
    <w:rsid w:val="00A374ED"/>
    <w:rPr>
      <w:rFonts w:ascii="Tahoma" w:hAnsi="Tahoma" w:cs="Tahoma"/>
      <w:sz w:val="16"/>
      <w:szCs w:val="16"/>
    </w:rPr>
  </w:style>
  <w:style w:type="character" w:customStyle="1" w:styleId="BalloonTextChar">
    <w:name w:val="Balloon Text Char"/>
    <w:basedOn w:val="DefaultParagraphFont"/>
    <w:link w:val="BalloonText"/>
    <w:uiPriority w:val="99"/>
    <w:semiHidden/>
    <w:rsid w:val="00A374ED"/>
    <w:rPr>
      <w:rFonts w:ascii="Tahoma" w:eastAsia="Times New Roman" w:hAnsi="Tahoma" w:cs="Tahoma"/>
      <w:sz w:val="16"/>
      <w:szCs w:val="16"/>
      <w:lang w:eastAsia="en-AU"/>
    </w:rPr>
  </w:style>
  <w:style w:type="paragraph" w:styleId="ListParagraph">
    <w:name w:val="List Paragraph"/>
    <w:basedOn w:val="Normal"/>
    <w:uiPriority w:val="34"/>
    <w:qFormat/>
    <w:rsid w:val="00540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FE"/>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MainHeadding"/>
    <w:next w:val="Normal"/>
    <w:link w:val="Heading1Char"/>
    <w:qFormat/>
    <w:rsid w:val="007F49FE"/>
    <w:pPr>
      <w:tabs>
        <w:tab w:val="left" w:pos="900"/>
      </w:tabs>
      <w:outlineLvl w:val="0"/>
    </w:pPr>
  </w:style>
  <w:style w:type="paragraph" w:styleId="Heading2">
    <w:name w:val="heading 2"/>
    <w:basedOn w:val="Subsection"/>
    <w:next w:val="Normal"/>
    <w:link w:val="Heading2Char"/>
    <w:qFormat/>
    <w:rsid w:val="007F49F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9FE"/>
    <w:rPr>
      <w:rFonts w:ascii="Times New Roman" w:eastAsia="Times New Roman" w:hAnsi="Times New Roman" w:cs="Times New Roman"/>
      <w:b/>
      <w:caps/>
      <w:sz w:val="24"/>
      <w:szCs w:val="24"/>
      <w:lang w:eastAsia="en-AU"/>
    </w:rPr>
  </w:style>
  <w:style w:type="character" w:customStyle="1" w:styleId="Heading2Char">
    <w:name w:val="Heading 2 Char"/>
    <w:basedOn w:val="DefaultParagraphFont"/>
    <w:link w:val="Heading2"/>
    <w:rsid w:val="007F49FE"/>
    <w:rPr>
      <w:rFonts w:ascii="Times New Roman" w:eastAsia="Times New Roman" w:hAnsi="Times New Roman" w:cs="Times New Roman"/>
      <w:sz w:val="24"/>
      <w:szCs w:val="24"/>
      <w:lang w:eastAsia="en-AU"/>
    </w:rPr>
  </w:style>
  <w:style w:type="paragraph" w:customStyle="1" w:styleId="ADRTitle">
    <w:name w:val="ADR Title"/>
    <w:basedOn w:val="Normal"/>
    <w:next w:val="Normal"/>
    <w:rsid w:val="007F49FE"/>
    <w:pPr>
      <w:spacing w:after="480"/>
    </w:pPr>
    <w:rPr>
      <w:b/>
      <w:sz w:val="40"/>
    </w:rPr>
  </w:style>
  <w:style w:type="paragraph" w:customStyle="1" w:styleId="MainHeadding">
    <w:name w:val="Main Headding"/>
    <w:basedOn w:val="Normal"/>
    <w:next w:val="Normal"/>
    <w:rsid w:val="007F49FE"/>
    <w:pPr>
      <w:numPr>
        <w:numId w:val="1"/>
      </w:numPr>
      <w:spacing w:before="240" w:after="120"/>
    </w:pPr>
    <w:rPr>
      <w:b/>
      <w:caps/>
    </w:rPr>
  </w:style>
  <w:style w:type="paragraph" w:customStyle="1" w:styleId="Subsection">
    <w:name w:val="Sub section"/>
    <w:basedOn w:val="Normal"/>
    <w:next w:val="Normal"/>
    <w:rsid w:val="007F49FE"/>
    <w:pPr>
      <w:numPr>
        <w:ilvl w:val="1"/>
        <w:numId w:val="1"/>
      </w:numPr>
      <w:spacing w:before="120" w:after="120"/>
    </w:pPr>
  </w:style>
  <w:style w:type="paragraph" w:customStyle="1" w:styleId="Subsubsection">
    <w:name w:val="Subsub section"/>
    <w:basedOn w:val="Normal"/>
    <w:next w:val="Normal"/>
    <w:rsid w:val="007F49FE"/>
    <w:pPr>
      <w:numPr>
        <w:ilvl w:val="2"/>
        <w:numId w:val="1"/>
      </w:numPr>
      <w:spacing w:before="120" w:after="120"/>
    </w:pPr>
  </w:style>
  <w:style w:type="paragraph" w:customStyle="1" w:styleId="Subsubsubsection">
    <w:name w:val="Subsubsub section"/>
    <w:basedOn w:val="Normal"/>
    <w:next w:val="Normal"/>
    <w:rsid w:val="007F49FE"/>
    <w:pPr>
      <w:numPr>
        <w:ilvl w:val="3"/>
        <w:numId w:val="1"/>
      </w:numPr>
      <w:spacing w:before="120" w:after="120"/>
    </w:pPr>
  </w:style>
  <w:style w:type="paragraph" w:styleId="TOC1">
    <w:name w:val="toc 1"/>
    <w:basedOn w:val="Normal"/>
    <w:next w:val="Normal"/>
    <w:autoRedefine/>
    <w:uiPriority w:val="39"/>
    <w:rsid w:val="007F49FE"/>
    <w:pPr>
      <w:tabs>
        <w:tab w:val="left" w:pos="851"/>
        <w:tab w:val="right" w:leader="dot" w:pos="8494"/>
      </w:tabs>
      <w:spacing w:before="120" w:after="120"/>
      <w:ind w:left="851" w:hanging="851"/>
    </w:pPr>
    <w:rPr>
      <w:caps/>
    </w:rPr>
  </w:style>
  <w:style w:type="paragraph" w:styleId="Header">
    <w:name w:val="header"/>
    <w:basedOn w:val="Normal"/>
    <w:link w:val="HeaderChar"/>
    <w:uiPriority w:val="99"/>
    <w:rsid w:val="007F49FE"/>
    <w:pPr>
      <w:tabs>
        <w:tab w:val="center" w:pos="4153"/>
        <w:tab w:val="right" w:pos="8306"/>
      </w:tabs>
    </w:pPr>
    <w:rPr>
      <w:sz w:val="20"/>
    </w:rPr>
  </w:style>
  <w:style w:type="character" w:customStyle="1" w:styleId="HeaderChar">
    <w:name w:val="Header Char"/>
    <w:basedOn w:val="DefaultParagraphFont"/>
    <w:link w:val="Header"/>
    <w:uiPriority w:val="99"/>
    <w:rsid w:val="007F49FE"/>
    <w:rPr>
      <w:rFonts w:ascii="Times New Roman" w:eastAsia="Times New Roman" w:hAnsi="Times New Roman" w:cs="Times New Roman"/>
      <w:sz w:val="20"/>
      <w:szCs w:val="24"/>
      <w:lang w:eastAsia="en-AU"/>
    </w:rPr>
  </w:style>
  <w:style w:type="paragraph" w:styleId="Footer">
    <w:name w:val="footer"/>
    <w:basedOn w:val="Normal"/>
    <w:link w:val="FooterChar"/>
    <w:rsid w:val="007F49FE"/>
    <w:pPr>
      <w:tabs>
        <w:tab w:val="center" w:pos="4153"/>
        <w:tab w:val="right" w:pos="8306"/>
      </w:tabs>
    </w:pPr>
    <w:rPr>
      <w:sz w:val="20"/>
    </w:rPr>
  </w:style>
  <w:style w:type="character" w:customStyle="1" w:styleId="FooterChar">
    <w:name w:val="Footer Char"/>
    <w:basedOn w:val="DefaultParagraphFont"/>
    <w:link w:val="Footer"/>
    <w:rsid w:val="007F49FE"/>
    <w:rPr>
      <w:rFonts w:ascii="Times New Roman" w:eastAsia="Times New Roman" w:hAnsi="Times New Roman" w:cs="Times New Roman"/>
      <w:sz w:val="20"/>
      <w:szCs w:val="24"/>
      <w:lang w:eastAsia="en-AU"/>
    </w:rPr>
  </w:style>
  <w:style w:type="character" w:styleId="PageNumber">
    <w:name w:val="page number"/>
    <w:basedOn w:val="DefaultParagraphFont"/>
    <w:rsid w:val="007F49FE"/>
  </w:style>
  <w:style w:type="paragraph" w:customStyle="1" w:styleId="dot">
    <w:name w:val="dot"/>
    <w:basedOn w:val="Normal"/>
    <w:rsid w:val="007F49FE"/>
    <w:pPr>
      <w:ind w:left="567" w:hanging="567"/>
    </w:pPr>
    <w:rPr>
      <w:rFonts w:ascii="Courier New" w:hAnsi="Courier New"/>
      <w:szCs w:val="20"/>
    </w:rPr>
  </w:style>
  <w:style w:type="paragraph" w:styleId="BodyText">
    <w:name w:val="Body Text"/>
    <w:basedOn w:val="Normal"/>
    <w:link w:val="BodyTextChar"/>
    <w:rsid w:val="007F49FE"/>
    <w:pPr>
      <w:spacing w:after="120"/>
    </w:pPr>
    <w:rPr>
      <w:lang w:val="x-none" w:eastAsia="x-none"/>
    </w:rPr>
  </w:style>
  <w:style w:type="character" w:customStyle="1" w:styleId="BodyTextChar">
    <w:name w:val="Body Text Char"/>
    <w:basedOn w:val="DefaultParagraphFont"/>
    <w:link w:val="BodyText"/>
    <w:rsid w:val="007F49FE"/>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rsid w:val="007F49FE"/>
    <w:rPr>
      <w:color w:val="0000FF"/>
      <w:u w:val="single"/>
    </w:rPr>
  </w:style>
  <w:style w:type="paragraph" w:styleId="TOC2">
    <w:name w:val="toc 2"/>
    <w:basedOn w:val="Normal"/>
    <w:next w:val="Normal"/>
    <w:autoRedefine/>
    <w:uiPriority w:val="39"/>
    <w:rsid w:val="007F49FE"/>
    <w:pPr>
      <w:tabs>
        <w:tab w:val="left" w:pos="851"/>
        <w:tab w:val="right" w:leader="dot" w:pos="8505"/>
      </w:tabs>
      <w:ind w:left="240"/>
    </w:pPr>
  </w:style>
  <w:style w:type="paragraph" w:styleId="TOCHeading">
    <w:name w:val="TOC Heading"/>
    <w:basedOn w:val="Heading1"/>
    <w:next w:val="Normal"/>
    <w:uiPriority w:val="39"/>
    <w:semiHidden/>
    <w:unhideWhenUsed/>
    <w:qFormat/>
    <w:rsid w:val="007F49FE"/>
    <w:pPr>
      <w:keepNext/>
      <w:keepLines/>
      <w:numPr>
        <w:numId w:val="0"/>
      </w:numPr>
      <w:tabs>
        <w:tab w:val="clear" w:pos="900"/>
      </w:tabs>
      <w:spacing w:before="480" w:after="0" w:line="276" w:lineRule="auto"/>
      <w:outlineLvl w:val="9"/>
    </w:pPr>
    <w:rPr>
      <w:rFonts w:ascii="Cambria" w:hAnsi="Cambria"/>
      <w:bCs/>
      <w:caps w:val="0"/>
      <w:color w:val="365F9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Transport</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Pokalioukhine Edouard</dc:creator>
  <cp:lastModifiedBy>Paul Caus</cp:lastModifiedBy>
  <cp:revision>17</cp:revision>
  <cp:lastPrinted>2014-09-11T05:46:00Z</cp:lastPrinted>
  <dcterms:created xsi:type="dcterms:W3CDTF">2014-07-12T07:03:00Z</dcterms:created>
  <dcterms:modified xsi:type="dcterms:W3CDTF">2014-09-12T04:20:00Z</dcterms:modified>
</cp:coreProperties>
</file>