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24AE0" w:rsidRDefault="00DA186E" w:rsidP="00B05CF4">
      <w:pPr>
        <w:rPr>
          <w:sz w:val="28"/>
        </w:rPr>
      </w:pPr>
      <w:r w:rsidRPr="00224AE0">
        <w:rPr>
          <w:noProof/>
          <w:lang w:eastAsia="en-AU"/>
        </w:rPr>
        <w:drawing>
          <wp:inline distT="0" distB="0" distL="0" distR="0" wp14:anchorId="41EE1F0D" wp14:editId="672A1D0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24AE0" w:rsidRDefault="00715914" w:rsidP="00715914">
      <w:pPr>
        <w:rPr>
          <w:sz w:val="19"/>
        </w:rPr>
      </w:pPr>
    </w:p>
    <w:p w:rsidR="00715914" w:rsidRPr="00224AE0" w:rsidRDefault="00721FAC" w:rsidP="00715914">
      <w:pPr>
        <w:pStyle w:val="ShortT"/>
      </w:pPr>
      <w:r w:rsidRPr="00224AE0">
        <w:t>Plant Health Australia (Plan</w:t>
      </w:r>
      <w:r w:rsidR="00B6389A" w:rsidRPr="00224AE0">
        <w:t>t Industri</w:t>
      </w:r>
      <w:r w:rsidRPr="00224AE0">
        <w:t>es) Funding Determination</w:t>
      </w:r>
      <w:r w:rsidR="00224AE0" w:rsidRPr="00224AE0">
        <w:t> </w:t>
      </w:r>
      <w:r w:rsidRPr="00224AE0">
        <w:t>2014</w:t>
      </w:r>
    </w:p>
    <w:p w:rsidR="00E80AAB" w:rsidRPr="00224AE0" w:rsidRDefault="00E80AAB" w:rsidP="00DF599D">
      <w:pPr>
        <w:pStyle w:val="SignCoverPageStart"/>
        <w:rPr>
          <w:szCs w:val="22"/>
        </w:rPr>
      </w:pPr>
      <w:r w:rsidRPr="00224AE0">
        <w:rPr>
          <w:szCs w:val="22"/>
        </w:rPr>
        <w:t>I, Barnaby Joyce, Minister for Agriculture, make the following determination.</w:t>
      </w:r>
    </w:p>
    <w:p w:rsidR="00E80AAB" w:rsidRPr="00224AE0" w:rsidRDefault="00E80AAB" w:rsidP="00DF599D">
      <w:pPr>
        <w:keepNext/>
        <w:spacing w:before="300" w:line="240" w:lineRule="atLeast"/>
        <w:ind w:right="397"/>
        <w:jc w:val="both"/>
        <w:rPr>
          <w:szCs w:val="22"/>
        </w:rPr>
      </w:pPr>
      <w:r w:rsidRPr="00224AE0">
        <w:rPr>
          <w:szCs w:val="22"/>
        </w:rPr>
        <w:t>Dated</w:t>
      </w:r>
      <w:bookmarkStart w:id="0" w:name="BKCheck15B_1"/>
      <w:bookmarkEnd w:id="0"/>
      <w:r w:rsidR="003B6BFA">
        <w:rPr>
          <w:szCs w:val="22"/>
        </w:rPr>
        <w:t xml:space="preserve"> </w:t>
      </w:r>
      <w:r w:rsidRPr="00224AE0">
        <w:rPr>
          <w:szCs w:val="22"/>
        </w:rPr>
        <w:fldChar w:fldCharType="begin"/>
      </w:r>
      <w:r w:rsidRPr="00224AE0">
        <w:rPr>
          <w:szCs w:val="22"/>
        </w:rPr>
        <w:instrText xml:space="preserve"> DOCPROPERTY  DateMade </w:instrText>
      </w:r>
      <w:r w:rsidRPr="00224AE0">
        <w:rPr>
          <w:szCs w:val="22"/>
        </w:rPr>
        <w:fldChar w:fldCharType="separate"/>
      </w:r>
      <w:r w:rsidR="003B6BFA">
        <w:rPr>
          <w:szCs w:val="22"/>
        </w:rPr>
        <w:t>2 September 2014</w:t>
      </w:r>
      <w:r w:rsidRPr="00224AE0">
        <w:rPr>
          <w:szCs w:val="22"/>
        </w:rPr>
        <w:fldChar w:fldCharType="end"/>
      </w:r>
    </w:p>
    <w:p w:rsidR="00E80AAB" w:rsidRPr="00224AE0" w:rsidRDefault="00E80AAB" w:rsidP="00DF59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24AE0">
        <w:rPr>
          <w:szCs w:val="22"/>
        </w:rPr>
        <w:t>Barnaby Joyce</w:t>
      </w:r>
      <w:bookmarkStart w:id="1" w:name="_GoBack"/>
      <w:bookmarkEnd w:id="1"/>
    </w:p>
    <w:p w:rsidR="00E80AAB" w:rsidRPr="00224AE0" w:rsidRDefault="00E80AAB" w:rsidP="00DF599D">
      <w:pPr>
        <w:pStyle w:val="SignCoverPageEnd"/>
        <w:rPr>
          <w:szCs w:val="22"/>
        </w:rPr>
      </w:pPr>
      <w:r w:rsidRPr="00224AE0">
        <w:rPr>
          <w:szCs w:val="22"/>
        </w:rPr>
        <w:t>Minister for Agriculture</w:t>
      </w:r>
    </w:p>
    <w:p w:rsidR="00E80AAB" w:rsidRPr="00224AE0" w:rsidRDefault="00E80AAB" w:rsidP="00E80AAB"/>
    <w:p w:rsidR="00715914" w:rsidRPr="00224AE0" w:rsidRDefault="00715914" w:rsidP="00715914">
      <w:pPr>
        <w:pStyle w:val="Header"/>
        <w:tabs>
          <w:tab w:val="clear" w:pos="4150"/>
          <w:tab w:val="clear" w:pos="8307"/>
        </w:tabs>
      </w:pPr>
      <w:r w:rsidRPr="00224AE0">
        <w:rPr>
          <w:rStyle w:val="CharChapNo"/>
        </w:rPr>
        <w:t xml:space="preserve"> </w:t>
      </w:r>
      <w:r w:rsidRPr="00224AE0">
        <w:rPr>
          <w:rStyle w:val="CharChapText"/>
        </w:rPr>
        <w:t xml:space="preserve"> </w:t>
      </w:r>
    </w:p>
    <w:p w:rsidR="00715914" w:rsidRPr="00224AE0" w:rsidRDefault="00715914" w:rsidP="00715914">
      <w:pPr>
        <w:pStyle w:val="Header"/>
        <w:tabs>
          <w:tab w:val="clear" w:pos="4150"/>
          <w:tab w:val="clear" w:pos="8307"/>
        </w:tabs>
      </w:pPr>
      <w:r w:rsidRPr="00224AE0">
        <w:rPr>
          <w:rStyle w:val="CharPartNo"/>
        </w:rPr>
        <w:t xml:space="preserve"> </w:t>
      </w:r>
      <w:r w:rsidRPr="00224AE0">
        <w:rPr>
          <w:rStyle w:val="CharPartText"/>
        </w:rPr>
        <w:t xml:space="preserve"> </w:t>
      </w:r>
    </w:p>
    <w:p w:rsidR="00715914" w:rsidRPr="00224AE0" w:rsidRDefault="00715914" w:rsidP="00715914">
      <w:pPr>
        <w:pStyle w:val="Header"/>
        <w:tabs>
          <w:tab w:val="clear" w:pos="4150"/>
          <w:tab w:val="clear" w:pos="8307"/>
        </w:tabs>
      </w:pPr>
      <w:r w:rsidRPr="00224AE0">
        <w:rPr>
          <w:rStyle w:val="CharDivNo"/>
        </w:rPr>
        <w:t xml:space="preserve"> </w:t>
      </w:r>
      <w:r w:rsidRPr="00224AE0">
        <w:rPr>
          <w:rStyle w:val="CharDivText"/>
        </w:rPr>
        <w:t xml:space="preserve"> </w:t>
      </w:r>
    </w:p>
    <w:p w:rsidR="00715914" w:rsidRPr="00224AE0" w:rsidRDefault="00715914" w:rsidP="00715914">
      <w:pPr>
        <w:sectPr w:rsidR="00715914" w:rsidRPr="00224AE0" w:rsidSect="00C121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24AE0" w:rsidRDefault="00715914" w:rsidP="00DF599D">
      <w:pPr>
        <w:rPr>
          <w:sz w:val="36"/>
        </w:rPr>
      </w:pPr>
      <w:r w:rsidRPr="00224AE0">
        <w:rPr>
          <w:sz w:val="36"/>
        </w:rPr>
        <w:lastRenderedPageBreak/>
        <w:t>Contents</w:t>
      </w:r>
    </w:p>
    <w:bookmarkStart w:id="2" w:name="BKCheck15B_2"/>
    <w:bookmarkEnd w:id="2"/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fldChar w:fldCharType="begin"/>
      </w:r>
      <w:r w:rsidRPr="00224AE0">
        <w:instrText xml:space="preserve"> TOC \o "1-9" </w:instrText>
      </w:r>
      <w:r w:rsidRPr="00224AE0">
        <w:fldChar w:fldCharType="separate"/>
      </w:r>
      <w:r w:rsidRPr="00224AE0">
        <w:rPr>
          <w:noProof/>
        </w:rPr>
        <w:t>1</w:t>
      </w:r>
      <w:r w:rsidRPr="00224AE0">
        <w:rPr>
          <w:noProof/>
        </w:rPr>
        <w:tab/>
        <w:t>Name of determination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_Toc396137062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2</w:t>
      </w:r>
      <w:r w:rsidRPr="00224AE0">
        <w:rPr>
          <w:noProof/>
        </w:rPr>
        <w:tab/>
        <w:t>Commencement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_Toc396137063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3</w:t>
      </w:r>
      <w:r w:rsidRPr="00224AE0">
        <w:rPr>
          <w:noProof/>
        </w:rPr>
        <w:tab/>
        <w:t>Authority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_Toc396137064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4</w:t>
      </w:r>
      <w:r w:rsidRPr="00224AE0">
        <w:rPr>
          <w:noProof/>
        </w:rPr>
        <w:tab/>
        <w:t>Schedules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_Toc396137065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5</w:t>
      </w:r>
      <w:r w:rsidRPr="00224AE0">
        <w:rPr>
          <w:noProof/>
        </w:rPr>
        <w:tab/>
        <w:t>Definitions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_Toc396137066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6</w:t>
      </w:r>
      <w:r w:rsidRPr="00224AE0">
        <w:rPr>
          <w:noProof/>
        </w:rPr>
        <w:tab/>
        <w:t>Determination of proportion of yearly contribution—Grain Producers Australia Limited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_Toc396137067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1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AE0">
        <w:rPr>
          <w:noProof/>
        </w:rPr>
        <w:t>7</w:t>
      </w:r>
      <w:r w:rsidRPr="00224AE0">
        <w:rPr>
          <w:noProof/>
        </w:rPr>
        <w:tab/>
        <w:t>Determination of proportion of yearly contribution—AUSVEG Limited</w:t>
      </w:r>
      <w:r w:rsidRPr="00224AE0">
        <w:rPr>
          <w:noProof/>
        </w:rPr>
        <w:tab/>
      </w:r>
      <w:r w:rsidRPr="00224AE0">
        <w:rPr>
          <w:noProof/>
        </w:rPr>
        <w:fldChar w:fldCharType="begin"/>
      </w:r>
      <w:r w:rsidRPr="00224AE0">
        <w:rPr>
          <w:noProof/>
        </w:rPr>
        <w:instrText xml:space="preserve"> PAGEREF _Toc396137068 \h </w:instrText>
      </w:r>
      <w:r w:rsidRPr="00224AE0">
        <w:rPr>
          <w:noProof/>
        </w:rPr>
      </w:r>
      <w:r w:rsidRPr="00224AE0">
        <w:rPr>
          <w:noProof/>
        </w:rPr>
        <w:fldChar w:fldCharType="separate"/>
      </w:r>
      <w:r w:rsidR="003B6BFA">
        <w:rPr>
          <w:noProof/>
        </w:rPr>
        <w:t>2</w:t>
      </w:r>
      <w:r w:rsidRPr="00224AE0">
        <w:rPr>
          <w:noProof/>
        </w:rPr>
        <w:fldChar w:fldCharType="end"/>
      </w:r>
    </w:p>
    <w:p w:rsidR="00D325A3" w:rsidRPr="00224AE0" w:rsidRDefault="00D32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4AE0">
        <w:rPr>
          <w:noProof/>
        </w:rPr>
        <w:t>Schedule</w:t>
      </w:r>
      <w:r w:rsidR="00224AE0" w:rsidRPr="00224AE0">
        <w:rPr>
          <w:noProof/>
        </w:rPr>
        <w:t> </w:t>
      </w:r>
      <w:r w:rsidRPr="00224AE0">
        <w:rPr>
          <w:noProof/>
        </w:rPr>
        <w:t>1—Repeals</w:t>
      </w:r>
      <w:r w:rsidRPr="00224AE0">
        <w:rPr>
          <w:b w:val="0"/>
          <w:noProof/>
          <w:sz w:val="18"/>
        </w:rPr>
        <w:tab/>
      </w:r>
      <w:r w:rsidRPr="00224AE0">
        <w:rPr>
          <w:b w:val="0"/>
          <w:noProof/>
          <w:sz w:val="18"/>
        </w:rPr>
        <w:fldChar w:fldCharType="begin"/>
      </w:r>
      <w:r w:rsidRPr="00224AE0">
        <w:rPr>
          <w:b w:val="0"/>
          <w:noProof/>
          <w:sz w:val="18"/>
        </w:rPr>
        <w:instrText xml:space="preserve"> PAGEREF _Toc396137069 \h </w:instrText>
      </w:r>
      <w:r w:rsidRPr="00224AE0">
        <w:rPr>
          <w:b w:val="0"/>
          <w:noProof/>
          <w:sz w:val="18"/>
        </w:rPr>
      </w:r>
      <w:r w:rsidRPr="00224AE0">
        <w:rPr>
          <w:b w:val="0"/>
          <w:noProof/>
          <w:sz w:val="18"/>
        </w:rPr>
        <w:fldChar w:fldCharType="separate"/>
      </w:r>
      <w:r w:rsidR="003B6BFA">
        <w:rPr>
          <w:b w:val="0"/>
          <w:noProof/>
          <w:sz w:val="18"/>
        </w:rPr>
        <w:t>3</w:t>
      </w:r>
      <w:r w:rsidRPr="00224AE0">
        <w:rPr>
          <w:b w:val="0"/>
          <w:noProof/>
          <w:sz w:val="18"/>
        </w:rPr>
        <w:fldChar w:fldCharType="end"/>
      </w:r>
    </w:p>
    <w:p w:rsidR="00D325A3" w:rsidRPr="00224AE0" w:rsidRDefault="00D32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4AE0">
        <w:rPr>
          <w:noProof/>
        </w:rPr>
        <w:t>Plant Health Australia (Plant Industries) Funding Determination</w:t>
      </w:r>
      <w:r w:rsidR="00224AE0" w:rsidRPr="00224AE0">
        <w:rPr>
          <w:noProof/>
        </w:rPr>
        <w:t> </w:t>
      </w:r>
      <w:r w:rsidRPr="00224AE0">
        <w:rPr>
          <w:noProof/>
        </w:rPr>
        <w:t>2013</w:t>
      </w:r>
      <w:r w:rsidRPr="00224AE0">
        <w:rPr>
          <w:i w:val="0"/>
          <w:noProof/>
          <w:sz w:val="18"/>
        </w:rPr>
        <w:tab/>
      </w:r>
      <w:r w:rsidRPr="00224AE0">
        <w:rPr>
          <w:i w:val="0"/>
          <w:noProof/>
          <w:sz w:val="18"/>
        </w:rPr>
        <w:fldChar w:fldCharType="begin"/>
      </w:r>
      <w:r w:rsidRPr="00224AE0">
        <w:rPr>
          <w:i w:val="0"/>
          <w:noProof/>
          <w:sz w:val="18"/>
        </w:rPr>
        <w:instrText xml:space="preserve"> PAGEREF _Toc396137070 \h </w:instrText>
      </w:r>
      <w:r w:rsidRPr="00224AE0">
        <w:rPr>
          <w:i w:val="0"/>
          <w:noProof/>
          <w:sz w:val="18"/>
        </w:rPr>
      </w:r>
      <w:r w:rsidRPr="00224AE0">
        <w:rPr>
          <w:i w:val="0"/>
          <w:noProof/>
          <w:sz w:val="18"/>
        </w:rPr>
        <w:fldChar w:fldCharType="separate"/>
      </w:r>
      <w:r w:rsidR="003B6BFA">
        <w:rPr>
          <w:i w:val="0"/>
          <w:noProof/>
          <w:sz w:val="18"/>
        </w:rPr>
        <w:t>3</w:t>
      </w:r>
      <w:r w:rsidRPr="00224AE0">
        <w:rPr>
          <w:i w:val="0"/>
          <w:noProof/>
          <w:sz w:val="18"/>
        </w:rPr>
        <w:fldChar w:fldCharType="end"/>
      </w:r>
    </w:p>
    <w:p w:rsidR="00670EA1" w:rsidRPr="00224AE0" w:rsidRDefault="00D325A3" w:rsidP="00715914">
      <w:r w:rsidRPr="00224AE0">
        <w:fldChar w:fldCharType="end"/>
      </w:r>
    </w:p>
    <w:p w:rsidR="00670EA1" w:rsidRPr="00224AE0" w:rsidRDefault="00670EA1" w:rsidP="00715914">
      <w:pPr>
        <w:sectPr w:rsidR="00670EA1" w:rsidRPr="00224AE0" w:rsidSect="00C121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24AE0" w:rsidRDefault="00715914" w:rsidP="00715914">
      <w:pPr>
        <w:pStyle w:val="ActHead5"/>
      </w:pPr>
      <w:bookmarkStart w:id="3" w:name="_Toc396137062"/>
      <w:r w:rsidRPr="00224AE0">
        <w:rPr>
          <w:rStyle w:val="CharSectno"/>
        </w:rPr>
        <w:lastRenderedPageBreak/>
        <w:t>1</w:t>
      </w:r>
      <w:r w:rsidRPr="00224AE0">
        <w:t xml:space="preserve">  </w:t>
      </w:r>
      <w:r w:rsidR="00CE493D" w:rsidRPr="00224AE0">
        <w:t xml:space="preserve">Name of </w:t>
      </w:r>
      <w:r w:rsidR="00721FAC" w:rsidRPr="00224AE0">
        <w:t>determination</w:t>
      </w:r>
      <w:bookmarkEnd w:id="3"/>
    </w:p>
    <w:p w:rsidR="00715914" w:rsidRPr="00224AE0" w:rsidRDefault="00715914" w:rsidP="00715914">
      <w:pPr>
        <w:pStyle w:val="subsection"/>
      </w:pPr>
      <w:r w:rsidRPr="00224AE0">
        <w:tab/>
      </w:r>
      <w:r w:rsidRPr="00224AE0">
        <w:tab/>
        <w:t xml:space="preserve">This </w:t>
      </w:r>
      <w:r w:rsidR="00721FAC" w:rsidRPr="00224AE0">
        <w:t>determination</w:t>
      </w:r>
      <w:r w:rsidRPr="00224AE0">
        <w:t xml:space="preserve"> </w:t>
      </w:r>
      <w:r w:rsidR="00CE493D" w:rsidRPr="00224AE0">
        <w:t xml:space="preserve">is the </w:t>
      </w:r>
      <w:bookmarkStart w:id="4" w:name="BKCheck15B_3"/>
      <w:bookmarkEnd w:id="4"/>
      <w:r w:rsidR="00BC76AC" w:rsidRPr="00224AE0">
        <w:rPr>
          <w:i/>
        </w:rPr>
        <w:fldChar w:fldCharType="begin"/>
      </w:r>
      <w:r w:rsidR="00BC76AC" w:rsidRPr="00224AE0">
        <w:rPr>
          <w:i/>
        </w:rPr>
        <w:instrText xml:space="preserve"> STYLEREF  ShortT </w:instrText>
      </w:r>
      <w:r w:rsidR="00BC76AC" w:rsidRPr="00224AE0">
        <w:rPr>
          <w:i/>
        </w:rPr>
        <w:fldChar w:fldCharType="separate"/>
      </w:r>
      <w:r w:rsidR="003B6BFA">
        <w:rPr>
          <w:i/>
          <w:noProof/>
        </w:rPr>
        <w:t>Plant Health Australia (Plant Industries) Funding Determination 2014</w:t>
      </w:r>
      <w:r w:rsidR="00BC76AC" w:rsidRPr="00224AE0">
        <w:rPr>
          <w:i/>
        </w:rPr>
        <w:fldChar w:fldCharType="end"/>
      </w:r>
      <w:r w:rsidRPr="00224AE0">
        <w:t>.</w:t>
      </w:r>
    </w:p>
    <w:p w:rsidR="00715914" w:rsidRPr="00224AE0" w:rsidRDefault="00715914" w:rsidP="00715914">
      <w:pPr>
        <w:pStyle w:val="ActHead5"/>
      </w:pPr>
      <w:bookmarkStart w:id="5" w:name="_Toc396137063"/>
      <w:r w:rsidRPr="00224AE0">
        <w:rPr>
          <w:rStyle w:val="CharSectno"/>
        </w:rPr>
        <w:t>2</w:t>
      </w:r>
      <w:r w:rsidRPr="00224AE0">
        <w:t xml:space="preserve">  Commencement</w:t>
      </w:r>
      <w:bookmarkEnd w:id="5"/>
    </w:p>
    <w:p w:rsidR="007E163D" w:rsidRPr="00224AE0" w:rsidRDefault="00CE493D" w:rsidP="00CE493D">
      <w:pPr>
        <w:pStyle w:val="subsection"/>
      </w:pPr>
      <w:r w:rsidRPr="00224AE0">
        <w:tab/>
      </w:r>
      <w:r w:rsidRPr="00224AE0">
        <w:tab/>
        <w:t xml:space="preserve">This </w:t>
      </w:r>
      <w:r w:rsidR="00721FAC" w:rsidRPr="00224AE0">
        <w:t>determination</w:t>
      </w:r>
      <w:r w:rsidRPr="00224AE0">
        <w:t xml:space="preserve"> commences on the </w:t>
      </w:r>
      <w:r w:rsidR="00721FAC" w:rsidRPr="00224AE0">
        <w:t>day after it is registered</w:t>
      </w:r>
      <w:r w:rsidRPr="00224AE0">
        <w:t>.</w:t>
      </w:r>
    </w:p>
    <w:p w:rsidR="007500C8" w:rsidRPr="00224AE0" w:rsidRDefault="007500C8" w:rsidP="007500C8">
      <w:pPr>
        <w:pStyle w:val="ActHead5"/>
      </w:pPr>
      <w:bookmarkStart w:id="6" w:name="_Toc396137064"/>
      <w:r w:rsidRPr="00224AE0">
        <w:rPr>
          <w:rStyle w:val="CharSectno"/>
        </w:rPr>
        <w:t>3</w:t>
      </w:r>
      <w:r w:rsidRPr="00224AE0">
        <w:t xml:space="preserve">  Authority</w:t>
      </w:r>
      <w:bookmarkEnd w:id="6"/>
    </w:p>
    <w:p w:rsidR="00157B8B" w:rsidRPr="00224AE0" w:rsidRDefault="007500C8" w:rsidP="007E667A">
      <w:pPr>
        <w:pStyle w:val="subsection"/>
      </w:pPr>
      <w:r w:rsidRPr="00224AE0">
        <w:tab/>
      </w:r>
      <w:r w:rsidRPr="00224AE0">
        <w:tab/>
        <w:t xml:space="preserve">This </w:t>
      </w:r>
      <w:r w:rsidR="00721FAC" w:rsidRPr="00224AE0">
        <w:t>determination</w:t>
      </w:r>
      <w:r w:rsidRPr="00224AE0">
        <w:t xml:space="preserve"> is made under </w:t>
      </w:r>
      <w:r w:rsidR="00D64E10" w:rsidRPr="00224AE0">
        <w:t>subsection</w:t>
      </w:r>
      <w:r w:rsidR="00224AE0" w:rsidRPr="00224AE0">
        <w:t> </w:t>
      </w:r>
      <w:r w:rsidR="00D64E10" w:rsidRPr="00224AE0">
        <w:t xml:space="preserve">10(3) of the </w:t>
      </w:r>
      <w:r w:rsidR="00721FAC" w:rsidRPr="00224AE0">
        <w:rPr>
          <w:i/>
        </w:rPr>
        <w:t>Plant Health Australia (Plant Industries) Funding Act 2002</w:t>
      </w:r>
      <w:r w:rsidR="00F4350D" w:rsidRPr="00224AE0">
        <w:t>.</w:t>
      </w:r>
    </w:p>
    <w:p w:rsidR="0091037F" w:rsidRPr="00224AE0" w:rsidRDefault="0091037F" w:rsidP="0091037F">
      <w:pPr>
        <w:pStyle w:val="ActHead5"/>
      </w:pPr>
      <w:bookmarkStart w:id="7" w:name="_Toc396137065"/>
      <w:r w:rsidRPr="00224AE0">
        <w:rPr>
          <w:rStyle w:val="CharSectno"/>
        </w:rPr>
        <w:t>4</w:t>
      </w:r>
      <w:r w:rsidRPr="00224AE0">
        <w:t xml:space="preserve">  Schedules</w:t>
      </w:r>
      <w:bookmarkEnd w:id="7"/>
    </w:p>
    <w:p w:rsidR="0091037F" w:rsidRPr="00224AE0" w:rsidRDefault="0091037F" w:rsidP="0091037F">
      <w:pPr>
        <w:pStyle w:val="subsection"/>
      </w:pPr>
      <w:r w:rsidRPr="00224AE0">
        <w:tab/>
      </w:r>
      <w:r w:rsidRPr="00224AE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1037F" w:rsidRPr="00224AE0" w:rsidRDefault="0091037F" w:rsidP="0091037F">
      <w:pPr>
        <w:pStyle w:val="ActHead5"/>
      </w:pPr>
      <w:bookmarkStart w:id="8" w:name="_Toc396137066"/>
      <w:r w:rsidRPr="00224AE0">
        <w:rPr>
          <w:rStyle w:val="CharSectno"/>
        </w:rPr>
        <w:t>5</w:t>
      </w:r>
      <w:r w:rsidRPr="00224AE0">
        <w:t xml:space="preserve">  Definitions</w:t>
      </w:r>
      <w:bookmarkEnd w:id="8"/>
    </w:p>
    <w:p w:rsidR="006136EE" w:rsidRPr="00224AE0" w:rsidRDefault="006136EE" w:rsidP="006136EE">
      <w:pPr>
        <w:pStyle w:val="notetext"/>
      </w:pPr>
      <w:r w:rsidRPr="00224AE0">
        <w:t>Note:</w:t>
      </w:r>
      <w:r w:rsidRPr="00224AE0">
        <w:tab/>
        <w:t>A number of expressions used in this determination are defined in the Act, including the following:</w:t>
      </w:r>
    </w:p>
    <w:p w:rsidR="006136EE" w:rsidRPr="00224AE0" w:rsidRDefault="006136EE" w:rsidP="006136EE">
      <w:pPr>
        <w:pStyle w:val="notepara"/>
      </w:pPr>
      <w:r w:rsidRPr="00224AE0">
        <w:t>(a)</w:t>
      </w:r>
      <w:r w:rsidRPr="00224AE0">
        <w:tab/>
      </w:r>
      <w:proofErr w:type="spellStart"/>
      <w:r w:rsidRPr="00224AE0">
        <w:t>PHA</w:t>
      </w:r>
      <w:proofErr w:type="spellEnd"/>
      <w:r w:rsidRPr="00224AE0">
        <w:t xml:space="preserve"> plant product;</w:t>
      </w:r>
    </w:p>
    <w:p w:rsidR="006136EE" w:rsidRPr="00224AE0" w:rsidRDefault="006136EE" w:rsidP="006136EE">
      <w:pPr>
        <w:pStyle w:val="notepara"/>
      </w:pPr>
      <w:r w:rsidRPr="00224AE0">
        <w:t>(b)</w:t>
      </w:r>
      <w:r w:rsidRPr="00224AE0">
        <w:tab/>
      </w:r>
      <w:proofErr w:type="spellStart"/>
      <w:r w:rsidRPr="00224AE0">
        <w:t>PHA</w:t>
      </w:r>
      <w:proofErr w:type="spellEnd"/>
      <w:r w:rsidRPr="00224AE0">
        <w:t xml:space="preserve"> year;</w:t>
      </w:r>
    </w:p>
    <w:p w:rsidR="006136EE" w:rsidRPr="00224AE0" w:rsidRDefault="006136EE" w:rsidP="006136EE">
      <w:pPr>
        <w:pStyle w:val="notepara"/>
      </w:pPr>
      <w:r w:rsidRPr="00224AE0">
        <w:t>(c)</w:t>
      </w:r>
      <w:r w:rsidRPr="00224AE0">
        <w:tab/>
        <w:t>yearly contribution.</w:t>
      </w:r>
    </w:p>
    <w:p w:rsidR="0091037F" w:rsidRPr="00224AE0" w:rsidRDefault="0091037F" w:rsidP="0091037F">
      <w:pPr>
        <w:pStyle w:val="subsection"/>
      </w:pPr>
      <w:r w:rsidRPr="00224AE0">
        <w:tab/>
      </w:r>
      <w:r w:rsidRPr="00224AE0">
        <w:tab/>
        <w:t>In this determination:</w:t>
      </w:r>
    </w:p>
    <w:p w:rsidR="0091037F" w:rsidRPr="00224AE0" w:rsidRDefault="0091037F" w:rsidP="0091037F">
      <w:pPr>
        <w:pStyle w:val="Definition"/>
      </w:pPr>
      <w:r w:rsidRPr="00224AE0">
        <w:rPr>
          <w:b/>
          <w:i/>
        </w:rPr>
        <w:t>Act</w:t>
      </w:r>
      <w:r w:rsidRPr="00224AE0">
        <w:t xml:space="preserve"> means the </w:t>
      </w:r>
      <w:r w:rsidRPr="00224AE0">
        <w:rPr>
          <w:i/>
        </w:rPr>
        <w:t>Plant Health Australia (Plant Industries) Funding Act 2002</w:t>
      </w:r>
      <w:r w:rsidRPr="00224AE0">
        <w:t>.</w:t>
      </w:r>
    </w:p>
    <w:p w:rsidR="0091037F" w:rsidRPr="00224AE0" w:rsidRDefault="0091037F" w:rsidP="0091037F">
      <w:pPr>
        <w:pStyle w:val="ActHead5"/>
      </w:pPr>
      <w:bookmarkStart w:id="9" w:name="_Toc396137067"/>
      <w:r w:rsidRPr="00224AE0">
        <w:rPr>
          <w:rStyle w:val="CharSectno"/>
        </w:rPr>
        <w:t>6</w:t>
      </w:r>
      <w:r w:rsidRPr="00224AE0">
        <w:t xml:space="preserve">  Determination of proportion of yearly contribution—Grain Producers Australia Limited</w:t>
      </w:r>
      <w:bookmarkEnd w:id="9"/>
    </w:p>
    <w:p w:rsidR="0091037F" w:rsidRPr="00224AE0" w:rsidRDefault="0091037F" w:rsidP="0091037F">
      <w:pPr>
        <w:pStyle w:val="subsection"/>
      </w:pPr>
      <w:r w:rsidRPr="00224AE0">
        <w:tab/>
        <w:t>(1)</w:t>
      </w:r>
      <w:r w:rsidRPr="00224AE0">
        <w:tab/>
        <w:t xml:space="preserve">This section applies to the yearly contribution for Grain Producers Australia Limited for the </w:t>
      </w:r>
      <w:proofErr w:type="spellStart"/>
      <w:r w:rsidRPr="00224AE0">
        <w:t>PHA</w:t>
      </w:r>
      <w:proofErr w:type="spellEnd"/>
      <w:r w:rsidRPr="00224AE0">
        <w:t xml:space="preserve"> year that commenced on 1</w:t>
      </w:r>
      <w:r w:rsidR="00224AE0" w:rsidRPr="00224AE0">
        <w:t> </w:t>
      </w:r>
      <w:r w:rsidRPr="00224AE0">
        <w:t>July 2014.</w:t>
      </w:r>
    </w:p>
    <w:p w:rsidR="0091037F" w:rsidRPr="00224AE0" w:rsidRDefault="0091037F" w:rsidP="0091037F">
      <w:pPr>
        <w:pStyle w:val="subsection"/>
      </w:pPr>
      <w:r w:rsidRPr="00224AE0">
        <w:tab/>
        <w:t>(2)</w:t>
      </w:r>
      <w:r w:rsidRPr="00224AE0">
        <w:tab/>
        <w:t xml:space="preserve">The proportion of the yearly contribution that relates to a </w:t>
      </w:r>
      <w:proofErr w:type="spellStart"/>
      <w:r w:rsidRPr="00224AE0">
        <w:t>PHA</w:t>
      </w:r>
      <w:proofErr w:type="spellEnd"/>
      <w:r w:rsidRPr="00224AE0">
        <w:t xml:space="preserve"> plant product mentioned in column 1 of an item in the following table is the proportion mentioned in column 2 of the item.</w:t>
      </w:r>
    </w:p>
    <w:p w:rsidR="0091037F" w:rsidRPr="00224AE0" w:rsidRDefault="0091037F" w:rsidP="0091037F">
      <w:pPr>
        <w:pStyle w:val="Tabletext"/>
      </w:pPr>
    </w:p>
    <w:tbl>
      <w:tblPr>
        <w:tblW w:w="0" w:type="auto"/>
        <w:tblInd w:w="127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975"/>
        <w:gridCol w:w="4539"/>
      </w:tblGrid>
      <w:tr w:rsidR="0091037F" w:rsidRPr="00224AE0" w:rsidTr="00DF599D">
        <w:trPr>
          <w:tblHeader/>
        </w:trPr>
        <w:tc>
          <w:tcPr>
            <w:tcW w:w="719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Proportion of yearly contribution—Grain Producers Australia Limited</w:t>
            </w:r>
          </w:p>
        </w:tc>
      </w:tr>
      <w:tr w:rsidR="0091037F" w:rsidRPr="00224AE0" w:rsidTr="00DF599D">
        <w:trPr>
          <w:tblHeader/>
        </w:trPr>
        <w:tc>
          <w:tcPr>
            <w:tcW w:w="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Column 1</w:t>
            </w:r>
          </w:p>
        </w:tc>
        <w:tc>
          <w:tcPr>
            <w:tcW w:w="4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  <w:jc w:val="right"/>
            </w:pPr>
            <w:r w:rsidRPr="00224AE0">
              <w:t>Column 2</w:t>
            </w:r>
          </w:p>
        </w:tc>
      </w:tr>
      <w:tr w:rsidR="0091037F" w:rsidRPr="00224AE0" w:rsidTr="00DF599D">
        <w:trPr>
          <w:tblHeader/>
        </w:trPr>
        <w:tc>
          <w:tcPr>
            <w:tcW w:w="6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Item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proofErr w:type="spellStart"/>
            <w:r w:rsidRPr="00224AE0">
              <w:t>PHA</w:t>
            </w:r>
            <w:proofErr w:type="spellEnd"/>
            <w:r w:rsidRPr="00224AE0">
              <w:t xml:space="preserve"> plant product</w:t>
            </w:r>
          </w:p>
        </w:tc>
        <w:tc>
          <w:tcPr>
            <w:tcW w:w="45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  <w:jc w:val="right"/>
            </w:pPr>
            <w:r w:rsidRPr="00224AE0">
              <w:t>Proportion of yearly contribution (%)</w:t>
            </w:r>
          </w:p>
        </w:tc>
      </w:tr>
      <w:tr w:rsidR="0091037F" w:rsidRPr="00224AE0" w:rsidTr="00DF599D"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Barley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13.655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Canary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0.012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3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Canola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18.064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4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Cereal rye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0.053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5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Chickpeas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3.643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lastRenderedPageBreak/>
              <w:t>6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Cowpeas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0.010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7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proofErr w:type="spellStart"/>
            <w:r w:rsidRPr="00224AE0">
              <w:t>Faba</w:t>
            </w:r>
            <w:proofErr w:type="spellEnd"/>
            <w:r w:rsidRPr="00224AE0">
              <w:t xml:space="preserve"> beans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1.004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8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Field peas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0.636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9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Grain maize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0.680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10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Grain millets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0.061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11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Grain sorghum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3.393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12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Lentils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1.288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13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Linseed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0.029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14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Lupins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1.572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15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proofErr w:type="spellStart"/>
            <w:r w:rsidRPr="00224AE0">
              <w:t>Mung</w:t>
            </w:r>
            <w:proofErr w:type="spellEnd"/>
            <w:r w:rsidRPr="00224AE0">
              <w:t xml:space="preserve"> beans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0.387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16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Navy beans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0.019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17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Oats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1.010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18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Peanuts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0.222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19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Pigeon peas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0.010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20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Safflower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0.021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21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Soybean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0.241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22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Sunflower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0.633</w:t>
            </w:r>
          </w:p>
        </w:tc>
      </w:tr>
      <w:tr w:rsidR="0091037F" w:rsidRPr="00224AE0" w:rsidTr="00DF599D">
        <w:tc>
          <w:tcPr>
            <w:tcW w:w="681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23</w:t>
            </w:r>
          </w:p>
        </w:tc>
        <w:tc>
          <w:tcPr>
            <w:tcW w:w="1975" w:type="dxa"/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Triticale</w:t>
            </w:r>
          </w:p>
        </w:tc>
        <w:tc>
          <w:tcPr>
            <w:tcW w:w="4539" w:type="dxa"/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0.208</w:t>
            </w:r>
          </w:p>
        </w:tc>
      </w:tr>
      <w:tr w:rsidR="0091037F" w:rsidRPr="00224AE0" w:rsidTr="00DF599D"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24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Vetch</w:t>
            </w:r>
          </w:p>
        </w:tc>
        <w:tc>
          <w:tcPr>
            <w:tcW w:w="4539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0.023</w:t>
            </w:r>
          </w:p>
        </w:tc>
      </w:tr>
      <w:tr w:rsidR="0091037F" w:rsidRPr="00224AE0" w:rsidTr="00DF599D"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25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Wheat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53.126</w:t>
            </w:r>
          </w:p>
        </w:tc>
      </w:tr>
    </w:tbl>
    <w:p w:rsidR="0091037F" w:rsidRPr="00224AE0" w:rsidRDefault="0091037F" w:rsidP="0091037F">
      <w:pPr>
        <w:pStyle w:val="ActHead5"/>
      </w:pPr>
      <w:bookmarkStart w:id="10" w:name="_Toc396137068"/>
      <w:r w:rsidRPr="00224AE0">
        <w:rPr>
          <w:rStyle w:val="CharSectno"/>
        </w:rPr>
        <w:t>7</w:t>
      </w:r>
      <w:r w:rsidRPr="00224AE0">
        <w:t xml:space="preserve">  Determination of proportion of yearly contribution—</w:t>
      </w:r>
      <w:proofErr w:type="spellStart"/>
      <w:r w:rsidRPr="00224AE0">
        <w:t>AUSVEG</w:t>
      </w:r>
      <w:proofErr w:type="spellEnd"/>
      <w:r w:rsidRPr="00224AE0">
        <w:t xml:space="preserve"> Limited</w:t>
      </w:r>
      <w:bookmarkEnd w:id="10"/>
    </w:p>
    <w:p w:rsidR="0091037F" w:rsidRPr="00224AE0" w:rsidRDefault="0091037F" w:rsidP="0091037F">
      <w:pPr>
        <w:pStyle w:val="subsection"/>
      </w:pPr>
      <w:r w:rsidRPr="00224AE0">
        <w:tab/>
        <w:t>(1)</w:t>
      </w:r>
      <w:r w:rsidRPr="00224AE0">
        <w:tab/>
        <w:t xml:space="preserve">This section applies to the yearly contribution for </w:t>
      </w:r>
      <w:proofErr w:type="spellStart"/>
      <w:r w:rsidRPr="00224AE0">
        <w:t>AUSVEG</w:t>
      </w:r>
      <w:proofErr w:type="spellEnd"/>
      <w:r w:rsidRPr="00224AE0">
        <w:t xml:space="preserve"> Limited for the </w:t>
      </w:r>
      <w:proofErr w:type="spellStart"/>
      <w:r w:rsidRPr="00224AE0">
        <w:t>PHA</w:t>
      </w:r>
      <w:proofErr w:type="spellEnd"/>
      <w:r w:rsidRPr="00224AE0">
        <w:t xml:space="preserve"> year that commenced on 1</w:t>
      </w:r>
      <w:r w:rsidR="00224AE0" w:rsidRPr="00224AE0">
        <w:t> </w:t>
      </w:r>
      <w:r w:rsidRPr="00224AE0">
        <w:t>July 2014.</w:t>
      </w:r>
    </w:p>
    <w:p w:rsidR="0091037F" w:rsidRPr="00224AE0" w:rsidRDefault="0091037F" w:rsidP="0091037F">
      <w:pPr>
        <w:pStyle w:val="subsection"/>
      </w:pPr>
      <w:r w:rsidRPr="00224AE0">
        <w:tab/>
        <w:t>(2)</w:t>
      </w:r>
      <w:r w:rsidRPr="00224AE0">
        <w:tab/>
        <w:t xml:space="preserve">The proportion of the yearly contribution that relates to a </w:t>
      </w:r>
      <w:proofErr w:type="spellStart"/>
      <w:r w:rsidRPr="00224AE0">
        <w:t>PHA</w:t>
      </w:r>
      <w:proofErr w:type="spellEnd"/>
      <w:r w:rsidRPr="00224AE0">
        <w:t xml:space="preserve"> plant product mentioned in column 1 of an item in the following table is the proportion mentioned in column 2 of the item.</w:t>
      </w:r>
    </w:p>
    <w:p w:rsidR="0091037F" w:rsidRPr="00224AE0" w:rsidRDefault="0091037F" w:rsidP="0091037F">
      <w:pPr>
        <w:pStyle w:val="Tabletext"/>
      </w:pP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885"/>
      </w:tblGrid>
      <w:tr w:rsidR="0091037F" w:rsidRPr="00224AE0" w:rsidTr="00DF599D">
        <w:trPr>
          <w:tblHeader/>
        </w:trPr>
        <w:tc>
          <w:tcPr>
            <w:tcW w:w="728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Proportion of yearly contribution—</w:t>
            </w:r>
            <w:proofErr w:type="spellStart"/>
            <w:r w:rsidRPr="00224AE0">
              <w:t>AUSVEG</w:t>
            </w:r>
            <w:proofErr w:type="spellEnd"/>
            <w:r w:rsidRPr="00224AE0">
              <w:t xml:space="preserve"> Limited</w:t>
            </w:r>
          </w:p>
        </w:tc>
      </w:tr>
      <w:tr w:rsidR="0091037F" w:rsidRPr="00224AE0" w:rsidTr="00DF599D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Column 1</w:t>
            </w:r>
          </w:p>
        </w:tc>
        <w:tc>
          <w:tcPr>
            <w:tcW w:w="38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  <w:jc w:val="right"/>
            </w:pPr>
            <w:r w:rsidRPr="00224AE0">
              <w:t>Column 2</w:t>
            </w:r>
          </w:p>
        </w:tc>
      </w:tr>
      <w:tr w:rsidR="0091037F" w:rsidRPr="00224AE0" w:rsidTr="00DF599D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r w:rsidRPr="00224AE0"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</w:pPr>
            <w:proofErr w:type="spellStart"/>
            <w:r w:rsidRPr="00224AE0">
              <w:t>PHA</w:t>
            </w:r>
            <w:proofErr w:type="spellEnd"/>
            <w:r w:rsidRPr="00224AE0">
              <w:t xml:space="preserve"> plant product</w:t>
            </w:r>
          </w:p>
        </w:tc>
        <w:tc>
          <w:tcPr>
            <w:tcW w:w="38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Heading"/>
              <w:jc w:val="right"/>
            </w:pPr>
            <w:r w:rsidRPr="00224AE0">
              <w:t>Proportion of yearly contribution (%)</w:t>
            </w:r>
          </w:p>
        </w:tc>
      </w:tr>
      <w:tr w:rsidR="0091037F" w:rsidRPr="00224AE0" w:rsidTr="00DF599D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Vegetables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85</w:t>
            </w:r>
          </w:p>
        </w:tc>
      </w:tr>
      <w:tr w:rsidR="0091037F" w:rsidRPr="00224AE0" w:rsidTr="00DF599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Unprocessed potatoes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10</w:t>
            </w:r>
          </w:p>
        </w:tc>
      </w:tr>
      <w:tr w:rsidR="0091037F" w:rsidRPr="00224AE0" w:rsidTr="00DF599D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</w:pPr>
            <w:r w:rsidRPr="00224AE0">
              <w:t>Processing potatoes</w:t>
            </w:r>
          </w:p>
        </w:tc>
        <w:tc>
          <w:tcPr>
            <w:tcW w:w="3885" w:type="dxa"/>
            <w:tcBorders>
              <w:bottom w:val="single" w:sz="12" w:space="0" w:color="auto"/>
            </w:tcBorders>
            <w:shd w:val="clear" w:color="auto" w:fill="auto"/>
          </w:tcPr>
          <w:p w:rsidR="0091037F" w:rsidRPr="00224AE0" w:rsidRDefault="0091037F" w:rsidP="00DF599D">
            <w:pPr>
              <w:pStyle w:val="Tabletext"/>
              <w:jc w:val="right"/>
            </w:pPr>
            <w:r w:rsidRPr="00224AE0">
              <w:t>5</w:t>
            </w:r>
          </w:p>
        </w:tc>
      </w:tr>
    </w:tbl>
    <w:p w:rsidR="0075680C" w:rsidRPr="00224AE0" w:rsidRDefault="0075680C" w:rsidP="00DC109E">
      <w:pPr>
        <w:pStyle w:val="Tabletext"/>
      </w:pPr>
    </w:p>
    <w:p w:rsidR="00DC109E" w:rsidRPr="00224AE0" w:rsidRDefault="00DC109E" w:rsidP="00DC109E">
      <w:pPr>
        <w:sectPr w:rsidR="00DC109E" w:rsidRPr="00224AE0" w:rsidSect="00C1210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91037F" w:rsidRPr="00224AE0" w:rsidRDefault="0091037F" w:rsidP="004E2D08">
      <w:pPr>
        <w:pStyle w:val="ActHead6"/>
        <w:pageBreakBefore/>
      </w:pPr>
      <w:bookmarkStart w:id="11" w:name="_Toc396137069"/>
      <w:bookmarkStart w:id="12" w:name="opcAmSched"/>
      <w:bookmarkStart w:id="13" w:name="opcCurrentFind"/>
      <w:r w:rsidRPr="00224AE0">
        <w:rPr>
          <w:rStyle w:val="CharAmSchNo"/>
        </w:rPr>
        <w:lastRenderedPageBreak/>
        <w:t>Schedule</w:t>
      </w:r>
      <w:r w:rsidR="00224AE0" w:rsidRPr="00224AE0">
        <w:rPr>
          <w:rStyle w:val="CharAmSchNo"/>
        </w:rPr>
        <w:t> </w:t>
      </w:r>
      <w:r w:rsidRPr="00224AE0">
        <w:rPr>
          <w:rStyle w:val="CharAmSchNo"/>
        </w:rPr>
        <w:t>1</w:t>
      </w:r>
      <w:r w:rsidRPr="00224AE0">
        <w:t>—</w:t>
      </w:r>
      <w:r w:rsidRPr="00224AE0">
        <w:rPr>
          <w:rStyle w:val="CharAmSchText"/>
        </w:rPr>
        <w:t>Repeals</w:t>
      </w:r>
      <w:bookmarkEnd w:id="11"/>
    </w:p>
    <w:bookmarkEnd w:id="12"/>
    <w:bookmarkEnd w:id="13"/>
    <w:p w:rsidR="0091037F" w:rsidRPr="00224AE0" w:rsidRDefault="0091037F" w:rsidP="00DF599D">
      <w:pPr>
        <w:pStyle w:val="Header"/>
      </w:pPr>
      <w:r w:rsidRPr="00224AE0">
        <w:rPr>
          <w:rStyle w:val="CharAmPartNo"/>
        </w:rPr>
        <w:t xml:space="preserve"> </w:t>
      </w:r>
      <w:r w:rsidRPr="00224AE0">
        <w:rPr>
          <w:rStyle w:val="CharAmPartText"/>
        </w:rPr>
        <w:t xml:space="preserve"> </w:t>
      </w:r>
    </w:p>
    <w:p w:rsidR="0091037F" w:rsidRPr="00224AE0" w:rsidRDefault="0091037F" w:rsidP="0091037F">
      <w:pPr>
        <w:pStyle w:val="ActHead9"/>
      </w:pPr>
      <w:bookmarkStart w:id="14" w:name="_Toc396137070"/>
      <w:r w:rsidRPr="00224AE0">
        <w:t>Plant Health Australia (Plant Industries) Funding Determination</w:t>
      </w:r>
      <w:r w:rsidR="00224AE0" w:rsidRPr="00224AE0">
        <w:t> </w:t>
      </w:r>
      <w:r w:rsidRPr="00224AE0">
        <w:t>2013</w:t>
      </w:r>
      <w:bookmarkEnd w:id="14"/>
    </w:p>
    <w:p w:rsidR="0091037F" w:rsidRPr="00224AE0" w:rsidRDefault="0091037F" w:rsidP="0091037F">
      <w:pPr>
        <w:pStyle w:val="ItemHead"/>
      </w:pPr>
      <w:r w:rsidRPr="00224AE0">
        <w:t>1  The whole of the determination</w:t>
      </w:r>
    </w:p>
    <w:p w:rsidR="0091037F" w:rsidRPr="00224AE0" w:rsidRDefault="0091037F" w:rsidP="0091037F">
      <w:pPr>
        <w:pStyle w:val="Item"/>
      </w:pPr>
      <w:r w:rsidRPr="00224AE0">
        <w:t>Repeal the determination.</w:t>
      </w:r>
    </w:p>
    <w:p w:rsidR="0091037F" w:rsidRPr="00224AE0" w:rsidRDefault="0091037F" w:rsidP="00DF599D"/>
    <w:p w:rsidR="00461928" w:rsidRPr="00224AE0" w:rsidRDefault="00461928" w:rsidP="00DF599D">
      <w:pPr>
        <w:sectPr w:rsidR="00461928" w:rsidRPr="00224AE0" w:rsidSect="00C1210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91037F" w:rsidRPr="00224AE0" w:rsidRDefault="0091037F" w:rsidP="00461928">
      <w:pPr>
        <w:rPr>
          <w:b/>
          <w:i/>
        </w:rPr>
      </w:pPr>
    </w:p>
    <w:sectPr w:rsidR="0091037F" w:rsidRPr="00224AE0" w:rsidSect="00C1210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D" w:rsidRDefault="00DF599D" w:rsidP="00715914">
      <w:pPr>
        <w:spacing w:line="240" w:lineRule="auto"/>
      </w:pPr>
      <w:r>
        <w:separator/>
      </w:r>
    </w:p>
  </w:endnote>
  <w:endnote w:type="continuationSeparator" w:id="0">
    <w:p w:rsidR="00DF599D" w:rsidRDefault="00DF59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01" w:rsidRPr="00C12101" w:rsidRDefault="00C12101" w:rsidP="00C12101">
    <w:pPr>
      <w:pStyle w:val="Footer"/>
      <w:rPr>
        <w:i/>
        <w:sz w:val="18"/>
      </w:rPr>
    </w:pPr>
    <w:r w:rsidRPr="00C12101">
      <w:rPr>
        <w:i/>
        <w:sz w:val="18"/>
      </w:rPr>
      <w:t>OPC60802 -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A41F52" w:rsidRDefault="00DF599D" w:rsidP="00DF599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99D" w:rsidTr="00DF59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599D" w:rsidRPr="00A41F52" w:rsidRDefault="00C12101" w:rsidP="00C12101">
    <w:pPr>
      <w:rPr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E33C1C" w:rsidRDefault="00DF599D" w:rsidP="00DF599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99D" w:rsidTr="00DF59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599D" w:rsidRPr="00ED79B6" w:rsidRDefault="00DF599D" w:rsidP="00DF599D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C12101" w:rsidRDefault="00DF599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99D" w:rsidRPr="00C12101" w:rsidTr="00224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PAGE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noProof/>
              <w:sz w:val="18"/>
            </w:rPr>
            <w:t>3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DOCPROPERTY ShortT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sz w:val="18"/>
            </w:rPr>
            <w:t>Plant Health Australia (Plant Industries) Funding Determination 2014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F599D" w:rsidRPr="00C12101" w:rsidRDefault="00C12101" w:rsidP="00C12101">
    <w:pPr>
      <w:rPr>
        <w:rFonts w:cs="Times New Roman"/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E33C1C" w:rsidRDefault="00DF599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99D" w:rsidTr="00DF59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599D" w:rsidRPr="00ED79B6" w:rsidRDefault="00C12101" w:rsidP="00C12101">
    <w:pPr>
      <w:rPr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E33C1C" w:rsidRDefault="00DF599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99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Default="00DF599D" w:rsidP="00DF59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599D" w:rsidRPr="00ED79B6" w:rsidRDefault="00DF599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Default="00961AFF" w:rsidP="00961AFF">
    <w:pPr>
      <w:pStyle w:val="Footer"/>
    </w:pPr>
  </w:p>
  <w:p w:rsidR="00961AFF" w:rsidRPr="007500C8" w:rsidRDefault="00C12101" w:rsidP="00C12101">
    <w:pPr>
      <w:pStyle w:val="Footer"/>
    </w:pPr>
    <w:r w:rsidRPr="00C12101">
      <w:rPr>
        <w:i/>
        <w:sz w:val="18"/>
      </w:rPr>
      <w:t>OPC60802 -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D79B6" w:rsidRDefault="00961AFF" w:rsidP="00961A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C12101" w:rsidRDefault="00961AFF" w:rsidP="00961AF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1AFF" w:rsidRPr="00C12101" w:rsidTr="00224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PAGE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noProof/>
              <w:sz w:val="18"/>
            </w:rPr>
            <w:t>iii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DOCPROPERTY ShortT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sz w:val="18"/>
            </w:rPr>
            <w:t>Plant Health Australia (Plant Industries) Funding Determination 2014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61AFF" w:rsidRPr="00C12101" w:rsidRDefault="00C12101" w:rsidP="00C12101">
    <w:pPr>
      <w:rPr>
        <w:rFonts w:cs="Times New Roman"/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33C1C" w:rsidRDefault="00961AFF" w:rsidP="00961A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61AFF" w:rsidTr="006F37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1AFF" w:rsidRPr="00ED79B6" w:rsidRDefault="00C12101" w:rsidP="00C12101">
    <w:pPr>
      <w:rPr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C12101" w:rsidRDefault="00961AFF" w:rsidP="00961AF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1AFF" w:rsidRPr="00C12101" w:rsidTr="00224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PAGE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noProof/>
              <w:sz w:val="18"/>
            </w:rPr>
            <w:t>2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DOCPROPERTY ShortT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sz w:val="18"/>
            </w:rPr>
            <w:t>Plant Health Australia (Plant Industries) Funding Determination 2014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61AFF" w:rsidRPr="00C12101" w:rsidRDefault="00961AFF" w:rsidP="006F379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61AFF" w:rsidRPr="00C12101" w:rsidRDefault="00C12101" w:rsidP="00C12101">
    <w:pPr>
      <w:rPr>
        <w:rFonts w:cs="Times New Roman"/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33C1C" w:rsidRDefault="00961AFF" w:rsidP="00961A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1AFF" w:rsidTr="006F37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1AFF" w:rsidRPr="00ED79B6" w:rsidRDefault="00C12101" w:rsidP="00C12101">
    <w:pPr>
      <w:rPr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33C1C" w:rsidRDefault="00961AFF" w:rsidP="00961AF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1AFF" w:rsidTr="006F37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6BFA">
            <w:rPr>
              <w:i/>
              <w:sz w:val="18"/>
            </w:rPr>
            <w:t>Plant Health Australia (Plant Industries) Funding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1AFF" w:rsidRDefault="00961AFF" w:rsidP="006F3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6B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1AFF" w:rsidRPr="00ED79B6" w:rsidRDefault="00961AFF" w:rsidP="00961AFF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C12101" w:rsidRDefault="00DF599D" w:rsidP="00DF599D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99D" w:rsidRPr="00C12101" w:rsidTr="00224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PAGE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noProof/>
              <w:sz w:val="18"/>
            </w:rPr>
            <w:t>3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2101">
            <w:rPr>
              <w:rFonts w:cs="Times New Roman"/>
              <w:i/>
              <w:sz w:val="18"/>
            </w:rPr>
            <w:fldChar w:fldCharType="begin"/>
          </w:r>
          <w:r w:rsidRPr="00C12101">
            <w:rPr>
              <w:rFonts w:cs="Times New Roman"/>
              <w:i/>
              <w:sz w:val="18"/>
            </w:rPr>
            <w:instrText xml:space="preserve"> DOCPROPERTY ShortT </w:instrText>
          </w:r>
          <w:r w:rsidRPr="00C12101">
            <w:rPr>
              <w:rFonts w:cs="Times New Roman"/>
              <w:i/>
              <w:sz w:val="18"/>
            </w:rPr>
            <w:fldChar w:fldCharType="separate"/>
          </w:r>
          <w:r w:rsidR="003B6BFA">
            <w:rPr>
              <w:rFonts w:cs="Times New Roman"/>
              <w:i/>
              <w:sz w:val="18"/>
            </w:rPr>
            <w:t>Plant Health Australia (Plant Industries) Funding Determination 2014</w:t>
          </w:r>
          <w:r w:rsidRPr="00C121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599D" w:rsidRPr="00C12101" w:rsidRDefault="00DF599D" w:rsidP="00DF59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F599D" w:rsidRPr="00C12101" w:rsidRDefault="00C12101" w:rsidP="00C12101">
    <w:pPr>
      <w:rPr>
        <w:rFonts w:cs="Times New Roman"/>
        <w:i/>
        <w:sz w:val="18"/>
      </w:rPr>
    </w:pPr>
    <w:r w:rsidRPr="00C12101">
      <w:rPr>
        <w:rFonts w:cs="Times New Roman"/>
        <w:i/>
        <w:sz w:val="18"/>
      </w:rPr>
      <w:t>OPC60802 -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D" w:rsidRDefault="00DF599D" w:rsidP="00715914">
      <w:pPr>
        <w:spacing w:line="240" w:lineRule="auto"/>
      </w:pPr>
      <w:r>
        <w:separator/>
      </w:r>
    </w:p>
  </w:footnote>
  <w:footnote w:type="continuationSeparator" w:id="0">
    <w:p w:rsidR="00DF599D" w:rsidRDefault="00DF59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5F1388" w:rsidRDefault="00961AFF" w:rsidP="00961AF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Default="00DF59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6BF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6BFA">
      <w:rPr>
        <w:noProof/>
        <w:sz w:val="20"/>
      </w:rPr>
      <w:t>Repeals</w:t>
    </w:r>
    <w:r>
      <w:rPr>
        <w:sz w:val="20"/>
      </w:rPr>
      <w:fldChar w:fldCharType="end"/>
    </w:r>
  </w:p>
  <w:p w:rsidR="00DF599D" w:rsidRDefault="00DF59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F599D" w:rsidRDefault="00DF599D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Default="00DF599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6BF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6BF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F599D" w:rsidRDefault="00DF599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F599D" w:rsidRDefault="00DF599D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Default="00DF599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Default="00DF59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F599D" w:rsidRDefault="00DF59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F599D" w:rsidRPr="007A1328" w:rsidRDefault="00DF599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F599D" w:rsidRPr="007A1328" w:rsidRDefault="00DF599D" w:rsidP="00715914">
    <w:pPr>
      <w:rPr>
        <w:b/>
        <w:sz w:val="24"/>
      </w:rPr>
    </w:pPr>
  </w:p>
  <w:p w:rsidR="00DF599D" w:rsidRPr="007A1328" w:rsidRDefault="00DF599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6BF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6BF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7A1328" w:rsidRDefault="00DF59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F599D" w:rsidRPr="007A1328" w:rsidRDefault="00DF59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F599D" w:rsidRPr="007A1328" w:rsidRDefault="00DF59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F599D" w:rsidRPr="007A1328" w:rsidRDefault="00DF599D" w:rsidP="00715914">
    <w:pPr>
      <w:jc w:val="right"/>
      <w:rPr>
        <w:b/>
        <w:sz w:val="24"/>
      </w:rPr>
    </w:pPr>
  </w:p>
  <w:p w:rsidR="00DF599D" w:rsidRPr="007A1328" w:rsidRDefault="00DF599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6BF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6BF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D" w:rsidRPr="007A1328" w:rsidRDefault="00DF599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5F1388" w:rsidRDefault="00961AFF" w:rsidP="00961AF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5F1388" w:rsidRDefault="00961AFF" w:rsidP="00961AF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D79B6" w:rsidRDefault="00961AFF" w:rsidP="00961AF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D79B6" w:rsidRDefault="00961AFF" w:rsidP="00961AF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ED79B6" w:rsidRDefault="00961AFF" w:rsidP="00961AF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Default="00961AFF" w:rsidP="00961AF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61AFF" w:rsidRDefault="00961AFF" w:rsidP="00961AF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61AFF" w:rsidRPr="007A1328" w:rsidRDefault="00961AFF" w:rsidP="00961AF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61AFF" w:rsidRPr="007A1328" w:rsidRDefault="00961AFF" w:rsidP="00961AFF">
    <w:pPr>
      <w:rPr>
        <w:b/>
        <w:sz w:val="24"/>
      </w:rPr>
    </w:pPr>
  </w:p>
  <w:p w:rsidR="00961AFF" w:rsidRPr="007A1328" w:rsidRDefault="00961AFF" w:rsidP="00961AF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6BF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6BF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7A1328" w:rsidRDefault="00961AFF" w:rsidP="00961AF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61AFF" w:rsidRPr="007A1328" w:rsidRDefault="00961AFF" w:rsidP="00961AF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61AFF" w:rsidRPr="007A1328" w:rsidRDefault="00961AFF" w:rsidP="00961AF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61AFF" w:rsidRPr="007A1328" w:rsidRDefault="00961AFF" w:rsidP="00961AFF">
    <w:pPr>
      <w:jc w:val="right"/>
      <w:rPr>
        <w:b/>
        <w:sz w:val="24"/>
      </w:rPr>
    </w:pPr>
  </w:p>
  <w:p w:rsidR="00961AFF" w:rsidRPr="007A1328" w:rsidRDefault="00961AFF" w:rsidP="00961A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6BF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6BF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F" w:rsidRPr="007A1328" w:rsidRDefault="00961AFF" w:rsidP="00961A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AC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0FEF"/>
    <w:rsid w:val="00142B62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4AE0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6BA6"/>
    <w:rsid w:val="003B6BFA"/>
    <w:rsid w:val="003C6231"/>
    <w:rsid w:val="003D0BFE"/>
    <w:rsid w:val="003D5700"/>
    <w:rsid w:val="003E341B"/>
    <w:rsid w:val="003F28D0"/>
    <w:rsid w:val="004116CD"/>
    <w:rsid w:val="004144EC"/>
    <w:rsid w:val="00417EB9"/>
    <w:rsid w:val="00424CA9"/>
    <w:rsid w:val="00431E9B"/>
    <w:rsid w:val="004379E3"/>
    <w:rsid w:val="0044015E"/>
    <w:rsid w:val="00441F59"/>
    <w:rsid w:val="0044291A"/>
    <w:rsid w:val="00444ABD"/>
    <w:rsid w:val="00461928"/>
    <w:rsid w:val="00467661"/>
    <w:rsid w:val="004705B7"/>
    <w:rsid w:val="00472DBE"/>
    <w:rsid w:val="00474A19"/>
    <w:rsid w:val="00496F97"/>
    <w:rsid w:val="004E063A"/>
    <w:rsid w:val="004E2D08"/>
    <w:rsid w:val="004E7BEC"/>
    <w:rsid w:val="00505D3D"/>
    <w:rsid w:val="00506AF6"/>
    <w:rsid w:val="00516B8D"/>
    <w:rsid w:val="00537FBC"/>
    <w:rsid w:val="00546838"/>
    <w:rsid w:val="005574D1"/>
    <w:rsid w:val="00584811"/>
    <w:rsid w:val="00585784"/>
    <w:rsid w:val="00593AA6"/>
    <w:rsid w:val="00594161"/>
    <w:rsid w:val="00594749"/>
    <w:rsid w:val="005B4067"/>
    <w:rsid w:val="005C3F41"/>
    <w:rsid w:val="005C518B"/>
    <w:rsid w:val="005D2D09"/>
    <w:rsid w:val="00600219"/>
    <w:rsid w:val="00603DC4"/>
    <w:rsid w:val="006136EE"/>
    <w:rsid w:val="00620076"/>
    <w:rsid w:val="00670EA1"/>
    <w:rsid w:val="00677CC2"/>
    <w:rsid w:val="006905DE"/>
    <w:rsid w:val="0069207B"/>
    <w:rsid w:val="006B5789"/>
    <w:rsid w:val="006C30C5"/>
    <w:rsid w:val="006C7C7E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FAC"/>
    <w:rsid w:val="00731E00"/>
    <w:rsid w:val="007440B7"/>
    <w:rsid w:val="007500C8"/>
    <w:rsid w:val="00756272"/>
    <w:rsid w:val="0075680C"/>
    <w:rsid w:val="0076681A"/>
    <w:rsid w:val="007715C9"/>
    <w:rsid w:val="00771613"/>
    <w:rsid w:val="00774EDD"/>
    <w:rsid w:val="007757EC"/>
    <w:rsid w:val="00783E89"/>
    <w:rsid w:val="00793915"/>
    <w:rsid w:val="007A340D"/>
    <w:rsid w:val="007C2253"/>
    <w:rsid w:val="007E163D"/>
    <w:rsid w:val="007E667A"/>
    <w:rsid w:val="007F28C9"/>
    <w:rsid w:val="00803587"/>
    <w:rsid w:val="008117E9"/>
    <w:rsid w:val="00824498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037F"/>
    <w:rsid w:val="00913618"/>
    <w:rsid w:val="00915DF9"/>
    <w:rsid w:val="009254C3"/>
    <w:rsid w:val="00932377"/>
    <w:rsid w:val="0093288B"/>
    <w:rsid w:val="00947D5A"/>
    <w:rsid w:val="009532A5"/>
    <w:rsid w:val="00961AFF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87C1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7DD2"/>
    <w:rsid w:val="00B63834"/>
    <w:rsid w:val="00B6389A"/>
    <w:rsid w:val="00B72734"/>
    <w:rsid w:val="00B80199"/>
    <w:rsid w:val="00B83204"/>
    <w:rsid w:val="00BA220B"/>
    <w:rsid w:val="00BA3A57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2101"/>
    <w:rsid w:val="00C25E7F"/>
    <w:rsid w:val="00C2746F"/>
    <w:rsid w:val="00C324A0"/>
    <w:rsid w:val="00C3300F"/>
    <w:rsid w:val="00C40057"/>
    <w:rsid w:val="00C42BF8"/>
    <w:rsid w:val="00C50043"/>
    <w:rsid w:val="00C7573B"/>
    <w:rsid w:val="00C82E71"/>
    <w:rsid w:val="00C93C03"/>
    <w:rsid w:val="00CB2C8E"/>
    <w:rsid w:val="00CB602E"/>
    <w:rsid w:val="00CE051D"/>
    <w:rsid w:val="00CE1335"/>
    <w:rsid w:val="00CE31DC"/>
    <w:rsid w:val="00CE493D"/>
    <w:rsid w:val="00CF07FA"/>
    <w:rsid w:val="00CF0BB2"/>
    <w:rsid w:val="00CF3EE8"/>
    <w:rsid w:val="00D050E6"/>
    <w:rsid w:val="00D13441"/>
    <w:rsid w:val="00D150E7"/>
    <w:rsid w:val="00D325A3"/>
    <w:rsid w:val="00D32F65"/>
    <w:rsid w:val="00D52DC2"/>
    <w:rsid w:val="00D53BCC"/>
    <w:rsid w:val="00D64E10"/>
    <w:rsid w:val="00D70DFB"/>
    <w:rsid w:val="00D766DF"/>
    <w:rsid w:val="00DA186E"/>
    <w:rsid w:val="00DA4116"/>
    <w:rsid w:val="00DB251C"/>
    <w:rsid w:val="00DB4630"/>
    <w:rsid w:val="00DC109E"/>
    <w:rsid w:val="00DC4F88"/>
    <w:rsid w:val="00DF599D"/>
    <w:rsid w:val="00E05704"/>
    <w:rsid w:val="00E11E44"/>
    <w:rsid w:val="00E338EF"/>
    <w:rsid w:val="00E544BB"/>
    <w:rsid w:val="00E662CB"/>
    <w:rsid w:val="00E74DC7"/>
    <w:rsid w:val="00E8075A"/>
    <w:rsid w:val="00E80AAB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1580"/>
    <w:rsid w:val="00F9379C"/>
    <w:rsid w:val="00F9632C"/>
    <w:rsid w:val="00FA1E52"/>
    <w:rsid w:val="00FE46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4A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3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037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3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3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3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4AE0"/>
  </w:style>
  <w:style w:type="paragraph" w:customStyle="1" w:styleId="OPCParaBase">
    <w:name w:val="OPCParaBase"/>
    <w:qFormat/>
    <w:rsid w:val="00224A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4A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4A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4A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4A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4A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4A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4A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4A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4A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4A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4AE0"/>
  </w:style>
  <w:style w:type="paragraph" w:customStyle="1" w:styleId="Blocks">
    <w:name w:val="Blocks"/>
    <w:aliases w:val="bb"/>
    <w:basedOn w:val="OPCParaBase"/>
    <w:qFormat/>
    <w:rsid w:val="00224A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4A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4AE0"/>
    <w:rPr>
      <w:i/>
    </w:rPr>
  </w:style>
  <w:style w:type="paragraph" w:customStyle="1" w:styleId="BoxList">
    <w:name w:val="BoxList"/>
    <w:aliases w:val="bl"/>
    <w:basedOn w:val="BoxText"/>
    <w:qFormat/>
    <w:rsid w:val="00224A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4A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4A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4AE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4AE0"/>
  </w:style>
  <w:style w:type="character" w:customStyle="1" w:styleId="CharAmPartText">
    <w:name w:val="CharAmPartText"/>
    <w:basedOn w:val="OPCCharBase"/>
    <w:uiPriority w:val="1"/>
    <w:qFormat/>
    <w:rsid w:val="00224AE0"/>
  </w:style>
  <w:style w:type="character" w:customStyle="1" w:styleId="CharAmSchNo">
    <w:name w:val="CharAmSchNo"/>
    <w:basedOn w:val="OPCCharBase"/>
    <w:uiPriority w:val="1"/>
    <w:qFormat/>
    <w:rsid w:val="00224AE0"/>
  </w:style>
  <w:style w:type="character" w:customStyle="1" w:styleId="CharAmSchText">
    <w:name w:val="CharAmSchText"/>
    <w:basedOn w:val="OPCCharBase"/>
    <w:uiPriority w:val="1"/>
    <w:qFormat/>
    <w:rsid w:val="00224AE0"/>
  </w:style>
  <w:style w:type="character" w:customStyle="1" w:styleId="CharBoldItalic">
    <w:name w:val="CharBoldItalic"/>
    <w:basedOn w:val="OPCCharBase"/>
    <w:uiPriority w:val="1"/>
    <w:qFormat/>
    <w:rsid w:val="00224AE0"/>
    <w:rPr>
      <w:b/>
      <w:i/>
    </w:rPr>
  </w:style>
  <w:style w:type="character" w:customStyle="1" w:styleId="CharChapNo">
    <w:name w:val="CharChapNo"/>
    <w:basedOn w:val="OPCCharBase"/>
    <w:qFormat/>
    <w:rsid w:val="00224AE0"/>
  </w:style>
  <w:style w:type="character" w:customStyle="1" w:styleId="CharChapText">
    <w:name w:val="CharChapText"/>
    <w:basedOn w:val="OPCCharBase"/>
    <w:qFormat/>
    <w:rsid w:val="00224AE0"/>
  </w:style>
  <w:style w:type="character" w:customStyle="1" w:styleId="CharDivNo">
    <w:name w:val="CharDivNo"/>
    <w:basedOn w:val="OPCCharBase"/>
    <w:qFormat/>
    <w:rsid w:val="00224AE0"/>
  </w:style>
  <w:style w:type="character" w:customStyle="1" w:styleId="CharDivText">
    <w:name w:val="CharDivText"/>
    <w:basedOn w:val="OPCCharBase"/>
    <w:qFormat/>
    <w:rsid w:val="00224AE0"/>
  </w:style>
  <w:style w:type="character" w:customStyle="1" w:styleId="CharItalic">
    <w:name w:val="CharItalic"/>
    <w:basedOn w:val="OPCCharBase"/>
    <w:uiPriority w:val="1"/>
    <w:qFormat/>
    <w:rsid w:val="00224AE0"/>
    <w:rPr>
      <w:i/>
    </w:rPr>
  </w:style>
  <w:style w:type="character" w:customStyle="1" w:styleId="CharPartNo">
    <w:name w:val="CharPartNo"/>
    <w:basedOn w:val="OPCCharBase"/>
    <w:qFormat/>
    <w:rsid w:val="00224AE0"/>
  </w:style>
  <w:style w:type="character" w:customStyle="1" w:styleId="CharPartText">
    <w:name w:val="CharPartText"/>
    <w:basedOn w:val="OPCCharBase"/>
    <w:qFormat/>
    <w:rsid w:val="00224AE0"/>
  </w:style>
  <w:style w:type="character" w:customStyle="1" w:styleId="CharSectno">
    <w:name w:val="CharSectno"/>
    <w:basedOn w:val="OPCCharBase"/>
    <w:qFormat/>
    <w:rsid w:val="00224AE0"/>
  </w:style>
  <w:style w:type="character" w:customStyle="1" w:styleId="CharSubdNo">
    <w:name w:val="CharSubdNo"/>
    <w:basedOn w:val="OPCCharBase"/>
    <w:uiPriority w:val="1"/>
    <w:qFormat/>
    <w:rsid w:val="00224AE0"/>
  </w:style>
  <w:style w:type="character" w:customStyle="1" w:styleId="CharSubdText">
    <w:name w:val="CharSubdText"/>
    <w:basedOn w:val="OPCCharBase"/>
    <w:uiPriority w:val="1"/>
    <w:qFormat/>
    <w:rsid w:val="00224AE0"/>
  </w:style>
  <w:style w:type="paragraph" w:customStyle="1" w:styleId="CTA--">
    <w:name w:val="CTA --"/>
    <w:basedOn w:val="OPCParaBase"/>
    <w:next w:val="Normal"/>
    <w:rsid w:val="00224A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4A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4A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4A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4A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4A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4A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4A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4A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4A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4A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4A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4A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4A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4A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4AE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4A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4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4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4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4A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4A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4A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4A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4A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4A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4A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4A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4A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4A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4A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4A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4A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4A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4A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4A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4A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4A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4A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4A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4A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4A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4A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4A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4A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4A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4A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4A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4A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4A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4A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4A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4A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4A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4A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4A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24A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4A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4AE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4AE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4A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4A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4A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4A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4A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4A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4A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4A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4AE0"/>
    <w:rPr>
      <w:sz w:val="16"/>
    </w:rPr>
  </w:style>
  <w:style w:type="table" w:customStyle="1" w:styleId="CFlag">
    <w:name w:val="CFlag"/>
    <w:basedOn w:val="TableNormal"/>
    <w:uiPriority w:val="99"/>
    <w:rsid w:val="00224AE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4A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4A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4A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4A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4AE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4AE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4AE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4AE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4A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4A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4A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4A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4A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4A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4A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4A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4A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4A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4A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4A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4AE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4AE0"/>
  </w:style>
  <w:style w:type="character" w:customStyle="1" w:styleId="CharSubPartNoCASA">
    <w:name w:val="CharSubPartNo(CASA)"/>
    <w:basedOn w:val="OPCCharBase"/>
    <w:uiPriority w:val="1"/>
    <w:rsid w:val="00224AE0"/>
  </w:style>
  <w:style w:type="paragraph" w:customStyle="1" w:styleId="ENoteTTIndentHeadingSub">
    <w:name w:val="ENoteTTIndentHeadingSub"/>
    <w:aliases w:val="enTTHis"/>
    <w:basedOn w:val="OPCParaBase"/>
    <w:rsid w:val="00224A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4A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4A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4A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24A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4AE0"/>
    <w:rPr>
      <w:sz w:val="22"/>
    </w:rPr>
  </w:style>
  <w:style w:type="paragraph" w:customStyle="1" w:styleId="SOTextNote">
    <w:name w:val="SO TextNote"/>
    <w:aliases w:val="sont"/>
    <w:basedOn w:val="SOText"/>
    <w:qFormat/>
    <w:rsid w:val="00224A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4A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4AE0"/>
    <w:rPr>
      <w:sz w:val="22"/>
    </w:rPr>
  </w:style>
  <w:style w:type="paragraph" w:customStyle="1" w:styleId="FileName">
    <w:name w:val="FileName"/>
    <w:basedOn w:val="Normal"/>
    <w:rsid w:val="00224AE0"/>
  </w:style>
  <w:style w:type="paragraph" w:customStyle="1" w:styleId="TableHeading">
    <w:name w:val="TableHeading"/>
    <w:aliases w:val="th"/>
    <w:basedOn w:val="OPCParaBase"/>
    <w:next w:val="Tabletext"/>
    <w:rsid w:val="00224A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4A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4A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4A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4A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4A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4A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4A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4A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4AE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037F"/>
    <w:rPr>
      <w:rFonts w:eastAsia="Times New Roman" w:cs="Times New Roman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91037F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0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3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3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3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3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3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3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4A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3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037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3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3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3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4AE0"/>
  </w:style>
  <w:style w:type="paragraph" w:customStyle="1" w:styleId="OPCParaBase">
    <w:name w:val="OPCParaBase"/>
    <w:qFormat/>
    <w:rsid w:val="00224A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4A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4A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4A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4A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4A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4A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4A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4A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4A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4A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4AE0"/>
  </w:style>
  <w:style w:type="paragraph" w:customStyle="1" w:styleId="Blocks">
    <w:name w:val="Blocks"/>
    <w:aliases w:val="bb"/>
    <w:basedOn w:val="OPCParaBase"/>
    <w:qFormat/>
    <w:rsid w:val="00224A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4A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4AE0"/>
    <w:rPr>
      <w:i/>
    </w:rPr>
  </w:style>
  <w:style w:type="paragraph" w:customStyle="1" w:styleId="BoxList">
    <w:name w:val="BoxList"/>
    <w:aliases w:val="bl"/>
    <w:basedOn w:val="BoxText"/>
    <w:qFormat/>
    <w:rsid w:val="00224A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4A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4A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4AE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4AE0"/>
  </w:style>
  <w:style w:type="character" w:customStyle="1" w:styleId="CharAmPartText">
    <w:name w:val="CharAmPartText"/>
    <w:basedOn w:val="OPCCharBase"/>
    <w:uiPriority w:val="1"/>
    <w:qFormat/>
    <w:rsid w:val="00224AE0"/>
  </w:style>
  <w:style w:type="character" w:customStyle="1" w:styleId="CharAmSchNo">
    <w:name w:val="CharAmSchNo"/>
    <w:basedOn w:val="OPCCharBase"/>
    <w:uiPriority w:val="1"/>
    <w:qFormat/>
    <w:rsid w:val="00224AE0"/>
  </w:style>
  <w:style w:type="character" w:customStyle="1" w:styleId="CharAmSchText">
    <w:name w:val="CharAmSchText"/>
    <w:basedOn w:val="OPCCharBase"/>
    <w:uiPriority w:val="1"/>
    <w:qFormat/>
    <w:rsid w:val="00224AE0"/>
  </w:style>
  <w:style w:type="character" w:customStyle="1" w:styleId="CharBoldItalic">
    <w:name w:val="CharBoldItalic"/>
    <w:basedOn w:val="OPCCharBase"/>
    <w:uiPriority w:val="1"/>
    <w:qFormat/>
    <w:rsid w:val="00224AE0"/>
    <w:rPr>
      <w:b/>
      <w:i/>
    </w:rPr>
  </w:style>
  <w:style w:type="character" w:customStyle="1" w:styleId="CharChapNo">
    <w:name w:val="CharChapNo"/>
    <w:basedOn w:val="OPCCharBase"/>
    <w:qFormat/>
    <w:rsid w:val="00224AE0"/>
  </w:style>
  <w:style w:type="character" w:customStyle="1" w:styleId="CharChapText">
    <w:name w:val="CharChapText"/>
    <w:basedOn w:val="OPCCharBase"/>
    <w:qFormat/>
    <w:rsid w:val="00224AE0"/>
  </w:style>
  <w:style w:type="character" w:customStyle="1" w:styleId="CharDivNo">
    <w:name w:val="CharDivNo"/>
    <w:basedOn w:val="OPCCharBase"/>
    <w:qFormat/>
    <w:rsid w:val="00224AE0"/>
  </w:style>
  <w:style w:type="character" w:customStyle="1" w:styleId="CharDivText">
    <w:name w:val="CharDivText"/>
    <w:basedOn w:val="OPCCharBase"/>
    <w:qFormat/>
    <w:rsid w:val="00224AE0"/>
  </w:style>
  <w:style w:type="character" w:customStyle="1" w:styleId="CharItalic">
    <w:name w:val="CharItalic"/>
    <w:basedOn w:val="OPCCharBase"/>
    <w:uiPriority w:val="1"/>
    <w:qFormat/>
    <w:rsid w:val="00224AE0"/>
    <w:rPr>
      <w:i/>
    </w:rPr>
  </w:style>
  <w:style w:type="character" w:customStyle="1" w:styleId="CharPartNo">
    <w:name w:val="CharPartNo"/>
    <w:basedOn w:val="OPCCharBase"/>
    <w:qFormat/>
    <w:rsid w:val="00224AE0"/>
  </w:style>
  <w:style w:type="character" w:customStyle="1" w:styleId="CharPartText">
    <w:name w:val="CharPartText"/>
    <w:basedOn w:val="OPCCharBase"/>
    <w:qFormat/>
    <w:rsid w:val="00224AE0"/>
  </w:style>
  <w:style w:type="character" w:customStyle="1" w:styleId="CharSectno">
    <w:name w:val="CharSectno"/>
    <w:basedOn w:val="OPCCharBase"/>
    <w:qFormat/>
    <w:rsid w:val="00224AE0"/>
  </w:style>
  <w:style w:type="character" w:customStyle="1" w:styleId="CharSubdNo">
    <w:name w:val="CharSubdNo"/>
    <w:basedOn w:val="OPCCharBase"/>
    <w:uiPriority w:val="1"/>
    <w:qFormat/>
    <w:rsid w:val="00224AE0"/>
  </w:style>
  <w:style w:type="character" w:customStyle="1" w:styleId="CharSubdText">
    <w:name w:val="CharSubdText"/>
    <w:basedOn w:val="OPCCharBase"/>
    <w:uiPriority w:val="1"/>
    <w:qFormat/>
    <w:rsid w:val="00224AE0"/>
  </w:style>
  <w:style w:type="paragraph" w:customStyle="1" w:styleId="CTA--">
    <w:name w:val="CTA --"/>
    <w:basedOn w:val="OPCParaBase"/>
    <w:next w:val="Normal"/>
    <w:rsid w:val="00224A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4A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4A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4A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4A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4A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4A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4A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4A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4A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4A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4A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4A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4A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4A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4AE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4A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4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4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4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4A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4A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4A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4A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4A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4A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4A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4A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4A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4A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4A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4A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4A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4A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4A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4A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4A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4A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4A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4A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4A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4A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4A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4A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4A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4A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4A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4A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4A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4A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4A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4A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4A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4A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4A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4A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24A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4A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4AE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4AE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4AE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4A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4A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4A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4A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4A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4A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4A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4A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4AE0"/>
    <w:rPr>
      <w:sz w:val="16"/>
    </w:rPr>
  </w:style>
  <w:style w:type="table" w:customStyle="1" w:styleId="CFlag">
    <w:name w:val="CFlag"/>
    <w:basedOn w:val="TableNormal"/>
    <w:uiPriority w:val="99"/>
    <w:rsid w:val="00224AE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4A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4A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4A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4A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4AE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4AE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4AE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4AE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4A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4A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4A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4A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4A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4A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4A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4A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4A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4A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4A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4A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4AE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4AE0"/>
  </w:style>
  <w:style w:type="character" w:customStyle="1" w:styleId="CharSubPartNoCASA">
    <w:name w:val="CharSubPartNo(CASA)"/>
    <w:basedOn w:val="OPCCharBase"/>
    <w:uiPriority w:val="1"/>
    <w:rsid w:val="00224AE0"/>
  </w:style>
  <w:style w:type="paragraph" w:customStyle="1" w:styleId="ENoteTTIndentHeadingSub">
    <w:name w:val="ENoteTTIndentHeadingSub"/>
    <w:aliases w:val="enTTHis"/>
    <w:basedOn w:val="OPCParaBase"/>
    <w:rsid w:val="00224A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4A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4A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4A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24A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4AE0"/>
    <w:rPr>
      <w:sz w:val="22"/>
    </w:rPr>
  </w:style>
  <w:style w:type="paragraph" w:customStyle="1" w:styleId="SOTextNote">
    <w:name w:val="SO TextNote"/>
    <w:aliases w:val="sont"/>
    <w:basedOn w:val="SOText"/>
    <w:qFormat/>
    <w:rsid w:val="00224A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4A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4AE0"/>
    <w:rPr>
      <w:sz w:val="22"/>
    </w:rPr>
  </w:style>
  <w:style w:type="paragraph" w:customStyle="1" w:styleId="FileName">
    <w:name w:val="FileName"/>
    <w:basedOn w:val="Normal"/>
    <w:rsid w:val="00224AE0"/>
  </w:style>
  <w:style w:type="paragraph" w:customStyle="1" w:styleId="TableHeading">
    <w:name w:val="TableHeading"/>
    <w:aliases w:val="th"/>
    <w:basedOn w:val="OPCParaBase"/>
    <w:next w:val="Tabletext"/>
    <w:rsid w:val="00224A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4A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4A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4A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4A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4A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4A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4A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4A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4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4AE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037F"/>
    <w:rPr>
      <w:rFonts w:eastAsia="Times New Roman" w:cs="Times New Roman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91037F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0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3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3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3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3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3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3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911A-59B0-4824-A81B-057CCF91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568</Words>
  <Characters>2997</Characters>
  <Application>Microsoft Office Word</Application>
  <DocSecurity>0</DocSecurity>
  <PresentationFormat/>
  <Lines>199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Health Australia (Plant Industries) Funding Determination 2014</vt:lpstr>
    </vt:vector>
  </TitlesOfParts>
  <Manager/>
  <Company/>
  <LinksUpToDate>false</LinksUpToDate>
  <CharactersWithSpaces>3387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2014-08-08T06:10:00Z</cp:lastPrinted>
  <dcterms:created xsi:type="dcterms:W3CDTF">2014-09-05T06:30:00Z</dcterms:created>
  <dcterms:modified xsi:type="dcterms:W3CDTF">2014-09-05T06:31:00Z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Plant Health Australia (Plant Industries) Funding Determination 2014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OPC60802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Plant Health Australia (Plant Industries) Funding Act 2002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 September 2014</vt:lpwstr>
  </property>
</Properties>
</file>