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1747E" w:rsidRDefault="00193461" w:rsidP="0048364F">
      <w:pPr>
        <w:rPr>
          <w:sz w:val="28"/>
        </w:rPr>
      </w:pPr>
      <w:r w:rsidRPr="0011747E">
        <w:rPr>
          <w:noProof/>
          <w:lang w:eastAsia="en-AU"/>
        </w:rPr>
        <w:drawing>
          <wp:inline distT="0" distB="0" distL="0" distR="0" wp14:anchorId="16FB95EF" wp14:editId="4CB3C2D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11747E" w:rsidRDefault="0048364F" w:rsidP="0048364F">
      <w:pPr>
        <w:rPr>
          <w:sz w:val="19"/>
        </w:rPr>
      </w:pPr>
    </w:p>
    <w:p w:rsidR="0048364F" w:rsidRPr="0011747E" w:rsidRDefault="00D06E03" w:rsidP="0048364F">
      <w:pPr>
        <w:pStyle w:val="ShortT"/>
      </w:pPr>
      <w:r w:rsidRPr="0011747E">
        <w:t>Environment Protection and Biodiversity Conservation Amendment (Cost Recovery) Regulation</w:t>
      </w:r>
      <w:r w:rsidR="0011747E" w:rsidRPr="0011747E">
        <w:t> </w:t>
      </w:r>
      <w:r w:rsidRPr="0011747E">
        <w:t>2014</w:t>
      </w:r>
    </w:p>
    <w:p w:rsidR="0048364F" w:rsidRPr="0011747E" w:rsidRDefault="0048364F" w:rsidP="0048364F"/>
    <w:p w:rsidR="0048364F" w:rsidRPr="0011747E" w:rsidRDefault="00A4361F" w:rsidP="00680F17">
      <w:pPr>
        <w:pStyle w:val="InstNo"/>
      </w:pPr>
      <w:r w:rsidRPr="0011747E">
        <w:t>Select Legislative Instrument</w:t>
      </w:r>
      <w:r w:rsidR="00154EAC" w:rsidRPr="0011747E">
        <w:t xml:space="preserve"> </w:t>
      </w:r>
      <w:bookmarkStart w:id="0" w:name="BKCheck15B_1"/>
      <w:bookmarkEnd w:id="0"/>
      <w:r w:rsidR="00D0104A" w:rsidRPr="0011747E">
        <w:fldChar w:fldCharType="begin"/>
      </w:r>
      <w:r w:rsidR="00D0104A" w:rsidRPr="0011747E">
        <w:instrText xml:space="preserve"> DOCPROPERTY  ActNo </w:instrText>
      </w:r>
      <w:r w:rsidR="00D0104A" w:rsidRPr="0011747E">
        <w:fldChar w:fldCharType="separate"/>
      </w:r>
      <w:r w:rsidR="004108FB">
        <w:t>No. 130, 2014</w:t>
      </w:r>
      <w:r w:rsidR="00D0104A" w:rsidRPr="0011747E">
        <w:fldChar w:fldCharType="end"/>
      </w:r>
    </w:p>
    <w:p w:rsidR="001401F2" w:rsidRPr="0011747E" w:rsidRDefault="001401F2" w:rsidP="001401F2">
      <w:pPr>
        <w:pStyle w:val="SignCoverPageStart"/>
        <w:spacing w:before="240"/>
        <w:rPr>
          <w:szCs w:val="22"/>
        </w:rPr>
      </w:pPr>
      <w:r w:rsidRPr="0011747E">
        <w:rPr>
          <w:szCs w:val="22"/>
        </w:rPr>
        <w:t xml:space="preserve">I, General the Honourable Sir Peter Cosgrove AK MC (Ret’d), </w:t>
      </w:r>
      <w:r w:rsidR="0011747E" w:rsidRPr="0011747E">
        <w:rPr>
          <w:szCs w:val="22"/>
        </w:rPr>
        <w:t>Governor</w:t>
      </w:r>
      <w:r w:rsidR="0011747E">
        <w:rPr>
          <w:szCs w:val="22"/>
        </w:rPr>
        <w:noBreakHyphen/>
      </w:r>
      <w:r w:rsidR="0011747E" w:rsidRPr="0011747E">
        <w:rPr>
          <w:szCs w:val="22"/>
        </w:rPr>
        <w:t>General</w:t>
      </w:r>
      <w:r w:rsidRPr="0011747E">
        <w:rPr>
          <w:szCs w:val="22"/>
        </w:rPr>
        <w:t xml:space="preserve"> of the Commonwealth of Australia, acting with the advice of the Federal Executive Council, make the following regulation.</w:t>
      </w:r>
    </w:p>
    <w:p w:rsidR="001401F2" w:rsidRPr="0011747E" w:rsidRDefault="001401F2" w:rsidP="001401F2">
      <w:pPr>
        <w:keepNext/>
        <w:spacing w:before="720" w:line="240" w:lineRule="atLeast"/>
        <w:ind w:right="397"/>
        <w:jc w:val="both"/>
        <w:rPr>
          <w:szCs w:val="22"/>
        </w:rPr>
      </w:pPr>
      <w:r w:rsidRPr="0011747E">
        <w:rPr>
          <w:szCs w:val="22"/>
        </w:rPr>
        <w:t xml:space="preserve">Dated </w:t>
      </w:r>
      <w:bookmarkStart w:id="1" w:name="BKCheck15B_2"/>
      <w:bookmarkEnd w:id="1"/>
      <w:r w:rsidRPr="0011747E">
        <w:rPr>
          <w:szCs w:val="22"/>
        </w:rPr>
        <w:fldChar w:fldCharType="begin"/>
      </w:r>
      <w:r w:rsidRPr="0011747E">
        <w:rPr>
          <w:szCs w:val="22"/>
        </w:rPr>
        <w:instrText xml:space="preserve"> DOCPROPERTY  DateMade </w:instrText>
      </w:r>
      <w:r w:rsidRPr="0011747E">
        <w:rPr>
          <w:szCs w:val="22"/>
        </w:rPr>
        <w:fldChar w:fldCharType="separate"/>
      </w:r>
      <w:r w:rsidR="004108FB">
        <w:rPr>
          <w:szCs w:val="22"/>
        </w:rPr>
        <w:t>04 September 2014</w:t>
      </w:r>
      <w:r w:rsidRPr="0011747E">
        <w:rPr>
          <w:szCs w:val="22"/>
        </w:rPr>
        <w:fldChar w:fldCharType="end"/>
      </w:r>
    </w:p>
    <w:p w:rsidR="001401F2" w:rsidRPr="0011747E" w:rsidRDefault="001401F2" w:rsidP="00BD6F59">
      <w:pPr>
        <w:keepNext/>
        <w:tabs>
          <w:tab w:val="left" w:pos="3402"/>
        </w:tabs>
        <w:spacing w:before="1080" w:line="300" w:lineRule="atLeast"/>
        <w:ind w:left="397" w:right="397"/>
        <w:jc w:val="right"/>
        <w:rPr>
          <w:szCs w:val="22"/>
        </w:rPr>
      </w:pPr>
      <w:r w:rsidRPr="0011747E">
        <w:rPr>
          <w:szCs w:val="22"/>
        </w:rPr>
        <w:t>Peter Cosgrove</w:t>
      </w:r>
    </w:p>
    <w:p w:rsidR="001401F2" w:rsidRPr="0011747E" w:rsidRDefault="0011747E" w:rsidP="001401F2">
      <w:pPr>
        <w:keepNext/>
        <w:tabs>
          <w:tab w:val="left" w:pos="3402"/>
        </w:tabs>
        <w:spacing w:line="300" w:lineRule="atLeast"/>
        <w:ind w:left="397" w:right="397"/>
        <w:jc w:val="right"/>
        <w:rPr>
          <w:szCs w:val="22"/>
        </w:rPr>
      </w:pPr>
      <w:r w:rsidRPr="0011747E">
        <w:rPr>
          <w:szCs w:val="22"/>
        </w:rPr>
        <w:t>Governor</w:t>
      </w:r>
      <w:r>
        <w:rPr>
          <w:szCs w:val="22"/>
        </w:rPr>
        <w:noBreakHyphen/>
      </w:r>
      <w:r w:rsidRPr="0011747E">
        <w:rPr>
          <w:szCs w:val="22"/>
        </w:rPr>
        <w:t>General</w:t>
      </w:r>
    </w:p>
    <w:p w:rsidR="001401F2" w:rsidRPr="0011747E" w:rsidRDefault="001401F2" w:rsidP="001401F2">
      <w:pPr>
        <w:keepNext/>
        <w:tabs>
          <w:tab w:val="left" w:pos="3402"/>
        </w:tabs>
        <w:spacing w:after="800" w:line="300" w:lineRule="atLeast"/>
        <w:ind w:right="397"/>
        <w:rPr>
          <w:szCs w:val="22"/>
        </w:rPr>
      </w:pPr>
      <w:r w:rsidRPr="0011747E">
        <w:rPr>
          <w:szCs w:val="22"/>
        </w:rPr>
        <w:t>By His Excellency’s Command</w:t>
      </w:r>
    </w:p>
    <w:p w:rsidR="001401F2" w:rsidRPr="0011747E" w:rsidRDefault="009B7BE1" w:rsidP="00BD6F59">
      <w:pPr>
        <w:keepNext/>
        <w:tabs>
          <w:tab w:val="left" w:pos="3402"/>
        </w:tabs>
        <w:spacing w:before="1080" w:line="300" w:lineRule="atLeast"/>
        <w:ind w:right="397"/>
        <w:rPr>
          <w:szCs w:val="22"/>
        </w:rPr>
      </w:pPr>
      <w:r w:rsidRPr="0011747E">
        <w:rPr>
          <w:szCs w:val="22"/>
        </w:rPr>
        <w:t>Greg Hunt</w:t>
      </w:r>
    </w:p>
    <w:p w:rsidR="001401F2" w:rsidRPr="0011747E" w:rsidRDefault="001401F2" w:rsidP="001401F2">
      <w:pPr>
        <w:pStyle w:val="SignCoverPageEnd"/>
        <w:rPr>
          <w:szCs w:val="22"/>
        </w:rPr>
      </w:pPr>
      <w:r w:rsidRPr="0011747E">
        <w:rPr>
          <w:szCs w:val="22"/>
        </w:rPr>
        <w:t>Minister for the Environment</w:t>
      </w:r>
    </w:p>
    <w:p w:rsidR="001401F2" w:rsidRPr="0011747E" w:rsidRDefault="001401F2" w:rsidP="001401F2">
      <w:pPr>
        <w:pStyle w:val="Header"/>
        <w:tabs>
          <w:tab w:val="clear" w:pos="4150"/>
          <w:tab w:val="clear" w:pos="8307"/>
        </w:tabs>
      </w:pPr>
      <w:r w:rsidRPr="0011747E">
        <w:rPr>
          <w:rStyle w:val="CharAmSchNo"/>
        </w:rPr>
        <w:t xml:space="preserve"> </w:t>
      </w:r>
      <w:r w:rsidRPr="0011747E">
        <w:rPr>
          <w:rStyle w:val="CharAmSchText"/>
        </w:rPr>
        <w:t xml:space="preserve"> </w:t>
      </w:r>
    </w:p>
    <w:p w:rsidR="0048364F" w:rsidRPr="0011747E" w:rsidRDefault="001401F2" w:rsidP="001401F2">
      <w:pPr>
        <w:pStyle w:val="Header"/>
        <w:tabs>
          <w:tab w:val="clear" w:pos="4150"/>
          <w:tab w:val="clear" w:pos="8307"/>
        </w:tabs>
      </w:pPr>
      <w:r w:rsidRPr="0011747E">
        <w:rPr>
          <w:rStyle w:val="CharAmPartNo"/>
        </w:rPr>
        <w:t xml:space="preserve"> </w:t>
      </w:r>
      <w:r w:rsidRPr="0011747E">
        <w:rPr>
          <w:rStyle w:val="CharAmPartText"/>
        </w:rPr>
        <w:t xml:space="preserve"> </w:t>
      </w:r>
    </w:p>
    <w:p w:rsidR="001401F2" w:rsidRPr="0011747E" w:rsidRDefault="001401F2" w:rsidP="0048364F">
      <w:pPr>
        <w:sectPr w:rsidR="001401F2" w:rsidRPr="0011747E" w:rsidSect="0084426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11747E" w:rsidRDefault="0048364F" w:rsidP="00A47F33">
      <w:pPr>
        <w:rPr>
          <w:sz w:val="36"/>
        </w:rPr>
      </w:pPr>
      <w:r w:rsidRPr="0011747E">
        <w:rPr>
          <w:sz w:val="36"/>
        </w:rPr>
        <w:lastRenderedPageBreak/>
        <w:t>Contents</w:t>
      </w:r>
    </w:p>
    <w:bookmarkStart w:id="2" w:name="BKCheck15B_3"/>
    <w:bookmarkEnd w:id="2"/>
    <w:p w:rsidR="00262565" w:rsidRPr="0011747E" w:rsidRDefault="00262565">
      <w:pPr>
        <w:pStyle w:val="TOC5"/>
        <w:rPr>
          <w:rFonts w:asciiTheme="minorHAnsi" w:eastAsiaTheme="minorEastAsia" w:hAnsiTheme="minorHAnsi" w:cstheme="minorBidi"/>
          <w:noProof/>
          <w:kern w:val="0"/>
          <w:sz w:val="22"/>
          <w:szCs w:val="22"/>
        </w:rPr>
      </w:pPr>
      <w:r w:rsidRPr="0011747E">
        <w:fldChar w:fldCharType="begin"/>
      </w:r>
      <w:r w:rsidRPr="0011747E">
        <w:instrText xml:space="preserve"> TOC \o "1-9" </w:instrText>
      </w:r>
      <w:r w:rsidRPr="0011747E">
        <w:fldChar w:fldCharType="separate"/>
      </w:r>
      <w:r w:rsidRPr="0011747E">
        <w:rPr>
          <w:noProof/>
        </w:rPr>
        <w:t>1</w:t>
      </w:r>
      <w:r w:rsidRPr="0011747E">
        <w:rPr>
          <w:noProof/>
        </w:rPr>
        <w:tab/>
        <w:t>Name of regulation</w:t>
      </w:r>
      <w:r w:rsidRPr="0011747E">
        <w:rPr>
          <w:noProof/>
        </w:rPr>
        <w:tab/>
      </w:r>
      <w:r w:rsidRPr="0011747E">
        <w:rPr>
          <w:noProof/>
        </w:rPr>
        <w:fldChar w:fldCharType="begin"/>
      </w:r>
      <w:r w:rsidRPr="0011747E">
        <w:rPr>
          <w:noProof/>
        </w:rPr>
        <w:instrText xml:space="preserve"> PAGEREF _Toc396376211 \h </w:instrText>
      </w:r>
      <w:r w:rsidRPr="0011747E">
        <w:rPr>
          <w:noProof/>
        </w:rPr>
      </w:r>
      <w:r w:rsidRPr="0011747E">
        <w:rPr>
          <w:noProof/>
        </w:rPr>
        <w:fldChar w:fldCharType="separate"/>
      </w:r>
      <w:r w:rsidR="004108FB">
        <w:rPr>
          <w:noProof/>
        </w:rPr>
        <w:t>1</w:t>
      </w:r>
      <w:r w:rsidRPr="0011747E">
        <w:rPr>
          <w:noProof/>
        </w:rPr>
        <w:fldChar w:fldCharType="end"/>
      </w:r>
    </w:p>
    <w:p w:rsidR="00262565" w:rsidRPr="0011747E" w:rsidRDefault="00262565">
      <w:pPr>
        <w:pStyle w:val="TOC5"/>
        <w:rPr>
          <w:rFonts w:asciiTheme="minorHAnsi" w:eastAsiaTheme="minorEastAsia" w:hAnsiTheme="minorHAnsi" w:cstheme="minorBidi"/>
          <w:noProof/>
          <w:kern w:val="0"/>
          <w:sz w:val="22"/>
          <w:szCs w:val="22"/>
        </w:rPr>
      </w:pPr>
      <w:r w:rsidRPr="0011747E">
        <w:rPr>
          <w:noProof/>
        </w:rPr>
        <w:t>2</w:t>
      </w:r>
      <w:r w:rsidRPr="0011747E">
        <w:rPr>
          <w:noProof/>
        </w:rPr>
        <w:tab/>
        <w:t>Commencement</w:t>
      </w:r>
      <w:r w:rsidRPr="0011747E">
        <w:rPr>
          <w:noProof/>
        </w:rPr>
        <w:tab/>
      </w:r>
      <w:r w:rsidRPr="0011747E">
        <w:rPr>
          <w:noProof/>
        </w:rPr>
        <w:fldChar w:fldCharType="begin"/>
      </w:r>
      <w:r w:rsidRPr="0011747E">
        <w:rPr>
          <w:noProof/>
        </w:rPr>
        <w:instrText xml:space="preserve"> PAGEREF _Toc396376212 \h </w:instrText>
      </w:r>
      <w:r w:rsidRPr="0011747E">
        <w:rPr>
          <w:noProof/>
        </w:rPr>
      </w:r>
      <w:r w:rsidRPr="0011747E">
        <w:rPr>
          <w:noProof/>
        </w:rPr>
        <w:fldChar w:fldCharType="separate"/>
      </w:r>
      <w:r w:rsidR="004108FB">
        <w:rPr>
          <w:noProof/>
        </w:rPr>
        <w:t>1</w:t>
      </w:r>
      <w:r w:rsidRPr="0011747E">
        <w:rPr>
          <w:noProof/>
        </w:rPr>
        <w:fldChar w:fldCharType="end"/>
      </w:r>
    </w:p>
    <w:p w:rsidR="00262565" w:rsidRPr="0011747E" w:rsidRDefault="00262565">
      <w:pPr>
        <w:pStyle w:val="TOC5"/>
        <w:rPr>
          <w:rFonts w:asciiTheme="minorHAnsi" w:eastAsiaTheme="minorEastAsia" w:hAnsiTheme="minorHAnsi" w:cstheme="minorBidi"/>
          <w:noProof/>
          <w:kern w:val="0"/>
          <w:sz w:val="22"/>
          <w:szCs w:val="22"/>
        </w:rPr>
      </w:pPr>
      <w:r w:rsidRPr="0011747E">
        <w:rPr>
          <w:noProof/>
        </w:rPr>
        <w:t>3</w:t>
      </w:r>
      <w:r w:rsidRPr="0011747E">
        <w:rPr>
          <w:noProof/>
        </w:rPr>
        <w:tab/>
        <w:t>Authority</w:t>
      </w:r>
      <w:r w:rsidRPr="0011747E">
        <w:rPr>
          <w:noProof/>
        </w:rPr>
        <w:tab/>
      </w:r>
      <w:r w:rsidRPr="0011747E">
        <w:rPr>
          <w:noProof/>
        </w:rPr>
        <w:fldChar w:fldCharType="begin"/>
      </w:r>
      <w:r w:rsidRPr="0011747E">
        <w:rPr>
          <w:noProof/>
        </w:rPr>
        <w:instrText xml:space="preserve"> PAGEREF _Toc396376213 \h </w:instrText>
      </w:r>
      <w:r w:rsidRPr="0011747E">
        <w:rPr>
          <w:noProof/>
        </w:rPr>
      </w:r>
      <w:r w:rsidRPr="0011747E">
        <w:rPr>
          <w:noProof/>
        </w:rPr>
        <w:fldChar w:fldCharType="separate"/>
      </w:r>
      <w:r w:rsidR="004108FB">
        <w:rPr>
          <w:noProof/>
        </w:rPr>
        <w:t>1</w:t>
      </w:r>
      <w:r w:rsidRPr="0011747E">
        <w:rPr>
          <w:noProof/>
        </w:rPr>
        <w:fldChar w:fldCharType="end"/>
      </w:r>
    </w:p>
    <w:p w:rsidR="00262565" w:rsidRPr="0011747E" w:rsidRDefault="00262565">
      <w:pPr>
        <w:pStyle w:val="TOC5"/>
        <w:rPr>
          <w:rFonts w:asciiTheme="minorHAnsi" w:eastAsiaTheme="minorEastAsia" w:hAnsiTheme="minorHAnsi" w:cstheme="minorBidi"/>
          <w:noProof/>
          <w:kern w:val="0"/>
          <w:sz w:val="22"/>
          <w:szCs w:val="22"/>
        </w:rPr>
      </w:pPr>
      <w:r w:rsidRPr="0011747E">
        <w:rPr>
          <w:noProof/>
        </w:rPr>
        <w:t>4</w:t>
      </w:r>
      <w:r w:rsidRPr="0011747E">
        <w:rPr>
          <w:noProof/>
        </w:rPr>
        <w:tab/>
        <w:t>Schedules</w:t>
      </w:r>
      <w:r w:rsidRPr="0011747E">
        <w:rPr>
          <w:noProof/>
        </w:rPr>
        <w:tab/>
      </w:r>
      <w:r w:rsidRPr="0011747E">
        <w:rPr>
          <w:noProof/>
        </w:rPr>
        <w:fldChar w:fldCharType="begin"/>
      </w:r>
      <w:r w:rsidRPr="0011747E">
        <w:rPr>
          <w:noProof/>
        </w:rPr>
        <w:instrText xml:space="preserve"> PAGEREF _Toc396376214 \h </w:instrText>
      </w:r>
      <w:r w:rsidRPr="0011747E">
        <w:rPr>
          <w:noProof/>
        </w:rPr>
      </w:r>
      <w:r w:rsidRPr="0011747E">
        <w:rPr>
          <w:noProof/>
        </w:rPr>
        <w:fldChar w:fldCharType="separate"/>
      </w:r>
      <w:r w:rsidR="004108FB">
        <w:rPr>
          <w:noProof/>
        </w:rPr>
        <w:t>1</w:t>
      </w:r>
      <w:r w:rsidRPr="0011747E">
        <w:rPr>
          <w:noProof/>
        </w:rPr>
        <w:fldChar w:fldCharType="end"/>
      </w:r>
    </w:p>
    <w:p w:rsidR="00262565" w:rsidRPr="0011747E" w:rsidRDefault="00262565">
      <w:pPr>
        <w:pStyle w:val="TOC6"/>
        <w:rPr>
          <w:rFonts w:asciiTheme="minorHAnsi" w:eastAsiaTheme="minorEastAsia" w:hAnsiTheme="minorHAnsi" w:cstheme="minorBidi"/>
          <w:b w:val="0"/>
          <w:noProof/>
          <w:kern w:val="0"/>
          <w:sz w:val="22"/>
          <w:szCs w:val="22"/>
        </w:rPr>
      </w:pPr>
      <w:r w:rsidRPr="0011747E">
        <w:rPr>
          <w:noProof/>
        </w:rPr>
        <w:t>Schedule</w:t>
      </w:r>
      <w:r w:rsidR="0011747E" w:rsidRPr="0011747E">
        <w:rPr>
          <w:noProof/>
        </w:rPr>
        <w:t> </w:t>
      </w:r>
      <w:r w:rsidRPr="0011747E">
        <w:rPr>
          <w:noProof/>
        </w:rPr>
        <w:t>1—Amendments</w:t>
      </w:r>
      <w:r w:rsidRPr="0011747E">
        <w:rPr>
          <w:b w:val="0"/>
          <w:noProof/>
          <w:sz w:val="18"/>
        </w:rPr>
        <w:tab/>
      </w:r>
      <w:r w:rsidRPr="0011747E">
        <w:rPr>
          <w:b w:val="0"/>
          <w:noProof/>
          <w:sz w:val="18"/>
        </w:rPr>
        <w:fldChar w:fldCharType="begin"/>
      </w:r>
      <w:r w:rsidRPr="0011747E">
        <w:rPr>
          <w:b w:val="0"/>
          <w:noProof/>
          <w:sz w:val="18"/>
        </w:rPr>
        <w:instrText xml:space="preserve"> PAGEREF _Toc396376215 \h </w:instrText>
      </w:r>
      <w:r w:rsidRPr="0011747E">
        <w:rPr>
          <w:b w:val="0"/>
          <w:noProof/>
          <w:sz w:val="18"/>
        </w:rPr>
      </w:r>
      <w:r w:rsidRPr="0011747E">
        <w:rPr>
          <w:b w:val="0"/>
          <w:noProof/>
          <w:sz w:val="18"/>
        </w:rPr>
        <w:fldChar w:fldCharType="separate"/>
      </w:r>
      <w:r w:rsidR="004108FB">
        <w:rPr>
          <w:b w:val="0"/>
          <w:noProof/>
          <w:sz w:val="18"/>
        </w:rPr>
        <w:t>2</w:t>
      </w:r>
      <w:r w:rsidRPr="0011747E">
        <w:rPr>
          <w:b w:val="0"/>
          <w:noProof/>
          <w:sz w:val="18"/>
        </w:rPr>
        <w:fldChar w:fldCharType="end"/>
      </w:r>
    </w:p>
    <w:p w:rsidR="00262565" w:rsidRPr="0011747E" w:rsidRDefault="00262565">
      <w:pPr>
        <w:pStyle w:val="TOC9"/>
        <w:rPr>
          <w:rFonts w:asciiTheme="minorHAnsi" w:eastAsiaTheme="minorEastAsia" w:hAnsiTheme="minorHAnsi" w:cstheme="minorBidi"/>
          <w:i w:val="0"/>
          <w:noProof/>
          <w:kern w:val="0"/>
          <w:sz w:val="22"/>
          <w:szCs w:val="22"/>
        </w:rPr>
      </w:pPr>
      <w:r w:rsidRPr="0011747E">
        <w:rPr>
          <w:noProof/>
        </w:rPr>
        <w:t>Environment Protection and Biodiversity Conservation Regulations</w:t>
      </w:r>
      <w:r w:rsidR="0011747E" w:rsidRPr="0011747E">
        <w:rPr>
          <w:noProof/>
        </w:rPr>
        <w:t> </w:t>
      </w:r>
      <w:r w:rsidRPr="0011747E">
        <w:rPr>
          <w:noProof/>
        </w:rPr>
        <w:t>2000</w:t>
      </w:r>
      <w:r w:rsidRPr="0011747E">
        <w:rPr>
          <w:i w:val="0"/>
          <w:noProof/>
          <w:sz w:val="18"/>
        </w:rPr>
        <w:tab/>
      </w:r>
      <w:r w:rsidRPr="0011747E">
        <w:rPr>
          <w:i w:val="0"/>
          <w:noProof/>
          <w:sz w:val="18"/>
        </w:rPr>
        <w:fldChar w:fldCharType="begin"/>
      </w:r>
      <w:r w:rsidRPr="0011747E">
        <w:rPr>
          <w:i w:val="0"/>
          <w:noProof/>
          <w:sz w:val="18"/>
        </w:rPr>
        <w:instrText xml:space="preserve"> PAGEREF _Toc396376216 \h </w:instrText>
      </w:r>
      <w:r w:rsidRPr="0011747E">
        <w:rPr>
          <w:i w:val="0"/>
          <w:noProof/>
          <w:sz w:val="18"/>
        </w:rPr>
      </w:r>
      <w:r w:rsidRPr="0011747E">
        <w:rPr>
          <w:i w:val="0"/>
          <w:noProof/>
          <w:sz w:val="18"/>
        </w:rPr>
        <w:fldChar w:fldCharType="separate"/>
      </w:r>
      <w:r w:rsidR="004108FB">
        <w:rPr>
          <w:i w:val="0"/>
          <w:noProof/>
          <w:sz w:val="18"/>
        </w:rPr>
        <w:t>2</w:t>
      </w:r>
      <w:r w:rsidRPr="0011747E">
        <w:rPr>
          <w:i w:val="0"/>
          <w:noProof/>
          <w:sz w:val="18"/>
        </w:rPr>
        <w:fldChar w:fldCharType="end"/>
      </w:r>
    </w:p>
    <w:p w:rsidR="00833416" w:rsidRPr="0011747E" w:rsidRDefault="00262565" w:rsidP="0048364F">
      <w:r w:rsidRPr="0011747E">
        <w:fldChar w:fldCharType="end"/>
      </w:r>
    </w:p>
    <w:p w:rsidR="00722023" w:rsidRPr="0011747E" w:rsidRDefault="00722023" w:rsidP="0048364F">
      <w:pPr>
        <w:sectPr w:rsidR="00722023" w:rsidRPr="0011747E" w:rsidSect="00844263">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11747E" w:rsidRDefault="0048364F" w:rsidP="0048364F">
      <w:pPr>
        <w:pStyle w:val="ActHead5"/>
      </w:pPr>
      <w:bookmarkStart w:id="3" w:name="_Toc396376211"/>
      <w:r w:rsidRPr="0011747E">
        <w:rPr>
          <w:rStyle w:val="CharSectno"/>
        </w:rPr>
        <w:lastRenderedPageBreak/>
        <w:t>1</w:t>
      </w:r>
      <w:r w:rsidRPr="0011747E">
        <w:t xml:space="preserve">  </w:t>
      </w:r>
      <w:r w:rsidR="004F676E" w:rsidRPr="0011747E">
        <w:t xml:space="preserve">Name of </w:t>
      </w:r>
      <w:r w:rsidR="00D06E03" w:rsidRPr="0011747E">
        <w:t>regulation</w:t>
      </w:r>
      <w:bookmarkEnd w:id="3"/>
    </w:p>
    <w:p w:rsidR="0048364F" w:rsidRPr="0011747E" w:rsidRDefault="0048364F" w:rsidP="0048364F">
      <w:pPr>
        <w:pStyle w:val="subsection"/>
      </w:pPr>
      <w:r w:rsidRPr="0011747E">
        <w:tab/>
      </w:r>
      <w:r w:rsidRPr="0011747E">
        <w:tab/>
        <w:t>Th</w:t>
      </w:r>
      <w:r w:rsidR="00F24C35" w:rsidRPr="0011747E">
        <w:t>is</w:t>
      </w:r>
      <w:r w:rsidRPr="0011747E">
        <w:t xml:space="preserve"> </w:t>
      </w:r>
      <w:r w:rsidR="00D06E03" w:rsidRPr="0011747E">
        <w:t>regulation</w:t>
      </w:r>
      <w:r w:rsidRPr="0011747E">
        <w:t xml:space="preserve"> </w:t>
      </w:r>
      <w:r w:rsidR="00F24C35" w:rsidRPr="0011747E">
        <w:t>is</w:t>
      </w:r>
      <w:r w:rsidR="003801D0" w:rsidRPr="0011747E">
        <w:t xml:space="preserve"> the</w:t>
      </w:r>
      <w:r w:rsidRPr="0011747E">
        <w:t xml:space="preserve"> </w:t>
      </w:r>
      <w:bookmarkStart w:id="4" w:name="BKCheck15B_4"/>
      <w:bookmarkEnd w:id="4"/>
      <w:r w:rsidR="00CB0180" w:rsidRPr="0011747E">
        <w:rPr>
          <w:i/>
        </w:rPr>
        <w:fldChar w:fldCharType="begin"/>
      </w:r>
      <w:r w:rsidR="00CB0180" w:rsidRPr="0011747E">
        <w:rPr>
          <w:i/>
        </w:rPr>
        <w:instrText xml:space="preserve"> STYLEREF  ShortT </w:instrText>
      </w:r>
      <w:r w:rsidR="00CB0180" w:rsidRPr="0011747E">
        <w:rPr>
          <w:i/>
        </w:rPr>
        <w:fldChar w:fldCharType="separate"/>
      </w:r>
      <w:r w:rsidR="004108FB">
        <w:rPr>
          <w:i/>
          <w:noProof/>
        </w:rPr>
        <w:t>Environment Protection and Biodiversity Conservation Amendment (Cost Recovery) Regulation 2014</w:t>
      </w:r>
      <w:r w:rsidR="00CB0180" w:rsidRPr="0011747E">
        <w:rPr>
          <w:i/>
        </w:rPr>
        <w:fldChar w:fldCharType="end"/>
      </w:r>
      <w:r w:rsidRPr="0011747E">
        <w:t>.</w:t>
      </w:r>
    </w:p>
    <w:p w:rsidR="0048364F" w:rsidRPr="0011747E" w:rsidRDefault="0048364F" w:rsidP="0048364F">
      <w:pPr>
        <w:pStyle w:val="ActHead5"/>
      </w:pPr>
      <w:bookmarkStart w:id="5" w:name="_Toc396376212"/>
      <w:r w:rsidRPr="0011747E">
        <w:rPr>
          <w:rStyle w:val="CharSectno"/>
        </w:rPr>
        <w:t>2</w:t>
      </w:r>
      <w:r w:rsidRPr="0011747E">
        <w:t xml:space="preserve">  Commencement</w:t>
      </w:r>
      <w:bookmarkEnd w:id="5"/>
    </w:p>
    <w:p w:rsidR="00A0146C" w:rsidRPr="0011747E" w:rsidRDefault="00A0146C" w:rsidP="00011E1C">
      <w:pPr>
        <w:pStyle w:val="subsection"/>
      </w:pPr>
      <w:bookmarkStart w:id="6" w:name="BkAutotext"/>
      <w:bookmarkStart w:id="7" w:name="_GoBack"/>
      <w:bookmarkEnd w:id="6"/>
      <w:r w:rsidRPr="0011747E">
        <w:tab/>
      </w:r>
      <w:r w:rsidRPr="0011747E">
        <w:tab/>
        <w:t>This regulation commences on 1</w:t>
      </w:r>
      <w:r w:rsidR="0011747E" w:rsidRPr="0011747E">
        <w:t> </w:t>
      </w:r>
      <w:r w:rsidRPr="0011747E">
        <w:t>October 2014.</w:t>
      </w:r>
      <w:bookmarkEnd w:id="7"/>
    </w:p>
    <w:p w:rsidR="007769D4" w:rsidRPr="0011747E" w:rsidRDefault="007769D4" w:rsidP="007769D4">
      <w:pPr>
        <w:pStyle w:val="ActHead5"/>
      </w:pPr>
      <w:bookmarkStart w:id="8" w:name="_Toc396376213"/>
      <w:r w:rsidRPr="0011747E">
        <w:rPr>
          <w:rStyle w:val="CharSectno"/>
        </w:rPr>
        <w:t>3</w:t>
      </w:r>
      <w:r w:rsidRPr="0011747E">
        <w:t xml:space="preserve">  Authority</w:t>
      </w:r>
      <w:bookmarkEnd w:id="8"/>
    </w:p>
    <w:p w:rsidR="007769D4" w:rsidRPr="0011747E" w:rsidRDefault="007769D4" w:rsidP="007769D4">
      <w:pPr>
        <w:pStyle w:val="subsection"/>
      </w:pPr>
      <w:r w:rsidRPr="0011747E">
        <w:tab/>
      </w:r>
      <w:r w:rsidRPr="0011747E">
        <w:tab/>
      </w:r>
      <w:r w:rsidR="00AF0336" w:rsidRPr="0011747E">
        <w:t xml:space="preserve">This </w:t>
      </w:r>
      <w:r w:rsidR="00D06E03" w:rsidRPr="0011747E">
        <w:t>regulation</w:t>
      </w:r>
      <w:r w:rsidR="00AF0336" w:rsidRPr="0011747E">
        <w:t xml:space="preserve"> is made under the </w:t>
      </w:r>
      <w:r w:rsidR="00D06E03" w:rsidRPr="0011747E">
        <w:rPr>
          <w:i/>
        </w:rPr>
        <w:t>Environment Protection and Biodiversity Conservation Act 1999</w:t>
      </w:r>
      <w:r w:rsidR="00D83D21" w:rsidRPr="0011747E">
        <w:rPr>
          <w:i/>
        </w:rPr>
        <w:t>.</w:t>
      </w:r>
    </w:p>
    <w:p w:rsidR="00557C7A" w:rsidRPr="0011747E" w:rsidRDefault="007769D4" w:rsidP="00557C7A">
      <w:pPr>
        <w:pStyle w:val="ActHead5"/>
      </w:pPr>
      <w:bookmarkStart w:id="9" w:name="_Toc396376214"/>
      <w:r w:rsidRPr="0011747E">
        <w:rPr>
          <w:rStyle w:val="CharSectno"/>
        </w:rPr>
        <w:t>4</w:t>
      </w:r>
      <w:r w:rsidR="00557C7A" w:rsidRPr="0011747E">
        <w:t xml:space="preserve">  </w:t>
      </w:r>
      <w:r w:rsidR="00C76332" w:rsidRPr="0011747E">
        <w:t>Schedule</w:t>
      </w:r>
      <w:r w:rsidR="00B332B8" w:rsidRPr="0011747E">
        <w:t>s</w:t>
      </w:r>
      <w:bookmarkEnd w:id="9"/>
    </w:p>
    <w:p w:rsidR="00557C7A" w:rsidRPr="0011747E" w:rsidRDefault="00557C7A" w:rsidP="00557C7A">
      <w:pPr>
        <w:pStyle w:val="subsection"/>
      </w:pPr>
      <w:r w:rsidRPr="0011747E">
        <w:tab/>
      </w:r>
      <w:r w:rsidRPr="0011747E">
        <w:tab/>
      </w:r>
      <w:r w:rsidR="00CD7ECB" w:rsidRPr="0011747E">
        <w:t>Each instrument that is specified in a Schedule to this instrument is amended or repealed as set out in the applicable items in the Schedule concerned, and any other item in a Schedule to this instrument has effect according to its terms.</w:t>
      </w:r>
    </w:p>
    <w:p w:rsidR="0048364F" w:rsidRPr="0011747E" w:rsidRDefault="0048364F" w:rsidP="00FF3089">
      <w:pPr>
        <w:pStyle w:val="ActHead6"/>
        <w:pageBreakBefore/>
      </w:pPr>
      <w:bookmarkStart w:id="10" w:name="_Toc396376215"/>
      <w:bookmarkStart w:id="11" w:name="opcAmSched"/>
      <w:bookmarkStart w:id="12" w:name="opcCurrentFind"/>
      <w:r w:rsidRPr="0011747E">
        <w:rPr>
          <w:rStyle w:val="CharAmSchNo"/>
        </w:rPr>
        <w:t>Schedule</w:t>
      </w:r>
      <w:r w:rsidR="0011747E" w:rsidRPr="0011747E">
        <w:rPr>
          <w:rStyle w:val="CharAmSchNo"/>
        </w:rPr>
        <w:t> </w:t>
      </w:r>
      <w:r w:rsidRPr="0011747E">
        <w:rPr>
          <w:rStyle w:val="CharAmSchNo"/>
        </w:rPr>
        <w:t>1</w:t>
      </w:r>
      <w:r w:rsidRPr="0011747E">
        <w:t>—</w:t>
      </w:r>
      <w:r w:rsidR="00460499" w:rsidRPr="0011747E">
        <w:rPr>
          <w:rStyle w:val="CharAmSchText"/>
        </w:rPr>
        <w:t>Amendments</w:t>
      </w:r>
      <w:bookmarkEnd w:id="10"/>
    </w:p>
    <w:bookmarkEnd w:id="11"/>
    <w:bookmarkEnd w:id="12"/>
    <w:p w:rsidR="00B13EB0" w:rsidRPr="0011747E" w:rsidRDefault="00B13EB0" w:rsidP="00B13EB0">
      <w:pPr>
        <w:pStyle w:val="Header"/>
      </w:pPr>
      <w:r w:rsidRPr="0011747E">
        <w:rPr>
          <w:rStyle w:val="CharAmPartNo"/>
        </w:rPr>
        <w:t xml:space="preserve"> </w:t>
      </w:r>
      <w:r w:rsidRPr="0011747E">
        <w:rPr>
          <w:rStyle w:val="CharAmPartText"/>
        </w:rPr>
        <w:t xml:space="preserve"> </w:t>
      </w:r>
    </w:p>
    <w:p w:rsidR="00B13EB0" w:rsidRPr="0011747E" w:rsidRDefault="00B13EB0" w:rsidP="00B13EB0">
      <w:pPr>
        <w:pStyle w:val="ActHead9"/>
      </w:pPr>
      <w:bookmarkStart w:id="13" w:name="_Toc396376216"/>
      <w:r w:rsidRPr="0011747E">
        <w:t>Environment Protection and Biodiversity Conservation Regulations</w:t>
      </w:r>
      <w:r w:rsidR="0011747E" w:rsidRPr="0011747E">
        <w:t> </w:t>
      </w:r>
      <w:r w:rsidRPr="0011747E">
        <w:t>2000</w:t>
      </w:r>
      <w:bookmarkEnd w:id="13"/>
    </w:p>
    <w:p w:rsidR="00B13EB0" w:rsidRPr="0011747E" w:rsidRDefault="00F86172" w:rsidP="00B13EB0">
      <w:pPr>
        <w:pStyle w:val="ItemHead"/>
      </w:pPr>
      <w:r w:rsidRPr="0011747E">
        <w:t>1</w:t>
      </w:r>
      <w:r w:rsidR="00B13EB0" w:rsidRPr="0011747E">
        <w:t xml:space="preserve">  Regulation</w:t>
      </w:r>
      <w:r w:rsidR="0011747E" w:rsidRPr="0011747E">
        <w:t> </w:t>
      </w:r>
      <w:r w:rsidR="00B13EB0" w:rsidRPr="0011747E">
        <w:t>4.02</w:t>
      </w:r>
    </w:p>
    <w:p w:rsidR="00B13EB0" w:rsidRPr="0011747E" w:rsidRDefault="00B13EB0" w:rsidP="00B13EB0">
      <w:pPr>
        <w:pStyle w:val="Item"/>
      </w:pPr>
      <w:r w:rsidRPr="0011747E">
        <w:t>Before “A referral”, insert “(1)”.</w:t>
      </w:r>
    </w:p>
    <w:p w:rsidR="00B13EB0" w:rsidRPr="0011747E" w:rsidRDefault="00F86172" w:rsidP="00B13EB0">
      <w:pPr>
        <w:pStyle w:val="ItemHead"/>
      </w:pPr>
      <w:r w:rsidRPr="0011747E">
        <w:t>2</w:t>
      </w:r>
      <w:r w:rsidR="00B13EB0" w:rsidRPr="0011747E">
        <w:t xml:space="preserve">  At the end of regulation</w:t>
      </w:r>
      <w:r w:rsidR="0011747E" w:rsidRPr="0011747E">
        <w:t> </w:t>
      </w:r>
      <w:r w:rsidR="00B13EB0" w:rsidRPr="0011747E">
        <w:t>4.02</w:t>
      </w:r>
    </w:p>
    <w:p w:rsidR="00B13EB0" w:rsidRPr="0011747E" w:rsidRDefault="00B13EB0" w:rsidP="00B13EB0">
      <w:pPr>
        <w:pStyle w:val="Item"/>
      </w:pPr>
      <w:r w:rsidRPr="0011747E">
        <w:t>Add:</w:t>
      </w:r>
    </w:p>
    <w:p w:rsidR="00CE16CE" w:rsidRPr="0011747E" w:rsidRDefault="00B13EB0" w:rsidP="00B13EB0">
      <w:pPr>
        <w:pStyle w:val="subsection"/>
      </w:pPr>
      <w:r w:rsidRPr="0011747E">
        <w:tab/>
        <w:t>(2)</w:t>
      </w:r>
      <w:r w:rsidRPr="0011747E">
        <w:tab/>
        <w:t>A referral must be accompanied by a fee of $7</w:t>
      </w:r>
      <w:r w:rsidR="0011747E" w:rsidRPr="0011747E">
        <w:t> </w:t>
      </w:r>
      <w:r w:rsidRPr="0011747E">
        <w:t>352.00</w:t>
      </w:r>
      <w:r w:rsidR="00AB1D08" w:rsidRPr="0011747E">
        <w:t>, unless</w:t>
      </w:r>
      <w:r w:rsidR="00CE16CE" w:rsidRPr="0011747E">
        <w:t>:</w:t>
      </w:r>
    </w:p>
    <w:p w:rsidR="00AB1D08" w:rsidRPr="0011747E" w:rsidRDefault="00CE16CE" w:rsidP="00CE16CE">
      <w:pPr>
        <w:pStyle w:val="paragraph"/>
      </w:pPr>
      <w:r w:rsidRPr="0011747E">
        <w:tab/>
        <w:t>(a)</w:t>
      </w:r>
      <w:r w:rsidRPr="0011747E">
        <w:tab/>
      </w:r>
      <w:r w:rsidR="00112566" w:rsidRPr="0011747E">
        <w:t>it is a referral</w:t>
      </w:r>
      <w:r w:rsidR="00686F10" w:rsidRPr="0011747E">
        <w:t xml:space="preserve"> that is</w:t>
      </w:r>
      <w:r w:rsidR="00AB1D08" w:rsidRPr="0011747E">
        <w:t>:</w:t>
      </w:r>
    </w:p>
    <w:p w:rsidR="009F29C2" w:rsidRPr="0011747E" w:rsidRDefault="00CE16CE" w:rsidP="00CE16CE">
      <w:pPr>
        <w:pStyle w:val="paragraphsub"/>
      </w:pPr>
      <w:r w:rsidRPr="0011747E">
        <w:tab/>
        <w:t>(i</w:t>
      </w:r>
      <w:r w:rsidR="00AB1D08" w:rsidRPr="0011747E">
        <w:t>)</w:t>
      </w:r>
      <w:r w:rsidR="00AB1D08" w:rsidRPr="0011747E">
        <w:tab/>
      </w:r>
      <w:r w:rsidR="009F29C2" w:rsidRPr="0011747E">
        <w:t>made under section</w:t>
      </w:r>
      <w:r w:rsidR="0011747E" w:rsidRPr="0011747E">
        <w:t> </w:t>
      </w:r>
      <w:r w:rsidR="009F29C2" w:rsidRPr="0011747E">
        <w:t>69 or 71 of the Act;</w:t>
      </w:r>
      <w:r w:rsidR="00112566" w:rsidRPr="0011747E">
        <w:t xml:space="preserve"> or</w:t>
      </w:r>
    </w:p>
    <w:p w:rsidR="00CE16CE" w:rsidRPr="0011747E" w:rsidRDefault="009F29C2" w:rsidP="00CE16CE">
      <w:pPr>
        <w:pStyle w:val="paragraphsub"/>
      </w:pPr>
      <w:r w:rsidRPr="0011747E">
        <w:tab/>
        <w:t>(</w:t>
      </w:r>
      <w:r w:rsidR="00CE16CE" w:rsidRPr="0011747E">
        <w:t>ii</w:t>
      </w:r>
      <w:r w:rsidRPr="0011747E">
        <w:t>)</w:t>
      </w:r>
      <w:r w:rsidRPr="0011747E">
        <w:tab/>
        <w:t>made in response to a request under section</w:t>
      </w:r>
      <w:r w:rsidR="0011747E" w:rsidRPr="0011747E">
        <w:t> </w:t>
      </w:r>
      <w:r w:rsidRPr="0011747E">
        <w:t>70 of the Act</w:t>
      </w:r>
      <w:r w:rsidR="00CE16CE" w:rsidRPr="0011747E">
        <w:t>;</w:t>
      </w:r>
      <w:r w:rsidR="00F227D1" w:rsidRPr="0011747E">
        <w:t xml:space="preserve"> or</w:t>
      </w:r>
    </w:p>
    <w:p w:rsidR="00EC3FDF" w:rsidRPr="0011747E" w:rsidRDefault="00CE16CE" w:rsidP="00993A66">
      <w:pPr>
        <w:pStyle w:val="paragraph"/>
      </w:pPr>
      <w:r w:rsidRPr="0011747E">
        <w:tab/>
        <w:t>(b)</w:t>
      </w:r>
      <w:r w:rsidRPr="0011747E">
        <w:tab/>
        <w:t>it is accompanied by an application for a waiver (see regulation</w:t>
      </w:r>
      <w:r w:rsidR="0011747E" w:rsidRPr="0011747E">
        <w:t> </w:t>
      </w:r>
      <w:r w:rsidRPr="0011747E">
        <w:t xml:space="preserve">5.21A) </w:t>
      </w:r>
      <w:r w:rsidR="00993A66" w:rsidRPr="0011747E">
        <w:t>or</w:t>
      </w:r>
      <w:r w:rsidR="00696716" w:rsidRPr="0011747E">
        <w:t xml:space="preserve"> </w:t>
      </w:r>
      <w:r w:rsidR="00844C0C" w:rsidRPr="0011747E">
        <w:t>a notification of qualification for an exemption (see regulation</w:t>
      </w:r>
      <w:r w:rsidR="0011747E" w:rsidRPr="0011747E">
        <w:t> </w:t>
      </w:r>
      <w:r w:rsidR="00844C0C" w:rsidRPr="0011747E">
        <w:t>5.23)</w:t>
      </w:r>
      <w:r w:rsidR="00EC3FDF" w:rsidRPr="0011747E">
        <w:t>.</w:t>
      </w:r>
    </w:p>
    <w:p w:rsidR="00686F10" w:rsidRPr="0011747E" w:rsidRDefault="00686F10" w:rsidP="00686F10">
      <w:pPr>
        <w:pStyle w:val="notetext"/>
      </w:pPr>
      <w:r w:rsidRPr="0011747E">
        <w:t>Note:</w:t>
      </w:r>
      <w:r w:rsidRPr="0011747E">
        <w:tab/>
      </w:r>
      <w:r w:rsidR="00CD1C46" w:rsidRPr="0011747E">
        <w:t xml:space="preserve">For </w:t>
      </w:r>
      <w:r w:rsidR="0011747E" w:rsidRPr="0011747E">
        <w:t>paragraph (</w:t>
      </w:r>
      <w:r w:rsidR="00844C0C" w:rsidRPr="0011747E">
        <w:t>a)—o</w:t>
      </w:r>
      <w:r w:rsidRPr="0011747E">
        <w:t>ther fees under Division</w:t>
      </w:r>
      <w:r w:rsidR="0011747E" w:rsidRPr="0011747E">
        <w:t> </w:t>
      </w:r>
      <w:r w:rsidRPr="0011747E">
        <w:t xml:space="preserve">5.6 may apply in </w:t>
      </w:r>
      <w:r w:rsidR="004C6DE5" w:rsidRPr="0011747E">
        <w:t>relation to a referral of a kind</w:t>
      </w:r>
      <w:r w:rsidR="00844C0C" w:rsidRPr="0011747E">
        <w:t xml:space="preserve"> mentioned in </w:t>
      </w:r>
      <w:r w:rsidR="0011747E" w:rsidRPr="0011747E">
        <w:t>subparagraph (</w:t>
      </w:r>
      <w:r w:rsidRPr="0011747E">
        <w:t>a)</w:t>
      </w:r>
      <w:r w:rsidR="00844C0C" w:rsidRPr="0011747E">
        <w:t>(i)</w:t>
      </w:r>
      <w:r w:rsidR="008267EA" w:rsidRPr="0011747E">
        <w:t xml:space="preserve"> or</w:t>
      </w:r>
      <w:r w:rsidRPr="0011747E">
        <w:t xml:space="preserve"> (</w:t>
      </w:r>
      <w:r w:rsidR="00844C0C" w:rsidRPr="0011747E">
        <w:t>ii</w:t>
      </w:r>
      <w:r w:rsidR="008267EA" w:rsidRPr="0011747E">
        <w:t>)</w:t>
      </w:r>
      <w:r w:rsidRPr="0011747E">
        <w:t>.</w:t>
      </w:r>
    </w:p>
    <w:p w:rsidR="001715AF" w:rsidRPr="0011747E" w:rsidRDefault="001715AF" w:rsidP="009A2B18">
      <w:pPr>
        <w:pStyle w:val="subsection"/>
      </w:pPr>
      <w:r w:rsidRPr="0011747E">
        <w:tab/>
        <w:t>(3)</w:t>
      </w:r>
      <w:r w:rsidRPr="0011747E">
        <w:tab/>
        <w:t>If</w:t>
      </w:r>
      <w:r w:rsidR="009A2B18" w:rsidRPr="0011747E">
        <w:t xml:space="preserve"> </w:t>
      </w:r>
      <w:r w:rsidRPr="0011747E">
        <w:t>a referral is accompanied by an application for a waiver</w:t>
      </w:r>
      <w:r w:rsidR="009A2B18" w:rsidRPr="0011747E">
        <w:t xml:space="preserve"> and the applicati</w:t>
      </w:r>
      <w:r w:rsidR="007E7F5B" w:rsidRPr="0011747E">
        <w:t>on is unsuccessful, a fee of $7</w:t>
      </w:r>
      <w:r w:rsidR="0011747E" w:rsidRPr="0011747E">
        <w:t> </w:t>
      </w:r>
      <w:r w:rsidR="009A2B18" w:rsidRPr="0011747E">
        <w:t>352.00 is payable.</w:t>
      </w:r>
    </w:p>
    <w:p w:rsidR="00F86172" w:rsidRPr="0011747E" w:rsidRDefault="00F86172" w:rsidP="00F86172">
      <w:pPr>
        <w:pStyle w:val="ItemHead"/>
      </w:pPr>
      <w:r w:rsidRPr="0011747E">
        <w:t>3  Paragraphs 5.10(d) and (e)</w:t>
      </w:r>
    </w:p>
    <w:p w:rsidR="00F86172" w:rsidRPr="0011747E" w:rsidRDefault="00F86172" w:rsidP="00F86172">
      <w:pPr>
        <w:pStyle w:val="Item"/>
      </w:pPr>
      <w:r w:rsidRPr="0011747E">
        <w:t>Repeal the paragraphs, substitute:</w:t>
      </w:r>
    </w:p>
    <w:p w:rsidR="00F86172" w:rsidRPr="0011747E" w:rsidRDefault="00F86172" w:rsidP="00F86172">
      <w:pPr>
        <w:pStyle w:val="paragraph"/>
      </w:pPr>
      <w:r w:rsidRPr="0011747E">
        <w:tab/>
        <w:t>(d)</w:t>
      </w:r>
      <w:r w:rsidRPr="0011747E">
        <w:tab/>
        <w:t xml:space="preserve">the name and contact details of the person who originally proposed to take the action (the </w:t>
      </w:r>
      <w:r w:rsidRPr="0011747E">
        <w:rPr>
          <w:b/>
          <w:i/>
        </w:rPr>
        <w:t>first person</w:t>
      </w:r>
      <w:r w:rsidRPr="0011747E">
        <w:t>);</w:t>
      </w:r>
    </w:p>
    <w:p w:rsidR="00F86172" w:rsidRPr="0011747E" w:rsidRDefault="00F86172" w:rsidP="00F86172">
      <w:pPr>
        <w:pStyle w:val="paragraph"/>
      </w:pPr>
      <w:r w:rsidRPr="0011747E">
        <w:tab/>
        <w:t>(e)</w:t>
      </w:r>
      <w:r w:rsidRPr="0011747E">
        <w:tab/>
        <w:t>a declaration of whether:</w:t>
      </w:r>
    </w:p>
    <w:p w:rsidR="00F86172" w:rsidRPr="0011747E" w:rsidRDefault="00F86172" w:rsidP="00F86172">
      <w:pPr>
        <w:pStyle w:val="paragraphsub"/>
      </w:pPr>
      <w:r w:rsidRPr="0011747E">
        <w:tab/>
        <w:t>(i)</w:t>
      </w:r>
      <w:r w:rsidRPr="0011747E">
        <w:tab/>
        <w:t>the first person was exempt from paying</w:t>
      </w:r>
      <w:r w:rsidR="006E079F" w:rsidRPr="0011747E">
        <w:t xml:space="preserve"> the fee mentioned in subregulation</w:t>
      </w:r>
      <w:r w:rsidR="0011747E" w:rsidRPr="0011747E">
        <w:t> </w:t>
      </w:r>
      <w:r w:rsidR="006E079F" w:rsidRPr="0011747E">
        <w:t>4.02(2), or</w:t>
      </w:r>
      <w:r w:rsidRPr="0011747E">
        <w:t xml:space="preserve"> a fee that would have otherwise been payable under Division</w:t>
      </w:r>
      <w:r w:rsidR="0011747E" w:rsidRPr="0011747E">
        <w:t> </w:t>
      </w:r>
      <w:r w:rsidRPr="0011747E">
        <w:t>5.6</w:t>
      </w:r>
      <w:r w:rsidR="006E079F" w:rsidRPr="0011747E">
        <w:t>,</w:t>
      </w:r>
      <w:r w:rsidRPr="0011747E">
        <w:t xml:space="preserve"> in relation to the assessment of the impacts of the action, and if so, which fee</w:t>
      </w:r>
      <w:r w:rsidR="00FD43BD" w:rsidRPr="0011747E">
        <w:t xml:space="preserve"> or fees</w:t>
      </w:r>
      <w:r w:rsidRPr="0011747E">
        <w:t>; or</w:t>
      </w:r>
    </w:p>
    <w:p w:rsidR="00F86172" w:rsidRPr="0011747E" w:rsidRDefault="00F86172" w:rsidP="00F86172">
      <w:pPr>
        <w:pStyle w:val="paragraphsub"/>
      </w:pPr>
      <w:r w:rsidRPr="0011747E">
        <w:tab/>
        <w:t>(ii)</w:t>
      </w:r>
      <w:r w:rsidRPr="0011747E">
        <w:tab/>
        <w:t xml:space="preserve">all or part of </w:t>
      </w:r>
      <w:r w:rsidR="006E079F" w:rsidRPr="0011747E">
        <w:t>the fee mentioned in subregulation</w:t>
      </w:r>
      <w:r w:rsidR="0011747E" w:rsidRPr="0011747E">
        <w:t> </w:t>
      </w:r>
      <w:r w:rsidR="006E079F" w:rsidRPr="0011747E">
        <w:t>4.02(2), or a fee</w:t>
      </w:r>
      <w:r w:rsidRPr="0011747E">
        <w:t xml:space="preserve"> that would have otherwise been payable under Division</w:t>
      </w:r>
      <w:r w:rsidR="0011747E" w:rsidRPr="0011747E">
        <w:t> </w:t>
      </w:r>
      <w:r w:rsidR="006E079F" w:rsidRPr="0011747E">
        <w:t>5.6</w:t>
      </w:r>
      <w:r w:rsidRPr="0011747E">
        <w:t xml:space="preserve"> by the first person</w:t>
      </w:r>
      <w:r w:rsidR="006E079F" w:rsidRPr="0011747E">
        <w:t>,</w:t>
      </w:r>
      <w:r w:rsidRPr="0011747E">
        <w:t xml:space="preserve"> in relation to the assessment of the impacts of the action</w:t>
      </w:r>
      <w:r w:rsidR="00CD1C46" w:rsidRPr="0011747E">
        <w:t xml:space="preserve">, </w:t>
      </w:r>
      <w:r w:rsidRPr="0011747E">
        <w:t>was waived</w:t>
      </w:r>
      <w:r w:rsidR="00F92B6C" w:rsidRPr="0011747E">
        <w:t>,</w:t>
      </w:r>
      <w:r w:rsidRPr="0011747E">
        <w:t xml:space="preserve"> and if so, which fee </w:t>
      </w:r>
      <w:r w:rsidR="00FD43BD" w:rsidRPr="0011747E">
        <w:t xml:space="preserve">or fees </w:t>
      </w:r>
      <w:r w:rsidRPr="0011747E">
        <w:t xml:space="preserve">and the amount </w:t>
      </w:r>
      <w:r w:rsidR="00FD43BD" w:rsidRPr="0011747E">
        <w:t xml:space="preserve">of each fee </w:t>
      </w:r>
      <w:r w:rsidRPr="0011747E">
        <w:t>that was waived;</w:t>
      </w:r>
    </w:p>
    <w:p w:rsidR="00F86172" w:rsidRPr="0011747E" w:rsidRDefault="00F86172" w:rsidP="00F86172">
      <w:pPr>
        <w:pStyle w:val="paragraph"/>
      </w:pPr>
      <w:r w:rsidRPr="0011747E">
        <w:tab/>
        <w:t>(f)</w:t>
      </w:r>
      <w:r w:rsidRPr="0011747E">
        <w:tab/>
        <w:t xml:space="preserve">the name and contact details of the person now proposing to take the action (the </w:t>
      </w:r>
      <w:r w:rsidRPr="0011747E">
        <w:rPr>
          <w:b/>
          <w:i/>
        </w:rPr>
        <w:t>second person</w:t>
      </w:r>
      <w:r w:rsidRPr="0011747E">
        <w:t>);</w:t>
      </w:r>
    </w:p>
    <w:p w:rsidR="00F86172" w:rsidRPr="0011747E" w:rsidRDefault="00F86172" w:rsidP="00F86172">
      <w:pPr>
        <w:pStyle w:val="paragraph"/>
      </w:pPr>
      <w:r w:rsidRPr="0011747E">
        <w:tab/>
        <w:t>(g)</w:t>
      </w:r>
      <w:r w:rsidRPr="0011747E">
        <w:tab/>
        <w:t>if the second person has an ABN—the second person’s ABN;</w:t>
      </w:r>
    </w:p>
    <w:p w:rsidR="00F86172" w:rsidRPr="0011747E" w:rsidRDefault="00F86172" w:rsidP="00F86172">
      <w:pPr>
        <w:pStyle w:val="paragraph"/>
      </w:pPr>
      <w:r w:rsidRPr="0011747E">
        <w:tab/>
        <w:t>(h)</w:t>
      </w:r>
      <w:r w:rsidRPr="0011747E">
        <w:tab/>
        <w:t>if the second person has an ACN—the second person’s ACN;</w:t>
      </w:r>
    </w:p>
    <w:p w:rsidR="00F86172" w:rsidRPr="0011747E" w:rsidRDefault="00F86172" w:rsidP="00F86172">
      <w:pPr>
        <w:pStyle w:val="paragraph"/>
      </w:pPr>
      <w:r w:rsidRPr="0011747E">
        <w:tab/>
        <w:t>(i)</w:t>
      </w:r>
      <w:r w:rsidRPr="0011747E">
        <w:tab/>
        <w:t>a declaration of whether:</w:t>
      </w:r>
    </w:p>
    <w:p w:rsidR="00F86172" w:rsidRPr="0011747E" w:rsidRDefault="00F86172" w:rsidP="00F86172">
      <w:pPr>
        <w:pStyle w:val="paragraphsub"/>
      </w:pPr>
      <w:r w:rsidRPr="0011747E">
        <w:tab/>
        <w:t>(i)</w:t>
      </w:r>
      <w:r w:rsidRPr="0011747E">
        <w:tab/>
        <w:t>the second person would be exempt from paying</w:t>
      </w:r>
      <w:r w:rsidR="004C00D6" w:rsidRPr="0011747E">
        <w:t xml:space="preserve"> the fee mentioned in subregulation</w:t>
      </w:r>
      <w:r w:rsidR="0011747E" w:rsidRPr="0011747E">
        <w:t> </w:t>
      </w:r>
      <w:r w:rsidR="004C00D6" w:rsidRPr="0011747E">
        <w:t>4.02(2),</w:t>
      </w:r>
      <w:r w:rsidRPr="0011747E">
        <w:t xml:space="preserve"> </w:t>
      </w:r>
      <w:r w:rsidR="004C00D6" w:rsidRPr="0011747E">
        <w:t xml:space="preserve">or </w:t>
      </w:r>
      <w:r w:rsidRPr="0011747E">
        <w:t>a fee that would otherwise be payable under Division</w:t>
      </w:r>
      <w:r w:rsidR="0011747E" w:rsidRPr="0011747E">
        <w:t> </w:t>
      </w:r>
      <w:r w:rsidRPr="0011747E">
        <w:t>5.6</w:t>
      </w:r>
      <w:r w:rsidR="004C00D6" w:rsidRPr="0011747E">
        <w:t>,</w:t>
      </w:r>
      <w:r w:rsidRPr="0011747E">
        <w:t xml:space="preserve"> in relation to the assessment of the impacts of the action, and if so, which fee</w:t>
      </w:r>
      <w:r w:rsidR="00FD43BD" w:rsidRPr="0011747E">
        <w:t xml:space="preserve"> or fees</w:t>
      </w:r>
      <w:r w:rsidRPr="0011747E">
        <w:t>; or</w:t>
      </w:r>
    </w:p>
    <w:p w:rsidR="00F86172" w:rsidRPr="0011747E" w:rsidRDefault="00F86172" w:rsidP="00F86172">
      <w:pPr>
        <w:pStyle w:val="paragraphsub"/>
      </w:pPr>
      <w:r w:rsidRPr="0011747E">
        <w:tab/>
        <w:t>(ii)</w:t>
      </w:r>
      <w:r w:rsidRPr="0011747E">
        <w:tab/>
        <w:t xml:space="preserve">the second person intends to apply for a waiver of all or part of </w:t>
      </w:r>
      <w:r w:rsidR="004C00D6" w:rsidRPr="0011747E">
        <w:t>the fee mentioned in subregulation</w:t>
      </w:r>
      <w:r w:rsidR="0011747E" w:rsidRPr="0011747E">
        <w:t> </w:t>
      </w:r>
      <w:r w:rsidR="004C00D6" w:rsidRPr="0011747E">
        <w:t xml:space="preserve">4.02(2), or </w:t>
      </w:r>
      <w:r w:rsidRPr="0011747E">
        <w:t>a fee that would otherwise be payable under Division</w:t>
      </w:r>
      <w:r w:rsidR="0011747E" w:rsidRPr="0011747E">
        <w:t> </w:t>
      </w:r>
      <w:r w:rsidR="004C00D6" w:rsidRPr="0011747E">
        <w:t xml:space="preserve">5.6, </w:t>
      </w:r>
      <w:r w:rsidRPr="0011747E">
        <w:t>in relation to the assessment of the impacts of the action, and if so, which fee</w:t>
      </w:r>
      <w:r w:rsidR="00FD43BD" w:rsidRPr="0011747E">
        <w:t xml:space="preserve"> or fees</w:t>
      </w:r>
      <w:r w:rsidRPr="0011747E">
        <w:t>.</w:t>
      </w:r>
    </w:p>
    <w:p w:rsidR="00A4591A" w:rsidRPr="0011747E" w:rsidRDefault="00F86172" w:rsidP="00A4591A">
      <w:pPr>
        <w:pStyle w:val="ItemHead"/>
      </w:pPr>
      <w:r w:rsidRPr="0011747E">
        <w:t>4</w:t>
      </w:r>
      <w:r w:rsidR="00A4591A" w:rsidRPr="0011747E">
        <w:t xml:space="preserve">  At</w:t>
      </w:r>
      <w:r w:rsidR="00F417C1" w:rsidRPr="0011747E">
        <w:t xml:space="preserve"> the end of Part</w:t>
      </w:r>
      <w:r w:rsidR="0011747E" w:rsidRPr="0011747E">
        <w:t> </w:t>
      </w:r>
      <w:r w:rsidR="00F417C1" w:rsidRPr="0011747E">
        <w:t>5</w:t>
      </w:r>
    </w:p>
    <w:p w:rsidR="00C253CA" w:rsidRPr="0011747E" w:rsidRDefault="00F417C1" w:rsidP="00C253CA">
      <w:pPr>
        <w:pStyle w:val="Item"/>
      </w:pPr>
      <w:r w:rsidRPr="0011747E">
        <w:t>Add</w:t>
      </w:r>
      <w:r w:rsidR="00C253CA" w:rsidRPr="0011747E">
        <w:t>:</w:t>
      </w:r>
    </w:p>
    <w:p w:rsidR="00F417C1" w:rsidRPr="0011747E" w:rsidRDefault="00F417C1" w:rsidP="00C253CA">
      <w:pPr>
        <w:pStyle w:val="ActHead3"/>
      </w:pPr>
      <w:bookmarkStart w:id="14" w:name="_Toc396376217"/>
      <w:r w:rsidRPr="0011747E">
        <w:rPr>
          <w:rStyle w:val="CharDivNo"/>
        </w:rPr>
        <w:t>Division</w:t>
      </w:r>
      <w:r w:rsidR="0011747E" w:rsidRPr="0011747E">
        <w:rPr>
          <w:rStyle w:val="CharDivNo"/>
        </w:rPr>
        <w:t> </w:t>
      </w:r>
      <w:r w:rsidRPr="0011747E">
        <w:rPr>
          <w:rStyle w:val="CharDivNo"/>
        </w:rPr>
        <w:t>5.6</w:t>
      </w:r>
      <w:r w:rsidR="00C253CA" w:rsidRPr="0011747E">
        <w:t>—</w:t>
      </w:r>
      <w:r w:rsidRPr="0011747E">
        <w:rPr>
          <w:rStyle w:val="CharDivText"/>
        </w:rPr>
        <w:t>Fees</w:t>
      </w:r>
      <w:bookmarkEnd w:id="14"/>
    </w:p>
    <w:p w:rsidR="00BD0869" w:rsidRPr="0011747E" w:rsidRDefault="00BD0869" w:rsidP="00BD0869">
      <w:pPr>
        <w:pStyle w:val="ActHead4"/>
      </w:pPr>
      <w:bookmarkStart w:id="15" w:name="_Toc396376218"/>
      <w:r w:rsidRPr="0011747E">
        <w:rPr>
          <w:rStyle w:val="CharSubdNo"/>
        </w:rPr>
        <w:t>Subdivision A</w:t>
      </w:r>
      <w:r w:rsidRPr="0011747E">
        <w:t>—</w:t>
      </w:r>
      <w:r w:rsidRPr="0011747E">
        <w:rPr>
          <w:rStyle w:val="CharSubdText"/>
        </w:rPr>
        <w:t>Definitions and key concepts</w:t>
      </w:r>
      <w:bookmarkEnd w:id="15"/>
    </w:p>
    <w:p w:rsidR="00BD0869" w:rsidRPr="0011747E" w:rsidRDefault="00BD0869" w:rsidP="00BD0869">
      <w:pPr>
        <w:pStyle w:val="ActHead5"/>
      </w:pPr>
      <w:bookmarkStart w:id="16" w:name="_Toc396376219"/>
      <w:r w:rsidRPr="0011747E">
        <w:rPr>
          <w:rStyle w:val="CharSectno"/>
        </w:rPr>
        <w:t>5.12A</w:t>
      </w:r>
      <w:r w:rsidRPr="0011747E">
        <w:t xml:space="preserve">  Definitions</w:t>
      </w:r>
      <w:bookmarkEnd w:id="16"/>
    </w:p>
    <w:p w:rsidR="00BD0869" w:rsidRPr="0011747E" w:rsidRDefault="00BD0869" w:rsidP="00BD0869">
      <w:pPr>
        <w:pStyle w:val="subsection"/>
      </w:pPr>
      <w:r w:rsidRPr="0011747E">
        <w:tab/>
      </w:r>
      <w:r w:rsidRPr="0011747E">
        <w:tab/>
        <w:t>In this Division:</w:t>
      </w:r>
    </w:p>
    <w:p w:rsidR="003E70A8" w:rsidRPr="0011747E" w:rsidRDefault="003E70A8" w:rsidP="00CA73A6">
      <w:pPr>
        <w:pStyle w:val="Definition"/>
      </w:pPr>
      <w:r w:rsidRPr="0011747E">
        <w:rPr>
          <w:b/>
          <w:i/>
        </w:rPr>
        <w:t>aggregated turnover</w:t>
      </w:r>
      <w:r w:rsidR="00B74D92" w:rsidRPr="0011747E">
        <w:t xml:space="preserve"> has the sa</w:t>
      </w:r>
      <w:r w:rsidRPr="0011747E">
        <w:t>m</w:t>
      </w:r>
      <w:r w:rsidR="00B74D92" w:rsidRPr="0011747E">
        <w:t>e</w:t>
      </w:r>
      <w:r w:rsidRPr="0011747E">
        <w:t xml:space="preserve"> meaning as in the </w:t>
      </w:r>
      <w:r w:rsidR="00CF754D" w:rsidRPr="0011747E">
        <w:rPr>
          <w:i/>
        </w:rPr>
        <w:t>Income T</w:t>
      </w:r>
      <w:r w:rsidRPr="0011747E">
        <w:rPr>
          <w:i/>
        </w:rPr>
        <w:t>ax Assessment Act 1997</w:t>
      </w:r>
      <w:r w:rsidRPr="0011747E">
        <w:t>.</w:t>
      </w:r>
    </w:p>
    <w:p w:rsidR="00490932" w:rsidRPr="0011747E" w:rsidRDefault="00E62022" w:rsidP="00BE7AC7">
      <w:pPr>
        <w:pStyle w:val="Definition"/>
      </w:pPr>
      <w:r w:rsidRPr="0011747E">
        <w:rPr>
          <w:b/>
          <w:i/>
        </w:rPr>
        <w:t>application component</w:t>
      </w:r>
      <w:r w:rsidR="00490932" w:rsidRPr="0011747E">
        <w:t>: see subregulation</w:t>
      </w:r>
      <w:r w:rsidR="0011747E" w:rsidRPr="0011747E">
        <w:t> </w:t>
      </w:r>
      <w:r w:rsidR="00E83D70" w:rsidRPr="0011747E">
        <w:t>5.12</w:t>
      </w:r>
      <w:r w:rsidR="003B672B" w:rsidRPr="0011747E">
        <w:t>B</w:t>
      </w:r>
      <w:r w:rsidR="00490932" w:rsidRPr="0011747E">
        <w:t>(2).</w:t>
      </w:r>
    </w:p>
    <w:p w:rsidR="00A56C85" w:rsidRPr="0011747E" w:rsidRDefault="00A56C85" w:rsidP="00BD0869">
      <w:pPr>
        <w:pStyle w:val="Definition"/>
      </w:pPr>
      <w:r w:rsidRPr="0011747E">
        <w:rPr>
          <w:b/>
          <w:i/>
        </w:rPr>
        <w:t>base fee</w:t>
      </w:r>
      <w:r w:rsidR="00150958" w:rsidRPr="0011747E">
        <w:t xml:space="preserve"> </w:t>
      </w:r>
      <w:r w:rsidR="005C5479" w:rsidRPr="0011747E">
        <w:t>means the fee payable for assessing the impacts of an action and set out in the Subdivision that deals with the approach to be used for assessing the impacts of the action.</w:t>
      </w:r>
    </w:p>
    <w:p w:rsidR="00DD5184" w:rsidRPr="0011747E" w:rsidRDefault="00DD5184" w:rsidP="00BD0869">
      <w:pPr>
        <w:pStyle w:val="Definition"/>
      </w:pPr>
      <w:r w:rsidRPr="0011747E">
        <w:rPr>
          <w:b/>
          <w:i/>
        </w:rPr>
        <w:t>category</w:t>
      </w:r>
      <w:r w:rsidRPr="0011747E">
        <w:t>, in relation to a listed migratory species, means:</w:t>
      </w:r>
    </w:p>
    <w:p w:rsidR="00491A7A" w:rsidRPr="0011747E" w:rsidRDefault="00491A7A" w:rsidP="00491A7A">
      <w:pPr>
        <w:pStyle w:val="paragraph"/>
      </w:pPr>
      <w:r w:rsidRPr="0011747E">
        <w:tab/>
        <w:t>(a)</w:t>
      </w:r>
      <w:r w:rsidRPr="0011747E">
        <w:tab/>
        <w:t>a fish, other than a marine mammal or marine reptile; or</w:t>
      </w:r>
    </w:p>
    <w:p w:rsidR="00DD5184" w:rsidRPr="0011747E" w:rsidRDefault="00491A7A" w:rsidP="00DD5184">
      <w:pPr>
        <w:pStyle w:val="paragraph"/>
      </w:pPr>
      <w:r w:rsidRPr="0011747E">
        <w:tab/>
        <w:t>(b</w:t>
      </w:r>
      <w:r w:rsidR="00572F8D" w:rsidRPr="0011747E">
        <w:t>)</w:t>
      </w:r>
      <w:r w:rsidR="00572F8D" w:rsidRPr="0011747E">
        <w:tab/>
      </w:r>
      <w:r w:rsidR="00DD5184" w:rsidRPr="0011747E">
        <w:t>an insect;</w:t>
      </w:r>
      <w:r w:rsidR="00572F8D" w:rsidRPr="0011747E">
        <w:t xml:space="preserve"> or</w:t>
      </w:r>
    </w:p>
    <w:p w:rsidR="00DD5184" w:rsidRPr="0011747E" w:rsidRDefault="00572F8D" w:rsidP="00DD5184">
      <w:pPr>
        <w:pStyle w:val="paragraph"/>
      </w:pPr>
      <w:r w:rsidRPr="0011747E">
        <w:tab/>
        <w:t>(c)</w:t>
      </w:r>
      <w:r w:rsidRPr="0011747E">
        <w:tab/>
      </w:r>
      <w:r w:rsidR="00DD5184" w:rsidRPr="0011747E">
        <w:t>a marine mammal;</w:t>
      </w:r>
      <w:r w:rsidRPr="0011747E">
        <w:t xml:space="preserve"> or</w:t>
      </w:r>
    </w:p>
    <w:p w:rsidR="00572F8D" w:rsidRPr="0011747E" w:rsidRDefault="00572F8D" w:rsidP="00572F8D">
      <w:pPr>
        <w:pStyle w:val="paragraph"/>
      </w:pPr>
      <w:r w:rsidRPr="0011747E">
        <w:tab/>
        <w:t>(d)</w:t>
      </w:r>
      <w:r w:rsidRPr="0011747E">
        <w:tab/>
        <w:t>a reptile</w:t>
      </w:r>
      <w:r w:rsidR="007648DF" w:rsidRPr="0011747E">
        <w:t>, including a marine reptile</w:t>
      </w:r>
      <w:r w:rsidRPr="0011747E">
        <w:t>; or</w:t>
      </w:r>
    </w:p>
    <w:p w:rsidR="00DD5184" w:rsidRPr="0011747E" w:rsidRDefault="00572F8D" w:rsidP="000676CD">
      <w:pPr>
        <w:pStyle w:val="paragraph"/>
      </w:pPr>
      <w:r w:rsidRPr="0011747E">
        <w:tab/>
        <w:t>(e)</w:t>
      </w:r>
      <w:r w:rsidRPr="0011747E">
        <w:tab/>
      </w:r>
      <w:r w:rsidR="007B399C" w:rsidRPr="0011747E">
        <w:t xml:space="preserve">a </w:t>
      </w:r>
      <w:r w:rsidR="000676CD" w:rsidRPr="0011747E">
        <w:t>seabird;</w:t>
      </w:r>
      <w:r w:rsidRPr="0011747E">
        <w:t xml:space="preserve"> or</w:t>
      </w:r>
    </w:p>
    <w:p w:rsidR="00DD5184" w:rsidRPr="0011747E" w:rsidRDefault="00572F8D" w:rsidP="00DD5184">
      <w:pPr>
        <w:pStyle w:val="paragraph"/>
      </w:pPr>
      <w:r w:rsidRPr="0011747E">
        <w:tab/>
        <w:t>(f)</w:t>
      </w:r>
      <w:r w:rsidRPr="0011747E">
        <w:tab/>
      </w:r>
      <w:r w:rsidR="00DD5184" w:rsidRPr="0011747E">
        <w:t>a shorebird;</w:t>
      </w:r>
      <w:r w:rsidRPr="0011747E">
        <w:t xml:space="preserve"> or</w:t>
      </w:r>
    </w:p>
    <w:p w:rsidR="00DD5184" w:rsidRPr="0011747E" w:rsidRDefault="00572F8D" w:rsidP="00DD5184">
      <w:pPr>
        <w:pStyle w:val="paragraph"/>
      </w:pPr>
      <w:r w:rsidRPr="0011747E">
        <w:tab/>
        <w:t>(g)</w:t>
      </w:r>
      <w:r w:rsidRPr="0011747E">
        <w:tab/>
      </w:r>
      <w:r w:rsidR="00DD5184" w:rsidRPr="0011747E">
        <w:t>an</w:t>
      </w:r>
      <w:r w:rsidR="0038785C" w:rsidRPr="0011747E">
        <w:t xml:space="preserve">y </w:t>
      </w:r>
      <w:r w:rsidR="00DD5184" w:rsidRPr="0011747E">
        <w:t>other</w:t>
      </w:r>
      <w:r w:rsidR="0038785C" w:rsidRPr="0011747E">
        <w:t xml:space="preserve"> kind of</w:t>
      </w:r>
      <w:r w:rsidR="00DD5184" w:rsidRPr="0011747E">
        <w:t xml:space="preserve"> bird</w:t>
      </w:r>
      <w:r w:rsidR="006829C5" w:rsidRPr="0011747E">
        <w:t xml:space="preserve"> that is a listed migratory species.</w:t>
      </w:r>
    </w:p>
    <w:p w:rsidR="00B40CAC" w:rsidRPr="0011747E" w:rsidRDefault="00B40CAC" w:rsidP="00BD0869">
      <w:pPr>
        <w:pStyle w:val="Definition"/>
      </w:pPr>
      <w:r w:rsidRPr="0011747E">
        <w:rPr>
          <w:b/>
          <w:i/>
        </w:rPr>
        <w:t>complexity fee</w:t>
      </w:r>
      <w:r w:rsidRPr="0011747E">
        <w:t xml:space="preserve"> means the </w:t>
      </w:r>
      <w:r w:rsidR="00C228C3" w:rsidRPr="0011747E">
        <w:t>sum</w:t>
      </w:r>
      <w:r w:rsidRPr="0011747E">
        <w:t xml:space="preserve"> of the following amounts:</w:t>
      </w:r>
    </w:p>
    <w:p w:rsidR="00871488" w:rsidRPr="0011747E" w:rsidRDefault="00572F8D" w:rsidP="00871488">
      <w:pPr>
        <w:pStyle w:val="paragraph"/>
      </w:pPr>
      <w:r w:rsidRPr="0011747E">
        <w:tab/>
        <w:t>(a)</w:t>
      </w:r>
      <w:r w:rsidRPr="0011747E">
        <w:tab/>
      </w:r>
      <w:r w:rsidR="00871488" w:rsidRPr="0011747E">
        <w:t>if applicable—the fee payable for each application component;</w:t>
      </w:r>
    </w:p>
    <w:p w:rsidR="00DB4236" w:rsidRPr="0011747E" w:rsidRDefault="00572F8D" w:rsidP="00DB4236">
      <w:pPr>
        <w:pStyle w:val="paragraph"/>
      </w:pPr>
      <w:r w:rsidRPr="0011747E">
        <w:tab/>
        <w:t>(b)</w:t>
      </w:r>
      <w:r w:rsidRPr="0011747E">
        <w:tab/>
      </w:r>
      <w:r w:rsidR="00423570" w:rsidRPr="0011747E">
        <w:t>if applicable—</w:t>
      </w:r>
      <w:r w:rsidR="00DB4236" w:rsidRPr="0011747E">
        <w:t>the fee payable for each applicable controlling provision component;</w:t>
      </w:r>
    </w:p>
    <w:p w:rsidR="00871488" w:rsidRPr="0011747E" w:rsidRDefault="00572F8D" w:rsidP="00871488">
      <w:pPr>
        <w:pStyle w:val="paragraph"/>
      </w:pPr>
      <w:r w:rsidRPr="0011747E">
        <w:tab/>
        <w:t>(c)</w:t>
      </w:r>
      <w:r w:rsidRPr="0011747E">
        <w:tab/>
      </w:r>
      <w:r w:rsidR="00871488" w:rsidRPr="0011747E">
        <w:t>if applicable—the fee payable for the exceptional case component;</w:t>
      </w:r>
    </w:p>
    <w:p w:rsidR="00C228C3" w:rsidRPr="0011747E" w:rsidRDefault="00572F8D" w:rsidP="00C228C3">
      <w:pPr>
        <w:pStyle w:val="paragraph"/>
      </w:pPr>
      <w:r w:rsidRPr="0011747E">
        <w:tab/>
        <w:t>(d)</w:t>
      </w:r>
      <w:r w:rsidRPr="0011747E">
        <w:tab/>
      </w:r>
      <w:r w:rsidR="00423570" w:rsidRPr="0011747E">
        <w:t>if applicable—</w:t>
      </w:r>
      <w:r w:rsidR="00C228C3" w:rsidRPr="0011747E">
        <w:t xml:space="preserve">the fee payable for </w:t>
      </w:r>
      <w:r w:rsidR="00F227D1" w:rsidRPr="0011747E">
        <w:t>the</w:t>
      </w:r>
      <w:r w:rsidR="00C228C3" w:rsidRPr="0011747E">
        <w:t xml:space="preserve"> legislative impact component;</w:t>
      </w:r>
    </w:p>
    <w:p w:rsidR="003E6726" w:rsidRPr="0011747E" w:rsidRDefault="00572F8D" w:rsidP="003E6726">
      <w:pPr>
        <w:pStyle w:val="paragraph"/>
      </w:pPr>
      <w:r w:rsidRPr="0011747E">
        <w:tab/>
        <w:t>(e)</w:t>
      </w:r>
      <w:r w:rsidRPr="0011747E">
        <w:tab/>
      </w:r>
      <w:r w:rsidR="003E6726" w:rsidRPr="0011747E">
        <w:t xml:space="preserve">if applicable—the fee payable for the number of </w:t>
      </w:r>
      <w:r w:rsidR="00871488" w:rsidRPr="0011747E">
        <w:t>project components.</w:t>
      </w:r>
    </w:p>
    <w:p w:rsidR="00490932" w:rsidRPr="0011747E" w:rsidRDefault="005D7610" w:rsidP="00BD0869">
      <w:pPr>
        <w:pStyle w:val="Definition"/>
      </w:pPr>
      <w:r w:rsidRPr="0011747E">
        <w:rPr>
          <w:b/>
          <w:i/>
        </w:rPr>
        <w:t>controlling provision componen</w:t>
      </w:r>
      <w:r w:rsidR="00490932" w:rsidRPr="0011747E">
        <w:rPr>
          <w:b/>
          <w:i/>
        </w:rPr>
        <w:t>t</w:t>
      </w:r>
      <w:r w:rsidR="00490932" w:rsidRPr="0011747E">
        <w:t>: see subregulation</w:t>
      </w:r>
      <w:r w:rsidR="0011747E" w:rsidRPr="0011747E">
        <w:t> </w:t>
      </w:r>
      <w:r w:rsidR="00E83D70" w:rsidRPr="0011747E">
        <w:t>5.12B</w:t>
      </w:r>
      <w:r w:rsidR="00490932" w:rsidRPr="0011747E">
        <w:t>(3).</w:t>
      </w:r>
    </w:p>
    <w:p w:rsidR="00490932" w:rsidRPr="0011747E" w:rsidRDefault="0017718B" w:rsidP="00490932">
      <w:pPr>
        <w:pStyle w:val="Definition"/>
      </w:pPr>
      <w:r w:rsidRPr="0011747E">
        <w:rPr>
          <w:b/>
          <w:i/>
        </w:rPr>
        <w:t xml:space="preserve">exceptional </w:t>
      </w:r>
      <w:r w:rsidR="00D803A1" w:rsidRPr="0011747E">
        <w:rPr>
          <w:b/>
          <w:i/>
        </w:rPr>
        <w:t>case</w:t>
      </w:r>
      <w:r w:rsidR="003D22D1" w:rsidRPr="0011747E">
        <w:rPr>
          <w:b/>
          <w:i/>
        </w:rPr>
        <w:t xml:space="preserve"> component</w:t>
      </w:r>
      <w:r w:rsidR="00490932" w:rsidRPr="0011747E">
        <w:t>: see subregulation</w:t>
      </w:r>
      <w:r w:rsidR="0011747E" w:rsidRPr="0011747E">
        <w:t> </w:t>
      </w:r>
      <w:r w:rsidR="00E83D70" w:rsidRPr="0011747E">
        <w:t>5.12B</w:t>
      </w:r>
      <w:r w:rsidR="00490932" w:rsidRPr="0011747E">
        <w:t>(4).</w:t>
      </w:r>
    </w:p>
    <w:p w:rsidR="00F227D1" w:rsidRPr="0011747E" w:rsidRDefault="00F227D1" w:rsidP="00BD0869">
      <w:pPr>
        <w:pStyle w:val="Definition"/>
      </w:pPr>
      <w:r w:rsidRPr="0011747E">
        <w:rPr>
          <w:b/>
          <w:i/>
        </w:rPr>
        <w:t>extinct in the wild</w:t>
      </w:r>
      <w:r w:rsidRPr="0011747E">
        <w:t xml:space="preserve"> has the same meaning as in section</w:t>
      </w:r>
      <w:r w:rsidR="0011747E" w:rsidRPr="0011747E">
        <w:t> </w:t>
      </w:r>
      <w:r w:rsidRPr="0011747E">
        <w:t>528 of the Act.</w:t>
      </w:r>
    </w:p>
    <w:p w:rsidR="00B86332" w:rsidRPr="0011747E" w:rsidRDefault="00BD0869" w:rsidP="00BD0869">
      <w:pPr>
        <w:pStyle w:val="Definition"/>
      </w:pPr>
      <w:r w:rsidRPr="0011747E">
        <w:rPr>
          <w:b/>
          <w:i/>
        </w:rPr>
        <w:t>high complexity</w:t>
      </w:r>
      <w:r w:rsidR="00B86332" w:rsidRPr="0011747E">
        <w:t>:</w:t>
      </w:r>
    </w:p>
    <w:p w:rsidR="00B86332" w:rsidRPr="0011747E" w:rsidRDefault="00572F8D" w:rsidP="00B86332">
      <w:pPr>
        <w:pStyle w:val="paragraph"/>
      </w:pPr>
      <w:r w:rsidRPr="0011747E">
        <w:tab/>
        <w:t>(a)</w:t>
      </w:r>
      <w:r w:rsidRPr="0011747E">
        <w:tab/>
      </w:r>
      <w:r w:rsidR="00BD0869" w:rsidRPr="0011747E">
        <w:t>in relation to a</w:t>
      </w:r>
      <w:r w:rsidR="003E6726" w:rsidRPr="0011747E">
        <w:t>n application</w:t>
      </w:r>
      <w:r w:rsidR="00BD0869" w:rsidRPr="0011747E">
        <w:t xml:space="preserve"> component</w:t>
      </w:r>
      <w:r w:rsidR="00B86332" w:rsidRPr="0011747E">
        <w:t>: see subregulation</w:t>
      </w:r>
      <w:r w:rsidR="0011747E" w:rsidRPr="0011747E">
        <w:t> </w:t>
      </w:r>
      <w:r w:rsidR="00B86332" w:rsidRPr="0011747E">
        <w:t>5.12</w:t>
      </w:r>
      <w:r w:rsidR="003B672B" w:rsidRPr="0011747E">
        <w:t>C</w:t>
      </w:r>
      <w:r w:rsidR="00B86332" w:rsidRPr="0011747E">
        <w:t>(1); and</w:t>
      </w:r>
    </w:p>
    <w:p w:rsidR="00B86332" w:rsidRPr="0011747E" w:rsidRDefault="00572F8D" w:rsidP="00B86332">
      <w:pPr>
        <w:pStyle w:val="paragraph"/>
      </w:pPr>
      <w:r w:rsidRPr="0011747E">
        <w:tab/>
        <w:t>(b)</w:t>
      </w:r>
      <w:r w:rsidRPr="0011747E">
        <w:tab/>
      </w:r>
      <w:r w:rsidR="00B86332" w:rsidRPr="0011747E">
        <w:t>in relation to a controlling provision component: see subregulation</w:t>
      </w:r>
      <w:r w:rsidR="0011747E" w:rsidRPr="0011747E">
        <w:t> </w:t>
      </w:r>
      <w:r w:rsidR="003B672B" w:rsidRPr="0011747E">
        <w:t>5.12D</w:t>
      </w:r>
      <w:r w:rsidR="00590CF9" w:rsidRPr="0011747E">
        <w:t>(2); and</w:t>
      </w:r>
    </w:p>
    <w:p w:rsidR="00B86332" w:rsidRPr="0011747E" w:rsidRDefault="00572F8D" w:rsidP="00B86332">
      <w:pPr>
        <w:pStyle w:val="paragraph"/>
      </w:pPr>
      <w:r w:rsidRPr="0011747E">
        <w:tab/>
        <w:t>(c)</w:t>
      </w:r>
      <w:r w:rsidRPr="0011747E">
        <w:tab/>
      </w:r>
      <w:r w:rsidR="00B86332" w:rsidRPr="0011747E">
        <w:t xml:space="preserve">in relation to a </w:t>
      </w:r>
      <w:r w:rsidR="003E6726" w:rsidRPr="0011747E">
        <w:t>legislative impact component</w:t>
      </w:r>
      <w:r w:rsidR="00B86332" w:rsidRPr="0011747E">
        <w:t>: see</w:t>
      </w:r>
      <w:r w:rsidR="003E6726" w:rsidRPr="0011747E">
        <w:t xml:space="preserve"> </w:t>
      </w:r>
      <w:r w:rsidR="00B86332" w:rsidRPr="0011747E">
        <w:t>subregulation</w:t>
      </w:r>
      <w:r w:rsidR="0011747E" w:rsidRPr="0011747E">
        <w:t> </w:t>
      </w:r>
      <w:r w:rsidR="00B86332" w:rsidRPr="0011747E">
        <w:t>5.12</w:t>
      </w:r>
      <w:r w:rsidR="003B672B" w:rsidRPr="0011747E">
        <w:t>F</w:t>
      </w:r>
      <w:r w:rsidR="0022762D" w:rsidRPr="0011747E">
        <w:t>(</w:t>
      </w:r>
      <w:r w:rsidR="00435C05" w:rsidRPr="0011747E">
        <w:t>4</w:t>
      </w:r>
      <w:r w:rsidR="0022762D" w:rsidRPr="0011747E">
        <w:t>)</w:t>
      </w:r>
      <w:r w:rsidR="004533C4" w:rsidRPr="0011747E">
        <w:t>.</w:t>
      </w:r>
    </w:p>
    <w:p w:rsidR="00284219" w:rsidRPr="0011747E" w:rsidRDefault="00284219" w:rsidP="00284219">
      <w:pPr>
        <w:pStyle w:val="Definition"/>
      </w:pPr>
      <w:r w:rsidRPr="0011747E">
        <w:rPr>
          <w:b/>
          <w:i/>
        </w:rPr>
        <w:t>income year</w:t>
      </w:r>
      <w:r w:rsidRPr="0011747E">
        <w:t xml:space="preserve"> has the same meaning as in the </w:t>
      </w:r>
      <w:r w:rsidRPr="0011747E">
        <w:rPr>
          <w:i/>
        </w:rPr>
        <w:t>Income Tax Assessment Act 1997</w:t>
      </w:r>
      <w:r w:rsidRPr="0011747E">
        <w:t>.</w:t>
      </w:r>
    </w:p>
    <w:p w:rsidR="00490932" w:rsidRPr="0011747E" w:rsidRDefault="00F320CA" w:rsidP="00490932">
      <w:pPr>
        <w:pStyle w:val="Definition"/>
      </w:pPr>
      <w:r w:rsidRPr="0011747E">
        <w:rPr>
          <w:b/>
          <w:i/>
        </w:rPr>
        <w:t>legislative impact component</w:t>
      </w:r>
      <w:r w:rsidR="00490932" w:rsidRPr="0011747E">
        <w:t>: see subregulation</w:t>
      </w:r>
      <w:r w:rsidR="0011747E" w:rsidRPr="0011747E">
        <w:t> </w:t>
      </w:r>
      <w:r w:rsidR="00E83D70" w:rsidRPr="0011747E">
        <w:t>5.12B</w:t>
      </w:r>
      <w:r w:rsidR="00490932" w:rsidRPr="0011747E">
        <w:t>(5).</w:t>
      </w:r>
    </w:p>
    <w:p w:rsidR="00E4746D" w:rsidRPr="0011747E" w:rsidRDefault="00BD0869" w:rsidP="004533C4">
      <w:pPr>
        <w:pStyle w:val="Definition"/>
      </w:pPr>
      <w:r w:rsidRPr="0011747E">
        <w:rPr>
          <w:b/>
          <w:i/>
        </w:rPr>
        <w:t>low complexity</w:t>
      </w:r>
      <w:r w:rsidR="00E4746D" w:rsidRPr="0011747E">
        <w:t>:</w:t>
      </w:r>
    </w:p>
    <w:p w:rsidR="00E4746D" w:rsidRPr="0011747E" w:rsidRDefault="00572F8D" w:rsidP="00E4746D">
      <w:pPr>
        <w:pStyle w:val="paragraph"/>
      </w:pPr>
      <w:r w:rsidRPr="0011747E">
        <w:tab/>
        <w:t>(a)</w:t>
      </w:r>
      <w:r w:rsidRPr="0011747E">
        <w:tab/>
      </w:r>
      <w:r w:rsidR="00E4746D" w:rsidRPr="0011747E">
        <w:t>in relation to an application component: see subregulation</w:t>
      </w:r>
      <w:r w:rsidR="0011747E" w:rsidRPr="0011747E">
        <w:t> </w:t>
      </w:r>
      <w:r w:rsidR="00E4746D" w:rsidRPr="0011747E">
        <w:t>5.12</w:t>
      </w:r>
      <w:r w:rsidR="003B672B" w:rsidRPr="0011747E">
        <w:t>C</w:t>
      </w:r>
      <w:r w:rsidR="00E4746D" w:rsidRPr="0011747E">
        <w:t>(1); and</w:t>
      </w:r>
    </w:p>
    <w:p w:rsidR="00435C05" w:rsidRPr="0011747E" w:rsidRDefault="00572F8D" w:rsidP="00E4746D">
      <w:pPr>
        <w:pStyle w:val="paragraph"/>
      </w:pPr>
      <w:r w:rsidRPr="0011747E">
        <w:tab/>
        <w:t>(b)</w:t>
      </w:r>
      <w:r w:rsidRPr="0011747E">
        <w:tab/>
      </w:r>
      <w:r w:rsidR="00435C05" w:rsidRPr="0011747E">
        <w:t>in relation to a legislative impact component: see subregu</w:t>
      </w:r>
      <w:r w:rsidR="001B72A5" w:rsidRPr="0011747E">
        <w:t>lation</w:t>
      </w:r>
      <w:r w:rsidR="0011747E" w:rsidRPr="0011747E">
        <w:t> </w:t>
      </w:r>
      <w:r w:rsidR="003B672B" w:rsidRPr="0011747E">
        <w:t>5.12F</w:t>
      </w:r>
      <w:r w:rsidR="004533C4" w:rsidRPr="0011747E">
        <w:t>(2).</w:t>
      </w:r>
    </w:p>
    <w:p w:rsidR="0080393A" w:rsidRPr="0011747E" w:rsidRDefault="0080393A" w:rsidP="001773AB">
      <w:pPr>
        <w:pStyle w:val="Definition"/>
      </w:pPr>
      <w:r w:rsidRPr="0011747E">
        <w:rPr>
          <w:b/>
          <w:i/>
        </w:rPr>
        <w:t>matter protected</w:t>
      </w:r>
      <w:r w:rsidRPr="0011747E">
        <w:t xml:space="preserve"> by a provision of Part</w:t>
      </w:r>
      <w:r w:rsidR="0011747E" w:rsidRPr="0011747E">
        <w:t> </w:t>
      </w:r>
      <w:r w:rsidRPr="0011747E">
        <w:t>3 has the same</w:t>
      </w:r>
      <w:r w:rsidR="00FE0E82" w:rsidRPr="0011747E">
        <w:t xml:space="preserve"> meaning as in</w:t>
      </w:r>
      <w:r w:rsidR="00F227D1" w:rsidRPr="0011747E">
        <w:t xml:space="preserve"> section</w:t>
      </w:r>
      <w:r w:rsidR="0011747E" w:rsidRPr="0011747E">
        <w:t> </w:t>
      </w:r>
      <w:r w:rsidR="00F227D1" w:rsidRPr="0011747E">
        <w:t>528 of</w:t>
      </w:r>
      <w:r w:rsidR="00FE0E82" w:rsidRPr="0011747E">
        <w:t xml:space="preserve"> the Act.</w:t>
      </w:r>
    </w:p>
    <w:p w:rsidR="00590CF9" w:rsidRPr="0011747E" w:rsidRDefault="00BD0869" w:rsidP="001773AB">
      <w:pPr>
        <w:pStyle w:val="Definition"/>
      </w:pPr>
      <w:r w:rsidRPr="0011747E">
        <w:rPr>
          <w:b/>
          <w:i/>
        </w:rPr>
        <w:t>moderate complexity</w:t>
      </w:r>
      <w:r w:rsidR="00590CF9" w:rsidRPr="0011747E">
        <w:t>:</w:t>
      </w:r>
    </w:p>
    <w:p w:rsidR="00590CF9" w:rsidRPr="0011747E" w:rsidRDefault="00572F8D" w:rsidP="00590CF9">
      <w:pPr>
        <w:pStyle w:val="paragraph"/>
      </w:pPr>
      <w:r w:rsidRPr="0011747E">
        <w:tab/>
        <w:t>(a)</w:t>
      </w:r>
      <w:r w:rsidRPr="0011747E">
        <w:tab/>
      </w:r>
      <w:r w:rsidR="00590CF9" w:rsidRPr="0011747E">
        <w:t>in relation to an application component: see subregulation</w:t>
      </w:r>
      <w:r w:rsidR="0011747E" w:rsidRPr="0011747E">
        <w:t> </w:t>
      </w:r>
      <w:r w:rsidR="003B672B" w:rsidRPr="0011747E">
        <w:t>5.12C</w:t>
      </w:r>
      <w:r w:rsidR="00590CF9" w:rsidRPr="0011747E">
        <w:t>(1); and</w:t>
      </w:r>
    </w:p>
    <w:p w:rsidR="00435C05" w:rsidRPr="0011747E" w:rsidRDefault="00572F8D" w:rsidP="00435C05">
      <w:pPr>
        <w:pStyle w:val="paragraph"/>
      </w:pPr>
      <w:r w:rsidRPr="0011747E">
        <w:tab/>
        <w:t>(b)</w:t>
      </w:r>
      <w:r w:rsidRPr="0011747E">
        <w:tab/>
      </w:r>
      <w:r w:rsidR="00435C05" w:rsidRPr="0011747E">
        <w:t>in relation to a controlling provision component: see subregulation</w:t>
      </w:r>
      <w:r w:rsidR="0011747E" w:rsidRPr="0011747E">
        <w:t> </w:t>
      </w:r>
      <w:r w:rsidR="003B672B" w:rsidRPr="0011747E">
        <w:t>5.12D</w:t>
      </w:r>
      <w:r w:rsidR="00435C05" w:rsidRPr="0011747E">
        <w:t>(2); and</w:t>
      </w:r>
    </w:p>
    <w:p w:rsidR="00590CF9" w:rsidRPr="0011747E" w:rsidRDefault="00572F8D" w:rsidP="00590CF9">
      <w:pPr>
        <w:pStyle w:val="paragraph"/>
      </w:pPr>
      <w:r w:rsidRPr="0011747E">
        <w:tab/>
        <w:t>(c)</w:t>
      </w:r>
      <w:r w:rsidRPr="0011747E">
        <w:tab/>
      </w:r>
      <w:r w:rsidR="00590CF9" w:rsidRPr="0011747E">
        <w:t>in relation to a legislative impact component: see subregulation</w:t>
      </w:r>
      <w:r w:rsidR="0011747E" w:rsidRPr="0011747E">
        <w:t> </w:t>
      </w:r>
      <w:r w:rsidR="00590CF9" w:rsidRPr="0011747E">
        <w:t>5.12</w:t>
      </w:r>
      <w:r w:rsidR="003B672B" w:rsidRPr="0011747E">
        <w:t>F</w:t>
      </w:r>
      <w:r w:rsidR="004533C4" w:rsidRPr="0011747E">
        <w:t>(3).</w:t>
      </w:r>
    </w:p>
    <w:p w:rsidR="0063711A" w:rsidRPr="0011747E" w:rsidRDefault="0063711A" w:rsidP="0063711A">
      <w:pPr>
        <w:pStyle w:val="Definition"/>
      </w:pPr>
      <w:r w:rsidRPr="0011747E">
        <w:rPr>
          <w:b/>
          <w:i/>
        </w:rPr>
        <w:t>point value</w:t>
      </w:r>
      <w:r w:rsidRPr="0011747E">
        <w:t xml:space="preserve"> means:</w:t>
      </w:r>
    </w:p>
    <w:p w:rsidR="0063711A" w:rsidRPr="0011747E" w:rsidRDefault="00572F8D" w:rsidP="0063711A">
      <w:pPr>
        <w:pStyle w:val="paragraph"/>
      </w:pPr>
      <w:r w:rsidRPr="0011747E">
        <w:tab/>
        <w:t>(a)</w:t>
      </w:r>
      <w:r w:rsidRPr="0011747E">
        <w:tab/>
      </w:r>
      <w:r w:rsidR="0063711A" w:rsidRPr="0011747E">
        <w:t>2 points for each listed threatened species</w:t>
      </w:r>
      <w:r w:rsidR="00982FC1" w:rsidRPr="0011747E">
        <w:t xml:space="preserve"> or listed threatened ecological community</w:t>
      </w:r>
      <w:r w:rsidR="0063711A" w:rsidRPr="0011747E">
        <w:t xml:space="preserve"> included in the cr</w:t>
      </w:r>
      <w:r w:rsidR="00F45CBA" w:rsidRPr="0011747E">
        <w:t>itically endangered category; and</w:t>
      </w:r>
    </w:p>
    <w:p w:rsidR="0063711A" w:rsidRPr="0011747E" w:rsidRDefault="00572F8D" w:rsidP="0063711A">
      <w:pPr>
        <w:pStyle w:val="paragraph"/>
      </w:pPr>
      <w:r w:rsidRPr="0011747E">
        <w:tab/>
        <w:t>(b)</w:t>
      </w:r>
      <w:r w:rsidRPr="0011747E">
        <w:tab/>
      </w:r>
      <w:r w:rsidR="0063711A" w:rsidRPr="0011747E">
        <w:t>1 point for each listed threatened species included in:</w:t>
      </w:r>
    </w:p>
    <w:p w:rsidR="0063711A" w:rsidRPr="0011747E" w:rsidRDefault="0063711A" w:rsidP="0063711A">
      <w:pPr>
        <w:pStyle w:val="paragraphsub"/>
      </w:pPr>
      <w:r w:rsidRPr="0011747E">
        <w:tab/>
        <w:t>(i)</w:t>
      </w:r>
      <w:r w:rsidRPr="0011747E">
        <w:tab/>
        <w:t>the extinct in the wild category;</w:t>
      </w:r>
      <w:r w:rsidR="00982FC1" w:rsidRPr="0011747E">
        <w:t xml:space="preserve"> or</w:t>
      </w:r>
    </w:p>
    <w:p w:rsidR="0063711A" w:rsidRPr="0011747E" w:rsidRDefault="0063711A" w:rsidP="0063711A">
      <w:pPr>
        <w:pStyle w:val="paragraphsub"/>
      </w:pPr>
      <w:r w:rsidRPr="0011747E">
        <w:tab/>
        <w:t>(ii)</w:t>
      </w:r>
      <w:r w:rsidRPr="0011747E">
        <w:tab/>
        <w:t>the endangered category;</w:t>
      </w:r>
      <w:r w:rsidR="00982FC1" w:rsidRPr="0011747E">
        <w:t xml:space="preserve"> or</w:t>
      </w:r>
    </w:p>
    <w:p w:rsidR="0063711A" w:rsidRPr="0011747E" w:rsidRDefault="0063711A" w:rsidP="0063711A">
      <w:pPr>
        <w:pStyle w:val="paragraphsub"/>
      </w:pPr>
      <w:r w:rsidRPr="0011747E">
        <w:tab/>
        <w:t>(iii)</w:t>
      </w:r>
      <w:r w:rsidRPr="0011747E">
        <w:tab/>
        <w:t>the vulnerable category;</w:t>
      </w:r>
      <w:r w:rsidR="00F45CBA" w:rsidRPr="0011747E">
        <w:t xml:space="preserve"> and</w:t>
      </w:r>
    </w:p>
    <w:p w:rsidR="00B62B57" w:rsidRPr="0011747E" w:rsidRDefault="00572F8D" w:rsidP="00011E1C">
      <w:pPr>
        <w:pStyle w:val="paragraph"/>
      </w:pPr>
      <w:r w:rsidRPr="0011747E">
        <w:tab/>
        <w:t>(c)</w:t>
      </w:r>
      <w:r w:rsidRPr="0011747E">
        <w:tab/>
      </w:r>
      <w:r w:rsidR="00982FC1" w:rsidRPr="0011747E">
        <w:t xml:space="preserve">1 point for each </w:t>
      </w:r>
      <w:r w:rsidR="00B62B57" w:rsidRPr="0011747E">
        <w:t>listed threatened ecological community included in the endangered category</w:t>
      </w:r>
      <w:r w:rsidR="00CB6CF5" w:rsidRPr="0011747E">
        <w:t>.</w:t>
      </w:r>
    </w:p>
    <w:p w:rsidR="00BE7AC7" w:rsidRPr="0011747E" w:rsidRDefault="00BE7AC7" w:rsidP="00BD0869">
      <w:pPr>
        <w:pStyle w:val="Definition"/>
      </w:pPr>
      <w:r w:rsidRPr="0011747E">
        <w:rPr>
          <w:b/>
          <w:i/>
        </w:rPr>
        <w:t>project component</w:t>
      </w:r>
      <w:r w:rsidR="00490932" w:rsidRPr="0011747E">
        <w:t>: see subregulation</w:t>
      </w:r>
      <w:r w:rsidR="0011747E" w:rsidRPr="0011747E">
        <w:t> </w:t>
      </w:r>
      <w:r w:rsidR="00E83D70" w:rsidRPr="0011747E">
        <w:t>5.12B</w:t>
      </w:r>
      <w:r w:rsidR="00490932" w:rsidRPr="0011747E">
        <w:t>(6).</w:t>
      </w:r>
    </w:p>
    <w:p w:rsidR="004A63FA" w:rsidRPr="0011747E" w:rsidRDefault="004A63FA" w:rsidP="00BD0869">
      <w:pPr>
        <w:pStyle w:val="Definition"/>
      </w:pPr>
      <w:r w:rsidRPr="0011747E">
        <w:rPr>
          <w:b/>
          <w:i/>
        </w:rPr>
        <w:t>referral fee</w:t>
      </w:r>
      <w:r w:rsidRPr="0011747E">
        <w:t xml:space="preserve"> means the fee mentioned in subregulation</w:t>
      </w:r>
      <w:r w:rsidR="0011747E" w:rsidRPr="0011747E">
        <w:t> </w:t>
      </w:r>
      <w:r w:rsidRPr="0011747E">
        <w:t>4.02(2).</w:t>
      </w:r>
    </w:p>
    <w:p w:rsidR="000676CD" w:rsidRPr="0011747E" w:rsidRDefault="000676CD" w:rsidP="00BD0869">
      <w:pPr>
        <w:pStyle w:val="Definition"/>
      </w:pPr>
      <w:r w:rsidRPr="0011747E">
        <w:rPr>
          <w:b/>
          <w:i/>
        </w:rPr>
        <w:t>seabird</w:t>
      </w:r>
      <w:r w:rsidRPr="0011747E">
        <w:t xml:space="preserve"> means:</w:t>
      </w:r>
    </w:p>
    <w:p w:rsidR="000676CD" w:rsidRPr="0011747E" w:rsidRDefault="000676CD" w:rsidP="000676CD">
      <w:pPr>
        <w:pStyle w:val="paragraph"/>
      </w:pPr>
      <w:r w:rsidRPr="0011747E">
        <w:tab/>
        <w:t>(a)</w:t>
      </w:r>
      <w:r w:rsidRPr="0011747E">
        <w:tab/>
        <w:t xml:space="preserve">a bird that is </w:t>
      </w:r>
      <w:r w:rsidR="00EE3978" w:rsidRPr="0011747E">
        <w:t xml:space="preserve">a </w:t>
      </w:r>
      <w:r w:rsidRPr="0011747E">
        <w:t>listed migratory species; and</w:t>
      </w:r>
    </w:p>
    <w:p w:rsidR="000676CD" w:rsidRPr="0011747E" w:rsidRDefault="000676CD" w:rsidP="000676CD">
      <w:pPr>
        <w:pStyle w:val="paragraph"/>
      </w:pPr>
      <w:r w:rsidRPr="0011747E">
        <w:tab/>
        <w:t>(b)</w:t>
      </w:r>
      <w:r w:rsidRPr="0011747E">
        <w:tab/>
        <w:t>a member of the following taxonomic families:</w:t>
      </w:r>
    </w:p>
    <w:p w:rsidR="00D174EF" w:rsidRPr="0011747E" w:rsidRDefault="00D174EF" w:rsidP="00D174EF">
      <w:pPr>
        <w:pStyle w:val="paragraphsub"/>
      </w:pPr>
      <w:r w:rsidRPr="0011747E">
        <w:tab/>
        <w:t>(i)</w:t>
      </w:r>
      <w:r w:rsidRPr="0011747E">
        <w:tab/>
        <w:t>all species in the Family Diomedeidae;</w:t>
      </w:r>
    </w:p>
    <w:p w:rsidR="00AD1E2E" w:rsidRPr="0011747E" w:rsidRDefault="00AD1E2E" w:rsidP="00AD1E2E">
      <w:pPr>
        <w:pStyle w:val="paragraphsub"/>
      </w:pPr>
      <w:r w:rsidRPr="0011747E">
        <w:tab/>
        <w:t>(ii)</w:t>
      </w:r>
      <w:r w:rsidRPr="0011747E">
        <w:tab/>
        <w:t>all species in the Family Fregatidae;</w:t>
      </w:r>
    </w:p>
    <w:p w:rsidR="00AD1E2E" w:rsidRPr="0011747E" w:rsidRDefault="00AD1E2E" w:rsidP="00AD1E2E">
      <w:pPr>
        <w:pStyle w:val="paragraphsub"/>
      </w:pPr>
      <w:r w:rsidRPr="0011747E">
        <w:tab/>
        <w:t>(iii)</w:t>
      </w:r>
      <w:r w:rsidRPr="0011747E">
        <w:tab/>
        <w:t>all species in the Family Hydrobatidae;</w:t>
      </w:r>
    </w:p>
    <w:p w:rsidR="00AD1E2E" w:rsidRPr="0011747E" w:rsidRDefault="00AD1E2E" w:rsidP="00AD1E2E">
      <w:pPr>
        <w:pStyle w:val="paragraphsub"/>
      </w:pPr>
      <w:r w:rsidRPr="0011747E">
        <w:tab/>
        <w:t>(iv)</w:t>
      </w:r>
      <w:r w:rsidRPr="0011747E">
        <w:tab/>
        <w:t>all species in the Family Laridae;</w:t>
      </w:r>
    </w:p>
    <w:p w:rsidR="00AD1E2E" w:rsidRPr="0011747E" w:rsidRDefault="00AD1E2E" w:rsidP="00AD1E2E">
      <w:pPr>
        <w:pStyle w:val="paragraphsub"/>
      </w:pPr>
      <w:r w:rsidRPr="0011747E">
        <w:tab/>
        <w:t>(v)</w:t>
      </w:r>
      <w:r w:rsidRPr="0011747E">
        <w:tab/>
        <w:t xml:space="preserve">all species in the Family </w:t>
      </w:r>
      <w:r w:rsidR="00465DF1" w:rsidRPr="0011747E">
        <w:t>Ocean</w:t>
      </w:r>
      <w:r w:rsidRPr="0011747E">
        <w:t>iidae;</w:t>
      </w:r>
    </w:p>
    <w:p w:rsidR="000676CD" w:rsidRPr="0011747E" w:rsidRDefault="00AD1E2E" w:rsidP="000676CD">
      <w:pPr>
        <w:pStyle w:val="paragraphsub"/>
      </w:pPr>
      <w:r w:rsidRPr="0011747E">
        <w:tab/>
        <w:t>(vi</w:t>
      </w:r>
      <w:r w:rsidR="000676CD" w:rsidRPr="0011747E">
        <w:t>)</w:t>
      </w:r>
      <w:r w:rsidR="000676CD" w:rsidRPr="0011747E">
        <w:tab/>
      </w:r>
      <w:r w:rsidR="006829C5" w:rsidRPr="0011747E">
        <w:t xml:space="preserve">all species in the Family </w:t>
      </w:r>
      <w:r w:rsidR="000676CD" w:rsidRPr="0011747E">
        <w:t>Phaethontidae;</w:t>
      </w:r>
    </w:p>
    <w:p w:rsidR="00AD1E2E" w:rsidRPr="0011747E" w:rsidRDefault="00AD1E2E" w:rsidP="00AD1E2E">
      <w:pPr>
        <w:pStyle w:val="paragraphsub"/>
      </w:pPr>
      <w:r w:rsidRPr="0011747E">
        <w:tab/>
        <w:t>(vii)</w:t>
      </w:r>
      <w:r w:rsidRPr="0011747E">
        <w:tab/>
        <w:t>all species in the Family Stercorariidae;</w:t>
      </w:r>
    </w:p>
    <w:p w:rsidR="000676CD" w:rsidRPr="0011747E" w:rsidRDefault="000676CD" w:rsidP="000676CD">
      <w:pPr>
        <w:pStyle w:val="paragraphsub"/>
      </w:pPr>
      <w:r w:rsidRPr="0011747E">
        <w:tab/>
        <w:t>(vi</w:t>
      </w:r>
      <w:r w:rsidR="00E97988" w:rsidRPr="0011747E">
        <w:t>ii</w:t>
      </w:r>
      <w:r w:rsidRPr="0011747E">
        <w:t>)</w:t>
      </w:r>
      <w:r w:rsidRPr="0011747E">
        <w:tab/>
      </w:r>
      <w:r w:rsidR="00E97988" w:rsidRPr="0011747E">
        <w:t xml:space="preserve">all species in the Family </w:t>
      </w:r>
      <w:r w:rsidRPr="0011747E">
        <w:t>Sulidae</w:t>
      </w:r>
      <w:r w:rsidR="00E97988" w:rsidRPr="0011747E">
        <w:t>.</w:t>
      </w:r>
    </w:p>
    <w:p w:rsidR="006829C5" w:rsidRPr="0011747E" w:rsidRDefault="006829C5" w:rsidP="006829C5">
      <w:pPr>
        <w:pStyle w:val="Definition"/>
      </w:pPr>
      <w:r w:rsidRPr="0011747E">
        <w:rPr>
          <w:b/>
          <w:i/>
        </w:rPr>
        <w:t>shorebird</w:t>
      </w:r>
      <w:r w:rsidRPr="0011747E">
        <w:t xml:space="preserve"> means:</w:t>
      </w:r>
    </w:p>
    <w:p w:rsidR="006829C5" w:rsidRPr="0011747E" w:rsidRDefault="006829C5" w:rsidP="006829C5">
      <w:pPr>
        <w:pStyle w:val="paragraph"/>
      </w:pPr>
      <w:r w:rsidRPr="0011747E">
        <w:tab/>
        <w:t>(a)</w:t>
      </w:r>
      <w:r w:rsidRPr="0011747E">
        <w:tab/>
        <w:t>a bird that is</w:t>
      </w:r>
      <w:r w:rsidR="00CE20F9" w:rsidRPr="0011747E">
        <w:t xml:space="preserve"> a</w:t>
      </w:r>
      <w:r w:rsidRPr="0011747E">
        <w:t xml:space="preserve"> listed migratory species; and</w:t>
      </w:r>
    </w:p>
    <w:p w:rsidR="006829C5" w:rsidRPr="0011747E" w:rsidRDefault="006829C5" w:rsidP="006829C5">
      <w:pPr>
        <w:pStyle w:val="paragraph"/>
      </w:pPr>
      <w:r w:rsidRPr="0011747E">
        <w:tab/>
        <w:t>(b)</w:t>
      </w:r>
      <w:r w:rsidRPr="0011747E">
        <w:tab/>
        <w:t>a member of the following taxonomic families:</w:t>
      </w:r>
    </w:p>
    <w:p w:rsidR="006829C5" w:rsidRPr="0011747E" w:rsidRDefault="006829C5" w:rsidP="006829C5">
      <w:pPr>
        <w:pStyle w:val="paragraphsub"/>
      </w:pPr>
      <w:r w:rsidRPr="0011747E">
        <w:tab/>
        <w:t>(i)</w:t>
      </w:r>
      <w:r w:rsidRPr="0011747E">
        <w:tab/>
      </w:r>
      <w:r w:rsidR="00E97988" w:rsidRPr="0011747E">
        <w:t xml:space="preserve">all species in the Family </w:t>
      </w:r>
      <w:r w:rsidRPr="0011747E">
        <w:t>Charadriidae</w:t>
      </w:r>
      <w:r w:rsidR="00E97988" w:rsidRPr="0011747E">
        <w:t>;</w:t>
      </w:r>
    </w:p>
    <w:p w:rsidR="006829C5" w:rsidRPr="0011747E" w:rsidRDefault="006829C5" w:rsidP="006829C5">
      <w:pPr>
        <w:pStyle w:val="paragraphsub"/>
      </w:pPr>
      <w:r w:rsidRPr="0011747E">
        <w:tab/>
        <w:t>(ii)</w:t>
      </w:r>
      <w:r w:rsidRPr="0011747E">
        <w:tab/>
      </w:r>
      <w:r w:rsidR="00E97988" w:rsidRPr="0011747E">
        <w:t xml:space="preserve">all species in the Family </w:t>
      </w:r>
      <w:r w:rsidRPr="0011747E">
        <w:t>Glareolidae</w:t>
      </w:r>
      <w:r w:rsidR="00E97988" w:rsidRPr="0011747E">
        <w:t>;</w:t>
      </w:r>
    </w:p>
    <w:p w:rsidR="006829C5" w:rsidRPr="0011747E" w:rsidRDefault="006829C5" w:rsidP="006829C5">
      <w:pPr>
        <w:pStyle w:val="paragraphsub"/>
      </w:pPr>
      <w:r w:rsidRPr="0011747E">
        <w:tab/>
        <w:t>(iii)</w:t>
      </w:r>
      <w:r w:rsidRPr="0011747E">
        <w:tab/>
      </w:r>
      <w:r w:rsidR="00E97988" w:rsidRPr="0011747E">
        <w:t xml:space="preserve">all species in the Family </w:t>
      </w:r>
      <w:r w:rsidRPr="0011747E">
        <w:t>Scolopacidae.</w:t>
      </w:r>
    </w:p>
    <w:p w:rsidR="004F0DA4" w:rsidRPr="0011747E" w:rsidRDefault="004F0DA4" w:rsidP="00BD0869">
      <w:pPr>
        <w:pStyle w:val="Definition"/>
      </w:pPr>
      <w:r w:rsidRPr="0011747E">
        <w:rPr>
          <w:b/>
          <w:i/>
        </w:rPr>
        <w:t>small business entity</w:t>
      </w:r>
      <w:r w:rsidRPr="0011747E">
        <w:t xml:space="preserve"> has the meaning given by section</w:t>
      </w:r>
      <w:r w:rsidR="0011747E" w:rsidRPr="0011747E">
        <w:t> </w:t>
      </w:r>
      <w:r w:rsidRPr="0011747E">
        <w:t>328</w:t>
      </w:r>
      <w:r w:rsidR="0011747E">
        <w:noBreakHyphen/>
      </w:r>
      <w:r w:rsidRPr="0011747E">
        <w:t>110 (other than subsection</w:t>
      </w:r>
      <w:r w:rsidR="0011747E" w:rsidRPr="0011747E">
        <w:t> </w:t>
      </w:r>
      <w:r w:rsidRPr="0011747E">
        <w:t>328</w:t>
      </w:r>
      <w:r w:rsidR="0011747E">
        <w:noBreakHyphen/>
      </w:r>
      <w:r w:rsidRPr="0011747E">
        <w:t xml:space="preserve">110(4)) of the </w:t>
      </w:r>
      <w:r w:rsidRPr="0011747E">
        <w:rPr>
          <w:i/>
        </w:rPr>
        <w:t>Income Tax Assessment Act 1997</w:t>
      </w:r>
      <w:r w:rsidRPr="0011747E">
        <w:t>.</w:t>
      </w:r>
    </w:p>
    <w:p w:rsidR="00435C05" w:rsidRPr="0011747E" w:rsidRDefault="00BD0869" w:rsidP="00BD0869">
      <w:pPr>
        <w:pStyle w:val="Definition"/>
      </w:pPr>
      <w:r w:rsidRPr="0011747E">
        <w:rPr>
          <w:b/>
          <w:i/>
        </w:rPr>
        <w:t>very high complexity</w:t>
      </w:r>
      <w:r w:rsidR="00435C05" w:rsidRPr="0011747E">
        <w:t>:</w:t>
      </w:r>
    </w:p>
    <w:p w:rsidR="00435C05" w:rsidRPr="0011747E" w:rsidRDefault="00572F8D" w:rsidP="00435C05">
      <w:pPr>
        <w:pStyle w:val="paragraph"/>
      </w:pPr>
      <w:r w:rsidRPr="0011747E">
        <w:tab/>
        <w:t>(a)</w:t>
      </w:r>
      <w:r w:rsidRPr="0011747E">
        <w:tab/>
      </w:r>
      <w:r w:rsidR="00435C05" w:rsidRPr="0011747E">
        <w:t>in relation to a controlling provision component: see subregulation</w:t>
      </w:r>
      <w:r w:rsidR="0011747E" w:rsidRPr="0011747E">
        <w:t> </w:t>
      </w:r>
      <w:r w:rsidR="003B672B" w:rsidRPr="0011747E">
        <w:t>5.12D</w:t>
      </w:r>
      <w:r w:rsidR="00435C05" w:rsidRPr="0011747E">
        <w:t>(3); and</w:t>
      </w:r>
    </w:p>
    <w:p w:rsidR="00435C05" w:rsidRPr="0011747E" w:rsidRDefault="00572F8D" w:rsidP="00435C05">
      <w:pPr>
        <w:pStyle w:val="paragraph"/>
      </w:pPr>
      <w:r w:rsidRPr="0011747E">
        <w:tab/>
        <w:t>(b)</w:t>
      </w:r>
      <w:r w:rsidRPr="0011747E">
        <w:tab/>
      </w:r>
      <w:r w:rsidR="00435C05" w:rsidRPr="0011747E">
        <w:t>in relation to a legislative impact com</w:t>
      </w:r>
      <w:r w:rsidR="001B72A5" w:rsidRPr="0011747E">
        <w:t>ponent: see subregulation</w:t>
      </w:r>
      <w:r w:rsidR="0011747E" w:rsidRPr="0011747E">
        <w:t> </w:t>
      </w:r>
      <w:r w:rsidR="003B672B" w:rsidRPr="0011747E">
        <w:t>5.12F</w:t>
      </w:r>
      <w:r w:rsidR="004533C4" w:rsidRPr="0011747E">
        <w:t>(5).</w:t>
      </w:r>
    </w:p>
    <w:p w:rsidR="000A3E14" w:rsidRPr="0011747E" w:rsidRDefault="00490932" w:rsidP="00BD0869">
      <w:pPr>
        <w:pStyle w:val="ActHead5"/>
      </w:pPr>
      <w:bookmarkStart w:id="17" w:name="_Toc396376220"/>
      <w:r w:rsidRPr="0011747E">
        <w:rPr>
          <w:rStyle w:val="CharSectno"/>
        </w:rPr>
        <w:t>5.12</w:t>
      </w:r>
      <w:r w:rsidR="00E83D70" w:rsidRPr="0011747E">
        <w:rPr>
          <w:rStyle w:val="CharSectno"/>
        </w:rPr>
        <w:t>B</w:t>
      </w:r>
      <w:r w:rsidR="000A3E14" w:rsidRPr="0011747E">
        <w:t xml:space="preserve">  </w:t>
      </w:r>
      <w:r w:rsidR="00D23305" w:rsidRPr="0011747E">
        <w:t>Components of a complexity fee</w:t>
      </w:r>
      <w:bookmarkEnd w:id="17"/>
    </w:p>
    <w:p w:rsidR="00D23305" w:rsidRPr="0011747E" w:rsidRDefault="00AB08BD" w:rsidP="00AB08BD">
      <w:pPr>
        <w:pStyle w:val="subsection"/>
      </w:pPr>
      <w:r w:rsidRPr="0011747E">
        <w:tab/>
        <w:t>(1)</w:t>
      </w:r>
      <w:r w:rsidRPr="0011747E">
        <w:tab/>
      </w:r>
      <w:r w:rsidR="00D23305" w:rsidRPr="0011747E">
        <w:t>The following</w:t>
      </w:r>
      <w:r w:rsidRPr="0011747E">
        <w:t xml:space="preserve"> c</w:t>
      </w:r>
      <w:r w:rsidR="00D23305" w:rsidRPr="0011747E">
        <w:t>omponents</w:t>
      </w:r>
      <w:r w:rsidR="002675ED" w:rsidRPr="0011747E">
        <w:t xml:space="preserve"> </w:t>
      </w:r>
      <w:r w:rsidRPr="0011747E">
        <w:t xml:space="preserve">may apply </w:t>
      </w:r>
      <w:r w:rsidR="00E56B38" w:rsidRPr="0011747E">
        <w:t xml:space="preserve">in relation </w:t>
      </w:r>
      <w:r w:rsidRPr="0011747E">
        <w:t>to the assessment of the impacts of an action:</w:t>
      </w:r>
    </w:p>
    <w:p w:rsidR="00D23305" w:rsidRPr="0011747E" w:rsidRDefault="00D23305" w:rsidP="00D23305">
      <w:pPr>
        <w:pStyle w:val="paragraph"/>
      </w:pPr>
      <w:r w:rsidRPr="0011747E">
        <w:tab/>
        <w:t>(a)</w:t>
      </w:r>
      <w:r w:rsidRPr="0011747E">
        <w:tab/>
        <w:t>a</w:t>
      </w:r>
      <w:r w:rsidR="00AB08BD" w:rsidRPr="0011747E">
        <w:t>n application component;</w:t>
      </w:r>
    </w:p>
    <w:p w:rsidR="00AB08BD" w:rsidRPr="0011747E" w:rsidRDefault="00AB08BD" w:rsidP="00D23305">
      <w:pPr>
        <w:pStyle w:val="paragraph"/>
      </w:pPr>
      <w:r w:rsidRPr="0011747E">
        <w:tab/>
        <w:t>(b)</w:t>
      </w:r>
      <w:r w:rsidRPr="0011747E">
        <w:tab/>
        <w:t>a controlling provision component;</w:t>
      </w:r>
    </w:p>
    <w:p w:rsidR="00D23305" w:rsidRPr="0011747E" w:rsidRDefault="00AB08BD" w:rsidP="00D23305">
      <w:pPr>
        <w:pStyle w:val="paragraph"/>
      </w:pPr>
      <w:r w:rsidRPr="0011747E">
        <w:tab/>
        <w:t>(c</w:t>
      </w:r>
      <w:r w:rsidR="00D23305" w:rsidRPr="0011747E">
        <w:t>)</w:t>
      </w:r>
      <w:r w:rsidR="00D23305" w:rsidRPr="0011747E">
        <w:tab/>
        <w:t>an exceptional case componen</w:t>
      </w:r>
      <w:r w:rsidRPr="0011747E">
        <w:t>t;</w:t>
      </w:r>
    </w:p>
    <w:p w:rsidR="00D23305" w:rsidRPr="0011747E" w:rsidRDefault="00AB08BD" w:rsidP="00D23305">
      <w:pPr>
        <w:pStyle w:val="paragraph"/>
      </w:pPr>
      <w:r w:rsidRPr="0011747E">
        <w:tab/>
        <w:t>(d</w:t>
      </w:r>
      <w:r w:rsidR="00D23305" w:rsidRPr="0011747E">
        <w:t>)</w:t>
      </w:r>
      <w:r w:rsidR="00D23305" w:rsidRPr="0011747E">
        <w:tab/>
        <w:t>a legislative impact component;</w:t>
      </w:r>
    </w:p>
    <w:p w:rsidR="00D23305" w:rsidRPr="0011747E" w:rsidRDefault="00D23305" w:rsidP="00D23305">
      <w:pPr>
        <w:pStyle w:val="paragraph"/>
      </w:pPr>
      <w:r w:rsidRPr="0011747E">
        <w:tab/>
        <w:t>(</w:t>
      </w:r>
      <w:r w:rsidR="00AB08BD" w:rsidRPr="0011747E">
        <w:t>e</w:t>
      </w:r>
      <w:r w:rsidRPr="0011747E">
        <w:t>)</w:t>
      </w:r>
      <w:r w:rsidRPr="0011747E">
        <w:tab/>
        <w:t>a project component.</w:t>
      </w:r>
    </w:p>
    <w:p w:rsidR="00AB08BD" w:rsidRPr="0011747E" w:rsidRDefault="00AB08BD" w:rsidP="00AB08BD">
      <w:pPr>
        <w:pStyle w:val="subsection"/>
      </w:pPr>
      <w:r w:rsidRPr="0011747E">
        <w:tab/>
        <w:t>(2)</w:t>
      </w:r>
      <w:r w:rsidRPr="0011747E">
        <w:tab/>
      </w:r>
      <w:r w:rsidR="00E56B38" w:rsidRPr="0011747E">
        <w:t>A</w:t>
      </w:r>
      <w:r w:rsidRPr="0011747E">
        <w:t xml:space="preserve">n </w:t>
      </w:r>
      <w:r w:rsidRPr="0011747E">
        <w:rPr>
          <w:b/>
          <w:i/>
        </w:rPr>
        <w:t>application component</w:t>
      </w:r>
      <w:r w:rsidRPr="0011747E">
        <w:t xml:space="preserve"> </w:t>
      </w:r>
      <w:r w:rsidR="00E56B38" w:rsidRPr="0011747E">
        <w:t xml:space="preserve">applies </w:t>
      </w:r>
      <w:r w:rsidRPr="0011747E">
        <w:t xml:space="preserve">in relation to the assessment of the impacts of an action </w:t>
      </w:r>
      <w:r w:rsidR="00E56B38" w:rsidRPr="0011747E">
        <w:t>if the assessment involves</w:t>
      </w:r>
      <w:r w:rsidRPr="0011747E">
        <w:t xml:space="preserve"> the consideration of information that is:</w:t>
      </w:r>
    </w:p>
    <w:p w:rsidR="00AB08BD" w:rsidRPr="0011747E" w:rsidRDefault="00AB08BD" w:rsidP="00AB08BD">
      <w:pPr>
        <w:pStyle w:val="paragraph"/>
      </w:pPr>
      <w:r w:rsidRPr="0011747E">
        <w:tab/>
        <w:t>(a)</w:t>
      </w:r>
      <w:r w:rsidRPr="0011747E">
        <w:tab/>
        <w:t>required to be included in the referral of the proposal to take the action under section</w:t>
      </w:r>
      <w:r w:rsidR="0011747E" w:rsidRPr="0011747E">
        <w:t> </w:t>
      </w:r>
      <w:r w:rsidRPr="0011747E">
        <w:t>72 of the Act (see regulation</w:t>
      </w:r>
      <w:r w:rsidR="0011747E" w:rsidRPr="0011747E">
        <w:t> </w:t>
      </w:r>
      <w:r w:rsidRPr="0011747E">
        <w:t>4.03); and</w:t>
      </w:r>
    </w:p>
    <w:p w:rsidR="00AB08BD" w:rsidRPr="0011747E" w:rsidRDefault="00AB08BD" w:rsidP="00AB08BD">
      <w:pPr>
        <w:pStyle w:val="paragraph"/>
      </w:pPr>
      <w:r w:rsidRPr="0011747E">
        <w:tab/>
        <w:t>(b)</w:t>
      </w:r>
      <w:r w:rsidRPr="0011747E">
        <w:tab/>
        <w:t>covered by one of the following</w:t>
      </w:r>
      <w:r w:rsidR="002675ED" w:rsidRPr="0011747E">
        <w:t xml:space="preserve"> subparagraphs</w:t>
      </w:r>
      <w:r w:rsidRPr="0011747E">
        <w:t>:</w:t>
      </w:r>
    </w:p>
    <w:p w:rsidR="00AB08BD" w:rsidRPr="0011747E" w:rsidRDefault="00AB08BD" w:rsidP="00AB08BD">
      <w:pPr>
        <w:pStyle w:val="paragraphsub"/>
      </w:pPr>
      <w:r w:rsidRPr="0011747E">
        <w:tab/>
        <w:t>(i)</w:t>
      </w:r>
      <w:r w:rsidRPr="0011747E">
        <w:tab/>
        <w:t>paragraph</w:t>
      </w:r>
      <w:r w:rsidR="0011747E" w:rsidRPr="0011747E">
        <w:t> </w:t>
      </w:r>
      <w:r w:rsidRPr="0011747E">
        <w:t>4.01(a) or (j) of Schedule</w:t>
      </w:r>
      <w:r w:rsidR="0011747E" w:rsidRPr="0011747E">
        <w:t> </w:t>
      </w:r>
      <w:r w:rsidRPr="0011747E">
        <w:t>2;</w:t>
      </w:r>
    </w:p>
    <w:p w:rsidR="00AB08BD" w:rsidRPr="0011747E" w:rsidRDefault="00AB08BD" w:rsidP="00AB08BD">
      <w:pPr>
        <w:pStyle w:val="paragraphsub"/>
      </w:pPr>
      <w:r w:rsidRPr="0011747E">
        <w:tab/>
        <w:t>(ii)</w:t>
      </w:r>
      <w:r w:rsidRPr="0011747E">
        <w:tab/>
        <w:t>item</w:t>
      </w:r>
      <w:r w:rsidR="0011747E" w:rsidRPr="0011747E">
        <w:t> </w:t>
      </w:r>
      <w:r w:rsidRPr="0011747E">
        <w:t>5.02, 5.04</w:t>
      </w:r>
      <w:r w:rsidR="002675ED" w:rsidRPr="0011747E">
        <w:t xml:space="preserve"> or</w:t>
      </w:r>
      <w:r w:rsidRPr="0011747E">
        <w:t xml:space="preserve"> 5.05 of Schedule</w:t>
      </w:r>
      <w:r w:rsidR="0011747E" w:rsidRPr="0011747E">
        <w:t> </w:t>
      </w:r>
      <w:r w:rsidRPr="0011747E">
        <w:t>2;</w:t>
      </w:r>
    </w:p>
    <w:p w:rsidR="00AB08BD" w:rsidRPr="0011747E" w:rsidRDefault="00AB08BD" w:rsidP="00AB08BD">
      <w:pPr>
        <w:pStyle w:val="paragraphsub"/>
      </w:pPr>
      <w:r w:rsidRPr="0011747E">
        <w:tab/>
        <w:t>(iii)</w:t>
      </w:r>
      <w:r w:rsidRPr="0011747E">
        <w:tab/>
        <w:t>item</w:t>
      </w:r>
      <w:r w:rsidR="0011747E" w:rsidRPr="0011747E">
        <w:t> </w:t>
      </w:r>
      <w:r w:rsidRPr="0011747E">
        <w:t>6 of Schedule</w:t>
      </w:r>
      <w:r w:rsidR="0011747E" w:rsidRPr="0011747E">
        <w:t> </w:t>
      </w:r>
      <w:r w:rsidRPr="0011747E">
        <w:t>2.</w:t>
      </w:r>
    </w:p>
    <w:p w:rsidR="00D23305" w:rsidRPr="0011747E" w:rsidRDefault="00E56B38" w:rsidP="00D23305">
      <w:pPr>
        <w:pStyle w:val="subsection"/>
      </w:pPr>
      <w:r w:rsidRPr="0011747E">
        <w:tab/>
        <w:t>(3)</w:t>
      </w:r>
      <w:r w:rsidRPr="0011747E">
        <w:tab/>
        <w:t xml:space="preserve">A </w:t>
      </w:r>
      <w:r w:rsidRPr="0011747E">
        <w:rPr>
          <w:b/>
          <w:i/>
        </w:rPr>
        <w:t>controlling provision component</w:t>
      </w:r>
      <w:r w:rsidRPr="0011747E">
        <w:t xml:space="preserve"> applies in relation to the assessment of the impacts of an action if a matter protected by a provision of Part</w:t>
      </w:r>
      <w:r w:rsidR="0011747E" w:rsidRPr="0011747E">
        <w:t> </w:t>
      </w:r>
      <w:r w:rsidRPr="0011747E">
        <w:t>3 prohibits the taking of the action without approval under Part</w:t>
      </w:r>
      <w:r w:rsidR="0011747E" w:rsidRPr="0011747E">
        <w:t> </w:t>
      </w:r>
      <w:r w:rsidRPr="0011747E">
        <w:t xml:space="preserve">9 </w:t>
      </w:r>
      <w:r w:rsidR="0052735A" w:rsidRPr="0011747E">
        <w:t>of the Act</w:t>
      </w:r>
      <w:r w:rsidRPr="0011747E">
        <w:t>.</w:t>
      </w:r>
    </w:p>
    <w:p w:rsidR="00C14F48" w:rsidRPr="0011747E" w:rsidRDefault="00E56B38" w:rsidP="00205DF5">
      <w:pPr>
        <w:pStyle w:val="subsection"/>
      </w:pPr>
      <w:r w:rsidRPr="0011747E">
        <w:tab/>
        <w:t>(4)</w:t>
      </w:r>
      <w:r w:rsidRPr="0011747E">
        <w:tab/>
      </w:r>
      <w:r w:rsidR="00D803A1" w:rsidRPr="0011747E">
        <w:t xml:space="preserve">An </w:t>
      </w:r>
      <w:r w:rsidR="00D803A1" w:rsidRPr="0011747E">
        <w:rPr>
          <w:b/>
          <w:i/>
        </w:rPr>
        <w:t>e</w:t>
      </w:r>
      <w:r w:rsidR="00205DF5" w:rsidRPr="0011747E">
        <w:rPr>
          <w:b/>
          <w:i/>
        </w:rPr>
        <w:t xml:space="preserve">xceptional </w:t>
      </w:r>
      <w:r w:rsidR="00D803A1" w:rsidRPr="0011747E">
        <w:rPr>
          <w:b/>
          <w:i/>
        </w:rPr>
        <w:t>case</w:t>
      </w:r>
      <w:r w:rsidR="00984FA0" w:rsidRPr="0011747E">
        <w:rPr>
          <w:b/>
          <w:i/>
        </w:rPr>
        <w:t xml:space="preserve"> component</w:t>
      </w:r>
      <w:r w:rsidR="00984FA0" w:rsidRPr="0011747E">
        <w:t xml:space="preserve"> applies</w:t>
      </w:r>
      <w:r w:rsidR="00205DF5" w:rsidRPr="0011747E">
        <w:t xml:space="preserve"> in relation to </w:t>
      </w:r>
      <w:r w:rsidR="00984FA0" w:rsidRPr="0011747E">
        <w:t>the assessment of the impacts of an action</w:t>
      </w:r>
      <w:r w:rsidR="00C14F48" w:rsidRPr="0011747E">
        <w:t xml:space="preserve"> if </w:t>
      </w:r>
      <w:r w:rsidR="00E123B1" w:rsidRPr="0011747E">
        <w:t>the action is of a kind</w:t>
      </w:r>
      <w:r w:rsidR="00C14F48" w:rsidRPr="0011747E">
        <w:t xml:space="preserve"> determin</w:t>
      </w:r>
      <w:r w:rsidR="00E123B1" w:rsidRPr="0011747E">
        <w:t>ed</w:t>
      </w:r>
      <w:r w:rsidR="00C14F48" w:rsidRPr="0011747E">
        <w:t xml:space="preserve"> by the Minister under subregulation</w:t>
      </w:r>
      <w:r w:rsidR="0011747E" w:rsidRPr="0011747E">
        <w:t> </w:t>
      </w:r>
      <w:r w:rsidR="00E83D70" w:rsidRPr="0011747E">
        <w:t>5.12E</w:t>
      </w:r>
      <w:r w:rsidR="00C14F48" w:rsidRPr="0011747E">
        <w:t>(1).</w:t>
      </w:r>
    </w:p>
    <w:p w:rsidR="00336E65" w:rsidRPr="0011747E" w:rsidRDefault="00984FA0" w:rsidP="00984FA0">
      <w:pPr>
        <w:pStyle w:val="subsection"/>
      </w:pPr>
      <w:r w:rsidRPr="0011747E">
        <w:tab/>
        <w:t>(5)</w:t>
      </w:r>
      <w:r w:rsidRPr="0011747E">
        <w:tab/>
        <w:t xml:space="preserve">A </w:t>
      </w:r>
      <w:r w:rsidRPr="0011747E">
        <w:rPr>
          <w:b/>
          <w:i/>
        </w:rPr>
        <w:t>legislative impact component</w:t>
      </w:r>
      <w:r w:rsidRPr="0011747E">
        <w:t xml:space="preserve"> applies in relation to the assessment of the impacts of an action if the assessment involves one or more legislative processes</w:t>
      </w:r>
      <w:r w:rsidR="00336E65" w:rsidRPr="0011747E">
        <w:t xml:space="preserve"> described in regulation</w:t>
      </w:r>
      <w:r w:rsidR="0011747E" w:rsidRPr="0011747E">
        <w:t> </w:t>
      </w:r>
      <w:r w:rsidR="00336E65" w:rsidRPr="0011747E">
        <w:t>5.12</w:t>
      </w:r>
      <w:r w:rsidR="0068344C" w:rsidRPr="0011747E">
        <w:t>F</w:t>
      </w:r>
      <w:r w:rsidR="00331AED" w:rsidRPr="0011747E">
        <w:t>.</w:t>
      </w:r>
    </w:p>
    <w:p w:rsidR="002434DD" w:rsidRPr="0011747E" w:rsidRDefault="00984FA0" w:rsidP="00984FA0">
      <w:pPr>
        <w:pStyle w:val="subsection"/>
      </w:pPr>
      <w:r w:rsidRPr="0011747E">
        <w:tab/>
        <w:t>(6)</w:t>
      </w:r>
      <w:r w:rsidRPr="0011747E">
        <w:tab/>
      </w:r>
      <w:r w:rsidR="00D3539C" w:rsidRPr="0011747E">
        <w:t>A</w:t>
      </w:r>
      <w:r w:rsidRPr="0011747E">
        <w:t xml:space="preserve"> </w:t>
      </w:r>
      <w:r w:rsidR="004636B1" w:rsidRPr="0011747E">
        <w:rPr>
          <w:b/>
          <w:i/>
        </w:rPr>
        <w:t>project</w:t>
      </w:r>
      <w:r w:rsidRPr="0011747E">
        <w:rPr>
          <w:b/>
          <w:i/>
        </w:rPr>
        <w:t xml:space="preserve"> component</w:t>
      </w:r>
      <w:r w:rsidR="00D3539C" w:rsidRPr="0011747E">
        <w:t xml:space="preserve"> applies</w:t>
      </w:r>
      <w:r w:rsidRPr="0011747E">
        <w:t xml:space="preserve"> in relation to the assessment of the impacts of an action if </w:t>
      </w:r>
      <w:r w:rsidR="00D3539C" w:rsidRPr="0011747E">
        <w:t xml:space="preserve">the action involves 2 or more activities, </w:t>
      </w:r>
      <w:r w:rsidR="00500A8B" w:rsidRPr="0011747E">
        <w:t>a</w:t>
      </w:r>
      <w:r w:rsidR="00D3539C" w:rsidRPr="0011747E">
        <w:t>s</w:t>
      </w:r>
      <w:r w:rsidR="00500A8B" w:rsidRPr="0011747E">
        <w:t xml:space="preserve"> determin</w:t>
      </w:r>
      <w:r w:rsidR="00D3539C" w:rsidRPr="0011747E">
        <w:t>ed</w:t>
      </w:r>
      <w:r w:rsidR="00500A8B" w:rsidRPr="0011747E">
        <w:t xml:space="preserve"> </w:t>
      </w:r>
      <w:r w:rsidR="002434DD" w:rsidRPr="0011747E">
        <w:t xml:space="preserve">by the Minister </w:t>
      </w:r>
      <w:r w:rsidR="00500A8B" w:rsidRPr="0011747E">
        <w:t xml:space="preserve">under </w:t>
      </w:r>
      <w:r w:rsidR="00CE20F9" w:rsidRPr="0011747E">
        <w:t>sub</w:t>
      </w:r>
      <w:r w:rsidR="007A7BD2" w:rsidRPr="0011747E">
        <w:t>regulation</w:t>
      </w:r>
      <w:r w:rsidR="0011747E" w:rsidRPr="0011747E">
        <w:t> </w:t>
      </w:r>
      <w:r w:rsidR="00500A8B" w:rsidRPr="0011747E">
        <w:t>5.12</w:t>
      </w:r>
      <w:r w:rsidR="0068344C" w:rsidRPr="0011747E">
        <w:t>G</w:t>
      </w:r>
      <w:r w:rsidR="002434DD" w:rsidRPr="0011747E">
        <w:t>(1).</w:t>
      </w:r>
    </w:p>
    <w:p w:rsidR="00B86332" w:rsidRPr="0011747E" w:rsidRDefault="00B86332" w:rsidP="00B86332">
      <w:pPr>
        <w:pStyle w:val="ActHead5"/>
      </w:pPr>
      <w:bookmarkStart w:id="18" w:name="_Toc396376221"/>
      <w:r w:rsidRPr="0011747E">
        <w:rPr>
          <w:rStyle w:val="CharSectno"/>
        </w:rPr>
        <w:t>5.12</w:t>
      </w:r>
      <w:r w:rsidR="00A920A6" w:rsidRPr="0011747E">
        <w:rPr>
          <w:rStyle w:val="CharSectno"/>
        </w:rPr>
        <w:t>C</w:t>
      </w:r>
      <w:r w:rsidRPr="0011747E">
        <w:t xml:space="preserve">  Determination for each application component</w:t>
      </w:r>
      <w:bookmarkEnd w:id="18"/>
    </w:p>
    <w:p w:rsidR="00B86332" w:rsidRPr="0011747E" w:rsidRDefault="00B86332" w:rsidP="00B86332">
      <w:pPr>
        <w:pStyle w:val="subsection"/>
      </w:pPr>
      <w:r w:rsidRPr="0011747E">
        <w:tab/>
        <w:t>(1)</w:t>
      </w:r>
      <w:r w:rsidRPr="0011747E">
        <w:tab/>
        <w:t xml:space="preserve">The Minister may determine that an application component is of </w:t>
      </w:r>
      <w:r w:rsidR="00E4746D" w:rsidRPr="0011747E">
        <w:rPr>
          <w:b/>
          <w:i/>
        </w:rPr>
        <w:t>low complexity</w:t>
      </w:r>
      <w:r w:rsidR="00E4746D" w:rsidRPr="0011747E">
        <w:t xml:space="preserve">, </w:t>
      </w:r>
      <w:r w:rsidRPr="0011747E">
        <w:rPr>
          <w:b/>
          <w:i/>
        </w:rPr>
        <w:t>moderate complexity</w:t>
      </w:r>
      <w:r w:rsidRPr="0011747E">
        <w:t xml:space="preserve"> or </w:t>
      </w:r>
      <w:r w:rsidRPr="0011747E">
        <w:rPr>
          <w:b/>
          <w:i/>
        </w:rPr>
        <w:t>high complexity</w:t>
      </w:r>
      <w:r w:rsidRPr="0011747E">
        <w:t>.</w:t>
      </w:r>
    </w:p>
    <w:p w:rsidR="00443C85" w:rsidRPr="0011747E" w:rsidRDefault="00443C85" w:rsidP="00B86332">
      <w:pPr>
        <w:pStyle w:val="subsection"/>
      </w:pPr>
      <w:r w:rsidRPr="0011747E">
        <w:tab/>
        <w:t>(2)</w:t>
      </w:r>
      <w:r w:rsidRPr="0011747E">
        <w:tab/>
        <w:t xml:space="preserve">When making a determination that an application component is of </w:t>
      </w:r>
      <w:r w:rsidR="00E4746D" w:rsidRPr="0011747E">
        <w:rPr>
          <w:b/>
          <w:i/>
        </w:rPr>
        <w:t>low complexity</w:t>
      </w:r>
      <w:r w:rsidR="00E4746D" w:rsidRPr="0011747E">
        <w:t xml:space="preserve">, </w:t>
      </w:r>
      <w:r w:rsidRPr="0011747E">
        <w:rPr>
          <w:b/>
          <w:i/>
        </w:rPr>
        <w:t>moderate complexity</w:t>
      </w:r>
      <w:r w:rsidRPr="0011747E">
        <w:t xml:space="preserve"> or </w:t>
      </w:r>
      <w:r w:rsidRPr="0011747E">
        <w:rPr>
          <w:b/>
          <w:i/>
        </w:rPr>
        <w:t>high complexity</w:t>
      </w:r>
      <w:r w:rsidRPr="0011747E">
        <w:t>, the Minister must consider the adequacy of the information provided.</w:t>
      </w:r>
    </w:p>
    <w:p w:rsidR="00B86332" w:rsidRPr="0011747E" w:rsidRDefault="00443C85" w:rsidP="00B86332">
      <w:pPr>
        <w:pStyle w:val="subsection"/>
      </w:pPr>
      <w:r w:rsidRPr="0011747E">
        <w:tab/>
        <w:t>(3</w:t>
      </w:r>
      <w:r w:rsidR="00B86332" w:rsidRPr="0011747E">
        <w:t>)</w:t>
      </w:r>
      <w:r w:rsidR="00B86332" w:rsidRPr="0011747E">
        <w:tab/>
        <w:t>A determination made under this regulation is not a legislative instrument.</w:t>
      </w:r>
    </w:p>
    <w:p w:rsidR="00B86332" w:rsidRPr="0011747E" w:rsidRDefault="00A920A6" w:rsidP="00B86332">
      <w:pPr>
        <w:pStyle w:val="ActHead5"/>
        <w:rPr>
          <w:i/>
        </w:rPr>
      </w:pPr>
      <w:bookmarkStart w:id="19" w:name="_Toc396376222"/>
      <w:r w:rsidRPr="0011747E">
        <w:rPr>
          <w:rStyle w:val="CharSectno"/>
        </w:rPr>
        <w:t>5.12D</w:t>
      </w:r>
      <w:r w:rsidR="00B86332" w:rsidRPr="0011747E">
        <w:t xml:space="preserve">  Determination for each controlling provision component</w:t>
      </w:r>
      <w:bookmarkEnd w:id="19"/>
    </w:p>
    <w:p w:rsidR="00B86332" w:rsidRPr="0011747E" w:rsidRDefault="006B45E0" w:rsidP="00B86332">
      <w:pPr>
        <w:pStyle w:val="subsection"/>
      </w:pPr>
      <w:r w:rsidRPr="0011747E">
        <w:tab/>
        <w:t>(1)</w:t>
      </w:r>
      <w:r w:rsidRPr="0011747E">
        <w:tab/>
        <w:t xml:space="preserve">The Minister may </w:t>
      </w:r>
      <w:r w:rsidR="00B86332" w:rsidRPr="0011747E">
        <w:t>determin</w:t>
      </w:r>
      <w:r w:rsidRPr="0011747E">
        <w:t>e</w:t>
      </w:r>
      <w:r w:rsidR="00B86332" w:rsidRPr="0011747E">
        <w:t xml:space="preserve"> that a controlling provision component that</w:t>
      </w:r>
      <w:r w:rsidRPr="0011747E">
        <w:t xml:space="preserve"> applies in </w:t>
      </w:r>
      <w:r w:rsidR="00B86332" w:rsidRPr="0011747E">
        <w:t>relat</w:t>
      </w:r>
      <w:r w:rsidRPr="0011747E">
        <w:t>ion</w:t>
      </w:r>
      <w:r w:rsidR="00B86332" w:rsidRPr="0011747E">
        <w:t xml:space="preserve"> to the assessment of the impacts of an action is of </w:t>
      </w:r>
      <w:r w:rsidR="00B86332" w:rsidRPr="0011747E">
        <w:rPr>
          <w:b/>
          <w:i/>
        </w:rPr>
        <w:t>moderate complexity</w:t>
      </w:r>
      <w:r w:rsidR="00B86332" w:rsidRPr="0011747E">
        <w:t xml:space="preserve">, </w:t>
      </w:r>
      <w:r w:rsidR="00B86332" w:rsidRPr="0011747E">
        <w:rPr>
          <w:b/>
          <w:i/>
        </w:rPr>
        <w:t>high complexity</w:t>
      </w:r>
      <w:r w:rsidR="00B86332" w:rsidRPr="0011747E">
        <w:t xml:space="preserve"> or </w:t>
      </w:r>
      <w:r w:rsidR="00B86332" w:rsidRPr="0011747E">
        <w:rPr>
          <w:b/>
          <w:i/>
        </w:rPr>
        <w:t>very high complexity</w:t>
      </w:r>
      <w:r w:rsidR="00B86332" w:rsidRPr="0011747E">
        <w:t>.</w:t>
      </w:r>
    </w:p>
    <w:p w:rsidR="00B86332" w:rsidRPr="0011747E" w:rsidRDefault="00B86332" w:rsidP="00B86332">
      <w:pPr>
        <w:pStyle w:val="SubsectionHead"/>
      </w:pPr>
      <w:r w:rsidRPr="0011747E">
        <w:t>Determination—moderate complexity or high complexity</w:t>
      </w:r>
    </w:p>
    <w:p w:rsidR="00B86332" w:rsidRPr="0011747E" w:rsidRDefault="00B86332" w:rsidP="00B86332">
      <w:pPr>
        <w:pStyle w:val="subsection"/>
      </w:pPr>
      <w:r w:rsidRPr="0011747E">
        <w:tab/>
        <w:t>(2)</w:t>
      </w:r>
      <w:r w:rsidRPr="0011747E">
        <w:tab/>
        <w:t xml:space="preserve">When making a determination that a controlling provision component is of </w:t>
      </w:r>
      <w:r w:rsidRPr="0011747E">
        <w:rPr>
          <w:b/>
          <w:i/>
        </w:rPr>
        <w:t>moderate complexity</w:t>
      </w:r>
      <w:r w:rsidRPr="0011747E">
        <w:t xml:space="preserve"> or </w:t>
      </w:r>
      <w:r w:rsidRPr="0011747E">
        <w:rPr>
          <w:b/>
          <w:i/>
        </w:rPr>
        <w:t>high complexity</w:t>
      </w:r>
      <w:r w:rsidRPr="0011747E">
        <w:t>, the Minister must consider the following:</w:t>
      </w:r>
    </w:p>
    <w:p w:rsidR="00B86332" w:rsidRPr="0011747E" w:rsidRDefault="00B86332" w:rsidP="00B86332">
      <w:pPr>
        <w:pStyle w:val="paragraph"/>
      </w:pPr>
      <w:r w:rsidRPr="0011747E">
        <w:tab/>
        <w:t>(a)</w:t>
      </w:r>
      <w:r w:rsidRPr="0011747E">
        <w:tab/>
        <w:t>the matters referred to in paragraphs 87(3)(a) to (e) of the Act;</w:t>
      </w:r>
    </w:p>
    <w:p w:rsidR="00B86332" w:rsidRPr="0011747E" w:rsidRDefault="00B86332" w:rsidP="00B86332">
      <w:pPr>
        <w:pStyle w:val="paragraph"/>
      </w:pPr>
      <w:r w:rsidRPr="0011747E">
        <w:tab/>
        <w:t>(b)</w:t>
      </w:r>
      <w:r w:rsidRPr="0011747E">
        <w:tab/>
        <w:t>if section</w:t>
      </w:r>
      <w:r w:rsidR="0011747E" w:rsidRPr="0011747E">
        <w:t> </w:t>
      </w:r>
      <w:r w:rsidRPr="0011747E">
        <w:t>12 or 15A of the Act is relevant to the action—the characteristics of the relevant declared Word Heritage property;</w:t>
      </w:r>
    </w:p>
    <w:p w:rsidR="00B86332" w:rsidRPr="0011747E" w:rsidRDefault="00B86332" w:rsidP="00B86332">
      <w:pPr>
        <w:pStyle w:val="paragraph"/>
      </w:pPr>
      <w:r w:rsidRPr="0011747E">
        <w:tab/>
        <w:t>(c)</w:t>
      </w:r>
      <w:r w:rsidRPr="0011747E">
        <w:tab/>
        <w:t>if section</w:t>
      </w:r>
      <w:r w:rsidR="0011747E" w:rsidRPr="0011747E">
        <w:t> </w:t>
      </w:r>
      <w:r w:rsidRPr="0011747E">
        <w:t>15B or 15C of the Act is relevant to the action—the characteristics of the relevant National Heritage place;</w:t>
      </w:r>
    </w:p>
    <w:p w:rsidR="00B86332" w:rsidRPr="0011747E" w:rsidRDefault="00B86332" w:rsidP="00B86332">
      <w:pPr>
        <w:pStyle w:val="paragraph"/>
      </w:pPr>
      <w:r w:rsidRPr="0011747E">
        <w:tab/>
        <w:t>(d)</w:t>
      </w:r>
      <w:r w:rsidRPr="0011747E">
        <w:tab/>
        <w:t>if section</w:t>
      </w:r>
      <w:r w:rsidR="0011747E" w:rsidRPr="0011747E">
        <w:t> </w:t>
      </w:r>
      <w:r w:rsidRPr="0011747E">
        <w:t>16, 17B, 23, 24A, 24B, 24C, 26, 27A, 27B, 27C or 28 of the Act is relevant to the action—both:</w:t>
      </w:r>
    </w:p>
    <w:p w:rsidR="00B86332" w:rsidRPr="0011747E" w:rsidRDefault="00B86332" w:rsidP="00B86332">
      <w:pPr>
        <w:pStyle w:val="paragraphsub"/>
      </w:pPr>
      <w:r w:rsidRPr="0011747E">
        <w:tab/>
        <w:t>(i)</w:t>
      </w:r>
      <w:r w:rsidRPr="0011747E">
        <w:tab/>
        <w:t>the scale, scope, duration and severity of the impacts of the action; and</w:t>
      </w:r>
    </w:p>
    <w:p w:rsidR="00B86332" w:rsidRPr="0011747E" w:rsidRDefault="00B86332" w:rsidP="00B86332">
      <w:pPr>
        <w:pStyle w:val="paragraphsub"/>
      </w:pPr>
      <w:r w:rsidRPr="0011747E">
        <w:tab/>
        <w:t>(ii)</w:t>
      </w:r>
      <w:r w:rsidRPr="0011747E">
        <w:tab/>
        <w:t>the timeframe for taking the action;</w:t>
      </w:r>
    </w:p>
    <w:p w:rsidR="00B86332" w:rsidRPr="0011747E" w:rsidRDefault="00B86332" w:rsidP="00B86332">
      <w:pPr>
        <w:pStyle w:val="paragraph"/>
      </w:pPr>
      <w:r w:rsidRPr="0011747E">
        <w:tab/>
        <w:t>(e)</w:t>
      </w:r>
      <w:r w:rsidRPr="0011747E">
        <w:tab/>
        <w:t>if section</w:t>
      </w:r>
      <w:r w:rsidR="0011747E" w:rsidRPr="0011747E">
        <w:t> </w:t>
      </w:r>
      <w:r w:rsidRPr="0011747E">
        <w:t>18</w:t>
      </w:r>
      <w:r w:rsidR="0084733F" w:rsidRPr="0011747E">
        <w:t xml:space="preserve"> or</w:t>
      </w:r>
      <w:r w:rsidRPr="0011747E">
        <w:t xml:space="preserve"> 18A of the Act is relevant to the action—the point value, which</w:t>
      </w:r>
      <w:r w:rsidR="00CE20F9" w:rsidRPr="0011747E">
        <w:t xml:space="preserve"> is</w:t>
      </w:r>
      <w:r w:rsidRPr="0011747E">
        <w:t>:</w:t>
      </w:r>
    </w:p>
    <w:p w:rsidR="00B86332" w:rsidRPr="0011747E" w:rsidRDefault="00B86332" w:rsidP="00B86332">
      <w:pPr>
        <w:pStyle w:val="paragraphsub"/>
      </w:pPr>
      <w:r w:rsidRPr="0011747E">
        <w:tab/>
        <w:t>(i)</w:t>
      </w:r>
      <w:r w:rsidRPr="0011747E">
        <w:tab/>
        <w:t>for a case of moderate complexity</w:t>
      </w:r>
      <w:r w:rsidR="00CE20F9" w:rsidRPr="0011747E">
        <w:t>—</w:t>
      </w:r>
      <w:r w:rsidRPr="0011747E">
        <w:t>5 or less; and</w:t>
      </w:r>
    </w:p>
    <w:p w:rsidR="00B86332" w:rsidRPr="0011747E" w:rsidRDefault="00B86332" w:rsidP="00B86332">
      <w:pPr>
        <w:pStyle w:val="paragraphsub"/>
      </w:pPr>
      <w:r w:rsidRPr="0011747E">
        <w:tab/>
        <w:t>(ii)</w:t>
      </w:r>
      <w:r w:rsidRPr="0011747E">
        <w:tab/>
        <w:t>for a case of high complexity</w:t>
      </w:r>
      <w:r w:rsidR="00CE20F9" w:rsidRPr="0011747E">
        <w:t>—</w:t>
      </w:r>
      <w:r w:rsidRPr="0011747E">
        <w:t>6 or more but less than 15;</w:t>
      </w:r>
    </w:p>
    <w:p w:rsidR="0084733F" w:rsidRPr="0011747E" w:rsidRDefault="0084733F" w:rsidP="0084733F">
      <w:pPr>
        <w:pStyle w:val="paragraph"/>
      </w:pPr>
      <w:r w:rsidRPr="0011747E">
        <w:tab/>
        <w:t>(f)</w:t>
      </w:r>
      <w:r w:rsidRPr="0011747E">
        <w:tab/>
        <w:t>if section</w:t>
      </w:r>
      <w:r w:rsidR="0011747E" w:rsidRPr="0011747E">
        <w:t> </w:t>
      </w:r>
      <w:r w:rsidRPr="0011747E">
        <w:t>20 or 20A of the Act is relevant to the action—</w:t>
      </w:r>
      <w:r w:rsidR="00CE20F9" w:rsidRPr="0011747E">
        <w:t xml:space="preserve">whether </w:t>
      </w:r>
      <w:r w:rsidR="00DD5184" w:rsidRPr="0011747E">
        <w:t xml:space="preserve">the </w:t>
      </w:r>
      <w:r w:rsidR="00610701" w:rsidRPr="0011747E">
        <w:t>action would affect</w:t>
      </w:r>
      <w:r w:rsidRPr="0011747E">
        <w:t>:</w:t>
      </w:r>
    </w:p>
    <w:p w:rsidR="00DD5184" w:rsidRPr="0011747E" w:rsidRDefault="0084733F" w:rsidP="0084733F">
      <w:pPr>
        <w:pStyle w:val="paragraphsub"/>
      </w:pPr>
      <w:r w:rsidRPr="0011747E">
        <w:tab/>
        <w:t>(i)</w:t>
      </w:r>
      <w:r w:rsidRPr="0011747E">
        <w:tab/>
        <w:t>for a case of moderate complexity</w:t>
      </w:r>
      <w:r w:rsidR="00CE20F9" w:rsidRPr="0011747E">
        <w:t>—</w:t>
      </w:r>
      <w:r w:rsidR="00B72BA1" w:rsidRPr="0011747E">
        <w:t>one category</w:t>
      </w:r>
      <w:r w:rsidR="00610701" w:rsidRPr="0011747E">
        <w:t xml:space="preserve"> of listed migratory species</w:t>
      </w:r>
      <w:r w:rsidR="00DD5184" w:rsidRPr="0011747E">
        <w:t>; and</w:t>
      </w:r>
    </w:p>
    <w:p w:rsidR="0084733F" w:rsidRPr="0011747E" w:rsidRDefault="0084733F" w:rsidP="0084733F">
      <w:pPr>
        <w:pStyle w:val="paragraphsub"/>
      </w:pPr>
      <w:r w:rsidRPr="0011747E">
        <w:tab/>
        <w:t>(ii)</w:t>
      </w:r>
      <w:r w:rsidRPr="0011747E">
        <w:tab/>
        <w:t>for a case of high complexity</w:t>
      </w:r>
      <w:r w:rsidR="00CE20F9" w:rsidRPr="0011747E">
        <w:t>—</w:t>
      </w:r>
      <w:r w:rsidR="00B72BA1" w:rsidRPr="0011747E">
        <w:t>2 categ</w:t>
      </w:r>
      <w:r w:rsidR="00DD5184" w:rsidRPr="0011747E">
        <w:t>ories</w:t>
      </w:r>
      <w:r w:rsidR="00610701" w:rsidRPr="0011747E">
        <w:t xml:space="preserve"> of listed migratory species</w:t>
      </w:r>
      <w:r w:rsidRPr="0011747E">
        <w:t>;</w:t>
      </w:r>
    </w:p>
    <w:p w:rsidR="00B86332" w:rsidRPr="0011747E" w:rsidRDefault="0084733F" w:rsidP="00B86332">
      <w:pPr>
        <w:pStyle w:val="paragraph"/>
      </w:pPr>
      <w:r w:rsidRPr="0011747E">
        <w:tab/>
        <w:t>(g</w:t>
      </w:r>
      <w:r w:rsidR="00B86332" w:rsidRPr="0011747E">
        <w:t>)</w:t>
      </w:r>
      <w:r w:rsidR="00B86332" w:rsidRPr="0011747E">
        <w:tab/>
        <w:t>if section</w:t>
      </w:r>
      <w:r w:rsidR="0011747E" w:rsidRPr="0011747E">
        <w:t> </w:t>
      </w:r>
      <w:r w:rsidR="00B86332" w:rsidRPr="0011747E">
        <w:t>21 or 22A of the Act is relevant to the action—both:</w:t>
      </w:r>
    </w:p>
    <w:p w:rsidR="00B86332" w:rsidRPr="0011747E" w:rsidRDefault="00B86332" w:rsidP="00B86332">
      <w:pPr>
        <w:pStyle w:val="paragraphsub"/>
      </w:pPr>
      <w:r w:rsidRPr="0011747E">
        <w:tab/>
        <w:t>(i)</w:t>
      </w:r>
      <w:r w:rsidRPr="0011747E">
        <w:tab/>
        <w:t>whether the technology to be used in taking the action is proven; and</w:t>
      </w:r>
    </w:p>
    <w:p w:rsidR="00B86332" w:rsidRPr="0011747E" w:rsidRDefault="00B86332" w:rsidP="00B86332">
      <w:pPr>
        <w:pStyle w:val="paragraphsub"/>
      </w:pPr>
      <w:r w:rsidRPr="0011747E">
        <w:tab/>
        <w:t>(ii)</w:t>
      </w:r>
      <w:r w:rsidRPr="0011747E">
        <w:tab/>
        <w:t>the scale, scope and severity of the impacts of the action;</w:t>
      </w:r>
    </w:p>
    <w:p w:rsidR="00B86332" w:rsidRPr="0011747E" w:rsidRDefault="0084733F" w:rsidP="00B86332">
      <w:pPr>
        <w:pStyle w:val="paragraph"/>
      </w:pPr>
      <w:r w:rsidRPr="0011747E">
        <w:tab/>
        <w:t>(h</w:t>
      </w:r>
      <w:r w:rsidR="00B86332" w:rsidRPr="0011747E">
        <w:t>)</w:t>
      </w:r>
      <w:r w:rsidR="00B86332" w:rsidRPr="0011747E">
        <w:tab/>
        <w:t>if section</w:t>
      </w:r>
      <w:r w:rsidR="0011747E" w:rsidRPr="0011747E">
        <w:t> </w:t>
      </w:r>
      <w:r w:rsidR="00B86332" w:rsidRPr="0011747E">
        <w:t>24D or 24E of the Act is relevant to the action—the scale, scope and severity of the impacts of the action.</w:t>
      </w:r>
    </w:p>
    <w:p w:rsidR="00ED65EF" w:rsidRPr="0011747E" w:rsidRDefault="00ED65EF" w:rsidP="00ED65EF">
      <w:pPr>
        <w:pStyle w:val="notetext"/>
      </w:pPr>
      <w:r w:rsidRPr="0011747E">
        <w:t>Note</w:t>
      </w:r>
      <w:r w:rsidR="00766DDE" w:rsidRPr="0011747E">
        <w:t xml:space="preserve"> 1</w:t>
      </w:r>
      <w:r w:rsidRPr="0011747E">
        <w:t>:</w:t>
      </w:r>
      <w:r w:rsidRPr="0011747E">
        <w:tab/>
        <w:t xml:space="preserve">For </w:t>
      </w:r>
      <w:r w:rsidR="0011747E" w:rsidRPr="0011747E">
        <w:t>paragraphs (</w:t>
      </w:r>
      <w:r w:rsidR="00766DDE" w:rsidRPr="0011747E">
        <w:t>b) and (c), see also subregulation</w:t>
      </w:r>
      <w:r w:rsidR="0011747E" w:rsidRPr="0011747E">
        <w:t> </w:t>
      </w:r>
      <w:r w:rsidR="00766DDE" w:rsidRPr="0011747E">
        <w:t>(5).</w:t>
      </w:r>
    </w:p>
    <w:p w:rsidR="00766DDE" w:rsidRPr="0011747E" w:rsidRDefault="00766DDE" w:rsidP="00ED65EF">
      <w:pPr>
        <w:pStyle w:val="notetext"/>
      </w:pPr>
      <w:r w:rsidRPr="0011747E">
        <w:t>Note 2:</w:t>
      </w:r>
      <w:r w:rsidRPr="0011747E">
        <w:tab/>
        <w:t xml:space="preserve">For </w:t>
      </w:r>
      <w:r w:rsidR="0011747E" w:rsidRPr="0011747E">
        <w:t>paragraphs (</w:t>
      </w:r>
      <w:r w:rsidRPr="0011747E">
        <w:t>e)</w:t>
      </w:r>
      <w:r w:rsidR="0084733F" w:rsidRPr="0011747E">
        <w:t xml:space="preserve"> and (f)</w:t>
      </w:r>
      <w:r w:rsidRPr="0011747E">
        <w:t>, see also subregulation</w:t>
      </w:r>
      <w:r w:rsidR="0011747E" w:rsidRPr="0011747E">
        <w:t> </w:t>
      </w:r>
      <w:r w:rsidRPr="0011747E">
        <w:t>(6).</w:t>
      </w:r>
    </w:p>
    <w:p w:rsidR="00B86332" w:rsidRPr="0011747E" w:rsidRDefault="00B86332" w:rsidP="00B86332">
      <w:pPr>
        <w:pStyle w:val="SubsectionHead"/>
      </w:pPr>
      <w:r w:rsidRPr="0011747E">
        <w:t>Determination—very high complexity</w:t>
      </w:r>
    </w:p>
    <w:p w:rsidR="00B86332" w:rsidRPr="0011747E" w:rsidRDefault="00B86332" w:rsidP="00B86332">
      <w:pPr>
        <w:pStyle w:val="subsection"/>
      </w:pPr>
      <w:r w:rsidRPr="0011747E">
        <w:tab/>
        <w:t>(3)</w:t>
      </w:r>
      <w:r w:rsidRPr="0011747E">
        <w:tab/>
        <w:t xml:space="preserve">When making a determination that a controlling provision component is of </w:t>
      </w:r>
      <w:r w:rsidRPr="0011747E">
        <w:rPr>
          <w:b/>
          <w:i/>
        </w:rPr>
        <w:t>very high complexity</w:t>
      </w:r>
      <w:r w:rsidRPr="0011747E">
        <w:t>, the Minister must consider the following:</w:t>
      </w:r>
    </w:p>
    <w:p w:rsidR="00B86332" w:rsidRPr="0011747E" w:rsidRDefault="00B86332" w:rsidP="00B86332">
      <w:pPr>
        <w:pStyle w:val="paragraph"/>
      </w:pPr>
      <w:r w:rsidRPr="0011747E">
        <w:tab/>
        <w:t>(a)</w:t>
      </w:r>
      <w:r w:rsidRPr="0011747E">
        <w:tab/>
        <w:t>the matters referred to in paragraphs 87(3)(a) to (e) of the Act;</w:t>
      </w:r>
    </w:p>
    <w:p w:rsidR="00B86332" w:rsidRPr="0011747E" w:rsidRDefault="00B86332" w:rsidP="00B86332">
      <w:pPr>
        <w:pStyle w:val="paragraph"/>
      </w:pPr>
      <w:r w:rsidRPr="0011747E">
        <w:tab/>
        <w:t>(b)</w:t>
      </w:r>
      <w:r w:rsidRPr="0011747E">
        <w:tab/>
        <w:t>if section</w:t>
      </w:r>
      <w:r w:rsidR="0011747E" w:rsidRPr="0011747E">
        <w:t> </w:t>
      </w:r>
      <w:r w:rsidRPr="0011747E">
        <w:t>12 or 15A of the Act is relevant to the action—these factors:</w:t>
      </w:r>
    </w:p>
    <w:p w:rsidR="00B86332" w:rsidRPr="0011747E" w:rsidRDefault="00B86332" w:rsidP="00B86332">
      <w:pPr>
        <w:pStyle w:val="paragraphsub"/>
      </w:pPr>
      <w:r w:rsidRPr="0011747E">
        <w:tab/>
        <w:t>(i)</w:t>
      </w:r>
      <w:r w:rsidRPr="0011747E">
        <w:tab/>
        <w:t>the characteristics of the relevant declared Word Heritage property; and</w:t>
      </w:r>
    </w:p>
    <w:p w:rsidR="00B86332" w:rsidRPr="0011747E" w:rsidRDefault="00B86332" w:rsidP="00B86332">
      <w:pPr>
        <w:pStyle w:val="paragraphsub"/>
      </w:pPr>
      <w:r w:rsidRPr="0011747E">
        <w:tab/>
        <w:t>(ii)</w:t>
      </w:r>
      <w:r w:rsidRPr="0011747E">
        <w:tab/>
        <w:t>the duration of the impacts of the action; and</w:t>
      </w:r>
    </w:p>
    <w:p w:rsidR="00B86332" w:rsidRPr="0011747E" w:rsidRDefault="00B86332" w:rsidP="00B86332">
      <w:pPr>
        <w:pStyle w:val="paragraphsub"/>
      </w:pPr>
      <w:r w:rsidRPr="0011747E">
        <w:tab/>
        <w:t>(iii)</w:t>
      </w:r>
      <w:r w:rsidRPr="0011747E">
        <w:tab/>
        <w:t>the timeframe for taking the action;</w:t>
      </w:r>
    </w:p>
    <w:p w:rsidR="00B86332" w:rsidRPr="0011747E" w:rsidRDefault="00B86332" w:rsidP="00B86332">
      <w:pPr>
        <w:pStyle w:val="paragraph"/>
      </w:pPr>
      <w:r w:rsidRPr="0011747E">
        <w:tab/>
        <w:t>(c)</w:t>
      </w:r>
      <w:r w:rsidRPr="0011747E">
        <w:tab/>
        <w:t>if section</w:t>
      </w:r>
      <w:r w:rsidR="0011747E" w:rsidRPr="0011747E">
        <w:t> </w:t>
      </w:r>
      <w:r w:rsidRPr="0011747E">
        <w:t>15B or 15C of the Act is relevant to the action—these factors:</w:t>
      </w:r>
    </w:p>
    <w:p w:rsidR="00B86332" w:rsidRPr="0011747E" w:rsidRDefault="00B86332" w:rsidP="00B86332">
      <w:pPr>
        <w:pStyle w:val="paragraphsub"/>
      </w:pPr>
      <w:r w:rsidRPr="0011747E">
        <w:tab/>
        <w:t>(i)</w:t>
      </w:r>
      <w:r w:rsidRPr="0011747E">
        <w:tab/>
        <w:t>the characteristics of the relevant National Heritage place; and</w:t>
      </w:r>
    </w:p>
    <w:p w:rsidR="00B86332" w:rsidRPr="0011747E" w:rsidRDefault="00B86332" w:rsidP="00B86332">
      <w:pPr>
        <w:pStyle w:val="paragraphsub"/>
      </w:pPr>
      <w:r w:rsidRPr="0011747E">
        <w:tab/>
        <w:t>(ii)</w:t>
      </w:r>
      <w:r w:rsidRPr="0011747E">
        <w:tab/>
        <w:t>the duration of the impacts of the action; and</w:t>
      </w:r>
    </w:p>
    <w:p w:rsidR="00B86332" w:rsidRPr="0011747E" w:rsidRDefault="00B86332" w:rsidP="00B86332">
      <w:pPr>
        <w:pStyle w:val="paragraphsub"/>
      </w:pPr>
      <w:r w:rsidRPr="0011747E">
        <w:tab/>
        <w:t>(iii)</w:t>
      </w:r>
      <w:r w:rsidRPr="0011747E">
        <w:tab/>
        <w:t>the timeframe for taking the action;</w:t>
      </w:r>
    </w:p>
    <w:p w:rsidR="00B86332" w:rsidRPr="0011747E" w:rsidRDefault="00B86332" w:rsidP="00B86332">
      <w:pPr>
        <w:pStyle w:val="paragraph"/>
      </w:pPr>
      <w:r w:rsidRPr="0011747E">
        <w:tab/>
        <w:t>(d)</w:t>
      </w:r>
      <w:r w:rsidRPr="0011747E">
        <w:tab/>
        <w:t>if section</w:t>
      </w:r>
      <w:r w:rsidR="0011747E" w:rsidRPr="0011747E">
        <w:t> </w:t>
      </w:r>
      <w:r w:rsidRPr="0011747E">
        <w:t>16, 17B, 23, 24A, 24D, 24E, 26, 27A, 27B, 27C or 28 of the Act is relevant to the action—both:</w:t>
      </w:r>
    </w:p>
    <w:p w:rsidR="00B86332" w:rsidRPr="0011747E" w:rsidRDefault="00B86332" w:rsidP="00B86332">
      <w:pPr>
        <w:pStyle w:val="paragraphsub"/>
      </w:pPr>
      <w:r w:rsidRPr="0011747E">
        <w:tab/>
        <w:t>(i)</w:t>
      </w:r>
      <w:r w:rsidRPr="0011747E">
        <w:tab/>
        <w:t>the scale, scope, duration and severity of the impacts of the action; and</w:t>
      </w:r>
    </w:p>
    <w:p w:rsidR="00B86332" w:rsidRPr="0011747E" w:rsidRDefault="00B86332" w:rsidP="00B86332">
      <w:pPr>
        <w:pStyle w:val="paragraphsub"/>
      </w:pPr>
      <w:r w:rsidRPr="0011747E">
        <w:tab/>
        <w:t>(ii)</w:t>
      </w:r>
      <w:r w:rsidRPr="0011747E">
        <w:tab/>
        <w:t>the timeframe for taking the action;</w:t>
      </w:r>
    </w:p>
    <w:p w:rsidR="00B86332" w:rsidRPr="0011747E" w:rsidRDefault="00B86332" w:rsidP="00B86332">
      <w:pPr>
        <w:pStyle w:val="paragraph"/>
      </w:pPr>
      <w:r w:rsidRPr="0011747E">
        <w:tab/>
        <w:t>(e)</w:t>
      </w:r>
      <w:r w:rsidRPr="0011747E">
        <w:tab/>
        <w:t>if section</w:t>
      </w:r>
      <w:r w:rsidR="0011747E" w:rsidRPr="0011747E">
        <w:t> </w:t>
      </w:r>
      <w:r w:rsidR="009A13B2" w:rsidRPr="0011747E">
        <w:t xml:space="preserve">18 or </w:t>
      </w:r>
      <w:r w:rsidRPr="0011747E">
        <w:t xml:space="preserve">18A of the Act is relevant to the action—the point value, which </w:t>
      </w:r>
      <w:r w:rsidR="00D45E68" w:rsidRPr="0011747E">
        <w:t>is</w:t>
      </w:r>
      <w:r w:rsidRPr="0011747E">
        <w:t xml:space="preserve"> 15 or more;</w:t>
      </w:r>
    </w:p>
    <w:p w:rsidR="009A13B2" w:rsidRPr="0011747E" w:rsidRDefault="009A13B2" w:rsidP="009A13B2">
      <w:pPr>
        <w:pStyle w:val="paragraph"/>
      </w:pPr>
      <w:r w:rsidRPr="0011747E">
        <w:tab/>
        <w:t>(f)</w:t>
      </w:r>
      <w:r w:rsidRPr="0011747E">
        <w:tab/>
        <w:t>if section</w:t>
      </w:r>
      <w:r w:rsidR="0011747E" w:rsidRPr="0011747E">
        <w:t> </w:t>
      </w:r>
      <w:r w:rsidRPr="0011747E">
        <w:t>20 or 20A of the Act is relevant to the action—</w:t>
      </w:r>
      <w:r w:rsidR="00753730" w:rsidRPr="0011747E">
        <w:t xml:space="preserve">whether </w:t>
      </w:r>
      <w:r w:rsidR="00B72BA1" w:rsidRPr="0011747E">
        <w:t xml:space="preserve">the action would affect </w:t>
      </w:r>
      <w:r w:rsidR="00DD6F6B" w:rsidRPr="0011747E">
        <w:t>3 or more categories of listed migratory species</w:t>
      </w:r>
      <w:r w:rsidRPr="0011747E">
        <w:t>;</w:t>
      </w:r>
    </w:p>
    <w:p w:rsidR="00B86332" w:rsidRPr="0011747E" w:rsidRDefault="009A13B2" w:rsidP="00B86332">
      <w:pPr>
        <w:pStyle w:val="paragraph"/>
      </w:pPr>
      <w:r w:rsidRPr="0011747E">
        <w:tab/>
        <w:t>(g</w:t>
      </w:r>
      <w:r w:rsidR="00B86332" w:rsidRPr="0011747E">
        <w:t>)</w:t>
      </w:r>
      <w:r w:rsidR="00B86332" w:rsidRPr="0011747E">
        <w:tab/>
        <w:t>if section</w:t>
      </w:r>
      <w:r w:rsidR="0011747E" w:rsidRPr="0011747E">
        <w:t> </w:t>
      </w:r>
      <w:r w:rsidR="00B86332" w:rsidRPr="0011747E">
        <w:t>21 or 22A of the Act is relevant to the action—both:</w:t>
      </w:r>
    </w:p>
    <w:p w:rsidR="00B86332" w:rsidRPr="0011747E" w:rsidRDefault="00B86332" w:rsidP="00B86332">
      <w:pPr>
        <w:pStyle w:val="paragraphsub"/>
      </w:pPr>
      <w:r w:rsidRPr="0011747E">
        <w:tab/>
        <w:t>(i)</w:t>
      </w:r>
      <w:r w:rsidRPr="0011747E">
        <w:tab/>
        <w:t>whether the technology to be used in taking the action is proven; and</w:t>
      </w:r>
    </w:p>
    <w:p w:rsidR="00B86332" w:rsidRPr="0011747E" w:rsidRDefault="00B86332" w:rsidP="00B86332">
      <w:pPr>
        <w:pStyle w:val="paragraphsub"/>
      </w:pPr>
      <w:r w:rsidRPr="0011747E">
        <w:tab/>
        <w:t>(ii)</w:t>
      </w:r>
      <w:r w:rsidRPr="0011747E">
        <w:tab/>
        <w:t>the scale, scope and severity of the impacts of the action.</w:t>
      </w:r>
    </w:p>
    <w:p w:rsidR="00766DDE" w:rsidRPr="0011747E" w:rsidRDefault="00766DDE" w:rsidP="00766DDE">
      <w:pPr>
        <w:pStyle w:val="notetext"/>
      </w:pPr>
      <w:r w:rsidRPr="0011747E">
        <w:t>Note 1:</w:t>
      </w:r>
      <w:r w:rsidRPr="0011747E">
        <w:tab/>
        <w:t xml:space="preserve">For </w:t>
      </w:r>
      <w:r w:rsidR="0011747E" w:rsidRPr="0011747E">
        <w:t>paragraphs (</w:t>
      </w:r>
      <w:r w:rsidRPr="0011747E">
        <w:t>b) and (c), see also subregulation</w:t>
      </w:r>
      <w:r w:rsidR="0011747E" w:rsidRPr="0011747E">
        <w:t> </w:t>
      </w:r>
      <w:r w:rsidRPr="0011747E">
        <w:t>(5).</w:t>
      </w:r>
    </w:p>
    <w:p w:rsidR="00766DDE" w:rsidRPr="0011747E" w:rsidRDefault="00766DDE" w:rsidP="00766DDE">
      <w:pPr>
        <w:pStyle w:val="notetext"/>
      </w:pPr>
      <w:r w:rsidRPr="0011747E">
        <w:t>Note 2:</w:t>
      </w:r>
      <w:r w:rsidRPr="0011747E">
        <w:tab/>
        <w:t xml:space="preserve">For </w:t>
      </w:r>
      <w:r w:rsidR="0011747E" w:rsidRPr="0011747E">
        <w:t>paragraphs (</w:t>
      </w:r>
      <w:r w:rsidRPr="0011747E">
        <w:t>e)</w:t>
      </w:r>
      <w:r w:rsidR="009A13B2" w:rsidRPr="0011747E">
        <w:t xml:space="preserve"> and (f)</w:t>
      </w:r>
      <w:r w:rsidRPr="0011747E">
        <w:t>, see also subregulation</w:t>
      </w:r>
      <w:r w:rsidR="0011747E" w:rsidRPr="0011747E">
        <w:t> </w:t>
      </w:r>
      <w:r w:rsidRPr="0011747E">
        <w:t>(6).</w:t>
      </w:r>
    </w:p>
    <w:p w:rsidR="0039784F" w:rsidRPr="0011747E" w:rsidRDefault="00B86332" w:rsidP="0039784F">
      <w:pPr>
        <w:pStyle w:val="subsection"/>
      </w:pPr>
      <w:r w:rsidRPr="0011747E">
        <w:tab/>
        <w:t>(4)</w:t>
      </w:r>
      <w:r w:rsidRPr="0011747E">
        <w:tab/>
        <w:t>Subregulations (2) and (3) do not limit the matters that the Minister may consider.</w:t>
      </w:r>
    </w:p>
    <w:p w:rsidR="0039784F" w:rsidRPr="0011747E" w:rsidRDefault="0039784F" w:rsidP="0039784F">
      <w:pPr>
        <w:pStyle w:val="SubsectionHead"/>
      </w:pPr>
      <w:r w:rsidRPr="0011747E">
        <w:t>World Heritage property that is also a National Heritage place</w:t>
      </w:r>
    </w:p>
    <w:p w:rsidR="009A3156" w:rsidRPr="0011747E" w:rsidRDefault="0039784F" w:rsidP="0039784F">
      <w:pPr>
        <w:pStyle w:val="subsection"/>
      </w:pPr>
      <w:r w:rsidRPr="0011747E">
        <w:tab/>
        <w:t>(5)</w:t>
      </w:r>
      <w:r w:rsidRPr="0011747E">
        <w:tab/>
        <w:t xml:space="preserve">If a declared World Heritage property is also a National Heritage place, the Minister may make a determination under this regulation </w:t>
      </w:r>
      <w:r w:rsidR="00CD1C46" w:rsidRPr="0011747E">
        <w:t xml:space="preserve">only </w:t>
      </w:r>
      <w:r w:rsidRPr="0011747E">
        <w:t>in relation to the declared World Heritage property</w:t>
      </w:r>
      <w:r w:rsidR="009A3156" w:rsidRPr="0011747E">
        <w:t>.</w:t>
      </w:r>
    </w:p>
    <w:p w:rsidR="0039784F" w:rsidRPr="0011747E" w:rsidRDefault="0039784F" w:rsidP="0039784F">
      <w:pPr>
        <w:pStyle w:val="SubsectionHead"/>
      </w:pPr>
      <w:r w:rsidRPr="0011747E">
        <w:t>Listed threatened species that are also listed migratory species</w:t>
      </w:r>
    </w:p>
    <w:p w:rsidR="0084733F" w:rsidRPr="0011747E" w:rsidRDefault="0039784F" w:rsidP="0084733F">
      <w:pPr>
        <w:pStyle w:val="subsection"/>
      </w:pPr>
      <w:r w:rsidRPr="0011747E">
        <w:tab/>
        <w:t>(6)</w:t>
      </w:r>
      <w:r w:rsidRPr="0011747E">
        <w:tab/>
        <w:t xml:space="preserve">If a listed threatened species is also a listed migratory species, </w:t>
      </w:r>
      <w:r w:rsidR="0084733F" w:rsidRPr="0011747E">
        <w:t xml:space="preserve">the Minister may make a determination under this regulation </w:t>
      </w:r>
      <w:r w:rsidR="00CD1C46" w:rsidRPr="0011747E">
        <w:t xml:space="preserve">only </w:t>
      </w:r>
      <w:r w:rsidR="0084733F" w:rsidRPr="0011747E">
        <w:t>in relation t</w:t>
      </w:r>
      <w:r w:rsidR="00CD1C46" w:rsidRPr="0011747E">
        <w:t>o the listed threatened species</w:t>
      </w:r>
      <w:r w:rsidR="0084733F" w:rsidRPr="0011747E">
        <w:t>.</w:t>
      </w:r>
    </w:p>
    <w:p w:rsidR="00F621E2" w:rsidRPr="0011747E" w:rsidRDefault="00F621E2" w:rsidP="00F621E2">
      <w:pPr>
        <w:pStyle w:val="subsection"/>
      </w:pPr>
      <w:r w:rsidRPr="0011747E">
        <w:tab/>
        <w:t>(7)</w:t>
      </w:r>
      <w:r w:rsidRPr="0011747E">
        <w:tab/>
        <w:t>A determination made under this regulation is not a legislative instrument.</w:t>
      </w:r>
    </w:p>
    <w:p w:rsidR="00500A8B" w:rsidRPr="0011747E" w:rsidRDefault="00E83D70" w:rsidP="00BD0869">
      <w:pPr>
        <w:pStyle w:val="ActHead5"/>
      </w:pPr>
      <w:bookmarkStart w:id="20" w:name="_Toc396376223"/>
      <w:r w:rsidRPr="0011747E">
        <w:rPr>
          <w:rStyle w:val="CharSectno"/>
        </w:rPr>
        <w:t>5.12E</w:t>
      </w:r>
      <w:r w:rsidR="00500A8B" w:rsidRPr="0011747E">
        <w:t xml:space="preserve">  Determination of an exceptional case component</w:t>
      </w:r>
      <w:bookmarkEnd w:id="20"/>
    </w:p>
    <w:p w:rsidR="00500A8B" w:rsidRPr="0011747E" w:rsidRDefault="00500A8B" w:rsidP="00500A8B">
      <w:pPr>
        <w:pStyle w:val="subsection"/>
      </w:pPr>
      <w:r w:rsidRPr="0011747E">
        <w:tab/>
        <w:t>(1)</w:t>
      </w:r>
      <w:r w:rsidRPr="0011747E">
        <w:tab/>
        <w:t xml:space="preserve">The Minister may determine that an </w:t>
      </w:r>
      <w:r w:rsidRPr="0011747E">
        <w:rPr>
          <w:b/>
          <w:i/>
        </w:rPr>
        <w:t>exceptional case component</w:t>
      </w:r>
      <w:r w:rsidRPr="0011747E">
        <w:t xml:space="preserve"> applies</w:t>
      </w:r>
      <w:r w:rsidR="00C14F48" w:rsidRPr="0011747E">
        <w:t xml:space="preserve"> in relation to the assessment of the impacts of an action if:</w:t>
      </w:r>
    </w:p>
    <w:p w:rsidR="00500A8B" w:rsidRPr="0011747E" w:rsidRDefault="00500A8B" w:rsidP="00500A8B">
      <w:pPr>
        <w:pStyle w:val="paragraph"/>
      </w:pPr>
      <w:r w:rsidRPr="0011747E">
        <w:tab/>
        <w:t>(a)</w:t>
      </w:r>
      <w:r w:rsidRPr="0011747E">
        <w:tab/>
        <w:t>both:</w:t>
      </w:r>
    </w:p>
    <w:p w:rsidR="00500A8B" w:rsidRPr="0011747E" w:rsidRDefault="00500A8B" w:rsidP="00500A8B">
      <w:pPr>
        <w:pStyle w:val="paragraphsub"/>
      </w:pPr>
      <w:r w:rsidRPr="0011747E">
        <w:tab/>
        <w:t>(i)</w:t>
      </w:r>
      <w:r w:rsidRPr="0011747E">
        <w:tab/>
        <w:t>the action is of a kind that has not been taken before; and</w:t>
      </w:r>
    </w:p>
    <w:p w:rsidR="00500A8B" w:rsidRPr="0011747E" w:rsidRDefault="00500A8B" w:rsidP="00500A8B">
      <w:pPr>
        <w:pStyle w:val="paragraphsub"/>
      </w:pPr>
      <w:r w:rsidRPr="0011747E">
        <w:tab/>
        <w:t>(ii)</w:t>
      </w:r>
      <w:r w:rsidRPr="0011747E">
        <w:tab/>
        <w:t>the</w:t>
      </w:r>
      <w:r w:rsidR="00C14F48" w:rsidRPr="0011747E">
        <w:t xml:space="preserve"> Minister considers that the</w:t>
      </w:r>
      <w:r w:rsidRPr="0011747E">
        <w:t xml:space="preserve"> impacts are uncertain; or</w:t>
      </w:r>
    </w:p>
    <w:p w:rsidR="00500A8B" w:rsidRPr="0011747E" w:rsidRDefault="00500A8B" w:rsidP="00500A8B">
      <w:pPr>
        <w:pStyle w:val="paragraph"/>
      </w:pPr>
      <w:r w:rsidRPr="0011747E">
        <w:tab/>
        <w:t>(b)</w:t>
      </w:r>
      <w:r w:rsidRPr="0011747E">
        <w:tab/>
        <w:t>the</w:t>
      </w:r>
      <w:r w:rsidR="00C14F48" w:rsidRPr="0011747E">
        <w:t xml:space="preserve"> Minister considers that the</w:t>
      </w:r>
      <w:r w:rsidRPr="0011747E">
        <w:t xml:space="preserve"> impacts of the action on the environment are very high because there are threats of serious or irreversible environmental damage.</w:t>
      </w:r>
    </w:p>
    <w:p w:rsidR="00500A8B" w:rsidRPr="0011747E" w:rsidRDefault="00500A8B" w:rsidP="00500A8B">
      <w:pPr>
        <w:pStyle w:val="subsection"/>
      </w:pPr>
      <w:r w:rsidRPr="0011747E">
        <w:tab/>
        <w:t>(2)</w:t>
      </w:r>
      <w:r w:rsidRPr="0011747E">
        <w:tab/>
        <w:t>A determination made under this regulation is not a legislative instrument.</w:t>
      </w:r>
    </w:p>
    <w:p w:rsidR="00DB4236" w:rsidRPr="0011747E" w:rsidRDefault="00BD0869" w:rsidP="00BD0869">
      <w:pPr>
        <w:pStyle w:val="ActHead5"/>
      </w:pPr>
      <w:bookmarkStart w:id="21" w:name="_Toc396376224"/>
      <w:r w:rsidRPr="0011747E">
        <w:rPr>
          <w:rStyle w:val="CharSectno"/>
        </w:rPr>
        <w:t>5.12</w:t>
      </w:r>
      <w:r w:rsidR="00A920A6" w:rsidRPr="0011747E">
        <w:rPr>
          <w:rStyle w:val="CharSectno"/>
        </w:rPr>
        <w:t>F</w:t>
      </w:r>
      <w:r w:rsidRPr="0011747E">
        <w:t xml:space="preserve">  </w:t>
      </w:r>
      <w:r w:rsidR="00320321" w:rsidRPr="0011747E">
        <w:t>Determination</w:t>
      </w:r>
      <w:r w:rsidRPr="0011747E">
        <w:t xml:space="preserve"> f</w:t>
      </w:r>
      <w:r w:rsidR="00DB4236" w:rsidRPr="0011747E">
        <w:t>or each legislative impact component</w:t>
      </w:r>
      <w:bookmarkEnd w:id="21"/>
    </w:p>
    <w:p w:rsidR="00BA1571" w:rsidRPr="0011747E" w:rsidRDefault="000670DC" w:rsidP="00BA1571">
      <w:pPr>
        <w:pStyle w:val="subsection"/>
      </w:pPr>
      <w:r w:rsidRPr="0011747E">
        <w:tab/>
        <w:t>(1</w:t>
      </w:r>
      <w:r w:rsidR="00320321" w:rsidRPr="0011747E">
        <w:t>)</w:t>
      </w:r>
      <w:r w:rsidR="00320321" w:rsidRPr="0011747E">
        <w:tab/>
      </w:r>
      <w:r w:rsidR="00BA1571" w:rsidRPr="0011747E">
        <w:t>T</w:t>
      </w:r>
      <w:r w:rsidR="00320321" w:rsidRPr="0011747E">
        <w:t xml:space="preserve">he Minister may </w:t>
      </w:r>
      <w:r w:rsidR="00E8703A" w:rsidRPr="0011747E">
        <w:t>d</w:t>
      </w:r>
      <w:r w:rsidR="00320321" w:rsidRPr="0011747E">
        <w:t>e</w:t>
      </w:r>
      <w:r w:rsidR="00E8703A" w:rsidRPr="0011747E">
        <w:t>te</w:t>
      </w:r>
      <w:r w:rsidR="00320321" w:rsidRPr="0011747E">
        <w:t>rmin</w:t>
      </w:r>
      <w:r w:rsidR="00E8703A" w:rsidRPr="0011747E">
        <w:t>e</w:t>
      </w:r>
      <w:r w:rsidR="00320321" w:rsidRPr="0011747E">
        <w:t xml:space="preserve"> that </w:t>
      </w:r>
      <w:r w:rsidR="00BA1571" w:rsidRPr="0011747E">
        <w:t>a</w:t>
      </w:r>
      <w:r w:rsidR="00E729DA" w:rsidRPr="0011747E">
        <w:t xml:space="preserve"> </w:t>
      </w:r>
      <w:r w:rsidR="00320321" w:rsidRPr="0011747E">
        <w:t>legislative</w:t>
      </w:r>
      <w:r w:rsidR="00E729DA" w:rsidRPr="0011747E">
        <w:t xml:space="preserve"> </w:t>
      </w:r>
      <w:r w:rsidR="00BA1571" w:rsidRPr="0011747E">
        <w:t xml:space="preserve">impact component is </w:t>
      </w:r>
      <w:r w:rsidR="00320321" w:rsidRPr="0011747E">
        <w:t xml:space="preserve">of </w:t>
      </w:r>
      <w:r w:rsidR="00E729DA" w:rsidRPr="0011747E">
        <w:rPr>
          <w:b/>
          <w:i/>
        </w:rPr>
        <w:t>low</w:t>
      </w:r>
      <w:r w:rsidR="00320321" w:rsidRPr="0011747E">
        <w:rPr>
          <w:b/>
          <w:i/>
        </w:rPr>
        <w:t xml:space="preserve"> complexity</w:t>
      </w:r>
      <w:r w:rsidR="00BA1571" w:rsidRPr="0011747E">
        <w:t xml:space="preserve">, </w:t>
      </w:r>
      <w:r w:rsidR="00BA1571" w:rsidRPr="0011747E">
        <w:rPr>
          <w:b/>
          <w:i/>
        </w:rPr>
        <w:t>moderate complexity</w:t>
      </w:r>
      <w:r w:rsidR="00BA1571" w:rsidRPr="0011747E">
        <w:t xml:space="preserve">, </w:t>
      </w:r>
      <w:r w:rsidR="00BA1571" w:rsidRPr="0011747E">
        <w:rPr>
          <w:b/>
          <w:i/>
        </w:rPr>
        <w:t>high complexity</w:t>
      </w:r>
      <w:r w:rsidR="00BA1571" w:rsidRPr="0011747E">
        <w:t xml:space="preserve"> or </w:t>
      </w:r>
      <w:r w:rsidR="00BA1571" w:rsidRPr="0011747E">
        <w:rPr>
          <w:b/>
          <w:i/>
        </w:rPr>
        <w:t>very high complexity</w:t>
      </w:r>
      <w:r w:rsidR="00BA1571" w:rsidRPr="0011747E">
        <w:t>.</w:t>
      </w:r>
    </w:p>
    <w:p w:rsidR="000670DC" w:rsidRPr="0011747E" w:rsidRDefault="000670DC" w:rsidP="000670DC">
      <w:pPr>
        <w:pStyle w:val="SubsectionHead"/>
      </w:pPr>
      <w:r w:rsidRPr="0011747E">
        <w:t>Determination—low complexity</w:t>
      </w:r>
    </w:p>
    <w:p w:rsidR="000670DC" w:rsidRPr="0011747E" w:rsidRDefault="000670DC" w:rsidP="00BB07D0">
      <w:pPr>
        <w:pStyle w:val="subsection"/>
      </w:pPr>
      <w:r w:rsidRPr="0011747E">
        <w:tab/>
      </w:r>
      <w:r w:rsidR="00E8703A" w:rsidRPr="0011747E">
        <w:t>(2)</w:t>
      </w:r>
      <w:r w:rsidR="00E8703A" w:rsidRPr="0011747E">
        <w:tab/>
      </w:r>
      <w:r w:rsidR="00BA1571" w:rsidRPr="0011747E">
        <w:t xml:space="preserve">When making a determination that a </w:t>
      </w:r>
      <w:r w:rsidR="00DB4236" w:rsidRPr="0011747E">
        <w:t>legislative impact</w:t>
      </w:r>
      <w:r w:rsidR="00BA1571" w:rsidRPr="0011747E">
        <w:t xml:space="preserve"> component is of </w:t>
      </w:r>
      <w:r w:rsidR="00BA1571" w:rsidRPr="0011747E">
        <w:rPr>
          <w:b/>
          <w:i/>
        </w:rPr>
        <w:t>low complexity</w:t>
      </w:r>
      <w:r w:rsidR="00BB07D0" w:rsidRPr="0011747E">
        <w:t xml:space="preserve">, </w:t>
      </w:r>
      <w:r w:rsidR="00CB0F56" w:rsidRPr="0011747E">
        <w:t xml:space="preserve">the </w:t>
      </w:r>
      <w:r w:rsidR="00E94D75" w:rsidRPr="0011747E">
        <w:t xml:space="preserve">Minister must be satisfied that the </w:t>
      </w:r>
      <w:r w:rsidR="00CB0F56" w:rsidRPr="0011747E">
        <w:t>assessment of the impacts of an action</w:t>
      </w:r>
      <w:r w:rsidR="00113706" w:rsidRPr="0011747E">
        <w:t xml:space="preserve"> </w:t>
      </w:r>
      <w:r w:rsidRPr="0011747E">
        <w:t>involve</w:t>
      </w:r>
      <w:r w:rsidR="00E94D75" w:rsidRPr="0011747E">
        <w:t>s</w:t>
      </w:r>
      <w:r w:rsidRPr="0011747E">
        <w:t xml:space="preserve"> one of the following</w:t>
      </w:r>
      <w:r w:rsidR="00CB0F56" w:rsidRPr="0011747E">
        <w:t xml:space="preserve"> legislative process</w:t>
      </w:r>
      <w:r w:rsidRPr="0011747E">
        <w:t>es:</w:t>
      </w:r>
    </w:p>
    <w:p w:rsidR="00C218C7" w:rsidRPr="0011747E" w:rsidRDefault="00BB07D0" w:rsidP="00BB07D0">
      <w:pPr>
        <w:pStyle w:val="paragraph"/>
      </w:pPr>
      <w:r w:rsidRPr="0011747E">
        <w:tab/>
        <w:t>(a)</w:t>
      </w:r>
      <w:r w:rsidRPr="0011747E">
        <w:tab/>
      </w:r>
      <w:r w:rsidR="00DF4BDE" w:rsidRPr="0011747E">
        <w:t>a</w:t>
      </w:r>
      <w:r w:rsidR="00C218C7" w:rsidRPr="0011747E">
        <w:t xml:space="preserve"> specified manner </w:t>
      </w:r>
      <w:r w:rsidR="00DF4BDE" w:rsidRPr="0011747E">
        <w:t>of</w:t>
      </w:r>
      <w:r w:rsidR="00C218C7" w:rsidRPr="0011747E">
        <w:t xml:space="preserve"> assess</w:t>
      </w:r>
      <w:r w:rsidR="00DF4BDE" w:rsidRPr="0011747E">
        <w:t>ment</w:t>
      </w:r>
      <w:r w:rsidR="00C218C7" w:rsidRPr="0011747E">
        <w:t xml:space="preserve"> in accordance with a bilateral agreement including a declaration descri</w:t>
      </w:r>
      <w:r w:rsidRPr="0011747E">
        <w:t>bed in section</w:t>
      </w:r>
      <w:r w:rsidR="0011747E" w:rsidRPr="0011747E">
        <w:t> </w:t>
      </w:r>
      <w:r w:rsidRPr="0011747E">
        <w:t>47 of the Act;</w:t>
      </w:r>
    </w:p>
    <w:p w:rsidR="00C218C7" w:rsidRPr="0011747E" w:rsidRDefault="00BB07D0" w:rsidP="00BB07D0">
      <w:pPr>
        <w:pStyle w:val="paragraph"/>
      </w:pPr>
      <w:r w:rsidRPr="0011747E">
        <w:tab/>
        <w:t>(b)</w:t>
      </w:r>
      <w:r w:rsidRPr="0011747E">
        <w:tab/>
      </w:r>
      <w:r w:rsidR="00C218C7" w:rsidRPr="0011747E">
        <w:t>an assessment process that is accredited under</w:t>
      </w:r>
      <w:r w:rsidRPr="0011747E">
        <w:t xml:space="preserve"> subsection</w:t>
      </w:r>
      <w:r w:rsidR="0011747E" w:rsidRPr="0011747E">
        <w:t> </w:t>
      </w:r>
      <w:r w:rsidRPr="0011747E">
        <w:t>87(4) of the Act;</w:t>
      </w:r>
    </w:p>
    <w:p w:rsidR="00C218C7" w:rsidRPr="0011747E" w:rsidRDefault="00BB07D0" w:rsidP="00BB07D0">
      <w:pPr>
        <w:pStyle w:val="paragraph"/>
      </w:pPr>
      <w:r w:rsidRPr="0011747E">
        <w:tab/>
        <w:t>(c)</w:t>
      </w:r>
      <w:r w:rsidRPr="0011747E">
        <w:tab/>
      </w:r>
      <w:r w:rsidR="00C218C7" w:rsidRPr="0011747E">
        <w:t>the implementation of a project mentioned in paragraph</w:t>
      </w:r>
      <w:r w:rsidR="0011747E" w:rsidRPr="0011747E">
        <w:t> </w:t>
      </w:r>
      <w:r w:rsidR="00E5293C" w:rsidRPr="0011747E">
        <w:t>160(2)(a) of the Act;</w:t>
      </w:r>
    </w:p>
    <w:p w:rsidR="00C218C7" w:rsidRPr="0011747E" w:rsidRDefault="00BB07D0" w:rsidP="00BB07D0">
      <w:pPr>
        <w:pStyle w:val="paragraph"/>
      </w:pPr>
      <w:r w:rsidRPr="0011747E">
        <w:tab/>
        <w:t>(d)</w:t>
      </w:r>
      <w:r w:rsidRPr="0011747E">
        <w:tab/>
      </w:r>
      <w:r w:rsidR="00C218C7" w:rsidRPr="0011747E">
        <w:t>the adoption or implementation of a plan mentioned in paragra</w:t>
      </w:r>
      <w:r w:rsidRPr="0011747E">
        <w:t>ph</w:t>
      </w:r>
      <w:r w:rsidR="0011747E" w:rsidRPr="0011747E">
        <w:t> </w:t>
      </w:r>
      <w:r w:rsidRPr="0011747E">
        <w:t>160(2)(b) or (c) of the Act;</w:t>
      </w:r>
    </w:p>
    <w:p w:rsidR="000670DC" w:rsidRPr="0011747E" w:rsidRDefault="00BB07D0" w:rsidP="00BB07D0">
      <w:pPr>
        <w:pStyle w:val="paragraph"/>
      </w:pPr>
      <w:r w:rsidRPr="0011747E">
        <w:tab/>
        <w:t>(e)</w:t>
      </w:r>
      <w:r w:rsidRPr="0011747E">
        <w:tab/>
      </w:r>
      <w:r w:rsidR="00C218C7" w:rsidRPr="0011747E">
        <w:t>an action prescribed by the regulations for the purposes of</w:t>
      </w:r>
      <w:r w:rsidR="00CB0F56" w:rsidRPr="0011747E">
        <w:t xml:space="preserve"> paragraph</w:t>
      </w:r>
      <w:r w:rsidR="0011747E" w:rsidRPr="0011747E">
        <w:t> </w:t>
      </w:r>
      <w:r w:rsidR="00CB0F56" w:rsidRPr="0011747E">
        <w:t>160(2)(d) of the Act</w:t>
      </w:r>
      <w:r w:rsidR="000670DC" w:rsidRPr="0011747E">
        <w:t>.</w:t>
      </w:r>
    </w:p>
    <w:p w:rsidR="000670DC" w:rsidRPr="0011747E" w:rsidRDefault="000670DC" w:rsidP="000670DC">
      <w:pPr>
        <w:pStyle w:val="SubsectionHead"/>
      </w:pPr>
      <w:r w:rsidRPr="0011747E">
        <w:t>Determination—moderate complexity</w:t>
      </w:r>
    </w:p>
    <w:p w:rsidR="007B61FA" w:rsidRPr="0011747E" w:rsidRDefault="000670DC" w:rsidP="00BB07D0">
      <w:pPr>
        <w:pStyle w:val="subsection"/>
      </w:pPr>
      <w:r w:rsidRPr="0011747E">
        <w:tab/>
        <w:t>(</w:t>
      </w:r>
      <w:r w:rsidR="002D3C30" w:rsidRPr="0011747E">
        <w:t>3</w:t>
      </w:r>
      <w:r w:rsidRPr="0011747E">
        <w:t>)</w:t>
      </w:r>
      <w:r w:rsidRPr="0011747E">
        <w:tab/>
        <w:t xml:space="preserve">When making a determination that a </w:t>
      </w:r>
      <w:r w:rsidR="00DB4236" w:rsidRPr="0011747E">
        <w:t>legislative impact</w:t>
      </w:r>
      <w:r w:rsidRPr="0011747E">
        <w:t xml:space="preserve"> component is of </w:t>
      </w:r>
      <w:r w:rsidRPr="0011747E">
        <w:rPr>
          <w:b/>
          <w:i/>
        </w:rPr>
        <w:t>moderate complexity</w:t>
      </w:r>
      <w:r w:rsidR="00BB07D0" w:rsidRPr="0011747E">
        <w:t xml:space="preserve">, </w:t>
      </w:r>
      <w:r w:rsidR="00E94D75" w:rsidRPr="0011747E">
        <w:t>the Minister must be satisfied that</w:t>
      </w:r>
      <w:r w:rsidR="007B61FA" w:rsidRPr="0011747E">
        <w:t>:</w:t>
      </w:r>
    </w:p>
    <w:p w:rsidR="00E212BF" w:rsidRPr="0011747E" w:rsidRDefault="007B61FA" w:rsidP="007B61FA">
      <w:pPr>
        <w:pStyle w:val="paragraph"/>
      </w:pPr>
      <w:r w:rsidRPr="0011747E">
        <w:tab/>
        <w:t>(a)</w:t>
      </w:r>
      <w:r w:rsidRPr="0011747E">
        <w:tab/>
      </w:r>
      <w:r w:rsidR="00E212BF" w:rsidRPr="0011747E">
        <w:t>both:</w:t>
      </w:r>
    </w:p>
    <w:p w:rsidR="000670DC" w:rsidRPr="0011747E" w:rsidRDefault="00E212BF" w:rsidP="002D3C30">
      <w:pPr>
        <w:pStyle w:val="paragraphsub"/>
      </w:pPr>
      <w:r w:rsidRPr="0011747E">
        <w:tab/>
        <w:t>(i)</w:t>
      </w:r>
      <w:r w:rsidRPr="0011747E">
        <w:tab/>
      </w:r>
      <w:r w:rsidR="00E94D75" w:rsidRPr="0011747E">
        <w:t>the assessment of the impacts of an action involves 2</w:t>
      </w:r>
      <w:r w:rsidR="002D3C30" w:rsidRPr="0011747E">
        <w:t xml:space="preserve"> </w:t>
      </w:r>
      <w:r w:rsidR="000670DC" w:rsidRPr="0011747E">
        <w:t>legislative pr</w:t>
      </w:r>
      <w:r w:rsidR="002D3C30" w:rsidRPr="0011747E">
        <w:t>ocesses; and</w:t>
      </w:r>
    </w:p>
    <w:p w:rsidR="002D3C30" w:rsidRPr="0011747E" w:rsidRDefault="002D3C30" w:rsidP="002D3C30">
      <w:pPr>
        <w:pStyle w:val="paragraphsub"/>
      </w:pPr>
      <w:r w:rsidRPr="0011747E">
        <w:tab/>
        <w:t>(ii)</w:t>
      </w:r>
      <w:r w:rsidRPr="0011747E">
        <w:tab/>
      </w:r>
      <w:r w:rsidR="0046252A" w:rsidRPr="0011747E">
        <w:t>each</w:t>
      </w:r>
      <w:r w:rsidRPr="0011747E">
        <w:t xml:space="preserve"> legislative process</w:t>
      </w:r>
      <w:r w:rsidR="0046252A" w:rsidRPr="0011747E">
        <w:t xml:space="preserve"> is</w:t>
      </w:r>
      <w:r w:rsidRPr="0011747E">
        <w:t xml:space="preserve"> of a kind mentioned in subregulation</w:t>
      </w:r>
      <w:r w:rsidR="0011747E" w:rsidRPr="0011747E">
        <w:t> </w:t>
      </w:r>
      <w:r w:rsidRPr="0011747E">
        <w:t>(2); or</w:t>
      </w:r>
    </w:p>
    <w:p w:rsidR="00EF6910" w:rsidRPr="0011747E" w:rsidRDefault="007B61FA" w:rsidP="00E94D75">
      <w:pPr>
        <w:pStyle w:val="paragraph"/>
      </w:pPr>
      <w:r w:rsidRPr="0011747E">
        <w:tab/>
        <w:t>(b)</w:t>
      </w:r>
      <w:r w:rsidRPr="0011747E">
        <w:tab/>
        <w:t>a</w:t>
      </w:r>
      <w:r w:rsidR="00F7049D" w:rsidRPr="0011747E">
        <w:t xml:space="preserve">t the time the </w:t>
      </w:r>
      <w:r w:rsidR="00EF6910" w:rsidRPr="0011747E">
        <w:t xml:space="preserve">impacts of </w:t>
      </w:r>
      <w:r w:rsidR="00DF4BDE" w:rsidRPr="0011747E">
        <w:t>an</w:t>
      </w:r>
      <w:r w:rsidR="00EF6910" w:rsidRPr="0011747E">
        <w:t xml:space="preserve"> </w:t>
      </w:r>
      <w:r w:rsidR="00F7049D" w:rsidRPr="0011747E">
        <w:t xml:space="preserve">action </w:t>
      </w:r>
      <w:r w:rsidR="00CF5EF7" w:rsidRPr="0011747E">
        <w:t>are</w:t>
      </w:r>
      <w:r w:rsidR="00A64118" w:rsidRPr="0011747E">
        <w:t xml:space="preserve"> being assessed under the Act</w:t>
      </w:r>
      <w:r w:rsidR="00EF6910" w:rsidRPr="0011747E">
        <w:t>:</w:t>
      </w:r>
    </w:p>
    <w:p w:rsidR="007B61FA" w:rsidRPr="0011747E" w:rsidRDefault="00EF6910" w:rsidP="00EF6910">
      <w:pPr>
        <w:pStyle w:val="paragraphsub"/>
      </w:pPr>
      <w:r w:rsidRPr="0011747E">
        <w:tab/>
        <w:t>(i)</w:t>
      </w:r>
      <w:r w:rsidRPr="0011747E">
        <w:tab/>
      </w:r>
      <w:r w:rsidR="00F7049D" w:rsidRPr="0011747E">
        <w:t>another</w:t>
      </w:r>
      <w:r w:rsidR="007B61FA" w:rsidRPr="0011747E">
        <w:t xml:space="preserve"> process</w:t>
      </w:r>
      <w:r w:rsidRPr="0011747E">
        <w:t xml:space="preserve"> relating to the action</w:t>
      </w:r>
      <w:r w:rsidR="007B61FA" w:rsidRPr="0011747E">
        <w:t xml:space="preserve"> </w:t>
      </w:r>
      <w:r w:rsidR="00A64118" w:rsidRPr="0011747E">
        <w:t>is being carried out under a law of the Commonwealth or of a State or Territory</w:t>
      </w:r>
      <w:r w:rsidRPr="0011747E">
        <w:t>; and</w:t>
      </w:r>
    </w:p>
    <w:p w:rsidR="00ED755D" w:rsidRPr="0011747E" w:rsidRDefault="00ED755D" w:rsidP="00ED755D">
      <w:pPr>
        <w:pStyle w:val="paragraphsub"/>
      </w:pPr>
      <w:r w:rsidRPr="0011747E">
        <w:tab/>
        <w:t>(ii)</w:t>
      </w:r>
      <w:r w:rsidRPr="0011747E">
        <w:tab/>
        <w:t xml:space="preserve">the steps to be carried out under the assessment process under the Act and the other </w:t>
      </w:r>
      <w:r w:rsidR="00AD390C" w:rsidRPr="0011747E">
        <w:t xml:space="preserve">legislative </w:t>
      </w:r>
      <w:r w:rsidRPr="0011747E">
        <w:t>process are to be coordinat</w:t>
      </w:r>
      <w:r w:rsidR="00BB01D5" w:rsidRPr="0011747E">
        <w:t>ed</w:t>
      </w:r>
      <w:r w:rsidRPr="0011747E">
        <w:t xml:space="preserve"> to the greatest extent possible; and</w:t>
      </w:r>
    </w:p>
    <w:p w:rsidR="00ED755D" w:rsidRPr="0011747E" w:rsidRDefault="00EF6910" w:rsidP="00EF6910">
      <w:pPr>
        <w:pStyle w:val="paragraphsub"/>
      </w:pPr>
      <w:r w:rsidRPr="0011747E">
        <w:tab/>
        <w:t>(i</w:t>
      </w:r>
      <w:r w:rsidR="00ED755D" w:rsidRPr="0011747E">
        <w:t>i</w:t>
      </w:r>
      <w:r w:rsidRPr="0011747E">
        <w:t>i)</w:t>
      </w:r>
      <w:r w:rsidRPr="0011747E">
        <w:tab/>
        <w:t xml:space="preserve">the </w:t>
      </w:r>
      <w:r w:rsidR="00ED755D" w:rsidRPr="0011747E">
        <w:t>other</w:t>
      </w:r>
      <w:r w:rsidR="00AD390C" w:rsidRPr="0011747E">
        <w:t xml:space="preserve"> legislative</w:t>
      </w:r>
      <w:r w:rsidR="00ED755D" w:rsidRPr="0011747E">
        <w:t xml:space="preserve"> </w:t>
      </w:r>
      <w:r w:rsidRPr="0011747E">
        <w:t xml:space="preserve">process is not a legislative process </w:t>
      </w:r>
      <w:r w:rsidR="00CF5EF7" w:rsidRPr="0011747E">
        <w:t xml:space="preserve">of a kind </w:t>
      </w:r>
      <w:r w:rsidRPr="0011747E">
        <w:t xml:space="preserve">mentioned in </w:t>
      </w:r>
      <w:r w:rsidR="00674074" w:rsidRPr="0011747E">
        <w:t>s</w:t>
      </w:r>
      <w:r w:rsidRPr="0011747E">
        <w:t>ub</w:t>
      </w:r>
      <w:r w:rsidR="00674074" w:rsidRPr="0011747E">
        <w:t>regulation</w:t>
      </w:r>
      <w:r w:rsidR="0011747E" w:rsidRPr="0011747E">
        <w:t> </w:t>
      </w:r>
      <w:r w:rsidR="00674074" w:rsidRPr="0011747E">
        <w:t>(2)</w:t>
      </w:r>
      <w:r w:rsidR="00ED755D" w:rsidRPr="0011747E">
        <w:t>.</w:t>
      </w:r>
    </w:p>
    <w:p w:rsidR="00DB4236" w:rsidRPr="0011747E" w:rsidRDefault="00DB4236" w:rsidP="00DB4236">
      <w:pPr>
        <w:pStyle w:val="SubsectionHead"/>
      </w:pPr>
      <w:r w:rsidRPr="0011747E">
        <w:t>Determination—high complexity</w:t>
      </w:r>
    </w:p>
    <w:p w:rsidR="006B362A" w:rsidRPr="0011747E" w:rsidRDefault="00DB4236" w:rsidP="006B362A">
      <w:pPr>
        <w:pStyle w:val="subsection"/>
      </w:pPr>
      <w:r w:rsidRPr="0011747E">
        <w:tab/>
        <w:t>(</w:t>
      </w:r>
      <w:r w:rsidR="00674074" w:rsidRPr="0011747E">
        <w:t>4</w:t>
      </w:r>
      <w:r w:rsidRPr="0011747E">
        <w:t>)</w:t>
      </w:r>
      <w:r w:rsidRPr="0011747E">
        <w:tab/>
        <w:t xml:space="preserve">When making a determination that a legislative impact component is of </w:t>
      </w:r>
      <w:r w:rsidRPr="0011747E">
        <w:rPr>
          <w:b/>
          <w:i/>
        </w:rPr>
        <w:t>high complexity</w:t>
      </w:r>
      <w:r w:rsidRPr="0011747E">
        <w:t xml:space="preserve">, the </w:t>
      </w:r>
      <w:r w:rsidR="006B362A" w:rsidRPr="0011747E">
        <w:t>Minister must be satisfied that:</w:t>
      </w:r>
    </w:p>
    <w:p w:rsidR="006B362A" w:rsidRPr="0011747E" w:rsidRDefault="006B362A" w:rsidP="006B362A">
      <w:pPr>
        <w:pStyle w:val="paragraph"/>
      </w:pPr>
      <w:r w:rsidRPr="0011747E">
        <w:tab/>
        <w:t>(a)</w:t>
      </w:r>
      <w:r w:rsidRPr="0011747E">
        <w:tab/>
        <w:t>the assessment of the impacts of an action involves 2 legislative processes; and</w:t>
      </w:r>
    </w:p>
    <w:p w:rsidR="00AD390C" w:rsidRPr="0011747E" w:rsidRDefault="006B362A" w:rsidP="00AD390C">
      <w:pPr>
        <w:pStyle w:val="paragraph"/>
      </w:pPr>
      <w:r w:rsidRPr="0011747E">
        <w:tab/>
        <w:t>(b)</w:t>
      </w:r>
      <w:r w:rsidRPr="0011747E">
        <w:tab/>
        <w:t>one</w:t>
      </w:r>
      <w:r w:rsidR="00AD390C" w:rsidRPr="0011747E">
        <w:t xml:space="preserve"> of those legislative processes is </w:t>
      </w:r>
      <w:r w:rsidR="00466723" w:rsidRPr="0011747E">
        <w:t xml:space="preserve">of a kind </w:t>
      </w:r>
      <w:r w:rsidR="00AD390C" w:rsidRPr="0011747E">
        <w:t xml:space="preserve">mentioned in </w:t>
      </w:r>
      <w:r w:rsidR="002D3C30" w:rsidRPr="0011747E">
        <w:t>subregulation</w:t>
      </w:r>
      <w:r w:rsidR="0011747E" w:rsidRPr="0011747E">
        <w:t> </w:t>
      </w:r>
      <w:r w:rsidR="00AD390C" w:rsidRPr="0011747E">
        <w:t>(2); and</w:t>
      </w:r>
    </w:p>
    <w:p w:rsidR="006B362A" w:rsidRPr="0011747E" w:rsidRDefault="006B362A" w:rsidP="006B362A">
      <w:pPr>
        <w:pStyle w:val="paragraph"/>
      </w:pPr>
      <w:r w:rsidRPr="0011747E">
        <w:tab/>
        <w:t>(c)</w:t>
      </w:r>
      <w:r w:rsidRPr="0011747E">
        <w:tab/>
        <w:t xml:space="preserve">the other </w:t>
      </w:r>
      <w:r w:rsidR="0057750C" w:rsidRPr="0011747E">
        <w:t xml:space="preserve">of those </w:t>
      </w:r>
      <w:r w:rsidRPr="0011747E">
        <w:t>legislative process</w:t>
      </w:r>
      <w:r w:rsidR="0057750C" w:rsidRPr="0011747E">
        <w:t>es</w:t>
      </w:r>
      <w:r w:rsidRPr="0011747E">
        <w:t xml:space="preserve"> is</w:t>
      </w:r>
      <w:r w:rsidR="00466723" w:rsidRPr="0011747E">
        <w:t xml:space="preserve"> of a kind</w:t>
      </w:r>
      <w:r w:rsidRPr="0011747E">
        <w:t xml:space="preserve"> mentioned in </w:t>
      </w:r>
      <w:r w:rsidR="0011747E" w:rsidRPr="0011747E">
        <w:t>subparagraph (</w:t>
      </w:r>
      <w:r w:rsidR="002D3C30" w:rsidRPr="0011747E">
        <w:t>3</w:t>
      </w:r>
      <w:r w:rsidRPr="0011747E">
        <w:t>)(b)</w:t>
      </w:r>
      <w:r w:rsidR="00AD390C" w:rsidRPr="0011747E">
        <w:t>(i)</w:t>
      </w:r>
      <w:r w:rsidR="00BB01D5" w:rsidRPr="0011747E">
        <w:t xml:space="preserve"> and is </w:t>
      </w:r>
      <w:r w:rsidR="0057750C" w:rsidRPr="0011747E">
        <w:t xml:space="preserve">one </w:t>
      </w:r>
      <w:r w:rsidR="002D3C30" w:rsidRPr="0011747E">
        <w:t xml:space="preserve">in respect of which </w:t>
      </w:r>
      <w:r w:rsidR="0011747E" w:rsidRPr="0011747E">
        <w:t>paragraph (</w:t>
      </w:r>
      <w:r w:rsidR="002D3C30" w:rsidRPr="0011747E">
        <w:t>3</w:t>
      </w:r>
      <w:r w:rsidR="0057750C" w:rsidRPr="0011747E">
        <w:t xml:space="preserve">)(b) is </w:t>
      </w:r>
      <w:r w:rsidR="00BB01D5" w:rsidRPr="0011747E">
        <w:t xml:space="preserve">otherwise </w:t>
      </w:r>
      <w:r w:rsidR="0057750C" w:rsidRPr="0011747E">
        <w:t>satisfied.</w:t>
      </w:r>
    </w:p>
    <w:p w:rsidR="00DB4236" w:rsidRPr="0011747E" w:rsidRDefault="00DB4236" w:rsidP="00DB4236">
      <w:pPr>
        <w:pStyle w:val="SubsectionHead"/>
      </w:pPr>
      <w:r w:rsidRPr="0011747E">
        <w:t>Determination—very high complexity</w:t>
      </w:r>
    </w:p>
    <w:p w:rsidR="00466723" w:rsidRPr="0011747E" w:rsidRDefault="00674074" w:rsidP="00DB4236">
      <w:pPr>
        <w:pStyle w:val="subsection"/>
      </w:pPr>
      <w:r w:rsidRPr="0011747E">
        <w:tab/>
        <w:t>(5</w:t>
      </w:r>
      <w:r w:rsidR="00DB4236" w:rsidRPr="0011747E">
        <w:t>)</w:t>
      </w:r>
      <w:r w:rsidR="00DB4236" w:rsidRPr="0011747E">
        <w:tab/>
        <w:t xml:space="preserve">When making a determination that a legislative impact component is of </w:t>
      </w:r>
      <w:r w:rsidR="00DB4236" w:rsidRPr="0011747E">
        <w:rPr>
          <w:b/>
          <w:i/>
        </w:rPr>
        <w:t>very high complexity</w:t>
      </w:r>
      <w:r w:rsidR="00DB4236" w:rsidRPr="0011747E">
        <w:t xml:space="preserve">, the </w:t>
      </w:r>
      <w:r w:rsidR="00466723" w:rsidRPr="0011747E">
        <w:t>Minister must be satisfied that:</w:t>
      </w:r>
    </w:p>
    <w:p w:rsidR="00466723" w:rsidRPr="0011747E" w:rsidRDefault="00466723" w:rsidP="00466723">
      <w:pPr>
        <w:pStyle w:val="paragraph"/>
      </w:pPr>
      <w:r w:rsidRPr="0011747E">
        <w:tab/>
        <w:t>(a)</w:t>
      </w:r>
      <w:r w:rsidRPr="0011747E">
        <w:tab/>
        <w:t>the assessment of the impacts of an action involves 2 or more legislative processes; and</w:t>
      </w:r>
    </w:p>
    <w:p w:rsidR="002B54B9" w:rsidRPr="0011747E" w:rsidRDefault="004C2D22" w:rsidP="004C2D22">
      <w:pPr>
        <w:pStyle w:val="paragraph"/>
      </w:pPr>
      <w:r w:rsidRPr="0011747E">
        <w:tab/>
        <w:t>(b)</w:t>
      </w:r>
      <w:r w:rsidRPr="0011747E">
        <w:tab/>
      </w:r>
      <w:r w:rsidR="001460A8" w:rsidRPr="0011747E">
        <w:t>the legislative processes are any combination of:</w:t>
      </w:r>
    </w:p>
    <w:p w:rsidR="002B54B9" w:rsidRPr="0011747E" w:rsidRDefault="002B54B9" w:rsidP="002B54B9">
      <w:pPr>
        <w:pStyle w:val="paragraphsub"/>
      </w:pPr>
      <w:r w:rsidRPr="0011747E">
        <w:tab/>
        <w:t>(i)</w:t>
      </w:r>
      <w:r w:rsidRPr="0011747E">
        <w:tab/>
      </w:r>
      <w:r w:rsidR="001460A8" w:rsidRPr="0011747E">
        <w:t xml:space="preserve">a legislative process </w:t>
      </w:r>
      <w:r w:rsidRPr="0011747E">
        <w:t>of a kind mentioned in subregulation</w:t>
      </w:r>
      <w:r w:rsidR="0011747E" w:rsidRPr="0011747E">
        <w:t> </w:t>
      </w:r>
      <w:r w:rsidRPr="0011747E">
        <w:t xml:space="preserve">(2); </w:t>
      </w:r>
      <w:r w:rsidR="001460A8" w:rsidRPr="0011747E">
        <w:t>and</w:t>
      </w:r>
    </w:p>
    <w:p w:rsidR="004C2D22" w:rsidRPr="0011747E" w:rsidRDefault="002B54B9" w:rsidP="002B54B9">
      <w:pPr>
        <w:pStyle w:val="paragraphsub"/>
      </w:pPr>
      <w:r w:rsidRPr="0011747E">
        <w:tab/>
        <w:t>(ii)</w:t>
      </w:r>
      <w:r w:rsidRPr="0011747E">
        <w:tab/>
      </w:r>
      <w:r w:rsidR="001460A8" w:rsidRPr="0011747E">
        <w:t xml:space="preserve">a legislative process </w:t>
      </w:r>
      <w:r w:rsidR="004C2D22" w:rsidRPr="0011747E">
        <w:t xml:space="preserve">of a kind mentioned in </w:t>
      </w:r>
      <w:r w:rsidR="0011747E" w:rsidRPr="0011747E">
        <w:t>subparagraph (</w:t>
      </w:r>
      <w:r w:rsidR="004C2D22" w:rsidRPr="0011747E">
        <w:t>3</w:t>
      </w:r>
      <w:r w:rsidRPr="0011747E">
        <w:t>)(b)(i) and</w:t>
      </w:r>
      <w:r w:rsidR="004C2D22" w:rsidRPr="0011747E">
        <w:t xml:space="preserve"> one in respect of which </w:t>
      </w:r>
      <w:r w:rsidR="0011747E" w:rsidRPr="0011747E">
        <w:t>subparagraph (</w:t>
      </w:r>
      <w:r w:rsidR="004C2D22" w:rsidRPr="0011747E">
        <w:t>3)(b)(ii)</w:t>
      </w:r>
      <w:r w:rsidRPr="0011747E">
        <w:t xml:space="preserve"> is otherwise satisfied;</w:t>
      </w:r>
      <w:r w:rsidR="001460A8" w:rsidRPr="0011747E">
        <w:t xml:space="preserve"> and</w:t>
      </w:r>
    </w:p>
    <w:p w:rsidR="00466723" w:rsidRPr="0011747E" w:rsidRDefault="00466723" w:rsidP="00466723">
      <w:pPr>
        <w:pStyle w:val="paragraph"/>
      </w:pPr>
      <w:r w:rsidRPr="0011747E">
        <w:tab/>
        <w:t>(</w:t>
      </w:r>
      <w:r w:rsidR="001460A8" w:rsidRPr="0011747E">
        <w:t>c</w:t>
      </w:r>
      <w:r w:rsidRPr="0011747E">
        <w:t>)</w:t>
      </w:r>
      <w:r w:rsidRPr="0011747E">
        <w:tab/>
      </w:r>
      <w:r w:rsidR="006D65C6" w:rsidRPr="0011747E">
        <w:t>neither subregulation</w:t>
      </w:r>
      <w:r w:rsidR="0011747E" w:rsidRPr="0011747E">
        <w:t> </w:t>
      </w:r>
      <w:r w:rsidR="006D65C6" w:rsidRPr="0011747E">
        <w:t>(3) nor subregulation</w:t>
      </w:r>
      <w:r w:rsidR="0011747E" w:rsidRPr="0011747E">
        <w:t> </w:t>
      </w:r>
      <w:r w:rsidR="006D65C6" w:rsidRPr="0011747E">
        <w:t>(4) applies</w:t>
      </w:r>
      <w:r w:rsidRPr="0011747E">
        <w:t>.</w:t>
      </w:r>
    </w:p>
    <w:p w:rsidR="00320321" w:rsidRPr="0011747E" w:rsidRDefault="00320321" w:rsidP="00BD0869">
      <w:pPr>
        <w:pStyle w:val="subsection"/>
      </w:pPr>
      <w:r w:rsidRPr="0011747E">
        <w:tab/>
      </w:r>
      <w:r w:rsidR="00E8703A" w:rsidRPr="0011747E">
        <w:t>(</w:t>
      </w:r>
      <w:r w:rsidR="00674074" w:rsidRPr="0011747E">
        <w:t>6</w:t>
      </w:r>
      <w:r w:rsidRPr="0011747E">
        <w:t>)</w:t>
      </w:r>
      <w:r w:rsidRPr="0011747E">
        <w:tab/>
        <w:t>When making a determination</w:t>
      </w:r>
      <w:r w:rsidR="006E390C" w:rsidRPr="0011747E">
        <w:t xml:space="preserve"> under this regulation</w:t>
      </w:r>
      <w:r w:rsidRPr="0011747E">
        <w:t>, the Minister must consider the matters referred to in paragraphs 87(3)(a) to (e) of the Act</w:t>
      </w:r>
      <w:r w:rsidR="00CE398F" w:rsidRPr="0011747E">
        <w:t>.</w:t>
      </w:r>
    </w:p>
    <w:p w:rsidR="001A28FC" w:rsidRPr="0011747E" w:rsidRDefault="00674074" w:rsidP="001A28FC">
      <w:pPr>
        <w:pStyle w:val="subsection"/>
      </w:pPr>
      <w:r w:rsidRPr="0011747E">
        <w:tab/>
        <w:t>(7</w:t>
      </w:r>
      <w:r w:rsidR="001A28FC" w:rsidRPr="0011747E">
        <w:t>)</w:t>
      </w:r>
      <w:r w:rsidR="001A28FC" w:rsidRPr="0011747E">
        <w:tab/>
        <w:t>A determination made under this regulation is not a legislative instrument.</w:t>
      </w:r>
    </w:p>
    <w:p w:rsidR="002434DD" w:rsidRPr="0011747E" w:rsidRDefault="00A920A6" w:rsidP="0031424D">
      <w:pPr>
        <w:pStyle w:val="ActHead5"/>
      </w:pPr>
      <w:bookmarkStart w:id="22" w:name="_Toc396376225"/>
      <w:r w:rsidRPr="0011747E">
        <w:rPr>
          <w:rStyle w:val="CharSectno"/>
        </w:rPr>
        <w:t>5.12G</w:t>
      </w:r>
      <w:r w:rsidR="002434DD" w:rsidRPr="0011747E">
        <w:t xml:space="preserve">  Determination of the number of project components</w:t>
      </w:r>
      <w:bookmarkEnd w:id="22"/>
    </w:p>
    <w:p w:rsidR="002434DD" w:rsidRPr="0011747E" w:rsidRDefault="002434DD" w:rsidP="002434DD">
      <w:pPr>
        <w:pStyle w:val="subsection"/>
      </w:pPr>
      <w:r w:rsidRPr="0011747E">
        <w:tab/>
        <w:t>(</w:t>
      </w:r>
      <w:r w:rsidR="00061363" w:rsidRPr="0011747E">
        <w:t>1</w:t>
      </w:r>
      <w:r w:rsidRPr="0011747E">
        <w:t>)</w:t>
      </w:r>
      <w:r w:rsidRPr="0011747E">
        <w:tab/>
        <w:t>If 2 or more activities are proposed to be carried out in taking an action, the Minister may determine:</w:t>
      </w:r>
    </w:p>
    <w:p w:rsidR="002434DD" w:rsidRPr="0011747E" w:rsidRDefault="002434DD" w:rsidP="002434DD">
      <w:pPr>
        <w:pStyle w:val="paragraph"/>
      </w:pPr>
      <w:r w:rsidRPr="0011747E">
        <w:tab/>
        <w:t>(a)</w:t>
      </w:r>
      <w:r w:rsidRPr="0011747E">
        <w:tab/>
        <w:t>the number of activities that would be carried out</w:t>
      </w:r>
      <w:r w:rsidR="00061363" w:rsidRPr="0011747E">
        <w:t xml:space="preserve"> in taking the action; and</w:t>
      </w:r>
    </w:p>
    <w:p w:rsidR="00061363" w:rsidRPr="0011747E" w:rsidRDefault="00061363" w:rsidP="00061363">
      <w:pPr>
        <w:pStyle w:val="paragraph"/>
      </w:pPr>
      <w:r w:rsidRPr="0011747E">
        <w:tab/>
        <w:t>(b)</w:t>
      </w:r>
      <w:r w:rsidRPr="0011747E">
        <w:tab/>
        <w:t xml:space="preserve">that each activity is a </w:t>
      </w:r>
      <w:r w:rsidR="002434DD" w:rsidRPr="0011747E">
        <w:rPr>
          <w:b/>
          <w:i/>
        </w:rPr>
        <w:t>project component</w:t>
      </w:r>
      <w:r w:rsidR="002434DD" w:rsidRPr="0011747E">
        <w:t xml:space="preserve"> in relation to the</w:t>
      </w:r>
      <w:r w:rsidRPr="0011747E">
        <w:t xml:space="preserve"> assessment of the impacts of the</w:t>
      </w:r>
      <w:r w:rsidR="002434DD" w:rsidRPr="0011747E">
        <w:t xml:space="preserve"> action</w:t>
      </w:r>
      <w:r w:rsidRPr="0011747E">
        <w:t>.</w:t>
      </w:r>
    </w:p>
    <w:p w:rsidR="002434DD" w:rsidRPr="0011747E" w:rsidRDefault="002434DD" w:rsidP="002434DD">
      <w:pPr>
        <w:pStyle w:val="notetext"/>
      </w:pPr>
      <w:r w:rsidRPr="0011747E">
        <w:t>Example:</w:t>
      </w:r>
      <w:r w:rsidRPr="0011747E">
        <w:tab/>
        <w:t>Mining Pty Ltd proposes to expand a mine and build a new rail line to a new onshore port facility. The development of the port facility involves offshore dredging for a shipping channel and the building of a jetty. This proposal</w:t>
      </w:r>
      <w:r w:rsidR="00061363" w:rsidRPr="0011747E">
        <w:t xml:space="preserve"> would</w:t>
      </w:r>
      <w:r w:rsidRPr="0011747E">
        <w:t xml:space="preserve"> require 4 activities to be carried out in taking the action (the expansion of the mine, the building of the port, rail development and offshore dredging).</w:t>
      </w:r>
    </w:p>
    <w:p w:rsidR="00061363" w:rsidRPr="0011747E" w:rsidRDefault="00061363" w:rsidP="00061363">
      <w:pPr>
        <w:pStyle w:val="subsection"/>
      </w:pPr>
      <w:r w:rsidRPr="0011747E">
        <w:tab/>
        <w:t>(2)</w:t>
      </w:r>
      <w:r w:rsidRPr="0011747E">
        <w:tab/>
        <w:t>A determination made under this regulation is not a legislative instrument.</w:t>
      </w:r>
    </w:p>
    <w:p w:rsidR="0031424D" w:rsidRPr="0011747E" w:rsidRDefault="0031424D" w:rsidP="0031424D">
      <w:pPr>
        <w:pStyle w:val="ActHead5"/>
      </w:pPr>
      <w:bookmarkStart w:id="23" w:name="_Toc396376226"/>
      <w:r w:rsidRPr="0011747E">
        <w:rPr>
          <w:rStyle w:val="CharSectno"/>
        </w:rPr>
        <w:t>5</w:t>
      </w:r>
      <w:r w:rsidR="00A920A6" w:rsidRPr="0011747E">
        <w:rPr>
          <w:rStyle w:val="CharSectno"/>
        </w:rPr>
        <w:t>.12H</w:t>
      </w:r>
      <w:r w:rsidRPr="0011747E">
        <w:t xml:space="preserve">  Making of a determination is a method</w:t>
      </w:r>
      <w:bookmarkEnd w:id="23"/>
    </w:p>
    <w:p w:rsidR="0031424D" w:rsidRPr="0011747E" w:rsidRDefault="0031424D" w:rsidP="0031424D">
      <w:pPr>
        <w:pStyle w:val="subsection"/>
      </w:pPr>
      <w:r w:rsidRPr="0011747E">
        <w:tab/>
      </w:r>
      <w:r w:rsidRPr="0011747E">
        <w:tab/>
        <w:t xml:space="preserve">For </w:t>
      </w:r>
      <w:r w:rsidR="00554893" w:rsidRPr="0011747E">
        <w:t>paragraph</w:t>
      </w:r>
      <w:r w:rsidR="0011747E" w:rsidRPr="0011747E">
        <w:t> </w:t>
      </w:r>
      <w:r w:rsidR="00140EB6" w:rsidRPr="0011747E">
        <w:t>520</w:t>
      </w:r>
      <w:r w:rsidR="00554893" w:rsidRPr="0011747E">
        <w:t>(</w:t>
      </w:r>
      <w:r w:rsidRPr="0011747E">
        <w:t>4C)(c) of the Act, the making of a determination under regulation</w:t>
      </w:r>
      <w:r w:rsidR="0011747E" w:rsidRPr="0011747E">
        <w:t> </w:t>
      </w:r>
      <w:r w:rsidRPr="0011747E">
        <w:t>5.12</w:t>
      </w:r>
      <w:r w:rsidR="00E83D70" w:rsidRPr="0011747E">
        <w:t>C</w:t>
      </w:r>
      <w:r w:rsidRPr="0011747E">
        <w:t>, 5.12</w:t>
      </w:r>
      <w:r w:rsidR="00E83D70" w:rsidRPr="0011747E">
        <w:t>D, 5.12E</w:t>
      </w:r>
      <w:r w:rsidR="007A7BD2" w:rsidRPr="0011747E">
        <w:t xml:space="preserve">, </w:t>
      </w:r>
      <w:r w:rsidR="00061363" w:rsidRPr="0011747E">
        <w:t>5.12</w:t>
      </w:r>
      <w:r w:rsidR="00E83D70" w:rsidRPr="0011747E">
        <w:t>F</w:t>
      </w:r>
      <w:r w:rsidRPr="0011747E">
        <w:t xml:space="preserve"> or 5.12</w:t>
      </w:r>
      <w:r w:rsidR="00E83D70" w:rsidRPr="0011747E">
        <w:t>G</w:t>
      </w:r>
      <w:r w:rsidRPr="0011747E">
        <w:t xml:space="preserve"> is a method for working out a fee.</w:t>
      </w:r>
    </w:p>
    <w:p w:rsidR="001C0F58" w:rsidRPr="0011747E" w:rsidRDefault="00836103" w:rsidP="00F417C1">
      <w:pPr>
        <w:pStyle w:val="ActHead4"/>
      </w:pPr>
      <w:bookmarkStart w:id="24" w:name="_Toc396376227"/>
      <w:r w:rsidRPr="0011747E">
        <w:rPr>
          <w:rStyle w:val="CharSubdNo"/>
        </w:rPr>
        <w:t>Subdivision B</w:t>
      </w:r>
      <w:r w:rsidR="00325284" w:rsidRPr="0011747E">
        <w:t>—</w:t>
      </w:r>
      <w:r w:rsidR="00C21D3F" w:rsidRPr="0011747E">
        <w:rPr>
          <w:rStyle w:val="CharSubdText"/>
        </w:rPr>
        <w:t>Fees</w:t>
      </w:r>
      <w:bookmarkEnd w:id="24"/>
    </w:p>
    <w:p w:rsidR="001C0F58" w:rsidRPr="0011747E" w:rsidRDefault="001C0F58" w:rsidP="001C0F58">
      <w:pPr>
        <w:pStyle w:val="ActHead5"/>
      </w:pPr>
      <w:bookmarkStart w:id="25" w:name="_Toc396376228"/>
      <w:r w:rsidRPr="0011747E">
        <w:rPr>
          <w:rStyle w:val="CharSectno"/>
        </w:rPr>
        <w:t>5.12</w:t>
      </w:r>
      <w:r w:rsidR="00A920A6" w:rsidRPr="0011747E">
        <w:rPr>
          <w:rStyle w:val="CharSectno"/>
        </w:rPr>
        <w:t>J</w:t>
      </w:r>
      <w:r w:rsidRPr="0011747E">
        <w:t xml:space="preserve">  </w:t>
      </w:r>
      <w:r w:rsidR="007E2AE4" w:rsidRPr="0011747E">
        <w:t>Schedule of fees</w:t>
      </w:r>
      <w:bookmarkEnd w:id="25"/>
    </w:p>
    <w:p w:rsidR="00BE5ED3" w:rsidRPr="0011747E" w:rsidRDefault="002B4B61" w:rsidP="007E2AE4">
      <w:pPr>
        <w:pStyle w:val="subsection"/>
      </w:pPr>
      <w:r w:rsidRPr="0011747E">
        <w:tab/>
      </w:r>
      <w:r w:rsidR="00132A69" w:rsidRPr="0011747E">
        <w:t>(1)</w:t>
      </w:r>
      <w:r w:rsidR="007E2AE4" w:rsidRPr="0011747E">
        <w:tab/>
        <w:t xml:space="preserve">When the Minister gives </w:t>
      </w:r>
      <w:r w:rsidR="008C55B9" w:rsidRPr="0011747E">
        <w:t xml:space="preserve">written </w:t>
      </w:r>
      <w:r w:rsidR="007E2AE4" w:rsidRPr="0011747E">
        <w:t>notice</w:t>
      </w:r>
      <w:r w:rsidR="008C55B9" w:rsidRPr="0011747E">
        <w:t xml:space="preserve"> to the person proposing to</w:t>
      </w:r>
      <w:r w:rsidR="006E770D" w:rsidRPr="0011747E">
        <w:t xml:space="preserve"> take</w:t>
      </w:r>
      <w:r w:rsidR="008C55B9" w:rsidRPr="0011747E">
        <w:t xml:space="preserve"> an action</w:t>
      </w:r>
      <w:r w:rsidR="007E2AE4" w:rsidRPr="0011747E">
        <w:t xml:space="preserve"> of the approach</w:t>
      </w:r>
      <w:r w:rsidR="008C55B9" w:rsidRPr="0011747E">
        <w:t xml:space="preserve"> to be used for assessing</w:t>
      </w:r>
      <w:r w:rsidR="007E2AE4" w:rsidRPr="0011747E">
        <w:t xml:space="preserve"> the impacts of </w:t>
      </w:r>
      <w:r w:rsidR="008C55B9" w:rsidRPr="0011747E">
        <w:t>the</w:t>
      </w:r>
      <w:r w:rsidR="007E2AE4" w:rsidRPr="0011747E">
        <w:t xml:space="preserve"> action</w:t>
      </w:r>
      <w:r w:rsidR="008C55B9" w:rsidRPr="0011747E">
        <w:t xml:space="preserve"> under subsection</w:t>
      </w:r>
      <w:r w:rsidR="0011747E" w:rsidRPr="0011747E">
        <w:t> </w:t>
      </w:r>
      <w:r w:rsidR="008C55B9" w:rsidRPr="0011747E">
        <w:t>91(1) of the Act</w:t>
      </w:r>
      <w:r w:rsidR="007E2AE4" w:rsidRPr="0011747E">
        <w:t xml:space="preserve">, </w:t>
      </w:r>
      <w:r w:rsidR="008C55B9" w:rsidRPr="0011747E">
        <w:t>the Minister must also</w:t>
      </w:r>
      <w:r w:rsidR="00A64F1E" w:rsidRPr="0011747E">
        <w:t xml:space="preserve"> give the person a </w:t>
      </w:r>
      <w:r w:rsidR="0009004D" w:rsidRPr="0011747E">
        <w:t>fee s</w:t>
      </w:r>
      <w:r w:rsidR="00A64F1E" w:rsidRPr="0011747E">
        <w:t>chedule</w:t>
      </w:r>
      <w:r w:rsidR="00D740FE" w:rsidRPr="0011747E">
        <w:t xml:space="preserve"> that sets out the following:</w:t>
      </w:r>
    </w:p>
    <w:p w:rsidR="00BE5ED3" w:rsidRPr="0011747E" w:rsidRDefault="00BE5ED3" w:rsidP="00A64F1E">
      <w:pPr>
        <w:pStyle w:val="paragraph"/>
      </w:pPr>
      <w:r w:rsidRPr="0011747E">
        <w:tab/>
        <w:t>(</w:t>
      </w:r>
      <w:r w:rsidR="000D29EF" w:rsidRPr="0011747E">
        <w:t>a</w:t>
      </w:r>
      <w:r w:rsidRPr="0011747E">
        <w:t>)</w:t>
      </w:r>
      <w:r w:rsidRPr="0011747E">
        <w:tab/>
        <w:t>the base fee;</w:t>
      </w:r>
    </w:p>
    <w:p w:rsidR="00DE0F76" w:rsidRPr="0011747E" w:rsidRDefault="00BE5ED3" w:rsidP="00BE5ED3">
      <w:pPr>
        <w:pStyle w:val="paragraph"/>
      </w:pPr>
      <w:r w:rsidRPr="0011747E">
        <w:tab/>
        <w:t>(b)</w:t>
      </w:r>
      <w:r w:rsidRPr="0011747E">
        <w:tab/>
        <w:t>the complexity fee</w:t>
      </w:r>
      <w:r w:rsidR="00DE0F76" w:rsidRPr="0011747E">
        <w:t>;</w:t>
      </w:r>
    </w:p>
    <w:p w:rsidR="00BE5ED3" w:rsidRPr="0011747E" w:rsidRDefault="00DE0F76" w:rsidP="00BE5ED3">
      <w:pPr>
        <w:pStyle w:val="paragraph"/>
      </w:pPr>
      <w:r w:rsidRPr="0011747E">
        <w:tab/>
        <w:t>(c)</w:t>
      </w:r>
      <w:r w:rsidRPr="0011747E">
        <w:tab/>
        <w:t>a breakdown of the complexity fee</w:t>
      </w:r>
      <w:r w:rsidR="00BE5ED3" w:rsidRPr="0011747E">
        <w:t>, itemising:</w:t>
      </w:r>
    </w:p>
    <w:p w:rsidR="001B72A5" w:rsidRPr="0011747E" w:rsidRDefault="001B72A5" w:rsidP="001B72A5">
      <w:pPr>
        <w:pStyle w:val="paragraphsub"/>
      </w:pPr>
      <w:r w:rsidRPr="0011747E">
        <w:tab/>
        <w:t>(i)</w:t>
      </w:r>
      <w:r w:rsidRPr="0011747E">
        <w:tab/>
      </w:r>
      <w:r w:rsidR="00BA6EB3" w:rsidRPr="0011747E">
        <w:t>if applicable—</w:t>
      </w:r>
      <w:r w:rsidRPr="0011747E">
        <w:t>the application component; and</w:t>
      </w:r>
    </w:p>
    <w:p w:rsidR="00BA6EB3" w:rsidRPr="0011747E" w:rsidRDefault="00BA6EB3" w:rsidP="00BA6EB3">
      <w:pPr>
        <w:pStyle w:val="paragraphsub"/>
      </w:pPr>
      <w:r w:rsidRPr="0011747E">
        <w:tab/>
        <w:t>(ii)</w:t>
      </w:r>
      <w:r w:rsidRPr="0011747E">
        <w:tab/>
        <w:t>if applicable—the controlling provision component; and</w:t>
      </w:r>
    </w:p>
    <w:p w:rsidR="00BE5ED3" w:rsidRPr="0011747E" w:rsidRDefault="00BE5ED3" w:rsidP="00BE5ED3">
      <w:pPr>
        <w:pStyle w:val="paragraphsub"/>
      </w:pPr>
      <w:r w:rsidRPr="0011747E">
        <w:tab/>
        <w:t>(</w:t>
      </w:r>
      <w:r w:rsidR="001B72A5" w:rsidRPr="0011747E">
        <w:t>i</w:t>
      </w:r>
      <w:r w:rsidR="00BA6EB3" w:rsidRPr="0011747E">
        <w:t>i</w:t>
      </w:r>
      <w:r w:rsidRPr="0011747E">
        <w:t>i)</w:t>
      </w:r>
      <w:r w:rsidRPr="0011747E">
        <w:tab/>
      </w:r>
      <w:r w:rsidR="00BA6EB3" w:rsidRPr="0011747E">
        <w:t>if applicable—</w:t>
      </w:r>
      <w:r w:rsidRPr="0011747E">
        <w:t>the legislative impact component; and</w:t>
      </w:r>
    </w:p>
    <w:p w:rsidR="00BE5ED3" w:rsidRPr="0011747E" w:rsidRDefault="00BE5ED3" w:rsidP="00BE5ED3">
      <w:pPr>
        <w:pStyle w:val="paragraphsub"/>
      </w:pPr>
      <w:r w:rsidRPr="0011747E">
        <w:tab/>
        <w:t>(</w:t>
      </w:r>
      <w:r w:rsidR="003414C0" w:rsidRPr="0011747E">
        <w:t>i</w:t>
      </w:r>
      <w:r w:rsidR="001B72A5" w:rsidRPr="0011747E">
        <w:t>v</w:t>
      </w:r>
      <w:r w:rsidRPr="0011747E">
        <w:t>)</w:t>
      </w:r>
      <w:r w:rsidRPr="0011747E">
        <w:tab/>
      </w:r>
      <w:r w:rsidR="003A7655" w:rsidRPr="0011747E">
        <w:t>if applicable—</w:t>
      </w:r>
      <w:r w:rsidRPr="0011747E">
        <w:t xml:space="preserve">the </w:t>
      </w:r>
      <w:r w:rsidR="00DE0F76" w:rsidRPr="0011747E">
        <w:t>project component; and</w:t>
      </w:r>
    </w:p>
    <w:p w:rsidR="00DE0F76" w:rsidRPr="0011747E" w:rsidRDefault="001B72A5" w:rsidP="00BE5ED3">
      <w:pPr>
        <w:pStyle w:val="paragraphsub"/>
      </w:pPr>
      <w:r w:rsidRPr="0011747E">
        <w:tab/>
        <w:t>(</w:t>
      </w:r>
      <w:r w:rsidR="003414C0" w:rsidRPr="0011747E">
        <w:t>v</w:t>
      </w:r>
      <w:r w:rsidR="00DE0F76" w:rsidRPr="0011747E">
        <w:t>)</w:t>
      </w:r>
      <w:r w:rsidR="00DE0F76" w:rsidRPr="0011747E">
        <w:tab/>
        <w:t>if applicable—</w:t>
      </w:r>
      <w:r w:rsidR="00D803A1" w:rsidRPr="0011747E">
        <w:t xml:space="preserve">the </w:t>
      </w:r>
      <w:r w:rsidR="00DE0F76" w:rsidRPr="0011747E">
        <w:t xml:space="preserve">exceptional </w:t>
      </w:r>
      <w:r w:rsidR="00D803A1" w:rsidRPr="0011747E">
        <w:t>case</w:t>
      </w:r>
      <w:r w:rsidR="00DE0F76" w:rsidRPr="0011747E">
        <w:t xml:space="preserve"> component;</w:t>
      </w:r>
    </w:p>
    <w:p w:rsidR="005F674F" w:rsidRPr="0011747E" w:rsidRDefault="005F674F" w:rsidP="00A4025E">
      <w:pPr>
        <w:pStyle w:val="paragraph"/>
      </w:pPr>
      <w:r w:rsidRPr="0011747E">
        <w:tab/>
        <w:t>(</w:t>
      </w:r>
      <w:r w:rsidR="00DE0F76" w:rsidRPr="0011747E">
        <w:t>d</w:t>
      </w:r>
      <w:r w:rsidR="00A4025E" w:rsidRPr="0011747E">
        <w:t>)</w:t>
      </w:r>
      <w:r w:rsidR="00A4025E" w:rsidRPr="0011747E">
        <w:tab/>
      </w:r>
      <w:r w:rsidR="007D19D4" w:rsidRPr="0011747E">
        <w:t xml:space="preserve">the level of complexity determined for </w:t>
      </w:r>
      <w:r w:rsidR="00BD0869" w:rsidRPr="0011747E">
        <w:t>each</w:t>
      </w:r>
      <w:r w:rsidR="006C30AE" w:rsidRPr="0011747E">
        <w:t xml:space="preserve"> relevant</w:t>
      </w:r>
      <w:r w:rsidR="00BD0869" w:rsidRPr="0011747E">
        <w:t xml:space="preserve"> component</w:t>
      </w:r>
      <w:r w:rsidRPr="0011747E">
        <w:t>;</w:t>
      </w:r>
    </w:p>
    <w:p w:rsidR="009417C5" w:rsidRPr="0011747E" w:rsidRDefault="005F674F" w:rsidP="005F674F">
      <w:pPr>
        <w:pStyle w:val="paragraph"/>
      </w:pPr>
      <w:r w:rsidRPr="0011747E">
        <w:tab/>
        <w:t>(</w:t>
      </w:r>
      <w:r w:rsidR="00373B65" w:rsidRPr="0011747E">
        <w:t>e</w:t>
      </w:r>
      <w:r w:rsidR="009417C5" w:rsidRPr="0011747E">
        <w:t>)</w:t>
      </w:r>
      <w:r w:rsidR="009417C5" w:rsidRPr="0011747E">
        <w:tab/>
      </w:r>
      <w:r w:rsidR="00D67DE8" w:rsidRPr="0011747E">
        <w:t xml:space="preserve">the </w:t>
      </w:r>
      <w:r w:rsidR="009417C5" w:rsidRPr="0011747E">
        <w:t>fees p</w:t>
      </w:r>
      <w:r w:rsidR="00C16409" w:rsidRPr="0011747E">
        <w:t>ayable</w:t>
      </w:r>
      <w:r w:rsidR="00783447" w:rsidRPr="0011747E">
        <w:t xml:space="preserve"> for each </w:t>
      </w:r>
      <w:r w:rsidR="00C16409" w:rsidRPr="0011747E">
        <w:t xml:space="preserve">stage of the </w:t>
      </w:r>
      <w:r w:rsidR="00783447" w:rsidRPr="0011747E">
        <w:t>assessment</w:t>
      </w:r>
      <w:r w:rsidR="009417C5" w:rsidRPr="0011747E">
        <w:t>.</w:t>
      </w:r>
    </w:p>
    <w:p w:rsidR="0085191C" w:rsidRPr="0011747E" w:rsidRDefault="000D29EF" w:rsidP="000D29EF">
      <w:pPr>
        <w:pStyle w:val="subsection"/>
      </w:pPr>
      <w:r w:rsidRPr="0011747E">
        <w:tab/>
        <w:t>(</w:t>
      </w:r>
      <w:r w:rsidR="00D740FE" w:rsidRPr="0011747E">
        <w:t>2</w:t>
      </w:r>
      <w:r w:rsidRPr="0011747E">
        <w:t>)</w:t>
      </w:r>
      <w:r w:rsidRPr="0011747E">
        <w:tab/>
      </w:r>
      <w:r w:rsidR="0085191C" w:rsidRPr="0011747E">
        <w:t>T</w:t>
      </w:r>
      <w:r w:rsidRPr="0011747E">
        <w:t>he fee schedule m</w:t>
      </w:r>
      <w:r w:rsidR="0085191C" w:rsidRPr="0011747E">
        <w:t xml:space="preserve">ay set out the estimated amount payable </w:t>
      </w:r>
      <w:r w:rsidR="00D740FE" w:rsidRPr="0011747E">
        <w:t>for the application component of the complexity fee</w:t>
      </w:r>
      <w:r w:rsidR="0085191C" w:rsidRPr="0011747E">
        <w:t xml:space="preserve">, but </w:t>
      </w:r>
      <w:r w:rsidR="003A7655" w:rsidRPr="0011747E">
        <w:t xml:space="preserve">for </w:t>
      </w:r>
      <w:r w:rsidR="0085191C" w:rsidRPr="0011747E">
        <w:t>all other fees</w:t>
      </w:r>
      <w:r w:rsidR="003A7655" w:rsidRPr="0011747E">
        <w:t>, the fee schedule</w:t>
      </w:r>
      <w:r w:rsidR="0085191C" w:rsidRPr="0011747E">
        <w:t xml:space="preserve"> must set out the actual amount payable.</w:t>
      </w:r>
    </w:p>
    <w:p w:rsidR="001E3BD7" w:rsidRPr="0011747E" w:rsidRDefault="007623F2" w:rsidP="000D29EF">
      <w:pPr>
        <w:pStyle w:val="subsection"/>
      </w:pPr>
      <w:r w:rsidRPr="0011747E">
        <w:tab/>
        <w:t>(3)</w:t>
      </w:r>
      <w:r w:rsidRPr="0011747E">
        <w:tab/>
        <w:t>Before stage 3 of an approach used for assessing the impacts of an action occurs, the Minister must give the person</w:t>
      </w:r>
      <w:r w:rsidR="00B06703" w:rsidRPr="0011747E">
        <w:t xml:space="preserve"> proposing to take the action</w:t>
      </w:r>
      <w:r w:rsidRPr="0011747E">
        <w:t xml:space="preserve"> another fee schedule</w:t>
      </w:r>
      <w:r w:rsidR="00740787" w:rsidRPr="0011747E">
        <w:t xml:space="preserve"> </w:t>
      </w:r>
      <w:r w:rsidRPr="0011747E">
        <w:t>that sets out the actual amount payable for the application component of the complexity fee</w:t>
      </w:r>
      <w:r w:rsidR="00085D19" w:rsidRPr="0011747E">
        <w:t xml:space="preserve">, and this amount </w:t>
      </w:r>
      <w:r w:rsidR="001E3BD7" w:rsidRPr="0011747E">
        <w:t>must not be more than the estimated amount payable for the component.</w:t>
      </w:r>
    </w:p>
    <w:p w:rsidR="0051354E" w:rsidRPr="0011747E" w:rsidRDefault="0051354E" w:rsidP="0051354E">
      <w:pPr>
        <w:pStyle w:val="ActHead5"/>
      </w:pPr>
      <w:bookmarkStart w:id="26" w:name="_Toc396376229"/>
      <w:r w:rsidRPr="0011747E">
        <w:rPr>
          <w:rStyle w:val="CharSectno"/>
        </w:rPr>
        <w:t>5.12</w:t>
      </w:r>
      <w:r w:rsidR="00A920A6" w:rsidRPr="0011747E">
        <w:rPr>
          <w:rStyle w:val="CharSectno"/>
        </w:rPr>
        <w:t>K</w:t>
      </w:r>
      <w:r w:rsidRPr="0011747E">
        <w:t xml:space="preserve">  </w:t>
      </w:r>
      <w:r w:rsidR="00C21D3F" w:rsidRPr="0011747E">
        <w:t xml:space="preserve">Amount of </w:t>
      </w:r>
      <w:r w:rsidRPr="0011747E">
        <w:t>fees</w:t>
      </w:r>
      <w:bookmarkEnd w:id="26"/>
    </w:p>
    <w:p w:rsidR="00184572" w:rsidRPr="0011747E" w:rsidRDefault="00184572" w:rsidP="00184572">
      <w:pPr>
        <w:pStyle w:val="SubsectionHead"/>
      </w:pPr>
      <w:r w:rsidRPr="0011747E">
        <w:t>Base fee</w:t>
      </w:r>
    </w:p>
    <w:p w:rsidR="00483753" w:rsidRPr="0011747E" w:rsidRDefault="00333C57" w:rsidP="00483753">
      <w:pPr>
        <w:pStyle w:val="subsection"/>
      </w:pPr>
      <w:r w:rsidRPr="0011747E">
        <w:tab/>
        <w:t>(1)</w:t>
      </w:r>
      <w:r w:rsidRPr="0011747E">
        <w:tab/>
      </w:r>
      <w:r w:rsidR="00C21D3F" w:rsidRPr="0011747E">
        <w:t xml:space="preserve">A base fee is payable for the assessment of </w:t>
      </w:r>
      <w:r w:rsidR="003913F2" w:rsidRPr="0011747E">
        <w:t xml:space="preserve">the impacts of </w:t>
      </w:r>
      <w:r w:rsidR="00C21D3F" w:rsidRPr="0011747E">
        <w:t>an action. The amount of the fee depends on</w:t>
      </w:r>
      <w:r w:rsidR="00483753" w:rsidRPr="0011747E">
        <w:t xml:space="preserve"> </w:t>
      </w:r>
      <w:r w:rsidR="00C21D3F" w:rsidRPr="0011747E">
        <w:t>the approach to be used for assessing the impacts of the action</w:t>
      </w:r>
      <w:r w:rsidR="00483753" w:rsidRPr="0011747E">
        <w:t>.</w:t>
      </w:r>
    </w:p>
    <w:p w:rsidR="00EC312F" w:rsidRPr="0011747E" w:rsidRDefault="00EC312F" w:rsidP="00EC312F">
      <w:pPr>
        <w:pStyle w:val="notetext"/>
      </w:pPr>
      <w:r w:rsidRPr="0011747E">
        <w:t>Note:</w:t>
      </w:r>
      <w:r w:rsidRPr="0011747E">
        <w:tab/>
        <w:t>The amount of the</w:t>
      </w:r>
      <w:r w:rsidR="0051578B" w:rsidRPr="0011747E">
        <w:t xml:space="preserve"> base</w:t>
      </w:r>
      <w:r w:rsidRPr="0011747E">
        <w:t xml:space="preserve"> fee is set out in </w:t>
      </w:r>
      <w:r w:rsidR="00B34A90" w:rsidRPr="0011747E">
        <w:t>the</w:t>
      </w:r>
      <w:r w:rsidRPr="0011747E">
        <w:t xml:space="preserve"> Subdivision</w:t>
      </w:r>
      <w:r w:rsidR="00487C70" w:rsidRPr="0011747E">
        <w:t xml:space="preserve"> of this Division</w:t>
      </w:r>
      <w:r w:rsidRPr="0011747E">
        <w:t xml:space="preserve"> </w:t>
      </w:r>
      <w:r w:rsidR="00DF4BDE" w:rsidRPr="0011747E">
        <w:t>that deals with</w:t>
      </w:r>
      <w:r w:rsidR="0051578B" w:rsidRPr="0011747E">
        <w:t xml:space="preserve"> </w:t>
      </w:r>
      <w:r w:rsidR="00B34A90" w:rsidRPr="0011747E">
        <w:t>the</w:t>
      </w:r>
      <w:r w:rsidR="0051578B" w:rsidRPr="0011747E">
        <w:t xml:space="preserve"> assessment approach.</w:t>
      </w:r>
    </w:p>
    <w:p w:rsidR="002E02A3" w:rsidRPr="0011747E" w:rsidRDefault="002E02A3" w:rsidP="002E02A3">
      <w:pPr>
        <w:pStyle w:val="SubsectionHead"/>
      </w:pPr>
      <w:r w:rsidRPr="0011747E">
        <w:t>Determination—low complexity</w:t>
      </w:r>
    </w:p>
    <w:p w:rsidR="00B72244" w:rsidRPr="0011747E" w:rsidRDefault="00B72244" w:rsidP="00B72244">
      <w:pPr>
        <w:pStyle w:val="subsection"/>
      </w:pPr>
      <w:r w:rsidRPr="0011747E">
        <w:tab/>
        <w:t>(2)</w:t>
      </w:r>
      <w:r w:rsidRPr="0011747E">
        <w:tab/>
        <w:t xml:space="preserve">If </w:t>
      </w:r>
      <w:r w:rsidR="00A95325" w:rsidRPr="0011747E">
        <w:t>a</w:t>
      </w:r>
      <w:r w:rsidRPr="0011747E">
        <w:t xml:space="preserve"> </w:t>
      </w:r>
      <w:r w:rsidR="001868BE" w:rsidRPr="0011747E">
        <w:t xml:space="preserve">determination is made that a </w:t>
      </w:r>
      <w:r w:rsidR="00A95325" w:rsidRPr="0011747E">
        <w:t xml:space="preserve">legislative impact </w:t>
      </w:r>
      <w:r w:rsidRPr="0011747E">
        <w:t xml:space="preserve">component </w:t>
      </w:r>
      <w:r w:rsidR="001868BE" w:rsidRPr="0011747E">
        <w:t>is of low complexity</w:t>
      </w:r>
      <w:r w:rsidRPr="0011747E">
        <w:t xml:space="preserve">, the amount </w:t>
      </w:r>
      <w:r w:rsidR="007E7F5B" w:rsidRPr="0011747E">
        <w:t>payable for the component is $3</w:t>
      </w:r>
      <w:r w:rsidR="0011747E" w:rsidRPr="0011747E">
        <w:t> </w:t>
      </w:r>
      <w:r w:rsidRPr="0011747E">
        <w:t>892.00.</w:t>
      </w:r>
    </w:p>
    <w:p w:rsidR="00EC312F" w:rsidRPr="0011747E" w:rsidRDefault="002E02A3" w:rsidP="00EC312F">
      <w:pPr>
        <w:pStyle w:val="SubsectionHead"/>
      </w:pPr>
      <w:r w:rsidRPr="0011747E">
        <w:t>Determination—</w:t>
      </w:r>
      <w:r w:rsidR="00660D4D" w:rsidRPr="0011747E">
        <w:t>moderate, high or very high complexity</w:t>
      </w:r>
    </w:p>
    <w:p w:rsidR="0051354E" w:rsidRPr="0011747E" w:rsidRDefault="00E32F65" w:rsidP="0051354E">
      <w:pPr>
        <w:pStyle w:val="subsection"/>
      </w:pPr>
      <w:r w:rsidRPr="0011747E">
        <w:tab/>
      </w:r>
      <w:r w:rsidR="001B03EC" w:rsidRPr="0011747E">
        <w:t>(</w:t>
      </w:r>
      <w:r w:rsidR="00B72244" w:rsidRPr="0011747E">
        <w:t>3</w:t>
      </w:r>
      <w:r w:rsidR="001B03EC" w:rsidRPr="0011747E">
        <w:t>)</w:t>
      </w:r>
      <w:r w:rsidRPr="0011747E">
        <w:tab/>
      </w:r>
      <w:r w:rsidR="002E02A3" w:rsidRPr="0011747E">
        <w:t>If a determination is made in respect of a</w:t>
      </w:r>
      <w:r w:rsidR="00733828" w:rsidRPr="0011747E">
        <w:t>n application component,</w:t>
      </w:r>
      <w:r w:rsidRPr="0011747E">
        <w:t xml:space="preserve"> </w:t>
      </w:r>
      <w:r w:rsidR="001868BE" w:rsidRPr="0011747E">
        <w:t xml:space="preserve">controlling provision </w:t>
      </w:r>
      <w:r w:rsidRPr="0011747E">
        <w:t>component</w:t>
      </w:r>
      <w:r w:rsidR="00733828" w:rsidRPr="0011747E">
        <w:t xml:space="preserve"> or legislative impact component</w:t>
      </w:r>
      <w:r w:rsidR="002E02A3" w:rsidRPr="0011747E">
        <w:t xml:space="preserve">, the amount payable for the component </w:t>
      </w:r>
      <w:r w:rsidR="00EE5839" w:rsidRPr="0011747E">
        <w:t>is set out in the following table</w:t>
      </w:r>
      <w:r w:rsidR="00033ED6" w:rsidRPr="0011747E">
        <w:t xml:space="preserve"> according to</w:t>
      </w:r>
      <w:r w:rsidR="002E02A3" w:rsidRPr="0011747E">
        <w:t xml:space="preserve"> the level of complexity</w:t>
      </w:r>
      <w:r w:rsidR="00EE5839" w:rsidRPr="0011747E">
        <w:t xml:space="preserve"> determined for the component</w:t>
      </w:r>
      <w:r w:rsidRPr="0011747E">
        <w:t>:</w:t>
      </w:r>
    </w:p>
    <w:p w:rsidR="0051354E" w:rsidRPr="0011747E" w:rsidRDefault="0051354E" w:rsidP="0051354E">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542"/>
        <w:gridCol w:w="1417"/>
        <w:gridCol w:w="1341"/>
        <w:gridCol w:w="1211"/>
      </w:tblGrid>
      <w:tr w:rsidR="0051354E" w:rsidRPr="0011747E" w:rsidTr="00E54C5C">
        <w:trPr>
          <w:tblHeader/>
        </w:trPr>
        <w:tc>
          <w:tcPr>
            <w:tcW w:w="7225" w:type="dxa"/>
            <w:gridSpan w:val="5"/>
            <w:tcBorders>
              <w:top w:val="single" w:sz="12" w:space="0" w:color="auto"/>
              <w:bottom w:val="single" w:sz="6" w:space="0" w:color="auto"/>
            </w:tcBorders>
            <w:shd w:val="clear" w:color="auto" w:fill="auto"/>
          </w:tcPr>
          <w:p w:rsidR="0051354E" w:rsidRPr="0011747E" w:rsidRDefault="00E52BFB" w:rsidP="00DA058E">
            <w:pPr>
              <w:pStyle w:val="TableHeading"/>
            </w:pPr>
            <w:r w:rsidRPr="0011747E">
              <w:t>F</w:t>
            </w:r>
            <w:r w:rsidR="00E32F65" w:rsidRPr="0011747E">
              <w:t>ee</w:t>
            </w:r>
            <w:r w:rsidRPr="0011747E">
              <w:t xml:space="preserve"> for each component</w:t>
            </w:r>
          </w:p>
        </w:tc>
      </w:tr>
      <w:tr w:rsidR="0051354E" w:rsidRPr="0011747E" w:rsidTr="00E54C5C">
        <w:trPr>
          <w:tblHeader/>
        </w:trPr>
        <w:tc>
          <w:tcPr>
            <w:tcW w:w="714" w:type="dxa"/>
            <w:tcBorders>
              <w:top w:val="single" w:sz="6" w:space="0" w:color="auto"/>
              <w:bottom w:val="single" w:sz="12" w:space="0" w:color="auto"/>
            </w:tcBorders>
            <w:shd w:val="clear" w:color="auto" w:fill="auto"/>
          </w:tcPr>
          <w:p w:rsidR="0051354E" w:rsidRPr="0011747E" w:rsidRDefault="0051354E" w:rsidP="00DA058E">
            <w:pPr>
              <w:pStyle w:val="TableHeading"/>
            </w:pPr>
            <w:r w:rsidRPr="0011747E">
              <w:t>Item</w:t>
            </w:r>
          </w:p>
        </w:tc>
        <w:tc>
          <w:tcPr>
            <w:tcW w:w="2542" w:type="dxa"/>
            <w:tcBorders>
              <w:top w:val="single" w:sz="6" w:space="0" w:color="auto"/>
              <w:bottom w:val="single" w:sz="12" w:space="0" w:color="auto"/>
            </w:tcBorders>
            <w:shd w:val="clear" w:color="auto" w:fill="auto"/>
          </w:tcPr>
          <w:p w:rsidR="0051354E" w:rsidRPr="0011747E" w:rsidRDefault="0051354E" w:rsidP="00DA058E">
            <w:pPr>
              <w:pStyle w:val="TableHeading"/>
            </w:pPr>
            <w:r w:rsidRPr="0011747E">
              <w:t>Component</w:t>
            </w:r>
          </w:p>
        </w:tc>
        <w:tc>
          <w:tcPr>
            <w:tcW w:w="1417" w:type="dxa"/>
            <w:tcBorders>
              <w:top w:val="single" w:sz="6" w:space="0" w:color="auto"/>
              <w:bottom w:val="single" w:sz="12" w:space="0" w:color="auto"/>
            </w:tcBorders>
            <w:shd w:val="clear" w:color="auto" w:fill="auto"/>
          </w:tcPr>
          <w:p w:rsidR="0051354E" w:rsidRPr="0011747E" w:rsidRDefault="0051354E" w:rsidP="00836667">
            <w:pPr>
              <w:pStyle w:val="TableHeading"/>
              <w:jc w:val="right"/>
            </w:pPr>
            <w:r w:rsidRPr="0011747E">
              <w:t>Moderate complexity</w:t>
            </w:r>
          </w:p>
        </w:tc>
        <w:tc>
          <w:tcPr>
            <w:tcW w:w="1341" w:type="dxa"/>
            <w:tcBorders>
              <w:top w:val="single" w:sz="6" w:space="0" w:color="auto"/>
              <w:bottom w:val="single" w:sz="12" w:space="0" w:color="auto"/>
            </w:tcBorders>
            <w:shd w:val="clear" w:color="auto" w:fill="auto"/>
          </w:tcPr>
          <w:p w:rsidR="0051354E" w:rsidRPr="0011747E" w:rsidRDefault="0051354E" w:rsidP="00836667">
            <w:pPr>
              <w:pStyle w:val="TableHeading"/>
              <w:jc w:val="right"/>
            </w:pPr>
            <w:r w:rsidRPr="0011747E">
              <w:t>High complexity</w:t>
            </w:r>
          </w:p>
        </w:tc>
        <w:tc>
          <w:tcPr>
            <w:tcW w:w="1211" w:type="dxa"/>
            <w:tcBorders>
              <w:top w:val="single" w:sz="6" w:space="0" w:color="auto"/>
              <w:bottom w:val="single" w:sz="12" w:space="0" w:color="auto"/>
            </w:tcBorders>
            <w:shd w:val="clear" w:color="auto" w:fill="auto"/>
          </w:tcPr>
          <w:p w:rsidR="0051354E" w:rsidRPr="0011747E" w:rsidRDefault="0051354E" w:rsidP="00836667">
            <w:pPr>
              <w:pStyle w:val="TableHeading"/>
              <w:jc w:val="right"/>
            </w:pPr>
            <w:r w:rsidRPr="0011747E">
              <w:t>Very high complexity</w:t>
            </w:r>
          </w:p>
        </w:tc>
      </w:tr>
      <w:tr w:rsidR="00321F7C" w:rsidRPr="0011747E" w:rsidTr="00E54C5C">
        <w:tc>
          <w:tcPr>
            <w:tcW w:w="714" w:type="dxa"/>
            <w:tcBorders>
              <w:top w:val="single" w:sz="12" w:space="0" w:color="auto"/>
            </w:tcBorders>
            <w:shd w:val="clear" w:color="auto" w:fill="auto"/>
          </w:tcPr>
          <w:p w:rsidR="00321F7C" w:rsidRPr="0011747E" w:rsidRDefault="00321F7C" w:rsidP="00FC0F28">
            <w:pPr>
              <w:pStyle w:val="Tabletext"/>
            </w:pPr>
            <w:r w:rsidRPr="0011747E">
              <w:t>1</w:t>
            </w:r>
          </w:p>
        </w:tc>
        <w:tc>
          <w:tcPr>
            <w:tcW w:w="2542" w:type="dxa"/>
            <w:tcBorders>
              <w:top w:val="single" w:sz="12" w:space="0" w:color="auto"/>
            </w:tcBorders>
            <w:shd w:val="clear" w:color="auto" w:fill="auto"/>
          </w:tcPr>
          <w:p w:rsidR="00321F7C" w:rsidRPr="0011747E" w:rsidRDefault="00321F7C" w:rsidP="00E83D70">
            <w:pPr>
              <w:pStyle w:val="Tabletext"/>
            </w:pPr>
            <w:r w:rsidRPr="0011747E">
              <w:t>application component—information re</w:t>
            </w:r>
            <w:r w:rsidR="007A7BD2" w:rsidRPr="0011747E">
              <w:t>ferred to in subparagraph</w:t>
            </w:r>
            <w:r w:rsidR="0011747E" w:rsidRPr="0011747E">
              <w:t> </w:t>
            </w:r>
            <w:r w:rsidR="00E83D70" w:rsidRPr="0011747E">
              <w:t>5.12B</w:t>
            </w:r>
            <w:r w:rsidRPr="0011747E">
              <w:t>(2)(b)(i)</w:t>
            </w:r>
          </w:p>
        </w:tc>
        <w:tc>
          <w:tcPr>
            <w:tcW w:w="1417" w:type="dxa"/>
            <w:tcBorders>
              <w:top w:val="single" w:sz="12" w:space="0" w:color="auto"/>
            </w:tcBorders>
            <w:shd w:val="clear" w:color="auto" w:fill="auto"/>
          </w:tcPr>
          <w:p w:rsidR="00321F7C" w:rsidRPr="0011747E" w:rsidRDefault="007E7F5B" w:rsidP="00836667">
            <w:pPr>
              <w:pStyle w:val="Tabletext"/>
              <w:jc w:val="right"/>
            </w:pPr>
            <w:r w:rsidRPr="0011747E">
              <w:t>$14</w:t>
            </w:r>
            <w:r w:rsidR="0011747E" w:rsidRPr="0011747E">
              <w:t> </w:t>
            </w:r>
            <w:r w:rsidR="00836667" w:rsidRPr="0011747E">
              <w:t>248.</w:t>
            </w:r>
            <w:r w:rsidR="00321F7C" w:rsidRPr="0011747E">
              <w:t>00</w:t>
            </w:r>
          </w:p>
        </w:tc>
        <w:tc>
          <w:tcPr>
            <w:tcW w:w="1341" w:type="dxa"/>
            <w:tcBorders>
              <w:top w:val="single" w:sz="12" w:space="0" w:color="auto"/>
            </w:tcBorders>
            <w:shd w:val="clear" w:color="auto" w:fill="auto"/>
          </w:tcPr>
          <w:p w:rsidR="00321F7C" w:rsidRPr="0011747E" w:rsidRDefault="007E7F5B" w:rsidP="00836667">
            <w:pPr>
              <w:pStyle w:val="Tabletext"/>
              <w:jc w:val="right"/>
            </w:pPr>
            <w:r w:rsidRPr="0011747E">
              <w:t>$60</w:t>
            </w:r>
            <w:r w:rsidR="0011747E" w:rsidRPr="0011747E">
              <w:t> </w:t>
            </w:r>
            <w:r w:rsidR="00321F7C" w:rsidRPr="0011747E">
              <w:t>404.00</w:t>
            </w:r>
          </w:p>
        </w:tc>
        <w:tc>
          <w:tcPr>
            <w:tcW w:w="1211" w:type="dxa"/>
            <w:tcBorders>
              <w:top w:val="single" w:sz="12" w:space="0" w:color="auto"/>
            </w:tcBorders>
            <w:shd w:val="clear" w:color="auto" w:fill="auto"/>
          </w:tcPr>
          <w:p w:rsidR="00321F7C" w:rsidRPr="0011747E" w:rsidRDefault="00321F7C" w:rsidP="00836667">
            <w:pPr>
              <w:pStyle w:val="Tabletext"/>
              <w:jc w:val="right"/>
            </w:pPr>
          </w:p>
        </w:tc>
      </w:tr>
      <w:tr w:rsidR="00321F7C" w:rsidRPr="0011747E" w:rsidTr="00E54C5C">
        <w:tc>
          <w:tcPr>
            <w:tcW w:w="714" w:type="dxa"/>
            <w:shd w:val="clear" w:color="auto" w:fill="auto"/>
          </w:tcPr>
          <w:p w:rsidR="00321F7C" w:rsidRPr="0011747E" w:rsidRDefault="00321F7C" w:rsidP="00FC0F28">
            <w:pPr>
              <w:pStyle w:val="Tabletext"/>
            </w:pPr>
            <w:r w:rsidRPr="0011747E">
              <w:t>2</w:t>
            </w:r>
          </w:p>
        </w:tc>
        <w:tc>
          <w:tcPr>
            <w:tcW w:w="2542" w:type="dxa"/>
            <w:shd w:val="clear" w:color="auto" w:fill="auto"/>
          </w:tcPr>
          <w:p w:rsidR="00321F7C" w:rsidRPr="0011747E" w:rsidRDefault="00321F7C" w:rsidP="00E54C5C">
            <w:pPr>
              <w:pStyle w:val="Tabletext"/>
              <w:ind w:right="-250"/>
            </w:pPr>
            <w:r w:rsidRPr="0011747E">
              <w:t>application component—information referred to in subparagraph</w:t>
            </w:r>
            <w:r w:rsidR="0011747E" w:rsidRPr="0011747E">
              <w:t> </w:t>
            </w:r>
            <w:r w:rsidR="00E83D70" w:rsidRPr="0011747E">
              <w:t>5.12B</w:t>
            </w:r>
            <w:r w:rsidRPr="0011747E">
              <w:t>(2)(b)(ii)</w:t>
            </w:r>
          </w:p>
        </w:tc>
        <w:tc>
          <w:tcPr>
            <w:tcW w:w="1417" w:type="dxa"/>
            <w:shd w:val="clear" w:color="auto" w:fill="auto"/>
          </w:tcPr>
          <w:p w:rsidR="00321F7C" w:rsidRPr="0011747E" w:rsidRDefault="007E7F5B" w:rsidP="00836667">
            <w:pPr>
              <w:pStyle w:val="Tabletext"/>
              <w:jc w:val="right"/>
            </w:pPr>
            <w:r w:rsidRPr="0011747E">
              <w:t>$14</w:t>
            </w:r>
            <w:r w:rsidR="0011747E" w:rsidRPr="0011747E">
              <w:t> </w:t>
            </w:r>
            <w:r w:rsidR="00321F7C" w:rsidRPr="0011747E">
              <w:t>248.00</w:t>
            </w:r>
          </w:p>
        </w:tc>
        <w:tc>
          <w:tcPr>
            <w:tcW w:w="1341" w:type="dxa"/>
            <w:shd w:val="clear" w:color="auto" w:fill="auto"/>
          </w:tcPr>
          <w:p w:rsidR="00321F7C" w:rsidRPr="0011747E" w:rsidRDefault="007E7F5B" w:rsidP="00836667">
            <w:pPr>
              <w:pStyle w:val="Tabletext"/>
              <w:jc w:val="right"/>
            </w:pPr>
            <w:r w:rsidRPr="0011747E">
              <w:t>$82</w:t>
            </w:r>
            <w:r w:rsidR="0011747E" w:rsidRPr="0011747E">
              <w:t> </w:t>
            </w:r>
            <w:r w:rsidR="00321F7C" w:rsidRPr="0011747E">
              <w:t>316.00</w:t>
            </w:r>
          </w:p>
        </w:tc>
        <w:tc>
          <w:tcPr>
            <w:tcW w:w="1211" w:type="dxa"/>
            <w:shd w:val="clear" w:color="auto" w:fill="auto"/>
          </w:tcPr>
          <w:p w:rsidR="00321F7C" w:rsidRPr="0011747E" w:rsidRDefault="00321F7C" w:rsidP="00836667">
            <w:pPr>
              <w:pStyle w:val="Tabletext"/>
              <w:jc w:val="right"/>
            </w:pPr>
          </w:p>
        </w:tc>
      </w:tr>
      <w:tr w:rsidR="00321F7C" w:rsidRPr="0011747E" w:rsidTr="00E54C5C">
        <w:tc>
          <w:tcPr>
            <w:tcW w:w="714" w:type="dxa"/>
            <w:shd w:val="clear" w:color="auto" w:fill="auto"/>
          </w:tcPr>
          <w:p w:rsidR="00321F7C" w:rsidRPr="0011747E" w:rsidRDefault="00321F7C" w:rsidP="00FC0F28">
            <w:pPr>
              <w:pStyle w:val="Tabletext"/>
            </w:pPr>
            <w:r w:rsidRPr="0011747E">
              <w:t>3</w:t>
            </w:r>
          </w:p>
        </w:tc>
        <w:tc>
          <w:tcPr>
            <w:tcW w:w="2542" w:type="dxa"/>
            <w:shd w:val="clear" w:color="auto" w:fill="auto"/>
          </w:tcPr>
          <w:p w:rsidR="00321F7C" w:rsidRPr="0011747E" w:rsidRDefault="00321F7C" w:rsidP="007A7BD2">
            <w:pPr>
              <w:pStyle w:val="Tabletext"/>
            </w:pPr>
            <w:r w:rsidRPr="0011747E">
              <w:t>application component—information ref</w:t>
            </w:r>
            <w:r w:rsidR="00E83D70" w:rsidRPr="0011747E">
              <w:t>erred to in subparagraph</w:t>
            </w:r>
            <w:r w:rsidR="0011747E" w:rsidRPr="0011747E">
              <w:t> </w:t>
            </w:r>
            <w:r w:rsidR="00E83D70" w:rsidRPr="0011747E">
              <w:t>5.12B</w:t>
            </w:r>
            <w:r w:rsidRPr="0011747E">
              <w:t>(2)(b)(iii)</w:t>
            </w:r>
          </w:p>
        </w:tc>
        <w:tc>
          <w:tcPr>
            <w:tcW w:w="1417" w:type="dxa"/>
            <w:shd w:val="clear" w:color="auto" w:fill="auto"/>
          </w:tcPr>
          <w:p w:rsidR="00321F7C" w:rsidRPr="0011747E" w:rsidRDefault="007E7F5B" w:rsidP="00836667">
            <w:pPr>
              <w:pStyle w:val="Tabletext"/>
              <w:jc w:val="right"/>
            </w:pPr>
            <w:r w:rsidRPr="0011747E">
              <w:t>$14</w:t>
            </w:r>
            <w:r w:rsidR="0011747E" w:rsidRPr="0011747E">
              <w:t> </w:t>
            </w:r>
            <w:r w:rsidR="00321F7C" w:rsidRPr="0011747E">
              <w:t>248.00</w:t>
            </w:r>
          </w:p>
        </w:tc>
        <w:tc>
          <w:tcPr>
            <w:tcW w:w="1341" w:type="dxa"/>
            <w:shd w:val="clear" w:color="auto" w:fill="auto"/>
          </w:tcPr>
          <w:p w:rsidR="00321F7C" w:rsidRPr="0011747E" w:rsidRDefault="007E7F5B" w:rsidP="00836667">
            <w:pPr>
              <w:pStyle w:val="Tabletext"/>
              <w:jc w:val="right"/>
            </w:pPr>
            <w:r w:rsidRPr="0011747E">
              <w:t>$93</w:t>
            </w:r>
            <w:r w:rsidR="0011747E" w:rsidRPr="0011747E">
              <w:t> </w:t>
            </w:r>
            <w:r w:rsidR="00321F7C" w:rsidRPr="0011747E">
              <w:t>316.00</w:t>
            </w:r>
          </w:p>
        </w:tc>
        <w:tc>
          <w:tcPr>
            <w:tcW w:w="1211" w:type="dxa"/>
            <w:shd w:val="clear" w:color="auto" w:fill="auto"/>
          </w:tcPr>
          <w:p w:rsidR="00321F7C" w:rsidRPr="0011747E" w:rsidRDefault="00321F7C" w:rsidP="00836667">
            <w:pPr>
              <w:pStyle w:val="Tabletext"/>
              <w:jc w:val="right"/>
            </w:pPr>
          </w:p>
        </w:tc>
      </w:tr>
      <w:tr w:rsidR="00321F7C" w:rsidRPr="0011747E" w:rsidTr="00E54C5C">
        <w:tc>
          <w:tcPr>
            <w:tcW w:w="714" w:type="dxa"/>
            <w:shd w:val="clear" w:color="auto" w:fill="auto"/>
          </w:tcPr>
          <w:p w:rsidR="00321F7C" w:rsidRPr="0011747E" w:rsidRDefault="00321F7C" w:rsidP="0051354E">
            <w:pPr>
              <w:pStyle w:val="Tabletext"/>
            </w:pPr>
            <w:r w:rsidRPr="0011747E">
              <w:t>4</w:t>
            </w:r>
          </w:p>
        </w:tc>
        <w:tc>
          <w:tcPr>
            <w:tcW w:w="2542" w:type="dxa"/>
            <w:shd w:val="clear" w:color="auto" w:fill="auto"/>
          </w:tcPr>
          <w:p w:rsidR="00321F7C" w:rsidRPr="0011747E" w:rsidRDefault="00321F7C" w:rsidP="00A95325">
            <w:pPr>
              <w:pStyle w:val="Tabletext"/>
            </w:pPr>
            <w:r w:rsidRPr="0011747E">
              <w:t>controlling provision component (other than section</w:t>
            </w:r>
            <w:r w:rsidR="0011747E" w:rsidRPr="0011747E">
              <w:t> </w:t>
            </w:r>
            <w:r w:rsidRPr="0011747E">
              <w:t>24B or 24C of the Act)</w:t>
            </w:r>
          </w:p>
        </w:tc>
        <w:tc>
          <w:tcPr>
            <w:tcW w:w="1417" w:type="dxa"/>
            <w:shd w:val="clear" w:color="auto" w:fill="auto"/>
          </w:tcPr>
          <w:p w:rsidR="00321F7C" w:rsidRPr="0011747E" w:rsidRDefault="007E7F5B" w:rsidP="00836667">
            <w:pPr>
              <w:pStyle w:val="Tabletext"/>
              <w:jc w:val="right"/>
            </w:pPr>
            <w:r w:rsidRPr="0011747E">
              <w:t>$5</w:t>
            </w:r>
            <w:r w:rsidR="0011747E" w:rsidRPr="0011747E">
              <w:t> </w:t>
            </w:r>
            <w:r w:rsidR="00321F7C" w:rsidRPr="0011747E">
              <w:t>463.00</w:t>
            </w:r>
          </w:p>
        </w:tc>
        <w:tc>
          <w:tcPr>
            <w:tcW w:w="1341" w:type="dxa"/>
            <w:shd w:val="clear" w:color="auto" w:fill="auto"/>
          </w:tcPr>
          <w:p w:rsidR="00321F7C" w:rsidRPr="0011747E" w:rsidRDefault="007E7F5B" w:rsidP="00836667">
            <w:pPr>
              <w:pStyle w:val="Tabletext"/>
              <w:jc w:val="right"/>
            </w:pPr>
            <w:r w:rsidRPr="0011747E">
              <w:t>$21</w:t>
            </w:r>
            <w:r w:rsidR="0011747E" w:rsidRPr="0011747E">
              <w:t> </w:t>
            </w:r>
            <w:r w:rsidR="00321F7C" w:rsidRPr="0011747E">
              <w:t>852.00</w:t>
            </w:r>
          </w:p>
        </w:tc>
        <w:tc>
          <w:tcPr>
            <w:tcW w:w="1211" w:type="dxa"/>
            <w:shd w:val="clear" w:color="auto" w:fill="auto"/>
          </w:tcPr>
          <w:p w:rsidR="00321F7C" w:rsidRPr="0011747E" w:rsidRDefault="007E7F5B" w:rsidP="00836667">
            <w:pPr>
              <w:pStyle w:val="Tabletext"/>
              <w:jc w:val="right"/>
            </w:pPr>
            <w:r w:rsidRPr="0011747E">
              <w:t>$45</w:t>
            </w:r>
            <w:r w:rsidR="0011747E" w:rsidRPr="0011747E">
              <w:t> </w:t>
            </w:r>
            <w:r w:rsidR="00321F7C" w:rsidRPr="0011747E">
              <w:t>711.00</w:t>
            </w:r>
          </w:p>
        </w:tc>
      </w:tr>
      <w:tr w:rsidR="00321F7C" w:rsidRPr="0011747E" w:rsidTr="00E54C5C">
        <w:tc>
          <w:tcPr>
            <w:tcW w:w="714" w:type="dxa"/>
            <w:tcBorders>
              <w:bottom w:val="single" w:sz="4" w:space="0" w:color="auto"/>
            </w:tcBorders>
            <w:shd w:val="clear" w:color="auto" w:fill="auto"/>
          </w:tcPr>
          <w:p w:rsidR="00321F7C" w:rsidRPr="0011747E" w:rsidRDefault="00321F7C" w:rsidP="0051354E">
            <w:pPr>
              <w:pStyle w:val="Tabletext"/>
            </w:pPr>
            <w:r w:rsidRPr="0011747E">
              <w:t>5</w:t>
            </w:r>
          </w:p>
        </w:tc>
        <w:tc>
          <w:tcPr>
            <w:tcW w:w="2542" w:type="dxa"/>
            <w:tcBorders>
              <w:bottom w:val="single" w:sz="4" w:space="0" w:color="auto"/>
            </w:tcBorders>
            <w:shd w:val="clear" w:color="auto" w:fill="auto"/>
          </w:tcPr>
          <w:p w:rsidR="00321F7C" w:rsidRPr="0011747E" w:rsidRDefault="00321F7C" w:rsidP="006C6621">
            <w:pPr>
              <w:pStyle w:val="Tabletext"/>
            </w:pPr>
            <w:r w:rsidRPr="0011747E">
              <w:t>controlling provision component—section</w:t>
            </w:r>
            <w:r w:rsidR="0011747E" w:rsidRPr="0011747E">
              <w:t> </w:t>
            </w:r>
            <w:r w:rsidRPr="0011747E">
              <w:t>24B or 24C of the Act</w:t>
            </w:r>
          </w:p>
        </w:tc>
        <w:tc>
          <w:tcPr>
            <w:tcW w:w="1417" w:type="dxa"/>
            <w:tcBorders>
              <w:bottom w:val="single" w:sz="4" w:space="0" w:color="auto"/>
            </w:tcBorders>
            <w:shd w:val="clear" w:color="auto" w:fill="auto"/>
          </w:tcPr>
          <w:p w:rsidR="00321F7C" w:rsidRPr="0011747E" w:rsidRDefault="00321F7C" w:rsidP="00836667">
            <w:pPr>
              <w:pStyle w:val="Tabletext"/>
              <w:jc w:val="right"/>
            </w:pPr>
            <w:r w:rsidRPr="0011747E">
              <w:t>$2</w:t>
            </w:r>
            <w:r w:rsidR="0011747E" w:rsidRPr="0011747E">
              <w:t> </w:t>
            </w:r>
            <w:r w:rsidRPr="0011747E">
              <w:t>882.00</w:t>
            </w:r>
          </w:p>
        </w:tc>
        <w:tc>
          <w:tcPr>
            <w:tcW w:w="1341" w:type="dxa"/>
            <w:tcBorders>
              <w:bottom w:val="single" w:sz="4" w:space="0" w:color="auto"/>
            </w:tcBorders>
            <w:shd w:val="clear" w:color="auto" w:fill="auto"/>
          </w:tcPr>
          <w:p w:rsidR="00321F7C" w:rsidRPr="0011747E" w:rsidRDefault="007E7F5B" w:rsidP="00836667">
            <w:pPr>
              <w:pStyle w:val="Tabletext"/>
              <w:jc w:val="right"/>
            </w:pPr>
            <w:r w:rsidRPr="0011747E">
              <w:t>$11</w:t>
            </w:r>
            <w:r w:rsidR="0011747E" w:rsidRPr="0011747E">
              <w:t> </w:t>
            </w:r>
            <w:r w:rsidR="00321F7C" w:rsidRPr="0011747E">
              <w:t>528.00</w:t>
            </w:r>
          </w:p>
        </w:tc>
        <w:tc>
          <w:tcPr>
            <w:tcW w:w="1211" w:type="dxa"/>
            <w:tcBorders>
              <w:bottom w:val="single" w:sz="4" w:space="0" w:color="auto"/>
            </w:tcBorders>
            <w:shd w:val="clear" w:color="auto" w:fill="auto"/>
          </w:tcPr>
          <w:p w:rsidR="00321F7C" w:rsidRPr="0011747E" w:rsidRDefault="00321F7C" w:rsidP="00836667">
            <w:pPr>
              <w:pStyle w:val="Tabletext"/>
              <w:jc w:val="right"/>
            </w:pPr>
          </w:p>
        </w:tc>
      </w:tr>
      <w:tr w:rsidR="00321F7C" w:rsidRPr="0011747E" w:rsidTr="00E54C5C">
        <w:tc>
          <w:tcPr>
            <w:tcW w:w="714" w:type="dxa"/>
            <w:tcBorders>
              <w:bottom w:val="single" w:sz="12" w:space="0" w:color="auto"/>
            </w:tcBorders>
            <w:shd w:val="clear" w:color="auto" w:fill="auto"/>
          </w:tcPr>
          <w:p w:rsidR="00321F7C" w:rsidRPr="0011747E" w:rsidRDefault="00321F7C" w:rsidP="0051354E">
            <w:pPr>
              <w:pStyle w:val="Tabletext"/>
            </w:pPr>
            <w:r w:rsidRPr="0011747E">
              <w:t>6</w:t>
            </w:r>
          </w:p>
        </w:tc>
        <w:tc>
          <w:tcPr>
            <w:tcW w:w="2542" w:type="dxa"/>
            <w:tcBorders>
              <w:bottom w:val="single" w:sz="12" w:space="0" w:color="auto"/>
            </w:tcBorders>
            <w:shd w:val="clear" w:color="auto" w:fill="auto"/>
          </w:tcPr>
          <w:p w:rsidR="00321F7C" w:rsidRPr="0011747E" w:rsidRDefault="00321F7C" w:rsidP="006C6621">
            <w:pPr>
              <w:pStyle w:val="Tabletext"/>
            </w:pPr>
            <w:r w:rsidRPr="0011747E">
              <w:t>legislative impact component</w:t>
            </w:r>
          </w:p>
        </w:tc>
        <w:tc>
          <w:tcPr>
            <w:tcW w:w="1417" w:type="dxa"/>
            <w:tcBorders>
              <w:bottom w:val="single" w:sz="12" w:space="0" w:color="auto"/>
            </w:tcBorders>
            <w:shd w:val="clear" w:color="auto" w:fill="auto"/>
          </w:tcPr>
          <w:p w:rsidR="00321F7C" w:rsidRPr="0011747E" w:rsidRDefault="007E7F5B" w:rsidP="00836667">
            <w:pPr>
              <w:pStyle w:val="Tabletext"/>
              <w:jc w:val="right"/>
            </w:pPr>
            <w:r w:rsidRPr="0011747E">
              <w:t>$7</w:t>
            </w:r>
            <w:r w:rsidR="0011747E" w:rsidRPr="0011747E">
              <w:t> </w:t>
            </w:r>
            <w:r w:rsidR="00321F7C" w:rsidRPr="0011747E">
              <w:t>783.00</w:t>
            </w:r>
          </w:p>
        </w:tc>
        <w:tc>
          <w:tcPr>
            <w:tcW w:w="1341" w:type="dxa"/>
            <w:tcBorders>
              <w:bottom w:val="single" w:sz="12" w:space="0" w:color="auto"/>
            </w:tcBorders>
            <w:shd w:val="clear" w:color="auto" w:fill="auto"/>
          </w:tcPr>
          <w:p w:rsidR="00321F7C" w:rsidRPr="0011747E" w:rsidRDefault="007E7F5B" w:rsidP="00836667">
            <w:pPr>
              <w:pStyle w:val="Tabletext"/>
              <w:jc w:val="right"/>
            </w:pPr>
            <w:r w:rsidRPr="0011747E">
              <w:t>$15</w:t>
            </w:r>
            <w:r w:rsidR="0011747E" w:rsidRPr="0011747E">
              <w:t> </w:t>
            </w:r>
            <w:r w:rsidR="00321F7C" w:rsidRPr="0011747E">
              <w:t>567.00</w:t>
            </w:r>
          </w:p>
        </w:tc>
        <w:tc>
          <w:tcPr>
            <w:tcW w:w="1211" w:type="dxa"/>
            <w:tcBorders>
              <w:bottom w:val="single" w:sz="12" w:space="0" w:color="auto"/>
            </w:tcBorders>
            <w:shd w:val="clear" w:color="auto" w:fill="auto"/>
          </w:tcPr>
          <w:p w:rsidR="00321F7C" w:rsidRPr="0011747E" w:rsidRDefault="007E7F5B" w:rsidP="00836667">
            <w:pPr>
              <w:pStyle w:val="Tabletext"/>
              <w:jc w:val="right"/>
            </w:pPr>
            <w:r w:rsidRPr="0011747E">
              <w:t>$32</w:t>
            </w:r>
            <w:r w:rsidR="0011747E" w:rsidRPr="0011747E">
              <w:t> </w:t>
            </w:r>
            <w:r w:rsidR="00321F7C" w:rsidRPr="0011747E">
              <w:t>138.00</w:t>
            </w:r>
          </w:p>
        </w:tc>
      </w:tr>
    </w:tbl>
    <w:p w:rsidR="0051354E" w:rsidRPr="0011747E" w:rsidRDefault="0051354E" w:rsidP="0051354E">
      <w:pPr>
        <w:pStyle w:val="Tabletext"/>
      </w:pPr>
    </w:p>
    <w:p w:rsidR="00182407" w:rsidRPr="0011747E" w:rsidRDefault="00182407" w:rsidP="00182407">
      <w:pPr>
        <w:pStyle w:val="SubsectionHead"/>
      </w:pPr>
      <w:r w:rsidRPr="0011747E">
        <w:t>Project component fee</w:t>
      </w:r>
    </w:p>
    <w:p w:rsidR="007E1389" w:rsidRPr="0011747E" w:rsidRDefault="00182407" w:rsidP="004533C4">
      <w:pPr>
        <w:pStyle w:val="subsection"/>
      </w:pPr>
      <w:r w:rsidRPr="0011747E">
        <w:tab/>
        <w:t>(4)</w:t>
      </w:r>
      <w:r w:rsidRPr="0011747E">
        <w:tab/>
      </w:r>
      <w:r w:rsidR="004533C4" w:rsidRPr="0011747E">
        <w:t>If a project component applies in relation to the assessment of the impacts of an action, the</w:t>
      </w:r>
      <w:r w:rsidRPr="0011747E">
        <w:t xml:space="preserve"> amount payable for </w:t>
      </w:r>
      <w:r w:rsidR="004533C4" w:rsidRPr="0011747E">
        <w:t>the</w:t>
      </w:r>
      <w:r w:rsidRPr="0011747E">
        <w:t xml:space="preserve"> component </w:t>
      </w:r>
      <w:r w:rsidR="007E1389" w:rsidRPr="0011747E">
        <w:t>is set out in the Subdivision</w:t>
      </w:r>
      <w:r w:rsidR="00CF5EF7" w:rsidRPr="0011747E">
        <w:t xml:space="preserve"> of this Division</w:t>
      </w:r>
      <w:r w:rsidR="007E1389" w:rsidRPr="0011747E">
        <w:t xml:space="preserve"> that deals with</w:t>
      </w:r>
      <w:r w:rsidR="004533C4" w:rsidRPr="0011747E">
        <w:t xml:space="preserve"> the approach to be used for assessing the impacts of the action</w:t>
      </w:r>
      <w:r w:rsidR="007E1389" w:rsidRPr="0011747E">
        <w:t>.</w:t>
      </w:r>
    </w:p>
    <w:p w:rsidR="00B72244" w:rsidRPr="0011747E" w:rsidRDefault="00A95325" w:rsidP="00B72244">
      <w:pPr>
        <w:pStyle w:val="SubsectionHead"/>
      </w:pPr>
      <w:r w:rsidRPr="0011747E">
        <w:t>Exceptional case component fee</w:t>
      </w:r>
    </w:p>
    <w:p w:rsidR="00B72244" w:rsidRPr="0011747E" w:rsidRDefault="00182407" w:rsidP="00B72244">
      <w:pPr>
        <w:pStyle w:val="subsection"/>
      </w:pPr>
      <w:r w:rsidRPr="0011747E">
        <w:tab/>
        <w:t>(5</w:t>
      </w:r>
      <w:r w:rsidR="00B72244" w:rsidRPr="0011747E">
        <w:t>)</w:t>
      </w:r>
      <w:r w:rsidR="00B72244" w:rsidRPr="0011747E">
        <w:tab/>
        <w:t xml:space="preserve">If </w:t>
      </w:r>
      <w:r w:rsidR="00A95325" w:rsidRPr="0011747E">
        <w:t>an exceptional case</w:t>
      </w:r>
      <w:r w:rsidR="00B72244" w:rsidRPr="0011747E">
        <w:t xml:space="preserve"> component </w:t>
      </w:r>
      <w:r w:rsidR="00A95325" w:rsidRPr="0011747E">
        <w:t>applies</w:t>
      </w:r>
      <w:r w:rsidR="00B72244" w:rsidRPr="0011747E">
        <w:t xml:space="preserve"> to the assessment of an action, the amount pa</w:t>
      </w:r>
      <w:r w:rsidR="007E7F5B" w:rsidRPr="0011747E">
        <w:t>yable for the component is $577</w:t>
      </w:r>
      <w:r w:rsidR="0011747E" w:rsidRPr="0011747E">
        <w:t> </w:t>
      </w:r>
      <w:r w:rsidR="00B72244" w:rsidRPr="0011747E">
        <w:t>651.00.</w:t>
      </w:r>
    </w:p>
    <w:p w:rsidR="00536BF3" w:rsidRPr="0011747E" w:rsidRDefault="00A920A6" w:rsidP="00536BF3">
      <w:pPr>
        <w:pStyle w:val="ActHead4"/>
      </w:pPr>
      <w:bookmarkStart w:id="27" w:name="_Toc396376230"/>
      <w:r w:rsidRPr="0011747E">
        <w:rPr>
          <w:rStyle w:val="CharSubdNo"/>
        </w:rPr>
        <w:t>Subdivision C</w:t>
      </w:r>
      <w:r w:rsidR="00536BF3" w:rsidRPr="0011747E">
        <w:t>—</w:t>
      </w:r>
      <w:r w:rsidR="00822566" w:rsidRPr="0011747E">
        <w:rPr>
          <w:rStyle w:val="CharSubdText"/>
        </w:rPr>
        <w:t>Bilateral agreement or a</w:t>
      </w:r>
      <w:r w:rsidR="00536BF3" w:rsidRPr="0011747E">
        <w:rPr>
          <w:rStyle w:val="CharSubdText"/>
        </w:rPr>
        <w:t>ccredited assessment process</w:t>
      </w:r>
      <w:bookmarkEnd w:id="27"/>
    </w:p>
    <w:p w:rsidR="002F125A" w:rsidRPr="0011747E" w:rsidRDefault="00DD5B80" w:rsidP="00DD5B80">
      <w:pPr>
        <w:pStyle w:val="ActHead5"/>
      </w:pPr>
      <w:bookmarkStart w:id="28" w:name="_Toc396376231"/>
      <w:r w:rsidRPr="0011747E">
        <w:rPr>
          <w:rStyle w:val="CharSectno"/>
        </w:rPr>
        <w:t>5.1</w:t>
      </w:r>
      <w:r w:rsidR="002F125A" w:rsidRPr="0011747E">
        <w:rPr>
          <w:rStyle w:val="CharSectno"/>
        </w:rPr>
        <w:t>3</w:t>
      </w:r>
      <w:r w:rsidR="002F125A" w:rsidRPr="0011747E">
        <w:t xml:space="preserve">  Application</w:t>
      </w:r>
      <w:bookmarkEnd w:id="28"/>
    </w:p>
    <w:p w:rsidR="00F21434" w:rsidRPr="0011747E" w:rsidRDefault="002F125A" w:rsidP="00033D4B">
      <w:pPr>
        <w:pStyle w:val="subsection"/>
      </w:pPr>
      <w:r w:rsidRPr="0011747E">
        <w:tab/>
      </w:r>
      <w:r w:rsidRPr="0011747E">
        <w:tab/>
        <w:t>This Subdivision applies if</w:t>
      </w:r>
      <w:r w:rsidR="00F21434" w:rsidRPr="0011747E">
        <w:t>:</w:t>
      </w:r>
    </w:p>
    <w:p w:rsidR="00F21434" w:rsidRPr="0011747E" w:rsidRDefault="00F21434" w:rsidP="00F21434">
      <w:pPr>
        <w:pStyle w:val="paragraph"/>
      </w:pPr>
      <w:r w:rsidRPr="0011747E">
        <w:tab/>
        <w:t>(a)</w:t>
      </w:r>
      <w:r w:rsidRPr="0011747E">
        <w:tab/>
      </w:r>
      <w:r w:rsidR="00822566" w:rsidRPr="0011747E">
        <w:t xml:space="preserve">an action is to be assessed in a specified manner </w:t>
      </w:r>
      <w:r w:rsidR="00FB364E" w:rsidRPr="0011747E">
        <w:t>for the purposes of a bilateral agreement that includes a declaration described in section</w:t>
      </w:r>
      <w:r w:rsidR="0011747E" w:rsidRPr="0011747E">
        <w:t> </w:t>
      </w:r>
      <w:r w:rsidR="00FB364E" w:rsidRPr="0011747E">
        <w:t>47 of the Act; or</w:t>
      </w:r>
    </w:p>
    <w:p w:rsidR="002F125A" w:rsidRPr="0011747E" w:rsidRDefault="00F21434" w:rsidP="00F21434">
      <w:pPr>
        <w:pStyle w:val="paragraph"/>
      </w:pPr>
      <w:r w:rsidRPr="0011747E">
        <w:tab/>
        <w:t>(b)</w:t>
      </w:r>
      <w:r w:rsidRPr="0011747E">
        <w:tab/>
      </w:r>
      <w:r w:rsidR="002F125A" w:rsidRPr="0011747E">
        <w:t>the Minister has decided under section</w:t>
      </w:r>
      <w:r w:rsidR="0011747E" w:rsidRPr="0011747E">
        <w:t> </w:t>
      </w:r>
      <w:r w:rsidR="002F125A" w:rsidRPr="0011747E">
        <w:t xml:space="preserve">87 of the Act </w:t>
      </w:r>
      <w:r w:rsidR="003206F5" w:rsidRPr="0011747E">
        <w:t>that</w:t>
      </w:r>
      <w:r w:rsidR="002F125A" w:rsidRPr="0011747E">
        <w:t xml:space="preserve"> the relevant impacts of an action are to be assessed by a</w:t>
      </w:r>
      <w:r w:rsidR="00F120A6" w:rsidRPr="0011747E">
        <w:t>n accredited assessment process</w:t>
      </w:r>
      <w:r w:rsidR="00A26DDF" w:rsidRPr="0011747E">
        <w:t>.</w:t>
      </w:r>
    </w:p>
    <w:p w:rsidR="0063676D" w:rsidRPr="0011747E" w:rsidRDefault="002F125A" w:rsidP="00A26DDF">
      <w:pPr>
        <w:pStyle w:val="ActHead5"/>
      </w:pPr>
      <w:bookmarkStart w:id="29" w:name="_Toc396376232"/>
      <w:r w:rsidRPr="0011747E">
        <w:rPr>
          <w:rStyle w:val="CharSectno"/>
        </w:rPr>
        <w:t>5.13A</w:t>
      </w:r>
      <w:r w:rsidR="00DD5B80" w:rsidRPr="0011747E">
        <w:t xml:space="preserve">  </w:t>
      </w:r>
      <w:r w:rsidR="0063676D" w:rsidRPr="0011747E">
        <w:t>Definitions</w:t>
      </w:r>
      <w:bookmarkEnd w:id="29"/>
    </w:p>
    <w:p w:rsidR="0063676D" w:rsidRPr="0011747E" w:rsidRDefault="0063676D" w:rsidP="0063676D">
      <w:pPr>
        <w:pStyle w:val="subsection"/>
      </w:pPr>
      <w:r w:rsidRPr="0011747E">
        <w:tab/>
        <w:t>(1)</w:t>
      </w:r>
      <w:r w:rsidRPr="0011747E">
        <w:tab/>
        <w:t>In this Subdivision:</w:t>
      </w:r>
    </w:p>
    <w:p w:rsidR="00805764" w:rsidRPr="0011747E" w:rsidRDefault="00805764" w:rsidP="0063676D">
      <w:pPr>
        <w:pStyle w:val="Definition"/>
      </w:pPr>
      <w:r w:rsidRPr="0011747E">
        <w:rPr>
          <w:b/>
          <w:i/>
        </w:rPr>
        <w:t>assessment report</w:t>
      </w:r>
      <w:r w:rsidRPr="0011747E">
        <w:t xml:space="preserve"> has the same meaning as in the section</w:t>
      </w:r>
      <w:r w:rsidR="0011747E" w:rsidRPr="0011747E">
        <w:t> </w:t>
      </w:r>
      <w:r w:rsidRPr="0011747E">
        <w:t>528 of the Act.</w:t>
      </w:r>
    </w:p>
    <w:p w:rsidR="0063676D" w:rsidRPr="0011747E" w:rsidRDefault="0063676D" w:rsidP="0063676D">
      <w:pPr>
        <w:pStyle w:val="Definition"/>
      </w:pPr>
      <w:r w:rsidRPr="0011747E">
        <w:rPr>
          <w:b/>
          <w:i/>
        </w:rPr>
        <w:t>Environment Minister</w:t>
      </w:r>
      <w:r w:rsidRPr="0011747E">
        <w:t xml:space="preserve"> means the Minister administering Chapter</w:t>
      </w:r>
      <w:r w:rsidR="0011747E" w:rsidRPr="0011747E">
        <w:t> </w:t>
      </w:r>
      <w:r w:rsidR="00C33215" w:rsidRPr="0011747E">
        <w:t>2 of the</w:t>
      </w:r>
      <w:r w:rsidRPr="0011747E">
        <w:t xml:space="preserve"> Act.</w:t>
      </w:r>
    </w:p>
    <w:p w:rsidR="0063676D" w:rsidRPr="0011747E" w:rsidRDefault="0063676D" w:rsidP="0063676D">
      <w:pPr>
        <w:pStyle w:val="Definition"/>
      </w:pPr>
      <w:r w:rsidRPr="0011747E">
        <w:rPr>
          <w:b/>
          <w:i/>
        </w:rPr>
        <w:t>stage 1</w:t>
      </w:r>
      <w:r w:rsidRPr="0011747E">
        <w:t>:</w:t>
      </w:r>
    </w:p>
    <w:p w:rsidR="0063676D" w:rsidRPr="0011747E" w:rsidRDefault="003F6E5A" w:rsidP="0063676D">
      <w:pPr>
        <w:pStyle w:val="paragraph"/>
      </w:pPr>
      <w:r w:rsidRPr="0011747E">
        <w:tab/>
        <w:t>(a)</w:t>
      </w:r>
      <w:r w:rsidRPr="0011747E">
        <w:tab/>
        <w:t xml:space="preserve">if </w:t>
      </w:r>
      <w:r w:rsidR="0063676D" w:rsidRPr="0011747E">
        <w:t>the accredited assessment process involves a draft report being prepared in accordance with terms of reference (however described)—</w:t>
      </w:r>
      <w:r w:rsidRPr="0011747E">
        <w:t xml:space="preserve">stage 1 </w:t>
      </w:r>
      <w:r w:rsidR="004B2EB7" w:rsidRPr="0011747E">
        <w:t>begins</w:t>
      </w:r>
      <w:r w:rsidR="0063676D" w:rsidRPr="0011747E">
        <w:t xml:space="preserve"> when the terms of reference are given to the Environment Minister for review; and</w:t>
      </w:r>
    </w:p>
    <w:p w:rsidR="0063676D" w:rsidRPr="0011747E" w:rsidRDefault="0063676D" w:rsidP="0063676D">
      <w:pPr>
        <w:pStyle w:val="paragraph"/>
      </w:pPr>
      <w:r w:rsidRPr="0011747E">
        <w:tab/>
        <w:t>(b)</w:t>
      </w:r>
      <w:r w:rsidRPr="0011747E">
        <w:tab/>
      </w:r>
      <w:r w:rsidR="003F6E5A" w:rsidRPr="0011747E">
        <w:t xml:space="preserve">if </w:t>
      </w:r>
      <w:r w:rsidR="0011747E" w:rsidRPr="0011747E">
        <w:t>paragraph (</w:t>
      </w:r>
      <w:r w:rsidRPr="0011747E">
        <w:t>a) does not apply—</w:t>
      </w:r>
      <w:r w:rsidR="003F6E5A" w:rsidRPr="0011747E">
        <w:t xml:space="preserve">stage 1 </w:t>
      </w:r>
      <w:r w:rsidRPr="0011747E">
        <w:t>does not occur.</w:t>
      </w:r>
    </w:p>
    <w:p w:rsidR="0063676D" w:rsidRPr="0011747E" w:rsidRDefault="0063676D" w:rsidP="0063676D">
      <w:pPr>
        <w:pStyle w:val="Definition"/>
      </w:pPr>
      <w:r w:rsidRPr="0011747E">
        <w:rPr>
          <w:b/>
          <w:i/>
        </w:rPr>
        <w:t>stage 2</w:t>
      </w:r>
      <w:r w:rsidRPr="0011747E">
        <w:t>:</w:t>
      </w:r>
    </w:p>
    <w:p w:rsidR="0063676D" w:rsidRPr="0011747E" w:rsidRDefault="0063676D" w:rsidP="0063676D">
      <w:pPr>
        <w:pStyle w:val="paragraph"/>
      </w:pPr>
      <w:r w:rsidRPr="0011747E">
        <w:tab/>
        <w:t>(a)</w:t>
      </w:r>
      <w:r w:rsidRPr="0011747E">
        <w:tab/>
        <w:t>if the accredited assessment process involves a draft report being prepared in accordance with terms of reference (however described)—</w:t>
      </w:r>
      <w:r w:rsidR="00245DB1" w:rsidRPr="0011747E">
        <w:t xml:space="preserve">stage 2 </w:t>
      </w:r>
      <w:r w:rsidR="004B2EB7" w:rsidRPr="0011747E">
        <w:t>begins</w:t>
      </w:r>
      <w:r w:rsidRPr="0011747E">
        <w:t xml:space="preserve"> when the draft report is given to the Environment Minister for review; and</w:t>
      </w:r>
    </w:p>
    <w:p w:rsidR="0063676D" w:rsidRPr="0011747E" w:rsidRDefault="0063676D" w:rsidP="0063676D">
      <w:pPr>
        <w:pStyle w:val="paragraph"/>
      </w:pPr>
      <w:r w:rsidRPr="0011747E">
        <w:tab/>
        <w:t>(b)</w:t>
      </w:r>
      <w:r w:rsidRPr="0011747E">
        <w:tab/>
        <w:t xml:space="preserve">if </w:t>
      </w:r>
      <w:r w:rsidR="0011747E" w:rsidRPr="0011747E">
        <w:t>paragraph (</w:t>
      </w:r>
      <w:r w:rsidRPr="0011747E">
        <w:t>a) does not apply—</w:t>
      </w:r>
      <w:r w:rsidR="00245DB1" w:rsidRPr="0011747E">
        <w:t xml:space="preserve">stage 2 </w:t>
      </w:r>
      <w:r w:rsidRPr="0011747E">
        <w:t>does not occur.</w:t>
      </w:r>
    </w:p>
    <w:p w:rsidR="0063676D" w:rsidRPr="0011747E" w:rsidRDefault="0063676D" w:rsidP="0063676D">
      <w:pPr>
        <w:pStyle w:val="Definition"/>
      </w:pPr>
      <w:r w:rsidRPr="0011747E">
        <w:rPr>
          <w:b/>
          <w:i/>
        </w:rPr>
        <w:t>stage 3</w:t>
      </w:r>
      <w:r w:rsidRPr="0011747E">
        <w:t>:</w:t>
      </w:r>
    </w:p>
    <w:p w:rsidR="0063676D" w:rsidRPr="0011747E" w:rsidRDefault="0063676D" w:rsidP="0063676D">
      <w:pPr>
        <w:pStyle w:val="paragraph"/>
      </w:pPr>
      <w:r w:rsidRPr="0011747E">
        <w:tab/>
        <w:t>(a)</w:t>
      </w:r>
      <w:r w:rsidRPr="0011747E">
        <w:tab/>
        <w:t>if the accredited assessment process involves the finalisation of a draft report—</w:t>
      </w:r>
      <w:r w:rsidR="00245DB1" w:rsidRPr="0011747E">
        <w:t xml:space="preserve">stage 3 </w:t>
      </w:r>
      <w:r w:rsidR="004B2EB7" w:rsidRPr="0011747E">
        <w:t>begins</w:t>
      </w:r>
      <w:r w:rsidRPr="0011747E">
        <w:t xml:space="preserve"> when the finalised report is given to the Environment Minister for review; and</w:t>
      </w:r>
    </w:p>
    <w:p w:rsidR="0063676D" w:rsidRPr="0011747E" w:rsidRDefault="0063676D" w:rsidP="0063676D">
      <w:pPr>
        <w:pStyle w:val="paragraph"/>
      </w:pPr>
      <w:r w:rsidRPr="0011747E">
        <w:tab/>
        <w:t>(b)</w:t>
      </w:r>
      <w:r w:rsidRPr="0011747E">
        <w:tab/>
        <w:t xml:space="preserve">if </w:t>
      </w:r>
      <w:r w:rsidR="0011747E" w:rsidRPr="0011747E">
        <w:t>paragraph (</w:t>
      </w:r>
      <w:r w:rsidRPr="0011747E">
        <w:t>a) does not apply—</w:t>
      </w:r>
      <w:r w:rsidR="00245DB1" w:rsidRPr="0011747E">
        <w:t xml:space="preserve">stage 3 </w:t>
      </w:r>
      <w:r w:rsidRPr="0011747E">
        <w:t>does not occur.</w:t>
      </w:r>
    </w:p>
    <w:p w:rsidR="0063676D" w:rsidRPr="0011747E" w:rsidRDefault="0063676D" w:rsidP="0063676D">
      <w:pPr>
        <w:pStyle w:val="Definition"/>
      </w:pPr>
      <w:r w:rsidRPr="0011747E">
        <w:rPr>
          <w:b/>
          <w:i/>
        </w:rPr>
        <w:t>stage 4</w:t>
      </w:r>
      <w:r w:rsidR="00A20EE3" w:rsidRPr="0011747E">
        <w:t>: stage 4</w:t>
      </w:r>
      <w:r w:rsidRPr="0011747E">
        <w:t xml:space="preserve"> </w:t>
      </w:r>
      <w:r w:rsidR="004B2EB7" w:rsidRPr="0011747E">
        <w:t>begins</w:t>
      </w:r>
      <w:r w:rsidRPr="0011747E">
        <w:t xml:space="preserve"> when </w:t>
      </w:r>
      <w:r w:rsidR="00373967" w:rsidRPr="0011747E">
        <w:t xml:space="preserve">an </w:t>
      </w:r>
      <w:r w:rsidRPr="0011747E">
        <w:t>a</w:t>
      </w:r>
      <w:r w:rsidR="0036232F" w:rsidRPr="0011747E">
        <w:t xml:space="preserve">ssessment </w:t>
      </w:r>
      <w:r w:rsidR="00805764" w:rsidRPr="0011747E">
        <w:t>report</w:t>
      </w:r>
      <w:r w:rsidRPr="0011747E">
        <w:t>, prepared by relevant</w:t>
      </w:r>
      <w:r w:rsidR="004D3FB6" w:rsidRPr="0011747E">
        <w:t xml:space="preserve"> Commonwealth,</w:t>
      </w:r>
      <w:r w:rsidRPr="0011747E">
        <w:t xml:space="preserve"> State or Territory officials under the accredited assessment process, is given </w:t>
      </w:r>
      <w:r w:rsidR="0036232F" w:rsidRPr="0011747E">
        <w:t>to the Environment Minister</w:t>
      </w:r>
      <w:r w:rsidRPr="0011747E">
        <w:t>.</w:t>
      </w:r>
    </w:p>
    <w:p w:rsidR="0063676D" w:rsidRPr="0011747E" w:rsidRDefault="0063676D" w:rsidP="0063676D">
      <w:pPr>
        <w:pStyle w:val="subsection"/>
      </w:pPr>
      <w:r w:rsidRPr="0011747E">
        <w:tab/>
        <w:t>(2)</w:t>
      </w:r>
      <w:r w:rsidRPr="0011747E">
        <w:tab/>
        <w:t>To avoid doubt, if:</w:t>
      </w:r>
    </w:p>
    <w:p w:rsidR="0063676D" w:rsidRPr="0011747E" w:rsidRDefault="0063676D" w:rsidP="0063676D">
      <w:pPr>
        <w:pStyle w:val="paragraph"/>
      </w:pPr>
      <w:r w:rsidRPr="0011747E">
        <w:tab/>
        <w:t>(a)</w:t>
      </w:r>
      <w:r w:rsidRPr="0011747E">
        <w:tab/>
      </w:r>
      <w:r w:rsidR="0011747E" w:rsidRPr="0011747E">
        <w:t>paragraph (</w:t>
      </w:r>
      <w:r w:rsidRPr="0011747E">
        <w:t xml:space="preserve">b) of the definition of </w:t>
      </w:r>
      <w:r w:rsidRPr="0011747E">
        <w:rPr>
          <w:b/>
          <w:i/>
        </w:rPr>
        <w:t>stage 1</w:t>
      </w:r>
      <w:r w:rsidRPr="0011747E">
        <w:t xml:space="preserve"> or </w:t>
      </w:r>
      <w:r w:rsidRPr="0011747E">
        <w:rPr>
          <w:b/>
          <w:i/>
        </w:rPr>
        <w:t>stage 2</w:t>
      </w:r>
      <w:r w:rsidRPr="0011747E">
        <w:t xml:space="preserve"> applies, no</w:t>
      </w:r>
      <w:r w:rsidR="002405D3" w:rsidRPr="0011747E">
        <w:t xml:space="preserve"> base fee or</w:t>
      </w:r>
      <w:r w:rsidRPr="0011747E">
        <w:t xml:space="preserve"> Part A </w:t>
      </w:r>
      <w:r w:rsidR="00511FD5" w:rsidRPr="0011747E">
        <w:t xml:space="preserve">complexity </w:t>
      </w:r>
      <w:r w:rsidRPr="0011747E">
        <w:t>fee is payable for that stage; and</w:t>
      </w:r>
    </w:p>
    <w:p w:rsidR="0063676D" w:rsidRPr="0011747E" w:rsidRDefault="0063676D" w:rsidP="0063676D">
      <w:pPr>
        <w:pStyle w:val="paragraph"/>
      </w:pPr>
      <w:r w:rsidRPr="0011747E">
        <w:tab/>
        <w:t>(b)</w:t>
      </w:r>
      <w:r w:rsidRPr="0011747E">
        <w:tab/>
      </w:r>
      <w:r w:rsidR="0011747E" w:rsidRPr="0011747E">
        <w:t>paragraph (</w:t>
      </w:r>
      <w:r w:rsidRPr="0011747E">
        <w:t xml:space="preserve">b) of the definition of </w:t>
      </w:r>
      <w:r w:rsidRPr="0011747E">
        <w:rPr>
          <w:b/>
          <w:i/>
        </w:rPr>
        <w:t>stage 3</w:t>
      </w:r>
      <w:r w:rsidRPr="0011747E">
        <w:t xml:space="preserve"> applies, no</w:t>
      </w:r>
      <w:r w:rsidR="002405D3" w:rsidRPr="0011747E">
        <w:t xml:space="preserve"> base fee, </w:t>
      </w:r>
      <w:r w:rsidRPr="0011747E">
        <w:t>Part A</w:t>
      </w:r>
      <w:r w:rsidR="002405D3" w:rsidRPr="0011747E">
        <w:t xml:space="preserve"> complexity</w:t>
      </w:r>
      <w:r w:rsidRPr="0011747E">
        <w:t xml:space="preserve"> fee or Part B</w:t>
      </w:r>
      <w:r w:rsidR="002405D3" w:rsidRPr="0011747E">
        <w:t xml:space="preserve"> complexity</w:t>
      </w:r>
      <w:r w:rsidRPr="0011747E">
        <w:t xml:space="preserve"> fee is payable for that stage.</w:t>
      </w:r>
    </w:p>
    <w:p w:rsidR="00DF4BDE" w:rsidRPr="0011747E" w:rsidRDefault="00DF4BDE" w:rsidP="00DF4BDE">
      <w:pPr>
        <w:pStyle w:val="notetext"/>
      </w:pPr>
      <w:r w:rsidRPr="0011747E">
        <w:t>Note:</w:t>
      </w:r>
      <w:r w:rsidRPr="0011747E">
        <w:tab/>
        <w:t xml:space="preserve">For </w:t>
      </w:r>
      <w:r w:rsidRPr="0011747E">
        <w:rPr>
          <w:b/>
          <w:i/>
        </w:rPr>
        <w:t>Part A complexity fee</w:t>
      </w:r>
      <w:r w:rsidRPr="0011747E">
        <w:t xml:space="preserve"> and </w:t>
      </w:r>
      <w:r w:rsidRPr="0011747E">
        <w:rPr>
          <w:b/>
          <w:i/>
        </w:rPr>
        <w:t xml:space="preserve">Part B </w:t>
      </w:r>
      <w:r w:rsidR="007A7BD2" w:rsidRPr="0011747E">
        <w:rPr>
          <w:b/>
          <w:i/>
        </w:rPr>
        <w:t>complexity fee</w:t>
      </w:r>
      <w:r w:rsidR="007A7BD2" w:rsidRPr="0011747E">
        <w:t>, see regulation</w:t>
      </w:r>
      <w:r w:rsidR="0011747E" w:rsidRPr="0011747E">
        <w:t> </w:t>
      </w:r>
      <w:r w:rsidRPr="0011747E">
        <w:t>5.13C.</w:t>
      </w:r>
    </w:p>
    <w:p w:rsidR="00DD5B80" w:rsidRPr="0011747E" w:rsidRDefault="0063676D" w:rsidP="00DD5B80">
      <w:pPr>
        <w:pStyle w:val="ActHead5"/>
      </w:pPr>
      <w:bookmarkStart w:id="30" w:name="_Toc396376233"/>
      <w:r w:rsidRPr="0011747E">
        <w:rPr>
          <w:rStyle w:val="CharSectno"/>
        </w:rPr>
        <w:t>5.13B</w:t>
      </w:r>
      <w:r w:rsidRPr="0011747E">
        <w:t xml:space="preserve">  Base fee payable in stages</w:t>
      </w:r>
      <w:bookmarkEnd w:id="30"/>
    </w:p>
    <w:p w:rsidR="0063676D" w:rsidRPr="0011747E" w:rsidRDefault="0063676D" w:rsidP="0063676D">
      <w:pPr>
        <w:pStyle w:val="subsection"/>
      </w:pPr>
      <w:r w:rsidRPr="0011747E">
        <w:tab/>
        <w:t>(1)</w:t>
      </w:r>
      <w:r w:rsidRPr="0011747E">
        <w:tab/>
        <w:t>The base fee for the assessment of the action is payable in 4 stages, before each stage begins.</w:t>
      </w:r>
    </w:p>
    <w:p w:rsidR="0063676D" w:rsidRPr="0011747E" w:rsidRDefault="0063676D" w:rsidP="0063676D">
      <w:pPr>
        <w:pStyle w:val="subsection"/>
      </w:pPr>
      <w:r w:rsidRPr="0011747E">
        <w:tab/>
        <w:t>(2)</w:t>
      </w:r>
      <w:r w:rsidRPr="0011747E">
        <w:tab/>
        <w:t>The amount of the base fee payable for each stage is set out in the following table:</w:t>
      </w:r>
    </w:p>
    <w:p w:rsidR="0063676D" w:rsidRPr="0011747E" w:rsidRDefault="0063676D" w:rsidP="0063676D">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63676D" w:rsidRPr="0011747E" w:rsidTr="0042336C">
        <w:trPr>
          <w:tblHeader/>
        </w:trPr>
        <w:tc>
          <w:tcPr>
            <w:tcW w:w="4110" w:type="dxa"/>
            <w:gridSpan w:val="3"/>
            <w:tcBorders>
              <w:top w:val="single" w:sz="12" w:space="0" w:color="auto"/>
              <w:bottom w:val="single" w:sz="6" w:space="0" w:color="auto"/>
            </w:tcBorders>
            <w:shd w:val="clear" w:color="auto" w:fill="auto"/>
          </w:tcPr>
          <w:p w:rsidR="0063676D" w:rsidRPr="0011747E" w:rsidRDefault="0063676D" w:rsidP="00DF69BB">
            <w:pPr>
              <w:pStyle w:val="TableHeading"/>
              <w:ind w:left="33"/>
            </w:pPr>
            <w:r w:rsidRPr="0011747E">
              <w:t xml:space="preserve">Base fee for assessment </w:t>
            </w:r>
            <w:r w:rsidR="00DF69BB" w:rsidRPr="0011747E">
              <w:t>by an accredited assessment process</w:t>
            </w:r>
          </w:p>
        </w:tc>
      </w:tr>
      <w:tr w:rsidR="0063676D" w:rsidRPr="0011747E" w:rsidTr="0042336C">
        <w:trPr>
          <w:tblHeader/>
        </w:trPr>
        <w:tc>
          <w:tcPr>
            <w:tcW w:w="714" w:type="dxa"/>
            <w:tcBorders>
              <w:top w:val="single" w:sz="6" w:space="0" w:color="auto"/>
              <w:bottom w:val="single" w:sz="12" w:space="0" w:color="auto"/>
            </w:tcBorders>
            <w:shd w:val="clear" w:color="auto" w:fill="auto"/>
          </w:tcPr>
          <w:p w:rsidR="0063676D" w:rsidRPr="0011747E" w:rsidRDefault="0063676D"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63676D" w:rsidRPr="0011747E" w:rsidRDefault="0063676D"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63676D" w:rsidRPr="0011747E" w:rsidRDefault="0063676D" w:rsidP="007E7F5B">
            <w:pPr>
              <w:pStyle w:val="TableHeading"/>
              <w:ind w:left="420" w:hanging="420"/>
              <w:jc w:val="right"/>
            </w:pPr>
            <w:r w:rsidRPr="0011747E">
              <w:t>Amount payable</w:t>
            </w:r>
          </w:p>
        </w:tc>
      </w:tr>
      <w:tr w:rsidR="0063676D" w:rsidRPr="0011747E" w:rsidTr="0042336C">
        <w:tc>
          <w:tcPr>
            <w:tcW w:w="714" w:type="dxa"/>
            <w:tcBorders>
              <w:top w:val="single" w:sz="12" w:space="0" w:color="auto"/>
            </w:tcBorders>
            <w:shd w:val="clear" w:color="auto" w:fill="auto"/>
          </w:tcPr>
          <w:p w:rsidR="0063676D" w:rsidRPr="0011747E" w:rsidRDefault="0063676D" w:rsidP="003E2EEA">
            <w:pPr>
              <w:pStyle w:val="Tabletext"/>
            </w:pPr>
            <w:r w:rsidRPr="0011747E">
              <w:t>1</w:t>
            </w:r>
          </w:p>
        </w:tc>
        <w:tc>
          <w:tcPr>
            <w:tcW w:w="1695" w:type="dxa"/>
            <w:tcBorders>
              <w:top w:val="single" w:sz="12" w:space="0" w:color="auto"/>
            </w:tcBorders>
            <w:shd w:val="clear" w:color="auto" w:fill="auto"/>
          </w:tcPr>
          <w:p w:rsidR="0063676D" w:rsidRPr="0011747E" w:rsidRDefault="0063676D" w:rsidP="003E2EEA">
            <w:pPr>
              <w:pStyle w:val="Tabletext"/>
            </w:pPr>
            <w:r w:rsidRPr="0011747E">
              <w:t>stage 1</w:t>
            </w:r>
          </w:p>
        </w:tc>
        <w:tc>
          <w:tcPr>
            <w:tcW w:w="1701" w:type="dxa"/>
            <w:tcBorders>
              <w:top w:val="single" w:sz="12" w:space="0" w:color="auto"/>
            </w:tcBorders>
            <w:shd w:val="clear" w:color="auto" w:fill="auto"/>
          </w:tcPr>
          <w:p w:rsidR="0063676D" w:rsidRPr="0011747E" w:rsidRDefault="0063676D" w:rsidP="007E7F5B">
            <w:pPr>
              <w:pStyle w:val="Tabletext"/>
              <w:jc w:val="right"/>
            </w:pPr>
            <w:r w:rsidRPr="0011747E">
              <w:t>$4</w:t>
            </w:r>
            <w:r w:rsidR="0011747E" w:rsidRPr="0011747E">
              <w:t> </w:t>
            </w:r>
            <w:r w:rsidRPr="0011747E">
              <w:t>031.00</w:t>
            </w:r>
          </w:p>
        </w:tc>
      </w:tr>
      <w:tr w:rsidR="0063676D" w:rsidRPr="0011747E" w:rsidTr="0042336C">
        <w:tc>
          <w:tcPr>
            <w:tcW w:w="714" w:type="dxa"/>
            <w:shd w:val="clear" w:color="auto" w:fill="auto"/>
          </w:tcPr>
          <w:p w:rsidR="0063676D" w:rsidRPr="0011747E" w:rsidRDefault="0063676D" w:rsidP="003E2EEA">
            <w:pPr>
              <w:pStyle w:val="Tabletext"/>
            </w:pPr>
            <w:r w:rsidRPr="0011747E">
              <w:t>2</w:t>
            </w:r>
          </w:p>
        </w:tc>
        <w:tc>
          <w:tcPr>
            <w:tcW w:w="1695" w:type="dxa"/>
            <w:shd w:val="clear" w:color="auto" w:fill="auto"/>
          </w:tcPr>
          <w:p w:rsidR="0063676D" w:rsidRPr="0011747E" w:rsidRDefault="0063676D" w:rsidP="003E2EEA">
            <w:pPr>
              <w:pStyle w:val="Tabletext"/>
            </w:pPr>
            <w:r w:rsidRPr="0011747E">
              <w:t>stage 2</w:t>
            </w:r>
          </w:p>
        </w:tc>
        <w:tc>
          <w:tcPr>
            <w:tcW w:w="1701" w:type="dxa"/>
            <w:shd w:val="clear" w:color="auto" w:fill="auto"/>
          </w:tcPr>
          <w:p w:rsidR="0063676D" w:rsidRPr="0011747E" w:rsidRDefault="0063676D" w:rsidP="007E7F5B">
            <w:pPr>
              <w:pStyle w:val="Tabletext"/>
              <w:jc w:val="right"/>
            </w:pPr>
            <w:r w:rsidRPr="0011747E">
              <w:t>$12</w:t>
            </w:r>
            <w:r w:rsidR="0011747E" w:rsidRPr="0011747E">
              <w:t> </w:t>
            </w:r>
            <w:r w:rsidRPr="0011747E">
              <w:t>760.00</w:t>
            </w:r>
          </w:p>
        </w:tc>
      </w:tr>
      <w:tr w:rsidR="0063676D" w:rsidRPr="0011747E" w:rsidTr="0042336C">
        <w:tc>
          <w:tcPr>
            <w:tcW w:w="714" w:type="dxa"/>
            <w:tcBorders>
              <w:bottom w:val="single" w:sz="4" w:space="0" w:color="auto"/>
            </w:tcBorders>
            <w:shd w:val="clear" w:color="auto" w:fill="auto"/>
          </w:tcPr>
          <w:p w:rsidR="0063676D" w:rsidRPr="0011747E" w:rsidRDefault="0063676D" w:rsidP="003E2EEA">
            <w:pPr>
              <w:pStyle w:val="Tabletext"/>
            </w:pPr>
            <w:r w:rsidRPr="0011747E">
              <w:t>3</w:t>
            </w:r>
          </w:p>
        </w:tc>
        <w:tc>
          <w:tcPr>
            <w:tcW w:w="1695" w:type="dxa"/>
            <w:tcBorders>
              <w:bottom w:val="single" w:sz="4" w:space="0" w:color="auto"/>
            </w:tcBorders>
            <w:shd w:val="clear" w:color="auto" w:fill="auto"/>
          </w:tcPr>
          <w:p w:rsidR="0063676D" w:rsidRPr="0011747E" w:rsidRDefault="0063676D" w:rsidP="003E2EEA">
            <w:pPr>
              <w:pStyle w:val="Tabletext"/>
            </w:pPr>
            <w:r w:rsidRPr="0011747E">
              <w:t>stage 3</w:t>
            </w:r>
          </w:p>
        </w:tc>
        <w:tc>
          <w:tcPr>
            <w:tcW w:w="1701" w:type="dxa"/>
            <w:tcBorders>
              <w:bottom w:val="single" w:sz="4" w:space="0" w:color="auto"/>
            </w:tcBorders>
            <w:shd w:val="clear" w:color="auto" w:fill="auto"/>
          </w:tcPr>
          <w:p w:rsidR="0063676D" w:rsidRPr="0011747E" w:rsidRDefault="007E7F5B" w:rsidP="007E7F5B">
            <w:pPr>
              <w:pStyle w:val="Tabletext"/>
              <w:jc w:val="right"/>
            </w:pPr>
            <w:r w:rsidRPr="0011747E">
              <w:t>$4</w:t>
            </w:r>
            <w:r w:rsidR="0011747E" w:rsidRPr="0011747E">
              <w:t> </w:t>
            </w:r>
            <w:r w:rsidR="0063676D" w:rsidRPr="0011747E">
              <w:t>268.00</w:t>
            </w:r>
          </w:p>
        </w:tc>
      </w:tr>
      <w:tr w:rsidR="0063676D" w:rsidRPr="0011747E" w:rsidTr="0042336C">
        <w:tc>
          <w:tcPr>
            <w:tcW w:w="714" w:type="dxa"/>
            <w:tcBorders>
              <w:bottom w:val="single" w:sz="12" w:space="0" w:color="auto"/>
            </w:tcBorders>
            <w:shd w:val="clear" w:color="auto" w:fill="auto"/>
          </w:tcPr>
          <w:p w:rsidR="0063676D" w:rsidRPr="0011747E" w:rsidRDefault="0063676D" w:rsidP="003E2EEA">
            <w:pPr>
              <w:pStyle w:val="Tabletext"/>
            </w:pPr>
            <w:r w:rsidRPr="0011747E">
              <w:t>4</w:t>
            </w:r>
          </w:p>
        </w:tc>
        <w:tc>
          <w:tcPr>
            <w:tcW w:w="1695" w:type="dxa"/>
            <w:tcBorders>
              <w:bottom w:val="single" w:sz="12" w:space="0" w:color="auto"/>
            </w:tcBorders>
            <w:shd w:val="clear" w:color="auto" w:fill="auto"/>
          </w:tcPr>
          <w:p w:rsidR="0063676D" w:rsidRPr="0011747E" w:rsidRDefault="0063676D" w:rsidP="003E2EEA">
            <w:pPr>
              <w:pStyle w:val="Tabletext"/>
            </w:pPr>
            <w:r w:rsidRPr="0011747E">
              <w:t>stage 4</w:t>
            </w:r>
          </w:p>
        </w:tc>
        <w:tc>
          <w:tcPr>
            <w:tcW w:w="1701" w:type="dxa"/>
            <w:tcBorders>
              <w:bottom w:val="single" w:sz="12" w:space="0" w:color="auto"/>
            </w:tcBorders>
            <w:shd w:val="clear" w:color="auto" w:fill="auto"/>
          </w:tcPr>
          <w:p w:rsidR="0063676D" w:rsidRPr="0011747E" w:rsidRDefault="007E7F5B" w:rsidP="007E7F5B">
            <w:pPr>
              <w:pStyle w:val="Tabletext"/>
              <w:jc w:val="right"/>
            </w:pPr>
            <w:r w:rsidRPr="0011747E">
              <w:t>$4</w:t>
            </w:r>
            <w:r w:rsidR="0011747E" w:rsidRPr="0011747E">
              <w:t> </w:t>
            </w:r>
            <w:r w:rsidR="0063676D" w:rsidRPr="0011747E">
              <w:t>983.00</w:t>
            </w:r>
          </w:p>
        </w:tc>
      </w:tr>
    </w:tbl>
    <w:p w:rsidR="00A67E2E" w:rsidRPr="0011747E" w:rsidRDefault="00A67E2E" w:rsidP="00A67E2E">
      <w:pPr>
        <w:pStyle w:val="ActHead5"/>
      </w:pPr>
      <w:bookmarkStart w:id="31" w:name="_Toc396376234"/>
      <w:r w:rsidRPr="0011747E">
        <w:rPr>
          <w:rStyle w:val="CharSectno"/>
        </w:rPr>
        <w:t>5.13C</w:t>
      </w:r>
      <w:r w:rsidRPr="0011747E">
        <w:t xml:space="preserve">  Complexity fee payable in stages</w:t>
      </w:r>
      <w:bookmarkEnd w:id="31"/>
    </w:p>
    <w:p w:rsidR="00A67E2E" w:rsidRPr="0011747E" w:rsidRDefault="00A67E2E" w:rsidP="00A67E2E">
      <w:pPr>
        <w:pStyle w:val="SubsectionHead"/>
      </w:pPr>
      <w:r w:rsidRPr="0011747E">
        <w:t>Complexity fee to be split</w:t>
      </w:r>
    </w:p>
    <w:p w:rsidR="00A67E2E" w:rsidRPr="0011747E" w:rsidRDefault="00A67E2E" w:rsidP="00A67E2E">
      <w:pPr>
        <w:pStyle w:val="subsection"/>
      </w:pPr>
      <w:r w:rsidRPr="0011747E">
        <w:tab/>
        <w:t>(1)</w:t>
      </w:r>
      <w:r w:rsidRPr="0011747E">
        <w:tab/>
        <w:t>The complexity fee is to be split into:</w:t>
      </w:r>
    </w:p>
    <w:p w:rsidR="00A67E2E" w:rsidRPr="0011747E" w:rsidRDefault="00A67E2E" w:rsidP="00A67E2E">
      <w:pPr>
        <w:pStyle w:val="paragraph"/>
      </w:pPr>
      <w:r w:rsidRPr="0011747E">
        <w:tab/>
        <w:t>(a)</w:t>
      </w:r>
      <w:r w:rsidRPr="0011747E">
        <w:tab/>
        <w:t xml:space="preserve">the </w:t>
      </w:r>
      <w:r w:rsidRPr="0011747E">
        <w:rPr>
          <w:b/>
          <w:i/>
        </w:rPr>
        <w:t>Part A complexity fee</w:t>
      </w:r>
      <w:r w:rsidRPr="0011747E">
        <w:t>, which is the sum of:</w:t>
      </w:r>
    </w:p>
    <w:p w:rsidR="00A0627D" w:rsidRPr="0011747E" w:rsidRDefault="00A0627D" w:rsidP="00A0627D">
      <w:pPr>
        <w:pStyle w:val="paragraphsub"/>
      </w:pPr>
      <w:r w:rsidRPr="0011747E">
        <w:tab/>
        <w:t>(i)</w:t>
      </w:r>
      <w:r w:rsidRPr="0011747E">
        <w:tab/>
      </w:r>
      <w:r w:rsidR="00123D20" w:rsidRPr="0011747E">
        <w:t>if applicable—</w:t>
      </w:r>
      <w:r w:rsidRPr="0011747E">
        <w:t>the fee for each applicable controlling provision component; and</w:t>
      </w:r>
    </w:p>
    <w:p w:rsidR="00A67E2E" w:rsidRPr="0011747E" w:rsidRDefault="00A67E2E" w:rsidP="00A67E2E">
      <w:pPr>
        <w:pStyle w:val="paragraphsub"/>
      </w:pPr>
      <w:r w:rsidRPr="0011747E">
        <w:tab/>
        <w:t>(</w:t>
      </w:r>
      <w:r w:rsidR="00A0627D" w:rsidRPr="0011747E">
        <w:t>i</w:t>
      </w:r>
      <w:r w:rsidRPr="0011747E">
        <w:t>i)</w:t>
      </w:r>
      <w:r w:rsidRPr="0011747E">
        <w:tab/>
      </w:r>
      <w:r w:rsidR="00123D20" w:rsidRPr="0011747E">
        <w:t>if applicable—</w:t>
      </w:r>
      <w:r w:rsidRPr="0011747E">
        <w:t xml:space="preserve">the fee for </w:t>
      </w:r>
      <w:r w:rsidR="00DF4BDE" w:rsidRPr="0011747E">
        <w:t>the</w:t>
      </w:r>
      <w:r w:rsidRPr="0011747E">
        <w:t xml:space="preserve"> legislative impact component; and</w:t>
      </w:r>
    </w:p>
    <w:p w:rsidR="00A67E2E" w:rsidRPr="0011747E" w:rsidRDefault="00A67E2E" w:rsidP="00A67E2E">
      <w:pPr>
        <w:pStyle w:val="paragraphsub"/>
      </w:pPr>
      <w:r w:rsidRPr="0011747E">
        <w:tab/>
        <w:t>(i</w:t>
      </w:r>
      <w:r w:rsidR="00A0627D" w:rsidRPr="0011747E">
        <w:t>i</w:t>
      </w:r>
      <w:r w:rsidRPr="0011747E">
        <w:t>i)</w:t>
      </w:r>
      <w:r w:rsidRPr="0011747E">
        <w:tab/>
        <w:t>if applicable—the fee for the relevant number of project components; and</w:t>
      </w:r>
    </w:p>
    <w:p w:rsidR="00A67E2E" w:rsidRPr="0011747E" w:rsidRDefault="00A0627D" w:rsidP="00A67E2E">
      <w:pPr>
        <w:pStyle w:val="paragraphsub"/>
      </w:pPr>
      <w:r w:rsidRPr="0011747E">
        <w:tab/>
        <w:t>(iv</w:t>
      </w:r>
      <w:r w:rsidR="00A67E2E" w:rsidRPr="0011747E">
        <w:t>)</w:t>
      </w:r>
      <w:r w:rsidR="00A67E2E" w:rsidRPr="0011747E">
        <w:tab/>
        <w:t>if applicabl</w:t>
      </w:r>
      <w:r w:rsidR="00D803A1" w:rsidRPr="0011747E">
        <w:t xml:space="preserve">e—the fee for the exceptional case </w:t>
      </w:r>
      <w:r w:rsidR="00A67E2E" w:rsidRPr="0011747E">
        <w:t>component; and</w:t>
      </w:r>
    </w:p>
    <w:p w:rsidR="00A67E2E" w:rsidRPr="0011747E" w:rsidRDefault="00A67E2E" w:rsidP="00A67E2E">
      <w:pPr>
        <w:pStyle w:val="paragraph"/>
      </w:pPr>
      <w:r w:rsidRPr="0011747E">
        <w:tab/>
        <w:t>(b)</w:t>
      </w:r>
      <w:r w:rsidRPr="0011747E">
        <w:tab/>
        <w:t xml:space="preserve">the </w:t>
      </w:r>
      <w:r w:rsidRPr="0011747E">
        <w:rPr>
          <w:b/>
          <w:i/>
        </w:rPr>
        <w:t>Part B complexity fee</w:t>
      </w:r>
      <w:r w:rsidRPr="0011747E">
        <w:t>, which is the sum of the fee for each application component.</w:t>
      </w:r>
    </w:p>
    <w:p w:rsidR="00A67E2E" w:rsidRPr="0011747E" w:rsidRDefault="00A67E2E" w:rsidP="00A67E2E">
      <w:pPr>
        <w:pStyle w:val="SubsectionHead"/>
      </w:pPr>
      <w:r w:rsidRPr="0011747E">
        <w:t>Part A complexity fee</w:t>
      </w:r>
    </w:p>
    <w:p w:rsidR="00A67E2E" w:rsidRPr="0011747E" w:rsidRDefault="00A67E2E" w:rsidP="00A67E2E">
      <w:pPr>
        <w:pStyle w:val="subsection"/>
      </w:pPr>
      <w:r w:rsidRPr="0011747E">
        <w:tab/>
        <w:t>(2)</w:t>
      </w:r>
      <w:r w:rsidRPr="0011747E">
        <w:tab/>
        <w:t>The Part A complexity fee for the assessment of the action is payable in 4 stages, before each stage begins.</w:t>
      </w:r>
    </w:p>
    <w:p w:rsidR="00A67E2E" w:rsidRPr="0011747E" w:rsidRDefault="00A67E2E" w:rsidP="00A67E2E">
      <w:pPr>
        <w:pStyle w:val="subsection"/>
      </w:pPr>
      <w:r w:rsidRPr="0011747E">
        <w:tab/>
        <w:t>(3)</w:t>
      </w:r>
      <w:r w:rsidRPr="0011747E">
        <w:tab/>
        <w:t>The percentage of the Part A complexity fee payable for each stage is set out in the following table:</w:t>
      </w:r>
    </w:p>
    <w:p w:rsidR="00A67E2E" w:rsidRPr="0011747E" w:rsidRDefault="00A67E2E" w:rsidP="00A67E2E">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A67E2E" w:rsidRPr="0011747E" w:rsidTr="0042336C">
        <w:trPr>
          <w:tblHeader/>
        </w:trPr>
        <w:tc>
          <w:tcPr>
            <w:tcW w:w="4110" w:type="dxa"/>
            <w:gridSpan w:val="3"/>
            <w:tcBorders>
              <w:top w:val="single" w:sz="12" w:space="0" w:color="auto"/>
              <w:bottom w:val="single" w:sz="6" w:space="0" w:color="auto"/>
            </w:tcBorders>
            <w:shd w:val="clear" w:color="auto" w:fill="auto"/>
          </w:tcPr>
          <w:p w:rsidR="00A67E2E" w:rsidRPr="0011747E" w:rsidRDefault="00A67E2E" w:rsidP="00DA058E">
            <w:pPr>
              <w:pStyle w:val="TableHeading"/>
              <w:ind w:left="33"/>
            </w:pPr>
            <w:r w:rsidRPr="0011747E">
              <w:t>Part A complexity fee for assessment by an accredited assessment process</w:t>
            </w:r>
          </w:p>
        </w:tc>
      </w:tr>
      <w:tr w:rsidR="00A67E2E" w:rsidRPr="0011747E" w:rsidTr="0042336C">
        <w:trPr>
          <w:tblHeader/>
        </w:trPr>
        <w:tc>
          <w:tcPr>
            <w:tcW w:w="714" w:type="dxa"/>
            <w:tcBorders>
              <w:top w:val="single" w:sz="6" w:space="0" w:color="auto"/>
              <w:bottom w:val="single" w:sz="12" w:space="0" w:color="auto"/>
            </w:tcBorders>
            <w:shd w:val="clear" w:color="auto" w:fill="auto"/>
          </w:tcPr>
          <w:p w:rsidR="00A67E2E" w:rsidRPr="0011747E" w:rsidRDefault="00A67E2E"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A67E2E" w:rsidRPr="0011747E" w:rsidRDefault="00A67E2E"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A67E2E" w:rsidRPr="0011747E" w:rsidRDefault="00A67E2E" w:rsidP="00836667">
            <w:pPr>
              <w:pStyle w:val="TableHeading"/>
              <w:ind w:left="420" w:hanging="420"/>
              <w:jc w:val="right"/>
            </w:pPr>
            <w:r w:rsidRPr="0011747E">
              <w:t>Percentage payable</w:t>
            </w:r>
          </w:p>
        </w:tc>
      </w:tr>
      <w:tr w:rsidR="00A67E2E" w:rsidRPr="0011747E" w:rsidTr="0042336C">
        <w:tc>
          <w:tcPr>
            <w:tcW w:w="714" w:type="dxa"/>
            <w:tcBorders>
              <w:top w:val="single" w:sz="12" w:space="0" w:color="auto"/>
            </w:tcBorders>
            <w:shd w:val="clear" w:color="auto" w:fill="auto"/>
          </w:tcPr>
          <w:p w:rsidR="00A67E2E" w:rsidRPr="0011747E" w:rsidRDefault="00A67E2E" w:rsidP="003E2EEA">
            <w:pPr>
              <w:pStyle w:val="Tabletext"/>
            </w:pPr>
            <w:r w:rsidRPr="0011747E">
              <w:t>1</w:t>
            </w:r>
          </w:p>
        </w:tc>
        <w:tc>
          <w:tcPr>
            <w:tcW w:w="1695" w:type="dxa"/>
            <w:tcBorders>
              <w:top w:val="single" w:sz="12" w:space="0" w:color="auto"/>
            </w:tcBorders>
            <w:shd w:val="clear" w:color="auto" w:fill="auto"/>
          </w:tcPr>
          <w:p w:rsidR="00A67E2E" w:rsidRPr="0011747E" w:rsidRDefault="00A67E2E" w:rsidP="003E2EEA">
            <w:pPr>
              <w:pStyle w:val="Tabletext"/>
            </w:pPr>
            <w:r w:rsidRPr="0011747E">
              <w:t>stage 1</w:t>
            </w:r>
          </w:p>
        </w:tc>
        <w:tc>
          <w:tcPr>
            <w:tcW w:w="1701" w:type="dxa"/>
            <w:tcBorders>
              <w:top w:val="single" w:sz="12" w:space="0" w:color="auto"/>
            </w:tcBorders>
            <w:shd w:val="clear" w:color="auto" w:fill="auto"/>
          </w:tcPr>
          <w:p w:rsidR="00A67E2E" w:rsidRPr="0011747E" w:rsidRDefault="00A67E2E" w:rsidP="00836667">
            <w:pPr>
              <w:pStyle w:val="Tabletext"/>
              <w:jc w:val="right"/>
            </w:pPr>
            <w:r w:rsidRPr="0011747E">
              <w:t>16%</w:t>
            </w:r>
          </w:p>
        </w:tc>
      </w:tr>
      <w:tr w:rsidR="00A67E2E" w:rsidRPr="0011747E" w:rsidTr="0042336C">
        <w:tc>
          <w:tcPr>
            <w:tcW w:w="714" w:type="dxa"/>
            <w:shd w:val="clear" w:color="auto" w:fill="auto"/>
          </w:tcPr>
          <w:p w:rsidR="00A67E2E" w:rsidRPr="0011747E" w:rsidRDefault="00A67E2E" w:rsidP="003E2EEA">
            <w:pPr>
              <w:pStyle w:val="Tabletext"/>
            </w:pPr>
            <w:r w:rsidRPr="0011747E">
              <w:t>2</w:t>
            </w:r>
          </w:p>
        </w:tc>
        <w:tc>
          <w:tcPr>
            <w:tcW w:w="1695" w:type="dxa"/>
            <w:shd w:val="clear" w:color="auto" w:fill="auto"/>
          </w:tcPr>
          <w:p w:rsidR="00A67E2E" w:rsidRPr="0011747E" w:rsidRDefault="00A67E2E" w:rsidP="003E2EEA">
            <w:pPr>
              <w:pStyle w:val="Tabletext"/>
            </w:pPr>
            <w:r w:rsidRPr="0011747E">
              <w:t>stage 2</w:t>
            </w:r>
          </w:p>
        </w:tc>
        <w:tc>
          <w:tcPr>
            <w:tcW w:w="1701" w:type="dxa"/>
            <w:shd w:val="clear" w:color="auto" w:fill="auto"/>
          </w:tcPr>
          <w:p w:rsidR="00A67E2E" w:rsidRPr="0011747E" w:rsidRDefault="00A67E2E" w:rsidP="00836667">
            <w:pPr>
              <w:pStyle w:val="Tabletext"/>
              <w:jc w:val="right"/>
            </w:pPr>
            <w:r w:rsidRPr="0011747E">
              <w:t>49%</w:t>
            </w:r>
          </w:p>
        </w:tc>
      </w:tr>
      <w:tr w:rsidR="00A67E2E" w:rsidRPr="0011747E" w:rsidTr="0042336C">
        <w:tc>
          <w:tcPr>
            <w:tcW w:w="714" w:type="dxa"/>
            <w:tcBorders>
              <w:bottom w:val="single" w:sz="4" w:space="0" w:color="auto"/>
            </w:tcBorders>
            <w:shd w:val="clear" w:color="auto" w:fill="auto"/>
          </w:tcPr>
          <w:p w:rsidR="00A67E2E" w:rsidRPr="0011747E" w:rsidRDefault="00A67E2E" w:rsidP="003E2EEA">
            <w:pPr>
              <w:pStyle w:val="Tabletext"/>
            </w:pPr>
            <w:r w:rsidRPr="0011747E">
              <w:t>3</w:t>
            </w:r>
          </w:p>
        </w:tc>
        <w:tc>
          <w:tcPr>
            <w:tcW w:w="1695" w:type="dxa"/>
            <w:tcBorders>
              <w:bottom w:val="single" w:sz="4" w:space="0" w:color="auto"/>
            </w:tcBorders>
            <w:shd w:val="clear" w:color="auto" w:fill="auto"/>
          </w:tcPr>
          <w:p w:rsidR="00A67E2E" w:rsidRPr="0011747E" w:rsidRDefault="00A67E2E" w:rsidP="003E2EEA">
            <w:pPr>
              <w:pStyle w:val="Tabletext"/>
            </w:pPr>
            <w:r w:rsidRPr="0011747E">
              <w:t>stage 3</w:t>
            </w:r>
          </w:p>
        </w:tc>
        <w:tc>
          <w:tcPr>
            <w:tcW w:w="1701" w:type="dxa"/>
            <w:tcBorders>
              <w:bottom w:val="single" w:sz="4" w:space="0" w:color="auto"/>
            </w:tcBorders>
            <w:shd w:val="clear" w:color="auto" w:fill="auto"/>
          </w:tcPr>
          <w:p w:rsidR="00A67E2E" w:rsidRPr="0011747E" w:rsidRDefault="00A67E2E" w:rsidP="00836667">
            <w:pPr>
              <w:pStyle w:val="Tabletext"/>
              <w:jc w:val="right"/>
            </w:pPr>
            <w:r w:rsidRPr="0011747E">
              <w:t>16%</w:t>
            </w:r>
          </w:p>
        </w:tc>
      </w:tr>
      <w:tr w:rsidR="00A67E2E" w:rsidRPr="0011747E" w:rsidTr="0042336C">
        <w:tc>
          <w:tcPr>
            <w:tcW w:w="714" w:type="dxa"/>
            <w:tcBorders>
              <w:bottom w:val="single" w:sz="12" w:space="0" w:color="auto"/>
            </w:tcBorders>
            <w:shd w:val="clear" w:color="auto" w:fill="auto"/>
          </w:tcPr>
          <w:p w:rsidR="00A67E2E" w:rsidRPr="0011747E" w:rsidRDefault="00A67E2E" w:rsidP="003E2EEA">
            <w:pPr>
              <w:pStyle w:val="Tabletext"/>
            </w:pPr>
            <w:r w:rsidRPr="0011747E">
              <w:t>4</w:t>
            </w:r>
          </w:p>
        </w:tc>
        <w:tc>
          <w:tcPr>
            <w:tcW w:w="1695" w:type="dxa"/>
            <w:tcBorders>
              <w:bottom w:val="single" w:sz="12" w:space="0" w:color="auto"/>
            </w:tcBorders>
            <w:shd w:val="clear" w:color="auto" w:fill="auto"/>
          </w:tcPr>
          <w:p w:rsidR="00A67E2E" w:rsidRPr="0011747E" w:rsidRDefault="00A67E2E" w:rsidP="003E2EEA">
            <w:pPr>
              <w:pStyle w:val="Tabletext"/>
            </w:pPr>
            <w:r w:rsidRPr="0011747E">
              <w:t>stage 4</w:t>
            </w:r>
          </w:p>
        </w:tc>
        <w:tc>
          <w:tcPr>
            <w:tcW w:w="1701" w:type="dxa"/>
            <w:tcBorders>
              <w:bottom w:val="single" w:sz="12" w:space="0" w:color="auto"/>
            </w:tcBorders>
            <w:shd w:val="clear" w:color="auto" w:fill="auto"/>
          </w:tcPr>
          <w:p w:rsidR="00A67E2E" w:rsidRPr="0011747E" w:rsidRDefault="00A67E2E" w:rsidP="00836667">
            <w:pPr>
              <w:pStyle w:val="Tabletext"/>
              <w:jc w:val="right"/>
            </w:pPr>
            <w:r w:rsidRPr="0011747E">
              <w:t>19%</w:t>
            </w:r>
          </w:p>
        </w:tc>
      </w:tr>
    </w:tbl>
    <w:p w:rsidR="0042336C" w:rsidRPr="0011747E" w:rsidRDefault="0042336C" w:rsidP="0042336C">
      <w:pPr>
        <w:pStyle w:val="Tabletext"/>
      </w:pPr>
    </w:p>
    <w:p w:rsidR="00A67E2E" w:rsidRPr="0011747E" w:rsidRDefault="00A67E2E" w:rsidP="00A67E2E">
      <w:pPr>
        <w:pStyle w:val="SubsectionHead"/>
      </w:pPr>
      <w:r w:rsidRPr="0011747E">
        <w:t>Part B complexity fee</w:t>
      </w:r>
    </w:p>
    <w:p w:rsidR="00A67E2E" w:rsidRPr="0011747E" w:rsidRDefault="00A67E2E" w:rsidP="00A67E2E">
      <w:pPr>
        <w:pStyle w:val="subsection"/>
      </w:pPr>
      <w:r w:rsidRPr="0011747E">
        <w:tab/>
        <w:t>(4)</w:t>
      </w:r>
      <w:r w:rsidRPr="0011747E">
        <w:tab/>
        <w:t>The Part B complexity fee for the assessment of the action is payable in 2 stages, before each stage begins.</w:t>
      </w:r>
    </w:p>
    <w:p w:rsidR="00A67E2E" w:rsidRPr="0011747E" w:rsidRDefault="00A67E2E" w:rsidP="00A67E2E">
      <w:pPr>
        <w:pStyle w:val="subsection"/>
      </w:pPr>
      <w:r w:rsidRPr="0011747E">
        <w:tab/>
        <w:t>(5)</w:t>
      </w:r>
      <w:r w:rsidRPr="0011747E">
        <w:tab/>
        <w:t>The percentage of the Part B complexity fee payable for each stage is set out in the following table:</w:t>
      </w:r>
    </w:p>
    <w:p w:rsidR="00A67E2E" w:rsidRPr="0011747E" w:rsidRDefault="00A67E2E" w:rsidP="00A67E2E">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A67E2E" w:rsidRPr="0011747E" w:rsidTr="0042336C">
        <w:trPr>
          <w:tblHeader/>
        </w:trPr>
        <w:tc>
          <w:tcPr>
            <w:tcW w:w="4110" w:type="dxa"/>
            <w:gridSpan w:val="3"/>
            <w:tcBorders>
              <w:top w:val="single" w:sz="12" w:space="0" w:color="auto"/>
              <w:bottom w:val="single" w:sz="6" w:space="0" w:color="auto"/>
            </w:tcBorders>
            <w:shd w:val="clear" w:color="auto" w:fill="auto"/>
          </w:tcPr>
          <w:p w:rsidR="00A67E2E" w:rsidRPr="0011747E" w:rsidRDefault="00A67E2E" w:rsidP="00DA058E">
            <w:pPr>
              <w:pStyle w:val="TableHeading"/>
              <w:ind w:left="33"/>
            </w:pPr>
            <w:r w:rsidRPr="0011747E">
              <w:t>Part B complexity fee for assessment by an accredited assessment process</w:t>
            </w:r>
          </w:p>
        </w:tc>
      </w:tr>
      <w:tr w:rsidR="00A67E2E" w:rsidRPr="0011747E" w:rsidTr="0042336C">
        <w:trPr>
          <w:tblHeader/>
        </w:trPr>
        <w:tc>
          <w:tcPr>
            <w:tcW w:w="714" w:type="dxa"/>
            <w:tcBorders>
              <w:top w:val="single" w:sz="6" w:space="0" w:color="auto"/>
              <w:bottom w:val="single" w:sz="12" w:space="0" w:color="auto"/>
            </w:tcBorders>
            <w:shd w:val="clear" w:color="auto" w:fill="auto"/>
          </w:tcPr>
          <w:p w:rsidR="00A67E2E" w:rsidRPr="0011747E" w:rsidRDefault="00A67E2E"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A67E2E" w:rsidRPr="0011747E" w:rsidRDefault="00A67E2E"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A67E2E" w:rsidRPr="0011747E" w:rsidRDefault="00A67E2E" w:rsidP="000D55BE">
            <w:pPr>
              <w:pStyle w:val="TableHeading"/>
              <w:jc w:val="right"/>
            </w:pPr>
            <w:r w:rsidRPr="0011747E">
              <w:t>Percentage payable</w:t>
            </w:r>
          </w:p>
        </w:tc>
      </w:tr>
      <w:tr w:rsidR="00A67E2E" w:rsidRPr="0011747E" w:rsidTr="0042336C">
        <w:tc>
          <w:tcPr>
            <w:tcW w:w="714" w:type="dxa"/>
            <w:tcBorders>
              <w:top w:val="single" w:sz="12" w:space="0" w:color="auto"/>
            </w:tcBorders>
            <w:shd w:val="clear" w:color="auto" w:fill="auto"/>
          </w:tcPr>
          <w:p w:rsidR="00A67E2E" w:rsidRPr="0011747E" w:rsidRDefault="00A67E2E" w:rsidP="003E2EEA">
            <w:pPr>
              <w:pStyle w:val="Tabletext"/>
            </w:pPr>
            <w:r w:rsidRPr="0011747E">
              <w:t>1</w:t>
            </w:r>
          </w:p>
        </w:tc>
        <w:tc>
          <w:tcPr>
            <w:tcW w:w="1695" w:type="dxa"/>
            <w:tcBorders>
              <w:top w:val="single" w:sz="12" w:space="0" w:color="auto"/>
            </w:tcBorders>
            <w:shd w:val="clear" w:color="auto" w:fill="auto"/>
          </w:tcPr>
          <w:p w:rsidR="00A67E2E" w:rsidRPr="0011747E" w:rsidRDefault="00A67E2E" w:rsidP="003E2EEA">
            <w:pPr>
              <w:pStyle w:val="Tabletext"/>
            </w:pPr>
            <w:r w:rsidRPr="0011747E">
              <w:t>stage 1</w:t>
            </w:r>
          </w:p>
        </w:tc>
        <w:tc>
          <w:tcPr>
            <w:tcW w:w="1701" w:type="dxa"/>
            <w:tcBorders>
              <w:top w:val="single" w:sz="12" w:space="0" w:color="auto"/>
            </w:tcBorders>
            <w:shd w:val="clear" w:color="auto" w:fill="auto"/>
          </w:tcPr>
          <w:p w:rsidR="00A67E2E" w:rsidRPr="0011747E" w:rsidRDefault="00A67E2E" w:rsidP="000D55BE">
            <w:pPr>
              <w:pStyle w:val="Tabletext"/>
              <w:jc w:val="right"/>
            </w:pPr>
            <w:r w:rsidRPr="0011747E">
              <w:t>nil</w:t>
            </w:r>
          </w:p>
        </w:tc>
      </w:tr>
      <w:tr w:rsidR="00A67E2E" w:rsidRPr="0011747E" w:rsidTr="0042336C">
        <w:tc>
          <w:tcPr>
            <w:tcW w:w="714" w:type="dxa"/>
            <w:shd w:val="clear" w:color="auto" w:fill="auto"/>
          </w:tcPr>
          <w:p w:rsidR="00A67E2E" w:rsidRPr="0011747E" w:rsidRDefault="00A67E2E" w:rsidP="003E2EEA">
            <w:pPr>
              <w:pStyle w:val="Tabletext"/>
            </w:pPr>
            <w:r w:rsidRPr="0011747E">
              <w:t>2</w:t>
            </w:r>
          </w:p>
        </w:tc>
        <w:tc>
          <w:tcPr>
            <w:tcW w:w="1695" w:type="dxa"/>
            <w:shd w:val="clear" w:color="auto" w:fill="auto"/>
          </w:tcPr>
          <w:p w:rsidR="00A67E2E" w:rsidRPr="0011747E" w:rsidRDefault="00A67E2E" w:rsidP="003E2EEA">
            <w:pPr>
              <w:pStyle w:val="Tabletext"/>
            </w:pPr>
            <w:r w:rsidRPr="0011747E">
              <w:t>stage 2</w:t>
            </w:r>
          </w:p>
        </w:tc>
        <w:tc>
          <w:tcPr>
            <w:tcW w:w="1701" w:type="dxa"/>
            <w:shd w:val="clear" w:color="auto" w:fill="auto"/>
          </w:tcPr>
          <w:p w:rsidR="00A67E2E" w:rsidRPr="0011747E" w:rsidRDefault="00A67E2E" w:rsidP="000D55BE">
            <w:pPr>
              <w:pStyle w:val="Tabletext"/>
              <w:jc w:val="right"/>
            </w:pPr>
            <w:r w:rsidRPr="0011747E">
              <w:t>nil</w:t>
            </w:r>
          </w:p>
        </w:tc>
      </w:tr>
      <w:tr w:rsidR="00A67E2E" w:rsidRPr="0011747E" w:rsidTr="0042336C">
        <w:tc>
          <w:tcPr>
            <w:tcW w:w="714" w:type="dxa"/>
            <w:tcBorders>
              <w:bottom w:val="single" w:sz="4" w:space="0" w:color="auto"/>
            </w:tcBorders>
            <w:shd w:val="clear" w:color="auto" w:fill="auto"/>
          </w:tcPr>
          <w:p w:rsidR="00A67E2E" w:rsidRPr="0011747E" w:rsidRDefault="00A67E2E" w:rsidP="003E2EEA">
            <w:pPr>
              <w:pStyle w:val="Tabletext"/>
            </w:pPr>
            <w:r w:rsidRPr="0011747E">
              <w:t>3</w:t>
            </w:r>
          </w:p>
        </w:tc>
        <w:tc>
          <w:tcPr>
            <w:tcW w:w="1695" w:type="dxa"/>
            <w:tcBorders>
              <w:bottom w:val="single" w:sz="4" w:space="0" w:color="auto"/>
            </w:tcBorders>
            <w:shd w:val="clear" w:color="auto" w:fill="auto"/>
          </w:tcPr>
          <w:p w:rsidR="00A67E2E" w:rsidRPr="0011747E" w:rsidRDefault="00A67E2E" w:rsidP="003E2EEA">
            <w:pPr>
              <w:pStyle w:val="Tabletext"/>
            </w:pPr>
            <w:r w:rsidRPr="0011747E">
              <w:t>stage 3</w:t>
            </w:r>
          </w:p>
        </w:tc>
        <w:tc>
          <w:tcPr>
            <w:tcW w:w="1701" w:type="dxa"/>
            <w:tcBorders>
              <w:bottom w:val="single" w:sz="4" w:space="0" w:color="auto"/>
            </w:tcBorders>
            <w:shd w:val="clear" w:color="auto" w:fill="auto"/>
          </w:tcPr>
          <w:p w:rsidR="00A67E2E" w:rsidRPr="0011747E" w:rsidRDefault="00A67E2E" w:rsidP="000D55BE">
            <w:pPr>
              <w:pStyle w:val="Tabletext"/>
              <w:jc w:val="right"/>
            </w:pPr>
            <w:r w:rsidRPr="0011747E">
              <w:t>81%</w:t>
            </w:r>
          </w:p>
        </w:tc>
      </w:tr>
      <w:tr w:rsidR="00A67E2E" w:rsidRPr="0011747E" w:rsidTr="0042336C">
        <w:tc>
          <w:tcPr>
            <w:tcW w:w="714" w:type="dxa"/>
            <w:tcBorders>
              <w:bottom w:val="single" w:sz="12" w:space="0" w:color="auto"/>
            </w:tcBorders>
            <w:shd w:val="clear" w:color="auto" w:fill="auto"/>
          </w:tcPr>
          <w:p w:rsidR="00A67E2E" w:rsidRPr="0011747E" w:rsidRDefault="00A67E2E" w:rsidP="003E2EEA">
            <w:pPr>
              <w:pStyle w:val="Tabletext"/>
            </w:pPr>
            <w:r w:rsidRPr="0011747E">
              <w:t>4</w:t>
            </w:r>
          </w:p>
        </w:tc>
        <w:tc>
          <w:tcPr>
            <w:tcW w:w="1695" w:type="dxa"/>
            <w:tcBorders>
              <w:bottom w:val="single" w:sz="12" w:space="0" w:color="auto"/>
            </w:tcBorders>
            <w:shd w:val="clear" w:color="auto" w:fill="auto"/>
          </w:tcPr>
          <w:p w:rsidR="00A67E2E" w:rsidRPr="0011747E" w:rsidRDefault="00A67E2E" w:rsidP="003E2EEA">
            <w:pPr>
              <w:pStyle w:val="Tabletext"/>
            </w:pPr>
            <w:r w:rsidRPr="0011747E">
              <w:t>stage 4</w:t>
            </w:r>
          </w:p>
        </w:tc>
        <w:tc>
          <w:tcPr>
            <w:tcW w:w="1701" w:type="dxa"/>
            <w:tcBorders>
              <w:bottom w:val="single" w:sz="12" w:space="0" w:color="auto"/>
            </w:tcBorders>
            <w:shd w:val="clear" w:color="auto" w:fill="auto"/>
          </w:tcPr>
          <w:p w:rsidR="00A67E2E" w:rsidRPr="0011747E" w:rsidRDefault="00A67E2E" w:rsidP="000D55BE">
            <w:pPr>
              <w:pStyle w:val="Tabletext"/>
              <w:jc w:val="right"/>
            </w:pPr>
            <w:r w:rsidRPr="0011747E">
              <w:t>19%</w:t>
            </w:r>
          </w:p>
        </w:tc>
      </w:tr>
    </w:tbl>
    <w:p w:rsidR="00052876" w:rsidRPr="0011747E" w:rsidRDefault="00052876" w:rsidP="00052876">
      <w:pPr>
        <w:pStyle w:val="ActHead5"/>
      </w:pPr>
      <w:bookmarkStart w:id="32" w:name="_Toc396376235"/>
      <w:r w:rsidRPr="0011747E">
        <w:rPr>
          <w:rStyle w:val="CharSectno"/>
        </w:rPr>
        <w:t>5.13D</w:t>
      </w:r>
      <w:r w:rsidRPr="0011747E">
        <w:t xml:space="preserve">  Amount of components of complexity fee</w:t>
      </w:r>
      <w:bookmarkEnd w:id="32"/>
    </w:p>
    <w:p w:rsidR="00052876" w:rsidRPr="0011747E" w:rsidRDefault="00052876" w:rsidP="00052876">
      <w:pPr>
        <w:pStyle w:val="subsection"/>
      </w:pPr>
      <w:r w:rsidRPr="0011747E">
        <w:tab/>
        <w:t>(1)</w:t>
      </w:r>
      <w:r w:rsidRPr="0011747E">
        <w:tab/>
        <w:t>The amount of the fee payable for a</w:t>
      </w:r>
      <w:r w:rsidR="00147846" w:rsidRPr="0011747E">
        <w:t>n application component,</w:t>
      </w:r>
      <w:r w:rsidR="00321F7C" w:rsidRPr="0011747E">
        <w:t xml:space="preserve"> controlling provision</w:t>
      </w:r>
      <w:r w:rsidRPr="0011747E">
        <w:t xml:space="preserve"> component </w:t>
      </w:r>
      <w:r w:rsidR="00321F7C" w:rsidRPr="0011747E">
        <w:t xml:space="preserve">or legislative impact component </w:t>
      </w:r>
      <w:r w:rsidRPr="0011747E">
        <w:t>of the complexity fee depends o</w:t>
      </w:r>
      <w:r w:rsidR="002035EA" w:rsidRPr="0011747E">
        <w:t>n</w:t>
      </w:r>
      <w:r w:rsidRPr="0011747E">
        <w:t xml:space="preserve"> the level of complexity determined for the component.</w:t>
      </w:r>
    </w:p>
    <w:p w:rsidR="00052876" w:rsidRPr="0011747E" w:rsidRDefault="007A7BD2" w:rsidP="00052876">
      <w:pPr>
        <w:pStyle w:val="notetext"/>
      </w:pPr>
      <w:r w:rsidRPr="0011747E">
        <w:t>Note:</w:t>
      </w:r>
      <w:r w:rsidRPr="0011747E">
        <w:tab/>
        <w:t>See regulation</w:t>
      </w:r>
      <w:r w:rsidR="0011747E" w:rsidRPr="0011747E">
        <w:t> </w:t>
      </w:r>
      <w:r w:rsidR="00052876" w:rsidRPr="0011747E">
        <w:t>5.12</w:t>
      </w:r>
      <w:r w:rsidR="00A920A6" w:rsidRPr="0011747E">
        <w:t>K</w:t>
      </w:r>
      <w:r w:rsidR="00052876" w:rsidRPr="0011747E">
        <w:t>.</w:t>
      </w:r>
    </w:p>
    <w:p w:rsidR="00052876" w:rsidRPr="0011747E" w:rsidRDefault="00052876" w:rsidP="00052876">
      <w:pPr>
        <w:pStyle w:val="subsection"/>
      </w:pPr>
      <w:r w:rsidRPr="0011747E">
        <w:tab/>
        <w:t>(2)</w:t>
      </w:r>
      <w:r w:rsidRPr="0011747E">
        <w:tab/>
        <w:t>The amount of the project component of the complexity fee is:</w:t>
      </w:r>
    </w:p>
    <w:p w:rsidR="00052876" w:rsidRPr="0011747E" w:rsidRDefault="00052876" w:rsidP="00052876">
      <w:pPr>
        <w:pStyle w:val="paragraph"/>
      </w:pPr>
      <w:r w:rsidRPr="0011747E">
        <w:tab/>
        <w:t>(a)</w:t>
      </w:r>
      <w:r w:rsidRPr="0011747E">
        <w:tab/>
        <w:t xml:space="preserve">if there is </w:t>
      </w:r>
      <w:r w:rsidR="00901800" w:rsidRPr="0011747E">
        <w:t>one</w:t>
      </w:r>
      <w:r w:rsidRPr="0011747E">
        <w:t xml:space="preserve"> project component—nil; and</w:t>
      </w:r>
    </w:p>
    <w:p w:rsidR="00052876" w:rsidRPr="0011747E" w:rsidRDefault="00052876" w:rsidP="00052876">
      <w:pPr>
        <w:pStyle w:val="paragraph"/>
      </w:pPr>
      <w:r w:rsidRPr="0011747E">
        <w:tab/>
        <w:t>(b)</w:t>
      </w:r>
      <w:r w:rsidRPr="0011747E">
        <w:tab/>
        <w:t xml:space="preserve">if </w:t>
      </w:r>
      <w:r w:rsidR="002035EA" w:rsidRPr="0011747E">
        <w:t>there are 2 project</w:t>
      </w:r>
      <w:r w:rsidR="007E7F5B" w:rsidRPr="0011747E">
        <w:t xml:space="preserve"> components—$26</w:t>
      </w:r>
      <w:r w:rsidR="0011747E" w:rsidRPr="0011747E">
        <w:t> </w:t>
      </w:r>
      <w:r w:rsidRPr="0011747E">
        <w:t>043</w:t>
      </w:r>
      <w:r w:rsidR="001C7332" w:rsidRPr="0011747E">
        <w:t>.00</w:t>
      </w:r>
      <w:r w:rsidRPr="0011747E">
        <w:t>; and</w:t>
      </w:r>
    </w:p>
    <w:p w:rsidR="00052876" w:rsidRPr="0011747E" w:rsidRDefault="00052876" w:rsidP="00052876">
      <w:pPr>
        <w:pStyle w:val="paragraph"/>
      </w:pPr>
      <w:r w:rsidRPr="0011747E">
        <w:tab/>
        <w:t>(c)</w:t>
      </w:r>
      <w:r w:rsidRPr="0011747E">
        <w:tab/>
        <w:t>if the</w:t>
      </w:r>
      <w:r w:rsidR="007E7F5B" w:rsidRPr="0011747E">
        <w:t>re are 3 project components—$52</w:t>
      </w:r>
      <w:r w:rsidR="0011747E" w:rsidRPr="0011747E">
        <w:t> </w:t>
      </w:r>
      <w:r w:rsidRPr="0011747E">
        <w:t>086</w:t>
      </w:r>
      <w:r w:rsidR="001C7332" w:rsidRPr="0011747E">
        <w:t>.00</w:t>
      </w:r>
      <w:r w:rsidRPr="0011747E">
        <w:t>; and</w:t>
      </w:r>
    </w:p>
    <w:p w:rsidR="00052876" w:rsidRPr="0011747E" w:rsidRDefault="00052876" w:rsidP="00052876">
      <w:pPr>
        <w:pStyle w:val="paragraph"/>
      </w:pPr>
      <w:r w:rsidRPr="0011747E">
        <w:tab/>
        <w:t>(d)</w:t>
      </w:r>
      <w:r w:rsidRPr="0011747E">
        <w:tab/>
        <w:t>if there are more than 3 project components—the amount worked out using the following formula:</w:t>
      </w:r>
    </w:p>
    <w:p w:rsidR="00052876" w:rsidRPr="0011747E" w:rsidRDefault="00052876" w:rsidP="00052876">
      <w:pPr>
        <w:pStyle w:val="paragraph"/>
      </w:pPr>
      <w:r w:rsidRPr="0011747E">
        <w:tab/>
      </w:r>
      <w:r w:rsidRPr="0011747E">
        <w:tab/>
      </w:r>
      <w:bookmarkStart w:id="33" w:name="BKCheck15B_5"/>
      <w:bookmarkEnd w:id="33"/>
      <w:r w:rsidR="00176BEE" w:rsidRPr="0011747E">
        <w:rPr>
          <w:position w:val="-36"/>
        </w:rPr>
        <w:object w:dxaOrig="3379"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40.5pt" o:ole="">
            <v:imagedata r:id="rId21" o:title=""/>
          </v:shape>
          <o:OLEObject Type="Embed" ProgID="Equation.DSMT4" ShapeID="_x0000_i1025" DrawAspect="Content" ObjectID="_1471073957" r:id="rId22"/>
        </w:object>
      </w:r>
    </w:p>
    <w:p w:rsidR="0038434A" w:rsidRPr="0011747E" w:rsidRDefault="0038434A" w:rsidP="0038434A">
      <w:pPr>
        <w:pStyle w:val="ActHead5"/>
      </w:pPr>
      <w:bookmarkStart w:id="34" w:name="_Toc396376236"/>
      <w:r w:rsidRPr="0011747E">
        <w:rPr>
          <w:rStyle w:val="CharSectno"/>
        </w:rPr>
        <w:t>5.13E</w:t>
      </w:r>
      <w:r w:rsidRPr="0011747E">
        <w:t xml:space="preserve">  Method for working out complexity fee</w:t>
      </w:r>
      <w:bookmarkEnd w:id="34"/>
    </w:p>
    <w:p w:rsidR="0038434A" w:rsidRPr="0011747E" w:rsidRDefault="0038434A" w:rsidP="0038434A">
      <w:pPr>
        <w:pStyle w:val="subsection"/>
      </w:pPr>
      <w:r w:rsidRPr="0011747E">
        <w:tab/>
      </w:r>
      <w:r w:rsidRPr="0011747E">
        <w:tab/>
        <w:t xml:space="preserve">For </w:t>
      </w:r>
      <w:r w:rsidR="00554893" w:rsidRPr="0011747E">
        <w:t>paragraph</w:t>
      </w:r>
      <w:r w:rsidR="0011747E" w:rsidRPr="0011747E">
        <w:t> </w:t>
      </w:r>
      <w:r w:rsidR="00260583" w:rsidRPr="0011747E">
        <w:t>520</w:t>
      </w:r>
      <w:r w:rsidR="00554893" w:rsidRPr="0011747E">
        <w:t>(</w:t>
      </w:r>
      <w:r w:rsidRPr="0011747E">
        <w:t>4C)(c) of the Act:</w:t>
      </w:r>
    </w:p>
    <w:p w:rsidR="0038434A" w:rsidRPr="0011747E" w:rsidRDefault="0038434A" w:rsidP="0038434A">
      <w:pPr>
        <w:pStyle w:val="paragraph"/>
      </w:pPr>
      <w:r w:rsidRPr="0011747E">
        <w:tab/>
        <w:t>(a)</w:t>
      </w:r>
      <w:r w:rsidRPr="0011747E">
        <w:tab/>
        <w:t>the sum of the fees mentioned in paragraph</w:t>
      </w:r>
      <w:r w:rsidR="0011747E" w:rsidRPr="0011747E">
        <w:t> </w:t>
      </w:r>
      <w:r w:rsidRPr="0011747E">
        <w:t>5.1</w:t>
      </w:r>
      <w:r w:rsidR="00404B21" w:rsidRPr="0011747E">
        <w:t>3C</w:t>
      </w:r>
      <w:r w:rsidR="00A54996" w:rsidRPr="0011747E">
        <w:t xml:space="preserve">(1)(a) </w:t>
      </w:r>
      <w:r w:rsidR="00245DB1" w:rsidRPr="0011747E">
        <w:t>is the</w:t>
      </w:r>
      <w:r w:rsidRPr="0011747E">
        <w:t xml:space="preserve"> method for working out </w:t>
      </w:r>
      <w:r w:rsidR="00A54996" w:rsidRPr="0011747E">
        <w:t>the Part A complexity fee; and</w:t>
      </w:r>
    </w:p>
    <w:p w:rsidR="00A54996" w:rsidRPr="0011747E" w:rsidRDefault="00A54996" w:rsidP="0038434A">
      <w:pPr>
        <w:pStyle w:val="paragraph"/>
      </w:pPr>
      <w:r w:rsidRPr="0011747E">
        <w:tab/>
        <w:t>(b)</w:t>
      </w:r>
      <w:r w:rsidRPr="0011747E">
        <w:tab/>
        <w:t>the sum of the fee for each application component,</w:t>
      </w:r>
      <w:r w:rsidR="00404B21" w:rsidRPr="0011747E">
        <w:t xml:space="preserve"> as mentioned in paragraph</w:t>
      </w:r>
      <w:r w:rsidR="0011747E" w:rsidRPr="0011747E">
        <w:t> </w:t>
      </w:r>
      <w:r w:rsidR="00404B21" w:rsidRPr="0011747E">
        <w:t>5.13C</w:t>
      </w:r>
      <w:r w:rsidR="00245DB1" w:rsidRPr="0011747E">
        <w:t>(1)(b), is the</w:t>
      </w:r>
      <w:r w:rsidRPr="0011747E">
        <w:t xml:space="preserve"> method for working out the Part B complexity fee.</w:t>
      </w:r>
    </w:p>
    <w:p w:rsidR="00F417C1" w:rsidRPr="0011747E" w:rsidRDefault="00F417C1" w:rsidP="00F417C1">
      <w:pPr>
        <w:pStyle w:val="ActHead4"/>
      </w:pPr>
      <w:bookmarkStart w:id="35" w:name="_Toc396376237"/>
      <w:r w:rsidRPr="0011747E">
        <w:rPr>
          <w:rStyle w:val="CharSubdNo"/>
        </w:rPr>
        <w:t xml:space="preserve">Subdivision </w:t>
      </w:r>
      <w:r w:rsidR="00A920A6" w:rsidRPr="0011747E">
        <w:rPr>
          <w:rStyle w:val="CharSubdNo"/>
        </w:rPr>
        <w:t>D</w:t>
      </w:r>
      <w:r w:rsidRPr="0011747E">
        <w:t>—</w:t>
      </w:r>
      <w:r w:rsidRPr="0011747E">
        <w:rPr>
          <w:rStyle w:val="CharSubdText"/>
        </w:rPr>
        <w:t>Assessment on referral information</w:t>
      </w:r>
      <w:bookmarkEnd w:id="35"/>
    </w:p>
    <w:p w:rsidR="002F125A" w:rsidRPr="0011747E" w:rsidRDefault="002F125A" w:rsidP="001C0F58">
      <w:pPr>
        <w:pStyle w:val="ActHead5"/>
      </w:pPr>
      <w:bookmarkStart w:id="36" w:name="_Toc396376238"/>
      <w:r w:rsidRPr="0011747E">
        <w:rPr>
          <w:rStyle w:val="CharSectno"/>
        </w:rPr>
        <w:t>5.14</w:t>
      </w:r>
      <w:r w:rsidRPr="0011747E">
        <w:t xml:space="preserve">  Application</w:t>
      </w:r>
      <w:bookmarkEnd w:id="36"/>
    </w:p>
    <w:p w:rsidR="002F125A" w:rsidRPr="0011747E" w:rsidRDefault="002F125A" w:rsidP="002F125A">
      <w:pPr>
        <w:pStyle w:val="subsection"/>
      </w:pPr>
      <w:r w:rsidRPr="0011747E">
        <w:tab/>
      </w:r>
      <w:r w:rsidRPr="0011747E">
        <w:tab/>
        <w:t xml:space="preserve">This </w:t>
      </w:r>
      <w:r w:rsidR="00AB7D0A" w:rsidRPr="0011747E">
        <w:t>Subdivision</w:t>
      </w:r>
      <w:r w:rsidRPr="0011747E">
        <w:t xml:space="preserve"> applies if the Minister has decided under section</w:t>
      </w:r>
      <w:r w:rsidR="0011747E" w:rsidRPr="0011747E">
        <w:t> </w:t>
      </w:r>
      <w:r w:rsidRPr="0011747E">
        <w:t>87 of the Act that</w:t>
      </w:r>
      <w:r w:rsidR="001B108D" w:rsidRPr="0011747E">
        <w:t xml:space="preserve"> </w:t>
      </w:r>
      <w:r w:rsidRPr="0011747E">
        <w:t>the relevant impacts of an action are to be assessed by assessment on referral information under Division</w:t>
      </w:r>
      <w:r w:rsidR="0011747E" w:rsidRPr="0011747E">
        <w:t> </w:t>
      </w:r>
      <w:r w:rsidRPr="0011747E">
        <w:t xml:space="preserve">3A of </w:t>
      </w:r>
      <w:r w:rsidR="00196F5D" w:rsidRPr="0011747E">
        <w:t>Part</w:t>
      </w:r>
      <w:r w:rsidR="0011747E" w:rsidRPr="0011747E">
        <w:t> </w:t>
      </w:r>
      <w:r w:rsidR="00196F5D" w:rsidRPr="0011747E">
        <w:t xml:space="preserve">8 of </w:t>
      </w:r>
      <w:r w:rsidRPr="0011747E">
        <w:t>the Act.</w:t>
      </w:r>
    </w:p>
    <w:p w:rsidR="009F00FF" w:rsidRPr="0011747E" w:rsidRDefault="009F00FF" w:rsidP="001C0F58">
      <w:pPr>
        <w:pStyle w:val="ActHead5"/>
      </w:pPr>
      <w:bookmarkStart w:id="37" w:name="_Toc396376239"/>
      <w:r w:rsidRPr="0011747E">
        <w:rPr>
          <w:rStyle w:val="CharSectno"/>
        </w:rPr>
        <w:t>5.14A</w:t>
      </w:r>
      <w:r w:rsidRPr="0011747E">
        <w:t xml:space="preserve">  Definitions</w:t>
      </w:r>
      <w:bookmarkEnd w:id="37"/>
    </w:p>
    <w:p w:rsidR="009F00FF" w:rsidRPr="0011747E" w:rsidRDefault="009F00FF" w:rsidP="009F00FF">
      <w:pPr>
        <w:pStyle w:val="subsection"/>
      </w:pPr>
      <w:r w:rsidRPr="0011747E">
        <w:tab/>
      </w:r>
      <w:r w:rsidRPr="0011747E">
        <w:tab/>
        <w:t>In this Subdivision:</w:t>
      </w:r>
    </w:p>
    <w:p w:rsidR="009F00FF" w:rsidRPr="0011747E" w:rsidRDefault="009F00FF" w:rsidP="009F00FF">
      <w:pPr>
        <w:pStyle w:val="Definition"/>
      </w:pPr>
      <w:r w:rsidRPr="0011747E">
        <w:rPr>
          <w:b/>
          <w:i/>
        </w:rPr>
        <w:t xml:space="preserve">stage 1 </w:t>
      </w:r>
      <w:r w:rsidR="002650A0" w:rsidRPr="0011747E">
        <w:t>begins</w:t>
      </w:r>
      <w:r w:rsidRPr="0011747E">
        <w:t xml:space="preserve"> when the Secretary </w:t>
      </w:r>
      <w:r w:rsidR="0015426E" w:rsidRPr="0011747E">
        <w:t>starts to prepare a</w:t>
      </w:r>
      <w:r w:rsidRPr="0011747E">
        <w:t xml:space="preserve"> draft recommendation report</w:t>
      </w:r>
      <w:r w:rsidR="0015426E" w:rsidRPr="0011747E">
        <w:t>, as required by subsection</w:t>
      </w:r>
      <w:r w:rsidR="0011747E" w:rsidRPr="0011747E">
        <w:t> </w:t>
      </w:r>
      <w:r w:rsidR="0015426E" w:rsidRPr="0011747E">
        <w:t>93(2</w:t>
      </w:r>
      <w:r w:rsidRPr="0011747E">
        <w:t>) of the Act.</w:t>
      </w:r>
    </w:p>
    <w:p w:rsidR="009F00FF" w:rsidRPr="0011747E" w:rsidRDefault="009F00FF" w:rsidP="009F00FF">
      <w:pPr>
        <w:pStyle w:val="Definition"/>
      </w:pPr>
      <w:r w:rsidRPr="0011747E">
        <w:rPr>
          <w:b/>
          <w:i/>
        </w:rPr>
        <w:t>stage 2</w:t>
      </w:r>
      <w:r w:rsidRPr="0011747E">
        <w:t xml:space="preserve"> </w:t>
      </w:r>
      <w:r w:rsidR="002650A0" w:rsidRPr="0011747E">
        <w:t>begins</w:t>
      </w:r>
      <w:r w:rsidRPr="0011747E">
        <w:t xml:space="preserve"> when the Secretary </w:t>
      </w:r>
      <w:r w:rsidR="0015426E" w:rsidRPr="0011747E">
        <w:t>starts to</w:t>
      </w:r>
      <w:r w:rsidRPr="0011747E">
        <w:t xml:space="preserve"> finalise</w:t>
      </w:r>
      <w:r w:rsidR="0015426E" w:rsidRPr="0011747E">
        <w:t xml:space="preserve"> </w:t>
      </w:r>
      <w:r w:rsidRPr="0011747E">
        <w:t>the draft recommendation report, as required by subsection</w:t>
      </w:r>
      <w:r w:rsidR="0011747E" w:rsidRPr="0011747E">
        <w:t> </w:t>
      </w:r>
      <w:r w:rsidRPr="0011747E">
        <w:t>93(4) of the Act.</w:t>
      </w:r>
    </w:p>
    <w:p w:rsidR="009F00FF" w:rsidRPr="0011747E" w:rsidRDefault="002650A0" w:rsidP="009F00FF">
      <w:pPr>
        <w:pStyle w:val="Definition"/>
      </w:pPr>
      <w:r w:rsidRPr="0011747E">
        <w:rPr>
          <w:b/>
          <w:i/>
        </w:rPr>
        <w:t>stage 3</w:t>
      </w:r>
      <w:r w:rsidRPr="0011747E">
        <w:t xml:space="preserve"> begins</w:t>
      </w:r>
      <w:r w:rsidR="009F00FF" w:rsidRPr="0011747E">
        <w:t xml:space="preserve"> when the Secretary gives the Minister the finalised recommendation report, as required by subsection</w:t>
      </w:r>
      <w:r w:rsidR="0011747E" w:rsidRPr="0011747E">
        <w:t> </w:t>
      </w:r>
      <w:r w:rsidR="009F00FF" w:rsidRPr="0011747E">
        <w:t>93(5) of the Act.</w:t>
      </w:r>
    </w:p>
    <w:p w:rsidR="001C0F58" w:rsidRPr="0011747E" w:rsidRDefault="001C0F58" w:rsidP="001C0F58">
      <w:pPr>
        <w:pStyle w:val="ActHead5"/>
      </w:pPr>
      <w:bookmarkStart w:id="38" w:name="_Toc396376240"/>
      <w:r w:rsidRPr="0011747E">
        <w:rPr>
          <w:rStyle w:val="CharSectno"/>
        </w:rPr>
        <w:t>5.1</w:t>
      </w:r>
      <w:r w:rsidR="002F125A" w:rsidRPr="0011747E">
        <w:rPr>
          <w:rStyle w:val="CharSectno"/>
        </w:rPr>
        <w:t>4</w:t>
      </w:r>
      <w:r w:rsidR="009F00FF" w:rsidRPr="0011747E">
        <w:rPr>
          <w:rStyle w:val="CharSectno"/>
        </w:rPr>
        <w:t>B</w:t>
      </w:r>
      <w:r w:rsidRPr="0011747E">
        <w:t xml:space="preserve">  </w:t>
      </w:r>
      <w:r w:rsidR="00397644" w:rsidRPr="0011747E">
        <w:t>Base fee</w:t>
      </w:r>
      <w:r w:rsidR="009F00FF" w:rsidRPr="0011747E">
        <w:t xml:space="preserve"> payable in stages</w:t>
      </w:r>
      <w:bookmarkEnd w:id="38"/>
    </w:p>
    <w:p w:rsidR="00397644" w:rsidRPr="0011747E" w:rsidRDefault="002F125A" w:rsidP="00397644">
      <w:pPr>
        <w:pStyle w:val="subsection"/>
      </w:pPr>
      <w:r w:rsidRPr="0011747E">
        <w:tab/>
        <w:t>(1)</w:t>
      </w:r>
      <w:r w:rsidRPr="0011747E">
        <w:tab/>
      </w:r>
      <w:r w:rsidR="00A67913" w:rsidRPr="0011747E">
        <w:t>The</w:t>
      </w:r>
      <w:r w:rsidR="005043EE" w:rsidRPr="0011747E">
        <w:t xml:space="preserve"> </w:t>
      </w:r>
      <w:r w:rsidR="00397644" w:rsidRPr="0011747E">
        <w:t>base</w:t>
      </w:r>
      <w:r w:rsidR="005043EE" w:rsidRPr="0011747E">
        <w:t xml:space="preserve"> </w:t>
      </w:r>
      <w:r w:rsidR="00A67913" w:rsidRPr="0011747E">
        <w:t>fee</w:t>
      </w:r>
      <w:r w:rsidR="005043EE" w:rsidRPr="0011747E">
        <w:t xml:space="preserve"> </w:t>
      </w:r>
      <w:r w:rsidR="00397644" w:rsidRPr="0011747E">
        <w:t xml:space="preserve">for the assessment of the action </w:t>
      </w:r>
      <w:r w:rsidR="005043EE" w:rsidRPr="0011747E">
        <w:t xml:space="preserve">is </w:t>
      </w:r>
      <w:r w:rsidR="00397644" w:rsidRPr="0011747E">
        <w:t>payable in 3 stages, before each stage begins.</w:t>
      </w:r>
    </w:p>
    <w:p w:rsidR="00397644" w:rsidRPr="0011747E" w:rsidRDefault="00397644" w:rsidP="00397644">
      <w:pPr>
        <w:pStyle w:val="subsection"/>
      </w:pPr>
      <w:r w:rsidRPr="0011747E">
        <w:tab/>
        <w:t>(2)</w:t>
      </w:r>
      <w:r w:rsidRPr="0011747E">
        <w:tab/>
        <w:t>The amount of the base fee payable for each stage is set out in the following table:</w:t>
      </w:r>
    </w:p>
    <w:p w:rsidR="00397644" w:rsidRPr="0011747E" w:rsidRDefault="00397644" w:rsidP="00397644">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397644" w:rsidRPr="0011747E" w:rsidTr="0042336C">
        <w:trPr>
          <w:tblHeader/>
        </w:trPr>
        <w:tc>
          <w:tcPr>
            <w:tcW w:w="4110" w:type="dxa"/>
            <w:gridSpan w:val="3"/>
            <w:tcBorders>
              <w:top w:val="single" w:sz="12" w:space="0" w:color="auto"/>
              <w:bottom w:val="single" w:sz="6" w:space="0" w:color="auto"/>
            </w:tcBorders>
            <w:shd w:val="clear" w:color="auto" w:fill="auto"/>
          </w:tcPr>
          <w:p w:rsidR="00397644" w:rsidRPr="0011747E" w:rsidRDefault="00F473C6" w:rsidP="00F473C6">
            <w:pPr>
              <w:pStyle w:val="TableHeading"/>
              <w:ind w:left="33"/>
            </w:pPr>
            <w:r w:rsidRPr="0011747E">
              <w:t>Base f</w:t>
            </w:r>
            <w:r w:rsidR="00397644" w:rsidRPr="0011747E">
              <w:t>ee for assessment on referral information</w:t>
            </w:r>
          </w:p>
        </w:tc>
      </w:tr>
      <w:tr w:rsidR="00397644" w:rsidRPr="0011747E" w:rsidTr="0042336C">
        <w:trPr>
          <w:tblHeader/>
        </w:trPr>
        <w:tc>
          <w:tcPr>
            <w:tcW w:w="714" w:type="dxa"/>
            <w:tcBorders>
              <w:top w:val="single" w:sz="6" w:space="0" w:color="auto"/>
              <w:bottom w:val="single" w:sz="12" w:space="0" w:color="auto"/>
            </w:tcBorders>
            <w:shd w:val="clear" w:color="auto" w:fill="auto"/>
          </w:tcPr>
          <w:p w:rsidR="00397644" w:rsidRPr="0011747E" w:rsidRDefault="00397644"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397644" w:rsidRPr="0011747E" w:rsidRDefault="00397644"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397644" w:rsidRPr="0011747E" w:rsidRDefault="00397644" w:rsidP="00836667">
            <w:pPr>
              <w:pStyle w:val="TableHeading"/>
              <w:ind w:left="420" w:hanging="420"/>
              <w:jc w:val="right"/>
            </w:pPr>
            <w:r w:rsidRPr="0011747E">
              <w:t>Amount payable</w:t>
            </w:r>
          </w:p>
        </w:tc>
      </w:tr>
      <w:tr w:rsidR="00397644" w:rsidRPr="0011747E" w:rsidTr="0042336C">
        <w:tc>
          <w:tcPr>
            <w:tcW w:w="714" w:type="dxa"/>
            <w:tcBorders>
              <w:top w:val="single" w:sz="12" w:space="0" w:color="auto"/>
            </w:tcBorders>
            <w:shd w:val="clear" w:color="auto" w:fill="auto"/>
          </w:tcPr>
          <w:p w:rsidR="00397644" w:rsidRPr="0011747E" w:rsidRDefault="00397644" w:rsidP="00110D1B">
            <w:pPr>
              <w:pStyle w:val="Tabletext"/>
            </w:pPr>
            <w:r w:rsidRPr="0011747E">
              <w:t>1</w:t>
            </w:r>
          </w:p>
        </w:tc>
        <w:tc>
          <w:tcPr>
            <w:tcW w:w="1695" w:type="dxa"/>
            <w:tcBorders>
              <w:top w:val="single" w:sz="12" w:space="0" w:color="auto"/>
            </w:tcBorders>
            <w:shd w:val="clear" w:color="auto" w:fill="auto"/>
          </w:tcPr>
          <w:p w:rsidR="00397644" w:rsidRPr="0011747E" w:rsidRDefault="00397644" w:rsidP="00110D1B">
            <w:pPr>
              <w:pStyle w:val="Tabletext"/>
            </w:pPr>
            <w:r w:rsidRPr="0011747E">
              <w:t>stage 1</w:t>
            </w:r>
          </w:p>
        </w:tc>
        <w:tc>
          <w:tcPr>
            <w:tcW w:w="1701" w:type="dxa"/>
            <w:tcBorders>
              <w:top w:val="single" w:sz="12" w:space="0" w:color="auto"/>
            </w:tcBorders>
            <w:shd w:val="clear" w:color="auto" w:fill="auto"/>
          </w:tcPr>
          <w:p w:rsidR="00397644" w:rsidRPr="0011747E" w:rsidRDefault="007E7F5B" w:rsidP="00836667">
            <w:pPr>
              <w:pStyle w:val="Tabletext"/>
              <w:jc w:val="right"/>
            </w:pPr>
            <w:r w:rsidRPr="0011747E">
              <w:t>$4</w:t>
            </w:r>
            <w:r w:rsidR="0011747E" w:rsidRPr="0011747E">
              <w:t> </w:t>
            </w:r>
            <w:r w:rsidR="00397644" w:rsidRPr="0011747E">
              <w:t>784.00</w:t>
            </w:r>
          </w:p>
        </w:tc>
      </w:tr>
      <w:tr w:rsidR="00397644" w:rsidRPr="0011747E" w:rsidTr="0042336C">
        <w:tc>
          <w:tcPr>
            <w:tcW w:w="714" w:type="dxa"/>
            <w:tcBorders>
              <w:bottom w:val="single" w:sz="4" w:space="0" w:color="auto"/>
            </w:tcBorders>
            <w:shd w:val="clear" w:color="auto" w:fill="auto"/>
          </w:tcPr>
          <w:p w:rsidR="00397644" w:rsidRPr="0011747E" w:rsidRDefault="00397644" w:rsidP="00110D1B">
            <w:pPr>
              <w:pStyle w:val="Tabletext"/>
            </w:pPr>
            <w:r w:rsidRPr="0011747E">
              <w:t>2</w:t>
            </w:r>
          </w:p>
        </w:tc>
        <w:tc>
          <w:tcPr>
            <w:tcW w:w="1695" w:type="dxa"/>
            <w:tcBorders>
              <w:bottom w:val="single" w:sz="4" w:space="0" w:color="auto"/>
            </w:tcBorders>
            <w:shd w:val="clear" w:color="auto" w:fill="auto"/>
          </w:tcPr>
          <w:p w:rsidR="00397644" w:rsidRPr="0011747E" w:rsidRDefault="00397644" w:rsidP="00110D1B">
            <w:pPr>
              <w:pStyle w:val="Tabletext"/>
            </w:pPr>
            <w:r w:rsidRPr="0011747E">
              <w:t>stage 2</w:t>
            </w:r>
          </w:p>
        </w:tc>
        <w:tc>
          <w:tcPr>
            <w:tcW w:w="1701" w:type="dxa"/>
            <w:tcBorders>
              <w:bottom w:val="single" w:sz="4" w:space="0" w:color="auto"/>
            </w:tcBorders>
            <w:shd w:val="clear" w:color="auto" w:fill="auto"/>
          </w:tcPr>
          <w:p w:rsidR="00397644" w:rsidRPr="0011747E" w:rsidRDefault="007E7F5B" w:rsidP="00836667">
            <w:pPr>
              <w:pStyle w:val="Tabletext"/>
              <w:jc w:val="right"/>
            </w:pPr>
            <w:r w:rsidRPr="0011747E">
              <w:t>$2</w:t>
            </w:r>
            <w:r w:rsidR="0011747E" w:rsidRPr="0011747E">
              <w:t> </w:t>
            </w:r>
            <w:r w:rsidR="00397644" w:rsidRPr="0011747E">
              <w:t>878.00</w:t>
            </w:r>
          </w:p>
        </w:tc>
      </w:tr>
      <w:tr w:rsidR="00397644" w:rsidRPr="0011747E" w:rsidTr="0042336C">
        <w:tc>
          <w:tcPr>
            <w:tcW w:w="714" w:type="dxa"/>
            <w:tcBorders>
              <w:bottom w:val="single" w:sz="12" w:space="0" w:color="auto"/>
            </w:tcBorders>
            <w:shd w:val="clear" w:color="auto" w:fill="auto"/>
          </w:tcPr>
          <w:p w:rsidR="00397644" w:rsidRPr="0011747E" w:rsidRDefault="00397644" w:rsidP="00110D1B">
            <w:pPr>
              <w:pStyle w:val="Tabletext"/>
            </w:pPr>
            <w:r w:rsidRPr="0011747E">
              <w:t>3</w:t>
            </w:r>
          </w:p>
        </w:tc>
        <w:tc>
          <w:tcPr>
            <w:tcW w:w="1695" w:type="dxa"/>
            <w:tcBorders>
              <w:bottom w:val="single" w:sz="12" w:space="0" w:color="auto"/>
            </w:tcBorders>
            <w:shd w:val="clear" w:color="auto" w:fill="auto"/>
          </w:tcPr>
          <w:p w:rsidR="00397644" w:rsidRPr="0011747E" w:rsidRDefault="00397644" w:rsidP="00110D1B">
            <w:pPr>
              <w:pStyle w:val="Tabletext"/>
            </w:pPr>
            <w:r w:rsidRPr="0011747E">
              <w:t>stage 3</w:t>
            </w:r>
          </w:p>
        </w:tc>
        <w:tc>
          <w:tcPr>
            <w:tcW w:w="1701" w:type="dxa"/>
            <w:tcBorders>
              <w:bottom w:val="single" w:sz="12" w:space="0" w:color="auto"/>
            </w:tcBorders>
            <w:shd w:val="clear" w:color="auto" w:fill="auto"/>
          </w:tcPr>
          <w:p w:rsidR="00397644" w:rsidRPr="0011747E" w:rsidRDefault="007E7F5B" w:rsidP="00836667">
            <w:pPr>
              <w:pStyle w:val="Tabletext"/>
              <w:jc w:val="right"/>
            </w:pPr>
            <w:r w:rsidRPr="0011747E">
              <w:t>$1</w:t>
            </w:r>
            <w:r w:rsidR="0011747E" w:rsidRPr="0011747E">
              <w:t> </w:t>
            </w:r>
            <w:r w:rsidR="00397644" w:rsidRPr="0011747E">
              <w:t>755.00</w:t>
            </w:r>
          </w:p>
        </w:tc>
      </w:tr>
    </w:tbl>
    <w:p w:rsidR="0042336C" w:rsidRPr="0011747E" w:rsidRDefault="0042336C" w:rsidP="0042336C">
      <w:pPr>
        <w:pStyle w:val="Tabletext"/>
      </w:pPr>
    </w:p>
    <w:p w:rsidR="00FC709F" w:rsidRPr="0011747E" w:rsidRDefault="00FC709F" w:rsidP="00FC709F">
      <w:pPr>
        <w:pStyle w:val="ActHead5"/>
      </w:pPr>
      <w:bookmarkStart w:id="39" w:name="_Toc396376241"/>
      <w:r w:rsidRPr="0011747E">
        <w:rPr>
          <w:rStyle w:val="CharSectno"/>
        </w:rPr>
        <w:t>5.1</w:t>
      </w:r>
      <w:r w:rsidR="002203C8" w:rsidRPr="0011747E">
        <w:rPr>
          <w:rStyle w:val="CharSectno"/>
        </w:rPr>
        <w:t>4C</w:t>
      </w:r>
      <w:r w:rsidRPr="0011747E">
        <w:t xml:space="preserve">  </w:t>
      </w:r>
      <w:r w:rsidR="008D32E4" w:rsidRPr="0011747E">
        <w:t>Complexity f</w:t>
      </w:r>
      <w:r w:rsidR="00FE30D6" w:rsidRPr="0011747E">
        <w:t>ee payable in stages</w:t>
      </w:r>
      <w:bookmarkEnd w:id="39"/>
    </w:p>
    <w:p w:rsidR="00FE30D6" w:rsidRPr="0011747E" w:rsidRDefault="005043EE" w:rsidP="005043EE">
      <w:pPr>
        <w:pStyle w:val="subsection"/>
      </w:pPr>
      <w:r w:rsidRPr="0011747E">
        <w:tab/>
      </w:r>
      <w:r w:rsidR="00FE30D6" w:rsidRPr="0011747E">
        <w:t>(1</w:t>
      </w:r>
      <w:r w:rsidRPr="0011747E">
        <w:t>)</w:t>
      </w:r>
      <w:r w:rsidRPr="0011747E">
        <w:tab/>
        <w:t xml:space="preserve">The </w:t>
      </w:r>
      <w:r w:rsidR="009F00FF" w:rsidRPr="0011747E">
        <w:t>complexity</w:t>
      </w:r>
      <w:r w:rsidR="00FE30D6" w:rsidRPr="0011747E">
        <w:t xml:space="preserve"> </w:t>
      </w:r>
      <w:r w:rsidRPr="0011747E">
        <w:t>fee for the assessment</w:t>
      </w:r>
      <w:r w:rsidR="00F01C90" w:rsidRPr="0011747E">
        <w:t xml:space="preserve"> of the action</w:t>
      </w:r>
      <w:r w:rsidRPr="0011747E">
        <w:t xml:space="preserve"> </w:t>
      </w:r>
      <w:r w:rsidR="00FE30D6" w:rsidRPr="0011747E">
        <w:t>is</w:t>
      </w:r>
      <w:r w:rsidRPr="0011747E">
        <w:t xml:space="preserve"> payable in 3 stages, before each stage begins</w:t>
      </w:r>
      <w:r w:rsidR="00FE30D6" w:rsidRPr="0011747E">
        <w:t>.</w:t>
      </w:r>
    </w:p>
    <w:p w:rsidR="00041B24" w:rsidRPr="0011747E" w:rsidRDefault="00041B24" w:rsidP="00041B24">
      <w:pPr>
        <w:pStyle w:val="subsection"/>
      </w:pPr>
      <w:r w:rsidRPr="0011747E">
        <w:tab/>
        <w:t>(2)</w:t>
      </w:r>
      <w:r w:rsidRPr="0011747E">
        <w:tab/>
        <w:t xml:space="preserve">The percentage of the </w:t>
      </w:r>
      <w:r w:rsidR="00AB7D0A" w:rsidRPr="0011747E">
        <w:t>complexity</w:t>
      </w:r>
      <w:r w:rsidRPr="0011747E">
        <w:t xml:space="preserve"> fee payable for each stage is set out in the following table:</w:t>
      </w:r>
    </w:p>
    <w:p w:rsidR="00041B24" w:rsidRPr="0011747E" w:rsidRDefault="00041B24" w:rsidP="00041B24">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041B24" w:rsidRPr="0011747E" w:rsidTr="0042336C">
        <w:trPr>
          <w:tblHeader/>
        </w:trPr>
        <w:tc>
          <w:tcPr>
            <w:tcW w:w="4110" w:type="dxa"/>
            <w:gridSpan w:val="3"/>
            <w:tcBorders>
              <w:top w:val="single" w:sz="12" w:space="0" w:color="auto"/>
              <w:bottom w:val="single" w:sz="6" w:space="0" w:color="auto"/>
            </w:tcBorders>
            <w:shd w:val="clear" w:color="auto" w:fill="auto"/>
          </w:tcPr>
          <w:p w:rsidR="00041B24" w:rsidRPr="0011747E" w:rsidRDefault="00F473C6" w:rsidP="00F473C6">
            <w:pPr>
              <w:pStyle w:val="TableHeading"/>
              <w:ind w:left="33"/>
            </w:pPr>
            <w:r w:rsidRPr="0011747E">
              <w:t xml:space="preserve">Complexity fee </w:t>
            </w:r>
            <w:r w:rsidR="00041B24" w:rsidRPr="0011747E">
              <w:t>for assessment on referral information</w:t>
            </w:r>
          </w:p>
        </w:tc>
      </w:tr>
      <w:tr w:rsidR="00041B24" w:rsidRPr="0011747E" w:rsidTr="0042336C">
        <w:trPr>
          <w:tblHeader/>
        </w:trPr>
        <w:tc>
          <w:tcPr>
            <w:tcW w:w="714" w:type="dxa"/>
            <w:tcBorders>
              <w:top w:val="single" w:sz="6" w:space="0" w:color="auto"/>
              <w:bottom w:val="single" w:sz="12" w:space="0" w:color="auto"/>
            </w:tcBorders>
            <w:shd w:val="clear" w:color="auto" w:fill="auto"/>
          </w:tcPr>
          <w:p w:rsidR="00041B24" w:rsidRPr="0011747E" w:rsidRDefault="00041B24"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041B24" w:rsidRPr="0011747E" w:rsidRDefault="0079776B"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041B24" w:rsidRPr="0011747E" w:rsidRDefault="0079776B" w:rsidP="00836667">
            <w:pPr>
              <w:pStyle w:val="TableHeading"/>
              <w:ind w:left="420" w:hanging="420"/>
              <w:jc w:val="right"/>
            </w:pPr>
            <w:r w:rsidRPr="0011747E">
              <w:t>Percentage payable</w:t>
            </w:r>
          </w:p>
        </w:tc>
      </w:tr>
      <w:tr w:rsidR="00041B24" w:rsidRPr="0011747E" w:rsidTr="0042336C">
        <w:tc>
          <w:tcPr>
            <w:tcW w:w="714" w:type="dxa"/>
            <w:tcBorders>
              <w:top w:val="single" w:sz="12" w:space="0" w:color="auto"/>
            </w:tcBorders>
            <w:shd w:val="clear" w:color="auto" w:fill="auto"/>
          </w:tcPr>
          <w:p w:rsidR="00041B24" w:rsidRPr="0011747E" w:rsidRDefault="00041B24" w:rsidP="007B7E9B">
            <w:pPr>
              <w:pStyle w:val="Tabletext"/>
            </w:pPr>
            <w:r w:rsidRPr="0011747E">
              <w:t>1</w:t>
            </w:r>
          </w:p>
        </w:tc>
        <w:tc>
          <w:tcPr>
            <w:tcW w:w="1695" w:type="dxa"/>
            <w:tcBorders>
              <w:top w:val="single" w:sz="12" w:space="0" w:color="auto"/>
            </w:tcBorders>
            <w:shd w:val="clear" w:color="auto" w:fill="auto"/>
          </w:tcPr>
          <w:p w:rsidR="00041B24" w:rsidRPr="0011747E" w:rsidRDefault="0079776B" w:rsidP="007B7E9B">
            <w:pPr>
              <w:pStyle w:val="Tabletext"/>
            </w:pPr>
            <w:r w:rsidRPr="0011747E">
              <w:t>s</w:t>
            </w:r>
            <w:r w:rsidR="00041B24" w:rsidRPr="0011747E">
              <w:t>tage 1</w:t>
            </w:r>
          </w:p>
        </w:tc>
        <w:tc>
          <w:tcPr>
            <w:tcW w:w="1701" w:type="dxa"/>
            <w:tcBorders>
              <w:top w:val="single" w:sz="12" w:space="0" w:color="auto"/>
            </w:tcBorders>
            <w:shd w:val="clear" w:color="auto" w:fill="auto"/>
          </w:tcPr>
          <w:p w:rsidR="00041B24" w:rsidRPr="0011747E" w:rsidRDefault="00041B24" w:rsidP="00836667">
            <w:pPr>
              <w:pStyle w:val="Tabletext"/>
              <w:jc w:val="right"/>
            </w:pPr>
            <w:r w:rsidRPr="0011747E">
              <w:t>51%</w:t>
            </w:r>
          </w:p>
        </w:tc>
      </w:tr>
      <w:tr w:rsidR="00041B24" w:rsidRPr="0011747E" w:rsidTr="0042336C">
        <w:tc>
          <w:tcPr>
            <w:tcW w:w="714" w:type="dxa"/>
            <w:tcBorders>
              <w:bottom w:val="single" w:sz="4" w:space="0" w:color="auto"/>
            </w:tcBorders>
            <w:shd w:val="clear" w:color="auto" w:fill="auto"/>
          </w:tcPr>
          <w:p w:rsidR="00041B24" w:rsidRPr="0011747E" w:rsidRDefault="00041B24" w:rsidP="007B7E9B">
            <w:pPr>
              <w:pStyle w:val="Tabletext"/>
            </w:pPr>
            <w:r w:rsidRPr="0011747E">
              <w:t>2</w:t>
            </w:r>
          </w:p>
        </w:tc>
        <w:tc>
          <w:tcPr>
            <w:tcW w:w="1695" w:type="dxa"/>
            <w:tcBorders>
              <w:bottom w:val="single" w:sz="4" w:space="0" w:color="auto"/>
            </w:tcBorders>
            <w:shd w:val="clear" w:color="auto" w:fill="auto"/>
          </w:tcPr>
          <w:p w:rsidR="00041B24" w:rsidRPr="0011747E" w:rsidRDefault="0079776B" w:rsidP="007B7E9B">
            <w:pPr>
              <w:pStyle w:val="Tabletext"/>
            </w:pPr>
            <w:r w:rsidRPr="0011747E">
              <w:t>s</w:t>
            </w:r>
            <w:r w:rsidR="00041B24" w:rsidRPr="0011747E">
              <w:t>tage 2</w:t>
            </w:r>
          </w:p>
        </w:tc>
        <w:tc>
          <w:tcPr>
            <w:tcW w:w="1701" w:type="dxa"/>
            <w:tcBorders>
              <w:bottom w:val="single" w:sz="4" w:space="0" w:color="auto"/>
            </w:tcBorders>
            <w:shd w:val="clear" w:color="auto" w:fill="auto"/>
          </w:tcPr>
          <w:p w:rsidR="00041B24" w:rsidRPr="0011747E" w:rsidRDefault="00041B24" w:rsidP="00836667">
            <w:pPr>
              <w:pStyle w:val="Tabletext"/>
              <w:jc w:val="right"/>
            </w:pPr>
            <w:r w:rsidRPr="0011747E">
              <w:t>31%</w:t>
            </w:r>
          </w:p>
        </w:tc>
      </w:tr>
      <w:tr w:rsidR="00041B24" w:rsidRPr="0011747E" w:rsidTr="0042336C">
        <w:tc>
          <w:tcPr>
            <w:tcW w:w="714" w:type="dxa"/>
            <w:tcBorders>
              <w:bottom w:val="single" w:sz="12" w:space="0" w:color="auto"/>
            </w:tcBorders>
            <w:shd w:val="clear" w:color="auto" w:fill="auto"/>
          </w:tcPr>
          <w:p w:rsidR="00041B24" w:rsidRPr="0011747E" w:rsidRDefault="00041B24" w:rsidP="007B7E9B">
            <w:pPr>
              <w:pStyle w:val="Tabletext"/>
            </w:pPr>
            <w:r w:rsidRPr="0011747E">
              <w:t>3</w:t>
            </w:r>
          </w:p>
        </w:tc>
        <w:tc>
          <w:tcPr>
            <w:tcW w:w="1695" w:type="dxa"/>
            <w:tcBorders>
              <w:bottom w:val="single" w:sz="12" w:space="0" w:color="auto"/>
            </w:tcBorders>
            <w:shd w:val="clear" w:color="auto" w:fill="auto"/>
          </w:tcPr>
          <w:p w:rsidR="00041B24" w:rsidRPr="0011747E" w:rsidRDefault="0079776B" w:rsidP="007B7E9B">
            <w:pPr>
              <w:pStyle w:val="Tabletext"/>
            </w:pPr>
            <w:r w:rsidRPr="0011747E">
              <w:t>s</w:t>
            </w:r>
            <w:r w:rsidR="00041B24" w:rsidRPr="0011747E">
              <w:t>tage 3</w:t>
            </w:r>
          </w:p>
        </w:tc>
        <w:tc>
          <w:tcPr>
            <w:tcW w:w="1701" w:type="dxa"/>
            <w:tcBorders>
              <w:bottom w:val="single" w:sz="12" w:space="0" w:color="auto"/>
            </w:tcBorders>
            <w:shd w:val="clear" w:color="auto" w:fill="auto"/>
          </w:tcPr>
          <w:p w:rsidR="00041B24" w:rsidRPr="0011747E" w:rsidRDefault="00041B24" w:rsidP="00836667">
            <w:pPr>
              <w:pStyle w:val="Tabletext"/>
              <w:jc w:val="right"/>
            </w:pPr>
            <w:r w:rsidRPr="0011747E">
              <w:t>18%</w:t>
            </w:r>
          </w:p>
        </w:tc>
      </w:tr>
    </w:tbl>
    <w:p w:rsidR="00CF1767" w:rsidRPr="0011747E" w:rsidRDefault="00CF1767" w:rsidP="00CF1767">
      <w:pPr>
        <w:pStyle w:val="ActHead5"/>
      </w:pPr>
      <w:bookmarkStart w:id="40" w:name="_Toc396376242"/>
      <w:r w:rsidRPr="0011747E">
        <w:rPr>
          <w:rStyle w:val="CharSectno"/>
        </w:rPr>
        <w:t>5.14D</w:t>
      </w:r>
      <w:r w:rsidRPr="0011747E">
        <w:t xml:space="preserve">  Amount of components of complexity fee</w:t>
      </w:r>
      <w:bookmarkEnd w:id="40"/>
    </w:p>
    <w:p w:rsidR="00147846" w:rsidRPr="0011747E" w:rsidRDefault="00147846" w:rsidP="00147846">
      <w:pPr>
        <w:pStyle w:val="subsection"/>
      </w:pPr>
      <w:r w:rsidRPr="0011747E">
        <w:tab/>
        <w:t>(1)</w:t>
      </w:r>
      <w:r w:rsidRPr="0011747E">
        <w:tab/>
        <w:t>The amount of the fee payable for a</w:t>
      </w:r>
      <w:r w:rsidR="005B1018" w:rsidRPr="0011747E">
        <w:t>n application component,</w:t>
      </w:r>
      <w:r w:rsidRPr="0011747E">
        <w:t xml:space="preserve"> controlling provision component or legislative impact component of the complexity fee depends on the level of complexity determined for the component.</w:t>
      </w:r>
    </w:p>
    <w:p w:rsidR="002203C8" w:rsidRPr="0011747E" w:rsidRDefault="00CE7A7B" w:rsidP="002203C8">
      <w:pPr>
        <w:pStyle w:val="notetext"/>
      </w:pPr>
      <w:r w:rsidRPr="0011747E">
        <w:t>Note:</w:t>
      </w:r>
      <w:r w:rsidRPr="0011747E">
        <w:tab/>
        <w:t>See regulation</w:t>
      </w:r>
      <w:r w:rsidR="0011747E" w:rsidRPr="0011747E">
        <w:t> </w:t>
      </w:r>
      <w:r w:rsidR="002203C8" w:rsidRPr="0011747E">
        <w:t>5.12</w:t>
      </w:r>
      <w:r w:rsidR="00A920A6" w:rsidRPr="0011747E">
        <w:t>K</w:t>
      </w:r>
      <w:r w:rsidR="002203C8" w:rsidRPr="0011747E">
        <w:t>.</w:t>
      </w:r>
    </w:p>
    <w:p w:rsidR="009F00FF" w:rsidRPr="0011747E" w:rsidRDefault="00930F36" w:rsidP="009F00FF">
      <w:pPr>
        <w:pStyle w:val="subsection"/>
      </w:pPr>
      <w:r w:rsidRPr="0011747E">
        <w:tab/>
      </w:r>
      <w:r w:rsidR="00CF1767" w:rsidRPr="0011747E">
        <w:t>(2)</w:t>
      </w:r>
      <w:r w:rsidR="009F00FF" w:rsidRPr="0011747E">
        <w:tab/>
        <w:t xml:space="preserve">The amount of the </w:t>
      </w:r>
      <w:r w:rsidR="002203C8" w:rsidRPr="0011747E">
        <w:t>project component of the complexity</w:t>
      </w:r>
      <w:r w:rsidR="009F00FF" w:rsidRPr="0011747E">
        <w:t xml:space="preserve"> fee is:</w:t>
      </w:r>
    </w:p>
    <w:p w:rsidR="00CF1767" w:rsidRPr="0011747E" w:rsidRDefault="00CF1767" w:rsidP="00CF1767">
      <w:pPr>
        <w:pStyle w:val="paragraph"/>
      </w:pPr>
      <w:r w:rsidRPr="0011747E">
        <w:tab/>
        <w:t>(a)</w:t>
      </w:r>
      <w:r w:rsidRPr="0011747E">
        <w:tab/>
        <w:t xml:space="preserve">if there is </w:t>
      </w:r>
      <w:r w:rsidR="00901800" w:rsidRPr="0011747E">
        <w:t>one</w:t>
      </w:r>
      <w:r w:rsidRPr="0011747E">
        <w:t xml:space="preserve"> project component—nil; and</w:t>
      </w:r>
    </w:p>
    <w:p w:rsidR="00930F36" w:rsidRPr="0011747E" w:rsidRDefault="00CF1767" w:rsidP="00930F36">
      <w:pPr>
        <w:pStyle w:val="paragraph"/>
      </w:pPr>
      <w:r w:rsidRPr="0011747E">
        <w:tab/>
        <w:t>(b)</w:t>
      </w:r>
      <w:r w:rsidRPr="0011747E">
        <w:tab/>
      </w:r>
      <w:r w:rsidR="00930F36" w:rsidRPr="0011747E">
        <w:t>if th</w:t>
      </w:r>
      <w:r w:rsidR="001C7332" w:rsidRPr="0011747E">
        <w:t>ere are 2 project components—$9</w:t>
      </w:r>
      <w:r w:rsidR="0011747E" w:rsidRPr="0011747E">
        <w:t> </w:t>
      </w:r>
      <w:r w:rsidR="00930F36" w:rsidRPr="0011747E">
        <w:t>417</w:t>
      </w:r>
      <w:r w:rsidR="001C7332" w:rsidRPr="0011747E">
        <w:t>.00</w:t>
      </w:r>
      <w:r w:rsidR="00930F36" w:rsidRPr="0011747E">
        <w:t>; and</w:t>
      </w:r>
    </w:p>
    <w:p w:rsidR="009F00FF" w:rsidRPr="0011747E" w:rsidRDefault="00CF1767" w:rsidP="009F00FF">
      <w:pPr>
        <w:pStyle w:val="paragraph"/>
      </w:pPr>
      <w:r w:rsidRPr="0011747E">
        <w:tab/>
        <w:t>(c)</w:t>
      </w:r>
      <w:r w:rsidRPr="0011747E">
        <w:tab/>
      </w:r>
      <w:r w:rsidR="009F00FF" w:rsidRPr="0011747E">
        <w:t xml:space="preserve">if </w:t>
      </w:r>
      <w:r w:rsidR="00930F36" w:rsidRPr="0011747E">
        <w:t xml:space="preserve">there are </w:t>
      </w:r>
      <w:r w:rsidR="009F00FF" w:rsidRPr="0011747E">
        <w:t>3</w:t>
      </w:r>
      <w:r w:rsidR="00930F36" w:rsidRPr="0011747E">
        <w:t xml:space="preserve"> project</w:t>
      </w:r>
      <w:r w:rsidR="001C7332" w:rsidRPr="0011747E">
        <w:t xml:space="preserve"> components—$18</w:t>
      </w:r>
      <w:r w:rsidR="0011747E" w:rsidRPr="0011747E">
        <w:t> </w:t>
      </w:r>
      <w:r w:rsidR="009F00FF" w:rsidRPr="0011747E">
        <w:t>834</w:t>
      </w:r>
      <w:r w:rsidR="001C7332" w:rsidRPr="0011747E">
        <w:t>.00</w:t>
      </w:r>
      <w:r w:rsidR="009F00FF" w:rsidRPr="0011747E">
        <w:t>; and</w:t>
      </w:r>
    </w:p>
    <w:p w:rsidR="009F00FF" w:rsidRPr="0011747E" w:rsidRDefault="00CF1767" w:rsidP="009F00FF">
      <w:pPr>
        <w:pStyle w:val="paragraph"/>
      </w:pPr>
      <w:r w:rsidRPr="0011747E">
        <w:tab/>
        <w:t>(d)</w:t>
      </w:r>
      <w:r w:rsidRPr="0011747E">
        <w:tab/>
      </w:r>
      <w:r w:rsidR="009F00FF" w:rsidRPr="0011747E">
        <w:t xml:space="preserve">if </w:t>
      </w:r>
      <w:r w:rsidR="00930F36" w:rsidRPr="0011747E">
        <w:t xml:space="preserve">there are </w:t>
      </w:r>
      <w:r w:rsidR="009F00FF" w:rsidRPr="0011747E">
        <w:t xml:space="preserve">more than 3 </w:t>
      </w:r>
      <w:r w:rsidR="00930F36" w:rsidRPr="0011747E">
        <w:t xml:space="preserve">project </w:t>
      </w:r>
      <w:r w:rsidR="009F00FF" w:rsidRPr="0011747E">
        <w:t>components—the amount worked out using the following formula:</w:t>
      </w:r>
    </w:p>
    <w:p w:rsidR="009F00FF" w:rsidRPr="0011747E" w:rsidRDefault="009F00FF" w:rsidP="009F00FF">
      <w:pPr>
        <w:pStyle w:val="paragraph"/>
      </w:pPr>
      <w:r w:rsidRPr="0011747E">
        <w:tab/>
      </w:r>
      <w:r w:rsidRPr="0011747E">
        <w:tab/>
      </w:r>
      <w:bookmarkStart w:id="41" w:name="BKCheck15B_6"/>
      <w:bookmarkEnd w:id="41"/>
      <w:r w:rsidR="00176BEE" w:rsidRPr="0011747E">
        <w:rPr>
          <w:position w:val="-36"/>
        </w:rPr>
        <w:object w:dxaOrig="3280" w:dyaOrig="820">
          <v:shape id="_x0000_i1026" type="#_x0000_t75" style="width:163.5pt;height:40.5pt" o:ole="">
            <v:imagedata r:id="rId23" o:title=""/>
          </v:shape>
          <o:OLEObject Type="Embed" ProgID="Equation.DSMT4" ShapeID="_x0000_i1026" DrawAspect="Content" ObjectID="_1471073958" r:id="rId24"/>
        </w:object>
      </w:r>
    </w:p>
    <w:p w:rsidR="007B57F4" w:rsidRPr="0011747E" w:rsidRDefault="007B57F4" w:rsidP="007B57F4">
      <w:pPr>
        <w:pStyle w:val="ActHead5"/>
      </w:pPr>
      <w:bookmarkStart w:id="42" w:name="_Toc396376243"/>
      <w:r w:rsidRPr="0011747E">
        <w:rPr>
          <w:rStyle w:val="CharSectno"/>
        </w:rPr>
        <w:t>5.1</w:t>
      </w:r>
      <w:r w:rsidR="00500A8B" w:rsidRPr="0011747E">
        <w:rPr>
          <w:rStyle w:val="CharSectno"/>
        </w:rPr>
        <w:t>4</w:t>
      </w:r>
      <w:r w:rsidRPr="0011747E">
        <w:rPr>
          <w:rStyle w:val="CharSectno"/>
        </w:rPr>
        <w:t>E</w:t>
      </w:r>
      <w:r w:rsidRPr="0011747E">
        <w:t xml:space="preserve">  Method for working out complexity fee</w:t>
      </w:r>
      <w:bookmarkEnd w:id="42"/>
    </w:p>
    <w:p w:rsidR="0014063D" w:rsidRPr="0011747E" w:rsidRDefault="007B57F4" w:rsidP="007B57F4">
      <w:pPr>
        <w:pStyle w:val="subsection"/>
      </w:pPr>
      <w:r w:rsidRPr="0011747E">
        <w:tab/>
      </w:r>
      <w:r w:rsidRPr="0011747E">
        <w:tab/>
        <w:t xml:space="preserve">For </w:t>
      </w:r>
      <w:r w:rsidR="00554893" w:rsidRPr="0011747E">
        <w:t>paragraph</w:t>
      </w:r>
      <w:r w:rsidR="0011747E" w:rsidRPr="0011747E">
        <w:t> </w:t>
      </w:r>
      <w:r w:rsidR="00E83D70" w:rsidRPr="0011747E">
        <w:t>520</w:t>
      </w:r>
      <w:r w:rsidR="00554893" w:rsidRPr="0011747E">
        <w:t>(</w:t>
      </w:r>
      <w:r w:rsidRPr="0011747E">
        <w:t>4C)(c) of the Act, the sum of</w:t>
      </w:r>
      <w:r w:rsidR="0014063D" w:rsidRPr="0011747E">
        <w:t xml:space="preserve"> the following</w:t>
      </w:r>
      <w:r w:rsidR="00245DB1" w:rsidRPr="0011747E">
        <w:t xml:space="preserve"> fees is the</w:t>
      </w:r>
      <w:r w:rsidR="0014063D" w:rsidRPr="0011747E">
        <w:t xml:space="preserve"> method for working out the complexity fee referred to in regulat</w:t>
      </w:r>
      <w:r w:rsidR="00CE7A7B" w:rsidRPr="0011747E">
        <w:t>ion</w:t>
      </w:r>
      <w:r w:rsidR="0011747E" w:rsidRPr="0011747E">
        <w:t> </w:t>
      </w:r>
      <w:r w:rsidR="0014063D" w:rsidRPr="0011747E">
        <w:t>5.14C:</w:t>
      </w:r>
    </w:p>
    <w:p w:rsidR="0014063D" w:rsidRPr="0011747E" w:rsidRDefault="0014063D" w:rsidP="0014063D">
      <w:pPr>
        <w:pStyle w:val="paragraph"/>
      </w:pPr>
      <w:r w:rsidRPr="0011747E">
        <w:tab/>
        <w:t>(a)</w:t>
      </w:r>
      <w:r w:rsidRPr="0011747E">
        <w:tab/>
        <w:t>if applicable—the fee for each applicable cont</w:t>
      </w:r>
      <w:r w:rsidR="00A73D98" w:rsidRPr="0011747E">
        <w:t>rolling provision component;</w:t>
      </w:r>
    </w:p>
    <w:p w:rsidR="0014063D" w:rsidRPr="0011747E" w:rsidRDefault="0014063D" w:rsidP="0014063D">
      <w:pPr>
        <w:pStyle w:val="paragraph"/>
      </w:pPr>
      <w:r w:rsidRPr="0011747E">
        <w:tab/>
        <w:t>(b)</w:t>
      </w:r>
      <w:r w:rsidRPr="0011747E">
        <w:tab/>
        <w:t>if applicable—the fee for the l</w:t>
      </w:r>
      <w:r w:rsidR="00A73D98" w:rsidRPr="0011747E">
        <w:t>egislative impact component;</w:t>
      </w:r>
    </w:p>
    <w:p w:rsidR="0014063D" w:rsidRPr="0011747E" w:rsidRDefault="0014063D" w:rsidP="0014063D">
      <w:pPr>
        <w:pStyle w:val="paragraph"/>
      </w:pPr>
      <w:r w:rsidRPr="0011747E">
        <w:tab/>
        <w:t>(c)</w:t>
      </w:r>
      <w:r w:rsidRPr="0011747E">
        <w:tab/>
        <w:t>if applicable—the fee for the relevant n</w:t>
      </w:r>
      <w:r w:rsidR="00A73D98" w:rsidRPr="0011747E">
        <w:t>umber of project components;</w:t>
      </w:r>
    </w:p>
    <w:p w:rsidR="0014063D" w:rsidRPr="0011747E" w:rsidRDefault="0014063D" w:rsidP="0014063D">
      <w:pPr>
        <w:pStyle w:val="paragraph"/>
      </w:pPr>
      <w:r w:rsidRPr="0011747E">
        <w:tab/>
        <w:t>(d)</w:t>
      </w:r>
      <w:r w:rsidRPr="0011747E">
        <w:tab/>
        <w:t>if applicable—the fee for the exceptional case component.</w:t>
      </w:r>
    </w:p>
    <w:p w:rsidR="00C253CA" w:rsidRPr="0011747E" w:rsidRDefault="00836103" w:rsidP="00F417C1">
      <w:pPr>
        <w:pStyle w:val="ActHead4"/>
      </w:pPr>
      <w:bookmarkStart w:id="43" w:name="_Toc396376244"/>
      <w:r w:rsidRPr="0011747E">
        <w:rPr>
          <w:rStyle w:val="CharSubdNo"/>
        </w:rPr>
        <w:t xml:space="preserve">Subdivision </w:t>
      </w:r>
      <w:r w:rsidR="00A920A6" w:rsidRPr="0011747E">
        <w:rPr>
          <w:rStyle w:val="CharSubdNo"/>
        </w:rPr>
        <w:t>E</w:t>
      </w:r>
      <w:r w:rsidR="00F417C1" w:rsidRPr="0011747E">
        <w:t>—</w:t>
      </w:r>
      <w:r w:rsidR="00455970" w:rsidRPr="0011747E">
        <w:rPr>
          <w:rStyle w:val="CharSubdText"/>
        </w:rPr>
        <w:t>Assessment on preliminary documentation</w:t>
      </w:r>
      <w:bookmarkEnd w:id="43"/>
    </w:p>
    <w:p w:rsidR="002F125A" w:rsidRPr="0011747E" w:rsidRDefault="00F14465" w:rsidP="00DC19F4">
      <w:pPr>
        <w:pStyle w:val="ActHead5"/>
      </w:pPr>
      <w:bookmarkStart w:id="44" w:name="_Toc396376245"/>
      <w:r w:rsidRPr="0011747E">
        <w:rPr>
          <w:rStyle w:val="CharSectno"/>
        </w:rPr>
        <w:t>5.1</w:t>
      </w:r>
      <w:r w:rsidR="002F125A" w:rsidRPr="0011747E">
        <w:rPr>
          <w:rStyle w:val="CharSectno"/>
        </w:rPr>
        <w:t>5</w:t>
      </w:r>
      <w:r w:rsidR="002F125A" w:rsidRPr="0011747E">
        <w:t xml:space="preserve">  Application</w:t>
      </w:r>
      <w:bookmarkEnd w:id="44"/>
    </w:p>
    <w:p w:rsidR="002F125A" w:rsidRPr="0011747E" w:rsidRDefault="002F125A" w:rsidP="002F125A">
      <w:pPr>
        <w:pStyle w:val="subsection"/>
      </w:pPr>
      <w:r w:rsidRPr="0011747E">
        <w:tab/>
      </w:r>
      <w:r w:rsidRPr="0011747E">
        <w:tab/>
        <w:t xml:space="preserve">This </w:t>
      </w:r>
      <w:r w:rsidR="00C17DD3" w:rsidRPr="0011747E">
        <w:t>Subdivision</w:t>
      </w:r>
      <w:r w:rsidRPr="0011747E">
        <w:t xml:space="preserve"> applies if the Minister has decided under section</w:t>
      </w:r>
      <w:r w:rsidR="0011747E" w:rsidRPr="0011747E">
        <w:t> </w:t>
      </w:r>
      <w:r w:rsidRPr="0011747E">
        <w:t>87 of the Act that</w:t>
      </w:r>
      <w:r w:rsidR="001B108D" w:rsidRPr="0011747E">
        <w:t xml:space="preserve"> </w:t>
      </w:r>
      <w:r w:rsidRPr="0011747E">
        <w:t>the relevant impacts of an action are to be assessed by assessment on preliminary documentation under Division</w:t>
      </w:r>
      <w:r w:rsidR="0011747E" w:rsidRPr="0011747E">
        <w:t> </w:t>
      </w:r>
      <w:r w:rsidRPr="0011747E">
        <w:t>4 of</w:t>
      </w:r>
      <w:r w:rsidR="00196F5D" w:rsidRPr="0011747E">
        <w:t xml:space="preserve"> Part</w:t>
      </w:r>
      <w:r w:rsidR="0011747E" w:rsidRPr="0011747E">
        <w:t> </w:t>
      </w:r>
      <w:r w:rsidR="00196F5D" w:rsidRPr="0011747E">
        <w:t>8 of</w:t>
      </w:r>
      <w:r w:rsidRPr="0011747E">
        <w:t xml:space="preserve"> the Act.</w:t>
      </w:r>
    </w:p>
    <w:p w:rsidR="00C17DD3" w:rsidRPr="0011747E" w:rsidRDefault="00C17DD3" w:rsidP="00DC19F4">
      <w:pPr>
        <w:pStyle w:val="ActHead5"/>
      </w:pPr>
      <w:bookmarkStart w:id="45" w:name="_Toc396376246"/>
      <w:r w:rsidRPr="0011747E">
        <w:rPr>
          <w:rStyle w:val="CharSectno"/>
        </w:rPr>
        <w:t>5.15A</w:t>
      </w:r>
      <w:r w:rsidRPr="0011747E">
        <w:t xml:space="preserve">  Definitions</w:t>
      </w:r>
      <w:bookmarkEnd w:id="45"/>
    </w:p>
    <w:p w:rsidR="00C17DD3" w:rsidRPr="0011747E" w:rsidRDefault="00C17DD3" w:rsidP="00C17DD3">
      <w:pPr>
        <w:pStyle w:val="subsection"/>
      </w:pPr>
      <w:r w:rsidRPr="0011747E">
        <w:tab/>
        <w:t>(1)</w:t>
      </w:r>
      <w:r w:rsidRPr="0011747E">
        <w:tab/>
        <w:t>In this Subdivision:</w:t>
      </w:r>
    </w:p>
    <w:p w:rsidR="00C17DD3" w:rsidRPr="0011747E" w:rsidRDefault="00C17DD3" w:rsidP="00C17DD3">
      <w:pPr>
        <w:pStyle w:val="Definition"/>
      </w:pPr>
      <w:r w:rsidRPr="0011747E">
        <w:rPr>
          <w:b/>
          <w:i/>
        </w:rPr>
        <w:t>stage 1</w:t>
      </w:r>
      <w:r w:rsidRPr="0011747E">
        <w:t>:</w:t>
      </w:r>
    </w:p>
    <w:p w:rsidR="00C17DD3" w:rsidRPr="0011747E" w:rsidRDefault="00C17DD3" w:rsidP="00C17DD3">
      <w:pPr>
        <w:pStyle w:val="paragraph"/>
      </w:pPr>
      <w:r w:rsidRPr="0011747E">
        <w:tab/>
        <w:t>(a)</w:t>
      </w:r>
      <w:r w:rsidRPr="0011747E">
        <w:tab/>
        <w:t>if section</w:t>
      </w:r>
      <w:r w:rsidR="0011747E" w:rsidRPr="0011747E">
        <w:t> </w:t>
      </w:r>
      <w:r w:rsidRPr="0011747E">
        <w:t>95A of the Act applies—</w:t>
      </w:r>
      <w:r w:rsidR="00245DB1" w:rsidRPr="0011747E">
        <w:t xml:space="preserve">stage 1 </w:t>
      </w:r>
      <w:r w:rsidR="002650A0" w:rsidRPr="0011747E">
        <w:t>begins</w:t>
      </w:r>
      <w:r w:rsidR="00A73D98" w:rsidRPr="0011747E">
        <w:t xml:space="preserve"> when</w:t>
      </w:r>
      <w:r w:rsidRPr="0011747E">
        <w:t xml:space="preserve"> </w:t>
      </w:r>
      <w:r w:rsidR="00FF08D6" w:rsidRPr="0011747E">
        <w:t xml:space="preserve">the </w:t>
      </w:r>
      <w:r w:rsidR="0042360D" w:rsidRPr="0011747E">
        <w:t>Minister</w:t>
      </w:r>
      <w:r w:rsidR="00443C85" w:rsidRPr="0011747E">
        <w:t xml:space="preserve"> makes a request</w:t>
      </w:r>
      <w:r w:rsidR="0042360D" w:rsidRPr="0011747E">
        <w:t xml:space="preserve"> </w:t>
      </w:r>
      <w:r w:rsidRPr="0011747E">
        <w:t>under subsection</w:t>
      </w:r>
      <w:r w:rsidR="0011747E" w:rsidRPr="0011747E">
        <w:t> </w:t>
      </w:r>
      <w:r w:rsidRPr="0011747E">
        <w:t>95A(2) of the Act; and</w:t>
      </w:r>
    </w:p>
    <w:p w:rsidR="00C17DD3" w:rsidRPr="0011747E" w:rsidRDefault="00C17DD3" w:rsidP="00C17DD3">
      <w:pPr>
        <w:pStyle w:val="paragraph"/>
      </w:pPr>
      <w:r w:rsidRPr="0011747E">
        <w:tab/>
        <w:t>(b)</w:t>
      </w:r>
      <w:r w:rsidRPr="0011747E">
        <w:tab/>
        <w:t>if section</w:t>
      </w:r>
      <w:r w:rsidR="0011747E" w:rsidRPr="0011747E">
        <w:t> </w:t>
      </w:r>
      <w:r w:rsidRPr="0011747E">
        <w:t>95A of the Act does not apply—</w:t>
      </w:r>
      <w:r w:rsidR="00245DB1" w:rsidRPr="0011747E">
        <w:t xml:space="preserve">stage 1 </w:t>
      </w:r>
      <w:r w:rsidRPr="0011747E">
        <w:t>does not occur.</w:t>
      </w:r>
    </w:p>
    <w:p w:rsidR="00C17DD3" w:rsidRPr="0011747E" w:rsidRDefault="00C17DD3" w:rsidP="00C17DD3">
      <w:pPr>
        <w:pStyle w:val="Definition"/>
      </w:pPr>
      <w:r w:rsidRPr="0011747E">
        <w:rPr>
          <w:b/>
          <w:i/>
        </w:rPr>
        <w:t>stage 2</w:t>
      </w:r>
      <w:r w:rsidR="00A20EE3" w:rsidRPr="0011747E">
        <w:t>: stage 2</w:t>
      </w:r>
      <w:r w:rsidRPr="0011747E">
        <w:t xml:space="preserve"> </w:t>
      </w:r>
      <w:r w:rsidR="002650A0" w:rsidRPr="0011747E">
        <w:t>begins</w:t>
      </w:r>
      <w:r w:rsidRPr="0011747E">
        <w:t xml:space="preserve"> when a written direction is given under subsection</w:t>
      </w:r>
      <w:r w:rsidR="0011747E" w:rsidRPr="0011747E">
        <w:t> </w:t>
      </w:r>
      <w:r w:rsidRPr="0011747E">
        <w:t>95(2) or 95A(3) of the Act, as applicable.</w:t>
      </w:r>
    </w:p>
    <w:p w:rsidR="00C17DD3" w:rsidRPr="0011747E" w:rsidRDefault="00C17DD3" w:rsidP="00C17DD3">
      <w:pPr>
        <w:pStyle w:val="Definition"/>
      </w:pPr>
      <w:r w:rsidRPr="0011747E">
        <w:rPr>
          <w:b/>
          <w:i/>
        </w:rPr>
        <w:t>stage 3</w:t>
      </w:r>
      <w:r w:rsidR="00A20EE3" w:rsidRPr="0011747E">
        <w:t>: stage 3</w:t>
      </w:r>
      <w:r w:rsidR="00C86D5F" w:rsidRPr="0011747E">
        <w:t xml:space="preserve"> </w:t>
      </w:r>
      <w:r w:rsidR="002650A0" w:rsidRPr="0011747E">
        <w:t>begins</w:t>
      </w:r>
      <w:r w:rsidRPr="0011747E">
        <w:t xml:space="preserve"> when the designated proponent has </w:t>
      </w:r>
      <w:r w:rsidR="00A96AC9" w:rsidRPr="0011747E">
        <w:t>given the Minister a copy of the document and comments as required by</w:t>
      </w:r>
      <w:r w:rsidR="00EC14D7" w:rsidRPr="0011747E">
        <w:t xml:space="preserve"> paragraph</w:t>
      </w:r>
      <w:r w:rsidR="0011747E" w:rsidRPr="0011747E">
        <w:t> </w:t>
      </w:r>
      <w:r w:rsidR="00EC14D7" w:rsidRPr="0011747E">
        <w:t>95B(1)(b) of the Act or</w:t>
      </w:r>
      <w:r w:rsidR="00A96AC9" w:rsidRPr="0011747E">
        <w:t xml:space="preserve"> </w:t>
      </w:r>
      <w:r w:rsidR="00EC14D7" w:rsidRPr="0011747E">
        <w:t>a written statement as required by subsection</w:t>
      </w:r>
      <w:r w:rsidR="0011747E" w:rsidRPr="0011747E">
        <w:t> </w:t>
      </w:r>
      <w:r w:rsidRPr="0011747E">
        <w:t>95</w:t>
      </w:r>
      <w:r w:rsidR="00EC14D7" w:rsidRPr="0011747E">
        <w:t>B</w:t>
      </w:r>
      <w:r w:rsidRPr="0011747E">
        <w:t>(3) of the Act, as applicable.</w:t>
      </w:r>
    </w:p>
    <w:p w:rsidR="00C17DD3" w:rsidRPr="0011747E" w:rsidRDefault="00C17DD3" w:rsidP="00C17DD3">
      <w:pPr>
        <w:pStyle w:val="Definition"/>
      </w:pPr>
      <w:r w:rsidRPr="0011747E">
        <w:rPr>
          <w:b/>
          <w:i/>
        </w:rPr>
        <w:t>stage 4</w:t>
      </w:r>
      <w:r w:rsidR="00A20EE3" w:rsidRPr="0011747E">
        <w:t>: stage 4</w:t>
      </w:r>
      <w:r w:rsidRPr="0011747E">
        <w:t xml:space="preserve"> </w:t>
      </w:r>
      <w:r w:rsidR="002650A0" w:rsidRPr="0011747E">
        <w:t>begins</w:t>
      </w:r>
      <w:r w:rsidRPr="0011747E">
        <w:t xml:space="preserve"> when a recommendation report </w:t>
      </w:r>
      <w:r w:rsidR="004C2D22" w:rsidRPr="0011747E">
        <w:t>starts to be</w:t>
      </w:r>
      <w:r w:rsidRPr="0011747E">
        <w:t xml:space="preserve"> prepared under subsection</w:t>
      </w:r>
      <w:r w:rsidR="0011747E" w:rsidRPr="0011747E">
        <w:t> </w:t>
      </w:r>
      <w:r w:rsidRPr="0011747E">
        <w:t>95C(1) of the Act.</w:t>
      </w:r>
    </w:p>
    <w:p w:rsidR="00C17DD3" w:rsidRPr="0011747E" w:rsidRDefault="00C17DD3" w:rsidP="00C17DD3">
      <w:pPr>
        <w:pStyle w:val="subsection"/>
      </w:pPr>
      <w:r w:rsidRPr="0011747E">
        <w:tab/>
        <w:t>(2)</w:t>
      </w:r>
      <w:r w:rsidRPr="0011747E">
        <w:tab/>
        <w:t xml:space="preserve">To avoid doubt, if </w:t>
      </w:r>
      <w:r w:rsidR="0011747E" w:rsidRPr="0011747E">
        <w:t>paragraph (</w:t>
      </w:r>
      <w:r w:rsidRPr="0011747E">
        <w:t xml:space="preserve">b) of the definition of </w:t>
      </w:r>
      <w:r w:rsidRPr="0011747E">
        <w:rPr>
          <w:b/>
          <w:i/>
        </w:rPr>
        <w:t>stage 1</w:t>
      </w:r>
      <w:r w:rsidRPr="0011747E">
        <w:t xml:space="preserve"> applies, no </w:t>
      </w:r>
      <w:r w:rsidR="008B04DC" w:rsidRPr="0011747E">
        <w:t xml:space="preserve">base fee or </w:t>
      </w:r>
      <w:r w:rsidRPr="0011747E">
        <w:t xml:space="preserve">Part A </w:t>
      </w:r>
      <w:r w:rsidR="008B04DC" w:rsidRPr="0011747E">
        <w:t xml:space="preserve">complexity </w:t>
      </w:r>
      <w:r w:rsidRPr="0011747E">
        <w:t>fee is payable for that stage.</w:t>
      </w:r>
    </w:p>
    <w:p w:rsidR="00DF4BDE" w:rsidRPr="0011747E" w:rsidRDefault="00DF4BDE" w:rsidP="00DF4BDE">
      <w:pPr>
        <w:pStyle w:val="notetext"/>
      </w:pPr>
      <w:r w:rsidRPr="0011747E">
        <w:t>Note:</w:t>
      </w:r>
      <w:r w:rsidRPr="0011747E">
        <w:tab/>
        <w:t xml:space="preserve">For </w:t>
      </w:r>
      <w:r w:rsidRPr="0011747E">
        <w:rPr>
          <w:b/>
          <w:i/>
        </w:rPr>
        <w:t>Part A comp</w:t>
      </w:r>
      <w:r w:rsidR="00D453C0" w:rsidRPr="0011747E">
        <w:rPr>
          <w:b/>
          <w:i/>
        </w:rPr>
        <w:t>lexity fee</w:t>
      </w:r>
      <w:r w:rsidR="00D453C0" w:rsidRPr="0011747E">
        <w:t>, see regulation</w:t>
      </w:r>
      <w:r w:rsidR="0011747E" w:rsidRPr="0011747E">
        <w:t> </w:t>
      </w:r>
      <w:r w:rsidR="00D453C0" w:rsidRPr="0011747E">
        <w:t>5.15</w:t>
      </w:r>
      <w:r w:rsidRPr="0011747E">
        <w:t>C.</w:t>
      </w:r>
    </w:p>
    <w:p w:rsidR="00DC19F4" w:rsidRPr="0011747E" w:rsidRDefault="002F125A" w:rsidP="00DC19F4">
      <w:pPr>
        <w:pStyle w:val="ActHead5"/>
      </w:pPr>
      <w:bookmarkStart w:id="46" w:name="_Toc396376247"/>
      <w:r w:rsidRPr="0011747E">
        <w:rPr>
          <w:rStyle w:val="CharSectno"/>
        </w:rPr>
        <w:t>5.15</w:t>
      </w:r>
      <w:r w:rsidR="00E12409" w:rsidRPr="0011747E">
        <w:rPr>
          <w:rStyle w:val="CharSectno"/>
        </w:rPr>
        <w:t>B</w:t>
      </w:r>
      <w:r w:rsidR="00DC19F4" w:rsidRPr="0011747E">
        <w:t xml:space="preserve">  </w:t>
      </w:r>
      <w:r w:rsidR="00CE2977" w:rsidRPr="0011747E">
        <w:t xml:space="preserve">Base </w:t>
      </w:r>
      <w:r w:rsidR="00110D1B" w:rsidRPr="0011747E">
        <w:t>fee payable in stages</w:t>
      </w:r>
      <w:bookmarkEnd w:id="46"/>
    </w:p>
    <w:p w:rsidR="00CE2977" w:rsidRPr="0011747E" w:rsidRDefault="00CE2977" w:rsidP="00110D1B">
      <w:pPr>
        <w:pStyle w:val="subsection"/>
      </w:pPr>
      <w:r w:rsidRPr="0011747E">
        <w:tab/>
        <w:t>(1)</w:t>
      </w:r>
      <w:r w:rsidRPr="0011747E">
        <w:tab/>
        <w:t>The base fee for the assessment of the action is payable in 4 stages, before each stage begins.</w:t>
      </w:r>
    </w:p>
    <w:p w:rsidR="00CE2977" w:rsidRPr="0011747E" w:rsidRDefault="00CE2977" w:rsidP="00CE2977">
      <w:pPr>
        <w:pStyle w:val="subsection"/>
      </w:pPr>
      <w:r w:rsidRPr="0011747E">
        <w:tab/>
        <w:t>(2)</w:t>
      </w:r>
      <w:r w:rsidRPr="0011747E">
        <w:tab/>
        <w:t>The amount of the base fee payable for each stage is set out in the following table:</w:t>
      </w:r>
    </w:p>
    <w:p w:rsidR="00CE2977" w:rsidRPr="0011747E" w:rsidRDefault="00CE2977" w:rsidP="00CE2977">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CE2977" w:rsidRPr="0011747E" w:rsidTr="0042336C">
        <w:trPr>
          <w:tblHeader/>
        </w:trPr>
        <w:tc>
          <w:tcPr>
            <w:tcW w:w="4110" w:type="dxa"/>
            <w:gridSpan w:val="3"/>
            <w:tcBorders>
              <w:top w:val="single" w:sz="12" w:space="0" w:color="auto"/>
              <w:bottom w:val="single" w:sz="6" w:space="0" w:color="auto"/>
            </w:tcBorders>
            <w:shd w:val="clear" w:color="auto" w:fill="auto"/>
          </w:tcPr>
          <w:p w:rsidR="00CE2977" w:rsidRPr="0011747E" w:rsidRDefault="00CE2977" w:rsidP="00DA058E">
            <w:pPr>
              <w:pStyle w:val="TableHeading"/>
              <w:ind w:left="33"/>
            </w:pPr>
            <w:r w:rsidRPr="0011747E">
              <w:t>Base fee for assessment on preliminary documentation</w:t>
            </w:r>
          </w:p>
        </w:tc>
      </w:tr>
      <w:tr w:rsidR="00CE2977" w:rsidRPr="0011747E" w:rsidTr="0042336C">
        <w:trPr>
          <w:tblHeader/>
        </w:trPr>
        <w:tc>
          <w:tcPr>
            <w:tcW w:w="714" w:type="dxa"/>
            <w:tcBorders>
              <w:top w:val="single" w:sz="6" w:space="0" w:color="auto"/>
              <w:bottom w:val="single" w:sz="12" w:space="0" w:color="auto"/>
            </w:tcBorders>
            <w:shd w:val="clear" w:color="auto" w:fill="auto"/>
          </w:tcPr>
          <w:p w:rsidR="00CE2977" w:rsidRPr="0011747E" w:rsidRDefault="00CE2977"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CE2977" w:rsidRPr="0011747E" w:rsidRDefault="00CE2977"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CE2977" w:rsidRPr="0011747E" w:rsidRDefault="00CE2977" w:rsidP="00836667">
            <w:pPr>
              <w:pStyle w:val="TableHeading"/>
              <w:ind w:left="420" w:hanging="420"/>
              <w:jc w:val="right"/>
            </w:pPr>
            <w:r w:rsidRPr="0011747E">
              <w:t>Amount payable</w:t>
            </w:r>
          </w:p>
        </w:tc>
      </w:tr>
      <w:tr w:rsidR="00CE2977" w:rsidRPr="0011747E" w:rsidTr="0042336C">
        <w:tc>
          <w:tcPr>
            <w:tcW w:w="714" w:type="dxa"/>
            <w:tcBorders>
              <w:top w:val="single" w:sz="12" w:space="0" w:color="auto"/>
            </w:tcBorders>
            <w:shd w:val="clear" w:color="auto" w:fill="auto"/>
          </w:tcPr>
          <w:p w:rsidR="00CE2977" w:rsidRPr="0011747E" w:rsidRDefault="00CE2977" w:rsidP="003E2EEA">
            <w:pPr>
              <w:pStyle w:val="Tabletext"/>
            </w:pPr>
            <w:r w:rsidRPr="0011747E">
              <w:t>1</w:t>
            </w:r>
          </w:p>
        </w:tc>
        <w:tc>
          <w:tcPr>
            <w:tcW w:w="1695" w:type="dxa"/>
            <w:tcBorders>
              <w:top w:val="single" w:sz="12" w:space="0" w:color="auto"/>
            </w:tcBorders>
            <w:shd w:val="clear" w:color="auto" w:fill="auto"/>
          </w:tcPr>
          <w:p w:rsidR="00CE2977" w:rsidRPr="0011747E" w:rsidRDefault="00CE2977" w:rsidP="003E2EEA">
            <w:pPr>
              <w:pStyle w:val="Tabletext"/>
            </w:pPr>
            <w:r w:rsidRPr="0011747E">
              <w:t>stage 1</w:t>
            </w:r>
          </w:p>
        </w:tc>
        <w:tc>
          <w:tcPr>
            <w:tcW w:w="1701" w:type="dxa"/>
            <w:tcBorders>
              <w:top w:val="single" w:sz="12" w:space="0" w:color="auto"/>
            </w:tcBorders>
            <w:shd w:val="clear" w:color="auto" w:fill="auto"/>
          </w:tcPr>
          <w:p w:rsidR="00CE2977" w:rsidRPr="0011747E" w:rsidRDefault="00CE2977" w:rsidP="00836667">
            <w:pPr>
              <w:pStyle w:val="Tabletext"/>
              <w:jc w:val="right"/>
            </w:pPr>
            <w:r w:rsidRPr="0011747E">
              <w:t>$1</w:t>
            </w:r>
            <w:r w:rsidR="0011747E" w:rsidRPr="0011747E">
              <w:t> </w:t>
            </w:r>
            <w:r w:rsidRPr="0011747E">
              <w:t>374.00</w:t>
            </w:r>
          </w:p>
        </w:tc>
      </w:tr>
      <w:tr w:rsidR="00CE2977" w:rsidRPr="0011747E" w:rsidTr="0042336C">
        <w:tc>
          <w:tcPr>
            <w:tcW w:w="714" w:type="dxa"/>
            <w:shd w:val="clear" w:color="auto" w:fill="auto"/>
          </w:tcPr>
          <w:p w:rsidR="00CE2977" w:rsidRPr="0011747E" w:rsidRDefault="00CE2977" w:rsidP="003E2EEA">
            <w:pPr>
              <w:pStyle w:val="Tabletext"/>
            </w:pPr>
            <w:r w:rsidRPr="0011747E">
              <w:t>2</w:t>
            </w:r>
          </w:p>
        </w:tc>
        <w:tc>
          <w:tcPr>
            <w:tcW w:w="1695" w:type="dxa"/>
            <w:shd w:val="clear" w:color="auto" w:fill="auto"/>
          </w:tcPr>
          <w:p w:rsidR="00CE2977" w:rsidRPr="0011747E" w:rsidRDefault="00CE2977" w:rsidP="003E2EEA">
            <w:pPr>
              <w:pStyle w:val="Tabletext"/>
            </w:pPr>
            <w:r w:rsidRPr="0011747E">
              <w:t>stage 2</w:t>
            </w:r>
          </w:p>
        </w:tc>
        <w:tc>
          <w:tcPr>
            <w:tcW w:w="1701" w:type="dxa"/>
            <w:shd w:val="clear" w:color="auto" w:fill="auto"/>
          </w:tcPr>
          <w:p w:rsidR="00CE2977" w:rsidRPr="0011747E" w:rsidRDefault="007E7F5B" w:rsidP="00836667">
            <w:pPr>
              <w:pStyle w:val="Tabletext"/>
              <w:jc w:val="right"/>
            </w:pPr>
            <w:r w:rsidRPr="0011747E">
              <w:t>$1</w:t>
            </w:r>
            <w:r w:rsidR="0011747E" w:rsidRPr="0011747E">
              <w:t> </w:t>
            </w:r>
            <w:r w:rsidR="00CE2977" w:rsidRPr="0011747E">
              <w:t>374.00</w:t>
            </w:r>
          </w:p>
        </w:tc>
      </w:tr>
      <w:tr w:rsidR="00CE2977" w:rsidRPr="0011747E" w:rsidTr="0042336C">
        <w:tc>
          <w:tcPr>
            <w:tcW w:w="714" w:type="dxa"/>
            <w:tcBorders>
              <w:bottom w:val="single" w:sz="4" w:space="0" w:color="auto"/>
            </w:tcBorders>
            <w:shd w:val="clear" w:color="auto" w:fill="auto"/>
          </w:tcPr>
          <w:p w:rsidR="00CE2977" w:rsidRPr="0011747E" w:rsidRDefault="00CE2977" w:rsidP="003E2EEA">
            <w:pPr>
              <w:pStyle w:val="Tabletext"/>
            </w:pPr>
            <w:r w:rsidRPr="0011747E">
              <w:t>3</w:t>
            </w:r>
          </w:p>
        </w:tc>
        <w:tc>
          <w:tcPr>
            <w:tcW w:w="1695" w:type="dxa"/>
            <w:tcBorders>
              <w:bottom w:val="single" w:sz="4" w:space="0" w:color="auto"/>
            </w:tcBorders>
            <w:shd w:val="clear" w:color="auto" w:fill="auto"/>
          </w:tcPr>
          <w:p w:rsidR="00CE2977" w:rsidRPr="0011747E" w:rsidRDefault="00CE2977" w:rsidP="003E2EEA">
            <w:pPr>
              <w:pStyle w:val="Tabletext"/>
            </w:pPr>
            <w:r w:rsidRPr="0011747E">
              <w:t>stage 3</w:t>
            </w:r>
          </w:p>
        </w:tc>
        <w:tc>
          <w:tcPr>
            <w:tcW w:w="1701" w:type="dxa"/>
            <w:tcBorders>
              <w:bottom w:val="single" w:sz="4" w:space="0" w:color="auto"/>
            </w:tcBorders>
            <w:shd w:val="clear" w:color="auto" w:fill="auto"/>
          </w:tcPr>
          <w:p w:rsidR="00CE2977" w:rsidRPr="0011747E" w:rsidRDefault="007E7F5B" w:rsidP="00836667">
            <w:pPr>
              <w:pStyle w:val="Tabletext"/>
              <w:jc w:val="right"/>
            </w:pPr>
            <w:r w:rsidRPr="0011747E">
              <w:t>$1</w:t>
            </w:r>
            <w:r w:rsidR="0011747E" w:rsidRPr="0011747E">
              <w:t> </w:t>
            </w:r>
            <w:r w:rsidR="00CE2977" w:rsidRPr="0011747E">
              <w:t>374.00</w:t>
            </w:r>
          </w:p>
        </w:tc>
      </w:tr>
      <w:tr w:rsidR="00CE2977" w:rsidRPr="0011747E" w:rsidTr="0042336C">
        <w:tc>
          <w:tcPr>
            <w:tcW w:w="714" w:type="dxa"/>
            <w:tcBorders>
              <w:bottom w:val="single" w:sz="12" w:space="0" w:color="auto"/>
            </w:tcBorders>
            <w:shd w:val="clear" w:color="auto" w:fill="auto"/>
          </w:tcPr>
          <w:p w:rsidR="00CE2977" w:rsidRPr="0011747E" w:rsidRDefault="00CE2977" w:rsidP="003E2EEA">
            <w:pPr>
              <w:pStyle w:val="Tabletext"/>
            </w:pPr>
            <w:r w:rsidRPr="0011747E">
              <w:t>4</w:t>
            </w:r>
          </w:p>
        </w:tc>
        <w:tc>
          <w:tcPr>
            <w:tcW w:w="1695" w:type="dxa"/>
            <w:tcBorders>
              <w:bottom w:val="single" w:sz="12" w:space="0" w:color="auto"/>
            </w:tcBorders>
            <w:shd w:val="clear" w:color="auto" w:fill="auto"/>
          </w:tcPr>
          <w:p w:rsidR="00CE2977" w:rsidRPr="0011747E" w:rsidRDefault="00CE2977" w:rsidP="003E2EEA">
            <w:pPr>
              <w:pStyle w:val="Tabletext"/>
            </w:pPr>
            <w:r w:rsidRPr="0011747E">
              <w:t>stage 4</w:t>
            </w:r>
          </w:p>
        </w:tc>
        <w:tc>
          <w:tcPr>
            <w:tcW w:w="1701" w:type="dxa"/>
            <w:tcBorders>
              <w:bottom w:val="single" w:sz="12" w:space="0" w:color="auto"/>
            </w:tcBorders>
            <w:shd w:val="clear" w:color="auto" w:fill="auto"/>
          </w:tcPr>
          <w:p w:rsidR="00CE2977" w:rsidRPr="0011747E" w:rsidRDefault="007E7F5B" w:rsidP="00836667">
            <w:pPr>
              <w:pStyle w:val="Tabletext"/>
              <w:jc w:val="right"/>
            </w:pPr>
            <w:r w:rsidRPr="0011747E">
              <w:t>$4</w:t>
            </w:r>
            <w:r w:rsidR="0011747E" w:rsidRPr="0011747E">
              <w:t> </w:t>
            </w:r>
            <w:r w:rsidR="00CE2977" w:rsidRPr="0011747E">
              <w:t>538.00</w:t>
            </w:r>
          </w:p>
        </w:tc>
      </w:tr>
    </w:tbl>
    <w:p w:rsidR="00CE2977" w:rsidRPr="0011747E" w:rsidRDefault="00663660" w:rsidP="00CE2977">
      <w:pPr>
        <w:pStyle w:val="ActHead5"/>
      </w:pPr>
      <w:bookmarkStart w:id="47" w:name="_Toc396376248"/>
      <w:r w:rsidRPr="0011747E">
        <w:rPr>
          <w:rStyle w:val="CharSectno"/>
        </w:rPr>
        <w:t>5.15C</w:t>
      </w:r>
      <w:r w:rsidRPr="0011747E">
        <w:t xml:space="preserve">  Complexity fee payable in stages</w:t>
      </w:r>
      <w:bookmarkEnd w:id="47"/>
    </w:p>
    <w:p w:rsidR="00C86D5F" w:rsidRPr="0011747E" w:rsidRDefault="00C86D5F" w:rsidP="00C86D5F">
      <w:pPr>
        <w:pStyle w:val="SubsectionHead"/>
      </w:pPr>
      <w:r w:rsidRPr="0011747E">
        <w:t>Complexity fee to be split</w:t>
      </w:r>
    </w:p>
    <w:p w:rsidR="00110D1B" w:rsidRPr="0011747E" w:rsidRDefault="002F125A" w:rsidP="00110D1B">
      <w:pPr>
        <w:pStyle w:val="subsection"/>
      </w:pPr>
      <w:r w:rsidRPr="0011747E">
        <w:tab/>
        <w:t>(1)</w:t>
      </w:r>
      <w:r w:rsidRPr="0011747E">
        <w:tab/>
      </w:r>
      <w:r w:rsidR="00DC19F4" w:rsidRPr="0011747E">
        <w:t xml:space="preserve">The </w:t>
      </w:r>
      <w:r w:rsidR="00663660" w:rsidRPr="0011747E">
        <w:t>complexity fee is to be split into</w:t>
      </w:r>
      <w:r w:rsidR="00110D1B" w:rsidRPr="0011747E">
        <w:t>:</w:t>
      </w:r>
    </w:p>
    <w:p w:rsidR="00663660" w:rsidRPr="0011747E" w:rsidRDefault="00663660" w:rsidP="00663660">
      <w:pPr>
        <w:pStyle w:val="paragraph"/>
      </w:pPr>
      <w:r w:rsidRPr="0011747E">
        <w:tab/>
        <w:t>(a)</w:t>
      </w:r>
      <w:r w:rsidRPr="0011747E">
        <w:tab/>
        <w:t xml:space="preserve">the </w:t>
      </w:r>
      <w:r w:rsidRPr="0011747E">
        <w:rPr>
          <w:b/>
          <w:i/>
        </w:rPr>
        <w:t>Part A complexity fee</w:t>
      </w:r>
      <w:r w:rsidRPr="0011747E">
        <w:t>, which is the sum of:</w:t>
      </w:r>
    </w:p>
    <w:p w:rsidR="00A0627D" w:rsidRPr="0011747E" w:rsidRDefault="00A0627D" w:rsidP="00A0627D">
      <w:pPr>
        <w:pStyle w:val="paragraphsub"/>
      </w:pPr>
      <w:r w:rsidRPr="0011747E">
        <w:tab/>
        <w:t>(i)</w:t>
      </w:r>
      <w:r w:rsidRPr="0011747E">
        <w:tab/>
      </w:r>
      <w:r w:rsidR="005B1018" w:rsidRPr="0011747E">
        <w:t>if applicable—</w:t>
      </w:r>
      <w:r w:rsidRPr="0011747E">
        <w:t>the fee for each applicable controlling provision component; and</w:t>
      </w:r>
    </w:p>
    <w:p w:rsidR="00663660" w:rsidRPr="0011747E" w:rsidRDefault="00663660" w:rsidP="00663660">
      <w:pPr>
        <w:pStyle w:val="paragraphsub"/>
      </w:pPr>
      <w:r w:rsidRPr="0011747E">
        <w:tab/>
        <w:t>(</w:t>
      </w:r>
      <w:r w:rsidR="00A0627D" w:rsidRPr="0011747E">
        <w:t>i</w:t>
      </w:r>
      <w:r w:rsidRPr="0011747E">
        <w:t>i)</w:t>
      </w:r>
      <w:r w:rsidRPr="0011747E">
        <w:tab/>
      </w:r>
      <w:r w:rsidR="005B1018" w:rsidRPr="0011747E">
        <w:t>if applicable—</w:t>
      </w:r>
      <w:r w:rsidRPr="0011747E">
        <w:t xml:space="preserve">the fee for </w:t>
      </w:r>
      <w:r w:rsidR="00A96AC9" w:rsidRPr="0011747E">
        <w:t>the</w:t>
      </w:r>
      <w:r w:rsidRPr="0011747E">
        <w:t xml:space="preserve"> legislative impact component; and</w:t>
      </w:r>
    </w:p>
    <w:p w:rsidR="00663660" w:rsidRPr="0011747E" w:rsidRDefault="00663660" w:rsidP="00663660">
      <w:pPr>
        <w:pStyle w:val="paragraphsub"/>
      </w:pPr>
      <w:r w:rsidRPr="0011747E">
        <w:tab/>
        <w:t>(i</w:t>
      </w:r>
      <w:r w:rsidR="00A0627D" w:rsidRPr="0011747E">
        <w:t>i</w:t>
      </w:r>
      <w:r w:rsidRPr="0011747E">
        <w:t>i)</w:t>
      </w:r>
      <w:r w:rsidRPr="0011747E">
        <w:tab/>
        <w:t>if applicable—the fee for the relevant number of project components; and</w:t>
      </w:r>
    </w:p>
    <w:p w:rsidR="00663660" w:rsidRPr="0011747E" w:rsidRDefault="00A0627D" w:rsidP="00663660">
      <w:pPr>
        <w:pStyle w:val="paragraphsub"/>
      </w:pPr>
      <w:r w:rsidRPr="0011747E">
        <w:tab/>
        <w:t>(iv</w:t>
      </w:r>
      <w:r w:rsidR="00663660" w:rsidRPr="0011747E">
        <w:t>)</w:t>
      </w:r>
      <w:r w:rsidR="00663660" w:rsidRPr="0011747E">
        <w:tab/>
        <w:t>if applicab</w:t>
      </w:r>
      <w:r w:rsidR="00D803A1" w:rsidRPr="0011747E">
        <w:t>le—the fee for the exceptional case</w:t>
      </w:r>
      <w:r w:rsidR="00663660" w:rsidRPr="0011747E">
        <w:t xml:space="preserve"> component; and</w:t>
      </w:r>
    </w:p>
    <w:p w:rsidR="00663660" w:rsidRPr="0011747E" w:rsidRDefault="00663660" w:rsidP="00663660">
      <w:pPr>
        <w:pStyle w:val="paragraph"/>
      </w:pPr>
      <w:r w:rsidRPr="0011747E">
        <w:tab/>
        <w:t>(b)</w:t>
      </w:r>
      <w:r w:rsidRPr="0011747E">
        <w:tab/>
        <w:t xml:space="preserve">the </w:t>
      </w:r>
      <w:r w:rsidRPr="0011747E">
        <w:rPr>
          <w:b/>
          <w:i/>
        </w:rPr>
        <w:t>Part B complexity fee</w:t>
      </w:r>
      <w:r w:rsidRPr="0011747E">
        <w:t>, which is the sum of the fee</w:t>
      </w:r>
      <w:r w:rsidR="005B1018" w:rsidRPr="0011747E">
        <w:t>s</w:t>
      </w:r>
      <w:r w:rsidRPr="0011747E">
        <w:t xml:space="preserve"> for each application component.</w:t>
      </w:r>
    </w:p>
    <w:p w:rsidR="00C86D5F" w:rsidRPr="0011747E" w:rsidRDefault="00C86D5F" w:rsidP="00C86D5F">
      <w:pPr>
        <w:pStyle w:val="SubsectionHead"/>
      </w:pPr>
      <w:r w:rsidRPr="0011747E">
        <w:t>Part A complexity fee</w:t>
      </w:r>
    </w:p>
    <w:p w:rsidR="00663660" w:rsidRPr="0011747E" w:rsidRDefault="00663660" w:rsidP="00663660">
      <w:pPr>
        <w:pStyle w:val="subsection"/>
      </w:pPr>
      <w:r w:rsidRPr="0011747E">
        <w:tab/>
        <w:t>(2)</w:t>
      </w:r>
      <w:r w:rsidRPr="0011747E">
        <w:tab/>
        <w:t>The Part A complexity fee for the assessment of the action is payable in 4 stages, before each stage begins.</w:t>
      </w:r>
    </w:p>
    <w:p w:rsidR="00306D3E" w:rsidRPr="0011747E" w:rsidRDefault="00306D3E" w:rsidP="00306D3E">
      <w:pPr>
        <w:pStyle w:val="subsection"/>
      </w:pPr>
      <w:r w:rsidRPr="0011747E">
        <w:tab/>
        <w:t>(</w:t>
      </w:r>
      <w:r w:rsidR="00C86D5F" w:rsidRPr="0011747E">
        <w:t>3</w:t>
      </w:r>
      <w:r w:rsidRPr="0011747E">
        <w:t>)</w:t>
      </w:r>
      <w:r w:rsidRPr="0011747E">
        <w:tab/>
        <w:t xml:space="preserve">The percentage of the </w:t>
      </w:r>
      <w:r w:rsidR="00663660" w:rsidRPr="0011747E">
        <w:t xml:space="preserve">Part A </w:t>
      </w:r>
      <w:r w:rsidRPr="0011747E">
        <w:t>complexity fee payable for each stage is set out in the following table:</w:t>
      </w:r>
    </w:p>
    <w:p w:rsidR="00306D3E" w:rsidRPr="0011747E" w:rsidRDefault="00306D3E" w:rsidP="00306D3E">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306D3E" w:rsidRPr="0011747E" w:rsidTr="0042336C">
        <w:trPr>
          <w:tblHeader/>
        </w:trPr>
        <w:tc>
          <w:tcPr>
            <w:tcW w:w="4110" w:type="dxa"/>
            <w:gridSpan w:val="3"/>
            <w:tcBorders>
              <w:top w:val="single" w:sz="12" w:space="0" w:color="auto"/>
              <w:bottom w:val="single" w:sz="6" w:space="0" w:color="auto"/>
            </w:tcBorders>
            <w:shd w:val="clear" w:color="auto" w:fill="auto"/>
          </w:tcPr>
          <w:p w:rsidR="00306D3E" w:rsidRPr="0011747E" w:rsidRDefault="00306D3E" w:rsidP="00DA058E">
            <w:pPr>
              <w:pStyle w:val="TableHeading"/>
              <w:ind w:left="33"/>
            </w:pPr>
            <w:r w:rsidRPr="0011747E">
              <w:t xml:space="preserve">Part A </w:t>
            </w:r>
            <w:r w:rsidR="0008684E" w:rsidRPr="0011747E">
              <w:t xml:space="preserve">complexity </w:t>
            </w:r>
            <w:r w:rsidRPr="0011747E">
              <w:t>fee for assessment on preliminary documentation</w:t>
            </w:r>
          </w:p>
        </w:tc>
      </w:tr>
      <w:tr w:rsidR="00306D3E" w:rsidRPr="0011747E" w:rsidTr="0042336C">
        <w:trPr>
          <w:tblHeader/>
        </w:trPr>
        <w:tc>
          <w:tcPr>
            <w:tcW w:w="714" w:type="dxa"/>
            <w:tcBorders>
              <w:top w:val="single" w:sz="6" w:space="0" w:color="auto"/>
              <w:bottom w:val="single" w:sz="12" w:space="0" w:color="auto"/>
            </w:tcBorders>
            <w:shd w:val="clear" w:color="auto" w:fill="auto"/>
          </w:tcPr>
          <w:p w:rsidR="00306D3E" w:rsidRPr="0011747E" w:rsidRDefault="00306D3E"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306D3E" w:rsidRPr="0011747E" w:rsidRDefault="00306D3E"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306D3E" w:rsidRPr="0011747E" w:rsidRDefault="00306D3E" w:rsidP="00836667">
            <w:pPr>
              <w:pStyle w:val="TableHeading"/>
              <w:ind w:left="420" w:hanging="420"/>
              <w:jc w:val="right"/>
            </w:pPr>
            <w:r w:rsidRPr="0011747E">
              <w:t>Percentage payable</w:t>
            </w:r>
          </w:p>
        </w:tc>
      </w:tr>
      <w:tr w:rsidR="00306D3E" w:rsidRPr="0011747E" w:rsidTr="0042336C">
        <w:tc>
          <w:tcPr>
            <w:tcW w:w="714" w:type="dxa"/>
            <w:tcBorders>
              <w:top w:val="single" w:sz="12" w:space="0" w:color="auto"/>
            </w:tcBorders>
            <w:shd w:val="clear" w:color="auto" w:fill="auto"/>
          </w:tcPr>
          <w:p w:rsidR="00306D3E" w:rsidRPr="0011747E" w:rsidRDefault="00306D3E" w:rsidP="009914EB">
            <w:pPr>
              <w:pStyle w:val="Tabletext"/>
            </w:pPr>
            <w:r w:rsidRPr="0011747E">
              <w:t>1</w:t>
            </w:r>
          </w:p>
        </w:tc>
        <w:tc>
          <w:tcPr>
            <w:tcW w:w="1695" w:type="dxa"/>
            <w:tcBorders>
              <w:top w:val="single" w:sz="12" w:space="0" w:color="auto"/>
            </w:tcBorders>
            <w:shd w:val="clear" w:color="auto" w:fill="auto"/>
          </w:tcPr>
          <w:p w:rsidR="00306D3E" w:rsidRPr="0011747E" w:rsidRDefault="00306D3E" w:rsidP="009914EB">
            <w:pPr>
              <w:pStyle w:val="Tabletext"/>
            </w:pPr>
            <w:r w:rsidRPr="0011747E">
              <w:t>stage 1</w:t>
            </w:r>
          </w:p>
        </w:tc>
        <w:tc>
          <w:tcPr>
            <w:tcW w:w="1701" w:type="dxa"/>
            <w:tcBorders>
              <w:top w:val="single" w:sz="12" w:space="0" w:color="auto"/>
            </w:tcBorders>
            <w:shd w:val="clear" w:color="auto" w:fill="auto"/>
          </w:tcPr>
          <w:p w:rsidR="00306D3E" w:rsidRPr="0011747E" w:rsidRDefault="00306D3E" w:rsidP="00836667">
            <w:pPr>
              <w:pStyle w:val="Tabletext"/>
              <w:jc w:val="right"/>
            </w:pPr>
            <w:r w:rsidRPr="0011747E">
              <w:t>16%</w:t>
            </w:r>
          </w:p>
        </w:tc>
      </w:tr>
      <w:tr w:rsidR="00306D3E" w:rsidRPr="0011747E" w:rsidTr="0042336C">
        <w:tc>
          <w:tcPr>
            <w:tcW w:w="714" w:type="dxa"/>
            <w:shd w:val="clear" w:color="auto" w:fill="auto"/>
          </w:tcPr>
          <w:p w:rsidR="00306D3E" w:rsidRPr="0011747E" w:rsidRDefault="00306D3E" w:rsidP="009914EB">
            <w:pPr>
              <w:pStyle w:val="Tabletext"/>
            </w:pPr>
            <w:r w:rsidRPr="0011747E">
              <w:t>2</w:t>
            </w:r>
          </w:p>
        </w:tc>
        <w:tc>
          <w:tcPr>
            <w:tcW w:w="1695" w:type="dxa"/>
            <w:shd w:val="clear" w:color="auto" w:fill="auto"/>
          </w:tcPr>
          <w:p w:rsidR="00306D3E" w:rsidRPr="0011747E" w:rsidRDefault="00306D3E" w:rsidP="009914EB">
            <w:pPr>
              <w:pStyle w:val="Tabletext"/>
            </w:pPr>
            <w:r w:rsidRPr="0011747E">
              <w:t>stage 2</w:t>
            </w:r>
          </w:p>
        </w:tc>
        <w:tc>
          <w:tcPr>
            <w:tcW w:w="1701" w:type="dxa"/>
            <w:shd w:val="clear" w:color="auto" w:fill="auto"/>
          </w:tcPr>
          <w:p w:rsidR="00306D3E" w:rsidRPr="0011747E" w:rsidRDefault="00306D3E" w:rsidP="00836667">
            <w:pPr>
              <w:pStyle w:val="Tabletext"/>
              <w:jc w:val="right"/>
            </w:pPr>
            <w:r w:rsidRPr="0011747E">
              <w:t>16%</w:t>
            </w:r>
          </w:p>
        </w:tc>
      </w:tr>
      <w:tr w:rsidR="00306D3E" w:rsidRPr="0011747E" w:rsidTr="0042336C">
        <w:tc>
          <w:tcPr>
            <w:tcW w:w="714" w:type="dxa"/>
            <w:tcBorders>
              <w:bottom w:val="single" w:sz="4" w:space="0" w:color="auto"/>
            </w:tcBorders>
            <w:shd w:val="clear" w:color="auto" w:fill="auto"/>
          </w:tcPr>
          <w:p w:rsidR="00306D3E" w:rsidRPr="0011747E" w:rsidRDefault="00306D3E" w:rsidP="009914EB">
            <w:pPr>
              <w:pStyle w:val="Tabletext"/>
            </w:pPr>
            <w:r w:rsidRPr="0011747E">
              <w:t>3</w:t>
            </w:r>
          </w:p>
        </w:tc>
        <w:tc>
          <w:tcPr>
            <w:tcW w:w="1695" w:type="dxa"/>
            <w:tcBorders>
              <w:bottom w:val="single" w:sz="4" w:space="0" w:color="auto"/>
            </w:tcBorders>
            <w:shd w:val="clear" w:color="auto" w:fill="auto"/>
          </w:tcPr>
          <w:p w:rsidR="00306D3E" w:rsidRPr="0011747E" w:rsidRDefault="00306D3E" w:rsidP="009914EB">
            <w:pPr>
              <w:pStyle w:val="Tabletext"/>
            </w:pPr>
            <w:r w:rsidRPr="0011747E">
              <w:t>stage 3</w:t>
            </w:r>
          </w:p>
        </w:tc>
        <w:tc>
          <w:tcPr>
            <w:tcW w:w="1701" w:type="dxa"/>
            <w:tcBorders>
              <w:bottom w:val="single" w:sz="4" w:space="0" w:color="auto"/>
            </w:tcBorders>
            <w:shd w:val="clear" w:color="auto" w:fill="auto"/>
          </w:tcPr>
          <w:p w:rsidR="00306D3E" w:rsidRPr="0011747E" w:rsidRDefault="00306D3E" w:rsidP="00836667">
            <w:pPr>
              <w:pStyle w:val="Tabletext"/>
              <w:jc w:val="right"/>
            </w:pPr>
            <w:r w:rsidRPr="0011747E">
              <w:t>16%</w:t>
            </w:r>
          </w:p>
        </w:tc>
      </w:tr>
      <w:tr w:rsidR="00306D3E" w:rsidRPr="0011747E" w:rsidTr="0042336C">
        <w:tc>
          <w:tcPr>
            <w:tcW w:w="714" w:type="dxa"/>
            <w:tcBorders>
              <w:bottom w:val="single" w:sz="12" w:space="0" w:color="auto"/>
            </w:tcBorders>
            <w:shd w:val="clear" w:color="auto" w:fill="auto"/>
          </w:tcPr>
          <w:p w:rsidR="00306D3E" w:rsidRPr="0011747E" w:rsidRDefault="00306D3E" w:rsidP="009914EB">
            <w:pPr>
              <w:pStyle w:val="Tabletext"/>
            </w:pPr>
            <w:r w:rsidRPr="0011747E">
              <w:t>4</w:t>
            </w:r>
          </w:p>
        </w:tc>
        <w:tc>
          <w:tcPr>
            <w:tcW w:w="1695" w:type="dxa"/>
            <w:tcBorders>
              <w:bottom w:val="single" w:sz="12" w:space="0" w:color="auto"/>
            </w:tcBorders>
            <w:shd w:val="clear" w:color="auto" w:fill="auto"/>
          </w:tcPr>
          <w:p w:rsidR="00306D3E" w:rsidRPr="0011747E" w:rsidRDefault="00306D3E" w:rsidP="009914EB">
            <w:pPr>
              <w:pStyle w:val="Tabletext"/>
            </w:pPr>
            <w:r w:rsidRPr="0011747E">
              <w:t>stage 4</w:t>
            </w:r>
          </w:p>
        </w:tc>
        <w:tc>
          <w:tcPr>
            <w:tcW w:w="1701" w:type="dxa"/>
            <w:tcBorders>
              <w:bottom w:val="single" w:sz="12" w:space="0" w:color="auto"/>
            </w:tcBorders>
            <w:shd w:val="clear" w:color="auto" w:fill="auto"/>
          </w:tcPr>
          <w:p w:rsidR="00306D3E" w:rsidRPr="0011747E" w:rsidRDefault="00306D3E" w:rsidP="00836667">
            <w:pPr>
              <w:pStyle w:val="Tabletext"/>
              <w:jc w:val="right"/>
            </w:pPr>
            <w:r w:rsidRPr="0011747E">
              <w:t>52%</w:t>
            </w:r>
          </w:p>
        </w:tc>
      </w:tr>
    </w:tbl>
    <w:p w:rsidR="00C86D5F" w:rsidRPr="0011747E" w:rsidRDefault="00C86D5F" w:rsidP="00C86D5F">
      <w:pPr>
        <w:pStyle w:val="SubsectionHead"/>
      </w:pPr>
      <w:r w:rsidRPr="0011747E">
        <w:t>Part B complexity fee</w:t>
      </w:r>
    </w:p>
    <w:p w:rsidR="00C86D5F" w:rsidRPr="0011747E" w:rsidRDefault="00C86D5F" w:rsidP="00C86D5F">
      <w:pPr>
        <w:pStyle w:val="subsection"/>
      </w:pPr>
      <w:r w:rsidRPr="0011747E">
        <w:tab/>
        <w:t>(4)</w:t>
      </w:r>
      <w:r w:rsidRPr="0011747E">
        <w:tab/>
        <w:t>The Part B complexity fee for the assessment of the action is payable in 2 stages, before each stage begins.</w:t>
      </w:r>
    </w:p>
    <w:p w:rsidR="00D734D4" w:rsidRPr="0011747E" w:rsidRDefault="00BE5180" w:rsidP="00D734D4">
      <w:pPr>
        <w:pStyle w:val="subsection"/>
      </w:pPr>
      <w:r w:rsidRPr="0011747E">
        <w:tab/>
        <w:t>(</w:t>
      </w:r>
      <w:r w:rsidR="00C86D5F" w:rsidRPr="0011747E">
        <w:t>5</w:t>
      </w:r>
      <w:r w:rsidRPr="0011747E">
        <w:t>)</w:t>
      </w:r>
      <w:r w:rsidRPr="0011747E">
        <w:tab/>
      </w:r>
      <w:r w:rsidR="00D734D4" w:rsidRPr="0011747E">
        <w:t>The percentage of the Part B</w:t>
      </w:r>
      <w:r w:rsidR="00C86D5F" w:rsidRPr="0011747E">
        <w:t xml:space="preserve"> complexity</w:t>
      </w:r>
      <w:r w:rsidR="00D734D4" w:rsidRPr="0011747E">
        <w:t xml:space="preserve"> fee payable for each stage is set out in the following table:</w:t>
      </w:r>
    </w:p>
    <w:p w:rsidR="00D734D4" w:rsidRPr="0011747E" w:rsidRDefault="00D734D4" w:rsidP="00D734D4">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D734D4" w:rsidRPr="0011747E" w:rsidTr="0042336C">
        <w:trPr>
          <w:tblHeader/>
        </w:trPr>
        <w:tc>
          <w:tcPr>
            <w:tcW w:w="4110" w:type="dxa"/>
            <w:gridSpan w:val="3"/>
            <w:tcBorders>
              <w:top w:val="single" w:sz="12" w:space="0" w:color="auto"/>
              <w:bottom w:val="single" w:sz="6" w:space="0" w:color="auto"/>
            </w:tcBorders>
            <w:shd w:val="clear" w:color="auto" w:fill="auto"/>
          </w:tcPr>
          <w:p w:rsidR="00D734D4" w:rsidRPr="0011747E" w:rsidRDefault="00D734D4" w:rsidP="00DA058E">
            <w:pPr>
              <w:pStyle w:val="TableHeading"/>
              <w:ind w:left="33"/>
            </w:pPr>
            <w:r w:rsidRPr="0011747E">
              <w:t xml:space="preserve">Part B </w:t>
            </w:r>
            <w:r w:rsidR="0008684E" w:rsidRPr="0011747E">
              <w:t xml:space="preserve">complexity </w:t>
            </w:r>
            <w:r w:rsidR="00AB3B36" w:rsidRPr="0011747E">
              <w:t>fee</w:t>
            </w:r>
            <w:r w:rsidRPr="0011747E">
              <w:t xml:space="preserve"> for assessment on preliminary documentation</w:t>
            </w:r>
          </w:p>
        </w:tc>
      </w:tr>
      <w:tr w:rsidR="00D734D4" w:rsidRPr="0011747E" w:rsidTr="0042336C">
        <w:trPr>
          <w:tblHeader/>
        </w:trPr>
        <w:tc>
          <w:tcPr>
            <w:tcW w:w="714" w:type="dxa"/>
            <w:tcBorders>
              <w:top w:val="single" w:sz="6" w:space="0" w:color="auto"/>
              <w:bottom w:val="single" w:sz="12" w:space="0" w:color="auto"/>
            </w:tcBorders>
            <w:shd w:val="clear" w:color="auto" w:fill="auto"/>
          </w:tcPr>
          <w:p w:rsidR="00D734D4" w:rsidRPr="0011747E" w:rsidRDefault="00D734D4"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D734D4" w:rsidRPr="0011747E" w:rsidRDefault="00D734D4"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D734D4" w:rsidRPr="0011747E" w:rsidRDefault="00D734D4" w:rsidP="000D55BE">
            <w:pPr>
              <w:pStyle w:val="TableHeading"/>
              <w:ind w:left="34"/>
              <w:jc w:val="right"/>
            </w:pPr>
            <w:r w:rsidRPr="0011747E">
              <w:t>Percentage payable</w:t>
            </w:r>
          </w:p>
        </w:tc>
      </w:tr>
      <w:tr w:rsidR="00D734D4" w:rsidRPr="0011747E" w:rsidTr="0042336C">
        <w:tc>
          <w:tcPr>
            <w:tcW w:w="714" w:type="dxa"/>
            <w:tcBorders>
              <w:top w:val="single" w:sz="12" w:space="0" w:color="auto"/>
            </w:tcBorders>
            <w:shd w:val="clear" w:color="auto" w:fill="auto"/>
          </w:tcPr>
          <w:p w:rsidR="00D734D4" w:rsidRPr="0011747E" w:rsidRDefault="00D734D4" w:rsidP="00E75C65">
            <w:pPr>
              <w:pStyle w:val="Tabletext"/>
            </w:pPr>
            <w:r w:rsidRPr="0011747E">
              <w:t>1</w:t>
            </w:r>
          </w:p>
        </w:tc>
        <w:tc>
          <w:tcPr>
            <w:tcW w:w="1695" w:type="dxa"/>
            <w:tcBorders>
              <w:top w:val="single" w:sz="12" w:space="0" w:color="auto"/>
            </w:tcBorders>
            <w:shd w:val="clear" w:color="auto" w:fill="auto"/>
          </w:tcPr>
          <w:p w:rsidR="00D734D4" w:rsidRPr="0011747E" w:rsidRDefault="00D734D4" w:rsidP="00E75C65">
            <w:pPr>
              <w:pStyle w:val="Tabletext"/>
            </w:pPr>
            <w:r w:rsidRPr="0011747E">
              <w:t>stage 1</w:t>
            </w:r>
          </w:p>
        </w:tc>
        <w:tc>
          <w:tcPr>
            <w:tcW w:w="1701" w:type="dxa"/>
            <w:tcBorders>
              <w:top w:val="single" w:sz="12" w:space="0" w:color="auto"/>
            </w:tcBorders>
            <w:shd w:val="clear" w:color="auto" w:fill="auto"/>
          </w:tcPr>
          <w:p w:rsidR="00D734D4" w:rsidRPr="0011747E" w:rsidRDefault="00D734D4" w:rsidP="000D55BE">
            <w:pPr>
              <w:pStyle w:val="Tabletext"/>
              <w:ind w:left="34"/>
              <w:jc w:val="right"/>
            </w:pPr>
            <w:r w:rsidRPr="0011747E">
              <w:t>nil</w:t>
            </w:r>
          </w:p>
        </w:tc>
      </w:tr>
      <w:tr w:rsidR="00D734D4" w:rsidRPr="0011747E" w:rsidTr="0042336C">
        <w:tc>
          <w:tcPr>
            <w:tcW w:w="714" w:type="dxa"/>
            <w:shd w:val="clear" w:color="auto" w:fill="auto"/>
          </w:tcPr>
          <w:p w:rsidR="00D734D4" w:rsidRPr="0011747E" w:rsidRDefault="00D734D4" w:rsidP="00E75C65">
            <w:pPr>
              <w:pStyle w:val="Tabletext"/>
            </w:pPr>
            <w:r w:rsidRPr="0011747E">
              <w:t>2</w:t>
            </w:r>
          </w:p>
        </w:tc>
        <w:tc>
          <w:tcPr>
            <w:tcW w:w="1695" w:type="dxa"/>
            <w:shd w:val="clear" w:color="auto" w:fill="auto"/>
          </w:tcPr>
          <w:p w:rsidR="00D734D4" w:rsidRPr="0011747E" w:rsidRDefault="00D734D4" w:rsidP="00E75C65">
            <w:pPr>
              <w:pStyle w:val="Tabletext"/>
            </w:pPr>
            <w:r w:rsidRPr="0011747E">
              <w:t>stage 2</w:t>
            </w:r>
          </w:p>
        </w:tc>
        <w:tc>
          <w:tcPr>
            <w:tcW w:w="1701" w:type="dxa"/>
            <w:shd w:val="clear" w:color="auto" w:fill="auto"/>
          </w:tcPr>
          <w:p w:rsidR="00D734D4" w:rsidRPr="0011747E" w:rsidRDefault="00D734D4" w:rsidP="000D55BE">
            <w:pPr>
              <w:pStyle w:val="Tabletext"/>
              <w:ind w:left="34"/>
              <w:jc w:val="right"/>
            </w:pPr>
            <w:r w:rsidRPr="0011747E">
              <w:t>nil</w:t>
            </w:r>
          </w:p>
        </w:tc>
      </w:tr>
      <w:tr w:rsidR="00D734D4" w:rsidRPr="0011747E" w:rsidTr="0042336C">
        <w:tc>
          <w:tcPr>
            <w:tcW w:w="714" w:type="dxa"/>
            <w:tcBorders>
              <w:bottom w:val="single" w:sz="4" w:space="0" w:color="auto"/>
            </w:tcBorders>
            <w:shd w:val="clear" w:color="auto" w:fill="auto"/>
          </w:tcPr>
          <w:p w:rsidR="00D734D4" w:rsidRPr="0011747E" w:rsidRDefault="00D734D4" w:rsidP="00E75C65">
            <w:pPr>
              <w:pStyle w:val="Tabletext"/>
            </w:pPr>
            <w:r w:rsidRPr="0011747E">
              <w:t>3</w:t>
            </w:r>
          </w:p>
        </w:tc>
        <w:tc>
          <w:tcPr>
            <w:tcW w:w="1695" w:type="dxa"/>
            <w:tcBorders>
              <w:bottom w:val="single" w:sz="4" w:space="0" w:color="auto"/>
            </w:tcBorders>
            <w:shd w:val="clear" w:color="auto" w:fill="auto"/>
          </w:tcPr>
          <w:p w:rsidR="00D734D4" w:rsidRPr="0011747E" w:rsidRDefault="00D734D4" w:rsidP="00E75C65">
            <w:pPr>
              <w:pStyle w:val="Tabletext"/>
            </w:pPr>
            <w:r w:rsidRPr="0011747E">
              <w:t>stage 3</w:t>
            </w:r>
          </w:p>
        </w:tc>
        <w:tc>
          <w:tcPr>
            <w:tcW w:w="1701" w:type="dxa"/>
            <w:tcBorders>
              <w:bottom w:val="single" w:sz="4" w:space="0" w:color="auto"/>
            </w:tcBorders>
            <w:shd w:val="clear" w:color="auto" w:fill="auto"/>
          </w:tcPr>
          <w:p w:rsidR="00D734D4" w:rsidRPr="0011747E" w:rsidRDefault="00D734D4" w:rsidP="000D55BE">
            <w:pPr>
              <w:pStyle w:val="Tabletext"/>
              <w:ind w:left="34"/>
              <w:jc w:val="right"/>
            </w:pPr>
            <w:r w:rsidRPr="0011747E">
              <w:t>48%</w:t>
            </w:r>
          </w:p>
        </w:tc>
      </w:tr>
      <w:tr w:rsidR="00D734D4" w:rsidRPr="0011747E" w:rsidTr="0042336C">
        <w:tc>
          <w:tcPr>
            <w:tcW w:w="714" w:type="dxa"/>
            <w:tcBorders>
              <w:bottom w:val="single" w:sz="12" w:space="0" w:color="auto"/>
            </w:tcBorders>
            <w:shd w:val="clear" w:color="auto" w:fill="auto"/>
          </w:tcPr>
          <w:p w:rsidR="00D734D4" w:rsidRPr="0011747E" w:rsidRDefault="00D734D4" w:rsidP="00E75C65">
            <w:pPr>
              <w:pStyle w:val="Tabletext"/>
            </w:pPr>
            <w:r w:rsidRPr="0011747E">
              <w:t>4</w:t>
            </w:r>
          </w:p>
        </w:tc>
        <w:tc>
          <w:tcPr>
            <w:tcW w:w="1695" w:type="dxa"/>
            <w:tcBorders>
              <w:bottom w:val="single" w:sz="12" w:space="0" w:color="auto"/>
            </w:tcBorders>
            <w:shd w:val="clear" w:color="auto" w:fill="auto"/>
          </w:tcPr>
          <w:p w:rsidR="00D734D4" w:rsidRPr="0011747E" w:rsidRDefault="00D734D4" w:rsidP="00E75C65">
            <w:pPr>
              <w:pStyle w:val="Tabletext"/>
            </w:pPr>
            <w:r w:rsidRPr="0011747E">
              <w:t>stage 4</w:t>
            </w:r>
          </w:p>
        </w:tc>
        <w:tc>
          <w:tcPr>
            <w:tcW w:w="1701" w:type="dxa"/>
            <w:tcBorders>
              <w:bottom w:val="single" w:sz="12" w:space="0" w:color="auto"/>
            </w:tcBorders>
            <w:shd w:val="clear" w:color="auto" w:fill="auto"/>
          </w:tcPr>
          <w:p w:rsidR="00D734D4" w:rsidRPr="0011747E" w:rsidRDefault="00D734D4" w:rsidP="000D55BE">
            <w:pPr>
              <w:pStyle w:val="Tabletext"/>
              <w:ind w:left="34"/>
              <w:jc w:val="right"/>
            </w:pPr>
            <w:r w:rsidRPr="0011747E">
              <w:t>52%</w:t>
            </w:r>
          </w:p>
        </w:tc>
      </w:tr>
    </w:tbl>
    <w:p w:rsidR="00E12409" w:rsidRPr="0011747E" w:rsidRDefault="00E12409" w:rsidP="00E12409">
      <w:pPr>
        <w:pStyle w:val="ActHead5"/>
      </w:pPr>
      <w:bookmarkStart w:id="48" w:name="_Toc396376249"/>
      <w:r w:rsidRPr="0011747E">
        <w:rPr>
          <w:rStyle w:val="CharSectno"/>
        </w:rPr>
        <w:t>5.15D</w:t>
      </w:r>
      <w:r w:rsidRPr="0011747E">
        <w:t xml:space="preserve">  Amount of components of complexity fee</w:t>
      </w:r>
      <w:bookmarkEnd w:id="48"/>
    </w:p>
    <w:p w:rsidR="00147846" w:rsidRPr="0011747E" w:rsidRDefault="00147846" w:rsidP="00147846">
      <w:pPr>
        <w:pStyle w:val="subsection"/>
      </w:pPr>
      <w:r w:rsidRPr="0011747E">
        <w:tab/>
        <w:t>(1)</w:t>
      </w:r>
      <w:r w:rsidRPr="0011747E">
        <w:tab/>
        <w:t>The amount of the fee payable for a</w:t>
      </w:r>
      <w:r w:rsidR="005B1018" w:rsidRPr="0011747E">
        <w:t>n application component,</w:t>
      </w:r>
      <w:r w:rsidRPr="0011747E">
        <w:t xml:space="preserve"> controlling provision component or legislative impact component of the complexity fee depends on the level of complexity determined for the component.</w:t>
      </w:r>
    </w:p>
    <w:p w:rsidR="00E12409" w:rsidRPr="0011747E" w:rsidRDefault="00CE7A7B" w:rsidP="00E12409">
      <w:pPr>
        <w:pStyle w:val="notetext"/>
      </w:pPr>
      <w:r w:rsidRPr="0011747E">
        <w:t>Note:</w:t>
      </w:r>
      <w:r w:rsidRPr="0011747E">
        <w:tab/>
        <w:t>See regulation</w:t>
      </w:r>
      <w:r w:rsidR="0011747E" w:rsidRPr="0011747E">
        <w:t> </w:t>
      </w:r>
      <w:r w:rsidR="00E12409" w:rsidRPr="0011747E">
        <w:t>5.12</w:t>
      </w:r>
      <w:r w:rsidR="00A920A6" w:rsidRPr="0011747E">
        <w:t>K</w:t>
      </w:r>
      <w:r w:rsidR="00E12409" w:rsidRPr="0011747E">
        <w:t>.</w:t>
      </w:r>
    </w:p>
    <w:p w:rsidR="00E12409" w:rsidRPr="0011747E" w:rsidRDefault="00E12409" w:rsidP="00E12409">
      <w:pPr>
        <w:pStyle w:val="subsection"/>
      </w:pPr>
      <w:r w:rsidRPr="0011747E">
        <w:tab/>
        <w:t>(2)</w:t>
      </w:r>
      <w:r w:rsidRPr="0011747E">
        <w:tab/>
        <w:t>The amount of the project component of the complexity fee is:</w:t>
      </w:r>
    </w:p>
    <w:p w:rsidR="00E12409" w:rsidRPr="0011747E" w:rsidRDefault="00E12409" w:rsidP="00E12409">
      <w:pPr>
        <w:pStyle w:val="paragraph"/>
      </w:pPr>
      <w:r w:rsidRPr="0011747E">
        <w:tab/>
        <w:t>(a)</w:t>
      </w:r>
      <w:r w:rsidRPr="0011747E">
        <w:tab/>
        <w:t xml:space="preserve">if there is </w:t>
      </w:r>
      <w:r w:rsidR="00901800" w:rsidRPr="0011747E">
        <w:t>one</w:t>
      </w:r>
      <w:r w:rsidRPr="0011747E">
        <w:t xml:space="preserve"> project component—nil; and</w:t>
      </w:r>
    </w:p>
    <w:p w:rsidR="00E12409" w:rsidRPr="0011747E" w:rsidRDefault="00E12409" w:rsidP="00E12409">
      <w:pPr>
        <w:pStyle w:val="paragraph"/>
      </w:pPr>
      <w:r w:rsidRPr="0011747E">
        <w:tab/>
        <w:t>(b)</w:t>
      </w:r>
      <w:r w:rsidRPr="0011747E">
        <w:tab/>
        <w:t>if there are 2 p</w:t>
      </w:r>
      <w:r w:rsidR="002035EA" w:rsidRPr="0011747E">
        <w:t>roject</w:t>
      </w:r>
      <w:r w:rsidR="007E7F5B" w:rsidRPr="0011747E">
        <w:t xml:space="preserve"> components—$8</w:t>
      </w:r>
      <w:r w:rsidR="0011747E" w:rsidRPr="0011747E">
        <w:t> </w:t>
      </w:r>
      <w:r w:rsidRPr="0011747E">
        <w:t>661</w:t>
      </w:r>
      <w:r w:rsidR="001C7332" w:rsidRPr="0011747E">
        <w:t>.00</w:t>
      </w:r>
      <w:r w:rsidRPr="0011747E">
        <w:t>; and</w:t>
      </w:r>
    </w:p>
    <w:p w:rsidR="00E12409" w:rsidRPr="0011747E" w:rsidRDefault="00E12409" w:rsidP="00E12409">
      <w:pPr>
        <w:pStyle w:val="paragraph"/>
      </w:pPr>
      <w:r w:rsidRPr="0011747E">
        <w:tab/>
        <w:t>(c)</w:t>
      </w:r>
      <w:r w:rsidRPr="0011747E">
        <w:tab/>
        <w:t>if the</w:t>
      </w:r>
      <w:r w:rsidR="007E7F5B" w:rsidRPr="0011747E">
        <w:t>re are 3 project components—$17</w:t>
      </w:r>
      <w:r w:rsidR="0011747E" w:rsidRPr="0011747E">
        <w:t> </w:t>
      </w:r>
      <w:r w:rsidRPr="0011747E">
        <w:t>322</w:t>
      </w:r>
      <w:r w:rsidR="001C7332" w:rsidRPr="0011747E">
        <w:t>.00</w:t>
      </w:r>
      <w:r w:rsidRPr="0011747E">
        <w:t>; and</w:t>
      </w:r>
    </w:p>
    <w:p w:rsidR="00E12409" w:rsidRPr="0011747E" w:rsidRDefault="00E12409" w:rsidP="00E12409">
      <w:pPr>
        <w:pStyle w:val="paragraph"/>
      </w:pPr>
      <w:r w:rsidRPr="0011747E">
        <w:tab/>
        <w:t>(d)</w:t>
      </w:r>
      <w:r w:rsidRPr="0011747E">
        <w:tab/>
        <w:t>if there are more than 3 project components—the amount worked out using the following formula:</w:t>
      </w:r>
    </w:p>
    <w:p w:rsidR="00E12409" w:rsidRPr="0011747E" w:rsidRDefault="00E12409" w:rsidP="00E12409">
      <w:pPr>
        <w:pStyle w:val="paragraph"/>
      </w:pPr>
      <w:r w:rsidRPr="0011747E">
        <w:tab/>
      </w:r>
      <w:r w:rsidRPr="0011747E">
        <w:tab/>
      </w:r>
      <w:bookmarkStart w:id="49" w:name="BKCheck15B_7"/>
      <w:bookmarkEnd w:id="49"/>
      <w:r w:rsidR="00176BEE" w:rsidRPr="0011747E">
        <w:rPr>
          <w:position w:val="-36"/>
        </w:rPr>
        <w:object w:dxaOrig="3280" w:dyaOrig="820">
          <v:shape id="_x0000_i1027" type="#_x0000_t75" style="width:162.75pt;height:40.5pt" o:ole="">
            <v:imagedata r:id="rId25" o:title=""/>
          </v:shape>
          <o:OLEObject Type="Embed" ProgID="Equation.DSMT4" ShapeID="_x0000_i1027" DrawAspect="Content" ObjectID="_1471073959" r:id="rId26"/>
        </w:object>
      </w:r>
    </w:p>
    <w:p w:rsidR="00A54996" w:rsidRPr="0011747E" w:rsidRDefault="00A54996" w:rsidP="00A54996">
      <w:pPr>
        <w:pStyle w:val="ActHead5"/>
      </w:pPr>
      <w:bookmarkStart w:id="50" w:name="_Toc396376250"/>
      <w:r w:rsidRPr="0011747E">
        <w:rPr>
          <w:rStyle w:val="CharSectno"/>
        </w:rPr>
        <w:t>5.15E</w:t>
      </w:r>
      <w:r w:rsidRPr="0011747E">
        <w:t xml:space="preserve">  Method for working out complexity fee</w:t>
      </w:r>
      <w:bookmarkEnd w:id="50"/>
    </w:p>
    <w:p w:rsidR="00A54996" w:rsidRPr="0011747E" w:rsidRDefault="00A54996" w:rsidP="00A54996">
      <w:pPr>
        <w:pStyle w:val="subsection"/>
      </w:pPr>
      <w:r w:rsidRPr="0011747E">
        <w:tab/>
      </w:r>
      <w:r w:rsidRPr="0011747E">
        <w:tab/>
        <w:t xml:space="preserve">For </w:t>
      </w:r>
      <w:r w:rsidR="00554893" w:rsidRPr="0011747E">
        <w:t>paragraph</w:t>
      </w:r>
      <w:r w:rsidR="0011747E" w:rsidRPr="0011747E">
        <w:t> </w:t>
      </w:r>
      <w:r w:rsidR="00E83D70" w:rsidRPr="0011747E">
        <w:t>520</w:t>
      </w:r>
      <w:r w:rsidR="00554893" w:rsidRPr="0011747E">
        <w:t>(</w:t>
      </w:r>
      <w:r w:rsidRPr="0011747E">
        <w:t>4C)(c) of the Act:</w:t>
      </w:r>
    </w:p>
    <w:p w:rsidR="00A54996" w:rsidRPr="0011747E" w:rsidRDefault="00A54996" w:rsidP="00A54996">
      <w:pPr>
        <w:pStyle w:val="paragraph"/>
      </w:pPr>
      <w:r w:rsidRPr="0011747E">
        <w:tab/>
        <w:t>(a)</w:t>
      </w:r>
      <w:r w:rsidRPr="0011747E">
        <w:tab/>
        <w:t>the sum of the fees mentioned in paragraph</w:t>
      </w:r>
      <w:r w:rsidR="0011747E" w:rsidRPr="0011747E">
        <w:t> </w:t>
      </w:r>
      <w:r w:rsidRPr="0011747E">
        <w:t xml:space="preserve">5.15C(1)(a) is </w:t>
      </w:r>
      <w:r w:rsidR="00C659D4" w:rsidRPr="0011747E">
        <w:t>the</w:t>
      </w:r>
      <w:r w:rsidRPr="0011747E">
        <w:t xml:space="preserve"> method for working out the Part A complexity fee; and</w:t>
      </w:r>
    </w:p>
    <w:p w:rsidR="00A54996" w:rsidRPr="0011747E" w:rsidRDefault="00A54996" w:rsidP="00A54996">
      <w:pPr>
        <w:pStyle w:val="paragraph"/>
      </w:pPr>
      <w:r w:rsidRPr="0011747E">
        <w:tab/>
        <w:t>(b)</w:t>
      </w:r>
      <w:r w:rsidRPr="0011747E">
        <w:tab/>
        <w:t>the sum of the fee for each application component, as mentioned in paragraph</w:t>
      </w:r>
      <w:r w:rsidR="0011747E" w:rsidRPr="0011747E">
        <w:t> </w:t>
      </w:r>
      <w:r w:rsidRPr="0011747E">
        <w:t xml:space="preserve">5.15C(1)(b), is </w:t>
      </w:r>
      <w:r w:rsidR="00C659D4" w:rsidRPr="0011747E">
        <w:t>the</w:t>
      </w:r>
      <w:r w:rsidRPr="0011747E">
        <w:t xml:space="preserve"> method for working out the Part B complexity fee.</w:t>
      </w:r>
    </w:p>
    <w:p w:rsidR="00455970" w:rsidRPr="0011747E" w:rsidRDefault="00F417C1" w:rsidP="00F417C1">
      <w:pPr>
        <w:pStyle w:val="ActHead4"/>
      </w:pPr>
      <w:bookmarkStart w:id="51" w:name="_Toc396376251"/>
      <w:r w:rsidRPr="0011747E">
        <w:rPr>
          <w:rStyle w:val="CharSubdNo"/>
        </w:rPr>
        <w:t>Subd</w:t>
      </w:r>
      <w:r w:rsidR="00455970" w:rsidRPr="0011747E">
        <w:rPr>
          <w:rStyle w:val="CharSubdNo"/>
        </w:rPr>
        <w:t>ivision</w:t>
      </w:r>
      <w:r w:rsidRPr="0011747E">
        <w:rPr>
          <w:rStyle w:val="CharSubdNo"/>
        </w:rPr>
        <w:t xml:space="preserve"> </w:t>
      </w:r>
      <w:r w:rsidR="00A920A6" w:rsidRPr="0011747E">
        <w:rPr>
          <w:rStyle w:val="CharSubdNo"/>
        </w:rPr>
        <w:t>F</w:t>
      </w:r>
      <w:r w:rsidR="00455970" w:rsidRPr="0011747E">
        <w:t>—</w:t>
      </w:r>
      <w:r w:rsidR="00455970" w:rsidRPr="0011747E">
        <w:rPr>
          <w:rStyle w:val="CharSubdText"/>
        </w:rPr>
        <w:t>Public environment reports</w:t>
      </w:r>
      <w:bookmarkEnd w:id="51"/>
    </w:p>
    <w:p w:rsidR="002F125A" w:rsidRPr="0011747E" w:rsidRDefault="002F125A" w:rsidP="0068023C">
      <w:pPr>
        <w:pStyle w:val="ActHead5"/>
      </w:pPr>
      <w:bookmarkStart w:id="52" w:name="_Toc396376252"/>
      <w:r w:rsidRPr="0011747E">
        <w:rPr>
          <w:rStyle w:val="CharSectno"/>
        </w:rPr>
        <w:t>5.16</w:t>
      </w:r>
      <w:r w:rsidRPr="0011747E">
        <w:t xml:space="preserve">  Application</w:t>
      </w:r>
      <w:bookmarkEnd w:id="52"/>
    </w:p>
    <w:p w:rsidR="002F125A" w:rsidRPr="0011747E" w:rsidRDefault="002F125A" w:rsidP="002F125A">
      <w:pPr>
        <w:pStyle w:val="subsection"/>
      </w:pPr>
      <w:r w:rsidRPr="0011747E">
        <w:tab/>
      </w:r>
      <w:r w:rsidRPr="0011747E">
        <w:tab/>
        <w:t>This Subdivision applies if the Minister has decided under section</w:t>
      </w:r>
      <w:r w:rsidR="0011747E" w:rsidRPr="0011747E">
        <w:t> </w:t>
      </w:r>
      <w:r w:rsidRPr="0011747E">
        <w:t>87 of the Act that</w:t>
      </w:r>
      <w:r w:rsidR="001B108D" w:rsidRPr="0011747E">
        <w:t xml:space="preserve"> </w:t>
      </w:r>
      <w:r w:rsidRPr="0011747E">
        <w:t xml:space="preserve">the relevant impacts of an action are to be assessed by </w:t>
      </w:r>
      <w:r w:rsidR="002650A0" w:rsidRPr="0011747E">
        <w:t>a public environment report</w:t>
      </w:r>
      <w:r w:rsidRPr="0011747E">
        <w:t xml:space="preserve"> under Division</w:t>
      </w:r>
      <w:r w:rsidR="0011747E" w:rsidRPr="0011747E">
        <w:t> </w:t>
      </w:r>
      <w:r w:rsidRPr="0011747E">
        <w:t xml:space="preserve">5 of </w:t>
      </w:r>
      <w:r w:rsidR="00E3262C" w:rsidRPr="0011747E">
        <w:t>Part</w:t>
      </w:r>
      <w:r w:rsidR="0011747E" w:rsidRPr="0011747E">
        <w:t> </w:t>
      </w:r>
      <w:r w:rsidR="00E3262C" w:rsidRPr="0011747E">
        <w:t xml:space="preserve">8 of </w:t>
      </w:r>
      <w:r w:rsidRPr="0011747E">
        <w:t>the Act.</w:t>
      </w:r>
    </w:p>
    <w:p w:rsidR="0008684E" w:rsidRPr="0011747E" w:rsidRDefault="0008684E" w:rsidP="0008684E">
      <w:pPr>
        <w:pStyle w:val="ActHead5"/>
      </w:pPr>
      <w:bookmarkStart w:id="53" w:name="_Toc396376253"/>
      <w:r w:rsidRPr="0011747E">
        <w:rPr>
          <w:rStyle w:val="CharSectno"/>
        </w:rPr>
        <w:t>5.16A</w:t>
      </w:r>
      <w:r w:rsidRPr="0011747E">
        <w:t xml:space="preserve">  Definitions</w:t>
      </w:r>
      <w:bookmarkEnd w:id="53"/>
    </w:p>
    <w:p w:rsidR="0008684E" w:rsidRPr="0011747E" w:rsidRDefault="0008684E" w:rsidP="0008684E">
      <w:pPr>
        <w:pStyle w:val="subsection"/>
      </w:pPr>
      <w:r w:rsidRPr="0011747E">
        <w:tab/>
        <w:t>(1)</w:t>
      </w:r>
      <w:r w:rsidRPr="0011747E">
        <w:tab/>
        <w:t>In this Subdivision:</w:t>
      </w:r>
    </w:p>
    <w:p w:rsidR="00D94EEE" w:rsidRPr="0011747E" w:rsidRDefault="00D94EEE" w:rsidP="0008684E">
      <w:pPr>
        <w:pStyle w:val="Definition"/>
      </w:pPr>
      <w:r w:rsidRPr="0011747E">
        <w:rPr>
          <w:b/>
          <w:i/>
        </w:rPr>
        <w:t>PER guidelines</w:t>
      </w:r>
      <w:r w:rsidRPr="0011747E">
        <w:t>, in relation to a designated proponent, has the same meaning as in subsection</w:t>
      </w:r>
      <w:r w:rsidR="0011747E" w:rsidRPr="0011747E">
        <w:t> </w:t>
      </w:r>
      <w:r w:rsidRPr="0011747E">
        <w:t>96A(1) of the Act.</w:t>
      </w:r>
    </w:p>
    <w:p w:rsidR="0008684E" w:rsidRPr="0011747E" w:rsidRDefault="0008684E" w:rsidP="0008684E">
      <w:pPr>
        <w:pStyle w:val="Definition"/>
      </w:pPr>
      <w:r w:rsidRPr="0011747E">
        <w:rPr>
          <w:b/>
          <w:i/>
        </w:rPr>
        <w:t>stage 1</w:t>
      </w:r>
      <w:r w:rsidRPr="0011747E">
        <w:t>:</w:t>
      </w:r>
    </w:p>
    <w:p w:rsidR="0008684E" w:rsidRPr="0011747E" w:rsidRDefault="0008684E" w:rsidP="0008684E">
      <w:pPr>
        <w:pStyle w:val="paragraph"/>
      </w:pPr>
      <w:r w:rsidRPr="0011747E">
        <w:tab/>
        <w:t>(a)</w:t>
      </w:r>
      <w:r w:rsidRPr="0011747E">
        <w:tab/>
        <w:t>if the PER guidelines given to the designated proponent are standard guidelines made under section</w:t>
      </w:r>
      <w:r w:rsidR="0011747E" w:rsidRPr="0011747E">
        <w:t> </w:t>
      </w:r>
      <w:r w:rsidRPr="0011747E">
        <w:t>96B of the Act—</w:t>
      </w:r>
      <w:r w:rsidR="00C659D4" w:rsidRPr="0011747E">
        <w:t xml:space="preserve">stage 1 </w:t>
      </w:r>
      <w:r w:rsidRPr="0011747E">
        <w:t>does not occur; and</w:t>
      </w:r>
    </w:p>
    <w:p w:rsidR="0008684E" w:rsidRPr="0011747E" w:rsidRDefault="0008684E" w:rsidP="0008684E">
      <w:pPr>
        <w:pStyle w:val="paragraph"/>
      </w:pPr>
      <w:r w:rsidRPr="0011747E">
        <w:tab/>
        <w:t>(b)</w:t>
      </w:r>
      <w:r w:rsidRPr="0011747E">
        <w:tab/>
        <w:t>if the PER guidelines given to the designated proponent are tailored guidelines—</w:t>
      </w:r>
      <w:r w:rsidR="00C659D4" w:rsidRPr="0011747E">
        <w:t xml:space="preserve">stage 1 </w:t>
      </w:r>
      <w:r w:rsidR="008B04DC" w:rsidRPr="0011747E">
        <w:t>begins</w:t>
      </w:r>
      <w:r w:rsidRPr="0011747E">
        <w:t xml:space="preserve"> when the tailored guidelines are prepared under section</w:t>
      </w:r>
      <w:r w:rsidR="0011747E" w:rsidRPr="0011747E">
        <w:t> </w:t>
      </w:r>
      <w:r w:rsidRPr="0011747E">
        <w:t>97 of the Act.</w:t>
      </w:r>
    </w:p>
    <w:p w:rsidR="0008684E" w:rsidRPr="0011747E" w:rsidRDefault="0008684E" w:rsidP="0008684E">
      <w:pPr>
        <w:pStyle w:val="Definition"/>
      </w:pPr>
      <w:r w:rsidRPr="0011747E">
        <w:rPr>
          <w:b/>
          <w:i/>
        </w:rPr>
        <w:t>stage 2</w:t>
      </w:r>
      <w:r w:rsidR="00A20EE3" w:rsidRPr="0011747E">
        <w:t>: stage 2</w:t>
      </w:r>
      <w:r w:rsidRPr="0011747E">
        <w:t xml:space="preserve"> </w:t>
      </w:r>
      <w:r w:rsidR="008B04DC" w:rsidRPr="0011747E">
        <w:t>begins</w:t>
      </w:r>
      <w:r w:rsidR="005E276F" w:rsidRPr="0011747E">
        <w:t xml:space="preserve"> when </w:t>
      </w:r>
      <w:r w:rsidRPr="0011747E">
        <w:t xml:space="preserve">the draft report is </w:t>
      </w:r>
      <w:r w:rsidR="005E276F" w:rsidRPr="0011747E">
        <w:t>given to the Minister, as required by paragraph</w:t>
      </w:r>
      <w:r w:rsidR="0011747E" w:rsidRPr="0011747E">
        <w:t> </w:t>
      </w:r>
      <w:r w:rsidRPr="0011747E">
        <w:t>98(</w:t>
      </w:r>
      <w:r w:rsidR="005E276F" w:rsidRPr="0011747E">
        <w:t>1</w:t>
      </w:r>
      <w:r w:rsidRPr="0011747E">
        <w:t>)</w:t>
      </w:r>
      <w:r w:rsidR="005E276F" w:rsidRPr="0011747E">
        <w:t>(ab)</w:t>
      </w:r>
      <w:r w:rsidRPr="0011747E">
        <w:t xml:space="preserve"> of the Act.</w:t>
      </w:r>
    </w:p>
    <w:p w:rsidR="0008684E" w:rsidRPr="0011747E" w:rsidRDefault="0008684E" w:rsidP="0008684E">
      <w:pPr>
        <w:pStyle w:val="Definition"/>
      </w:pPr>
      <w:r w:rsidRPr="0011747E">
        <w:rPr>
          <w:b/>
          <w:i/>
        </w:rPr>
        <w:t>stage 3</w:t>
      </w:r>
      <w:r w:rsidR="00A20EE3" w:rsidRPr="0011747E">
        <w:t>: stage 3</w:t>
      </w:r>
      <w:r w:rsidR="008B04DC" w:rsidRPr="0011747E">
        <w:t xml:space="preserve"> begins </w:t>
      </w:r>
      <w:r w:rsidRPr="0011747E">
        <w:t>when the designated proponent has given the Minister the documents required under subsection</w:t>
      </w:r>
      <w:r w:rsidR="0011747E" w:rsidRPr="0011747E">
        <w:t> </w:t>
      </w:r>
      <w:r w:rsidRPr="0011747E">
        <w:t>99(3) of the Act.</w:t>
      </w:r>
    </w:p>
    <w:p w:rsidR="0008684E" w:rsidRPr="0011747E" w:rsidRDefault="0008684E" w:rsidP="0008684E">
      <w:pPr>
        <w:pStyle w:val="Definition"/>
      </w:pPr>
      <w:r w:rsidRPr="0011747E">
        <w:rPr>
          <w:b/>
          <w:i/>
        </w:rPr>
        <w:t>stage 4</w:t>
      </w:r>
      <w:r w:rsidR="00A20EE3" w:rsidRPr="0011747E">
        <w:t>: stage 4</w:t>
      </w:r>
      <w:r w:rsidRPr="0011747E">
        <w:t xml:space="preserve"> </w:t>
      </w:r>
      <w:r w:rsidR="008B04DC" w:rsidRPr="0011747E">
        <w:t>begins</w:t>
      </w:r>
      <w:r w:rsidRPr="0011747E">
        <w:t xml:space="preserve"> when a recommendation report s</w:t>
      </w:r>
      <w:r w:rsidR="004C7A85" w:rsidRPr="0011747E">
        <w:t>tarts to be</w:t>
      </w:r>
      <w:r w:rsidRPr="0011747E">
        <w:t xml:space="preserve"> prepared under subsection</w:t>
      </w:r>
      <w:r w:rsidR="0011747E" w:rsidRPr="0011747E">
        <w:t> </w:t>
      </w:r>
      <w:r w:rsidRPr="0011747E">
        <w:t>100(1) of the Act.</w:t>
      </w:r>
    </w:p>
    <w:p w:rsidR="0008684E" w:rsidRPr="0011747E" w:rsidRDefault="0008684E" w:rsidP="0008684E">
      <w:pPr>
        <w:pStyle w:val="subsection"/>
      </w:pPr>
      <w:r w:rsidRPr="0011747E">
        <w:tab/>
        <w:t>(2)</w:t>
      </w:r>
      <w:r w:rsidRPr="0011747E">
        <w:tab/>
        <w:t xml:space="preserve">To avoid doubt, if </w:t>
      </w:r>
      <w:r w:rsidR="0011747E" w:rsidRPr="0011747E">
        <w:t>paragraph (</w:t>
      </w:r>
      <w:r w:rsidRPr="0011747E">
        <w:t xml:space="preserve">a) of the definition of </w:t>
      </w:r>
      <w:r w:rsidRPr="0011747E">
        <w:rPr>
          <w:b/>
          <w:i/>
        </w:rPr>
        <w:t>stage 1</w:t>
      </w:r>
      <w:r w:rsidRPr="0011747E">
        <w:t xml:space="preserve"> applies, no</w:t>
      </w:r>
      <w:r w:rsidR="008B04DC" w:rsidRPr="0011747E">
        <w:t xml:space="preserve"> base fee or</w:t>
      </w:r>
      <w:r w:rsidRPr="0011747E">
        <w:t xml:space="preserve"> Part A</w:t>
      </w:r>
      <w:r w:rsidR="008B04DC" w:rsidRPr="0011747E">
        <w:t xml:space="preserve"> complexity</w:t>
      </w:r>
      <w:r w:rsidRPr="0011747E">
        <w:t xml:space="preserve"> fee is payable for that stage.</w:t>
      </w:r>
    </w:p>
    <w:p w:rsidR="005E276F" w:rsidRPr="0011747E" w:rsidRDefault="005E276F" w:rsidP="005E276F">
      <w:pPr>
        <w:pStyle w:val="notetext"/>
      </w:pPr>
      <w:r w:rsidRPr="0011747E">
        <w:t>Note:</w:t>
      </w:r>
      <w:r w:rsidRPr="0011747E">
        <w:tab/>
        <w:t xml:space="preserve">For </w:t>
      </w:r>
      <w:r w:rsidRPr="0011747E">
        <w:rPr>
          <w:b/>
          <w:i/>
        </w:rPr>
        <w:t>Part A complexity fee</w:t>
      </w:r>
      <w:r w:rsidRPr="0011747E">
        <w:t>, see regulation</w:t>
      </w:r>
      <w:r w:rsidR="0011747E" w:rsidRPr="0011747E">
        <w:t> </w:t>
      </w:r>
      <w:r w:rsidRPr="0011747E">
        <w:t>5.16C.</w:t>
      </w:r>
    </w:p>
    <w:p w:rsidR="0068023C" w:rsidRPr="0011747E" w:rsidRDefault="002F125A" w:rsidP="0068023C">
      <w:pPr>
        <w:pStyle w:val="ActHead5"/>
      </w:pPr>
      <w:bookmarkStart w:id="54" w:name="_Toc396376254"/>
      <w:r w:rsidRPr="0011747E">
        <w:rPr>
          <w:rStyle w:val="CharSectno"/>
        </w:rPr>
        <w:t>5.16</w:t>
      </w:r>
      <w:r w:rsidR="005D4AF3" w:rsidRPr="0011747E">
        <w:rPr>
          <w:rStyle w:val="CharSectno"/>
        </w:rPr>
        <w:t>B</w:t>
      </w:r>
      <w:r w:rsidR="0008684E" w:rsidRPr="0011747E">
        <w:t xml:space="preserve">  Base fee payable in stages</w:t>
      </w:r>
      <w:bookmarkEnd w:id="54"/>
    </w:p>
    <w:p w:rsidR="0008684E" w:rsidRPr="0011747E" w:rsidRDefault="0008684E" w:rsidP="0008684E">
      <w:pPr>
        <w:pStyle w:val="subsection"/>
      </w:pPr>
      <w:r w:rsidRPr="0011747E">
        <w:tab/>
        <w:t>(1)</w:t>
      </w:r>
      <w:r w:rsidRPr="0011747E">
        <w:tab/>
        <w:t>The base fee for the assessment of the action is payable in 4 stages, before each stage begins.</w:t>
      </w:r>
    </w:p>
    <w:p w:rsidR="005D4AF3" w:rsidRPr="0011747E" w:rsidRDefault="005D4AF3" w:rsidP="005D4AF3">
      <w:pPr>
        <w:pStyle w:val="subsection"/>
      </w:pPr>
      <w:r w:rsidRPr="0011747E">
        <w:tab/>
        <w:t>(2)</w:t>
      </w:r>
      <w:r w:rsidRPr="0011747E">
        <w:tab/>
        <w:t>The amount of the base fee payable for each stage is set out in the following table:</w:t>
      </w:r>
    </w:p>
    <w:p w:rsidR="005D4AF3" w:rsidRPr="0011747E" w:rsidRDefault="005D4AF3" w:rsidP="005D4AF3">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5D4AF3" w:rsidRPr="0011747E" w:rsidTr="0042336C">
        <w:trPr>
          <w:tblHeader/>
        </w:trPr>
        <w:tc>
          <w:tcPr>
            <w:tcW w:w="4110" w:type="dxa"/>
            <w:gridSpan w:val="3"/>
            <w:tcBorders>
              <w:top w:val="single" w:sz="12" w:space="0" w:color="auto"/>
              <w:bottom w:val="single" w:sz="6" w:space="0" w:color="auto"/>
            </w:tcBorders>
            <w:shd w:val="clear" w:color="auto" w:fill="auto"/>
          </w:tcPr>
          <w:p w:rsidR="005D4AF3" w:rsidRPr="0011747E" w:rsidRDefault="005D4AF3" w:rsidP="00DA058E">
            <w:pPr>
              <w:pStyle w:val="TableHeading"/>
              <w:ind w:left="33"/>
            </w:pPr>
            <w:r w:rsidRPr="0011747E">
              <w:t>Base fee for assessment by a public environment report</w:t>
            </w:r>
          </w:p>
        </w:tc>
      </w:tr>
      <w:tr w:rsidR="005D4AF3" w:rsidRPr="0011747E" w:rsidTr="0042336C">
        <w:trPr>
          <w:tblHeader/>
        </w:trPr>
        <w:tc>
          <w:tcPr>
            <w:tcW w:w="714" w:type="dxa"/>
            <w:tcBorders>
              <w:top w:val="single" w:sz="6" w:space="0" w:color="auto"/>
              <w:bottom w:val="single" w:sz="12" w:space="0" w:color="auto"/>
            </w:tcBorders>
            <w:shd w:val="clear" w:color="auto" w:fill="auto"/>
          </w:tcPr>
          <w:p w:rsidR="005D4AF3" w:rsidRPr="0011747E" w:rsidRDefault="005D4AF3"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5D4AF3" w:rsidRPr="0011747E" w:rsidRDefault="005D4AF3"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5D4AF3" w:rsidRPr="0011747E" w:rsidRDefault="00836667" w:rsidP="00836667">
            <w:pPr>
              <w:pStyle w:val="TableHeading"/>
              <w:ind w:left="420" w:hanging="420"/>
              <w:jc w:val="right"/>
            </w:pPr>
            <w:r w:rsidRPr="0011747E">
              <w:t>Amount</w:t>
            </w:r>
            <w:r w:rsidR="005D4AF3" w:rsidRPr="0011747E">
              <w:t xml:space="preserve"> payable</w:t>
            </w:r>
          </w:p>
        </w:tc>
      </w:tr>
      <w:tr w:rsidR="005D4AF3" w:rsidRPr="0011747E" w:rsidTr="0042336C">
        <w:tc>
          <w:tcPr>
            <w:tcW w:w="714" w:type="dxa"/>
            <w:tcBorders>
              <w:top w:val="single" w:sz="12" w:space="0" w:color="auto"/>
            </w:tcBorders>
            <w:shd w:val="clear" w:color="auto" w:fill="auto"/>
          </w:tcPr>
          <w:p w:rsidR="005D4AF3" w:rsidRPr="0011747E" w:rsidRDefault="005D4AF3" w:rsidP="003E2EEA">
            <w:pPr>
              <w:pStyle w:val="Tabletext"/>
            </w:pPr>
            <w:r w:rsidRPr="0011747E">
              <w:t>1</w:t>
            </w:r>
          </w:p>
        </w:tc>
        <w:tc>
          <w:tcPr>
            <w:tcW w:w="1695" w:type="dxa"/>
            <w:tcBorders>
              <w:top w:val="single" w:sz="12" w:space="0" w:color="auto"/>
            </w:tcBorders>
            <w:shd w:val="clear" w:color="auto" w:fill="auto"/>
          </w:tcPr>
          <w:p w:rsidR="005D4AF3" w:rsidRPr="0011747E" w:rsidRDefault="005D4AF3" w:rsidP="003E2EEA">
            <w:pPr>
              <w:pStyle w:val="Tabletext"/>
            </w:pPr>
            <w:r w:rsidRPr="0011747E">
              <w:t>stage 1</w:t>
            </w:r>
          </w:p>
        </w:tc>
        <w:tc>
          <w:tcPr>
            <w:tcW w:w="1701" w:type="dxa"/>
            <w:tcBorders>
              <w:top w:val="single" w:sz="12" w:space="0" w:color="auto"/>
            </w:tcBorders>
            <w:shd w:val="clear" w:color="auto" w:fill="auto"/>
          </w:tcPr>
          <w:p w:rsidR="005D4AF3" w:rsidRPr="0011747E" w:rsidRDefault="007E7F5B" w:rsidP="00836667">
            <w:pPr>
              <w:pStyle w:val="Tabletext"/>
              <w:jc w:val="right"/>
            </w:pPr>
            <w:r w:rsidRPr="0011747E">
              <w:t>$4</w:t>
            </w:r>
            <w:r w:rsidR="0011747E" w:rsidRPr="0011747E">
              <w:t> </w:t>
            </w:r>
            <w:r w:rsidR="005D4AF3" w:rsidRPr="0011747E">
              <w:t>031.00</w:t>
            </w:r>
          </w:p>
        </w:tc>
      </w:tr>
      <w:tr w:rsidR="005D4AF3" w:rsidRPr="0011747E" w:rsidTr="0042336C">
        <w:tc>
          <w:tcPr>
            <w:tcW w:w="714" w:type="dxa"/>
            <w:shd w:val="clear" w:color="auto" w:fill="auto"/>
          </w:tcPr>
          <w:p w:rsidR="005D4AF3" w:rsidRPr="0011747E" w:rsidRDefault="005D4AF3" w:rsidP="003E2EEA">
            <w:pPr>
              <w:pStyle w:val="Tabletext"/>
            </w:pPr>
            <w:r w:rsidRPr="0011747E">
              <w:t>2</w:t>
            </w:r>
          </w:p>
        </w:tc>
        <w:tc>
          <w:tcPr>
            <w:tcW w:w="1695" w:type="dxa"/>
            <w:shd w:val="clear" w:color="auto" w:fill="auto"/>
          </w:tcPr>
          <w:p w:rsidR="005D4AF3" w:rsidRPr="0011747E" w:rsidRDefault="005D4AF3" w:rsidP="003E2EEA">
            <w:pPr>
              <w:pStyle w:val="Tabletext"/>
            </w:pPr>
            <w:r w:rsidRPr="0011747E">
              <w:t>stage 2</w:t>
            </w:r>
          </w:p>
        </w:tc>
        <w:tc>
          <w:tcPr>
            <w:tcW w:w="1701" w:type="dxa"/>
            <w:shd w:val="clear" w:color="auto" w:fill="auto"/>
          </w:tcPr>
          <w:p w:rsidR="005D4AF3" w:rsidRPr="0011747E" w:rsidRDefault="005D4AF3" w:rsidP="00836667">
            <w:pPr>
              <w:pStyle w:val="Tabletext"/>
              <w:jc w:val="right"/>
            </w:pPr>
            <w:r w:rsidRPr="0011747E">
              <w:t>$12</w:t>
            </w:r>
            <w:r w:rsidR="0011747E" w:rsidRPr="0011747E">
              <w:t> </w:t>
            </w:r>
            <w:r w:rsidRPr="0011747E">
              <w:t>760.00</w:t>
            </w:r>
          </w:p>
        </w:tc>
      </w:tr>
      <w:tr w:rsidR="005D4AF3" w:rsidRPr="0011747E" w:rsidTr="0042336C">
        <w:tc>
          <w:tcPr>
            <w:tcW w:w="714" w:type="dxa"/>
            <w:tcBorders>
              <w:bottom w:val="single" w:sz="4" w:space="0" w:color="auto"/>
            </w:tcBorders>
            <w:shd w:val="clear" w:color="auto" w:fill="auto"/>
          </w:tcPr>
          <w:p w:rsidR="005D4AF3" w:rsidRPr="0011747E" w:rsidRDefault="005D4AF3" w:rsidP="003E2EEA">
            <w:pPr>
              <w:pStyle w:val="Tabletext"/>
            </w:pPr>
            <w:r w:rsidRPr="0011747E">
              <w:t>3</w:t>
            </w:r>
          </w:p>
        </w:tc>
        <w:tc>
          <w:tcPr>
            <w:tcW w:w="1695" w:type="dxa"/>
            <w:tcBorders>
              <w:bottom w:val="single" w:sz="4" w:space="0" w:color="auto"/>
            </w:tcBorders>
            <w:shd w:val="clear" w:color="auto" w:fill="auto"/>
          </w:tcPr>
          <w:p w:rsidR="005D4AF3" w:rsidRPr="0011747E" w:rsidRDefault="005D4AF3" w:rsidP="003E2EEA">
            <w:pPr>
              <w:pStyle w:val="Tabletext"/>
            </w:pPr>
            <w:r w:rsidRPr="0011747E">
              <w:t>stage 3</w:t>
            </w:r>
          </w:p>
        </w:tc>
        <w:tc>
          <w:tcPr>
            <w:tcW w:w="1701" w:type="dxa"/>
            <w:tcBorders>
              <w:bottom w:val="single" w:sz="4" w:space="0" w:color="auto"/>
            </w:tcBorders>
            <w:shd w:val="clear" w:color="auto" w:fill="auto"/>
          </w:tcPr>
          <w:p w:rsidR="005D4AF3" w:rsidRPr="0011747E" w:rsidRDefault="007E7F5B" w:rsidP="00836667">
            <w:pPr>
              <w:pStyle w:val="Tabletext"/>
              <w:jc w:val="right"/>
            </w:pPr>
            <w:r w:rsidRPr="0011747E">
              <w:t>$4</w:t>
            </w:r>
            <w:r w:rsidR="0011747E" w:rsidRPr="0011747E">
              <w:t> </w:t>
            </w:r>
            <w:r w:rsidR="005D4AF3" w:rsidRPr="0011747E">
              <w:t>265.00</w:t>
            </w:r>
          </w:p>
        </w:tc>
      </w:tr>
      <w:tr w:rsidR="005D4AF3" w:rsidRPr="0011747E" w:rsidTr="0042336C">
        <w:tc>
          <w:tcPr>
            <w:tcW w:w="714" w:type="dxa"/>
            <w:tcBorders>
              <w:bottom w:val="single" w:sz="12" w:space="0" w:color="auto"/>
            </w:tcBorders>
            <w:shd w:val="clear" w:color="auto" w:fill="auto"/>
          </w:tcPr>
          <w:p w:rsidR="005D4AF3" w:rsidRPr="0011747E" w:rsidRDefault="005D4AF3" w:rsidP="003E2EEA">
            <w:pPr>
              <w:pStyle w:val="Tabletext"/>
            </w:pPr>
            <w:r w:rsidRPr="0011747E">
              <w:t>4</w:t>
            </w:r>
          </w:p>
        </w:tc>
        <w:tc>
          <w:tcPr>
            <w:tcW w:w="1695" w:type="dxa"/>
            <w:tcBorders>
              <w:bottom w:val="single" w:sz="12" w:space="0" w:color="auto"/>
            </w:tcBorders>
            <w:shd w:val="clear" w:color="auto" w:fill="auto"/>
          </w:tcPr>
          <w:p w:rsidR="005D4AF3" w:rsidRPr="0011747E" w:rsidRDefault="005D4AF3" w:rsidP="003E2EEA">
            <w:pPr>
              <w:pStyle w:val="Tabletext"/>
            </w:pPr>
            <w:r w:rsidRPr="0011747E">
              <w:t>stage 4</w:t>
            </w:r>
          </w:p>
        </w:tc>
        <w:tc>
          <w:tcPr>
            <w:tcW w:w="1701" w:type="dxa"/>
            <w:tcBorders>
              <w:bottom w:val="single" w:sz="12" w:space="0" w:color="auto"/>
            </w:tcBorders>
            <w:shd w:val="clear" w:color="auto" w:fill="auto"/>
          </w:tcPr>
          <w:p w:rsidR="005D4AF3" w:rsidRPr="0011747E" w:rsidRDefault="007E7F5B" w:rsidP="00836667">
            <w:pPr>
              <w:pStyle w:val="Tabletext"/>
              <w:jc w:val="right"/>
            </w:pPr>
            <w:r w:rsidRPr="0011747E">
              <w:t>$9</w:t>
            </w:r>
            <w:r w:rsidR="0011747E" w:rsidRPr="0011747E">
              <w:t> </w:t>
            </w:r>
            <w:r w:rsidR="005D4AF3" w:rsidRPr="0011747E">
              <w:t>146.00</w:t>
            </w:r>
          </w:p>
        </w:tc>
      </w:tr>
    </w:tbl>
    <w:p w:rsidR="005D4AF3" w:rsidRPr="0011747E" w:rsidRDefault="005D4AF3" w:rsidP="005D4AF3">
      <w:pPr>
        <w:pStyle w:val="Tabletext"/>
      </w:pPr>
    </w:p>
    <w:p w:rsidR="005D4AF3" w:rsidRPr="0011747E" w:rsidRDefault="005D4AF3" w:rsidP="005D4AF3">
      <w:pPr>
        <w:pStyle w:val="ActHead5"/>
      </w:pPr>
      <w:bookmarkStart w:id="55" w:name="_Toc396376255"/>
      <w:r w:rsidRPr="0011747E">
        <w:rPr>
          <w:rStyle w:val="CharSectno"/>
        </w:rPr>
        <w:t>5.16C</w:t>
      </w:r>
      <w:r w:rsidRPr="0011747E">
        <w:t xml:space="preserve">  Complexity fee payable in stages</w:t>
      </w:r>
      <w:bookmarkEnd w:id="55"/>
    </w:p>
    <w:p w:rsidR="005D4AF3" w:rsidRPr="0011747E" w:rsidRDefault="005D4AF3" w:rsidP="005D4AF3">
      <w:pPr>
        <w:pStyle w:val="SubsectionHead"/>
      </w:pPr>
      <w:r w:rsidRPr="0011747E">
        <w:t>Complexity fee to be split</w:t>
      </w:r>
    </w:p>
    <w:p w:rsidR="005D4AF3" w:rsidRPr="0011747E" w:rsidRDefault="005D4AF3" w:rsidP="005D4AF3">
      <w:pPr>
        <w:pStyle w:val="subsection"/>
      </w:pPr>
      <w:r w:rsidRPr="0011747E">
        <w:tab/>
        <w:t>(1)</w:t>
      </w:r>
      <w:r w:rsidRPr="0011747E">
        <w:tab/>
        <w:t>The complexity fee is to be split into:</w:t>
      </w:r>
    </w:p>
    <w:p w:rsidR="005D4AF3" w:rsidRPr="0011747E" w:rsidRDefault="005D4AF3" w:rsidP="005D4AF3">
      <w:pPr>
        <w:pStyle w:val="paragraph"/>
      </w:pPr>
      <w:r w:rsidRPr="0011747E">
        <w:tab/>
        <w:t>(a)</w:t>
      </w:r>
      <w:r w:rsidRPr="0011747E">
        <w:tab/>
        <w:t xml:space="preserve">the </w:t>
      </w:r>
      <w:r w:rsidRPr="0011747E">
        <w:rPr>
          <w:b/>
          <w:i/>
        </w:rPr>
        <w:t>Part A complexity fee</w:t>
      </w:r>
      <w:r w:rsidRPr="0011747E">
        <w:t>, which is the sum of:</w:t>
      </w:r>
    </w:p>
    <w:p w:rsidR="00A0627D" w:rsidRPr="0011747E" w:rsidRDefault="00A0627D" w:rsidP="00A0627D">
      <w:pPr>
        <w:pStyle w:val="paragraphsub"/>
      </w:pPr>
      <w:r w:rsidRPr="0011747E">
        <w:tab/>
        <w:t>(i)</w:t>
      </w:r>
      <w:r w:rsidRPr="0011747E">
        <w:tab/>
      </w:r>
      <w:r w:rsidR="005B1018" w:rsidRPr="0011747E">
        <w:t>if applicable—</w:t>
      </w:r>
      <w:r w:rsidRPr="0011747E">
        <w:t>the fee for each applicable controlling provision component; and</w:t>
      </w:r>
    </w:p>
    <w:p w:rsidR="005D4AF3" w:rsidRPr="0011747E" w:rsidRDefault="005D4AF3" w:rsidP="005D4AF3">
      <w:pPr>
        <w:pStyle w:val="paragraphsub"/>
      </w:pPr>
      <w:r w:rsidRPr="0011747E">
        <w:tab/>
        <w:t>(i</w:t>
      </w:r>
      <w:r w:rsidR="00A0627D" w:rsidRPr="0011747E">
        <w:t>i</w:t>
      </w:r>
      <w:r w:rsidRPr="0011747E">
        <w:t>)</w:t>
      </w:r>
      <w:r w:rsidRPr="0011747E">
        <w:tab/>
      </w:r>
      <w:r w:rsidR="005B1018" w:rsidRPr="0011747E">
        <w:t>if applicable—</w:t>
      </w:r>
      <w:r w:rsidRPr="0011747E">
        <w:t xml:space="preserve">the fee for </w:t>
      </w:r>
      <w:r w:rsidR="00EB36C2" w:rsidRPr="0011747E">
        <w:t>the</w:t>
      </w:r>
      <w:r w:rsidRPr="0011747E">
        <w:t xml:space="preserve"> legislative impact component; and</w:t>
      </w:r>
    </w:p>
    <w:p w:rsidR="005D4AF3" w:rsidRPr="0011747E" w:rsidRDefault="005D4AF3" w:rsidP="005D4AF3">
      <w:pPr>
        <w:pStyle w:val="paragraphsub"/>
      </w:pPr>
      <w:r w:rsidRPr="0011747E">
        <w:tab/>
        <w:t>(ii</w:t>
      </w:r>
      <w:r w:rsidR="00A0627D" w:rsidRPr="0011747E">
        <w:t>i</w:t>
      </w:r>
      <w:r w:rsidRPr="0011747E">
        <w:t>)</w:t>
      </w:r>
      <w:r w:rsidRPr="0011747E">
        <w:tab/>
        <w:t>if applicable—the fee for the relevant number of project components; and</w:t>
      </w:r>
    </w:p>
    <w:p w:rsidR="005D4AF3" w:rsidRPr="0011747E" w:rsidRDefault="00A0627D" w:rsidP="005D4AF3">
      <w:pPr>
        <w:pStyle w:val="paragraphsub"/>
      </w:pPr>
      <w:r w:rsidRPr="0011747E">
        <w:tab/>
        <w:t>(iv</w:t>
      </w:r>
      <w:r w:rsidR="005D4AF3" w:rsidRPr="0011747E">
        <w:t>)</w:t>
      </w:r>
      <w:r w:rsidR="005D4AF3" w:rsidRPr="0011747E">
        <w:tab/>
        <w:t>if applicable—the fee fo</w:t>
      </w:r>
      <w:r w:rsidR="00D803A1" w:rsidRPr="0011747E">
        <w:t>r the exceptional case</w:t>
      </w:r>
      <w:r w:rsidR="005D4AF3" w:rsidRPr="0011747E">
        <w:t xml:space="preserve"> component; and</w:t>
      </w:r>
    </w:p>
    <w:p w:rsidR="005D4AF3" w:rsidRPr="0011747E" w:rsidRDefault="005D4AF3" w:rsidP="005D4AF3">
      <w:pPr>
        <w:pStyle w:val="paragraph"/>
      </w:pPr>
      <w:r w:rsidRPr="0011747E">
        <w:tab/>
        <w:t>(b)</w:t>
      </w:r>
      <w:r w:rsidRPr="0011747E">
        <w:tab/>
        <w:t xml:space="preserve">the </w:t>
      </w:r>
      <w:r w:rsidRPr="0011747E">
        <w:rPr>
          <w:b/>
          <w:i/>
        </w:rPr>
        <w:t>Part B complexity fee</w:t>
      </w:r>
      <w:r w:rsidRPr="0011747E">
        <w:t>, which is the sum of the fee for each application component.</w:t>
      </w:r>
    </w:p>
    <w:p w:rsidR="005D4AF3" w:rsidRPr="0011747E" w:rsidRDefault="005D4AF3" w:rsidP="005D4AF3">
      <w:pPr>
        <w:pStyle w:val="SubsectionHead"/>
      </w:pPr>
      <w:r w:rsidRPr="0011747E">
        <w:t>Part A complexity fee</w:t>
      </w:r>
    </w:p>
    <w:p w:rsidR="005D4AF3" w:rsidRPr="0011747E" w:rsidRDefault="005D4AF3" w:rsidP="005D4AF3">
      <w:pPr>
        <w:pStyle w:val="subsection"/>
      </w:pPr>
      <w:r w:rsidRPr="0011747E">
        <w:tab/>
        <w:t>(2)</w:t>
      </w:r>
      <w:r w:rsidRPr="0011747E">
        <w:tab/>
        <w:t>The Part A complexity fee for the assessment of the action is payable in 4 stages, before each stage begins.</w:t>
      </w:r>
    </w:p>
    <w:p w:rsidR="005D4AF3" w:rsidRPr="0011747E" w:rsidRDefault="005D4AF3" w:rsidP="005D4AF3">
      <w:pPr>
        <w:pStyle w:val="subsection"/>
      </w:pPr>
      <w:r w:rsidRPr="0011747E">
        <w:tab/>
        <w:t>(3)</w:t>
      </w:r>
      <w:r w:rsidRPr="0011747E">
        <w:tab/>
        <w:t>The percentage of the Part A complexity fee payable for each stage is set out in the following table:</w:t>
      </w:r>
    </w:p>
    <w:p w:rsidR="005D4AF3" w:rsidRPr="0011747E" w:rsidRDefault="005D4AF3" w:rsidP="005D4AF3">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5D4AF3" w:rsidRPr="0011747E" w:rsidTr="0042336C">
        <w:trPr>
          <w:tblHeader/>
        </w:trPr>
        <w:tc>
          <w:tcPr>
            <w:tcW w:w="4110" w:type="dxa"/>
            <w:gridSpan w:val="3"/>
            <w:tcBorders>
              <w:top w:val="single" w:sz="12" w:space="0" w:color="auto"/>
              <w:bottom w:val="single" w:sz="6" w:space="0" w:color="auto"/>
            </w:tcBorders>
            <w:shd w:val="clear" w:color="auto" w:fill="auto"/>
          </w:tcPr>
          <w:p w:rsidR="005D4AF3" w:rsidRPr="0011747E" w:rsidRDefault="005D4AF3" w:rsidP="00DA058E">
            <w:pPr>
              <w:pStyle w:val="TableHeading"/>
              <w:ind w:left="33"/>
            </w:pPr>
            <w:r w:rsidRPr="0011747E">
              <w:t xml:space="preserve">Part A </w:t>
            </w:r>
            <w:r w:rsidR="00570424" w:rsidRPr="0011747E">
              <w:t xml:space="preserve">complexity </w:t>
            </w:r>
            <w:r w:rsidRPr="0011747E">
              <w:t>fee for assessment by a public environment report</w:t>
            </w:r>
          </w:p>
        </w:tc>
      </w:tr>
      <w:tr w:rsidR="005D4AF3" w:rsidRPr="0011747E" w:rsidTr="0042336C">
        <w:trPr>
          <w:tblHeader/>
        </w:trPr>
        <w:tc>
          <w:tcPr>
            <w:tcW w:w="714" w:type="dxa"/>
            <w:tcBorders>
              <w:top w:val="single" w:sz="6" w:space="0" w:color="auto"/>
              <w:bottom w:val="single" w:sz="12" w:space="0" w:color="auto"/>
            </w:tcBorders>
            <w:shd w:val="clear" w:color="auto" w:fill="auto"/>
          </w:tcPr>
          <w:p w:rsidR="005D4AF3" w:rsidRPr="0011747E" w:rsidRDefault="005D4AF3"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5D4AF3" w:rsidRPr="0011747E" w:rsidRDefault="005D4AF3"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5D4AF3" w:rsidRPr="0011747E" w:rsidRDefault="005D4AF3" w:rsidP="001C7332">
            <w:pPr>
              <w:pStyle w:val="TableHeading"/>
              <w:ind w:left="420" w:hanging="420"/>
              <w:jc w:val="right"/>
            </w:pPr>
            <w:r w:rsidRPr="0011747E">
              <w:t>Percentage payable</w:t>
            </w:r>
          </w:p>
        </w:tc>
      </w:tr>
      <w:tr w:rsidR="005D4AF3" w:rsidRPr="0011747E" w:rsidTr="0042336C">
        <w:tc>
          <w:tcPr>
            <w:tcW w:w="714" w:type="dxa"/>
            <w:tcBorders>
              <w:top w:val="single" w:sz="12" w:space="0" w:color="auto"/>
            </w:tcBorders>
            <w:shd w:val="clear" w:color="auto" w:fill="auto"/>
          </w:tcPr>
          <w:p w:rsidR="005D4AF3" w:rsidRPr="0011747E" w:rsidRDefault="005D4AF3" w:rsidP="003E2EEA">
            <w:pPr>
              <w:pStyle w:val="Tabletext"/>
            </w:pPr>
            <w:r w:rsidRPr="0011747E">
              <w:t>1</w:t>
            </w:r>
          </w:p>
        </w:tc>
        <w:tc>
          <w:tcPr>
            <w:tcW w:w="1695" w:type="dxa"/>
            <w:tcBorders>
              <w:top w:val="single" w:sz="12" w:space="0" w:color="auto"/>
            </w:tcBorders>
            <w:shd w:val="clear" w:color="auto" w:fill="auto"/>
          </w:tcPr>
          <w:p w:rsidR="005D4AF3" w:rsidRPr="0011747E" w:rsidRDefault="005D4AF3" w:rsidP="003E2EEA">
            <w:pPr>
              <w:pStyle w:val="Tabletext"/>
            </w:pPr>
            <w:r w:rsidRPr="0011747E">
              <w:t>stage 1</w:t>
            </w:r>
          </w:p>
        </w:tc>
        <w:tc>
          <w:tcPr>
            <w:tcW w:w="1701" w:type="dxa"/>
            <w:tcBorders>
              <w:top w:val="single" w:sz="12" w:space="0" w:color="auto"/>
            </w:tcBorders>
            <w:shd w:val="clear" w:color="auto" w:fill="auto"/>
          </w:tcPr>
          <w:p w:rsidR="005D4AF3" w:rsidRPr="0011747E" w:rsidRDefault="005D4AF3" w:rsidP="00836667">
            <w:pPr>
              <w:pStyle w:val="Tabletext"/>
              <w:jc w:val="right"/>
            </w:pPr>
            <w:r w:rsidRPr="0011747E">
              <w:t>14%</w:t>
            </w:r>
          </w:p>
        </w:tc>
      </w:tr>
      <w:tr w:rsidR="005D4AF3" w:rsidRPr="0011747E" w:rsidTr="0042336C">
        <w:tc>
          <w:tcPr>
            <w:tcW w:w="714" w:type="dxa"/>
            <w:shd w:val="clear" w:color="auto" w:fill="auto"/>
          </w:tcPr>
          <w:p w:rsidR="005D4AF3" w:rsidRPr="0011747E" w:rsidRDefault="005D4AF3" w:rsidP="003E2EEA">
            <w:pPr>
              <w:pStyle w:val="Tabletext"/>
            </w:pPr>
            <w:r w:rsidRPr="0011747E">
              <w:t>2</w:t>
            </w:r>
          </w:p>
        </w:tc>
        <w:tc>
          <w:tcPr>
            <w:tcW w:w="1695" w:type="dxa"/>
            <w:shd w:val="clear" w:color="auto" w:fill="auto"/>
          </w:tcPr>
          <w:p w:rsidR="005D4AF3" w:rsidRPr="0011747E" w:rsidRDefault="005D4AF3" w:rsidP="003E2EEA">
            <w:pPr>
              <w:pStyle w:val="Tabletext"/>
            </w:pPr>
            <w:r w:rsidRPr="0011747E">
              <w:t>stage 2</w:t>
            </w:r>
          </w:p>
        </w:tc>
        <w:tc>
          <w:tcPr>
            <w:tcW w:w="1701" w:type="dxa"/>
            <w:shd w:val="clear" w:color="auto" w:fill="auto"/>
          </w:tcPr>
          <w:p w:rsidR="005D4AF3" w:rsidRPr="0011747E" w:rsidRDefault="005D4AF3" w:rsidP="00836667">
            <w:pPr>
              <w:pStyle w:val="Tabletext"/>
              <w:jc w:val="right"/>
            </w:pPr>
            <w:r w:rsidRPr="0011747E">
              <w:t>42%</w:t>
            </w:r>
          </w:p>
        </w:tc>
      </w:tr>
      <w:tr w:rsidR="005D4AF3" w:rsidRPr="0011747E" w:rsidTr="0042336C">
        <w:tc>
          <w:tcPr>
            <w:tcW w:w="714" w:type="dxa"/>
            <w:tcBorders>
              <w:bottom w:val="single" w:sz="4" w:space="0" w:color="auto"/>
            </w:tcBorders>
            <w:shd w:val="clear" w:color="auto" w:fill="auto"/>
          </w:tcPr>
          <w:p w:rsidR="005D4AF3" w:rsidRPr="0011747E" w:rsidRDefault="005D4AF3" w:rsidP="003E2EEA">
            <w:pPr>
              <w:pStyle w:val="Tabletext"/>
            </w:pPr>
            <w:r w:rsidRPr="0011747E">
              <w:t>3</w:t>
            </w:r>
          </w:p>
        </w:tc>
        <w:tc>
          <w:tcPr>
            <w:tcW w:w="1695" w:type="dxa"/>
            <w:tcBorders>
              <w:bottom w:val="single" w:sz="4" w:space="0" w:color="auto"/>
            </w:tcBorders>
            <w:shd w:val="clear" w:color="auto" w:fill="auto"/>
          </w:tcPr>
          <w:p w:rsidR="005D4AF3" w:rsidRPr="0011747E" w:rsidRDefault="005D4AF3" w:rsidP="003E2EEA">
            <w:pPr>
              <w:pStyle w:val="Tabletext"/>
            </w:pPr>
            <w:r w:rsidRPr="0011747E">
              <w:t>stage 3</w:t>
            </w:r>
          </w:p>
        </w:tc>
        <w:tc>
          <w:tcPr>
            <w:tcW w:w="1701" w:type="dxa"/>
            <w:tcBorders>
              <w:bottom w:val="single" w:sz="4" w:space="0" w:color="auto"/>
            </w:tcBorders>
            <w:shd w:val="clear" w:color="auto" w:fill="auto"/>
          </w:tcPr>
          <w:p w:rsidR="005D4AF3" w:rsidRPr="0011747E" w:rsidRDefault="005D4AF3" w:rsidP="00836667">
            <w:pPr>
              <w:pStyle w:val="Tabletext"/>
              <w:jc w:val="right"/>
            </w:pPr>
            <w:r w:rsidRPr="0011747E">
              <w:t>14%</w:t>
            </w:r>
          </w:p>
        </w:tc>
      </w:tr>
      <w:tr w:rsidR="005D4AF3" w:rsidRPr="0011747E" w:rsidTr="0042336C">
        <w:tc>
          <w:tcPr>
            <w:tcW w:w="714" w:type="dxa"/>
            <w:tcBorders>
              <w:bottom w:val="single" w:sz="12" w:space="0" w:color="auto"/>
            </w:tcBorders>
            <w:shd w:val="clear" w:color="auto" w:fill="auto"/>
          </w:tcPr>
          <w:p w:rsidR="005D4AF3" w:rsidRPr="0011747E" w:rsidRDefault="005D4AF3" w:rsidP="003E2EEA">
            <w:pPr>
              <w:pStyle w:val="Tabletext"/>
            </w:pPr>
            <w:r w:rsidRPr="0011747E">
              <w:t>4</w:t>
            </w:r>
          </w:p>
        </w:tc>
        <w:tc>
          <w:tcPr>
            <w:tcW w:w="1695" w:type="dxa"/>
            <w:tcBorders>
              <w:bottom w:val="single" w:sz="12" w:space="0" w:color="auto"/>
            </w:tcBorders>
            <w:shd w:val="clear" w:color="auto" w:fill="auto"/>
          </w:tcPr>
          <w:p w:rsidR="005D4AF3" w:rsidRPr="0011747E" w:rsidRDefault="005D4AF3" w:rsidP="003E2EEA">
            <w:pPr>
              <w:pStyle w:val="Tabletext"/>
            </w:pPr>
            <w:r w:rsidRPr="0011747E">
              <w:t>stage 4</w:t>
            </w:r>
          </w:p>
        </w:tc>
        <w:tc>
          <w:tcPr>
            <w:tcW w:w="1701" w:type="dxa"/>
            <w:tcBorders>
              <w:bottom w:val="single" w:sz="12" w:space="0" w:color="auto"/>
            </w:tcBorders>
            <w:shd w:val="clear" w:color="auto" w:fill="auto"/>
          </w:tcPr>
          <w:p w:rsidR="005D4AF3" w:rsidRPr="0011747E" w:rsidRDefault="005D4AF3" w:rsidP="00836667">
            <w:pPr>
              <w:pStyle w:val="Tabletext"/>
              <w:jc w:val="right"/>
            </w:pPr>
            <w:r w:rsidRPr="0011747E">
              <w:t>30%</w:t>
            </w:r>
          </w:p>
        </w:tc>
      </w:tr>
    </w:tbl>
    <w:p w:rsidR="005D4AF3" w:rsidRPr="0011747E" w:rsidRDefault="005D4AF3" w:rsidP="005D4AF3">
      <w:pPr>
        <w:pStyle w:val="Tabletext"/>
      </w:pPr>
    </w:p>
    <w:p w:rsidR="005D4AF3" w:rsidRPr="0011747E" w:rsidRDefault="005D4AF3" w:rsidP="005D4AF3">
      <w:pPr>
        <w:pStyle w:val="SubsectionHead"/>
      </w:pPr>
      <w:r w:rsidRPr="0011747E">
        <w:t>Part B complexity fee</w:t>
      </w:r>
    </w:p>
    <w:p w:rsidR="005D4AF3" w:rsidRPr="0011747E" w:rsidRDefault="005D4AF3" w:rsidP="005D4AF3">
      <w:pPr>
        <w:pStyle w:val="subsection"/>
      </w:pPr>
      <w:r w:rsidRPr="0011747E">
        <w:tab/>
        <w:t>(4)</w:t>
      </w:r>
      <w:r w:rsidRPr="0011747E">
        <w:tab/>
        <w:t>The Part B complexity fee for the assessment of the action is payable in 2 stages, before each stage begins.</w:t>
      </w:r>
    </w:p>
    <w:p w:rsidR="005D4AF3" w:rsidRPr="0011747E" w:rsidRDefault="005D4AF3" w:rsidP="005D4AF3">
      <w:pPr>
        <w:pStyle w:val="subsection"/>
      </w:pPr>
      <w:r w:rsidRPr="0011747E">
        <w:tab/>
        <w:t>(5)</w:t>
      </w:r>
      <w:r w:rsidRPr="0011747E">
        <w:tab/>
        <w:t>The percentage of the Part B complexity fee payable for each stage is set out in the following table:</w:t>
      </w:r>
    </w:p>
    <w:p w:rsidR="00570424" w:rsidRPr="0011747E" w:rsidRDefault="00570424" w:rsidP="00570424">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570424" w:rsidRPr="0011747E" w:rsidTr="0042336C">
        <w:trPr>
          <w:tblHeader/>
        </w:trPr>
        <w:tc>
          <w:tcPr>
            <w:tcW w:w="4110" w:type="dxa"/>
            <w:gridSpan w:val="3"/>
            <w:tcBorders>
              <w:top w:val="single" w:sz="12" w:space="0" w:color="auto"/>
              <w:bottom w:val="single" w:sz="6" w:space="0" w:color="auto"/>
            </w:tcBorders>
            <w:shd w:val="clear" w:color="auto" w:fill="auto"/>
          </w:tcPr>
          <w:p w:rsidR="00570424" w:rsidRPr="0011747E" w:rsidRDefault="00570424" w:rsidP="00DA058E">
            <w:pPr>
              <w:pStyle w:val="TableHeading"/>
              <w:ind w:left="33"/>
            </w:pPr>
            <w:r w:rsidRPr="0011747E">
              <w:t>Part B complexity fee for assessment by a public environment report</w:t>
            </w:r>
          </w:p>
        </w:tc>
      </w:tr>
      <w:tr w:rsidR="00570424" w:rsidRPr="0011747E" w:rsidTr="0042336C">
        <w:trPr>
          <w:tblHeader/>
        </w:trPr>
        <w:tc>
          <w:tcPr>
            <w:tcW w:w="714" w:type="dxa"/>
            <w:tcBorders>
              <w:top w:val="single" w:sz="6" w:space="0" w:color="auto"/>
              <w:bottom w:val="single" w:sz="12" w:space="0" w:color="auto"/>
            </w:tcBorders>
            <w:shd w:val="clear" w:color="auto" w:fill="auto"/>
          </w:tcPr>
          <w:p w:rsidR="00570424" w:rsidRPr="0011747E" w:rsidRDefault="00570424"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570424" w:rsidRPr="0011747E" w:rsidRDefault="00570424"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570424" w:rsidRPr="0011747E" w:rsidRDefault="00570424" w:rsidP="000D55BE">
            <w:pPr>
              <w:pStyle w:val="TableHeading"/>
              <w:ind w:left="34" w:hanging="34"/>
              <w:jc w:val="right"/>
            </w:pPr>
            <w:r w:rsidRPr="0011747E">
              <w:t>Percentage payable</w:t>
            </w:r>
          </w:p>
        </w:tc>
      </w:tr>
      <w:tr w:rsidR="00570424" w:rsidRPr="0011747E" w:rsidTr="0042336C">
        <w:tc>
          <w:tcPr>
            <w:tcW w:w="714" w:type="dxa"/>
            <w:tcBorders>
              <w:top w:val="single" w:sz="12" w:space="0" w:color="auto"/>
            </w:tcBorders>
            <w:shd w:val="clear" w:color="auto" w:fill="auto"/>
          </w:tcPr>
          <w:p w:rsidR="00570424" w:rsidRPr="0011747E" w:rsidRDefault="00570424" w:rsidP="003E2EEA">
            <w:pPr>
              <w:pStyle w:val="Tabletext"/>
            </w:pPr>
            <w:r w:rsidRPr="0011747E">
              <w:t>1</w:t>
            </w:r>
          </w:p>
        </w:tc>
        <w:tc>
          <w:tcPr>
            <w:tcW w:w="1695" w:type="dxa"/>
            <w:tcBorders>
              <w:top w:val="single" w:sz="12" w:space="0" w:color="auto"/>
            </w:tcBorders>
            <w:shd w:val="clear" w:color="auto" w:fill="auto"/>
          </w:tcPr>
          <w:p w:rsidR="00570424" w:rsidRPr="0011747E" w:rsidRDefault="00570424" w:rsidP="003E2EEA">
            <w:pPr>
              <w:pStyle w:val="Tabletext"/>
            </w:pPr>
            <w:r w:rsidRPr="0011747E">
              <w:t>stage 1</w:t>
            </w:r>
          </w:p>
        </w:tc>
        <w:tc>
          <w:tcPr>
            <w:tcW w:w="1701" w:type="dxa"/>
            <w:tcBorders>
              <w:top w:val="single" w:sz="12" w:space="0" w:color="auto"/>
            </w:tcBorders>
            <w:shd w:val="clear" w:color="auto" w:fill="auto"/>
          </w:tcPr>
          <w:p w:rsidR="00570424" w:rsidRPr="0011747E" w:rsidRDefault="00570424" w:rsidP="000D55BE">
            <w:pPr>
              <w:pStyle w:val="Tabletext"/>
              <w:jc w:val="right"/>
            </w:pPr>
            <w:r w:rsidRPr="0011747E">
              <w:t>nil</w:t>
            </w:r>
          </w:p>
        </w:tc>
      </w:tr>
      <w:tr w:rsidR="00570424" w:rsidRPr="0011747E" w:rsidTr="0042336C">
        <w:tc>
          <w:tcPr>
            <w:tcW w:w="714" w:type="dxa"/>
            <w:shd w:val="clear" w:color="auto" w:fill="auto"/>
          </w:tcPr>
          <w:p w:rsidR="00570424" w:rsidRPr="0011747E" w:rsidRDefault="00570424" w:rsidP="003E2EEA">
            <w:pPr>
              <w:pStyle w:val="Tabletext"/>
            </w:pPr>
            <w:r w:rsidRPr="0011747E">
              <w:t>2</w:t>
            </w:r>
          </w:p>
        </w:tc>
        <w:tc>
          <w:tcPr>
            <w:tcW w:w="1695" w:type="dxa"/>
            <w:shd w:val="clear" w:color="auto" w:fill="auto"/>
          </w:tcPr>
          <w:p w:rsidR="00570424" w:rsidRPr="0011747E" w:rsidRDefault="00570424" w:rsidP="003E2EEA">
            <w:pPr>
              <w:pStyle w:val="Tabletext"/>
            </w:pPr>
            <w:r w:rsidRPr="0011747E">
              <w:t>stage 2</w:t>
            </w:r>
          </w:p>
        </w:tc>
        <w:tc>
          <w:tcPr>
            <w:tcW w:w="1701" w:type="dxa"/>
            <w:shd w:val="clear" w:color="auto" w:fill="auto"/>
          </w:tcPr>
          <w:p w:rsidR="00570424" w:rsidRPr="0011747E" w:rsidRDefault="00570424" w:rsidP="000D55BE">
            <w:pPr>
              <w:pStyle w:val="Tabletext"/>
              <w:jc w:val="right"/>
            </w:pPr>
            <w:r w:rsidRPr="0011747E">
              <w:t>nil</w:t>
            </w:r>
          </w:p>
        </w:tc>
      </w:tr>
      <w:tr w:rsidR="00570424" w:rsidRPr="0011747E" w:rsidTr="0042336C">
        <w:tc>
          <w:tcPr>
            <w:tcW w:w="714" w:type="dxa"/>
            <w:tcBorders>
              <w:bottom w:val="single" w:sz="4" w:space="0" w:color="auto"/>
            </w:tcBorders>
            <w:shd w:val="clear" w:color="auto" w:fill="auto"/>
          </w:tcPr>
          <w:p w:rsidR="00570424" w:rsidRPr="0011747E" w:rsidRDefault="00570424" w:rsidP="003E2EEA">
            <w:pPr>
              <w:pStyle w:val="Tabletext"/>
            </w:pPr>
            <w:r w:rsidRPr="0011747E">
              <w:t>3</w:t>
            </w:r>
          </w:p>
        </w:tc>
        <w:tc>
          <w:tcPr>
            <w:tcW w:w="1695" w:type="dxa"/>
            <w:tcBorders>
              <w:bottom w:val="single" w:sz="4" w:space="0" w:color="auto"/>
            </w:tcBorders>
            <w:shd w:val="clear" w:color="auto" w:fill="auto"/>
          </w:tcPr>
          <w:p w:rsidR="00570424" w:rsidRPr="0011747E" w:rsidRDefault="00570424" w:rsidP="003E2EEA">
            <w:pPr>
              <w:pStyle w:val="Tabletext"/>
            </w:pPr>
            <w:r w:rsidRPr="0011747E">
              <w:t>stage 3</w:t>
            </w:r>
          </w:p>
        </w:tc>
        <w:tc>
          <w:tcPr>
            <w:tcW w:w="1701" w:type="dxa"/>
            <w:tcBorders>
              <w:bottom w:val="single" w:sz="4" w:space="0" w:color="auto"/>
            </w:tcBorders>
            <w:shd w:val="clear" w:color="auto" w:fill="auto"/>
          </w:tcPr>
          <w:p w:rsidR="00570424" w:rsidRPr="0011747E" w:rsidRDefault="00570424" w:rsidP="000D55BE">
            <w:pPr>
              <w:pStyle w:val="Tabletext"/>
              <w:jc w:val="right"/>
            </w:pPr>
            <w:r w:rsidRPr="0011747E">
              <w:t>70%</w:t>
            </w:r>
          </w:p>
        </w:tc>
      </w:tr>
      <w:tr w:rsidR="00570424" w:rsidRPr="0011747E" w:rsidTr="0042336C">
        <w:tc>
          <w:tcPr>
            <w:tcW w:w="714" w:type="dxa"/>
            <w:tcBorders>
              <w:bottom w:val="single" w:sz="12" w:space="0" w:color="auto"/>
            </w:tcBorders>
            <w:shd w:val="clear" w:color="auto" w:fill="auto"/>
          </w:tcPr>
          <w:p w:rsidR="00570424" w:rsidRPr="0011747E" w:rsidRDefault="00570424" w:rsidP="003E2EEA">
            <w:pPr>
              <w:pStyle w:val="Tabletext"/>
            </w:pPr>
            <w:r w:rsidRPr="0011747E">
              <w:t>4</w:t>
            </w:r>
          </w:p>
        </w:tc>
        <w:tc>
          <w:tcPr>
            <w:tcW w:w="1695" w:type="dxa"/>
            <w:tcBorders>
              <w:bottom w:val="single" w:sz="12" w:space="0" w:color="auto"/>
            </w:tcBorders>
            <w:shd w:val="clear" w:color="auto" w:fill="auto"/>
          </w:tcPr>
          <w:p w:rsidR="00570424" w:rsidRPr="0011747E" w:rsidRDefault="00570424" w:rsidP="003E2EEA">
            <w:pPr>
              <w:pStyle w:val="Tabletext"/>
            </w:pPr>
            <w:r w:rsidRPr="0011747E">
              <w:t>stage 4</w:t>
            </w:r>
          </w:p>
        </w:tc>
        <w:tc>
          <w:tcPr>
            <w:tcW w:w="1701" w:type="dxa"/>
            <w:tcBorders>
              <w:bottom w:val="single" w:sz="12" w:space="0" w:color="auto"/>
            </w:tcBorders>
            <w:shd w:val="clear" w:color="auto" w:fill="auto"/>
          </w:tcPr>
          <w:p w:rsidR="00570424" w:rsidRPr="0011747E" w:rsidRDefault="00570424" w:rsidP="000D55BE">
            <w:pPr>
              <w:pStyle w:val="Tabletext"/>
              <w:jc w:val="right"/>
            </w:pPr>
            <w:r w:rsidRPr="0011747E">
              <w:t>30%</w:t>
            </w:r>
          </w:p>
        </w:tc>
      </w:tr>
    </w:tbl>
    <w:p w:rsidR="00570424" w:rsidRPr="0011747E" w:rsidRDefault="00570424" w:rsidP="00570424">
      <w:pPr>
        <w:pStyle w:val="Tabletext"/>
      </w:pPr>
    </w:p>
    <w:p w:rsidR="005D4AF3" w:rsidRPr="0011747E" w:rsidRDefault="005D4AF3" w:rsidP="005D4AF3">
      <w:pPr>
        <w:pStyle w:val="ActHead5"/>
      </w:pPr>
      <w:bookmarkStart w:id="56" w:name="_Toc396376256"/>
      <w:r w:rsidRPr="0011747E">
        <w:rPr>
          <w:rStyle w:val="CharSectno"/>
        </w:rPr>
        <w:t>5.1</w:t>
      </w:r>
      <w:r w:rsidR="005F4412" w:rsidRPr="0011747E">
        <w:rPr>
          <w:rStyle w:val="CharSectno"/>
        </w:rPr>
        <w:t>6</w:t>
      </w:r>
      <w:r w:rsidRPr="0011747E">
        <w:rPr>
          <w:rStyle w:val="CharSectno"/>
        </w:rPr>
        <w:t>D</w:t>
      </w:r>
      <w:r w:rsidRPr="0011747E">
        <w:t xml:space="preserve">  Amount of components of complexity fee</w:t>
      </w:r>
      <w:bookmarkEnd w:id="56"/>
    </w:p>
    <w:p w:rsidR="00147846" w:rsidRPr="0011747E" w:rsidRDefault="00147846" w:rsidP="00147846">
      <w:pPr>
        <w:pStyle w:val="subsection"/>
      </w:pPr>
      <w:r w:rsidRPr="0011747E">
        <w:tab/>
        <w:t>(1)</w:t>
      </w:r>
      <w:r w:rsidRPr="0011747E">
        <w:tab/>
        <w:t>The amount of the fee payable for a</w:t>
      </w:r>
      <w:r w:rsidR="00AB70DB" w:rsidRPr="0011747E">
        <w:t>n application component,</w:t>
      </w:r>
      <w:r w:rsidRPr="0011747E">
        <w:t xml:space="preserve"> controlling provision component or legislative impact component of the complexity fee depends on the level of complexity determined for the component.</w:t>
      </w:r>
    </w:p>
    <w:p w:rsidR="005D4AF3" w:rsidRPr="0011747E" w:rsidRDefault="00CE7A7B" w:rsidP="005D4AF3">
      <w:pPr>
        <w:pStyle w:val="notetext"/>
      </w:pPr>
      <w:r w:rsidRPr="0011747E">
        <w:t>Note:</w:t>
      </w:r>
      <w:r w:rsidRPr="0011747E">
        <w:tab/>
        <w:t>See regulation</w:t>
      </w:r>
      <w:r w:rsidR="0011747E" w:rsidRPr="0011747E">
        <w:t> </w:t>
      </w:r>
      <w:r w:rsidR="005D4AF3" w:rsidRPr="0011747E">
        <w:t>5.12</w:t>
      </w:r>
      <w:r w:rsidR="00A920A6" w:rsidRPr="0011747E">
        <w:t>K</w:t>
      </w:r>
      <w:r w:rsidR="005D4AF3" w:rsidRPr="0011747E">
        <w:t>.</w:t>
      </w:r>
    </w:p>
    <w:p w:rsidR="005D4AF3" w:rsidRPr="0011747E" w:rsidRDefault="005D4AF3" w:rsidP="005D4AF3">
      <w:pPr>
        <w:pStyle w:val="subsection"/>
      </w:pPr>
      <w:r w:rsidRPr="0011747E">
        <w:tab/>
        <w:t>(2)</w:t>
      </w:r>
      <w:r w:rsidRPr="0011747E">
        <w:tab/>
        <w:t>The amount of the project component of the complexity fee is:</w:t>
      </w:r>
    </w:p>
    <w:p w:rsidR="005D4AF3" w:rsidRPr="0011747E" w:rsidRDefault="005D4AF3" w:rsidP="005D4AF3">
      <w:pPr>
        <w:pStyle w:val="paragraph"/>
      </w:pPr>
      <w:r w:rsidRPr="0011747E">
        <w:tab/>
        <w:t>(a)</w:t>
      </w:r>
      <w:r w:rsidRPr="0011747E">
        <w:tab/>
        <w:t xml:space="preserve">if there is </w:t>
      </w:r>
      <w:r w:rsidR="00901800" w:rsidRPr="0011747E">
        <w:t>one</w:t>
      </w:r>
      <w:r w:rsidRPr="0011747E">
        <w:t xml:space="preserve"> project component—nil; and</w:t>
      </w:r>
    </w:p>
    <w:p w:rsidR="005D4AF3" w:rsidRPr="0011747E" w:rsidRDefault="005D4AF3" w:rsidP="005D4AF3">
      <w:pPr>
        <w:pStyle w:val="paragraph"/>
      </w:pPr>
      <w:r w:rsidRPr="0011747E">
        <w:tab/>
        <w:t>(b)</w:t>
      </w:r>
      <w:r w:rsidRPr="0011747E">
        <w:tab/>
        <w:t xml:space="preserve">if </w:t>
      </w:r>
      <w:r w:rsidR="002035EA" w:rsidRPr="0011747E">
        <w:t>there are 2 project</w:t>
      </w:r>
      <w:r w:rsidRPr="0011747E">
        <w:t xml:space="preserve"> components—$</w:t>
      </w:r>
      <w:r w:rsidR="00570424" w:rsidRPr="0011747E">
        <w:t>30</w:t>
      </w:r>
      <w:r w:rsidR="0011747E" w:rsidRPr="0011747E">
        <w:t> </w:t>
      </w:r>
      <w:r w:rsidR="00570424" w:rsidRPr="0011747E">
        <w:t>202</w:t>
      </w:r>
      <w:r w:rsidR="001C7332" w:rsidRPr="0011747E">
        <w:t>.00</w:t>
      </w:r>
      <w:r w:rsidRPr="0011747E">
        <w:t>; and</w:t>
      </w:r>
    </w:p>
    <w:p w:rsidR="005D4AF3" w:rsidRPr="0011747E" w:rsidRDefault="005D4AF3" w:rsidP="005D4AF3">
      <w:pPr>
        <w:pStyle w:val="paragraph"/>
      </w:pPr>
      <w:r w:rsidRPr="0011747E">
        <w:tab/>
        <w:t>(c)</w:t>
      </w:r>
      <w:r w:rsidRPr="0011747E">
        <w:tab/>
        <w:t>if there are 3</w:t>
      </w:r>
      <w:r w:rsidR="00570424" w:rsidRPr="0011747E">
        <w:t xml:space="preserve"> project components—$60</w:t>
      </w:r>
      <w:r w:rsidR="0011747E" w:rsidRPr="0011747E">
        <w:t> </w:t>
      </w:r>
      <w:r w:rsidR="00570424" w:rsidRPr="0011747E">
        <w:t>404</w:t>
      </w:r>
      <w:r w:rsidR="001C7332" w:rsidRPr="0011747E">
        <w:t>.00</w:t>
      </w:r>
      <w:r w:rsidRPr="0011747E">
        <w:t>; and</w:t>
      </w:r>
    </w:p>
    <w:p w:rsidR="005D4AF3" w:rsidRPr="0011747E" w:rsidRDefault="005D4AF3" w:rsidP="005D4AF3">
      <w:pPr>
        <w:pStyle w:val="paragraph"/>
      </w:pPr>
      <w:r w:rsidRPr="0011747E">
        <w:tab/>
        <w:t>(d)</w:t>
      </w:r>
      <w:r w:rsidRPr="0011747E">
        <w:tab/>
        <w:t>if there are more than 3 project components—the amount worked out using the following formula:</w:t>
      </w:r>
    </w:p>
    <w:p w:rsidR="005D4AF3" w:rsidRPr="0011747E" w:rsidRDefault="005D4AF3" w:rsidP="005D4AF3">
      <w:pPr>
        <w:pStyle w:val="paragraph"/>
      </w:pPr>
      <w:r w:rsidRPr="0011747E">
        <w:tab/>
      </w:r>
      <w:r w:rsidRPr="0011747E">
        <w:tab/>
      </w:r>
      <w:bookmarkStart w:id="57" w:name="BKCheck15B_8"/>
      <w:bookmarkEnd w:id="57"/>
      <w:r w:rsidR="00176BEE" w:rsidRPr="0011747E">
        <w:rPr>
          <w:position w:val="-36"/>
        </w:rPr>
        <w:object w:dxaOrig="3379" w:dyaOrig="820">
          <v:shape id="_x0000_i1028" type="#_x0000_t75" style="width:168.75pt;height:40.5pt" o:ole="">
            <v:imagedata r:id="rId27" o:title=""/>
          </v:shape>
          <o:OLEObject Type="Embed" ProgID="Equation.DSMT4" ShapeID="_x0000_i1028" DrawAspect="Content" ObjectID="_1471073960" r:id="rId28"/>
        </w:object>
      </w:r>
    </w:p>
    <w:p w:rsidR="007865E2" w:rsidRPr="0011747E" w:rsidRDefault="007865E2" w:rsidP="007865E2">
      <w:pPr>
        <w:pStyle w:val="ActHead5"/>
      </w:pPr>
      <w:bookmarkStart w:id="58" w:name="_Toc396376257"/>
      <w:r w:rsidRPr="0011747E">
        <w:rPr>
          <w:rStyle w:val="CharSectno"/>
        </w:rPr>
        <w:t>5.16E</w:t>
      </w:r>
      <w:r w:rsidRPr="0011747E">
        <w:t xml:space="preserve">  Method for working out complexity fee</w:t>
      </w:r>
      <w:bookmarkEnd w:id="58"/>
    </w:p>
    <w:p w:rsidR="007865E2" w:rsidRPr="0011747E" w:rsidRDefault="007865E2" w:rsidP="007865E2">
      <w:pPr>
        <w:pStyle w:val="subsection"/>
      </w:pPr>
      <w:r w:rsidRPr="0011747E">
        <w:tab/>
      </w:r>
      <w:r w:rsidRPr="0011747E">
        <w:tab/>
        <w:t xml:space="preserve">For </w:t>
      </w:r>
      <w:r w:rsidR="00554893" w:rsidRPr="0011747E">
        <w:t>paragraph</w:t>
      </w:r>
      <w:r w:rsidR="0011747E" w:rsidRPr="0011747E">
        <w:t> </w:t>
      </w:r>
      <w:r w:rsidR="00E83D70" w:rsidRPr="0011747E">
        <w:t>520</w:t>
      </w:r>
      <w:r w:rsidR="00554893" w:rsidRPr="0011747E">
        <w:t>(</w:t>
      </w:r>
      <w:r w:rsidRPr="0011747E">
        <w:t>4C)(c) of the Act:</w:t>
      </w:r>
    </w:p>
    <w:p w:rsidR="007865E2" w:rsidRPr="0011747E" w:rsidRDefault="007865E2" w:rsidP="007865E2">
      <w:pPr>
        <w:pStyle w:val="paragraph"/>
      </w:pPr>
      <w:r w:rsidRPr="0011747E">
        <w:tab/>
        <w:t>(a)</w:t>
      </w:r>
      <w:r w:rsidRPr="0011747E">
        <w:tab/>
        <w:t>the sum of the fees mentioned in paragraph</w:t>
      </w:r>
      <w:r w:rsidR="0011747E" w:rsidRPr="0011747E">
        <w:t> </w:t>
      </w:r>
      <w:r w:rsidRPr="0011747E">
        <w:t xml:space="preserve">5.16C(1)(a) is </w:t>
      </w:r>
      <w:r w:rsidR="00C659D4" w:rsidRPr="0011747E">
        <w:t>the</w:t>
      </w:r>
      <w:r w:rsidRPr="0011747E">
        <w:t xml:space="preserve"> method for working out the Part A complexity fee; and</w:t>
      </w:r>
    </w:p>
    <w:p w:rsidR="007865E2" w:rsidRPr="0011747E" w:rsidRDefault="007865E2" w:rsidP="007865E2">
      <w:pPr>
        <w:pStyle w:val="paragraph"/>
      </w:pPr>
      <w:r w:rsidRPr="0011747E">
        <w:tab/>
        <w:t>(b)</w:t>
      </w:r>
      <w:r w:rsidRPr="0011747E">
        <w:tab/>
        <w:t>the sum of the fee for each application component, as mentioned in paragraph</w:t>
      </w:r>
      <w:r w:rsidR="0011747E" w:rsidRPr="0011747E">
        <w:t> </w:t>
      </w:r>
      <w:r w:rsidRPr="0011747E">
        <w:t>5.16C(</w:t>
      </w:r>
      <w:r w:rsidR="00C659D4" w:rsidRPr="0011747E">
        <w:t>1)(b), is the</w:t>
      </w:r>
      <w:r w:rsidRPr="0011747E">
        <w:t xml:space="preserve"> method for working out the Part B complexity fee.</w:t>
      </w:r>
    </w:p>
    <w:p w:rsidR="00455970" w:rsidRPr="0011747E" w:rsidRDefault="00F417C1" w:rsidP="00F417C1">
      <w:pPr>
        <w:pStyle w:val="ActHead4"/>
      </w:pPr>
      <w:bookmarkStart w:id="59" w:name="_Toc396376258"/>
      <w:r w:rsidRPr="0011747E">
        <w:rPr>
          <w:rStyle w:val="CharSubdNo"/>
        </w:rPr>
        <w:t>Subdi</w:t>
      </w:r>
      <w:r w:rsidR="00836103" w:rsidRPr="0011747E">
        <w:rPr>
          <w:rStyle w:val="CharSubdNo"/>
        </w:rPr>
        <w:t xml:space="preserve">vision </w:t>
      </w:r>
      <w:r w:rsidR="00A920A6" w:rsidRPr="0011747E">
        <w:rPr>
          <w:rStyle w:val="CharSubdNo"/>
        </w:rPr>
        <w:t>G</w:t>
      </w:r>
      <w:r w:rsidR="00455970" w:rsidRPr="0011747E">
        <w:t>—</w:t>
      </w:r>
      <w:r w:rsidR="00455970" w:rsidRPr="0011747E">
        <w:rPr>
          <w:rStyle w:val="CharSubdText"/>
        </w:rPr>
        <w:t>Environmental impact statements</w:t>
      </w:r>
      <w:bookmarkEnd w:id="59"/>
    </w:p>
    <w:p w:rsidR="002F125A" w:rsidRPr="0011747E" w:rsidRDefault="00DD6047" w:rsidP="00DD6047">
      <w:pPr>
        <w:pStyle w:val="ActHead5"/>
      </w:pPr>
      <w:bookmarkStart w:id="60" w:name="_Toc396376259"/>
      <w:r w:rsidRPr="0011747E">
        <w:rPr>
          <w:rStyle w:val="CharSectno"/>
        </w:rPr>
        <w:t>5.1</w:t>
      </w:r>
      <w:r w:rsidR="002F125A" w:rsidRPr="0011747E">
        <w:rPr>
          <w:rStyle w:val="CharSectno"/>
        </w:rPr>
        <w:t>7</w:t>
      </w:r>
      <w:r w:rsidR="002F125A" w:rsidRPr="0011747E">
        <w:t xml:space="preserve">  Application</w:t>
      </w:r>
      <w:bookmarkEnd w:id="60"/>
    </w:p>
    <w:p w:rsidR="002F125A" w:rsidRPr="0011747E" w:rsidRDefault="002F125A" w:rsidP="002F125A">
      <w:pPr>
        <w:pStyle w:val="subsection"/>
      </w:pPr>
      <w:r w:rsidRPr="0011747E">
        <w:tab/>
      </w:r>
      <w:r w:rsidRPr="0011747E">
        <w:tab/>
        <w:t>This Subdivision applies if the Minister has decided under section</w:t>
      </w:r>
      <w:r w:rsidR="0011747E" w:rsidRPr="0011747E">
        <w:t> </w:t>
      </w:r>
      <w:r w:rsidRPr="0011747E">
        <w:t>87 of the Act that the relevant impacts of an action are to be assessed by an environmental impact statement under Division</w:t>
      </w:r>
      <w:r w:rsidR="0011747E" w:rsidRPr="0011747E">
        <w:t> </w:t>
      </w:r>
      <w:r w:rsidRPr="0011747E">
        <w:t xml:space="preserve">6 of </w:t>
      </w:r>
      <w:r w:rsidR="00E3262C" w:rsidRPr="0011747E">
        <w:t>Part</w:t>
      </w:r>
      <w:r w:rsidR="0011747E" w:rsidRPr="0011747E">
        <w:t> </w:t>
      </w:r>
      <w:r w:rsidR="00E3262C" w:rsidRPr="0011747E">
        <w:t xml:space="preserve">8 of </w:t>
      </w:r>
      <w:r w:rsidRPr="0011747E">
        <w:t>the Act.</w:t>
      </w:r>
    </w:p>
    <w:p w:rsidR="0025129A" w:rsidRPr="0011747E" w:rsidRDefault="0025129A" w:rsidP="0025129A">
      <w:pPr>
        <w:pStyle w:val="ActHead5"/>
      </w:pPr>
      <w:bookmarkStart w:id="61" w:name="_Toc396376260"/>
      <w:r w:rsidRPr="0011747E">
        <w:rPr>
          <w:rStyle w:val="CharSectno"/>
        </w:rPr>
        <w:t>5.17A</w:t>
      </w:r>
      <w:r w:rsidRPr="0011747E">
        <w:t xml:space="preserve">  Definitions</w:t>
      </w:r>
      <w:bookmarkEnd w:id="61"/>
    </w:p>
    <w:p w:rsidR="0025129A" w:rsidRPr="0011747E" w:rsidRDefault="0025129A" w:rsidP="0025129A">
      <w:pPr>
        <w:pStyle w:val="subsection"/>
      </w:pPr>
      <w:r w:rsidRPr="0011747E">
        <w:tab/>
        <w:t>(1)</w:t>
      </w:r>
      <w:r w:rsidRPr="0011747E">
        <w:tab/>
        <w:t>In this Subdivision:</w:t>
      </w:r>
    </w:p>
    <w:p w:rsidR="00D94EEE" w:rsidRPr="0011747E" w:rsidRDefault="00D94EEE" w:rsidP="00D94EEE">
      <w:pPr>
        <w:pStyle w:val="Definition"/>
      </w:pPr>
      <w:r w:rsidRPr="0011747E">
        <w:rPr>
          <w:b/>
          <w:i/>
        </w:rPr>
        <w:t>E</w:t>
      </w:r>
      <w:r w:rsidR="00A40150" w:rsidRPr="0011747E">
        <w:rPr>
          <w:b/>
          <w:i/>
        </w:rPr>
        <w:t>IS</w:t>
      </w:r>
      <w:r w:rsidRPr="0011747E">
        <w:rPr>
          <w:b/>
          <w:i/>
        </w:rPr>
        <w:t xml:space="preserve"> guidelines</w:t>
      </w:r>
      <w:r w:rsidRPr="0011747E">
        <w:t>, in relation to a designated proponent, has the same meaning as in subsection</w:t>
      </w:r>
      <w:r w:rsidR="0011747E" w:rsidRPr="0011747E">
        <w:t> </w:t>
      </w:r>
      <w:r w:rsidRPr="0011747E">
        <w:t>101A(1) of the Act.</w:t>
      </w:r>
    </w:p>
    <w:p w:rsidR="0025129A" w:rsidRPr="0011747E" w:rsidRDefault="0025129A" w:rsidP="0025129A">
      <w:pPr>
        <w:pStyle w:val="Definition"/>
      </w:pPr>
      <w:r w:rsidRPr="0011747E">
        <w:rPr>
          <w:b/>
          <w:i/>
        </w:rPr>
        <w:t>stage 1</w:t>
      </w:r>
      <w:r w:rsidRPr="0011747E">
        <w:t>:</w:t>
      </w:r>
    </w:p>
    <w:p w:rsidR="0025129A" w:rsidRPr="0011747E" w:rsidRDefault="0025129A" w:rsidP="0025129A">
      <w:pPr>
        <w:pStyle w:val="paragraph"/>
      </w:pPr>
      <w:r w:rsidRPr="0011747E">
        <w:tab/>
        <w:t>(a)</w:t>
      </w:r>
      <w:r w:rsidRPr="0011747E">
        <w:tab/>
        <w:t>if the EIS guidelines given to the designated proponent are standard guidelines made under section</w:t>
      </w:r>
      <w:r w:rsidR="0011747E" w:rsidRPr="0011747E">
        <w:t> </w:t>
      </w:r>
      <w:r w:rsidRPr="0011747E">
        <w:t>101B of the Act—</w:t>
      </w:r>
      <w:r w:rsidR="00A20EE3" w:rsidRPr="0011747E">
        <w:t xml:space="preserve">stage 1 </w:t>
      </w:r>
      <w:r w:rsidRPr="0011747E">
        <w:t>does not occur; and</w:t>
      </w:r>
    </w:p>
    <w:p w:rsidR="0025129A" w:rsidRPr="0011747E" w:rsidRDefault="0025129A" w:rsidP="0025129A">
      <w:pPr>
        <w:pStyle w:val="paragraph"/>
      </w:pPr>
      <w:r w:rsidRPr="0011747E">
        <w:tab/>
        <w:t>(b)</w:t>
      </w:r>
      <w:r w:rsidRPr="0011747E">
        <w:tab/>
        <w:t>if the EIS guidelines given to the designated proponent are tailored guidelines—</w:t>
      </w:r>
      <w:r w:rsidR="00454DE5" w:rsidRPr="0011747E">
        <w:t>stage 1</w:t>
      </w:r>
      <w:r w:rsidR="00A20EE3" w:rsidRPr="0011747E">
        <w:t xml:space="preserve"> </w:t>
      </w:r>
      <w:r w:rsidR="008B04DC" w:rsidRPr="0011747E">
        <w:t>begins</w:t>
      </w:r>
      <w:r w:rsidRPr="0011747E">
        <w:t xml:space="preserve"> when the tailored guidelines are prepared under section</w:t>
      </w:r>
      <w:r w:rsidR="0011747E" w:rsidRPr="0011747E">
        <w:t> </w:t>
      </w:r>
      <w:r w:rsidRPr="0011747E">
        <w:t>102 of the Act.</w:t>
      </w:r>
    </w:p>
    <w:p w:rsidR="0025129A" w:rsidRPr="0011747E" w:rsidRDefault="0025129A" w:rsidP="0025129A">
      <w:pPr>
        <w:pStyle w:val="Definition"/>
      </w:pPr>
      <w:r w:rsidRPr="0011747E">
        <w:rPr>
          <w:b/>
          <w:i/>
        </w:rPr>
        <w:t>stage 2</w:t>
      </w:r>
      <w:r w:rsidR="00A20EE3" w:rsidRPr="0011747E">
        <w:t>: stage 2</w:t>
      </w:r>
      <w:r w:rsidRPr="0011747E">
        <w:t xml:space="preserve"> </w:t>
      </w:r>
      <w:r w:rsidR="00650617" w:rsidRPr="0011747E">
        <w:t>begins when the draft report is given to the Minister, as required by paragraph</w:t>
      </w:r>
      <w:r w:rsidR="0011747E" w:rsidRPr="0011747E">
        <w:t> </w:t>
      </w:r>
      <w:r w:rsidR="00650617" w:rsidRPr="0011747E">
        <w:t>103(1)(ab) of the Act</w:t>
      </w:r>
      <w:r w:rsidRPr="0011747E">
        <w:t>.</w:t>
      </w:r>
    </w:p>
    <w:p w:rsidR="0025129A" w:rsidRPr="0011747E" w:rsidRDefault="0025129A" w:rsidP="0025129A">
      <w:pPr>
        <w:pStyle w:val="Definition"/>
      </w:pPr>
      <w:r w:rsidRPr="0011747E">
        <w:rPr>
          <w:b/>
          <w:i/>
        </w:rPr>
        <w:t>stage 3</w:t>
      </w:r>
      <w:r w:rsidR="00A20EE3" w:rsidRPr="0011747E">
        <w:t>: stage 3</w:t>
      </w:r>
      <w:r w:rsidRPr="0011747E">
        <w:t xml:space="preserve"> </w:t>
      </w:r>
      <w:r w:rsidR="008B04DC" w:rsidRPr="0011747E">
        <w:t xml:space="preserve">begins </w:t>
      </w:r>
      <w:r w:rsidRPr="0011747E">
        <w:t>when the designated proponent has given the Minister the documents required under subsection</w:t>
      </w:r>
      <w:r w:rsidR="0011747E" w:rsidRPr="0011747E">
        <w:t> </w:t>
      </w:r>
      <w:r w:rsidRPr="0011747E">
        <w:t>104(3) of the Act.</w:t>
      </w:r>
    </w:p>
    <w:p w:rsidR="0025129A" w:rsidRPr="0011747E" w:rsidRDefault="0025129A" w:rsidP="0025129A">
      <w:pPr>
        <w:pStyle w:val="Definition"/>
      </w:pPr>
      <w:r w:rsidRPr="0011747E">
        <w:rPr>
          <w:b/>
          <w:i/>
        </w:rPr>
        <w:t>stage 4</w:t>
      </w:r>
      <w:r w:rsidR="00A20EE3" w:rsidRPr="0011747E">
        <w:t>: stage 4</w:t>
      </w:r>
      <w:r w:rsidRPr="0011747E">
        <w:t xml:space="preserve"> </w:t>
      </w:r>
      <w:r w:rsidR="008B04DC" w:rsidRPr="0011747E">
        <w:t>begins</w:t>
      </w:r>
      <w:r w:rsidR="004C7A85" w:rsidRPr="0011747E">
        <w:t xml:space="preserve"> when a recommendation report starts to be</w:t>
      </w:r>
      <w:r w:rsidRPr="0011747E">
        <w:t xml:space="preserve"> prepared under subsection</w:t>
      </w:r>
      <w:r w:rsidR="0011747E" w:rsidRPr="0011747E">
        <w:t> </w:t>
      </w:r>
      <w:r w:rsidRPr="0011747E">
        <w:t>105(1) of the Act.</w:t>
      </w:r>
    </w:p>
    <w:p w:rsidR="0025129A" w:rsidRPr="0011747E" w:rsidRDefault="0025129A" w:rsidP="0025129A">
      <w:pPr>
        <w:pStyle w:val="subsection"/>
      </w:pPr>
      <w:r w:rsidRPr="0011747E">
        <w:tab/>
        <w:t>(2)</w:t>
      </w:r>
      <w:r w:rsidRPr="0011747E">
        <w:tab/>
        <w:t xml:space="preserve">To avoid doubt, if </w:t>
      </w:r>
      <w:r w:rsidR="0011747E" w:rsidRPr="0011747E">
        <w:t>paragraph (</w:t>
      </w:r>
      <w:r w:rsidRPr="0011747E">
        <w:t xml:space="preserve">a) of the definition of </w:t>
      </w:r>
      <w:r w:rsidRPr="0011747E">
        <w:rPr>
          <w:b/>
          <w:i/>
        </w:rPr>
        <w:t>stage 1</w:t>
      </w:r>
      <w:r w:rsidRPr="0011747E">
        <w:t xml:space="preserve"> applies, no </w:t>
      </w:r>
      <w:r w:rsidR="008B04DC" w:rsidRPr="0011747E">
        <w:t xml:space="preserve">base fee or </w:t>
      </w:r>
      <w:r w:rsidRPr="0011747E">
        <w:t>Part A</w:t>
      </w:r>
      <w:r w:rsidR="008B04DC" w:rsidRPr="0011747E">
        <w:t xml:space="preserve"> complexity</w:t>
      </w:r>
      <w:r w:rsidRPr="0011747E">
        <w:t xml:space="preserve"> fee is payable for that stage.</w:t>
      </w:r>
    </w:p>
    <w:p w:rsidR="00785D2E" w:rsidRPr="0011747E" w:rsidRDefault="00785D2E" w:rsidP="00785D2E">
      <w:pPr>
        <w:pStyle w:val="notetext"/>
      </w:pPr>
      <w:r w:rsidRPr="0011747E">
        <w:t>Note:</w:t>
      </w:r>
      <w:r w:rsidRPr="0011747E">
        <w:tab/>
        <w:t xml:space="preserve">For </w:t>
      </w:r>
      <w:r w:rsidRPr="0011747E">
        <w:rPr>
          <w:b/>
          <w:i/>
        </w:rPr>
        <w:t xml:space="preserve">Part A </w:t>
      </w:r>
      <w:r w:rsidR="00CE7A7B" w:rsidRPr="0011747E">
        <w:rPr>
          <w:b/>
          <w:i/>
        </w:rPr>
        <w:t>complexity fee</w:t>
      </w:r>
      <w:r w:rsidR="00CE7A7B" w:rsidRPr="0011747E">
        <w:t>, see regulation</w:t>
      </w:r>
      <w:r w:rsidR="0011747E" w:rsidRPr="0011747E">
        <w:t> </w:t>
      </w:r>
      <w:r w:rsidRPr="0011747E">
        <w:t>5.17C.</w:t>
      </w:r>
    </w:p>
    <w:p w:rsidR="00DD6047" w:rsidRPr="0011747E" w:rsidRDefault="006B3FE5" w:rsidP="00DD6047">
      <w:pPr>
        <w:pStyle w:val="ActHead5"/>
      </w:pPr>
      <w:bookmarkStart w:id="62" w:name="_Toc396376261"/>
      <w:r w:rsidRPr="0011747E">
        <w:rPr>
          <w:rStyle w:val="CharSectno"/>
        </w:rPr>
        <w:t>5.17B</w:t>
      </w:r>
      <w:r w:rsidR="00DD6047" w:rsidRPr="0011747E">
        <w:t xml:space="preserve">  </w:t>
      </w:r>
      <w:r w:rsidRPr="0011747E">
        <w:t>Base f</w:t>
      </w:r>
      <w:r w:rsidR="00DD6047" w:rsidRPr="0011747E">
        <w:t>ee</w:t>
      </w:r>
      <w:r w:rsidRPr="0011747E">
        <w:t xml:space="preserve"> payable in stages</w:t>
      </w:r>
      <w:bookmarkEnd w:id="62"/>
    </w:p>
    <w:p w:rsidR="006B3FE5" w:rsidRPr="0011747E" w:rsidRDefault="006B3FE5" w:rsidP="006B3FE5">
      <w:pPr>
        <w:pStyle w:val="subsection"/>
      </w:pPr>
      <w:r w:rsidRPr="0011747E">
        <w:tab/>
        <w:t>(1)</w:t>
      </w:r>
      <w:r w:rsidRPr="0011747E">
        <w:tab/>
        <w:t>The base fee for the assessment of the action is payable in 4 stages, before each stage begins.</w:t>
      </w:r>
    </w:p>
    <w:p w:rsidR="006B3FE5" w:rsidRPr="0011747E" w:rsidRDefault="006B3FE5" w:rsidP="006B3FE5">
      <w:pPr>
        <w:pStyle w:val="subsection"/>
      </w:pPr>
      <w:r w:rsidRPr="0011747E">
        <w:tab/>
        <w:t>(2)</w:t>
      </w:r>
      <w:r w:rsidRPr="0011747E">
        <w:tab/>
        <w:t>The amount of the base fee payable for each stage is set out in the following table:</w:t>
      </w:r>
    </w:p>
    <w:p w:rsidR="006B3FE5" w:rsidRPr="0011747E" w:rsidRDefault="006B3FE5" w:rsidP="006B3FE5">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6B3FE5" w:rsidRPr="0011747E" w:rsidTr="0042336C">
        <w:trPr>
          <w:tblHeader/>
        </w:trPr>
        <w:tc>
          <w:tcPr>
            <w:tcW w:w="4110" w:type="dxa"/>
            <w:gridSpan w:val="3"/>
            <w:tcBorders>
              <w:top w:val="single" w:sz="12" w:space="0" w:color="auto"/>
              <w:bottom w:val="single" w:sz="6" w:space="0" w:color="auto"/>
            </w:tcBorders>
            <w:shd w:val="clear" w:color="auto" w:fill="auto"/>
          </w:tcPr>
          <w:p w:rsidR="006B3FE5" w:rsidRPr="0011747E" w:rsidRDefault="006B3FE5" w:rsidP="00DA058E">
            <w:pPr>
              <w:pStyle w:val="TableHeading"/>
              <w:ind w:left="33"/>
            </w:pPr>
            <w:r w:rsidRPr="0011747E">
              <w:t>Base fee for assessment by a</w:t>
            </w:r>
            <w:r w:rsidR="00AF1197" w:rsidRPr="0011747E">
              <w:t>n environmental impact statement</w:t>
            </w:r>
          </w:p>
        </w:tc>
      </w:tr>
      <w:tr w:rsidR="006B3FE5" w:rsidRPr="0011747E" w:rsidTr="0042336C">
        <w:trPr>
          <w:tblHeader/>
        </w:trPr>
        <w:tc>
          <w:tcPr>
            <w:tcW w:w="714" w:type="dxa"/>
            <w:tcBorders>
              <w:top w:val="single" w:sz="6" w:space="0" w:color="auto"/>
              <w:bottom w:val="single" w:sz="12" w:space="0" w:color="auto"/>
            </w:tcBorders>
            <w:shd w:val="clear" w:color="auto" w:fill="auto"/>
          </w:tcPr>
          <w:p w:rsidR="006B3FE5" w:rsidRPr="0011747E" w:rsidRDefault="006B3FE5"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6B3FE5" w:rsidRPr="0011747E" w:rsidRDefault="006B3FE5"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6B3FE5" w:rsidRPr="0011747E" w:rsidRDefault="00836667" w:rsidP="00836667">
            <w:pPr>
              <w:pStyle w:val="TableHeading"/>
              <w:ind w:left="420" w:hanging="420"/>
              <w:jc w:val="right"/>
            </w:pPr>
            <w:r w:rsidRPr="0011747E">
              <w:t>Amount</w:t>
            </w:r>
            <w:r w:rsidR="006B3FE5" w:rsidRPr="0011747E">
              <w:t xml:space="preserve"> payable</w:t>
            </w:r>
          </w:p>
        </w:tc>
      </w:tr>
      <w:tr w:rsidR="006B3FE5" w:rsidRPr="0011747E" w:rsidTr="0042336C">
        <w:tc>
          <w:tcPr>
            <w:tcW w:w="714" w:type="dxa"/>
            <w:tcBorders>
              <w:top w:val="single" w:sz="12" w:space="0" w:color="auto"/>
            </w:tcBorders>
            <w:shd w:val="clear" w:color="auto" w:fill="auto"/>
          </w:tcPr>
          <w:p w:rsidR="006B3FE5" w:rsidRPr="0011747E" w:rsidRDefault="006B3FE5" w:rsidP="003E2EEA">
            <w:pPr>
              <w:pStyle w:val="Tabletext"/>
            </w:pPr>
            <w:r w:rsidRPr="0011747E">
              <w:t>1</w:t>
            </w:r>
          </w:p>
        </w:tc>
        <w:tc>
          <w:tcPr>
            <w:tcW w:w="1695" w:type="dxa"/>
            <w:tcBorders>
              <w:top w:val="single" w:sz="12" w:space="0" w:color="auto"/>
            </w:tcBorders>
            <w:shd w:val="clear" w:color="auto" w:fill="auto"/>
          </w:tcPr>
          <w:p w:rsidR="006B3FE5" w:rsidRPr="0011747E" w:rsidRDefault="006B3FE5" w:rsidP="003E2EEA">
            <w:pPr>
              <w:pStyle w:val="Tabletext"/>
            </w:pPr>
            <w:r w:rsidRPr="0011747E">
              <w:t>stage 1</w:t>
            </w:r>
          </w:p>
        </w:tc>
        <w:tc>
          <w:tcPr>
            <w:tcW w:w="1701" w:type="dxa"/>
            <w:tcBorders>
              <w:top w:val="single" w:sz="12" w:space="0" w:color="auto"/>
            </w:tcBorders>
            <w:shd w:val="clear" w:color="auto" w:fill="auto"/>
          </w:tcPr>
          <w:p w:rsidR="006B3FE5" w:rsidRPr="0011747E" w:rsidRDefault="007E7F5B" w:rsidP="00836667">
            <w:pPr>
              <w:pStyle w:val="Tabletext"/>
              <w:jc w:val="right"/>
            </w:pPr>
            <w:r w:rsidRPr="0011747E">
              <w:t>$4</w:t>
            </w:r>
            <w:r w:rsidR="0011747E" w:rsidRPr="0011747E">
              <w:t> </w:t>
            </w:r>
            <w:r w:rsidR="006B3FE5" w:rsidRPr="0011747E">
              <w:t>031.00</w:t>
            </w:r>
          </w:p>
        </w:tc>
      </w:tr>
      <w:tr w:rsidR="006B3FE5" w:rsidRPr="0011747E" w:rsidTr="0042336C">
        <w:tc>
          <w:tcPr>
            <w:tcW w:w="714" w:type="dxa"/>
            <w:shd w:val="clear" w:color="auto" w:fill="auto"/>
          </w:tcPr>
          <w:p w:rsidR="006B3FE5" w:rsidRPr="0011747E" w:rsidRDefault="006B3FE5" w:rsidP="003E2EEA">
            <w:pPr>
              <w:pStyle w:val="Tabletext"/>
            </w:pPr>
            <w:r w:rsidRPr="0011747E">
              <w:t>2</w:t>
            </w:r>
          </w:p>
        </w:tc>
        <w:tc>
          <w:tcPr>
            <w:tcW w:w="1695" w:type="dxa"/>
            <w:shd w:val="clear" w:color="auto" w:fill="auto"/>
          </w:tcPr>
          <w:p w:rsidR="006B3FE5" w:rsidRPr="0011747E" w:rsidRDefault="006B3FE5" w:rsidP="003E2EEA">
            <w:pPr>
              <w:pStyle w:val="Tabletext"/>
            </w:pPr>
            <w:r w:rsidRPr="0011747E">
              <w:t>stage 2</w:t>
            </w:r>
          </w:p>
        </w:tc>
        <w:tc>
          <w:tcPr>
            <w:tcW w:w="1701" w:type="dxa"/>
            <w:shd w:val="clear" w:color="auto" w:fill="auto"/>
          </w:tcPr>
          <w:p w:rsidR="006B3FE5" w:rsidRPr="0011747E" w:rsidRDefault="007E7F5B" w:rsidP="00836667">
            <w:pPr>
              <w:pStyle w:val="Tabletext"/>
              <w:jc w:val="right"/>
            </w:pPr>
            <w:r w:rsidRPr="0011747E">
              <w:t>$12</w:t>
            </w:r>
            <w:r w:rsidR="0011747E" w:rsidRPr="0011747E">
              <w:t> </w:t>
            </w:r>
            <w:r w:rsidR="006B3FE5" w:rsidRPr="0011747E">
              <w:t>760.00</w:t>
            </w:r>
          </w:p>
        </w:tc>
      </w:tr>
      <w:tr w:rsidR="006B3FE5" w:rsidRPr="0011747E" w:rsidTr="0042336C">
        <w:tc>
          <w:tcPr>
            <w:tcW w:w="714" w:type="dxa"/>
            <w:tcBorders>
              <w:bottom w:val="single" w:sz="4" w:space="0" w:color="auto"/>
            </w:tcBorders>
            <w:shd w:val="clear" w:color="auto" w:fill="auto"/>
          </w:tcPr>
          <w:p w:rsidR="006B3FE5" w:rsidRPr="0011747E" w:rsidRDefault="006B3FE5" w:rsidP="003E2EEA">
            <w:pPr>
              <w:pStyle w:val="Tabletext"/>
            </w:pPr>
            <w:r w:rsidRPr="0011747E">
              <w:t>3</w:t>
            </w:r>
          </w:p>
        </w:tc>
        <w:tc>
          <w:tcPr>
            <w:tcW w:w="1695" w:type="dxa"/>
            <w:tcBorders>
              <w:bottom w:val="single" w:sz="4" w:space="0" w:color="auto"/>
            </w:tcBorders>
            <w:shd w:val="clear" w:color="auto" w:fill="auto"/>
          </w:tcPr>
          <w:p w:rsidR="006B3FE5" w:rsidRPr="0011747E" w:rsidRDefault="006B3FE5" w:rsidP="003E2EEA">
            <w:pPr>
              <w:pStyle w:val="Tabletext"/>
            </w:pPr>
            <w:r w:rsidRPr="0011747E">
              <w:t>stage 3</w:t>
            </w:r>
          </w:p>
        </w:tc>
        <w:tc>
          <w:tcPr>
            <w:tcW w:w="1701" w:type="dxa"/>
            <w:tcBorders>
              <w:bottom w:val="single" w:sz="4" w:space="0" w:color="auto"/>
            </w:tcBorders>
            <w:shd w:val="clear" w:color="auto" w:fill="auto"/>
          </w:tcPr>
          <w:p w:rsidR="006B3FE5" w:rsidRPr="0011747E" w:rsidRDefault="007E7F5B" w:rsidP="00836667">
            <w:pPr>
              <w:pStyle w:val="Tabletext"/>
              <w:jc w:val="right"/>
            </w:pPr>
            <w:r w:rsidRPr="0011747E">
              <w:t>$4</w:t>
            </w:r>
            <w:r w:rsidR="0011747E" w:rsidRPr="0011747E">
              <w:t> </w:t>
            </w:r>
            <w:r w:rsidR="006B3FE5" w:rsidRPr="0011747E">
              <w:t>265.00</w:t>
            </w:r>
          </w:p>
        </w:tc>
      </w:tr>
      <w:tr w:rsidR="006B3FE5" w:rsidRPr="0011747E" w:rsidTr="0042336C">
        <w:tc>
          <w:tcPr>
            <w:tcW w:w="714" w:type="dxa"/>
            <w:tcBorders>
              <w:bottom w:val="single" w:sz="12" w:space="0" w:color="auto"/>
            </w:tcBorders>
            <w:shd w:val="clear" w:color="auto" w:fill="auto"/>
          </w:tcPr>
          <w:p w:rsidR="006B3FE5" w:rsidRPr="0011747E" w:rsidRDefault="006B3FE5" w:rsidP="003E2EEA">
            <w:pPr>
              <w:pStyle w:val="Tabletext"/>
            </w:pPr>
            <w:r w:rsidRPr="0011747E">
              <w:t>4</w:t>
            </w:r>
          </w:p>
        </w:tc>
        <w:tc>
          <w:tcPr>
            <w:tcW w:w="1695" w:type="dxa"/>
            <w:tcBorders>
              <w:bottom w:val="single" w:sz="12" w:space="0" w:color="auto"/>
            </w:tcBorders>
            <w:shd w:val="clear" w:color="auto" w:fill="auto"/>
          </w:tcPr>
          <w:p w:rsidR="006B3FE5" w:rsidRPr="0011747E" w:rsidRDefault="006B3FE5" w:rsidP="003E2EEA">
            <w:pPr>
              <w:pStyle w:val="Tabletext"/>
            </w:pPr>
            <w:r w:rsidRPr="0011747E">
              <w:t>stage 4</w:t>
            </w:r>
          </w:p>
        </w:tc>
        <w:tc>
          <w:tcPr>
            <w:tcW w:w="1701" w:type="dxa"/>
            <w:tcBorders>
              <w:bottom w:val="single" w:sz="12" w:space="0" w:color="auto"/>
            </w:tcBorders>
            <w:shd w:val="clear" w:color="auto" w:fill="auto"/>
          </w:tcPr>
          <w:p w:rsidR="006B3FE5" w:rsidRPr="0011747E" w:rsidRDefault="007E7F5B" w:rsidP="00836667">
            <w:pPr>
              <w:pStyle w:val="Tabletext"/>
              <w:jc w:val="right"/>
            </w:pPr>
            <w:r w:rsidRPr="0011747E">
              <w:t>$9</w:t>
            </w:r>
            <w:r w:rsidR="0011747E" w:rsidRPr="0011747E">
              <w:t> </w:t>
            </w:r>
            <w:r w:rsidR="006B3FE5" w:rsidRPr="0011747E">
              <w:t>146.00</w:t>
            </w:r>
          </w:p>
        </w:tc>
      </w:tr>
    </w:tbl>
    <w:p w:rsidR="006B3FE5" w:rsidRPr="0011747E" w:rsidRDefault="006B3FE5" w:rsidP="006B3FE5">
      <w:pPr>
        <w:pStyle w:val="ActHead5"/>
      </w:pPr>
      <w:bookmarkStart w:id="63" w:name="_Toc396376262"/>
      <w:r w:rsidRPr="0011747E">
        <w:rPr>
          <w:rStyle w:val="CharSectno"/>
        </w:rPr>
        <w:t>5.17C</w:t>
      </w:r>
      <w:r w:rsidRPr="0011747E">
        <w:t xml:space="preserve">  Complexity fee payable in stages</w:t>
      </w:r>
      <w:bookmarkEnd w:id="63"/>
    </w:p>
    <w:p w:rsidR="006B3FE5" w:rsidRPr="0011747E" w:rsidRDefault="006B3FE5" w:rsidP="006B3FE5">
      <w:pPr>
        <w:pStyle w:val="SubsectionHead"/>
      </w:pPr>
      <w:r w:rsidRPr="0011747E">
        <w:t>Complexity fee to be split</w:t>
      </w:r>
    </w:p>
    <w:p w:rsidR="006B3FE5" w:rsidRPr="0011747E" w:rsidRDefault="006B3FE5" w:rsidP="006B3FE5">
      <w:pPr>
        <w:pStyle w:val="subsection"/>
      </w:pPr>
      <w:r w:rsidRPr="0011747E">
        <w:tab/>
        <w:t>(1)</w:t>
      </w:r>
      <w:r w:rsidRPr="0011747E">
        <w:tab/>
        <w:t>The complexity fee is to be split into:</w:t>
      </w:r>
    </w:p>
    <w:p w:rsidR="006B3FE5" w:rsidRPr="0011747E" w:rsidRDefault="006B3FE5" w:rsidP="006B3FE5">
      <w:pPr>
        <w:pStyle w:val="paragraph"/>
      </w:pPr>
      <w:r w:rsidRPr="0011747E">
        <w:tab/>
        <w:t>(a)</w:t>
      </w:r>
      <w:r w:rsidRPr="0011747E">
        <w:tab/>
        <w:t xml:space="preserve">the </w:t>
      </w:r>
      <w:r w:rsidRPr="0011747E">
        <w:rPr>
          <w:b/>
          <w:i/>
        </w:rPr>
        <w:t>Part A complexity fee</w:t>
      </w:r>
      <w:r w:rsidRPr="0011747E">
        <w:t>, which is the sum of:</w:t>
      </w:r>
    </w:p>
    <w:p w:rsidR="00A0627D" w:rsidRPr="0011747E" w:rsidRDefault="00A0627D" w:rsidP="00A0627D">
      <w:pPr>
        <w:pStyle w:val="paragraphsub"/>
      </w:pPr>
      <w:r w:rsidRPr="0011747E">
        <w:tab/>
        <w:t>(i)</w:t>
      </w:r>
      <w:r w:rsidRPr="0011747E">
        <w:tab/>
      </w:r>
      <w:r w:rsidR="00AB70DB" w:rsidRPr="0011747E">
        <w:t>if applicable—</w:t>
      </w:r>
      <w:r w:rsidRPr="0011747E">
        <w:t>the fee for each applicable controlling provision component; and</w:t>
      </w:r>
    </w:p>
    <w:p w:rsidR="006B3FE5" w:rsidRPr="0011747E" w:rsidRDefault="006B3FE5" w:rsidP="006B3FE5">
      <w:pPr>
        <w:pStyle w:val="paragraphsub"/>
      </w:pPr>
      <w:r w:rsidRPr="0011747E">
        <w:tab/>
        <w:t>(</w:t>
      </w:r>
      <w:r w:rsidR="00A0627D" w:rsidRPr="0011747E">
        <w:t>i</w:t>
      </w:r>
      <w:r w:rsidRPr="0011747E">
        <w:t>i)</w:t>
      </w:r>
      <w:r w:rsidRPr="0011747E">
        <w:tab/>
      </w:r>
      <w:r w:rsidR="00AB70DB" w:rsidRPr="0011747E">
        <w:t>if applicable—</w:t>
      </w:r>
      <w:r w:rsidRPr="0011747E">
        <w:t xml:space="preserve">the fee for </w:t>
      </w:r>
      <w:r w:rsidR="00785D2E" w:rsidRPr="0011747E">
        <w:t>the</w:t>
      </w:r>
      <w:r w:rsidRPr="0011747E">
        <w:t xml:space="preserve"> legislative impact component; and</w:t>
      </w:r>
    </w:p>
    <w:p w:rsidR="006B3FE5" w:rsidRPr="0011747E" w:rsidRDefault="006B3FE5" w:rsidP="006B3FE5">
      <w:pPr>
        <w:pStyle w:val="paragraphsub"/>
      </w:pPr>
      <w:r w:rsidRPr="0011747E">
        <w:tab/>
        <w:t>(i</w:t>
      </w:r>
      <w:r w:rsidR="00A0627D" w:rsidRPr="0011747E">
        <w:t>i</w:t>
      </w:r>
      <w:r w:rsidRPr="0011747E">
        <w:t>i)</w:t>
      </w:r>
      <w:r w:rsidRPr="0011747E">
        <w:tab/>
        <w:t>if applicable—the fee for the relevant number of project components; and</w:t>
      </w:r>
    </w:p>
    <w:p w:rsidR="006B3FE5" w:rsidRPr="0011747E" w:rsidRDefault="00A0627D" w:rsidP="006B3FE5">
      <w:pPr>
        <w:pStyle w:val="paragraphsub"/>
      </w:pPr>
      <w:r w:rsidRPr="0011747E">
        <w:tab/>
        <w:t>(iv</w:t>
      </w:r>
      <w:r w:rsidR="006B3FE5" w:rsidRPr="0011747E">
        <w:t>)</w:t>
      </w:r>
      <w:r w:rsidR="006B3FE5" w:rsidRPr="0011747E">
        <w:tab/>
        <w:t>if applicab</w:t>
      </w:r>
      <w:r w:rsidR="00D803A1" w:rsidRPr="0011747E">
        <w:t>le—the fee for the exceptional case</w:t>
      </w:r>
      <w:r w:rsidR="006B3FE5" w:rsidRPr="0011747E">
        <w:t xml:space="preserve"> component; and</w:t>
      </w:r>
    </w:p>
    <w:p w:rsidR="006B3FE5" w:rsidRPr="0011747E" w:rsidRDefault="006B3FE5" w:rsidP="006B3FE5">
      <w:pPr>
        <w:pStyle w:val="paragraph"/>
      </w:pPr>
      <w:r w:rsidRPr="0011747E">
        <w:tab/>
        <w:t>(b)</w:t>
      </w:r>
      <w:r w:rsidRPr="0011747E">
        <w:tab/>
        <w:t xml:space="preserve">the </w:t>
      </w:r>
      <w:r w:rsidRPr="0011747E">
        <w:rPr>
          <w:b/>
          <w:i/>
        </w:rPr>
        <w:t>Part B complexity fee</w:t>
      </w:r>
      <w:r w:rsidRPr="0011747E">
        <w:t>, which is the sum of the fee for each application component.</w:t>
      </w:r>
    </w:p>
    <w:p w:rsidR="006B3FE5" w:rsidRPr="0011747E" w:rsidRDefault="006B3FE5" w:rsidP="006B3FE5">
      <w:pPr>
        <w:pStyle w:val="SubsectionHead"/>
      </w:pPr>
      <w:r w:rsidRPr="0011747E">
        <w:t>Part A complexity fee</w:t>
      </w:r>
    </w:p>
    <w:p w:rsidR="006B3FE5" w:rsidRPr="0011747E" w:rsidRDefault="006B3FE5" w:rsidP="006B3FE5">
      <w:pPr>
        <w:pStyle w:val="subsection"/>
      </w:pPr>
      <w:r w:rsidRPr="0011747E">
        <w:tab/>
        <w:t>(2)</w:t>
      </w:r>
      <w:r w:rsidRPr="0011747E">
        <w:tab/>
        <w:t>The Part A complexity fee for the assessment of the action is payable in 4 stages, before each stage begins.</w:t>
      </w:r>
    </w:p>
    <w:p w:rsidR="006B3FE5" w:rsidRPr="0011747E" w:rsidRDefault="006B3FE5" w:rsidP="006B3FE5">
      <w:pPr>
        <w:pStyle w:val="subsection"/>
      </w:pPr>
      <w:r w:rsidRPr="0011747E">
        <w:tab/>
        <w:t>(3)</w:t>
      </w:r>
      <w:r w:rsidRPr="0011747E">
        <w:tab/>
        <w:t>The percentage of the Part A complexity fee payable for each stage is set out in the following table:</w:t>
      </w:r>
    </w:p>
    <w:p w:rsidR="006B3FE5" w:rsidRPr="0011747E" w:rsidRDefault="006B3FE5" w:rsidP="006B3FE5">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6B3FE5" w:rsidRPr="0011747E" w:rsidTr="0042336C">
        <w:trPr>
          <w:tblHeader/>
        </w:trPr>
        <w:tc>
          <w:tcPr>
            <w:tcW w:w="4110" w:type="dxa"/>
            <w:gridSpan w:val="3"/>
            <w:tcBorders>
              <w:top w:val="single" w:sz="12" w:space="0" w:color="auto"/>
              <w:bottom w:val="single" w:sz="6" w:space="0" w:color="auto"/>
            </w:tcBorders>
            <w:shd w:val="clear" w:color="auto" w:fill="auto"/>
          </w:tcPr>
          <w:p w:rsidR="006B3FE5" w:rsidRPr="0011747E" w:rsidRDefault="006B3FE5" w:rsidP="00DA058E">
            <w:pPr>
              <w:pStyle w:val="TableHeading"/>
              <w:ind w:left="33"/>
            </w:pPr>
            <w:r w:rsidRPr="0011747E">
              <w:t>Part A complexity fee for assessment by a</w:t>
            </w:r>
            <w:r w:rsidR="00AF1197" w:rsidRPr="0011747E">
              <w:t>n environmental impact statement</w:t>
            </w:r>
          </w:p>
        </w:tc>
      </w:tr>
      <w:tr w:rsidR="006B3FE5" w:rsidRPr="0011747E" w:rsidTr="0042336C">
        <w:trPr>
          <w:tblHeader/>
        </w:trPr>
        <w:tc>
          <w:tcPr>
            <w:tcW w:w="714" w:type="dxa"/>
            <w:tcBorders>
              <w:top w:val="single" w:sz="6" w:space="0" w:color="auto"/>
              <w:bottom w:val="single" w:sz="12" w:space="0" w:color="auto"/>
            </w:tcBorders>
            <w:shd w:val="clear" w:color="auto" w:fill="auto"/>
          </w:tcPr>
          <w:p w:rsidR="006B3FE5" w:rsidRPr="0011747E" w:rsidRDefault="006B3FE5"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6B3FE5" w:rsidRPr="0011747E" w:rsidRDefault="006B3FE5"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6B3FE5" w:rsidRPr="0011747E" w:rsidRDefault="006B3FE5" w:rsidP="00836667">
            <w:pPr>
              <w:pStyle w:val="TableHeading"/>
              <w:ind w:left="420" w:hanging="420"/>
              <w:jc w:val="right"/>
            </w:pPr>
            <w:r w:rsidRPr="0011747E">
              <w:t>Percentage payable</w:t>
            </w:r>
          </w:p>
        </w:tc>
      </w:tr>
      <w:tr w:rsidR="006B3FE5" w:rsidRPr="0011747E" w:rsidTr="0042336C">
        <w:tc>
          <w:tcPr>
            <w:tcW w:w="714" w:type="dxa"/>
            <w:tcBorders>
              <w:top w:val="single" w:sz="12" w:space="0" w:color="auto"/>
            </w:tcBorders>
            <w:shd w:val="clear" w:color="auto" w:fill="auto"/>
          </w:tcPr>
          <w:p w:rsidR="006B3FE5" w:rsidRPr="0011747E" w:rsidRDefault="006B3FE5" w:rsidP="003E2EEA">
            <w:pPr>
              <w:pStyle w:val="Tabletext"/>
            </w:pPr>
            <w:r w:rsidRPr="0011747E">
              <w:t>1</w:t>
            </w:r>
          </w:p>
        </w:tc>
        <w:tc>
          <w:tcPr>
            <w:tcW w:w="1695" w:type="dxa"/>
            <w:tcBorders>
              <w:top w:val="single" w:sz="12" w:space="0" w:color="auto"/>
            </w:tcBorders>
            <w:shd w:val="clear" w:color="auto" w:fill="auto"/>
          </w:tcPr>
          <w:p w:rsidR="006B3FE5" w:rsidRPr="0011747E" w:rsidRDefault="006B3FE5" w:rsidP="003E2EEA">
            <w:pPr>
              <w:pStyle w:val="Tabletext"/>
            </w:pPr>
            <w:r w:rsidRPr="0011747E">
              <w:t>stage 1</w:t>
            </w:r>
          </w:p>
        </w:tc>
        <w:tc>
          <w:tcPr>
            <w:tcW w:w="1701" w:type="dxa"/>
            <w:tcBorders>
              <w:top w:val="single" w:sz="12" w:space="0" w:color="auto"/>
            </w:tcBorders>
            <w:shd w:val="clear" w:color="auto" w:fill="auto"/>
          </w:tcPr>
          <w:p w:rsidR="006B3FE5" w:rsidRPr="0011747E" w:rsidRDefault="006B3FE5" w:rsidP="00836667">
            <w:pPr>
              <w:pStyle w:val="Tabletext"/>
              <w:jc w:val="right"/>
            </w:pPr>
            <w:r w:rsidRPr="0011747E">
              <w:t>14%</w:t>
            </w:r>
          </w:p>
        </w:tc>
      </w:tr>
      <w:tr w:rsidR="006B3FE5" w:rsidRPr="0011747E" w:rsidTr="0042336C">
        <w:tc>
          <w:tcPr>
            <w:tcW w:w="714" w:type="dxa"/>
            <w:shd w:val="clear" w:color="auto" w:fill="auto"/>
          </w:tcPr>
          <w:p w:rsidR="006B3FE5" w:rsidRPr="0011747E" w:rsidRDefault="006B3FE5" w:rsidP="003E2EEA">
            <w:pPr>
              <w:pStyle w:val="Tabletext"/>
            </w:pPr>
            <w:r w:rsidRPr="0011747E">
              <w:t>2</w:t>
            </w:r>
          </w:p>
        </w:tc>
        <w:tc>
          <w:tcPr>
            <w:tcW w:w="1695" w:type="dxa"/>
            <w:shd w:val="clear" w:color="auto" w:fill="auto"/>
          </w:tcPr>
          <w:p w:rsidR="006B3FE5" w:rsidRPr="0011747E" w:rsidRDefault="006B3FE5" w:rsidP="003E2EEA">
            <w:pPr>
              <w:pStyle w:val="Tabletext"/>
            </w:pPr>
            <w:r w:rsidRPr="0011747E">
              <w:t>stage 2</w:t>
            </w:r>
          </w:p>
        </w:tc>
        <w:tc>
          <w:tcPr>
            <w:tcW w:w="1701" w:type="dxa"/>
            <w:shd w:val="clear" w:color="auto" w:fill="auto"/>
          </w:tcPr>
          <w:p w:rsidR="006B3FE5" w:rsidRPr="0011747E" w:rsidRDefault="006B3FE5" w:rsidP="00836667">
            <w:pPr>
              <w:pStyle w:val="Tabletext"/>
              <w:jc w:val="right"/>
            </w:pPr>
            <w:r w:rsidRPr="0011747E">
              <w:t>42%</w:t>
            </w:r>
          </w:p>
        </w:tc>
      </w:tr>
      <w:tr w:rsidR="006B3FE5" w:rsidRPr="0011747E" w:rsidTr="0042336C">
        <w:tc>
          <w:tcPr>
            <w:tcW w:w="714" w:type="dxa"/>
            <w:tcBorders>
              <w:bottom w:val="single" w:sz="4" w:space="0" w:color="auto"/>
            </w:tcBorders>
            <w:shd w:val="clear" w:color="auto" w:fill="auto"/>
          </w:tcPr>
          <w:p w:rsidR="006B3FE5" w:rsidRPr="0011747E" w:rsidRDefault="006B3FE5" w:rsidP="003E2EEA">
            <w:pPr>
              <w:pStyle w:val="Tabletext"/>
            </w:pPr>
            <w:r w:rsidRPr="0011747E">
              <w:t>3</w:t>
            </w:r>
          </w:p>
        </w:tc>
        <w:tc>
          <w:tcPr>
            <w:tcW w:w="1695" w:type="dxa"/>
            <w:tcBorders>
              <w:bottom w:val="single" w:sz="4" w:space="0" w:color="auto"/>
            </w:tcBorders>
            <w:shd w:val="clear" w:color="auto" w:fill="auto"/>
          </w:tcPr>
          <w:p w:rsidR="006B3FE5" w:rsidRPr="0011747E" w:rsidRDefault="006B3FE5" w:rsidP="003E2EEA">
            <w:pPr>
              <w:pStyle w:val="Tabletext"/>
            </w:pPr>
            <w:r w:rsidRPr="0011747E">
              <w:t>stage 3</w:t>
            </w:r>
          </w:p>
        </w:tc>
        <w:tc>
          <w:tcPr>
            <w:tcW w:w="1701" w:type="dxa"/>
            <w:tcBorders>
              <w:bottom w:val="single" w:sz="4" w:space="0" w:color="auto"/>
            </w:tcBorders>
            <w:shd w:val="clear" w:color="auto" w:fill="auto"/>
          </w:tcPr>
          <w:p w:rsidR="006B3FE5" w:rsidRPr="0011747E" w:rsidRDefault="006B3FE5" w:rsidP="00836667">
            <w:pPr>
              <w:pStyle w:val="Tabletext"/>
              <w:jc w:val="right"/>
            </w:pPr>
            <w:r w:rsidRPr="0011747E">
              <w:t>14%</w:t>
            </w:r>
          </w:p>
        </w:tc>
      </w:tr>
      <w:tr w:rsidR="006B3FE5" w:rsidRPr="0011747E" w:rsidTr="0042336C">
        <w:tc>
          <w:tcPr>
            <w:tcW w:w="714" w:type="dxa"/>
            <w:tcBorders>
              <w:bottom w:val="single" w:sz="12" w:space="0" w:color="auto"/>
            </w:tcBorders>
            <w:shd w:val="clear" w:color="auto" w:fill="auto"/>
          </w:tcPr>
          <w:p w:rsidR="006B3FE5" w:rsidRPr="0011747E" w:rsidRDefault="006B3FE5" w:rsidP="003E2EEA">
            <w:pPr>
              <w:pStyle w:val="Tabletext"/>
            </w:pPr>
            <w:r w:rsidRPr="0011747E">
              <w:t>4</w:t>
            </w:r>
          </w:p>
        </w:tc>
        <w:tc>
          <w:tcPr>
            <w:tcW w:w="1695" w:type="dxa"/>
            <w:tcBorders>
              <w:bottom w:val="single" w:sz="12" w:space="0" w:color="auto"/>
            </w:tcBorders>
            <w:shd w:val="clear" w:color="auto" w:fill="auto"/>
          </w:tcPr>
          <w:p w:rsidR="006B3FE5" w:rsidRPr="0011747E" w:rsidRDefault="006B3FE5" w:rsidP="003E2EEA">
            <w:pPr>
              <w:pStyle w:val="Tabletext"/>
            </w:pPr>
            <w:r w:rsidRPr="0011747E">
              <w:t>stage 4</w:t>
            </w:r>
          </w:p>
        </w:tc>
        <w:tc>
          <w:tcPr>
            <w:tcW w:w="1701" w:type="dxa"/>
            <w:tcBorders>
              <w:bottom w:val="single" w:sz="12" w:space="0" w:color="auto"/>
            </w:tcBorders>
            <w:shd w:val="clear" w:color="auto" w:fill="auto"/>
          </w:tcPr>
          <w:p w:rsidR="006B3FE5" w:rsidRPr="0011747E" w:rsidRDefault="006B3FE5" w:rsidP="00836667">
            <w:pPr>
              <w:pStyle w:val="Tabletext"/>
              <w:jc w:val="right"/>
            </w:pPr>
            <w:r w:rsidRPr="0011747E">
              <w:t>30%</w:t>
            </w:r>
          </w:p>
        </w:tc>
      </w:tr>
    </w:tbl>
    <w:p w:rsidR="006B3FE5" w:rsidRPr="0011747E" w:rsidRDefault="006B3FE5" w:rsidP="006B3FE5">
      <w:pPr>
        <w:pStyle w:val="Tabletext"/>
      </w:pPr>
    </w:p>
    <w:p w:rsidR="006B3FE5" w:rsidRPr="0011747E" w:rsidRDefault="006B3FE5" w:rsidP="006B3FE5">
      <w:pPr>
        <w:pStyle w:val="SubsectionHead"/>
      </w:pPr>
      <w:r w:rsidRPr="0011747E">
        <w:t>Part B complexity fee</w:t>
      </w:r>
    </w:p>
    <w:p w:rsidR="006B3FE5" w:rsidRPr="0011747E" w:rsidRDefault="006B3FE5" w:rsidP="006B3FE5">
      <w:pPr>
        <w:pStyle w:val="subsection"/>
      </w:pPr>
      <w:r w:rsidRPr="0011747E">
        <w:tab/>
        <w:t>(4)</w:t>
      </w:r>
      <w:r w:rsidRPr="0011747E">
        <w:tab/>
        <w:t>The Part B complexity fee for the assessment of the action is payable in 2 stages, before each stage begins.</w:t>
      </w:r>
    </w:p>
    <w:p w:rsidR="006B3FE5" w:rsidRPr="0011747E" w:rsidRDefault="006B3FE5" w:rsidP="006B3FE5">
      <w:pPr>
        <w:pStyle w:val="subsection"/>
      </w:pPr>
      <w:r w:rsidRPr="0011747E">
        <w:tab/>
        <w:t>(5)</w:t>
      </w:r>
      <w:r w:rsidRPr="0011747E">
        <w:tab/>
        <w:t>The percentage of the Part B complexity fee payable for each stage is set out in the following table:</w:t>
      </w:r>
    </w:p>
    <w:p w:rsidR="006B3FE5" w:rsidRPr="0011747E" w:rsidRDefault="006B3FE5" w:rsidP="006B3FE5">
      <w:pPr>
        <w:pStyle w:val="Tabletext"/>
      </w:pPr>
    </w:p>
    <w:tbl>
      <w:tblPr>
        <w:tblW w:w="4110" w:type="dxa"/>
        <w:tblInd w:w="1101"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5"/>
        <w:gridCol w:w="1701"/>
      </w:tblGrid>
      <w:tr w:rsidR="006B3FE5" w:rsidRPr="0011747E" w:rsidTr="0042336C">
        <w:trPr>
          <w:tblHeader/>
        </w:trPr>
        <w:tc>
          <w:tcPr>
            <w:tcW w:w="4110" w:type="dxa"/>
            <w:gridSpan w:val="3"/>
            <w:tcBorders>
              <w:top w:val="single" w:sz="12" w:space="0" w:color="auto"/>
              <w:bottom w:val="single" w:sz="6" w:space="0" w:color="auto"/>
            </w:tcBorders>
            <w:shd w:val="clear" w:color="auto" w:fill="auto"/>
          </w:tcPr>
          <w:p w:rsidR="006B3FE5" w:rsidRPr="0011747E" w:rsidRDefault="006B3FE5" w:rsidP="00DA058E">
            <w:pPr>
              <w:pStyle w:val="TableHeading"/>
              <w:ind w:left="33"/>
            </w:pPr>
            <w:r w:rsidRPr="0011747E">
              <w:t>Part B complexity fee for assessment by a</w:t>
            </w:r>
            <w:r w:rsidR="00AF1197" w:rsidRPr="0011747E">
              <w:t>n environmental impact statement</w:t>
            </w:r>
          </w:p>
        </w:tc>
      </w:tr>
      <w:tr w:rsidR="006B3FE5" w:rsidRPr="0011747E" w:rsidTr="0042336C">
        <w:trPr>
          <w:tblHeader/>
        </w:trPr>
        <w:tc>
          <w:tcPr>
            <w:tcW w:w="714" w:type="dxa"/>
            <w:tcBorders>
              <w:top w:val="single" w:sz="6" w:space="0" w:color="auto"/>
              <w:bottom w:val="single" w:sz="12" w:space="0" w:color="auto"/>
            </w:tcBorders>
            <w:shd w:val="clear" w:color="auto" w:fill="auto"/>
          </w:tcPr>
          <w:p w:rsidR="006B3FE5" w:rsidRPr="0011747E" w:rsidRDefault="006B3FE5" w:rsidP="00DA058E">
            <w:pPr>
              <w:pStyle w:val="TableHeading"/>
            </w:pPr>
            <w:r w:rsidRPr="0011747E">
              <w:t>Item</w:t>
            </w:r>
          </w:p>
        </w:tc>
        <w:tc>
          <w:tcPr>
            <w:tcW w:w="1695" w:type="dxa"/>
            <w:tcBorders>
              <w:top w:val="single" w:sz="6" w:space="0" w:color="auto"/>
              <w:bottom w:val="single" w:sz="12" w:space="0" w:color="auto"/>
            </w:tcBorders>
            <w:shd w:val="clear" w:color="auto" w:fill="auto"/>
          </w:tcPr>
          <w:p w:rsidR="006B3FE5" w:rsidRPr="0011747E" w:rsidRDefault="006B3FE5" w:rsidP="00DA058E">
            <w:pPr>
              <w:pStyle w:val="TableHeading"/>
            </w:pPr>
            <w:r w:rsidRPr="0011747E">
              <w:t>Stage</w:t>
            </w:r>
          </w:p>
        </w:tc>
        <w:tc>
          <w:tcPr>
            <w:tcW w:w="1701" w:type="dxa"/>
            <w:tcBorders>
              <w:top w:val="single" w:sz="6" w:space="0" w:color="auto"/>
              <w:bottom w:val="single" w:sz="12" w:space="0" w:color="auto"/>
            </w:tcBorders>
            <w:shd w:val="clear" w:color="auto" w:fill="auto"/>
          </w:tcPr>
          <w:p w:rsidR="006B3FE5" w:rsidRPr="0011747E" w:rsidRDefault="006B3FE5" w:rsidP="000D55BE">
            <w:pPr>
              <w:pStyle w:val="TableHeading"/>
              <w:ind w:left="34"/>
              <w:jc w:val="right"/>
            </w:pPr>
            <w:r w:rsidRPr="0011747E">
              <w:t>Percentage payable</w:t>
            </w:r>
          </w:p>
        </w:tc>
      </w:tr>
      <w:tr w:rsidR="006B3FE5" w:rsidRPr="0011747E" w:rsidTr="0042336C">
        <w:tc>
          <w:tcPr>
            <w:tcW w:w="714" w:type="dxa"/>
            <w:tcBorders>
              <w:top w:val="single" w:sz="12" w:space="0" w:color="auto"/>
            </w:tcBorders>
            <w:shd w:val="clear" w:color="auto" w:fill="auto"/>
          </w:tcPr>
          <w:p w:rsidR="006B3FE5" w:rsidRPr="0011747E" w:rsidRDefault="006B3FE5" w:rsidP="003E2EEA">
            <w:pPr>
              <w:pStyle w:val="Tabletext"/>
            </w:pPr>
            <w:r w:rsidRPr="0011747E">
              <w:t>1</w:t>
            </w:r>
          </w:p>
        </w:tc>
        <w:tc>
          <w:tcPr>
            <w:tcW w:w="1695" w:type="dxa"/>
            <w:tcBorders>
              <w:top w:val="single" w:sz="12" w:space="0" w:color="auto"/>
            </w:tcBorders>
            <w:shd w:val="clear" w:color="auto" w:fill="auto"/>
          </w:tcPr>
          <w:p w:rsidR="006B3FE5" w:rsidRPr="0011747E" w:rsidRDefault="006B3FE5" w:rsidP="003E2EEA">
            <w:pPr>
              <w:pStyle w:val="Tabletext"/>
            </w:pPr>
            <w:r w:rsidRPr="0011747E">
              <w:t>stage 1</w:t>
            </w:r>
          </w:p>
        </w:tc>
        <w:tc>
          <w:tcPr>
            <w:tcW w:w="1701" w:type="dxa"/>
            <w:tcBorders>
              <w:top w:val="single" w:sz="12" w:space="0" w:color="auto"/>
            </w:tcBorders>
            <w:shd w:val="clear" w:color="auto" w:fill="auto"/>
          </w:tcPr>
          <w:p w:rsidR="006B3FE5" w:rsidRPr="0011747E" w:rsidRDefault="006B3FE5" w:rsidP="000D55BE">
            <w:pPr>
              <w:pStyle w:val="Tabletext"/>
              <w:jc w:val="right"/>
            </w:pPr>
            <w:r w:rsidRPr="0011747E">
              <w:t>nil</w:t>
            </w:r>
          </w:p>
        </w:tc>
      </w:tr>
      <w:tr w:rsidR="006B3FE5" w:rsidRPr="0011747E" w:rsidTr="0042336C">
        <w:tc>
          <w:tcPr>
            <w:tcW w:w="714" w:type="dxa"/>
            <w:shd w:val="clear" w:color="auto" w:fill="auto"/>
          </w:tcPr>
          <w:p w:rsidR="006B3FE5" w:rsidRPr="0011747E" w:rsidRDefault="006B3FE5" w:rsidP="003E2EEA">
            <w:pPr>
              <w:pStyle w:val="Tabletext"/>
            </w:pPr>
            <w:r w:rsidRPr="0011747E">
              <w:t>2</w:t>
            </w:r>
          </w:p>
        </w:tc>
        <w:tc>
          <w:tcPr>
            <w:tcW w:w="1695" w:type="dxa"/>
            <w:shd w:val="clear" w:color="auto" w:fill="auto"/>
          </w:tcPr>
          <w:p w:rsidR="006B3FE5" w:rsidRPr="0011747E" w:rsidRDefault="006B3FE5" w:rsidP="003E2EEA">
            <w:pPr>
              <w:pStyle w:val="Tabletext"/>
            </w:pPr>
            <w:r w:rsidRPr="0011747E">
              <w:t>stage 2</w:t>
            </w:r>
          </w:p>
        </w:tc>
        <w:tc>
          <w:tcPr>
            <w:tcW w:w="1701" w:type="dxa"/>
            <w:shd w:val="clear" w:color="auto" w:fill="auto"/>
          </w:tcPr>
          <w:p w:rsidR="006B3FE5" w:rsidRPr="0011747E" w:rsidRDefault="006B3FE5" w:rsidP="000D55BE">
            <w:pPr>
              <w:pStyle w:val="Tabletext"/>
              <w:jc w:val="right"/>
            </w:pPr>
            <w:r w:rsidRPr="0011747E">
              <w:t>nil</w:t>
            </w:r>
          </w:p>
        </w:tc>
      </w:tr>
      <w:tr w:rsidR="006B3FE5" w:rsidRPr="0011747E" w:rsidTr="0042336C">
        <w:tc>
          <w:tcPr>
            <w:tcW w:w="714" w:type="dxa"/>
            <w:tcBorders>
              <w:bottom w:val="single" w:sz="4" w:space="0" w:color="auto"/>
            </w:tcBorders>
            <w:shd w:val="clear" w:color="auto" w:fill="auto"/>
          </w:tcPr>
          <w:p w:rsidR="006B3FE5" w:rsidRPr="0011747E" w:rsidRDefault="006B3FE5" w:rsidP="003E2EEA">
            <w:pPr>
              <w:pStyle w:val="Tabletext"/>
            </w:pPr>
            <w:r w:rsidRPr="0011747E">
              <w:t>3</w:t>
            </w:r>
          </w:p>
        </w:tc>
        <w:tc>
          <w:tcPr>
            <w:tcW w:w="1695" w:type="dxa"/>
            <w:tcBorders>
              <w:bottom w:val="single" w:sz="4" w:space="0" w:color="auto"/>
            </w:tcBorders>
            <w:shd w:val="clear" w:color="auto" w:fill="auto"/>
          </w:tcPr>
          <w:p w:rsidR="006B3FE5" w:rsidRPr="0011747E" w:rsidRDefault="006B3FE5" w:rsidP="003E2EEA">
            <w:pPr>
              <w:pStyle w:val="Tabletext"/>
            </w:pPr>
            <w:r w:rsidRPr="0011747E">
              <w:t>stage 3</w:t>
            </w:r>
          </w:p>
        </w:tc>
        <w:tc>
          <w:tcPr>
            <w:tcW w:w="1701" w:type="dxa"/>
            <w:tcBorders>
              <w:bottom w:val="single" w:sz="4" w:space="0" w:color="auto"/>
            </w:tcBorders>
            <w:shd w:val="clear" w:color="auto" w:fill="auto"/>
          </w:tcPr>
          <w:p w:rsidR="006B3FE5" w:rsidRPr="0011747E" w:rsidRDefault="006B3FE5" w:rsidP="000D55BE">
            <w:pPr>
              <w:pStyle w:val="Tabletext"/>
              <w:jc w:val="right"/>
            </w:pPr>
            <w:r w:rsidRPr="0011747E">
              <w:t>70%</w:t>
            </w:r>
          </w:p>
        </w:tc>
      </w:tr>
      <w:tr w:rsidR="006B3FE5" w:rsidRPr="0011747E" w:rsidTr="0042336C">
        <w:tc>
          <w:tcPr>
            <w:tcW w:w="714" w:type="dxa"/>
            <w:tcBorders>
              <w:bottom w:val="single" w:sz="12" w:space="0" w:color="auto"/>
            </w:tcBorders>
            <w:shd w:val="clear" w:color="auto" w:fill="auto"/>
          </w:tcPr>
          <w:p w:rsidR="006B3FE5" w:rsidRPr="0011747E" w:rsidRDefault="006B3FE5" w:rsidP="003E2EEA">
            <w:pPr>
              <w:pStyle w:val="Tabletext"/>
            </w:pPr>
            <w:r w:rsidRPr="0011747E">
              <w:t>4</w:t>
            </w:r>
          </w:p>
        </w:tc>
        <w:tc>
          <w:tcPr>
            <w:tcW w:w="1695" w:type="dxa"/>
            <w:tcBorders>
              <w:bottom w:val="single" w:sz="12" w:space="0" w:color="auto"/>
            </w:tcBorders>
            <w:shd w:val="clear" w:color="auto" w:fill="auto"/>
          </w:tcPr>
          <w:p w:rsidR="006B3FE5" w:rsidRPr="0011747E" w:rsidRDefault="006B3FE5" w:rsidP="003E2EEA">
            <w:pPr>
              <w:pStyle w:val="Tabletext"/>
            </w:pPr>
            <w:r w:rsidRPr="0011747E">
              <w:t>stage 4</w:t>
            </w:r>
          </w:p>
        </w:tc>
        <w:tc>
          <w:tcPr>
            <w:tcW w:w="1701" w:type="dxa"/>
            <w:tcBorders>
              <w:bottom w:val="single" w:sz="12" w:space="0" w:color="auto"/>
            </w:tcBorders>
            <w:shd w:val="clear" w:color="auto" w:fill="auto"/>
          </w:tcPr>
          <w:p w:rsidR="006B3FE5" w:rsidRPr="0011747E" w:rsidRDefault="006B3FE5" w:rsidP="000D55BE">
            <w:pPr>
              <w:pStyle w:val="Tabletext"/>
              <w:jc w:val="right"/>
            </w:pPr>
            <w:r w:rsidRPr="0011747E">
              <w:t>30%</w:t>
            </w:r>
          </w:p>
        </w:tc>
      </w:tr>
    </w:tbl>
    <w:p w:rsidR="006B3FE5" w:rsidRPr="0011747E" w:rsidRDefault="006B3FE5" w:rsidP="006B3FE5">
      <w:pPr>
        <w:pStyle w:val="Tabletext"/>
      </w:pPr>
    </w:p>
    <w:p w:rsidR="006B3FE5" w:rsidRPr="0011747E" w:rsidRDefault="006B3FE5" w:rsidP="006B3FE5">
      <w:pPr>
        <w:pStyle w:val="ActHead5"/>
      </w:pPr>
      <w:bookmarkStart w:id="64" w:name="_Toc396376263"/>
      <w:r w:rsidRPr="0011747E">
        <w:rPr>
          <w:rStyle w:val="CharSectno"/>
        </w:rPr>
        <w:t>5.17D</w:t>
      </w:r>
      <w:r w:rsidRPr="0011747E">
        <w:t xml:space="preserve">  Amount of components of complexity fee</w:t>
      </w:r>
      <w:bookmarkEnd w:id="64"/>
    </w:p>
    <w:p w:rsidR="00147846" w:rsidRPr="0011747E" w:rsidRDefault="00147846" w:rsidP="00147846">
      <w:pPr>
        <w:pStyle w:val="subsection"/>
      </w:pPr>
      <w:r w:rsidRPr="0011747E">
        <w:tab/>
        <w:t>(1)</w:t>
      </w:r>
      <w:r w:rsidRPr="0011747E">
        <w:tab/>
        <w:t>The amount of the fee payable for a</w:t>
      </w:r>
      <w:r w:rsidR="00AB70DB" w:rsidRPr="0011747E">
        <w:t>n application component,</w:t>
      </w:r>
      <w:r w:rsidRPr="0011747E">
        <w:t xml:space="preserve"> controlling provision component or legislative impact component of the complexity fee depends on the level of complexity determined for the component.</w:t>
      </w:r>
    </w:p>
    <w:p w:rsidR="006B3FE5" w:rsidRPr="0011747E" w:rsidRDefault="006B3FE5" w:rsidP="006B3FE5">
      <w:pPr>
        <w:pStyle w:val="notetext"/>
      </w:pPr>
      <w:r w:rsidRPr="0011747E">
        <w:t>Note:</w:t>
      </w:r>
      <w:r w:rsidRPr="0011747E">
        <w:tab/>
        <w:t>See regulation</w:t>
      </w:r>
      <w:r w:rsidR="0011747E" w:rsidRPr="0011747E">
        <w:t> </w:t>
      </w:r>
      <w:r w:rsidRPr="0011747E">
        <w:t>5.12</w:t>
      </w:r>
      <w:r w:rsidR="00A920A6" w:rsidRPr="0011747E">
        <w:t>K</w:t>
      </w:r>
      <w:r w:rsidRPr="0011747E">
        <w:t>.</w:t>
      </w:r>
    </w:p>
    <w:p w:rsidR="006B3FE5" w:rsidRPr="0011747E" w:rsidRDefault="006B3FE5" w:rsidP="006B3FE5">
      <w:pPr>
        <w:pStyle w:val="subsection"/>
      </w:pPr>
      <w:r w:rsidRPr="0011747E">
        <w:tab/>
        <w:t>(2)</w:t>
      </w:r>
      <w:r w:rsidRPr="0011747E">
        <w:tab/>
        <w:t>The amount of the project component of the complexity fee is:</w:t>
      </w:r>
    </w:p>
    <w:p w:rsidR="006B3FE5" w:rsidRPr="0011747E" w:rsidRDefault="006B3FE5" w:rsidP="006B3FE5">
      <w:pPr>
        <w:pStyle w:val="paragraph"/>
      </w:pPr>
      <w:r w:rsidRPr="0011747E">
        <w:tab/>
        <w:t>(a)</w:t>
      </w:r>
      <w:r w:rsidRPr="0011747E">
        <w:tab/>
        <w:t xml:space="preserve">if there is </w:t>
      </w:r>
      <w:r w:rsidR="00901800" w:rsidRPr="0011747E">
        <w:t>one</w:t>
      </w:r>
      <w:r w:rsidRPr="0011747E">
        <w:t xml:space="preserve"> project component—nil; and</w:t>
      </w:r>
    </w:p>
    <w:p w:rsidR="006B3FE5" w:rsidRPr="0011747E" w:rsidRDefault="006B3FE5" w:rsidP="006B3FE5">
      <w:pPr>
        <w:pStyle w:val="paragraph"/>
      </w:pPr>
      <w:r w:rsidRPr="0011747E">
        <w:tab/>
        <w:t>(b)</w:t>
      </w:r>
      <w:r w:rsidRPr="0011747E">
        <w:tab/>
        <w:t xml:space="preserve">if </w:t>
      </w:r>
      <w:r w:rsidR="002035EA" w:rsidRPr="0011747E">
        <w:t>there are 2 project</w:t>
      </w:r>
      <w:r w:rsidR="00F47A09" w:rsidRPr="0011747E">
        <w:t xml:space="preserve"> components—$30</w:t>
      </w:r>
      <w:r w:rsidR="0011747E" w:rsidRPr="0011747E">
        <w:t> </w:t>
      </w:r>
      <w:r w:rsidRPr="0011747E">
        <w:t>202</w:t>
      </w:r>
      <w:r w:rsidR="00F47A09" w:rsidRPr="0011747E">
        <w:t>.00</w:t>
      </w:r>
      <w:r w:rsidRPr="0011747E">
        <w:t>; and</w:t>
      </w:r>
    </w:p>
    <w:p w:rsidR="006B3FE5" w:rsidRPr="0011747E" w:rsidRDefault="006B3FE5" w:rsidP="006B3FE5">
      <w:pPr>
        <w:pStyle w:val="paragraph"/>
      </w:pPr>
      <w:r w:rsidRPr="0011747E">
        <w:tab/>
        <w:t>(c)</w:t>
      </w:r>
      <w:r w:rsidRPr="0011747E">
        <w:tab/>
        <w:t>if the</w:t>
      </w:r>
      <w:r w:rsidR="00F47A09" w:rsidRPr="0011747E">
        <w:t>re are 3 project components—$60</w:t>
      </w:r>
      <w:r w:rsidR="0011747E" w:rsidRPr="0011747E">
        <w:t> </w:t>
      </w:r>
      <w:r w:rsidRPr="0011747E">
        <w:t>404</w:t>
      </w:r>
      <w:r w:rsidR="00F47A09" w:rsidRPr="0011747E">
        <w:t>.00</w:t>
      </w:r>
      <w:r w:rsidRPr="0011747E">
        <w:t>; and</w:t>
      </w:r>
    </w:p>
    <w:p w:rsidR="006B3FE5" w:rsidRPr="0011747E" w:rsidRDefault="006B3FE5" w:rsidP="006B3FE5">
      <w:pPr>
        <w:pStyle w:val="paragraph"/>
      </w:pPr>
      <w:r w:rsidRPr="0011747E">
        <w:tab/>
        <w:t>(d)</w:t>
      </w:r>
      <w:r w:rsidRPr="0011747E">
        <w:tab/>
        <w:t>if there are more than 3 project components—the amount worked out using the following formula:</w:t>
      </w:r>
    </w:p>
    <w:p w:rsidR="006B3FE5" w:rsidRPr="0011747E" w:rsidRDefault="006B3FE5" w:rsidP="006B3FE5">
      <w:pPr>
        <w:pStyle w:val="paragraph"/>
      </w:pPr>
      <w:r w:rsidRPr="0011747E">
        <w:tab/>
      </w:r>
      <w:r w:rsidRPr="0011747E">
        <w:tab/>
      </w:r>
      <w:bookmarkStart w:id="65" w:name="BKCheck15B_9"/>
      <w:bookmarkEnd w:id="65"/>
      <w:r w:rsidR="00176BEE" w:rsidRPr="0011747E">
        <w:rPr>
          <w:position w:val="-36"/>
        </w:rPr>
        <w:object w:dxaOrig="3379" w:dyaOrig="820">
          <v:shape id="_x0000_i1029" type="#_x0000_t75" style="width:168.75pt;height:40.5pt" o:ole="">
            <v:imagedata r:id="rId29" o:title=""/>
          </v:shape>
          <o:OLEObject Type="Embed" ProgID="Equation.DSMT4" ShapeID="_x0000_i1029" DrawAspect="Content" ObjectID="_1471073961" r:id="rId30"/>
        </w:object>
      </w:r>
    </w:p>
    <w:p w:rsidR="007865E2" w:rsidRPr="0011747E" w:rsidRDefault="007865E2" w:rsidP="007865E2">
      <w:pPr>
        <w:pStyle w:val="ActHead5"/>
      </w:pPr>
      <w:bookmarkStart w:id="66" w:name="_Toc396376264"/>
      <w:r w:rsidRPr="0011747E">
        <w:rPr>
          <w:rStyle w:val="CharSectno"/>
        </w:rPr>
        <w:t>5.17E</w:t>
      </w:r>
      <w:r w:rsidRPr="0011747E">
        <w:t xml:space="preserve">  Method for working out complexity fee</w:t>
      </w:r>
      <w:bookmarkEnd w:id="66"/>
    </w:p>
    <w:p w:rsidR="007865E2" w:rsidRPr="0011747E" w:rsidRDefault="007865E2" w:rsidP="007865E2">
      <w:pPr>
        <w:pStyle w:val="subsection"/>
      </w:pPr>
      <w:r w:rsidRPr="0011747E">
        <w:tab/>
      </w:r>
      <w:r w:rsidRPr="0011747E">
        <w:tab/>
        <w:t xml:space="preserve">For </w:t>
      </w:r>
      <w:r w:rsidR="00554893" w:rsidRPr="0011747E">
        <w:t>paragraph</w:t>
      </w:r>
      <w:r w:rsidR="0011747E" w:rsidRPr="0011747E">
        <w:t> </w:t>
      </w:r>
      <w:r w:rsidR="00E83D70" w:rsidRPr="0011747E">
        <w:t>520</w:t>
      </w:r>
      <w:r w:rsidR="00554893" w:rsidRPr="0011747E">
        <w:t>(</w:t>
      </w:r>
      <w:r w:rsidRPr="0011747E">
        <w:t>4C)(c) of the Act:</w:t>
      </w:r>
    </w:p>
    <w:p w:rsidR="007865E2" w:rsidRPr="0011747E" w:rsidRDefault="007865E2" w:rsidP="007865E2">
      <w:pPr>
        <w:pStyle w:val="paragraph"/>
      </w:pPr>
      <w:r w:rsidRPr="0011747E">
        <w:tab/>
        <w:t>(a)</w:t>
      </w:r>
      <w:r w:rsidRPr="0011747E">
        <w:tab/>
        <w:t>the sum of the fees mentioned in paragraph</w:t>
      </w:r>
      <w:r w:rsidR="0011747E" w:rsidRPr="0011747E">
        <w:t> </w:t>
      </w:r>
      <w:r w:rsidR="00A20EE3" w:rsidRPr="0011747E">
        <w:t>5.17C(1)(a) is the</w:t>
      </w:r>
      <w:r w:rsidRPr="0011747E">
        <w:t xml:space="preserve"> method for working out the Part A complexity fee; and</w:t>
      </w:r>
    </w:p>
    <w:p w:rsidR="007865E2" w:rsidRPr="0011747E" w:rsidRDefault="007865E2" w:rsidP="007865E2">
      <w:pPr>
        <w:pStyle w:val="paragraph"/>
      </w:pPr>
      <w:r w:rsidRPr="0011747E">
        <w:tab/>
        <w:t>(b)</w:t>
      </w:r>
      <w:r w:rsidRPr="0011747E">
        <w:tab/>
        <w:t>the sum of the fee for each application component, as mentioned in paragraph</w:t>
      </w:r>
      <w:r w:rsidR="0011747E" w:rsidRPr="0011747E">
        <w:t> </w:t>
      </w:r>
      <w:r w:rsidR="00A20EE3" w:rsidRPr="0011747E">
        <w:t>5.17C(1)(b), is the</w:t>
      </w:r>
      <w:r w:rsidRPr="0011747E">
        <w:t xml:space="preserve"> method for working out the Part B complexity fee.</w:t>
      </w:r>
    </w:p>
    <w:p w:rsidR="00455970" w:rsidRPr="0011747E" w:rsidRDefault="00F417C1" w:rsidP="00F417C1">
      <w:pPr>
        <w:pStyle w:val="ActHead4"/>
      </w:pPr>
      <w:bookmarkStart w:id="67" w:name="_Toc396376265"/>
      <w:r w:rsidRPr="0011747E">
        <w:rPr>
          <w:rStyle w:val="CharSubdNo"/>
        </w:rPr>
        <w:t>Subd</w:t>
      </w:r>
      <w:r w:rsidR="00A920A6" w:rsidRPr="0011747E">
        <w:rPr>
          <w:rStyle w:val="CharSubdNo"/>
        </w:rPr>
        <w:t>ivision H</w:t>
      </w:r>
      <w:r w:rsidR="00455970" w:rsidRPr="0011747E">
        <w:t>—</w:t>
      </w:r>
      <w:r w:rsidR="00EF0779" w:rsidRPr="0011747E">
        <w:rPr>
          <w:rStyle w:val="CharSubdText"/>
        </w:rPr>
        <w:t>Action management plans</w:t>
      </w:r>
      <w:bookmarkEnd w:id="67"/>
    </w:p>
    <w:p w:rsidR="00EF0779" w:rsidRPr="0011747E" w:rsidRDefault="00EF0779" w:rsidP="00EF0779">
      <w:pPr>
        <w:pStyle w:val="ActHead5"/>
      </w:pPr>
      <w:bookmarkStart w:id="68" w:name="_Toc396376266"/>
      <w:r w:rsidRPr="0011747E">
        <w:rPr>
          <w:rStyle w:val="CharSectno"/>
        </w:rPr>
        <w:t>5.18</w:t>
      </w:r>
      <w:r w:rsidRPr="0011747E">
        <w:t xml:space="preserve">  Fee for the approval of an action management plan</w:t>
      </w:r>
      <w:bookmarkEnd w:id="68"/>
    </w:p>
    <w:p w:rsidR="003D2DDC" w:rsidRPr="0011747E" w:rsidRDefault="000D0A55" w:rsidP="00EF0779">
      <w:pPr>
        <w:pStyle w:val="subsection"/>
      </w:pPr>
      <w:r w:rsidRPr="0011747E">
        <w:tab/>
      </w:r>
      <w:r w:rsidR="007C19A6" w:rsidRPr="0011747E">
        <w:t>(1)</w:t>
      </w:r>
      <w:r w:rsidR="009E3865" w:rsidRPr="0011747E">
        <w:tab/>
        <w:t>This regulation applies i</w:t>
      </w:r>
      <w:r w:rsidR="00EF0779" w:rsidRPr="0011747E">
        <w:t>f a person proposing to take an action elects</w:t>
      </w:r>
      <w:r w:rsidRPr="0011747E">
        <w:t>, or is taken to have elect</w:t>
      </w:r>
      <w:r w:rsidR="0062149F" w:rsidRPr="0011747E">
        <w:t>ed</w:t>
      </w:r>
      <w:r w:rsidRPr="0011747E">
        <w:t>,</w:t>
      </w:r>
      <w:r w:rsidR="00EF0779" w:rsidRPr="0011747E">
        <w:t xml:space="preserve"> under section</w:t>
      </w:r>
      <w:r w:rsidR="0011747E" w:rsidRPr="0011747E">
        <w:t> </w:t>
      </w:r>
      <w:r w:rsidR="00EF0779" w:rsidRPr="0011747E">
        <w:t>132B of the Act to submit an action management plan for approval</w:t>
      </w:r>
      <w:r w:rsidR="003D2DDC" w:rsidRPr="0011747E">
        <w:t>.</w:t>
      </w:r>
    </w:p>
    <w:p w:rsidR="003D2DDC" w:rsidRPr="0011747E" w:rsidRDefault="003D2DDC" w:rsidP="003D2DDC">
      <w:pPr>
        <w:pStyle w:val="notetext"/>
      </w:pPr>
      <w:r w:rsidRPr="0011747E">
        <w:t>Note:</w:t>
      </w:r>
      <w:r w:rsidRPr="0011747E">
        <w:tab/>
        <w:t>An election is taken to have been made if an approval is varied to add a condition requiring an action management plan, see subsection</w:t>
      </w:r>
      <w:r w:rsidR="0011747E" w:rsidRPr="0011747E">
        <w:t> </w:t>
      </w:r>
      <w:r w:rsidRPr="0011747E">
        <w:t>143(1A) of the Act.</w:t>
      </w:r>
    </w:p>
    <w:p w:rsidR="003C4D1E" w:rsidRPr="0011747E" w:rsidRDefault="003D2DDC" w:rsidP="00EF0779">
      <w:pPr>
        <w:pStyle w:val="subsection"/>
      </w:pPr>
      <w:r w:rsidRPr="0011747E">
        <w:tab/>
        <w:t>(2)</w:t>
      </w:r>
      <w:r w:rsidRPr="0011747E">
        <w:tab/>
        <w:t>For subsection</w:t>
      </w:r>
      <w:r w:rsidR="0011747E" w:rsidRPr="0011747E">
        <w:t> </w:t>
      </w:r>
      <w:r w:rsidRPr="0011747E">
        <w:t>520(4A) of the Act</w:t>
      </w:r>
      <w:r w:rsidR="003C4D1E" w:rsidRPr="0011747E">
        <w:t xml:space="preserve">, </w:t>
      </w:r>
      <w:r w:rsidR="00A96A2E" w:rsidRPr="0011747E">
        <w:t xml:space="preserve">the fee for assessing the </w:t>
      </w:r>
      <w:r w:rsidR="00D50249" w:rsidRPr="0011747E">
        <w:t xml:space="preserve">action management </w:t>
      </w:r>
      <w:r w:rsidR="00A96A2E" w:rsidRPr="0011747E">
        <w:t>plan is $3</w:t>
      </w:r>
      <w:r w:rsidR="0011747E" w:rsidRPr="0011747E">
        <w:t> </w:t>
      </w:r>
      <w:r w:rsidR="00A96A2E" w:rsidRPr="0011747E">
        <w:t>233.00.</w:t>
      </w:r>
    </w:p>
    <w:p w:rsidR="007C19A6" w:rsidRPr="0011747E" w:rsidRDefault="003D2DDC" w:rsidP="007C19A6">
      <w:pPr>
        <w:pStyle w:val="subsection"/>
      </w:pPr>
      <w:r w:rsidRPr="0011747E">
        <w:tab/>
        <w:t>(3</w:t>
      </w:r>
      <w:r w:rsidR="007C19A6" w:rsidRPr="0011747E">
        <w:t>)</w:t>
      </w:r>
      <w:r w:rsidR="007C19A6" w:rsidRPr="0011747E">
        <w:tab/>
      </w:r>
      <w:r w:rsidR="001A6E9B" w:rsidRPr="0011747E">
        <w:t>For subparagraph</w:t>
      </w:r>
      <w:r w:rsidR="0011747E" w:rsidRPr="0011747E">
        <w:t> </w:t>
      </w:r>
      <w:r w:rsidR="001A6E9B" w:rsidRPr="0011747E">
        <w:t>520(4C)(e)(i) of the Act, t</w:t>
      </w:r>
      <w:r w:rsidR="007C19A6" w:rsidRPr="0011747E">
        <w:t xml:space="preserve">he fee is payable before the assessment of the </w:t>
      </w:r>
      <w:r w:rsidR="00F468D1" w:rsidRPr="0011747E">
        <w:t xml:space="preserve">action management </w:t>
      </w:r>
      <w:r w:rsidR="007C19A6" w:rsidRPr="0011747E">
        <w:t>plan begins.</w:t>
      </w:r>
    </w:p>
    <w:p w:rsidR="000D0A55" w:rsidRPr="0011747E" w:rsidRDefault="0062149F" w:rsidP="0062149F">
      <w:pPr>
        <w:pStyle w:val="ActHead5"/>
      </w:pPr>
      <w:bookmarkStart w:id="69" w:name="_Toc396376267"/>
      <w:r w:rsidRPr="0011747E">
        <w:rPr>
          <w:rStyle w:val="CharSectno"/>
        </w:rPr>
        <w:t>5.18A</w:t>
      </w:r>
      <w:r w:rsidRPr="0011747E">
        <w:t xml:space="preserve">  Inviting public comment before approving action management plan</w:t>
      </w:r>
      <w:bookmarkEnd w:id="69"/>
    </w:p>
    <w:p w:rsidR="0007078A" w:rsidRPr="0011747E" w:rsidRDefault="00164665" w:rsidP="0007078A">
      <w:pPr>
        <w:pStyle w:val="subsection"/>
      </w:pPr>
      <w:r w:rsidRPr="0011747E">
        <w:tab/>
      </w:r>
      <w:r w:rsidR="0007078A" w:rsidRPr="0011747E">
        <w:tab/>
        <w:t>For subsection</w:t>
      </w:r>
      <w:r w:rsidR="0011747E" w:rsidRPr="0011747E">
        <w:t> </w:t>
      </w:r>
      <w:r w:rsidR="0007078A" w:rsidRPr="0011747E">
        <w:t>134A(2) of the A</w:t>
      </w:r>
      <w:r w:rsidRPr="0011747E">
        <w:t>ct:</w:t>
      </w:r>
    </w:p>
    <w:p w:rsidR="00164665" w:rsidRPr="0011747E" w:rsidRDefault="00164665" w:rsidP="00164665">
      <w:pPr>
        <w:pStyle w:val="paragraph"/>
      </w:pPr>
      <w:r w:rsidRPr="0011747E">
        <w:tab/>
        <w:t>(a)</w:t>
      </w:r>
      <w:r w:rsidRPr="0011747E">
        <w:tab/>
        <w:t>an action management plan and invitation to comment must be published on the internet; and</w:t>
      </w:r>
    </w:p>
    <w:p w:rsidR="00164665" w:rsidRPr="0011747E" w:rsidRDefault="00164665" w:rsidP="00164665">
      <w:pPr>
        <w:pStyle w:val="paragraph"/>
      </w:pPr>
      <w:r w:rsidRPr="0011747E">
        <w:tab/>
        <w:t>(b)</w:t>
      </w:r>
      <w:r w:rsidRPr="0011747E">
        <w:tab/>
        <w:t>the invitation to comment must include:</w:t>
      </w:r>
    </w:p>
    <w:p w:rsidR="00B51D90" w:rsidRPr="0011747E" w:rsidRDefault="00164665" w:rsidP="00164665">
      <w:pPr>
        <w:pStyle w:val="paragraphsub"/>
      </w:pPr>
      <w:r w:rsidRPr="0011747E">
        <w:tab/>
        <w:t>(i)</w:t>
      </w:r>
      <w:r w:rsidRPr="0011747E">
        <w:tab/>
        <w:t>the decision approv</w:t>
      </w:r>
      <w:r w:rsidR="00B51D90" w:rsidRPr="0011747E">
        <w:t>ing</w:t>
      </w:r>
      <w:r w:rsidRPr="0011747E">
        <w:t xml:space="preserve"> the taking of the action</w:t>
      </w:r>
      <w:r w:rsidR="006638C8" w:rsidRPr="0011747E">
        <w:t xml:space="preserve"> to which the plan relates</w:t>
      </w:r>
      <w:r w:rsidR="00B51D90" w:rsidRPr="0011747E">
        <w:t>;</w:t>
      </w:r>
      <w:r w:rsidR="00B27506" w:rsidRPr="0011747E">
        <w:t xml:space="preserve"> and</w:t>
      </w:r>
    </w:p>
    <w:p w:rsidR="00164665" w:rsidRPr="0011747E" w:rsidRDefault="00B51D90" w:rsidP="00164665">
      <w:pPr>
        <w:pStyle w:val="paragraphsub"/>
      </w:pPr>
      <w:r w:rsidRPr="0011747E">
        <w:tab/>
        <w:t>(ii)</w:t>
      </w:r>
      <w:r w:rsidRPr="0011747E">
        <w:tab/>
      </w:r>
      <w:r w:rsidR="00164665" w:rsidRPr="0011747E">
        <w:t xml:space="preserve">any conditions that </w:t>
      </w:r>
      <w:r w:rsidRPr="0011747E">
        <w:t>are</w:t>
      </w:r>
      <w:r w:rsidR="00164665" w:rsidRPr="0011747E">
        <w:t xml:space="preserve"> attach</w:t>
      </w:r>
      <w:r w:rsidR="003206F5" w:rsidRPr="0011747E">
        <w:t>ed to the approval.</w:t>
      </w:r>
    </w:p>
    <w:p w:rsidR="001C5CDE" w:rsidRPr="0011747E" w:rsidRDefault="001C5CDE" w:rsidP="001C5CDE">
      <w:pPr>
        <w:pStyle w:val="ActHead5"/>
      </w:pPr>
      <w:bookmarkStart w:id="70" w:name="_Toc396376268"/>
      <w:r w:rsidRPr="0011747E">
        <w:rPr>
          <w:rStyle w:val="CharSectno"/>
        </w:rPr>
        <w:t>5.18B</w:t>
      </w:r>
      <w:r w:rsidRPr="0011747E">
        <w:t xml:space="preserve">  </w:t>
      </w:r>
      <w:r w:rsidR="0085736F" w:rsidRPr="0011747E">
        <w:t>Va</w:t>
      </w:r>
      <w:r w:rsidRPr="0011747E">
        <w:t>r</w:t>
      </w:r>
      <w:r w:rsidR="0085736F" w:rsidRPr="0011747E">
        <w:t>iation of</w:t>
      </w:r>
      <w:r w:rsidRPr="0011747E">
        <w:t xml:space="preserve"> action management plan</w:t>
      </w:r>
      <w:bookmarkEnd w:id="70"/>
    </w:p>
    <w:p w:rsidR="00CE2205" w:rsidRPr="0011747E" w:rsidRDefault="005A491A" w:rsidP="001C5CDE">
      <w:pPr>
        <w:pStyle w:val="subsection"/>
      </w:pPr>
      <w:r w:rsidRPr="0011747E">
        <w:tab/>
        <w:t>(1)</w:t>
      </w:r>
      <w:r w:rsidRPr="0011747E">
        <w:tab/>
      </w:r>
      <w:r w:rsidR="00CE2205" w:rsidRPr="0011747E">
        <w:t>This regulation applies if, under section</w:t>
      </w:r>
      <w:r w:rsidR="0011747E" w:rsidRPr="0011747E">
        <w:t> </w:t>
      </w:r>
      <w:r w:rsidR="00CE2205" w:rsidRPr="0011747E">
        <w:t>143A of the Act, the holder of an approval applies to the Minister for the variation of an</w:t>
      </w:r>
      <w:r w:rsidR="00036F83" w:rsidRPr="0011747E">
        <w:t xml:space="preserve"> </w:t>
      </w:r>
      <w:r w:rsidR="00CE2205" w:rsidRPr="0011747E">
        <w:t>action management plan.</w:t>
      </w:r>
    </w:p>
    <w:p w:rsidR="000E6AB8" w:rsidRPr="0011747E" w:rsidRDefault="005A491A" w:rsidP="001C5CDE">
      <w:pPr>
        <w:pStyle w:val="subsection"/>
      </w:pPr>
      <w:r w:rsidRPr="0011747E">
        <w:tab/>
        <w:t>(2)</w:t>
      </w:r>
      <w:r w:rsidRPr="0011747E">
        <w:tab/>
      </w:r>
      <w:r w:rsidR="00CE2205" w:rsidRPr="0011747E">
        <w:t>For subparagraph</w:t>
      </w:r>
      <w:r w:rsidR="0011747E" w:rsidRPr="0011747E">
        <w:t> </w:t>
      </w:r>
      <w:r w:rsidR="001C5CDE" w:rsidRPr="0011747E">
        <w:t>143A</w:t>
      </w:r>
      <w:r w:rsidR="00CE2205" w:rsidRPr="0011747E">
        <w:t>(2)(b)(i)</w:t>
      </w:r>
      <w:r w:rsidR="009E3865" w:rsidRPr="0011747E">
        <w:t xml:space="preserve"> of the Act, the</w:t>
      </w:r>
      <w:r w:rsidR="001C5CDE" w:rsidRPr="0011747E">
        <w:t xml:space="preserve"> app</w:t>
      </w:r>
      <w:r w:rsidR="00CE2205" w:rsidRPr="0011747E">
        <w:t xml:space="preserve">lication </w:t>
      </w:r>
      <w:r w:rsidR="001C5CDE" w:rsidRPr="0011747E">
        <w:t>must</w:t>
      </w:r>
      <w:r w:rsidR="000E6AB8" w:rsidRPr="0011747E">
        <w:t>:</w:t>
      </w:r>
    </w:p>
    <w:p w:rsidR="000E6AB8" w:rsidRPr="0011747E" w:rsidRDefault="000E6AB8" w:rsidP="000E6AB8">
      <w:pPr>
        <w:pStyle w:val="paragraph"/>
      </w:pPr>
      <w:r w:rsidRPr="0011747E">
        <w:tab/>
        <w:t>(a)</w:t>
      </w:r>
      <w:r w:rsidRPr="0011747E">
        <w:tab/>
        <w:t>state</w:t>
      </w:r>
      <w:r w:rsidR="00CE2205" w:rsidRPr="0011747E">
        <w:t xml:space="preserve"> the following information</w:t>
      </w:r>
      <w:r w:rsidRPr="0011747E">
        <w:t>:</w:t>
      </w:r>
    </w:p>
    <w:p w:rsidR="000E6AB8" w:rsidRPr="0011747E" w:rsidRDefault="000E6AB8" w:rsidP="000E6AB8">
      <w:pPr>
        <w:pStyle w:val="paragraphsub"/>
      </w:pPr>
      <w:r w:rsidRPr="0011747E">
        <w:tab/>
        <w:t>(i</w:t>
      </w:r>
      <w:r w:rsidR="00CE2205" w:rsidRPr="0011747E">
        <w:t>)</w:t>
      </w:r>
      <w:r w:rsidR="00CE2205" w:rsidRPr="0011747E">
        <w:tab/>
        <w:t>the holder’s contact details;</w:t>
      </w:r>
    </w:p>
    <w:p w:rsidR="00934CF5" w:rsidRPr="0011747E" w:rsidRDefault="00934CF5" w:rsidP="00934CF5">
      <w:pPr>
        <w:pStyle w:val="paragraphsub"/>
      </w:pPr>
      <w:r w:rsidRPr="0011747E">
        <w:tab/>
        <w:t>(ii)</w:t>
      </w:r>
      <w:r w:rsidRPr="0011747E">
        <w:tab/>
        <w:t xml:space="preserve">if the holder </w:t>
      </w:r>
      <w:r w:rsidR="005A5F6B" w:rsidRPr="0011747E">
        <w:t>has an ABN—the holder’s ABN;</w:t>
      </w:r>
    </w:p>
    <w:p w:rsidR="00934CF5" w:rsidRPr="0011747E" w:rsidRDefault="00934CF5" w:rsidP="00934CF5">
      <w:pPr>
        <w:pStyle w:val="paragraphsub"/>
      </w:pPr>
      <w:r w:rsidRPr="0011747E">
        <w:tab/>
        <w:t>(iii)</w:t>
      </w:r>
      <w:r w:rsidRPr="0011747E">
        <w:tab/>
        <w:t>if the holder has an ACN—the holder’s ACN;</w:t>
      </w:r>
    </w:p>
    <w:p w:rsidR="000E6AB8" w:rsidRPr="0011747E" w:rsidRDefault="000E6AB8" w:rsidP="000E6AB8">
      <w:pPr>
        <w:pStyle w:val="paragraphsub"/>
      </w:pPr>
      <w:r w:rsidRPr="0011747E">
        <w:tab/>
        <w:t>(i</w:t>
      </w:r>
      <w:r w:rsidR="00934CF5" w:rsidRPr="0011747E">
        <w:t>v</w:t>
      </w:r>
      <w:r w:rsidRPr="0011747E">
        <w:t>)</w:t>
      </w:r>
      <w:r w:rsidRPr="0011747E">
        <w:tab/>
        <w:t>the referral number; and</w:t>
      </w:r>
    </w:p>
    <w:p w:rsidR="000E6AB8" w:rsidRPr="0011747E" w:rsidRDefault="000E6AB8" w:rsidP="000E6AB8">
      <w:pPr>
        <w:pStyle w:val="paragraph"/>
      </w:pPr>
      <w:r w:rsidRPr="0011747E">
        <w:tab/>
        <w:t>(b)</w:t>
      </w:r>
      <w:r w:rsidRPr="0011747E">
        <w:tab/>
        <w:t>be accompanied by</w:t>
      </w:r>
      <w:r w:rsidR="009E3865" w:rsidRPr="0011747E">
        <w:t xml:space="preserve"> the following</w:t>
      </w:r>
      <w:r w:rsidRPr="0011747E">
        <w:t>:</w:t>
      </w:r>
    </w:p>
    <w:p w:rsidR="000E6AB8" w:rsidRPr="0011747E" w:rsidRDefault="000E6AB8" w:rsidP="000E6AB8">
      <w:pPr>
        <w:pStyle w:val="paragraphsub"/>
      </w:pPr>
      <w:r w:rsidRPr="0011747E">
        <w:tab/>
        <w:t>(i)</w:t>
      </w:r>
      <w:r w:rsidRPr="0011747E">
        <w:tab/>
        <w:t>a draft of the proposed variation;</w:t>
      </w:r>
    </w:p>
    <w:p w:rsidR="00362229" w:rsidRPr="0011747E" w:rsidRDefault="00362229" w:rsidP="00362229">
      <w:pPr>
        <w:pStyle w:val="paragraphsub"/>
      </w:pPr>
      <w:r w:rsidRPr="0011747E">
        <w:tab/>
        <w:t>(ii)</w:t>
      </w:r>
      <w:r w:rsidRPr="0011747E">
        <w:tab/>
        <w:t>an explanation of the differences between the plan as approved and the plan as proposed to be varied;</w:t>
      </w:r>
    </w:p>
    <w:p w:rsidR="00362229" w:rsidRPr="0011747E" w:rsidRDefault="000E6AB8" w:rsidP="000E6AB8">
      <w:pPr>
        <w:pStyle w:val="paragraphsub"/>
      </w:pPr>
      <w:r w:rsidRPr="0011747E">
        <w:tab/>
        <w:t>(i</w:t>
      </w:r>
      <w:r w:rsidR="00362229" w:rsidRPr="0011747E">
        <w:t>i</w:t>
      </w:r>
      <w:r w:rsidRPr="0011747E">
        <w:t>i)</w:t>
      </w:r>
      <w:r w:rsidRPr="0011747E">
        <w:tab/>
        <w:t xml:space="preserve">a written statement that sets out the reasons why the </w:t>
      </w:r>
      <w:r w:rsidR="00362229" w:rsidRPr="0011747E">
        <w:t xml:space="preserve">holder considers that the </w:t>
      </w:r>
      <w:r w:rsidRPr="0011747E">
        <w:t>proposed variation is required and identifies any impacts on matters protected by a provision of Part</w:t>
      </w:r>
      <w:r w:rsidR="0011747E" w:rsidRPr="0011747E">
        <w:t> </w:t>
      </w:r>
      <w:r w:rsidRPr="0011747E">
        <w:t xml:space="preserve">3 that </w:t>
      </w:r>
      <w:r w:rsidR="003F6E5A" w:rsidRPr="0011747E">
        <w:t>would, or would be</w:t>
      </w:r>
      <w:r w:rsidRPr="0011747E">
        <w:t xml:space="preserve"> likely to, arise </w:t>
      </w:r>
      <w:r w:rsidR="0045713D" w:rsidRPr="0011747E">
        <w:t>if t</w:t>
      </w:r>
      <w:r w:rsidRPr="0011747E">
        <w:t xml:space="preserve">he </w:t>
      </w:r>
      <w:r w:rsidR="00B81C19" w:rsidRPr="0011747E">
        <w:t>plan</w:t>
      </w:r>
      <w:r w:rsidR="0045713D" w:rsidRPr="0011747E">
        <w:t xml:space="preserve"> were implemented as varied</w:t>
      </w:r>
      <w:r w:rsidR="00CF5C75" w:rsidRPr="0011747E">
        <w:t>.</w:t>
      </w:r>
    </w:p>
    <w:p w:rsidR="000E6AB8" w:rsidRPr="0011747E" w:rsidRDefault="005A491A" w:rsidP="000E6AB8">
      <w:pPr>
        <w:pStyle w:val="subsection"/>
      </w:pPr>
      <w:r w:rsidRPr="0011747E">
        <w:tab/>
        <w:t>(3)</w:t>
      </w:r>
      <w:r w:rsidRPr="0011747E">
        <w:tab/>
      </w:r>
      <w:r w:rsidR="009E3865" w:rsidRPr="0011747E">
        <w:t>For subparagraph</w:t>
      </w:r>
      <w:r w:rsidR="0011747E" w:rsidRPr="0011747E">
        <w:t> </w:t>
      </w:r>
      <w:r w:rsidR="009E3865" w:rsidRPr="0011747E">
        <w:t>143A(2)(b)(ii)</w:t>
      </w:r>
      <w:r w:rsidR="00E13182" w:rsidRPr="0011747E">
        <w:t xml:space="preserve"> of the Act</w:t>
      </w:r>
      <w:r w:rsidR="009E3865" w:rsidRPr="0011747E">
        <w:t>, t</w:t>
      </w:r>
      <w:r w:rsidR="000E6AB8" w:rsidRPr="0011747E">
        <w:t>he</w:t>
      </w:r>
      <w:r w:rsidR="009E3865" w:rsidRPr="0011747E">
        <w:t xml:space="preserve"> f</w:t>
      </w:r>
      <w:r w:rsidR="000E6AB8" w:rsidRPr="0011747E">
        <w:t>ollowing application fee</w:t>
      </w:r>
      <w:r w:rsidR="009E3865" w:rsidRPr="0011747E">
        <w:t>s are prescribed</w:t>
      </w:r>
      <w:r w:rsidR="000E6AB8" w:rsidRPr="0011747E">
        <w:t>:</w:t>
      </w:r>
    </w:p>
    <w:p w:rsidR="000269F6" w:rsidRPr="0011747E" w:rsidRDefault="000269F6" w:rsidP="000269F6">
      <w:pPr>
        <w:pStyle w:val="paragraph"/>
      </w:pPr>
      <w:r w:rsidRPr="0011747E">
        <w:tab/>
        <w:t>(a)</w:t>
      </w:r>
      <w:r w:rsidRPr="0011747E">
        <w:tab/>
      </w:r>
      <w:r w:rsidR="00036F83" w:rsidRPr="0011747E">
        <w:t xml:space="preserve">subject to </w:t>
      </w:r>
      <w:r w:rsidR="0011747E" w:rsidRPr="0011747E">
        <w:t>paragraph (</w:t>
      </w:r>
      <w:r w:rsidR="00036F83" w:rsidRPr="0011747E">
        <w:t>5)</w:t>
      </w:r>
      <w:r w:rsidR="00E13182" w:rsidRPr="0011747E">
        <w:t>(b) of this regulation</w:t>
      </w:r>
      <w:r w:rsidR="00036F83" w:rsidRPr="0011747E">
        <w:t xml:space="preserve">, </w:t>
      </w:r>
      <w:r w:rsidRPr="0011747E">
        <w:t>if the</w:t>
      </w:r>
      <w:r w:rsidR="006C30AE" w:rsidRPr="0011747E">
        <w:t xml:space="preserve"> </w:t>
      </w:r>
      <w:r w:rsidR="00036F83" w:rsidRPr="0011747E">
        <w:t xml:space="preserve">applicant considers that the </w:t>
      </w:r>
      <w:r w:rsidRPr="0011747E">
        <w:t>variation is of an administrative nature</w:t>
      </w:r>
      <w:r w:rsidR="000E6AB8" w:rsidRPr="0011747E">
        <w:t>—a fee of $943.00;</w:t>
      </w:r>
    </w:p>
    <w:p w:rsidR="001C5CDE" w:rsidRPr="0011747E" w:rsidRDefault="000269F6" w:rsidP="000269F6">
      <w:pPr>
        <w:pStyle w:val="paragraph"/>
      </w:pPr>
      <w:r w:rsidRPr="0011747E">
        <w:tab/>
        <w:t>(b)</w:t>
      </w:r>
      <w:r w:rsidRPr="0011747E">
        <w:tab/>
        <w:t>in any other case—</w:t>
      </w:r>
      <w:r w:rsidR="001C5CDE" w:rsidRPr="0011747E">
        <w:t>a fee of $3</w:t>
      </w:r>
      <w:r w:rsidR="0011747E" w:rsidRPr="0011747E">
        <w:t> </w:t>
      </w:r>
      <w:r w:rsidR="009931F2" w:rsidRPr="0011747E">
        <w:t>233</w:t>
      </w:r>
      <w:r w:rsidR="00366E46" w:rsidRPr="0011747E">
        <w:t>.00</w:t>
      </w:r>
      <w:r w:rsidR="001C5CDE" w:rsidRPr="0011747E">
        <w:t>.</w:t>
      </w:r>
    </w:p>
    <w:p w:rsidR="009931F2" w:rsidRPr="0011747E" w:rsidRDefault="005A491A" w:rsidP="009931F2">
      <w:pPr>
        <w:pStyle w:val="subsection"/>
      </w:pPr>
      <w:r w:rsidRPr="0011747E">
        <w:tab/>
        <w:t>(4)</w:t>
      </w:r>
      <w:r w:rsidRPr="0011747E">
        <w:tab/>
      </w:r>
      <w:r w:rsidR="006A5048" w:rsidRPr="0011747E">
        <w:t>For subparagraph</w:t>
      </w:r>
      <w:r w:rsidR="0011747E" w:rsidRPr="0011747E">
        <w:t> </w:t>
      </w:r>
      <w:r w:rsidR="006A5048" w:rsidRPr="0011747E">
        <w:t>520(4C)(e)(i) of the Act, t</w:t>
      </w:r>
      <w:r w:rsidR="009931F2" w:rsidRPr="0011747E">
        <w:t>he fee is payable before the assessment of the variation begins.</w:t>
      </w:r>
    </w:p>
    <w:p w:rsidR="00AF1BA7" w:rsidRPr="0011747E" w:rsidRDefault="00AF1BA7" w:rsidP="00AF1BA7">
      <w:pPr>
        <w:pStyle w:val="subsection"/>
      </w:pPr>
      <w:r w:rsidRPr="0011747E">
        <w:tab/>
        <w:t>(5)</w:t>
      </w:r>
      <w:r w:rsidRPr="0011747E">
        <w:tab/>
        <w:t>If the Minister considers that a proposed variation of an action management plan</w:t>
      </w:r>
      <w:r w:rsidR="006C159B" w:rsidRPr="0011747E">
        <w:t xml:space="preserve"> by the holder of an approval</w:t>
      </w:r>
      <w:r w:rsidRPr="0011747E">
        <w:t xml:space="preserve"> is not of an administrative nature, then:</w:t>
      </w:r>
    </w:p>
    <w:p w:rsidR="00DB3154" w:rsidRPr="0011747E" w:rsidRDefault="00DB3154" w:rsidP="00DB3154">
      <w:pPr>
        <w:pStyle w:val="paragraph"/>
      </w:pPr>
      <w:r w:rsidRPr="0011747E">
        <w:tab/>
        <w:t>(</w:t>
      </w:r>
      <w:r w:rsidR="00AF1BA7" w:rsidRPr="0011747E">
        <w:t>a</w:t>
      </w:r>
      <w:r w:rsidRPr="0011747E">
        <w:t>)</w:t>
      </w:r>
      <w:r w:rsidRPr="0011747E">
        <w:tab/>
        <w:t>the Minister must notify the</w:t>
      </w:r>
      <w:r w:rsidR="006C159B" w:rsidRPr="0011747E">
        <w:t xml:space="preserve"> holder of the approval</w:t>
      </w:r>
      <w:r w:rsidRPr="0011747E">
        <w:t xml:space="preserve"> of that fact; and</w:t>
      </w:r>
    </w:p>
    <w:p w:rsidR="00076409" w:rsidRPr="0011747E" w:rsidRDefault="00AF1BA7" w:rsidP="00DB3154">
      <w:pPr>
        <w:pStyle w:val="paragraph"/>
      </w:pPr>
      <w:r w:rsidRPr="0011747E">
        <w:tab/>
        <w:t>(b</w:t>
      </w:r>
      <w:r w:rsidR="00DB3154" w:rsidRPr="0011747E">
        <w:t>)</w:t>
      </w:r>
      <w:r w:rsidR="00DB3154" w:rsidRPr="0011747E">
        <w:tab/>
        <w:t xml:space="preserve">the </w:t>
      </w:r>
      <w:r w:rsidR="00076409" w:rsidRPr="0011747E">
        <w:t xml:space="preserve">holder of the approval must pay the difference between the fee paid and the fee set out in </w:t>
      </w:r>
      <w:r w:rsidR="0011747E" w:rsidRPr="0011747E">
        <w:t>paragraph (</w:t>
      </w:r>
      <w:r w:rsidR="00076409" w:rsidRPr="0011747E">
        <w:t>3)(b).</w:t>
      </w:r>
    </w:p>
    <w:p w:rsidR="00D22515" w:rsidRPr="0011747E" w:rsidRDefault="00D22515" w:rsidP="00D22515">
      <w:pPr>
        <w:pStyle w:val="subsection"/>
      </w:pPr>
      <w:r w:rsidRPr="0011747E">
        <w:tab/>
        <w:t>(6)</w:t>
      </w:r>
      <w:r w:rsidRPr="0011747E">
        <w:tab/>
        <w:t>For paragraph</w:t>
      </w:r>
      <w:r w:rsidR="0011747E" w:rsidRPr="0011747E">
        <w:t> </w:t>
      </w:r>
      <w:r w:rsidRPr="0011747E">
        <w:t xml:space="preserve">520(4C)(c) of the Act, the Minister’s notification mentioned in </w:t>
      </w:r>
      <w:r w:rsidR="0011747E" w:rsidRPr="0011747E">
        <w:t>paragraph (</w:t>
      </w:r>
      <w:r w:rsidRPr="0011747E">
        <w:t>5)(a) is</w:t>
      </w:r>
      <w:r w:rsidR="00E72653" w:rsidRPr="0011747E">
        <w:t xml:space="preserve"> taken to be</w:t>
      </w:r>
      <w:r w:rsidRPr="0011747E">
        <w:t xml:space="preserve"> a method for working out the application fee for </w:t>
      </w:r>
      <w:r w:rsidR="00E72653" w:rsidRPr="0011747E">
        <w:t>a</w:t>
      </w:r>
      <w:r w:rsidRPr="0011747E">
        <w:t xml:space="preserve"> variation of an action management plan.</w:t>
      </w:r>
    </w:p>
    <w:p w:rsidR="00CD34AB" w:rsidRPr="0011747E" w:rsidRDefault="00A920A6" w:rsidP="00CD34AB">
      <w:pPr>
        <w:pStyle w:val="ActHead4"/>
      </w:pPr>
      <w:bookmarkStart w:id="71" w:name="_Toc396376269"/>
      <w:r w:rsidRPr="0011747E">
        <w:rPr>
          <w:rStyle w:val="CharSubdNo"/>
        </w:rPr>
        <w:t>Subdivision I</w:t>
      </w:r>
      <w:r w:rsidR="00CD34AB" w:rsidRPr="0011747E">
        <w:t>—</w:t>
      </w:r>
      <w:r w:rsidR="00CD34AB" w:rsidRPr="0011747E">
        <w:rPr>
          <w:rStyle w:val="CharSubdText"/>
        </w:rPr>
        <w:t>Other fees</w:t>
      </w:r>
      <w:bookmarkEnd w:id="71"/>
    </w:p>
    <w:p w:rsidR="00CD34AB" w:rsidRPr="0011747E" w:rsidRDefault="00CD34AB" w:rsidP="00CD34AB">
      <w:pPr>
        <w:pStyle w:val="ActHead5"/>
      </w:pPr>
      <w:bookmarkStart w:id="72" w:name="_Toc396376270"/>
      <w:r w:rsidRPr="0011747E">
        <w:rPr>
          <w:rStyle w:val="CharSectno"/>
        </w:rPr>
        <w:t>5.19</w:t>
      </w:r>
      <w:r w:rsidRPr="0011747E">
        <w:t xml:space="preserve">  </w:t>
      </w:r>
      <w:r w:rsidR="005B18D3" w:rsidRPr="0011747E">
        <w:t>Request to provide specified information</w:t>
      </w:r>
      <w:bookmarkEnd w:id="72"/>
    </w:p>
    <w:p w:rsidR="009D36B2" w:rsidRPr="0011747E" w:rsidRDefault="009D36B2" w:rsidP="009D36B2">
      <w:pPr>
        <w:pStyle w:val="subsection"/>
      </w:pPr>
      <w:r w:rsidRPr="0011747E">
        <w:tab/>
        <w:t>(1)</w:t>
      </w:r>
      <w:r w:rsidRPr="0011747E">
        <w:tab/>
      </w:r>
      <w:r w:rsidR="00B42FCB" w:rsidRPr="0011747E">
        <w:t>Subject to sub</w:t>
      </w:r>
      <w:r w:rsidR="00D50249" w:rsidRPr="0011747E">
        <w:t>regulation</w:t>
      </w:r>
      <w:r w:rsidR="0011747E" w:rsidRPr="0011747E">
        <w:t> </w:t>
      </w:r>
      <w:r w:rsidR="00B42FCB" w:rsidRPr="0011747E">
        <w:t>(2), i</w:t>
      </w:r>
      <w:r w:rsidRPr="0011747E">
        <w:t>f the Minister makes a request for specified information to be provided under:</w:t>
      </w:r>
    </w:p>
    <w:p w:rsidR="009D36B2" w:rsidRPr="0011747E" w:rsidRDefault="009D36B2" w:rsidP="009D36B2">
      <w:pPr>
        <w:pStyle w:val="paragraph"/>
      </w:pPr>
      <w:r w:rsidRPr="0011747E">
        <w:tab/>
        <w:t>(a)</w:t>
      </w:r>
      <w:r w:rsidRPr="0011747E">
        <w:tab/>
        <w:t>section</w:t>
      </w:r>
      <w:r w:rsidR="0011747E" w:rsidRPr="0011747E">
        <w:t> </w:t>
      </w:r>
      <w:r w:rsidRPr="0011747E">
        <w:t>76, 89 or 132 of the Act; or</w:t>
      </w:r>
    </w:p>
    <w:p w:rsidR="009D36B2" w:rsidRPr="0011747E" w:rsidRDefault="009D36B2" w:rsidP="009D36B2">
      <w:pPr>
        <w:pStyle w:val="paragraph"/>
      </w:pPr>
      <w:r w:rsidRPr="0011747E">
        <w:tab/>
        <w:t>(b)</w:t>
      </w:r>
      <w:r w:rsidRPr="0011747E">
        <w:tab/>
        <w:t>subsection</w:t>
      </w:r>
      <w:r w:rsidR="0011747E" w:rsidRPr="0011747E">
        <w:t> </w:t>
      </w:r>
      <w:r w:rsidRPr="0011747E">
        <w:t>134(3D) of the Act;</w:t>
      </w:r>
    </w:p>
    <w:p w:rsidR="009D36B2" w:rsidRPr="0011747E" w:rsidRDefault="009D36B2" w:rsidP="009D36B2">
      <w:pPr>
        <w:pStyle w:val="subsection2"/>
      </w:pPr>
      <w:r w:rsidRPr="0011747E">
        <w:t xml:space="preserve">the </w:t>
      </w:r>
      <w:r w:rsidR="00E9669E" w:rsidRPr="0011747E">
        <w:t xml:space="preserve">information provided in response to the </w:t>
      </w:r>
      <w:r w:rsidRPr="0011747E">
        <w:t xml:space="preserve">request </w:t>
      </w:r>
      <w:r w:rsidR="00E9669E" w:rsidRPr="0011747E">
        <w:t>must be accompanied by</w:t>
      </w:r>
      <w:r w:rsidR="007E7F5B" w:rsidRPr="0011747E">
        <w:t xml:space="preserve"> a fee of $2</w:t>
      </w:r>
      <w:r w:rsidR="0011747E" w:rsidRPr="0011747E">
        <w:t> </w:t>
      </w:r>
      <w:r w:rsidRPr="0011747E">
        <w:t>544.00.</w:t>
      </w:r>
    </w:p>
    <w:p w:rsidR="00B42FCB" w:rsidRPr="0011747E" w:rsidRDefault="009D36B2" w:rsidP="00B42FCB">
      <w:pPr>
        <w:pStyle w:val="subsection"/>
      </w:pPr>
      <w:r w:rsidRPr="0011747E">
        <w:tab/>
        <w:t>(2)</w:t>
      </w:r>
      <w:r w:rsidRPr="0011747E">
        <w:tab/>
        <w:t xml:space="preserve">If the Minister </w:t>
      </w:r>
      <w:r w:rsidR="00B42FCB" w:rsidRPr="0011747E">
        <w:t>makes a request for specified information to be provided under section</w:t>
      </w:r>
      <w:r w:rsidR="0011747E" w:rsidRPr="0011747E">
        <w:t> </w:t>
      </w:r>
      <w:r w:rsidR="00B42FCB" w:rsidRPr="0011747E">
        <w:t>132 or subsection</w:t>
      </w:r>
      <w:r w:rsidR="0011747E" w:rsidRPr="0011747E">
        <w:t> </w:t>
      </w:r>
      <w:r w:rsidR="00B42FCB" w:rsidRPr="0011747E">
        <w:t>134(3D) of the Act in relation to an action that</w:t>
      </w:r>
      <w:r w:rsidR="00DF3485" w:rsidRPr="0011747E">
        <w:t xml:space="preserve"> has been,</w:t>
      </w:r>
      <w:r w:rsidR="00B42FCB" w:rsidRPr="0011747E">
        <w:t xml:space="preserve"> is being, or </w:t>
      </w:r>
      <w:r w:rsidR="00F473C6" w:rsidRPr="0011747E">
        <w:t xml:space="preserve">is </w:t>
      </w:r>
      <w:r w:rsidR="00B42FCB" w:rsidRPr="0011747E">
        <w:t>to be, assessed by:</w:t>
      </w:r>
    </w:p>
    <w:p w:rsidR="00B42FCB" w:rsidRPr="0011747E" w:rsidRDefault="00F459D4" w:rsidP="00B42FCB">
      <w:pPr>
        <w:pStyle w:val="paragraph"/>
      </w:pPr>
      <w:r w:rsidRPr="0011747E">
        <w:tab/>
        <w:t>(a)</w:t>
      </w:r>
      <w:r w:rsidRPr="0011747E">
        <w:tab/>
        <w:t>a public environment report</w:t>
      </w:r>
      <w:r w:rsidR="00B42FCB" w:rsidRPr="0011747E">
        <w:t xml:space="preserve"> under Division</w:t>
      </w:r>
      <w:r w:rsidR="0011747E" w:rsidRPr="0011747E">
        <w:t> </w:t>
      </w:r>
      <w:r w:rsidR="00B42FCB" w:rsidRPr="0011747E">
        <w:t>5</w:t>
      </w:r>
      <w:r w:rsidR="003B769D" w:rsidRPr="0011747E">
        <w:t xml:space="preserve"> of </w:t>
      </w:r>
      <w:r w:rsidR="00F473C6" w:rsidRPr="0011747E">
        <w:t>Part</w:t>
      </w:r>
      <w:r w:rsidR="0011747E" w:rsidRPr="0011747E">
        <w:t> </w:t>
      </w:r>
      <w:r w:rsidR="00F473C6" w:rsidRPr="0011747E">
        <w:t xml:space="preserve">8 of </w:t>
      </w:r>
      <w:r w:rsidR="003B769D" w:rsidRPr="0011747E">
        <w:t>the Act; or</w:t>
      </w:r>
    </w:p>
    <w:p w:rsidR="00B42FCB" w:rsidRPr="0011747E" w:rsidRDefault="00B42FCB" w:rsidP="00B42FCB">
      <w:pPr>
        <w:pStyle w:val="paragraph"/>
      </w:pPr>
      <w:r w:rsidRPr="0011747E">
        <w:tab/>
        <w:t>(b)</w:t>
      </w:r>
      <w:r w:rsidRPr="0011747E">
        <w:tab/>
        <w:t>an environmental impact statement under Division</w:t>
      </w:r>
      <w:r w:rsidR="0011747E" w:rsidRPr="0011747E">
        <w:t> </w:t>
      </w:r>
      <w:r w:rsidRPr="0011747E">
        <w:t>6 of</w:t>
      </w:r>
      <w:r w:rsidR="00F473C6" w:rsidRPr="0011747E">
        <w:t xml:space="preserve"> Part</w:t>
      </w:r>
      <w:r w:rsidR="0011747E" w:rsidRPr="0011747E">
        <w:t> </w:t>
      </w:r>
      <w:r w:rsidR="00F473C6" w:rsidRPr="0011747E">
        <w:t>8 of</w:t>
      </w:r>
      <w:r w:rsidRPr="0011747E">
        <w:t xml:space="preserve"> the Act;</w:t>
      </w:r>
    </w:p>
    <w:p w:rsidR="009D36B2" w:rsidRPr="0011747E" w:rsidRDefault="00E9669E" w:rsidP="003B769D">
      <w:pPr>
        <w:pStyle w:val="subsection2"/>
      </w:pPr>
      <w:r w:rsidRPr="0011747E">
        <w:t xml:space="preserve">the information provided in response to the request must be accompanied by </w:t>
      </w:r>
      <w:r w:rsidR="003B769D" w:rsidRPr="0011747E">
        <w:t>a fee of $13</w:t>
      </w:r>
      <w:r w:rsidR="0011747E" w:rsidRPr="0011747E">
        <w:t> </w:t>
      </w:r>
      <w:r w:rsidR="003B769D" w:rsidRPr="0011747E">
        <w:t>087</w:t>
      </w:r>
      <w:r w:rsidR="00B42FCB" w:rsidRPr="0011747E">
        <w:t>.00.</w:t>
      </w:r>
    </w:p>
    <w:p w:rsidR="009931F2" w:rsidRPr="0011747E" w:rsidRDefault="006A5048" w:rsidP="006A5048">
      <w:pPr>
        <w:pStyle w:val="subsection"/>
      </w:pPr>
      <w:r w:rsidRPr="0011747E">
        <w:tab/>
        <w:t>(</w:t>
      </w:r>
      <w:r w:rsidR="00AE33AB" w:rsidRPr="0011747E">
        <w:t>3</w:t>
      </w:r>
      <w:r w:rsidRPr="0011747E">
        <w:t>)</w:t>
      </w:r>
      <w:r w:rsidRPr="0011747E">
        <w:tab/>
        <w:t>For subparagraph</w:t>
      </w:r>
      <w:r w:rsidR="0011747E" w:rsidRPr="0011747E">
        <w:t> </w:t>
      </w:r>
      <w:r w:rsidRPr="0011747E">
        <w:t xml:space="preserve">520(4C)(e)(i) of the Act, a fee set out in this regulation is </w:t>
      </w:r>
      <w:r w:rsidR="009931F2" w:rsidRPr="0011747E">
        <w:t xml:space="preserve">payable before </w:t>
      </w:r>
      <w:r w:rsidR="0076724F" w:rsidRPr="0011747E">
        <w:t>the Minister considers the information provided</w:t>
      </w:r>
      <w:r w:rsidR="00E9669E" w:rsidRPr="0011747E">
        <w:t xml:space="preserve"> in response to the request</w:t>
      </w:r>
      <w:r w:rsidR="0076724F" w:rsidRPr="0011747E">
        <w:t>.</w:t>
      </w:r>
    </w:p>
    <w:p w:rsidR="00606CED" w:rsidRPr="0011747E" w:rsidRDefault="00606CED" w:rsidP="00606CED">
      <w:pPr>
        <w:pStyle w:val="ActHead5"/>
      </w:pPr>
      <w:bookmarkStart w:id="73" w:name="_Toc396376271"/>
      <w:r w:rsidRPr="0011747E">
        <w:rPr>
          <w:rStyle w:val="CharSectno"/>
        </w:rPr>
        <w:t>5.19A</w:t>
      </w:r>
      <w:r w:rsidRPr="0011747E">
        <w:t xml:space="preserve">  Request for reconsideration of a decision under subsection</w:t>
      </w:r>
      <w:r w:rsidR="0011747E" w:rsidRPr="0011747E">
        <w:t> </w:t>
      </w:r>
      <w:r w:rsidRPr="0011747E">
        <w:t>75(1) of the Act</w:t>
      </w:r>
      <w:bookmarkEnd w:id="73"/>
    </w:p>
    <w:p w:rsidR="003153B9" w:rsidRPr="0011747E" w:rsidRDefault="00606CED" w:rsidP="00606CED">
      <w:pPr>
        <w:pStyle w:val="subsection"/>
      </w:pPr>
      <w:r w:rsidRPr="0011747E">
        <w:tab/>
      </w:r>
      <w:r w:rsidRPr="0011747E">
        <w:tab/>
        <w:t>If the Minister is requested</w:t>
      </w:r>
      <w:r w:rsidR="00061023" w:rsidRPr="0011747E">
        <w:t>,</w:t>
      </w:r>
      <w:r w:rsidRPr="0011747E">
        <w:t xml:space="preserve"> under section</w:t>
      </w:r>
      <w:r w:rsidR="0011747E" w:rsidRPr="0011747E">
        <w:t> </w:t>
      </w:r>
      <w:r w:rsidRPr="0011747E">
        <w:t>78A of the Act</w:t>
      </w:r>
      <w:r w:rsidR="00061023" w:rsidRPr="0011747E">
        <w:t>,</w:t>
      </w:r>
      <w:r w:rsidR="003153B9" w:rsidRPr="0011747E">
        <w:t xml:space="preserve"> by:</w:t>
      </w:r>
    </w:p>
    <w:p w:rsidR="003153B9" w:rsidRPr="0011747E" w:rsidRDefault="003153B9" w:rsidP="003153B9">
      <w:pPr>
        <w:pStyle w:val="paragraph"/>
      </w:pPr>
      <w:r w:rsidRPr="0011747E">
        <w:tab/>
        <w:t>(a)</w:t>
      </w:r>
      <w:r w:rsidRPr="0011747E">
        <w:tab/>
        <w:t>the person proposing to take an action; or</w:t>
      </w:r>
    </w:p>
    <w:p w:rsidR="003153B9" w:rsidRPr="0011747E" w:rsidRDefault="003153B9" w:rsidP="003153B9">
      <w:pPr>
        <w:pStyle w:val="paragraph"/>
      </w:pPr>
      <w:r w:rsidRPr="0011747E">
        <w:tab/>
        <w:t>(b)</w:t>
      </w:r>
      <w:r w:rsidRPr="0011747E">
        <w:tab/>
        <w:t>the designated proponent of the action (if the designated proponent is not the person proposing to take the action);</w:t>
      </w:r>
    </w:p>
    <w:p w:rsidR="00606CED" w:rsidRPr="0011747E" w:rsidRDefault="00606CED" w:rsidP="003153B9">
      <w:pPr>
        <w:pStyle w:val="subsection2"/>
      </w:pPr>
      <w:r w:rsidRPr="0011747E">
        <w:t>to reconsider a decision made under subsection</w:t>
      </w:r>
      <w:r w:rsidR="0011747E" w:rsidRPr="0011747E">
        <w:t> </w:t>
      </w:r>
      <w:r w:rsidRPr="0011747E">
        <w:t xml:space="preserve">75(1) of the Act about </w:t>
      </w:r>
      <w:r w:rsidR="003153B9" w:rsidRPr="0011747E">
        <w:t>the</w:t>
      </w:r>
      <w:r w:rsidRPr="0011747E">
        <w:t xml:space="preserve"> action, the request mus</w:t>
      </w:r>
      <w:r w:rsidR="004E1442" w:rsidRPr="0011747E">
        <w:t>t be accompanied by a fee of $7</w:t>
      </w:r>
      <w:r w:rsidR="0011747E" w:rsidRPr="0011747E">
        <w:t> </w:t>
      </w:r>
      <w:r w:rsidRPr="0011747E">
        <w:t>42</w:t>
      </w:r>
      <w:r w:rsidR="00FF0B13" w:rsidRPr="0011747E">
        <w:t>3</w:t>
      </w:r>
      <w:r w:rsidRPr="0011747E">
        <w:t>.00.</w:t>
      </w:r>
    </w:p>
    <w:p w:rsidR="003B769D" w:rsidRPr="0011747E" w:rsidRDefault="003B769D" w:rsidP="003B769D">
      <w:pPr>
        <w:pStyle w:val="ActHead5"/>
      </w:pPr>
      <w:bookmarkStart w:id="74" w:name="_Toc396376272"/>
      <w:r w:rsidRPr="0011747E">
        <w:rPr>
          <w:rStyle w:val="CharSectno"/>
        </w:rPr>
        <w:t>5.19</w:t>
      </w:r>
      <w:r w:rsidR="00606CED" w:rsidRPr="0011747E">
        <w:rPr>
          <w:rStyle w:val="CharSectno"/>
        </w:rPr>
        <w:t>B</w:t>
      </w:r>
      <w:r w:rsidRPr="0011747E">
        <w:t xml:space="preserve">  Request to vary a condition attached to an approval</w:t>
      </w:r>
      <w:bookmarkEnd w:id="74"/>
    </w:p>
    <w:p w:rsidR="003B769D" w:rsidRPr="0011747E" w:rsidRDefault="003B769D" w:rsidP="003B769D">
      <w:pPr>
        <w:pStyle w:val="subsection"/>
      </w:pPr>
      <w:r w:rsidRPr="0011747E">
        <w:tab/>
      </w:r>
      <w:r w:rsidR="009931F2" w:rsidRPr="0011747E">
        <w:t>(1)</w:t>
      </w:r>
      <w:r w:rsidRPr="0011747E">
        <w:tab/>
        <w:t>If</w:t>
      </w:r>
      <w:r w:rsidR="001C5CDE" w:rsidRPr="0011747E">
        <w:t>, under subsection</w:t>
      </w:r>
      <w:r w:rsidR="0011747E" w:rsidRPr="0011747E">
        <w:t> </w:t>
      </w:r>
      <w:r w:rsidR="001C5CDE" w:rsidRPr="0011747E">
        <w:t>143(1B) of the Act,</w:t>
      </w:r>
      <w:r w:rsidRPr="0011747E">
        <w:t xml:space="preserve"> the holder of an approval requests the Minister to vary a condition attached to an approval of an action, </w:t>
      </w:r>
      <w:r w:rsidR="000E0CD3" w:rsidRPr="0011747E">
        <w:t>the request must be accompanied by a fee of $3</w:t>
      </w:r>
      <w:r w:rsidR="0011747E" w:rsidRPr="0011747E">
        <w:t> </w:t>
      </w:r>
      <w:r w:rsidR="000E0CD3" w:rsidRPr="0011747E">
        <w:t>320.00.</w:t>
      </w:r>
    </w:p>
    <w:p w:rsidR="009931F2" w:rsidRPr="0011747E" w:rsidRDefault="00A8419E" w:rsidP="00A8419E">
      <w:pPr>
        <w:pStyle w:val="subsection"/>
      </w:pPr>
      <w:r w:rsidRPr="0011747E">
        <w:tab/>
        <w:t>(</w:t>
      </w:r>
      <w:r w:rsidR="004616A8" w:rsidRPr="0011747E">
        <w:t>2</w:t>
      </w:r>
      <w:r w:rsidR="009931F2" w:rsidRPr="0011747E">
        <w:t>)</w:t>
      </w:r>
      <w:r w:rsidR="009931F2" w:rsidRPr="0011747E">
        <w:tab/>
      </w:r>
      <w:r w:rsidRPr="0011747E">
        <w:t>For subparagraph</w:t>
      </w:r>
      <w:r w:rsidR="0011747E" w:rsidRPr="0011747E">
        <w:t> </w:t>
      </w:r>
      <w:r w:rsidRPr="0011747E">
        <w:t>520(4C)(e)(i) of the Act, t</w:t>
      </w:r>
      <w:r w:rsidR="009931F2" w:rsidRPr="0011747E">
        <w:t xml:space="preserve">he fee </w:t>
      </w:r>
      <w:r w:rsidR="003B1589" w:rsidRPr="0011747E">
        <w:t>set out in subregulation</w:t>
      </w:r>
      <w:r w:rsidR="0011747E" w:rsidRPr="0011747E">
        <w:t> </w:t>
      </w:r>
      <w:r w:rsidRPr="0011747E">
        <w:t xml:space="preserve">(1) is </w:t>
      </w:r>
      <w:r w:rsidR="009931F2" w:rsidRPr="0011747E">
        <w:t>payable before the assessment of the variation begins.</w:t>
      </w:r>
    </w:p>
    <w:p w:rsidR="0020186B" w:rsidRPr="0011747E" w:rsidRDefault="0020186B" w:rsidP="0020186B">
      <w:pPr>
        <w:pStyle w:val="ActHead4"/>
      </w:pPr>
      <w:bookmarkStart w:id="75" w:name="_Toc396376273"/>
      <w:r w:rsidRPr="0011747E">
        <w:rPr>
          <w:rStyle w:val="CharSubdNo"/>
        </w:rPr>
        <w:t xml:space="preserve">Subdivision </w:t>
      </w:r>
      <w:r w:rsidR="003B672B" w:rsidRPr="0011747E">
        <w:rPr>
          <w:rStyle w:val="CharSubdNo"/>
        </w:rPr>
        <w:t>J</w:t>
      </w:r>
      <w:r w:rsidRPr="0011747E">
        <w:t>—</w:t>
      </w:r>
      <w:r w:rsidRPr="0011747E">
        <w:rPr>
          <w:rStyle w:val="CharSubdText"/>
        </w:rPr>
        <w:t>Reconsideration of fees</w:t>
      </w:r>
      <w:bookmarkEnd w:id="75"/>
    </w:p>
    <w:p w:rsidR="009D36B2" w:rsidRPr="0011747E" w:rsidRDefault="0020186B" w:rsidP="001C5CDE">
      <w:pPr>
        <w:pStyle w:val="ActHead5"/>
      </w:pPr>
      <w:bookmarkStart w:id="76" w:name="_Toc396376274"/>
      <w:r w:rsidRPr="0011747E">
        <w:rPr>
          <w:rStyle w:val="CharSectno"/>
        </w:rPr>
        <w:t>5.20</w:t>
      </w:r>
      <w:r w:rsidR="001C5CDE" w:rsidRPr="0011747E">
        <w:t xml:space="preserve">  </w:t>
      </w:r>
      <w:r w:rsidR="00604B1A" w:rsidRPr="0011747E">
        <w:t>Application for reconsideration of fee</w:t>
      </w:r>
      <w:bookmarkEnd w:id="76"/>
    </w:p>
    <w:p w:rsidR="002E6FCA" w:rsidRPr="0011747E" w:rsidRDefault="002E6FCA" w:rsidP="002E6FCA">
      <w:pPr>
        <w:pStyle w:val="SubsectionHead"/>
      </w:pPr>
      <w:r w:rsidRPr="0011747E">
        <w:t>Requirements of an application</w:t>
      </w:r>
    </w:p>
    <w:p w:rsidR="00604B1A" w:rsidRPr="0011747E" w:rsidRDefault="00E5578E" w:rsidP="00604B1A">
      <w:pPr>
        <w:pStyle w:val="subsection"/>
      </w:pPr>
      <w:r w:rsidRPr="0011747E">
        <w:tab/>
      </w:r>
      <w:r w:rsidR="006003AB" w:rsidRPr="0011747E">
        <w:t>(1)</w:t>
      </w:r>
      <w:r w:rsidR="00604B1A" w:rsidRPr="0011747E">
        <w:tab/>
      </w:r>
      <w:r w:rsidR="008C29CF" w:rsidRPr="0011747E">
        <w:t>For paragraph</w:t>
      </w:r>
      <w:r w:rsidR="0011747E" w:rsidRPr="0011747E">
        <w:t> </w:t>
      </w:r>
      <w:r w:rsidR="00604B1A" w:rsidRPr="0011747E">
        <w:t>514Y</w:t>
      </w:r>
      <w:r w:rsidR="008C29CF" w:rsidRPr="0011747E">
        <w:t>(3)(a)</w:t>
      </w:r>
      <w:r w:rsidR="00604B1A" w:rsidRPr="0011747E">
        <w:t xml:space="preserve"> of the Act</w:t>
      </w:r>
      <w:r w:rsidR="008C29CF" w:rsidRPr="0011747E">
        <w:t>, an</w:t>
      </w:r>
      <w:r w:rsidR="00000999" w:rsidRPr="0011747E">
        <w:t xml:space="preserve"> application must:</w:t>
      </w:r>
    </w:p>
    <w:p w:rsidR="00EA2209" w:rsidRPr="0011747E" w:rsidRDefault="00EA2209" w:rsidP="00EA2209">
      <w:pPr>
        <w:pStyle w:val="paragraph"/>
      </w:pPr>
      <w:r w:rsidRPr="0011747E">
        <w:tab/>
        <w:t>(a)</w:t>
      </w:r>
      <w:r w:rsidRPr="0011747E">
        <w:tab/>
        <w:t>be in writing; and</w:t>
      </w:r>
    </w:p>
    <w:p w:rsidR="00EA2209" w:rsidRPr="0011747E" w:rsidRDefault="00EA2209" w:rsidP="00EA2209">
      <w:pPr>
        <w:pStyle w:val="paragraph"/>
      </w:pPr>
      <w:r w:rsidRPr="0011747E">
        <w:tab/>
        <w:t>(b)</w:t>
      </w:r>
      <w:r w:rsidRPr="0011747E">
        <w:tab/>
        <w:t>set out the following:</w:t>
      </w:r>
    </w:p>
    <w:p w:rsidR="001430D7" w:rsidRPr="0011747E" w:rsidRDefault="00EA2209" w:rsidP="00EA2209">
      <w:pPr>
        <w:pStyle w:val="paragraphsub"/>
      </w:pPr>
      <w:r w:rsidRPr="0011747E">
        <w:tab/>
        <w:t>(i)</w:t>
      </w:r>
      <w:r w:rsidRPr="0011747E">
        <w:tab/>
        <w:t>the applicant’s name</w:t>
      </w:r>
      <w:r w:rsidR="001430D7" w:rsidRPr="0011747E">
        <w:t xml:space="preserve"> and</w:t>
      </w:r>
      <w:r w:rsidRPr="0011747E">
        <w:t xml:space="preserve"> contact details</w:t>
      </w:r>
      <w:r w:rsidR="001430D7" w:rsidRPr="0011747E">
        <w:t>;</w:t>
      </w:r>
    </w:p>
    <w:p w:rsidR="00B438AB" w:rsidRPr="0011747E" w:rsidRDefault="001430D7" w:rsidP="001430D7">
      <w:pPr>
        <w:pStyle w:val="paragraphsub"/>
      </w:pPr>
      <w:r w:rsidRPr="0011747E">
        <w:tab/>
        <w:t>(ii)</w:t>
      </w:r>
      <w:r w:rsidRPr="0011747E">
        <w:tab/>
        <w:t xml:space="preserve">if the applicant </w:t>
      </w:r>
      <w:r w:rsidR="00B438AB" w:rsidRPr="0011747E">
        <w:t>has an ABN</w:t>
      </w:r>
      <w:r w:rsidRPr="0011747E">
        <w:t xml:space="preserve">—the </w:t>
      </w:r>
      <w:r w:rsidR="00AE33AB" w:rsidRPr="0011747E">
        <w:t>applicant’s</w:t>
      </w:r>
      <w:r w:rsidRPr="0011747E">
        <w:t xml:space="preserve"> </w:t>
      </w:r>
      <w:r w:rsidR="00E74954" w:rsidRPr="0011747E">
        <w:t>ABN</w:t>
      </w:r>
      <w:r w:rsidR="00B438AB" w:rsidRPr="0011747E">
        <w:t>;</w:t>
      </w:r>
    </w:p>
    <w:p w:rsidR="001430D7" w:rsidRPr="0011747E" w:rsidRDefault="00B438AB" w:rsidP="001430D7">
      <w:pPr>
        <w:pStyle w:val="paragraphsub"/>
      </w:pPr>
      <w:r w:rsidRPr="0011747E">
        <w:tab/>
        <w:t>(iii)</w:t>
      </w:r>
      <w:r w:rsidRPr="0011747E">
        <w:tab/>
        <w:t>if the applicant has an</w:t>
      </w:r>
      <w:r w:rsidR="00E74954" w:rsidRPr="0011747E">
        <w:t xml:space="preserve"> </w:t>
      </w:r>
      <w:r w:rsidRPr="0011747E">
        <w:t xml:space="preserve">ACN—the </w:t>
      </w:r>
      <w:r w:rsidR="00AE33AB" w:rsidRPr="0011747E">
        <w:t>applicant’s</w:t>
      </w:r>
      <w:r w:rsidRPr="0011747E">
        <w:t xml:space="preserve"> ACN</w:t>
      </w:r>
      <w:r w:rsidR="001430D7" w:rsidRPr="0011747E">
        <w:t>;</w:t>
      </w:r>
    </w:p>
    <w:p w:rsidR="00775D7D" w:rsidRPr="0011747E" w:rsidRDefault="00775D7D" w:rsidP="001430D7">
      <w:pPr>
        <w:pStyle w:val="paragraphsub"/>
      </w:pPr>
      <w:r w:rsidRPr="0011747E">
        <w:tab/>
        <w:t>(i</w:t>
      </w:r>
      <w:r w:rsidR="00B438AB" w:rsidRPr="0011747E">
        <w:t>v</w:t>
      </w:r>
      <w:r w:rsidRPr="0011747E">
        <w:t>)</w:t>
      </w:r>
      <w:r w:rsidRPr="0011747E">
        <w:tab/>
        <w:t>the referral number;</w:t>
      </w:r>
    </w:p>
    <w:p w:rsidR="00197FD7" w:rsidRPr="0011747E" w:rsidRDefault="00B438AB" w:rsidP="001430D7">
      <w:pPr>
        <w:pStyle w:val="paragraphsub"/>
      </w:pPr>
      <w:r w:rsidRPr="0011747E">
        <w:tab/>
        <w:t>(</w:t>
      </w:r>
      <w:r w:rsidR="00775D7D" w:rsidRPr="0011747E">
        <w:t>v)</w:t>
      </w:r>
      <w:r w:rsidR="00775D7D" w:rsidRPr="0011747E">
        <w:tab/>
      </w:r>
      <w:r w:rsidR="00197FD7" w:rsidRPr="0011747E">
        <w:t>the kind</w:t>
      </w:r>
      <w:r w:rsidR="00E5578E" w:rsidRPr="0011747E">
        <w:t xml:space="preserve"> of fee </w:t>
      </w:r>
      <w:r w:rsidR="00197FD7" w:rsidRPr="0011747E">
        <w:t>to be reconsidered;</w:t>
      </w:r>
    </w:p>
    <w:p w:rsidR="00E5578E" w:rsidRPr="0011747E" w:rsidRDefault="00E5578E" w:rsidP="001430D7">
      <w:pPr>
        <w:pStyle w:val="paragraphsub"/>
      </w:pPr>
      <w:r w:rsidRPr="0011747E">
        <w:tab/>
        <w:t>(v</w:t>
      </w:r>
      <w:r w:rsidR="00B438AB" w:rsidRPr="0011747E">
        <w:t>i</w:t>
      </w:r>
      <w:r w:rsidRPr="0011747E">
        <w:t>)</w:t>
      </w:r>
      <w:r w:rsidRPr="0011747E">
        <w:tab/>
        <w:t>the amount of the fee;</w:t>
      </w:r>
    </w:p>
    <w:p w:rsidR="00F502C9" w:rsidRPr="0011747E" w:rsidRDefault="00197FD7" w:rsidP="001430D7">
      <w:pPr>
        <w:pStyle w:val="paragraphsub"/>
      </w:pPr>
      <w:r w:rsidRPr="0011747E">
        <w:tab/>
        <w:t>(v</w:t>
      </w:r>
      <w:r w:rsidR="00E5578E" w:rsidRPr="0011747E">
        <w:t>i</w:t>
      </w:r>
      <w:r w:rsidR="00B438AB" w:rsidRPr="0011747E">
        <w:t>i</w:t>
      </w:r>
      <w:r w:rsidRPr="0011747E">
        <w:t>)</w:t>
      </w:r>
      <w:r w:rsidRPr="0011747E">
        <w:tab/>
        <w:t>the method that was used to work out the fee</w:t>
      </w:r>
      <w:r w:rsidR="008051A0" w:rsidRPr="0011747E">
        <w:t>;</w:t>
      </w:r>
      <w:r w:rsidR="00F473C6" w:rsidRPr="0011747E">
        <w:t xml:space="preserve"> and</w:t>
      </w:r>
    </w:p>
    <w:p w:rsidR="000E0EC5" w:rsidRPr="0011747E" w:rsidRDefault="008051A0" w:rsidP="000E0EC5">
      <w:pPr>
        <w:pStyle w:val="paragraph"/>
      </w:pPr>
      <w:r w:rsidRPr="0011747E">
        <w:tab/>
        <w:t>(c)</w:t>
      </w:r>
      <w:r w:rsidRPr="0011747E">
        <w:tab/>
        <w:t xml:space="preserve">acknowledge that as a result of </w:t>
      </w:r>
      <w:r w:rsidR="000E0EC5" w:rsidRPr="0011747E">
        <w:t>the reconsideration:</w:t>
      </w:r>
    </w:p>
    <w:p w:rsidR="000E0EC5" w:rsidRPr="0011747E" w:rsidRDefault="000E0EC5" w:rsidP="000E0EC5">
      <w:pPr>
        <w:pStyle w:val="paragraphsub"/>
      </w:pPr>
      <w:r w:rsidRPr="0011747E">
        <w:tab/>
        <w:t>(i)</w:t>
      </w:r>
      <w:r w:rsidRPr="0011747E">
        <w:tab/>
        <w:t>a new fee may be worked out; and</w:t>
      </w:r>
    </w:p>
    <w:p w:rsidR="008051A0" w:rsidRPr="0011747E" w:rsidRDefault="000E0EC5" w:rsidP="000E0EC5">
      <w:pPr>
        <w:pStyle w:val="paragraphsub"/>
      </w:pPr>
      <w:r w:rsidRPr="0011747E">
        <w:tab/>
        <w:t>(ii)</w:t>
      </w:r>
      <w:r w:rsidRPr="0011747E">
        <w:tab/>
        <w:t>the new fee may be higher than the</w:t>
      </w:r>
      <w:r w:rsidR="005C00CC" w:rsidRPr="0011747E">
        <w:t xml:space="preserve"> original</w:t>
      </w:r>
      <w:r w:rsidRPr="0011747E">
        <w:t xml:space="preserve"> fee.</w:t>
      </w:r>
    </w:p>
    <w:p w:rsidR="002E6FCA" w:rsidRPr="0011747E" w:rsidRDefault="002E6FCA" w:rsidP="002E6FCA">
      <w:pPr>
        <w:pStyle w:val="SubsectionHead"/>
      </w:pPr>
      <w:r w:rsidRPr="0011747E">
        <w:t>Limit on application by a transferee</w:t>
      </w:r>
    </w:p>
    <w:p w:rsidR="00011292" w:rsidRPr="0011747E" w:rsidRDefault="00011292" w:rsidP="00011292">
      <w:pPr>
        <w:pStyle w:val="subsection"/>
      </w:pPr>
      <w:r w:rsidRPr="0011747E">
        <w:tab/>
        <w:t>(2)</w:t>
      </w:r>
      <w:r w:rsidRPr="0011747E">
        <w:tab/>
        <w:t>To avoid doubt, if:</w:t>
      </w:r>
    </w:p>
    <w:p w:rsidR="00011292" w:rsidRPr="0011747E" w:rsidRDefault="00011292" w:rsidP="00011292">
      <w:pPr>
        <w:pStyle w:val="paragraph"/>
      </w:pPr>
      <w:r w:rsidRPr="0011747E">
        <w:tab/>
        <w:t>(a)</w:t>
      </w:r>
      <w:r w:rsidRPr="0011747E">
        <w:tab/>
        <w:t>section</w:t>
      </w:r>
      <w:r w:rsidR="0011747E" w:rsidRPr="0011747E">
        <w:t> </w:t>
      </w:r>
      <w:r w:rsidRPr="0011747E">
        <w:t>145B of the Act applies in relation to an action; and</w:t>
      </w:r>
    </w:p>
    <w:p w:rsidR="00011292" w:rsidRPr="0011747E" w:rsidRDefault="00011292" w:rsidP="00011292">
      <w:pPr>
        <w:pStyle w:val="paragraph"/>
      </w:pPr>
      <w:r w:rsidRPr="0011747E">
        <w:tab/>
        <w:t>(b)</w:t>
      </w:r>
      <w:r w:rsidRPr="0011747E">
        <w:tab/>
        <w:t>the transferor mentioned in subsection</w:t>
      </w:r>
      <w:r w:rsidR="0011747E" w:rsidRPr="0011747E">
        <w:t> </w:t>
      </w:r>
      <w:r w:rsidRPr="0011747E">
        <w:t>145B(1) of the Act applied for a reconsideration of the referral fee or any other fee payable under this Division in relation to the assessment of the impacts of the action;</w:t>
      </w:r>
    </w:p>
    <w:p w:rsidR="00011292" w:rsidRPr="0011747E" w:rsidRDefault="00011292" w:rsidP="00011292">
      <w:pPr>
        <w:pStyle w:val="subsection2"/>
      </w:pPr>
      <w:r w:rsidRPr="0011747E">
        <w:t>the transferee mentioned in subsection</w:t>
      </w:r>
      <w:r w:rsidR="0011747E" w:rsidRPr="0011747E">
        <w:t> </w:t>
      </w:r>
      <w:r w:rsidRPr="0011747E">
        <w:t>145B(1) of the Act may not apply for a reconsideration of a fee in respect of which an application has previously been made.</w:t>
      </w:r>
    </w:p>
    <w:p w:rsidR="002E6FCA" w:rsidRPr="0011747E" w:rsidRDefault="002E6FCA" w:rsidP="002E6FCA">
      <w:pPr>
        <w:pStyle w:val="SubsectionHead"/>
      </w:pPr>
      <w:r w:rsidRPr="0011747E">
        <w:t>Limit on application by a second person in case of a change of person taking action</w:t>
      </w:r>
    </w:p>
    <w:p w:rsidR="00011292" w:rsidRPr="0011747E" w:rsidRDefault="00011292" w:rsidP="00011292">
      <w:pPr>
        <w:pStyle w:val="subsection"/>
      </w:pPr>
      <w:r w:rsidRPr="0011747E">
        <w:tab/>
        <w:t>(3)</w:t>
      </w:r>
      <w:r w:rsidRPr="0011747E">
        <w:tab/>
        <w:t>To avoid doubt, if:</w:t>
      </w:r>
    </w:p>
    <w:p w:rsidR="00011292" w:rsidRPr="0011747E" w:rsidRDefault="00011292" w:rsidP="00011292">
      <w:pPr>
        <w:pStyle w:val="paragraph"/>
      </w:pPr>
      <w:r w:rsidRPr="0011747E">
        <w:tab/>
        <w:t>(a)</w:t>
      </w:r>
      <w:r w:rsidRPr="0011747E">
        <w:tab/>
        <w:t>section</w:t>
      </w:r>
      <w:r w:rsidR="0011747E" w:rsidRPr="0011747E">
        <w:t> </w:t>
      </w:r>
      <w:r w:rsidRPr="0011747E">
        <w:t>156F of the Act applies in relation to an action; and</w:t>
      </w:r>
    </w:p>
    <w:p w:rsidR="00011292" w:rsidRPr="0011747E" w:rsidRDefault="00011292" w:rsidP="00011292">
      <w:pPr>
        <w:pStyle w:val="paragraph"/>
      </w:pPr>
      <w:r w:rsidRPr="0011747E">
        <w:tab/>
        <w:t>(b)</w:t>
      </w:r>
      <w:r w:rsidRPr="0011747E">
        <w:tab/>
        <w:t>the first person mentioned in subsection</w:t>
      </w:r>
      <w:r w:rsidR="0011747E" w:rsidRPr="0011747E">
        <w:t> </w:t>
      </w:r>
      <w:r w:rsidRPr="0011747E">
        <w:t>156F(1) of the Act applied for a reconsideration of the referral fee or any other fee payable under this Division in relation to the assessment of the impacts of the action;</w:t>
      </w:r>
    </w:p>
    <w:p w:rsidR="00011292" w:rsidRPr="0011747E" w:rsidRDefault="00011292" w:rsidP="00011292">
      <w:pPr>
        <w:pStyle w:val="subsection2"/>
      </w:pPr>
      <w:r w:rsidRPr="0011747E">
        <w:t>the second person mentioned in subsection</w:t>
      </w:r>
      <w:r w:rsidR="0011747E" w:rsidRPr="0011747E">
        <w:t> </w:t>
      </w:r>
      <w:r w:rsidRPr="0011747E">
        <w:t>156F(1) of the Act may not apply for a reconsideration of a fee in respect of which an application has previously been made.</w:t>
      </w:r>
    </w:p>
    <w:p w:rsidR="00C735AE" w:rsidRPr="0011747E" w:rsidRDefault="00FA3B78" w:rsidP="00FA3B78">
      <w:pPr>
        <w:pStyle w:val="ActHead5"/>
      </w:pPr>
      <w:bookmarkStart w:id="77" w:name="_Toc396376275"/>
      <w:r w:rsidRPr="0011747E">
        <w:rPr>
          <w:rStyle w:val="CharSectno"/>
        </w:rPr>
        <w:t>5.20A</w:t>
      </w:r>
      <w:r w:rsidRPr="0011747E">
        <w:t xml:space="preserve">  Reconsideration results in higher fee</w:t>
      </w:r>
      <w:bookmarkEnd w:id="77"/>
    </w:p>
    <w:p w:rsidR="0000459B" w:rsidRPr="0011747E" w:rsidRDefault="0000459B" w:rsidP="0000459B">
      <w:pPr>
        <w:pStyle w:val="subsection"/>
      </w:pPr>
      <w:r w:rsidRPr="0011747E">
        <w:tab/>
      </w:r>
      <w:r w:rsidR="00220257" w:rsidRPr="0011747E">
        <w:t>(1)</w:t>
      </w:r>
      <w:r w:rsidRPr="0011747E">
        <w:tab/>
        <w:t>If:</w:t>
      </w:r>
    </w:p>
    <w:p w:rsidR="0000459B" w:rsidRPr="0011747E" w:rsidRDefault="0000459B" w:rsidP="0000459B">
      <w:pPr>
        <w:pStyle w:val="paragraph"/>
      </w:pPr>
      <w:r w:rsidRPr="0011747E">
        <w:tab/>
        <w:t>(a)</w:t>
      </w:r>
      <w:r w:rsidRPr="0011747E">
        <w:tab/>
        <w:t>the method used to work out a fee is reconsidered under section</w:t>
      </w:r>
      <w:r w:rsidR="0011747E" w:rsidRPr="0011747E">
        <w:t> </w:t>
      </w:r>
      <w:r w:rsidRPr="0011747E">
        <w:t>514YA of the Act; and</w:t>
      </w:r>
    </w:p>
    <w:p w:rsidR="0000459B" w:rsidRPr="0011747E" w:rsidRDefault="0000459B" w:rsidP="0000459B">
      <w:pPr>
        <w:pStyle w:val="paragraph"/>
      </w:pPr>
      <w:r w:rsidRPr="0011747E">
        <w:tab/>
        <w:t>(b)</w:t>
      </w:r>
      <w:r w:rsidRPr="0011747E">
        <w:tab/>
        <w:t>as a result of the reconsideration, a new fee is worked out by using the method again; and</w:t>
      </w:r>
    </w:p>
    <w:p w:rsidR="0000459B" w:rsidRPr="0011747E" w:rsidRDefault="0000459B" w:rsidP="0000459B">
      <w:pPr>
        <w:pStyle w:val="paragraph"/>
      </w:pPr>
      <w:r w:rsidRPr="0011747E">
        <w:tab/>
        <w:t>(c)</w:t>
      </w:r>
      <w:r w:rsidRPr="0011747E">
        <w:tab/>
        <w:t>the new fee is higher than the original fee;</w:t>
      </w:r>
    </w:p>
    <w:p w:rsidR="00DA29EA" w:rsidRPr="0011747E" w:rsidRDefault="0000459B" w:rsidP="00DA29EA">
      <w:pPr>
        <w:pStyle w:val="subsection2"/>
      </w:pPr>
      <w:r w:rsidRPr="0011747E">
        <w:t>the person must pay</w:t>
      </w:r>
      <w:r w:rsidR="00DA29EA" w:rsidRPr="0011747E">
        <w:t xml:space="preserve"> </w:t>
      </w:r>
      <w:r w:rsidRPr="0011747E">
        <w:t>the new</w:t>
      </w:r>
      <w:r w:rsidR="00DA29EA" w:rsidRPr="0011747E">
        <w:t xml:space="preserve"> fee</w:t>
      </w:r>
      <w:r w:rsidR="00E34CFD" w:rsidRPr="0011747E">
        <w:t>,</w:t>
      </w:r>
      <w:r w:rsidR="00DA29EA" w:rsidRPr="0011747E">
        <w:t xml:space="preserve"> or if the person had paid the original fee, the amount by which the new fee is higher than the original fee.</w:t>
      </w:r>
    </w:p>
    <w:p w:rsidR="00220257" w:rsidRPr="0011747E" w:rsidRDefault="00220257" w:rsidP="00220257">
      <w:pPr>
        <w:pStyle w:val="subsection"/>
      </w:pPr>
      <w:r w:rsidRPr="0011747E">
        <w:tab/>
        <w:t>(2)</w:t>
      </w:r>
      <w:r w:rsidRPr="0011747E">
        <w:tab/>
      </w:r>
      <w:r w:rsidR="003E491D" w:rsidRPr="0011747E">
        <w:t>T</w:t>
      </w:r>
      <w:r w:rsidRPr="0011747E">
        <w:t>he amount</w:t>
      </w:r>
      <w:r w:rsidR="00AC629C" w:rsidRPr="0011747E">
        <w:t xml:space="preserve"> of the new fee or by which the new fee is higher than the original fee</w:t>
      </w:r>
      <w:r w:rsidRPr="0011747E">
        <w:t>:</w:t>
      </w:r>
    </w:p>
    <w:p w:rsidR="00220257" w:rsidRPr="0011747E" w:rsidRDefault="00220257" w:rsidP="00220257">
      <w:pPr>
        <w:pStyle w:val="paragraph"/>
      </w:pPr>
      <w:r w:rsidRPr="0011747E">
        <w:tab/>
        <w:t>(a)</w:t>
      </w:r>
      <w:r w:rsidRPr="0011747E">
        <w:tab/>
        <w:t>is a debt due by the person to the Commonwealth; and</w:t>
      </w:r>
    </w:p>
    <w:p w:rsidR="00220257" w:rsidRPr="0011747E" w:rsidRDefault="00220257" w:rsidP="00220257">
      <w:pPr>
        <w:pStyle w:val="paragraph"/>
      </w:pPr>
      <w:r w:rsidRPr="0011747E">
        <w:tab/>
        <w:t>(b)</w:t>
      </w:r>
      <w:r w:rsidRPr="0011747E">
        <w:tab/>
        <w:t>may be recovered by action in a court of competent jurisdiction.</w:t>
      </w:r>
    </w:p>
    <w:p w:rsidR="00E04F89" w:rsidRPr="0011747E" w:rsidRDefault="003B672B" w:rsidP="00E04F89">
      <w:pPr>
        <w:pStyle w:val="ActHead4"/>
      </w:pPr>
      <w:bookmarkStart w:id="78" w:name="_Toc396376276"/>
      <w:r w:rsidRPr="0011747E">
        <w:rPr>
          <w:rStyle w:val="CharSubdNo"/>
        </w:rPr>
        <w:t>Subdivision K</w:t>
      </w:r>
      <w:r w:rsidR="00E04F89" w:rsidRPr="0011747E">
        <w:t>—</w:t>
      </w:r>
      <w:r w:rsidR="00E04F89" w:rsidRPr="0011747E">
        <w:rPr>
          <w:rStyle w:val="CharSubdText"/>
        </w:rPr>
        <w:t>Waiver of fees</w:t>
      </w:r>
      <w:bookmarkEnd w:id="78"/>
    </w:p>
    <w:p w:rsidR="001E4AB7" w:rsidRPr="0011747E" w:rsidRDefault="00556F13" w:rsidP="00E04F89">
      <w:pPr>
        <w:pStyle w:val="ActHead5"/>
      </w:pPr>
      <w:bookmarkStart w:id="79" w:name="_Toc396376277"/>
      <w:r w:rsidRPr="0011747E">
        <w:rPr>
          <w:rStyle w:val="CharSectno"/>
        </w:rPr>
        <w:t>5.21</w:t>
      </w:r>
      <w:r w:rsidR="00530CB3" w:rsidRPr="0011747E">
        <w:t xml:space="preserve">  </w:t>
      </w:r>
      <w:r w:rsidR="00C01BC8" w:rsidRPr="0011747E">
        <w:t>Waiver of all or part of</w:t>
      </w:r>
      <w:r w:rsidR="00112151" w:rsidRPr="0011747E">
        <w:t xml:space="preserve"> a</w:t>
      </w:r>
      <w:r w:rsidR="00C01BC8" w:rsidRPr="0011747E">
        <w:t xml:space="preserve"> fee</w:t>
      </w:r>
      <w:bookmarkEnd w:id="79"/>
    </w:p>
    <w:p w:rsidR="00530CB3" w:rsidRPr="0011747E" w:rsidRDefault="00556F13" w:rsidP="00556F13">
      <w:pPr>
        <w:pStyle w:val="subsection"/>
      </w:pPr>
      <w:r w:rsidRPr="0011747E">
        <w:tab/>
        <w:t>(1)</w:t>
      </w:r>
      <w:r w:rsidRPr="0011747E">
        <w:tab/>
      </w:r>
      <w:r w:rsidR="00B16373" w:rsidRPr="0011747E">
        <w:t>For subparagraph</w:t>
      </w:r>
      <w:r w:rsidR="0011747E" w:rsidRPr="0011747E">
        <w:t> </w:t>
      </w:r>
      <w:r w:rsidR="00B16373" w:rsidRPr="0011747E">
        <w:t>520(4C)(e)(iv)</w:t>
      </w:r>
      <w:r w:rsidR="004F133A" w:rsidRPr="0011747E">
        <w:t xml:space="preserve"> of the Act</w:t>
      </w:r>
      <w:r w:rsidR="00B16373" w:rsidRPr="0011747E">
        <w:t>, the Minister</w:t>
      </w:r>
      <w:r w:rsidRPr="0011747E">
        <w:t xml:space="preserve"> may</w:t>
      </w:r>
      <w:r w:rsidR="005C7052" w:rsidRPr="0011747E">
        <w:t>, at the Minister’s discretion,</w:t>
      </w:r>
      <w:r w:rsidRPr="0011747E">
        <w:t xml:space="preserve"> waive all or a part of a fee that</w:t>
      </w:r>
      <w:r w:rsidR="00802556" w:rsidRPr="0011747E">
        <w:t xml:space="preserve"> </w:t>
      </w:r>
      <w:r w:rsidRPr="0011747E">
        <w:t>would otherwise be payable under this Division</w:t>
      </w:r>
      <w:r w:rsidR="00530CB3" w:rsidRPr="0011747E">
        <w:t xml:space="preserve"> </w:t>
      </w:r>
      <w:r w:rsidR="00B16373" w:rsidRPr="0011747E">
        <w:t>in the following circumstances</w:t>
      </w:r>
      <w:r w:rsidR="00530CB3" w:rsidRPr="0011747E">
        <w:t>:</w:t>
      </w:r>
    </w:p>
    <w:p w:rsidR="001D0710" w:rsidRPr="0011747E" w:rsidRDefault="00530CB3" w:rsidP="001D0710">
      <w:pPr>
        <w:pStyle w:val="paragraph"/>
      </w:pPr>
      <w:r w:rsidRPr="0011747E">
        <w:tab/>
        <w:t>(a)</w:t>
      </w:r>
      <w:r w:rsidRPr="0011747E">
        <w:tab/>
      </w:r>
      <w:r w:rsidR="00461959" w:rsidRPr="0011747E">
        <w:t>in respect of an action that has been, is being, or is to be, assessed—</w:t>
      </w:r>
      <w:r w:rsidR="001D0710" w:rsidRPr="0011747E">
        <w:t>the</w:t>
      </w:r>
      <w:r w:rsidR="00B16373" w:rsidRPr="0011747E">
        <w:t xml:space="preserve"> Minister considers that the</w:t>
      </w:r>
      <w:r w:rsidR="001D0710" w:rsidRPr="0011747E">
        <w:t xml:space="preserve"> action</w:t>
      </w:r>
      <w:r w:rsidR="008D03D1" w:rsidRPr="0011747E">
        <w:t>’s primary objective is</w:t>
      </w:r>
      <w:r w:rsidR="001D0710" w:rsidRPr="0011747E">
        <w:t xml:space="preserve"> to protect the environment, or protect and conserve heritage,</w:t>
      </w:r>
      <w:r w:rsidR="008F76E6" w:rsidRPr="0011747E">
        <w:t xml:space="preserve"> in a way that is</w:t>
      </w:r>
      <w:r w:rsidR="001D0710" w:rsidRPr="0011747E">
        <w:t xml:space="preserve"> consisten</w:t>
      </w:r>
      <w:r w:rsidR="00461959" w:rsidRPr="0011747E">
        <w:t>t</w:t>
      </w:r>
      <w:r w:rsidR="00B16373" w:rsidRPr="0011747E">
        <w:t xml:space="preserve"> with the objects of the Act;</w:t>
      </w:r>
    </w:p>
    <w:p w:rsidR="00B16373" w:rsidRPr="0011747E" w:rsidRDefault="00530CB3" w:rsidP="00530CB3">
      <w:pPr>
        <w:pStyle w:val="paragraph"/>
      </w:pPr>
      <w:r w:rsidRPr="0011747E">
        <w:tab/>
        <w:t>(b)</w:t>
      </w:r>
      <w:r w:rsidRPr="0011747E">
        <w:tab/>
      </w:r>
      <w:r w:rsidR="00B16373" w:rsidRPr="0011747E">
        <w:t>the Minister considers that:</w:t>
      </w:r>
    </w:p>
    <w:p w:rsidR="00556F13" w:rsidRPr="0011747E" w:rsidRDefault="00B16373" w:rsidP="00B16373">
      <w:pPr>
        <w:pStyle w:val="paragraphsub"/>
      </w:pPr>
      <w:r w:rsidRPr="0011747E">
        <w:tab/>
        <w:t>(i)</w:t>
      </w:r>
      <w:r w:rsidRPr="0011747E">
        <w:tab/>
      </w:r>
      <w:r w:rsidR="00613D87" w:rsidRPr="0011747E">
        <w:t xml:space="preserve">it is in the public interest to </w:t>
      </w:r>
      <w:r w:rsidR="00CD4934" w:rsidRPr="0011747E">
        <w:t>do so</w:t>
      </w:r>
      <w:r w:rsidR="001D0710" w:rsidRPr="0011747E">
        <w:t>; or</w:t>
      </w:r>
    </w:p>
    <w:p w:rsidR="001D0710" w:rsidRPr="0011747E" w:rsidRDefault="001D0710" w:rsidP="00B16373">
      <w:pPr>
        <w:pStyle w:val="paragraphsub"/>
      </w:pPr>
      <w:r w:rsidRPr="0011747E">
        <w:tab/>
        <w:t>(</w:t>
      </w:r>
      <w:r w:rsidR="00B16373" w:rsidRPr="0011747E">
        <w:t>ii</w:t>
      </w:r>
      <w:r w:rsidRPr="0011747E">
        <w:t>)</w:t>
      </w:r>
      <w:r w:rsidRPr="0011747E">
        <w:tab/>
        <w:t>there are other exceptional circumstances justifying the waiver.</w:t>
      </w:r>
    </w:p>
    <w:p w:rsidR="00556F13" w:rsidRPr="0011747E" w:rsidRDefault="00556F13" w:rsidP="00556F13">
      <w:pPr>
        <w:pStyle w:val="subsection"/>
      </w:pPr>
      <w:r w:rsidRPr="0011747E">
        <w:tab/>
        <w:t>(</w:t>
      </w:r>
      <w:r w:rsidR="007031D3" w:rsidRPr="0011747E">
        <w:t>2</w:t>
      </w:r>
      <w:r w:rsidRPr="0011747E">
        <w:t>)</w:t>
      </w:r>
      <w:r w:rsidRPr="0011747E">
        <w:tab/>
        <w:t>The Minister</w:t>
      </w:r>
      <w:r w:rsidR="00530CB3" w:rsidRPr="0011747E">
        <w:t>’s power under subregulation</w:t>
      </w:r>
      <w:r w:rsidR="0011747E" w:rsidRPr="0011747E">
        <w:t> </w:t>
      </w:r>
      <w:r w:rsidR="00530CB3" w:rsidRPr="0011747E">
        <w:t>(1)</w:t>
      </w:r>
      <w:r w:rsidRPr="0011747E">
        <w:t xml:space="preserve"> may </w:t>
      </w:r>
      <w:r w:rsidR="00530CB3" w:rsidRPr="0011747E">
        <w:t>be exercised</w:t>
      </w:r>
      <w:r w:rsidRPr="0011747E">
        <w:t>:</w:t>
      </w:r>
    </w:p>
    <w:p w:rsidR="00530CB3" w:rsidRPr="0011747E" w:rsidRDefault="00530CB3" w:rsidP="00530CB3">
      <w:pPr>
        <w:pStyle w:val="paragraph"/>
      </w:pPr>
      <w:r w:rsidRPr="0011747E">
        <w:tab/>
        <w:t>(a)</w:t>
      </w:r>
      <w:r w:rsidRPr="0011747E">
        <w:tab/>
        <w:t>on the Minister’s own initiative; or</w:t>
      </w:r>
    </w:p>
    <w:p w:rsidR="00530CB3" w:rsidRPr="0011747E" w:rsidRDefault="00530CB3" w:rsidP="00530CB3">
      <w:pPr>
        <w:pStyle w:val="paragraph"/>
      </w:pPr>
      <w:r w:rsidRPr="0011747E">
        <w:tab/>
        <w:t>(b)</w:t>
      </w:r>
      <w:r w:rsidRPr="0011747E">
        <w:tab/>
        <w:t>on the application of a person</w:t>
      </w:r>
      <w:r w:rsidR="0063350C" w:rsidRPr="0011747E">
        <w:t xml:space="preserve"> proposing to take an action</w:t>
      </w:r>
      <w:r w:rsidRPr="0011747E">
        <w:t>.</w:t>
      </w:r>
    </w:p>
    <w:p w:rsidR="00E04F89" w:rsidRPr="0011747E" w:rsidRDefault="00E04F89" w:rsidP="00E04F89">
      <w:pPr>
        <w:pStyle w:val="ActHead5"/>
      </w:pPr>
      <w:bookmarkStart w:id="80" w:name="_Toc396376278"/>
      <w:r w:rsidRPr="0011747E">
        <w:rPr>
          <w:rStyle w:val="CharSectno"/>
        </w:rPr>
        <w:t>5.21</w:t>
      </w:r>
      <w:r w:rsidR="009F43BC" w:rsidRPr="0011747E">
        <w:rPr>
          <w:rStyle w:val="CharSectno"/>
        </w:rPr>
        <w:t>A</w:t>
      </w:r>
      <w:r w:rsidRPr="0011747E">
        <w:t xml:space="preserve">  </w:t>
      </w:r>
      <w:r w:rsidR="001E4AB7" w:rsidRPr="0011747E">
        <w:t>Application for w</w:t>
      </w:r>
      <w:r w:rsidRPr="0011747E">
        <w:t>aiver</w:t>
      </w:r>
      <w:r w:rsidR="001E4AB7" w:rsidRPr="0011747E">
        <w:t xml:space="preserve"> of fee</w:t>
      </w:r>
      <w:bookmarkEnd w:id="80"/>
    </w:p>
    <w:p w:rsidR="00403AA8" w:rsidRPr="0011747E" w:rsidRDefault="00F86172" w:rsidP="00C01BC8">
      <w:pPr>
        <w:pStyle w:val="subsection"/>
      </w:pPr>
      <w:r w:rsidRPr="0011747E">
        <w:tab/>
        <w:t>(1)</w:t>
      </w:r>
      <w:r w:rsidRPr="0011747E">
        <w:tab/>
        <w:t>A person proposing to take</w:t>
      </w:r>
      <w:r w:rsidR="00C01BC8" w:rsidRPr="0011747E">
        <w:t xml:space="preserve"> an action may</w:t>
      </w:r>
      <w:r w:rsidR="00403AA8" w:rsidRPr="0011747E">
        <w:t xml:space="preserve"> </w:t>
      </w:r>
      <w:r w:rsidR="00C01BC8" w:rsidRPr="0011747E">
        <w:t xml:space="preserve">apply </w:t>
      </w:r>
      <w:r w:rsidR="00403AA8" w:rsidRPr="0011747E">
        <w:t>for all or part of a fee to be waived.</w:t>
      </w:r>
    </w:p>
    <w:p w:rsidR="00412A41" w:rsidRPr="0011747E" w:rsidRDefault="00403AA8" w:rsidP="004C0FA1">
      <w:pPr>
        <w:pStyle w:val="subsection"/>
      </w:pPr>
      <w:r w:rsidRPr="0011747E">
        <w:tab/>
        <w:t>(2)</w:t>
      </w:r>
      <w:r w:rsidRPr="0011747E">
        <w:tab/>
        <w:t>The application may be made</w:t>
      </w:r>
      <w:r w:rsidR="00412A41" w:rsidRPr="0011747E">
        <w:t>:</w:t>
      </w:r>
    </w:p>
    <w:p w:rsidR="00E67D0A" w:rsidRPr="0011747E" w:rsidRDefault="00412A41" w:rsidP="00412A41">
      <w:pPr>
        <w:pStyle w:val="paragraph"/>
      </w:pPr>
      <w:r w:rsidRPr="0011747E">
        <w:tab/>
        <w:t>(a)</w:t>
      </w:r>
      <w:r w:rsidRPr="0011747E">
        <w:tab/>
      </w:r>
      <w:r w:rsidR="00E67D0A" w:rsidRPr="0011747E">
        <w:t>if the Minister has made a determination under subsection</w:t>
      </w:r>
      <w:r w:rsidR="0011747E" w:rsidRPr="0011747E">
        <w:t> </w:t>
      </w:r>
      <w:r w:rsidR="00E67D0A" w:rsidRPr="0011747E">
        <w:t xml:space="preserve">70(3) of the Act in relation to a requested person—within 10 business days </w:t>
      </w:r>
      <w:r w:rsidR="003D7FF8" w:rsidRPr="0011747E">
        <w:t>of a copy of the determination being given to the requested person; and</w:t>
      </w:r>
    </w:p>
    <w:p w:rsidR="00412A41" w:rsidRPr="0011747E" w:rsidRDefault="00E67D0A" w:rsidP="00412A41">
      <w:pPr>
        <w:pStyle w:val="paragraph"/>
      </w:pPr>
      <w:r w:rsidRPr="0011747E">
        <w:tab/>
        <w:t>(b)</w:t>
      </w:r>
      <w:r w:rsidRPr="0011747E">
        <w:tab/>
      </w:r>
      <w:r w:rsidR="00412A41" w:rsidRPr="0011747E">
        <w:t xml:space="preserve">if a referral is </w:t>
      </w:r>
      <w:r w:rsidRPr="0011747E">
        <w:t>made</w:t>
      </w:r>
      <w:r w:rsidR="00412A41" w:rsidRPr="0011747E">
        <w:t xml:space="preserve"> and a person is informed of the referral</w:t>
      </w:r>
      <w:r w:rsidRPr="0011747E">
        <w:t xml:space="preserve"> under section</w:t>
      </w:r>
      <w:r w:rsidR="0011747E" w:rsidRPr="0011747E">
        <w:t> </w:t>
      </w:r>
      <w:r w:rsidRPr="0011747E">
        <w:t>73 of the Act—within 10 business days of the person being so informed; and</w:t>
      </w:r>
    </w:p>
    <w:p w:rsidR="005B1E99" w:rsidRPr="0011747E" w:rsidRDefault="005B1E99" w:rsidP="00412A41">
      <w:pPr>
        <w:pStyle w:val="paragraph"/>
      </w:pPr>
      <w:r w:rsidRPr="0011747E">
        <w:tab/>
        <w:t>(c)</w:t>
      </w:r>
      <w:r w:rsidRPr="0011747E">
        <w:tab/>
        <w:t>if section</w:t>
      </w:r>
      <w:r w:rsidR="0011747E" w:rsidRPr="0011747E">
        <w:t> </w:t>
      </w:r>
      <w:r w:rsidRPr="0011747E">
        <w:t>145B of the Act applies in relation to the action—at the same time as the Minister’s consent is sought under that section; and</w:t>
      </w:r>
    </w:p>
    <w:p w:rsidR="005B1E99" w:rsidRPr="0011747E" w:rsidRDefault="005B1E99" w:rsidP="00412A41">
      <w:pPr>
        <w:pStyle w:val="paragraph"/>
      </w:pPr>
      <w:r w:rsidRPr="0011747E">
        <w:tab/>
        <w:t>(d)</w:t>
      </w:r>
      <w:r w:rsidRPr="0011747E">
        <w:tab/>
        <w:t>if section</w:t>
      </w:r>
      <w:r w:rsidR="0011747E" w:rsidRPr="0011747E">
        <w:t> </w:t>
      </w:r>
      <w:r w:rsidRPr="0011747E">
        <w:t xml:space="preserve">156F of the Act applies in relation to the action—at the same time </w:t>
      </w:r>
      <w:r w:rsidR="00AF4B76" w:rsidRPr="0011747E">
        <w:t>as notification is given to the Minister under subsection</w:t>
      </w:r>
      <w:r w:rsidR="0011747E" w:rsidRPr="0011747E">
        <w:t> </w:t>
      </w:r>
      <w:r w:rsidR="00AF4B76" w:rsidRPr="0011747E">
        <w:t>156F(1); and</w:t>
      </w:r>
    </w:p>
    <w:p w:rsidR="004C0FA1" w:rsidRPr="0011747E" w:rsidRDefault="00E67D0A" w:rsidP="00E67D0A">
      <w:pPr>
        <w:pStyle w:val="paragraph"/>
      </w:pPr>
      <w:r w:rsidRPr="0011747E">
        <w:tab/>
        <w:t>(</w:t>
      </w:r>
      <w:r w:rsidR="00AF4B76" w:rsidRPr="0011747E">
        <w:t>e</w:t>
      </w:r>
      <w:r w:rsidRPr="0011747E">
        <w:t>)</w:t>
      </w:r>
      <w:r w:rsidRPr="0011747E">
        <w:tab/>
        <w:t>in any other case—</w:t>
      </w:r>
      <w:r w:rsidR="00403AA8" w:rsidRPr="0011747E">
        <w:t xml:space="preserve">at any time before, or at the same time as, </w:t>
      </w:r>
      <w:r w:rsidR="004C0FA1" w:rsidRPr="0011747E">
        <w:t>a</w:t>
      </w:r>
      <w:r w:rsidR="00403AA8" w:rsidRPr="0011747E">
        <w:t xml:space="preserve"> refer</w:t>
      </w:r>
      <w:r w:rsidR="00CE571C" w:rsidRPr="0011747E">
        <w:t>ral is made</w:t>
      </w:r>
      <w:r w:rsidR="004C0FA1" w:rsidRPr="0011747E">
        <w:t xml:space="preserve"> under section</w:t>
      </w:r>
      <w:r w:rsidR="0011747E" w:rsidRPr="0011747E">
        <w:t> </w:t>
      </w:r>
      <w:r w:rsidR="004C0FA1" w:rsidRPr="0011747E">
        <w:t>68 of the Act.</w:t>
      </w:r>
    </w:p>
    <w:p w:rsidR="009F43BC" w:rsidRPr="0011747E" w:rsidRDefault="009F43BC" w:rsidP="00C01BC8">
      <w:pPr>
        <w:pStyle w:val="subsection"/>
      </w:pPr>
      <w:r w:rsidRPr="0011747E">
        <w:tab/>
        <w:t>(3)</w:t>
      </w:r>
      <w:r w:rsidRPr="0011747E">
        <w:tab/>
        <w:t>The application must</w:t>
      </w:r>
      <w:r w:rsidR="00A64B37" w:rsidRPr="0011747E">
        <w:t>:</w:t>
      </w:r>
    </w:p>
    <w:p w:rsidR="00A81F5A" w:rsidRPr="0011747E" w:rsidRDefault="00A81F5A" w:rsidP="00A81F5A">
      <w:pPr>
        <w:pStyle w:val="paragraph"/>
      </w:pPr>
      <w:r w:rsidRPr="0011747E">
        <w:tab/>
        <w:t>(a)</w:t>
      </w:r>
      <w:r w:rsidRPr="0011747E">
        <w:tab/>
        <w:t>be in writing; and</w:t>
      </w:r>
    </w:p>
    <w:p w:rsidR="00A81F5A" w:rsidRPr="0011747E" w:rsidRDefault="00A81F5A" w:rsidP="00A81F5A">
      <w:pPr>
        <w:pStyle w:val="paragraph"/>
      </w:pPr>
      <w:r w:rsidRPr="0011747E">
        <w:tab/>
        <w:t>(b)</w:t>
      </w:r>
      <w:r w:rsidRPr="0011747E">
        <w:tab/>
        <w:t>set out the following:</w:t>
      </w:r>
    </w:p>
    <w:p w:rsidR="00A81F5A" w:rsidRPr="0011747E" w:rsidRDefault="00A81F5A" w:rsidP="00A81F5A">
      <w:pPr>
        <w:pStyle w:val="paragraphsub"/>
      </w:pPr>
      <w:r w:rsidRPr="0011747E">
        <w:tab/>
        <w:t>(i)</w:t>
      </w:r>
      <w:r w:rsidRPr="0011747E">
        <w:tab/>
        <w:t>the applicant’s name and contact details;</w:t>
      </w:r>
    </w:p>
    <w:p w:rsidR="00671E0D" w:rsidRPr="0011747E" w:rsidRDefault="00671E0D" w:rsidP="00671E0D">
      <w:pPr>
        <w:pStyle w:val="paragraphsub"/>
      </w:pPr>
      <w:r w:rsidRPr="0011747E">
        <w:tab/>
        <w:t>(ii)</w:t>
      </w:r>
      <w:r w:rsidRPr="0011747E">
        <w:tab/>
        <w:t>if the applicant has an ABN—the applicant’s ABN;</w:t>
      </w:r>
    </w:p>
    <w:p w:rsidR="00671E0D" w:rsidRPr="0011747E" w:rsidRDefault="00671E0D" w:rsidP="00671E0D">
      <w:pPr>
        <w:pStyle w:val="paragraphsub"/>
      </w:pPr>
      <w:r w:rsidRPr="0011747E">
        <w:tab/>
        <w:t>(iii)</w:t>
      </w:r>
      <w:r w:rsidRPr="0011747E">
        <w:tab/>
        <w:t>if the applicant has an ACN—the applicant’s ACN;</w:t>
      </w:r>
    </w:p>
    <w:p w:rsidR="00A86893" w:rsidRPr="0011747E" w:rsidRDefault="00727033" w:rsidP="00A81F5A">
      <w:pPr>
        <w:pStyle w:val="paragraphsub"/>
      </w:pPr>
      <w:r w:rsidRPr="0011747E">
        <w:tab/>
        <w:t>(i</w:t>
      </w:r>
      <w:r w:rsidR="00671E0D" w:rsidRPr="0011747E">
        <w:t>v</w:t>
      </w:r>
      <w:r w:rsidR="00A86893" w:rsidRPr="0011747E">
        <w:t>)</w:t>
      </w:r>
      <w:r w:rsidR="00A86893" w:rsidRPr="0011747E">
        <w:tab/>
      </w:r>
      <w:r w:rsidR="008D4377" w:rsidRPr="0011747E">
        <w:t>having regard to paragraph</w:t>
      </w:r>
      <w:r w:rsidR="00F86172" w:rsidRPr="0011747E">
        <w:t>s</w:t>
      </w:r>
      <w:r w:rsidR="00CE7A7B" w:rsidRPr="0011747E">
        <w:t xml:space="preserve"> </w:t>
      </w:r>
      <w:r w:rsidR="008D4377" w:rsidRPr="0011747E">
        <w:t>5.2</w:t>
      </w:r>
      <w:r w:rsidR="00E34295" w:rsidRPr="0011747E">
        <w:t>1</w:t>
      </w:r>
      <w:r w:rsidR="008D4377" w:rsidRPr="0011747E">
        <w:t>(1)(a)</w:t>
      </w:r>
      <w:r w:rsidR="004F133A" w:rsidRPr="0011747E">
        <w:t xml:space="preserve"> and</w:t>
      </w:r>
      <w:r w:rsidR="008D4377" w:rsidRPr="0011747E">
        <w:t xml:space="preserve"> (b), </w:t>
      </w:r>
      <w:r w:rsidR="00A86893" w:rsidRPr="0011747E">
        <w:t xml:space="preserve">the grounds on which the applicant considers that </w:t>
      </w:r>
      <w:r w:rsidR="008D4377" w:rsidRPr="0011747E">
        <w:t>a</w:t>
      </w:r>
      <w:r w:rsidR="00A86893" w:rsidRPr="0011747E">
        <w:t xml:space="preserve"> waiver should be made and the reasons why it should be made.</w:t>
      </w:r>
    </w:p>
    <w:p w:rsidR="00E33FCB" w:rsidRPr="0011747E" w:rsidRDefault="00A64B37" w:rsidP="00E33FCB">
      <w:pPr>
        <w:pStyle w:val="subsection"/>
      </w:pPr>
      <w:r w:rsidRPr="0011747E">
        <w:tab/>
        <w:t>(4)</w:t>
      </w:r>
      <w:r w:rsidRPr="0011747E">
        <w:tab/>
        <w:t>The Minister must consid</w:t>
      </w:r>
      <w:r w:rsidR="00E33FCB" w:rsidRPr="0011747E">
        <w:t xml:space="preserve">er the application </w:t>
      </w:r>
      <w:r w:rsidR="008F66F1" w:rsidRPr="0011747E">
        <w:t>within 20 business days after it is made</w:t>
      </w:r>
      <w:r w:rsidR="00E33FCB" w:rsidRPr="0011747E">
        <w:t>.</w:t>
      </w:r>
    </w:p>
    <w:p w:rsidR="009D05C1" w:rsidRPr="0011747E" w:rsidRDefault="00510748" w:rsidP="005C16FB">
      <w:pPr>
        <w:pStyle w:val="subsection"/>
      </w:pPr>
      <w:r w:rsidRPr="0011747E">
        <w:tab/>
        <w:t>(5)</w:t>
      </w:r>
      <w:r w:rsidRPr="0011747E">
        <w:tab/>
      </w:r>
      <w:r w:rsidR="005C16FB" w:rsidRPr="0011747E">
        <w:t xml:space="preserve">As soon as practicable after considering the application, the Minister must </w:t>
      </w:r>
      <w:r w:rsidR="009D05C1" w:rsidRPr="0011747E">
        <w:t>advise the person, by</w:t>
      </w:r>
      <w:r w:rsidR="005C16FB" w:rsidRPr="0011747E">
        <w:t xml:space="preserve"> written notice</w:t>
      </w:r>
      <w:r w:rsidR="009D05C1" w:rsidRPr="0011747E">
        <w:t>, whether all or part of a fee has been waived</w:t>
      </w:r>
      <w:r w:rsidR="006003AB" w:rsidRPr="0011747E">
        <w:t xml:space="preserve"> and of the reasons for the Minister’s decision.</w:t>
      </w:r>
    </w:p>
    <w:p w:rsidR="004C52FF" w:rsidRPr="0011747E" w:rsidRDefault="004C52FF" w:rsidP="004C52FF">
      <w:pPr>
        <w:pStyle w:val="subsection"/>
      </w:pPr>
      <w:r w:rsidRPr="0011747E">
        <w:tab/>
      </w:r>
      <w:r w:rsidR="00510748" w:rsidRPr="0011747E">
        <w:t>(6</w:t>
      </w:r>
      <w:r w:rsidRPr="0011747E">
        <w:t>)</w:t>
      </w:r>
      <w:r w:rsidRPr="0011747E">
        <w:tab/>
        <w:t>To avoid doubt, t</w:t>
      </w:r>
      <w:r w:rsidR="00A05B62" w:rsidRPr="0011747E">
        <w:t>he fact that, after considering the application, the Minister decides not to waive all or part of a fee does not prevent the Minister later waiving all or part of the fee on</w:t>
      </w:r>
      <w:r w:rsidR="00727033" w:rsidRPr="0011747E">
        <w:t xml:space="preserve"> the Minister’s own initiative.</w:t>
      </w:r>
    </w:p>
    <w:p w:rsidR="00B16373" w:rsidRPr="0011747E" w:rsidRDefault="00B16373" w:rsidP="00B16373">
      <w:pPr>
        <w:pStyle w:val="ActHead4"/>
      </w:pPr>
      <w:bookmarkStart w:id="81" w:name="_Toc396376279"/>
      <w:r w:rsidRPr="0011747E">
        <w:rPr>
          <w:rStyle w:val="CharSubdNo"/>
        </w:rPr>
        <w:t xml:space="preserve">Subdivision </w:t>
      </w:r>
      <w:r w:rsidR="003B672B" w:rsidRPr="0011747E">
        <w:rPr>
          <w:rStyle w:val="CharSubdNo"/>
        </w:rPr>
        <w:t>L</w:t>
      </w:r>
      <w:r w:rsidRPr="0011747E">
        <w:t>—</w:t>
      </w:r>
      <w:r w:rsidRPr="0011747E">
        <w:rPr>
          <w:rStyle w:val="CharSubdText"/>
        </w:rPr>
        <w:t>Refunds</w:t>
      </w:r>
      <w:r w:rsidR="000E2C17" w:rsidRPr="0011747E">
        <w:rPr>
          <w:rStyle w:val="CharSubdText"/>
        </w:rPr>
        <w:t xml:space="preserve"> of fees</w:t>
      </w:r>
      <w:bookmarkEnd w:id="81"/>
    </w:p>
    <w:p w:rsidR="002D60DE" w:rsidRPr="0011747E" w:rsidRDefault="002D60DE" w:rsidP="002D60DE">
      <w:pPr>
        <w:pStyle w:val="ActHead5"/>
      </w:pPr>
      <w:bookmarkStart w:id="82" w:name="_Toc396376280"/>
      <w:r w:rsidRPr="0011747E">
        <w:rPr>
          <w:rStyle w:val="CharSectno"/>
        </w:rPr>
        <w:t>5.2</w:t>
      </w:r>
      <w:r w:rsidR="00220257" w:rsidRPr="0011747E">
        <w:rPr>
          <w:rStyle w:val="CharSectno"/>
        </w:rPr>
        <w:t>2</w:t>
      </w:r>
      <w:r w:rsidRPr="0011747E">
        <w:t xml:space="preserve">  Refund</w:t>
      </w:r>
      <w:r w:rsidR="00112151" w:rsidRPr="0011747E">
        <w:t xml:space="preserve">s </w:t>
      </w:r>
      <w:r w:rsidR="00220257" w:rsidRPr="0011747E">
        <w:t>of a</w:t>
      </w:r>
      <w:r w:rsidR="00112151" w:rsidRPr="0011747E">
        <w:t xml:space="preserve"> fee</w:t>
      </w:r>
      <w:bookmarkEnd w:id="82"/>
    </w:p>
    <w:p w:rsidR="00220257" w:rsidRPr="0011747E" w:rsidRDefault="00220257" w:rsidP="00384C55">
      <w:pPr>
        <w:pStyle w:val="subsection"/>
      </w:pPr>
      <w:r w:rsidRPr="0011747E">
        <w:tab/>
        <w:t>(1)</w:t>
      </w:r>
      <w:r w:rsidRPr="0011747E">
        <w:tab/>
        <w:t>For subparagraph</w:t>
      </w:r>
      <w:r w:rsidR="0011747E" w:rsidRPr="0011747E">
        <w:t> </w:t>
      </w:r>
      <w:r w:rsidRPr="0011747E">
        <w:t>520(4C)(e)(vi)</w:t>
      </w:r>
      <w:r w:rsidR="002575B6" w:rsidRPr="0011747E">
        <w:t xml:space="preserve"> of the Act</w:t>
      </w:r>
      <w:r w:rsidRPr="0011747E">
        <w:t>, this regulation sets out the circumstances in which a fee may be refunded, in whole or in part.</w:t>
      </w:r>
    </w:p>
    <w:p w:rsidR="00384C55" w:rsidRPr="0011747E" w:rsidRDefault="00220257" w:rsidP="00384C55">
      <w:pPr>
        <w:pStyle w:val="subsection"/>
      </w:pPr>
      <w:r w:rsidRPr="0011747E">
        <w:tab/>
        <w:t>(2)</w:t>
      </w:r>
      <w:r w:rsidRPr="0011747E">
        <w:tab/>
      </w:r>
      <w:r w:rsidR="00384C55" w:rsidRPr="0011747E">
        <w:t>If a person pays a fee that the person is not required to pay</w:t>
      </w:r>
      <w:r w:rsidR="00E34CFD" w:rsidRPr="0011747E">
        <w:t>,</w:t>
      </w:r>
      <w:r w:rsidR="00384C55" w:rsidRPr="0011747E">
        <w:t xml:space="preserve"> the Department must, on behalf of the Commonwealth, refund the fee.</w:t>
      </w:r>
    </w:p>
    <w:p w:rsidR="002B6508" w:rsidRPr="0011747E" w:rsidRDefault="00220257" w:rsidP="002B6508">
      <w:pPr>
        <w:pStyle w:val="subsection"/>
      </w:pPr>
      <w:r w:rsidRPr="0011747E">
        <w:tab/>
        <w:t>(3)</w:t>
      </w:r>
      <w:r w:rsidRPr="0011747E">
        <w:tab/>
      </w:r>
      <w:r w:rsidR="00483753" w:rsidRPr="0011747E">
        <w:t>If a person overpays a fee</w:t>
      </w:r>
      <w:r w:rsidR="002B6508" w:rsidRPr="0011747E">
        <w:t>, the Department must, on behalf of the Commonwealth, refund the amount of the excess.</w:t>
      </w:r>
    </w:p>
    <w:p w:rsidR="002B6508" w:rsidRPr="0011747E" w:rsidRDefault="00220257" w:rsidP="002B6508">
      <w:pPr>
        <w:pStyle w:val="subsection"/>
      </w:pPr>
      <w:r w:rsidRPr="0011747E">
        <w:tab/>
        <w:t>(4)</w:t>
      </w:r>
      <w:r w:rsidRPr="0011747E">
        <w:tab/>
      </w:r>
      <w:r w:rsidR="002B6508" w:rsidRPr="0011747E">
        <w:t>If a person pays a fee that is reduced after a reconsideration</w:t>
      </w:r>
      <w:r w:rsidR="00593594" w:rsidRPr="0011747E">
        <w:t xml:space="preserve"> under Part</w:t>
      </w:r>
      <w:r w:rsidR="0011747E" w:rsidRPr="0011747E">
        <w:t> </w:t>
      </w:r>
      <w:r w:rsidR="00593594" w:rsidRPr="0011747E">
        <w:t>19A of the Act</w:t>
      </w:r>
      <w:r w:rsidR="002B6508" w:rsidRPr="0011747E">
        <w:t>, the Department must, on behalf of the Commonwealth, refund the amount by which the fee is reduced.</w:t>
      </w:r>
    </w:p>
    <w:p w:rsidR="002B6508" w:rsidRPr="0011747E" w:rsidRDefault="00112151" w:rsidP="002B6508">
      <w:pPr>
        <w:pStyle w:val="notetext"/>
      </w:pPr>
      <w:r w:rsidRPr="0011747E">
        <w:t>Note:</w:t>
      </w:r>
      <w:r w:rsidRPr="0011747E">
        <w:tab/>
      </w:r>
      <w:r w:rsidR="002B6508" w:rsidRPr="0011747E">
        <w:t>For the appropriation for the refund, see section</w:t>
      </w:r>
      <w:r w:rsidR="0011747E" w:rsidRPr="0011747E">
        <w:t> </w:t>
      </w:r>
      <w:r w:rsidR="002B6508" w:rsidRPr="0011747E">
        <w:t xml:space="preserve">77 of the </w:t>
      </w:r>
      <w:r w:rsidR="002B6508" w:rsidRPr="0011747E">
        <w:rPr>
          <w:i/>
        </w:rPr>
        <w:t>Public Governance, Performance and Accountability Act 2013</w:t>
      </w:r>
      <w:r w:rsidR="002B6508" w:rsidRPr="0011747E">
        <w:t>.</w:t>
      </w:r>
    </w:p>
    <w:p w:rsidR="002D3698" w:rsidRPr="0011747E" w:rsidRDefault="002D3698" w:rsidP="001031B0">
      <w:pPr>
        <w:pStyle w:val="ActHead5"/>
      </w:pPr>
      <w:bookmarkStart w:id="83" w:name="_Toc396376281"/>
      <w:r w:rsidRPr="0011747E">
        <w:rPr>
          <w:rStyle w:val="CharSectno"/>
        </w:rPr>
        <w:t>5.2</w:t>
      </w:r>
      <w:r w:rsidR="00220257" w:rsidRPr="0011747E">
        <w:rPr>
          <w:rStyle w:val="CharSectno"/>
        </w:rPr>
        <w:t>2</w:t>
      </w:r>
      <w:r w:rsidRPr="0011747E">
        <w:rPr>
          <w:rStyle w:val="CharSectno"/>
        </w:rPr>
        <w:t>A</w:t>
      </w:r>
      <w:r w:rsidRPr="0011747E">
        <w:t xml:space="preserve">  Refunds of a referral fee</w:t>
      </w:r>
      <w:bookmarkEnd w:id="83"/>
    </w:p>
    <w:p w:rsidR="002D3698" w:rsidRPr="0011747E" w:rsidRDefault="002D3698" w:rsidP="002D3698">
      <w:pPr>
        <w:pStyle w:val="subsection"/>
      </w:pPr>
      <w:r w:rsidRPr="0011747E">
        <w:tab/>
      </w:r>
      <w:r w:rsidRPr="0011747E">
        <w:tab/>
      </w:r>
      <w:r w:rsidR="00220257" w:rsidRPr="0011747E">
        <w:t>For subparagraph</w:t>
      </w:r>
      <w:r w:rsidR="0011747E" w:rsidRPr="0011747E">
        <w:t> </w:t>
      </w:r>
      <w:r w:rsidR="00220257" w:rsidRPr="0011747E">
        <w:t>520(4C)(e)(vi)</w:t>
      </w:r>
      <w:r w:rsidR="002575B6" w:rsidRPr="0011747E">
        <w:t xml:space="preserve"> of the Act</w:t>
      </w:r>
      <w:r w:rsidR="00220257" w:rsidRPr="0011747E">
        <w:t>, i</w:t>
      </w:r>
      <w:r w:rsidRPr="0011747E">
        <w:t>f:</w:t>
      </w:r>
    </w:p>
    <w:p w:rsidR="001452ED" w:rsidRPr="0011747E" w:rsidRDefault="002D3698" w:rsidP="002D3698">
      <w:pPr>
        <w:pStyle w:val="paragraph"/>
      </w:pPr>
      <w:r w:rsidRPr="0011747E">
        <w:tab/>
        <w:t>(a)</w:t>
      </w:r>
      <w:r w:rsidRPr="0011747E">
        <w:tab/>
        <w:t xml:space="preserve">a person </w:t>
      </w:r>
      <w:r w:rsidR="001452ED" w:rsidRPr="0011747E">
        <w:t>refers a</w:t>
      </w:r>
      <w:r w:rsidRPr="0011747E">
        <w:t xml:space="preserve"> proposal </w:t>
      </w:r>
      <w:r w:rsidR="001452ED" w:rsidRPr="0011747E">
        <w:t>to take an action under Division</w:t>
      </w:r>
      <w:r w:rsidR="0011747E" w:rsidRPr="0011747E">
        <w:t> </w:t>
      </w:r>
      <w:r w:rsidR="001452ED" w:rsidRPr="0011747E">
        <w:t>1 of Part</w:t>
      </w:r>
      <w:r w:rsidR="0011747E" w:rsidRPr="0011747E">
        <w:t> </w:t>
      </w:r>
      <w:r w:rsidR="001452ED" w:rsidRPr="0011747E">
        <w:t>7 of the Act;</w:t>
      </w:r>
      <w:r w:rsidR="002575B6" w:rsidRPr="0011747E">
        <w:t xml:space="preserve"> and</w:t>
      </w:r>
    </w:p>
    <w:p w:rsidR="002D3698" w:rsidRPr="0011747E" w:rsidRDefault="001452ED" w:rsidP="002D3698">
      <w:pPr>
        <w:pStyle w:val="paragraph"/>
      </w:pPr>
      <w:r w:rsidRPr="0011747E">
        <w:tab/>
        <w:t>(b)</w:t>
      </w:r>
      <w:r w:rsidRPr="0011747E">
        <w:tab/>
        <w:t xml:space="preserve">the person </w:t>
      </w:r>
      <w:r w:rsidR="009766ED" w:rsidRPr="0011747E">
        <w:t>pays the</w:t>
      </w:r>
      <w:r w:rsidR="002D3698" w:rsidRPr="0011747E">
        <w:t xml:space="preserve"> referral fee; and</w:t>
      </w:r>
    </w:p>
    <w:p w:rsidR="002D3698" w:rsidRPr="0011747E" w:rsidRDefault="002D3698" w:rsidP="002D3698">
      <w:pPr>
        <w:pStyle w:val="paragraph"/>
      </w:pPr>
      <w:r w:rsidRPr="0011747E">
        <w:tab/>
        <w:t>(</w:t>
      </w:r>
      <w:r w:rsidR="009766ED" w:rsidRPr="0011747E">
        <w:t>c</w:t>
      </w:r>
      <w:r w:rsidRPr="0011747E">
        <w:t>)</w:t>
      </w:r>
      <w:r w:rsidRPr="0011747E">
        <w:tab/>
        <w:t>the Minister decides not to accept the referral under section</w:t>
      </w:r>
      <w:r w:rsidR="0011747E" w:rsidRPr="0011747E">
        <w:t> </w:t>
      </w:r>
      <w:r w:rsidRPr="0011747E">
        <w:t>74A of the Act;</w:t>
      </w:r>
    </w:p>
    <w:p w:rsidR="002D3698" w:rsidRPr="0011747E" w:rsidRDefault="002D3698" w:rsidP="002D3698">
      <w:pPr>
        <w:pStyle w:val="subsection2"/>
      </w:pPr>
      <w:r w:rsidRPr="0011747E">
        <w:t>the Department must, on behalf of the Commonwealth, refund the referral fee.</w:t>
      </w:r>
    </w:p>
    <w:p w:rsidR="00C310A4" w:rsidRPr="0011747E" w:rsidRDefault="00C310A4" w:rsidP="00C310A4">
      <w:pPr>
        <w:pStyle w:val="notetext"/>
      </w:pPr>
      <w:r w:rsidRPr="0011747E">
        <w:t>Note:</w:t>
      </w:r>
      <w:r w:rsidRPr="0011747E">
        <w:tab/>
        <w:t>For the appropriation for the refund, see section</w:t>
      </w:r>
      <w:r w:rsidR="0011747E" w:rsidRPr="0011747E">
        <w:t> </w:t>
      </w:r>
      <w:r w:rsidRPr="0011747E">
        <w:t xml:space="preserve">77 of the </w:t>
      </w:r>
      <w:r w:rsidRPr="0011747E">
        <w:rPr>
          <w:i/>
        </w:rPr>
        <w:t>Public Governance, Performance and Accountability Act 2013</w:t>
      </w:r>
      <w:r w:rsidRPr="0011747E">
        <w:t>.</w:t>
      </w:r>
    </w:p>
    <w:p w:rsidR="00112151" w:rsidRPr="0011747E" w:rsidRDefault="003E491D" w:rsidP="00112151">
      <w:pPr>
        <w:pStyle w:val="ActHead5"/>
      </w:pPr>
      <w:bookmarkStart w:id="84" w:name="_Toc396376282"/>
      <w:r w:rsidRPr="0011747E">
        <w:rPr>
          <w:rStyle w:val="CharSectno"/>
        </w:rPr>
        <w:t>5.22B</w:t>
      </w:r>
      <w:r w:rsidR="00112151" w:rsidRPr="0011747E">
        <w:t xml:space="preserve">  Working out the amount of a partial refund</w:t>
      </w:r>
      <w:bookmarkEnd w:id="84"/>
    </w:p>
    <w:p w:rsidR="00B61D8D" w:rsidRPr="0011747E" w:rsidRDefault="0050219C" w:rsidP="0050219C">
      <w:pPr>
        <w:pStyle w:val="subsection"/>
      </w:pPr>
      <w:r w:rsidRPr="0011747E">
        <w:tab/>
        <w:t>(</w:t>
      </w:r>
      <w:r w:rsidR="00EB4F89" w:rsidRPr="0011747E">
        <w:t>1</w:t>
      </w:r>
      <w:r w:rsidRPr="0011747E">
        <w:t>)</w:t>
      </w:r>
      <w:r w:rsidRPr="0011747E">
        <w:tab/>
      </w:r>
      <w:r w:rsidR="0053489F" w:rsidRPr="0011747E">
        <w:t>I</w:t>
      </w:r>
      <w:r w:rsidR="00B61D8D" w:rsidRPr="0011747E">
        <w:t>f:</w:t>
      </w:r>
    </w:p>
    <w:p w:rsidR="00B61D8D" w:rsidRPr="0011747E" w:rsidRDefault="00B61D8D" w:rsidP="00B61D8D">
      <w:pPr>
        <w:pStyle w:val="paragraph"/>
      </w:pPr>
      <w:r w:rsidRPr="0011747E">
        <w:tab/>
        <w:t>(a)</w:t>
      </w:r>
      <w:r w:rsidRPr="0011747E">
        <w:tab/>
        <w:t>the Department has partially completed a particular stage of assessment of the relevant impacts of an action; and</w:t>
      </w:r>
    </w:p>
    <w:p w:rsidR="00022A8B" w:rsidRPr="0011747E" w:rsidRDefault="00B61D8D" w:rsidP="00B61D8D">
      <w:pPr>
        <w:pStyle w:val="paragraph"/>
      </w:pPr>
      <w:r w:rsidRPr="0011747E">
        <w:tab/>
        <w:t>(b)</w:t>
      </w:r>
      <w:r w:rsidRPr="0011747E">
        <w:tab/>
      </w:r>
      <w:r w:rsidR="00246AE6" w:rsidRPr="0011747E">
        <w:t>any of the following are satisfied</w:t>
      </w:r>
      <w:r w:rsidR="00022A8B" w:rsidRPr="0011747E">
        <w:t>:</w:t>
      </w:r>
    </w:p>
    <w:p w:rsidR="003E491D" w:rsidRPr="0011747E" w:rsidRDefault="00022A8B" w:rsidP="00022A8B">
      <w:pPr>
        <w:pStyle w:val="paragraphsub"/>
      </w:pPr>
      <w:r w:rsidRPr="0011747E">
        <w:tab/>
        <w:t>(i)</w:t>
      </w:r>
      <w:r w:rsidRPr="0011747E">
        <w:tab/>
      </w:r>
      <w:r w:rsidR="00B61D8D" w:rsidRPr="0011747E">
        <w:t xml:space="preserve">the Minister </w:t>
      </w:r>
      <w:r w:rsidR="00EB4F89" w:rsidRPr="0011747E">
        <w:t>considers</w:t>
      </w:r>
      <w:r w:rsidR="00B61D8D" w:rsidRPr="0011747E">
        <w:t xml:space="preserve"> that there are exceptional circumstances justifying </w:t>
      </w:r>
      <w:r w:rsidR="007A6960" w:rsidRPr="0011747E">
        <w:t>a</w:t>
      </w:r>
      <w:r w:rsidR="00B61D8D" w:rsidRPr="0011747E">
        <w:t xml:space="preserve"> refund of part of a fee that </w:t>
      </w:r>
      <w:r w:rsidR="00A9359C" w:rsidRPr="0011747E">
        <w:t>has been paid</w:t>
      </w:r>
      <w:r w:rsidR="00B61D8D" w:rsidRPr="0011747E">
        <w:t xml:space="preserve"> for that stage</w:t>
      </w:r>
      <w:r w:rsidR="003E43B0" w:rsidRPr="0011747E">
        <w:t xml:space="preserve"> of assessment</w:t>
      </w:r>
      <w:r w:rsidR="0053489F" w:rsidRPr="0011747E">
        <w:t>;</w:t>
      </w:r>
    </w:p>
    <w:p w:rsidR="00022A8B" w:rsidRPr="0011747E" w:rsidRDefault="00022A8B" w:rsidP="00022A8B">
      <w:pPr>
        <w:pStyle w:val="paragraphsub"/>
      </w:pPr>
      <w:r w:rsidRPr="0011747E">
        <w:tab/>
        <w:t>(ii)</w:t>
      </w:r>
      <w:r w:rsidRPr="0011747E">
        <w:tab/>
        <w:t>the Minister makes a declaration under section</w:t>
      </w:r>
      <w:r w:rsidR="0011747E" w:rsidRPr="0011747E">
        <w:t> </w:t>
      </w:r>
      <w:r w:rsidRPr="0011747E">
        <w:t>155 of the Act that Chapter</w:t>
      </w:r>
      <w:r w:rsidR="0011747E" w:rsidRPr="0011747E">
        <w:t> </w:t>
      </w:r>
      <w:r w:rsidRPr="0011747E">
        <w:t>4 of the Act no longer applies to the action and considers that</w:t>
      </w:r>
      <w:r w:rsidR="007A6960" w:rsidRPr="0011747E">
        <w:t xml:space="preserve"> there should be</w:t>
      </w:r>
      <w:r w:rsidRPr="0011747E">
        <w:t xml:space="preserve"> a refund </w:t>
      </w:r>
      <w:r w:rsidR="007A6960" w:rsidRPr="0011747E">
        <w:t xml:space="preserve">of </w:t>
      </w:r>
      <w:r w:rsidR="00A9359C" w:rsidRPr="0011747E">
        <w:t xml:space="preserve">part of </w:t>
      </w:r>
      <w:r w:rsidR="007A6960" w:rsidRPr="0011747E">
        <w:t xml:space="preserve">the fee </w:t>
      </w:r>
      <w:r w:rsidRPr="0011747E">
        <w:t>for the stage of assessment that is being carried out when the declaration takes effect;</w:t>
      </w:r>
    </w:p>
    <w:p w:rsidR="00246AE6" w:rsidRPr="0011747E" w:rsidRDefault="00246AE6" w:rsidP="00246AE6">
      <w:pPr>
        <w:pStyle w:val="paragraphsub"/>
      </w:pPr>
      <w:r w:rsidRPr="0011747E">
        <w:tab/>
        <w:t>(ii</w:t>
      </w:r>
      <w:r w:rsidR="0023698D" w:rsidRPr="0011747E">
        <w:t>i</w:t>
      </w:r>
      <w:r w:rsidRPr="0011747E">
        <w:t>)</w:t>
      </w:r>
      <w:r w:rsidRPr="0011747E">
        <w:tab/>
        <w:t>a person withdraws the referral of</w:t>
      </w:r>
      <w:r w:rsidR="0023698D" w:rsidRPr="0011747E">
        <w:t xml:space="preserve"> the proposal to take the </w:t>
      </w:r>
      <w:r w:rsidRPr="0011747E">
        <w:t>action under section</w:t>
      </w:r>
      <w:r w:rsidR="0011747E" w:rsidRPr="0011747E">
        <w:t> </w:t>
      </w:r>
      <w:r w:rsidRPr="0011747E">
        <w:t>170C of the Act and the Minister considers that there should be a refund of part of the fee for the stage of assessment that is being carried out when written notice of the withdrawal is given to the Minister;</w:t>
      </w:r>
    </w:p>
    <w:p w:rsidR="00B61D8D" w:rsidRPr="0011747E" w:rsidRDefault="00EB4F89" w:rsidP="00B61D8D">
      <w:pPr>
        <w:pStyle w:val="subsection2"/>
      </w:pPr>
      <w:r w:rsidRPr="0011747E">
        <w:t>the Minister must work out</w:t>
      </w:r>
      <w:r w:rsidR="00B61D8D" w:rsidRPr="0011747E">
        <w:t xml:space="preserve"> the amount of the refund</w:t>
      </w:r>
      <w:r w:rsidR="00593531" w:rsidRPr="0011747E">
        <w:t xml:space="preserve"> using the method set out in subregulation</w:t>
      </w:r>
      <w:r w:rsidR="0011747E" w:rsidRPr="0011747E">
        <w:t> </w:t>
      </w:r>
      <w:r w:rsidR="00593531" w:rsidRPr="0011747E">
        <w:t>(2).</w:t>
      </w:r>
    </w:p>
    <w:p w:rsidR="005842EE" w:rsidRPr="0011747E" w:rsidRDefault="00EB4F89" w:rsidP="0050219C">
      <w:pPr>
        <w:pStyle w:val="subsection"/>
      </w:pPr>
      <w:r w:rsidRPr="0011747E">
        <w:tab/>
        <w:t>(2)</w:t>
      </w:r>
      <w:r w:rsidRPr="0011747E">
        <w:tab/>
      </w:r>
      <w:r w:rsidR="0050219C" w:rsidRPr="0011747E">
        <w:t>For the purposes of paragraph</w:t>
      </w:r>
      <w:r w:rsidR="0011747E" w:rsidRPr="0011747E">
        <w:t> </w:t>
      </w:r>
      <w:r w:rsidR="0050219C" w:rsidRPr="0011747E">
        <w:t>520(4C)(d) of the Act, the</w:t>
      </w:r>
      <w:r w:rsidR="0053489F" w:rsidRPr="0011747E">
        <w:t xml:space="preserve"> following</w:t>
      </w:r>
      <w:r w:rsidR="0050219C" w:rsidRPr="0011747E">
        <w:t xml:space="preserve"> </w:t>
      </w:r>
      <w:r w:rsidR="001A11CF" w:rsidRPr="0011747E">
        <w:t xml:space="preserve">method </w:t>
      </w:r>
      <w:r w:rsidR="0053489F" w:rsidRPr="0011747E">
        <w:t>is prescribed</w:t>
      </w:r>
      <w:r w:rsidR="005842EE" w:rsidRPr="0011747E">
        <w:t>:</w:t>
      </w:r>
    </w:p>
    <w:p w:rsidR="0050219C" w:rsidRPr="0011747E" w:rsidRDefault="005842EE" w:rsidP="005842EE">
      <w:pPr>
        <w:pStyle w:val="paragraph"/>
      </w:pPr>
      <w:r w:rsidRPr="0011747E">
        <w:tab/>
        <w:t>(a)</w:t>
      </w:r>
      <w:r w:rsidRPr="0011747E">
        <w:tab/>
      </w:r>
      <w:r w:rsidR="0053489F" w:rsidRPr="0011747E">
        <w:t xml:space="preserve">first, the Minister must </w:t>
      </w:r>
      <w:r w:rsidR="00725386" w:rsidRPr="0011747E">
        <w:t>consider</w:t>
      </w:r>
      <w:r w:rsidRPr="0011747E">
        <w:t>:</w:t>
      </w:r>
    </w:p>
    <w:p w:rsidR="0050219C" w:rsidRPr="0011747E" w:rsidRDefault="005842EE" w:rsidP="005842EE">
      <w:pPr>
        <w:pStyle w:val="paragraphsub"/>
      </w:pPr>
      <w:r w:rsidRPr="0011747E">
        <w:tab/>
        <w:t>(i</w:t>
      </w:r>
      <w:r w:rsidR="0050219C" w:rsidRPr="0011747E">
        <w:t>)</w:t>
      </w:r>
      <w:r w:rsidR="0050219C" w:rsidRPr="0011747E">
        <w:tab/>
      </w:r>
      <w:r w:rsidRPr="0011747E">
        <w:t xml:space="preserve">the steps that the Department has </w:t>
      </w:r>
      <w:r w:rsidR="00725386" w:rsidRPr="0011747E">
        <w:t>carried out under the relevant assessment approach for the particular stage of assessment; and</w:t>
      </w:r>
    </w:p>
    <w:p w:rsidR="005842EE" w:rsidRPr="0011747E" w:rsidRDefault="005842EE" w:rsidP="005842EE">
      <w:pPr>
        <w:pStyle w:val="paragraphsub"/>
      </w:pPr>
      <w:r w:rsidRPr="0011747E">
        <w:tab/>
        <w:t>(ii)</w:t>
      </w:r>
      <w:r w:rsidRPr="0011747E">
        <w:tab/>
        <w:t>the remaining steps to be carried out under th</w:t>
      </w:r>
      <w:r w:rsidR="00725386" w:rsidRPr="0011747E">
        <w:t>e</w:t>
      </w:r>
      <w:r w:rsidRPr="0011747E">
        <w:t xml:space="preserve"> </w:t>
      </w:r>
      <w:r w:rsidR="00B32948" w:rsidRPr="0011747E">
        <w:t xml:space="preserve">relevant </w:t>
      </w:r>
      <w:r w:rsidRPr="0011747E">
        <w:t>assessment approach to complete th</w:t>
      </w:r>
      <w:r w:rsidR="007D3A55" w:rsidRPr="0011747E">
        <w:t xml:space="preserve">at </w:t>
      </w:r>
      <w:r w:rsidR="0053489F" w:rsidRPr="0011747E">
        <w:t>stage;</w:t>
      </w:r>
    </w:p>
    <w:p w:rsidR="00B32948" w:rsidRPr="0011747E" w:rsidRDefault="005842EE" w:rsidP="007002CC">
      <w:pPr>
        <w:pStyle w:val="paragraph"/>
      </w:pPr>
      <w:r w:rsidRPr="0011747E">
        <w:tab/>
        <w:t>(b)</w:t>
      </w:r>
      <w:r w:rsidRPr="0011747E">
        <w:tab/>
      </w:r>
      <w:r w:rsidR="0053489F" w:rsidRPr="0011747E">
        <w:t xml:space="preserve">second, the Minister must </w:t>
      </w:r>
      <w:r w:rsidR="00725386" w:rsidRPr="0011747E">
        <w:t>estimate</w:t>
      </w:r>
      <w:r w:rsidR="00B32948" w:rsidRPr="0011747E">
        <w:t xml:space="preserve"> </w:t>
      </w:r>
      <w:r w:rsidR="008B3B05" w:rsidRPr="0011747E">
        <w:t>an</w:t>
      </w:r>
      <w:r w:rsidR="00CA755E" w:rsidRPr="0011747E">
        <w:t xml:space="preserve"> </w:t>
      </w:r>
      <w:r w:rsidR="008B3B05" w:rsidRPr="0011747E">
        <w:t xml:space="preserve">appropriate </w:t>
      </w:r>
      <w:r w:rsidR="00CA755E" w:rsidRPr="0011747E">
        <w:t>portion of the</w:t>
      </w:r>
      <w:r w:rsidR="007002CC" w:rsidRPr="0011747E">
        <w:t xml:space="preserve"> fee payable for the particular stage of assessment that the </w:t>
      </w:r>
      <w:r w:rsidR="008B3B05" w:rsidRPr="0011747E">
        <w:t xml:space="preserve">Minister considers </w:t>
      </w:r>
      <w:r w:rsidR="001A11CF" w:rsidRPr="0011747E">
        <w:t>is</w:t>
      </w:r>
      <w:r w:rsidR="008B3B05" w:rsidRPr="0011747E">
        <w:t xml:space="preserve"> attributable to </w:t>
      </w:r>
      <w:r w:rsidR="009A6F40" w:rsidRPr="0011747E">
        <w:t>the steps mentioned in</w:t>
      </w:r>
      <w:r w:rsidR="008B3B05" w:rsidRPr="0011747E">
        <w:t xml:space="preserve"> </w:t>
      </w:r>
      <w:r w:rsidR="0011747E" w:rsidRPr="0011747E">
        <w:t>subparagraphs (</w:t>
      </w:r>
      <w:r w:rsidR="008B3B05" w:rsidRPr="0011747E">
        <w:t>a)(</w:t>
      </w:r>
      <w:r w:rsidR="00BF4104" w:rsidRPr="0011747E">
        <w:t>i</w:t>
      </w:r>
      <w:r w:rsidR="008B3B05" w:rsidRPr="0011747E">
        <w:t>) and (ii)</w:t>
      </w:r>
      <w:r w:rsidR="00B32948" w:rsidRPr="0011747E">
        <w:t>.</w:t>
      </w:r>
    </w:p>
    <w:p w:rsidR="00FE456F" w:rsidRPr="0011747E" w:rsidRDefault="00FE456F" w:rsidP="00FE456F">
      <w:pPr>
        <w:pStyle w:val="ActHead4"/>
      </w:pPr>
      <w:bookmarkStart w:id="85" w:name="_Toc396376283"/>
      <w:r w:rsidRPr="0011747E">
        <w:rPr>
          <w:rStyle w:val="CharSubdNo"/>
        </w:rPr>
        <w:t xml:space="preserve">Subdivision </w:t>
      </w:r>
      <w:r w:rsidR="003B672B" w:rsidRPr="0011747E">
        <w:rPr>
          <w:rStyle w:val="CharSubdNo"/>
        </w:rPr>
        <w:t>M</w:t>
      </w:r>
      <w:r w:rsidRPr="0011747E">
        <w:t>—</w:t>
      </w:r>
      <w:r w:rsidRPr="0011747E">
        <w:rPr>
          <w:rStyle w:val="CharSubdText"/>
        </w:rPr>
        <w:t>Exemptions from fees</w:t>
      </w:r>
      <w:bookmarkEnd w:id="85"/>
    </w:p>
    <w:p w:rsidR="00FE456F" w:rsidRPr="0011747E" w:rsidRDefault="00FE456F" w:rsidP="00FE456F">
      <w:pPr>
        <w:pStyle w:val="ActHead5"/>
      </w:pPr>
      <w:bookmarkStart w:id="86" w:name="_Toc396376284"/>
      <w:r w:rsidRPr="0011747E">
        <w:rPr>
          <w:rStyle w:val="CharSectno"/>
        </w:rPr>
        <w:t>5.2</w:t>
      </w:r>
      <w:r w:rsidR="00DA3CFC" w:rsidRPr="0011747E">
        <w:rPr>
          <w:rStyle w:val="CharSectno"/>
        </w:rPr>
        <w:t>3</w:t>
      </w:r>
      <w:r w:rsidRPr="0011747E">
        <w:t xml:space="preserve">  </w:t>
      </w:r>
      <w:r w:rsidR="009705BB" w:rsidRPr="0011747E">
        <w:t>Qualification</w:t>
      </w:r>
      <w:r w:rsidR="00480B12" w:rsidRPr="0011747E">
        <w:t xml:space="preserve"> for an exemption</w:t>
      </w:r>
      <w:bookmarkEnd w:id="86"/>
    </w:p>
    <w:p w:rsidR="009705BB" w:rsidRPr="0011747E" w:rsidRDefault="00480B12" w:rsidP="00480B12">
      <w:pPr>
        <w:pStyle w:val="subsection"/>
      </w:pPr>
      <w:r w:rsidRPr="0011747E">
        <w:tab/>
        <w:t>(1)</w:t>
      </w:r>
      <w:r w:rsidRPr="0011747E">
        <w:tab/>
      </w:r>
      <w:r w:rsidR="002C5F47" w:rsidRPr="0011747E">
        <w:t>For subparagraph</w:t>
      </w:r>
      <w:r w:rsidR="0011747E" w:rsidRPr="0011747E">
        <w:t> </w:t>
      </w:r>
      <w:r w:rsidR="00E32B5D" w:rsidRPr="0011747E">
        <w:t>520(4</w:t>
      </w:r>
      <w:r w:rsidR="002C5F47" w:rsidRPr="0011747E">
        <w:t>C)(e)(v)</w:t>
      </w:r>
      <w:r w:rsidR="0002233F" w:rsidRPr="0011747E">
        <w:t xml:space="preserve"> of the Act</w:t>
      </w:r>
      <w:r w:rsidR="002C5F47" w:rsidRPr="0011747E">
        <w:t>, a</w:t>
      </w:r>
      <w:r w:rsidR="00E32B5D" w:rsidRPr="0011747E">
        <w:t xml:space="preserve"> person proposing to take</w:t>
      </w:r>
      <w:r w:rsidRPr="0011747E">
        <w:t xml:space="preserve"> an action </w:t>
      </w:r>
      <w:r w:rsidR="009705BB" w:rsidRPr="0011747E">
        <w:t>qualifies</w:t>
      </w:r>
      <w:r w:rsidRPr="0011747E">
        <w:t xml:space="preserve"> for an exemption from</w:t>
      </w:r>
      <w:r w:rsidR="004413A4" w:rsidRPr="0011747E">
        <w:t xml:space="preserve"> the referral fee, or</w:t>
      </w:r>
      <w:r w:rsidRPr="0011747E">
        <w:t xml:space="preserve"> </w:t>
      </w:r>
      <w:r w:rsidR="00D76993" w:rsidRPr="0011747E">
        <w:t>one or more</w:t>
      </w:r>
      <w:r w:rsidR="009705BB" w:rsidRPr="0011747E">
        <w:t xml:space="preserve"> </w:t>
      </w:r>
      <w:r w:rsidRPr="0011747E">
        <w:t>fee</w:t>
      </w:r>
      <w:r w:rsidR="00D76993" w:rsidRPr="0011747E">
        <w:t>s</w:t>
      </w:r>
      <w:r w:rsidRPr="0011747E">
        <w:t xml:space="preserve"> that would otherwise be payable under this Division</w:t>
      </w:r>
      <w:r w:rsidR="004413A4" w:rsidRPr="0011747E">
        <w:t>,</w:t>
      </w:r>
      <w:r w:rsidR="00197746" w:rsidRPr="0011747E">
        <w:t xml:space="preserve"> if</w:t>
      </w:r>
      <w:r w:rsidR="009705BB" w:rsidRPr="0011747E">
        <w:t>:</w:t>
      </w:r>
    </w:p>
    <w:p w:rsidR="00197746" w:rsidRPr="0011747E" w:rsidRDefault="009705BB" w:rsidP="009705BB">
      <w:pPr>
        <w:pStyle w:val="paragraph"/>
      </w:pPr>
      <w:r w:rsidRPr="0011747E">
        <w:tab/>
        <w:t>(a)</w:t>
      </w:r>
      <w:r w:rsidRPr="0011747E">
        <w:tab/>
      </w:r>
      <w:r w:rsidR="00197746" w:rsidRPr="0011747E">
        <w:t xml:space="preserve">at </w:t>
      </w:r>
      <w:r w:rsidRPr="0011747E">
        <w:t>the time the fee</w:t>
      </w:r>
      <w:r w:rsidR="00D76993" w:rsidRPr="0011747E">
        <w:t xml:space="preserve"> or fees</w:t>
      </w:r>
      <w:r w:rsidRPr="0011747E">
        <w:t xml:space="preserve"> would be payable</w:t>
      </w:r>
      <w:r w:rsidR="00CB6BC2" w:rsidRPr="0011747E">
        <w:t>, the person is</w:t>
      </w:r>
      <w:r w:rsidR="00197746" w:rsidRPr="0011747E">
        <w:t>:</w:t>
      </w:r>
    </w:p>
    <w:p w:rsidR="00CB6BC2" w:rsidRPr="0011747E" w:rsidRDefault="009705BB" w:rsidP="009705BB">
      <w:pPr>
        <w:pStyle w:val="paragraphsub"/>
      </w:pPr>
      <w:r w:rsidRPr="0011747E">
        <w:tab/>
        <w:t>(i</w:t>
      </w:r>
      <w:r w:rsidR="00CB6BC2" w:rsidRPr="0011747E">
        <w:t>)</w:t>
      </w:r>
      <w:r w:rsidR="00CB6BC2" w:rsidRPr="0011747E">
        <w:tab/>
        <w:t>an individual; or</w:t>
      </w:r>
    </w:p>
    <w:p w:rsidR="009705BB" w:rsidRPr="0011747E" w:rsidRDefault="009705BB" w:rsidP="009705BB">
      <w:pPr>
        <w:pStyle w:val="paragraphsub"/>
      </w:pPr>
      <w:r w:rsidRPr="0011747E">
        <w:tab/>
        <w:t>(ii</w:t>
      </w:r>
      <w:r w:rsidR="00CB6BC2" w:rsidRPr="0011747E">
        <w:t>)</w:t>
      </w:r>
      <w:r w:rsidR="00CB6BC2" w:rsidRPr="0011747E">
        <w:tab/>
        <w:t>a small business entity</w:t>
      </w:r>
      <w:r w:rsidRPr="0011747E">
        <w:t>; and</w:t>
      </w:r>
    </w:p>
    <w:p w:rsidR="00480B12" w:rsidRPr="0011747E" w:rsidRDefault="009705BB" w:rsidP="009705BB">
      <w:pPr>
        <w:pStyle w:val="paragraph"/>
      </w:pPr>
      <w:r w:rsidRPr="0011747E">
        <w:tab/>
        <w:t>(b)</w:t>
      </w:r>
      <w:r w:rsidRPr="0011747E">
        <w:tab/>
      </w:r>
      <w:r w:rsidR="00D76993" w:rsidRPr="0011747E">
        <w:t>the person notifies the Secretary of that fact in accordance with this regulation</w:t>
      </w:r>
      <w:r w:rsidR="00480B12" w:rsidRPr="0011747E">
        <w:t>.</w:t>
      </w:r>
    </w:p>
    <w:p w:rsidR="004413A4" w:rsidRPr="0011747E" w:rsidRDefault="00480B12" w:rsidP="002C5F47">
      <w:pPr>
        <w:pStyle w:val="subsection"/>
      </w:pPr>
      <w:r w:rsidRPr="0011747E">
        <w:tab/>
        <w:t>(2)</w:t>
      </w:r>
      <w:r w:rsidRPr="0011747E">
        <w:tab/>
      </w:r>
      <w:r w:rsidR="007C2E28" w:rsidRPr="0011747E">
        <w:t>The person may n</w:t>
      </w:r>
      <w:r w:rsidR="00D76993" w:rsidRPr="0011747E">
        <w:t>otif</w:t>
      </w:r>
      <w:r w:rsidR="007C2E28" w:rsidRPr="0011747E">
        <w:t>y the Secretary</w:t>
      </w:r>
      <w:r w:rsidR="004413A4" w:rsidRPr="0011747E">
        <w:t>:</w:t>
      </w:r>
    </w:p>
    <w:p w:rsidR="004413A4" w:rsidRPr="0011747E" w:rsidRDefault="004413A4" w:rsidP="004413A4">
      <w:pPr>
        <w:pStyle w:val="paragraph"/>
      </w:pPr>
      <w:r w:rsidRPr="0011747E">
        <w:tab/>
        <w:t>(a)</w:t>
      </w:r>
      <w:r w:rsidRPr="0011747E">
        <w:tab/>
        <w:t>in respect of the referral fee—at the</w:t>
      </w:r>
      <w:r w:rsidR="00AF7921" w:rsidRPr="0011747E">
        <w:t xml:space="preserve"> same </w:t>
      </w:r>
      <w:r w:rsidRPr="0011747E">
        <w:t>time</w:t>
      </w:r>
      <w:r w:rsidR="00AF7921" w:rsidRPr="0011747E">
        <w:t xml:space="preserve"> as</w:t>
      </w:r>
      <w:r w:rsidRPr="0011747E">
        <w:t xml:space="preserve"> </w:t>
      </w:r>
      <w:r w:rsidR="00AE3186" w:rsidRPr="0011747E">
        <w:t>the person refers the proposal to take the action; and</w:t>
      </w:r>
    </w:p>
    <w:p w:rsidR="00480B12" w:rsidRPr="0011747E" w:rsidRDefault="004413A4" w:rsidP="004413A4">
      <w:pPr>
        <w:pStyle w:val="paragraph"/>
      </w:pPr>
      <w:r w:rsidRPr="0011747E">
        <w:tab/>
        <w:t>(b)</w:t>
      </w:r>
      <w:r w:rsidRPr="0011747E">
        <w:tab/>
      </w:r>
      <w:r w:rsidR="00AE3186" w:rsidRPr="0011747E">
        <w:t>in respect of any fee that would otherwise be payable under this Division—</w:t>
      </w:r>
      <w:r w:rsidR="00CB6BC2" w:rsidRPr="0011747E">
        <w:t>at any time, but only in respect of fee</w:t>
      </w:r>
      <w:r w:rsidR="00A15EC3" w:rsidRPr="0011747E">
        <w:t xml:space="preserve">s </w:t>
      </w:r>
      <w:r w:rsidR="00D76993" w:rsidRPr="0011747E">
        <w:t>that would be payable after</w:t>
      </w:r>
      <w:r w:rsidR="007C2E28" w:rsidRPr="0011747E">
        <w:t xml:space="preserve"> the</w:t>
      </w:r>
      <w:r w:rsidR="00D76993" w:rsidRPr="0011747E">
        <w:t xml:space="preserve"> notification </w:t>
      </w:r>
      <w:r w:rsidR="00A15EC3" w:rsidRPr="0011747E">
        <w:t xml:space="preserve">is </w:t>
      </w:r>
      <w:r w:rsidR="004C037B" w:rsidRPr="0011747E">
        <w:t>given</w:t>
      </w:r>
      <w:r w:rsidR="00A15EC3" w:rsidRPr="0011747E">
        <w:t>.</w:t>
      </w:r>
    </w:p>
    <w:p w:rsidR="00480B12" w:rsidRPr="0011747E" w:rsidRDefault="00480B12" w:rsidP="00480B12">
      <w:pPr>
        <w:pStyle w:val="subsection"/>
      </w:pPr>
      <w:r w:rsidRPr="0011747E">
        <w:tab/>
        <w:t>(3)</w:t>
      </w:r>
      <w:r w:rsidRPr="0011747E">
        <w:tab/>
        <w:t xml:space="preserve">The </w:t>
      </w:r>
      <w:r w:rsidR="00E32B5D" w:rsidRPr="0011747E">
        <w:t>notification</w:t>
      </w:r>
      <w:r w:rsidRPr="0011747E">
        <w:t xml:space="preserve"> must:</w:t>
      </w:r>
    </w:p>
    <w:p w:rsidR="00480B12" w:rsidRPr="0011747E" w:rsidRDefault="00480B12" w:rsidP="00480B12">
      <w:pPr>
        <w:pStyle w:val="paragraph"/>
      </w:pPr>
      <w:r w:rsidRPr="0011747E">
        <w:tab/>
        <w:t>(a)</w:t>
      </w:r>
      <w:r w:rsidRPr="0011747E">
        <w:tab/>
        <w:t>be in writing; and</w:t>
      </w:r>
    </w:p>
    <w:p w:rsidR="00480B12" w:rsidRPr="0011747E" w:rsidRDefault="00480B12" w:rsidP="00480B12">
      <w:pPr>
        <w:pStyle w:val="paragraph"/>
      </w:pPr>
      <w:r w:rsidRPr="0011747E">
        <w:tab/>
        <w:t>(b)</w:t>
      </w:r>
      <w:r w:rsidRPr="0011747E">
        <w:tab/>
        <w:t>set out the following:</w:t>
      </w:r>
    </w:p>
    <w:p w:rsidR="00480B12" w:rsidRPr="0011747E" w:rsidRDefault="00480B12" w:rsidP="00480B12">
      <w:pPr>
        <w:pStyle w:val="paragraphsub"/>
      </w:pPr>
      <w:r w:rsidRPr="0011747E">
        <w:tab/>
        <w:t>(i)</w:t>
      </w:r>
      <w:r w:rsidRPr="0011747E">
        <w:tab/>
        <w:t xml:space="preserve">the </w:t>
      </w:r>
      <w:r w:rsidR="007C2E28" w:rsidRPr="0011747E">
        <w:t>person’s</w:t>
      </w:r>
      <w:r w:rsidRPr="0011747E">
        <w:t xml:space="preserve"> name and contact details;</w:t>
      </w:r>
    </w:p>
    <w:p w:rsidR="00480B12" w:rsidRPr="0011747E" w:rsidRDefault="00480B12" w:rsidP="00480B12">
      <w:pPr>
        <w:pStyle w:val="paragraphsub"/>
      </w:pPr>
      <w:r w:rsidRPr="0011747E">
        <w:tab/>
        <w:t>(ii)</w:t>
      </w:r>
      <w:r w:rsidRPr="0011747E">
        <w:tab/>
        <w:t xml:space="preserve">if the </w:t>
      </w:r>
      <w:r w:rsidR="007C2E28" w:rsidRPr="0011747E">
        <w:t>person</w:t>
      </w:r>
      <w:r w:rsidRPr="0011747E">
        <w:t xml:space="preserve"> is not the designated proponent—the designated proponent’s name and contact details;</w:t>
      </w:r>
    </w:p>
    <w:p w:rsidR="00480B12" w:rsidRPr="0011747E" w:rsidRDefault="00480B12" w:rsidP="00480B12">
      <w:pPr>
        <w:pStyle w:val="paragraphsub"/>
      </w:pPr>
      <w:r w:rsidRPr="0011747E">
        <w:tab/>
        <w:t>(iii)</w:t>
      </w:r>
      <w:r w:rsidRPr="0011747E">
        <w:tab/>
      </w:r>
      <w:r w:rsidR="00E32B5D" w:rsidRPr="0011747E">
        <w:t>if available—</w:t>
      </w:r>
      <w:r w:rsidRPr="0011747E">
        <w:t>the referral number;</w:t>
      </w:r>
    </w:p>
    <w:p w:rsidR="00480B12" w:rsidRPr="0011747E" w:rsidRDefault="00B060CC" w:rsidP="00480B12">
      <w:pPr>
        <w:pStyle w:val="paragraphsub"/>
      </w:pPr>
      <w:r w:rsidRPr="0011747E">
        <w:tab/>
        <w:t>(iv)</w:t>
      </w:r>
      <w:r w:rsidRPr="0011747E">
        <w:tab/>
        <w:t>the</w:t>
      </w:r>
      <w:r w:rsidR="0002233F" w:rsidRPr="0011747E">
        <w:t xml:space="preserve"> fee or </w:t>
      </w:r>
      <w:r w:rsidRPr="0011747E">
        <w:t>fee</w:t>
      </w:r>
      <w:r w:rsidR="007C2E28" w:rsidRPr="0011747E">
        <w:t>s</w:t>
      </w:r>
      <w:r w:rsidRPr="0011747E">
        <w:t xml:space="preserve"> for</w:t>
      </w:r>
      <w:r w:rsidR="00480B12" w:rsidRPr="0011747E">
        <w:t xml:space="preserve"> which </w:t>
      </w:r>
      <w:r w:rsidR="007C2E28" w:rsidRPr="0011747E">
        <w:t>the person qualifies for an exemption</w:t>
      </w:r>
      <w:r w:rsidR="00480B12" w:rsidRPr="0011747E">
        <w:t>;</w:t>
      </w:r>
      <w:r w:rsidR="00A92FB2" w:rsidRPr="0011747E">
        <w:t xml:space="preserve"> and</w:t>
      </w:r>
    </w:p>
    <w:p w:rsidR="00A92FB2" w:rsidRPr="0011747E" w:rsidRDefault="00A92FB2" w:rsidP="00A92FB2">
      <w:pPr>
        <w:pStyle w:val="paragraph"/>
      </w:pPr>
      <w:r w:rsidRPr="0011747E">
        <w:tab/>
        <w:t>(c)</w:t>
      </w:r>
      <w:r w:rsidRPr="0011747E">
        <w:tab/>
      </w:r>
      <w:r w:rsidR="00E32B5D" w:rsidRPr="0011747E">
        <w:t xml:space="preserve">include a </w:t>
      </w:r>
      <w:r w:rsidR="00727C14" w:rsidRPr="0011747E">
        <w:t>declaration that the person is not taking the action on behalf of, or for the benefit of, any other person or entity; and</w:t>
      </w:r>
    </w:p>
    <w:p w:rsidR="00FF27E0" w:rsidRPr="0011747E" w:rsidRDefault="00A92FB2" w:rsidP="00A92FB2">
      <w:pPr>
        <w:pStyle w:val="paragraph"/>
      </w:pPr>
      <w:r w:rsidRPr="0011747E">
        <w:tab/>
        <w:t>(d)</w:t>
      </w:r>
      <w:r w:rsidRPr="0011747E">
        <w:tab/>
        <w:t xml:space="preserve">if the </w:t>
      </w:r>
      <w:r w:rsidR="007C2E28" w:rsidRPr="0011747E">
        <w:t>person</w:t>
      </w:r>
      <w:r w:rsidRPr="0011747E">
        <w:t xml:space="preserve"> is a small business entity—</w:t>
      </w:r>
      <w:r w:rsidR="00BE01D7" w:rsidRPr="0011747E">
        <w:t xml:space="preserve">state </w:t>
      </w:r>
      <w:r w:rsidR="003D04D9" w:rsidRPr="0011747E">
        <w:t xml:space="preserve">the day or income year from which the </w:t>
      </w:r>
      <w:r w:rsidR="007C2E28" w:rsidRPr="0011747E">
        <w:t>person</w:t>
      </w:r>
      <w:r w:rsidR="003D04D9" w:rsidRPr="0011747E">
        <w:t xml:space="preserve"> became a small business entity</w:t>
      </w:r>
      <w:r w:rsidR="00FF27E0" w:rsidRPr="0011747E">
        <w:t>.</w:t>
      </w:r>
    </w:p>
    <w:p w:rsidR="00BD1EA4" w:rsidRPr="0011747E" w:rsidRDefault="00BD1EA4" w:rsidP="00BD1EA4">
      <w:pPr>
        <w:pStyle w:val="notetext"/>
      </w:pPr>
      <w:r w:rsidRPr="0011747E">
        <w:t>Note:</w:t>
      </w:r>
      <w:r w:rsidRPr="0011747E">
        <w:tab/>
        <w:t xml:space="preserve">The </w:t>
      </w:r>
      <w:r w:rsidR="005D38FA" w:rsidRPr="0011747E">
        <w:t>Secretary</w:t>
      </w:r>
      <w:r w:rsidRPr="0011747E">
        <w:t xml:space="preserve"> may ask a person to provide evidence that the person is a small bu</w:t>
      </w:r>
      <w:r w:rsidR="00CE7A7B" w:rsidRPr="0011747E">
        <w:t>siness entity, see regulation</w:t>
      </w:r>
      <w:r w:rsidR="0011747E" w:rsidRPr="0011747E">
        <w:t> </w:t>
      </w:r>
      <w:r w:rsidR="00CE7A7B" w:rsidRPr="0011747E">
        <w:t>5</w:t>
      </w:r>
      <w:r w:rsidRPr="0011747E">
        <w:t>.23</w:t>
      </w:r>
      <w:r w:rsidR="0098084A" w:rsidRPr="0011747E">
        <w:t>A</w:t>
      </w:r>
      <w:r w:rsidRPr="0011747E">
        <w:t>.</w:t>
      </w:r>
    </w:p>
    <w:p w:rsidR="00A15EC3" w:rsidRPr="0011747E" w:rsidRDefault="00B060CC" w:rsidP="00B060CC">
      <w:pPr>
        <w:pStyle w:val="subsection"/>
      </w:pPr>
      <w:r w:rsidRPr="0011747E">
        <w:tab/>
        <w:t>(</w:t>
      </w:r>
      <w:r w:rsidR="004C037B" w:rsidRPr="0011747E">
        <w:t>4</w:t>
      </w:r>
      <w:r w:rsidRPr="0011747E">
        <w:t>)</w:t>
      </w:r>
      <w:r w:rsidRPr="0011747E">
        <w:tab/>
        <w:t>To avoid doubt</w:t>
      </w:r>
      <w:r w:rsidR="00A15EC3" w:rsidRPr="0011747E">
        <w:t>:</w:t>
      </w:r>
    </w:p>
    <w:p w:rsidR="00A15EC3" w:rsidRPr="0011747E" w:rsidRDefault="00A15EC3" w:rsidP="00A15EC3">
      <w:pPr>
        <w:pStyle w:val="paragraph"/>
      </w:pPr>
      <w:r w:rsidRPr="0011747E">
        <w:tab/>
        <w:t>(a)</w:t>
      </w:r>
      <w:r w:rsidRPr="0011747E">
        <w:tab/>
      </w:r>
      <w:r w:rsidR="004C037B" w:rsidRPr="0011747E">
        <w:t xml:space="preserve">a person may not </w:t>
      </w:r>
      <w:r w:rsidR="00DA0D79" w:rsidRPr="0011747E">
        <w:t>give a notification</w:t>
      </w:r>
      <w:r w:rsidR="004C037B" w:rsidRPr="0011747E">
        <w:t xml:space="preserve"> in respect of </w:t>
      </w:r>
      <w:r w:rsidR="00B060CC" w:rsidRPr="0011747E">
        <w:t xml:space="preserve">a fee that has already been paid, even if the person could have </w:t>
      </w:r>
      <w:r w:rsidR="00DA0D79" w:rsidRPr="0011747E">
        <w:t xml:space="preserve">given a notification </w:t>
      </w:r>
      <w:r w:rsidR="006F19A7" w:rsidRPr="0011747E">
        <w:t xml:space="preserve">under this </w:t>
      </w:r>
      <w:r w:rsidR="004C037B" w:rsidRPr="0011747E">
        <w:t>regulation</w:t>
      </w:r>
      <w:r w:rsidR="006F19A7" w:rsidRPr="0011747E">
        <w:t xml:space="preserve"> in respect of the fee</w:t>
      </w:r>
      <w:r w:rsidRPr="0011747E">
        <w:t>; and</w:t>
      </w:r>
    </w:p>
    <w:p w:rsidR="00B060CC" w:rsidRPr="0011747E" w:rsidRDefault="00A15EC3" w:rsidP="00A15EC3">
      <w:pPr>
        <w:pStyle w:val="paragraph"/>
      </w:pPr>
      <w:r w:rsidRPr="0011747E">
        <w:tab/>
        <w:t>(b)</w:t>
      </w:r>
      <w:r w:rsidRPr="0011747E">
        <w:tab/>
        <w:t xml:space="preserve">a person is not entitled to a refund of a fee that </w:t>
      </w:r>
      <w:r w:rsidR="00172429" w:rsidRPr="0011747E">
        <w:t>is</w:t>
      </w:r>
      <w:r w:rsidRPr="0011747E">
        <w:t xml:space="preserve"> paid before a</w:t>
      </w:r>
      <w:r w:rsidR="004C037B" w:rsidRPr="0011747E">
        <w:t xml:space="preserve"> notification</w:t>
      </w:r>
      <w:r w:rsidRPr="0011747E">
        <w:t xml:space="preserve"> is </w:t>
      </w:r>
      <w:r w:rsidR="004C037B" w:rsidRPr="0011747E">
        <w:t>given</w:t>
      </w:r>
      <w:r w:rsidRPr="0011747E">
        <w:t xml:space="preserve"> under this </w:t>
      </w:r>
      <w:r w:rsidR="004C037B" w:rsidRPr="0011747E">
        <w:t>regulation</w:t>
      </w:r>
      <w:r w:rsidR="00B060CC" w:rsidRPr="0011747E">
        <w:t>.</w:t>
      </w:r>
    </w:p>
    <w:p w:rsidR="0098084A" w:rsidRPr="0011747E" w:rsidRDefault="0098084A" w:rsidP="0098084A">
      <w:pPr>
        <w:pStyle w:val="ActHead5"/>
      </w:pPr>
      <w:bookmarkStart w:id="87" w:name="_Toc396376285"/>
      <w:r w:rsidRPr="0011747E">
        <w:rPr>
          <w:rStyle w:val="CharSectno"/>
        </w:rPr>
        <w:t>5.23A</w:t>
      </w:r>
      <w:r w:rsidRPr="0011747E">
        <w:t xml:space="preserve">  </w:t>
      </w:r>
      <w:r w:rsidR="005D38FA" w:rsidRPr="0011747E">
        <w:t>Secretary may request evidence</w:t>
      </w:r>
      <w:bookmarkEnd w:id="87"/>
    </w:p>
    <w:p w:rsidR="0098084A" w:rsidRPr="0011747E" w:rsidRDefault="0098084A" w:rsidP="0098084A">
      <w:pPr>
        <w:pStyle w:val="subsection"/>
      </w:pPr>
      <w:r w:rsidRPr="0011747E">
        <w:tab/>
      </w:r>
      <w:r w:rsidRPr="0011747E">
        <w:tab/>
        <w:t xml:space="preserve">For the purpose of verifying that a person is a small business entity, the </w:t>
      </w:r>
      <w:r w:rsidR="005D38FA" w:rsidRPr="0011747E">
        <w:t>Secretary</w:t>
      </w:r>
      <w:r w:rsidRPr="0011747E">
        <w:t xml:space="preserve"> may request the person to provide evidence to support the person’s notification that the person is a small business entity.</w:t>
      </w:r>
    </w:p>
    <w:p w:rsidR="00FE456F" w:rsidRPr="0011747E" w:rsidRDefault="006B466E" w:rsidP="006B466E">
      <w:pPr>
        <w:pStyle w:val="ActHead5"/>
      </w:pPr>
      <w:bookmarkStart w:id="88" w:name="_Toc396376286"/>
      <w:r w:rsidRPr="0011747E">
        <w:rPr>
          <w:rStyle w:val="CharSectno"/>
        </w:rPr>
        <w:t>5.2</w:t>
      </w:r>
      <w:r w:rsidR="00965130" w:rsidRPr="0011747E">
        <w:rPr>
          <w:rStyle w:val="CharSectno"/>
        </w:rPr>
        <w:t>3</w:t>
      </w:r>
      <w:r w:rsidR="0098084A" w:rsidRPr="0011747E">
        <w:rPr>
          <w:rStyle w:val="CharSectno"/>
        </w:rPr>
        <w:t>B</w:t>
      </w:r>
      <w:r w:rsidRPr="0011747E">
        <w:t xml:space="preserve">  </w:t>
      </w:r>
      <w:r w:rsidR="001E404A" w:rsidRPr="0011747E">
        <w:t>Person exempt from paying fee to notify Secretary if circumstances change</w:t>
      </w:r>
      <w:bookmarkEnd w:id="88"/>
    </w:p>
    <w:p w:rsidR="00504161" w:rsidRPr="0011747E" w:rsidRDefault="001E404A" w:rsidP="00C7639F">
      <w:pPr>
        <w:pStyle w:val="subsection"/>
      </w:pPr>
      <w:r w:rsidRPr="0011747E">
        <w:tab/>
        <w:t>(1)</w:t>
      </w:r>
      <w:r w:rsidRPr="0011747E">
        <w:tab/>
        <w:t xml:space="preserve">If </w:t>
      </w:r>
      <w:r w:rsidR="00592E56" w:rsidRPr="0011747E">
        <w:t>the declarat</w:t>
      </w:r>
      <w:r w:rsidR="00965130" w:rsidRPr="0011747E">
        <w:t>ion mentioned in paragraph</w:t>
      </w:r>
      <w:r w:rsidR="0011747E" w:rsidRPr="0011747E">
        <w:t> </w:t>
      </w:r>
      <w:r w:rsidR="00965130" w:rsidRPr="0011747E">
        <w:t>5.23</w:t>
      </w:r>
      <w:r w:rsidR="00592E56" w:rsidRPr="0011747E">
        <w:t xml:space="preserve">(3)(c) in a person’s </w:t>
      </w:r>
      <w:r w:rsidR="00965130" w:rsidRPr="0011747E">
        <w:t>notification</w:t>
      </w:r>
      <w:r w:rsidR="00592E56" w:rsidRPr="0011747E">
        <w:t xml:space="preserve"> ceases to be true, the person must advise the Secretary, in writing, of that fact</w:t>
      </w:r>
      <w:r w:rsidR="00C7639F" w:rsidRPr="0011747E">
        <w:t xml:space="preserve"> </w:t>
      </w:r>
      <w:r w:rsidR="00504161" w:rsidRPr="0011747E">
        <w:t>before the person is required to pay another fee under this Division.</w:t>
      </w:r>
    </w:p>
    <w:p w:rsidR="00FE456F" w:rsidRPr="0011747E" w:rsidRDefault="001E404A" w:rsidP="00C7639F">
      <w:pPr>
        <w:pStyle w:val="subsection"/>
      </w:pPr>
      <w:r w:rsidRPr="0011747E">
        <w:tab/>
        <w:t>(2)</w:t>
      </w:r>
      <w:r w:rsidRPr="0011747E">
        <w:tab/>
        <w:t>I</w:t>
      </w:r>
      <w:r w:rsidR="00FE456F" w:rsidRPr="0011747E">
        <w:t>f a person ceases to be a small business entity</w:t>
      </w:r>
      <w:r w:rsidRPr="0011747E">
        <w:t xml:space="preserve">, </w:t>
      </w:r>
      <w:r w:rsidR="00FE456F" w:rsidRPr="0011747E">
        <w:t xml:space="preserve">the person </w:t>
      </w:r>
      <w:r w:rsidRPr="0011747E">
        <w:t xml:space="preserve">must </w:t>
      </w:r>
      <w:r w:rsidR="00FE456F" w:rsidRPr="0011747E">
        <w:t xml:space="preserve">advise the </w:t>
      </w:r>
      <w:r w:rsidRPr="0011747E">
        <w:t>Secretary</w:t>
      </w:r>
      <w:r w:rsidR="00FE456F" w:rsidRPr="0011747E">
        <w:t>, in writing, of that fact</w:t>
      </w:r>
      <w:r w:rsidR="00C7639F" w:rsidRPr="0011747E">
        <w:t xml:space="preserve"> </w:t>
      </w:r>
      <w:r w:rsidR="005B22E9" w:rsidRPr="0011747E">
        <w:t>before the person is required to pay another fee under this Division</w:t>
      </w:r>
      <w:r w:rsidRPr="0011747E">
        <w:t>.</w:t>
      </w:r>
    </w:p>
    <w:p w:rsidR="003E2EEA" w:rsidRPr="0011747E" w:rsidRDefault="003E2EEA" w:rsidP="003E2EEA">
      <w:pPr>
        <w:pStyle w:val="subsection"/>
      </w:pPr>
      <w:r w:rsidRPr="0011747E">
        <w:tab/>
        <w:t>(3)</w:t>
      </w:r>
      <w:r w:rsidRPr="0011747E">
        <w:tab/>
        <w:t>A person commits an offence</w:t>
      </w:r>
      <w:r w:rsidR="00920019" w:rsidRPr="0011747E">
        <w:t xml:space="preserve"> if</w:t>
      </w:r>
      <w:r w:rsidRPr="0011747E">
        <w:t>:</w:t>
      </w:r>
    </w:p>
    <w:p w:rsidR="003E2EEA" w:rsidRPr="0011747E" w:rsidRDefault="003E2EEA" w:rsidP="003E2EEA">
      <w:pPr>
        <w:pStyle w:val="paragraph"/>
      </w:pPr>
      <w:r w:rsidRPr="0011747E">
        <w:tab/>
        <w:t>(a)</w:t>
      </w:r>
      <w:r w:rsidRPr="0011747E">
        <w:tab/>
        <w:t xml:space="preserve">the person is required to advise the Secretary of a fact under this </w:t>
      </w:r>
      <w:r w:rsidR="00BC3111" w:rsidRPr="0011747E">
        <w:t>regulation</w:t>
      </w:r>
      <w:r w:rsidRPr="0011747E">
        <w:t>; and</w:t>
      </w:r>
    </w:p>
    <w:p w:rsidR="003E2EEA" w:rsidRPr="0011747E" w:rsidRDefault="003E2EEA" w:rsidP="003E2EEA">
      <w:pPr>
        <w:pStyle w:val="paragraph"/>
      </w:pPr>
      <w:r w:rsidRPr="0011747E">
        <w:tab/>
        <w:t>(b)</w:t>
      </w:r>
      <w:r w:rsidRPr="0011747E">
        <w:tab/>
        <w:t>the person fails to advise the Secretary</w:t>
      </w:r>
      <w:r w:rsidR="00920019" w:rsidRPr="0011747E">
        <w:t>, in writing and</w:t>
      </w:r>
      <w:r w:rsidRPr="0011747E">
        <w:t xml:space="preserve"> </w:t>
      </w:r>
      <w:r w:rsidR="00A022B1" w:rsidRPr="0011747E">
        <w:t>within 10 business days</w:t>
      </w:r>
      <w:r w:rsidRPr="0011747E">
        <w:t>, after the person</w:t>
      </w:r>
      <w:r w:rsidR="00C7639F" w:rsidRPr="0011747E">
        <w:t xml:space="preserve"> first</w:t>
      </w:r>
      <w:r w:rsidRPr="0011747E">
        <w:t xml:space="preserve"> becomes aware of the fact.</w:t>
      </w:r>
    </w:p>
    <w:p w:rsidR="003E2EEA" w:rsidRPr="0011747E" w:rsidRDefault="003E2EEA" w:rsidP="003E2EEA">
      <w:pPr>
        <w:pStyle w:val="Penalty"/>
      </w:pPr>
      <w:r w:rsidRPr="0011747E">
        <w:t>Penalty:</w:t>
      </w:r>
      <w:r w:rsidRPr="0011747E">
        <w:tab/>
        <w:t>50 penalty units.</w:t>
      </w:r>
    </w:p>
    <w:p w:rsidR="00A022B1" w:rsidRPr="0011747E" w:rsidRDefault="00A022B1" w:rsidP="00A022B1">
      <w:pPr>
        <w:pStyle w:val="subsection"/>
      </w:pPr>
      <w:r w:rsidRPr="0011747E">
        <w:tab/>
        <w:t>(4)</w:t>
      </w:r>
      <w:r w:rsidRPr="0011747E">
        <w:tab/>
        <w:t>An offence against subregulation</w:t>
      </w:r>
      <w:r w:rsidR="0011747E" w:rsidRPr="0011747E">
        <w:t> </w:t>
      </w:r>
      <w:r w:rsidRPr="0011747E">
        <w:t>(3) is an offence of strict liability.</w:t>
      </w:r>
    </w:p>
    <w:p w:rsidR="001E404A" w:rsidRPr="0011747E" w:rsidRDefault="00965130" w:rsidP="001E404A">
      <w:pPr>
        <w:pStyle w:val="ActHead5"/>
      </w:pPr>
      <w:bookmarkStart w:id="89" w:name="_Toc396376287"/>
      <w:r w:rsidRPr="0011747E">
        <w:rPr>
          <w:rStyle w:val="CharSectno"/>
        </w:rPr>
        <w:t>5.23</w:t>
      </w:r>
      <w:r w:rsidR="0098084A" w:rsidRPr="0011747E">
        <w:rPr>
          <w:rStyle w:val="CharSectno"/>
        </w:rPr>
        <w:t>C</w:t>
      </w:r>
      <w:r w:rsidR="001E404A" w:rsidRPr="0011747E">
        <w:t xml:space="preserve">  Effect of ceasing to qualify for an exemption</w:t>
      </w:r>
      <w:bookmarkEnd w:id="89"/>
    </w:p>
    <w:p w:rsidR="0083689B" w:rsidRPr="0011747E" w:rsidRDefault="00786478" w:rsidP="001E404A">
      <w:pPr>
        <w:pStyle w:val="subsection"/>
      </w:pPr>
      <w:r w:rsidRPr="0011747E">
        <w:tab/>
      </w:r>
      <w:r w:rsidR="001E404A" w:rsidRPr="0011747E">
        <w:tab/>
        <w:t xml:space="preserve">If </w:t>
      </w:r>
      <w:r w:rsidR="0083689B" w:rsidRPr="0011747E">
        <w:t>regulation</w:t>
      </w:r>
      <w:r w:rsidR="0011747E" w:rsidRPr="0011747E">
        <w:t> </w:t>
      </w:r>
      <w:r w:rsidR="0083689B" w:rsidRPr="0011747E">
        <w:t>5.2</w:t>
      </w:r>
      <w:r w:rsidR="00965130" w:rsidRPr="0011747E">
        <w:t>3</w:t>
      </w:r>
      <w:r w:rsidR="0098084A" w:rsidRPr="0011747E">
        <w:t>B</w:t>
      </w:r>
      <w:r w:rsidR="0083689B" w:rsidRPr="0011747E">
        <w:t xml:space="preserve"> applies and </w:t>
      </w:r>
      <w:r w:rsidR="001E404A" w:rsidRPr="0011747E">
        <w:t xml:space="preserve">a person </w:t>
      </w:r>
      <w:r w:rsidR="0083689B" w:rsidRPr="0011747E">
        <w:t>ceases to be qualified for an exemption, the</w:t>
      </w:r>
      <w:r w:rsidR="002E21CA" w:rsidRPr="0011747E">
        <w:t xml:space="preserve"> perso</w:t>
      </w:r>
      <w:r w:rsidR="0083689B" w:rsidRPr="0011747E">
        <w:t>n:</w:t>
      </w:r>
    </w:p>
    <w:p w:rsidR="00BA1CA8" w:rsidRPr="0011747E" w:rsidRDefault="002E21CA" w:rsidP="002E21CA">
      <w:pPr>
        <w:pStyle w:val="paragraph"/>
      </w:pPr>
      <w:r w:rsidRPr="0011747E">
        <w:tab/>
        <w:t>(a)</w:t>
      </w:r>
      <w:r w:rsidRPr="0011747E">
        <w:tab/>
        <w:t>is not</w:t>
      </w:r>
      <w:r w:rsidR="00BA1CA8" w:rsidRPr="0011747E">
        <w:t>, as a result of ceasing to be so qualified,</w:t>
      </w:r>
      <w:r w:rsidRPr="0011747E">
        <w:t xml:space="preserve"> required to pay</w:t>
      </w:r>
      <w:r w:rsidR="00BA1CA8" w:rsidRPr="0011747E">
        <w:t>:</w:t>
      </w:r>
    </w:p>
    <w:p w:rsidR="002E21CA" w:rsidRPr="0011747E" w:rsidRDefault="00BA1CA8" w:rsidP="00BA1CA8">
      <w:pPr>
        <w:pStyle w:val="paragraphsub"/>
      </w:pPr>
      <w:r w:rsidRPr="0011747E">
        <w:tab/>
        <w:t>(i)</w:t>
      </w:r>
      <w:r w:rsidRPr="0011747E">
        <w:tab/>
      </w:r>
      <w:r w:rsidR="002E21CA" w:rsidRPr="0011747E">
        <w:t>a</w:t>
      </w:r>
      <w:r w:rsidRPr="0011747E">
        <w:t>ny</w:t>
      </w:r>
      <w:r w:rsidR="002E21CA" w:rsidRPr="0011747E">
        <w:t xml:space="preserve"> fee </w:t>
      </w:r>
      <w:r w:rsidRPr="0011747E">
        <w:t xml:space="preserve">that was not paid </w:t>
      </w:r>
      <w:r w:rsidR="00182B0A" w:rsidRPr="0011747E">
        <w:t>because</w:t>
      </w:r>
      <w:r w:rsidRPr="0011747E">
        <w:t xml:space="preserve"> </w:t>
      </w:r>
      <w:r w:rsidR="00786478" w:rsidRPr="0011747E">
        <w:t>the person qualified f</w:t>
      </w:r>
      <w:r w:rsidRPr="0011747E">
        <w:t xml:space="preserve">or </w:t>
      </w:r>
      <w:r w:rsidR="00F370CA" w:rsidRPr="0011747E">
        <w:t>an</w:t>
      </w:r>
      <w:r w:rsidRPr="0011747E">
        <w:t xml:space="preserve"> exemption; or</w:t>
      </w:r>
    </w:p>
    <w:p w:rsidR="002E21CA" w:rsidRPr="0011747E" w:rsidRDefault="002E21CA" w:rsidP="00BA1CA8">
      <w:pPr>
        <w:pStyle w:val="paragraphsub"/>
      </w:pPr>
      <w:r w:rsidRPr="0011747E">
        <w:tab/>
        <w:t>(</w:t>
      </w:r>
      <w:r w:rsidR="00BA1CA8" w:rsidRPr="0011747E">
        <w:t>ii</w:t>
      </w:r>
      <w:r w:rsidRPr="0011747E">
        <w:t>)</w:t>
      </w:r>
      <w:r w:rsidRPr="0011747E">
        <w:tab/>
      </w:r>
      <w:r w:rsidR="00786478" w:rsidRPr="0011747E">
        <w:t>a fee</w:t>
      </w:r>
      <w:r w:rsidRPr="0011747E">
        <w:t xml:space="preserve"> for the stage of assessment that is being carried out when the </w:t>
      </w:r>
      <w:r w:rsidR="00786478" w:rsidRPr="0011747E">
        <w:t>person ceases to be so qualified; but</w:t>
      </w:r>
    </w:p>
    <w:p w:rsidR="002E21CA" w:rsidRPr="0011747E" w:rsidRDefault="00786478" w:rsidP="002E21CA">
      <w:pPr>
        <w:pStyle w:val="paragraph"/>
      </w:pPr>
      <w:r w:rsidRPr="0011747E">
        <w:tab/>
        <w:t>(b</w:t>
      </w:r>
      <w:r w:rsidR="002E21CA" w:rsidRPr="0011747E">
        <w:t>)</w:t>
      </w:r>
      <w:r w:rsidR="002E21CA" w:rsidRPr="0011747E">
        <w:tab/>
        <w:t xml:space="preserve">is </w:t>
      </w:r>
      <w:r w:rsidRPr="0011747E">
        <w:t>required</w:t>
      </w:r>
      <w:r w:rsidR="002E21CA" w:rsidRPr="0011747E">
        <w:t xml:space="preserve"> to pay a</w:t>
      </w:r>
      <w:r w:rsidR="00BC3111" w:rsidRPr="0011747E">
        <w:t>ny</w:t>
      </w:r>
      <w:r w:rsidR="002E21CA" w:rsidRPr="0011747E">
        <w:t xml:space="preserve"> fee that is </w:t>
      </w:r>
      <w:r w:rsidR="0095399C" w:rsidRPr="0011747E">
        <w:t>payable</w:t>
      </w:r>
      <w:r w:rsidRPr="0011747E">
        <w:t xml:space="preserve"> after the person ceases to be so qualified</w:t>
      </w:r>
      <w:r w:rsidR="002E21CA" w:rsidRPr="0011747E">
        <w:t>.</w:t>
      </w:r>
    </w:p>
    <w:p w:rsidR="00BD4764" w:rsidRPr="0011747E" w:rsidRDefault="00BD4764" w:rsidP="00BD4764">
      <w:pPr>
        <w:pStyle w:val="ActHead4"/>
      </w:pPr>
      <w:bookmarkStart w:id="90" w:name="_Toc396376288"/>
      <w:r w:rsidRPr="0011747E">
        <w:rPr>
          <w:rStyle w:val="CharSubdNo"/>
        </w:rPr>
        <w:t xml:space="preserve">Subdivision </w:t>
      </w:r>
      <w:r w:rsidR="003B672B" w:rsidRPr="0011747E">
        <w:rPr>
          <w:rStyle w:val="CharSubdNo"/>
        </w:rPr>
        <w:t>N</w:t>
      </w:r>
      <w:r w:rsidRPr="0011747E">
        <w:t>—</w:t>
      </w:r>
      <w:r w:rsidRPr="0011747E">
        <w:rPr>
          <w:rStyle w:val="CharSubdText"/>
        </w:rPr>
        <w:t>Miscellaneous rules relating to fees</w:t>
      </w:r>
      <w:bookmarkEnd w:id="90"/>
    </w:p>
    <w:p w:rsidR="00BD4764" w:rsidRPr="0011747E" w:rsidRDefault="00BD4764" w:rsidP="00BD4764">
      <w:pPr>
        <w:pStyle w:val="ActHead5"/>
      </w:pPr>
      <w:bookmarkStart w:id="91" w:name="_Toc396376289"/>
      <w:r w:rsidRPr="0011747E">
        <w:rPr>
          <w:rStyle w:val="CharSectno"/>
        </w:rPr>
        <w:t>5.2</w:t>
      </w:r>
      <w:r w:rsidR="00F370CA" w:rsidRPr="0011747E">
        <w:rPr>
          <w:rStyle w:val="CharSectno"/>
        </w:rPr>
        <w:t>4</w:t>
      </w:r>
      <w:r w:rsidRPr="0011747E">
        <w:t xml:space="preserve">  Fees and transfer of approvals</w:t>
      </w:r>
      <w:bookmarkEnd w:id="91"/>
    </w:p>
    <w:p w:rsidR="00BD4764" w:rsidRPr="0011747E" w:rsidRDefault="00BD4764" w:rsidP="00BD4764">
      <w:pPr>
        <w:pStyle w:val="subsection"/>
      </w:pPr>
      <w:r w:rsidRPr="0011747E">
        <w:tab/>
        <w:t>(1)</w:t>
      </w:r>
      <w:r w:rsidRPr="0011747E">
        <w:tab/>
      </w:r>
      <w:r w:rsidR="000B7CC2" w:rsidRPr="0011747E">
        <w:t>This regulation applies if</w:t>
      </w:r>
      <w:r w:rsidRPr="0011747E">
        <w:t>:</w:t>
      </w:r>
    </w:p>
    <w:p w:rsidR="00F53BDC" w:rsidRPr="0011747E" w:rsidRDefault="00F53BDC" w:rsidP="00F53BDC">
      <w:pPr>
        <w:pStyle w:val="paragraph"/>
      </w:pPr>
      <w:r w:rsidRPr="0011747E">
        <w:tab/>
        <w:t>(a)</w:t>
      </w:r>
      <w:r w:rsidRPr="0011747E">
        <w:tab/>
        <w:t>section</w:t>
      </w:r>
      <w:r w:rsidR="0011747E" w:rsidRPr="0011747E">
        <w:t> </w:t>
      </w:r>
      <w:r w:rsidRPr="0011747E">
        <w:t>145B of the Act applies in relation to an action; and</w:t>
      </w:r>
    </w:p>
    <w:p w:rsidR="00A05707" w:rsidRPr="0011747E" w:rsidRDefault="00A05707" w:rsidP="00A05707">
      <w:pPr>
        <w:pStyle w:val="paragraph"/>
      </w:pPr>
      <w:r w:rsidRPr="0011747E">
        <w:tab/>
        <w:t>(b)</w:t>
      </w:r>
      <w:r w:rsidRPr="0011747E">
        <w:tab/>
        <w:t>any of the following are satisfied:</w:t>
      </w:r>
    </w:p>
    <w:p w:rsidR="00A05707" w:rsidRPr="0011747E" w:rsidRDefault="00A05707" w:rsidP="00A05707">
      <w:pPr>
        <w:pStyle w:val="paragraphsub"/>
      </w:pPr>
      <w:r w:rsidRPr="0011747E">
        <w:tab/>
        <w:t>(i)</w:t>
      </w:r>
      <w:r w:rsidRPr="0011747E">
        <w:tab/>
        <w:t>the transferor mentioned in subsection</w:t>
      </w:r>
      <w:r w:rsidR="0011747E" w:rsidRPr="0011747E">
        <w:t> </w:t>
      </w:r>
      <w:r w:rsidRPr="0011747E">
        <w:t>145B(1) of the Act paid the referral fee or any other fee payable under this Division in relation to the assessment of the impacts of the action;</w:t>
      </w:r>
    </w:p>
    <w:p w:rsidR="00F53BDC" w:rsidRPr="0011747E" w:rsidRDefault="00F370CA" w:rsidP="00F53BDC">
      <w:pPr>
        <w:pStyle w:val="paragraphsub"/>
      </w:pPr>
      <w:r w:rsidRPr="0011747E">
        <w:tab/>
        <w:t>(</w:t>
      </w:r>
      <w:r w:rsidR="00A05707" w:rsidRPr="0011747E">
        <w:t>i</w:t>
      </w:r>
      <w:r w:rsidRPr="0011747E">
        <w:t>i)</w:t>
      </w:r>
      <w:r w:rsidRPr="0011747E">
        <w:tab/>
      </w:r>
      <w:r w:rsidR="00F53BDC" w:rsidRPr="0011747E">
        <w:t>the transferor mentioned i</w:t>
      </w:r>
      <w:r w:rsidRPr="0011747E">
        <w:t>n subsection</w:t>
      </w:r>
      <w:r w:rsidR="0011747E" w:rsidRPr="0011747E">
        <w:t> </w:t>
      </w:r>
      <w:r w:rsidRPr="0011747E">
        <w:t xml:space="preserve">145B(1) of the Act </w:t>
      </w:r>
      <w:r w:rsidR="000256C7" w:rsidRPr="0011747E">
        <w:t xml:space="preserve">was </w:t>
      </w:r>
      <w:r w:rsidR="00F53BDC" w:rsidRPr="0011747E">
        <w:t>exempt from paying a</w:t>
      </w:r>
      <w:r w:rsidR="005C32D0" w:rsidRPr="0011747E">
        <w:t xml:space="preserve"> referral</w:t>
      </w:r>
      <w:r w:rsidR="00F53BDC" w:rsidRPr="0011747E">
        <w:t xml:space="preserve"> fee</w:t>
      </w:r>
      <w:r w:rsidR="005C32D0" w:rsidRPr="0011747E">
        <w:t xml:space="preserve"> or a fee</w:t>
      </w:r>
      <w:r w:rsidRPr="0011747E">
        <w:t xml:space="preserve"> that would have otherwise been payable under this Division</w:t>
      </w:r>
      <w:r w:rsidR="00AE7282" w:rsidRPr="0011747E">
        <w:t xml:space="preserve"> in relation to the assessment of the impacts of the action</w:t>
      </w:r>
      <w:r w:rsidR="004973AE" w:rsidRPr="0011747E">
        <w:t>;</w:t>
      </w:r>
    </w:p>
    <w:p w:rsidR="00F370CA" w:rsidRPr="0011747E" w:rsidRDefault="00F53BDC" w:rsidP="00F53BDC">
      <w:pPr>
        <w:pStyle w:val="paragraphsub"/>
      </w:pPr>
      <w:r w:rsidRPr="0011747E">
        <w:tab/>
        <w:t>(i</w:t>
      </w:r>
      <w:r w:rsidR="00A05707" w:rsidRPr="0011747E">
        <w:t>i</w:t>
      </w:r>
      <w:r w:rsidRPr="0011747E">
        <w:t>i)</w:t>
      </w:r>
      <w:r w:rsidRPr="0011747E">
        <w:tab/>
        <w:t>all or part of a fee</w:t>
      </w:r>
      <w:r w:rsidR="00F370CA" w:rsidRPr="0011747E">
        <w:t xml:space="preserve"> that would have otherwise been payable under</w:t>
      </w:r>
      <w:r w:rsidR="00AF3CF1" w:rsidRPr="0011747E">
        <w:t xml:space="preserve"> </w:t>
      </w:r>
      <w:r w:rsidR="00F370CA" w:rsidRPr="0011747E">
        <w:t>this Division by the transferor mentioned in subsection</w:t>
      </w:r>
      <w:r w:rsidR="0011747E" w:rsidRPr="0011747E">
        <w:t> </w:t>
      </w:r>
      <w:r w:rsidR="00F370CA" w:rsidRPr="0011747E">
        <w:t>145B(1) of the Act</w:t>
      </w:r>
      <w:r w:rsidR="00AE7282" w:rsidRPr="0011747E">
        <w:t xml:space="preserve"> in relation to the assessment of the impacts of the action</w:t>
      </w:r>
      <w:r w:rsidR="00F370CA" w:rsidRPr="0011747E">
        <w:t xml:space="preserve"> was waived.</w:t>
      </w:r>
    </w:p>
    <w:p w:rsidR="004F244E" w:rsidRPr="0011747E" w:rsidRDefault="009E3262" w:rsidP="009E3262">
      <w:pPr>
        <w:pStyle w:val="subsection"/>
      </w:pPr>
      <w:r w:rsidRPr="0011747E">
        <w:tab/>
        <w:t>(2)</w:t>
      </w:r>
      <w:r w:rsidRPr="0011747E">
        <w:tab/>
      </w:r>
      <w:r w:rsidR="007C679A" w:rsidRPr="0011747E">
        <w:t>For subparagraph</w:t>
      </w:r>
      <w:r w:rsidR="0011747E" w:rsidRPr="0011747E">
        <w:t> </w:t>
      </w:r>
      <w:r w:rsidR="007C679A" w:rsidRPr="0011747E">
        <w:t>520(4C)(e)(ii)</w:t>
      </w:r>
      <w:r w:rsidR="00584F0B" w:rsidRPr="0011747E">
        <w:t xml:space="preserve"> of the Act</w:t>
      </w:r>
      <w:r w:rsidR="004F244E" w:rsidRPr="0011747E">
        <w:t>:</w:t>
      </w:r>
    </w:p>
    <w:p w:rsidR="004F244E" w:rsidRPr="0011747E" w:rsidRDefault="004F244E" w:rsidP="004F244E">
      <w:pPr>
        <w:pStyle w:val="paragraph"/>
      </w:pPr>
      <w:r w:rsidRPr="0011747E">
        <w:tab/>
        <w:t>(a)</w:t>
      </w:r>
      <w:r w:rsidRPr="0011747E">
        <w:tab/>
      </w:r>
      <w:r w:rsidR="00836505" w:rsidRPr="0011747E">
        <w:t>the Secretary</w:t>
      </w:r>
      <w:r w:rsidR="00737C20" w:rsidRPr="0011747E">
        <w:t xml:space="preserve"> must</w:t>
      </w:r>
      <w:r w:rsidR="00836505" w:rsidRPr="0011747E">
        <w:t xml:space="preserve"> give the transferee</w:t>
      </w:r>
      <w:r w:rsidR="00E22361" w:rsidRPr="0011747E">
        <w:t xml:space="preserve"> </w:t>
      </w:r>
      <w:r w:rsidR="0023061D" w:rsidRPr="0011747E">
        <w:t>mentioned in subsection</w:t>
      </w:r>
      <w:r w:rsidR="0011747E" w:rsidRPr="0011747E">
        <w:t> </w:t>
      </w:r>
      <w:r w:rsidR="0023061D" w:rsidRPr="0011747E">
        <w:t xml:space="preserve">145B(1) of the Act </w:t>
      </w:r>
      <w:r w:rsidR="00E22361" w:rsidRPr="0011747E">
        <w:t>a copy of</w:t>
      </w:r>
      <w:r w:rsidR="00836505" w:rsidRPr="0011747E">
        <w:t xml:space="preserve"> the fee schedule relating to the assessment of the impacts of the action</w:t>
      </w:r>
      <w:r w:rsidR="000E46F6" w:rsidRPr="0011747E">
        <w:t xml:space="preserve"> (see regulation</w:t>
      </w:r>
      <w:r w:rsidR="0011747E" w:rsidRPr="0011747E">
        <w:t> </w:t>
      </w:r>
      <w:r w:rsidR="00571032" w:rsidRPr="0011747E">
        <w:t>5.12</w:t>
      </w:r>
      <w:r w:rsidR="00EA087C" w:rsidRPr="0011747E">
        <w:t>J</w:t>
      </w:r>
      <w:r w:rsidR="00571032" w:rsidRPr="0011747E">
        <w:t>)</w:t>
      </w:r>
      <w:r w:rsidR="00836505" w:rsidRPr="0011747E">
        <w:t>; and</w:t>
      </w:r>
    </w:p>
    <w:p w:rsidR="00A05707" w:rsidRPr="0011747E" w:rsidRDefault="00A05707" w:rsidP="00A05707">
      <w:pPr>
        <w:pStyle w:val="paragraph"/>
      </w:pPr>
      <w:r w:rsidRPr="0011747E">
        <w:tab/>
        <w:t>(b)</w:t>
      </w:r>
      <w:r w:rsidRPr="0011747E">
        <w:tab/>
        <w:t xml:space="preserve">in a case described in </w:t>
      </w:r>
      <w:r w:rsidR="0011747E" w:rsidRPr="0011747E">
        <w:t>subparagraph (</w:t>
      </w:r>
      <w:r w:rsidRPr="0011747E">
        <w:t xml:space="preserve">1)(b)(i)—the transferee </w:t>
      </w:r>
      <w:r w:rsidR="0023061D" w:rsidRPr="0011747E">
        <w:t>mentioned in subsection</w:t>
      </w:r>
      <w:r w:rsidR="0011747E" w:rsidRPr="0011747E">
        <w:t> </w:t>
      </w:r>
      <w:r w:rsidR="0023061D" w:rsidRPr="0011747E">
        <w:t xml:space="preserve">145B(1) of the Act </w:t>
      </w:r>
      <w:r w:rsidRPr="0011747E">
        <w:t>must pay any fee that is, or will become, payable under this Division in relation to the assessment of the impacts of the action; and</w:t>
      </w:r>
    </w:p>
    <w:p w:rsidR="007E19A6" w:rsidRPr="0011747E" w:rsidRDefault="002B1738" w:rsidP="004F244E">
      <w:pPr>
        <w:pStyle w:val="paragraph"/>
      </w:pPr>
      <w:r w:rsidRPr="0011747E">
        <w:tab/>
        <w:t>(c</w:t>
      </w:r>
      <w:r w:rsidR="004F244E" w:rsidRPr="0011747E">
        <w:t>)</w:t>
      </w:r>
      <w:r w:rsidR="004F244E" w:rsidRPr="0011747E">
        <w:tab/>
      </w:r>
      <w:r w:rsidRPr="0011747E">
        <w:t xml:space="preserve">in a case described in </w:t>
      </w:r>
      <w:r w:rsidR="0011747E" w:rsidRPr="0011747E">
        <w:t>subparagraph (</w:t>
      </w:r>
      <w:r w:rsidRPr="0011747E">
        <w:t>1)(b)(ii) or (iii)—</w:t>
      </w:r>
      <w:r w:rsidR="00737C20" w:rsidRPr="0011747E">
        <w:t>the transferee mentioned in subsection</w:t>
      </w:r>
      <w:r w:rsidR="0011747E" w:rsidRPr="0011747E">
        <w:t> </w:t>
      </w:r>
      <w:r w:rsidR="00737C20" w:rsidRPr="0011747E">
        <w:t xml:space="preserve">145B(1) of the Act must </w:t>
      </w:r>
      <w:r w:rsidR="001E46F9" w:rsidRPr="0011747E">
        <w:t>pay</w:t>
      </w:r>
      <w:r w:rsidR="007E19A6" w:rsidRPr="0011747E">
        <w:t>:</w:t>
      </w:r>
    </w:p>
    <w:p w:rsidR="007E19A6" w:rsidRPr="0011747E" w:rsidRDefault="007E19A6" w:rsidP="00836505">
      <w:pPr>
        <w:pStyle w:val="paragraphsub"/>
      </w:pPr>
      <w:r w:rsidRPr="0011747E">
        <w:tab/>
        <w:t>(</w:t>
      </w:r>
      <w:r w:rsidR="00836505" w:rsidRPr="0011747E">
        <w:t>i</w:t>
      </w:r>
      <w:r w:rsidRPr="0011747E">
        <w:t>)</w:t>
      </w:r>
      <w:r w:rsidRPr="0011747E">
        <w:tab/>
      </w:r>
      <w:r w:rsidR="00224539" w:rsidRPr="0011747E">
        <w:t xml:space="preserve">if the referral fee was waived or the transferor was exempt from paying </w:t>
      </w:r>
      <w:r w:rsidRPr="0011747E">
        <w:t>the referral fee</w:t>
      </w:r>
      <w:r w:rsidR="00224539" w:rsidRPr="0011747E">
        <w:t>—the referral fee</w:t>
      </w:r>
      <w:r w:rsidRPr="0011747E">
        <w:t>; and</w:t>
      </w:r>
    </w:p>
    <w:p w:rsidR="001E46F9" w:rsidRPr="0011747E" w:rsidRDefault="00836505" w:rsidP="00836505">
      <w:pPr>
        <w:pStyle w:val="paragraphsub"/>
      </w:pPr>
      <w:r w:rsidRPr="0011747E">
        <w:tab/>
        <w:t>(ii</w:t>
      </w:r>
      <w:r w:rsidR="007E19A6" w:rsidRPr="0011747E">
        <w:t>)</w:t>
      </w:r>
      <w:r w:rsidR="007E19A6" w:rsidRPr="0011747E">
        <w:tab/>
        <w:t>any other fee that would have been payable under this Division in relation to the assessment of the impacts of the action.</w:t>
      </w:r>
    </w:p>
    <w:p w:rsidR="008267EA" w:rsidRPr="0011747E" w:rsidRDefault="008267EA" w:rsidP="008267EA">
      <w:pPr>
        <w:pStyle w:val="notetext"/>
      </w:pPr>
      <w:r w:rsidRPr="0011747E">
        <w:t>Note:</w:t>
      </w:r>
      <w:r w:rsidRPr="0011747E">
        <w:tab/>
        <w:t>The transferee may appl</w:t>
      </w:r>
      <w:r w:rsidR="000E46F6" w:rsidRPr="0011747E">
        <w:t>y for a waiver (see regulation</w:t>
      </w:r>
      <w:r w:rsidR="0011747E" w:rsidRPr="0011747E">
        <w:t> </w:t>
      </w:r>
      <w:r w:rsidRPr="0011747E">
        <w:t>5.21A) or qualif</w:t>
      </w:r>
      <w:r w:rsidR="00347C3A" w:rsidRPr="0011747E">
        <w:t>y</w:t>
      </w:r>
      <w:r w:rsidRPr="0011747E">
        <w:t xml:space="preserve"> fo</w:t>
      </w:r>
      <w:r w:rsidR="000E46F6" w:rsidRPr="0011747E">
        <w:t>r an exemption (see regulation</w:t>
      </w:r>
      <w:r w:rsidR="0011747E" w:rsidRPr="0011747E">
        <w:t> </w:t>
      </w:r>
      <w:r w:rsidRPr="0011747E">
        <w:t>5.23)</w:t>
      </w:r>
      <w:r w:rsidR="00C84055" w:rsidRPr="0011747E">
        <w:t xml:space="preserve"> in relation to some or all fees</w:t>
      </w:r>
      <w:r w:rsidRPr="0011747E">
        <w:t>.</w:t>
      </w:r>
      <w:r w:rsidR="00E12789" w:rsidRPr="0011747E">
        <w:t xml:space="preserve"> However, the transferee’s ability to apply for a reconsideration of some or all fees may be limited (see subregulation</w:t>
      </w:r>
      <w:r w:rsidR="0011747E" w:rsidRPr="0011747E">
        <w:t> </w:t>
      </w:r>
      <w:r w:rsidR="00E12789" w:rsidRPr="0011747E">
        <w:t>5.20(2)).</w:t>
      </w:r>
    </w:p>
    <w:p w:rsidR="00BD4764" w:rsidRPr="0011747E" w:rsidRDefault="006B466E" w:rsidP="00BD4764">
      <w:pPr>
        <w:pStyle w:val="ActHead5"/>
      </w:pPr>
      <w:bookmarkStart w:id="92" w:name="_Toc396376290"/>
      <w:r w:rsidRPr="0011747E">
        <w:rPr>
          <w:rStyle w:val="CharSectno"/>
        </w:rPr>
        <w:t>5.2</w:t>
      </w:r>
      <w:r w:rsidR="00107754" w:rsidRPr="0011747E">
        <w:rPr>
          <w:rStyle w:val="CharSectno"/>
        </w:rPr>
        <w:t>4</w:t>
      </w:r>
      <w:r w:rsidR="00BD4764" w:rsidRPr="0011747E">
        <w:rPr>
          <w:rStyle w:val="CharSectno"/>
        </w:rPr>
        <w:t>A</w:t>
      </w:r>
      <w:r w:rsidR="00BD4764" w:rsidRPr="0011747E">
        <w:t xml:space="preserve">  Fees and lapsed proposals</w:t>
      </w:r>
      <w:bookmarkEnd w:id="92"/>
    </w:p>
    <w:p w:rsidR="00BD4764" w:rsidRPr="0011747E" w:rsidRDefault="00BD4764" w:rsidP="00BD4764">
      <w:pPr>
        <w:pStyle w:val="subsection"/>
      </w:pPr>
      <w:r w:rsidRPr="0011747E">
        <w:tab/>
        <w:t>(1)</w:t>
      </w:r>
      <w:r w:rsidRPr="0011747E">
        <w:tab/>
      </w:r>
      <w:r w:rsidR="0010420D" w:rsidRPr="0011747E">
        <w:t>For subparagraph</w:t>
      </w:r>
      <w:r w:rsidR="0011747E" w:rsidRPr="0011747E">
        <w:t> </w:t>
      </w:r>
      <w:r w:rsidR="0010420D" w:rsidRPr="0011747E">
        <w:t>520(4C)(e)(v</w:t>
      </w:r>
      <w:r w:rsidR="0095399C" w:rsidRPr="0011747E">
        <w:t>i</w:t>
      </w:r>
      <w:r w:rsidR="0010420D" w:rsidRPr="0011747E">
        <w:t>)</w:t>
      </w:r>
      <w:r w:rsidR="00DA19BE" w:rsidRPr="0011747E">
        <w:t xml:space="preserve"> of the Act</w:t>
      </w:r>
      <w:r w:rsidR="0010420D" w:rsidRPr="0011747E">
        <w:t>, i</w:t>
      </w:r>
      <w:r w:rsidRPr="0011747E">
        <w:t>f the Minister makes a declaration under section</w:t>
      </w:r>
      <w:r w:rsidR="0011747E" w:rsidRPr="0011747E">
        <w:t> </w:t>
      </w:r>
      <w:r w:rsidRPr="0011747E">
        <w:t>155 of the Act that Chapter</w:t>
      </w:r>
      <w:r w:rsidR="0011747E" w:rsidRPr="0011747E">
        <w:t> </w:t>
      </w:r>
      <w:r w:rsidRPr="0011747E">
        <w:t>4 of the Act no longer applies to a controlled action, the person proposing to take the action:</w:t>
      </w:r>
    </w:p>
    <w:p w:rsidR="00BD4764" w:rsidRPr="0011747E" w:rsidRDefault="00BD4764" w:rsidP="00BD4764">
      <w:pPr>
        <w:pStyle w:val="paragraph"/>
      </w:pPr>
      <w:r w:rsidRPr="0011747E">
        <w:tab/>
        <w:t>(a)</w:t>
      </w:r>
      <w:r w:rsidRPr="0011747E">
        <w:tab/>
        <w:t>is not entitled to a refund of:</w:t>
      </w:r>
    </w:p>
    <w:p w:rsidR="00BD4764" w:rsidRPr="0011747E" w:rsidRDefault="00BD4764" w:rsidP="00BD4764">
      <w:pPr>
        <w:pStyle w:val="paragraphsub"/>
      </w:pPr>
      <w:r w:rsidRPr="0011747E">
        <w:tab/>
        <w:t>(i)</w:t>
      </w:r>
      <w:r w:rsidRPr="0011747E">
        <w:tab/>
        <w:t>the referral fee; or</w:t>
      </w:r>
    </w:p>
    <w:p w:rsidR="00BD4764" w:rsidRPr="0011747E" w:rsidRDefault="00BD4764" w:rsidP="00BD4764">
      <w:pPr>
        <w:pStyle w:val="paragraphsub"/>
      </w:pPr>
      <w:r w:rsidRPr="0011747E">
        <w:tab/>
        <w:t>(ii)</w:t>
      </w:r>
      <w:r w:rsidRPr="0011747E">
        <w:tab/>
        <w:t>any fees paid for a completed stage of assessment; but</w:t>
      </w:r>
    </w:p>
    <w:p w:rsidR="00BD4764" w:rsidRPr="0011747E" w:rsidRDefault="00BD4764" w:rsidP="00BD4764">
      <w:pPr>
        <w:pStyle w:val="paragraph"/>
      </w:pPr>
      <w:r w:rsidRPr="0011747E">
        <w:tab/>
        <w:t>(b)</w:t>
      </w:r>
      <w:r w:rsidRPr="0011747E">
        <w:tab/>
        <w:t>may be entitled to a partial refund for the stage of assessment that is being carried out when the declaration takes effect.</w:t>
      </w:r>
    </w:p>
    <w:p w:rsidR="00BD4764" w:rsidRPr="0011747E" w:rsidRDefault="00BD4764" w:rsidP="00BD4764">
      <w:pPr>
        <w:pStyle w:val="notetext"/>
      </w:pPr>
      <w:r w:rsidRPr="0011747E">
        <w:t>Note:</w:t>
      </w:r>
      <w:r w:rsidRPr="0011747E">
        <w:tab/>
      </w:r>
      <w:r w:rsidR="00F86172" w:rsidRPr="0011747E">
        <w:t xml:space="preserve">For </w:t>
      </w:r>
      <w:r w:rsidR="0011747E" w:rsidRPr="0011747E">
        <w:t>paragraph (</w:t>
      </w:r>
      <w:r w:rsidR="007E7576" w:rsidRPr="0011747E">
        <w:t>b),</w:t>
      </w:r>
      <w:r w:rsidRPr="0011747E">
        <w:t xml:space="preserve"> see </w:t>
      </w:r>
      <w:r w:rsidR="0010420D" w:rsidRPr="0011747E">
        <w:t>r</w:t>
      </w:r>
      <w:r w:rsidR="007E7576" w:rsidRPr="0011747E">
        <w:t>egulation</w:t>
      </w:r>
      <w:r w:rsidR="0011747E" w:rsidRPr="0011747E">
        <w:t> </w:t>
      </w:r>
      <w:r w:rsidRPr="0011747E">
        <w:t>5.2</w:t>
      </w:r>
      <w:r w:rsidR="007E7576" w:rsidRPr="0011747E">
        <w:t>2</w:t>
      </w:r>
      <w:r w:rsidRPr="0011747E">
        <w:t>B</w:t>
      </w:r>
      <w:r w:rsidR="007E7576" w:rsidRPr="0011747E">
        <w:t>.</w:t>
      </w:r>
    </w:p>
    <w:p w:rsidR="00BD4764" w:rsidRPr="0011747E" w:rsidRDefault="00BD4764" w:rsidP="00BD4764">
      <w:pPr>
        <w:pStyle w:val="subsection"/>
      </w:pPr>
      <w:r w:rsidRPr="0011747E">
        <w:tab/>
        <w:t>(2)</w:t>
      </w:r>
      <w:r w:rsidRPr="0011747E">
        <w:tab/>
        <w:t>To avoid doubt, once the declaration takes effect, fees are no longer payable under this Division in respect of the action.</w:t>
      </w:r>
    </w:p>
    <w:p w:rsidR="00D9427B" w:rsidRPr="0011747E" w:rsidRDefault="00D9427B" w:rsidP="00D9427B">
      <w:pPr>
        <w:pStyle w:val="ActHead5"/>
      </w:pPr>
      <w:bookmarkStart w:id="93" w:name="_Toc396376291"/>
      <w:r w:rsidRPr="0011747E">
        <w:rPr>
          <w:rStyle w:val="CharSectno"/>
        </w:rPr>
        <w:t>5.2</w:t>
      </w:r>
      <w:r w:rsidR="00107754" w:rsidRPr="0011747E">
        <w:rPr>
          <w:rStyle w:val="CharSectno"/>
        </w:rPr>
        <w:t>4</w:t>
      </w:r>
      <w:r w:rsidRPr="0011747E">
        <w:rPr>
          <w:rStyle w:val="CharSectno"/>
        </w:rPr>
        <w:t>B</w:t>
      </w:r>
      <w:r w:rsidRPr="0011747E">
        <w:t xml:space="preserve">  Fees and a change of person proposing to take action</w:t>
      </w:r>
      <w:bookmarkEnd w:id="93"/>
    </w:p>
    <w:p w:rsidR="00C746BA" w:rsidRPr="0011747E" w:rsidRDefault="00D9427B" w:rsidP="00D9427B">
      <w:pPr>
        <w:pStyle w:val="subsection"/>
      </w:pPr>
      <w:r w:rsidRPr="0011747E">
        <w:tab/>
        <w:t>(1)</w:t>
      </w:r>
      <w:r w:rsidRPr="0011747E">
        <w:tab/>
      </w:r>
      <w:r w:rsidR="00D13A64" w:rsidRPr="0011747E">
        <w:t>This regulation applies i</w:t>
      </w:r>
      <w:r w:rsidRPr="0011747E">
        <w:t>f</w:t>
      </w:r>
      <w:r w:rsidR="00C746BA" w:rsidRPr="0011747E">
        <w:t>:</w:t>
      </w:r>
    </w:p>
    <w:p w:rsidR="00C746BA" w:rsidRPr="0011747E" w:rsidRDefault="00C746BA" w:rsidP="00C746BA">
      <w:pPr>
        <w:pStyle w:val="paragraph"/>
      </w:pPr>
      <w:r w:rsidRPr="0011747E">
        <w:tab/>
        <w:t>(a)</w:t>
      </w:r>
      <w:r w:rsidRPr="0011747E">
        <w:tab/>
        <w:t>section</w:t>
      </w:r>
      <w:r w:rsidR="0011747E" w:rsidRPr="0011747E">
        <w:t> </w:t>
      </w:r>
      <w:r w:rsidRPr="0011747E">
        <w:t>156F of the Act applies in relation to an action; and</w:t>
      </w:r>
    </w:p>
    <w:p w:rsidR="00DB0834" w:rsidRPr="0011747E" w:rsidRDefault="00DB0834" w:rsidP="00DB0834">
      <w:pPr>
        <w:pStyle w:val="paragraph"/>
      </w:pPr>
      <w:r w:rsidRPr="0011747E">
        <w:tab/>
        <w:t>(b)</w:t>
      </w:r>
      <w:r w:rsidRPr="0011747E">
        <w:tab/>
      </w:r>
      <w:r w:rsidR="00BE01EE" w:rsidRPr="0011747E">
        <w:t>any of the following are satisfied</w:t>
      </w:r>
      <w:r w:rsidRPr="0011747E">
        <w:t>:</w:t>
      </w:r>
    </w:p>
    <w:p w:rsidR="00BE01EE" w:rsidRPr="0011747E" w:rsidRDefault="00BE01EE" w:rsidP="00DB0834">
      <w:pPr>
        <w:pStyle w:val="paragraphsub"/>
      </w:pPr>
      <w:r w:rsidRPr="0011747E">
        <w:tab/>
        <w:t>(i)</w:t>
      </w:r>
      <w:r w:rsidRPr="0011747E">
        <w:tab/>
        <w:t>the first person mentioned in subsection</w:t>
      </w:r>
      <w:r w:rsidR="0011747E" w:rsidRPr="0011747E">
        <w:t> </w:t>
      </w:r>
      <w:r w:rsidRPr="0011747E">
        <w:t>156F(1) of the Act paid the referral fee or any other fee payable under this Division in relation to the assessment of the impacts of the action;</w:t>
      </w:r>
    </w:p>
    <w:p w:rsidR="00DB0834" w:rsidRPr="0011747E" w:rsidRDefault="00DB0834" w:rsidP="00DB0834">
      <w:pPr>
        <w:pStyle w:val="paragraphsub"/>
      </w:pPr>
      <w:r w:rsidRPr="0011747E">
        <w:tab/>
        <w:t>(</w:t>
      </w:r>
      <w:r w:rsidR="00BE01EE" w:rsidRPr="0011747E">
        <w:t>i</w:t>
      </w:r>
      <w:r w:rsidRPr="0011747E">
        <w:t>i)</w:t>
      </w:r>
      <w:r w:rsidRPr="0011747E">
        <w:tab/>
        <w:t>the first person mentioned in subsection</w:t>
      </w:r>
      <w:r w:rsidR="0011747E" w:rsidRPr="0011747E">
        <w:t> </w:t>
      </w:r>
      <w:r w:rsidRPr="0011747E">
        <w:t>156F(1) of the Act was exempt from paying a</w:t>
      </w:r>
      <w:r w:rsidR="005C32D0" w:rsidRPr="0011747E">
        <w:t xml:space="preserve"> referral</w:t>
      </w:r>
      <w:r w:rsidRPr="0011747E">
        <w:t xml:space="preserve"> fee</w:t>
      </w:r>
      <w:r w:rsidR="005C32D0" w:rsidRPr="0011747E">
        <w:t xml:space="preserve"> or a fee</w:t>
      </w:r>
      <w:r w:rsidRPr="0011747E">
        <w:t xml:space="preserve"> that would have otherwise been payable under this Division</w:t>
      </w:r>
      <w:r w:rsidR="00AE7282" w:rsidRPr="0011747E">
        <w:t xml:space="preserve"> in relation to the assessment of the impacts of the action</w:t>
      </w:r>
      <w:r w:rsidR="00BE01EE" w:rsidRPr="0011747E">
        <w:t>;</w:t>
      </w:r>
    </w:p>
    <w:p w:rsidR="00DB0834" w:rsidRPr="0011747E" w:rsidRDefault="00DB0834" w:rsidP="00DB0834">
      <w:pPr>
        <w:pStyle w:val="paragraphsub"/>
      </w:pPr>
      <w:r w:rsidRPr="0011747E">
        <w:tab/>
        <w:t>(</w:t>
      </w:r>
      <w:r w:rsidR="00BE01EE" w:rsidRPr="0011747E">
        <w:t>i</w:t>
      </w:r>
      <w:r w:rsidRPr="0011747E">
        <w:t>ii)</w:t>
      </w:r>
      <w:r w:rsidRPr="0011747E">
        <w:tab/>
        <w:t>all or part of a fee that would have otherwise been payable under</w:t>
      </w:r>
      <w:r w:rsidR="00AF3CF1" w:rsidRPr="0011747E">
        <w:t xml:space="preserve"> </w:t>
      </w:r>
      <w:r w:rsidRPr="0011747E">
        <w:t>this Division by the first person mentioned in subsection</w:t>
      </w:r>
      <w:r w:rsidR="0011747E" w:rsidRPr="0011747E">
        <w:t> </w:t>
      </w:r>
      <w:r w:rsidRPr="0011747E">
        <w:t xml:space="preserve">156F(1) of the Act </w:t>
      </w:r>
      <w:r w:rsidR="00AE7282" w:rsidRPr="0011747E">
        <w:t xml:space="preserve">in relation to the assessment of the impacts of the action </w:t>
      </w:r>
      <w:r w:rsidRPr="0011747E">
        <w:t>was waived.</w:t>
      </w:r>
    </w:p>
    <w:p w:rsidR="00D13A64" w:rsidRPr="0011747E" w:rsidRDefault="00D13A64" w:rsidP="00D13A64">
      <w:pPr>
        <w:pStyle w:val="subsection"/>
      </w:pPr>
      <w:r w:rsidRPr="0011747E">
        <w:tab/>
        <w:t>(2)</w:t>
      </w:r>
      <w:r w:rsidRPr="0011747E">
        <w:tab/>
      </w:r>
      <w:r w:rsidR="00DB0834" w:rsidRPr="0011747E">
        <w:t>For subparagraph</w:t>
      </w:r>
      <w:r w:rsidR="0011747E" w:rsidRPr="0011747E">
        <w:t> </w:t>
      </w:r>
      <w:r w:rsidR="00DB0834" w:rsidRPr="0011747E">
        <w:t>520(4C)(e)(ii)</w:t>
      </w:r>
      <w:r w:rsidR="00584F0B" w:rsidRPr="0011747E">
        <w:t xml:space="preserve"> of the Act</w:t>
      </w:r>
      <w:r w:rsidRPr="0011747E">
        <w:t>:</w:t>
      </w:r>
    </w:p>
    <w:p w:rsidR="00D13A64" w:rsidRPr="0011747E" w:rsidRDefault="00D13A64" w:rsidP="00D13A64">
      <w:pPr>
        <w:pStyle w:val="paragraph"/>
      </w:pPr>
      <w:r w:rsidRPr="0011747E">
        <w:tab/>
        <w:t>(a)</w:t>
      </w:r>
      <w:r w:rsidRPr="0011747E">
        <w:tab/>
      </w:r>
      <w:r w:rsidR="00C84055" w:rsidRPr="0011747E">
        <w:t>the Secretary must</w:t>
      </w:r>
      <w:r w:rsidRPr="0011747E">
        <w:t xml:space="preserve"> give the second person</w:t>
      </w:r>
      <w:r w:rsidR="0023061D" w:rsidRPr="0011747E">
        <w:t xml:space="preserve"> mentioned in subsection</w:t>
      </w:r>
      <w:r w:rsidR="0011747E" w:rsidRPr="0011747E">
        <w:t> </w:t>
      </w:r>
      <w:r w:rsidR="0023061D" w:rsidRPr="0011747E">
        <w:t>156F(1) of the Act</w:t>
      </w:r>
      <w:r w:rsidRPr="0011747E">
        <w:t xml:space="preserve"> </w:t>
      </w:r>
      <w:r w:rsidR="00E22361" w:rsidRPr="0011747E">
        <w:t xml:space="preserve">a copy of </w:t>
      </w:r>
      <w:r w:rsidRPr="0011747E">
        <w:t>the fee schedule relating to the assessment of the impacts of t</w:t>
      </w:r>
      <w:r w:rsidR="000E46F6" w:rsidRPr="0011747E">
        <w:t>he action (see regulation</w:t>
      </w:r>
      <w:r w:rsidR="0011747E" w:rsidRPr="0011747E">
        <w:t> </w:t>
      </w:r>
      <w:r w:rsidR="00EA087C" w:rsidRPr="0011747E">
        <w:t>5.12J</w:t>
      </w:r>
      <w:r w:rsidRPr="0011747E">
        <w:t>); and</w:t>
      </w:r>
    </w:p>
    <w:p w:rsidR="00BE01EE" w:rsidRPr="0011747E" w:rsidRDefault="00D13A64" w:rsidP="00D13A64">
      <w:pPr>
        <w:pStyle w:val="paragraph"/>
      </w:pPr>
      <w:r w:rsidRPr="0011747E">
        <w:tab/>
        <w:t>(b)</w:t>
      </w:r>
      <w:r w:rsidRPr="0011747E">
        <w:tab/>
      </w:r>
      <w:r w:rsidR="00BE01EE" w:rsidRPr="0011747E">
        <w:t xml:space="preserve">in a case described in </w:t>
      </w:r>
      <w:r w:rsidR="0011747E" w:rsidRPr="0011747E">
        <w:t>subparagraph (</w:t>
      </w:r>
      <w:r w:rsidR="00BE01EE" w:rsidRPr="0011747E">
        <w:t>1)(b)(i)—the second person</w:t>
      </w:r>
      <w:r w:rsidR="0023061D" w:rsidRPr="0011747E">
        <w:t xml:space="preserve"> mentioned in subsection</w:t>
      </w:r>
      <w:r w:rsidR="0011747E" w:rsidRPr="0011747E">
        <w:t> </w:t>
      </w:r>
      <w:r w:rsidR="0023061D" w:rsidRPr="0011747E">
        <w:t>156F(1) of the Act</w:t>
      </w:r>
      <w:r w:rsidR="00BE01EE" w:rsidRPr="0011747E">
        <w:t xml:space="preserve"> must pay any </w:t>
      </w:r>
      <w:r w:rsidR="00443D11" w:rsidRPr="0011747E">
        <w:t>fee that is, or will become, payable under this Division in relation to the assessment of the impacts of the action; and</w:t>
      </w:r>
    </w:p>
    <w:p w:rsidR="00D13A64" w:rsidRPr="0011747E" w:rsidRDefault="00443D11" w:rsidP="00D13A64">
      <w:pPr>
        <w:pStyle w:val="paragraph"/>
      </w:pPr>
      <w:r w:rsidRPr="0011747E">
        <w:tab/>
        <w:t>(c)</w:t>
      </w:r>
      <w:r w:rsidRPr="0011747E">
        <w:tab/>
        <w:t xml:space="preserve">in a case described in </w:t>
      </w:r>
      <w:r w:rsidR="0011747E" w:rsidRPr="0011747E">
        <w:t>subparagraph (</w:t>
      </w:r>
      <w:r w:rsidRPr="0011747E">
        <w:t>1)(b)(ii) or (iii)—</w:t>
      </w:r>
      <w:r w:rsidR="00C84055" w:rsidRPr="0011747E">
        <w:t>the second person mentioned in subsection</w:t>
      </w:r>
      <w:r w:rsidR="0011747E" w:rsidRPr="0011747E">
        <w:t> </w:t>
      </w:r>
      <w:r w:rsidR="00C84055" w:rsidRPr="0011747E">
        <w:t xml:space="preserve">156F(1) of the Act must </w:t>
      </w:r>
      <w:r w:rsidR="00D13A64" w:rsidRPr="0011747E">
        <w:t>pay:</w:t>
      </w:r>
    </w:p>
    <w:p w:rsidR="00D13A64" w:rsidRPr="0011747E" w:rsidRDefault="00D13A64" w:rsidP="00D13A64">
      <w:pPr>
        <w:pStyle w:val="paragraphsub"/>
      </w:pPr>
      <w:r w:rsidRPr="0011747E">
        <w:tab/>
        <w:t>(i)</w:t>
      </w:r>
      <w:r w:rsidRPr="0011747E">
        <w:tab/>
      </w:r>
      <w:r w:rsidR="00AB4C8B" w:rsidRPr="0011747E">
        <w:t>if the referral fee was waived or the first person was exempt from paying the referral fee—</w:t>
      </w:r>
      <w:r w:rsidRPr="0011747E">
        <w:t>the referral fee; and</w:t>
      </w:r>
    </w:p>
    <w:p w:rsidR="00D13A64" w:rsidRPr="0011747E" w:rsidRDefault="00D13A64" w:rsidP="00D13A64">
      <w:pPr>
        <w:pStyle w:val="paragraphsub"/>
      </w:pPr>
      <w:r w:rsidRPr="0011747E">
        <w:tab/>
        <w:t>(ii)</w:t>
      </w:r>
      <w:r w:rsidRPr="0011747E">
        <w:tab/>
        <w:t>any other fee that would have been payable under this Division in relation to the assessment of the impacts of the action.</w:t>
      </w:r>
    </w:p>
    <w:p w:rsidR="00E12789" w:rsidRPr="0011747E" w:rsidRDefault="0029160E" w:rsidP="00E12789">
      <w:pPr>
        <w:pStyle w:val="notetext"/>
      </w:pPr>
      <w:r w:rsidRPr="0011747E">
        <w:t>Note:</w:t>
      </w:r>
      <w:r w:rsidRPr="0011747E">
        <w:tab/>
        <w:t>The second person may appl</w:t>
      </w:r>
      <w:r w:rsidR="000E46F6" w:rsidRPr="0011747E">
        <w:t>y for a waiver (see regulation</w:t>
      </w:r>
      <w:r w:rsidR="0011747E" w:rsidRPr="0011747E">
        <w:t> </w:t>
      </w:r>
      <w:r w:rsidRPr="0011747E">
        <w:t>5.21A) or qualify for an exemption (see regulation</w:t>
      </w:r>
      <w:r w:rsidR="0011747E" w:rsidRPr="0011747E">
        <w:t> </w:t>
      </w:r>
      <w:r w:rsidRPr="0011747E">
        <w:t>5.23) in relation to some or all fees.</w:t>
      </w:r>
      <w:r w:rsidR="00E12789" w:rsidRPr="0011747E">
        <w:t xml:space="preserve"> However, the second person’s ability to apply for a reconsideration of some or all fees may be limited (see subregulation</w:t>
      </w:r>
      <w:r w:rsidR="0011747E" w:rsidRPr="0011747E">
        <w:t> </w:t>
      </w:r>
      <w:r w:rsidR="00E12789" w:rsidRPr="0011747E">
        <w:t>5.20(3)).</w:t>
      </w:r>
    </w:p>
    <w:p w:rsidR="00FE4E0C" w:rsidRPr="0011747E" w:rsidRDefault="00FE4E0C" w:rsidP="00FE4E0C">
      <w:pPr>
        <w:pStyle w:val="ActHead5"/>
      </w:pPr>
      <w:bookmarkStart w:id="94" w:name="_Toc396376292"/>
      <w:r w:rsidRPr="0011747E">
        <w:rPr>
          <w:rStyle w:val="CharSectno"/>
        </w:rPr>
        <w:t>5.2</w:t>
      </w:r>
      <w:r w:rsidR="00107754" w:rsidRPr="0011747E">
        <w:rPr>
          <w:rStyle w:val="CharSectno"/>
        </w:rPr>
        <w:t>4</w:t>
      </w:r>
      <w:r w:rsidRPr="0011747E">
        <w:rPr>
          <w:rStyle w:val="CharSectno"/>
        </w:rPr>
        <w:t>C</w:t>
      </w:r>
      <w:r w:rsidRPr="0011747E">
        <w:t xml:space="preserve">  Fees and government agencies</w:t>
      </w:r>
      <w:bookmarkEnd w:id="94"/>
    </w:p>
    <w:p w:rsidR="002E7723" w:rsidRPr="0011747E" w:rsidRDefault="001214E9" w:rsidP="002E7723">
      <w:pPr>
        <w:pStyle w:val="subsection"/>
      </w:pPr>
      <w:r w:rsidRPr="0011747E">
        <w:tab/>
      </w:r>
      <w:r w:rsidR="00FE4E0C" w:rsidRPr="0011747E">
        <w:tab/>
      </w:r>
      <w:r w:rsidR="00584F0B" w:rsidRPr="0011747E">
        <w:t>For subparagraph</w:t>
      </w:r>
      <w:r w:rsidR="0011747E" w:rsidRPr="0011747E">
        <w:t> </w:t>
      </w:r>
      <w:r w:rsidR="00584F0B" w:rsidRPr="0011747E">
        <w:t>520(4C)(a)(iii) of the Act and to avoid doubt,</w:t>
      </w:r>
      <w:r w:rsidR="003C7AB9" w:rsidRPr="0011747E">
        <w:t xml:space="preserve"> regulation</w:t>
      </w:r>
      <w:r w:rsidR="0011747E" w:rsidRPr="0011747E">
        <w:t> </w:t>
      </w:r>
      <w:r w:rsidR="003C7AB9" w:rsidRPr="0011747E">
        <w:t>4.02 and</w:t>
      </w:r>
      <w:r w:rsidR="00584F0B" w:rsidRPr="0011747E">
        <w:t xml:space="preserve"> </w:t>
      </w:r>
      <w:r w:rsidRPr="0011747E">
        <w:t>t</w:t>
      </w:r>
      <w:r w:rsidR="002E7723" w:rsidRPr="0011747E">
        <w:t xml:space="preserve">he </w:t>
      </w:r>
      <w:r w:rsidR="008604EF" w:rsidRPr="0011747E">
        <w:t>regulations</w:t>
      </w:r>
      <w:r w:rsidR="002E7723" w:rsidRPr="0011747E">
        <w:t xml:space="preserve"> in this Division a</w:t>
      </w:r>
      <w:r w:rsidR="008604EF" w:rsidRPr="0011747E">
        <w:t>pply to</w:t>
      </w:r>
      <w:r w:rsidR="002E7723" w:rsidRPr="0011747E">
        <w:t>:</w:t>
      </w:r>
    </w:p>
    <w:p w:rsidR="002E7723" w:rsidRPr="0011747E" w:rsidRDefault="002E7723" w:rsidP="002E7723">
      <w:pPr>
        <w:pStyle w:val="paragraph"/>
      </w:pPr>
      <w:r w:rsidRPr="0011747E">
        <w:tab/>
        <w:t>(a)</w:t>
      </w:r>
      <w:r w:rsidRPr="0011747E">
        <w:tab/>
        <w:t>a Commonwealth agency</w:t>
      </w:r>
      <w:r w:rsidR="001214E9" w:rsidRPr="0011747E">
        <w:t xml:space="preserve"> (other than a Minister)</w:t>
      </w:r>
      <w:r w:rsidRPr="0011747E">
        <w:t xml:space="preserve">; </w:t>
      </w:r>
      <w:r w:rsidR="001214E9" w:rsidRPr="0011747E">
        <w:t>and</w:t>
      </w:r>
    </w:p>
    <w:p w:rsidR="001214E9" w:rsidRPr="0011747E" w:rsidRDefault="002E7723" w:rsidP="002E7723">
      <w:pPr>
        <w:pStyle w:val="paragraph"/>
      </w:pPr>
      <w:r w:rsidRPr="0011747E">
        <w:tab/>
        <w:t>(b)</w:t>
      </w:r>
      <w:r w:rsidRPr="0011747E">
        <w:tab/>
        <w:t>an agency of a State or self</w:t>
      </w:r>
      <w:r w:rsidR="0011747E">
        <w:noBreakHyphen/>
      </w:r>
      <w:r w:rsidRPr="0011747E">
        <w:t>governing Territory</w:t>
      </w:r>
      <w:r w:rsidR="001214E9" w:rsidRPr="0011747E">
        <w:t xml:space="preserve"> (other than a Minister of the State or Territory)</w:t>
      </w:r>
      <w:r w:rsidR="00C855FC" w:rsidRPr="0011747E">
        <w:t>; and</w:t>
      </w:r>
    </w:p>
    <w:p w:rsidR="00C855FC" w:rsidRPr="0011747E" w:rsidRDefault="00C855FC" w:rsidP="002E7723">
      <w:pPr>
        <w:pStyle w:val="paragraph"/>
      </w:pPr>
      <w:r w:rsidRPr="0011747E">
        <w:tab/>
        <w:t>(c)</w:t>
      </w:r>
      <w:r w:rsidRPr="0011747E">
        <w:tab/>
        <w:t>a local government body of a State or self</w:t>
      </w:r>
      <w:r w:rsidR="0011747E">
        <w:noBreakHyphen/>
      </w:r>
      <w:r w:rsidRPr="0011747E">
        <w:t>governing Territory.</w:t>
      </w:r>
    </w:p>
    <w:p w:rsidR="00C054D0" w:rsidRPr="0011747E" w:rsidRDefault="00C054D0" w:rsidP="00841A62">
      <w:pPr>
        <w:pStyle w:val="ItemHead"/>
      </w:pPr>
      <w:r w:rsidRPr="0011747E">
        <w:t>5  Schedule</w:t>
      </w:r>
      <w:r w:rsidR="0011747E" w:rsidRPr="0011747E">
        <w:t> </w:t>
      </w:r>
      <w:r w:rsidRPr="0011747E">
        <w:t>10 (before item</w:t>
      </w:r>
      <w:r w:rsidR="0011747E" w:rsidRPr="0011747E">
        <w:t> </w:t>
      </w:r>
      <w:r w:rsidRPr="0011747E">
        <w:t>1 of the table)</w:t>
      </w:r>
    </w:p>
    <w:p w:rsidR="00C054D0" w:rsidRPr="0011747E" w:rsidRDefault="00C054D0" w:rsidP="00C054D0">
      <w:pPr>
        <w:pStyle w:val="Item"/>
      </w:pPr>
      <w:r w:rsidRPr="0011747E">
        <w:t>Insert:</w:t>
      </w:r>
    </w:p>
    <w:tbl>
      <w:tblPr>
        <w:tblW w:w="7508" w:type="dxa"/>
        <w:tblInd w:w="113" w:type="dxa"/>
        <w:tblBorders>
          <w:bottom w:val="single" w:sz="4" w:space="0" w:color="auto"/>
        </w:tblBorders>
        <w:tblLayout w:type="fixed"/>
        <w:tblLook w:val="0000" w:firstRow="0" w:lastRow="0" w:firstColumn="0" w:lastColumn="0" w:noHBand="0" w:noVBand="0"/>
      </w:tblPr>
      <w:tblGrid>
        <w:gridCol w:w="714"/>
        <w:gridCol w:w="6794"/>
      </w:tblGrid>
      <w:tr w:rsidR="00C054D0" w:rsidRPr="0011747E" w:rsidTr="004973AE">
        <w:tc>
          <w:tcPr>
            <w:tcW w:w="714" w:type="dxa"/>
            <w:tcBorders>
              <w:bottom w:val="nil"/>
            </w:tcBorders>
            <w:shd w:val="clear" w:color="auto" w:fill="auto"/>
          </w:tcPr>
          <w:p w:rsidR="00C054D0" w:rsidRPr="0011747E" w:rsidRDefault="00C054D0" w:rsidP="00C054D0">
            <w:pPr>
              <w:pStyle w:val="Tabletext"/>
            </w:pPr>
            <w:r w:rsidRPr="0011747E">
              <w:t>1A</w:t>
            </w:r>
          </w:p>
        </w:tc>
        <w:tc>
          <w:tcPr>
            <w:tcW w:w="6794" w:type="dxa"/>
            <w:tcBorders>
              <w:bottom w:val="nil"/>
            </w:tcBorders>
            <w:shd w:val="clear" w:color="auto" w:fill="auto"/>
          </w:tcPr>
          <w:p w:rsidR="00C054D0" w:rsidRPr="0011747E" w:rsidRDefault="00C054D0" w:rsidP="0098084A">
            <w:pPr>
              <w:pStyle w:val="Tabletext"/>
            </w:pPr>
            <w:r w:rsidRPr="0011747E">
              <w:t>5.23</w:t>
            </w:r>
            <w:r w:rsidR="0098084A" w:rsidRPr="0011747E">
              <w:t>B</w:t>
            </w:r>
            <w:r w:rsidRPr="0011747E">
              <w:t xml:space="preserve"> </w:t>
            </w:r>
            <w:r w:rsidR="0040109F" w:rsidRPr="0011747E">
              <w:t>(Person exempt from paying fee to notify Secretary if circumstances change)</w:t>
            </w:r>
          </w:p>
        </w:tc>
      </w:tr>
    </w:tbl>
    <w:p w:rsidR="00C054D0" w:rsidRPr="0011747E" w:rsidRDefault="00C054D0" w:rsidP="00C054D0">
      <w:pPr>
        <w:pStyle w:val="Tabletext"/>
      </w:pPr>
    </w:p>
    <w:p w:rsidR="00841A62" w:rsidRPr="0011747E" w:rsidRDefault="00C054D0" w:rsidP="00841A62">
      <w:pPr>
        <w:pStyle w:val="ItemHead"/>
      </w:pPr>
      <w:r w:rsidRPr="0011747E">
        <w:t>6</w:t>
      </w:r>
      <w:r w:rsidR="00841A62" w:rsidRPr="0011747E">
        <w:t xml:space="preserve">  Dictionary</w:t>
      </w:r>
    </w:p>
    <w:p w:rsidR="00841A62" w:rsidRPr="0011747E" w:rsidRDefault="00841A62" w:rsidP="00841A62">
      <w:pPr>
        <w:pStyle w:val="Item"/>
      </w:pPr>
      <w:r w:rsidRPr="0011747E">
        <w:t>Insert:</w:t>
      </w:r>
    </w:p>
    <w:p w:rsidR="00841A62" w:rsidRPr="0011747E" w:rsidRDefault="00841A62" w:rsidP="00841A62">
      <w:pPr>
        <w:pStyle w:val="Definition"/>
      </w:pPr>
      <w:r w:rsidRPr="0011747E">
        <w:rPr>
          <w:b/>
          <w:i/>
        </w:rPr>
        <w:t>critically endangered</w:t>
      </w:r>
      <w:r w:rsidR="00964773" w:rsidRPr="0011747E">
        <w:t xml:space="preserve">—see Act, </w:t>
      </w:r>
      <w:r w:rsidRPr="0011747E">
        <w:t>section</w:t>
      </w:r>
      <w:r w:rsidR="0011747E" w:rsidRPr="0011747E">
        <w:t> </w:t>
      </w:r>
      <w:r w:rsidRPr="0011747E">
        <w:t>528.</w:t>
      </w:r>
    </w:p>
    <w:p w:rsidR="00841A62" w:rsidRPr="0011747E" w:rsidRDefault="00841A62" w:rsidP="00841A62">
      <w:pPr>
        <w:pStyle w:val="Definition"/>
      </w:pPr>
      <w:r w:rsidRPr="0011747E">
        <w:rPr>
          <w:b/>
          <w:i/>
        </w:rPr>
        <w:t>endangered</w:t>
      </w:r>
      <w:r w:rsidR="00964773" w:rsidRPr="0011747E">
        <w:t xml:space="preserve">—see Act, </w:t>
      </w:r>
      <w:r w:rsidRPr="0011747E">
        <w:t>section</w:t>
      </w:r>
      <w:r w:rsidR="0011747E" w:rsidRPr="0011747E">
        <w:t> </w:t>
      </w:r>
      <w:r w:rsidRPr="0011747E">
        <w:t>528.</w:t>
      </w:r>
    </w:p>
    <w:p w:rsidR="00964773" w:rsidRPr="0011747E" w:rsidRDefault="00841A62" w:rsidP="00841A62">
      <w:pPr>
        <w:pStyle w:val="Definition"/>
      </w:pPr>
      <w:r w:rsidRPr="0011747E">
        <w:rPr>
          <w:b/>
          <w:i/>
        </w:rPr>
        <w:t>listed threatened ecological community</w:t>
      </w:r>
      <w:r w:rsidR="00964773" w:rsidRPr="0011747E">
        <w:t>—see Act, s</w:t>
      </w:r>
      <w:r w:rsidRPr="0011747E">
        <w:t>ection</w:t>
      </w:r>
      <w:r w:rsidR="0011747E" w:rsidRPr="0011747E">
        <w:t> </w:t>
      </w:r>
      <w:r w:rsidRPr="0011747E">
        <w:t>528</w:t>
      </w:r>
      <w:r w:rsidR="00964773" w:rsidRPr="0011747E">
        <w:t>.</w:t>
      </w:r>
    </w:p>
    <w:p w:rsidR="00841A62" w:rsidRPr="0011747E" w:rsidRDefault="00964773" w:rsidP="00841A62">
      <w:pPr>
        <w:pStyle w:val="Definition"/>
      </w:pPr>
      <w:r w:rsidRPr="0011747E">
        <w:rPr>
          <w:b/>
          <w:i/>
        </w:rPr>
        <w:t>vulnerable</w:t>
      </w:r>
      <w:r w:rsidRPr="0011747E">
        <w:t xml:space="preserve">—see Act, </w:t>
      </w:r>
      <w:r w:rsidR="00841A62" w:rsidRPr="0011747E">
        <w:t>section</w:t>
      </w:r>
      <w:r w:rsidR="0011747E" w:rsidRPr="0011747E">
        <w:t> </w:t>
      </w:r>
      <w:r w:rsidR="00841A62" w:rsidRPr="0011747E">
        <w:t>528.</w:t>
      </w:r>
    </w:p>
    <w:sectPr w:rsidR="00841A62" w:rsidRPr="0011747E" w:rsidSect="00844263">
      <w:headerReference w:type="even" r:id="rId31"/>
      <w:headerReference w:type="default" r:id="rId32"/>
      <w:footerReference w:type="even" r:id="rId33"/>
      <w:footerReference w:type="default" r:id="rId34"/>
      <w:headerReference w:type="first" r:id="rId35"/>
      <w:footerReference w:type="first" r:id="rId36"/>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B9" w:rsidRDefault="002B54B9" w:rsidP="0048364F">
      <w:pPr>
        <w:spacing w:line="240" w:lineRule="auto"/>
      </w:pPr>
      <w:r>
        <w:separator/>
      </w:r>
    </w:p>
  </w:endnote>
  <w:endnote w:type="continuationSeparator" w:id="0">
    <w:p w:rsidR="002B54B9" w:rsidRDefault="002B54B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844263" w:rsidRDefault="002B54B9" w:rsidP="00844263">
    <w:pPr>
      <w:pStyle w:val="Footer"/>
      <w:tabs>
        <w:tab w:val="clear" w:pos="4153"/>
        <w:tab w:val="clear" w:pos="8306"/>
        <w:tab w:val="center" w:pos="4150"/>
        <w:tab w:val="right" w:pos="8307"/>
      </w:tabs>
      <w:spacing w:before="120"/>
      <w:rPr>
        <w:i/>
        <w:sz w:val="18"/>
      </w:rPr>
    </w:pPr>
    <w:r w:rsidRPr="00844263">
      <w:rPr>
        <w:i/>
        <w:sz w:val="18"/>
      </w:rPr>
      <w:t xml:space="preserve"> </w:t>
    </w:r>
    <w:r w:rsidR="00844263" w:rsidRPr="00844263">
      <w:rPr>
        <w:i/>
        <w:sz w:val="18"/>
      </w:rPr>
      <w:t>OPC60601 -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63" w:rsidRDefault="00844263" w:rsidP="00844263">
    <w:pPr>
      <w:pStyle w:val="Footer"/>
    </w:pPr>
    <w:r w:rsidRPr="00844263">
      <w:rPr>
        <w:i/>
        <w:sz w:val="18"/>
      </w:rPr>
      <w:t>OPC60601 -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844263" w:rsidRDefault="002B54B9" w:rsidP="00486382">
    <w:pPr>
      <w:pStyle w:val="Footer"/>
      <w:rPr>
        <w:sz w:val="18"/>
      </w:rPr>
    </w:pPr>
  </w:p>
  <w:p w:rsidR="002B54B9" w:rsidRPr="00844263" w:rsidRDefault="00844263" w:rsidP="00844263">
    <w:pPr>
      <w:pStyle w:val="Footer"/>
      <w:rPr>
        <w:sz w:val="18"/>
      </w:rPr>
    </w:pPr>
    <w:r w:rsidRPr="00844263">
      <w:rPr>
        <w:i/>
        <w:sz w:val="18"/>
      </w:rPr>
      <w:t>OPC60601 -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844263" w:rsidRDefault="002B54B9"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2B54B9" w:rsidRPr="00844263" w:rsidTr="00E33C1C">
      <w:tc>
        <w:tcPr>
          <w:tcW w:w="533" w:type="dxa"/>
          <w:tcBorders>
            <w:top w:val="nil"/>
            <w:left w:val="nil"/>
            <w:bottom w:val="nil"/>
            <w:right w:val="nil"/>
          </w:tcBorders>
        </w:tcPr>
        <w:p w:rsidR="002B54B9" w:rsidRPr="00844263" w:rsidRDefault="002B54B9" w:rsidP="00E33C1C">
          <w:pPr>
            <w:spacing w:line="0" w:lineRule="atLeast"/>
            <w:rPr>
              <w:rFonts w:cs="Times New Roman"/>
              <w:i/>
              <w:sz w:val="18"/>
            </w:rPr>
          </w:pPr>
          <w:r w:rsidRPr="00844263">
            <w:rPr>
              <w:rFonts w:cs="Times New Roman"/>
              <w:i/>
              <w:sz w:val="18"/>
            </w:rPr>
            <w:fldChar w:fldCharType="begin"/>
          </w:r>
          <w:r w:rsidRPr="00844263">
            <w:rPr>
              <w:rFonts w:cs="Times New Roman"/>
              <w:i/>
              <w:sz w:val="18"/>
            </w:rPr>
            <w:instrText xml:space="preserve"> PAGE </w:instrText>
          </w:r>
          <w:r w:rsidRPr="00844263">
            <w:rPr>
              <w:rFonts w:cs="Times New Roman"/>
              <w:i/>
              <w:sz w:val="18"/>
            </w:rPr>
            <w:fldChar w:fldCharType="separate"/>
          </w:r>
          <w:r w:rsidR="00112C21">
            <w:rPr>
              <w:rFonts w:cs="Times New Roman"/>
              <w:i/>
              <w:noProof/>
              <w:sz w:val="18"/>
            </w:rPr>
            <w:t>ii</w:t>
          </w:r>
          <w:r w:rsidRPr="00844263">
            <w:rPr>
              <w:rFonts w:cs="Times New Roman"/>
              <w:i/>
              <w:sz w:val="18"/>
            </w:rPr>
            <w:fldChar w:fldCharType="end"/>
          </w:r>
        </w:p>
      </w:tc>
      <w:tc>
        <w:tcPr>
          <w:tcW w:w="5387" w:type="dxa"/>
          <w:tcBorders>
            <w:top w:val="nil"/>
            <w:left w:val="nil"/>
            <w:bottom w:val="nil"/>
            <w:right w:val="nil"/>
          </w:tcBorders>
        </w:tcPr>
        <w:p w:rsidR="002B54B9" w:rsidRPr="00844263" w:rsidRDefault="002B54B9" w:rsidP="00E33C1C">
          <w:pPr>
            <w:spacing w:line="0" w:lineRule="atLeast"/>
            <w:jc w:val="center"/>
            <w:rPr>
              <w:rFonts w:cs="Times New Roman"/>
              <w:i/>
              <w:sz w:val="18"/>
            </w:rPr>
          </w:pPr>
          <w:r w:rsidRPr="00844263">
            <w:rPr>
              <w:rFonts w:cs="Times New Roman"/>
              <w:i/>
              <w:sz w:val="18"/>
            </w:rPr>
            <w:fldChar w:fldCharType="begin"/>
          </w:r>
          <w:r w:rsidRPr="00844263">
            <w:rPr>
              <w:rFonts w:cs="Times New Roman"/>
              <w:i/>
              <w:sz w:val="18"/>
            </w:rPr>
            <w:instrText xml:space="preserve"> DOCPROPERTY ShortT </w:instrText>
          </w:r>
          <w:r w:rsidRPr="00844263">
            <w:rPr>
              <w:rFonts w:cs="Times New Roman"/>
              <w:i/>
              <w:sz w:val="18"/>
            </w:rPr>
            <w:fldChar w:fldCharType="separate"/>
          </w:r>
          <w:r w:rsidR="004108FB">
            <w:rPr>
              <w:rFonts w:cs="Times New Roman"/>
              <w:i/>
              <w:sz w:val="18"/>
            </w:rPr>
            <w:t>Environment Protection and Biodiversity Conservation Amendment (Cost Recovery) Regulation 2014</w:t>
          </w:r>
          <w:r w:rsidRPr="00844263">
            <w:rPr>
              <w:rFonts w:cs="Times New Roman"/>
              <w:i/>
              <w:sz w:val="18"/>
            </w:rPr>
            <w:fldChar w:fldCharType="end"/>
          </w:r>
        </w:p>
      </w:tc>
      <w:tc>
        <w:tcPr>
          <w:tcW w:w="1383" w:type="dxa"/>
          <w:tcBorders>
            <w:top w:val="nil"/>
            <w:left w:val="nil"/>
            <w:bottom w:val="nil"/>
            <w:right w:val="nil"/>
          </w:tcBorders>
        </w:tcPr>
        <w:p w:rsidR="002B54B9" w:rsidRPr="00844263" w:rsidRDefault="002B54B9" w:rsidP="00E33C1C">
          <w:pPr>
            <w:spacing w:line="0" w:lineRule="atLeast"/>
            <w:jc w:val="right"/>
            <w:rPr>
              <w:rFonts w:cs="Times New Roman"/>
              <w:i/>
              <w:sz w:val="18"/>
            </w:rPr>
          </w:pPr>
          <w:r w:rsidRPr="00844263">
            <w:rPr>
              <w:rFonts w:cs="Times New Roman"/>
              <w:i/>
              <w:sz w:val="18"/>
            </w:rPr>
            <w:fldChar w:fldCharType="begin"/>
          </w:r>
          <w:r w:rsidRPr="00844263">
            <w:rPr>
              <w:rFonts w:cs="Times New Roman"/>
              <w:i/>
              <w:sz w:val="18"/>
            </w:rPr>
            <w:instrText xml:space="preserve"> DOCPROPERTY ActNo </w:instrText>
          </w:r>
          <w:r w:rsidRPr="00844263">
            <w:rPr>
              <w:rFonts w:cs="Times New Roman"/>
              <w:i/>
              <w:sz w:val="18"/>
            </w:rPr>
            <w:fldChar w:fldCharType="separate"/>
          </w:r>
          <w:r w:rsidR="004108FB">
            <w:rPr>
              <w:rFonts w:cs="Times New Roman"/>
              <w:i/>
              <w:sz w:val="18"/>
            </w:rPr>
            <w:t>No. 130, 2014</w:t>
          </w:r>
          <w:r w:rsidRPr="00844263">
            <w:rPr>
              <w:rFonts w:cs="Times New Roman"/>
              <w:i/>
              <w:sz w:val="18"/>
            </w:rPr>
            <w:fldChar w:fldCharType="end"/>
          </w:r>
        </w:p>
      </w:tc>
    </w:tr>
  </w:tbl>
  <w:p w:rsidR="002B54B9" w:rsidRPr="00844263" w:rsidRDefault="00844263" w:rsidP="00844263">
    <w:pPr>
      <w:rPr>
        <w:rFonts w:cs="Times New Roman"/>
        <w:i/>
        <w:sz w:val="18"/>
      </w:rPr>
    </w:pPr>
    <w:r w:rsidRPr="00844263">
      <w:rPr>
        <w:rFonts w:cs="Times New Roman"/>
        <w:i/>
        <w:sz w:val="18"/>
      </w:rPr>
      <w:t>OPC60601 -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E33C1C" w:rsidRDefault="002B54B9"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2B54B9" w:rsidTr="00E33C1C">
      <w:tc>
        <w:tcPr>
          <w:tcW w:w="1383" w:type="dxa"/>
          <w:tcBorders>
            <w:top w:val="nil"/>
            <w:left w:val="nil"/>
            <w:bottom w:val="nil"/>
            <w:right w:val="nil"/>
          </w:tcBorders>
        </w:tcPr>
        <w:p w:rsidR="002B54B9" w:rsidRDefault="002B54B9"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108FB">
            <w:rPr>
              <w:i/>
              <w:sz w:val="18"/>
            </w:rPr>
            <w:t>No. 130, 2014</w:t>
          </w:r>
          <w:r w:rsidRPr="007A1328">
            <w:rPr>
              <w:i/>
              <w:sz w:val="18"/>
            </w:rPr>
            <w:fldChar w:fldCharType="end"/>
          </w:r>
        </w:p>
      </w:tc>
      <w:tc>
        <w:tcPr>
          <w:tcW w:w="5387" w:type="dxa"/>
          <w:tcBorders>
            <w:top w:val="nil"/>
            <w:left w:val="nil"/>
            <w:bottom w:val="nil"/>
            <w:right w:val="nil"/>
          </w:tcBorders>
        </w:tcPr>
        <w:p w:rsidR="002B54B9" w:rsidRDefault="002B54B9"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108FB">
            <w:rPr>
              <w:i/>
              <w:sz w:val="18"/>
            </w:rPr>
            <w:t>Environment Protection and Biodiversity Conservation Amendment (Cost Recovery) Regulation 2014</w:t>
          </w:r>
          <w:r w:rsidRPr="007A1328">
            <w:rPr>
              <w:i/>
              <w:sz w:val="18"/>
            </w:rPr>
            <w:fldChar w:fldCharType="end"/>
          </w:r>
        </w:p>
      </w:tc>
      <w:tc>
        <w:tcPr>
          <w:tcW w:w="533" w:type="dxa"/>
          <w:tcBorders>
            <w:top w:val="nil"/>
            <w:left w:val="nil"/>
            <w:bottom w:val="nil"/>
            <w:right w:val="nil"/>
          </w:tcBorders>
        </w:tcPr>
        <w:p w:rsidR="002B54B9" w:rsidRDefault="002B54B9"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C7B6D">
            <w:rPr>
              <w:i/>
              <w:noProof/>
              <w:sz w:val="18"/>
            </w:rPr>
            <w:t>i</w:t>
          </w:r>
          <w:r w:rsidRPr="00ED79B6">
            <w:rPr>
              <w:i/>
              <w:sz w:val="18"/>
            </w:rPr>
            <w:fldChar w:fldCharType="end"/>
          </w:r>
        </w:p>
      </w:tc>
    </w:tr>
  </w:tbl>
  <w:p w:rsidR="002B54B9" w:rsidRPr="00ED79B6" w:rsidRDefault="00844263" w:rsidP="00844263">
    <w:pPr>
      <w:rPr>
        <w:i/>
        <w:sz w:val="18"/>
      </w:rPr>
    </w:pPr>
    <w:r w:rsidRPr="00844263">
      <w:rPr>
        <w:rFonts w:cs="Times New Roman"/>
        <w:i/>
        <w:sz w:val="18"/>
      </w:rPr>
      <w:t>OPC60601 -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844263" w:rsidRDefault="002B54B9"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2B54B9" w:rsidRPr="00844263" w:rsidTr="00E33C1C">
      <w:tc>
        <w:tcPr>
          <w:tcW w:w="533" w:type="dxa"/>
          <w:tcBorders>
            <w:top w:val="nil"/>
            <w:left w:val="nil"/>
            <w:bottom w:val="nil"/>
            <w:right w:val="nil"/>
          </w:tcBorders>
        </w:tcPr>
        <w:p w:rsidR="002B54B9" w:rsidRPr="00844263" w:rsidRDefault="002B54B9" w:rsidP="00E33C1C">
          <w:pPr>
            <w:spacing w:line="0" w:lineRule="atLeast"/>
            <w:rPr>
              <w:rFonts w:cs="Times New Roman"/>
              <w:i/>
              <w:sz w:val="18"/>
            </w:rPr>
          </w:pPr>
          <w:r w:rsidRPr="00844263">
            <w:rPr>
              <w:rFonts w:cs="Times New Roman"/>
              <w:i/>
              <w:sz w:val="18"/>
            </w:rPr>
            <w:fldChar w:fldCharType="begin"/>
          </w:r>
          <w:r w:rsidRPr="00844263">
            <w:rPr>
              <w:rFonts w:cs="Times New Roman"/>
              <w:i/>
              <w:sz w:val="18"/>
            </w:rPr>
            <w:instrText xml:space="preserve"> PAGE </w:instrText>
          </w:r>
          <w:r w:rsidRPr="00844263">
            <w:rPr>
              <w:rFonts w:cs="Times New Roman"/>
              <w:i/>
              <w:sz w:val="18"/>
            </w:rPr>
            <w:fldChar w:fldCharType="separate"/>
          </w:r>
          <w:r w:rsidR="000E3F00">
            <w:rPr>
              <w:rFonts w:cs="Times New Roman"/>
              <w:i/>
              <w:noProof/>
              <w:sz w:val="18"/>
            </w:rPr>
            <w:t>2</w:t>
          </w:r>
          <w:r w:rsidRPr="00844263">
            <w:rPr>
              <w:rFonts w:cs="Times New Roman"/>
              <w:i/>
              <w:sz w:val="18"/>
            </w:rPr>
            <w:fldChar w:fldCharType="end"/>
          </w:r>
        </w:p>
      </w:tc>
      <w:tc>
        <w:tcPr>
          <w:tcW w:w="5387" w:type="dxa"/>
          <w:tcBorders>
            <w:top w:val="nil"/>
            <w:left w:val="nil"/>
            <w:bottom w:val="nil"/>
            <w:right w:val="nil"/>
          </w:tcBorders>
        </w:tcPr>
        <w:p w:rsidR="002B54B9" w:rsidRPr="00844263" w:rsidRDefault="002B54B9" w:rsidP="00E33C1C">
          <w:pPr>
            <w:spacing w:line="0" w:lineRule="atLeast"/>
            <w:jc w:val="center"/>
            <w:rPr>
              <w:rFonts w:cs="Times New Roman"/>
              <w:i/>
              <w:sz w:val="18"/>
            </w:rPr>
          </w:pPr>
          <w:r w:rsidRPr="00844263">
            <w:rPr>
              <w:rFonts w:cs="Times New Roman"/>
              <w:i/>
              <w:sz w:val="18"/>
            </w:rPr>
            <w:fldChar w:fldCharType="begin"/>
          </w:r>
          <w:r w:rsidRPr="00844263">
            <w:rPr>
              <w:rFonts w:cs="Times New Roman"/>
              <w:i/>
              <w:sz w:val="18"/>
            </w:rPr>
            <w:instrText xml:space="preserve"> DOCPROPERTY ShortT </w:instrText>
          </w:r>
          <w:r w:rsidRPr="00844263">
            <w:rPr>
              <w:rFonts w:cs="Times New Roman"/>
              <w:i/>
              <w:sz w:val="18"/>
            </w:rPr>
            <w:fldChar w:fldCharType="separate"/>
          </w:r>
          <w:r w:rsidR="004108FB">
            <w:rPr>
              <w:rFonts w:cs="Times New Roman"/>
              <w:i/>
              <w:sz w:val="18"/>
            </w:rPr>
            <w:t>Environment Protection and Biodiversity Conservation Amendment (Cost Recovery) Regulation 2014</w:t>
          </w:r>
          <w:r w:rsidRPr="00844263">
            <w:rPr>
              <w:rFonts w:cs="Times New Roman"/>
              <w:i/>
              <w:sz w:val="18"/>
            </w:rPr>
            <w:fldChar w:fldCharType="end"/>
          </w:r>
        </w:p>
      </w:tc>
      <w:tc>
        <w:tcPr>
          <w:tcW w:w="1383" w:type="dxa"/>
          <w:tcBorders>
            <w:top w:val="nil"/>
            <w:left w:val="nil"/>
            <w:bottom w:val="nil"/>
            <w:right w:val="nil"/>
          </w:tcBorders>
        </w:tcPr>
        <w:p w:rsidR="002B54B9" w:rsidRPr="00844263" w:rsidRDefault="002B54B9" w:rsidP="00E33C1C">
          <w:pPr>
            <w:spacing w:line="0" w:lineRule="atLeast"/>
            <w:jc w:val="right"/>
            <w:rPr>
              <w:rFonts w:cs="Times New Roman"/>
              <w:i/>
              <w:sz w:val="18"/>
            </w:rPr>
          </w:pPr>
          <w:r w:rsidRPr="00844263">
            <w:rPr>
              <w:rFonts w:cs="Times New Roman"/>
              <w:i/>
              <w:sz w:val="18"/>
            </w:rPr>
            <w:fldChar w:fldCharType="begin"/>
          </w:r>
          <w:r w:rsidRPr="00844263">
            <w:rPr>
              <w:rFonts w:cs="Times New Roman"/>
              <w:i/>
              <w:sz w:val="18"/>
            </w:rPr>
            <w:instrText xml:space="preserve"> DOCPROPERTY ActNo </w:instrText>
          </w:r>
          <w:r w:rsidRPr="00844263">
            <w:rPr>
              <w:rFonts w:cs="Times New Roman"/>
              <w:i/>
              <w:sz w:val="18"/>
            </w:rPr>
            <w:fldChar w:fldCharType="separate"/>
          </w:r>
          <w:r w:rsidR="004108FB">
            <w:rPr>
              <w:rFonts w:cs="Times New Roman"/>
              <w:i/>
              <w:sz w:val="18"/>
            </w:rPr>
            <w:t>No. 130, 2014</w:t>
          </w:r>
          <w:r w:rsidRPr="00844263">
            <w:rPr>
              <w:rFonts w:cs="Times New Roman"/>
              <w:i/>
              <w:sz w:val="18"/>
            </w:rPr>
            <w:fldChar w:fldCharType="end"/>
          </w:r>
        </w:p>
      </w:tc>
    </w:tr>
  </w:tbl>
  <w:p w:rsidR="002B54B9" w:rsidRPr="00844263" w:rsidRDefault="00844263" w:rsidP="00844263">
    <w:pPr>
      <w:rPr>
        <w:rFonts w:cs="Times New Roman"/>
        <w:i/>
        <w:sz w:val="18"/>
      </w:rPr>
    </w:pPr>
    <w:r w:rsidRPr="00844263">
      <w:rPr>
        <w:rFonts w:cs="Times New Roman"/>
        <w:i/>
        <w:sz w:val="18"/>
      </w:rPr>
      <w:t>OPC60601 -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E33C1C" w:rsidRDefault="002B54B9"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2B54B9" w:rsidTr="00E33C1C">
      <w:tc>
        <w:tcPr>
          <w:tcW w:w="1383" w:type="dxa"/>
          <w:tcBorders>
            <w:top w:val="nil"/>
            <w:left w:val="nil"/>
            <w:bottom w:val="nil"/>
            <w:right w:val="nil"/>
          </w:tcBorders>
        </w:tcPr>
        <w:p w:rsidR="002B54B9" w:rsidRDefault="002B54B9"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108FB">
            <w:rPr>
              <w:i/>
              <w:sz w:val="18"/>
            </w:rPr>
            <w:t>No. 130, 2014</w:t>
          </w:r>
          <w:r w:rsidRPr="007A1328">
            <w:rPr>
              <w:i/>
              <w:sz w:val="18"/>
            </w:rPr>
            <w:fldChar w:fldCharType="end"/>
          </w:r>
        </w:p>
      </w:tc>
      <w:tc>
        <w:tcPr>
          <w:tcW w:w="5387" w:type="dxa"/>
          <w:tcBorders>
            <w:top w:val="nil"/>
            <w:left w:val="nil"/>
            <w:bottom w:val="nil"/>
            <w:right w:val="nil"/>
          </w:tcBorders>
        </w:tcPr>
        <w:p w:rsidR="002B54B9" w:rsidRDefault="002B54B9"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108FB">
            <w:rPr>
              <w:i/>
              <w:sz w:val="18"/>
            </w:rPr>
            <w:t>Environment Protection and Biodiversity Conservation Amendment (Cost Recovery) Regulation 2014</w:t>
          </w:r>
          <w:r w:rsidRPr="007A1328">
            <w:rPr>
              <w:i/>
              <w:sz w:val="18"/>
            </w:rPr>
            <w:fldChar w:fldCharType="end"/>
          </w:r>
        </w:p>
      </w:tc>
      <w:tc>
        <w:tcPr>
          <w:tcW w:w="533" w:type="dxa"/>
          <w:tcBorders>
            <w:top w:val="nil"/>
            <w:left w:val="nil"/>
            <w:bottom w:val="nil"/>
            <w:right w:val="nil"/>
          </w:tcBorders>
        </w:tcPr>
        <w:p w:rsidR="002B54B9" w:rsidRDefault="002B54B9"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E3F00">
            <w:rPr>
              <w:i/>
              <w:noProof/>
              <w:sz w:val="18"/>
            </w:rPr>
            <w:t>1</w:t>
          </w:r>
          <w:r w:rsidRPr="00ED79B6">
            <w:rPr>
              <w:i/>
              <w:sz w:val="18"/>
            </w:rPr>
            <w:fldChar w:fldCharType="end"/>
          </w:r>
        </w:p>
      </w:tc>
    </w:tr>
  </w:tbl>
  <w:p w:rsidR="002B54B9" w:rsidRPr="00ED79B6" w:rsidRDefault="00844263" w:rsidP="00844263">
    <w:pPr>
      <w:rPr>
        <w:i/>
        <w:sz w:val="18"/>
      </w:rPr>
    </w:pPr>
    <w:r>
      <w:rPr>
        <w:i/>
        <w:sz w:val="18"/>
      </w:rPr>
      <w:fldChar w:fldCharType="begin"/>
    </w:r>
    <w:r>
      <w:rPr>
        <w:i/>
        <w:sz w:val="18"/>
      </w:rPr>
      <w:instrText xml:space="preserve"> DOCPROPERTY ID \* MERGEFORMAT </w:instrText>
    </w:r>
    <w:r>
      <w:rPr>
        <w:i/>
        <w:sz w:val="18"/>
      </w:rPr>
      <w:fldChar w:fldCharType="separate"/>
    </w:r>
    <w:r w:rsidR="004108FB">
      <w:rPr>
        <w:i/>
        <w:sz w:val="18"/>
      </w:rPr>
      <w:t>OPC60601</w:t>
    </w:r>
    <w:r>
      <w:rPr>
        <w:i/>
        <w:sz w:val="18"/>
      </w:rPr>
      <w:fldChar w:fldCharType="end"/>
    </w:r>
    <w:r w:rsidRPr="00844263">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E33C1C" w:rsidRDefault="002B54B9"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2B54B9" w:rsidTr="00011E1C">
      <w:tc>
        <w:tcPr>
          <w:tcW w:w="1383" w:type="dxa"/>
          <w:tcBorders>
            <w:top w:val="nil"/>
            <w:left w:val="nil"/>
            <w:bottom w:val="nil"/>
            <w:right w:val="nil"/>
          </w:tcBorders>
        </w:tcPr>
        <w:p w:rsidR="002B54B9" w:rsidRDefault="002B54B9" w:rsidP="00011E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108FB">
            <w:rPr>
              <w:i/>
              <w:sz w:val="18"/>
            </w:rPr>
            <w:t>No. 130, 2014</w:t>
          </w:r>
          <w:r w:rsidRPr="007A1328">
            <w:rPr>
              <w:i/>
              <w:sz w:val="18"/>
            </w:rPr>
            <w:fldChar w:fldCharType="end"/>
          </w:r>
        </w:p>
      </w:tc>
      <w:tc>
        <w:tcPr>
          <w:tcW w:w="5387" w:type="dxa"/>
          <w:tcBorders>
            <w:top w:val="nil"/>
            <w:left w:val="nil"/>
            <w:bottom w:val="nil"/>
            <w:right w:val="nil"/>
          </w:tcBorders>
        </w:tcPr>
        <w:p w:rsidR="002B54B9" w:rsidRDefault="002B54B9" w:rsidP="00011E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108FB">
            <w:rPr>
              <w:i/>
              <w:sz w:val="18"/>
            </w:rPr>
            <w:t>Environment Protection and Biodiversity Conservation Amendment (Cost Recovery) Regulation 2014</w:t>
          </w:r>
          <w:r w:rsidRPr="007A1328">
            <w:rPr>
              <w:i/>
              <w:sz w:val="18"/>
            </w:rPr>
            <w:fldChar w:fldCharType="end"/>
          </w:r>
        </w:p>
      </w:tc>
      <w:tc>
        <w:tcPr>
          <w:tcW w:w="533" w:type="dxa"/>
          <w:tcBorders>
            <w:top w:val="nil"/>
            <w:left w:val="nil"/>
            <w:bottom w:val="nil"/>
            <w:right w:val="nil"/>
          </w:tcBorders>
        </w:tcPr>
        <w:p w:rsidR="002B54B9" w:rsidRDefault="002B54B9" w:rsidP="00011E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2C21">
            <w:rPr>
              <w:i/>
              <w:noProof/>
              <w:sz w:val="18"/>
            </w:rPr>
            <w:t>2</w:t>
          </w:r>
          <w:r w:rsidRPr="00ED79B6">
            <w:rPr>
              <w:i/>
              <w:sz w:val="18"/>
            </w:rPr>
            <w:fldChar w:fldCharType="end"/>
          </w:r>
        </w:p>
      </w:tc>
    </w:tr>
  </w:tbl>
  <w:p w:rsidR="002B54B9" w:rsidRPr="00ED79B6" w:rsidRDefault="002B54B9"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B9" w:rsidRDefault="002B54B9" w:rsidP="0048364F">
      <w:pPr>
        <w:spacing w:line="240" w:lineRule="auto"/>
      </w:pPr>
      <w:r>
        <w:separator/>
      </w:r>
    </w:p>
  </w:footnote>
  <w:footnote w:type="continuationSeparator" w:id="0">
    <w:p w:rsidR="002B54B9" w:rsidRDefault="002B54B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5F1388" w:rsidRDefault="002B54B9"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5F1388" w:rsidRDefault="002B54B9"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5F1388" w:rsidRDefault="002B54B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ED79B6" w:rsidRDefault="002B54B9"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ED79B6" w:rsidRDefault="002B54B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ED79B6" w:rsidRDefault="002B54B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A961C4" w:rsidRDefault="002B54B9" w:rsidP="00B63BDE">
    <w:pPr>
      <w:rPr>
        <w:b/>
        <w:sz w:val="20"/>
      </w:rPr>
    </w:pPr>
    <w:r>
      <w:rPr>
        <w:b/>
        <w:sz w:val="20"/>
      </w:rPr>
      <w:fldChar w:fldCharType="begin"/>
    </w:r>
    <w:r>
      <w:rPr>
        <w:b/>
        <w:sz w:val="20"/>
      </w:rPr>
      <w:instrText xml:space="preserve"> STYLEREF CharAmSchNo </w:instrText>
    </w:r>
    <w:r w:rsidR="001C7B6D">
      <w:rPr>
        <w:b/>
        <w:sz w:val="20"/>
      </w:rPr>
      <w:fldChar w:fldCharType="separate"/>
    </w:r>
    <w:r w:rsidR="000E3F0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C7B6D">
      <w:rPr>
        <w:sz w:val="20"/>
      </w:rPr>
      <w:fldChar w:fldCharType="separate"/>
    </w:r>
    <w:r w:rsidR="000E3F00">
      <w:rPr>
        <w:noProof/>
        <w:sz w:val="20"/>
      </w:rPr>
      <w:t>Amendments</w:t>
    </w:r>
    <w:r>
      <w:rPr>
        <w:sz w:val="20"/>
      </w:rPr>
      <w:fldChar w:fldCharType="end"/>
    </w:r>
  </w:p>
  <w:p w:rsidR="002B54B9" w:rsidRPr="00A961C4" w:rsidRDefault="002B54B9"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B54B9" w:rsidRPr="00A961C4" w:rsidRDefault="002B54B9"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A961C4" w:rsidRDefault="002B54B9"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B54B9" w:rsidRPr="00A961C4" w:rsidRDefault="002B54B9"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B54B9" w:rsidRPr="00A961C4" w:rsidRDefault="002B54B9"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B9" w:rsidRPr="00A961C4" w:rsidRDefault="002B54B9"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C2242D7"/>
    <w:multiLevelType w:val="hybridMultilevel"/>
    <w:tmpl w:val="02E0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03"/>
    <w:rsid w:val="00000999"/>
    <w:rsid w:val="00001E46"/>
    <w:rsid w:val="000026A4"/>
    <w:rsid w:val="000041C6"/>
    <w:rsid w:val="0000459B"/>
    <w:rsid w:val="0000497B"/>
    <w:rsid w:val="000063E4"/>
    <w:rsid w:val="00006C39"/>
    <w:rsid w:val="00011292"/>
    <w:rsid w:val="000113BC"/>
    <w:rsid w:val="00011E1C"/>
    <w:rsid w:val="000136AF"/>
    <w:rsid w:val="000145D0"/>
    <w:rsid w:val="00014B79"/>
    <w:rsid w:val="0002233F"/>
    <w:rsid w:val="00022A8B"/>
    <w:rsid w:val="00025060"/>
    <w:rsid w:val="000256C7"/>
    <w:rsid w:val="00026217"/>
    <w:rsid w:val="000269F6"/>
    <w:rsid w:val="000301C2"/>
    <w:rsid w:val="00032373"/>
    <w:rsid w:val="00033D4B"/>
    <w:rsid w:val="00033ED6"/>
    <w:rsid w:val="000359DE"/>
    <w:rsid w:val="00036F83"/>
    <w:rsid w:val="0004044E"/>
    <w:rsid w:val="00040CF9"/>
    <w:rsid w:val="00041090"/>
    <w:rsid w:val="00041B24"/>
    <w:rsid w:val="00045DEE"/>
    <w:rsid w:val="000505C3"/>
    <w:rsid w:val="00052876"/>
    <w:rsid w:val="00054BC3"/>
    <w:rsid w:val="000573CF"/>
    <w:rsid w:val="00057625"/>
    <w:rsid w:val="00057E63"/>
    <w:rsid w:val="00061023"/>
    <w:rsid w:val="00061363"/>
    <w:rsid w:val="000614BF"/>
    <w:rsid w:val="00061CA0"/>
    <w:rsid w:val="00062142"/>
    <w:rsid w:val="000670DC"/>
    <w:rsid w:val="000676CD"/>
    <w:rsid w:val="0007078A"/>
    <w:rsid w:val="00076409"/>
    <w:rsid w:val="00076728"/>
    <w:rsid w:val="00082614"/>
    <w:rsid w:val="00083302"/>
    <w:rsid w:val="0008475E"/>
    <w:rsid w:val="00085017"/>
    <w:rsid w:val="00085D19"/>
    <w:rsid w:val="0008684E"/>
    <w:rsid w:val="0009004D"/>
    <w:rsid w:val="0009032C"/>
    <w:rsid w:val="00091002"/>
    <w:rsid w:val="00093687"/>
    <w:rsid w:val="000947AC"/>
    <w:rsid w:val="00097A61"/>
    <w:rsid w:val="000A1051"/>
    <w:rsid w:val="000A3E14"/>
    <w:rsid w:val="000B3223"/>
    <w:rsid w:val="000B4286"/>
    <w:rsid w:val="000B7C5D"/>
    <w:rsid w:val="000B7CC2"/>
    <w:rsid w:val="000C2CE3"/>
    <w:rsid w:val="000C32CF"/>
    <w:rsid w:val="000C4AE8"/>
    <w:rsid w:val="000C4E79"/>
    <w:rsid w:val="000C5FD7"/>
    <w:rsid w:val="000D05EF"/>
    <w:rsid w:val="000D0A55"/>
    <w:rsid w:val="000D1A45"/>
    <w:rsid w:val="000D2084"/>
    <w:rsid w:val="000D29EF"/>
    <w:rsid w:val="000D55BE"/>
    <w:rsid w:val="000D6C56"/>
    <w:rsid w:val="000D742E"/>
    <w:rsid w:val="000E0CD3"/>
    <w:rsid w:val="000E0EC5"/>
    <w:rsid w:val="000E1009"/>
    <w:rsid w:val="000E1D29"/>
    <w:rsid w:val="000E2A98"/>
    <w:rsid w:val="000E2C17"/>
    <w:rsid w:val="000E3F00"/>
    <w:rsid w:val="000E46F6"/>
    <w:rsid w:val="000E6AB8"/>
    <w:rsid w:val="000E6FA9"/>
    <w:rsid w:val="000E7381"/>
    <w:rsid w:val="000F21C1"/>
    <w:rsid w:val="000F7427"/>
    <w:rsid w:val="001031B0"/>
    <w:rsid w:val="0010420D"/>
    <w:rsid w:val="001051A3"/>
    <w:rsid w:val="0010745C"/>
    <w:rsid w:val="00107754"/>
    <w:rsid w:val="00110D1B"/>
    <w:rsid w:val="00110D64"/>
    <w:rsid w:val="00112151"/>
    <w:rsid w:val="00112566"/>
    <w:rsid w:val="00112C21"/>
    <w:rsid w:val="00113706"/>
    <w:rsid w:val="00116975"/>
    <w:rsid w:val="0011747E"/>
    <w:rsid w:val="001214E9"/>
    <w:rsid w:val="00123D20"/>
    <w:rsid w:val="00124784"/>
    <w:rsid w:val="00132A69"/>
    <w:rsid w:val="00132C64"/>
    <w:rsid w:val="001364A0"/>
    <w:rsid w:val="00136DA7"/>
    <w:rsid w:val="00137C52"/>
    <w:rsid w:val="001401F2"/>
    <w:rsid w:val="0014063D"/>
    <w:rsid w:val="00140EB6"/>
    <w:rsid w:val="001430D7"/>
    <w:rsid w:val="001452ED"/>
    <w:rsid w:val="00145E5D"/>
    <w:rsid w:val="001460A8"/>
    <w:rsid w:val="00147846"/>
    <w:rsid w:val="00150958"/>
    <w:rsid w:val="0015243D"/>
    <w:rsid w:val="0015426E"/>
    <w:rsid w:val="00154EAC"/>
    <w:rsid w:val="00160C55"/>
    <w:rsid w:val="00162561"/>
    <w:rsid w:val="001643C9"/>
    <w:rsid w:val="00164665"/>
    <w:rsid w:val="00164EC5"/>
    <w:rsid w:val="00165568"/>
    <w:rsid w:val="00166C2F"/>
    <w:rsid w:val="001715AF"/>
    <w:rsid w:val="001716C9"/>
    <w:rsid w:val="00171EAE"/>
    <w:rsid w:val="00172429"/>
    <w:rsid w:val="001755C7"/>
    <w:rsid w:val="001763B7"/>
    <w:rsid w:val="00176999"/>
    <w:rsid w:val="00176BEE"/>
    <w:rsid w:val="00176E1C"/>
    <w:rsid w:val="0017718B"/>
    <w:rsid w:val="001773AB"/>
    <w:rsid w:val="00182407"/>
    <w:rsid w:val="00182A49"/>
    <w:rsid w:val="00182B0A"/>
    <w:rsid w:val="00184572"/>
    <w:rsid w:val="001868BE"/>
    <w:rsid w:val="00191859"/>
    <w:rsid w:val="00193461"/>
    <w:rsid w:val="001939E1"/>
    <w:rsid w:val="00195382"/>
    <w:rsid w:val="0019620D"/>
    <w:rsid w:val="00196592"/>
    <w:rsid w:val="00196F5D"/>
    <w:rsid w:val="00197746"/>
    <w:rsid w:val="00197FD7"/>
    <w:rsid w:val="001A11CF"/>
    <w:rsid w:val="001A28FC"/>
    <w:rsid w:val="001A3A1A"/>
    <w:rsid w:val="001A6B85"/>
    <w:rsid w:val="001A6E9B"/>
    <w:rsid w:val="001A7117"/>
    <w:rsid w:val="001A7EEF"/>
    <w:rsid w:val="001B03EC"/>
    <w:rsid w:val="001B108D"/>
    <w:rsid w:val="001B3097"/>
    <w:rsid w:val="001B3239"/>
    <w:rsid w:val="001B3C2E"/>
    <w:rsid w:val="001B546D"/>
    <w:rsid w:val="001B72A5"/>
    <w:rsid w:val="001B7455"/>
    <w:rsid w:val="001B7A5D"/>
    <w:rsid w:val="001C0F58"/>
    <w:rsid w:val="001C322C"/>
    <w:rsid w:val="001C380A"/>
    <w:rsid w:val="001C517E"/>
    <w:rsid w:val="001C5CDE"/>
    <w:rsid w:val="001C6344"/>
    <w:rsid w:val="001C69C4"/>
    <w:rsid w:val="001C7332"/>
    <w:rsid w:val="001C7A8C"/>
    <w:rsid w:val="001C7B6D"/>
    <w:rsid w:val="001D0710"/>
    <w:rsid w:val="001D4229"/>
    <w:rsid w:val="001D7F83"/>
    <w:rsid w:val="001E0856"/>
    <w:rsid w:val="001E16D0"/>
    <w:rsid w:val="001E3590"/>
    <w:rsid w:val="001E3BD7"/>
    <w:rsid w:val="001E3E59"/>
    <w:rsid w:val="001E404A"/>
    <w:rsid w:val="001E46F9"/>
    <w:rsid w:val="001E4AB7"/>
    <w:rsid w:val="001E562E"/>
    <w:rsid w:val="001E69CC"/>
    <w:rsid w:val="001E7407"/>
    <w:rsid w:val="001F0DAA"/>
    <w:rsid w:val="001F2BAF"/>
    <w:rsid w:val="001F4FEB"/>
    <w:rsid w:val="001F6924"/>
    <w:rsid w:val="00200BE0"/>
    <w:rsid w:val="0020186B"/>
    <w:rsid w:val="00201D27"/>
    <w:rsid w:val="002035EA"/>
    <w:rsid w:val="00205999"/>
    <w:rsid w:val="00205DF5"/>
    <w:rsid w:val="00214B91"/>
    <w:rsid w:val="00220257"/>
    <w:rsid w:val="002203C8"/>
    <w:rsid w:val="00224539"/>
    <w:rsid w:val="002274E1"/>
    <w:rsid w:val="0022762D"/>
    <w:rsid w:val="0023061D"/>
    <w:rsid w:val="00231427"/>
    <w:rsid w:val="0023698D"/>
    <w:rsid w:val="00237B6C"/>
    <w:rsid w:val="002405D3"/>
    <w:rsid w:val="00240749"/>
    <w:rsid w:val="00241CB7"/>
    <w:rsid w:val="002434DD"/>
    <w:rsid w:val="00245DB1"/>
    <w:rsid w:val="00246AE6"/>
    <w:rsid w:val="0025129A"/>
    <w:rsid w:val="0025651A"/>
    <w:rsid w:val="002575B6"/>
    <w:rsid w:val="00260583"/>
    <w:rsid w:val="00262565"/>
    <w:rsid w:val="0026421D"/>
    <w:rsid w:val="00264A23"/>
    <w:rsid w:val="002650A0"/>
    <w:rsid w:val="00265FBC"/>
    <w:rsid w:val="00266D05"/>
    <w:rsid w:val="002675ED"/>
    <w:rsid w:val="00267706"/>
    <w:rsid w:val="00267A6A"/>
    <w:rsid w:val="00272FE2"/>
    <w:rsid w:val="0027399D"/>
    <w:rsid w:val="00276C9D"/>
    <w:rsid w:val="00283220"/>
    <w:rsid w:val="00284219"/>
    <w:rsid w:val="0029160E"/>
    <w:rsid w:val="00292F81"/>
    <w:rsid w:val="002932B1"/>
    <w:rsid w:val="00295408"/>
    <w:rsid w:val="00297ECB"/>
    <w:rsid w:val="002A0FFD"/>
    <w:rsid w:val="002B1738"/>
    <w:rsid w:val="002B1CCA"/>
    <w:rsid w:val="002B22D4"/>
    <w:rsid w:val="002B2731"/>
    <w:rsid w:val="002B4B61"/>
    <w:rsid w:val="002B54B9"/>
    <w:rsid w:val="002B5B89"/>
    <w:rsid w:val="002B6508"/>
    <w:rsid w:val="002B7D96"/>
    <w:rsid w:val="002C2474"/>
    <w:rsid w:val="002C31FB"/>
    <w:rsid w:val="002C5F47"/>
    <w:rsid w:val="002D043A"/>
    <w:rsid w:val="002D3698"/>
    <w:rsid w:val="002D3C30"/>
    <w:rsid w:val="002D60DE"/>
    <w:rsid w:val="002D65F8"/>
    <w:rsid w:val="002E02A3"/>
    <w:rsid w:val="002E1A95"/>
    <w:rsid w:val="002E1C88"/>
    <w:rsid w:val="002E21CA"/>
    <w:rsid w:val="002E2BEE"/>
    <w:rsid w:val="002E52F7"/>
    <w:rsid w:val="002E5BB2"/>
    <w:rsid w:val="002E5F8F"/>
    <w:rsid w:val="002E6FCA"/>
    <w:rsid w:val="002E7723"/>
    <w:rsid w:val="002F125A"/>
    <w:rsid w:val="002F4575"/>
    <w:rsid w:val="002F7AF3"/>
    <w:rsid w:val="00304E75"/>
    <w:rsid w:val="00305FFE"/>
    <w:rsid w:val="00306D3E"/>
    <w:rsid w:val="003072FA"/>
    <w:rsid w:val="00310D90"/>
    <w:rsid w:val="0031382B"/>
    <w:rsid w:val="0031424D"/>
    <w:rsid w:val="003153B9"/>
    <w:rsid w:val="00316C54"/>
    <w:rsid w:val="0031713F"/>
    <w:rsid w:val="00320321"/>
    <w:rsid w:val="003206F5"/>
    <w:rsid w:val="00321AFF"/>
    <w:rsid w:val="00321F7C"/>
    <w:rsid w:val="00324276"/>
    <w:rsid w:val="00325284"/>
    <w:rsid w:val="00331A7D"/>
    <w:rsid w:val="00331AED"/>
    <w:rsid w:val="003335FD"/>
    <w:rsid w:val="00333C57"/>
    <w:rsid w:val="00336E65"/>
    <w:rsid w:val="003402C6"/>
    <w:rsid w:val="00340E93"/>
    <w:rsid w:val="003414C0"/>
    <w:rsid w:val="003415D3"/>
    <w:rsid w:val="00343BB9"/>
    <w:rsid w:val="00345B5E"/>
    <w:rsid w:val="003464F9"/>
    <w:rsid w:val="00347C3A"/>
    <w:rsid w:val="00350FA9"/>
    <w:rsid w:val="00352B0F"/>
    <w:rsid w:val="00353BDE"/>
    <w:rsid w:val="00355214"/>
    <w:rsid w:val="00355D5A"/>
    <w:rsid w:val="003564C4"/>
    <w:rsid w:val="00361BD9"/>
    <w:rsid w:val="00362229"/>
    <w:rsid w:val="0036232F"/>
    <w:rsid w:val="00363549"/>
    <w:rsid w:val="003652F1"/>
    <w:rsid w:val="00366C32"/>
    <w:rsid w:val="00366E46"/>
    <w:rsid w:val="00367081"/>
    <w:rsid w:val="00370A93"/>
    <w:rsid w:val="00373967"/>
    <w:rsid w:val="00373B65"/>
    <w:rsid w:val="00376BA4"/>
    <w:rsid w:val="00376CE5"/>
    <w:rsid w:val="003801D0"/>
    <w:rsid w:val="00383B3D"/>
    <w:rsid w:val="0038434A"/>
    <w:rsid w:val="00384C55"/>
    <w:rsid w:val="0038785C"/>
    <w:rsid w:val="003913F2"/>
    <w:rsid w:val="0039228E"/>
    <w:rsid w:val="003926B5"/>
    <w:rsid w:val="003927B9"/>
    <w:rsid w:val="00393852"/>
    <w:rsid w:val="00393D84"/>
    <w:rsid w:val="00397644"/>
    <w:rsid w:val="0039784F"/>
    <w:rsid w:val="003A2E5C"/>
    <w:rsid w:val="003A3652"/>
    <w:rsid w:val="003A42E7"/>
    <w:rsid w:val="003A6E28"/>
    <w:rsid w:val="003A7197"/>
    <w:rsid w:val="003A7655"/>
    <w:rsid w:val="003B04EC"/>
    <w:rsid w:val="003B1007"/>
    <w:rsid w:val="003B1589"/>
    <w:rsid w:val="003B584F"/>
    <w:rsid w:val="003B672B"/>
    <w:rsid w:val="003B769D"/>
    <w:rsid w:val="003C0780"/>
    <w:rsid w:val="003C4D1E"/>
    <w:rsid w:val="003C5F2B"/>
    <w:rsid w:val="003C7AB9"/>
    <w:rsid w:val="003D04D9"/>
    <w:rsid w:val="003D0BFE"/>
    <w:rsid w:val="003D22D1"/>
    <w:rsid w:val="003D2DDC"/>
    <w:rsid w:val="003D403B"/>
    <w:rsid w:val="003D5700"/>
    <w:rsid w:val="003D7B8D"/>
    <w:rsid w:val="003D7FF8"/>
    <w:rsid w:val="003E03A9"/>
    <w:rsid w:val="003E2EEA"/>
    <w:rsid w:val="003E43B0"/>
    <w:rsid w:val="003E491D"/>
    <w:rsid w:val="003E503C"/>
    <w:rsid w:val="003E5FF5"/>
    <w:rsid w:val="003E6726"/>
    <w:rsid w:val="003E70A8"/>
    <w:rsid w:val="003F1DFC"/>
    <w:rsid w:val="003F43A5"/>
    <w:rsid w:val="003F4CA9"/>
    <w:rsid w:val="003F567B"/>
    <w:rsid w:val="003F6E5A"/>
    <w:rsid w:val="003F7415"/>
    <w:rsid w:val="0040109F"/>
    <w:rsid w:val="004010E7"/>
    <w:rsid w:val="00401403"/>
    <w:rsid w:val="00403AA8"/>
    <w:rsid w:val="00404B21"/>
    <w:rsid w:val="00405C78"/>
    <w:rsid w:val="00406550"/>
    <w:rsid w:val="004108FB"/>
    <w:rsid w:val="004116CD"/>
    <w:rsid w:val="00412815"/>
    <w:rsid w:val="00412A41"/>
    <w:rsid w:val="00412B83"/>
    <w:rsid w:val="004146B1"/>
    <w:rsid w:val="0041473D"/>
    <w:rsid w:val="0042336C"/>
    <w:rsid w:val="00423570"/>
    <w:rsid w:val="0042360D"/>
    <w:rsid w:val="00424CA9"/>
    <w:rsid w:val="004253CA"/>
    <w:rsid w:val="00430F72"/>
    <w:rsid w:val="00433910"/>
    <w:rsid w:val="00435C05"/>
    <w:rsid w:val="004413A4"/>
    <w:rsid w:val="00441BF9"/>
    <w:rsid w:val="00442631"/>
    <w:rsid w:val="0044291A"/>
    <w:rsid w:val="00443C85"/>
    <w:rsid w:val="00443D11"/>
    <w:rsid w:val="004448BD"/>
    <w:rsid w:val="004473C3"/>
    <w:rsid w:val="004533C4"/>
    <w:rsid w:val="004541B9"/>
    <w:rsid w:val="00454DE5"/>
    <w:rsid w:val="00455970"/>
    <w:rsid w:val="0045604E"/>
    <w:rsid w:val="0045713D"/>
    <w:rsid w:val="0046032C"/>
    <w:rsid w:val="00460499"/>
    <w:rsid w:val="00460D4F"/>
    <w:rsid w:val="004616A8"/>
    <w:rsid w:val="00461959"/>
    <w:rsid w:val="0046252A"/>
    <w:rsid w:val="004636B1"/>
    <w:rsid w:val="00465685"/>
    <w:rsid w:val="00465DF1"/>
    <w:rsid w:val="00466074"/>
    <w:rsid w:val="00466723"/>
    <w:rsid w:val="004703FC"/>
    <w:rsid w:val="00471B98"/>
    <w:rsid w:val="00471DB6"/>
    <w:rsid w:val="00471E2A"/>
    <w:rsid w:val="00472096"/>
    <w:rsid w:val="00480B12"/>
    <w:rsid w:val="00480FB9"/>
    <w:rsid w:val="004818E7"/>
    <w:rsid w:val="0048364F"/>
    <w:rsid w:val="00483753"/>
    <w:rsid w:val="00486382"/>
    <w:rsid w:val="00487C70"/>
    <w:rsid w:val="00490932"/>
    <w:rsid w:val="00491A7A"/>
    <w:rsid w:val="00492602"/>
    <w:rsid w:val="004933DD"/>
    <w:rsid w:val="00496F97"/>
    <w:rsid w:val="004973AE"/>
    <w:rsid w:val="00497DA6"/>
    <w:rsid w:val="004A2484"/>
    <w:rsid w:val="004A2B92"/>
    <w:rsid w:val="004A63FA"/>
    <w:rsid w:val="004B2029"/>
    <w:rsid w:val="004B25CF"/>
    <w:rsid w:val="004B2EB7"/>
    <w:rsid w:val="004B3E90"/>
    <w:rsid w:val="004C00D6"/>
    <w:rsid w:val="004C0255"/>
    <w:rsid w:val="004C037B"/>
    <w:rsid w:val="004C0FA1"/>
    <w:rsid w:val="004C26DA"/>
    <w:rsid w:val="004C2D22"/>
    <w:rsid w:val="004C52FF"/>
    <w:rsid w:val="004C5B5A"/>
    <w:rsid w:val="004C5CA6"/>
    <w:rsid w:val="004C6444"/>
    <w:rsid w:val="004C6DE1"/>
    <w:rsid w:val="004C6DE5"/>
    <w:rsid w:val="004C7A85"/>
    <w:rsid w:val="004D2948"/>
    <w:rsid w:val="004D3FB6"/>
    <w:rsid w:val="004D6331"/>
    <w:rsid w:val="004D6EED"/>
    <w:rsid w:val="004E1442"/>
    <w:rsid w:val="004E5697"/>
    <w:rsid w:val="004E5BE3"/>
    <w:rsid w:val="004E73F6"/>
    <w:rsid w:val="004E7AB3"/>
    <w:rsid w:val="004F0DA4"/>
    <w:rsid w:val="004F133A"/>
    <w:rsid w:val="004F1FAC"/>
    <w:rsid w:val="004F244E"/>
    <w:rsid w:val="004F3A90"/>
    <w:rsid w:val="004F676E"/>
    <w:rsid w:val="00500A8B"/>
    <w:rsid w:val="0050219C"/>
    <w:rsid w:val="00504161"/>
    <w:rsid w:val="005043EE"/>
    <w:rsid w:val="00504BE6"/>
    <w:rsid w:val="00510748"/>
    <w:rsid w:val="00511FD5"/>
    <w:rsid w:val="00512D73"/>
    <w:rsid w:val="00513219"/>
    <w:rsid w:val="0051354E"/>
    <w:rsid w:val="00514BC6"/>
    <w:rsid w:val="005152F0"/>
    <w:rsid w:val="0051578B"/>
    <w:rsid w:val="00516B35"/>
    <w:rsid w:val="00516B8D"/>
    <w:rsid w:val="0051732E"/>
    <w:rsid w:val="0051778F"/>
    <w:rsid w:val="0052735A"/>
    <w:rsid w:val="00530CB3"/>
    <w:rsid w:val="00532EDA"/>
    <w:rsid w:val="0053489F"/>
    <w:rsid w:val="005359B7"/>
    <w:rsid w:val="00536BF3"/>
    <w:rsid w:val="00537FBC"/>
    <w:rsid w:val="005418B9"/>
    <w:rsid w:val="00543469"/>
    <w:rsid w:val="00545DFD"/>
    <w:rsid w:val="00554893"/>
    <w:rsid w:val="00556F13"/>
    <w:rsid w:val="00557C7A"/>
    <w:rsid w:val="0056022C"/>
    <w:rsid w:val="00564085"/>
    <w:rsid w:val="00570424"/>
    <w:rsid w:val="00571032"/>
    <w:rsid w:val="00572F8D"/>
    <w:rsid w:val="0057325F"/>
    <w:rsid w:val="0057750C"/>
    <w:rsid w:val="005809B3"/>
    <w:rsid w:val="005842EE"/>
    <w:rsid w:val="00584811"/>
    <w:rsid w:val="00584F0B"/>
    <w:rsid w:val="005851A5"/>
    <w:rsid w:val="005852E1"/>
    <w:rsid w:val="0058646E"/>
    <w:rsid w:val="005867DA"/>
    <w:rsid w:val="005902FB"/>
    <w:rsid w:val="0059083A"/>
    <w:rsid w:val="00590CF9"/>
    <w:rsid w:val="00591E07"/>
    <w:rsid w:val="00592E56"/>
    <w:rsid w:val="00593531"/>
    <w:rsid w:val="00593594"/>
    <w:rsid w:val="005939E7"/>
    <w:rsid w:val="00593AA6"/>
    <w:rsid w:val="00594161"/>
    <w:rsid w:val="0059428C"/>
    <w:rsid w:val="00594749"/>
    <w:rsid w:val="005A491A"/>
    <w:rsid w:val="005A5F6B"/>
    <w:rsid w:val="005A62E1"/>
    <w:rsid w:val="005A7CE9"/>
    <w:rsid w:val="005B1018"/>
    <w:rsid w:val="005B18D3"/>
    <w:rsid w:val="005B1E99"/>
    <w:rsid w:val="005B22E9"/>
    <w:rsid w:val="005B4067"/>
    <w:rsid w:val="005B52EA"/>
    <w:rsid w:val="005C00CC"/>
    <w:rsid w:val="005C12DE"/>
    <w:rsid w:val="005C16FB"/>
    <w:rsid w:val="005C32D0"/>
    <w:rsid w:val="005C3F41"/>
    <w:rsid w:val="005C5479"/>
    <w:rsid w:val="005C6346"/>
    <w:rsid w:val="005C7052"/>
    <w:rsid w:val="005C7650"/>
    <w:rsid w:val="005D1A78"/>
    <w:rsid w:val="005D38FA"/>
    <w:rsid w:val="005D4AF3"/>
    <w:rsid w:val="005D6F58"/>
    <w:rsid w:val="005D7610"/>
    <w:rsid w:val="005E0412"/>
    <w:rsid w:val="005E1332"/>
    <w:rsid w:val="005E276F"/>
    <w:rsid w:val="005E552A"/>
    <w:rsid w:val="005F0FCA"/>
    <w:rsid w:val="005F4412"/>
    <w:rsid w:val="005F674F"/>
    <w:rsid w:val="00600219"/>
    <w:rsid w:val="006003AB"/>
    <w:rsid w:val="00604B1A"/>
    <w:rsid w:val="00606CED"/>
    <w:rsid w:val="00610701"/>
    <w:rsid w:val="00611083"/>
    <w:rsid w:val="00611CC6"/>
    <w:rsid w:val="006120D7"/>
    <w:rsid w:val="00613D87"/>
    <w:rsid w:val="006179F8"/>
    <w:rsid w:val="0062149F"/>
    <w:rsid w:val="00621586"/>
    <w:rsid w:val="006228F7"/>
    <w:rsid w:val="006249E6"/>
    <w:rsid w:val="00630733"/>
    <w:rsid w:val="0063350C"/>
    <w:rsid w:val="0063676D"/>
    <w:rsid w:val="0063711A"/>
    <w:rsid w:val="00640D87"/>
    <w:rsid w:val="0064196E"/>
    <w:rsid w:val="0064468A"/>
    <w:rsid w:val="00650617"/>
    <w:rsid w:val="006513F1"/>
    <w:rsid w:val="00654CCA"/>
    <w:rsid w:val="00656DE9"/>
    <w:rsid w:val="00660D4D"/>
    <w:rsid w:val="0066350B"/>
    <w:rsid w:val="00663660"/>
    <w:rsid w:val="006638C8"/>
    <w:rsid w:val="00663BDD"/>
    <w:rsid w:val="00665A55"/>
    <w:rsid w:val="006666B3"/>
    <w:rsid w:val="00671E0D"/>
    <w:rsid w:val="00674074"/>
    <w:rsid w:val="006745CF"/>
    <w:rsid w:val="00677CC2"/>
    <w:rsid w:val="0068023C"/>
    <w:rsid w:val="00680F17"/>
    <w:rsid w:val="00681BF5"/>
    <w:rsid w:val="006829C5"/>
    <w:rsid w:val="0068344C"/>
    <w:rsid w:val="00684C7D"/>
    <w:rsid w:val="00685F42"/>
    <w:rsid w:val="00686F10"/>
    <w:rsid w:val="00687357"/>
    <w:rsid w:val="00690B88"/>
    <w:rsid w:val="00690CF5"/>
    <w:rsid w:val="0069207B"/>
    <w:rsid w:val="006926E3"/>
    <w:rsid w:val="006937E2"/>
    <w:rsid w:val="00696716"/>
    <w:rsid w:val="006977FB"/>
    <w:rsid w:val="006A1689"/>
    <w:rsid w:val="006A5048"/>
    <w:rsid w:val="006A528E"/>
    <w:rsid w:val="006B0EE0"/>
    <w:rsid w:val="006B262A"/>
    <w:rsid w:val="006B362A"/>
    <w:rsid w:val="006B3D66"/>
    <w:rsid w:val="006B3FE5"/>
    <w:rsid w:val="006B45E0"/>
    <w:rsid w:val="006B466E"/>
    <w:rsid w:val="006B54AD"/>
    <w:rsid w:val="006B5EFA"/>
    <w:rsid w:val="006C159B"/>
    <w:rsid w:val="006C2A1A"/>
    <w:rsid w:val="006C2C12"/>
    <w:rsid w:val="006C30AE"/>
    <w:rsid w:val="006C3FFF"/>
    <w:rsid w:val="006C444C"/>
    <w:rsid w:val="006C6497"/>
    <w:rsid w:val="006C6621"/>
    <w:rsid w:val="006C7F8C"/>
    <w:rsid w:val="006D1CD7"/>
    <w:rsid w:val="006D3667"/>
    <w:rsid w:val="006D3749"/>
    <w:rsid w:val="006D4E91"/>
    <w:rsid w:val="006D6380"/>
    <w:rsid w:val="006D65C6"/>
    <w:rsid w:val="006E004B"/>
    <w:rsid w:val="006E079F"/>
    <w:rsid w:val="006E2396"/>
    <w:rsid w:val="006E390C"/>
    <w:rsid w:val="006E6BCD"/>
    <w:rsid w:val="006E7147"/>
    <w:rsid w:val="006E770D"/>
    <w:rsid w:val="006E7B0F"/>
    <w:rsid w:val="006F0916"/>
    <w:rsid w:val="006F1700"/>
    <w:rsid w:val="006F19A7"/>
    <w:rsid w:val="006F5DBB"/>
    <w:rsid w:val="006F5E23"/>
    <w:rsid w:val="007002CC"/>
    <w:rsid w:val="00700B2C"/>
    <w:rsid w:val="00701E6A"/>
    <w:rsid w:val="007031D3"/>
    <w:rsid w:val="007031FA"/>
    <w:rsid w:val="00711A1F"/>
    <w:rsid w:val="00713084"/>
    <w:rsid w:val="00714365"/>
    <w:rsid w:val="00714ED7"/>
    <w:rsid w:val="00722023"/>
    <w:rsid w:val="00725386"/>
    <w:rsid w:val="00727033"/>
    <w:rsid w:val="00727C14"/>
    <w:rsid w:val="00730208"/>
    <w:rsid w:val="00731E00"/>
    <w:rsid w:val="00733735"/>
    <w:rsid w:val="00733828"/>
    <w:rsid w:val="00737C20"/>
    <w:rsid w:val="00740787"/>
    <w:rsid w:val="00740F7F"/>
    <w:rsid w:val="007413E5"/>
    <w:rsid w:val="007427AF"/>
    <w:rsid w:val="00743E11"/>
    <w:rsid w:val="00743E4F"/>
    <w:rsid w:val="007440B7"/>
    <w:rsid w:val="007446CC"/>
    <w:rsid w:val="0074600D"/>
    <w:rsid w:val="00750018"/>
    <w:rsid w:val="00753730"/>
    <w:rsid w:val="00756082"/>
    <w:rsid w:val="007623F2"/>
    <w:rsid w:val="00762661"/>
    <w:rsid w:val="007634AD"/>
    <w:rsid w:val="007648DF"/>
    <w:rsid w:val="00765909"/>
    <w:rsid w:val="00766B6E"/>
    <w:rsid w:val="00766CAD"/>
    <w:rsid w:val="00766DDE"/>
    <w:rsid w:val="0076724F"/>
    <w:rsid w:val="007715C9"/>
    <w:rsid w:val="00774597"/>
    <w:rsid w:val="00774EDD"/>
    <w:rsid w:val="007757EC"/>
    <w:rsid w:val="00775D7D"/>
    <w:rsid w:val="007769D4"/>
    <w:rsid w:val="007779FD"/>
    <w:rsid w:val="00782217"/>
    <w:rsid w:val="00783447"/>
    <w:rsid w:val="00785AFA"/>
    <w:rsid w:val="00785D2E"/>
    <w:rsid w:val="00786125"/>
    <w:rsid w:val="00786478"/>
    <w:rsid w:val="007865E2"/>
    <w:rsid w:val="00786C42"/>
    <w:rsid w:val="007903AC"/>
    <w:rsid w:val="00790B09"/>
    <w:rsid w:val="00794CD1"/>
    <w:rsid w:val="00796475"/>
    <w:rsid w:val="0079776B"/>
    <w:rsid w:val="00797E70"/>
    <w:rsid w:val="007A373D"/>
    <w:rsid w:val="007A49A5"/>
    <w:rsid w:val="007A590F"/>
    <w:rsid w:val="007A6960"/>
    <w:rsid w:val="007A7BD2"/>
    <w:rsid w:val="007A7F9F"/>
    <w:rsid w:val="007B0486"/>
    <w:rsid w:val="007B2849"/>
    <w:rsid w:val="007B399C"/>
    <w:rsid w:val="007B46E0"/>
    <w:rsid w:val="007B57F4"/>
    <w:rsid w:val="007B61FA"/>
    <w:rsid w:val="007B7E9B"/>
    <w:rsid w:val="007C1946"/>
    <w:rsid w:val="007C19A6"/>
    <w:rsid w:val="007C2E28"/>
    <w:rsid w:val="007C4B5B"/>
    <w:rsid w:val="007C679A"/>
    <w:rsid w:val="007D19D4"/>
    <w:rsid w:val="007D3A55"/>
    <w:rsid w:val="007D3C5F"/>
    <w:rsid w:val="007D4730"/>
    <w:rsid w:val="007E1389"/>
    <w:rsid w:val="007E19A6"/>
    <w:rsid w:val="007E290B"/>
    <w:rsid w:val="007E2AE4"/>
    <w:rsid w:val="007E537B"/>
    <w:rsid w:val="007E65E2"/>
    <w:rsid w:val="007E7576"/>
    <w:rsid w:val="007E7D4A"/>
    <w:rsid w:val="007E7F5B"/>
    <w:rsid w:val="007F05B9"/>
    <w:rsid w:val="007F2B35"/>
    <w:rsid w:val="007F6E40"/>
    <w:rsid w:val="007F77F0"/>
    <w:rsid w:val="008010E7"/>
    <w:rsid w:val="00801ADC"/>
    <w:rsid w:val="00802556"/>
    <w:rsid w:val="00802B23"/>
    <w:rsid w:val="0080393A"/>
    <w:rsid w:val="008051A0"/>
    <w:rsid w:val="00805720"/>
    <w:rsid w:val="00805764"/>
    <w:rsid w:val="0080594B"/>
    <w:rsid w:val="008063FA"/>
    <w:rsid w:val="008076A6"/>
    <w:rsid w:val="00811D0B"/>
    <w:rsid w:val="00812658"/>
    <w:rsid w:val="00822566"/>
    <w:rsid w:val="0082662C"/>
    <w:rsid w:val="008267EA"/>
    <w:rsid w:val="00826DA5"/>
    <w:rsid w:val="00830812"/>
    <w:rsid w:val="00833103"/>
    <w:rsid w:val="00833416"/>
    <w:rsid w:val="00833FF7"/>
    <w:rsid w:val="00836103"/>
    <w:rsid w:val="00836505"/>
    <w:rsid w:val="00836667"/>
    <w:rsid w:val="0083689B"/>
    <w:rsid w:val="00841A62"/>
    <w:rsid w:val="00844263"/>
    <w:rsid w:val="00844C0C"/>
    <w:rsid w:val="00845586"/>
    <w:rsid w:val="0084733F"/>
    <w:rsid w:val="0085191C"/>
    <w:rsid w:val="008548F3"/>
    <w:rsid w:val="00855704"/>
    <w:rsid w:val="00855934"/>
    <w:rsid w:val="00856005"/>
    <w:rsid w:val="00856A31"/>
    <w:rsid w:val="0085736F"/>
    <w:rsid w:val="008604EF"/>
    <w:rsid w:val="00861FA6"/>
    <w:rsid w:val="00862539"/>
    <w:rsid w:val="00864C8D"/>
    <w:rsid w:val="00871488"/>
    <w:rsid w:val="00873CAE"/>
    <w:rsid w:val="00874B69"/>
    <w:rsid w:val="00875206"/>
    <w:rsid w:val="008754D0"/>
    <w:rsid w:val="00875739"/>
    <w:rsid w:val="00877D48"/>
    <w:rsid w:val="00892E90"/>
    <w:rsid w:val="00894608"/>
    <w:rsid w:val="00895269"/>
    <w:rsid w:val="0089783B"/>
    <w:rsid w:val="008A3447"/>
    <w:rsid w:val="008B04DC"/>
    <w:rsid w:val="008B211A"/>
    <w:rsid w:val="008B34E6"/>
    <w:rsid w:val="008B3B05"/>
    <w:rsid w:val="008B3CB6"/>
    <w:rsid w:val="008B7222"/>
    <w:rsid w:val="008B7686"/>
    <w:rsid w:val="008C29CF"/>
    <w:rsid w:val="008C55B9"/>
    <w:rsid w:val="008C5C22"/>
    <w:rsid w:val="008D03D1"/>
    <w:rsid w:val="008D0EE0"/>
    <w:rsid w:val="008D32E4"/>
    <w:rsid w:val="008D3C83"/>
    <w:rsid w:val="008D4377"/>
    <w:rsid w:val="008E0DB6"/>
    <w:rsid w:val="008E742B"/>
    <w:rsid w:val="008F07E3"/>
    <w:rsid w:val="008F1C5F"/>
    <w:rsid w:val="008F4F1C"/>
    <w:rsid w:val="008F57BD"/>
    <w:rsid w:val="008F66F1"/>
    <w:rsid w:val="008F6722"/>
    <w:rsid w:val="008F76E6"/>
    <w:rsid w:val="00901800"/>
    <w:rsid w:val="00905A87"/>
    <w:rsid w:val="0090667B"/>
    <w:rsid w:val="00907271"/>
    <w:rsid w:val="009107D7"/>
    <w:rsid w:val="00920019"/>
    <w:rsid w:val="00920EFB"/>
    <w:rsid w:val="00930F36"/>
    <w:rsid w:val="009319E5"/>
    <w:rsid w:val="00932377"/>
    <w:rsid w:val="00932A33"/>
    <w:rsid w:val="00934CF5"/>
    <w:rsid w:val="00934FDA"/>
    <w:rsid w:val="009408BF"/>
    <w:rsid w:val="009417C5"/>
    <w:rsid w:val="0094376D"/>
    <w:rsid w:val="0094471D"/>
    <w:rsid w:val="00950EF5"/>
    <w:rsid w:val="00952EDB"/>
    <w:rsid w:val="0095399C"/>
    <w:rsid w:val="00954632"/>
    <w:rsid w:val="0096008F"/>
    <w:rsid w:val="00963871"/>
    <w:rsid w:val="00964773"/>
    <w:rsid w:val="00965130"/>
    <w:rsid w:val="009705BB"/>
    <w:rsid w:val="009766ED"/>
    <w:rsid w:val="0098026D"/>
    <w:rsid w:val="00980487"/>
    <w:rsid w:val="0098084A"/>
    <w:rsid w:val="00981D85"/>
    <w:rsid w:val="0098244C"/>
    <w:rsid w:val="00982E78"/>
    <w:rsid w:val="00982FC1"/>
    <w:rsid w:val="00984197"/>
    <w:rsid w:val="009848EC"/>
    <w:rsid w:val="00984FA0"/>
    <w:rsid w:val="00985E88"/>
    <w:rsid w:val="009868BD"/>
    <w:rsid w:val="0098705F"/>
    <w:rsid w:val="009914EB"/>
    <w:rsid w:val="0099242B"/>
    <w:rsid w:val="009931F2"/>
    <w:rsid w:val="0099337F"/>
    <w:rsid w:val="00993A66"/>
    <w:rsid w:val="00997AD8"/>
    <w:rsid w:val="009A13B2"/>
    <w:rsid w:val="009A1ACA"/>
    <w:rsid w:val="009A265A"/>
    <w:rsid w:val="009A2B18"/>
    <w:rsid w:val="009A3156"/>
    <w:rsid w:val="009A5F57"/>
    <w:rsid w:val="009A6045"/>
    <w:rsid w:val="009A6F40"/>
    <w:rsid w:val="009B16EA"/>
    <w:rsid w:val="009B2DDE"/>
    <w:rsid w:val="009B3629"/>
    <w:rsid w:val="009B6EEA"/>
    <w:rsid w:val="009B7BE1"/>
    <w:rsid w:val="009C49D8"/>
    <w:rsid w:val="009D05C1"/>
    <w:rsid w:val="009D3495"/>
    <w:rsid w:val="009D36B2"/>
    <w:rsid w:val="009D6108"/>
    <w:rsid w:val="009E0111"/>
    <w:rsid w:val="009E3262"/>
    <w:rsid w:val="009E3601"/>
    <w:rsid w:val="009E3865"/>
    <w:rsid w:val="009E470A"/>
    <w:rsid w:val="009F00FF"/>
    <w:rsid w:val="009F0CB1"/>
    <w:rsid w:val="009F1917"/>
    <w:rsid w:val="009F29C2"/>
    <w:rsid w:val="009F43BC"/>
    <w:rsid w:val="009F4E9E"/>
    <w:rsid w:val="009F6857"/>
    <w:rsid w:val="009F727E"/>
    <w:rsid w:val="00A00E9C"/>
    <w:rsid w:val="00A00F0F"/>
    <w:rsid w:val="00A0146C"/>
    <w:rsid w:val="00A022B1"/>
    <w:rsid w:val="00A03A01"/>
    <w:rsid w:val="00A05707"/>
    <w:rsid w:val="00A05B62"/>
    <w:rsid w:val="00A05BDE"/>
    <w:rsid w:val="00A06277"/>
    <w:rsid w:val="00A0627D"/>
    <w:rsid w:val="00A06774"/>
    <w:rsid w:val="00A1027A"/>
    <w:rsid w:val="00A152A8"/>
    <w:rsid w:val="00A15551"/>
    <w:rsid w:val="00A15EC3"/>
    <w:rsid w:val="00A2057D"/>
    <w:rsid w:val="00A20EE3"/>
    <w:rsid w:val="00A231E2"/>
    <w:rsid w:val="00A239F1"/>
    <w:rsid w:val="00A2550D"/>
    <w:rsid w:val="00A26DBE"/>
    <w:rsid w:val="00A26DDF"/>
    <w:rsid w:val="00A30598"/>
    <w:rsid w:val="00A312EF"/>
    <w:rsid w:val="00A326A4"/>
    <w:rsid w:val="00A34408"/>
    <w:rsid w:val="00A40150"/>
    <w:rsid w:val="00A4025E"/>
    <w:rsid w:val="00A4169B"/>
    <w:rsid w:val="00A4361F"/>
    <w:rsid w:val="00A4591A"/>
    <w:rsid w:val="00A47F33"/>
    <w:rsid w:val="00A51393"/>
    <w:rsid w:val="00A5197F"/>
    <w:rsid w:val="00A5254A"/>
    <w:rsid w:val="00A5489D"/>
    <w:rsid w:val="00A54996"/>
    <w:rsid w:val="00A55175"/>
    <w:rsid w:val="00A56C85"/>
    <w:rsid w:val="00A5770C"/>
    <w:rsid w:val="00A601A7"/>
    <w:rsid w:val="00A603B2"/>
    <w:rsid w:val="00A626EF"/>
    <w:rsid w:val="00A636F8"/>
    <w:rsid w:val="00A64118"/>
    <w:rsid w:val="00A64912"/>
    <w:rsid w:val="00A64B37"/>
    <w:rsid w:val="00A64D20"/>
    <w:rsid w:val="00A64F1E"/>
    <w:rsid w:val="00A66A99"/>
    <w:rsid w:val="00A67913"/>
    <w:rsid w:val="00A67E2E"/>
    <w:rsid w:val="00A70A74"/>
    <w:rsid w:val="00A71C4E"/>
    <w:rsid w:val="00A73726"/>
    <w:rsid w:val="00A73C2F"/>
    <w:rsid w:val="00A73D98"/>
    <w:rsid w:val="00A76516"/>
    <w:rsid w:val="00A76826"/>
    <w:rsid w:val="00A77D96"/>
    <w:rsid w:val="00A81F5A"/>
    <w:rsid w:val="00A8282C"/>
    <w:rsid w:val="00A82B96"/>
    <w:rsid w:val="00A8419E"/>
    <w:rsid w:val="00A86893"/>
    <w:rsid w:val="00A8768A"/>
    <w:rsid w:val="00A87AB9"/>
    <w:rsid w:val="00A920A6"/>
    <w:rsid w:val="00A92FB2"/>
    <w:rsid w:val="00A9359C"/>
    <w:rsid w:val="00A95325"/>
    <w:rsid w:val="00A96A2E"/>
    <w:rsid w:val="00A96AC9"/>
    <w:rsid w:val="00AA0D90"/>
    <w:rsid w:val="00AA1814"/>
    <w:rsid w:val="00AA7B1D"/>
    <w:rsid w:val="00AB08BD"/>
    <w:rsid w:val="00AB158C"/>
    <w:rsid w:val="00AB1D08"/>
    <w:rsid w:val="00AB3315"/>
    <w:rsid w:val="00AB3B36"/>
    <w:rsid w:val="00AB4C8B"/>
    <w:rsid w:val="00AB70DB"/>
    <w:rsid w:val="00AB7B41"/>
    <w:rsid w:val="00AB7D0A"/>
    <w:rsid w:val="00AC06B3"/>
    <w:rsid w:val="00AC0787"/>
    <w:rsid w:val="00AC629C"/>
    <w:rsid w:val="00AC70C2"/>
    <w:rsid w:val="00AC7448"/>
    <w:rsid w:val="00AD1E2E"/>
    <w:rsid w:val="00AD2F3E"/>
    <w:rsid w:val="00AD390C"/>
    <w:rsid w:val="00AD5641"/>
    <w:rsid w:val="00AE3186"/>
    <w:rsid w:val="00AE33AB"/>
    <w:rsid w:val="00AE3BA5"/>
    <w:rsid w:val="00AE50A2"/>
    <w:rsid w:val="00AE7282"/>
    <w:rsid w:val="00AF0336"/>
    <w:rsid w:val="00AF0B10"/>
    <w:rsid w:val="00AF1197"/>
    <w:rsid w:val="00AF1BA7"/>
    <w:rsid w:val="00AF2EA2"/>
    <w:rsid w:val="00AF3CF1"/>
    <w:rsid w:val="00AF4B76"/>
    <w:rsid w:val="00AF6613"/>
    <w:rsid w:val="00AF740F"/>
    <w:rsid w:val="00AF7921"/>
    <w:rsid w:val="00B00902"/>
    <w:rsid w:val="00B032D8"/>
    <w:rsid w:val="00B048FB"/>
    <w:rsid w:val="00B060CC"/>
    <w:rsid w:val="00B06703"/>
    <w:rsid w:val="00B1013C"/>
    <w:rsid w:val="00B1023F"/>
    <w:rsid w:val="00B107D9"/>
    <w:rsid w:val="00B13EB0"/>
    <w:rsid w:val="00B14228"/>
    <w:rsid w:val="00B14310"/>
    <w:rsid w:val="00B15574"/>
    <w:rsid w:val="00B16373"/>
    <w:rsid w:val="00B229BF"/>
    <w:rsid w:val="00B27506"/>
    <w:rsid w:val="00B31899"/>
    <w:rsid w:val="00B32948"/>
    <w:rsid w:val="00B32D98"/>
    <w:rsid w:val="00B332B8"/>
    <w:rsid w:val="00B33B3C"/>
    <w:rsid w:val="00B34A90"/>
    <w:rsid w:val="00B3729B"/>
    <w:rsid w:val="00B372BF"/>
    <w:rsid w:val="00B40CAC"/>
    <w:rsid w:val="00B429B5"/>
    <w:rsid w:val="00B42FCB"/>
    <w:rsid w:val="00B438AB"/>
    <w:rsid w:val="00B46061"/>
    <w:rsid w:val="00B50B30"/>
    <w:rsid w:val="00B51D90"/>
    <w:rsid w:val="00B567DE"/>
    <w:rsid w:val="00B57F60"/>
    <w:rsid w:val="00B606C5"/>
    <w:rsid w:val="00B60D69"/>
    <w:rsid w:val="00B61D2C"/>
    <w:rsid w:val="00B61D8D"/>
    <w:rsid w:val="00B62B57"/>
    <w:rsid w:val="00B63BDE"/>
    <w:rsid w:val="00B64F07"/>
    <w:rsid w:val="00B72244"/>
    <w:rsid w:val="00B72BA1"/>
    <w:rsid w:val="00B74D92"/>
    <w:rsid w:val="00B77FC8"/>
    <w:rsid w:val="00B81C19"/>
    <w:rsid w:val="00B829C2"/>
    <w:rsid w:val="00B84BB1"/>
    <w:rsid w:val="00B85043"/>
    <w:rsid w:val="00B86332"/>
    <w:rsid w:val="00B93C1D"/>
    <w:rsid w:val="00B947BA"/>
    <w:rsid w:val="00B954DA"/>
    <w:rsid w:val="00B96206"/>
    <w:rsid w:val="00BA1571"/>
    <w:rsid w:val="00BA1CA8"/>
    <w:rsid w:val="00BA5026"/>
    <w:rsid w:val="00BA674C"/>
    <w:rsid w:val="00BA6EB3"/>
    <w:rsid w:val="00BB01D5"/>
    <w:rsid w:val="00BB07D0"/>
    <w:rsid w:val="00BB3DB8"/>
    <w:rsid w:val="00BB6E79"/>
    <w:rsid w:val="00BC0389"/>
    <w:rsid w:val="00BC0394"/>
    <w:rsid w:val="00BC3111"/>
    <w:rsid w:val="00BC4F91"/>
    <w:rsid w:val="00BC5CAF"/>
    <w:rsid w:val="00BC5D3F"/>
    <w:rsid w:val="00BC6990"/>
    <w:rsid w:val="00BD0869"/>
    <w:rsid w:val="00BD1EA4"/>
    <w:rsid w:val="00BD4090"/>
    <w:rsid w:val="00BD4764"/>
    <w:rsid w:val="00BD60E6"/>
    <w:rsid w:val="00BD6F59"/>
    <w:rsid w:val="00BE01D7"/>
    <w:rsid w:val="00BE01EE"/>
    <w:rsid w:val="00BE253A"/>
    <w:rsid w:val="00BE5180"/>
    <w:rsid w:val="00BE5ED3"/>
    <w:rsid w:val="00BE719A"/>
    <w:rsid w:val="00BE720A"/>
    <w:rsid w:val="00BE7AC7"/>
    <w:rsid w:val="00BF03B9"/>
    <w:rsid w:val="00BF2288"/>
    <w:rsid w:val="00BF4104"/>
    <w:rsid w:val="00BF4533"/>
    <w:rsid w:val="00BF75B4"/>
    <w:rsid w:val="00C01BC8"/>
    <w:rsid w:val="00C054D0"/>
    <w:rsid w:val="00C067E5"/>
    <w:rsid w:val="00C10DE0"/>
    <w:rsid w:val="00C1170F"/>
    <w:rsid w:val="00C14F48"/>
    <w:rsid w:val="00C15BF6"/>
    <w:rsid w:val="00C163B2"/>
    <w:rsid w:val="00C16409"/>
    <w:rsid w:val="00C164CA"/>
    <w:rsid w:val="00C17DD3"/>
    <w:rsid w:val="00C20530"/>
    <w:rsid w:val="00C218C7"/>
    <w:rsid w:val="00C21B63"/>
    <w:rsid w:val="00C21D3F"/>
    <w:rsid w:val="00C228C3"/>
    <w:rsid w:val="00C23563"/>
    <w:rsid w:val="00C253CA"/>
    <w:rsid w:val="00C27643"/>
    <w:rsid w:val="00C300E0"/>
    <w:rsid w:val="00C310A4"/>
    <w:rsid w:val="00C33215"/>
    <w:rsid w:val="00C3602C"/>
    <w:rsid w:val="00C36D09"/>
    <w:rsid w:val="00C36D5D"/>
    <w:rsid w:val="00C42BF8"/>
    <w:rsid w:val="00C4552E"/>
    <w:rsid w:val="00C460AE"/>
    <w:rsid w:val="00C50043"/>
    <w:rsid w:val="00C51420"/>
    <w:rsid w:val="00C56C53"/>
    <w:rsid w:val="00C57717"/>
    <w:rsid w:val="00C6253D"/>
    <w:rsid w:val="00C646BC"/>
    <w:rsid w:val="00C659D4"/>
    <w:rsid w:val="00C67FD6"/>
    <w:rsid w:val="00C735AE"/>
    <w:rsid w:val="00C746BA"/>
    <w:rsid w:val="00C74734"/>
    <w:rsid w:val="00C7573B"/>
    <w:rsid w:val="00C76332"/>
    <w:rsid w:val="00C7639F"/>
    <w:rsid w:val="00C76CF3"/>
    <w:rsid w:val="00C77E30"/>
    <w:rsid w:val="00C811EC"/>
    <w:rsid w:val="00C8224F"/>
    <w:rsid w:val="00C84055"/>
    <w:rsid w:val="00C8490C"/>
    <w:rsid w:val="00C855FC"/>
    <w:rsid w:val="00C86D5F"/>
    <w:rsid w:val="00C9032E"/>
    <w:rsid w:val="00C9683D"/>
    <w:rsid w:val="00C97CE8"/>
    <w:rsid w:val="00CA1313"/>
    <w:rsid w:val="00CA2369"/>
    <w:rsid w:val="00CA3E4C"/>
    <w:rsid w:val="00CA6EFD"/>
    <w:rsid w:val="00CA73A6"/>
    <w:rsid w:val="00CA755E"/>
    <w:rsid w:val="00CB0180"/>
    <w:rsid w:val="00CB0430"/>
    <w:rsid w:val="00CB0F56"/>
    <w:rsid w:val="00CB15CD"/>
    <w:rsid w:val="00CB1CB6"/>
    <w:rsid w:val="00CB3470"/>
    <w:rsid w:val="00CB3C9B"/>
    <w:rsid w:val="00CB4525"/>
    <w:rsid w:val="00CB5047"/>
    <w:rsid w:val="00CB6BC2"/>
    <w:rsid w:val="00CB6CF5"/>
    <w:rsid w:val="00CC267B"/>
    <w:rsid w:val="00CC2E71"/>
    <w:rsid w:val="00CD1777"/>
    <w:rsid w:val="00CD1C46"/>
    <w:rsid w:val="00CD2B88"/>
    <w:rsid w:val="00CD34AB"/>
    <w:rsid w:val="00CD4934"/>
    <w:rsid w:val="00CD55B3"/>
    <w:rsid w:val="00CD606E"/>
    <w:rsid w:val="00CD6C0D"/>
    <w:rsid w:val="00CD7ECB"/>
    <w:rsid w:val="00CE0746"/>
    <w:rsid w:val="00CE16CE"/>
    <w:rsid w:val="00CE20F9"/>
    <w:rsid w:val="00CE2205"/>
    <w:rsid w:val="00CE2977"/>
    <w:rsid w:val="00CE398F"/>
    <w:rsid w:val="00CE571C"/>
    <w:rsid w:val="00CE7A7B"/>
    <w:rsid w:val="00CF0BB2"/>
    <w:rsid w:val="00CF1522"/>
    <w:rsid w:val="00CF1767"/>
    <w:rsid w:val="00CF5C75"/>
    <w:rsid w:val="00CF5EF7"/>
    <w:rsid w:val="00CF640D"/>
    <w:rsid w:val="00CF754D"/>
    <w:rsid w:val="00CF7E28"/>
    <w:rsid w:val="00D0104A"/>
    <w:rsid w:val="00D06E03"/>
    <w:rsid w:val="00D13441"/>
    <w:rsid w:val="00D13A64"/>
    <w:rsid w:val="00D154A4"/>
    <w:rsid w:val="00D174EF"/>
    <w:rsid w:val="00D17B17"/>
    <w:rsid w:val="00D22188"/>
    <w:rsid w:val="00D22515"/>
    <w:rsid w:val="00D22C80"/>
    <w:rsid w:val="00D23305"/>
    <w:rsid w:val="00D23D8D"/>
    <w:rsid w:val="00D243A3"/>
    <w:rsid w:val="00D254BB"/>
    <w:rsid w:val="00D25A94"/>
    <w:rsid w:val="00D333D9"/>
    <w:rsid w:val="00D33440"/>
    <w:rsid w:val="00D3539C"/>
    <w:rsid w:val="00D40403"/>
    <w:rsid w:val="00D453C0"/>
    <w:rsid w:val="00D45BFE"/>
    <w:rsid w:val="00D45E68"/>
    <w:rsid w:val="00D50249"/>
    <w:rsid w:val="00D50D1F"/>
    <w:rsid w:val="00D5298F"/>
    <w:rsid w:val="00D52EFE"/>
    <w:rsid w:val="00D533C2"/>
    <w:rsid w:val="00D6007B"/>
    <w:rsid w:val="00D60547"/>
    <w:rsid w:val="00D60D91"/>
    <w:rsid w:val="00D63EF6"/>
    <w:rsid w:val="00D66AA5"/>
    <w:rsid w:val="00D67DE8"/>
    <w:rsid w:val="00D70DFB"/>
    <w:rsid w:val="00D734D4"/>
    <w:rsid w:val="00D740FE"/>
    <w:rsid w:val="00D74A63"/>
    <w:rsid w:val="00D766DF"/>
    <w:rsid w:val="00D767DD"/>
    <w:rsid w:val="00D76993"/>
    <w:rsid w:val="00D772DE"/>
    <w:rsid w:val="00D803A1"/>
    <w:rsid w:val="00D83D21"/>
    <w:rsid w:val="00D84B58"/>
    <w:rsid w:val="00D91F01"/>
    <w:rsid w:val="00D925D1"/>
    <w:rsid w:val="00D93E9E"/>
    <w:rsid w:val="00D9427B"/>
    <w:rsid w:val="00D94EEE"/>
    <w:rsid w:val="00D97501"/>
    <w:rsid w:val="00DA058E"/>
    <w:rsid w:val="00DA0D79"/>
    <w:rsid w:val="00DA12E1"/>
    <w:rsid w:val="00DA155E"/>
    <w:rsid w:val="00DA19BE"/>
    <w:rsid w:val="00DA29EA"/>
    <w:rsid w:val="00DA3AAB"/>
    <w:rsid w:val="00DA3CFC"/>
    <w:rsid w:val="00DB0834"/>
    <w:rsid w:val="00DB3154"/>
    <w:rsid w:val="00DB4236"/>
    <w:rsid w:val="00DC19F4"/>
    <w:rsid w:val="00DC4800"/>
    <w:rsid w:val="00DD185C"/>
    <w:rsid w:val="00DD4331"/>
    <w:rsid w:val="00DD5184"/>
    <w:rsid w:val="00DD5531"/>
    <w:rsid w:val="00DD5B80"/>
    <w:rsid w:val="00DD6047"/>
    <w:rsid w:val="00DD6F6B"/>
    <w:rsid w:val="00DD783D"/>
    <w:rsid w:val="00DE0F76"/>
    <w:rsid w:val="00DE3036"/>
    <w:rsid w:val="00DE3CFC"/>
    <w:rsid w:val="00DE559E"/>
    <w:rsid w:val="00DF3485"/>
    <w:rsid w:val="00DF4BDE"/>
    <w:rsid w:val="00DF5A59"/>
    <w:rsid w:val="00DF69BB"/>
    <w:rsid w:val="00DF7D4A"/>
    <w:rsid w:val="00E0083E"/>
    <w:rsid w:val="00E01060"/>
    <w:rsid w:val="00E01E03"/>
    <w:rsid w:val="00E03557"/>
    <w:rsid w:val="00E04656"/>
    <w:rsid w:val="00E04F89"/>
    <w:rsid w:val="00E05704"/>
    <w:rsid w:val="00E05C46"/>
    <w:rsid w:val="00E077E4"/>
    <w:rsid w:val="00E1191B"/>
    <w:rsid w:val="00E123B1"/>
    <w:rsid w:val="00E12409"/>
    <w:rsid w:val="00E12789"/>
    <w:rsid w:val="00E13182"/>
    <w:rsid w:val="00E152DD"/>
    <w:rsid w:val="00E1649D"/>
    <w:rsid w:val="00E1701B"/>
    <w:rsid w:val="00E212BF"/>
    <w:rsid w:val="00E22361"/>
    <w:rsid w:val="00E24423"/>
    <w:rsid w:val="00E263D3"/>
    <w:rsid w:val="00E30206"/>
    <w:rsid w:val="00E322B0"/>
    <w:rsid w:val="00E3262C"/>
    <w:rsid w:val="00E32B5D"/>
    <w:rsid w:val="00E32F65"/>
    <w:rsid w:val="00E33C1C"/>
    <w:rsid w:val="00E33FCB"/>
    <w:rsid w:val="00E34295"/>
    <w:rsid w:val="00E34CFD"/>
    <w:rsid w:val="00E35349"/>
    <w:rsid w:val="00E36A27"/>
    <w:rsid w:val="00E40C8E"/>
    <w:rsid w:val="00E42476"/>
    <w:rsid w:val="00E443FC"/>
    <w:rsid w:val="00E45FE7"/>
    <w:rsid w:val="00E463E5"/>
    <w:rsid w:val="00E4746D"/>
    <w:rsid w:val="00E476B8"/>
    <w:rsid w:val="00E5293C"/>
    <w:rsid w:val="00E52BC8"/>
    <w:rsid w:val="00E52BFB"/>
    <w:rsid w:val="00E54292"/>
    <w:rsid w:val="00E54C5C"/>
    <w:rsid w:val="00E5578E"/>
    <w:rsid w:val="00E55BCD"/>
    <w:rsid w:val="00E56B38"/>
    <w:rsid w:val="00E60EA4"/>
    <w:rsid w:val="00E61036"/>
    <w:rsid w:val="00E62022"/>
    <w:rsid w:val="00E62E24"/>
    <w:rsid w:val="00E67D0A"/>
    <w:rsid w:val="00E72653"/>
    <w:rsid w:val="00E729DA"/>
    <w:rsid w:val="00E73EC4"/>
    <w:rsid w:val="00E74954"/>
    <w:rsid w:val="00E74DC7"/>
    <w:rsid w:val="00E75C65"/>
    <w:rsid w:val="00E76FAB"/>
    <w:rsid w:val="00E80DD9"/>
    <w:rsid w:val="00E83D70"/>
    <w:rsid w:val="00E83E2E"/>
    <w:rsid w:val="00E84B32"/>
    <w:rsid w:val="00E861AE"/>
    <w:rsid w:val="00E86AAB"/>
    <w:rsid w:val="00E8703A"/>
    <w:rsid w:val="00E87699"/>
    <w:rsid w:val="00E948B3"/>
    <w:rsid w:val="00E94D75"/>
    <w:rsid w:val="00E9669E"/>
    <w:rsid w:val="00E96DA0"/>
    <w:rsid w:val="00E97988"/>
    <w:rsid w:val="00EA05C6"/>
    <w:rsid w:val="00EA087C"/>
    <w:rsid w:val="00EA2209"/>
    <w:rsid w:val="00EB2F7F"/>
    <w:rsid w:val="00EB36C2"/>
    <w:rsid w:val="00EB4F89"/>
    <w:rsid w:val="00EB7215"/>
    <w:rsid w:val="00EC0CFB"/>
    <w:rsid w:val="00EC1158"/>
    <w:rsid w:val="00EC14D7"/>
    <w:rsid w:val="00EC312F"/>
    <w:rsid w:val="00EC3521"/>
    <w:rsid w:val="00EC3FDF"/>
    <w:rsid w:val="00ED0847"/>
    <w:rsid w:val="00ED12F5"/>
    <w:rsid w:val="00ED37E3"/>
    <w:rsid w:val="00ED3A7D"/>
    <w:rsid w:val="00ED523A"/>
    <w:rsid w:val="00ED65EF"/>
    <w:rsid w:val="00ED755D"/>
    <w:rsid w:val="00EE0018"/>
    <w:rsid w:val="00EE0D70"/>
    <w:rsid w:val="00EE15C9"/>
    <w:rsid w:val="00EE3978"/>
    <w:rsid w:val="00EE4684"/>
    <w:rsid w:val="00EE5839"/>
    <w:rsid w:val="00EF0779"/>
    <w:rsid w:val="00EF2E3A"/>
    <w:rsid w:val="00EF6910"/>
    <w:rsid w:val="00EF6DDB"/>
    <w:rsid w:val="00EF70C5"/>
    <w:rsid w:val="00EF7556"/>
    <w:rsid w:val="00F006AD"/>
    <w:rsid w:val="00F01C90"/>
    <w:rsid w:val="00F047E2"/>
    <w:rsid w:val="00F0582D"/>
    <w:rsid w:val="00F06A44"/>
    <w:rsid w:val="00F078DC"/>
    <w:rsid w:val="00F10ABC"/>
    <w:rsid w:val="00F120A6"/>
    <w:rsid w:val="00F13DDE"/>
    <w:rsid w:val="00F13E86"/>
    <w:rsid w:val="00F14465"/>
    <w:rsid w:val="00F16152"/>
    <w:rsid w:val="00F17342"/>
    <w:rsid w:val="00F21434"/>
    <w:rsid w:val="00F227D1"/>
    <w:rsid w:val="00F24C35"/>
    <w:rsid w:val="00F27092"/>
    <w:rsid w:val="00F30DBF"/>
    <w:rsid w:val="00F320CA"/>
    <w:rsid w:val="00F370CA"/>
    <w:rsid w:val="00F417C1"/>
    <w:rsid w:val="00F43279"/>
    <w:rsid w:val="00F43789"/>
    <w:rsid w:val="00F459D4"/>
    <w:rsid w:val="00F45CBA"/>
    <w:rsid w:val="00F468D1"/>
    <w:rsid w:val="00F473C6"/>
    <w:rsid w:val="00F47A09"/>
    <w:rsid w:val="00F502C9"/>
    <w:rsid w:val="00F53BDC"/>
    <w:rsid w:val="00F559CB"/>
    <w:rsid w:val="00F56041"/>
    <w:rsid w:val="00F56759"/>
    <w:rsid w:val="00F621E2"/>
    <w:rsid w:val="00F6232A"/>
    <w:rsid w:val="00F62BC3"/>
    <w:rsid w:val="00F65DAB"/>
    <w:rsid w:val="00F677A9"/>
    <w:rsid w:val="00F7049D"/>
    <w:rsid w:val="00F71265"/>
    <w:rsid w:val="00F71489"/>
    <w:rsid w:val="00F72E05"/>
    <w:rsid w:val="00F76BFF"/>
    <w:rsid w:val="00F8385C"/>
    <w:rsid w:val="00F84CF5"/>
    <w:rsid w:val="00F85CCF"/>
    <w:rsid w:val="00F86172"/>
    <w:rsid w:val="00F90392"/>
    <w:rsid w:val="00F9066D"/>
    <w:rsid w:val="00F9229C"/>
    <w:rsid w:val="00F923F2"/>
    <w:rsid w:val="00F92B6C"/>
    <w:rsid w:val="00F93436"/>
    <w:rsid w:val="00F95EA7"/>
    <w:rsid w:val="00F9689D"/>
    <w:rsid w:val="00FA3B78"/>
    <w:rsid w:val="00FA420B"/>
    <w:rsid w:val="00FA5E79"/>
    <w:rsid w:val="00FA62C5"/>
    <w:rsid w:val="00FA63F9"/>
    <w:rsid w:val="00FB03B3"/>
    <w:rsid w:val="00FB192C"/>
    <w:rsid w:val="00FB30F5"/>
    <w:rsid w:val="00FB364E"/>
    <w:rsid w:val="00FC0F28"/>
    <w:rsid w:val="00FC709F"/>
    <w:rsid w:val="00FD232C"/>
    <w:rsid w:val="00FD43BD"/>
    <w:rsid w:val="00FD7CFE"/>
    <w:rsid w:val="00FE0E82"/>
    <w:rsid w:val="00FE30D6"/>
    <w:rsid w:val="00FE456F"/>
    <w:rsid w:val="00FE4E0C"/>
    <w:rsid w:val="00FF08D6"/>
    <w:rsid w:val="00FF0B13"/>
    <w:rsid w:val="00FF10CA"/>
    <w:rsid w:val="00FF27E0"/>
    <w:rsid w:val="00FF3089"/>
    <w:rsid w:val="00FF3B04"/>
    <w:rsid w:val="00FF6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47E"/>
    <w:pPr>
      <w:spacing w:line="260" w:lineRule="atLeast"/>
    </w:pPr>
    <w:rPr>
      <w:sz w:val="22"/>
    </w:rPr>
  </w:style>
  <w:style w:type="paragraph" w:styleId="Heading1">
    <w:name w:val="heading 1"/>
    <w:basedOn w:val="Normal"/>
    <w:next w:val="Normal"/>
    <w:link w:val="Heading1Char"/>
    <w:uiPriority w:val="9"/>
    <w:qFormat/>
    <w:rsid w:val="00A47F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7F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7F3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7F3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F3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F3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F3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F3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47F3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1747E"/>
  </w:style>
  <w:style w:type="paragraph" w:customStyle="1" w:styleId="OPCParaBase">
    <w:name w:val="OPCParaBase"/>
    <w:qFormat/>
    <w:rsid w:val="0011747E"/>
    <w:pPr>
      <w:spacing w:line="260" w:lineRule="atLeast"/>
    </w:pPr>
    <w:rPr>
      <w:rFonts w:eastAsia="Times New Roman" w:cs="Times New Roman"/>
      <w:sz w:val="22"/>
      <w:lang w:eastAsia="en-AU"/>
    </w:rPr>
  </w:style>
  <w:style w:type="paragraph" w:customStyle="1" w:styleId="ShortT">
    <w:name w:val="ShortT"/>
    <w:basedOn w:val="OPCParaBase"/>
    <w:next w:val="Normal"/>
    <w:qFormat/>
    <w:rsid w:val="0011747E"/>
    <w:pPr>
      <w:spacing w:line="240" w:lineRule="auto"/>
    </w:pPr>
    <w:rPr>
      <w:b/>
      <w:sz w:val="40"/>
    </w:rPr>
  </w:style>
  <w:style w:type="paragraph" w:customStyle="1" w:styleId="ActHead1">
    <w:name w:val="ActHead 1"/>
    <w:aliases w:val="c"/>
    <w:basedOn w:val="OPCParaBase"/>
    <w:next w:val="Normal"/>
    <w:qFormat/>
    <w:rsid w:val="0011747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747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747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747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1747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747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747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747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747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1747E"/>
  </w:style>
  <w:style w:type="paragraph" w:customStyle="1" w:styleId="Blocks">
    <w:name w:val="Blocks"/>
    <w:aliases w:val="bb"/>
    <w:basedOn w:val="OPCParaBase"/>
    <w:qFormat/>
    <w:rsid w:val="0011747E"/>
    <w:pPr>
      <w:spacing w:line="240" w:lineRule="auto"/>
    </w:pPr>
    <w:rPr>
      <w:sz w:val="24"/>
    </w:rPr>
  </w:style>
  <w:style w:type="paragraph" w:customStyle="1" w:styleId="BoxText">
    <w:name w:val="BoxText"/>
    <w:aliases w:val="bt"/>
    <w:basedOn w:val="OPCParaBase"/>
    <w:qFormat/>
    <w:rsid w:val="0011747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747E"/>
    <w:rPr>
      <w:b/>
    </w:rPr>
  </w:style>
  <w:style w:type="paragraph" w:customStyle="1" w:styleId="BoxHeadItalic">
    <w:name w:val="BoxHeadItalic"/>
    <w:aliases w:val="bhi"/>
    <w:basedOn w:val="BoxText"/>
    <w:next w:val="BoxStep"/>
    <w:qFormat/>
    <w:rsid w:val="0011747E"/>
    <w:rPr>
      <w:i/>
    </w:rPr>
  </w:style>
  <w:style w:type="paragraph" w:customStyle="1" w:styleId="BoxList">
    <w:name w:val="BoxList"/>
    <w:aliases w:val="bl"/>
    <w:basedOn w:val="BoxText"/>
    <w:qFormat/>
    <w:rsid w:val="0011747E"/>
    <w:pPr>
      <w:ind w:left="1559" w:hanging="425"/>
    </w:pPr>
  </w:style>
  <w:style w:type="paragraph" w:customStyle="1" w:styleId="BoxNote">
    <w:name w:val="BoxNote"/>
    <w:aliases w:val="bn"/>
    <w:basedOn w:val="BoxText"/>
    <w:qFormat/>
    <w:rsid w:val="0011747E"/>
    <w:pPr>
      <w:tabs>
        <w:tab w:val="left" w:pos="1985"/>
      </w:tabs>
      <w:spacing w:before="122" w:line="198" w:lineRule="exact"/>
      <w:ind w:left="2948" w:hanging="1814"/>
    </w:pPr>
    <w:rPr>
      <w:sz w:val="18"/>
    </w:rPr>
  </w:style>
  <w:style w:type="paragraph" w:customStyle="1" w:styleId="BoxPara">
    <w:name w:val="BoxPara"/>
    <w:aliases w:val="bp"/>
    <w:basedOn w:val="BoxText"/>
    <w:qFormat/>
    <w:rsid w:val="0011747E"/>
    <w:pPr>
      <w:tabs>
        <w:tab w:val="right" w:pos="2268"/>
      </w:tabs>
      <w:ind w:left="2552" w:hanging="1418"/>
    </w:pPr>
  </w:style>
  <w:style w:type="paragraph" w:customStyle="1" w:styleId="BoxStep">
    <w:name w:val="BoxStep"/>
    <w:aliases w:val="bs"/>
    <w:basedOn w:val="BoxText"/>
    <w:qFormat/>
    <w:rsid w:val="0011747E"/>
    <w:pPr>
      <w:ind w:left="1985" w:hanging="851"/>
    </w:pPr>
  </w:style>
  <w:style w:type="character" w:customStyle="1" w:styleId="CharAmPartNo">
    <w:name w:val="CharAmPartNo"/>
    <w:basedOn w:val="OPCCharBase"/>
    <w:qFormat/>
    <w:rsid w:val="0011747E"/>
  </w:style>
  <w:style w:type="character" w:customStyle="1" w:styleId="CharAmPartText">
    <w:name w:val="CharAmPartText"/>
    <w:basedOn w:val="OPCCharBase"/>
    <w:qFormat/>
    <w:rsid w:val="0011747E"/>
  </w:style>
  <w:style w:type="character" w:customStyle="1" w:styleId="CharAmSchNo">
    <w:name w:val="CharAmSchNo"/>
    <w:basedOn w:val="OPCCharBase"/>
    <w:qFormat/>
    <w:rsid w:val="0011747E"/>
  </w:style>
  <w:style w:type="character" w:customStyle="1" w:styleId="CharAmSchText">
    <w:name w:val="CharAmSchText"/>
    <w:basedOn w:val="OPCCharBase"/>
    <w:qFormat/>
    <w:rsid w:val="0011747E"/>
  </w:style>
  <w:style w:type="character" w:customStyle="1" w:styleId="CharBoldItalic">
    <w:name w:val="CharBoldItalic"/>
    <w:basedOn w:val="OPCCharBase"/>
    <w:uiPriority w:val="1"/>
    <w:qFormat/>
    <w:rsid w:val="0011747E"/>
    <w:rPr>
      <w:b/>
      <w:i/>
    </w:rPr>
  </w:style>
  <w:style w:type="character" w:customStyle="1" w:styleId="CharChapNo">
    <w:name w:val="CharChapNo"/>
    <w:basedOn w:val="OPCCharBase"/>
    <w:uiPriority w:val="1"/>
    <w:qFormat/>
    <w:rsid w:val="0011747E"/>
  </w:style>
  <w:style w:type="character" w:customStyle="1" w:styleId="CharChapText">
    <w:name w:val="CharChapText"/>
    <w:basedOn w:val="OPCCharBase"/>
    <w:uiPriority w:val="1"/>
    <w:qFormat/>
    <w:rsid w:val="0011747E"/>
  </w:style>
  <w:style w:type="character" w:customStyle="1" w:styleId="CharDivNo">
    <w:name w:val="CharDivNo"/>
    <w:basedOn w:val="OPCCharBase"/>
    <w:uiPriority w:val="1"/>
    <w:qFormat/>
    <w:rsid w:val="0011747E"/>
  </w:style>
  <w:style w:type="character" w:customStyle="1" w:styleId="CharDivText">
    <w:name w:val="CharDivText"/>
    <w:basedOn w:val="OPCCharBase"/>
    <w:uiPriority w:val="1"/>
    <w:qFormat/>
    <w:rsid w:val="0011747E"/>
  </w:style>
  <w:style w:type="character" w:customStyle="1" w:styleId="CharItalic">
    <w:name w:val="CharItalic"/>
    <w:basedOn w:val="OPCCharBase"/>
    <w:uiPriority w:val="1"/>
    <w:qFormat/>
    <w:rsid w:val="0011747E"/>
    <w:rPr>
      <w:i/>
    </w:rPr>
  </w:style>
  <w:style w:type="character" w:customStyle="1" w:styleId="CharPartNo">
    <w:name w:val="CharPartNo"/>
    <w:basedOn w:val="OPCCharBase"/>
    <w:uiPriority w:val="1"/>
    <w:qFormat/>
    <w:rsid w:val="0011747E"/>
  </w:style>
  <w:style w:type="character" w:customStyle="1" w:styleId="CharPartText">
    <w:name w:val="CharPartText"/>
    <w:basedOn w:val="OPCCharBase"/>
    <w:uiPriority w:val="1"/>
    <w:qFormat/>
    <w:rsid w:val="0011747E"/>
  </w:style>
  <w:style w:type="character" w:customStyle="1" w:styleId="CharSectno">
    <w:name w:val="CharSectno"/>
    <w:basedOn w:val="OPCCharBase"/>
    <w:qFormat/>
    <w:rsid w:val="0011747E"/>
  </w:style>
  <w:style w:type="character" w:customStyle="1" w:styleId="CharSubdNo">
    <w:name w:val="CharSubdNo"/>
    <w:basedOn w:val="OPCCharBase"/>
    <w:uiPriority w:val="1"/>
    <w:qFormat/>
    <w:rsid w:val="0011747E"/>
  </w:style>
  <w:style w:type="character" w:customStyle="1" w:styleId="CharSubdText">
    <w:name w:val="CharSubdText"/>
    <w:basedOn w:val="OPCCharBase"/>
    <w:uiPriority w:val="1"/>
    <w:qFormat/>
    <w:rsid w:val="0011747E"/>
  </w:style>
  <w:style w:type="paragraph" w:customStyle="1" w:styleId="CTA--">
    <w:name w:val="CTA --"/>
    <w:basedOn w:val="OPCParaBase"/>
    <w:next w:val="Normal"/>
    <w:rsid w:val="0011747E"/>
    <w:pPr>
      <w:spacing w:before="60" w:line="240" w:lineRule="atLeast"/>
      <w:ind w:left="142" w:hanging="142"/>
    </w:pPr>
    <w:rPr>
      <w:sz w:val="20"/>
    </w:rPr>
  </w:style>
  <w:style w:type="paragraph" w:customStyle="1" w:styleId="CTA-">
    <w:name w:val="CTA -"/>
    <w:basedOn w:val="OPCParaBase"/>
    <w:rsid w:val="0011747E"/>
    <w:pPr>
      <w:spacing w:before="60" w:line="240" w:lineRule="atLeast"/>
      <w:ind w:left="85" w:hanging="85"/>
    </w:pPr>
    <w:rPr>
      <w:sz w:val="20"/>
    </w:rPr>
  </w:style>
  <w:style w:type="paragraph" w:customStyle="1" w:styleId="CTA---">
    <w:name w:val="CTA ---"/>
    <w:basedOn w:val="OPCParaBase"/>
    <w:next w:val="Normal"/>
    <w:rsid w:val="0011747E"/>
    <w:pPr>
      <w:spacing w:before="60" w:line="240" w:lineRule="atLeast"/>
      <w:ind w:left="198" w:hanging="198"/>
    </w:pPr>
    <w:rPr>
      <w:sz w:val="20"/>
    </w:rPr>
  </w:style>
  <w:style w:type="paragraph" w:customStyle="1" w:styleId="CTA----">
    <w:name w:val="CTA ----"/>
    <w:basedOn w:val="OPCParaBase"/>
    <w:next w:val="Normal"/>
    <w:rsid w:val="0011747E"/>
    <w:pPr>
      <w:spacing w:before="60" w:line="240" w:lineRule="atLeast"/>
      <w:ind w:left="255" w:hanging="255"/>
    </w:pPr>
    <w:rPr>
      <w:sz w:val="20"/>
    </w:rPr>
  </w:style>
  <w:style w:type="paragraph" w:customStyle="1" w:styleId="CTA1a">
    <w:name w:val="CTA 1(a)"/>
    <w:basedOn w:val="OPCParaBase"/>
    <w:rsid w:val="0011747E"/>
    <w:pPr>
      <w:tabs>
        <w:tab w:val="right" w:pos="414"/>
      </w:tabs>
      <w:spacing w:before="40" w:line="240" w:lineRule="atLeast"/>
      <w:ind w:left="675" w:hanging="675"/>
    </w:pPr>
    <w:rPr>
      <w:sz w:val="20"/>
    </w:rPr>
  </w:style>
  <w:style w:type="paragraph" w:customStyle="1" w:styleId="CTA1ai">
    <w:name w:val="CTA 1(a)(i)"/>
    <w:basedOn w:val="OPCParaBase"/>
    <w:rsid w:val="0011747E"/>
    <w:pPr>
      <w:tabs>
        <w:tab w:val="right" w:pos="1004"/>
      </w:tabs>
      <w:spacing w:before="40" w:line="240" w:lineRule="atLeast"/>
      <w:ind w:left="1253" w:hanging="1253"/>
    </w:pPr>
    <w:rPr>
      <w:sz w:val="20"/>
    </w:rPr>
  </w:style>
  <w:style w:type="paragraph" w:customStyle="1" w:styleId="CTA2a">
    <w:name w:val="CTA 2(a)"/>
    <w:basedOn w:val="OPCParaBase"/>
    <w:rsid w:val="0011747E"/>
    <w:pPr>
      <w:tabs>
        <w:tab w:val="right" w:pos="482"/>
      </w:tabs>
      <w:spacing w:before="40" w:line="240" w:lineRule="atLeast"/>
      <w:ind w:left="748" w:hanging="748"/>
    </w:pPr>
    <w:rPr>
      <w:sz w:val="20"/>
    </w:rPr>
  </w:style>
  <w:style w:type="paragraph" w:customStyle="1" w:styleId="CTA2ai">
    <w:name w:val="CTA 2(a)(i)"/>
    <w:basedOn w:val="OPCParaBase"/>
    <w:rsid w:val="0011747E"/>
    <w:pPr>
      <w:tabs>
        <w:tab w:val="right" w:pos="1089"/>
      </w:tabs>
      <w:spacing w:before="40" w:line="240" w:lineRule="atLeast"/>
      <w:ind w:left="1327" w:hanging="1327"/>
    </w:pPr>
    <w:rPr>
      <w:sz w:val="20"/>
    </w:rPr>
  </w:style>
  <w:style w:type="paragraph" w:customStyle="1" w:styleId="CTA3a">
    <w:name w:val="CTA 3(a)"/>
    <w:basedOn w:val="OPCParaBase"/>
    <w:rsid w:val="0011747E"/>
    <w:pPr>
      <w:tabs>
        <w:tab w:val="right" w:pos="556"/>
      </w:tabs>
      <w:spacing w:before="40" w:line="240" w:lineRule="atLeast"/>
      <w:ind w:left="805" w:hanging="805"/>
    </w:pPr>
    <w:rPr>
      <w:sz w:val="20"/>
    </w:rPr>
  </w:style>
  <w:style w:type="paragraph" w:customStyle="1" w:styleId="CTA3ai">
    <w:name w:val="CTA 3(a)(i)"/>
    <w:basedOn w:val="OPCParaBase"/>
    <w:rsid w:val="0011747E"/>
    <w:pPr>
      <w:tabs>
        <w:tab w:val="right" w:pos="1140"/>
      </w:tabs>
      <w:spacing w:before="40" w:line="240" w:lineRule="atLeast"/>
      <w:ind w:left="1361" w:hanging="1361"/>
    </w:pPr>
    <w:rPr>
      <w:sz w:val="20"/>
    </w:rPr>
  </w:style>
  <w:style w:type="paragraph" w:customStyle="1" w:styleId="CTA4a">
    <w:name w:val="CTA 4(a)"/>
    <w:basedOn w:val="OPCParaBase"/>
    <w:rsid w:val="0011747E"/>
    <w:pPr>
      <w:tabs>
        <w:tab w:val="right" w:pos="624"/>
      </w:tabs>
      <w:spacing w:before="40" w:line="240" w:lineRule="atLeast"/>
      <w:ind w:left="873" w:hanging="873"/>
    </w:pPr>
    <w:rPr>
      <w:sz w:val="20"/>
    </w:rPr>
  </w:style>
  <w:style w:type="paragraph" w:customStyle="1" w:styleId="CTA4ai">
    <w:name w:val="CTA 4(a)(i)"/>
    <w:basedOn w:val="OPCParaBase"/>
    <w:rsid w:val="0011747E"/>
    <w:pPr>
      <w:tabs>
        <w:tab w:val="right" w:pos="1213"/>
      </w:tabs>
      <w:spacing w:before="40" w:line="240" w:lineRule="atLeast"/>
      <w:ind w:left="1452" w:hanging="1452"/>
    </w:pPr>
    <w:rPr>
      <w:sz w:val="20"/>
    </w:rPr>
  </w:style>
  <w:style w:type="paragraph" w:customStyle="1" w:styleId="CTACAPS">
    <w:name w:val="CTA CAPS"/>
    <w:basedOn w:val="OPCParaBase"/>
    <w:rsid w:val="0011747E"/>
    <w:pPr>
      <w:spacing w:before="60" w:line="240" w:lineRule="atLeast"/>
    </w:pPr>
    <w:rPr>
      <w:sz w:val="20"/>
    </w:rPr>
  </w:style>
  <w:style w:type="paragraph" w:customStyle="1" w:styleId="CTAright">
    <w:name w:val="CTA right"/>
    <w:basedOn w:val="OPCParaBase"/>
    <w:rsid w:val="0011747E"/>
    <w:pPr>
      <w:spacing w:before="60" w:line="240" w:lineRule="auto"/>
      <w:jc w:val="right"/>
    </w:pPr>
    <w:rPr>
      <w:sz w:val="20"/>
    </w:rPr>
  </w:style>
  <w:style w:type="paragraph" w:customStyle="1" w:styleId="subsection">
    <w:name w:val="subsection"/>
    <w:aliases w:val="ss"/>
    <w:basedOn w:val="OPCParaBase"/>
    <w:link w:val="subsectionChar"/>
    <w:rsid w:val="0011747E"/>
    <w:pPr>
      <w:tabs>
        <w:tab w:val="right" w:pos="1021"/>
      </w:tabs>
      <w:spacing w:before="180" w:line="240" w:lineRule="auto"/>
      <w:ind w:left="1134" w:hanging="1134"/>
    </w:pPr>
  </w:style>
  <w:style w:type="paragraph" w:customStyle="1" w:styleId="Definition">
    <w:name w:val="Definition"/>
    <w:aliases w:val="dd"/>
    <w:basedOn w:val="OPCParaBase"/>
    <w:rsid w:val="0011747E"/>
    <w:pPr>
      <w:spacing w:before="180" w:line="240" w:lineRule="auto"/>
      <w:ind w:left="1134"/>
    </w:pPr>
  </w:style>
  <w:style w:type="paragraph" w:customStyle="1" w:styleId="ETAsubitem">
    <w:name w:val="ETA(subitem)"/>
    <w:basedOn w:val="OPCParaBase"/>
    <w:rsid w:val="0011747E"/>
    <w:pPr>
      <w:tabs>
        <w:tab w:val="right" w:pos="340"/>
      </w:tabs>
      <w:spacing w:before="60" w:line="240" w:lineRule="auto"/>
      <w:ind w:left="454" w:hanging="454"/>
    </w:pPr>
    <w:rPr>
      <w:sz w:val="20"/>
    </w:rPr>
  </w:style>
  <w:style w:type="paragraph" w:customStyle="1" w:styleId="ETApara">
    <w:name w:val="ETA(para)"/>
    <w:basedOn w:val="OPCParaBase"/>
    <w:rsid w:val="0011747E"/>
    <w:pPr>
      <w:tabs>
        <w:tab w:val="right" w:pos="754"/>
      </w:tabs>
      <w:spacing w:before="60" w:line="240" w:lineRule="auto"/>
      <w:ind w:left="828" w:hanging="828"/>
    </w:pPr>
    <w:rPr>
      <w:sz w:val="20"/>
    </w:rPr>
  </w:style>
  <w:style w:type="paragraph" w:customStyle="1" w:styleId="ETAsubpara">
    <w:name w:val="ETA(subpara)"/>
    <w:basedOn w:val="OPCParaBase"/>
    <w:rsid w:val="0011747E"/>
    <w:pPr>
      <w:tabs>
        <w:tab w:val="right" w:pos="1083"/>
      </w:tabs>
      <w:spacing w:before="60" w:line="240" w:lineRule="auto"/>
      <w:ind w:left="1191" w:hanging="1191"/>
    </w:pPr>
    <w:rPr>
      <w:sz w:val="20"/>
    </w:rPr>
  </w:style>
  <w:style w:type="paragraph" w:customStyle="1" w:styleId="ETAsub-subpara">
    <w:name w:val="ETA(sub-subpara)"/>
    <w:basedOn w:val="OPCParaBase"/>
    <w:rsid w:val="0011747E"/>
    <w:pPr>
      <w:tabs>
        <w:tab w:val="right" w:pos="1412"/>
      </w:tabs>
      <w:spacing w:before="60" w:line="240" w:lineRule="auto"/>
      <w:ind w:left="1525" w:hanging="1525"/>
    </w:pPr>
    <w:rPr>
      <w:sz w:val="20"/>
    </w:rPr>
  </w:style>
  <w:style w:type="paragraph" w:customStyle="1" w:styleId="Formula">
    <w:name w:val="Formula"/>
    <w:basedOn w:val="OPCParaBase"/>
    <w:rsid w:val="0011747E"/>
    <w:pPr>
      <w:spacing w:line="240" w:lineRule="auto"/>
      <w:ind w:left="1134"/>
    </w:pPr>
    <w:rPr>
      <w:sz w:val="20"/>
    </w:rPr>
  </w:style>
  <w:style w:type="paragraph" w:styleId="Header">
    <w:name w:val="header"/>
    <w:basedOn w:val="OPCParaBase"/>
    <w:link w:val="HeaderChar"/>
    <w:unhideWhenUsed/>
    <w:rsid w:val="0011747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747E"/>
    <w:rPr>
      <w:rFonts w:eastAsia="Times New Roman" w:cs="Times New Roman"/>
      <w:sz w:val="16"/>
      <w:lang w:eastAsia="en-AU"/>
    </w:rPr>
  </w:style>
  <w:style w:type="paragraph" w:customStyle="1" w:styleId="House">
    <w:name w:val="House"/>
    <w:basedOn w:val="OPCParaBase"/>
    <w:rsid w:val="0011747E"/>
    <w:pPr>
      <w:spacing w:line="240" w:lineRule="auto"/>
    </w:pPr>
    <w:rPr>
      <w:sz w:val="28"/>
    </w:rPr>
  </w:style>
  <w:style w:type="paragraph" w:customStyle="1" w:styleId="Item">
    <w:name w:val="Item"/>
    <w:aliases w:val="i"/>
    <w:basedOn w:val="OPCParaBase"/>
    <w:next w:val="ItemHead"/>
    <w:rsid w:val="0011747E"/>
    <w:pPr>
      <w:keepLines/>
      <w:spacing w:before="80" w:line="240" w:lineRule="auto"/>
      <w:ind w:left="709"/>
    </w:pPr>
  </w:style>
  <w:style w:type="paragraph" w:customStyle="1" w:styleId="ItemHead">
    <w:name w:val="ItemHead"/>
    <w:aliases w:val="ih"/>
    <w:basedOn w:val="OPCParaBase"/>
    <w:next w:val="Item"/>
    <w:rsid w:val="0011747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1747E"/>
    <w:pPr>
      <w:spacing w:line="240" w:lineRule="auto"/>
    </w:pPr>
    <w:rPr>
      <w:b/>
      <w:sz w:val="32"/>
    </w:rPr>
  </w:style>
  <w:style w:type="paragraph" w:customStyle="1" w:styleId="notedraft">
    <w:name w:val="note(draft)"/>
    <w:aliases w:val="nd"/>
    <w:basedOn w:val="OPCParaBase"/>
    <w:rsid w:val="0011747E"/>
    <w:pPr>
      <w:spacing w:before="240" w:line="240" w:lineRule="auto"/>
      <w:ind w:left="284" w:hanging="284"/>
    </w:pPr>
    <w:rPr>
      <w:i/>
      <w:sz w:val="24"/>
    </w:rPr>
  </w:style>
  <w:style w:type="paragraph" w:customStyle="1" w:styleId="notemargin">
    <w:name w:val="note(margin)"/>
    <w:aliases w:val="nm"/>
    <w:basedOn w:val="OPCParaBase"/>
    <w:rsid w:val="0011747E"/>
    <w:pPr>
      <w:tabs>
        <w:tab w:val="left" w:pos="709"/>
      </w:tabs>
      <w:spacing w:before="122" w:line="198" w:lineRule="exact"/>
      <w:ind w:left="709" w:hanging="709"/>
    </w:pPr>
    <w:rPr>
      <w:sz w:val="18"/>
    </w:rPr>
  </w:style>
  <w:style w:type="paragraph" w:customStyle="1" w:styleId="noteToPara">
    <w:name w:val="noteToPara"/>
    <w:aliases w:val="ntp"/>
    <w:basedOn w:val="OPCParaBase"/>
    <w:rsid w:val="0011747E"/>
    <w:pPr>
      <w:spacing w:before="122" w:line="198" w:lineRule="exact"/>
      <w:ind w:left="2353" w:hanging="709"/>
    </w:pPr>
    <w:rPr>
      <w:sz w:val="18"/>
    </w:rPr>
  </w:style>
  <w:style w:type="paragraph" w:customStyle="1" w:styleId="noteParlAmend">
    <w:name w:val="note(ParlAmend)"/>
    <w:aliases w:val="npp"/>
    <w:basedOn w:val="OPCParaBase"/>
    <w:next w:val="ParlAmend"/>
    <w:rsid w:val="0011747E"/>
    <w:pPr>
      <w:spacing w:line="240" w:lineRule="auto"/>
      <w:jc w:val="right"/>
    </w:pPr>
    <w:rPr>
      <w:rFonts w:ascii="Arial" w:hAnsi="Arial"/>
      <w:b/>
      <w:i/>
    </w:rPr>
  </w:style>
  <w:style w:type="paragraph" w:customStyle="1" w:styleId="Page1">
    <w:name w:val="Page1"/>
    <w:basedOn w:val="OPCParaBase"/>
    <w:rsid w:val="0011747E"/>
    <w:pPr>
      <w:spacing w:before="5600" w:line="240" w:lineRule="auto"/>
    </w:pPr>
    <w:rPr>
      <w:b/>
      <w:sz w:val="32"/>
    </w:rPr>
  </w:style>
  <w:style w:type="paragraph" w:customStyle="1" w:styleId="PageBreak">
    <w:name w:val="PageBreak"/>
    <w:aliases w:val="pb"/>
    <w:basedOn w:val="OPCParaBase"/>
    <w:rsid w:val="0011747E"/>
    <w:pPr>
      <w:spacing w:line="240" w:lineRule="auto"/>
    </w:pPr>
    <w:rPr>
      <w:sz w:val="20"/>
    </w:rPr>
  </w:style>
  <w:style w:type="paragraph" w:customStyle="1" w:styleId="paragraphsub">
    <w:name w:val="paragraph(sub)"/>
    <w:aliases w:val="aa"/>
    <w:basedOn w:val="OPCParaBase"/>
    <w:rsid w:val="0011747E"/>
    <w:pPr>
      <w:tabs>
        <w:tab w:val="right" w:pos="1985"/>
      </w:tabs>
      <w:spacing w:before="40" w:line="240" w:lineRule="auto"/>
      <w:ind w:left="2098" w:hanging="2098"/>
    </w:pPr>
  </w:style>
  <w:style w:type="paragraph" w:customStyle="1" w:styleId="paragraphsub-sub">
    <w:name w:val="paragraph(sub-sub)"/>
    <w:aliases w:val="aaa"/>
    <w:basedOn w:val="OPCParaBase"/>
    <w:rsid w:val="0011747E"/>
    <w:pPr>
      <w:tabs>
        <w:tab w:val="right" w:pos="2722"/>
      </w:tabs>
      <w:spacing w:before="40" w:line="240" w:lineRule="auto"/>
      <w:ind w:left="2835" w:hanging="2835"/>
    </w:pPr>
  </w:style>
  <w:style w:type="paragraph" w:customStyle="1" w:styleId="paragraph">
    <w:name w:val="paragraph"/>
    <w:aliases w:val="a"/>
    <w:basedOn w:val="OPCParaBase"/>
    <w:link w:val="paragraphChar"/>
    <w:rsid w:val="0011747E"/>
    <w:pPr>
      <w:tabs>
        <w:tab w:val="right" w:pos="1531"/>
      </w:tabs>
      <w:spacing w:before="40" w:line="240" w:lineRule="auto"/>
      <w:ind w:left="1644" w:hanging="1644"/>
    </w:pPr>
  </w:style>
  <w:style w:type="paragraph" w:customStyle="1" w:styleId="ParlAmend">
    <w:name w:val="ParlAmend"/>
    <w:aliases w:val="pp"/>
    <w:basedOn w:val="OPCParaBase"/>
    <w:rsid w:val="0011747E"/>
    <w:pPr>
      <w:spacing w:before="240" w:line="240" w:lineRule="atLeast"/>
      <w:ind w:hanging="567"/>
    </w:pPr>
    <w:rPr>
      <w:sz w:val="24"/>
    </w:rPr>
  </w:style>
  <w:style w:type="paragraph" w:customStyle="1" w:styleId="Penalty">
    <w:name w:val="Penalty"/>
    <w:basedOn w:val="OPCParaBase"/>
    <w:rsid w:val="0011747E"/>
    <w:pPr>
      <w:tabs>
        <w:tab w:val="left" w:pos="2977"/>
      </w:tabs>
      <w:spacing w:before="180" w:line="240" w:lineRule="auto"/>
      <w:ind w:left="1985" w:hanging="851"/>
    </w:pPr>
  </w:style>
  <w:style w:type="paragraph" w:customStyle="1" w:styleId="Portfolio">
    <w:name w:val="Portfolio"/>
    <w:basedOn w:val="OPCParaBase"/>
    <w:rsid w:val="0011747E"/>
    <w:pPr>
      <w:spacing w:line="240" w:lineRule="auto"/>
    </w:pPr>
    <w:rPr>
      <w:i/>
      <w:sz w:val="20"/>
    </w:rPr>
  </w:style>
  <w:style w:type="paragraph" w:customStyle="1" w:styleId="Preamble">
    <w:name w:val="Preamble"/>
    <w:basedOn w:val="OPCParaBase"/>
    <w:next w:val="Normal"/>
    <w:rsid w:val="0011747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747E"/>
    <w:pPr>
      <w:spacing w:line="240" w:lineRule="auto"/>
    </w:pPr>
    <w:rPr>
      <w:i/>
      <w:sz w:val="20"/>
    </w:rPr>
  </w:style>
  <w:style w:type="paragraph" w:customStyle="1" w:styleId="Session">
    <w:name w:val="Session"/>
    <w:basedOn w:val="OPCParaBase"/>
    <w:rsid w:val="0011747E"/>
    <w:pPr>
      <w:spacing w:line="240" w:lineRule="auto"/>
    </w:pPr>
    <w:rPr>
      <w:sz w:val="28"/>
    </w:rPr>
  </w:style>
  <w:style w:type="paragraph" w:customStyle="1" w:styleId="Sponsor">
    <w:name w:val="Sponsor"/>
    <w:basedOn w:val="OPCParaBase"/>
    <w:rsid w:val="0011747E"/>
    <w:pPr>
      <w:spacing w:line="240" w:lineRule="auto"/>
    </w:pPr>
    <w:rPr>
      <w:i/>
    </w:rPr>
  </w:style>
  <w:style w:type="paragraph" w:customStyle="1" w:styleId="Subitem">
    <w:name w:val="Subitem"/>
    <w:aliases w:val="iss"/>
    <w:basedOn w:val="OPCParaBase"/>
    <w:rsid w:val="0011747E"/>
    <w:pPr>
      <w:spacing w:before="180" w:line="240" w:lineRule="auto"/>
      <w:ind w:left="709" w:hanging="709"/>
    </w:pPr>
  </w:style>
  <w:style w:type="paragraph" w:customStyle="1" w:styleId="SubitemHead">
    <w:name w:val="SubitemHead"/>
    <w:aliases w:val="issh"/>
    <w:basedOn w:val="OPCParaBase"/>
    <w:rsid w:val="0011747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1747E"/>
    <w:pPr>
      <w:spacing w:before="40" w:line="240" w:lineRule="auto"/>
      <w:ind w:left="1134"/>
    </w:pPr>
  </w:style>
  <w:style w:type="paragraph" w:customStyle="1" w:styleId="SubsectionHead">
    <w:name w:val="SubsectionHead"/>
    <w:aliases w:val="ssh"/>
    <w:basedOn w:val="OPCParaBase"/>
    <w:next w:val="subsection"/>
    <w:rsid w:val="0011747E"/>
    <w:pPr>
      <w:keepNext/>
      <w:keepLines/>
      <w:spacing w:before="240" w:line="240" w:lineRule="auto"/>
      <w:ind w:left="1134"/>
    </w:pPr>
    <w:rPr>
      <w:i/>
    </w:rPr>
  </w:style>
  <w:style w:type="paragraph" w:customStyle="1" w:styleId="Tablea">
    <w:name w:val="Table(a)"/>
    <w:aliases w:val="ta"/>
    <w:basedOn w:val="OPCParaBase"/>
    <w:rsid w:val="0011747E"/>
    <w:pPr>
      <w:spacing w:before="60" w:line="240" w:lineRule="auto"/>
      <w:ind w:left="284" w:hanging="284"/>
    </w:pPr>
    <w:rPr>
      <w:sz w:val="20"/>
    </w:rPr>
  </w:style>
  <w:style w:type="paragraph" w:customStyle="1" w:styleId="TableAA">
    <w:name w:val="Table(AA)"/>
    <w:aliases w:val="taaa"/>
    <w:basedOn w:val="OPCParaBase"/>
    <w:rsid w:val="0011747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747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747E"/>
    <w:pPr>
      <w:spacing w:before="60" w:line="240" w:lineRule="atLeast"/>
    </w:pPr>
    <w:rPr>
      <w:sz w:val="20"/>
    </w:rPr>
  </w:style>
  <w:style w:type="paragraph" w:customStyle="1" w:styleId="TLPBoxTextnote">
    <w:name w:val="TLPBoxText(note"/>
    <w:aliases w:val="right)"/>
    <w:basedOn w:val="OPCParaBase"/>
    <w:rsid w:val="0011747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747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1747E"/>
    <w:pPr>
      <w:spacing w:before="122" w:line="198" w:lineRule="exact"/>
      <w:ind w:left="1985" w:hanging="851"/>
      <w:jc w:val="right"/>
    </w:pPr>
    <w:rPr>
      <w:sz w:val="18"/>
    </w:rPr>
  </w:style>
  <w:style w:type="paragraph" w:customStyle="1" w:styleId="TLPTableBullet">
    <w:name w:val="TLPTableBullet"/>
    <w:aliases w:val="ttb"/>
    <w:basedOn w:val="OPCParaBase"/>
    <w:rsid w:val="0011747E"/>
    <w:pPr>
      <w:spacing w:line="240" w:lineRule="exact"/>
      <w:ind w:left="284" w:hanging="284"/>
    </w:pPr>
    <w:rPr>
      <w:sz w:val="20"/>
    </w:rPr>
  </w:style>
  <w:style w:type="paragraph" w:styleId="TOC1">
    <w:name w:val="toc 1"/>
    <w:basedOn w:val="OPCParaBase"/>
    <w:next w:val="Normal"/>
    <w:uiPriority w:val="39"/>
    <w:semiHidden/>
    <w:unhideWhenUsed/>
    <w:rsid w:val="0011747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1747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1747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1747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1747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1747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1747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1747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1747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1747E"/>
    <w:pPr>
      <w:keepLines/>
      <w:spacing w:before="240" w:after="120" w:line="240" w:lineRule="auto"/>
      <w:ind w:left="794"/>
    </w:pPr>
    <w:rPr>
      <w:b/>
      <w:kern w:val="28"/>
      <w:sz w:val="20"/>
    </w:rPr>
  </w:style>
  <w:style w:type="paragraph" w:customStyle="1" w:styleId="TofSectsHeading">
    <w:name w:val="TofSects(Heading)"/>
    <w:basedOn w:val="OPCParaBase"/>
    <w:rsid w:val="0011747E"/>
    <w:pPr>
      <w:spacing w:before="240" w:after="120" w:line="240" w:lineRule="auto"/>
    </w:pPr>
    <w:rPr>
      <w:b/>
      <w:sz w:val="24"/>
    </w:rPr>
  </w:style>
  <w:style w:type="paragraph" w:customStyle="1" w:styleId="TofSectsSection">
    <w:name w:val="TofSects(Section)"/>
    <w:basedOn w:val="OPCParaBase"/>
    <w:rsid w:val="0011747E"/>
    <w:pPr>
      <w:keepLines/>
      <w:spacing w:before="40" w:line="240" w:lineRule="auto"/>
      <w:ind w:left="1588" w:hanging="794"/>
    </w:pPr>
    <w:rPr>
      <w:kern w:val="28"/>
      <w:sz w:val="18"/>
    </w:rPr>
  </w:style>
  <w:style w:type="paragraph" w:customStyle="1" w:styleId="TofSectsSubdiv">
    <w:name w:val="TofSects(Subdiv)"/>
    <w:basedOn w:val="OPCParaBase"/>
    <w:rsid w:val="0011747E"/>
    <w:pPr>
      <w:keepLines/>
      <w:spacing w:before="80" w:line="240" w:lineRule="auto"/>
      <w:ind w:left="1588" w:hanging="794"/>
    </w:pPr>
    <w:rPr>
      <w:kern w:val="28"/>
    </w:rPr>
  </w:style>
  <w:style w:type="paragraph" w:customStyle="1" w:styleId="WRStyle">
    <w:name w:val="WR Style"/>
    <w:aliases w:val="WR"/>
    <w:basedOn w:val="OPCParaBase"/>
    <w:rsid w:val="0011747E"/>
    <w:pPr>
      <w:spacing w:before="240" w:line="240" w:lineRule="auto"/>
      <w:ind w:left="284" w:hanging="284"/>
    </w:pPr>
    <w:rPr>
      <w:b/>
      <w:i/>
      <w:kern w:val="28"/>
      <w:sz w:val="24"/>
    </w:rPr>
  </w:style>
  <w:style w:type="paragraph" w:customStyle="1" w:styleId="notepara">
    <w:name w:val="note(para)"/>
    <w:aliases w:val="na"/>
    <w:basedOn w:val="OPCParaBase"/>
    <w:rsid w:val="0011747E"/>
    <w:pPr>
      <w:spacing w:before="40" w:line="198" w:lineRule="exact"/>
      <w:ind w:left="2354" w:hanging="369"/>
    </w:pPr>
    <w:rPr>
      <w:sz w:val="18"/>
    </w:rPr>
  </w:style>
  <w:style w:type="paragraph" w:styleId="Footer">
    <w:name w:val="footer"/>
    <w:link w:val="FooterChar"/>
    <w:rsid w:val="0011747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1747E"/>
    <w:rPr>
      <w:rFonts w:eastAsia="Times New Roman" w:cs="Times New Roman"/>
      <w:sz w:val="22"/>
      <w:szCs w:val="24"/>
      <w:lang w:eastAsia="en-AU"/>
    </w:rPr>
  </w:style>
  <w:style w:type="character" w:styleId="LineNumber">
    <w:name w:val="line number"/>
    <w:basedOn w:val="OPCCharBase"/>
    <w:uiPriority w:val="99"/>
    <w:semiHidden/>
    <w:unhideWhenUsed/>
    <w:rsid w:val="0011747E"/>
    <w:rPr>
      <w:sz w:val="16"/>
    </w:rPr>
  </w:style>
  <w:style w:type="table" w:customStyle="1" w:styleId="CFlag">
    <w:name w:val="CFlag"/>
    <w:basedOn w:val="TableNormal"/>
    <w:uiPriority w:val="99"/>
    <w:rsid w:val="0011747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4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47E"/>
    <w:rPr>
      <w:rFonts w:ascii="Tahoma" w:hAnsi="Tahoma" w:cs="Tahoma"/>
      <w:sz w:val="16"/>
      <w:szCs w:val="16"/>
    </w:rPr>
  </w:style>
  <w:style w:type="character" w:styleId="Hyperlink">
    <w:name w:val="Hyperlink"/>
    <w:basedOn w:val="DefaultParagraphFont"/>
    <w:rsid w:val="0011747E"/>
    <w:rPr>
      <w:color w:val="0000FF"/>
      <w:u w:val="single"/>
    </w:rPr>
  </w:style>
  <w:style w:type="table" w:styleId="TableGrid">
    <w:name w:val="Table Grid"/>
    <w:basedOn w:val="TableNormal"/>
    <w:uiPriority w:val="59"/>
    <w:rsid w:val="00117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1747E"/>
    <w:rPr>
      <w:b/>
      <w:sz w:val="28"/>
      <w:szCs w:val="32"/>
    </w:rPr>
  </w:style>
  <w:style w:type="paragraph" w:customStyle="1" w:styleId="TerritoryT">
    <w:name w:val="TerritoryT"/>
    <w:basedOn w:val="OPCParaBase"/>
    <w:next w:val="Normal"/>
    <w:rsid w:val="0011747E"/>
    <w:rPr>
      <w:b/>
      <w:sz w:val="32"/>
    </w:rPr>
  </w:style>
  <w:style w:type="paragraph" w:customStyle="1" w:styleId="LegislationMadeUnder">
    <w:name w:val="LegislationMadeUnder"/>
    <w:basedOn w:val="OPCParaBase"/>
    <w:next w:val="Normal"/>
    <w:rsid w:val="0011747E"/>
    <w:rPr>
      <w:i/>
      <w:sz w:val="32"/>
      <w:szCs w:val="32"/>
    </w:rPr>
  </w:style>
  <w:style w:type="paragraph" w:customStyle="1" w:styleId="SignCoverPageEnd">
    <w:name w:val="SignCoverPageEnd"/>
    <w:basedOn w:val="OPCParaBase"/>
    <w:next w:val="Normal"/>
    <w:rsid w:val="0011747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1747E"/>
    <w:pPr>
      <w:pBdr>
        <w:top w:val="single" w:sz="4" w:space="1" w:color="auto"/>
      </w:pBdr>
      <w:spacing w:before="360"/>
      <w:ind w:right="397"/>
      <w:jc w:val="both"/>
    </w:pPr>
  </w:style>
  <w:style w:type="paragraph" w:customStyle="1" w:styleId="NotesHeading1">
    <w:name w:val="NotesHeading 1"/>
    <w:basedOn w:val="OPCParaBase"/>
    <w:next w:val="Normal"/>
    <w:rsid w:val="0011747E"/>
    <w:rPr>
      <w:b/>
      <w:sz w:val="28"/>
      <w:szCs w:val="28"/>
    </w:rPr>
  </w:style>
  <w:style w:type="paragraph" w:customStyle="1" w:styleId="NotesHeading2">
    <w:name w:val="NotesHeading 2"/>
    <w:basedOn w:val="OPCParaBase"/>
    <w:next w:val="Normal"/>
    <w:rsid w:val="0011747E"/>
    <w:rPr>
      <w:b/>
      <w:sz w:val="28"/>
      <w:szCs w:val="28"/>
    </w:rPr>
  </w:style>
  <w:style w:type="paragraph" w:customStyle="1" w:styleId="ENotesText">
    <w:name w:val="ENotesText"/>
    <w:basedOn w:val="OPCParaBase"/>
    <w:next w:val="Normal"/>
    <w:rsid w:val="0011747E"/>
  </w:style>
  <w:style w:type="paragraph" w:customStyle="1" w:styleId="CompiledActNo">
    <w:name w:val="CompiledActNo"/>
    <w:basedOn w:val="OPCParaBase"/>
    <w:next w:val="Normal"/>
    <w:rsid w:val="0011747E"/>
    <w:rPr>
      <w:b/>
      <w:sz w:val="24"/>
      <w:szCs w:val="24"/>
    </w:rPr>
  </w:style>
  <w:style w:type="paragraph" w:customStyle="1" w:styleId="CompiledMadeUnder">
    <w:name w:val="CompiledMadeUnder"/>
    <w:basedOn w:val="OPCParaBase"/>
    <w:next w:val="Normal"/>
    <w:rsid w:val="0011747E"/>
    <w:rPr>
      <w:i/>
      <w:sz w:val="24"/>
      <w:szCs w:val="24"/>
    </w:rPr>
  </w:style>
  <w:style w:type="paragraph" w:customStyle="1" w:styleId="Paragraphsub-sub-sub">
    <w:name w:val="Paragraph(sub-sub-sub)"/>
    <w:aliases w:val="aaaa"/>
    <w:basedOn w:val="OPCParaBase"/>
    <w:rsid w:val="0011747E"/>
    <w:pPr>
      <w:tabs>
        <w:tab w:val="right" w:pos="3402"/>
      </w:tabs>
      <w:spacing w:before="40" w:line="240" w:lineRule="auto"/>
      <w:ind w:left="3402" w:hanging="3402"/>
    </w:pPr>
  </w:style>
  <w:style w:type="paragraph" w:customStyle="1" w:styleId="NoteToSubpara">
    <w:name w:val="NoteToSubpara"/>
    <w:aliases w:val="nts"/>
    <w:basedOn w:val="OPCParaBase"/>
    <w:rsid w:val="0011747E"/>
    <w:pPr>
      <w:spacing w:before="40" w:line="198" w:lineRule="exact"/>
      <w:ind w:left="2835" w:hanging="709"/>
    </w:pPr>
    <w:rPr>
      <w:sz w:val="18"/>
    </w:rPr>
  </w:style>
  <w:style w:type="paragraph" w:customStyle="1" w:styleId="EndNotespara">
    <w:name w:val="EndNotes(para)"/>
    <w:aliases w:val="eta"/>
    <w:basedOn w:val="OPCParaBase"/>
    <w:next w:val="Normal"/>
    <w:rsid w:val="0011747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1747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1747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1747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1747E"/>
    <w:pPr>
      <w:keepNext/>
      <w:spacing w:before="60" w:line="240" w:lineRule="atLeast"/>
    </w:pPr>
    <w:rPr>
      <w:rFonts w:ascii="Arial" w:hAnsi="Arial"/>
      <w:b/>
      <w:sz w:val="16"/>
    </w:rPr>
  </w:style>
  <w:style w:type="paragraph" w:customStyle="1" w:styleId="ENoteTTi">
    <w:name w:val="ENoteTTi"/>
    <w:aliases w:val="entti"/>
    <w:basedOn w:val="OPCParaBase"/>
    <w:rsid w:val="0011747E"/>
    <w:pPr>
      <w:keepNext/>
      <w:spacing w:before="60" w:line="240" w:lineRule="atLeast"/>
      <w:ind w:left="170"/>
    </w:pPr>
    <w:rPr>
      <w:sz w:val="16"/>
    </w:rPr>
  </w:style>
  <w:style w:type="paragraph" w:customStyle="1" w:styleId="ENotesHeading1">
    <w:name w:val="ENotesHeading 1"/>
    <w:aliases w:val="Enh1"/>
    <w:basedOn w:val="OPCParaBase"/>
    <w:next w:val="Normal"/>
    <w:rsid w:val="0011747E"/>
    <w:pPr>
      <w:spacing w:before="120"/>
      <w:outlineLvl w:val="1"/>
    </w:pPr>
    <w:rPr>
      <w:b/>
      <w:sz w:val="28"/>
      <w:szCs w:val="28"/>
    </w:rPr>
  </w:style>
  <w:style w:type="paragraph" w:customStyle="1" w:styleId="ENotesHeading2">
    <w:name w:val="ENotesHeading 2"/>
    <w:aliases w:val="Enh2"/>
    <w:basedOn w:val="OPCParaBase"/>
    <w:next w:val="Normal"/>
    <w:rsid w:val="0011747E"/>
    <w:pPr>
      <w:spacing w:before="120" w:after="120"/>
      <w:outlineLvl w:val="2"/>
    </w:pPr>
    <w:rPr>
      <w:b/>
      <w:sz w:val="24"/>
      <w:szCs w:val="28"/>
    </w:rPr>
  </w:style>
  <w:style w:type="paragraph" w:customStyle="1" w:styleId="ENoteTTIndentHeading">
    <w:name w:val="ENoteTTIndentHeading"/>
    <w:aliases w:val="enTTHi"/>
    <w:basedOn w:val="OPCParaBase"/>
    <w:rsid w:val="0011747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1747E"/>
    <w:pPr>
      <w:spacing w:before="60" w:line="240" w:lineRule="atLeast"/>
    </w:pPr>
    <w:rPr>
      <w:sz w:val="16"/>
    </w:rPr>
  </w:style>
  <w:style w:type="paragraph" w:customStyle="1" w:styleId="MadeunderText">
    <w:name w:val="MadeunderText"/>
    <w:basedOn w:val="OPCParaBase"/>
    <w:next w:val="CompiledMadeUnder"/>
    <w:rsid w:val="0011747E"/>
    <w:pPr>
      <w:spacing w:before="240"/>
    </w:pPr>
    <w:rPr>
      <w:sz w:val="24"/>
      <w:szCs w:val="24"/>
    </w:rPr>
  </w:style>
  <w:style w:type="paragraph" w:customStyle="1" w:styleId="ENotesHeading3">
    <w:name w:val="ENotesHeading 3"/>
    <w:aliases w:val="Enh3"/>
    <w:basedOn w:val="OPCParaBase"/>
    <w:next w:val="Normal"/>
    <w:rsid w:val="0011747E"/>
    <w:pPr>
      <w:keepNext/>
      <w:spacing w:before="120" w:line="240" w:lineRule="auto"/>
      <w:outlineLvl w:val="4"/>
    </w:pPr>
    <w:rPr>
      <w:b/>
      <w:szCs w:val="24"/>
    </w:rPr>
  </w:style>
  <w:style w:type="paragraph" w:customStyle="1" w:styleId="SubPartCASA">
    <w:name w:val="SubPart(CASA)"/>
    <w:aliases w:val="csp"/>
    <w:basedOn w:val="OPCParaBase"/>
    <w:next w:val="ActHead3"/>
    <w:rsid w:val="0011747E"/>
    <w:pPr>
      <w:keepNext/>
      <w:keepLines/>
      <w:spacing w:before="280"/>
      <w:outlineLvl w:val="1"/>
    </w:pPr>
    <w:rPr>
      <w:b/>
      <w:kern w:val="28"/>
      <w:sz w:val="32"/>
    </w:rPr>
  </w:style>
  <w:style w:type="character" w:customStyle="1" w:styleId="CharSubPartTextCASA">
    <w:name w:val="CharSubPartText(CASA)"/>
    <w:basedOn w:val="OPCCharBase"/>
    <w:uiPriority w:val="1"/>
    <w:rsid w:val="0011747E"/>
  </w:style>
  <w:style w:type="character" w:customStyle="1" w:styleId="CharSubPartNoCASA">
    <w:name w:val="CharSubPartNo(CASA)"/>
    <w:basedOn w:val="OPCCharBase"/>
    <w:uiPriority w:val="1"/>
    <w:rsid w:val="0011747E"/>
  </w:style>
  <w:style w:type="paragraph" w:customStyle="1" w:styleId="ENoteTTIndentHeadingSub">
    <w:name w:val="ENoteTTIndentHeadingSub"/>
    <w:aliases w:val="enTTHis"/>
    <w:basedOn w:val="OPCParaBase"/>
    <w:rsid w:val="0011747E"/>
    <w:pPr>
      <w:keepNext/>
      <w:spacing w:before="60" w:line="240" w:lineRule="atLeast"/>
      <w:ind w:left="340"/>
    </w:pPr>
    <w:rPr>
      <w:b/>
      <w:sz w:val="16"/>
    </w:rPr>
  </w:style>
  <w:style w:type="paragraph" w:customStyle="1" w:styleId="ENoteTTiSub">
    <w:name w:val="ENoteTTiSub"/>
    <w:aliases w:val="enttis"/>
    <w:basedOn w:val="OPCParaBase"/>
    <w:rsid w:val="0011747E"/>
    <w:pPr>
      <w:keepNext/>
      <w:spacing w:before="60" w:line="240" w:lineRule="atLeast"/>
      <w:ind w:left="340"/>
    </w:pPr>
    <w:rPr>
      <w:sz w:val="16"/>
    </w:rPr>
  </w:style>
  <w:style w:type="paragraph" w:customStyle="1" w:styleId="SubDivisionMigration">
    <w:name w:val="SubDivisionMigration"/>
    <w:aliases w:val="sdm"/>
    <w:basedOn w:val="OPCParaBase"/>
    <w:rsid w:val="0011747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1747E"/>
    <w:pPr>
      <w:keepNext/>
      <w:keepLines/>
      <w:spacing w:before="240" w:line="240" w:lineRule="auto"/>
      <w:ind w:left="1134" w:hanging="1134"/>
    </w:pPr>
    <w:rPr>
      <w:b/>
      <w:sz w:val="28"/>
    </w:rPr>
  </w:style>
  <w:style w:type="paragraph" w:customStyle="1" w:styleId="notetext">
    <w:name w:val="note(text)"/>
    <w:aliases w:val="n"/>
    <w:basedOn w:val="OPCParaBase"/>
    <w:rsid w:val="0011747E"/>
    <w:pPr>
      <w:spacing w:before="122" w:line="240" w:lineRule="auto"/>
      <w:ind w:left="1985" w:hanging="851"/>
    </w:pPr>
    <w:rPr>
      <w:sz w:val="18"/>
    </w:rPr>
  </w:style>
  <w:style w:type="paragraph" w:customStyle="1" w:styleId="FreeForm">
    <w:name w:val="FreeForm"/>
    <w:rsid w:val="00B15574"/>
    <w:rPr>
      <w:rFonts w:ascii="Arial" w:hAnsi="Arial"/>
      <w:sz w:val="22"/>
    </w:rPr>
  </w:style>
  <w:style w:type="paragraph" w:customStyle="1" w:styleId="SOText">
    <w:name w:val="SO Text"/>
    <w:aliases w:val="sot"/>
    <w:link w:val="SOTextChar"/>
    <w:rsid w:val="0011747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1747E"/>
    <w:rPr>
      <w:sz w:val="22"/>
    </w:rPr>
  </w:style>
  <w:style w:type="paragraph" w:customStyle="1" w:styleId="SOTextNote">
    <w:name w:val="SO TextNote"/>
    <w:aliases w:val="sont"/>
    <w:basedOn w:val="SOText"/>
    <w:qFormat/>
    <w:rsid w:val="0011747E"/>
    <w:pPr>
      <w:spacing w:before="122" w:line="198" w:lineRule="exact"/>
      <w:ind w:left="1843" w:hanging="709"/>
    </w:pPr>
    <w:rPr>
      <w:sz w:val="18"/>
    </w:rPr>
  </w:style>
  <w:style w:type="paragraph" w:customStyle="1" w:styleId="SOPara">
    <w:name w:val="SO Para"/>
    <w:aliases w:val="soa"/>
    <w:basedOn w:val="SOText"/>
    <w:link w:val="SOParaChar"/>
    <w:qFormat/>
    <w:rsid w:val="0011747E"/>
    <w:pPr>
      <w:tabs>
        <w:tab w:val="right" w:pos="1786"/>
      </w:tabs>
      <w:spacing w:before="40"/>
      <w:ind w:left="2070" w:hanging="936"/>
    </w:pPr>
  </w:style>
  <w:style w:type="character" w:customStyle="1" w:styleId="SOParaChar">
    <w:name w:val="SO Para Char"/>
    <w:aliases w:val="soa Char"/>
    <w:basedOn w:val="DefaultParagraphFont"/>
    <w:link w:val="SOPara"/>
    <w:rsid w:val="0011747E"/>
    <w:rPr>
      <w:sz w:val="22"/>
    </w:rPr>
  </w:style>
  <w:style w:type="paragraph" w:customStyle="1" w:styleId="FileName">
    <w:name w:val="FileName"/>
    <w:basedOn w:val="Normal"/>
    <w:rsid w:val="0011747E"/>
  </w:style>
  <w:style w:type="paragraph" w:customStyle="1" w:styleId="TableHeading">
    <w:name w:val="TableHeading"/>
    <w:aliases w:val="th"/>
    <w:basedOn w:val="OPCParaBase"/>
    <w:next w:val="Tabletext"/>
    <w:rsid w:val="0011747E"/>
    <w:pPr>
      <w:keepNext/>
      <w:spacing w:before="60" w:line="240" w:lineRule="atLeast"/>
    </w:pPr>
    <w:rPr>
      <w:b/>
      <w:sz w:val="20"/>
    </w:rPr>
  </w:style>
  <w:style w:type="paragraph" w:customStyle="1" w:styleId="SOHeadBold">
    <w:name w:val="SO HeadBold"/>
    <w:aliases w:val="sohb"/>
    <w:basedOn w:val="SOText"/>
    <w:next w:val="SOText"/>
    <w:link w:val="SOHeadBoldChar"/>
    <w:qFormat/>
    <w:rsid w:val="0011747E"/>
    <w:rPr>
      <w:b/>
    </w:rPr>
  </w:style>
  <w:style w:type="character" w:customStyle="1" w:styleId="SOHeadBoldChar">
    <w:name w:val="SO HeadBold Char"/>
    <w:aliases w:val="sohb Char"/>
    <w:basedOn w:val="DefaultParagraphFont"/>
    <w:link w:val="SOHeadBold"/>
    <w:rsid w:val="0011747E"/>
    <w:rPr>
      <w:b/>
      <w:sz w:val="22"/>
    </w:rPr>
  </w:style>
  <w:style w:type="paragraph" w:customStyle="1" w:styleId="SOHeadItalic">
    <w:name w:val="SO HeadItalic"/>
    <w:aliases w:val="sohi"/>
    <w:basedOn w:val="SOText"/>
    <w:next w:val="SOText"/>
    <w:link w:val="SOHeadItalicChar"/>
    <w:qFormat/>
    <w:rsid w:val="0011747E"/>
    <w:rPr>
      <w:i/>
    </w:rPr>
  </w:style>
  <w:style w:type="character" w:customStyle="1" w:styleId="SOHeadItalicChar">
    <w:name w:val="SO HeadItalic Char"/>
    <w:aliases w:val="sohi Char"/>
    <w:basedOn w:val="DefaultParagraphFont"/>
    <w:link w:val="SOHeadItalic"/>
    <w:rsid w:val="0011747E"/>
    <w:rPr>
      <w:i/>
      <w:sz w:val="22"/>
    </w:rPr>
  </w:style>
  <w:style w:type="paragraph" w:customStyle="1" w:styleId="SOBullet">
    <w:name w:val="SO Bullet"/>
    <w:aliases w:val="sotb"/>
    <w:basedOn w:val="SOText"/>
    <w:link w:val="SOBulletChar"/>
    <w:qFormat/>
    <w:rsid w:val="0011747E"/>
    <w:pPr>
      <w:ind w:left="1559" w:hanging="425"/>
    </w:pPr>
  </w:style>
  <w:style w:type="character" w:customStyle="1" w:styleId="SOBulletChar">
    <w:name w:val="SO Bullet Char"/>
    <w:aliases w:val="sotb Char"/>
    <w:basedOn w:val="DefaultParagraphFont"/>
    <w:link w:val="SOBullet"/>
    <w:rsid w:val="0011747E"/>
    <w:rPr>
      <w:sz w:val="22"/>
    </w:rPr>
  </w:style>
  <w:style w:type="paragraph" w:customStyle="1" w:styleId="SOBulletNote">
    <w:name w:val="SO BulletNote"/>
    <w:aliases w:val="sonb"/>
    <w:basedOn w:val="SOTextNote"/>
    <w:link w:val="SOBulletNoteChar"/>
    <w:qFormat/>
    <w:rsid w:val="0011747E"/>
    <w:pPr>
      <w:tabs>
        <w:tab w:val="left" w:pos="1560"/>
      </w:tabs>
      <w:ind w:left="2268" w:hanging="1134"/>
    </w:pPr>
  </w:style>
  <w:style w:type="character" w:customStyle="1" w:styleId="SOBulletNoteChar">
    <w:name w:val="SO BulletNote Char"/>
    <w:aliases w:val="sonb Char"/>
    <w:basedOn w:val="DefaultParagraphFont"/>
    <w:link w:val="SOBulletNote"/>
    <w:rsid w:val="0011747E"/>
    <w:rPr>
      <w:sz w:val="18"/>
    </w:rPr>
  </w:style>
  <w:style w:type="paragraph" w:customStyle="1" w:styleId="SOText2">
    <w:name w:val="SO Text2"/>
    <w:aliases w:val="sot2"/>
    <w:basedOn w:val="Normal"/>
    <w:next w:val="SOText"/>
    <w:link w:val="SOText2Char"/>
    <w:rsid w:val="0011747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1747E"/>
    <w:rPr>
      <w:sz w:val="22"/>
    </w:rPr>
  </w:style>
  <w:style w:type="character" w:customStyle="1" w:styleId="subsectionChar">
    <w:name w:val="subsection Char"/>
    <w:aliases w:val="ss Char"/>
    <w:basedOn w:val="DefaultParagraphFont"/>
    <w:link w:val="subsection"/>
    <w:locked/>
    <w:rsid w:val="00A47F33"/>
    <w:rPr>
      <w:rFonts w:eastAsia="Times New Roman" w:cs="Times New Roman"/>
      <w:sz w:val="22"/>
      <w:lang w:eastAsia="en-AU"/>
    </w:rPr>
  </w:style>
  <w:style w:type="character" w:customStyle="1" w:styleId="Heading1Char">
    <w:name w:val="Heading 1 Char"/>
    <w:basedOn w:val="DefaultParagraphFont"/>
    <w:link w:val="Heading1"/>
    <w:uiPriority w:val="9"/>
    <w:rsid w:val="00A47F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47F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47F3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47F3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47F3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47F3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47F3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47F3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47F33"/>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0E6AB8"/>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47E"/>
    <w:pPr>
      <w:spacing w:line="260" w:lineRule="atLeast"/>
    </w:pPr>
    <w:rPr>
      <w:sz w:val="22"/>
    </w:rPr>
  </w:style>
  <w:style w:type="paragraph" w:styleId="Heading1">
    <w:name w:val="heading 1"/>
    <w:basedOn w:val="Normal"/>
    <w:next w:val="Normal"/>
    <w:link w:val="Heading1Char"/>
    <w:uiPriority w:val="9"/>
    <w:qFormat/>
    <w:rsid w:val="00A47F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7F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7F3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7F3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F3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F3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F3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F3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47F3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1747E"/>
  </w:style>
  <w:style w:type="paragraph" w:customStyle="1" w:styleId="OPCParaBase">
    <w:name w:val="OPCParaBase"/>
    <w:qFormat/>
    <w:rsid w:val="0011747E"/>
    <w:pPr>
      <w:spacing w:line="260" w:lineRule="atLeast"/>
    </w:pPr>
    <w:rPr>
      <w:rFonts w:eastAsia="Times New Roman" w:cs="Times New Roman"/>
      <w:sz w:val="22"/>
      <w:lang w:eastAsia="en-AU"/>
    </w:rPr>
  </w:style>
  <w:style w:type="paragraph" w:customStyle="1" w:styleId="ShortT">
    <w:name w:val="ShortT"/>
    <w:basedOn w:val="OPCParaBase"/>
    <w:next w:val="Normal"/>
    <w:qFormat/>
    <w:rsid w:val="0011747E"/>
    <w:pPr>
      <w:spacing w:line="240" w:lineRule="auto"/>
    </w:pPr>
    <w:rPr>
      <w:b/>
      <w:sz w:val="40"/>
    </w:rPr>
  </w:style>
  <w:style w:type="paragraph" w:customStyle="1" w:styleId="ActHead1">
    <w:name w:val="ActHead 1"/>
    <w:aliases w:val="c"/>
    <w:basedOn w:val="OPCParaBase"/>
    <w:next w:val="Normal"/>
    <w:qFormat/>
    <w:rsid w:val="0011747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747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747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747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1747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747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747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747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747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1747E"/>
  </w:style>
  <w:style w:type="paragraph" w:customStyle="1" w:styleId="Blocks">
    <w:name w:val="Blocks"/>
    <w:aliases w:val="bb"/>
    <w:basedOn w:val="OPCParaBase"/>
    <w:qFormat/>
    <w:rsid w:val="0011747E"/>
    <w:pPr>
      <w:spacing w:line="240" w:lineRule="auto"/>
    </w:pPr>
    <w:rPr>
      <w:sz w:val="24"/>
    </w:rPr>
  </w:style>
  <w:style w:type="paragraph" w:customStyle="1" w:styleId="BoxText">
    <w:name w:val="BoxText"/>
    <w:aliases w:val="bt"/>
    <w:basedOn w:val="OPCParaBase"/>
    <w:qFormat/>
    <w:rsid w:val="0011747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747E"/>
    <w:rPr>
      <w:b/>
    </w:rPr>
  </w:style>
  <w:style w:type="paragraph" w:customStyle="1" w:styleId="BoxHeadItalic">
    <w:name w:val="BoxHeadItalic"/>
    <w:aliases w:val="bhi"/>
    <w:basedOn w:val="BoxText"/>
    <w:next w:val="BoxStep"/>
    <w:qFormat/>
    <w:rsid w:val="0011747E"/>
    <w:rPr>
      <w:i/>
    </w:rPr>
  </w:style>
  <w:style w:type="paragraph" w:customStyle="1" w:styleId="BoxList">
    <w:name w:val="BoxList"/>
    <w:aliases w:val="bl"/>
    <w:basedOn w:val="BoxText"/>
    <w:qFormat/>
    <w:rsid w:val="0011747E"/>
    <w:pPr>
      <w:ind w:left="1559" w:hanging="425"/>
    </w:pPr>
  </w:style>
  <w:style w:type="paragraph" w:customStyle="1" w:styleId="BoxNote">
    <w:name w:val="BoxNote"/>
    <w:aliases w:val="bn"/>
    <w:basedOn w:val="BoxText"/>
    <w:qFormat/>
    <w:rsid w:val="0011747E"/>
    <w:pPr>
      <w:tabs>
        <w:tab w:val="left" w:pos="1985"/>
      </w:tabs>
      <w:spacing w:before="122" w:line="198" w:lineRule="exact"/>
      <w:ind w:left="2948" w:hanging="1814"/>
    </w:pPr>
    <w:rPr>
      <w:sz w:val="18"/>
    </w:rPr>
  </w:style>
  <w:style w:type="paragraph" w:customStyle="1" w:styleId="BoxPara">
    <w:name w:val="BoxPara"/>
    <w:aliases w:val="bp"/>
    <w:basedOn w:val="BoxText"/>
    <w:qFormat/>
    <w:rsid w:val="0011747E"/>
    <w:pPr>
      <w:tabs>
        <w:tab w:val="right" w:pos="2268"/>
      </w:tabs>
      <w:ind w:left="2552" w:hanging="1418"/>
    </w:pPr>
  </w:style>
  <w:style w:type="paragraph" w:customStyle="1" w:styleId="BoxStep">
    <w:name w:val="BoxStep"/>
    <w:aliases w:val="bs"/>
    <w:basedOn w:val="BoxText"/>
    <w:qFormat/>
    <w:rsid w:val="0011747E"/>
    <w:pPr>
      <w:ind w:left="1985" w:hanging="851"/>
    </w:pPr>
  </w:style>
  <w:style w:type="character" w:customStyle="1" w:styleId="CharAmPartNo">
    <w:name w:val="CharAmPartNo"/>
    <w:basedOn w:val="OPCCharBase"/>
    <w:qFormat/>
    <w:rsid w:val="0011747E"/>
  </w:style>
  <w:style w:type="character" w:customStyle="1" w:styleId="CharAmPartText">
    <w:name w:val="CharAmPartText"/>
    <w:basedOn w:val="OPCCharBase"/>
    <w:qFormat/>
    <w:rsid w:val="0011747E"/>
  </w:style>
  <w:style w:type="character" w:customStyle="1" w:styleId="CharAmSchNo">
    <w:name w:val="CharAmSchNo"/>
    <w:basedOn w:val="OPCCharBase"/>
    <w:qFormat/>
    <w:rsid w:val="0011747E"/>
  </w:style>
  <w:style w:type="character" w:customStyle="1" w:styleId="CharAmSchText">
    <w:name w:val="CharAmSchText"/>
    <w:basedOn w:val="OPCCharBase"/>
    <w:qFormat/>
    <w:rsid w:val="0011747E"/>
  </w:style>
  <w:style w:type="character" w:customStyle="1" w:styleId="CharBoldItalic">
    <w:name w:val="CharBoldItalic"/>
    <w:basedOn w:val="OPCCharBase"/>
    <w:uiPriority w:val="1"/>
    <w:qFormat/>
    <w:rsid w:val="0011747E"/>
    <w:rPr>
      <w:b/>
      <w:i/>
    </w:rPr>
  </w:style>
  <w:style w:type="character" w:customStyle="1" w:styleId="CharChapNo">
    <w:name w:val="CharChapNo"/>
    <w:basedOn w:val="OPCCharBase"/>
    <w:uiPriority w:val="1"/>
    <w:qFormat/>
    <w:rsid w:val="0011747E"/>
  </w:style>
  <w:style w:type="character" w:customStyle="1" w:styleId="CharChapText">
    <w:name w:val="CharChapText"/>
    <w:basedOn w:val="OPCCharBase"/>
    <w:uiPriority w:val="1"/>
    <w:qFormat/>
    <w:rsid w:val="0011747E"/>
  </w:style>
  <w:style w:type="character" w:customStyle="1" w:styleId="CharDivNo">
    <w:name w:val="CharDivNo"/>
    <w:basedOn w:val="OPCCharBase"/>
    <w:uiPriority w:val="1"/>
    <w:qFormat/>
    <w:rsid w:val="0011747E"/>
  </w:style>
  <w:style w:type="character" w:customStyle="1" w:styleId="CharDivText">
    <w:name w:val="CharDivText"/>
    <w:basedOn w:val="OPCCharBase"/>
    <w:uiPriority w:val="1"/>
    <w:qFormat/>
    <w:rsid w:val="0011747E"/>
  </w:style>
  <w:style w:type="character" w:customStyle="1" w:styleId="CharItalic">
    <w:name w:val="CharItalic"/>
    <w:basedOn w:val="OPCCharBase"/>
    <w:uiPriority w:val="1"/>
    <w:qFormat/>
    <w:rsid w:val="0011747E"/>
    <w:rPr>
      <w:i/>
    </w:rPr>
  </w:style>
  <w:style w:type="character" w:customStyle="1" w:styleId="CharPartNo">
    <w:name w:val="CharPartNo"/>
    <w:basedOn w:val="OPCCharBase"/>
    <w:uiPriority w:val="1"/>
    <w:qFormat/>
    <w:rsid w:val="0011747E"/>
  </w:style>
  <w:style w:type="character" w:customStyle="1" w:styleId="CharPartText">
    <w:name w:val="CharPartText"/>
    <w:basedOn w:val="OPCCharBase"/>
    <w:uiPriority w:val="1"/>
    <w:qFormat/>
    <w:rsid w:val="0011747E"/>
  </w:style>
  <w:style w:type="character" w:customStyle="1" w:styleId="CharSectno">
    <w:name w:val="CharSectno"/>
    <w:basedOn w:val="OPCCharBase"/>
    <w:qFormat/>
    <w:rsid w:val="0011747E"/>
  </w:style>
  <w:style w:type="character" w:customStyle="1" w:styleId="CharSubdNo">
    <w:name w:val="CharSubdNo"/>
    <w:basedOn w:val="OPCCharBase"/>
    <w:uiPriority w:val="1"/>
    <w:qFormat/>
    <w:rsid w:val="0011747E"/>
  </w:style>
  <w:style w:type="character" w:customStyle="1" w:styleId="CharSubdText">
    <w:name w:val="CharSubdText"/>
    <w:basedOn w:val="OPCCharBase"/>
    <w:uiPriority w:val="1"/>
    <w:qFormat/>
    <w:rsid w:val="0011747E"/>
  </w:style>
  <w:style w:type="paragraph" w:customStyle="1" w:styleId="CTA--">
    <w:name w:val="CTA --"/>
    <w:basedOn w:val="OPCParaBase"/>
    <w:next w:val="Normal"/>
    <w:rsid w:val="0011747E"/>
    <w:pPr>
      <w:spacing w:before="60" w:line="240" w:lineRule="atLeast"/>
      <w:ind w:left="142" w:hanging="142"/>
    </w:pPr>
    <w:rPr>
      <w:sz w:val="20"/>
    </w:rPr>
  </w:style>
  <w:style w:type="paragraph" w:customStyle="1" w:styleId="CTA-">
    <w:name w:val="CTA -"/>
    <w:basedOn w:val="OPCParaBase"/>
    <w:rsid w:val="0011747E"/>
    <w:pPr>
      <w:spacing w:before="60" w:line="240" w:lineRule="atLeast"/>
      <w:ind w:left="85" w:hanging="85"/>
    </w:pPr>
    <w:rPr>
      <w:sz w:val="20"/>
    </w:rPr>
  </w:style>
  <w:style w:type="paragraph" w:customStyle="1" w:styleId="CTA---">
    <w:name w:val="CTA ---"/>
    <w:basedOn w:val="OPCParaBase"/>
    <w:next w:val="Normal"/>
    <w:rsid w:val="0011747E"/>
    <w:pPr>
      <w:spacing w:before="60" w:line="240" w:lineRule="atLeast"/>
      <w:ind w:left="198" w:hanging="198"/>
    </w:pPr>
    <w:rPr>
      <w:sz w:val="20"/>
    </w:rPr>
  </w:style>
  <w:style w:type="paragraph" w:customStyle="1" w:styleId="CTA----">
    <w:name w:val="CTA ----"/>
    <w:basedOn w:val="OPCParaBase"/>
    <w:next w:val="Normal"/>
    <w:rsid w:val="0011747E"/>
    <w:pPr>
      <w:spacing w:before="60" w:line="240" w:lineRule="atLeast"/>
      <w:ind w:left="255" w:hanging="255"/>
    </w:pPr>
    <w:rPr>
      <w:sz w:val="20"/>
    </w:rPr>
  </w:style>
  <w:style w:type="paragraph" w:customStyle="1" w:styleId="CTA1a">
    <w:name w:val="CTA 1(a)"/>
    <w:basedOn w:val="OPCParaBase"/>
    <w:rsid w:val="0011747E"/>
    <w:pPr>
      <w:tabs>
        <w:tab w:val="right" w:pos="414"/>
      </w:tabs>
      <w:spacing w:before="40" w:line="240" w:lineRule="atLeast"/>
      <w:ind w:left="675" w:hanging="675"/>
    </w:pPr>
    <w:rPr>
      <w:sz w:val="20"/>
    </w:rPr>
  </w:style>
  <w:style w:type="paragraph" w:customStyle="1" w:styleId="CTA1ai">
    <w:name w:val="CTA 1(a)(i)"/>
    <w:basedOn w:val="OPCParaBase"/>
    <w:rsid w:val="0011747E"/>
    <w:pPr>
      <w:tabs>
        <w:tab w:val="right" w:pos="1004"/>
      </w:tabs>
      <w:spacing w:before="40" w:line="240" w:lineRule="atLeast"/>
      <w:ind w:left="1253" w:hanging="1253"/>
    </w:pPr>
    <w:rPr>
      <w:sz w:val="20"/>
    </w:rPr>
  </w:style>
  <w:style w:type="paragraph" w:customStyle="1" w:styleId="CTA2a">
    <w:name w:val="CTA 2(a)"/>
    <w:basedOn w:val="OPCParaBase"/>
    <w:rsid w:val="0011747E"/>
    <w:pPr>
      <w:tabs>
        <w:tab w:val="right" w:pos="482"/>
      </w:tabs>
      <w:spacing w:before="40" w:line="240" w:lineRule="atLeast"/>
      <w:ind w:left="748" w:hanging="748"/>
    </w:pPr>
    <w:rPr>
      <w:sz w:val="20"/>
    </w:rPr>
  </w:style>
  <w:style w:type="paragraph" w:customStyle="1" w:styleId="CTA2ai">
    <w:name w:val="CTA 2(a)(i)"/>
    <w:basedOn w:val="OPCParaBase"/>
    <w:rsid w:val="0011747E"/>
    <w:pPr>
      <w:tabs>
        <w:tab w:val="right" w:pos="1089"/>
      </w:tabs>
      <w:spacing w:before="40" w:line="240" w:lineRule="atLeast"/>
      <w:ind w:left="1327" w:hanging="1327"/>
    </w:pPr>
    <w:rPr>
      <w:sz w:val="20"/>
    </w:rPr>
  </w:style>
  <w:style w:type="paragraph" w:customStyle="1" w:styleId="CTA3a">
    <w:name w:val="CTA 3(a)"/>
    <w:basedOn w:val="OPCParaBase"/>
    <w:rsid w:val="0011747E"/>
    <w:pPr>
      <w:tabs>
        <w:tab w:val="right" w:pos="556"/>
      </w:tabs>
      <w:spacing w:before="40" w:line="240" w:lineRule="atLeast"/>
      <w:ind w:left="805" w:hanging="805"/>
    </w:pPr>
    <w:rPr>
      <w:sz w:val="20"/>
    </w:rPr>
  </w:style>
  <w:style w:type="paragraph" w:customStyle="1" w:styleId="CTA3ai">
    <w:name w:val="CTA 3(a)(i)"/>
    <w:basedOn w:val="OPCParaBase"/>
    <w:rsid w:val="0011747E"/>
    <w:pPr>
      <w:tabs>
        <w:tab w:val="right" w:pos="1140"/>
      </w:tabs>
      <w:spacing w:before="40" w:line="240" w:lineRule="atLeast"/>
      <w:ind w:left="1361" w:hanging="1361"/>
    </w:pPr>
    <w:rPr>
      <w:sz w:val="20"/>
    </w:rPr>
  </w:style>
  <w:style w:type="paragraph" w:customStyle="1" w:styleId="CTA4a">
    <w:name w:val="CTA 4(a)"/>
    <w:basedOn w:val="OPCParaBase"/>
    <w:rsid w:val="0011747E"/>
    <w:pPr>
      <w:tabs>
        <w:tab w:val="right" w:pos="624"/>
      </w:tabs>
      <w:spacing w:before="40" w:line="240" w:lineRule="atLeast"/>
      <w:ind w:left="873" w:hanging="873"/>
    </w:pPr>
    <w:rPr>
      <w:sz w:val="20"/>
    </w:rPr>
  </w:style>
  <w:style w:type="paragraph" w:customStyle="1" w:styleId="CTA4ai">
    <w:name w:val="CTA 4(a)(i)"/>
    <w:basedOn w:val="OPCParaBase"/>
    <w:rsid w:val="0011747E"/>
    <w:pPr>
      <w:tabs>
        <w:tab w:val="right" w:pos="1213"/>
      </w:tabs>
      <w:spacing w:before="40" w:line="240" w:lineRule="atLeast"/>
      <w:ind w:left="1452" w:hanging="1452"/>
    </w:pPr>
    <w:rPr>
      <w:sz w:val="20"/>
    </w:rPr>
  </w:style>
  <w:style w:type="paragraph" w:customStyle="1" w:styleId="CTACAPS">
    <w:name w:val="CTA CAPS"/>
    <w:basedOn w:val="OPCParaBase"/>
    <w:rsid w:val="0011747E"/>
    <w:pPr>
      <w:spacing w:before="60" w:line="240" w:lineRule="atLeast"/>
    </w:pPr>
    <w:rPr>
      <w:sz w:val="20"/>
    </w:rPr>
  </w:style>
  <w:style w:type="paragraph" w:customStyle="1" w:styleId="CTAright">
    <w:name w:val="CTA right"/>
    <w:basedOn w:val="OPCParaBase"/>
    <w:rsid w:val="0011747E"/>
    <w:pPr>
      <w:spacing w:before="60" w:line="240" w:lineRule="auto"/>
      <w:jc w:val="right"/>
    </w:pPr>
    <w:rPr>
      <w:sz w:val="20"/>
    </w:rPr>
  </w:style>
  <w:style w:type="paragraph" w:customStyle="1" w:styleId="subsection">
    <w:name w:val="subsection"/>
    <w:aliases w:val="ss"/>
    <w:basedOn w:val="OPCParaBase"/>
    <w:link w:val="subsectionChar"/>
    <w:rsid w:val="0011747E"/>
    <w:pPr>
      <w:tabs>
        <w:tab w:val="right" w:pos="1021"/>
      </w:tabs>
      <w:spacing w:before="180" w:line="240" w:lineRule="auto"/>
      <w:ind w:left="1134" w:hanging="1134"/>
    </w:pPr>
  </w:style>
  <w:style w:type="paragraph" w:customStyle="1" w:styleId="Definition">
    <w:name w:val="Definition"/>
    <w:aliases w:val="dd"/>
    <w:basedOn w:val="OPCParaBase"/>
    <w:rsid w:val="0011747E"/>
    <w:pPr>
      <w:spacing w:before="180" w:line="240" w:lineRule="auto"/>
      <w:ind w:left="1134"/>
    </w:pPr>
  </w:style>
  <w:style w:type="paragraph" w:customStyle="1" w:styleId="ETAsubitem">
    <w:name w:val="ETA(subitem)"/>
    <w:basedOn w:val="OPCParaBase"/>
    <w:rsid w:val="0011747E"/>
    <w:pPr>
      <w:tabs>
        <w:tab w:val="right" w:pos="340"/>
      </w:tabs>
      <w:spacing w:before="60" w:line="240" w:lineRule="auto"/>
      <w:ind w:left="454" w:hanging="454"/>
    </w:pPr>
    <w:rPr>
      <w:sz w:val="20"/>
    </w:rPr>
  </w:style>
  <w:style w:type="paragraph" w:customStyle="1" w:styleId="ETApara">
    <w:name w:val="ETA(para)"/>
    <w:basedOn w:val="OPCParaBase"/>
    <w:rsid w:val="0011747E"/>
    <w:pPr>
      <w:tabs>
        <w:tab w:val="right" w:pos="754"/>
      </w:tabs>
      <w:spacing w:before="60" w:line="240" w:lineRule="auto"/>
      <w:ind w:left="828" w:hanging="828"/>
    </w:pPr>
    <w:rPr>
      <w:sz w:val="20"/>
    </w:rPr>
  </w:style>
  <w:style w:type="paragraph" w:customStyle="1" w:styleId="ETAsubpara">
    <w:name w:val="ETA(subpara)"/>
    <w:basedOn w:val="OPCParaBase"/>
    <w:rsid w:val="0011747E"/>
    <w:pPr>
      <w:tabs>
        <w:tab w:val="right" w:pos="1083"/>
      </w:tabs>
      <w:spacing w:before="60" w:line="240" w:lineRule="auto"/>
      <w:ind w:left="1191" w:hanging="1191"/>
    </w:pPr>
    <w:rPr>
      <w:sz w:val="20"/>
    </w:rPr>
  </w:style>
  <w:style w:type="paragraph" w:customStyle="1" w:styleId="ETAsub-subpara">
    <w:name w:val="ETA(sub-subpara)"/>
    <w:basedOn w:val="OPCParaBase"/>
    <w:rsid w:val="0011747E"/>
    <w:pPr>
      <w:tabs>
        <w:tab w:val="right" w:pos="1412"/>
      </w:tabs>
      <w:spacing w:before="60" w:line="240" w:lineRule="auto"/>
      <w:ind w:left="1525" w:hanging="1525"/>
    </w:pPr>
    <w:rPr>
      <w:sz w:val="20"/>
    </w:rPr>
  </w:style>
  <w:style w:type="paragraph" w:customStyle="1" w:styleId="Formula">
    <w:name w:val="Formula"/>
    <w:basedOn w:val="OPCParaBase"/>
    <w:rsid w:val="0011747E"/>
    <w:pPr>
      <w:spacing w:line="240" w:lineRule="auto"/>
      <w:ind w:left="1134"/>
    </w:pPr>
    <w:rPr>
      <w:sz w:val="20"/>
    </w:rPr>
  </w:style>
  <w:style w:type="paragraph" w:styleId="Header">
    <w:name w:val="header"/>
    <w:basedOn w:val="OPCParaBase"/>
    <w:link w:val="HeaderChar"/>
    <w:unhideWhenUsed/>
    <w:rsid w:val="0011747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747E"/>
    <w:rPr>
      <w:rFonts w:eastAsia="Times New Roman" w:cs="Times New Roman"/>
      <w:sz w:val="16"/>
      <w:lang w:eastAsia="en-AU"/>
    </w:rPr>
  </w:style>
  <w:style w:type="paragraph" w:customStyle="1" w:styleId="House">
    <w:name w:val="House"/>
    <w:basedOn w:val="OPCParaBase"/>
    <w:rsid w:val="0011747E"/>
    <w:pPr>
      <w:spacing w:line="240" w:lineRule="auto"/>
    </w:pPr>
    <w:rPr>
      <w:sz w:val="28"/>
    </w:rPr>
  </w:style>
  <w:style w:type="paragraph" w:customStyle="1" w:styleId="Item">
    <w:name w:val="Item"/>
    <w:aliases w:val="i"/>
    <w:basedOn w:val="OPCParaBase"/>
    <w:next w:val="ItemHead"/>
    <w:rsid w:val="0011747E"/>
    <w:pPr>
      <w:keepLines/>
      <w:spacing w:before="80" w:line="240" w:lineRule="auto"/>
      <w:ind w:left="709"/>
    </w:pPr>
  </w:style>
  <w:style w:type="paragraph" w:customStyle="1" w:styleId="ItemHead">
    <w:name w:val="ItemHead"/>
    <w:aliases w:val="ih"/>
    <w:basedOn w:val="OPCParaBase"/>
    <w:next w:val="Item"/>
    <w:rsid w:val="0011747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1747E"/>
    <w:pPr>
      <w:spacing w:line="240" w:lineRule="auto"/>
    </w:pPr>
    <w:rPr>
      <w:b/>
      <w:sz w:val="32"/>
    </w:rPr>
  </w:style>
  <w:style w:type="paragraph" w:customStyle="1" w:styleId="notedraft">
    <w:name w:val="note(draft)"/>
    <w:aliases w:val="nd"/>
    <w:basedOn w:val="OPCParaBase"/>
    <w:rsid w:val="0011747E"/>
    <w:pPr>
      <w:spacing w:before="240" w:line="240" w:lineRule="auto"/>
      <w:ind w:left="284" w:hanging="284"/>
    </w:pPr>
    <w:rPr>
      <w:i/>
      <w:sz w:val="24"/>
    </w:rPr>
  </w:style>
  <w:style w:type="paragraph" w:customStyle="1" w:styleId="notemargin">
    <w:name w:val="note(margin)"/>
    <w:aliases w:val="nm"/>
    <w:basedOn w:val="OPCParaBase"/>
    <w:rsid w:val="0011747E"/>
    <w:pPr>
      <w:tabs>
        <w:tab w:val="left" w:pos="709"/>
      </w:tabs>
      <w:spacing w:before="122" w:line="198" w:lineRule="exact"/>
      <w:ind w:left="709" w:hanging="709"/>
    </w:pPr>
    <w:rPr>
      <w:sz w:val="18"/>
    </w:rPr>
  </w:style>
  <w:style w:type="paragraph" w:customStyle="1" w:styleId="noteToPara">
    <w:name w:val="noteToPara"/>
    <w:aliases w:val="ntp"/>
    <w:basedOn w:val="OPCParaBase"/>
    <w:rsid w:val="0011747E"/>
    <w:pPr>
      <w:spacing w:before="122" w:line="198" w:lineRule="exact"/>
      <w:ind w:left="2353" w:hanging="709"/>
    </w:pPr>
    <w:rPr>
      <w:sz w:val="18"/>
    </w:rPr>
  </w:style>
  <w:style w:type="paragraph" w:customStyle="1" w:styleId="noteParlAmend">
    <w:name w:val="note(ParlAmend)"/>
    <w:aliases w:val="npp"/>
    <w:basedOn w:val="OPCParaBase"/>
    <w:next w:val="ParlAmend"/>
    <w:rsid w:val="0011747E"/>
    <w:pPr>
      <w:spacing w:line="240" w:lineRule="auto"/>
      <w:jc w:val="right"/>
    </w:pPr>
    <w:rPr>
      <w:rFonts w:ascii="Arial" w:hAnsi="Arial"/>
      <w:b/>
      <w:i/>
    </w:rPr>
  </w:style>
  <w:style w:type="paragraph" w:customStyle="1" w:styleId="Page1">
    <w:name w:val="Page1"/>
    <w:basedOn w:val="OPCParaBase"/>
    <w:rsid w:val="0011747E"/>
    <w:pPr>
      <w:spacing w:before="5600" w:line="240" w:lineRule="auto"/>
    </w:pPr>
    <w:rPr>
      <w:b/>
      <w:sz w:val="32"/>
    </w:rPr>
  </w:style>
  <w:style w:type="paragraph" w:customStyle="1" w:styleId="PageBreak">
    <w:name w:val="PageBreak"/>
    <w:aliases w:val="pb"/>
    <w:basedOn w:val="OPCParaBase"/>
    <w:rsid w:val="0011747E"/>
    <w:pPr>
      <w:spacing w:line="240" w:lineRule="auto"/>
    </w:pPr>
    <w:rPr>
      <w:sz w:val="20"/>
    </w:rPr>
  </w:style>
  <w:style w:type="paragraph" w:customStyle="1" w:styleId="paragraphsub">
    <w:name w:val="paragraph(sub)"/>
    <w:aliases w:val="aa"/>
    <w:basedOn w:val="OPCParaBase"/>
    <w:rsid w:val="0011747E"/>
    <w:pPr>
      <w:tabs>
        <w:tab w:val="right" w:pos="1985"/>
      </w:tabs>
      <w:spacing w:before="40" w:line="240" w:lineRule="auto"/>
      <w:ind w:left="2098" w:hanging="2098"/>
    </w:pPr>
  </w:style>
  <w:style w:type="paragraph" w:customStyle="1" w:styleId="paragraphsub-sub">
    <w:name w:val="paragraph(sub-sub)"/>
    <w:aliases w:val="aaa"/>
    <w:basedOn w:val="OPCParaBase"/>
    <w:rsid w:val="0011747E"/>
    <w:pPr>
      <w:tabs>
        <w:tab w:val="right" w:pos="2722"/>
      </w:tabs>
      <w:spacing w:before="40" w:line="240" w:lineRule="auto"/>
      <w:ind w:left="2835" w:hanging="2835"/>
    </w:pPr>
  </w:style>
  <w:style w:type="paragraph" w:customStyle="1" w:styleId="paragraph">
    <w:name w:val="paragraph"/>
    <w:aliases w:val="a"/>
    <w:basedOn w:val="OPCParaBase"/>
    <w:link w:val="paragraphChar"/>
    <w:rsid w:val="0011747E"/>
    <w:pPr>
      <w:tabs>
        <w:tab w:val="right" w:pos="1531"/>
      </w:tabs>
      <w:spacing w:before="40" w:line="240" w:lineRule="auto"/>
      <w:ind w:left="1644" w:hanging="1644"/>
    </w:pPr>
  </w:style>
  <w:style w:type="paragraph" w:customStyle="1" w:styleId="ParlAmend">
    <w:name w:val="ParlAmend"/>
    <w:aliases w:val="pp"/>
    <w:basedOn w:val="OPCParaBase"/>
    <w:rsid w:val="0011747E"/>
    <w:pPr>
      <w:spacing w:before="240" w:line="240" w:lineRule="atLeast"/>
      <w:ind w:hanging="567"/>
    </w:pPr>
    <w:rPr>
      <w:sz w:val="24"/>
    </w:rPr>
  </w:style>
  <w:style w:type="paragraph" w:customStyle="1" w:styleId="Penalty">
    <w:name w:val="Penalty"/>
    <w:basedOn w:val="OPCParaBase"/>
    <w:rsid w:val="0011747E"/>
    <w:pPr>
      <w:tabs>
        <w:tab w:val="left" w:pos="2977"/>
      </w:tabs>
      <w:spacing w:before="180" w:line="240" w:lineRule="auto"/>
      <w:ind w:left="1985" w:hanging="851"/>
    </w:pPr>
  </w:style>
  <w:style w:type="paragraph" w:customStyle="1" w:styleId="Portfolio">
    <w:name w:val="Portfolio"/>
    <w:basedOn w:val="OPCParaBase"/>
    <w:rsid w:val="0011747E"/>
    <w:pPr>
      <w:spacing w:line="240" w:lineRule="auto"/>
    </w:pPr>
    <w:rPr>
      <w:i/>
      <w:sz w:val="20"/>
    </w:rPr>
  </w:style>
  <w:style w:type="paragraph" w:customStyle="1" w:styleId="Preamble">
    <w:name w:val="Preamble"/>
    <w:basedOn w:val="OPCParaBase"/>
    <w:next w:val="Normal"/>
    <w:rsid w:val="0011747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747E"/>
    <w:pPr>
      <w:spacing w:line="240" w:lineRule="auto"/>
    </w:pPr>
    <w:rPr>
      <w:i/>
      <w:sz w:val="20"/>
    </w:rPr>
  </w:style>
  <w:style w:type="paragraph" w:customStyle="1" w:styleId="Session">
    <w:name w:val="Session"/>
    <w:basedOn w:val="OPCParaBase"/>
    <w:rsid w:val="0011747E"/>
    <w:pPr>
      <w:spacing w:line="240" w:lineRule="auto"/>
    </w:pPr>
    <w:rPr>
      <w:sz w:val="28"/>
    </w:rPr>
  </w:style>
  <w:style w:type="paragraph" w:customStyle="1" w:styleId="Sponsor">
    <w:name w:val="Sponsor"/>
    <w:basedOn w:val="OPCParaBase"/>
    <w:rsid w:val="0011747E"/>
    <w:pPr>
      <w:spacing w:line="240" w:lineRule="auto"/>
    </w:pPr>
    <w:rPr>
      <w:i/>
    </w:rPr>
  </w:style>
  <w:style w:type="paragraph" w:customStyle="1" w:styleId="Subitem">
    <w:name w:val="Subitem"/>
    <w:aliases w:val="iss"/>
    <w:basedOn w:val="OPCParaBase"/>
    <w:rsid w:val="0011747E"/>
    <w:pPr>
      <w:spacing w:before="180" w:line="240" w:lineRule="auto"/>
      <w:ind w:left="709" w:hanging="709"/>
    </w:pPr>
  </w:style>
  <w:style w:type="paragraph" w:customStyle="1" w:styleId="SubitemHead">
    <w:name w:val="SubitemHead"/>
    <w:aliases w:val="issh"/>
    <w:basedOn w:val="OPCParaBase"/>
    <w:rsid w:val="0011747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1747E"/>
    <w:pPr>
      <w:spacing w:before="40" w:line="240" w:lineRule="auto"/>
      <w:ind w:left="1134"/>
    </w:pPr>
  </w:style>
  <w:style w:type="paragraph" w:customStyle="1" w:styleId="SubsectionHead">
    <w:name w:val="SubsectionHead"/>
    <w:aliases w:val="ssh"/>
    <w:basedOn w:val="OPCParaBase"/>
    <w:next w:val="subsection"/>
    <w:rsid w:val="0011747E"/>
    <w:pPr>
      <w:keepNext/>
      <w:keepLines/>
      <w:spacing w:before="240" w:line="240" w:lineRule="auto"/>
      <w:ind w:left="1134"/>
    </w:pPr>
    <w:rPr>
      <w:i/>
    </w:rPr>
  </w:style>
  <w:style w:type="paragraph" w:customStyle="1" w:styleId="Tablea">
    <w:name w:val="Table(a)"/>
    <w:aliases w:val="ta"/>
    <w:basedOn w:val="OPCParaBase"/>
    <w:rsid w:val="0011747E"/>
    <w:pPr>
      <w:spacing w:before="60" w:line="240" w:lineRule="auto"/>
      <w:ind w:left="284" w:hanging="284"/>
    </w:pPr>
    <w:rPr>
      <w:sz w:val="20"/>
    </w:rPr>
  </w:style>
  <w:style w:type="paragraph" w:customStyle="1" w:styleId="TableAA">
    <w:name w:val="Table(AA)"/>
    <w:aliases w:val="taaa"/>
    <w:basedOn w:val="OPCParaBase"/>
    <w:rsid w:val="0011747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747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747E"/>
    <w:pPr>
      <w:spacing w:before="60" w:line="240" w:lineRule="atLeast"/>
    </w:pPr>
    <w:rPr>
      <w:sz w:val="20"/>
    </w:rPr>
  </w:style>
  <w:style w:type="paragraph" w:customStyle="1" w:styleId="TLPBoxTextnote">
    <w:name w:val="TLPBoxText(note"/>
    <w:aliases w:val="right)"/>
    <w:basedOn w:val="OPCParaBase"/>
    <w:rsid w:val="0011747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747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1747E"/>
    <w:pPr>
      <w:spacing w:before="122" w:line="198" w:lineRule="exact"/>
      <w:ind w:left="1985" w:hanging="851"/>
      <w:jc w:val="right"/>
    </w:pPr>
    <w:rPr>
      <w:sz w:val="18"/>
    </w:rPr>
  </w:style>
  <w:style w:type="paragraph" w:customStyle="1" w:styleId="TLPTableBullet">
    <w:name w:val="TLPTableBullet"/>
    <w:aliases w:val="ttb"/>
    <w:basedOn w:val="OPCParaBase"/>
    <w:rsid w:val="0011747E"/>
    <w:pPr>
      <w:spacing w:line="240" w:lineRule="exact"/>
      <w:ind w:left="284" w:hanging="284"/>
    </w:pPr>
    <w:rPr>
      <w:sz w:val="20"/>
    </w:rPr>
  </w:style>
  <w:style w:type="paragraph" w:styleId="TOC1">
    <w:name w:val="toc 1"/>
    <w:basedOn w:val="OPCParaBase"/>
    <w:next w:val="Normal"/>
    <w:uiPriority w:val="39"/>
    <w:semiHidden/>
    <w:unhideWhenUsed/>
    <w:rsid w:val="0011747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1747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1747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1747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1747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1747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1747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1747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1747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1747E"/>
    <w:pPr>
      <w:keepLines/>
      <w:spacing w:before="240" w:after="120" w:line="240" w:lineRule="auto"/>
      <w:ind w:left="794"/>
    </w:pPr>
    <w:rPr>
      <w:b/>
      <w:kern w:val="28"/>
      <w:sz w:val="20"/>
    </w:rPr>
  </w:style>
  <w:style w:type="paragraph" w:customStyle="1" w:styleId="TofSectsHeading">
    <w:name w:val="TofSects(Heading)"/>
    <w:basedOn w:val="OPCParaBase"/>
    <w:rsid w:val="0011747E"/>
    <w:pPr>
      <w:spacing w:before="240" w:after="120" w:line="240" w:lineRule="auto"/>
    </w:pPr>
    <w:rPr>
      <w:b/>
      <w:sz w:val="24"/>
    </w:rPr>
  </w:style>
  <w:style w:type="paragraph" w:customStyle="1" w:styleId="TofSectsSection">
    <w:name w:val="TofSects(Section)"/>
    <w:basedOn w:val="OPCParaBase"/>
    <w:rsid w:val="0011747E"/>
    <w:pPr>
      <w:keepLines/>
      <w:spacing w:before="40" w:line="240" w:lineRule="auto"/>
      <w:ind w:left="1588" w:hanging="794"/>
    </w:pPr>
    <w:rPr>
      <w:kern w:val="28"/>
      <w:sz w:val="18"/>
    </w:rPr>
  </w:style>
  <w:style w:type="paragraph" w:customStyle="1" w:styleId="TofSectsSubdiv">
    <w:name w:val="TofSects(Subdiv)"/>
    <w:basedOn w:val="OPCParaBase"/>
    <w:rsid w:val="0011747E"/>
    <w:pPr>
      <w:keepLines/>
      <w:spacing w:before="80" w:line="240" w:lineRule="auto"/>
      <w:ind w:left="1588" w:hanging="794"/>
    </w:pPr>
    <w:rPr>
      <w:kern w:val="28"/>
    </w:rPr>
  </w:style>
  <w:style w:type="paragraph" w:customStyle="1" w:styleId="WRStyle">
    <w:name w:val="WR Style"/>
    <w:aliases w:val="WR"/>
    <w:basedOn w:val="OPCParaBase"/>
    <w:rsid w:val="0011747E"/>
    <w:pPr>
      <w:spacing w:before="240" w:line="240" w:lineRule="auto"/>
      <w:ind w:left="284" w:hanging="284"/>
    </w:pPr>
    <w:rPr>
      <w:b/>
      <w:i/>
      <w:kern w:val="28"/>
      <w:sz w:val="24"/>
    </w:rPr>
  </w:style>
  <w:style w:type="paragraph" w:customStyle="1" w:styleId="notepara">
    <w:name w:val="note(para)"/>
    <w:aliases w:val="na"/>
    <w:basedOn w:val="OPCParaBase"/>
    <w:rsid w:val="0011747E"/>
    <w:pPr>
      <w:spacing w:before="40" w:line="198" w:lineRule="exact"/>
      <w:ind w:left="2354" w:hanging="369"/>
    </w:pPr>
    <w:rPr>
      <w:sz w:val="18"/>
    </w:rPr>
  </w:style>
  <w:style w:type="paragraph" w:styleId="Footer">
    <w:name w:val="footer"/>
    <w:link w:val="FooterChar"/>
    <w:rsid w:val="0011747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1747E"/>
    <w:rPr>
      <w:rFonts w:eastAsia="Times New Roman" w:cs="Times New Roman"/>
      <w:sz w:val="22"/>
      <w:szCs w:val="24"/>
      <w:lang w:eastAsia="en-AU"/>
    </w:rPr>
  </w:style>
  <w:style w:type="character" w:styleId="LineNumber">
    <w:name w:val="line number"/>
    <w:basedOn w:val="OPCCharBase"/>
    <w:uiPriority w:val="99"/>
    <w:semiHidden/>
    <w:unhideWhenUsed/>
    <w:rsid w:val="0011747E"/>
    <w:rPr>
      <w:sz w:val="16"/>
    </w:rPr>
  </w:style>
  <w:style w:type="table" w:customStyle="1" w:styleId="CFlag">
    <w:name w:val="CFlag"/>
    <w:basedOn w:val="TableNormal"/>
    <w:uiPriority w:val="99"/>
    <w:rsid w:val="0011747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74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47E"/>
    <w:rPr>
      <w:rFonts w:ascii="Tahoma" w:hAnsi="Tahoma" w:cs="Tahoma"/>
      <w:sz w:val="16"/>
      <w:szCs w:val="16"/>
    </w:rPr>
  </w:style>
  <w:style w:type="character" w:styleId="Hyperlink">
    <w:name w:val="Hyperlink"/>
    <w:basedOn w:val="DefaultParagraphFont"/>
    <w:rsid w:val="0011747E"/>
    <w:rPr>
      <w:color w:val="0000FF"/>
      <w:u w:val="single"/>
    </w:rPr>
  </w:style>
  <w:style w:type="table" w:styleId="TableGrid">
    <w:name w:val="Table Grid"/>
    <w:basedOn w:val="TableNormal"/>
    <w:uiPriority w:val="59"/>
    <w:rsid w:val="00117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1747E"/>
    <w:rPr>
      <w:b/>
      <w:sz w:val="28"/>
      <w:szCs w:val="32"/>
    </w:rPr>
  </w:style>
  <w:style w:type="paragraph" w:customStyle="1" w:styleId="TerritoryT">
    <w:name w:val="TerritoryT"/>
    <w:basedOn w:val="OPCParaBase"/>
    <w:next w:val="Normal"/>
    <w:rsid w:val="0011747E"/>
    <w:rPr>
      <w:b/>
      <w:sz w:val="32"/>
    </w:rPr>
  </w:style>
  <w:style w:type="paragraph" w:customStyle="1" w:styleId="LegislationMadeUnder">
    <w:name w:val="LegislationMadeUnder"/>
    <w:basedOn w:val="OPCParaBase"/>
    <w:next w:val="Normal"/>
    <w:rsid w:val="0011747E"/>
    <w:rPr>
      <w:i/>
      <w:sz w:val="32"/>
      <w:szCs w:val="32"/>
    </w:rPr>
  </w:style>
  <w:style w:type="paragraph" w:customStyle="1" w:styleId="SignCoverPageEnd">
    <w:name w:val="SignCoverPageEnd"/>
    <w:basedOn w:val="OPCParaBase"/>
    <w:next w:val="Normal"/>
    <w:rsid w:val="0011747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1747E"/>
    <w:pPr>
      <w:pBdr>
        <w:top w:val="single" w:sz="4" w:space="1" w:color="auto"/>
      </w:pBdr>
      <w:spacing w:before="360"/>
      <w:ind w:right="397"/>
      <w:jc w:val="both"/>
    </w:pPr>
  </w:style>
  <w:style w:type="paragraph" w:customStyle="1" w:styleId="NotesHeading1">
    <w:name w:val="NotesHeading 1"/>
    <w:basedOn w:val="OPCParaBase"/>
    <w:next w:val="Normal"/>
    <w:rsid w:val="0011747E"/>
    <w:rPr>
      <w:b/>
      <w:sz w:val="28"/>
      <w:szCs w:val="28"/>
    </w:rPr>
  </w:style>
  <w:style w:type="paragraph" w:customStyle="1" w:styleId="NotesHeading2">
    <w:name w:val="NotesHeading 2"/>
    <w:basedOn w:val="OPCParaBase"/>
    <w:next w:val="Normal"/>
    <w:rsid w:val="0011747E"/>
    <w:rPr>
      <w:b/>
      <w:sz w:val="28"/>
      <w:szCs w:val="28"/>
    </w:rPr>
  </w:style>
  <w:style w:type="paragraph" w:customStyle="1" w:styleId="ENotesText">
    <w:name w:val="ENotesText"/>
    <w:basedOn w:val="OPCParaBase"/>
    <w:next w:val="Normal"/>
    <w:rsid w:val="0011747E"/>
  </w:style>
  <w:style w:type="paragraph" w:customStyle="1" w:styleId="CompiledActNo">
    <w:name w:val="CompiledActNo"/>
    <w:basedOn w:val="OPCParaBase"/>
    <w:next w:val="Normal"/>
    <w:rsid w:val="0011747E"/>
    <w:rPr>
      <w:b/>
      <w:sz w:val="24"/>
      <w:szCs w:val="24"/>
    </w:rPr>
  </w:style>
  <w:style w:type="paragraph" w:customStyle="1" w:styleId="CompiledMadeUnder">
    <w:name w:val="CompiledMadeUnder"/>
    <w:basedOn w:val="OPCParaBase"/>
    <w:next w:val="Normal"/>
    <w:rsid w:val="0011747E"/>
    <w:rPr>
      <w:i/>
      <w:sz w:val="24"/>
      <w:szCs w:val="24"/>
    </w:rPr>
  </w:style>
  <w:style w:type="paragraph" w:customStyle="1" w:styleId="Paragraphsub-sub-sub">
    <w:name w:val="Paragraph(sub-sub-sub)"/>
    <w:aliases w:val="aaaa"/>
    <w:basedOn w:val="OPCParaBase"/>
    <w:rsid w:val="0011747E"/>
    <w:pPr>
      <w:tabs>
        <w:tab w:val="right" w:pos="3402"/>
      </w:tabs>
      <w:spacing w:before="40" w:line="240" w:lineRule="auto"/>
      <w:ind w:left="3402" w:hanging="3402"/>
    </w:pPr>
  </w:style>
  <w:style w:type="paragraph" w:customStyle="1" w:styleId="NoteToSubpara">
    <w:name w:val="NoteToSubpara"/>
    <w:aliases w:val="nts"/>
    <w:basedOn w:val="OPCParaBase"/>
    <w:rsid w:val="0011747E"/>
    <w:pPr>
      <w:spacing w:before="40" w:line="198" w:lineRule="exact"/>
      <w:ind w:left="2835" w:hanging="709"/>
    </w:pPr>
    <w:rPr>
      <w:sz w:val="18"/>
    </w:rPr>
  </w:style>
  <w:style w:type="paragraph" w:customStyle="1" w:styleId="EndNotespara">
    <w:name w:val="EndNotes(para)"/>
    <w:aliases w:val="eta"/>
    <w:basedOn w:val="OPCParaBase"/>
    <w:next w:val="Normal"/>
    <w:rsid w:val="0011747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1747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1747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1747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1747E"/>
    <w:pPr>
      <w:keepNext/>
      <w:spacing w:before="60" w:line="240" w:lineRule="atLeast"/>
    </w:pPr>
    <w:rPr>
      <w:rFonts w:ascii="Arial" w:hAnsi="Arial"/>
      <w:b/>
      <w:sz w:val="16"/>
    </w:rPr>
  </w:style>
  <w:style w:type="paragraph" w:customStyle="1" w:styleId="ENoteTTi">
    <w:name w:val="ENoteTTi"/>
    <w:aliases w:val="entti"/>
    <w:basedOn w:val="OPCParaBase"/>
    <w:rsid w:val="0011747E"/>
    <w:pPr>
      <w:keepNext/>
      <w:spacing w:before="60" w:line="240" w:lineRule="atLeast"/>
      <w:ind w:left="170"/>
    </w:pPr>
    <w:rPr>
      <w:sz w:val="16"/>
    </w:rPr>
  </w:style>
  <w:style w:type="paragraph" w:customStyle="1" w:styleId="ENotesHeading1">
    <w:name w:val="ENotesHeading 1"/>
    <w:aliases w:val="Enh1"/>
    <w:basedOn w:val="OPCParaBase"/>
    <w:next w:val="Normal"/>
    <w:rsid w:val="0011747E"/>
    <w:pPr>
      <w:spacing w:before="120"/>
      <w:outlineLvl w:val="1"/>
    </w:pPr>
    <w:rPr>
      <w:b/>
      <w:sz w:val="28"/>
      <w:szCs w:val="28"/>
    </w:rPr>
  </w:style>
  <w:style w:type="paragraph" w:customStyle="1" w:styleId="ENotesHeading2">
    <w:name w:val="ENotesHeading 2"/>
    <w:aliases w:val="Enh2"/>
    <w:basedOn w:val="OPCParaBase"/>
    <w:next w:val="Normal"/>
    <w:rsid w:val="0011747E"/>
    <w:pPr>
      <w:spacing w:before="120" w:after="120"/>
      <w:outlineLvl w:val="2"/>
    </w:pPr>
    <w:rPr>
      <w:b/>
      <w:sz w:val="24"/>
      <w:szCs w:val="28"/>
    </w:rPr>
  </w:style>
  <w:style w:type="paragraph" w:customStyle="1" w:styleId="ENoteTTIndentHeading">
    <w:name w:val="ENoteTTIndentHeading"/>
    <w:aliases w:val="enTTHi"/>
    <w:basedOn w:val="OPCParaBase"/>
    <w:rsid w:val="0011747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1747E"/>
    <w:pPr>
      <w:spacing w:before="60" w:line="240" w:lineRule="atLeast"/>
    </w:pPr>
    <w:rPr>
      <w:sz w:val="16"/>
    </w:rPr>
  </w:style>
  <w:style w:type="paragraph" w:customStyle="1" w:styleId="MadeunderText">
    <w:name w:val="MadeunderText"/>
    <w:basedOn w:val="OPCParaBase"/>
    <w:next w:val="CompiledMadeUnder"/>
    <w:rsid w:val="0011747E"/>
    <w:pPr>
      <w:spacing w:before="240"/>
    </w:pPr>
    <w:rPr>
      <w:sz w:val="24"/>
      <w:szCs w:val="24"/>
    </w:rPr>
  </w:style>
  <w:style w:type="paragraph" w:customStyle="1" w:styleId="ENotesHeading3">
    <w:name w:val="ENotesHeading 3"/>
    <w:aliases w:val="Enh3"/>
    <w:basedOn w:val="OPCParaBase"/>
    <w:next w:val="Normal"/>
    <w:rsid w:val="0011747E"/>
    <w:pPr>
      <w:keepNext/>
      <w:spacing w:before="120" w:line="240" w:lineRule="auto"/>
      <w:outlineLvl w:val="4"/>
    </w:pPr>
    <w:rPr>
      <w:b/>
      <w:szCs w:val="24"/>
    </w:rPr>
  </w:style>
  <w:style w:type="paragraph" w:customStyle="1" w:styleId="SubPartCASA">
    <w:name w:val="SubPart(CASA)"/>
    <w:aliases w:val="csp"/>
    <w:basedOn w:val="OPCParaBase"/>
    <w:next w:val="ActHead3"/>
    <w:rsid w:val="0011747E"/>
    <w:pPr>
      <w:keepNext/>
      <w:keepLines/>
      <w:spacing w:before="280"/>
      <w:outlineLvl w:val="1"/>
    </w:pPr>
    <w:rPr>
      <w:b/>
      <w:kern w:val="28"/>
      <w:sz w:val="32"/>
    </w:rPr>
  </w:style>
  <w:style w:type="character" w:customStyle="1" w:styleId="CharSubPartTextCASA">
    <w:name w:val="CharSubPartText(CASA)"/>
    <w:basedOn w:val="OPCCharBase"/>
    <w:uiPriority w:val="1"/>
    <w:rsid w:val="0011747E"/>
  </w:style>
  <w:style w:type="character" w:customStyle="1" w:styleId="CharSubPartNoCASA">
    <w:name w:val="CharSubPartNo(CASA)"/>
    <w:basedOn w:val="OPCCharBase"/>
    <w:uiPriority w:val="1"/>
    <w:rsid w:val="0011747E"/>
  </w:style>
  <w:style w:type="paragraph" w:customStyle="1" w:styleId="ENoteTTIndentHeadingSub">
    <w:name w:val="ENoteTTIndentHeadingSub"/>
    <w:aliases w:val="enTTHis"/>
    <w:basedOn w:val="OPCParaBase"/>
    <w:rsid w:val="0011747E"/>
    <w:pPr>
      <w:keepNext/>
      <w:spacing w:before="60" w:line="240" w:lineRule="atLeast"/>
      <w:ind w:left="340"/>
    </w:pPr>
    <w:rPr>
      <w:b/>
      <w:sz w:val="16"/>
    </w:rPr>
  </w:style>
  <w:style w:type="paragraph" w:customStyle="1" w:styleId="ENoteTTiSub">
    <w:name w:val="ENoteTTiSub"/>
    <w:aliases w:val="enttis"/>
    <w:basedOn w:val="OPCParaBase"/>
    <w:rsid w:val="0011747E"/>
    <w:pPr>
      <w:keepNext/>
      <w:spacing w:before="60" w:line="240" w:lineRule="atLeast"/>
      <w:ind w:left="340"/>
    </w:pPr>
    <w:rPr>
      <w:sz w:val="16"/>
    </w:rPr>
  </w:style>
  <w:style w:type="paragraph" w:customStyle="1" w:styleId="SubDivisionMigration">
    <w:name w:val="SubDivisionMigration"/>
    <w:aliases w:val="sdm"/>
    <w:basedOn w:val="OPCParaBase"/>
    <w:rsid w:val="0011747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1747E"/>
    <w:pPr>
      <w:keepNext/>
      <w:keepLines/>
      <w:spacing w:before="240" w:line="240" w:lineRule="auto"/>
      <w:ind w:left="1134" w:hanging="1134"/>
    </w:pPr>
    <w:rPr>
      <w:b/>
      <w:sz w:val="28"/>
    </w:rPr>
  </w:style>
  <w:style w:type="paragraph" w:customStyle="1" w:styleId="notetext">
    <w:name w:val="note(text)"/>
    <w:aliases w:val="n"/>
    <w:basedOn w:val="OPCParaBase"/>
    <w:rsid w:val="0011747E"/>
    <w:pPr>
      <w:spacing w:before="122" w:line="240" w:lineRule="auto"/>
      <w:ind w:left="1985" w:hanging="851"/>
    </w:pPr>
    <w:rPr>
      <w:sz w:val="18"/>
    </w:rPr>
  </w:style>
  <w:style w:type="paragraph" w:customStyle="1" w:styleId="FreeForm">
    <w:name w:val="FreeForm"/>
    <w:rsid w:val="00B15574"/>
    <w:rPr>
      <w:rFonts w:ascii="Arial" w:hAnsi="Arial"/>
      <w:sz w:val="22"/>
    </w:rPr>
  </w:style>
  <w:style w:type="paragraph" w:customStyle="1" w:styleId="SOText">
    <w:name w:val="SO Text"/>
    <w:aliases w:val="sot"/>
    <w:link w:val="SOTextChar"/>
    <w:rsid w:val="0011747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1747E"/>
    <w:rPr>
      <w:sz w:val="22"/>
    </w:rPr>
  </w:style>
  <w:style w:type="paragraph" w:customStyle="1" w:styleId="SOTextNote">
    <w:name w:val="SO TextNote"/>
    <w:aliases w:val="sont"/>
    <w:basedOn w:val="SOText"/>
    <w:qFormat/>
    <w:rsid w:val="0011747E"/>
    <w:pPr>
      <w:spacing w:before="122" w:line="198" w:lineRule="exact"/>
      <w:ind w:left="1843" w:hanging="709"/>
    </w:pPr>
    <w:rPr>
      <w:sz w:val="18"/>
    </w:rPr>
  </w:style>
  <w:style w:type="paragraph" w:customStyle="1" w:styleId="SOPara">
    <w:name w:val="SO Para"/>
    <w:aliases w:val="soa"/>
    <w:basedOn w:val="SOText"/>
    <w:link w:val="SOParaChar"/>
    <w:qFormat/>
    <w:rsid w:val="0011747E"/>
    <w:pPr>
      <w:tabs>
        <w:tab w:val="right" w:pos="1786"/>
      </w:tabs>
      <w:spacing w:before="40"/>
      <w:ind w:left="2070" w:hanging="936"/>
    </w:pPr>
  </w:style>
  <w:style w:type="character" w:customStyle="1" w:styleId="SOParaChar">
    <w:name w:val="SO Para Char"/>
    <w:aliases w:val="soa Char"/>
    <w:basedOn w:val="DefaultParagraphFont"/>
    <w:link w:val="SOPara"/>
    <w:rsid w:val="0011747E"/>
    <w:rPr>
      <w:sz w:val="22"/>
    </w:rPr>
  </w:style>
  <w:style w:type="paragraph" w:customStyle="1" w:styleId="FileName">
    <w:name w:val="FileName"/>
    <w:basedOn w:val="Normal"/>
    <w:rsid w:val="0011747E"/>
  </w:style>
  <w:style w:type="paragraph" w:customStyle="1" w:styleId="TableHeading">
    <w:name w:val="TableHeading"/>
    <w:aliases w:val="th"/>
    <w:basedOn w:val="OPCParaBase"/>
    <w:next w:val="Tabletext"/>
    <w:rsid w:val="0011747E"/>
    <w:pPr>
      <w:keepNext/>
      <w:spacing w:before="60" w:line="240" w:lineRule="atLeast"/>
    </w:pPr>
    <w:rPr>
      <w:b/>
      <w:sz w:val="20"/>
    </w:rPr>
  </w:style>
  <w:style w:type="paragraph" w:customStyle="1" w:styleId="SOHeadBold">
    <w:name w:val="SO HeadBold"/>
    <w:aliases w:val="sohb"/>
    <w:basedOn w:val="SOText"/>
    <w:next w:val="SOText"/>
    <w:link w:val="SOHeadBoldChar"/>
    <w:qFormat/>
    <w:rsid w:val="0011747E"/>
    <w:rPr>
      <w:b/>
    </w:rPr>
  </w:style>
  <w:style w:type="character" w:customStyle="1" w:styleId="SOHeadBoldChar">
    <w:name w:val="SO HeadBold Char"/>
    <w:aliases w:val="sohb Char"/>
    <w:basedOn w:val="DefaultParagraphFont"/>
    <w:link w:val="SOHeadBold"/>
    <w:rsid w:val="0011747E"/>
    <w:rPr>
      <w:b/>
      <w:sz w:val="22"/>
    </w:rPr>
  </w:style>
  <w:style w:type="paragraph" w:customStyle="1" w:styleId="SOHeadItalic">
    <w:name w:val="SO HeadItalic"/>
    <w:aliases w:val="sohi"/>
    <w:basedOn w:val="SOText"/>
    <w:next w:val="SOText"/>
    <w:link w:val="SOHeadItalicChar"/>
    <w:qFormat/>
    <w:rsid w:val="0011747E"/>
    <w:rPr>
      <w:i/>
    </w:rPr>
  </w:style>
  <w:style w:type="character" w:customStyle="1" w:styleId="SOHeadItalicChar">
    <w:name w:val="SO HeadItalic Char"/>
    <w:aliases w:val="sohi Char"/>
    <w:basedOn w:val="DefaultParagraphFont"/>
    <w:link w:val="SOHeadItalic"/>
    <w:rsid w:val="0011747E"/>
    <w:rPr>
      <w:i/>
      <w:sz w:val="22"/>
    </w:rPr>
  </w:style>
  <w:style w:type="paragraph" w:customStyle="1" w:styleId="SOBullet">
    <w:name w:val="SO Bullet"/>
    <w:aliases w:val="sotb"/>
    <w:basedOn w:val="SOText"/>
    <w:link w:val="SOBulletChar"/>
    <w:qFormat/>
    <w:rsid w:val="0011747E"/>
    <w:pPr>
      <w:ind w:left="1559" w:hanging="425"/>
    </w:pPr>
  </w:style>
  <w:style w:type="character" w:customStyle="1" w:styleId="SOBulletChar">
    <w:name w:val="SO Bullet Char"/>
    <w:aliases w:val="sotb Char"/>
    <w:basedOn w:val="DefaultParagraphFont"/>
    <w:link w:val="SOBullet"/>
    <w:rsid w:val="0011747E"/>
    <w:rPr>
      <w:sz w:val="22"/>
    </w:rPr>
  </w:style>
  <w:style w:type="paragraph" w:customStyle="1" w:styleId="SOBulletNote">
    <w:name w:val="SO BulletNote"/>
    <w:aliases w:val="sonb"/>
    <w:basedOn w:val="SOTextNote"/>
    <w:link w:val="SOBulletNoteChar"/>
    <w:qFormat/>
    <w:rsid w:val="0011747E"/>
    <w:pPr>
      <w:tabs>
        <w:tab w:val="left" w:pos="1560"/>
      </w:tabs>
      <w:ind w:left="2268" w:hanging="1134"/>
    </w:pPr>
  </w:style>
  <w:style w:type="character" w:customStyle="1" w:styleId="SOBulletNoteChar">
    <w:name w:val="SO BulletNote Char"/>
    <w:aliases w:val="sonb Char"/>
    <w:basedOn w:val="DefaultParagraphFont"/>
    <w:link w:val="SOBulletNote"/>
    <w:rsid w:val="0011747E"/>
    <w:rPr>
      <w:sz w:val="18"/>
    </w:rPr>
  </w:style>
  <w:style w:type="paragraph" w:customStyle="1" w:styleId="SOText2">
    <w:name w:val="SO Text2"/>
    <w:aliases w:val="sot2"/>
    <w:basedOn w:val="Normal"/>
    <w:next w:val="SOText"/>
    <w:link w:val="SOText2Char"/>
    <w:rsid w:val="0011747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1747E"/>
    <w:rPr>
      <w:sz w:val="22"/>
    </w:rPr>
  </w:style>
  <w:style w:type="character" w:customStyle="1" w:styleId="subsectionChar">
    <w:name w:val="subsection Char"/>
    <w:aliases w:val="ss Char"/>
    <w:basedOn w:val="DefaultParagraphFont"/>
    <w:link w:val="subsection"/>
    <w:locked/>
    <w:rsid w:val="00A47F33"/>
    <w:rPr>
      <w:rFonts w:eastAsia="Times New Roman" w:cs="Times New Roman"/>
      <w:sz w:val="22"/>
      <w:lang w:eastAsia="en-AU"/>
    </w:rPr>
  </w:style>
  <w:style w:type="character" w:customStyle="1" w:styleId="Heading1Char">
    <w:name w:val="Heading 1 Char"/>
    <w:basedOn w:val="DefaultParagraphFont"/>
    <w:link w:val="Heading1"/>
    <w:uiPriority w:val="9"/>
    <w:rsid w:val="00A47F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47F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47F3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47F3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47F3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47F3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47F3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47F3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47F33"/>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0E6AB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6D0A1-AB55-4132-8B89-344E8153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48</Pages>
  <Words>10732</Words>
  <Characters>51720</Characters>
  <Application>Microsoft Office Word</Application>
  <DocSecurity>0</DocSecurity>
  <PresentationFormat/>
  <Lines>1600</Lines>
  <Paragraphs>957</Paragraphs>
  <ScaleCrop>false</ScaleCrop>
  <HeadingPairs>
    <vt:vector size="2" baseType="variant">
      <vt:variant>
        <vt:lpstr>Title</vt:lpstr>
      </vt:variant>
      <vt:variant>
        <vt:i4>1</vt:i4>
      </vt:variant>
    </vt:vector>
  </HeadingPairs>
  <TitlesOfParts>
    <vt:vector size="1" baseType="lpstr">
      <vt:lpstr>Environment Protection and Biodiversity Conservation Amendment (Cost Recovery) Regulation 2014</vt:lpstr>
    </vt:vector>
  </TitlesOfParts>
  <Manager/>
  <Company/>
  <LinksUpToDate>false</LinksUpToDate>
  <CharactersWithSpaces>61950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2014-08-08T03:56:00Z</cp:lastPrinted>
  <dcterms:created xsi:type="dcterms:W3CDTF">2014-09-01T00:52:00Z</dcterms:created>
  <dcterms:modified xsi:type="dcterms:W3CDTF">2014-09-01T00:52:00Z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130, 2014</vt:lpwstr>
  </property>
  <property fmtid="{D5CDD505-2E9C-101B-9397-08002B2CF9AE}" pid="3" name="ShortT">
    <vt:lpwstr>Environment Protection and Biodiversity Conservation Amendment (Cost Recovery)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04 September 2014</vt:lpwstr>
  </property>
  <property fmtid="{D5CDD505-2E9C-101B-9397-08002B2CF9AE}" pid="10" name="Authority">
    <vt:lpwstr/>
  </property>
  <property fmtid="{D5CDD505-2E9C-101B-9397-08002B2CF9AE}" pid="11" name="ID">
    <vt:lpwstr>OPC60601</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Environment Protection and Biodiversity Conservation Act 1999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04 September 2014</vt:lpwstr>
  </property>
</Properties>
</file>