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B83CE1" w14:textId="77777777" w:rsidR="00F109D4" w:rsidRDefault="00F109D4" w:rsidP="00A12209">
      <w:pPr>
        <w:pStyle w:val="Heading1"/>
      </w:pPr>
      <w:r w:rsidRPr="00503E44">
        <w:t>EXPLANATORY STATEMENT</w:t>
      </w:r>
    </w:p>
    <w:p w14:paraId="1FCDA67E" w14:textId="193A456D" w:rsidR="003E7186" w:rsidRPr="003E7186" w:rsidRDefault="003E7186" w:rsidP="003E7186">
      <w:pPr>
        <w:jc w:val="center"/>
        <w:rPr>
          <w:b/>
        </w:rPr>
      </w:pPr>
      <w:r w:rsidRPr="003E7186">
        <w:rPr>
          <w:b/>
        </w:rPr>
        <w:t>Select Legislative Instrument No. 134, 2014</w:t>
      </w:r>
    </w:p>
    <w:p w14:paraId="094C17C9" w14:textId="304FA7DB" w:rsidR="00F109D4" w:rsidRPr="00DC7BCF" w:rsidRDefault="00F109D4" w:rsidP="00DC7BCF">
      <w:pPr>
        <w:pStyle w:val="Heading2"/>
        <w:jc w:val="center"/>
      </w:pPr>
      <w:r w:rsidRPr="00503E44">
        <w:t xml:space="preserve">Issued by authority of the </w:t>
      </w:r>
      <w:r w:rsidR="005833BE" w:rsidRPr="00503E44">
        <w:t>Treasurer</w:t>
      </w:r>
    </w:p>
    <w:p w14:paraId="4C382819" w14:textId="77777777" w:rsidR="00096D63" w:rsidRDefault="00096D63">
      <w:pPr>
        <w:tabs>
          <w:tab w:val="left" w:pos="1418"/>
        </w:tabs>
        <w:spacing w:after="240"/>
        <w:jc w:val="center"/>
        <w:rPr>
          <w:i/>
        </w:rPr>
      </w:pPr>
      <w:r>
        <w:rPr>
          <w:i/>
        </w:rPr>
        <w:t>Corporations Act 2001</w:t>
      </w:r>
    </w:p>
    <w:p w14:paraId="798A3C2C" w14:textId="216734DB" w:rsidR="00F109D4" w:rsidRPr="00503E44" w:rsidRDefault="00096D63">
      <w:pPr>
        <w:tabs>
          <w:tab w:val="left" w:pos="1418"/>
        </w:tabs>
        <w:spacing w:after="240"/>
        <w:jc w:val="center"/>
        <w:rPr>
          <w:i/>
        </w:rPr>
      </w:pPr>
      <w:bookmarkStart w:id="0" w:name="_GoBack"/>
      <w:r w:rsidRPr="00096D63">
        <w:rPr>
          <w:i/>
        </w:rPr>
        <w:t>Corporations Amendment (Statements of Advice) Regulation 2014</w:t>
      </w:r>
      <w:bookmarkEnd w:id="0"/>
    </w:p>
    <w:p w14:paraId="525005BA" w14:textId="0A962915" w:rsidR="007D11AA" w:rsidRPr="007D11AA" w:rsidRDefault="007D11AA" w:rsidP="007D11AA">
      <w:pPr>
        <w:rPr>
          <w:szCs w:val="24"/>
        </w:rPr>
      </w:pPr>
      <w:r w:rsidRPr="007D11AA">
        <w:rPr>
          <w:szCs w:val="24"/>
        </w:rPr>
        <w:t xml:space="preserve">Subsection 1364(1) of the </w:t>
      </w:r>
      <w:r w:rsidRPr="007D11AA">
        <w:rPr>
          <w:i/>
          <w:iCs/>
          <w:szCs w:val="24"/>
        </w:rPr>
        <w:t>Corporations Act 2001</w:t>
      </w:r>
      <w:r w:rsidRPr="007D11AA">
        <w:rPr>
          <w:szCs w:val="24"/>
        </w:rPr>
        <w:t xml:space="preserve"> (Act) provides that the Governor</w:t>
      </w:r>
      <w:r w:rsidRPr="007D11AA">
        <w:rPr>
          <w:szCs w:val="24"/>
        </w:rPr>
        <w:noBreakHyphen/>
        <w:t>General may make regulations prescribing matters required or permitted by the Act to be prescribed, or necessary or convenient to be prescribed, for carrying out or giving effect to the Act.</w:t>
      </w:r>
    </w:p>
    <w:p w14:paraId="26C8A5BF" w14:textId="4251895C" w:rsidR="00553D05" w:rsidRPr="001B0BD3" w:rsidRDefault="00553D05" w:rsidP="00553D05">
      <w:r w:rsidRPr="001B0BD3">
        <w:t xml:space="preserve">The </w:t>
      </w:r>
      <w:r w:rsidRPr="00553D05">
        <w:rPr>
          <w:i/>
          <w:iCs/>
        </w:rPr>
        <w:t xml:space="preserve">Corporations Amendment (Statements of Advice) Regulation 2014 </w:t>
      </w:r>
      <w:r>
        <w:t xml:space="preserve">(Regulation) </w:t>
      </w:r>
      <w:r w:rsidRPr="001B0BD3">
        <w:t xml:space="preserve">makes a number of amendments to the </w:t>
      </w:r>
      <w:r w:rsidRPr="001B0BD3">
        <w:rPr>
          <w:i/>
          <w:iCs/>
        </w:rPr>
        <w:t xml:space="preserve">Corporations Regulations 2001 </w:t>
      </w:r>
      <w:r w:rsidRPr="001B0BD3">
        <w:t>(Principal Regulations).  The amendments relate to</w:t>
      </w:r>
      <w:r w:rsidR="006A498F">
        <w:t xml:space="preserve"> Part 7.7</w:t>
      </w:r>
      <w:r>
        <w:t xml:space="preserve"> of the </w:t>
      </w:r>
      <w:r w:rsidRPr="00863290">
        <w:t xml:space="preserve">Act: </w:t>
      </w:r>
      <w:r w:rsidR="005F2557">
        <w:t xml:space="preserve"> </w:t>
      </w:r>
      <w:r w:rsidRPr="00863290">
        <w:t>the</w:t>
      </w:r>
      <w:r w:rsidR="00F6397A" w:rsidRPr="00863290">
        <w:t xml:space="preserve"> </w:t>
      </w:r>
      <w:r w:rsidR="008B30C5" w:rsidRPr="00863290">
        <w:t>financial disclosure requirements</w:t>
      </w:r>
      <w:r w:rsidR="00F6397A" w:rsidRPr="00863290">
        <w:t xml:space="preserve"> provisions</w:t>
      </w:r>
      <w:r w:rsidR="00F178C6">
        <w:t>.  In</w:t>
      </w:r>
      <w:r w:rsidR="003A0184">
        <w:t xml:space="preserve"> particular</w:t>
      </w:r>
      <w:r w:rsidR="00F178C6">
        <w:t>, the amendments alter some of the</w:t>
      </w:r>
      <w:r w:rsidR="003A0184">
        <w:t xml:space="preserve"> provisions regarding the Statement of Advice</w:t>
      </w:r>
      <w:r w:rsidR="00FF50CC">
        <w:t>, a disclosure document</w:t>
      </w:r>
      <w:r w:rsidR="003A0184">
        <w:t xml:space="preserve"> which </w:t>
      </w:r>
      <w:r w:rsidR="007A2E01">
        <w:t xml:space="preserve">generally </w:t>
      </w:r>
      <w:r w:rsidR="003A0184">
        <w:t xml:space="preserve">must be provided to </w:t>
      </w:r>
      <w:r w:rsidR="003A0184" w:rsidRPr="003A0184">
        <w:t>retail client</w:t>
      </w:r>
      <w:r w:rsidR="00551F86">
        <w:t>s</w:t>
      </w:r>
      <w:r w:rsidR="003A0184" w:rsidRPr="003A0184">
        <w:t xml:space="preserve"> receiving personal financial advice</w:t>
      </w:r>
      <w:r w:rsidR="007A2E01">
        <w:t xml:space="preserve">. </w:t>
      </w:r>
    </w:p>
    <w:p w14:paraId="2EBEEB27" w14:textId="30B20805" w:rsidR="00AF2E45" w:rsidRDefault="007D11AA">
      <w:r>
        <w:t xml:space="preserve">The Government announced on </w:t>
      </w:r>
      <w:r w:rsidR="00E04D49">
        <w:t xml:space="preserve">15 July 2014 </w:t>
      </w:r>
      <w:r w:rsidR="002E1464">
        <w:t>that</w:t>
      </w:r>
      <w:r w:rsidR="00AF2E45">
        <w:t xml:space="preserve"> </w:t>
      </w:r>
      <w:r w:rsidR="00B30F94">
        <w:t>it</w:t>
      </w:r>
      <w:r w:rsidR="00AF2E45">
        <w:t xml:space="preserve"> </w:t>
      </w:r>
      <w:r w:rsidR="00004627">
        <w:t>would</w:t>
      </w:r>
      <w:r w:rsidR="007F5C61">
        <w:t xml:space="preserve"> implement additional improvements to the Statement of Advice requirements</w:t>
      </w:r>
      <w:r w:rsidR="0082257A">
        <w:t xml:space="preserve"> to </w:t>
      </w:r>
      <w:r w:rsidR="0082257A" w:rsidRPr="0082257A">
        <w:t>increase transparency in the services that clients are receiving, ensuring they are aware of the</w:t>
      </w:r>
      <w:r w:rsidR="0082257A">
        <w:t>ir</w:t>
      </w:r>
      <w:r w:rsidR="0082257A" w:rsidRPr="0082257A">
        <w:t xml:space="preserve"> rights and their adviser’s obligations.</w:t>
      </w:r>
      <w:r w:rsidR="00634E6E">
        <w:t xml:space="preserve">  These changes were</w:t>
      </w:r>
      <w:r w:rsidR="007F5C61">
        <w:t xml:space="preserve"> negotiated with the Palmer United Party and the Australian Motoring Enthusiasts Party</w:t>
      </w:r>
      <w:r w:rsidR="00634E6E">
        <w:t xml:space="preserve"> </w:t>
      </w:r>
      <w:r w:rsidR="00574D4D">
        <w:t>in light of their support for the Government’s reforms to the Future of Financial Advice (</w:t>
      </w:r>
      <w:proofErr w:type="spellStart"/>
      <w:r w:rsidR="00574D4D">
        <w:t>FOFA</w:t>
      </w:r>
      <w:proofErr w:type="spellEnd"/>
      <w:r w:rsidR="00574D4D">
        <w:t>) provisions</w:t>
      </w:r>
      <w:r w:rsidR="007F5C61">
        <w:t xml:space="preserve">. </w:t>
      </w:r>
      <w:r w:rsidR="009D1325">
        <w:t xml:space="preserve"> </w:t>
      </w:r>
    </w:p>
    <w:p w14:paraId="355E7821" w14:textId="7698618C" w:rsidR="007F5C61" w:rsidRDefault="009D1325">
      <w:r>
        <w:t xml:space="preserve">The changes include additional disclosure requirements in the Statement of Advice, requiring an adviser to disclose existing obligations in the </w:t>
      </w:r>
      <w:r w:rsidR="00473AB5">
        <w:rPr>
          <w:iCs/>
        </w:rPr>
        <w:t>Act.  Further, the amendments also provide</w:t>
      </w:r>
      <w:r w:rsidR="009C62E9">
        <w:rPr>
          <w:iCs/>
        </w:rPr>
        <w:t xml:space="preserve"> </w:t>
      </w:r>
      <w:r w:rsidR="00473AB5">
        <w:rPr>
          <w:iCs/>
        </w:rPr>
        <w:t xml:space="preserve">requirements for </w:t>
      </w:r>
      <w:r w:rsidR="002331EA">
        <w:rPr>
          <w:iCs/>
        </w:rPr>
        <w:t>the adviser and the client</w:t>
      </w:r>
      <w:r w:rsidR="00473AB5">
        <w:rPr>
          <w:iCs/>
        </w:rPr>
        <w:t xml:space="preserve"> </w:t>
      </w:r>
      <w:r w:rsidR="002331EA">
        <w:rPr>
          <w:iCs/>
        </w:rPr>
        <w:t>to sign</w:t>
      </w:r>
      <w:r w:rsidR="00473AB5">
        <w:rPr>
          <w:iCs/>
        </w:rPr>
        <w:t xml:space="preserve"> the Statement of Advice, </w:t>
      </w:r>
      <w:r w:rsidR="00223E60">
        <w:rPr>
          <w:iCs/>
        </w:rPr>
        <w:t>as well as</w:t>
      </w:r>
      <w:r w:rsidR="0097121F">
        <w:rPr>
          <w:iCs/>
        </w:rPr>
        <w:t xml:space="preserve"> </w:t>
      </w:r>
      <w:r w:rsidR="00223E60">
        <w:rPr>
          <w:iCs/>
        </w:rPr>
        <w:t xml:space="preserve">any </w:t>
      </w:r>
      <w:r w:rsidR="002E6E3B">
        <w:rPr>
          <w:iCs/>
        </w:rPr>
        <w:t>instructio</w:t>
      </w:r>
      <w:r w:rsidR="00223E60">
        <w:rPr>
          <w:iCs/>
        </w:rPr>
        <w:t xml:space="preserve">ns </w:t>
      </w:r>
      <w:r w:rsidR="005C64BD">
        <w:rPr>
          <w:iCs/>
        </w:rPr>
        <w:t xml:space="preserve">from clients </w:t>
      </w:r>
      <w:r w:rsidR="00223E60">
        <w:rPr>
          <w:iCs/>
        </w:rPr>
        <w:t xml:space="preserve">for further or varied advice. </w:t>
      </w:r>
    </w:p>
    <w:p w14:paraId="5AF8718A" w14:textId="77777777" w:rsidR="00751263" w:rsidRPr="001B0BD3" w:rsidRDefault="00751263" w:rsidP="00751263">
      <w:pPr>
        <w:pStyle w:val="Bullet"/>
        <w:numPr>
          <w:ilvl w:val="0"/>
          <w:numId w:val="0"/>
        </w:numPr>
        <w:spacing w:before="0"/>
        <w:ind w:left="567" w:hanging="567"/>
      </w:pPr>
      <w:r w:rsidRPr="001B0BD3">
        <w:t xml:space="preserve">The Regulation </w:t>
      </w:r>
      <w:r>
        <w:t xml:space="preserve">makes the following changes: </w:t>
      </w:r>
    </w:p>
    <w:p w14:paraId="0D2DDC49" w14:textId="6EF67FAB" w:rsidR="00751263" w:rsidRDefault="00930C0B" w:rsidP="005332C7">
      <w:pPr>
        <w:pStyle w:val="Bullet"/>
      </w:pPr>
      <w:r>
        <w:t>requiring that a Statement of Advice must be signed by the adviser</w:t>
      </w:r>
      <w:r w:rsidR="006F252C">
        <w:t>,</w:t>
      </w:r>
      <w:r>
        <w:t xml:space="preserve"> </w:t>
      </w:r>
      <w:r w:rsidR="006F252C">
        <w:t>as well as signed by the client to acknowledge receipt</w:t>
      </w:r>
      <w:r w:rsidR="006026DC">
        <w:t>;</w:t>
      </w:r>
    </w:p>
    <w:p w14:paraId="6F885756" w14:textId="1B5488DF" w:rsidR="00AD7A0F" w:rsidRDefault="00AD7A0F" w:rsidP="00AD7A0F">
      <w:pPr>
        <w:pStyle w:val="Bullet"/>
      </w:pPr>
      <w:r>
        <w:t>requiring</w:t>
      </w:r>
      <w:r w:rsidRPr="00AD7A0F">
        <w:t xml:space="preserve"> that if a client, after receiving the Statement of Advice, requests further or varied advice (this may be necessary, for example, if the client's relevant circumstances change), the providing entity must ensure that instructions from the client are:</w:t>
      </w:r>
      <w:r w:rsidR="00842EA0">
        <w:t xml:space="preserve"> </w:t>
      </w:r>
      <w:r w:rsidRPr="00AD7A0F">
        <w:t xml:space="preserve"> documented in writing; signed by the client; and acknowledged by the providing entity, or an individual acting on behalf of the providing entity;</w:t>
      </w:r>
    </w:p>
    <w:p w14:paraId="64EAF02E" w14:textId="77777777" w:rsidR="004477E7" w:rsidRDefault="004477E7" w:rsidP="004477E7">
      <w:pPr>
        <w:pStyle w:val="Bullet"/>
        <w:numPr>
          <w:ilvl w:val="0"/>
          <w:numId w:val="0"/>
        </w:numPr>
        <w:ind w:left="567"/>
      </w:pPr>
    </w:p>
    <w:p w14:paraId="4B3C3843" w14:textId="77777777" w:rsidR="00D456F7" w:rsidRDefault="00D456F7" w:rsidP="00AD7A0F">
      <w:pPr>
        <w:pStyle w:val="Bullet"/>
        <w:sectPr w:rsidR="00D456F7" w:rsidSect="00D7074D">
          <w:headerReference w:type="default" r:id="rId12"/>
          <w:headerReference w:type="first" r:id="rId13"/>
          <w:pgSz w:w="11906" w:h="16838"/>
          <w:pgMar w:top="1440" w:right="1800" w:bottom="1440" w:left="1800" w:header="720" w:footer="720" w:gutter="0"/>
          <w:pgNumType w:start="2"/>
          <w:cols w:space="720"/>
          <w:titlePg/>
          <w:docGrid w:linePitch="360"/>
        </w:sectPr>
      </w:pPr>
    </w:p>
    <w:p w14:paraId="7608D70D" w14:textId="13EA781A" w:rsidR="009B4754" w:rsidRDefault="005B4610" w:rsidP="005332C7">
      <w:pPr>
        <w:pStyle w:val="Bullet"/>
      </w:pPr>
      <w:r>
        <w:lastRenderedPageBreak/>
        <w:t>requiring that advisers include the following statements and information in the Statement of Advice</w:t>
      </w:r>
      <w:r w:rsidR="00CE3139">
        <w:t xml:space="preserve"> to ensure clients are </w:t>
      </w:r>
      <w:r w:rsidR="009B4754">
        <w:t xml:space="preserve">aware of their existing rights </w:t>
      </w:r>
      <w:r w:rsidR="00956BB2">
        <w:t xml:space="preserve">and their adviser’s obligations </w:t>
      </w:r>
      <w:r w:rsidR="001A43D5">
        <w:t xml:space="preserve">under </w:t>
      </w:r>
      <w:r w:rsidR="009B4754">
        <w:t xml:space="preserve">the Act: </w:t>
      </w:r>
    </w:p>
    <w:p w14:paraId="250E4DB4" w14:textId="5C10DD8F" w:rsidR="00C77107" w:rsidRDefault="006E75E4">
      <w:pPr>
        <w:pStyle w:val="Dash"/>
        <w:keepNext/>
        <w:keepLines/>
      </w:pPr>
      <w:r w:rsidRPr="00601B59">
        <w:t>that</w:t>
      </w:r>
      <w:r>
        <w:t xml:space="preserve"> the adviser is required to act in the best interests of their client and prioritise their client’s interests ahead of their own, consistent with the requirements in sections 961B and 961J of the Act; </w:t>
      </w:r>
    </w:p>
    <w:p w14:paraId="70757174" w14:textId="3A497B29" w:rsidR="006E75E4" w:rsidRDefault="006E75E4">
      <w:pPr>
        <w:pStyle w:val="Dash"/>
        <w:keepNext/>
        <w:keepLines/>
      </w:pPr>
      <w:r w:rsidRPr="00601B59">
        <w:t>that</w:t>
      </w:r>
      <w:r>
        <w:t xml:space="preserve"> any fees must be disclosed and that the adviser will provide a fee disclosure statement annually if the client enters into an ongoing fee arrangement </w:t>
      </w:r>
      <w:r w:rsidR="002A6563">
        <w:t>to which</w:t>
      </w:r>
      <w:r w:rsidR="00752015">
        <w:t xml:space="preserve"> Division 3 of Part 7.7A of the Ac</w:t>
      </w:r>
      <w:r w:rsidR="001A43D5">
        <w:t>t</w:t>
      </w:r>
      <w:r w:rsidR="002A6563">
        <w:t xml:space="preserve"> applies</w:t>
      </w:r>
      <w:r w:rsidR="00752015">
        <w:t xml:space="preserve"> (which will generally be those entered into on or </w:t>
      </w:r>
      <w:r>
        <w:t>after 1 July 2013</w:t>
      </w:r>
      <w:r w:rsidR="00752015">
        <w:t>)</w:t>
      </w:r>
      <w:r>
        <w:t xml:space="preserve">; </w:t>
      </w:r>
    </w:p>
    <w:p w14:paraId="648E544B" w14:textId="60B3A5FA" w:rsidR="006E75E4" w:rsidRDefault="006E75E4" w:rsidP="00B2652B">
      <w:pPr>
        <w:pStyle w:val="Dash"/>
        <w:keepNext/>
        <w:keepLines/>
      </w:pPr>
      <w:r w:rsidRPr="00601B59">
        <w:t>that</w:t>
      </w:r>
      <w:r>
        <w:t xml:space="preserve"> a client </w:t>
      </w:r>
      <w:r w:rsidR="006C419A">
        <w:t>may have</w:t>
      </w:r>
      <w:r>
        <w:t xml:space="preserve"> the right to return financial products under a 14-day cooling-off period in accordance with th</w:t>
      </w:r>
      <w:r w:rsidR="00297D40">
        <w:t>e arrangements under Division 5 </w:t>
      </w:r>
      <w:r>
        <w:t xml:space="preserve">of Part 7.9 of the Act; </w:t>
      </w:r>
    </w:p>
    <w:p w14:paraId="4344A354" w14:textId="27EF5098" w:rsidR="006E75E4" w:rsidRDefault="006E75E4" w:rsidP="006E75E4">
      <w:pPr>
        <w:pStyle w:val="Dash"/>
      </w:pPr>
      <w:r>
        <w:t xml:space="preserve">that the adviser genuinely believes that the advice he or she is providing to the client is in the client’s best interests given the client’s relevant circumstances; and </w:t>
      </w:r>
    </w:p>
    <w:p w14:paraId="1F9D6339" w14:textId="26A6FC1F" w:rsidR="006E3A12" w:rsidRDefault="006E75E4" w:rsidP="009B4754">
      <w:pPr>
        <w:pStyle w:val="Dash"/>
      </w:pPr>
      <w:r w:rsidRPr="00601B59">
        <w:t>that</w:t>
      </w:r>
      <w:r>
        <w:t xml:space="preserve"> the client has the right to </w:t>
      </w:r>
      <w:r w:rsidR="00D1701F">
        <w:t>seek further</w:t>
      </w:r>
      <w:r>
        <w:t xml:space="preserve"> or </w:t>
      </w:r>
      <w:r w:rsidR="00D1701F">
        <w:t>varied advice from</w:t>
      </w:r>
      <w:r>
        <w:t xml:space="preserve"> their adviser </w:t>
      </w:r>
      <w:r w:rsidR="00D1701F">
        <w:t>at any time</w:t>
      </w:r>
      <w:r>
        <w:t xml:space="preserve">, for example, </w:t>
      </w:r>
      <w:r w:rsidR="00956BB2">
        <w:t xml:space="preserve">if </w:t>
      </w:r>
      <w:r>
        <w:t>they experience a change in their circumstances.</w:t>
      </w:r>
      <w:r w:rsidR="005B4610">
        <w:t xml:space="preserve"> </w:t>
      </w:r>
    </w:p>
    <w:p w14:paraId="6F6DC750" w14:textId="57A392FE" w:rsidR="00751263" w:rsidRPr="001B0BD3" w:rsidRDefault="00751263" w:rsidP="00751263">
      <w:pPr>
        <w:pStyle w:val="Bullet"/>
        <w:numPr>
          <w:ilvl w:val="0"/>
          <w:numId w:val="0"/>
        </w:numPr>
        <w:spacing w:before="0"/>
      </w:pPr>
      <w:r w:rsidRPr="001B0BD3">
        <w:t xml:space="preserve">Details of these changes in the Regulation are set out in </w:t>
      </w:r>
      <w:r w:rsidRPr="001B0BD3">
        <w:rPr>
          <w:u w:val="single"/>
        </w:rPr>
        <w:t>Attachment</w:t>
      </w:r>
      <w:r w:rsidR="00D627DA">
        <w:rPr>
          <w:u w:val="single"/>
        </w:rPr>
        <w:t xml:space="preserve"> A</w:t>
      </w:r>
      <w:r w:rsidRPr="001B0BD3">
        <w:t>.</w:t>
      </w:r>
    </w:p>
    <w:p w14:paraId="3AFF7F21" w14:textId="716E635B" w:rsidR="00424EDA" w:rsidRPr="001B0BD3" w:rsidRDefault="00424EDA" w:rsidP="00424EDA">
      <w:r>
        <w:rPr>
          <w:szCs w:val="23"/>
        </w:rPr>
        <w:t>T</w:t>
      </w:r>
      <w:r w:rsidRPr="001B0BD3">
        <w:rPr>
          <w:szCs w:val="23"/>
        </w:rPr>
        <w:t xml:space="preserve">he Regulation </w:t>
      </w:r>
      <w:r w:rsidR="00C23CDE">
        <w:rPr>
          <w:szCs w:val="23"/>
        </w:rPr>
        <w:t>provide</w:t>
      </w:r>
      <w:r w:rsidR="00BB7F29">
        <w:rPr>
          <w:szCs w:val="23"/>
        </w:rPr>
        <w:t>s</w:t>
      </w:r>
      <w:r w:rsidR="00C23CDE">
        <w:rPr>
          <w:szCs w:val="23"/>
        </w:rPr>
        <w:t xml:space="preserve"> no limitation on the period for which </w:t>
      </w:r>
      <w:r w:rsidRPr="001B0BD3">
        <w:rPr>
          <w:szCs w:val="23"/>
        </w:rPr>
        <w:t xml:space="preserve">these changes </w:t>
      </w:r>
      <w:r w:rsidR="00C23CDE">
        <w:rPr>
          <w:szCs w:val="23"/>
        </w:rPr>
        <w:t>will have effect.</w:t>
      </w:r>
      <w:r w:rsidRPr="001B0BD3">
        <w:rPr>
          <w:szCs w:val="23"/>
        </w:rPr>
        <w:t xml:space="preserve"> </w:t>
      </w:r>
      <w:r w:rsidR="0051406F">
        <w:rPr>
          <w:szCs w:val="23"/>
        </w:rPr>
        <w:t xml:space="preserve"> </w:t>
      </w:r>
      <w:r w:rsidR="00C23CDE">
        <w:rPr>
          <w:szCs w:val="23"/>
        </w:rPr>
        <w:t xml:space="preserve">However, it is intended that </w:t>
      </w:r>
      <w:r w:rsidR="00956BB2">
        <w:rPr>
          <w:szCs w:val="23"/>
        </w:rPr>
        <w:t xml:space="preserve">the changes in this Regulation </w:t>
      </w:r>
      <w:r w:rsidR="00C23CDE">
        <w:rPr>
          <w:szCs w:val="23"/>
        </w:rPr>
        <w:t xml:space="preserve">will </w:t>
      </w:r>
      <w:r w:rsidR="00956BB2">
        <w:rPr>
          <w:szCs w:val="23"/>
        </w:rPr>
        <w:t xml:space="preserve">be repealed once </w:t>
      </w:r>
      <w:r w:rsidRPr="001B0BD3">
        <w:rPr>
          <w:szCs w:val="23"/>
        </w:rPr>
        <w:t xml:space="preserve">the </w:t>
      </w:r>
      <w:r w:rsidRPr="001B0BD3">
        <w:t xml:space="preserve">Corporations Amendment (Streamlining of Future of </w:t>
      </w:r>
      <w:r w:rsidR="002E1F76">
        <w:t xml:space="preserve">Financial </w:t>
      </w:r>
      <w:r w:rsidRPr="001B0BD3">
        <w:t xml:space="preserve">Advice) Bill 2014 </w:t>
      </w:r>
      <w:r w:rsidR="00CD2524">
        <w:t>(</w:t>
      </w:r>
      <w:proofErr w:type="spellStart"/>
      <w:r w:rsidR="00CD2524">
        <w:t>FOFA</w:t>
      </w:r>
      <w:proofErr w:type="spellEnd"/>
      <w:r w:rsidR="00CD2524">
        <w:t xml:space="preserve"> Bill) </w:t>
      </w:r>
      <w:r w:rsidRPr="001B0BD3">
        <w:t xml:space="preserve">passes the Australian Parliament and receives </w:t>
      </w:r>
      <w:r w:rsidR="00D70363">
        <w:t xml:space="preserve">the </w:t>
      </w:r>
      <w:r w:rsidRPr="001B0BD3">
        <w:t xml:space="preserve">Royal Assent.  </w:t>
      </w:r>
    </w:p>
    <w:p w14:paraId="1A4FFD4A" w14:textId="17BA13F7" w:rsidR="00424EDA" w:rsidRPr="001B0BD3" w:rsidRDefault="0006085B" w:rsidP="00424EDA">
      <w:r>
        <w:t>T</w:t>
      </w:r>
      <w:r w:rsidR="006944CA">
        <w:t xml:space="preserve">argeted consultation was undertaken on </w:t>
      </w:r>
      <w:r w:rsidR="00E41C96">
        <w:t>a draft of the</w:t>
      </w:r>
      <w:r w:rsidR="006944CA">
        <w:t xml:space="preserve"> Regulation</w:t>
      </w:r>
      <w:r w:rsidR="005220F6">
        <w:t xml:space="preserve"> with </w:t>
      </w:r>
      <w:r w:rsidR="006B797F">
        <w:t>the financial services industry</w:t>
      </w:r>
      <w:r w:rsidR="00A350FA" w:rsidRPr="00A851E9">
        <w:t xml:space="preserve">.  </w:t>
      </w:r>
      <w:r w:rsidR="006944CA" w:rsidRPr="00A851E9">
        <w:t>The Government considered the</w:t>
      </w:r>
      <w:r w:rsidR="00C23CDE">
        <w:t>ir</w:t>
      </w:r>
      <w:r w:rsidR="006944CA" w:rsidRPr="00A851E9">
        <w:t xml:space="preserve"> views in preparing th</w:t>
      </w:r>
      <w:r w:rsidR="00C23CDE">
        <w:t>e</w:t>
      </w:r>
      <w:r w:rsidR="006944CA" w:rsidRPr="00A851E9">
        <w:t xml:space="preserve"> Regulation.</w:t>
      </w:r>
      <w:r w:rsidR="003F5BE2" w:rsidRPr="00A851E9">
        <w:t xml:space="preserve">  </w:t>
      </w:r>
      <w:r w:rsidR="00764A92" w:rsidRPr="00A851E9">
        <w:t xml:space="preserve">Changes were made to the draft Regulation following the targeted consultation.  </w:t>
      </w:r>
      <w:r w:rsidR="003F5BE2" w:rsidRPr="00A851E9">
        <w:t xml:space="preserve">For example, </w:t>
      </w:r>
      <w:r w:rsidR="002C41C0">
        <w:t xml:space="preserve">to ensure flexibility as to who can sign a Statement of Advice or acknowledge a client’s instructions on behalf of the providing entity, the draft Regulation was expanded to include </w:t>
      </w:r>
      <w:r w:rsidR="00D627DA">
        <w:t xml:space="preserve">an </w:t>
      </w:r>
      <w:r w:rsidR="002C41C0">
        <w:t>individual acting on behalf of the providing entity</w:t>
      </w:r>
      <w:r w:rsidR="00FB0DAA">
        <w:t xml:space="preserve">.  </w:t>
      </w:r>
    </w:p>
    <w:p w14:paraId="6F07A2B1" w14:textId="77777777" w:rsidR="00D456F7" w:rsidRPr="001B0BD3" w:rsidRDefault="00D456F7" w:rsidP="00D456F7">
      <w:r w:rsidRPr="001B0BD3">
        <w:t xml:space="preserve">A Statement of Compatibility with Human Rights is at </w:t>
      </w:r>
      <w:r w:rsidRPr="001B0BD3">
        <w:rPr>
          <w:u w:val="single"/>
        </w:rPr>
        <w:t xml:space="preserve">Attachment </w:t>
      </w:r>
      <w:r>
        <w:rPr>
          <w:u w:val="single"/>
        </w:rPr>
        <w:t>B</w:t>
      </w:r>
      <w:r w:rsidRPr="001B0BD3">
        <w:t>.</w:t>
      </w:r>
    </w:p>
    <w:p w14:paraId="208F49FC" w14:textId="5501DA06" w:rsidR="00DA4E06" w:rsidRDefault="00D456F7" w:rsidP="00D456F7">
      <w:r w:rsidRPr="001B0BD3">
        <w:rPr>
          <w:szCs w:val="24"/>
          <w:lang w:val="en-US"/>
        </w:rPr>
        <w:t xml:space="preserve">This Regulation commences </w:t>
      </w:r>
      <w:r w:rsidRPr="00503E44">
        <w:t xml:space="preserve">on </w:t>
      </w:r>
      <w:r>
        <w:t>1 January 2015</w:t>
      </w:r>
      <w:r w:rsidRPr="001B0BD3">
        <w:rPr>
          <w:szCs w:val="24"/>
          <w:lang w:val="en-US"/>
        </w:rPr>
        <w:t>.</w:t>
      </w:r>
    </w:p>
    <w:p w14:paraId="29327DE5" w14:textId="77777777" w:rsidR="00D456F7" w:rsidRPr="001B0BD3" w:rsidRDefault="00D456F7" w:rsidP="00D456F7">
      <w:r w:rsidRPr="001B0BD3">
        <w:t xml:space="preserve">The </w:t>
      </w:r>
      <w:r w:rsidRPr="001B0BD3">
        <w:rPr>
          <w:i/>
        </w:rPr>
        <w:t>Corporations Act 2001</w:t>
      </w:r>
      <w:r w:rsidRPr="001B0BD3">
        <w:t xml:space="preserve"> does not specify any conditions that need to be satisfied before the power to make the Regulation may be exercised.</w:t>
      </w:r>
    </w:p>
    <w:p w14:paraId="19EECDE4" w14:textId="77777777" w:rsidR="00DA4E06" w:rsidRDefault="00D315E1" w:rsidP="00D315E1">
      <w:pPr>
        <w:sectPr w:rsidR="00DA4E06" w:rsidSect="00392E79">
          <w:headerReference w:type="first" r:id="rId14"/>
          <w:pgSz w:w="11906" w:h="16838"/>
          <w:pgMar w:top="1440" w:right="1800" w:bottom="1440" w:left="1800" w:header="720" w:footer="720" w:gutter="0"/>
          <w:pgNumType w:start="2"/>
          <w:cols w:space="720"/>
          <w:titlePg/>
          <w:docGrid w:linePitch="360"/>
        </w:sectPr>
      </w:pPr>
      <w:r w:rsidRPr="001B0BD3">
        <w:t xml:space="preserve">The Regulation is a legislative instrument for the purposes of the </w:t>
      </w:r>
      <w:r w:rsidRPr="001B0BD3">
        <w:rPr>
          <w:i/>
        </w:rPr>
        <w:t>Legislative Instruments Act 2003</w:t>
      </w:r>
      <w:r w:rsidRPr="001B0BD3">
        <w:t>.</w:t>
      </w:r>
    </w:p>
    <w:p w14:paraId="00833275" w14:textId="77777777" w:rsidR="00525781" w:rsidRDefault="00525781" w:rsidP="00525781">
      <w:pPr>
        <w:pStyle w:val="Heading2"/>
        <w:spacing w:before="0" w:after="240"/>
        <w:jc w:val="right"/>
        <w:rPr>
          <w:rFonts w:ascii="Arial" w:hAnsi="Arial" w:cs="Arial"/>
          <w:sz w:val="36"/>
          <w:szCs w:val="36"/>
        </w:rPr>
      </w:pPr>
      <w:r>
        <w:rPr>
          <w:rFonts w:ascii="Arial" w:hAnsi="Arial" w:cs="Arial"/>
        </w:rPr>
        <w:lastRenderedPageBreak/>
        <w:t>Attachment A</w:t>
      </w:r>
    </w:p>
    <w:p w14:paraId="4433665B" w14:textId="5B3E5E59" w:rsidR="00525781" w:rsidRDefault="00525781" w:rsidP="00525781">
      <w:pPr>
        <w:spacing w:before="100" w:beforeAutospacing="1" w:after="100" w:afterAutospacing="1"/>
        <w:ind w:right="91"/>
      </w:pPr>
      <w:r>
        <w:rPr>
          <w:b/>
          <w:bCs/>
          <w:u w:val="single"/>
        </w:rPr>
        <w:t xml:space="preserve">Details of the </w:t>
      </w:r>
      <w:r w:rsidRPr="00525781">
        <w:rPr>
          <w:b/>
          <w:bCs/>
          <w:i/>
          <w:iCs/>
          <w:u w:val="single"/>
        </w:rPr>
        <w:t>Corporations Amendment (Statements of Advice) Regulation 2014</w:t>
      </w:r>
    </w:p>
    <w:p w14:paraId="02EA7F37" w14:textId="394B0B31" w:rsidR="00525781" w:rsidRDefault="00525781" w:rsidP="00525781">
      <w:pPr>
        <w:spacing w:before="100" w:beforeAutospacing="1" w:after="100" w:afterAutospacing="1"/>
      </w:pPr>
      <w:r>
        <w:rPr>
          <w:u w:val="single"/>
        </w:rPr>
        <w:t xml:space="preserve">Section 1 </w:t>
      </w:r>
      <w:r w:rsidR="00D627DA" w:rsidRPr="00D627DA">
        <w:rPr>
          <w:u w:val="single"/>
        </w:rPr>
        <w:t>—</w:t>
      </w:r>
      <w:r w:rsidR="00D627DA">
        <w:rPr>
          <w:u w:val="single"/>
        </w:rPr>
        <w:t xml:space="preserve"> </w:t>
      </w:r>
      <w:r>
        <w:rPr>
          <w:u w:val="single"/>
        </w:rPr>
        <w:t>Name of Regulation</w:t>
      </w:r>
    </w:p>
    <w:p w14:paraId="791F0ADD" w14:textId="665D9CE5" w:rsidR="00525781" w:rsidRDefault="00525781" w:rsidP="00525781">
      <w:pPr>
        <w:spacing w:before="100" w:beforeAutospacing="1" w:after="100" w:afterAutospacing="1"/>
      </w:pPr>
      <w:r>
        <w:t xml:space="preserve">This section provides that the name of the Regulation is the </w:t>
      </w:r>
      <w:r w:rsidRPr="00525781">
        <w:rPr>
          <w:i/>
          <w:iCs/>
        </w:rPr>
        <w:t>Corporations Amendment (Statements of Advice) Regulation 2014</w:t>
      </w:r>
      <w:r>
        <w:rPr>
          <w:i/>
          <w:iCs/>
        </w:rPr>
        <w:t xml:space="preserve"> </w:t>
      </w:r>
      <w:r>
        <w:t>(Regulation).</w:t>
      </w:r>
    </w:p>
    <w:p w14:paraId="36F0AEBC" w14:textId="56C3BF09" w:rsidR="00525781" w:rsidRPr="00525781" w:rsidRDefault="00525781" w:rsidP="00525781">
      <w:pPr>
        <w:spacing w:before="100" w:beforeAutospacing="1" w:after="100" w:afterAutospacing="1"/>
        <w:rPr>
          <w:u w:val="single"/>
        </w:rPr>
      </w:pPr>
      <w:r w:rsidRPr="00525781">
        <w:rPr>
          <w:u w:val="single"/>
        </w:rPr>
        <w:t xml:space="preserve">Section 2 </w:t>
      </w:r>
      <w:r w:rsidR="00D627DA" w:rsidRPr="00D627DA">
        <w:rPr>
          <w:u w:val="single"/>
        </w:rPr>
        <w:t>—</w:t>
      </w:r>
      <w:r w:rsidRPr="00525781">
        <w:rPr>
          <w:u w:val="single"/>
        </w:rPr>
        <w:t xml:space="preserve"> Commencement</w:t>
      </w:r>
    </w:p>
    <w:p w14:paraId="4A6C22A9" w14:textId="552B481F" w:rsidR="00525781" w:rsidRPr="00525781" w:rsidRDefault="00384800" w:rsidP="00525781">
      <w:pPr>
        <w:spacing w:before="100" w:beforeAutospacing="1" w:after="100" w:afterAutospacing="1"/>
      </w:pPr>
      <w:r>
        <w:t xml:space="preserve">This Regulation </w:t>
      </w:r>
      <w:r w:rsidR="00932D44" w:rsidRPr="00932D44">
        <w:t xml:space="preserve">commences on the </w:t>
      </w:r>
      <w:r w:rsidR="004A5359">
        <w:t>1 January 2015</w:t>
      </w:r>
      <w:r w:rsidR="00932D44" w:rsidRPr="00932D44">
        <w:t>.</w:t>
      </w:r>
    </w:p>
    <w:p w14:paraId="317A885C" w14:textId="5519C143" w:rsidR="00525781" w:rsidRDefault="00525781" w:rsidP="00525781">
      <w:pPr>
        <w:spacing w:before="100" w:beforeAutospacing="1" w:after="100" w:afterAutospacing="1"/>
        <w:rPr>
          <w:szCs w:val="24"/>
        </w:rPr>
      </w:pPr>
      <w:r>
        <w:rPr>
          <w:u w:val="single"/>
        </w:rPr>
        <w:t xml:space="preserve">Section 3 </w:t>
      </w:r>
      <w:r w:rsidR="00D627DA" w:rsidRPr="00D627DA">
        <w:rPr>
          <w:u w:val="single"/>
        </w:rPr>
        <w:t>—</w:t>
      </w:r>
      <w:r>
        <w:rPr>
          <w:u w:val="single"/>
        </w:rPr>
        <w:t xml:space="preserve"> Authority </w:t>
      </w:r>
    </w:p>
    <w:p w14:paraId="44CDF887" w14:textId="4A54B81F" w:rsidR="00525781" w:rsidRDefault="00525781" w:rsidP="00525781">
      <w:pPr>
        <w:spacing w:before="100" w:beforeAutospacing="1" w:after="100" w:afterAutospacing="1"/>
      </w:pPr>
      <w:r>
        <w:t xml:space="preserve">This Regulation is made under the </w:t>
      </w:r>
      <w:r>
        <w:rPr>
          <w:i/>
          <w:iCs/>
        </w:rPr>
        <w:t>Corporations Act 2001</w:t>
      </w:r>
      <w:r>
        <w:t xml:space="preserve"> (Act).</w:t>
      </w:r>
    </w:p>
    <w:p w14:paraId="2CC43B58" w14:textId="0C1E22F1" w:rsidR="00525781" w:rsidRDefault="00525781" w:rsidP="00525781">
      <w:pPr>
        <w:spacing w:before="100" w:beforeAutospacing="1" w:after="100" w:afterAutospacing="1"/>
      </w:pPr>
      <w:r>
        <w:rPr>
          <w:u w:val="single"/>
        </w:rPr>
        <w:t xml:space="preserve">Section 4 </w:t>
      </w:r>
      <w:r w:rsidR="00D627DA" w:rsidRPr="00D627DA">
        <w:rPr>
          <w:u w:val="single"/>
        </w:rPr>
        <w:t>—</w:t>
      </w:r>
      <w:r>
        <w:rPr>
          <w:u w:val="single"/>
        </w:rPr>
        <w:t xml:space="preserve"> Schedule(s)</w:t>
      </w:r>
    </w:p>
    <w:p w14:paraId="7F2572CF" w14:textId="682BF151" w:rsidR="00525781" w:rsidRDefault="00525781" w:rsidP="00525781">
      <w:pPr>
        <w:spacing w:before="100" w:beforeAutospacing="1" w:after="100" w:afterAutospacing="1"/>
      </w:pPr>
      <w:r>
        <w:t xml:space="preserve">This section provides that Schedule 1 amends the </w:t>
      </w:r>
      <w:r>
        <w:rPr>
          <w:i/>
          <w:iCs/>
        </w:rPr>
        <w:t xml:space="preserve">Corporations Regulations 2001 </w:t>
      </w:r>
      <w:r>
        <w:t>(Principal Regulations).</w:t>
      </w:r>
    </w:p>
    <w:p w14:paraId="5AB27937" w14:textId="77777777" w:rsidR="00525781" w:rsidRDefault="00525781" w:rsidP="00525781">
      <w:pPr>
        <w:spacing w:before="100" w:beforeAutospacing="1" w:after="100" w:afterAutospacing="1"/>
      </w:pPr>
      <w:r>
        <w:rPr>
          <w:b/>
          <w:bCs/>
        </w:rPr>
        <w:t>Schedule 1</w:t>
      </w:r>
      <w:r>
        <w:t>—</w:t>
      </w:r>
      <w:r>
        <w:rPr>
          <w:b/>
          <w:bCs/>
        </w:rPr>
        <w:t>Amendments</w:t>
      </w:r>
    </w:p>
    <w:p w14:paraId="3FC74D0B" w14:textId="6F7A2605" w:rsidR="00525781" w:rsidRDefault="005109AD" w:rsidP="00525781">
      <w:pPr>
        <w:spacing w:before="100" w:beforeAutospacing="1" w:after="100" w:afterAutospacing="1"/>
      </w:pPr>
      <w:r w:rsidRPr="005109AD">
        <w:rPr>
          <w:u w:val="single"/>
        </w:rPr>
        <w:t>I</w:t>
      </w:r>
      <w:r w:rsidR="00525781" w:rsidRPr="00B966A2">
        <w:rPr>
          <w:u w:val="single"/>
        </w:rPr>
        <w:t>tem</w:t>
      </w:r>
      <w:r w:rsidR="00222430">
        <w:rPr>
          <w:u w:val="single"/>
        </w:rPr>
        <w:t>s</w:t>
      </w:r>
      <w:r w:rsidR="00525781" w:rsidRPr="00B966A2">
        <w:rPr>
          <w:u w:val="single"/>
        </w:rPr>
        <w:t xml:space="preserve"> 1</w:t>
      </w:r>
      <w:r w:rsidR="00222430">
        <w:rPr>
          <w:u w:val="single"/>
        </w:rPr>
        <w:t>, 2 and 4</w:t>
      </w:r>
      <w:r w:rsidR="00525781">
        <w:t xml:space="preserve"> </w:t>
      </w:r>
      <w:r w:rsidR="00B966A2">
        <w:t>make amendments t</w:t>
      </w:r>
      <w:r w:rsidR="00546EB9">
        <w:t>o the Statement of Advice (</w:t>
      </w:r>
      <w:proofErr w:type="spellStart"/>
      <w:r w:rsidR="0066310B">
        <w:t>So</w:t>
      </w:r>
      <w:r w:rsidR="0069072F">
        <w:t>A</w:t>
      </w:r>
      <w:proofErr w:type="spellEnd"/>
      <w:r w:rsidR="00546EB9">
        <w:t>) requirements of the</w:t>
      </w:r>
      <w:r w:rsidR="00C42FC1">
        <w:t xml:space="preserve"> Act</w:t>
      </w:r>
      <w:r w:rsidR="00546EB9">
        <w:t>.</w:t>
      </w:r>
    </w:p>
    <w:p w14:paraId="2F942FBA" w14:textId="3A770C04" w:rsidR="00B966A2" w:rsidRDefault="00222430" w:rsidP="00B966A2">
      <w:pPr>
        <w:spacing w:before="100" w:beforeAutospacing="1" w:after="100" w:afterAutospacing="1"/>
      </w:pPr>
      <w:r w:rsidRPr="00222430">
        <w:rPr>
          <w:u w:val="single"/>
        </w:rPr>
        <w:t>Item</w:t>
      </w:r>
      <w:r w:rsidR="00B966A2" w:rsidRPr="00222430">
        <w:rPr>
          <w:u w:val="single"/>
        </w:rPr>
        <w:t xml:space="preserve"> 1</w:t>
      </w:r>
      <w:r w:rsidR="00B966A2">
        <w:t xml:space="preserve"> i</w:t>
      </w:r>
      <w:r w:rsidR="00175171">
        <w:t>nserts a new regulation 7.7.08D,</w:t>
      </w:r>
      <w:r w:rsidR="00B966A2">
        <w:t xml:space="preserve"> requiring that:</w:t>
      </w:r>
      <w:r w:rsidR="00603DDF">
        <w:t xml:space="preserve"> </w:t>
      </w:r>
    </w:p>
    <w:p w14:paraId="62F7C66A" w14:textId="12C44603" w:rsidR="00B966A2" w:rsidRDefault="00B966A2" w:rsidP="00472452">
      <w:pPr>
        <w:pStyle w:val="Bullet"/>
      </w:pPr>
      <w:r>
        <w:t xml:space="preserve">the </w:t>
      </w:r>
      <w:proofErr w:type="spellStart"/>
      <w:r w:rsidR="0066310B">
        <w:t>So</w:t>
      </w:r>
      <w:r w:rsidR="0069072F">
        <w:t>A</w:t>
      </w:r>
      <w:proofErr w:type="spellEnd"/>
      <w:r>
        <w:t xml:space="preserve"> must be signed by the </w:t>
      </w:r>
      <w:r w:rsidR="004E0BBA">
        <w:t>providing entity</w:t>
      </w:r>
      <w:r w:rsidR="004E0BBA" w:rsidRPr="000B5D3D">
        <w:t>, or an individual acting on behalf of the providing entity</w:t>
      </w:r>
      <w:r>
        <w:t>; and</w:t>
      </w:r>
    </w:p>
    <w:p w14:paraId="5683B429" w14:textId="65F1C77D" w:rsidR="00B966A2" w:rsidRDefault="00B966A2" w:rsidP="00472452">
      <w:pPr>
        <w:pStyle w:val="Bullet"/>
      </w:pPr>
      <w:r>
        <w:t xml:space="preserve">the client must acknowledge receipt of the </w:t>
      </w:r>
      <w:proofErr w:type="spellStart"/>
      <w:r w:rsidR="0066310B">
        <w:t>So</w:t>
      </w:r>
      <w:r w:rsidR="0069072F">
        <w:t>A</w:t>
      </w:r>
      <w:proofErr w:type="spellEnd"/>
      <w:r>
        <w:t xml:space="preserve"> by signing the </w:t>
      </w:r>
      <w:proofErr w:type="spellStart"/>
      <w:r w:rsidR="0066310B">
        <w:t>So</w:t>
      </w:r>
      <w:r w:rsidR="0069072F">
        <w:t>A</w:t>
      </w:r>
      <w:proofErr w:type="spellEnd"/>
      <w:r>
        <w:t xml:space="preserve"> as soon as practicable after receiving the </w:t>
      </w:r>
      <w:proofErr w:type="spellStart"/>
      <w:r w:rsidR="0066310B">
        <w:t>So</w:t>
      </w:r>
      <w:r w:rsidR="0069072F">
        <w:t>A</w:t>
      </w:r>
      <w:proofErr w:type="spellEnd"/>
      <w:r>
        <w:t>.</w:t>
      </w:r>
    </w:p>
    <w:p w14:paraId="7869F0E8" w14:textId="2BAD289C" w:rsidR="00106EEA" w:rsidRDefault="00175171" w:rsidP="00B966A2">
      <w:pPr>
        <w:spacing w:before="100" w:beforeAutospacing="1" w:after="100" w:afterAutospacing="1"/>
      </w:pPr>
      <w:r w:rsidRPr="00374C7A">
        <w:t>A signature</w:t>
      </w:r>
      <w:r w:rsidR="00873BAF" w:rsidRPr="00374C7A">
        <w:t xml:space="preserve"> can include</w:t>
      </w:r>
      <w:r w:rsidR="002C046F" w:rsidRPr="00374C7A">
        <w:t xml:space="preserve"> a written signature or an electronic signature </w:t>
      </w:r>
      <w:r w:rsidR="002344E0" w:rsidRPr="00374C7A">
        <w:t>(</w:t>
      </w:r>
      <w:r w:rsidR="002C046F" w:rsidRPr="00374C7A">
        <w:t xml:space="preserve">as </w:t>
      </w:r>
      <w:r w:rsidR="002344E0" w:rsidRPr="00374C7A">
        <w:t xml:space="preserve">defined by </w:t>
      </w:r>
      <w:r w:rsidR="002C046F" w:rsidRPr="00374C7A">
        <w:t xml:space="preserve">section 10 of the </w:t>
      </w:r>
      <w:r w:rsidR="002C046F" w:rsidRPr="00374C7A">
        <w:rPr>
          <w:i/>
        </w:rPr>
        <w:t>Electronic Transactions Act 1999</w:t>
      </w:r>
      <w:r w:rsidR="001E7BE0" w:rsidRPr="00374C7A">
        <w:t>)</w:t>
      </w:r>
      <w:r w:rsidR="002C046F" w:rsidRPr="00374C7A">
        <w:t>.</w:t>
      </w:r>
      <w:r w:rsidR="002C046F">
        <w:t xml:space="preserve"> </w:t>
      </w:r>
    </w:p>
    <w:p w14:paraId="47876033" w14:textId="6631A41D" w:rsidR="00B979EC" w:rsidRDefault="00B979EC" w:rsidP="00B966A2">
      <w:pPr>
        <w:spacing w:before="100" w:beforeAutospacing="1" w:after="100" w:afterAutospacing="1"/>
      </w:pPr>
      <w:r w:rsidRPr="00B979EC">
        <w:t xml:space="preserve">The significance of </w:t>
      </w:r>
      <w:r>
        <w:t xml:space="preserve">the client’s signature on the </w:t>
      </w:r>
      <w:proofErr w:type="spellStart"/>
      <w:r>
        <w:t>So</w:t>
      </w:r>
      <w:r w:rsidRPr="00B979EC">
        <w:t>A</w:t>
      </w:r>
      <w:proofErr w:type="spellEnd"/>
      <w:r w:rsidRPr="00B979EC">
        <w:t xml:space="preserve"> is to acknowledge receipt of </w:t>
      </w:r>
      <w:r>
        <w:t xml:space="preserve">the </w:t>
      </w:r>
      <w:proofErr w:type="spellStart"/>
      <w:r>
        <w:t>SoA</w:t>
      </w:r>
      <w:proofErr w:type="spellEnd"/>
      <w:r>
        <w:t xml:space="preserve">.  In signing the </w:t>
      </w:r>
      <w:proofErr w:type="spellStart"/>
      <w:r>
        <w:t>So</w:t>
      </w:r>
      <w:r w:rsidRPr="00B979EC">
        <w:t>A</w:t>
      </w:r>
      <w:proofErr w:type="spellEnd"/>
      <w:r w:rsidRPr="00B979EC">
        <w:t xml:space="preserve">, the client is </w:t>
      </w:r>
      <w:r>
        <w:t xml:space="preserve">not agreeing or accepting the </w:t>
      </w:r>
      <w:proofErr w:type="spellStart"/>
      <w:r>
        <w:t>So</w:t>
      </w:r>
      <w:r w:rsidRPr="00B979EC">
        <w:t>A</w:t>
      </w:r>
      <w:proofErr w:type="spellEnd"/>
      <w:r w:rsidRPr="00B979EC">
        <w:t>, and the client is not signing that they wish the advice to be executed.</w:t>
      </w:r>
    </w:p>
    <w:p w14:paraId="0E0EA260" w14:textId="382DEA70" w:rsidR="00B843B4" w:rsidRDefault="00CA6C83" w:rsidP="00B966A2">
      <w:pPr>
        <w:spacing w:before="100" w:beforeAutospacing="1" w:after="100" w:afterAutospacing="1"/>
      </w:pPr>
      <w:r w:rsidRPr="00374C7A">
        <w:t>Section 944A of the Act defines ‘providing entity’</w:t>
      </w:r>
      <w:r w:rsidR="00B761FE">
        <w:t>;</w:t>
      </w:r>
      <w:r w:rsidR="002753CC" w:rsidRPr="00374C7A">
        <w:t xml:space="preserve"> </w:t>
      </w:r>
      <w:r w:rsidR="00B761FE">
        <w:t>the individual</w:t>
      </w:r>
      <w:r w:rsidR="002753CC" w:rsidRPr="00374C7A">
        <w:t xml:space="preserve"> </w:t>
      </w:r>
      <w:r w:rsidR="002272B1">
        <w:t>that</w:t>
      </w:r>
      <w:r w:rsidR="002272B1" w:rsidRPr="00374C7A">
        <w:t xml:space="preserve"> </w:t>
      </w:r>
      <w:r w:rsidR="00B843B4" w:rsidRPr="00374C7A">
        <w:t xml:space="preserve">can sign on behalf of the providing entity is a matter to be determined by </w:t>
      </w:r>
      <w:r w:rsidR="00B761FE">
        <w:t>the providing</w:t>
      </w:r>
      <w:r w:rsidR="00B843B4" w:rsidRPr="00374C7A">
        <w:t xml:space="preserve"> entity.</w:t>
      </w:r>
    </w:p>
    <w:p w14:paraId="59191E7D" w14:textId="68CB42FB" w:rsidR="00174B4C" w:rsidRDefault="00C42FC1" w:rsidP="00B966A2">
      <w:pPr>
        <w:spacing w:before="100" w:beforeAutospacing="1" w:after="100" w:afterAutospacing="1"/>
      </w:pPr>
      <w:r>
        <w:t>While it is</w:t>
      </w:r>
      <w:r w:rsidR="004E0BBA">
        <w:t xml:space="preserve"> a</w:t>
      </w:r>
      <w:r>
        <w:t xml:space="preserve"> requirement that both the adviser and the client sign the </w:t>
      </w:r>
      <w:proofErr w:type="spellStart"/>
      <w:r>
        <w:t>SoA</w:t>
      </w:r>
      <w:proofErr w:type="spellEnd"/>
      <w:r>
        <w:t>, t</w:t>
      </w:r>
      <w:r w:rsidR="00B966A2">
        <w:t xml:space="preserve">he client does not commit </w:t>
      </w:r>
      <w:r w:rsidR="00142570">
        <w:t>an</w:t>
      </w:r>
      <w:r w:rsidR="00B966A2">
        <w:t xml:space="preserve"> offence if he or she does not </w:t>
      </w:r>
      <w:r>
        <w:t xml:space="preserve">sign the </w:t>
      </w:r>
      <w:proofErr w:type="spellStart"/>
      <w:r>
        <w:t>SoA</w:t>
      </w:r>
      <w:proofErr w:type="spellEnd"/>
      <w:r w:rsidR="00B966A2">
        <w:t xml:space="preserve">.  </w:t>
      </w:r>
    </w:p>
    <w:p w14:paraId="2E8BBECF" w14:textId="0C2AC9C6" w:rsidR="00B966A2" w:rsidRDefault="009811E8" w:rsidP="00B966A2">
      <w:pPr>
        <w:spacing w:before="100" w:beforeAutospacing="1" w:after="100" w:afterAutospacing="1"/>
      </w:pPr>
      <w:r>
        <w:t>T</w:t>
      </w:r>
      <w:r w:rsidR="00B966A2">
        <w:t xml:space="preserve">he providing entity does not fail to give a </w:t>
      </w:r>
      <w:proofErr w:type="spellStart"/>
      <w:r w:rsidR="0066310B">
        <w:t>So</w:t>
      </w:r>
      <w:r w:rsidR="0069072F">
        <w:t>A</w:t>
      </w:r>
      <w:proofErr w:type="spellEnd"/>
      <w:r w:rsidR="00B966A2">
        <w:t xml:space="preserve"> to the client in accordance with Subdivision D of Division 3 of Part 7.7 merely because the client does not acknowledge the </w:t>
      </w:r>
      <w:proofErr w:type="spellStart"/>
      <w:r w:rsidR="0066310B">
        <w:t>So</w:t>
      </w:r>
      <w:r w:rsidR="0069072F">
        <w:t>A</w:t>
      </w:r>
      <w:proofErr w:type="spellEnd"/>
      <w:r w:rsidR="00B966A2">
        <w:t>.</w:t>
      </w:r>
    </w:p>
    <w:p w14:paraId="34D9152B" w14:textId="57A7C575" w:rsidR="00B966A2" w:rsidRDefault="00174B4C" w:rsidP="00B966A2">
      <w:pPr>
        <w:spacing w:before="100" w:beforeAutospacing="1" w:after="100" w:afterAutospacing="1"/>
      </w:pPr>
      <w:r w:rsidRPr="00174B4C">
        <w:rPr>
          <w:u w:val="single"/>
        </w:rPr>
        <w:t>Item 1</w:t>
      </w:r>
      <w:r w:rsidR="00B966A2">
        <w:t xml:space="preserve"> </w:t>
      </w:r>
      <w:r w:rsidR="0006427E">
        <w:t>confirms</w:t>
      </w:r>
      <w:r w:rsidR="00B966A2">
        <w:t xml:space="preserve"> that a client who is given a </w:t>
      </w:r>
      <w:proofErr w:type="spellStart"/>
      <w:r w:rsidR="0066310B">
        <w:t>So</w:t>
      </w:r>
      <w:r w:rsidR="0069072F">
        <w:t>A</w:t>
      </w:r>
      <w:proofErr w:type="spellEnd"/>
      <w:r w:rsidR="00B966A2">
        <w:t xml:space="preserve"> may seek</w:t>
      </w:r>
      <w:r w:rsidR="00CD266E">
        <w:t xml:space="preserve"> further or varied advice.  For example, if a client’s </w:t>
      </w:r>
      <w:r w:rsidR="00C42FC1">
        <w:t>financial situation</w:t>
      </w:r>
      <w:r w:rsidR="00CD266E">
        <w:t xml:space="preserve"> change</w:t>
      </w:r>
      <w:r w:rsidR="00C42FC1">
        <w:t>s</w:t>
      </w:r>
      <w:r w:rsidR="00CD266E">
        <w:t xml:space="preserve">, </w:t>
      </w:r>
      <w:r w:rsidR="0094037A">
        <w:t>the client</w:t>
      </w:r>
      <w:r w:rsidR="00CD266E">
        <w:t xml:space="preserve"> may </w:t>
      </w:r>
      <w:r w:rsidR="00B2409A">
        <w:t>seek</w:t>
      </w:r>
      <w:r w:rsidR="00CD266E">
        <w:t xml:space="preserve"> further advice. </w:t>
      </w:r>
    </w:p>
    <w:p w14:paraId="300031DC" w14:textId="018FCB1F" w:rsidR="00205CBE" w:rsidRDefault="00CD266E" w:rsidP="009868A7">
      <w:pPr>
        <w:spacing w:before="100" w:beforeAutospacing="1" w:after="100" w:afterAutospacing="1"/>
      </w:pPr>
      <w:r>
        <w:t xml:space="preserve">The new </w:t>
      </w:r>
      <w:r w:rsidR="00842EA0">
        <w:t>R</w:t>
      </w:r>
      <w:r>
        <w:t>egulation provides that</w:t>
      </w:r>
      <w:r w:rsidR="00205CBE">
        <w:t>, i</w:t>
      </w:r>
      <w:r w:rsidR="00205CBE" w:rsidRPr="00DD1C1B">
        <w:t>f further or varied advice is sought</w:t>
      </w:r>
      <w:r w:rsidR="00205CBE">
        <w:t xml:space="preserve"> by the client</w:t>
      </w:r>
      <w:r w:rsidR="00205CBE" w:rsidRPr="00DD1C1B">
        <w:t>, the providing entity must ensure that instructions from the client are: documented in writing; signed by the client; and acknowledged by the providing entity, or an individual acting on behalf of the providing entity.</w:t>
      </w:r>
    </w:p>
    <w:p w14:paraId="1285A2F6" w14:textId="047ECAA1" w:rsidR="00205CBE" w:rsidRDefault="00205CBE" w:rsidP="007059A9">
      <w:pPr>
        <w:keepNext/>
        <w:keepLines/>
        <w:spacing w:before="100" w:beforeAutospacing="1" w:after="100" w:afterAutospacing="1"/>
      </w:pPr>
      <w:r>
        <w:t xml:space="preserve">The </w:t>
      </w:r>
      <w:r w:rsidR="00D456F7">
        <w:t xml:space="preserve">Regulation </w:t>
      </w:r>
      <w:r>
        <w:t>provides that the instructions for further or varied advice can be documented in writing and signed by the client either before or after the advice is given.  This allows flexibility in time-critical situations.  For example, if the stock market crashes and a client seeks time-critical further advice that they subsequently want actioned immediately, the instructions for further or varied advice can be documented in writing and signed by the client after the advice has been given.</w:t>
      </w:r>
    </w:p>
    <w:p w14:paraId="78740C78" w14:textId="741B1673" w:rsidR="00205CBE" w:rsidRDefault="00205CBE" w:rsidP="00205CBE">
      <w:pPr>
        <w:spacing w:before="100" w:beforeAutospacing="1" w:after="100" w:afterAutospacing="1"/>
      </w:pPr>
      <w:r>
        <w:t xml:space="preserve">The </w:t>
      </w:r>
      <w:r w:rsidR="00842EA0">
        <w:t>R</w:t>
      </w:r>
      <w:r>
        <w:t>egulation provides that the providing entity does not commit an offence if the client does not sign a written copy of the instructions for that further or varied advice.  Also, the fact that the client does not sign a written copy of the instructions for that further or varied advice is not evidence that the instructions have not been given.  As such, the providing entity is able to proceed with providing further or varied advice—particularly time critical advice—even if the client has not yet signed.</w:t>
      </w:r>
    </w:p>
    <w:p w14:paraId="0DAE5EC8" w14:textId="126E0120" w:rsidR="00331913" w:rsidRDefault="00331913" w:rsidP="00B966A2">
      <w:pPr>
        <w:spacing w:before="100" w:beforeAutospacing="1" w:after="100" w:afterAutospacing="1"/>
      </w:pPr>
      <w:r>
        <w:t>The requirement to confirm instructions in writing and obtain the signature of the client does not alter any other existing requirements around the provision of personal advice</w:t>
      </w:r>
      <w:r w:rsidR="00E6260D">
        <w:t xml:space="preserve"> for example</w:t>
      </w:r>
      <w:r>
        <w:t xml:space="preserve"> the obligation to provide a </w:t>
      </w:r>
      <w:proofErr w:type="spellStart"/>
      <w:r>
        <w:t>SoA</w:t>
      </w:r>
      <w:proofErr w:type="spellEnd"/>
      <w:r w:rsidR="00E6260D">
        <w:t xml:space="preserve"> when</w:t>
      </w:r>
      <w:r>
        <w:t xml:space="preserve"> required. </w:t>
      </w:r>
    </w:p>
    <w:p w14:paraId="0E4542DF" w14:textId="45A4ACA5" w:rsidR="00492690" w:rsidRDefault="00492690" w:rsidP="00B966A2">
      <w:pPr>
        <w:spacing w:before="100" w:beforeAutospacing="1" w:after="100" w:afterAutospacing="1"/>
      </w:pPr>
      <w:r>
        <w:t xml:space="preserve">Regulation 7.7.08D applies to </w:t>
      </w:r>
      <w:proofErr w:type="spellStart"/>
      <w:r w:rsidR="0066310B">
        <w:t>So</w:t>
      </w:r>
      <w:r w:rsidR="0069072F">
        <w:t>A</w:t>
      </w:r>
      <w:r w:rsidR="00B1635A">
        <w:t>s</w:t>
      </w:r>
      <w:proofErr w:type="spellEnd"/>
      <w:r w:rsidR="00B1635A">
        <w:t xml:space="preserve"> given on or after the c</w:t>
      </w:r>
      <w:r>
        <w:t>ommencement</w:t>
      </w:r>
      <w:r w:rsidR="00B1635A">
        <w:t xml:space="preserve"> of this </w:t>
      </w:r>
      <w:r w:rsidR="00D456F7">
        <w:t>Regulation</w:t>
      </w:r>
      <w:r w:rsidR="00B1635A">
        <w:t>,</w:t>
      </w:r>
      <w:r w:rsidR="00853A10">
        <w:t xml:space="preserve"> and</w:t>
      </w:r>
      <w:r>
        <w:t xml:space="preserve"> to further instructions </w:t>
      </w:r>
      <w:r w:rsidR="00920AB2">
        <w:t>given</w:t>
      </w:r>
      <w:r w:rsidR="00F54C29">
        <w:t xml:space="preserve"> </w:t>
      </w:r>
      <w:r w:rsidR="00B1635A">
        <w:t xml:space="preserve">on or after </w:t>
      </w:r>
      <w:r w:rsidR="001E1171">
        <w:t xml:space="preserve">the </w:t>
      </w:r>
      <w:r w:rsidR="00B1635A">
        <w:t>c</w:t>
      </w:r>
      <w:r>
        <w:t>ommencement</w:t>
      </w:r>
      <w:r w:rsidR="00B1635A">
        <w:t xml:space="preserve"> of this </w:t>
      </w:r>
      <w:r w:rsidR="00D456F7">
        <w:t>Regulation</w:t>
      </w:r>
      <w:r>
        <w:t xml:space="preserve">. </w:t>
      </w:r>
    </w:p>
    <w:p w14:paraId="127E63F2" w14:textId="5980219D" w:rsidR="00525781" w:rsidRDefault="00525781" w:rsidP="00525781">
      <w:pPr>
        <w:spacing w:before="100" w:beforeAutospacing="1" w:after="100" w:afterAutospacing="1"/>
      </w:pPr>
      <w:r>
        <w:t xml:space="preserve">The amendments in </w:t>
      </w:r>
      <w:r>
        <w:rPr>
          <w:u w:val="single"/>
        </w:rPr>
        <w:t>i</w:t>
      </w:r>
      <w:r w:rsidRPr="00525781">
        <w:rPr>
          <w:u w:val="single"/>
        </w:rPr>
        <w:t>tems 2 and 4</w:t>
      </w:r>
      <w:r w:rsidR="00121A78">
        <w:t xml:space="preserve"> insert</w:t>
      </w:r>
      <w:r w:rsidR="00150341">
        <w:t xml:space="preserve"> new </w:t>
      </w:r>
      <w:r w:rsidR="00D456F7">
        <w:t xml:space="preserve">Regulations </w:t>
      </w:r>
      <w:r w:rsidR="00150341">
        <w:t>7.7.09AAA</w:t>
      </w:r>
      <w:r w:rsidR="00150341" w:rsidRPr="00150341">
        <w:t xml:space="preserve"> </w:t>
      </w:r>
      <w:r w:rsidR="00150341">
        <w:t xml:space="preserve">and </w:t>
      </w:r>
      <w:r w:rsidR="00197EEE">
        <w:t>7.7.09BAA.</w:t>
      </w:r>
    </w:p>
    <w:p w14:paraId="2381E821" w14:textId="69906BF5" w:rsidR="00525781" w:rsidRDefault="00525781" w:rsidP="00525781">
      <w:pPr>
        <w:spacing w:before="100" w:beforeAutospacing="1" w:after="100" w:afterAutospacing="1"/>
      </w:pPr>
      <w:r>
        <w:rPr>
          <w:u w:val="single"/>
        </w:rPr>
        <w:t>Item</w:t>
      </w:r>
      <w:r w:rsidR="00197EEE">
        <w:rPr>
          <w:u w:val="single"/>
        </w:rPr>
        <w:t>s</w:t>
      </w:r>
      <w:r>
        <w:rPr>
          <w:u w:val="single"/>
        </w:rPr>
        <w:t xml:space="preserve"> 2</w:t>
      </w:r>
      <w:r w:rsidR="00197EEE">
        <w:rPr>
          <w:u w:val="single"/>
        </w:rPr>
        <w:t xml:space="preserve"> and 4</w:t>
      </w:r>
      <w:r>
        <w:t xml:space="preserve"> </w:t>
      </w:r>
      <w:r w:rsidR="00B30620">
        <w:t>require that</w:t>
      </w:r>
      <w:r w:rsidR="00E22BB6">
        <w:t xml:space="preserve"> financial services licensees</w:t>
      </w:r>
      <w:r w:rsidR="00B30620">
        <w:t xml:space="preserve"> </w:t>
      </w:r>
      <w:r w:rsidR="00197EEE">
        <w:t xml:space="preserve">and authorised representatives </w:t>
      </w:r>
      <w:r w:rsidR="00B30620">
        <w:t xml:space="preserve">must provide certain information and statements in </w:t>
      </w:r>
      <w:r w:rsidR="0029541C">
        <w:t xml:space="preserve">the </w:t>
      </w:r>
      <w:proofErr w:type="spellStart"/>
      <w:r w:rsidR="0057379C">
        <w:t>So</w:t>
      </w:r>
      <w:r w:rsidR="0029541C">
        <w:t>A</w:t>
      </w:r>
      <w:proofErr w:type="spellEnd"/>
      <w:r>
        <w:t>.</w:t>
      </w:r>
    </w:p>
    <w:p w14:paraId="4E6D2C4A" w14:textId="77777777" w:rsidR="00197EEE" w:rsidRDefault="00197EEE" w:rsidP="00197EEE">
      <w:pPr>
        <w:spacing w:before="100" w:beforeAutospacing="1" w:after="100" w:afterAutospacing="1"/>
      </w:pPr>
      <w:r>
        <w:t>Item 2 covers financial services licensees.</w:t>
      </w:r>
    </w:p>
    <w:p w14:paraId="099B9252" w14:textId="04EA21A3" w:rsidR="00197EEE" w:rsidRDefault="00197EEE" w:rsidP="00525781">
      <w:pPr>
        <w:spacing w:before="100" w:beforeAutospacing="1" w:after="100" w:afterAutospacing="1"/>
      </w:pPr>
      <w:r>
        <w:t>Item 4 covers authorised representatives.</w:t>
      </w:r>
    </w:p>
    <w:p w14:paraId="507EE24D" w14:textId="23965E8D" w:rsidR="00B966A2" w:rsidRDefault="009B5EAD" w:rsidP="007059A9">
      <w:pPr>
        <w:pStyle w:val="base-text-paragraph"/>
        <w:keepNext/>
        <w:keepLines/>
        <w:ind w:left="0"/>
      </w:pPr>
      <w:r>
        <w:t xml:space="preserve">The </w:t>
      </w:r>
      <w:r w:rsidR="00D456F7">
        <w:t xml:space="preserve">Regulation </w:t>
      </w:r>
      <w:r w:rsidR="00C419C4" w:rsidRPr="00C419C4">
        <w:t>provide</w:t>
      </w:r>
      <w:r w:rsidR="002272B1">
        <w:t>s</w:t>
      </w:r>
      <w:r w:rsidR="00C419C4" w:rsidRPr="00C419C4">
        <w:t xml:space="preserve"> that the following must be included in</w:t>
      </w:r>
      <w:r w:rsidR="00C419C4">
        <w:t xml:space="preserve"> a </w:t>
      </w:r>
      <w:proofErr w:type="spellStart"/>
      <w:r w:rsidR="0057379C">
        <w:t>So</w:t>
      </w:r>
      <w:r w:rsidR="00C419C4">
        <w:t>A</w:t>
      </w:r>
      <w:proofErr w:type="spellEnd"/>
      <w:r w:rsidR="00C419C4">
        <w:t xml:space="preserve"> given to </w:t>
      </w:r>
      <w:r w:rsidR="00B24349">
        <w:t>a</w:t>
      </w:r>
      <w:r w:rsidR="00C419C4">
        <w:t xml:space="preserve"> client</w:t>
      </w:r>
      <w:r w:rsidR="00B966A2">
        <w:t>:</w:t>
      </w:r>
    </w:p>
    <w:p w14:paraId="2EBC9291" w14:textId="05F1ACAB" w:rsidR="00B966A2" w:rsidRDefault="00B51C07" w:rsidP="007059A9">
      <w:pPr>
        <w:pStyle w:val="Bullet"/>
        <w:keepNext/>
        <w:keepLines/>
      </w:pPr>
      <w:r>
        <w:t xml:space="preserve">a statement that </w:t>
      </w:r>
      <w:r w:rsidR="00B966A2">
        <w:t xml:space="preserve">the </w:t>
      </w:r>
      <w:r w:rsidR="00E620CB">
        <w:t>provider of</w:t>
      </w:r>
      <w:r w:rsidR="00E620CB" w:rsidRPr="00ED0362">
        <w:t xml:space="preserve"> the advice </w:t>
      </w:r>
      <w:r w:rsidR="00B966A2">
        <w:t xml:space="preserve">is required to provide the advice in </w:t>
      </w:r>
      <w:r w:rsidR="00B24349">
        <w:t xml:space="preserve">accordance </w:t>
      </w:r>
      <w:r w:rsidR="00B966A2">
        <w:t>with the best interests duty (</w:t>
      </w:r>
      <w:r w:rsidR="00573F70">
        <w:t xml:space="preserve">as </w:t>
      </w:r>
      <w:r w:rsidR="00C419C4">
        <w:t xml:space="preserve">required under </w:t>
      </w:r>
      <w:r w:rsidR="00B966A2">
        <w:t>section 961B</w:t>
      </w:r>
      <w:r w:rsidR="00C419C4">
        <w:t xml:space="preserve"> of the </w:t>
      </w:r>
      <w:r w:rsidR="00326019">
        <w:t>Act</w:t>
      </w:r>
      <w:r w:rsidR="00B966A2">
        <w:t>);</w:t>
      </w:r>
    </w:p>
    <w:p w14:paraId="134FA26A" w14:textId="62ABEDF4" w:rsidR="00B966A2" w:rsidRDefault="00AD450A" w:rsidP="000E18D9">
      <w:pPr>
        <w:pStyle w:val="Bullet"/>
      </w:pPr>
      <w:r>
        <w:t>a</w:t>
      </w:r>
      <w:r w:rsidR="00B51C07">
        <w:t xml:space="preserve"> statement that </w:t>
      </w:r>
      <w:r w:rsidR="00B966A2">
        <w:t xml:space="preserve">the </w:t>
      </w:r>
      <w:r w:rsidR="00E620CB">
        <w:t>provider of</w:t>
      </w:r>
      <w:r w:rsidR="00E620CB" w:rsidRPr="00ED0362">
        <w:t xml:space="preserve"> the advice </w:t>
      </w:r>
      <w:r w:rsidR="00B966A2">
        <w:t xml:space="preserve">genuinely believes that the advice given is in the best interests of the client, </w:t>
      </w:r>
      <w:r w:rsidR="00614BDE">
        <w:t>given</w:t>
      </w:r>
      <w:r w:rsidR="00B966A2">
        <w:t xml:space="preserve"> the </w:t>
      </w:r>
      <w:r w:rsidR="00614BDE">
        <w:t xml:space="preserve">client’s relevant circumstances; the term ‘relevant circumstances’ is given </w:t>
      </w:r>
      <w:r w:rsidR="00B966A2">
        <w:t xml:space="preserve">meaning </w:t>
      </w:r>
      <w:r w:rsidR="00614BDE">
        <w:t>by</w:t>
      </w:r>
      <w:r w:rsidR="00B966A2">
        <w:t xml:space="preserve"> </w:t>
      </w:r>
      <w:r w:rsidR="002272B1">
        <w:t>section </w:t>
      </w:r>
      <w:r w:rsidR="00B966A2" w:rsidDel="00F01C34">
        <w:t>961B</w:t>
      </w:r>
      <w:r w:rsidR="00C419C4" w:rsidDel="00F01C34">
        <w:t xml:space="preserve"> </w:t>
      </w:r>
      <w:r w:rsidR="00C419C4">
        <w:t xml:space="preserve">of the </w:t>
      </w:r>
      <w:r w:rsidR="00B03416">
        <w:t>Act</w:t>
      </w:r>
      <w:r w:rsidR="00B966A2">
        <w:t>;</w:t>
      </w:r>
    </w:p>
    <w:p w14:paraId="2F9BC51D" w14:textId="78D4886C" w:rsidR="00C419C4" w:rsidRDefault="00AD450A" w:rsidP="000E18D9">
      <w:pPr>
        <w:pStyle w:val="Bullet"/>
      </w:pPr>
      <w:r>
        <w:t>a</w:t>
      </w:r>
      <w:r w:rsidR="00B51C07">
        <w:t xml:space="preserve"> statement that, </w:t>
      </w:r>
      <w:r w:rsidR="000E18D9">
        <w:t>w</w:t>
      </w:r>
      <w:r w:rsidR="00C419C4">
        <w:t>here there is a conflict of interest</w:t>
      </w:r>
      <w:r w:rsidR="003F2D38">
        <w:t>s</w:t>
      </w:r>
      <w:r w:rsidR="00C419C4">
        <w:t xml:space="preserve">, the </w:t>
      </w:r>
      <w:r w:rsidR="00E620CB">
        <w:t>provider of</w:t>
      </w:r>
      <w:r w:rsidR="00E620CB" w:rsidRPr="00ED0362">
        <w:t xml:space="preserve"> the advice</w:t>
      </w:r>
      <w:r w:rsidR="00C419C4">
        <w:t xml:space="preserve"> </w:t>
      </w:r>
      <w:r w:rsidR="003F2D38">
        <w:t xml:space="preserve">is required to give </w:t>
      </w:r>
      <w:r w:rsidR="00C419C4">
        <w:t xml:space="preserve">priority to the client’s </w:t>
      </w:r>
      <w:r w:rsidR="003F2D38">
        <w:t xml:space="preserve">interests </w:t>
      </w:r>
      <w:r w:rsidR="00C419C4">
        <w:t>(</w:t>
      </w:r>
      <w:r w:rsidR="002F442F">
        <w:t xml:space="preserve">as </w:t>
      </w:r>
      <w:r w:rsidR="00C419C4">
        <w:t xml:space="preserve">required under </w:t>
      </w:r>
      <w:r w:rsidR="002272B1">
        <w:t>section </w:t>
      </w:r>
      <w:r w:rsidR="00C419C4">
        <w:t xml:space="preserve">961J of the </w:t>
      </w:r>
      <w:r w:rsidR="00B03416">
        <w:t>Act</w:t>
      </w:r>
      <w:r w:rsidR="00C419C4">
        <w:t>)</w:t>
      </w:r>
      <w:r w:rsidR="000E18D9">
        <w:t>;</w:t>
      </w:r>
    </w:p>
    <w:p w14:paraId="3C843118" w14:textId="50326422" w:rsidR="005E6CC6" w:rsidRDefault="00AD450A" w:rsidP="000E18D9">
      <w:pPr>
        <w:pStyle w:val="Bullet"/>
      </w:pPr>
      <w:r>
        <w:t>i</w:t>
      </w:r>
      <w:r w:rsidR="00B51C07">
        <w:t xml:space="preserve">nformation regarding </w:t>
      </w:r>
      <w:r w:rsidR="00B966A2">
        <w:t>fees that have been, or may be charged to the client in relation to the advice;</w:t>
      </w:r>
    </w:p>
    <w:p w14:paraId="711678E6" w14:textId="1340A2F4" w:rsidR="00B966A2" w:rsidRDefault="005E6CC6" w:rsidP="005E6CC6">
      <w:pPr>
        <w:pStyle w:val="Dash"/>
      </w:pPr>
      <w:r>
        <w:t xml:space="preserve">This includes fees </w:t>
      </w:r>
      <w:r w:rsidR="003F2D38">
        <w:t xml:space="preserve">charged </w:t>
      </w:r>
      <w:r>
        <w:t>by the providing entity, an employer of the providing entity, the authorising licensee, or any of the authorising licensees, an employee or director of the authorising licensee, or any of the authorising licensees or an associate of any of these.</w:t>
      </w:r>
    </w:p>
    <w:p w14:paraId="0628F8D5" w14:textId="21BD31B5" w:rsidR="00B966A2" w:rsidRDefault="00B966A2" w:rsidP="000E18D9">
      <w:pPr>
        <w:pStyle w:val="Bullet"/>
      </w:pPr>
      <w:r>
        <w:t xml:space="preserve">if the client enters into an ongoing fee arrangement with the providing entity, </w:t>
      </w:r>
      <w:r w:rsidR="00AD450A">
        <w:t xml:space="preserve">a statement </w:t>
      </w:r>
      <w:r>
        <w:t>whether the client would be entitled to receive a fee disclosure statement (within Division 3 of Part 7.7A of the Act), and if so, a statement indicating that the providing entity must give the client a fee disclosure statement each year in relation to the ongoing fee arrangement;</w:t>
      </w:r>
    </w:p>
    <w:p w14:paraId="6CDEBECB" w14:textId="49D8AE91" w:rsidR="00B966A2" w:rsidRDefault="00B966A2" w:rsidP="000E18D9">
      <w:pPr>
        <w:pStyle w:val="Bullet"/>
      </w:pPr>
      <w:r>
        <w:t xml:space="preserve">if the providing entity recommends that the client acquire a financial product, a statement advising the client that they may have the right to return the product under Division 5 of </w:t>
      </w:r>
      <w:r w:rsidR="00835D44">
        <w:t>P</w:t>
      </w:r>
      <w:r>
        <w:t>art 7.9 within a cooling-off period; and</w:t>
      </w:r>
    </w:p>
    <w:p w14:paraId="384A7386" w14:textId="6C6282F2" w:rsidR="00B966A2" w:rsidRDefault="00AD450A" w:rsidP="000E18D9">
      <w:pPr>
        <w:pStyle w:val="Bullet"/>
      </w:pPr>
      <w:r>
        <w:t xml:space="preserve">a statement </w:t>
      </w:r>
      <w:r w:rsidR="00B966A2">
        <w:t>that the client may seek further or varied advice from the providing entity at any time.</w:t>
      </w:r>
    </w:p>
    <w:p w14:paraId="41A0836F" w14:textId="66338A54" w:rsidR="005C188B" w:rsidRDefault="005C188B" w:rsidP="00525781">
      <w:pPr>
        <w:spacing w:before="100" w:beforeAutospacing="1" w:after="100" w:afterAutospacing="1"/>
      </w:pPr>
      <w:r w:rsidRPr="00E978CB">
        <w:t xml:space="preserve">Fees are intended to include those in relation to providing the advice, </w:t>
      </w:r>
      <w:r w:rsidR="00CF2FFD">
        <w:t>but</w:t>
      </w:r>
      <w:r w:rsidRPr="00E978CB">
        <w:t xml:space="preserve"> are not intended to include product fees.</w:t>
      </w:r>
    </w:p>
    <w:p w14:paraId="06EC8F22" w14:textId="71CD1143" w:rsidR="007D4856" w:rsidRDefault="001C2F72" w:rsidP="001C2F72">
      <w:pPr>
        <w:spacing w:before="100" w:beforeAutospacing="1" w:after="100" w:afterAutospacing="1"/>
      </w:pPr>
      <w:r>
        <w:t>The information regarding fees that have been, or may be, charged to the client in relation to the advice is intended to be stated in amounts as dollars</w:t>
      </w:r>
      <w:r w:rsidR="008148CC">
        <w:t>; h</w:t>
      </w:r>
      <w:r>
        <w:t>owever, this may not always be possible.  As such, the Regulation provide</w:t>
      </w:r>
      <w:r w:rsidR="00E82509">
        <w:t>s</w:t>
      </w:r>
      <w:r>
        <w:t xml:space="preserve"> </w:t>
      </w:r>
      <w:r w:rsidR="00946D29">
        <w:t>the Australian Securities and Investments Commission (</w:t>
      </w:r>
      <w:proofErr w:type="spellStart"/>
      <w:r w:rsidR="00946D29">
        <w:t>ASIC</w:t>
      </w:r>
      <w:proofErr w:type="spellEnd"/>
      <w:r w:rsidR="00946D29">
        <w:t xml:space="preserve">) </w:t>
      </w:r>
      <w:r w:rsidR="003F2D38">
        <w:t xml:space="preserve">with </w:t>
      </w:r>
      <w:r w:rsidR="00FD3007">
        <w:t>the</w:t>
      </w:r>
      <w:r>
        <w:t xml:space="preserve"> power to provide that other formats may be allowed</w:t>
      </w:r>
      <w:r w:rsidR="008148CC">
        <w:t xml:space="preserve"> </w:t>
      </w:r>
      <w:r w:rsidR="00C32AD3">
        <w:t>—</w:t>
      </w:r>
      <w:r w:rsidR="008148CC">
        <w:t xml:space="preserve"> this</w:t>
      </w:r>
      <w:r>
        <w:t>, in effect, provide</w:t>
      </w:r>
      <w:r w:rsidR="00E82509">
        <w:t>s</w:t>
      </w:r>
      <w:r>
        <w:t xml:space="preserve"> that the existing dollar disclosure provisions </w:t>
      </w:r>
      <w:r w:rsidR="007D4856">
        <w:t>apply</w:t>
      </w:r>
      <w:r>
        <w:t xml:space="preserve">.  </w:t>
      </w:r>
      <w:r w:rsidR="00FD3007">
        <w:t>As such,</w:t>
      </w:r>
      <w:r>
        <w:t xml:space="preserve"> fees should be stated as amounts in dollars unless </w:t>
      </w:r>
      <w:proofErr w:type="spellStart"/>
      <w:r>
        <w:t>ASIC</w:t>
      </w:r>
      <w:proofErr w:type="spellEnd"/>
      <w:r>
        <w:t xml:space="preserve"> grants relief </w:t>
      </w:r>
      <w:r w:rsidR="008148CC">
        <w:t>(</w:t>
      </w:r>
      <w:r>
        <w:t>for example</w:t>
      </w:r>
      <w:r w:rsidR="002272B1">
        <w:t>,</w:t>
      </w:r>
      <w:r>
        <w:t xml:space="preserve"> through a Class Order</w:t>
      </w:r>
      <w:r w:rsidR="008148CC">
        <w:t>)</w:t>
      </w:r>
      <w:r>
        <w:t xml:space="preserve">.  If </w:t>
      </w:r>
      <w:proofErr w:type="spellStart"/>
      <w:r>
        <w:t>ASIC</w:t>
      </w:r>
      <w:proofErr w:type="spellEnd"/>
      <w:r>
        <w:t xml:space="preserve"> determines that is not </w:t>
      </w:r>
      <w:r w:rsidRPr="00FF5ED6">
        <w:t>reasonably practicable to provide the amount in dollar terms</w:t>
      </w:r>
      <w:r>
        <w:t xml:space="preserve">, the fee may be disclosed </w:t>
      </w:r>
      <w:r w:rsidRPr="00317A4F">
        <w:t>as a percentage</w:t>
      </w:r>
      <w:r>
        <w:t xml:space="preserve"> or as a description with a worked example (for more information on the dollar disclosure provisions, see </w:t>
      </w:r>
      <w:proofErr w:type="spellStart"/>
      <w:r>
        <w:t>ASIC</w:t>
      </w:r>
      <w:proofErr w:type="spellEnd"/>
      <w:r>
        <w:t xml:space="preserve"> </w:t>
      </w:r>
      <w:r w:rsidRPr="000969DB">
        <w:rPr>
          <w:i/>
        </w:rPr>
        <w:t xml:space="preserve">Regulatory Guide 182: </w:t>
      </w:r>
      <w:r>
        <w:rPr>
          <w:i/>
        </w:rPr>
        <w:t xml:space="preserve"> </w:t>
      </w:r>
      <w:r w:rsidRPr="000969DB">
        <w:rPr>
          <w:i/>
        </w:rPr>
        <w:t>Dollar Disclosure</w:t>
      </w:r>
      <w:r>
        <w:t xml:space="preserve">). </w:t>
      </w:r>
    </w:p>
    <w:p w14:paraId="3F195231" w14:textId="4A96F04B" w:rsidR="00835D44" w:rsidRDefault="00835D44" w:rsidP="00525781">
      <w:pPr>
        <w:spacing w:before="100" w:beforeAutospacing="1" w:after="100" w:afterAutospacing="1"/>
      </w:pPr>
      <w:r w:rsidRPr="00C76B23">
        <w:t xml:space="preserve">As per Division 5 of Part </w:t>
      </w:r>
      <w:r w:rsidR="00EF37F6" w:rsidRPr="00C76B23">
        <w:t>7.9 (cooling-off periods),</w:t>
      </w:r>
      <w:r w:rsidRPr="00C76B23">
        <w:t xml:space="preserve"> a client has a right</w:t>
      </w:r>
      <w:r w:rsidR="002272B1">
        <w:t>,</w:t>
      </w:r>
      <w:r w:rsidRPr="00C76B23">
        <w:t xml:space="preserve"> for certain financial products</w:t>
      </w:r>
      <w:r w:rsidR="002272B1">
        <w:t>,</w:t>
      </w:r>
      <w:r w:rsidRPr="00C76B23">
        <w:t xml:space="preserve"> to return the product to the responsible person and get their money back, within a certain period of time.</w:t>
      </w:r>
    </w:p>
    <w:p w14:paraId="58B59DA4" w14:textId="5AB60AE2" w:rsidR="00B30620" w:rsidRDefault="001A1718" w:rsidP="00525781">
      <w:pPr>
        <w:spacing w:before="100" w:beforeAutospacing="1" w:after="100" w:afterAutospacing="1"/>
      </w:pPr>
      <w:r>
        <w:t>Regulation</w:t>
      </w:r>
      <w:r w:rsidR="003F2D38">
        <w:t>s</w:t>
      </w:r>
      <w:r>
        <w:t xml:space="preserve"> 7.7.09AAA</w:t>
      </w:r>
      <w:r w:rsidR="003F2D38">
        <w:t xml:space="preserve"> and 7.7.09BAA</w:t>
      </w:r>
      <w:r>
        <w:t xml:space="preserve"> appl</w:t>
      </w:r>
      <w:r w:rsidR="003F2D38">
        <w:t>y</w:t>
      </w:r>
      <w:r>
        <w:t xml:space="preserve"> </w:t>
      </w:r>
      <w:r w:rsidR="00DE44D8">
        <w:t xml:space="preserve">in relation </w:t>
      </w:r>
      <w:r>
        <w:t xml:space="preserve">to </w:t>
      </w:r>
      <w:proofErr w:type="spellStart"/>
      <w:r w:rsidR="0066310B">
        <w:t>So</w:t>
      </w:r>
      <w:r w:rsidR="0069072F">
        <w:t>A</w:t>
      </w:r>
      <w:r w:rsidR="00DE44D8">
        <w:t>s</w:t>
      </w:r>
      <w:proofErr w:type="spellEnd"/>
      <w:r w:rsidR="00DE44D8">
        <w:t xml:space="preserve"> given on or after the c</w:t>
      </w:r>
      <w:r>
        <w:t>ommencement</w:t>
      </w:r>
      <w:r w:rsidR="00DE44D8">
        <w:t xml:space="preserve"> of this </w:t>
      </w:r>
      <w:r w:rsidR="00D456F7">
        <w:t>Regulation</w:t>
      </w:r>
      <w:r w:rsidR="00C14CBF">
        <w:t>.</w:t>
      </w:r>
    </w:p>
    <w:p w14:paraId="69278F74" w14:textId="40FD9EC4" w:rsidR="00525781" w:rsidRDefault="005F2F53">
      <w:pPr>
        <w:spacing w:before="0" w:after="0"/>
      </w:pPr>
      <w:r w:rsidRPr="002409CC">
        <w:rPr>
          <w:u w:val="single"/>
        </w:rPr>
        <w:t>Item</w:t>
      </w:r>
      <w:r w:rsidR="0076763F" w:rsidRPr="002409CC">
        <w:rPr>
          <w:u w:val="single"/>
        </w:rPr>
        <w:t>s</w:t>
      </w:r>
      <w:r w:rsidRPr="002409CC">
        <w:rPr>
          <w:u w:val="single"/>
        </w:rPr>
        <w:t xml:space="preserve"> 3</w:t>
      </w:r>
      <w:r w:rsidR="0076763F" w:rsidRPr="002409CC">
        <w:rPr>
          <w:u w:val="single"/>
        </w:rPr>
        <w:t xml:space="preserve"> and </w:t>
      </w:r>
      <w:r w:rsidR="004758BC" w:rsidRPr="002409CC">
        <w:rPr>
          <w:u w:val="single"/>
        </w:rPr>
        <w:t>5</w:t>
      </w:r>
      <w:r w:rsidR="004758BC" w:rsidRPr="002409CC">
        <w:t xml:space="preserve"> are consequential amendments.</w:t>
      </w:r>
    </w:p>
    <w:p w14:paraId="6967E379" w14:textId="77777777" w:rsidR="00D7074D" w:rsidRDefault="00D7074D">
      <w:pPr>
        <w:spacing w:before="0" w:after="0"/>
        <w:sectPr w:rsidR="00D7074D" w:rsidSect="00D7074D">
          <w:headerReference w:type="first" r:id="rId15"/>
          <w:pgSz w:w="11906" w:h="16838"/>
          <w:pgMar w:top="1440" w:right="1800" w:bottom="1440" w:left="1800" w:header="720" w:footer="720" w:gutter="0"/>
          <w:pgNumType w:start="1"/>
          <w:cols w:space="720"/>
          <w:titlePg/>
          <w:docGrid w:linePitch="360"/>
        </w:sectPr>
      </w:pPr>
    </w:p>
    <w:p w14:paraId="02898D50" w14:textId="0C828ED3" w:rsidR="008B22C6" w:rsidRPr="008B22C6" w:rsidRDefault="008B22C6" w:rsidP="008B22C6">
      <w:pPr>
        <w:pStyle w:val="Heading2"/>
        <w:spacing w:before="0" w:after="240"/>
        <w:jc w:val="right"/>
        <w:rPr>
          <w:rFonts w:ascii="Arial" w:hAnsi="Arial" w:cs="Arial"/>
          <w:sz w:val="36"/>
          <w:szCs w:val="36"/>
        </w:rPr>
      </w:pPr>
      <w:r>
        <w:rPr>
          <w:rFonts w:ascii="Arial" w:hAnsi="Arial" w:cs="Arial"/>
        </w:rPr>
        <w:t xml:space="preserve">Attachment </w:t>
      </w:r>
      <w:r w:rsidR="00797B65">
        <w:rPr>
          <w:rFonts w:ascii="Arial" w:hAnsi="Arial" w:cs="Arial"/>
        </w:rPr>
        <w:t>B</w:t>
      </w:r>
    </w:p>
    <w:p w14:paraId="4764A5A0" w14:textId="45943D59" w:rsidR="00E4438C" w:rsidRDefault="00E4438C" w:rsidP="00E4438C">
      <w:pPr>
        <w:pStyle w:val="Heading3"/>
        <w:jc w:val="center"/>
      </w:pPr>
      <w:r>
        <w:t>Statement of Compatibility with Human Rights</w:t>
      </w:r>
    </w:p>
    <w:p w14:paraId="7B32CA81" w14:textId="77777777" w:rsidR="00E4438C" w:rsidRPr="00E4438C" w:rsidRDefault="00E4438C" w:rsidP="00E4438C">
      <w:pPr>
        <w:jc w:val="center"/>
        <w:rPr>
          <w:i/>
        </w:rPr>
      </w:pPr>
      <w:r w:rsidRPr="00E4438C">
        <w:rPr>
          <w:i/>
        </w:rPr>
        <w:t>Prepared in accordance with Part 3 of the Human Rights (Parliamentary Scrutiny) Act 2011</w:t>
      </w:r>
    </w:p>
    <w:p w14:paraId="668FBFD5" w14:textId="6C445F8C" w:rsidR="00E4438C" w:rsidRPr="00E4438C" w:rsidRDefault="00AC47D0" w:rsidP="00AC47D0">
      <w:pPr>
        <w:jc w:val="center"/>
        <w:rPr>
          <w:b/>
        </w:rPr>
      </w:pPr>
      <w:r w:rsidRPr="00AC47D0">
        <w:rPr>
          <w:b/>
        </w:rPr>
        <w:t>Corporations Amendment (Statements of Advice) Regulation 2014</w:t>
      </w:r>
    </w:p>
    <w:p w14:paraId="33BF29B8" w14:textId="77777777" w:rsidR="00E4438C" w:rsidRDefault="00E4438C" w:rsidP="00E4438C">
      <w:r>
        <w:t xml:space="preserve">This Legislative Instrument is compatible with the human rights and freedoms recognised or declared in the international instruments listed in section 3 of the </w:t>
      </w:r>
      <w:r w:rsidRPr="00E4438C">
        <w:rPr>
          <w:i/>
        </w:rPr>
        <w:t>Human Rights (Parliamentary Scrutiny) Act 2011</w:t>
      </w:r>
      <w:r>
        <w:t>.</w:t>
      </w:r>
    </w:p>
    <w:p w14:paraId="47B03B6E" w14:textId="77777777" w:rsidR="00E4438C" w:rsidRDefault="00E4438C" w:rsidP="00E4438C">
      <w:pPr>
        <w:pStyle w:val="Heading4"/>
      </w:pPr>
      <w:r>
        <w:t xml:space="preserve">Overview of the </w:t>
      </w:r>
      <w:r w:rsidRPr="00E4438C">
        <w:t>Legislative</w:t>
      </w:r>
      <w:r>
        <w:t xml:space="preserve"> Instrument</w:t>
      </w:r>
    </w:p>
    <w:p w14:paraId="72C441F5" w14:textId="2925C341" w:rsidR="00842FA6" w:rsidRDefault="00842FA6" w:rsidP="00842FA6">
      <w:r>
        <w:t>The purpose of the Legislative Instrument is to:</w:t>
      </w:r>
    </w:p>
    <w:p w14:paraId="42929422" w14:textId="3AF6DFDE" w:rsidR="00246225" w:rsidRDefault="00246225" w:rsidP="00246225">
      <w:pPr>
        <w:pStyle w:val="Bullet"/>
      </w:pPr>
      <w:r>
        <w:t>require that a Statement of Advice must be signed by the adviser and the client</w:t>
      </w:r>
      <w:r w:rsidR="00F65610">
        <w:t>;</w:t>
      </w:r>
      <w:r>
        <w:t xml:space="preserve"> </w:t>
      </w:r>
    </w:p>
    <w:p w14:paraId="77D16DAF" w14:textId="1B6AC0B5" w:rsidR="00362FF4" w:rsidRPr="00AD7A0F" w:rsidRDefault="00362FF4" w:rsidP="00362FF4">
      <w:pPr>
        <w:pStyle w:val="Bullet"/>
      </w:pPr>
      <w:r>
        <w:t>require</w:t>
      </w:r>
      <w:r w:rsidRPr="00AD7A0F">
        <w:t xml:space="preserve"> that if a client, after receiving the Statement of Advice, requests further or va</w:t>
      </w:r>
      <w:r w:rsidR="009868A7">
        <w:t>ried advice</w:t>
      </w:r>
      <w:r w:rsidRPr="00AD7A0F">
        <w:t>, the providing entity must ensure that instructions from the client are: documented in writing; are signed by the client; and acknowledged by the providing entity, or an individual acting on behalf of the providing entity;</w:t>
      </w:r>
      <w:r>
        <w:t xml:space="preserve"> and</w:t>
      </w:r>
    </w:p>
    <w:p w14:paraId="043837F5" w14:textId="51F51CE0" w:rsidR="00246225" w:rsidRDefault="00246225" w:rsidP="00246225">
      <w:pPr>
        <w:pStyle w:val="Bullet"/>
      </w:pPr>
      <w:r>
        <w:t>require that advisers include the following statements and information in the Statement of Advice to ensure clients are aware of their existing rights</w:t>
      </w:r>
      <w:r w:rsidR="003F2D38">
        <w:t xml:space="preserve"> and the adviser’s obligations</w:t>
      </w:r>
      <w:r>
        <w:t xml:space="preserve"> in the Act: </w:t>
      </w:r>
    </w:p>
    <w:p w14:paraId="7BC76939" w14:textId="77777777" w:rsidR="00246225" w:rsidRDefault="00246225" w:rsidP="00246225">
      <w:pPr>
        <w:pStyle w:val="Dash"/>
      </w:pPr>
      <w:r w:rsidRPr="00601B59">
        <w:t>that</w:t>
      </w:r>
      <w:r>
        <w:t xml:space="preserve"> the adviser is required to act in the best interests of their client and prioritise their client’s interests ahead of their own, consistent with the requirements in sections 961B and 961J of the Act; </w:t>
      </w:r>
    </w:p>
    <w:p w14:paraId="2C1CAAE4" w14:textId="5BDAD59F" w:rsidR="00246225" w:rsidRDefault="00246225" w:rsidP="00246225">
      <w:pPr>
        <w:pStyle w:val="Dash"/>
      </w:pPr>
      <w:r w:rsidRPr="00601B59">
        <w:t>that</w:t>
      </w:r>
      <w:r>
        <w:t xml:space="preserve"> any fees must be disclosed and that the adviser will provide a fee disclosure statement annually, if the client enters into an ongoing fee arrangement </w:t>
      </w:r>
      <w:r w:rsidR="009B4C75">
        <w:t>to which</w:t>
      </w:r>
      <w:r w:rsidR="00A21CB5">
        <w:t xml:space="preserve"> Division 3 of Part 7.7A of the Act</w:t>
      </w:r>
      <w:r w:rsidR="009B4C75">
        <w:t xml:space="preserve"> applies</w:t>
      </w:r>
      <w:r w:rsidR="00A21CB5">
        <w:t xml:space="preserve"> (which will generally be those entered into on or after 1 July 2013)</w:t>
      </w:r>
      <w:r>
        <w:t xml:space="preserve">; </w:t>
      </w:r>
    </w:p>
    <w:p w14:paraId="62D4B7FB" w14:textId="77777777" w:rsidR="00246225" w:rsidRDefault="00246225" w:rsidP="00246225">
      <w:pPr>
        <w:pStyle w:val="Dash"/>
      </w:pPr>
      <w:r w:rsidRPr="00601B59">
        <w:t>that</w:t>
      </w:r>
      <w:r>
        <w:t xml:space="preserve"> a client has the right to return financial products under a 14-day cooling-off period in accordance with the arrangements under Division 5 of Part 7.9 of the Act; </w:t>
      </w:r>
    </w:p>
    <w:p w14:paraId="15A2F925" w14:textId="5188B25B" w:rsidR="00246225" w:rsidRDefault="00246225" w:rsidP="00246225">
      <w:pPr>
        <w:pStyle w:val="Dash"/>
      </w:pPr>
      <w:r>
        <w:t>information that the adviser genuinely believes that the advice he or she is providing to the client is in the client’s best interests, given the client’s relevant circumstances</w:t>
      </w:r>
      <w:r w:rsidR="00341A60">
        <w:t xml:space="preserve">; the term ‘relevant circumstances’ is given meaning by section </w:t>
      </w:r>
      <w:r w:rsidR="00341A60" w:rsidDel="00F01C34">
        <w:t xml:space="preserve">961B </w:t>
      </w:r>
      <w:r w:rsidR="00341A60">
        <w:t>of the Act</w:t>
      </w:r>
      <w:r>
        <w:t xml:space="preserve">; and </w:t>
      </w:r>
    </w:p>
    <w:p w14:paraId="283CB591" w14:textId="325D8A18" w:rsidR="00246225" w:rsidRDefault="00246225" w:rsidP="00246225">
      <w:pPr>
        <w:pStyle w:val="Dash"/>
      </w:pPr>
      <w:r w:rsidRPr="00601B59">
        <w:t>that</w:t>
      </w:r>
      <w:r>
        <w:t xml:space="preserve"> the client has the right to seek further or varied advice from their adviser at any time, for example, </w:t>
      </w:r>
      <w:r w:rsidR="003F2D38">
        <w:t xml:space="preserve">if </w:t>
      </w:r>
      <w:r>
        <w:t xml:space="preserve">they experience a change in their circumstances. </w:t>
      </w:r>
    </w:p>
    <w:p w14:paraId="387308C0" w14:textId="77777777" w:rsidR="00E4438C" w:rsidRDefault="00E4438C" w:rsidP="00B2652B">
      <w:pPr>
        <w:pStyle w:val="Heading4"/>
        <w:keepLines/>
      </w:pPr>
      <w:r>
        <w:t>Human rights implications</w:t>
      </w:r>
    </w:p>
    <w:p w14:paraId="30237FCC" w14:textId="77777777" w:rsidR="00E4438C" w:rsidRDefault="00E4438C" w:rsidP="00B2652B">
      <w:pPr>
        <w:keepNext/>
        <w:keepLines/>
      </w:pPr>
      <w:r>
        <w:t>This Legislative Instrument does not engage any of the applicable rights or freedoms.</w:t>
      </w:r>
    </w:p>
    <w:p w14:paraId="5CEA8AFA" w14:textId="77777777" w:rsidR="00E4438C" w:rsidRDefault="00E4438C" w:rsidP="00B2652B">
      <w:pPr>
        <w:pStyle w:val="Heading4"/>
        <w:keepLines/>
      </w:pPr>
      <w:r>
        <w:t>Conclusion</w:t>
      </w:r>
    </w:p>
    <w:p w14:paraId="2CE278CE" w14:textId="77777777" w:rsidR="00E4438C" w:rsidRDefault="00E4438C" w:rsidP="00B2652B">
      <w:pPr>
        <w:keepNext/>
        <w:keepLines/>
      </w:pPr>
      <w:r>
        <w:t>This Legislative Instrument is compatible with human rights as it does not raise any human rights issues.</w:t>
      </w:r>
    </w:p>
    <w:sectPr w:rsidR="00E4438C" w:rsidSect="00D7074D">
      <w:pgSz w:w="11906" w:h="16838"/>
      <w:pgMar w:top="1440" w:right="1800" w:bottom="1440" w:left="180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014301" w14:textId="77777777" w:rsidR="008C4731" w:rsidRDefault="008C4731" w:rsidP="008C4731">
      <w:pPr>
        <w:spacing w:before="0" w:after="0"/>
      </w:pPr>
      <w:r>
        <w:separator/>
      </w:r>
    </w:p>
  </w:endnote>
  <w:endnote w:type="continuationSeparator" w:id="0">
    <w:p w14:paraId="742A4B3A" w14:textId="77777777" w:rsidR="008C4731" w:rsidRDefault="008C4731" w:rsidP="008C4731">
      <w:pPr>
        <w:spacing w:before="0" w:after="0"/>
      </w:pPr>
      <w:r>
        <w:continuationSeparator/>
      </w:r>
    </w:p>
  </w:endnote>
  <w:endnote w:type="continuationNotice" w:id="1">
    <w:p w14:paraId="0BF274B4" w14:textId="77777777" w:rsidR="00F3115B" w:rsidRDefault="00F3115B">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1E3312" w14:textId="77777777" w:rsidR="008C4731" w:rsidRDefault="008C4731" w:rsidP="008C4731">
      <w:pPr>
        <w:spacing w:before="0" w:after="0"/>
      </w:pPr>
      <w:r>
        <w:separator/>
      </w:r>
    </w:p>
  </w:footnote>
  <w:footnote w:type="continuationSeparator" w:id="0">
    <w:p w14:paraId="27D5DC3D" w14:textId="77777777" w:rsidR="008C4731" w:rsidRDefault="008C4731" w:rsidP="008C4731">
      <w:pPr>
        <w:spacing w:before="0" w:after="0"/>
      </w:pPr>
      <w:r>
        <w:continuationSeparator/>
      </w:r>
    </w:p>
  </w:footnote>
  <w:footnote w:type="continuationNotice" w:id="1">
    <w:p w14:paraId="00D5190D" w14:textId="77777777" w:rsidR="00F3115B" w:rsidRDefault="00F3115B">
      <w:pPr>
        <w:spacing w:before="0"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0412386"/>
      <w:docPartObj>
        <w:docPartGallery w:val="Page Numbers (Top of Page)"/>
        <w:docPartUnique/>
      </w:docPartObj>
    </w:sdtPr>
    <w:sdtEndPr>
      <w:rPr>
        <w:noProof/>
      </w:rPr>
    </w:sdtEndPr>
    <w:sdtContent>
      <w:p w14:paraId="42E5D495" w14:textId="1181B30B" w:rsidR="00D7074D" w:rsidRDefault="00D7074D">
        <w:pPr>
          <w:pStyle w:val="Header"/>
          <w:jc w:val="center"/>
        </w:pPr>
        <w:r>
          <w:fldChar w:fldCharType="begin"/>
        </w:r>
        <w:r>
          <w:instrText xml:space="preserve"> PAGE   \* MERGEFORMAT </w:instrText>
        </w:r>
        <w:r>
          <w:fldChar w:fldCharType="separate"/>
        </w:r>
        <w:r w:rsidR="003E7186">
          <w:rPr>
            <w:noProof/>
          </w:rPr>
          <w:t>2</w:t>
        </w:r>
        <w:r>
          <w:rPr>
            <w:noProof/>
          </w:rPr>
          <w:fldChar w:fldCharType="end"/>
        </w:r>
      </w:p>
    </w:sdtContent>
  </w:sdt>
  <w:p w14:paraId="7A7DB06A" w14:textId="77777777" w:rsidR="00D7074D" w:rsidRDefault="00D7074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29F97E" w14:textId="7B62FC5B" w:rsidR="00D7074D" w:rsidRDefault="00D7074D">
    <w:pPr>
      <w:pStyle w:val="Header"/>
      <w:jc w:val="center"/>
    </w:pPr>
  </w:p>
  <w:p w14:paraId="5A4BEA7E" w14:textId="77777777" w:rsidR="00D7074D" w:rsidRDefault="00D7074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7950495"/>
      <w:docPartObj>
        <w:docPartGallery w:val="Page Numbers (Top of Page)"/>
        <w:docPartUnique/>
      </w:docPartObj>
    </w:sdtPr>
    <w:sdtEndPr>
      <w:rPr>
        <w:noProof/>
      </w:rPr>
    </w:sdtEndPr>
    <w:sdtContent>
      <w:p w14:paraId="25C4CCBC" w14:textId="77777777" w:rsidR="00D456F7" w:rsidRDefault="00D456F7">
        <w:pPr>
          <w:pStyle w:val="Header"/>
          <w:jc w:val="center"/>
        </w:pPr>
        <w:r>
          <w:fldChar w:fldCharType="begin"/>
        </w:r>
        <w:r>
          <w:instrText xml:space="preserve"> PAGE   \* MERGEFORMAT </w:instrText>
        </w:r>
        <w:r>
          <w:fldChar w:fldCharType="separate"/>
        </w:r>
        <w:r w:rsidR="003E7186">
          <w:rPr>
            <w:noProof/>
          </w:rPr>
          <w:t>2</w:t>
        </w:r>
        <w:r>
          <w:rPr>
            <w:noProof/>
          </w:rPr>
          <w:fldChar w:fldCharType="end"/>
        </w:r>
      </w:p>
    </w:sdtContent>
  </w:sdt>
  <w:p w14:paraId="09EF1CBF" w14:textId="77777777" w:rsidR="00D456F7" w:rsidRDefault="00D456F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E865E9" w14:textId="3F737178" w:rsidR="00D7074D" w:rsidRDefault="00D7074D">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329CA"/>
    <w:multiLevelType w:val="multilevel"/>
    <w:tmpl w:val="BE44C77E"/>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2C7552C0"/>
    <w:multiLevelType w:val="singleLevel"/>
    <w:tmpl w:val="BBF66F10"/>
    <w:lvl w:ilvl="0">
      <w:start w:val="1"/>
      <w:numFmt w:val="bullet"/>
      <w:pStyle w:val="Dotpoint"/>
      <w:lvlText w:val=""/>
      <w:lvlJc w:val="left"/>
      <w:pPr>
        <w:tabs>
          <w:tab w:val="num" w:pos="360"/>
        </w:tabs>
        <w:ind w:left="360" w:hanging="360"/>
      </w:pPr>
      <w:rPr>
        <w:rFonts w:ascii="Symbol" w:hAnsi="Symbol" w:hint="default"/>
        <w:sz w:val="24"/>
      </w:rPr>
    </w:lvl>
  </w:abstractNum>
  <w:abstractNum w:abstractNumId="2">
    <w:nsid w:val="35930219"/>
    <w:multiLevelType w:val="hybridMultilevel"/>
    <w:tmpl w:val="2D8A5516"/>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nsid w:val="36632CAA"/>
    <w:multiLevelType w:val="multilevel"/>
    <w:tmpl w:val="0D20E042"/>
    <w:lvl w:ilvl="0">
      <w:start w:val="1"/>
      <w:numFmt w:val="bullet"/>
      <w:lvlText w:val="•"/>
      <w:lvlJc w:val="left"/>
      <w:pPr>
        <w:tabs>
          <w:tab w:val="num" w:pos="2480"/>
        </w:tabs>
        <w:ind w:left="2480" w:hanging="520"/>
      </w:pPr>
      <w:rPr>
        <w:rFonts w:ascii="Times New Roman" w:hAnsi="Times New Roman" w:cs="Times New Roman"/>
      </w:rPr>
    </w:lvl>
    <w:lvl w:ilvl="1">
      <w:start w:val="1"/>
      <w:numFmt w:val="bullet"/>
      <w:lvlText w:val="–"/>
      <w:lvlJc w:val="left"/>
      <w:pPr>
        <w:tabs>
          <w:tab w:val="num" w:pos="3000"/>
        </w:tabs>
        <w:ind w:left="3000" w:hanging="520"/>
      </w:pPr>
      <w:rPr>
        <w:rFonts w:ascii="Times New Roman" w:hAnsi="Times New Roman" w:cs="Times New Roman"/>
      </w:rPr>
    </w:lvl>
    <w:lvl w:ilvl="2">
      <w:start w:val="1"/>
      <w:numFmt w:val="bullet"/>
      <w:lvlText w:val=":"/>
      <w:lvlJc w:val="left"/>
      <w:pPr>
        <w:tabs>
          <w:tab w:val="num" w:pos="3520"/>
        </w:tabs>
        <w:ind w:left="3520" w:hanging="520"/>
      </w:pPr>
      <w:rPr>
        <w:rFonts w:ascii="Times New Roman" w:hAnsi="Times New Roman" w:cs="Times New Roman"/>
      </w:rPr>
    </w:lvl>
    <w:lvl w:ilvl="3">
      <w:start w:val="1"/>
      <w:numFmt w:val="decimal"/>
      <w:lvlText w:val="(%4)"/>
      <w:lvlJc w:val="left"/>
      <w:pPr>
        <w:ind w:left="3400" w:hanging="360"/>
      </w:pPr>
    </w:lvl>
    <w:lvl w:ilvl="4">
      <w:start w:val="1"/>
      <w:numFmt w:val="lowerLetter"/>
      <w:lvlText w:val="(%5)"/>
      <w:lvlJc w:val="left"/>
      <w:pPr>
        <w:ind w:left="3760" w:hanging="360"/>
      </w:pPr>
    </w:lvl>
    <w:lvl w:ilvl="5">
      <w:start w:val="1"/>
      <w:numFmt w:val="lowerRoman"/>
      <w:lvlText w:val="(%6)"/>
      <w:lvlJc w:val="left"/>
      <w:pPr>
        <w:ind w:left="4120" w:hanging="360"/>
      </w:pPr>
    </w:lvl>
    <w:lvl w:ilvl="6">
      <w:start w:val="1"/>
      <w:numFmt w:val="decimal"/>
      <w:lvlText w:val="%7."/>
      <w:lvlJc w:val="left"/>
      <w:pPr>
        <w:ind w:left="4480" w:hanging="360"/>
      </w:pPr>
    </w:lvl>
    <w:lvl w:ilvl="7">
      <w:start w:val="1"/>
      <w:numFmt w:val="lowerLetter"/>
      <w:lvlText w:val="%8."/>
      <w:lvlJc w:val="left"/>
      <w:pPr>
        <w:ind w:left="4840" w:hanging="360"/>
      </w:pPr>
    </w:lvl>
    <w:lvl w:ilvl="8">
      <w:start w:val="1"/>
      <w:numFmt w:val="lowerRoman"/>
      <w:lvlText w:val="%9."/>
      <w:lvlJc w:val="left"/>
      <w:pPr>
        <w:ind w:left="5200" w:hanging="360"/>
      </w:pPr>
    </w:lvl>
  </w:abstractNum>
  <w:abstractNum w:abstractNumId="4">
    <w:nsid w:val="3D714D4B"/>
    <w:multiLevelType w:val="multilevel"/>
    <w:tmpl w:val="A316FE50"/>
    <w:styleLink w:val="ChapterList"/>
    <w:lvl w:ilvl="0">
      <w:start w:val="1"/>
      <w:numFmt w:val="decimal"/>
      <w:lvlText w:val="Chapter %1"/>
      <w:lvlJc w:val="left"/>
      <w:pPr>
        <w:tabs>
          <w:tab w:val="num" w:pos="1134"/>
        </w:tabs>
        <w:ind w:left="0" w:firstLine="0"/>
      </w:pPr>
      <w:rPr>
        <w:rFonts w:hint="default"/>
      </w:rPr>
    </w:lvl>
    <w:lvl w:ilvl="1">
      <w:start w:val="1"/>
      <w:numFmt w:val="decimal"/>
      <w:lvlText w:val="%1.%2"/>
      <w:lvlJc w:val="left"/>
      <w:pPr>
        <w:tabs>
          <w:tab w:val="num" w:pos="1985"/>
        </w:tabs>
        <w:ind w:left="1134" w:firstLine="0"/>
      </w:pPr>
      <w:rPr>
        <w:rFonts w:hint="default"/>
      </w:rPr>
    </w:lvl>
    <w:lvl w:ilvl="2">
      <w:start w:val="1"/>
      <w:numFmt w:val="decimal"/>
      <w:lvlRestart w:val="1"/>
      <w:suff w:val="nothing"/>
      <w:lvlText w:val="Diagram %1.%3"/>
      <w:lvlJc w:val="left"/>
      <w:pPr>
        <w:ind w:left="1134" w:firstLine="0"/>
      </w:pPr>
      <w:rPr>
        <w:rFonts w:hint="default"/>
      </w:rPr>
    </w:lvl>
    <w:lvl w:ilvl="3">
      <w:start w:val="1"/>
      <w:numFmt w:val="decimal"/>
      <w:lvlRestart w:val="1"/>
      <w:suff w:val="nothing"/>
      <w:lvlText w:val="Example %1.%4"/>
      <w:lvlJc w:val="left"/>
      <w:pPr>
        <w:ind w:left="1134" w:firstLine="0"/>
      </w:pPr>
      <w:rPr>
        <w:rFonts w:hint="default"/>
      </w:rPr>
    </w:lvl>
    <w:lvl w:ilvl="4">
      <w:start w:val="1"/>
      <w:numFmt w:val="decimal"/>
      <w:lvlRestart w:val="1"/>
      <w:suff w:val="nothing"/>
      <w:lvlText w:val="Table %1.%5"/>
      <w:lvlJc w:val="left"/>
      <w:pPr>
        <w:ind w:left="1134" w:firstLine="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65DF6494"/>
    <w:multiLevelType w:val="multilevel"/>
    <w:tmpl w:val="A316FE50"/>
    <w:lvl w:ilvl="0">
      <w:start w:val="1"/>
      <w:numFmt w:val="decimal"/>
      <w:lvlText w:val="Chapter %1"/>
      <w:lvlJc w:val="left"/>
      <w:pPr>
        <w:tabs>
          <w:tab w:val="num" w:pos="1134"/>
        </w:tabs>
        <w:ind w:left="0" w:firstLine="0"/>
      </w:pPr>
      <w:rPr>
        <w:rFonts w:hint="default"/>
      </w:rPr>
    </w:lvl>
    <w:lvl w:ilvl="1">
      <w:start w:val="1"/>
      <w:numFmt w:val="decimal"/>
      <w:lvlText w:val="%1.%2"/>
      <w:lvlJc w:val="left"/>
      <w:pPr>
        <w:tabs>
          <w:tab w:val="num" w:pos="1985"/>
        </w:tabs>
        <w:ind w:left="1134" w:firstLine="0"/>
      </w:pPr>
      <w:rPr>
        <w:rFonts w:hint="default"/>
      </w:rPr>
    </w:lvl>
    <w:lvl w:ilvl="2">
      <w:start w:val="1"/>
      <w:numFmt w:val="decimal"/>
      <w:lvlRestart w:val="1"/>
      <w:suff w:val="nothing"/>
      <w:lvlText w:val="Diagram %1.%3"/>
      <w:lvlJc w:val="left"/>
      <w:pPr>
        <w:ind w:left="1134" w:firstLine="0"/>
      </w:pPr>
      <w:rPr>
        <w:rFonts w:hint="default"/>
      </w:rPr>
    </w:lvl>
    <w:lvl w:ilvl="3">
      <w:start w:val="1"/>
      <w:numFmt w:val="decimal"/>
      <w:lvlRestart w:val="1"/>
      <w:suff w:val="nothing"/>
      <w:lvlText w:val="Example %1.%4"/>
      <w:lvlJc w:val="left"/>
      <w:pPr>
        <w:ind w:left="1134" w:firstLine="0"/>
      </w:pPr>
      <w:rPr>
        <w:rFonts w:hint="default"/>
      </w:rPr>
    </w:lvl>
    <w:lvl w:ilvl="4">
      <w:start w:val="1"/>
      <w:numFmt w:val="decimal"/>
      <w:lvlRestart w:val="1"/>
      <w:suff w:val="nothing"/>
      <w:lvlText w:val="Table %1.%5"/>
      <w:lvlJc w:val="left"/>
      <w:pPr>
        <w:ind w:left="1134" w:firstLine="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67A43C0B"/>
    <w:multiLevelType w:val="multilevel"/>
    <w:tmpl w:val="601EBA60"/>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2727" w:hanging="360"/>
      </w:pPr>
    </w:lvl>
    <w:lvl w:ilvl="4">
      <w:start w:val="1"/>
      <w:numFmt w:val="lowerLetter"/>
      <w:lvlText w:val="(%5)"/>
      <w:lvlJc w:val="left"/>
      <w:pPr>
        <w:ind w:left="3087" w:hanging="360"/>
      </w:pPr>
    </w:lvl>
    <w:lvl w:ilvl="5">
      <w:start w:val="1"/>
      <w:numFmt w:val="lowerRoman"/>
      <w:lvlText w:val="(%6)"/>
      <w:lvlJc w:val="left"/>
      <w:pPr>
        <w:ind w:left="3447" w:hanging="360"/>
      </w:pPr>
    </w:lvl>
    <w:lvl w:ilvl="6">
      <w:start w:val="1"/>
      <w:numFmt w:val="decimal"/>
      <w:lvlText w:val="%7."/>
      <w:lvlJc w:val="left"/>
      <w:pPr>
        <w:ind w:left="3807" w:hanging="360"/>
      </w:pPr>
    </w:lvl>
    <w:lvl w:ilvl="7">
      <w:start w:val="1"/>
      <w:numFmt w:val="lowerLetter"/>
      <w:lvlText w:val="%8."/>
      <w:lvlJc w:val="left"/>
      <w:pPr>
        <w:ind w:left="4167" w:hanging="360"/>
      </w:pPr>
    </w:lvl>
    <w:lvl w:ilvl="8">
      <w:start w:val="1"/>
      <w:numFmt w:val="lowerRoman"/>
      <w:lvlText w:val="%9."/>
      <w:lvlJc w:val="left"/>
      <w:pPr>
        <w:ind w:left="4527" w:hanging="360"/>
      </w:pPr>
    </w:lvl>
  </w:abstractNum>
  <w:num w:numId="1">
    <w:abstractNumId w:val="1"/>
  </w:num>
  <w:num w:numId="2">
    <w:abstractNumId w:val="6"/>
  </w:num>
  <w:num w:numId="3">
    <w:abstractNumId w:val="4"/>
  </w:num>
  <w:num w:numId="4">
    <w:abstractNumId w:val="5"/>
  </w:num>
  <w:num w:numId="5">
    <w:abstractNumId w:val="3"/>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attachedTemplate r:id="rId1"/>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70D7"/>
    <w:rsid w:val="00003898"/>
    <w:rsid w:val="00004627"/>
    <w:rsid w:val="00004938"/>
    <w:rsid w:val="00016EA2"/>
    <w:rsid w:val="00025D2C"/>
    <w:rsid w:val="00036873"/>
    <w:rsid w:val="00045A24"/>
    <w:rsid w:val="0006085B"/>
    <w:rsid w:val="00061C94"/>
    <w:rsid w:val="0006427E"/>
    <w:rsid w:val="00070723"/>
    <w:rsid w:val="00084829"/>
    <w:rsid w:val="00095211"/>
    <w:rsid w:val="00096D63"/>
    <w:rsid w:val="000B0E1E"/>
    <w:rsid w:val="000B58C6"/>
    <w:rsid w:val="000C10DF"/>
    <w:rsid w:val="000D0001"/>
    <w:rsid w:val="000D43EA"/>
    <w:rsid w:val="000D7F40"/>
    <w:rsid w:val="000E0F98"/>
    <w:rsid w:val="000E18D9"/>
    <w:rsid w:val="000F712B"/>
    <w:rsid w:val="000F780C"/>
    <w:rsid w:val="000F7F1E"/>
    <w:rsid w:val="00106EEA"/>
    <w:rsid w:val="00112682"/>
    <w:rsid w:val="00113B45"/>
    <w:rsid w:val="00121A78"/>
    <w:rsid w:val="00131469"/>
    <w:rsid w:val="00135654"/>
    <w:rsid w:val="0013568F"/>
    <w:rsid w:val="001423BC"/>
    <w:rsid w:val="00142570"/>
    <w:rsid w:val="00150341"/>
    <w:rsid w:val="00151682"/>
    <w:rsid w:val="001556FE"/>
    <w:rsid w:val="001601B2"/>
    <w:rsid w:val="001606E0"/>
    <w:rsid w:val="00164839"/>
    <w:rsid w:val="00174B4C"/>
    <w:rsid w:val="00175171"/>
    <w:rsid w:val="00183FFE"/>
    <w:rsid w:val="001871CA"/>
    <w:rsid w:val="00187859"/>
    <w:rsid w:val="0019056B"/>
    <w:rsid w:val="00197EEE"/>
    <w:rsid w:val="001A1718"/>
    <w:rsid w:val="001A2109"/>
    <w:rsid w:val="001A43D5"/>
    <w:rsid w:val="001B4EE1"/>
    <w:rsid w:val="001C19B8"/>
    <w:rsid w:val="001C2F72"/>
    <w:rsid w:val="001D2FC8"/>
    <w:rsid w:val="001E0638"/>
    <w:rsid w:val="001E1171"/>
    <w:rsid w:val="001E246D"/>
    <w:rsid w:val="001E6A74"/>
    <w:rsid w:val="001E6D94"/>
    <w:rsid w:val="001E7BE0"/>
    <w:rsid w:val="001F0C84"/>
    <w:rsid w:val="001F41D0"/>
    <w:rsid w:val="001F51AA"/>
    <w:rsid w:val="001F7B6F"/>
    <w:rsid w:val="002007A0"/>
    <w:rsid w:val="00205CBE"/>
    <w:rsid w:val="00212A5F"/>
    <w:rsid w:val="002131A7"/>
    <w:rsid w:val="00214A76"/>
    <w:rsid w:val="00214BDF"/>
    <w:rsid w:val="00220F16"/>
    <w:rsid w:val="00221B2E"/>
    <w:rsid w:val="0022211D"/>
    <w:rsid w:val="00222430"/>
    <w:rsid w:val="0022280C"/>
    <w:rsid w:val="00223E60"/>
    <w:rsid w:val="00226496"/>
    <w:rsid w:val="00226F78"/>
    <w:rsid w:val="002272B1"/>
    <w:rsid w:val="002320CD"/>
    <w:rsid w:val="00232710"/>
    <w:rsid w:val="002331EA"/>
    <w:rsid w:val="002344E0"/>
    <w:rsid w:val="002364A5"/>
    <w:rsid w:val="002409CC"/>
    <w:rsid w:val="002424FB"/>
    <w:rsid w:val="00246225"/>
    <w:rsid w:val="00251546"/>
    <w:rsid w:val="00254C5B"/>
    <w:rsid w:val="0026116A"/>
    <w:rsid w:val="00272169"/>
    <w:rsid w:val="00274D66"/>
    <w:rsid w:val="002753CC"/>
    <w:rsid w:val="0028080F"/>
    <w:rsid w:val="00290C2D"/>
    <w:rsid w:val="00292FD6"/>
    <w:rsid w:val="0029541C"/>
    <w:rsid w:val="00297D40"/>
    <w:rsid w:val="002A6563"/>
    <w:rsid w:val="002B05B7"/>
    <w:rsid w:val="002B7458"/>
    <w:rsid w:val="002C046F"/>
    <w:rsid w:val="002C1A39"/>
    <w:rsid w:val="002C41C0"/>
    <w:rsid w:val="002C64A8"/>
    <w:rsid w:val="002C759B"/>
    <w:rsid w:val="002D500A"/>
    <w:rsid w:val="002D76D2"/>
    <w:rsid w:val="002E001F"/>
    <w:rsid w:val="002E0CD4"/>
    <w:rsid w:val="002E1464"/>
    <w:rsid w:val="002E1F76"/>
    <w:rsid w:val="002E6E3B"/>
    <w:rsid w:val="002F442F"/>
    <w:rsid w:val="002F533F"/>
    <w:rsid w:val="00317D3F"/>
    <w:rsid w:val="00317E23"/>
    <w:rsid w:val="00326019"/>
    <w:rsid w:val="00331542"/>
    <w:rsid w:val="00331913"/>
    <w:rsid w:val="003342CD"/>
    <w:rsid w:val="00335042"/>
    <w:rsid w:val="00336E82"/>
    <w:rsid w:val="00341A60"/>
    <w:rsid w:val="00362FF4"/>
    <w:rsid w:val="00374C7A"/>
    <w:rsid w:val="00376634"/>
    <w:rsid w:val="003770B8"/>
    <w:rsid w:val="00383BFB"/>
    <w:rsid w:val="003842B9"/>
    <w:rsid w:val="00384800"/>
    <w:rsid w:val="0039272E"/>
    <w:rsid w:val="00392BBA"/>
    <w:rsid w:val="00392E79"/>
    <w:rsid w:val="0039432A"/>
    <w:rsid w:val="003A0184"/>
    <w:rsid w:val="003A01B6"/>
    <w:rsid w:val="003A21E1"/>
    <w:rsid w:val="003A27E7"/>
    <w:rsid w:val="003A5BF1"/>
    <w:rsid w:val="003B5D88"/>
    <w:rsid w:val="003C5AE5"/>
    <w:rsid w:val="003E11CC"/>
    <w:rsid w:val="003E30A6"/>
    <w:rsid w:val="003E7186"/>
    <w:rsid w:val="003F0188"/>
    <w:rsid w:val="003F0899"/>
    <w:rsid w:val="003F1FAB"/>
    <w:rsid w:val="003F2D38"/>
    <w:rsid w:val="003F5BE2"/>
    <w:rsid w:val="003F5DBA"/>
    <w:rsid w:val="003F77D5"/>
    <w:rsid w:val="00403E12"/>
    <w:rsid w:val="004056D8"/>
    <w:rsid w:val="00407D2B"/>
    <w:rsid w:val="00424308"/>
    <w:rsid w:val="00424EDA"/>
    <w:rsid w:val="004324C5"/>
    <w:rsid w:val="0043380B"/>
    <w:rsid w:val="0044325B"/>
    <w:rsid w:val="00445F6D"/>
    <w:rsid w:val="004477E7"/>
    <w:rsid w:val="0046567B"/>
    <w:rsid w:val="0046749E"/>
    <w:rsid w:val="00472452"/>
    <w:rsid w:val="00472AB9"/>
    <w:rsid w:val="00473AB5"/>
    <w:rsid w:val="004758BC"/>
    <w:rsid w:val="00482F56"/>
    <w:rsid w:val="00492690"/>
    <w:rsid w:val="0049380A"/>
    <w:rsid w:val="00494AD1"/>
    <w:rsid w:val="004A09E3"/>
    <w:rsid w:val="004A1EDE"/>
    <w:rsid w:val="004A5359"/>
    <w:rsid w:val="004A74EF"/>
    <w:rsid w:val="004B6427"/>
    <w:rsid w:val="004B7D79"/>
    <w:rsid w:val="004C09FF"/>
    <w:rsid w:val="004C4DA6"/>
    <w:rsid w:val="004E0BBA"/>
    <w:rsid w:val="004E39E1"/>
    <w:rsid w:val="004E5C80"/>
    <w:rsid w:val="004F3BFD"/>
    <w:rsid w:val="004F439F"/>
    <w:rsid w:val="00500B87"/>
    <w:rsid w:val="00503907"/>
    <w:rsid w:val="00503E44"/>
    <w:rsid w:val="005109AD"/>
    <w:rsid w:val="00512ABE"/>
    <w:rsid w:val="00512BA2"/>
    <w:rsid w:val="0051406F"/>
    <w:rsid w:val="00515283"/>
    <w:rsid w:val="0051673E"/>
    <w:rsid w:val="00517A24"/>
    <w:rsid w:val="005220F6"/>
    <w:rsid w:val="00524A51"/>
    <w:rsid w:val="00525781"/>
    <w:rsid w:val="00530FCE"/>
    <w:rsid w:val="005321E7"/>
    <w:rsid w:val="005332C7"/>
    <w:rsid w:val="00537C12"/>
    <w:rsid w:val="005445F9"/>
    <w:rsid w:val="00546EB9"/>
    <w:rsid w:val="005472D0"/>
    <w:rsid w:val="00551F86"/>
    <w:rsid w:val="00553D05"/>
    <w:rsid w:val="005541C5"/>
    <w:rsid w:val="0055675D"/>
    <w:rsid w:val="00563256"/>
    <w:rsid w:val="00564D40"/>
    <w:rsid w:val="0057379C"/>
    <w:rsid w:val="00573F70"/>
    <w:rsid w:val="00574D4D"/>
    <w:rsid w:val="005767FC"/>
    <w:rsid w:val="005833BE"/>
    <w:rsid w:val="00593323"/>
    <w:rsid w:val="005958AD"/>
    <w:rsid w:val="00595BFC"/>
    <w:rsid w:val="00597A19"/>
    <w:rsid w:val="005A0162"/>
    <w:rsid w:val="005A2157"/>
    <w:rsid w:val="005A297A"/>
    <w:rsid w:val="005A2EB4"/>
    <w:rsid w:val="005A78BD"/>
    <w:rsid w:val="005B4610"/>
    <w:rsid w:val="005C188B"/>
    <w:rsid w:val="005C25B6"/>
    <w:rsid w:val="005C3F76"/>
    <w:rsid w:val="005C4410"/>
    <w:rsid w:val="005C4488"/>
    <w:rsid w:val="005C64BD"/>
    <w:rsid w:val="005D6071"/>
    <w:rsid w:val="005D7D5A"/>
    <w:rsid w:val="005E6CC6"/>
    <w:rsid w:val="005F05D8"/>
    <w:rsid w:val="005F2484"/>
    <w:rsid w:val="005F2557"/>
    <w:rsid w:val="005F2F53"/>
    <w:rsid w:val="005F63BE"/>
    <w:rsid w:val="005F7FF5"/>
    <w:rsid w:val="00600EEA"/>
    <w:rsid w:val="0060130D"/>
    <w:rsid w:val="006026DC"/>
    <w:rsid w:val="00603BE8"/>
    <w:rsid w:val="00603DDF"/>
    <w:rsid w:val="00613B6C"/>
    <w:rsid w:val="006147EF"/>
    <w:rsid w:val="00614BDE"/>
    <w:rsid w:val="006159D0"/>
    <w:rsid w:val="00617864"/>
    <w:rsid w:val="00624DC0"/>
    <w:rsid w:val="0062601B"/>
    <w:rsid w:val="0062633C"/>
    <w:rsid w:val="00626D7C"/>
    <w:rsid w:val="00634E6E"/>
    <w:rsid w:val="0064129F"/>
    <w:rsid w:val="006436AB"/>
    <w:rsid w:val="006500F8"/>
    <w:rsid w:val="00652B85"/>
    <w:rsid w:val="006544B4"/>
    <w:rsid w:val="0066310B"/>
    <w:rsid w:val="00663A9D"/>
    <w:rsid w:val="00675395"/>
    <w:rsid w:val="006828D5"/>
    <w:rsid w:val="00686F55"/>
    <w:rsid w:val="0069072F"/>
    <w:rsid w:val="0069234D"/>
    <w:rsid w:val="006941DE"/>
    <w:rsid w:val="006944CA"/>
    <w:rsid w:val="00695608"/>
    <w:rsid w:val="006A24CE"/>
    <w:rsid w:val="006A498F"/>
    <w:rsid w:val="006B0780"/>
    <w:rsid w:val="006B797F"/>
    <w:rsid w:val="006C419A"/>
    <w:rsid w:val="006C4695"/>
    <w:rsid w:val="006E26FC"/>
    <w:rsid w:val="006E3A12"/>
    <w:rsid w:val="006E75E4"/>
    <w:rsid w:val="006F252C"/>
    <w:rsid w:val="00703DD7"/>
    <w:rsid w:val="00705163"/>
    <w:rsid w:val="007059A9"/>
    <w:rsid w:val="00707E1E"/>
    <w:rsid w:val="00717CDD"/>
    <w:rsid w:val="00732F15"/>
    <w:rsid w:val="0073509B"/>
    <w:rsid w:val="007370D7"/>
    <w:rsid w:val="007429ED"/>
    <w:rsid w:val="00747C7D"/>
    <w:rsid w:val="00751263"/>
    <w:rsid w:val="00752015"/>
    <w:rsid w:val="0075793F"/>
    <w:rsid w:val="00760208"/>
    <w:rsid w:val="00764A92"/>
    <w:rsid w:val="0076763F"/>
    <w:rsid w:val="007733F0"/>
    <w:rsid w:val="007917D8"/>
    <w:rsid w:val="00797B65"/>
    <w:rsid w:val="007A084F"/>
    <w:rsid w:val="007A2E01"/>
    <w:rsid w:val="007A302F"/>
    <w:rsid w:val="007A5FF5"/>
    <w:rsid w:val="007B01BF"/>
    <w:rsid w:val="007B7E68"/>
    <w:rsid w:val="007C7B0E"/>
    <w:rsid w:val="007C7BCD"/>
    <w:rsid w:val="007D11AA"/>
    <w:rsid w:val="007D4856"/>
    <w:rsid w:val="007D7AAC"/>
    <w:rsid w:val="007E018D"/>
    <w:rsid w:val="007F467A"/>
    <w:rsid w:val="007F5C61"/>
    <w:rsid w:val="00800EC6"/>
    <w:rsid w:val="00807E7D"/>
    <w:rsid w:val="008105CF"/>
    <w:rsid w:val="008148CC"/>
    <w:rsid w:val="00814E90"/>
    <w:rsid w:val="00820D43"/>
    <w:rsid w:val="0082257A"/>
    <w:rsid w:val="008269A4"/>
    <w:rsid w:val="00831675"/>
    <w:rsid w:val="00832611"/>
    <w:rsid w:val="00834554"/>
    <w:rsid w:val="00835D44"/>
    <w:rsid w:val="00842EA0"/>
    <w:rsid w:val="00842FA6"/>
    <w:rsid w:val="00847A28"/>
    <w:rsid w:val="00851D14"/>
    <w:rsid w:val="00853A10"/>
    <w:rsid w:val="0086224A"/>
    <w:rsid w:val="0086319D"/>
    <w:rsid w:val="00863290"/>
    <w:rsid w:val="00873BAF"/>
    <w:rsid w:val="008761D3"/>
    <w:rsid w:val="00877A31"/>
    <w:rsid w:val="0088467C"/>
    <w:rsid w:val="00886798"/>
    <w:rsid w:val="00892B0D"/>
    <w:rsid w:val="0089676D"/>
    <w:rsid w:val="00896B90"/>
    <w:rsid w:val="008B22C6"/>
    <w:rsid w:val="008B30C5"/>
    <w:rsid w:val="008B416C"/>
    <w:rsid w:val="008B45B9"/>
    <w:rsid w:val="008C0AE2"/>
    <w:rsid w:val="008C4731"/>
    <w:rsid w:val="008D16F7"/>
    <w:rsid w:val="008D53CB"/>
    <w:rsid w:val="008E204C"/>
    <w:rsid w:val="009009BE"/>
    <w:rsid w:val="0091234B"/>
    <w:rsid w:val="00915F18"/>
    <w:rsid w:val="009177BA"/>
    <w:rsid w:val="00920AB2"/>
    <w:rsid w:val="00923D2D"/>
    <w:rsid w:val="00926E42"/>
    <w:rsid w:val="00930A20"/>
    <w:rsid w:val="00930C0B"/>
    <w:rsid w:val="00932D44"/>
    <w:rsid w:val="00933140"/>
    <w:rsid w:val="00933162"/>
    <w:rsid w:val="0094037A"/>
    <w:rsid w:val="00940E3D"/>
    <w:rsid w:val="00941321"/>
    <w:rsid w:val="00946D29"/>
    <w:rsid w:val="00956BB2"/>
    <w:rsid w:val="0097121F"/>
    <w:rsid w:val="00975563"/>
    <w:rsid w:val="009811E8"/>
    <w:rsid w:val="009844E6"/>
    <w:rsid w:val="009868A7"/>
    <w:rsid w:val="00992FA9"/>
    <w:rsid w:val="0099748A"/>
    <w:rsid w:val="009A0C78"/>
    <w:rsid w:val="009A0EE9"/>
    <w:rsid w:val="009B2687"/>
    <w:rsid w:val="009B4506"/>
    <w:rsid w:val="009B4754"/>
    <w:rsid w:val="009B4C75"/>
    <w:rsid w:val="009B5EAD"/>
    <w:rsid w:val="009C62E9"/>
    <w:rsid w:val="009C631C"/>
    <w:rsid w:val="009D1325"/>
    <w:rsid w:val="009E2F86"/>
    <w:rsid w:val="009E44D9"/>
    <w:rsid w:val="009E7AE8"/>
    <w:rsid w:val="009F1D29"/>
    <w:rsid w:val="009F53B1"/>
    <w:rsid w:val="009F7DDB"/>
    <w:rsid w:val="00A105DC"/>
    <w:rsid w:val="00A12209"/>
    <w:rsid w:val="00A17AF6"/>
    <w:rsid w:val="00A2038E"/>
    <w:rsid w:val="00A21558"/>
    <w:rsid w:val="00A21CB5"/>
    <w:rsid w:val="00A21D34"/>
    <w:rsid w:val="00A22D8C"/>
    <w:rsid w:val="00A243CF"/>
    <w:rsid w:val="00A350FA"/>
    <w:rsid w:val="00A36DF3"/>
    <w:rsid w:val="00A449C9"/>
    <w:rsid w:val="00A532DD"/>
    <w:rsid w:val="00A604DB"/>
    <w:rsid w:val="00A65BB4"/>
    <w:rsid w:val="00A70561"/>
    <w:rsid w:val="00A800BE"/>
    <w:rsid w:val="00A80BCF"/>
    <w:rsid w:val="00A851E9"/>
    <w:rsid w:val="00A95271"/>
    <w:rsid w:val="00A96102"/>
    <w:rsid w:val="00AA6D88"/>
    <w:rsid w:val="00AC36ED"/>
    <w:rsid w:val="00AC47D0"/>
    <w:rsid w:val="00AD450A"/>
    <w:rsid w:val="00AD7A0F"/>
    <w:rsid w:val="00AE66D8"/>
    <w:rsid w:val="00AF2E45"/>
    <w:rsid w:val="00AF3B51"/>
    <w:rsid w:val="00AF6CEC"/>
    <w:rsid w:val="00B03416"/>
    <w:rsid w:val="00B07B0C"/>
    <w:rsid w:val="00B14B43"/>
    <w:rsid w:val="00B1635A"/>
    <w:rsid w:val="00B20BBA"/>
    <w:rsid w:val="00B2409A"/>
    <w:rsid w:val="00B24349"/>
    <w:rsid w:val="00B2652B"/>
    <w:rsid w:val="00B30620"/>
    <w:rsid w:val="00B30F94"/>
    <w:rsid w:val="00B3709B"/>
    <w:rsid w:val="00B40871"/>
    <w:rsid w:val="00B47505"/>
    <w:rsid w:val="00B5082C"/>
    <w:rsid w:val="00B5146B"/>
    <w:rsid w:val="00B5197B"/>
    <w:rsid w:val="00B51C07"/>
    <w:rsid w:val="00B5669A"/>
    <w:rsid w:val="00B670EC"/>
    <w:rsid w:val="00B70498"/>
    <w:rsid w:val="00B74DDD"/>
    <w:rsid w:val="00B761FE"/>
    <w:rsid w:val="00B843B4"/>
    <w:rsid w:val="00B84933"/>
    <w:rsid w:val="00B869D7"/>
    <w:rsid w:val="00B87A23"/>
    <w:rsid w:val="00B926BB"/>
    <w:rsid w:val="00B94C29"/>
    <w:rsid w:val="00B966A2"/>
    <w:rsid w:val="00B979EC"/>
    <w:rsid w:val="00BA3887"/>
    <w:rsid w:val="00BA6302"/>
    <w:rsid w:val="00BA75FD"/>
    <w:rsid w:val="00BB7F29"/>
    <w:rsid w:val="00BB7F37"/>
    <w:rsid w:val="00BC0455"/>
    <w:rsid w:val="00BC211A"/>
    <w:rsid w:val="00BC6B5A"/>
    <w:rsid w:val="00BD1BBC"/>
    <w:rsid w:val="00BD5300"/>
    <w:rsid w:val="00BD535F"/>
    <w:rsid w:val="00BD61A2"/>
    <w:rsid w:val="00BE07A3"/>
    <w:rsid w:val="00BE2709"/>
    <w:rsid w:val="00BE38B2"/>
    <w:rsid w:val="00BE484D"/>
    <w:rsid w:val="00BF4675"/>
    <w:rsid w:val="00BF46ED"/>
    <w:rsid w:val="00C00E48"/>
    <w:rsid w:val="00C04D91"/>
    <w:rsid w:val="00C0533B"/>
    <w:rsid w:val="00C06FF9"/>
    <w:rsid w:val="00C13AA9"/>
    <w:rsid w:val="00C14CBF"/>
    <w:rsid w:val="00C2330F"/>
    <w:rsid w:val="00C23CDE"/>
    <w:rsid w:val="00C273A1"/>
    <w:rsid w:val="00C31BBB"/>
    <w:rsid w:val="00C32AD3"/>
    <w:rsid w:val="00C37E05"/>
    <w:rsid w:val="00C419C4"/>
    <w:rsid w:val="00C42FC1"/>
    <w:rsid w:val="00C433BB"/>
    <w:rsid w:val="00C4581A"/>
    <w:rsid w:val="00C54891"/>
    <w:rsid w:val="00C55D29"/>
    <w:rsid w:val="00C66C43"/>
    <w:rsid w:val="00C730D5"/>
    <w:rsid w:val="00C76918"/>
    <w:rsid w:val="00C76B23"/>
    <w:rsid w:val="00C77107"/>
    <w:rsid w:val="00C77A38"/>
    <w:rsid w:val="00C86EAD"/>
    <w:rsid w:val="00C91B33"/>
    <w:rsid w:val="00CA17CC"/>
    <w:rsid w:val="00CA6C83"/>
    <w:rsid w:val="00CC608E"/>
    <w:rsid w:val="00CD237D"/>
    <w:rsid w:val="00CD2524"/>
    <w:rsid w:val="00CD266E"/>
    <w:rsid w:val="00CD4F41"/>
    <w:rsid w:val="00CD6555"/>
    <w:rsid w:val="00CE1196"/>
    <w:rsid w:val="00CE12FD"/>
    <w:rsid w:val="00CE3139"/>
    <w:rsid w:val="00CF2FFD"/>
    <w:rsid w:val="00CF4DCE"/>
    <w:rsid w:val="00CF76C8"/>
    <w:rsid w:val="00D14BC9"/>
    <w:rsid w:val="00D1701F"/>
    <w:rsid w:val="00D234E3"/>
    <w:rsid w:val="00D23EED"/>
    <w:rsid w:val="00D26F83"/>
    <w:rsid w:val="00D315E1"/>
    <w:rsid w:val="00D34626"/>
    <w:rsid w:val="00D4257A"/>
    <w:rsid w:val="00D43828"/>
    <w:rsid w:val="00D456F7"/>
    <w:rsid w:val="00D61FBE"/>
    <w:rsid w:val="00D627DA"/>
    <w:rsid w:val="00D64CCF"/>
    <w:rsid w:val="00D667BE"/>
    <w:rsid w:val="00D70363"/>
    <w:rsid w:val="00D7074D"/>
    <w:rsid w:val="00D7412F"/>
    <w:rsid w:val="00D7742F"/>
    <w:rsid w:val="00D81C38"/>
    <w:rsid w:val="00D8289A"/>
    <w:rsid w:val="00D930CF"/>
    <w:rsid w:val="00DA0A6C"/>
    <w:rsid w:val="00DA43EB"/>
    <w:rsid w:val="00DA4E06"/>
    <w:rsid w:val="00DA7E1B"/>
    <w:rsid w:val="00DB36B5"/>
    <w:rsid w:val="00DB4040"/>
    <w:rsid w:val="00DB557A"/>
    <w:rsid w:val="00DC0CDE"/>
    <w:rsid w:val="00DC3FA6"/>
    <w:rsid w:val="00DC6824"/>
    <w:rsid w:val="00DC7BCF"/>
    <w:rsid w:val="00DD6D59"/>
    <w:rsid w:val="00DD75E5"/>
    <w:rsid w:val="00DE258B"/>
    <w:rsid w:val="00DE44D8"/>
    <w:rsid w:val="00DE5CCE"/>
    <w:rsid w:val="00DF77F2"/>
    <w:rsid w:val="00DF7D6B"/>
    <w:rsid w:val="00E0160B"/>
    <w:rsid w:val="00E04D49"/>
    <w:rsid w:val="00E0624D"/>
    <w:rsid w:val="00E07B39"/>
    <w:rsid w:val="00E13F41"/>
    <w:rsid w:val="00E16D9B"/>
    <w:rsid w:val="00E21A99"/>
    <w:rsid w:val="00E22BB6"/>
    <w:rsid w:val="00E25819"/>
    <w:rsid w:val="00E26417"/>
    <w:rsid w:val="00E26708"/>
    <w:rsid w:val="00E27B6A"/>
    <w:rsid w:val="00E3105C"/>
    <w:rsid w:val="00E4174E"/>
    <w:rsid w:val="00E41C96"/>
    <w:rsid w:val="00E4438C"/>
    <w:rsid w:val="00E457F3"/>
    <w:rsid w:val="00E52285"/>
    <w:rsid w:val="00E620CB"/>
    <w:rsid w:val="00E6260D"/>
    <w:rsid w:val="00E6402C"/>
    <w:rsid w:val="00E672A6"/>
    <w:rsid w:val="00E705C0"/>
    <w:rsid w:val="00E71063"/>
    <w:rsid w:val="00E73ED6"/>
    <w:rsid w:val="00E74230"/>
    <w:rsid w:val="00E75006"/>
    <w:rsid w:val="00E82509"/>
    <w:rsid w:val="00E91DE4"/>
    <w:rsid w:val="00E95B61"/>
    <w:rsid w:val="00E976E7"/>
    <w:rsid w:val="00E978CB"/>
    <w:rsid w:val="00EA19C2"/>
    <w:rsid w:val="00EA35E5"/>
    <w:rsid w:val="00EB583D"/>
    <w:rsid w:val="00EB59C3"/>
    <w:rsid w:val="00EB7E71"/>
    <w:rsid w:val="00ED0CBB"/>
    <w:rsid w:val="00EE11FE"/>
    <w:rsid w:val="00EE3AAE"/>
    <w:rsid w:val="00EF37F6"/>
    <w:rsid w:val="00EF69C8"/>
    <w:rsid w:val="00F01C34"/>
    <w:rsid w:val="00F01F35"/>
    <w:rsid w:val="00F04F88"/>
    <w:rsid w:val="00F109D4"/>
    <w:rsid w:val="00F1477D"/>
    <w:rsid w:val="00F16514"/>
    <w:rsid w:val="00F178C6"/>
    <w:rsid w:val="00F25953"/>
    <w:rsid w:val="00F27262"/>
    <w:rsid w:val="00F3115B"/>
    <w:rsid w:val="00F54C29"/>
    <w:rsid w:val="00F62076"/>
    <w:rsid w:val="00F6397A"/>
    <w:rsid w:val="00F63DA0"/>
    <w:rsid w:val="00F64393"/>
    <w:rsid w:val="00F65610"/>
    <w:rsid w:val="00F854AE"/>
    <w:rsid w:val="00F908B4"/>
    <w:rsid w:val="00F9539A"/>
    <w:rsid w:val="00F97B91"/>
    <w:rsid w:val="00FB0DAA"/>
    <w:rsid w:val="00FB0F28"/>
    <w:rsid w:val="00FB1E9A"/>
    <w:rsid w:val="00FB46D5"/>
    <w:rsid w:val="00FB517C"/>
    <w:rsid w:val="00FB5A1D"/>
    <w:rsid w:val="00FC3242"/>
    <w:rsid w:val="00FD0725"/>
    <w:rsid w:val="00FD1272"/>
    <w:rsid w:val="00FD2D75"/>
    <w:rsid w:val="00FD3007"/>
    <w:rsid w:val="00FD479F"/>
    <w:rsid w:val="00FE5144"/>
    <w:rsid w:val="00FF1057"/>
    <w:rsid w:val="00FF41C2"/>
    <w:rsid w:val="00FF50CC"/>
    <w:rsid w:val="00FF66B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6DEC4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able of authorities"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130D"/>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92BBA"/>
    <w:pPr>
      <w:tabs>
        <w:tab w:val="left" w:pos="1987"/>
      </w:tabs>
      <w:spacing w:after="120"/>
      <w:outlineLvl w:val="2"/>
    </w:pPr>
    <w:rPr>
      <w:rFonts w:ascii="Helvetica" w:hAnsi="Helvetica"/>
      <w:kern w:val="28"/>
      <w:sz w:val="24"/>
      <w:u w:val="none"/>
    </w:rPr>
  </w:style>
  <w:style w:type="paragraph" w:styleId="Heading4">
    <w:name w:val="heading 4"/>
    <w:basedOn w:val="Heading3"/>
    <w:next w:val="base-text-paragraph"/>
    <w:qFormat/>
    <w:rsid w:val="00E4438C"/>
    <w:pPr>
      <w:spacing w:before="120"/>
      <w:outlineLvl w:val="3"/>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link w:val="base-text-paragraphChar"/>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aliases w:val="b,b1,b + line,Body,level 1"/>
    <w:basedOn w:val="Normal"/>
    <w:link w:val="BulletChar"/>
    <w:qFormat/>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aliases w:val="b Char,b + line Char Char,b Char Char"/>
    <w:basedOn w:val="DefaultChar"/>
    <w:link w:val="Bullet"/>
    <w:rsid w:val="00E0624D"/>
    <w:rPr>
      <w:color w:val="000000"/>
      <w:sz w:val="24"/>
      <w:szCs w:val="23"/>
    </w:rPr>
  </w:style>
  <w:style w:type="paragraph" w:customStyle="1" w:styleId="Dash">
    <w:name w:val="Dash"/>
    <w:basedOn w:val="Normal"/>
    <w:link w:val="DashChar"/>
    <w:qFormat/>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E457F3"/>
    <w:rPr>
      <w:rFonts w:ascii="Helvetica" w:hAnsi="Helvetica"/>
      <w:b/>
      <w:kern w:val="28"/>
      <w:sz w:val="24"/>
    </w:rPr>
  </w:style>
  <w:style w:type="paragraph" w:customStyle="1" w:styleId="bullet0">
    <w:name w:val="bullet"/>
    <w:basedOn w:val="Normal"/>
    <w:rsid w:val="00525781"/>
    <w:pPr>
      <w:spacing w:before="100" w:beforeAutospacing="1" w:after="100" w:afterAutospacing="1"/>
    </w:pPr>
    <w:rPr>
      <w:szCs w:val="24"/>
    </w:rPr>
  </w:style>
  <w:style w:type="paragraph" w:customStyle="1" w:styleId="ChapterHeading">
    <w:name w:val="Chapter Heading"/>
    <w:next w:val="Heading2"/>
    <w:rsid w:val="00B966A2"/>
    <w:pPr>
      <w:pBdr>
        <w:top w:val="single" w:sz="4" w:space="1" w:color="auto"/>
        <w:bottom w:val="single" w:sz="4" w:space="1" w:color="auto"/>
      </w:pBdr>
      <w:tabs>
        <w:tab w:val="num" w:pos="1134"/>
      </w:tabs>
      <w:spacing w:before="240" w:line="260" w:lineRule="atLeast"/>
    </w:pPr>
    <w:rPr>
      <w:rFonts w:ascii="Helvetica" w:hAnsi="Helvetica"/>
      <w:b/>
      <w:i/>
      <w:sz w:val="38"/>
    </w:rPr>
  </w:style>
  <w:style w:type="paragraph" w:customStyle="1" w:styleId="TableHeadingoutsidetable">
    <w:name w:val="Table Heading (outside table)"/>
    <w:basedOn w:val="Heading4"/>
    <w:rsid w:val="00B966A2"/>
    <w:pPr>
      <w:tabs>
        <w:tab w:val="clear" w:pos="1987"/>
        <w:tab w:val="num" w:pos="360"/>
      </w:tabs>
      <w:ind w:left="1134"/>
    </w:pPr>
    <w:rPr>
      <w:kern w:val="0"/>
      <w:sz w:val="22"/>
    </w:rPr>
  </w:style>
  <w:style w:type="paragraph" w:customStyle="1" w:styleId="ExampleHeading">
    <w:name w:val="Example Heading"/>
    <w:basedOn w:val="Normal"/>
    <w:next w:val="Normal"/>
    <w:rsid w:val="00B966A2"/>
    <w:pPr>
      <w:keepNext/>
      <w:tabs>
        <w:tab w:val="num" w:pos="360"/>
      </w:tabs>
      <w:ind w:left="1134"/>
    </w:pPr>
    <w:rPr>
      <w:b/>
      <w:sz w:val="22"/>
    </w:rPr>
  </w:style>
  <w:style w:type="paragraph" w:customStyle="1" w:styleId="Diagram">
    <w:name w:val="Diagram"/>
    <w:basedOn w:val="Normal"/>
    <w:next w:val="Normal"/>
    <w:rsid w:val="00B966A2"/>
    <w:pPr>
      <w:keepNext/>
      <w:spacing w:before="0" w:after="0"/>
      <w:ind w:left="1134"/>
    </w:pPr>
    <w:rPr>
      <w:b/>
      <w:sz w:val="22"/>
    </w:rPr>
  </w:style>
  <w:style w:type="character" w:customStyle="1" w:styleId="base-text-paragraphChar">
    <w:name w:val="base-text-paragraph Char"/>
    <w:basedOn w:val="DefaultParagraphFont"/>
    <w:link w:val="base-text-paragraph"/>
    <w:rsid w:val="00B966A2"/>
    <w:rPr>
      <w:sz w:val="24"/>
    </w:rPr>
  </w:style>
  <w:style w:type="numbering" w:customStyle="1" w:styleId="ChapterList">
    <w:name w:val="ChapterList"/>
    <w:uiPriority w:val="99"/>
    <w:rsid w:val="00B966A2"/>
    <w:pPr>
      <w:numPr>
        <w:numId w:val="3"/>
      </w:numPr>
    </w:pPr>
  </w:style>
  <w:style w:type="character" w:styleId="CommentReference">
    <w:name w:val="annotation reference"/>
    <w:basedOn w:val="DefaultParagraphFont"/>
    <w:uiPriority w:val="99"/>
    <w:semiHidden/>
    <w:unhideWhenUsed/>
    <w:rsid w:val="00956BB2"/>
    <w:rPr>
      <w:sz w:val="16"/>
      <w:szCs w:val="16"/>
    </w:rPr>
  </w:style>
  <w:style w:type="paragraph" w:styleId="CommentText">
    <w:name w:val="annotation text"/>
    <w:basedOn w:val="Normal"/>
    <w:link w:val="CommentTextChar"/>
    <w:uiPriority w:val="99"/>
    <w:semiHidden/>
    <w:unhideWhenUsed/>
    <w:rsid w:val="00956BB2"/>
    <w:rPr>
      <w:sz w:val="20"/>
    </w:rPr>
  </w:style>
  <w:style w:type="character" w:customStyle="1" w:styleId="CommentTextChar">
    <w:name w:val="Comment Text Char"/>
    <w:basedOn w:val="DefaultParagraphFont"/>
    <w:link w:val="CommentText"/>
    <w:uiPriority w:val="99"/>
    <w:semiHidden/>
    <w:rsid w:val="00956BB2"/>
  </w:style>
  <w:style w:type="paragraph" w:styleId="CommentSubject">
    <w:name w:val="annotation subject"/>
    <w:basedOn w:val="CommentText"/>
    <w:next w:val="CommentText"/>
    <w:link w:val="CommentSubjectChar"/>
    <w:uiPriority w:val="99"/>
    <w:semiHidden/>
    <w:unhideWhenUsed/>
    <w:rsid w:val="00956BB2"/>
    <w:rPr>
      <w:b/>
      <w:bCs/>
    </w:rPr>
  </w:style>
  <w:style w:type="character" w:customStyle="1" w:styleId="CommentSubjectChar">
    <w:name w:val="Comment Subject Char"/>
    <w:basedOn w:val="CommentTextChar"/>
    <w:link w:val="CommentSubject"/>
    <w:uiPriority w:val="99"/>
    <w:semiHidden/>
    <w:rsid w:val="00956BB2"/>
    <w:rPr>
      <w:b/>
      <w:bCs/>
    </w:rPr>
  </w:style>
  <w:style w:type="paragraph" w:styleId="Header">
    <w:name w:val="header"/>
    <w:basedOn w:val="Normal"/>
    <w:link w:val="HeaderChar"/>
    <w:uiPriority w:val="99"/>
    <w:unhideWhenUsed/>
    <w:rsid w:val="008C4731"/>
    <w:pPr>
      <w:tabs>
        <w:tab w:val="center" w:pos="4513"/>
        <w:tab w:val="right" w:pos="9026"/>
      </w:tabs>
      <w:spacing w:before="0" w:after="0"/>
    </w:pPr>
  </w:style>
  <w:style w:type="character" w:customStyle="1" w:styleId="HeaderChar">
    <w:name w:val="Header Char"/>
    <w:basedOn w:val="DefaultParagraphFont"/>
    <w:link w:val="Header"/>
    <w:uiPriority w:val="99"/>
    <w:rsid w:val="008C4731"/>
    <w:rPr>
      <w:sz w:val="24"/>
    </w:rPr>
  </w:style>
  <w:style w:type="paragraph" w:styleId="Footer">
    <w:name w:val="footer"/>
    <w:basedOn w:val="Normal"/>
    <w:link w:val="FooterChar"/>
    <w:uiPriority w:val="99"/>
    <w:unhideWhenUsed/>
    <w:rsid w:val="008C4731"/>
    <w:pPr>
      <w:tabs>
        <w:tab w:val="center" w:pos="4513"/>
        <w:tab w:val="right" w:pos="9026"/>
      </w:tabs>
      <w:spacing w:before="0" w:after="0"/>
    </w:pPr>
  </w:style>
  <w:style w:type="character" w:customStyle="1" w:styleId="FooterChar">
    <w:name w:val="Footer Char"/>
    <w:basedOn w:val="DefaultParagraphFont"/>
    <w:link w:val="Footer"/>
    <w:uiPriority w:val="99"/>
    <w:rsid w:val="008C4731"/>
    <w:rPr>
      <w:sz w:val="24"/>
    </w:rPr>
  </w:style>
  <w:style w:type="character" w:styleId="FollowedHyperlink">
    <w:name w:val="FollowedHyperlink"/>
    <w:basedOn w:val="DefaultParagraphFont"/>
    <w:uiPriority w:val="99"/>
    <w:semiHidden/>
    <w:unhideWhenUsed/>
    <w:rsid w:val="00F3115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able of authorities"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130D"/>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92BBA"/>
    <w:pPr>
      <w:tabs>
        <w:tab w:val="left" w:pos="1987"/>
      </w:tabs>
      <w:spacing w:after="120"/>
      <w:outlineLvl w:val="2"/>
    </w:pPr>
    <w:rPr>
      <w:rFonts w:ascii="Helvetica" w:hAnsi="Helvetica"/>
      <w:kern w:val="28"/>
      <w:sz w:val="24"/>
      <w:u w:val="none"/>
    </w:rPr>
  </w:style>
  <w:style w:type="paragraph" w:styleId="Heading4">
    <w:name w:val="heading 4"/>
    <w:basedOn w:val="Heading3"/>
    <w:next w:val="base-text-paragraph"/>
    <w:qFormat/>
    <w:rsid w:val="00E4438C"/>
    <w:pPr>
      <w:spacing w:before="120"/>
      <w:outlineLvl w:val="3"/>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link w:val="base-text-paragraphChar"/>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aliases w:val="b,b1,b + line,Body,level 1"/>
    <w:basedOn w:val="Normal"/>
    <w:link w:val="BulletChar"/>
    <w:qFormat/>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aliases w:val="b Char,b + line Char Char,b Char Char"/>
    <w:basedOn w:val="DefaultChar"/>
    <w:link w:val="Bullet"/>
    <w:rsid w:val="00E0624D"/>
    <w:rPr>
      <w:color w:val="000000"/>
      <w:sz w:val="24"/>
      <w:szCs w:val="23"/>
    </w:rPr>
  </w:style>
  <w:style w:type="paragraph" w:customStyle="1" w:styleId="Dash">
    <w:name w:val="Dash"/>
    <w:basedOn w:val="Normal"/>
    <w:link w:val="DashChar"/>
    <w:qFormat/>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E457F3"/>
    <w:rPr>
      <w:rFonts w:ascii="Helvetica" w:hAnsi="Helvetica"/>
      <w:b/>
      <w:kern w:val="28"/>
      <w:sz w:val="24"/>
    </w:rPr>
  </w:style>
  <w:style w:type="paragraph" w:customStyle="1" w:styleId="bullet0">
    <w:name w:val="bullet"/>
    <w:basedOn w:val="Normal"/>
    <w:rsid w:val="00525781"/>
    <w:pPr>
      <w:spacing w:before="100" w:beforeAutospacing="1" w:after="100" w:afterAutospacing="1"/>
    </w:pPr>
    <w:rPr>
      <w:szCs w:val="24"/>
    </w:rPr>
  </w:style>
  <w:style w:type="paragraph" w:customStyle="1" w:styleId="ChapterHeading">
    <w:name w:val="Chapter Heading"/>
    <w:next w:val="Heading2"/>
    <w:rsid w:val="00B966A2"/>
    <w:pPr>
      <w:pBdr>
        <w:top w:val="single" w:sz="4" w:space="1" w:color="auto"/>
        <w:bottom w:val="single" w:sz="4" w:space="1" w:color="auto"/>
      </w:pBdr>
      <w:tabs>
        <w:tab w:val="num" w:pos="1134"/>
      </w:tabs>
      <w:spacing w:before="240" w:line="260" w:lineRule="atLeast"/>
    </w:pPr>
    <w:rPr>
      <w:rFonts w:ascii="Helvetica" w:hAnsi="Helvetica"/>
      <w:b/>
      <w:i/>
      <w:sz w:val="38"/>
    </w:rPr>
  </w:style>
  <w:style w:type="paragraph" w:customStyle="1" w:styleId="TableHeadingoutsidetable">
    <w:name w:val="Table Heading (outside table)"/>
    <w:basedOn w:val="Heading4"/>
    <w:rsid w:val="00B966A2"/>
    <w:pPr>
      <w:tabs>
        <w:tab w:val="clear" w:pos="1987"/>
        <w:tab w:val="num" w:pos="360"/>
      </w:tabs>
      <w:ind w:left="1134"/>
    </w:pPr>
    <w:rPr>
      <w:kern w:val="0"/>
      <w:sz w:val="22"/>
    </w:rPr>
  </w:style>
  <w:style w:type="paragraph" w:customStyle="1" w:styleId="ExampleHeading">
    <w:name w:val="Example Heading"/>
    <w:basedOn w:val="Normal"/>
    <w:next w:val="Normal"/>
    <w:rsid w:val="00B966A2"/>
    <w:pPr>
      <w:keepNext/>
      <w:tabs>
        <w:tab w:val="num" w:pos="360"/>
      </w:tabs>
      <w:ind w:left="1134"/>
    </w:pPr>
    <w:rPr>
      <w:b/>
      <w:sz w:val="22"/>
    </w:rPr>
  </w:style>
  <w:style w:type="paragraph" w:customStyle="1" w:styleId="Diagram">
    <w:name w:val="Diagram"/>
    <w:basedOn w:val="Normal"/>
    <w:next w:val="Normal"/>
    <w:rsid w:val="00B966A2"/>
    <w:pPr>
      <w:keepNext/>
      <w:spacing w:before="0" w:after="0"/>
      <w:ind w:left="1134"/>
    </w:pPr>
    <w:rPr>
      <w:b/>
      <w:sz w:val="22"/>
    </w:rPr>
  </w:style>
  <w:style w:type="character" w:customStyle="1" w:styleId="base-text-paragraphChar">
    <w:name w:val="base-text-paragraph Char"/>
    <w:basedOn w:val="DefaultParagraphFont"/>
    <w:link w:val="base-text-paragraph"/>
    <w:rsid w:val="00B966A2"/>
    <w:rPr>
      <w:sz w:val="24"/>
    </w:rPr>
  </w:style>
  <w:style w:type="numbering" w:customStyle="1" w:styleId="ChapterList">
    <w:name w:val="ChapterList"/>
    <w:uiPriority w:val="99"/>
    <w:rsid w:val="00B966A2"/>
    <w:pPr>
      <w:numPr>
        <w:numId w:val="3"/>
      </w:numPr>
    </w:pPr>
  </w:style>
  <w:style w:type="character" w:styleId="CommentReference">
    <w:name w:val="annotation reference"/>
    <w:basedOn w:val="DefaultParagraphFont"/>
    <w:uiPriority w:val="99"/>
    <w:semiHidden/>
    <w:unhideWhenUsed/>
    <w:rsid w:val="00956BB2"/>
    <w:rPr>
      <w:sz w:val="16"/>
      <w:szCs w:val="16"/>
    </w:rPr>
  </w:style>
  <w:style w:type="paragraph" w:styleId="CommentText">
    <w:name w:val="annotation text"/>
    <w:basedOn w:val="Normal"/>
    <w:link w:val="CommentTextChar"/>
    <w:uiPriority w:val="99"/>
    <w:semiHidden/>
    <w:unhideWhenUsed/>
    <w:rsid w:val="00956BB2"/>
    <w:rPr>
      <w:sz w:val="20"/>
    </w:rPr>
  </w:style>
  <w:style w:type="character" w:customStyle="1" w:styleId="CommentTextChar">
    <w:name w:val="Comment Text Char"/>
    <w:basedOn w:val="DefaultParagraphFont"/>
    <w:link w:val="CommentText"/>
    <w:uiPriority w:val="99"/>
    <w:semiHidden/>
    <w:rsid w:val="00956BB2"/>
  </w:style>
  <w:style w:type="paragraph" w:styleId="CommentSubject">
    <w:name w:val="annotation subject"/>
    <w:basedOn w:val="CommentText"/>
    <w:next w:val="CommentText"/>
    <w:link w:val="CommentSubjectChar"/>
    <w:uiPriority w:val="99"/>
    <w:semiHidden/>
    <w:unhideWhenUsed/>
    <w:rsid w:val="00956BB2"/>
    <w:rPr>
      <w:b/>
      <w:bCs/>
    </w:rPr>
  </w:style>
  <w:style w:type="character" w:customStyle="1" w:styleId="CommentSubjectChar">
    <w:name w:val="Comment Subject Char"/>
    <w:basedOn w:val="CommentTextChar"/>
    <w:link w:val="CommentSubject"/>
    <w:uiPriority w:val="99"/>
    <w:semiHidden/>
    <w:rsid w:val="00956BB2"/>
    <w:rPr>
      <w:b/>
      <w:bCs/>
    </w:rPr>
  </w:style>
  <w:style w:type="paragraph" w:styleId="Header">
    <w:name w:val="header"/>
    <w:basedOn w:val="Normal"/>
    <w:link w:val="HeaderChar"/>
    <w:uiPriority w:val="99"/>
    <w:unhideWhenUsed/>
    <w:rsid w:val="008C4731"/>
    <w:pPr>
      <w:tabs>
        <w:tab w:val="center" w:pos="4513"/>
        <w:tab w:val="right" w:pos="9026"/>
      </w:tabs>
      <w:spacing w:before="0" w:after="0"/>
    </w:pPr>
  </w:style>
  <w:style w:type="character" w:customStyle="1" w:styleId="HeaderChar">
    <w:name w:val="Header Char"/>
    <w:basedOn w:val="DefaultParagraphFont"/>
    <w:link w:val="Header"/>
    <w:uiPriority w:val="99"/>
    <w:rsid w:val="008C4731"/>
    <w:rPr>
      <w:sz w:val="24"/>
    </w:rPr>
  </w:style>
  <w:style w:type="paragraph" w:styleId="Footer">
    <w:name w:val="footer"/>
    <w:basedOn w:val="Normal"/>
    <w:link w:val="FooterChar"/>
    <w:uiPriority w:val="99"/>
    <w:unhideWhenUsed/>
    <w:rsid w:val="008C4731"/>
    <w:pPr>
      <w:tabs>
        <w:tab w:val="center" w:pos="4513"/>
        <w:tab w:val="right" w:pos="9026"/>
      </w:tabs>
      <w:spacing w:before="0" w:after="0"/>
    </w:pPr>
  </w:style>
  <w:style w:type="character" w:customStyle="1" w:styleId="FooterChar">
    <w:name w:val="Footer Char"/>
    <w:basedOn w:val="DefaultParagraphFont"/>
    <w:link w:val="Footer"/>
    <w:uiPriority w:val="99"/>
    <w:rsid w:val="008C4731"/>
    <w:rPr>
      <w:sz w:val="24"/>
    </w:rPr>
  </w:style>
  <w:style w:type="character" w:styleId="FollowedHyperlink">
    <w:name w:val="FollowedHyperlink"/>
    <w:basedOn w:val="DefaultParagraphFont"/>
    <w:uiPriority w:val="99"/>
    <w:semiHidden/>
    <w:unhideWhenUsed/>
    <w:rsid w:val="00F3115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8648803">
      <w:bodyDiv w:val="1"/>
      <w:marLeft w:val="0"/>
      <w:marRight w:val="0"/>
      <w:marTop w:val="0"/>
      <w:marBottom w:val="0"/>
      <w:divBdr>
        <w:top w:val="none" w:sz="0" w:space="0" w:color="auto"/>
        <w:left w:val="none" w:sz="0" w:space="0" w:color="auto"/>
        <w:bottom w:val="none" w:sz="0" w:space="0" w:color="auto"/>
        <w:right w:val="none" w:sz="0" w:space="0" w:color="auto"/>
      </w:divBdr>
      <w:divsChild>
        <w:div w:id="1635527316">
          <w:marLeft w:val="0"/>
          <w:marRight w:val="0"/>
          <w:marTop w:val="0"/>
          <w:marBottom w:val="0"/>
          <w:divBdr>
            <w:top w:val="none" w:sz="0" w:space="0" w:color="auto"/>
            <w:left w:val="none" w:sz="0" w:space="0" w:color="auto"/>
            <w:bottom w:val="none" w:sz="0" w:space="0" w:color="auto"/>
            <w:right w:val="none" w:sz="0" w:space="0" w:color="auto"/>
          </w:divBdr>
          <w:divsChild>
            <w:div w:id="1700010352">
              <w:marLeft w:val="0"/>
              <w:marRight w:val="0"/>
              <w:marTop w:val="0"/>
              <w:marBottom w:val="0"/>
              <w:divBdr>
                <w:top w:val="none" w:sz="0" w:space="0" w:color="auto"/>
                <w:left w:val="none" w:sz="0" w:space="0" w:color="auto"/>
                <w:bottom w:val="none" w:sz="0" w:space="0" w:color="auto"/>
                <w:right w:val="none" w:sz="0" w:space="0" w:color="auto"/>
              </w:divBdr>
              <w:divsChild>
                <w:div w:id="497381343">
                  <w:marLeft w:val="0"/>
                  <w:marRight w:val="0"/>
                  <w:marTop w:val="0"/>
                  <w:marBottom w:val="0"/>
                  <w:divBdr>
                    <w:top w:val="none" w:sz="0" w:space="0" w:color="auto"/>
                    <w:left w:val="none" w:sz="0" w:space="0" w:color="auto"/>
                    <w:bottom w:val="none" w:sz="0" w:space="0" w:color="auto"/>
                    <w:right w:val="none" w:sz="0" w:space="0" w:color="auto"/>
                  </w:divBdr>
                  <w:divsChild>
                    <w:div w:id="161359135">
                      <w:marLeft w:val="0"/>
                      <w:marRight w:val="0"/>
                      <w:marTop w:val="0"/>
                      <w:marBottom w:val="0"/>
                      <w:divBdr>
                        <w:top w:val="none" w:sz="0" w:space="0" w:color="auto"/>
                        <w:left w:val="none" w:sz="0" w:space="0" w:color="auto"/>
                        <w:bottom w:val="none" w:sz="0" w:space="0" w:color="auto"/>
                        <w:right w:val="none" w:sz="0" w:space="0" w:color="auto"/>
                      </w:divBdr>
                      <w:divsChild>
                        <w:div w:id="516386167">
                          <w:marLeft w:val="0"/>
                          <w:marRight w:val="0"/>
                          <w:marTop w:val="0"/>
                          <w:marBottom w:val="0"/>
                          <w:divBdr>
                            <w:top w:val="single" w:sz="6" w:space="0" w:color="828282"/>
                            <w:left w:val="single" w:sz="6" w:space="0" w:color="828282"/>
                            <w:bottom w:val="single" w:sz="6" w:space="0" w:color="828282"/>
                            <w:right w:val="single" w:sz="6" w:space="0" w:color="828282"/>
                          </w:divBdr>
                          <w:divsChild>
                            <w:div w:id="1345014827">
                              <w:marLeft w:val="0"/>
                              <w:marRight w:val="0"/>
                              <w:marTop w:val="0"/>
                              <w:marBottom w:val="0"/>
                              <w:divBdr>
                                <w:top w:val="none" w:sz="0" w:space="0" w:color="auto"/>
                                <w:left w:val="none" w:sz="0" w:space="0" w:color="auto"/>
                                <w:bottom w:val="none" w:sz="0" w:space="0" w:color="auto"/>
                                <w:right w:val="none" w:sz="0" w:space="0" w:color="auto"/>
                              </w:divBdr>
                              <w:divsChild>
                                <w:div w:id="717360258">
                                  <w:marLeft w:val="0"/>
                                  <w:marRight w:val="0"/>
                                  <w:marTop w:val="0"/>
                                  <w:marBottom w:val="0"/>
                                  <w:divBdr>
                                    <w:top w:val="none" w:sz="0" w:space="0" w:color="auto"/>
                                    <w:left w:val="none" w:sz="0" w:space="0" w:color="auto"/>
                                    <w:bottom w:val="none" w:sz="0" w:space="0" w:color="auto"/>
                                    <w:right w:val="none" w:sz="0" w:space="0" w:color="auto"/>
                                  </w:divBdr>
                                  <w:divsChild>
                                    <w:div w:id="1835493417">
                                      <w:marLeft w:val="0"/>
                                      <w:marRight w:val="0"/>
                                      <w:marTop w:val="0"/>
                                      <w:marBottom w:val="0"/>
                                      <w:divBdr>
                                        <w:top w:val="none" w:sz="0" w:space="0" w:color="auto"/>
                                        <w:left w:val="none" w:sz="0" w:space="0" w:color="auto"/>
                                        <w:bottom w:val="none" w:sz="0" w:space="0" w:color="auto"/>
                                        <w:right w:val="none" w:sz="0" w:space="0" w:color="auto"/>
                                      </w:divBdr>
                                      <w:divsChild>
                                        <w:div w:id="1964846259">
                                          <w:marLeft w:val="0"/>
                                          <w:marRight w:val="0"/>
                                          <w:marTop w:val="0"/>
                                          <w:marBottom w:val="0"/>
                                          <w:divBdr>
                                            <w:top w:val="none" w:sz="0" w:space="0" w:color="auto"/>
                                            <w:left w:val="none" w:sz="0" w:space="0" w:color="auto"/>
                                            <w:bottom w:val="none" w:sz="0" w:space="0" w:color="auto"/>
                                            <w:right w:val="none" w:sz="0" w:space="0" w:color="auto"/>
                                          </w:divBdr>
                                          <w:divsChild>
                                            <w:div w:id="857738934">
                                              <w:marLeft w:val="0"/>
                                              <w:marRight w:val="0"/>
                                              <w:marTop w:val="0"/>
                                              <w:marBottom w:val="0"/>
                                              <w:divBdr>
                                                <w:top w:val="none" w:sz="0" w:space="0" w:color="auto"/>
                                                <w:left w:val="none" w:sz="0" w:space="0" w:color="auto"/>
                                                <w:bottom w:val="none" w:sz="0" w:space="0" w:color="auto"/>
                                                <w:right w:val="none" w:sz="0" w:space="0" w:color="auto"/>
                                              </w:divBdr>
                                              <w:divsChild>
                                                <w:div w:id="558638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04712793">
      <w:bodyDiv w:val="1"/>
      <w:marLeft w:val="0"/>
      <w:marRight w:val="0"/>
      <w:marTop w:val="0"/>
      <w:marBottom w:val="0"/>
      <w:divBdr>
        <w:top w:val="none" w:sz="0" w:space="0" w:color="auto"/>
        <w:left w:val="none" w:sz="0" w:space="0" w:color="auto"/>
        <w:bottom w:val="none" w:sz="0" w:space="0" w:color="auto"/>
        <w:right w:val="none" w:sz="0" w:space="0" w:color="auto"/>
      </w:divBdr>
      <w:divsChild>
        <w:div w:id="245653259">
          <w:marLeft w:val="0"/>
          <w:marRight w:val="0"/>
          <w:marTop w:val="0"/>
          <w:marBottom w:val="0"/>
          <w:divBdr>
            <w:top w:val="none" w:sz="0" w:space="0" w:color="auto"/>
            <w:left w:val="none" w:sz="0" w:space="0" w:color="auto"/>
            <w:bottom w:val="none" w:sz="0" w:space="0" w:color="auto"/>
            <w:right w:val="none" w:sz="0" w:space="0" w:color="auto"/>
          </w:divBdr>
          <w:divsChild>
            <w:div w:id="840434925">
              <w:marLeft w:val="0"/>
              <w:marRight w:val="0"/>
              <w:marTop w:val="0"/>
              <w:marBottom w:val="0"/>
              <w:divBdr>
                <w:top w:val="none" w:sz="0" w:space="0" w:color="auto"/>
                <w:left w:val="none" w:sz="0" w:space="0" w:color="auto"/>
                <w:bottom w:val="none" w:sz="0" w:space="0" w:color="auto"/>
                <w:right w:val="none" w:sz="0" w:space="0" w:color="auto"/>
              </w:divBdr>
              <w:divsChild>
                <w:div w:id="2134667103">
                  <w:marLeft w:val="0"/>
                  <w:marRight w:val="0"/>
                  <w:marTop w:val="0"/>
                  <w:marBottom w:val="0"/>
                  <w:divBdr>
                    <w:top w:val="none" w:sz="0" w:space="0" w:color="auto"/>
                    <w:left w:val="none" w:sz="0" w:space="0" w:color="auto"/>
                    <w:bottom w:val="none" w:sz="0" w:space="0" w:color="auto"/>
                    <w:right w:val="none" w:sz="0" w:space="0" w:color="auto"/>
                  </w:divBdr>
                  <w:divsChild>
                    <w:div w:id="2017270489">
                      <w:marLeft w:val="0"/>
                      <w:marRight w:val="0"/>
                      <w:marTop w:val="0"/>
                      <w:marBottom w:val="0"/>
                      <w:divBdr>
                        <w:top w:val="none" w:sz="0" w:space="0" w:color="auto"/>
                        <w:left w:val="none" w:sz="0" w:space="0" w:color="auto"/>
                        <w:bottom w:val="none" w:sz="0" w:space="0" w:color="auto"/>
                        <w:right w:val="none" w:sz="0" w:space="0" w:color="auto"/>
                      </w:divBdr>
                      <w:divsChild>
                        <w:div w:id="1058893254">
                          <w:marLeft w:val="0"/>
                          <w:marRight w:val="0"/>
                          <w:marTop w:val="0"/>
                          <w:marBottom w:val="0"/>
                          <w:divBdr>
                            <w:top w:val="single" w:sz="6" w:space="0" w:color="828282"/>
                            <w:left w:val="single" w:sz="6" w:space="0" w:color="828282"/>
                            <w:bottom w:val="single" w:sz="6" w:space="0" w:color="828282"/>
                            <w:right w:val="single" w:sz="6" w:space="0" w:color="828282"/>
                          </w:divBdr>
                          <w:divsChild>
                            <w:div w:id="773749997">
                              <w:marLeft w:val="0"/>
                              <w:marRight w:val="0"/>
                              <w:marTop w:val="0"/>
                              <w:marBottom w:val="0"/>
                              <w:divBdr>
                                <w:top w:val="none" w:sz="0" w:space="0" w:color="auto"/>
                                <w:left w:val="none" w:sz="0" w:space="0" w:color="auto"/>
                                <w:bottom w:val="none" w:sz="0" w:space="0" w:color="auto"/>
                                <w:right w:val="none" w:sz="0" w:space="0" w:color="auto"/>
                              </w:divBdr>
                              <w:divsChild>
                                <w:div w:id="1017542265">
                                  <w:marLeft w:val="0"/>
                                  <w:marRight w:val="0"/>
                                  <w:marTop w:val="0"/>
                                  <w:marBottom w:val="0"/>
                                  <w:divBdr>
                                    <w:top w:val="none" w:sz="0" w:space="0" w:color="auto"/>
                                    <w:left w:val="none" w:sz="0" w:space="0" w:color="auto"/>
                                    <w:bottom w:val="none" w:sz="0" w:space="0" w:color="auto"/>
                                    <w:right w:val="none" w:sz="0" w:space="0" w:color="auto"/>
                                  </w:divBdr>
                                  <w:divsChild>
                                    <w:div w:id="1163742092">
                                      <w:marLeft w:val="0"/>
                                      <w:marRight w:val="0"/>
                                      <w:marTop w:val="0"/>
                                      <w:marBottom w:val="0"/>
                                      <w:divBdr>
                                        <w:top w:val="none" w:sz="0" w:space="0" w:color="auto"/>
                                        <w:left w:val="none" w:sz="0" w:space="0" w:color="auto"/>
                                        <w:bottom w:val="none" w:sz="0" w:space="0" w:color="auto"/>
                                        <w:right w:val="none" w:sz="0" w:space="0" w:color="auto"/>
                                      </w:divBdr>
                                      <w:divsChild>
                                        <w:div w:id="803236516">
                                          <w:marLeft w:val="0"/>
                                          <w:marRight w:val="0"/>
                                          <w:marTop w:val="0"/>
                                          <w:marBottom w:val="0"/>
                                          <w:divBdr>
                                            <w:top w:val="none" w:sz="0" w:space="0" w:color="auto"/>
                                            <w:left w:val="none" w:sz="0" w:space="0" w:color="auto"/>
                                            <w:bottom w:val="none" w:sz="0" w:space="0" w:color="auto"/>
                                            <w:right w:val="none" w:sz="0" w:space="0" w:color="auto"/>
                                          </w:divBdr>
                                          <w:divsChild>
                                            <w:div w:id="1016887315">
                                              <w:marLeft w:val="0"/>
                                              <w:marRight w:val="0"/>
                                              <w:marTop w:val="0"/>
                                              <w:marBottom w:val="0"/>
                                              <w:divBdr>
                                                <w:top w:val="none" w:sz="0" w:space="0" w:color="auto"/>
                                                <w:left w:val="none" w:sz="0" w:space="0" w:color="auto"/>
                                                <w:bottom w:val="none" w:sz="0" w:space="0" w:color="auto"/>
                                                <w:right w:val="none" w:sz="0" w:space="0" w:color="auto"/>
                                              </w:divBdr>
                                              <w:divsChild>
                                                <w:div w:id="113642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99914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4.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Legislation\Xco%20Explanatory%20Statemen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378b04f6-f261-4499-b462-41ddd755ff66">2014RG-166-7730</_dlc_DocId>
    <_dlc_DocIdUrl xmlns="378b04f6-f261-4499-b462-41ddd755ff66">
      <Url>http://tweb/sites/rg/ldp/lmu/_layouts/DocIdRedir.aspx?ID=2014RG-166-7730</Url>
      <Description>2014RG-166-7730</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General Content" ma:contentTypeID="0x010100E726210826AA43828690450C811EB923009CA11FFD1E014DF4B1FA162D0F61129800CF323374F19B0B49950C762793D73A06" ma:contentTypeVersion="0" ma:contentTypeDescription="If you are creating a Word, PowerPoint or Excel document use the options available in the drop down list; for all other documents leave the content type as General Content." ma:contentTypeScope="" ma:versionID="71803f3e1588341194a73a19971b1296">
  <xsd:schema xmlns:xsd="http://www.w3.org/2001/XMLSchema" xmlns:xs="http://www.w3.org/2001/XMLSchema" xmlns:p="http://schemas.microsoft.com/office/2006/metadata/properties" xmlns:ns2="378b04f6-f261-4499-b462-41ddd755ff66" targetNamespace="http://schemas.microsoft.com/office/2006/metadata/properties" ma:root="true" ma:fieldsID="5a77130d46d0b9f2e1e396ca2583d828" ns2:_="">
    <xsd:import namespace="378b04f6-f261-4499-b462-41ddd755ff66"/>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8b04f6-f261-4499-b462-41ddd755ff6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D3EBC6-1143-4ECB-A953-26E245D01E49}">
  <ds:schemaRefs>
    <ds:schemaRef ds:uri="378b04f6-f261-4499-b462-41ddd755ff66"/>
    <ds:schemaRef ds:uri="http://schemas.microsoft.com/office/infopath/2007/PartnerControls"/>
    <ds:schemaRef ds:uri="http://purl.org/dc/dcmitype/"/>
    <ds:schemaRef ds:uri="http://purl.org/dc/elements/1.1/"/>
    <ds:schemaRef ds:uri="http://schemas.openxmlformats.org/package/2006/metadata/core-properties"/>
    <ds:schemaRef ds:uri="http://schemas.microsoft.com/office/2006/documentManagement/types"/>
    <ds:schemaRef ds:uri="http://purl.org/dc/terms/"/>
    <ds:schemaRef ds:uri="http://www.w3.org/XML/1998/namespace"/>
    <ds:schemaRef ds:uri="http://schemas.microsoft.com/office/2006/metadata/properties"/>
  </ds:schemaRefs>
</ds:datastoreItem>
</file>

<file path=customXml/itemProps2.xml><?xml version="1.0" encoding="utf-8"?>
<ds:datastoreItem xmlns:ds="http://schemas.openxmlformats.org/officeDocument/2006/customXml" ds:itemID="{2A7061E2-DE18-4A4F-BDE9-0CE95F6FAF49}">
  <ds:schemaRefs>
    <ds:schemaRef ds:uri="http://schemas.microsoft.com/sharepoint/v3/contenttype/forms"/>
  </ds:schemaRefs>
</ds:datastoreItem>
</file>

<file path=customXml/itemProps3.xml><?xml version="1.0" encoding="utf-8"?>
<ds:datastoreItem xmlns:ds="http://schemas.openxmlformats.org/officeDocument/2006/customXml" ds:itemID="{4A69CD4D-D11F-45DF-824B-48D36027B5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8b04f6-f261-4499-b462-41ddd755ff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A1B441D-99A8-4F02-908F-316ECE1E27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Xco Explanatory Statement.dotm</Template>
  <TotalTime>0</TotalTime>
  <Pages>8</Pages>
  <Words>2301</Words>
  <Characters>12040</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EXPLANATORY MEMORANDUM</vt:lpstr>
    </vt:vector>
  </TitlesOfParts>
  <Company>ATO</Company>
  <LinksUpToDate>false</LinksUpToDate>
  <CharactersWithSpaces>14313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MEMORANDUM</dc:title>
  <dc:creator>Cantlon, Lisa</dc:creator>
  <cp:lastModifiedBy>Alabaster, John</cp:lastModifiedBy>
  <cp:revision>2</cp:revision>
  <cp:lastPrinted>2014-08-21T03:23:00Z</cp:lastPrinted>
  <dcterms:created xsi:type="dcterms:W3CDTF">2014-09-03T02:16:00Z</dcterms:created>
  <dcterms:modified xsi:type="dcterms:W3CDTF">2014-09-03T02:16:00Z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1187968139</vt:i4>
  </property>
  <property fmtid="{D5CDD505-2E9C-101B-9397-08002B2CF9AE}" pid="3" name="_NewReviewCycle">
    <vt:lpwstr/>
  </property>
  <property fmtid="{D5CDD505-2E9C-101B-9397-08002B2CF9AE}" pid="4" name="_EmailSubject">
    <vt:lpwstr>FOFA regs - Explanatory Statement [DLM=For-Official-Use-Only]</vt:lpwstr>
  </property>
  <property fmtid="{D5CDD505-2E9C-101B-9397-08002B2CF9AE}" pid="5" name="_AuthorEmail">
    <vt:lpwstr>Fiona.McLaren@TREASURY.GOV.AU</vt:lpwstr>
  </property>
  <property fmtid="{D5CDD505-2E9C-101B-9397-08002B2CF9AE}" pid="6" name="_AuthorEmailDisplayName">
    <vt:lpwstr>McLaren, Fiona</vt:lpwstr>
  </property>
  <property fmtid="{D5CDD505-2E9C-101B-9397-08002B2CF9AE}" pid="7" name="ContentTypeId">
    <vt:lpwstr>0x010100E726210826AA43828690450C811EB923009CA11FFD1E014DF4B1FA162D0F61129800CF323374F19B0B49950C762793D73A06</vt:lpwstr>
  </property>
  <property fmtid="{D5CDD505-2E9C-101B-9397-08002B2CF9AE}" pid="8" name="_dlc_DocIdItemGuid">
    <vt:lpwstr>3491f048-3ecd-4c85-8bca-d9e00fa75610</vt:lpwstr>
  </property>
  <property fmtid="{D5CDD505-2E9C-101B-9397-08002B2CF9AE}" pid="9" name="_PreviousAdHocReviewCycleID">
    <vt:i4>-1062291318</vt:i4>
  </property>
  <property fmtid="{D5CDD505-2E9C-101B-9397-08002B2CF9AE}" pid="10" name="_ReviewingToolsShownOnce">
    <vt:lpwstr/>
  </property>
</Properties>
</file>