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69CDF" w14:textId="77777777" w:rsidR="00165E7E" w:rsidRDefault="00165E7E" w:rsidP="00165E7E">
      <w:pPr>
        <w:spacing w:before="80" w:after="120" w:line="280" w:lineRule="atLeast"/>
        <w:jc w:val="center"/>
        <w:rPr>
          <w:rFonts w:ascii="Arial" w:hAnsi="Arial" w:cs="Arial"/>
          <w:b/>
          <w:i/>
          <w:sz w:val="20"/>
          <w:szCs w:val="20"/>
          <w:u w:val="single"/>
        </w:rPr>
      </w:pPr>
      <w:r w:rsidRPr="005C3679">
        <w:rPr>
          <w:rFonts w:ascii="Arial" w:hAnsi="Arial" w:cs="Arial"/>
          <w:b/>
          <w:i/>
          <w:sz w:val="20"/>
          <w:szCs w:val="20"/>
          <w:u w:val="single"/>
        </w:rPr>
        <w:t>Legislative Instruments Act</w:t>
      </w:r>
      <w:r w:rsidRPr="003E2F37">
        <w:rPr>
          <w:rFonts w:ascii="Arial" w:hAnsi="Arial" w:cs="Arial"/>
          <w:sz w:val="20"/>
          <w:szCs w:val="20"/>
          <w:u w:val="single"/>
        </w:rPr>
        <w:t xml:space="preserve"> </w:t>
      </w:r>
      <w:r w:rsidRPr="005C3679">
        <w:rPr>
          <w:rFonts w:ascii="Arial" w:hAnsi="Arial" w:cs="Arial"/>
          <w:b/>
          <w:i/>
          <w:sz w:val="20"/>
          <w:szCs w:val="20"/>
          <w:u w:val="single"/>
        </w:rPr>
        <w:t>2003</w:t>
      </w:r>
    </w:p>
    <w:p w14:paraId="675D02C2" w14:textId="77777777" w:rsidR="003E2F37" w:rsidRPr="005C3679" w:rsidRDefault="003E2F37" w:rsidP="00165E7E">
      <w:pPr>
        <w:spacing w:before="80" w:after="120" w:line="280" w:lineRule="atLeast"/>
        <w:jc w:val="center"/>
        <w:rPr>
          <w:rFonts w:ascii="Arial" w:hAnsi="Arial" w:cs="Arial"/>
          <w:b/>
          <w:i/>
          <w:sz w:val="20"/>
          <w:szCs w:val="20"/>
          <w:u w:val="single"/>
        </w:rPr>
      </w:pPr>
    </w:p>
    <w:p w14:paraId="763FADF5" w14:textId="77777777" w:rsidR="00165E7E" w:rsidRDefault="00165E7E" w:rsidP="00165E7E">
      <w:pPr>
        <w:spacing w:before="80" w:after="120" w:line="280" w:lineRule="atLeast"/>
        <w:jc w:val="center"/>
        <w:rPr>
          <w:rFonts w:ascii="Arial" w:hAnsi="Arial" w:cs="Arial"/>
          <w:b/>
          <w:sz w:val="20"/>
          <w:szCs w:val="20"/>
        </w:rPr>
      </w:pPr>
      <w:r w:rsidRPr="003E2F37">
        <w:rPr>
          <w:rFonts w:ascii="Arial" w:hAnsi="Arial" w:cs="Arial"/>
          <w:b/>
          <w:sz w:val="20"/>
          <w:szCs w:val="20"/>
        </w:rPr>
        <w:t>Section 26 – Explanatory Statement</w:t>
      </w:r>
    </w:p>
    <w:p w14:paraId="040175E9" w14:textId="77777777" w:rsidR="003E2F37" w:rsidRPr="003E2F37" w:rsidRDefault="003E2F37" w:rsidP="00165E7E">
      <w:pPr>
        <w:spacing w:before="80" w:after="120" w:line="280" w:lineRule="atLeast"/>
        <w:jc w:val="center"/>
        <w:rPr>
          <w:rFonts w:ascii="Arial" w:hAnsi="Arial" w:cs="Arial"/>
          <w:b/>
          <w:sz w:val="20"/>
          <w:szCs w:val="20"/>
        </w:rPr>
      </w:pPr>
    </w:p>
    <w:p w14:paraId="47152052" w14:textId="77777777" w:rsidR="00165E7E" w:rsidRPr="00993194" w:rsidRDefault="00165E7E" w:rsidP="00165E7E">
      <w:pPr>
        <w:spacing w:before="80" w:after="120" w:line="280" w:lineRule="atLeast"/>
        <w:jc w:val="center"/>
        <w:rPr>
          <w:rFonts w:ascii="Arial" w:hAnsi="Arial" w:cs="Arial"/>
          <w:b/>
          <w:i/>
          <w:sz w:val="20"/>
          <w:szCs w:val="20"/>
        </w:rPr>
      </w:pPr>
      <w:bookmarkStart w:id="0" w:name="OLE_LINK1"/>
      <w:bookmarkStart w:id="1" w:name="OLE_LINK2"/>
      <w:r w:rsidRPr="00F6092F">
        <w:rPr>
          <w:rFonts w:ascii="Arial" w:hAnsi="Arial" w:cs="Arial"/>
          <w:b/>
          <w:i/>
          <w:sz w:val="20"/>
          <w:szCs w:val="20"/>
        </w:rPr>
        <w:t>Radiocommunications (</w:t>
      </w:r>
      <w:r w:rsidR="0056745E">
        <w:rPr>
          <w:rFonts w:ascii="Arial" w:hAnsi="Arial" w:cs="Arial"/>
          <w:b/>
          <w:i/>
          <w:sz w:val="20"/>
          <w:szCs w:val="20"/>
        </w:rPr>
        <w:t xml:space="preserve">Frequency Assignment </w:t>
      </w:r>
      <w:r w:rsidR="00AD3153">
        <w:rPr>
          <w:rFonts w:ascii="Arial" w:hAnsi="Arial" w:cs="Arial"/>
          <w:b/>
          <w:i/>
          <w:sz w:val="20"/>
          <w:szCs w:val="20"/>
        </w:rPr>
        <w:t>Certificates</w:t>
      </w:r>
      <w:r w:rsidRPr="00F6092F">
        <w:rPr>
          <w:rFonts w:ascii="Arial" w:hAnsi="Arial" w:cs="Arial"/>
          <w:b/>
          <w:i/>
          <w:sz w:val="20"/>
          <w:szCs w:val="20"/>
        </w:rPr>
        <w:t>)</w:t>
      </w:r>
      <w:r w:rsidR="00AD3153">
        <w:rPr>
          <w:rFonts w:ascii="Arial" w:hAnsi="Arial" w:cs="Arial"/>
          <w:b/>
          <w:i/>
          <w:sz w:val="20"/>
          <w:szCs w:val="20"/>
        </w:rPr>
        <w:t xml:space="preserve"> </w:t>
      </w:r>
      <w:r w:rsidR="0056745E">
        <w:rPr>
          <w:rFonts w:ascii="Arial" w:hAnsi="Arial" w:cs="Arial"/>
          <w:b/>
          <w:i/>
          <w:sz w:val="20"/>
          <w:szCs w:val="20"/>
        </w:rPr>
        <w:t xml:space="preserve">Determination </w:t>
      </w:r>
      <w:r w:rsidR="00AD3153">
        <w:rPr>
          <w:rFonts w:ascii="Arial" w:hAnsi="Arial" w:cs="Arial"/>
          <w:b/>
          <w:i/>
          <w:sz w:val="20"/>
          <w:szCs w:val="20"/>
        </w:rPr>
        <w:t>201</w:t>
      </w:r>
      <w:r w:rsidR="007F1813">
        <w:rPr>
          <w:rFonts w:ascii="Arial" w:hAnsi="Arial" w:cs="Arial"/>
          <w:b/>
          <w:i/>
          <w:sz w:val="20"/>
          <w:szCs w:val="20"/>
        </w:rPr>
        <w:t>4</w:t>
      </w:r>
      <w:r>
        <w:rPr>
          <w:rFonts w:ascii="Arial" w:hAnsi="Arial" w:cs="Arial"/>
          <w:b/>
          <w:i/>
          <w:sz w:val="20"/>
          <w:szCs w:val="20"/>
        </w:rPr>
        <w:t xml:space="preserve">, </w:t>
      </w:r>
      <w:r w:rsidRPr="005C3679">
        <w:rPr>
          <w:rFonts w:ascii="Arial" w:hAnsi="Arial" w:cs="Arial"/>
          <w:b/>
          <w:sz w:val="20"/>
          <w:szCs w:val="20"/>
        </w:rPr>
        <w:t>made under the</w:t>
      </w:r>
      <w:r>
        <w:rPr>
          <w:rFonts w:ascii="Arial" w:hAnsi="Arial" w:cs="Arial"/>
          <w:b/>
          <w:i/>
          <w:sz w:val="20"/>
          <w:szCs w:val="20"/>
        </w:rPr>
        <w:t xml:space="preserve"> Radiocommunications Act 1992</w:t>
      </w:r>
    </w:p>
    <w:bookmarkEnd w:id="0"/>
    <w:bookmarkEnd w:id="1"/>
    <w:p w14:paraId="1085B7DE" w14:textId="77777777" w:rsidR="00165E7E" w:rsidRDefault="00165E7E" w:rsidP="00165E7E">
      <w:pPr>
        <w:spacing w:before="80" w:after="120" w:line="280" w:lineRule="atLeast"/>
        <w:jc w:val="both"/>
        <w:rPr>
          <w:rFonts w:ascii="Arial" w:hAnsi="Arial" w:cs="Arial"/>
          <w:b/>
          <w:sz w:val="20"/>
          <w:szCs w:val="20"/>
        </w:rPr>
      </w:pPr>
    </w:p>
    <w:p w14:paraId="74EB7D76" w14:textId="77777777" w:rsidR="00165E7E" w:rsidRPr="00993194" w:rsidRDefault="00165E7E" w:rsidP="00165E7E">
      <w:pPr>
        <w:spacing w:before="80" w:after="120" w:line="280" w:lineRule="atLeast"/>
        <w:jc w:val="center"/>
        <w:rPr>
          <w:rFonts w:ascii="Arial" w:hAnsi="Arial" w:cs="Arial"/>
          <w:b/>
          <w:sz w:val="20"/>
          <w:szCs w:val="20"/>
        </w:rPr>
      </w:pPr>
      <w:r w:rsidRPr="00993194">
        <w:rPr>
          <w:rFonts w:ascii="Arial" w:hAnsi="Arial" w:cs="Arial"/>
          <w:b/>
          <w:sz w:val="20"/>
          <w:szCs w:val="20"/>
        </w:rPr>
        <w:t>Issued by the Australian Communications and Media Authority</w:t>
      </w:r>
    </w:p>
    <w:p w14:paraId="09391274" w14:textId="77777777" w:rsidR="00AD3153" w:rsidRDefault="00AD3153">
      <w:pPr>
        <w:tabs>
          <w:tab w:val="center" w:pos="4513"/>
        </w:tabs>
        <w:rPr>
          <w:rFonts w:ascii="Arial" w:hAnsi="Arial" w:cs="Arial"/>
          <w:b/>
          <w:sz w:val="20"/>
          <w:szCs w:val="20"/>
        </w:rPr>
      </w:pPr>
    </w:p>
    <w:p w14:paraId="6D85A5E8" w14:textId="77777777" w:rsidR="00075DD9" w:rsidRPr="00DB73CD" w:rsidRDefault="00BC14CE">
      <w:pPr>
        <w:tabs>
          <w:tab w:val="center" w:pos="4513"/>
        </w:tabs>
        <w:rPr>
          <w:rFonts w:ascii="Arial" w:hAnsi="Arial" w:cs="Arial"/>
          <w:b/>
          <w:sz w:val="20"/>
          <w:szCs w:val="20"/>
        </w:rPr>
      </w:pPr>
      <w:r w:rsidRPr="00DB73CD">
        <w:rPr>
          <w:rFonts w:ascii="Arial" w:hAnsi="Arial" w:cs="Arial"/>
          <w:b/>
          <w:sz w:val="20"/>
          <w:szCs w:val="20"/>
        </w:rPr>
        <w:t>Purpose</w:t>
      </w:r>
      <w:r w:rsidR="00165E7E" w:rsidRPr="00DB73CD">
        <w:rPr>
          <w:rFonts w:ascii="Arial" w:hAnsi="Arial" w:cs="Arial"/>
          <w:b/>
          <w:sz w:val="20"/>
          <w:szCs w:val="20"/>
        </w:rPr>
        <w:tab/>
      </w:r>
    </w:p>
    <w:p w14:paraId="3B3AB735" w14:textId="7C4DD5E2" w:rsidR="00427A2E" w:rsidRDefault="000C2E83" w:rsidP="00165E7E">
      <w:pPr>
        <w:rPr>
          <w:rFonts w:ascii="Arial" w:hAnsi="Arial" w:cs="Arial"/>
          <w:sz w:val="20"/>
          <w:szCs w:val="20"/>
        </w:rPr>
      </w:pPr>
      <w:r>
        <w:rPr>
          <w:rFonts w:ascii="Arial" w:hAnsi="Arial" w:cs="Arial"/>
          <w:sz w:val="20"/>
          <w:szCs w:val="20"/>
        </w:rPr>
        <w:t xml:space="preserve">In </w:t>
      </w:r>
      <w:r w:rsidR="00403F8C">
        <w:rPr>
          <w:rFonts w:ascii="Arial" w:hAnsi="Arial" w:cs="Arial"/>
          <w:sz w:val="20"/>
          <w:szCs w:val="20"/>
        </w:rPr>
        <w:t xml:space="preserve">August </w:t>
      </w:r>
      <w:r w:rsidR="000700FA" w:rsidRPr="00743A10">
        <w:rPr>
          <w:rFonts w:ascii="Arial" w:hAnsi="Arial" w:cs="Arial"/>
          <w:sz w:val="20"/>
          <w:szCs w:val="20"/>
        </w:rPr>
        <w:t>2014</w:t>
      </w:r>
      <w:r w:rsidR="000700FA">
        <w:rPr>
          <w:rFonts w:ascii="Arial" w:hAnsi="Arial" w:cs="Arial"/>
          <w:sz w:val="20"/>
          <w:szCs w:val="20"/>
        </w:rPr>
        <w:t xml:space="preserve"> </w:t>
      </w:r>
      <w:r w:rsidR="00EC63DF" w:rsidRPr="00DB73CD">
        <w:rPr>
          <w:rFonts w:ascii="Arial" w:hAnsi="Arial" w:cs="Arial"/>
          <w:sz w:val="20"/>
          <w:szCs w:val="20"/>
        </w:rPr>
        <w:t xml:space="preserve">the Australian Communications and Media Authority (the </w:t>
      </w:r>
      <w:r w:rsidR="00EC63DF" w:rsidRPr="00DB73CD">
        <w:rPr>
          <w:rFonts w:ascii="Arial" w:hAnsi="Arial" w:cs="Arial"/>
          <w:b/>
          <w:sz w:val="20"/>
          <w:szCs w:val="20"/>
        </w:rPr>
        <w:t>ACMA</w:t>
      </w:r>
      <w:r w:rsidR="00EC63DF" w:rsidRPr="00DB73CD">
        <w:rPr>
          <w:rFonts w:ascii="Arial" w:hAnsi="Arial" w:cs="Arial"/>
          <w:sz w:val="20"/>
          <w:szCs w:val="20"/>
        </w:rPr>
        <w:t xml:space="preserve">) </w:t>
      </w:r>
      <w:bookmarkStart w:id="2" w:name="_GoBack"/>
      <w:r w:rsidR="00EC63DF" w:rsidRPr="00DB73CD">
        <w:rPr>
          <w:rFonts w:ascii="Arial" w:hAnsi="Arial" w:cs="Arial"/>
          <w:sz w:val="20"/>
          <w:szCs w:val="20"/>
        </w:rPr>
        <w:t xml:space="preserve">made </w:t>
      </w:r>
      <w:r w:rsidR="00165E7E" w:rsidRPr="00DB73CD">
        <w:rPr>
          <w:rFonts w:ascii="Arial" w:hAnsi="Arial" w:cs="Arial"/>
          <w:sz w:val="20"/>
          <w:szCs w:val="20"/>
        </w:rPr>
        <w:t>t</w:t>
      </w:r>
      <w:r w:rsidR="0019060E" w:rsidRPr="00DB73CD">
        <w:rPr>
          <w:rFonts w:ascii="Arial" w:hAnsi="Arial" w:cs="Arial"/>
          <w:sz w:val="20"/>
          <w:szCs w:val="20"/>
        </w:rPr>
        <w:t xml:space="preserve">he </w:t>
      </w:r>
      <w:r w:rsidR="0019060E" w:rsidRPr="00DB73CD">
        <w:rPr>
          <w:rFonts w:ascii="Arial" w:hAnsi="Arial" w:cs="Arial"/>
          <w:i/>
          <w:sz w:val="20"/>
          <w:szCs w:val="20"/>
        </w:rPr>
        <w:t>Radiocommunications (</w:t>
      </w:r>
      <w:r w:rsidR="0056745E">
        <w:rPr>
          <w:rFonts w:ascii="Arial" w:hAnsi="Arial" w:cs="Arial"/>
          <w:i/>
          <w:sz w:val="20"/>
          <w:szCs w:val="20"/>
        </w:rPr>
        <w:t xml:space="preserve">Frequency Assignment </w:t>
      </w:r>
      <w:r w:rsidR="00AD3153">
        <w:rPr>
          <w:rFonts w:ascii="Arial" w:hAnsi="Arial" w:cs="Arial"/>
          <w:i/>
          <w:sz w:val="20"/>
          <w:szCs w:val="20"/>
        </w:rPr>
        <w:t xml:space="preserve">Certificates) </w:t>
      </w:r>
      <w:r w:rsidR="0056745E">
        <w:rPr>
          <w:rFonts w:ascii="Arial" w:hAnsi="Arial" w:cs="Arial"/>
          <w:i/>
          <w:sz w:val="20"/>
          <w:szCs w:val="20"/>
        </w:rPr>
        <w:t xml:space="preserve">Determination </w:t>
      </w:r>
      <w:r w:rsidR="00AD3153">
        <w:rPr>
          <w:rFonts w:ascii="Arial" w:hAnsi="Arial" w:cs="Arial"/>
          <w:i/>
          <w:sz w:val="20"/>
          <w:szCs w:val="20"/>
        </w:rPr>
        <w:t>201</w:t>
      </w:r>
      <w:r w:rsidR="007F1813">
        <w:rPr>
          <w:rFonts w:ascii="Arial" w:hAnsi="Arial" w:cs="Arial"/>
          <w:i/>
          <w:sz w:val="20"/>
          <w:szCs w:val="20"/>
        </w:rPr>
        <w:t>4</w:t>
      </w:r>
      <w:r w:rsidR="0019060E" w:rsidRPr="00DB73CD">
        <w:rPr>
          <w:rFonts w:ascii="Arial" w:hAnsi="Arial" w:cs="Arial"/>
          <w:i/>
          <w:sz w:val="20"/>
          <w:szCs w:val="20"/>
        </w:rPr>
        <w:t xml:space="preserve"> </w:t>
      </w:r>
      <w:r w:rsidR="0019060E" w:rsidRPr="00DB73CD">
        <w:rPr>
          <w:rFonts w:ascii="Arial" w:hAnsi="Arial" w:cs="Arial"/>
          <w:sz w:val="20"/>
          <w:szCs w:val="20"/>
        </w:rPr>
        <w:t>(</w:t>
      </w:r>
      <w:r w:rsidR="0019060E" w:rsidRPr="00E52997">
        <w:rPr>
          <w:rFonts w:ascii="Arial" w:hAnsi="Arial" w:cs="Arial"/>
          <w:sz w:val="20"/>
          <w:szCs w:val="20"/>
        </w:rPr>
        <w:t>the</w:t>
      </w:r>
      <w:r w:rsidR="0019060E" w:rsidRPr="00DB73CD">
        <w:rPr>
          <w:rFonts w:ascii="Arial" w:hAnsi="Arial" w:cs="Arial"/>
          <w:b/>
          <w:sz w:val="20"/>
          <w:szCs w:val="20"/>
        </w:rPr>
        <w:t xml:space="preserve"> </w:t>
      </w:r>
      <w:r w:rsidR="00E52997">
        <w:rPr>
          <w:rFonts w:ascii="Arial" w:hAnsi="Arial" w:cs="Arial"/>
          <w:b/>
          <w:sz w:val="20"/>
          <w:szCs w:val="20"/>
        </w:rPr>
        <w:t>Instrument</w:t>
      </w:r>
      <w:r w:rsidR="00EC63DF" w:rsidRPr="00DB73CD">
        <w:rPr>
          <w:rFonts w:ascii="Arial" w:hAnsi="Arial" w:cs="Arial"/>
          <w:sz w:val="20"/>
          <w:szCs w:val="20"/>
        </w:rPr>
        <w:t xml:space="preserve">).  The </w:t>
      </w:r>
      <w:r w:rsidR="00A7584B">
        <w:rPr>
          <w:rFonts w:ascii="Arial" w:hAnsi="Arial" w:cs="Arial"/>
          <w:sz w:val="20"/>
          <w:szCs w:val="20"/>
        </w:rPr>
        <w:t>Instrument</w:t>
      </w:r>
      <w:r w:rsidR="00165E7E" w:rsidRPr="00DB73CD">
        <w:rPr>
          <w:rFonts w:ascii="Arial" w:hAnsi="Arial" w:cs="Arial"/>
          <w:b/>
          <w:sz w:val="20"/>
          <w:szCs w:val="20"/>
        </w:rPr>
        <w:t xml:space="preserve"> </w:t>
      </w:r>
      <w:r w:rsidR="00AD3153" w:rsidRPr="00AD3153">
        <w:rPr>
          <w:rFonts w:ascii="Arial" w:hAnsi="Arial" w:cs="Arial"/>
          <w:sz w:val="20"/>
          <w:szCs w:val="20"/>
        </w:rPr>
        <w:t>revoke</w:t>
      </w:r>
      <w:r w:rsidR="00A7584B">
        <w:rPr>
          <w:rFonts w:ascii="Arial" w:hAnsi="Arial" w:cs="Arial"/>
          <w:sz w:val="20"/>
          <w:szCs w:val="20"/>
        </w:rPr>
        <w:t>s</w:t>
      </w:r>
      <w:r w:rsidR="00AD3153" w:rsidRPr="00AD3153">
        <w:rPr>
          <w:rFonts w:ascii="Arial" w:hAnsi="Arial" w:cs="Arial"/>
          <w:sz w:val="20"/>
          <w:szCs w:val="20"/>
        </w:rPr>
        <w:t xml:space="preserve"> a</w:t>
      </w:r>
      <w:r w:rsidR="00AD3153">
        <w:rPr>
          <w:rFonts w:ascii="Arial" w:hAnsi="Arial" w:cs="Arial"/>
          <w:sz w:val="20"/>
          <w:szCs w:val="20"/>
        </w:rPr>
        <w:t>n</w:t>
      </w:r>
      <w:r w:rsidR="00AD3153" w:rsidRPr="00AD3153">
        <w:rPr>
          <w:rFonts w:ascii="Arial" w:hAnsi="Arial" w:cs="Arial"/>
          <w:sz w:val="20"/>
          <w:szCs w:val="20"/>
        </w:rPr>
        <w:t>d replaces</w:t>
      </w:r>
      <w:r w:rsidR="00AD3153">
        <w:rPr>
          <w:rFonts w:ascii="Arial" w:hAnsi="Arial" w:cs="Arial"/>
          <w:sz w:val="20"/>
          <w:szCs w:val="20"/>
        </w:rPr>
        <w:t xml:space="preserve"> </w:t>
      </w:r>
      <w:r w:rsidR="0019060E" w:rsidRPr="00DB73CD">
        <w:rPr>
          <w:rFonts w:ascii="Arial" w:hAnsi="Arial" w:cs="Arial"/>
          <w:sz w:val="20"/>
          <w:szCs w:val="20"/>
        </w:rPr>
        <w:t xml:space="preserve">the </w:t>
      </w:r>
      <w:r w:rsidR="0019060E" w:rsidRPr="00DB73CD">
        <w:rPr>
          <w:rFonts w:ascii="Arial" w:hAnsi="Arial" w:cs="Arial"/>
          <w:i/>
          <w:sz w:val="20"/>
          <w:szCs w:val="20"/>
        </w:rPr>
        <w:t>Radiocommunications (</w:t>
      </w:r>
      <w:r w:rsidR="0056745E">
        <w:rPr>
          <w:rFonts w:ascii="Arial" w:hAnsi="Arial" w:cs="Arial"/>
          <w:i/>
          <w:sz w:val="20"/>
          <w:szCs w:val="20"/>
        </w:rPr>
        <w:t xml:space="preserve">Frequency Assignment </w:t>
      </w:r>
      <w:r w:rsidR="00AD3153">
        <w:rPr>
          <w:rFonts w:ascii="Arial" w:hAnsi="Arial" w:cs="Arial"/>
          <w:i/>
          <w:sz w:val="20"/>
          <w:szCs w:val="20"/>
        </w:rPr>
        <w:t>Certificates</w:t>
      </w:r>
      <w:r w:rsidR="0019060E" w:rsidRPr="00DB73CD">
        <w:rPr>
          <w:rFonts w:ascii="Arial" w:hAnsi="Arial" w:cs="Arial"/>
          <w:i/>
          <w:sz w:val="20"/>
          <w:szCs w:val="20"/>
        </w:rPr>
        <w:t xml:space="preserve">) </w:t>
      </w:r>
      <w:r w:rsidR="0056745E">
        <w:rPr>
          <w:rFonts w:ascii="Arial" w:hAnsi="Arial" w:cs="Arial"/>
          <w:i/>
          <w:sz w:val="20"/>
          <w:szCs w:val="20"/>
        </w:rPr>
        <w:t xml:space="preserve">Determination </w:t>
      </w:r>
      <w:r w:rsidR="00AD3153">
        <w:rPr>
          <w:rFonts w:ascii="Arial" w:hAnsi="Arial" w:cs="Arial"/>
          <w:i/>
          <w:sz w:val="20"/>
          <w:szCs w:val="20"/>
        </w:rPr>
        <w:t xml:space="preserve">2003 </w:t>
      </w:r>
      <w:r w:rsidR="0019060E" w:rsidRPr="00DB73CD">
        <w:rPr>
          <w:rFonts w:ascii="Arial" w:hAnsi="Arial" w:cs="Arial"/>
          <w:b/>
          <w:sz w:val="20"/>
          <w:szCs w:val="20"/>
        </w:rPr>
        <w:t>(</w:t>
      </w:r>
      <w:r w:rsidR="00EC63DF" w:rsidRPr="00DB73CD">
        <w:rPr>
          <w:rFonts w:ascii="Arial" w:hAnsi="Arial" w:cs="Arial"/>
          <w:sz w:val="20"/>
          <w:szCs w:val="20"/>
        </w:rPr>
        <w:t xml:space="preserve">the </w:t>
      </w:r>
      <w:r w:rsidR="00E52997">
        <w:rPr>
          <w:rFonts w:ascii="Arial" w:hAnsi="Arial" w:cs="Arial"/>
          <w:b/>
          <w:sz w:val="20"/>
          <w:szCs w:val="20"/>
        </w:rPr>
        <w:t>2003</w:t>
      </w:r>
      <w:r w:rsidR="00AD3153">
        <w:rPr>
          <w:rFonts w:ascii="Arial" w:hAnsi="Arial" w:cs="Arial"/>
          <w:b/>
          <w:sz w:val="20"/>
          <w:szCs w:val="20"/>
        </w:rPr>
        <w:t xml:space="preserve"> Instrument</w:t>
      </w:r>
      <w:r w:rsidR="0019060E" w:rsidRPr="00DB73CD">
        <w:rPr>
          <w:rFonts w:ascii="Arial" w:hAnsi="Arial" w:cs="Arial"/>
          <w:b/>
          <w:sz w:val="20"/>
          <w:szCs w:val="20"/>
        </w:rPr>
        <w:t>)</w:t>
      </w:r>
      <w:r w:rsidR="00AD3153">
        <w:rPr>
          <w:rFonts w:ascii="Arial" w:hAnsi="Arial" w:cs="Arial"/>
          <w:b/>
          <w:sz w:val="20"/>
          <w:szCs w:val="20"/>
        </w:rPr>
        <w:t xml:space="preserve"> </w:t>
      </w:r>
      <w:r w:rsidR="00AD3153" w:rsidRPr="00AD3153">
        <w:rPr>
          <w:rFonts w:ascii="Arial" w:hAnsi="Arial" w:cs="Arial"/>
          <w:sz w:val="20"/>
          <w:szCs w:val="20"/>
        </w:rPr>
        <w:t>without making any significant</w:t>
      </w:r>
      <w:r w:rsidR="00165E7E" w:rsidRPr="00DB73CD">
        <w:rPr>
          <w:rFonts w:ascii="Arial" w:hAnsi="Arial" w:cs="Arial"/>
          <w:sz w:val="20"/>
          <w:szCs w:val="20"/>
        </w:rPr>
        <w:t xml:space="preserve"> </w:t>
      </w:r>
      <w:r w:rsidR="00AD3153">
        <w:rPr>
          <w:rFonts w:ascii="Arial" w:hAnsi="Arial" w:cs="Arial"/>
          <w:sz w:val="20"/>
          <w:szCs w:val="20"/>
        </w:rPr>
        <w:t>changes to t</w:t>
      </w:r>
      <w:r w:rsidR="00427A2E">
        <w:rPr>
          <w:rFonts w:ascii="Arial" w:hAnsi="Arial" w:cs="Arial"/>
          <w:sz w:val="20"/>
          <w:szCs w:val="20"/>
        </w:rPr>
        <w:t xml:space="preserve">he </w:t>
      </w:r>
      <w:r w:rsidR="00E52997">
        <w:rPr>
          <w:rFonts w:ascii="Arial" w:hAnsi="Arial" w:cs="Arial"/>
          <w:sz w:val="20"/>
          <w:szCs w:val="20"/>
        </w:rPr>
        <w:t xml:space="preserve">regulatory </w:t>
      </w:r>
      <w:r w:rsidR="00427A2E">
        <w:rPr>
          <w:rFonts w:ascii="Arial" w:hAnsi="Arial" w:cs="Arial"/>
          <w:sz w:val="20"/>
          <w:szCs w:val="20"/>
        </w:rPr>
        <w:t>arrangements created by th</w:t>
      </w:r>
      <w:r w:rsidR="00A7584B">
        <w:rPr>
          <w:rFonts w:ascii="Arial" w:hAnsi="Arial" w:cs="Arial"/>
          <w:sz w:val="20"/>
          <w:szCs w:val="20"/>
        </w:rPr>
        <w:t>at</w:t>
      </w:r>
      <w:r w:rsidR="00427A2E">
        <w:rPr>
          <w:rFonts w:ascii="Arial" w:hAnsi="Arial" w:cs="Arial"/>
          <w:sz w:val="20"/>
          <w:szCs w:val="20"/>
        </w:rPr>
        <w:t xml:space="preserve"> </w:t>
      </w:r>
      <w:r w:rsidR="00E52997">
        <w:rPr>
          <w:rFonts w:ascii="Arial" w:hAnsi="Arial" w:cs="Arial"/>
          <w:sz w:val="20"/>
          <w:szCs w:val="20"/>
        </w:rPr>
        <w:t>2003</w:t>
      </w:r>
      <w:r w:rsidR="00427A2E">
        <w:rPr>
          <w:rFonts w:ascii="Arial" w:hAnsi="Arial" w:cs="Arial"/>
          <w:sz w:val="20"/>
          <w:szCs w:val="20"/>
        </w:rPr>
        <w:t xml:space="preserve"> Instrument.</w:t>
      </w:r>
    </w:p>
    <w:p w14:paraId="569344E5" w14:textId="77777777" w:rsidR="00165E7E" w:rsidRPr="00DB73CD" w:rsidRDefault="00427A2E" w:rsidP="00165E7E">
      <w:pPr>
        <w:rPr>
          <w:rFonts w:ascii="Arial" w:hAnsi="Arial" w:cs="Arial"/>
          <w:sz w:val="20"/>
          <w:szCs w:val="20"/>
        </w:rPr>
      </w:pPr>
      <w:r>
        <w:rPr>
          <w:rFonts w:ascii="Arial" w:hAnsi="Arial" w:cs="Arial"/>
          <w:sz w:val="20"/>
          <w:szCs w:val="20"/>
        </w:rPr>
        <w:t xml:space="preserve">This has occurred because the </w:t>
      </w:r>
      <w:r w:rsidR="00E52997">
        <w:rPr>
          <w:rFonts w:ascii="Arial" w:hAnsi="Arial" w:cs="Arial"/>
          <w:sz w:val="20"/>
          <w:szCs w:val="20"/>
        </w:rPr>
        <w:t>2003 I</w:t>
      </w:r>
      <w:r>
        <w:rPr>
          <w:rFonts w:ascii="Arial" w:hAnsi="Arial" w:cs="Arial"/>
          <w:sz w:val="20"/>
          <w:szCs w:val="20"/>
        </w:rPr>
        <w:t>nstrument was due, on 1 April 2015, to “sunset” (ie. automatically be re</w:t>
      </w:r>
      <w:r w:rsidR="00E52997">
        <w:rPr>
          <w:rFonts w:ascii="Arial" w:hAnsi="Arial" w:cs="Arial"/>
          <w:sz w:val="20"/>
          <w:szCs w:val="20"/>
        </w:rPr>
        <w:t>pealed</w:t>
      </w:r>
      <w:r>
        <w:rPr>
          <w:rFonts w:ascii="Arial" w:hAnsi="Arial" w:cs="Arial"/>
          <w:sz w:val="20"/>
          <w:szCs w:val="20"/>
        </w:rPr>
        <w:t xml:space="preserve">) under the provisions of </w:t>
      </w:r>
      <w:r w:rsidR="00FF5435">
        <w:rPr>
          <w:rFonts w:ascii="Arial" w:hAnsi="Arial" w:cs="Arial"/>
          <w:sz w:val="20"/>
          <w:szCs w:val="20"/>
        </w:rPr>
        <w:t xml:space="preserve">Part 6 of </w:t>
      </w:r>
      <w:r>
        <w:rPr>
          <w:rFonts w:ascii="Arial" w:hAnsi="Arial" w:cs="Arial"/>
          <w:sz w:val="20"/>
          <w:szCs w:val="20"/>
        </w:rPr>
        <w:t xml:space="preserve">the </w:t>
      </w:r>
      <w:r>
        <w:rPr>
          <w:rFonts w:ascii="Arial" w:hAnsi="Arial" w:cs="Arial"/>
          <w:i/>
          <w:sz w:val="20"/>
          <w:szCs w:val="20"/>
        </w:rPr>
        <w:t>Legislative Instruments Act 2003</w:t>
      </w:r>
      <w:r w:rsidR="00FF5435">
        <w:rPr>
          <w:rFonts w:ascii="Arial" w:hAnsi="Arial" w:cs="Arial"/>
          <w:sz w:val="20"/>
          <w:szCs w:val="20"/>
        </w:rPr>
        <w:t xml:space="preserve"> (</w:t>
      </w:r>
      <w:r w:rsidR="00E52997">
        <w:rPr>
          <w:rFonts w:ascii="Arial" w:hAnsi="Arial" w:cs="Arial"/>
          <w:sz w:val="20"/>
          <w:szCs w:val="20"/>
        </w:rPr>
        <w:t xml:space="preserve">the </w:t>
      </w:r>
      <w:r w:rsidR="00E52997">
        <w:rPr>
          <w:rFonts w:ascii="Arial" w:hAnsi="Arial" w:cs="Arial"/>
          <w:b/>
          <w:sz w:val="20"/>
          <w:szCs w:val="20"/>
        </w:rPr>
        <w:t>LIA</w:t>
      </w:r>
      <w:r w:rsidR="00E52997">
        <w:rPr>
          <w:rFonts w:ascii="Arial" w:hAnsi="Arial" w:cs="Arial"/>
          <w:sz w:val="20"/>
          <w:szCs w:val="20"/>
        </w:rPr>
        <w:t>).</w:t>
      </w:r>
      <w:r w:rsidR="00FF5435">
        <w:rPr>
          <w:rFonts w:ascii="Arial" w:hAnsi="Arial" w:cs="Arial"/>
          <w:i/>
          <w:sz w:val="20"/>
          <w:szCs w:val="20"/>
        </w:rPr>
        <w:t xml:space="preserve">  </w:t>
      </w:r>
      <w:bookmarkEnd w:id="2"/>
      <w:r w:rsidR="00FF5435">
        <w:rPr>
          <w:rFonts w:ascii="Arial" w:hAnsi="Arial" w:cs="Arial"/>
          <w:sz w:val="20"/>
          <w:szCs w:val="20"/>
        </w:rPr>
        <w:t xml:space="preserve">Following </w:t>
      </w:r>
      <w:r w:rsidR="00E52997">
        <w:rPr>
          <w:rFonts w:ascii="Arial" w:hAnsi="Arial" w:cs="Arial"/>
          <w:sz w:val="20"/>
          <w:szCs w:val="20"/>
        </w:rPr>
        <w:t xml:space="preserve">review, and </w:t>
      </w:r>
      <w:r w:rsidR="00FF5435">
        <w:rPr>
          <w:rFonts w:ascii="Arial" w:hAnsi="Arial" w:cs="Arial"/>
          <w:sz w:val="20"/>
          <w:szCs w:val="20"/>
        </w:rPr>
        <w:t xml:space="preserve">consultation as described below, the ACMA formed the view that the </w:t>
      </w:r>
      <w:r w:rsidR="00E52997">
        <w:rPr>
          <w:rFonts w:ascii="Arial" w:hAnsi="Arial" w:cs="Arial"/>
          <w:sz w:val="20"/>
          <w:szCs w:val="20"/>
        </w:rPr>
        <w:t>2003</w:t>
      </w:r>
      <w:r w:rsidR="00FF5435">
        <w:rPr>
          <w:rFonts w:ascii="Arial" w:hAnsi="Arial" w:cs="Arial"/>
          <w:sz w:val="20"/>
          <w:szCs w:val="20"/>
        </w:rPr>
        <w:t xml:space="preserve"> Instrument was operating effectively and efficiently and continued to form</w:t>
      </w:r>
      <w:r w:rsidR="00165E7E" w:rsidRPr="00DB73CD">
        <w:rPr>
          <w:rFonts w:ascii="Arial" w:hAnsi="Arial" w:cs="Arial"/>
          <w:sz w:val="20"/>
          <w:szCs w:val="20"/>
        </w:rPr>
        <w:t xml:space="preserve"> </w:t>
      </w:r>
      <w:r w:rsidR="00FF5435">
        <w:rPr>
          <w:rFonts w:ascii="Arial" w:hAnsi="Arial" w:cs="Arial"/>
          <w:sz w:val="20"/>
          <w:szCs w:val="20"/>
        </w:rPr>
        <w:t>a necessary and useful part of the legislative framework. Accordingly, the ACMA has remade the</w:t>
      </w:r>
      <w:r w:rsidR="00E52997">
        <w:rPr>
          <w:rFonts w:ascii="Arial" w:hAnsi="Arial" w:cs="Arial"/>
          <w:sz w:val="20"/>
          <w:szCs w:val="20"/>
        </w:rPr>
        <w:t xml:space="preserve"> 2003 Instrument by making the </w:t>
      </w:r>
      <w:r w:rsidR="00FF5435">
        <w:rPr>
          <w:rFonts w:ascii="Arial" w:hAnsi="Arial" w:cs="Arial"/>
          <w:sz w:val="20"/>
          <w:szCs w:val="20"/>
        </w:rPr>
        <w:t xml:space="preserve">Instrument, without any significant changes, so that its on-going effect is preserved. </w:t>
      </w:r>
    </w:p>
    <w:p w14:paraId="6AC6DA75" w14:textId="77777777" w:rsidR="009663EE" w:rsidRPr="00DB73CD" w:rsidRDefault="009663EE" w:rsidP="0009706E">
      <w:pPr>
        <w:rPr>
          <w:rFonts w:ascii="Arial" w:hAnsi="Arial" w:cs="Arial"/>
          <w:b/>
          <w:snapToGrid w:val="0"/>
          <w:sz w:val="20"/>
          <w:szCs w:val="20"/>
        </w:rPr>
      </w:pPr>
      <w:r w:rsidRPr="00DB73CD">
        <w:rPr>
          <w:rFonts w:ascii="Arial" w:hAnsi="Arial" w:cs="Arial"/>
          <w:b/>
          <w:snapToGrid w:val="0"/>
          <w:sz w:val="20"/>
          <w:szCs w:val="20"/>
        </w:rPr>
        <w:t xml:space="preserve">Legislative Provisions </w:t>
      </w:r>
    </w:p>
    <w:p w14:paraId="69B7AF77" w14:textId="77777777" w:rsidR="00601C24" w:rsidRPr="00DB73CD" w:rsidRDefault="005B08DD" w:rsidP="0009706E">
      <w:pPr>
        <w:rPr>
          <w:rFonts w:ascii="Arial" w:hAnsi="Arial" w:cs="Arial"/>
          <w:snapToGrid w:val="0"/>
          <w:sz w:val="20"/>
          <w:szCs w:val="20"/>
        </w:rPr>
      </w:pPr>
      <w:r>
        <w:rPr>
          <w:rFonts w:ascii="Arial" w:hAnsi="Arial" w:cs="Arial"/>
          <w:snapToGrid w:val="0"/>
          <w:sz w:val="20"/>
          <w:szCs w:val="20"/>
        </w:rPr>
        <w:t xml:space="preserve">Part 5.4 of the </w:t>
      </w:r>
      <w:r w:rsidR="00832178" w:rsidRPr="00DB73CD">
        <w:rPr>
          <w:rFonts w:ascii="Arial" w:hAnsi="Arial" w:cs="Arial"/>
          <w:i/>
          <w:snapToGrid w:val="0"/>
          <w:sz w:val="20"/>
          <w:szCs w:val="20"/>
        </w:rPr>
        <w:t xml:space="preserve">Radiocommunications Act 1992 </w:t>
      </w:r>
      <w:r w:rsidR="00832178" w:rsidRPr="00DB73CD">
        <w:rPr>
          <w:rFonts w:ascii="Arial" w:hAnsi="Arial" w:cs="Arial"/>
          <w:snapToGrid w:val="0"/>
          <w:sz w:val="20"/>
          <w:szCs w:val="20"/>
        </w:rPr>
        <w:t>(</w:t>
      </w:r>
      <w:r w:rsidR="00EC63DF" w:rsidRPr="00DB73CD">
        <w:rPr>
          <w:rFonts w:ascii="Arial" w:hAnsi="Arial" w:cs="Arial"/>
          <w:snapToGrid w:val="0"/>
          <w:sz w:val="20"/>
          <w:szCs w:val="20"/>
        </w:rPr>
        <w:t>the</w:t>
      </w:r>
      <w:r w:rsidR="00832178" w:rsidRPr="00DB73CD">
        <w:rPr>
          <w:rFonts w:ascii="Arial" w:hAnsi="Arial" w:cs="Arial"/>
          <w:b/>
          <w:snapToGrid w:val="0"/>
          <w:sz w:val="20"/>
          <w:szCs w:val="20"/>
        </w:rPr>
        <w:t xml:space="preserve"> Act</w:t>
      </w:r>
      <w:r w:rsidR="00EC63DF" w:rsidRPr="00DB73CD">
        <w:rPr>
          <w:rFonts w:ascii="Arial" w:hAnsi="Arial" w:cs="Arial"/>
          <w:snapToGrid w:val="0"/>
          <w:sz w:val="20"/>
          <w:szCs w:val="20"/>
        </w:rPr>
        <w:t>)</w:t>
      </w:r>
      <w:r w:rsidR="008C17DF" w:rsidRPr="00DB73CD">
        <w:rPr>
          <w:rFonts w:ascii="Arial" w:hAnsi="Arial" w:cs="Arial"/>
          <w:b/>
          <w:snapToGrid w:val="0"/>
          <w:sz w:val="20"/>
          <w:szCs w:val="20"/>
        </w:rPr>
        <w:t xml:space="preserve"> </w:t>
      </w:r>
      <w:r>
        <w:rPr>
          <w:rFonts w:ascii="Arial" w:hAnsi="Arial" w:cs="Arial"/>
          <w:snapToGrid w:val="0"/>
          <w:sz w:val="20"/>
          <w:szCs w:val="20"/>
        </w:rPr>
        <w:t>empowers the ACMA to create an accreditation scheme.  In particular, section 266</w:t>
      </w:r>
      <w:r w:rsidR="0056745E">
        <w:rPr>
          <w:rFonts w:ascii="Arial" w:hAnsi="Arial" w:cs="Arial"/>
          <w:snapToGrid w:val="0"/>
          <w:sz w:val="20"/>
          <w:szCs w:val="20"/>
        </w:rPr>
        <w:t>A</w:t>
      </w:r>
      <w:r>
        <w:rPr>
          <w:rFonts w:ascii="Arial" w:hAnsi="Arial" w:cs="Arial"/>
          <w:snapToGrid w:val="0"/>
          <w:sz w:val="20"/>
          <w:szCs w:val="20"/>
        </w:rPr>
        <w:t xml:space="preserve"> of the Act</w:t>
      </w:r>
      <w:r w:rsidR="00EC63DF" w:rsidRPr="00DB73CD">
        <w:rPr>
          <w:rFonts w:ascii="Arial" w:hAnsi="Arial" w:cs="Arial"/>
          <w:snapToGrid w:val="0"/>
          <w:sz w:val="20"/>
          <w:szCs w:val="20"/>
        </w:rPr>
        <w:t xml:space="preserve"> provides that the ACMA</w:t>
      </w:r>
      <w:r w:rsidR="009B625B" w:rsidRPr="00DB73CD">
        <w:rPr>
          <w:rFonts w:ascii="Arial" w:hAnsi="Arial" w:cs="Arial"/>
          <w:snapToGrid w:val="0"/>
          <w:sz w:val="20"/>
          <w:szCs w:val="20"/>
        </w:rPr>
        <w:t xml:space="preserve"> </w:t>
      </w:r>
      <w:r w:rsidR="00AE48A1" w:rsidRPr="00DB73CD">
        <w:rPr>
          <w:rFonts w:ascii="Arial" w:hAnsi="Arial" w:cs="Arial"/>
          <w:snapToGrid w:val="0"/>
          <w:sz w:val="20"/>
          <w:szCs w:val="20"/>
        </w:rPr>
        <w:t>may, by written instrument</w:t>
      </w:r>
      <w:r w:rsidR="00DB73CD" w:rsidRPr="00DB73CD">
        <w:rPr>
          <w:rFonts w:ascii="Arial" w:hAnsi="Arial" w:cs="Arial"/>
          <w:snapToGrid w:val="0"/>
          <w:sz w:val="20"/>
          <w:szCs w:val="20"/>
        </w:rPr>
        <w:t>,</w:t>
      </w:r>
      <w:r w:rsidR="00AE48A1" w:rsidRPr="00DB73CD">
        <w:rPr>
          <w:rFonts w:ascii="Arial" w:hAnsi="Arial" w:cs="Arial"/>
          <w:snapToGrid w:val="0"/>
          <w:sz w:val="20"/>
          <w:szCs w:val="20"/>
        </w:rPr>
        <w:t xml:space="preserve"> </w:t>
      </w:r>
      <w:r w:rsidR="00FF5435">
        <w:rPr>
          <w:rFonts w:ascii="Arial" w:hAnsi="Arial" w:cs="Arial"/>
          <w:snapToGrid w:val="0"/>
          <w:sz w:val="20"/>
          <w:szCs w:val="20"/>
        </w:rPr>
        <w:t xml:space="preserve">determine </w:t>
      </w:r>
      <w:r w:rsidR="0056745E">
        <w:rPr>
          <w:rFonts w:ascii="Arial" w:hAnsi="Arial" w:cs="Arial"/>
          <w:snapToGrid w:val="0"/>
          <w:sz w:val="20"/>
          <w:szCs w:val="20"/>
        </w:rPr>
        <w:t xml:space="preserve">the conditions that apply to the issue </w:t>
      </w:r>
      <w:r w:rsidR="001B6964">
        <w:rPr>
          <w:rFonts w:ascii="Arial" w:hAnsi="Arial" w:cs="Arial"/>
          <w:snapToGrid w:val="0"/>
          <w:sz w:val="20"/>
          <w:szCs w:val="20"/>
        </w:rPr>
        <w:t xml:space="preserve">by an accredited person </w:t>
      </w:r>
      <w:r w:rsidR="0056745E">
        <w:rPr>
          <w:rFonts w:ascii="Arial" w:hAnsi="Arial" w:cs="Arial"/>
          <w:snapToGrid w:val="0"/>
          <w:sz w:val="20"/>
          <w:szCs w:val="20"/>
        </w:rPr>
        <w:t>of a certificate under the Act.</w:t>
      </w:r>
      <w:r w:rsidR="00E52997">
        <w:rPr>
          <w:rFonts w:ascii="Arial" w:hAnsi="Arial" w:cs="Arial"/>
          <w:snapToGrid w:val="0"/>
          <w:sz w:val="20"/>
          <w:szCs w:val="20"/>
        </w:rPr>
        <w:t xml:space="preserve">  </w:t>
      </w:r>
      <w:r w:rsidR="00AE48A1" w:rsidRPr="00DB73CD">
        <w:rPr>
          <w:rFonts w:ascii="Arial" w:hAnsi="Arial" w:cs="Arial"/>
          <w:snapToGrid w:val="0"/>
          <w:sz w:val="20"/>
          <w:szCs w:val="20"/>
        </w:rPr>
        <w:t xml:space="preserve"> </w:t>
      </w:r>
      <w:r w:rsidR="00832178" w:rsidRPr="00DB73CD">
        <w:rPr>
          <w:rFonts w:ascii="Arial" w:hAnsi="Arial" w:cs="Arial"/>
          <w:snapToGrid w:val="0"/>
          <w:sz w:val="20"/>
          <w:szCs w:val="20"/>
        </w:rPr>
        <w:t xml:space="preserve"> </w:t>
      </w:r>
    </w:p>
    <w:p w14:paraId="46D356E6" w14:textId="77777777" w:rsidR="00DB73CD" w:rsidRDefault="0054774E" w:rsidP="0054774E">
      <w:pPr>
        <w:pStyle w:val="ACMABodyText"/>
        <w:rPr>
          <w:rFonts w:ascii="Arial" w:hAnsi="Arial" w:cs="Arial"/>
          <w:i/>
          <w:sz w:val="20"/>
        </w:rPr>
      </w:pPr>
      <w:r w:rsidRPr="00DB73CD">
        <w:rPr>
          <w:rFonts w:ascii="Arial" w:hAnsi="Arial" w:cs="Arial"/>
          <w:sz w:val="20"/>
        </w:rPr>
        <w:t xml:space="preserve">The </w:t>
      </w:r>
      <w:r w:rsidR="00E10B9E" w:rsidRPr="00DB73CD">
        <w:rPr>
          <w:rFonts w:ascii="Arial" w:hAnsi="Arial" w:cs="Arial"/>
          <w:sz w:val="20"/>
        </w:rPr>
        <w:t>Instrument</w:t>
      </w:r>
      <w:r w:rsidRPr="00DB73CD">
        <w:rPr>
          <w:rFonts w:ascii="Arial" w:hAnsi="Arial" w:cs="Arial"/>
          <w:sz w:val="20"/>
        </w:rPr>
        <w:t xml:space="preserve"> is </w:t>
      </w:r>
      <w:r w:rsidR="005B08DD">
        <w:rPr>
          <w:rFonts w:ascii="Arial" w:hAnsi="Arial" w:cs="Arial"/>
          <w:sz w:val="20"/>
        </w:rPr>
        <w:t>made under section 266</w:t>
      </w:r>
      <w:r w:rsidR="0056745E">
        <w:rPr>
          <w:rFonts w:ascii="Arial" w:hAnsi="Arial" w:cs="Arial"/>
          <w:sz w:val="20"/>
        </w:rPr>
        <w:t>A</w:t>
      </w:r>
      <w:r w:rsidR="005B08DD">
        <w:rPr>
          <w:rFonts w:ascii="Arial" w:hAnsi="Arial" w:cs="Arial"/>
          <w:sz w:val="20"/>
        </w:rPr>
        <w:t xml:space="preserve"> and is </w:t>
      </w:r>
      <w:r w:rsidRPr="00DB73CD">
        <w:rPr>
          <w:rFonts w:ascii="Arial" w:hAnsi="Arial" w:cs="Arial"/>
          <w:sz w:val="20"/>
        </w:rPr>
        <w:t>a legislative instrument for the purposes of the</w:t>
      </w:r>
      <w:r w:rsidR="00E52997">
        <w:rPr>
          <w:rFonts w:ascii="Arial" w:hAnsi="Arial" w:cs="Arial"/>
          <w:sz w:val="20"/>
        </w:rPr>
        <w:t xml:space="preserve"> LIA.</w:t>
      </w:r>
      <w:r w:rsidRPr="00DB73CD">
        <w:rPr>
          <w:rFonts w:ascii="Arial" w:hAnsi="Arial" w:cs="Arial"/>
          <w:i/>
          <w:sz w:val="20"/>
        </w:rPr>
        <w:t xml:space="preserve"> </w:t>
      </w:r>
    </w:p>
    <w:p w14:paraId="34B99A42" w14:textId="77777777" w:rsidR="00DB73CD" w:rsidRPr="008964DD" w:rsidRDefault="00DB73CD" w:rsidP="00DB73CD">
      <w:pPr>
        <w:spacing w:before="80" w:after="120" w:line="280" w:lineRule="atLeast"/>
        <w:rPr>
          <w:rFonts w:ascii="Arial" w:hAnsi="Arial" w:cs="Arial"/>
          <w:sz w:val="20"/>
          <w:szCs w:val="20"/>
        </w:rPr>
      </w:pPr>
      <w:r w:rsidRPr="008964DD">
        <w:rPr>
          <w:rFonts w:ascii="Arial" w:hAnsi="Arial" w:cs="Arial"/>
          <w:sz w:val="20"/>
          <w:szCs w:val="20"/>
        </w:rPr>
        <w:t xml:space="preserve">Subsection 33(3) of the </w:t>
      </w:r>
      <w:r w:rsidRPr="008964DD">
        <w:rPr>
          <w:rFonts w:ascii="Arial" w:hAnsi="Arial" w:cs="Arial"/>
          <w:i/>
          <w:sz w:val="20"/>
          <w:szCs w:val="20"/>
        </w:rPr>
        <w:t>Acts Interpretation Act 1901</w:t>
      </w:r>
      <w:r w:rsidRPr="008964DD">
        <w:rPr>
          <w:rFonts w:ascii="Arial" w:hAnsi="Arial" w:cs="Arial"/>
          <w:sz w:val="20"/>
          <w:szCs w:val="20"/>
        </w:rPr>
        <w:t xml:space="preserve"> provides that where an Act confers a power to make a legislative instrument, the power shall be construed to include a power exercisable in the like manner and subject to the like conditions (if any) to repeal, rescind, revoke, amend or vary any such instrument. The Instrument revokes the 200</w:t>
      </w:r>
      <w:r w:rsidR="00E52997">
        <w:rPr>
          <w:rFonts w:ascii="Arial" w:hAnsi="Arial" w:cs="Arial"/>
          <w:sz w:val="20"/>
          <w:szCs w:val="20"/>
        </w:rPr>
        <w:t>3</w:t>
      </w:r>
      <w:r w:rsidRPr="008964DD">
        <w:rPr>
          <w:rFonts w:ascii="Arial" w:hAnsi="Arial" w:cs="Arial"/>
          <w:sz w:val="20"/>
          <w:szCs w:val="20"/>
        </w:rPr>
        <w:t xml:space="preserve"> </w:t>
      </w:r>
      <w:r w:rsidR="00E52997">
        <w:rPr>
          <w:rFonts w:ascii="Arial" w:hAnsi="Arial" w:cs="Arial"/>
          <w:sz w:val="20"/>
          <w:szCs w:val="20"/>
        </w:rPr>
        <w:t>Instrument u</w:t>
      </w:r>
      <w:r w:rsidR="009B56DE">
        <w:rPr>
          <w:rFonts w:ascii="Arial" w:hAnsi="Arial" w:cs="Arial"/>
          <w:sz w:val="20"/>
          <w:szCs w:val="20"/>
        </w:rPr>
        <w:t>nder</w:t>
      </w:r>
      <w:r w:rsidR="00E52997">
        <w:rPr>
          <w:rFonts w:ascii="Arial" w:hAnsi="Arial" w:cs="Arial"/>
          <w:sz w:val="20"/>
          <w:szCs w:val="20"/>
        </w:rPr>
        <w:t xml:space="preserve"> this power</w:t>
      </w:r>
      <w:r w:rsidRPr="008964DD">
        <w:rPr>
          <w:rFonts w:ascii="Arial" w:hAnsi="Arial" w:cs="Arial"/>
          <w:sz w:val="20"/>
          <w:szCs w:val="20"/>
        </w:rPr>
        <w:t xml:space="preserve">. </w:t>
      </w:r>
    </w:p>
    <w:p w14:paraId="4F5FB49C" w14:textId="77777777" w:rsidR="00492206" w:rsidRDefault="00492206" w:rsidP="0054774E">
      <w:pPr>
        <w:pStyle w:val="ACMABodyText"/>
        <w:rPr>
          <w:rFonts w:ascii="Arial" w:eastAsiaTheme="minorHAnsi" w:hAnsi="Arial" w:cs="Arial"/>
          <w:b/>
          <w:snapToGrid/>
          <w:sz w:val="20"/>
        </w:rPr>
      </w:pPr>
    </w:p>
    <w:p w14:paraId="25A0AE53" w14:textId="77777777" w:rsidR="0054774E" w:rsidRPr="00DB73CD" w:rsidRDefault="0054774E" w:rsidP="0054774E">
      <w:pPr>
        <w:pStyle w:val="ACMABodyText"/>
        <w:rPr>
          <w:rFonts w:ascii="Arial" w:eastAsiaTheme="minorHAnsi" w:hAnsi="Arial" w:cs="Arial"/>
          <w:b/>
          <w:snapToGrid/>
          <w:sz w:val="20"/>
        </w:rPr>
      </w:pPr>
      <w:r w:rsidRPr="00DB73CD">
        <w:rPr>
          <w:rFonts w:ascii="Arial" w:eastAsiaTheme="minorHAnsi" w:hAnsi="Arial" w:cs="Arial"/>
          <w:b/>
          <w:snapToGrid/>
          <w:sz w:val="20"/>
        </w:rPr>
        <w:t>Background</w:t>
      </w:r>
      <w:r w:rsidR="00DA6AB1">
        <w:rPr>
          <w:rFonts w:ascii="Arial" w:eastAsiaTheme="minorHAnsi" w:hAnsi="Arial" w:cs="Arial"/>
          <w:b/>
          <w:snapToGrid/>
          <w:sz w:val="20"/>
        </w:rPr>
        <w:t xml:space="preserve"> and Operation</w:t>
      </w:r>
    </w:p>
    <w:p w14:paraId="204C5DFA" w14:textId="77777777" w:rsidR="00430E49" w:rsidRDefault="00430E49" w:rsidP="00DB73CD">
      <w:pPr>
        <w:rPr>
          <w:rFonts w:ascii="Arial" w:hAnsi="Arial" w:cs="Arial"/>
          <w:sz w:val="20"/>
          <w:szCs w:val="20"/>
        </w:rPr>
      </w:pPr>
      <w:r>
        <w:rPr>
          <w:rFonts w:ascii="Arial" w:hAnsi="Arial" w:cs="Arial"/>
          <w:sz w:val="20"/>
          <w:szCs w:val="20"/>
        </w:rPr>
        <w:t>Approximately 90% of radiocommunications certification work is performed by accredited persons.  One of the benefits of the accreditation process is that it contributes to a</w:t>
      </w:r>
      <w:r w:rsidR="002B4C7E">
        <w:rPr>
          <w:rFonts w:ascii="Arial" w:hAnsi="Arial" w:cs="Arial"/>
          <w:sz w:val="20"/>
          <w:szCs w:val="20"/>
        </w:rPr>
        <w:t>n efficient,</w:t>
      </w:r>
      <w:r>
        <w:rPr>
          <w:rFonts w:ascii="Arial" w:hAnsi="Arial" w:cs="Arial"/>
          <w:sz w:val="20"/>
          <w:szCs w:val="20"/>
        </w:rPr>
        <w:t xml:space="preserve"> market-based solution for frequency coordination and emission level management.</w:t>
      </w:r>
    </w:p>
    <w:p w14:paraId="2CBDFFA9" w14:textId="77777777" w:rsidR="00430E49" w:rsidRPr="0056745E" w:rsidRDefault="00430E49" w:rsidP="0056745E">
      <w:pPr>
        <w:rPr>
          <w:rFonts w:ascii="Arial" w:hAnsi="Arial" w:cs="Arial"/>
          <w:sz w:val="20"/>
          <w:szCs w:val="20"/>
        </w:rPr>
      </w:pPr>
      <w:r>
        <w:rPr>
          <w:rFonts w:ascii="Arial" w:hAnsi="Arial" w:cs="Arial"/>
          <w:sz w:val="20"/>
          <w:szCs w:val="20"/>
        </w:rPr>
        <w:t xml:space="preserve">The certificates that accredited persons may issue </w:t>
      </w:r>
      <w:r w:rsidR="0056745E" w:rsidRPr="0056745E">
        <w:rPr>
          <w:rFonts w:ascii="Arial" w:hAnsi="Arial" w:cs="Arial"/>
          <w:sz w:val="20"/>
          <w:szCs w:val="20"/>
        </w:rPr>
        <w:t xml:space="preserve">include </w:t>
      </w:r>
      <w:r w:rsidRPr="0056745E">
        <w:rPr>
          <w:rFonts w:ascii="Arial" w:hAnsi="Arial" w:cs="Arial"/>
          <w:sz w:val="20"/>
          <w:szCs w:val="20"/>
        </w:rPr>
        <w:t xml:space="preserve">Frequency Assignment </w:t>
      </w:r>
      <w:r w:rsidR="005B08DD" w:rsidRPr="0056745E">
        <w:rPr>
          <w:rFonts w:ascii="Arial" w:hAnsi="Arial" w:cs="Arial"/>
          <w:sz w:val="20"/>
          <w:szCs w:val="20"/>
        </w:rPr>
        <w:t>Certificates</w:t>
      </w:r>
      <w:r w:rsidRPr="0056745E">
        <w:rPr>
          <w:rFonts w:ascii="Arial" w:hAnsi="Arial" w:cs="Arial"/>
          <w:sz w:val="20"/>
          <w:szCs w:val="20"/>
        </w:rPr>
        <w:t xml:space="preserve"> (</w:t>
      </w:r>
      <w:r w:rsidRPr="00C263EC">
        <w:rPr>
          <w:rFonts w:ascii="Arial" w:hAnsi="Arial" w:cs="Arial"/>
          <w:b/>
          <w:sz w:val="20"/>
          <w:szCs w:val="20"/>
        </w:rPr>
        <w:t>FACs</w:t>
      </w:r>
      <w:r w:rsidRPr="0056745E">
        <w:rPr>
          <w:rFonts w:ascii="Arial" w:hAnsi="Arial" w:cs="Arial"/>
          <w:sz w:val="20"/>
          <w:szCs w:val="20"/>
        </w:rPr>
        <w:t>) issued under subsection 100(4A) of the Act, relating to the operation of radiocommunications transmitters and receivers under apparatus licensing arrangements</w:t>
      </w:r>
      <w:r w:rsidR="0056745E" w:rsidRPr="0056745E">
        <w:rPr>
          <w:rFonts w:ascii="Arial" w:hAnsi="Arial" w:cs="Arial"/>
          <w:sz w:val="20"/>
          <w:szCs w:val="20"/>
        </w:rPr>
        <w:t>.</w:t>
      </w:r>
    </w:p>
    <w:p w14:paraId="1005C6F2" w14:textId="77777777" w:rsidR="00266BC5" w:rsidRDefault="00266BC5" w:rsidP="00DB73CD">
      <w:pPr>
        <w:rPr>
          <w:rFonts w:ascii="Arial" w:hAnsi="Arial" w:cs="Arial"/>
          <w:sz w:val="20"/>
          <w:szCs w:val="20"/>
        </w:rPr>
      </w:pPr>
    </w:p>
    <w:p w14:paraId="48ADEF81" w14:textId="77777777" w:rsidR="00DA6AB1" w:rsidRDefault="00430E49" w:rsidP="00DB73CD">
      <w:pPr>
        <w:rPr>
          <w:rFonts w:ascii="Arial" w:hAnsi="Arial" w:cs="Arial"/>
          <w:sz w:val="20"/>
          <w:szCs w:val="20"/>
        </w:rPr>
      </w:pPr>
      <w:r>
        <w:rPr>
          <w:rFonts w:ascii="Arial" w:hAnsi="Arial" w:cs="Arial"/>
          <w:sz w:val="20"/>
          <w:szCs w:val="20"/>
        </w:rPr>
        <w:t>Both accredited persons and ACMA staff i</w:t>
      </w:r>
      <w:r w:rsidR="00DA6AB1">
        <w:rPr>
          <w:rFonts w:ascii="Arial" w:hAnsi="Arial" w:cs="Arial"/>
          <w:sz w:val="20"/>
          <w:szCs w:val="20"/>
        </w:rPr>
        <w:t>ssue FACs in support of the apparatus licensing regime.    These arrangements have been successful</w:t>
      </w:r>
      <w:r w:rsidR="00266BC5">
        <w:rPr>
          <w:rFonts w:ascii="Arial" w:hAnsi="Arial" w:cs="Arial"/>
          <w:sz w:val="20"/>
          <w:szCs w:val="20"/>
        </w:rPr>
        <w:t>,</w:t>
      </w:r>
      <w:r w:rsidR="00DA6AB1">
        <w:rPr>
          <w:rFonts w:ascii="Arial" w:hAnsi="Arial" w:cs="Arial"/>
          <w:sz w:val="20"/>
          <w:szCs w:val="20"/>
        </w:rPr>
        <w:t xml:space="preserve"> and largely unchanged</w:t>
      </w:r>
      <w:r w:rsidR="00266BC5">
        <w:rPr>
          <w:rFonts w:ascii="Arial" w:hAnsi="Arial" w:cs="Arial"/>
          <w:sz w:val="20"/>
          <w:szCs w:val="20"/>
        </w:rPr>
        <w:t>,</w:t>
      </w:r>
      <w:r w:rsidR="00DA6AB1">
        <w:rPr>
          <w:rFonts w:ascii="Arial" w:hAnsi="Arial" w:cs="Arial"/>
          <w:sz w:val="20"/>
          <w:szCs w:val="20"/>
        </w:rPr>
        <w:t xml:space="preserve"> since </w:t>
      </w:r>
      <w:r w:rsidR="0056745E">
        <w:rPr>
          <w:rFonts w:ascii="Arial" w:hAnsi="Arial" w:cs="Arial"/>
          <w:sz w:val="20"/>
          <w:szCs w:val="20"/>
        </w:rPr>
        <w:t>the mid-1990s</w:t>
      </w:r>
      <w:r w:rsidR="00DA6AB1">
        <w:rPr>
          <w:rFonts w:ascii="Arial" w:hAnsi="Arial" w:cs="Arial"/>
          <w:sz w:val="20"/>
          <w:szCs w:val="20"/>
        </w:rPr>
        <w:t>.</w:t>
      </w:r>
    </w:p>
    <w:p w14:paraId="53CA0D8A" w14:textId="77777777" w:rsidR="00DB73CD" w:rsidRPr="008964DD" w:rsidRDefault="00DA6AB1" w:rsidP="00DB73CD">
      <w:pPr>
        <w:rPr>
          <w:rFonts w:ascii="Arial" w:hAnsi="Arial" w:cs="Arial"/>
          <w:sz w:val="20"/>
          <w:szCs w:val="20"/>
        </w:rPr>
      </w:pPr>
      <w:r>
        <w:rPr>
          <w:rFonts w:ascii="Arial" w:hAnsi="Arial" w:cs="Arial"/>
          <w:sz w:val="20"/>
          <w:szCs w:val="20"/>
        </w:rPr>
        <w:t>The new Instrument is designed to maintain, and to not disrupt, the current arrangements which are well understood by industry stakeholders, particularly accredited persons</w:t>
      </w:r>
      <w:r w:rsidR="002B4C7E">
        <w:rPr>
          <w:rFonts w:ascii="Arial" w:hAnsi="Arial" w:cs="Arial"/>
          <w:sz w:val="20"/>
          <w:szCs w:val="20"/>
        </w:rPr>
        <w:t xml:space="preserve"> and persons who rely on certificates issued by them</w:t>
      </w:r>
      <w:r>
        <w:rPr>
          <w:rFonts w:ascii="Arial" w:hAnsi="Arial" w:cs="Arial"/>
          <w:sz w:val="20"/>
          <w:szCs w:val="20"/>
        </w:rPr>
        <w:t>.</w:t>
      </w:r>
      <w:r w:rsidR="00DB73CD" w:rsidRPr="008964DD">
        <w:rPr>
          <w:rFonts w:ascii="Arial" w:hAnsi="Arial" w:cs="Arial"/>
          <w:sz w:val="20"/>
          <w:szCs w:val="20"/>
        </w:rPr>
        <w:t xml:space="preserve"> </w:t>
      </w:r>
    </w:p>
    <w:p w14:paraId="097653A2" w14:textId="77777777" w:rsidR="007179B6" w:rsidRPr="00DB73CD" w:rsidRDefault="00676925" w:rsidP="0009706E">
      <w:pPr>
        <w:rPr>
          <w:rFonts w:ascii="Arial" w:hAnsi="Arial" w:cs="Arial"/>
          <w:b/>
          <w:snapToGrid w:val="0"/>
          <w:sz w:val="20"/>
          <w:szCs w:val="20"/>
        </w:rPr>
      </w:pPr>
      <w:r w:rsidRPr="00DB73CD">
        <w:rPr>
          <w:rFonts w:ascii="Arial" w:hAnsi="Arial" w:cs="Arial"/>
          <w:b/>
          <w:snapToGrid w:val="0"/>
          <w:sz w:val="20"/>
          <w:szCs w:val="20"/>
        </w:rPr>
        <w:t xml:space="preserve">Consultation </w:t>
      </w:r>
    </w:p>
    <w:p w14:paraId="1B7321EE" w14:textId="77777777" w:rsidR="006230F4" w:rsidRDefault="00760E09" w:rsidP="0009706E">
      <w:pPr>
        <w:rPr>
          <w:rFonts w:ascii="Arial" w:hAnsi="Arial" w:cs="Arial"/>
          <w:snapToGrid w:val="0"/>
          <w:sz w:val="20"/>
          <w:szCs w:val="20"/>
        </w:rPr>
      </w:pPr>
      <w:r w:rsidRPr="00DB73CD">
        <w:rPr>
          <w:rFonts w:ascii="Arial" w:hAnsi="Arial" w:cs="Arial"/>
          <w:snapToGrid w:val="0"/>
          <w:sz w:val="20"/>
          <w:szCs w:val="20"/>
        </w:rPr>
        <w:t>S</w:t>
      </w:r>
      <w:r w:rsidR="006230F4">
        <w:rPr>
          <w:rFonts w:ascii="Arial" w:hAnsi="Arial" w:cs="Arial"/>
          <w:snapToGrid w:val="0"/>
          <w:sz w:val="20"/>
          <w:szCs w:val="20"/>
        </w:rPr>
        <w:t>ubs</w:t>
      </w:r>
      <w:r w:rsidRPr="00DB73CD">
        <w:rPr>
          <w:rFonts w:ascii="Arial" w:hAnsi="Arial" w:cs="Arial"/>
          <w:snapToGrid w:val="0"/>
          <w:sz w:val="20"/>
          <w:szCs w:val="20"/>
        </w:rPr>
        <w:t xml:space="preserve">ection </w:t>
      </w:r>
      <w:r w:rsidR="006230F4">
        <w:rPr>
          <w:rFonts w:ascii="Arial" w:hAnsi="Arial" w:cs="Arial"/>
          <w:snapToGrid w:val="0"/>
          <w:sz w:val="20"/>
          <w:szCs w:val="20"/>
        </w:rPr>
        <w:t>17(1) of the LIA</w:t>
      </w:r>
      <w:r w:rsidRPr="00DB73CD">
        <w:rPr>
          <w:rFonts w:ascii="Arial" w:hAnsi="Arial" w:cs="Arial"/>
          <w:snapToGrid w:val="0"/>
          <w:sz w:val="20"/>
          <w:szCs w:val="20"/>
        </w:rPr>
        <w:t xml:space="preserve"> requires that before t</w:t>
      </w:r>
      <w:r w:rsidR="00202FFB" w:rsidRPr="00DB73CD">
        <w:rPr>
          <w:rFonts w:ascii="Arial" w:hAnsi="Arial" w:cs="Arial"/>
          <w:snapToGrid w:val="0"/>
          <w:sz w:val="20"/>
          <w:szCs w:val="20"/>
        </w:rPr>
        <w:t xml:space="preserve">he ACMA makes a </w:t>
      </w:r>
      <w:r w:rsidR="006230F4">
        <w:rPr>
          <w:rFonts w:ascii="Arial" w:hAnsi="Arial" w:cs="Arial"/>
          <w:snapToGrid w:val="0"/>
          <w:sz w:val="20"/>
          <w:szCs w:val="20"/>
        </w:rPr>
        <w:t>legislative instrument it must be satisfied that any consultation that the ACMA considers is appropriate and that is reasonably practicable to undertake has been undertaken.</w:t>
      </w:r>
    </w:p>
    <w:p w14:paraId="2AE96428" w14:textId="6A78EAB5" w:rsidR="002434AE" w:rsidRPr="00DB73CD" w:rsidRDefault="006230F4" w:rsidP="006230F4">
      <w:pPr>
        <w:rPr>
          <w:snapToGrid w:val="0"/>
          <w:sz w:val="20"/>
          <w:szCs w:val="20"/>
        </w:rPr>
      </w:pPr>
      <w:r>
        <w:rPr>
          <w:rFonts w:ascii="Arial" w:hAnsi="Arial" w:cs="Arial"/>
          <w:snapToGrid w:val="0"/>
          <w:sz w:val="20"/>
          <w:szCs w:val="20"/>
        </w:rPr>
        <w:t xml:space="preserve">In this case the ACMA consulted publicly between </w:t>
      </w:r>
      <w:r w:rsidR="0075243A">
        <w:rPr>
          <w:rFonts w:ascii="Arial" w:hAnsi="Arial" w:cs="Arial"/>
          <w:snapToGrid w:val="0"/>
          <w:sz w:val="20"/>
          <w:szCs w:val="20"/>
        </w:rPr>
        <w:t>4</w:t>
      </w:r>
      <w:r w:rsidR="008651FF">
        <w:rPr>
          <w:rFonts w:ascii="Arial" w:hAnsi="Arial" w:cs="Arial"/>
          <w:snapToGrid w:val="0"/>
          <w:sz w:val="20"/>
          <w:szCs w:val="20"/>
        </w:rPr>
        <w:t xml:space="preserve"> February 2014 </w:t>
      </w:r>
      <w:r w:rsidRPr="000A49EF">
        <w:rPr>
          <w:rFonts w:ascii="Arial" w:hAnsi="Arial" w:cs="Arial"/>
          <w:snapToGrid w:val="0"/>
          <w:sz w:val="20"/>
          <w:szCs w:val="20"/>
        </w:rPr>
        <w:t xml:space="preserve">and </w:t>
      </w:r>
      <w:r w:rsidR="00351FEB" w:rsidRPr="000A49EF">
        <w:rPr>
          <w:rFonts w:ascii="Arial" w:hAnsi="Arial" w:cs="Arial"/>
          <w:snapToGrid w:val="0"/>
          <w:sz w:val="20"/>
          <w:szCs w:val="20"/>
        </w:rPr>
        <w:t>1</w:t>
      </w:r>
      <w:r w:rsidR="0075243A">
        <w:rPr>
          <w:rFonts w:ascii="Arial" w:hAnsi="Arial" w:cs="Arial"/>
          <w:snapToGrid w:val="0"/>
          <w:sz w:val="20"/>
          <w:szCs w:val="20"/>
        </w:rPr>
        <w:t>4</w:t>
      </w:r>
      <w:r w:rsidR="009701DF">
        <w:rPr>
          <w:rFonts w:ascii="Arial" w:hAnsi="Arial" w:cs="Arial"/>
          <w:snapToGrid w:val="0"/>
          <w:sz w:val="20"/>
          <w:szCs w:val="20"/>
        </w:rPr>
        <w:t xml:space="preserve"> </w:t>
      </w:r>
      <w:r w:rsidR="00351FEB" w:rsidRPr="000A49EF">
        <w:rPr>
          <w:rFonts w:ascii="Arial" w:hAnsi="Arial" w:cs="Arial"/>
          <w:snapToGrid w:val="0"/>
          <w:sz w:val="20"/>
          <w:szCs w:val="20"/>
        </w:rPr>
        <w:t>Ma</w:t>
      </w:r>
      <w:r w:rsidR="0075243A">
        <w:rPr>
          <w:rFonts w:ascii="Arial" w:hAnsi="Arial" w:cs="Arial"/>
          <w:snapToGrid w:val="0"/>
          <w:sz w:val="20"/>
          <w:szCs w:val="20"/>
        </w:rPr>
        <w:t xml:space="preserve">rch </w:t>
      </w:r>
      <w:r w:rsidRPr="000A49EF">
        <w:rPr>
          <w:rFonts w:ascii="Arial" w:hAnsi="Arial" w:cs="Arial"/>
          <w:snapToGrid w:val="0"/>
          <w:sz w:val="20"/>
          <w:szCs w:val="20"/>
        </w:rPr>
        <w:t>201</w:t>
      </w:r>
      <w:r w:rsidR="008651FF" w:rsidRPr="000A49EF">
        <w:rPr>
          <w:rFonts w:ascii="Arial" w:hAnsi="Arial" w:cs="Arial"/>
          <w:snapToGrid w:val="0"/>
          <w:sz w:val="20"/>
          <w:szCs w:val="20"/>
        </w:rPr>
        <w:t xml:space="preserve">4 </w:t>
      </w:r>
      <w:r w:rsidRPr="000A49EF">
        <w:rPr>
          <w:rFonts w:ascii="Arial" w:hAnsi="Arial" w:cs="Arial"/>
          <w:snapToGrid w:val="0"/>
          <w:sz w:val="20"/>
          <w:szCs w:val="20"/>
        </w:rPr>
        <w:t>by means</w:t>
      </w:r>
      <w:r>
        <w:rPr>
          <w:rFonts w:ascii="Arial" w:hAnsi="Arial" w:cs="Arial"/>
          <w:snapToGrid w:val="0"/>
          <w:sz w:val="20"/>
          <w:szCs w:val="20"/>
        </w:rPr>
        <w:t xml:space="preserve"> of a consultation paper published on its website</w:t>
      </w:r>
      <w:r w:rsidR="002B4C7E">
        <w:rPr>
          <w:rFonts w:ascii="Arial" w:hAnsi="Arial" w:cs="Arial"/>
          <w:snapToGrid w:val="0"/>
          <w:sz w:val="20"/>
          <w:szCs w:val="20"/>
        </w:rPr>
        <w:t xml:space="preserve">. That paper </w:t>
      </w:r>
      <w:r>
        <w:rPr>
          <w:rFonts w:ascii="Arial" w:hAnsi="Arial" w:cs="Arial"/>
          <w:snapToGrid w:val="0"/>
          <w:sz w:val="20"/>
          <w:szCs w:val="20"/>
        </w:rPr>
        <w:t xml:space="preserve">explained the sunsetting process and the ACMA’s preliminary view that the existing arrangements should be saved from automatic repeal and </w:t>
      </w:r>
      <w:r w:rsidR="002B4C7E">
        <w:rPr>
          <w:rFonts w:ascii="Arial" w:hAnsi="Arial" w:cs="Arial"/>
          <w:snapToGrid w:val="0"/>
          <w:sz w:val="20"/>
          <w:szCs w:val="20"/>
        </w:rPr>
        <w:t>remade</w:t>
      </w:r>
      <w:r>
        <w:rPr>
          <w:rFonts w:ascii="Arial" w:hAnsi="Arial" w:cs="Arial"/>
          <w:snapToGrid w:val="0"/>
          <w:sz w:val="20"/>
          <w:szCs w:val="20"/>
        </w:rPr>
        <w:t xml:space="preserve"> without any significant changes.</w:t>
      </w:r>
      <w:r w:rsidR="00554105" w:rsidRPr="00DB73CD">
        <w:rPr>
          <w:rFonts w:ascii="Arial" w:hAnsi="Arial" w:cs="Arial"/>
          <w:snapToGrid w:val="0"/>
          <w:sz w:val="20"/>
          <w:szCs w:val="20"/>
        </w:rPr>
        <w:t xml:space="preserve"> </w:t>
      </w:r>
      <w:r>
        <w:rPr>
          <w:rFonts w:ascii="Arial" w:hAnsi="Arial" w:cs="Arial"/>
          <w:snapToGrid w:val="0"/>
          <w:sz w:val="20"/>
          <w:szCs w:val="20"/>
        </w:rPr>
        <w:t xml:space="preserve">Interested parties were invited to comment. The ACMA </w:t>
      </w:r>
      <w:r w:rsidR="003E2F37">
        <w:rPr>
          <w:rFonts w:ascii="Arial" w:hAnsi="Arial" w:cs="Arial"/>
          <w:snapToGrid w:val="0"/>
          <w:sz w:val="20"/>
          <w:szCs w:val="20"/>
        </w:rPr>
        <w:t>received</w:t>
      </w:r>
      <w:r>
        <w:rPr>
          <w:rFonts w:ascii="Arial" w:hAnsi="Arial" w:cs="Arial"/>
          <w:snapToGrid w:val="0"/>
          <w:sz w:val="20"/>
          <w:szCs w:val="20"/>
        </w:rPr>
        <w:t xml:space="preserve"> </w:t>
      </w:r>
      <w:r w:rsidR="000A49EF">
        <w:rPr>
          <w:rFonts w:ascii="Arial" w:hAnsi="Arial" w:cs="Arial"/>
          <w:snapToGrid w:val="0"/>
          <w:sz w:val="20"/>
          <w:szCs w:val="20"/>
        </w:rPr>
        <w:t xml:space="preserve">one </w:t>
      </w:r>
      <w:r>
        <w:rPr>
          <w:rFonts w:ascii="Arial" w:hAnsi="Arial" w:cs="Arial"/>
          <w:snapToGrid w:val="0"/>
          <w:sz w:val="20"/>
          <w:szCs w:val="20"/>
        </w:rPr>
        <w:t>submission in response to the consultation pa</w:t>
      </w:r>
      <w:r w:rsidR="003E2F37">
        <w:rPr>
          <w:rFonts w:ascii="Arial" w:hAnsi="Arial" w:cs="Arial"/>
          <w:snapToGrid w:val="0"/>
          <w:sz w:val="20"/>
          <w:szCs w:val="20"/>
        </w:rPr>
        <w:t>p</w:t>
      </w:r>
      <w:r>
        <w:rPr>
          <w:rFonts w:ascii="Arial" w:hAnsi="Arial" w:cs="Arial"/>
          <w:snapToGrid w:val="0"/>
          <w:sz w:val="20"/>
          <w:szCs w:val="20"/>
        </w:rPr>
        <w:t xml:space="preserve">er and took </w:t>
      </w:r>
      <w:r w:rsidR="007347E8">
        <w:rPr>
          <w:rFonts w:ascii="Arial" w:hAnsi="Arial" w:cs="Arial"/>
          <w:snapToGrid w:val="0"/>
          <w:sz w:val="20"/>
          <w:szCs w:val="20"/>
        </w:rPr>
        <w:t xml:space="preserve">it </w:t>
      </w:r>
      <w:r>
        <w:rPr>
          <w:rFonts w:ascii="Arial" w:hAnsi="Arial" w:cs="Arial"/>
          <w:snapToGrid w:val="0"/>
          <w:sz w:val="20"/>
          <w:szCs w:val="20"/>
        </w:rPr>
        <w:t xml:space="preserve">into account </w:t>
      </w:r>
      <w:r w:rsidR="003E2F37">
        <w:rPr>
          <w:rFonts w:ascii="Arial" w:hAnsi="Arial" w:cs="Arial"/>
          <w:snapToGrid w:val="0"/>
          <w:sz w:val="20"/>
          <w:szCs w:val="20"/>
        </w:rPr>
        <w:t>when determining</w:t>
      </w:r>
      <w:r>
        <w:rPr>
          <w:rFonts w:ascii="Arial" w:hAnsi="Arial" w:cs="Arial"/>
          <w:snapToGrid w:val="0"/>
          <w:sz w:val="20"/>
          <w:szCs w:val="20"/>
        </w:rPr>
        <w:t xml:space="preserve"> to make the Instrument.</w:t>
      </w:r>
      <w:r w:rsidR="00E51FB1" w:rsidRPr="00DB73CD">
        <w:rPr>
          <w:snapToGrid w:val="0"/>
          <w:sz w:val="20"/>
          <w:szCs w:val="20"/>
        </w:rPr>
        <w:t xml:space="preserve"> </w:t>
      </w:r>
    </w:p>
    <w:p w14:paraId="56B40AF4" w14:textId="77777777" w:rsidR="00EF5835" w:rsidRPr="00DB73CD" w:rsidRDefault="00EF5835" w:rsidP="0009706E">
      <w:pPr>
        <w:rPr>
          <w:rFonts w:ascii="Arial" w:hAnsi="Arial" w:cs="Arial"/>
          <w:b/>
          <w:snapToGrid w:val="0"/>
          <w:sz w:val="20"/>
          <w:szCs w:val="20"/>
        </w:rPr>
      </w:pPr>
      <w:r w:rsidRPr="00DB73CD">
        <w:rPr>
          <w:rFonts w:ascii="Arial" w:hAnsi="Arial" w:cs="Arial"/>
          <w:b/>
          <w:snapToGrid w:val="0"/>
          <w:sz w:val="20"/>
          <w:szCs w:val="20"/>
        </w:rPr>
        <w:t xml:space="preserve">Regulation Impact </w:t>
      </w:r>
    </w:p>
    <w:p w14:paraId="541503DD" w14:textId="62D77E3F" w:rsidR="00EF5835" w:rsidRPr="00DB73CD" w:rsidRDefault="005B08DD" w:rsidP="004B3273">
      <w:pPr>
        <w:pStyle w:val="PlainText"/>
        <w:spacing w:after="200" w:line="276" w:lineRule="auto"/>
        <w:rPr>
          <w:rFonts w:ascii="Arial" w:hAnsi="Arial" w:cs="Arial"/>
          <w:snapToGrid w:val="0"/>
          <w:sz w:val="20"/>
          <w:szCs w:val="20"/>
          <w:lang w:eastAsia="en-US"/>
        </w:rPr>
      </w:pPr>
      <w:r>
        <w:rPr>
          <w:rFonts w:ascii="Arial" w:hAnsi="Arial" w:cs="Arial"/>
          <w:snapToGrid w:val="0"/>
          <w:sz w:val="20"/>
          <w:szCs w:val="20"/>
          <w:lang w:eastAsia="en-US"/>
        </w:rPr>
        <w:t xml:space="preserve">Under the Guidance Note </w:t>
      </w:r>
      <w:r w:rsidR="00FD2B57">
        <w:rPr>
          <w:rFonts w:ascii="Arial" w:hAnsi="Arial" w:cs="Arial"/>
          <w:i/>
          <w:snapToGrid w:val="0"/>
          <w:sz w:val="20"/>
          <w:szCs w:val="20"/>
          <w:lang w:eastAsia="en-US"/>
        </w:rPr>
        <w:t xml:space="preserve">Sunsetting Legislation </w:t>
      </w:r>
      <w:r>
        <w:rPr>
          <w:rFonts w:ascii="Arial" w:hAnsi="Arial" w:cs="Arial"/>
          <w:snapToGrid w:val="0"/>
          <w:sz w:val="20"/>
          <w:szCs w:val="20"/>
          <w:lang w:eastAsia="en-US"/>
        </w:rPr>
        <w:t xml:space="preserve">published by the </w:t>
      </w:r>
      <w:r w:rsidR="00EF5835" w:rsidRPr="00DB73CD">
        <w:rPr>
          <w:rFonts w:ascii="Arial" w:hAnsi="Arial" w:cs="Arial"/>
          <w:snapToGrid w:val="0"/>
          <w:sz w:val="20"/>
          <w:szCs w:val="20"/>
          <w:lang w:eastAsia="en-US"/>
        </w:rPr>
        <w:t>Office of Best Practice Regulation</w:t>
      </w:r>
      <w:r w:rsidR="00B7526A" w:rsidRPr="00DB73CD">
        <w:rPr>
          <w:rFonts w:ascii="Arial" w:hAnsi="Arial" w:cs="Arial"/>
          <w:snapToGrid w:val="0"/>
          <w:sz w:val="20"/>
          <w:szCs w:val="20"/>
          <w:lang w:eastAsia="en-US"/>
        </w:rPr>
        <w:t xml:space="preserve"> (OBPR)</w:t>
      </w:r>
      <w:r>
        <w:rPr>
          <w:rFonts w:ascii="Arial" w:hAnsi="Arial" w:cs="Arial"/>
          <w:snapToGrid w:val="0"/>
          <w:sz w:val="20"/>
          <w:szCs w:val="20"/>
          <w:lang w:eastAsia="en-US"/>
        </w:rPr>
        <w:t>, streamlined administrative processes apply to sunsetting legislative instruments</w:t>
      </w:r>
      <w:r w:rsidR="00FD2B57">
        <w:rPr>
          <w:rFonts w:ascii="Arial" w:hAnsi="Arial" w:cs="Arial"/>
          <w:snapToGrid w:val="0"/>
          <w:sz w:val="20"/>
          <w:szCs w:val="20"/>
          <w:lang w:eastAsia="en-US"/>
        </w:rPr>
        <w:t xml:space="preserve">. </w:t>
      </w:r>
      <w:r w:rsidR="00ED2DC8">
        <w:rPr>
          <w:rFonts w:ascii="Arial" w:hAnsi="Arial" w:cs="Arial"/>
          <w:snapToGrid w:val="0"/>
          <w:sz w:val="20"/>
          <w:szCs w:val="20"/>
          <w:lang w:eastAsia="en-US"/>
        </w:rPr>
        <w:t>A</w:t>
      </w:r>
      <w:r>
        <w:rPr>
          <w:rFonts w:ascii="Arial" w:hAnsi="Arial" w:cs="Arial"/>
          <w:snapToGrid w:val="0"/>
          <w:sz w:val="20"/>
          <w:szCs w:val="20"/>
          <w:lang w:eastAsia="en-US"/>
        </w:rPr>
        <w:t xml:space="preserve">s the ACMA has </w:t>
      </w:r>
      <w:r w:rsidR="00266BC5">
        <w:rPr>
          <w:rFonts w:ascii="Arial" w:hAnsi="Arial" w:cs="Arial"/>
          <w:snapToGrid w:val="0"/>
          <w:sz w:val="20"/>
          <w:szCs w:val="20"/>
          <w:lang w:eastAsia="en-US"/>
        </w:rPr>
        <w:t xml:space="preserve">determined that </w:t>
      </w:r>
      <w:r>
        <w:rPr>
          <w:rFonts w:ascii="Arial" w:hAnsi="Arial" w:cs="Arial"/>
          <w:snapToGrid w:val="0"/>
          <w:sz w:val="20"/>
          <w:szCs w:val="20"/>
          <w:lang w:eastAsia="en-US"/>
        </w:rPr>
        <w:t xml:space="preserve">the 2003 Instrument </w:t>
      </w:r>
      <w:r w:rsidR="00266BC5">
        <w:rPr>
          <w:rFonts w:ascii="Arial" w:hAnsi="Arial" w:cs="Arial"/>
          <w:snapToGrid w:val="0"/>
          <w:sz w:val="20"/>
          <w:szCs w:val="20"/>
          <w:lang w:eastAsia="en-US"/>
        </w:rPr>
        <w:t xml:space="preserve">was </w:t>
      </w:r>
      <w:r w:rsidR="00FD2B57">
        <w:rPr>
          <w:rFonts w:ascii="Arial" w:hAnsi="Arial" w:cs="Arial"/>
          <w:snapToGrid w:val="0"/>
          <w:sz w:val="20"/>
          <w:szCs w:val="20"/>
          <w:lang w:eastAsia="en-US"/>
        </w:rPr>
        <w:t xml:space="preserve">fit for purpose, and </w:t>
      </w:r>
      <w:r w:rsidR="00266BC5">
        <w:rPr>
          <w:rFonts w:ascii="Arial" w:hAnsi="Arial" w:cs="Arial"/>
          <w:snapToGrid w:val="0"/>
          <w:sz w:val="20"/>
          <w:szCs w:val="20"/>
          <w:lang w:eastAsia="en-US"/>
        </w:rPr>
        <w:t xml:space="preserve">should </w:t>
      </w:r>
      <w:r w:rsidR="00FD2B57">
        <w:rPr>
          <w:rFonts w:ascii="Arial" w:hAnsi="Arial" w:cs="Arial"/>
          <w:snapToGrid w:val="0"/>
          <w:sz w:val="20"/>
          <w:szCs w:val="20"/>
          <w:lang w:eastAsia="en-US"/>
        </w:rPr>
        <w:t>be remade without any s</w:t>
      </w:r>
      <w:r w:rsidR="00ED2DC8">
        <w:rPr>
          <w:rFonts w:ascii="Arial" w:hAnsi="Arial" w:cs="Arial"/>
          <w:snapToGrid w:val="0"/>
          <w:sz w:val="20"/>
          <w:szCs w:val="20"/>
          <w:lang w:eastAsia="en-US"/>
        </w:rPr>
        <w:t>ignificant</w:t>
      </w:r>
      <w:r w:rsidR="00FD2B57">
        <w:rPr>
          <w:rFonts w:ascii="Arial" w:hAnsi="Arial" w:cs="Arial"/>
          <w:snapToGrid w:val="0"/>
          <w:sz w:val="20"/>
          <w:szCs w:val="20"/>
          <w:lang w:eastAsia="en-US"/>
        </w:rPr>
        <w:t xml:space="preserve"> changes, </w:t>
      </w:r>
      <w:r w:rsidR="00ED2DC8">
        <w:rPr>
          <w:rFonts w:ascii="Arial" w:hAnsi="Arial" w:cs="Arial"/>
          <w:snapToGrid w:val="0"/>
          <w:sz w:val="20"/>
          <w:szCs w:val="20"/>
          <w:lang w:eastAsia="en-US"/>
        </w:rPr>
        <w:t xml:space="preserve">and has certified those matters to OBPR, no </w:t>
      </w:r>
      <w:r w:rsidR="004B3273" w:rsidRPr="00DB73CD">
        <w:rPr>
          <w:rFonts w:ascii="Arial" w:hAnsi="Arial" w:cs="Arial"/>
          <w:snapToGrid w:val="0"/>
          <w:sz w:val="20"/>
          <w:szCs w:val="20"/>
          <w:lang w:eastAsia="en-US"/>
        </w:rPr>
        <w:t>Regulation Impact Statement</w:t>
      </w:r>
      <w:r w:rsidR="00ED2DC8">
        <w:rPr>
          <w:rFonts w:ascii="Arial" w:hAnsi="Arial" w:cs="Arial"/>
          <w:snapToGrid w:val="0"/>
          <w:sz w:val="20"/>
          <w:szCs w:val="20"/>
          <w:lang w:eastAsia="en-US"/>
        </w:rPr>
        <w:t xml:space="preserve"> is required.</w:t>
      </w:r>
    </w:p>
    <w:p w14:paraId="45420B3A" w14:textId="77777777" w:rsidR="003C406C" w:rsidRPr="00DB73CD" w:rsidRDefault="003C406C" w:rsidP="003C406C">
      <w:pPr>
        <w:rPr>
          <w:rFonts w:ascii="Arial" w:hAnsi="Arial" w:cs="Arial"/>
          <w:b/>
          <w:snapToGrid w:val="0"/>
          <w:sz w:val="20"/>
          <w:szCs w:val="20"/>
        </w:rPr>
      </w:pPr>
      <w:r w:rsidRPr="00DB73CD">
        <w:rPr>
          <w:rFonts w:ascii="Arial" w:hAnsi="Arial" w:cs="Arial"/>
          <w:b/>
          <w:snapToGrid w:val="0"/>
          <w:sz w:val="20"/>
          <w:szCs w:val="20"/>
        </w:rPr>
        <w:t xml:space="preserve">Documents Incorporated in this Instrument by Reference </w:t>
      </w:r>
    </w:p>
    <w:p w14:paraId="11B59706" w14:textId="77777777" w:rsidR="003C406C" w:rsidRDefault="007D091E" w:rsidP="003C406C">
      <w:pPr>
        <w:rPr>
          <w:rFonts w:ascii="Arial" w:hAnsi="Arial" w:cs="Arial"/>
          <w:snapToGrid w:val="0"/>
          <w:sz w:val="20"/>
          <w:szCs w:val="20"/>
        </w:rPr>
      </w:pPr>
      <w:r>
        <w:rPr>
          <w:rFonts w:ascii="Arial" w:hAnsi="Arial" w:cs="Arial"/>
          <w:snapToGrid w:val="0"/>
          <w:sz w:val="20"/>
          <w:szCs w:val="20"/>
        </w:rPr>
        <w:t>The following document</w:t>
      </w:r>
      <w:r w:rsidR="00C263EC">
        <w:rPr>
          <w:rFonts w:ascii="Arial" w:hAnsi="Arial" w:cs="Arial"/>
          <w:snapToGrid w:val="0"/>
          <w:sz w:val="20"/>
          <w:szCs w:val="20"/>
        </w:rPr>
        <w:t>s</w:t>
      </w:r>
      <w:r>
        <w:rPr>
          <w:rFonts w:ascii="Arial" w:hAnsi="Arial" w:cs="Arial"/>
          <w:snapToGrid w:val="0"/>
          <w:sz w:val="20"/>
          <w:szCs w:val="20"/>
        </w:rPr>
        <w:t xml:space="preserve"> </w:t>
      </w:r>
      <w:r w:rsidR="00C263EC">
        <w:rPr>
          <w:rFonts w:ascii="Arial" w:hAnsi="Arial" w:cs="Arial"/>
          <w:snapToGrid w:val="0"/>
          <w:sz w:val="20"/>
          <w:szCs w:val="20"/>
        </w:rPr>
        <w:t>are</w:t>
      </w:r>
      <w:r>
        <w:rPr>
          <w:rFonts w:ascii="Arial" w:hAnsi="Arial" w:cs="Arial"/>
          <w:snapToGrid w:val="0"/>
          <w:sz w:val="20"/>
          <w:szCs w:val="20"/>
        </w:rPr>
        <w:t xml:space="preserve"> </w:t>
      </w:r>
      <w:r w:rsidR="00126B63">
        <w:rPr>
          <w:rFonts w:ascii="Arial" w:hAnsi="Arial" w:cs="Arial"/>
          <w:snapToGrid w:val="0"/>
          <w:sz w:val="20"/>
          <w:szCs w:val="20"/>
        </w:rPr>
        <w:t>i</w:t>
      </w:r>
      <w:r w:rsidR="003C406C" w:rsidRPr="00DB73CD">
        <w:rPr>
          <w:rFonts w:ascii="Arial" w:hAnsi="Arial" w:cs="Arial"/>
          <w:snapToGrid w:val="0"/>
          <w:sz w:val="20"/>
          <w:szCs w:val="20"/>
        </w:rPr>
        <w:t>ncorporated by reference</w:t>
      </w:r>
      <w:r w:rsidR="00126B63">
        <w:rPr>
          <w:rFonts w:ascii="Arial" w:hAnsi="Arial" w:cs="Arial"/>
          <w:snapToGrid w:val="0"/>
          <w:sz w:val="20"/>
          <w:szCs w:val="20"/>
        </w:rPr>
        <w:t xml:space="preserve"> in the Instrument</w:t>
      </w:r>
      <w:r>
        <w:rPr>
          <w:rFonts w:ascii="Arial" w:hAnsi="Arial" w:cs="Arial"/>
          <w:snapToGrid w:val="0"/>
          <w:sz w:val="20"/>
          <w:szCs w:val="20"/>
        </w:rPr>
        <w:t>:</w:t>
      </w:r>
    </w:p>
    <w:p w14:paraId="7E6F8AAE" w14:textId="77777777" w:rsidR="007D091E" w:rsidRPr="00C263EC" w:rsidRDefault="007D091E" w:rsidP="007D091E">
      <w:pPr>
        <w:pStyle w:val="ListParagraph"/>
        <w:numPr>
          <w:ilvl w:val="0"/>
          <w:numId w:val="13"/>
        </w:numPr>
        <w:rPr>
          <w:rFonts w:cs="Arial"/>
          <w:snapToGrid w:val="0"/>
        </w:rPr>
      </w:pPr>
      <w:r>
        <w:rPr>
          <w:rFonts w:cs="Arial"/>
          <w:snapToGrid w:val="0"/>
        </w:rPr>
        <w:t xml:space="preserve">The </w:t>
      </w:r>
      <w:r>
        <w:rPr>
          <w:rFonts w:cs="Arial"/>
          <w:i/>
          <w:snapToGrid w:val="0"/>
        </w:rPr>
        <w:t>Radiocommunications (Accreditation – Prescribed Certificates) Principles 201</w:t>
      </w:r>
      <w:r w:rsidR="00FD2F87">
        <w:rPr>
          <w:rFonts w:cs="Arial"/>
          <w:i/>
          <w:snapToGrid w:val="0"/>
        </w:rPr>
        <w:t>4</w:t>
      </w:r>
    </w:p>
    <w:p w14:paraId="18283CAF" w14:textId="77777777" w:rsidR="00C263EC" w:rsidRDefault="00C263EC" w:rsidP="007D091E">
      <w:pPr>
        <w:pStyle w:val="ListParagraph"/>
        <w:numPr>
          <w:ilvl w:val="0"/>
          <w:numId w:val="13"/>
        </w:numPr>
        <w:rPr>
          <w:rFonts w:cs="Arial"/>
          <w:snapToGrid w:val="0"/>
        </w:rPr>
      </w:pPr>
      <w:r>
        <w:rPr>
          <w:rFonts w:cs="Arial"/>
          <w:snapToGrid w:val="0"/>
        </w:rPr>
        <w:t xml:space="preserve">The </w:t>
      </w:r>
      <w:r>
        <w:rPr>
          <w:rFonts w:cs="Arial"/>
          <w:i/>
          <w:snapToGrid w:val="0"/>
        </w:rPr>
        <w:t xml:space="preserve">Radio Regulations </w:t>
      </w:r>
      <w:r>
        <w:rPr>
          <w:rFonts w:cs="Arial"/>
          <w:snapToGrid w:val="0"/>
        </w:rPr>
        <w:t xml:space="preserve">of the </w:t>
      </w:r>
      <w:r w:rsidR="00CD6391">
        <w:rPr>
          <w:rFonts w:cs="Arial"/>
          <w:snapToGrid w:val="0"/>
        </w:rPr>
        <w:t>International Telecommunication Union (</w:t>
      </w:r>
      <w:r w:rsidR="00CD6391">
        <w:rPr>
          <w:rFonts w:cs="Arial"/>
          <w:b/>
          <w:snapToGrid w:val="0"/>
        </w:rPr>
        <w:t>ITU</w:t>
      </w:r>
      <w:r w:rsidR="00CD6391">
        <w:rPr>
          <w:rFonts w:cs="Arial"/>
          <w:snapToGrid w:val="0"/>
        </w:rPr>
        <w:t>)</w:t>
      </w:r>
    </w:p>
    <w:p w14:paraId="5AACC8A2" w14:textId="77777777" w:rsidR="00CD6391" w:rsidRDefault="00CD6391" w:rsidP="007D091E">
      <w:pPr>
        <w:pStyle w:val="ListParagraph"/>
        <w:numPr>
          <w:ilvl w:val="0"/>
          <w:numId w:val="13"/>
        </w:numPr>
        <w:rPr>
          <w:rFonts w:cs="Arial"/>
          <w:snapToGrid w:val="0"/>
        </w:rPr>
      </w:pPr>
      <w:r>
        <w:rPr>
          <w:rFonts w:cs="Arial"/>
          <w:snapToGrid w:val="0"/>
        </w:rPr>
        <w:t xml:space="preserve">The </w:t>
      </w:r>
      <w:r>
        <w:rPr>
          <w:rFonts w:cs="Arial"/>
          <w:i/>
          <w:snapToGrid w:val="0"/>
        </w:rPr>
        <w:t xml:space="preserve">ITU-R Recommendations </w:t>
      </w:r>
      <w:r>
        <w:rPr>
          <w:rFonts w:cs="Arial"/>
          <w:snapToGrid w:val="0"/>
        </w:rPr>
        <w:t>published by the ITU.</w:t>
      </w:r>
      <w:r>
        <w:rPr>
          <w:rStyle w:val="FootnoteReference"/>
          <w:rFonts w:cs="Arial"/>
          <w:snapToGrid w:val="0"/>
        </w:rPr>
        <w:footnoteReference w:id="1"/>
      </w:r>
    </w:p>
    <w:p w14:paraId="3199DE7F" w14:textId="77777777" w:rsidR="00FF33E4" w:rsidRDefault="00FF33E4" w:rsidP="007D091E">
      <w:pPr>
        <w:pStyle w:val="ListParagraph"/>
        <w:numPr>
          <w:ilvl w:val="0"/>
          <w:numId w:val="13"/>
        </w:numPr>
        <w:rPr>
          <w:rFonts w:cs="Arial"/>
          <w:snapToGrid w:val="0"/>
        </w:rPr>
      </w:pPr>
      <w:r>
        <w:rPr>
          <w:rFonts w:cs="Arial"/>
          <w:snapToGrid w:val="0"/>
        </w:rPr>
        <w:t xml:space="preserve">Procedural documents </w:t>
      </w:r>
      <w:r w:rsidR="00122D71">
        <w:rPr>
          <w:rFonts w:cs="Arial"/>
          <w:snapToGrid w:val="0"/>
        </w:rPr>
        <w:t xml:space="preserve">that meet the definition of any document published by the ACMA, setting out spectrum management objectives, or procedures to achieve those objectives, which that are relevant to the Instrument. Procedural documents include: </w:t>
      </w:r>
    </w:p>
    <w:p w14:paraId="76F97A56" w14:textId="77777777" w:rsidR="00BE1248" w:rsidRDefault="00BE1248" w:rsidP="00122D71">
      <w:pPr>
        <w:pStyle w:val="ListParagraph"/>
        <w:numPr>
          <w:ilvl w:val="1"/>
          <w:numId w:val="13"/>
        </w:numPr>
        <w:rPr>
          <w:rFonts w:cs="Arial"/>
          <w:snapToGrid w:val="0"/>
        </w:rPr>
      </w:pPr>
      <w:r>
        <w:rPr>
          <w:rFonts w:cs="Arial"/>
          <w:snapToGrid w:val="0"/>
        </w:rPr>
        <w:t>Radiocommunications Assignment and Licensing Instructions</w:t>
      </w:r>
    </w:p>
    <w:p w14:paraId="5BD72B07" w14:textId="77777777" w:rsidR="00BE1248" w:rsidRDefault="00BE1248" w:rsidP="00122D71">
      <w:pPr>
        <w:pStyle w:val="ListParagraph"/>
        <w:numPr>
          <w:ilvl w:val="1"/>
          <w:numId w:val="13"/>
        </w:numPr>
        <w:rPr>
          <w:rFonts w:cs="Arial"/>
          <w:snapToGrid w:val="0"/>
        </w:rPr>
      </w:pPr>
      <w:r>
        <w:rPr>
          <w:rFonts w:cs="Arial"/>
          <w:snapToGrid w:val="0"/>
        </w:rPr>
        <w:t>Policy Information Papers</w:t>
      </w:r>
    </w:p>
    <w:p w14:paraId="689A9A0F" w14:textId="77777777" w:rsidR="00BE1248" w:rsidRDefault="00BE1248" w:rsidP="00122D71">
      <w:pPr>
        <w:pStyle w:val="ListParagraph"/>
        <w:numPr>
          <w:ilvl w:val="1"/>
          <w:numId w:val="13"/>
        </w:numPr>
        <w:rPr>
          <w:rFonts w:cs="Arial"/>
          <w:snapToGrid w:val="0"/>
        </w:rPr>
      </w:pPr>
      <w:r>
        <w:rPr>
          <w:rFonts w:cs="Arial"/>
          <w:snapToGrid w:val="0"/>
        </w:rPr>
        <w:t>Business Operating Procedures</w:t>
      </w:r>
    </w:p>
    <w:p w14:paraId="0E152E95" w14:textId="77777777" w:rsidR="00FF33E4" w:rsidRDefault="00BE1248" w:rsidP="00122D71">
      <w:pPr>
        <w:pStyle w:val="ListParagraph"/>
        <w:numPr>
          <w:ilvl w:val="1"/>
          <w:numId w:val="13"/>
        </w:numPr>
        <w:rPr>
          <w:rFonts w:cs="Arial"/>
          <w:snapToGrid w:val="0"/>
        </w:rPr>
      </w:pPr>
      <w:r>
        <w:rPr>
          <w:rFonts w:cs="Arial"/>
          <w:snapToGrid w:val="0"/>
        </w:rPr>
        <w:t>Advisory Guidelines</w:t>
      </w:r>
    </w:p>
    <w:p w14:paraId="5DA8CAA4" w14:textId="77777777" w:rsidR="00AC1BBC" w:rsidRDefault="00AC1BBC" w:rsidP="00122D71">
      <w:pPr>
        <w:pStyle w:val="ListParagraph"/>
        <w:ind w:left="1440" w:hanging="360"/>
        <w:rPr>
          <w:rFonts w:cs="Arial"/>
          <w:snapToGrid w:val="0"/>
        </w:rPr>
      </w:pPr>
    </w:p>
    <w:p w14:paraId="2F72DE7B" w14:textId="77777777" w:rsidR="00AC1BBC" w:rsidRDefault="00AC1BBC" w:rsidP="00A06916">
      <w:pPr>
        <w:rPr>
          <w:rFonts w:ascii="Arial" w:eastAsia="Times New Roman" w:hAnsi="Arial" w:cs="Arial"/>
          <w:snapToGrid w:val="0"/>
          <w:sz w:val="20"/>
          <w:szCs w:val="20"/>
          <w:lang w:bidi="he-IL"/>
        </w:rPr>
      </w:pPr>
      <w:r>
        <w:rPr>
          <w:rFonts w:ascii="Arial" w:eastAsia="Times New Roman" w:hAnsi="Arial" w:cs="Arial"/>
          <w:snapToGrid w:val="0"/>
          <w:sz w:val="20"/>
          <w:szCs w:val="20"/>
          <w:lang w:bidi="he-IL"/>
        </w:rPr>
        <w:t xml:space="preserve">Legislative instruments mentioned can be found on the Australian Government’s ComLaw website at: </w:t>
      </w:r>
      <w:hyperlink r:id="rId13" w:history="1">
        <w:r w:rsidR="00D1530E" w:rsidRPr="001C4374">
          <w:rPr>
            <w:rStyle w:val="Hyperlink"/>
            <w:rFonts w:ascii="Arial" w:eastAsia="Times New Roman" w:hAnsi="Arial" w:cs="Arial"/>
            <w:snapToGrid w:val="0"/>
            <w:sz w:val="20"/>
            <w:szCs w:val="20"/>
            <w:lang w:bidi="he-IL"/>
          </w:rPr>
          <w:t>http://www.comlaw.gov.au/Home</w:t>
        </w:r>
      </w:hyperlink>
      <w:r w:rsidR="00D1530E">
        <w:rPr>
          <w:rFonts w:ascii="Arial" w:eastAsia="Times New Roman" w:hAnsi="Arial" w:cs="Arial"/>
          <w:snapToGrid w:val="0"/>
          <w:sz w:val="20"/>
          <w:szCs w:val="20"/>
          <w:lang w:bidi="he-IL"/>
        </w:rPr>
        <w:t>.</w:t>
      </w:r>
    </w:p>
    <w:p w14:paraId="64CDD38C" w14:textId="77777777" w:rsidR="00AC1BBC" w:rsidRDefault="00AC1BBC" w:rsidP="00FF33E4">
      <w:pPr>
        <w:rPr>
          <w:rFonts w:ascii="Arial" w:eastAsia="Times New Roman" w:hAnsi="Arial" w:cs="Arial"/>
          <w:snapToGrid w:val="0"/>
          <w:sz w:val="20"/>
          <w:szCs w:val="20"/>
          <w:lang w:bidi="he-IL"/>
        </w:rPr>
      </w:pPr>
      <w:r>
        <w:rPr>
          <w:rFonts w:ascii="Arial" w:eastAsia="Times New Roman" w:hAnsi="Arial" w:cs="Arial"/>
          <w:snapToGrid w:val="0"/>
          <w:sz w:val="20"/>
          <w:szCs w:val="20"/>
          <w:lang w:bidi="he-IL"/>
        </w:rPr>
        <w:t xml:space="preserve">The </w:t>
      </w:r>
      <w:r w:rsidRPr="00122D71">
        <w:rPr>
          <w:rFonts w:ascii="Arial" w:eastAsia="Times New Roman" w:hAnsi="Arial" w:cs="Arial"/>
          <w:i/>
          <w:snapToGrid w:val="0"/>
          <w:sz w:val="20"/>
          <w:szCs w:val="20"/>
          <w:lang w:bidi="he-IL"/>
        </w:rPr>
        <w:t>Radio Regulations</w:t>
      </w:r>
      <w:r>
        <w:rPr>
          <w:rFonts w:ascii="Arial" w:eastAsia="Times New Roman" w:hAnsi="Arial" w:cs="Arial"/>
          <w:snapToGrid w:val="0"/>
          <w:sz w:val="20"/>
          <w:szCs w:val="20"/>
          <w:lang w:bidi="he-IL"/>
        </w:rPr>
        <w:t xml:space="preserve"> and </w:t>
      </w:r>
      <w:r w:rsidRPr="00122D71">
        <w:rPr>
          <w:rFonts w:ascii="Arial" w:eastAsia="Times New Roman" w:hAnsi="Arial" w:cs="Arial"/>
          <w:i/>
          <w:snapToGrid w:val="0"/>
          <w:sz w:val="20"/>
          <w:szCs w:val="20"/>
          <w:lang w:bidi="he-IL"/>
        </w:rPr>
        <w:t>ITU-R Recommendations</w:t>
      </w:r>
      <w:r>
        <w:rPr>
          <w:rFonts w:ascii="Arial" w:eastAsia="Times New Roman" w:hAnsi="Arial" w:cs="Arial"/>
          <w:snapToGrid w:val="0"/>
          <w:sz w:val="20"/>
          <w:szCs w:val="20"/>
          <w:lang w:bidi="he-IL"/>
        </w:rPr>
        <w:t xml:space="preserve"> can be obtained on the International Telecommunication Union website at: </w:t>
      </w:r>
      <w:hyperlink r:id="rId14" w:history="1">
        <w:r w:rsidRPr="001C4374">
          <w:rPr>
            <w:rStyle w:val="Hyperlink"/>
            <w:rFonts w:ascii="Arial" w:eastAsia="Times New Roman" w:hAnsi="Arial" w:cs="Arial"/>
            <w:snapToGrid w:val="0"/>
            <w:sz w:val="20"/>
            <w:szCs w:val="20"/>
            <w:lang w:bidi="he-IL"/>
          </w:rPr>
          <w:t>http://www.itu.int/en/Pages/default.aspx</w:t>
        </w:r>
      </w:hyperlink>
      <w:r>
        <w:rPr>
          <w:rFonts w:ascii="Arial" w:eastAsia="Times New Roman" w:hAnsi="Arial" w:cs="Arial"/>
          <w:snapToGrid w:val="0"/>
          <w:sz w:val="20"/>
          <w:szCs w:val="20"/>
          <w:lang w:bidi="he-IL"/>
        </w:rPr>
        <w:t>.</w:t>
      </w:r>
    </w:p>
    <w:p w14:paraId="47398AE9" w14:textId="77777777" w:rsidR="00FF33E4" w:rsidRDefault="00FF33E4" w:rsidP="00FF33E4">
      <w:pPr>
        <w:rPr>
          <w:rFonts w:ascii="Arial" w:hAnsi="Arial" w:cs="Arial"/>
          <w:snapToGrid w:val="0"/>
          <w:sz w:val="20"/>
          <w:szCs w:val="20"/>
        </w:rPr>
      </w:pPr>
      <w:r>
        <w:rPr>
          <w:rFonts w:ascii="Arial" w:eastAsia="Times New Roman" w:hAnsi="Arial" w:cs="Arial"/>
          <w:snapToGrid w:val="0"/>
          <w:sz w:val="20"/>
          <w:szCs w:val="20"/>
          <w:lang w:bidi="he-IL"/>
        </w:rPr>
        <w:lastRenderedPageBreak/>
        <w:t xml:space="preserve">Procedural documents can be found on the ACMA’s website at: </w:t>
      </w:r>
      <w:hyperlink r:id="rId15" w:history="1">
        <w:r w:rsidR="00AC1BBC" w:rsidRPr="001C4374">
          <w:rPr>
            <w:rStyle w:val="Hyperlink"/>
            <w:rFonts w:ascii="Arial" w:hAnsi="Arial" w:cs="Arial"/>
            <w:snapToGrid w:val="0"/>
            <w:sz w:val="20"/>
            <w:szCs w:val="20"/>
          </w:rPr>
          <w:t>http://www.acma.gov.au/</w:t>
        </w:r>
      </w:hyperlink>
      <w:r>
        <w:rPr>
          <w:rFonts w:ascii="Arial" w:hAnsi="Arial" w:cs="Arial"/>
          <w:snapToGrid w:val="0"/>
          <w:sz w:val="20"/>
          <w:szCs w:val="20"/>
        </w:rPr>
        <w:t>.</w:t>
      </w:r>
    </w:p>
    <w:p w14:paraId="0592D973" w14:textId="77777777" w:rsidR="00A06916" w:rsidRDefault="00A06916" w:rsidP="00FF33E4">
      <w:pPr>
        <w:rPr>
          <w:rFonts w:ascii="Arial" w:hAnsi="Arial" w:cs="Arial"/>
          <w:snapToGrid w:val="0"/>
          <w:sz w:val="20"/>
          <w:szCs w:val="20"/>
        </w:rPr>
      </w:pPr>
    </w:p>
    <w:p w14:paraId="6DACCB38" w14:textId="77777777" w:rsidR="00624B13" w:rsidRPr="00DB73CD" w:rsidRDefault="00624B13" w:rsidP="0009706E">
      <w:pPr>
        <w:rPr>
          <w:rFonts w:ascii="Arial" w:hAnsi="Arial" w:cs="Arial"/>
          <w:b/>
          <w:snapToGrid w:val="0"/>
          <w:sz w:val="20"/>
          <w:szCs w:val="20"/>
        </w:rPr>
      </w:pPr>
      <w:r w:rsidRPr="00DB73CD">
        <w:rPr>
          <w:rFonts w:ascii="Arial" w:hAnsi="Arial" w:cs="Arial"/>
          <w:b/>
          <w:snapToGrid w:val="0"/>
          <w:sz w:val="20"/>
          <w:szCs w:val="20"/>
        </w:rPr>
        <w:t xml:space="preserve">Statement of Compatibility with Human Rights </w:t>
      </w:r>
    </w:p>
    <w:p w14:paraId="18FD1743" w14:textId="77777777" w:rsidR="007447CD" w:rsidRPr="00DB73CD" w:rsidRDefault="00EC63DF" w:rsidP="000D4A7E">
      <w:pPr>
        <w:pStyle w:val="ACMABodyText"/>
        <w:rPr>
          <w:rFonts w:ascii="Arial" w:hAnsi="Arial" w:cs="Arial"/>
          <w:sz w:val="20"/>
          <w:lang w:val="en-US"/>
        </w:rPr>
      </w:pPr>
      <w:r w:rsidRPr="00DB73CD">
        <w:rPr>
          <w:rFonts w:ascii="Arial" w:hAnsi="Arial" w:cs="Arial"/>
          <w:sz w:val="20"/>
        </w:rPr>
        <w:t xml:space="preserve">As required under </w:t>
      </w:r>
      <w:r w:rsidRPr="00DB73CD">
        <w:rPr>
          <w:rFonts w:ascii="Arial" w:hAnsi="Arial" w:cs="Arial"/>
          <w:sz w:val="20"/>
          <w:lang w:val="en-US"/>
        </w:rPr>
        <w:t xml:space="preserve">the </w:t>
      </w:r>
      <w:r w:rsidRPr="00DB73CD">
        <w:rPr>
          <w:rFonts w:ascii="Arial" w:hAnsi="Arial" w:cs="Arial"/>
          <w:i/>
          <w:sz w:val="20"/>
          <w:lang w:val="en-US"/>
        </w:rPr>
        <w:t>Human Rights (Parliamentary Scrutiny) Act 2011</w:t>
      </w:r>
      <w:r w:rsidR="00126B63">
        <w:rPr>
          <w:rFonts w:ascii="Arial" w:hAnsi="Arial" w:cs="Arial"/>
          <w:sz w:val="20"/>
          <w:lang w:val="en-US"/>
        </w:rPr>
        <w:t>,</w:t>
      </w:r>
      <w:r w:rsidRPr="00DB73CD">
        <w:rPr>
          <w:rFonts w:ascii="Arial" w:hAnsi="Arial" w:cs="Arial"/>
          <w:sz w:val="20"/>
          <w:lang w:val="en-US"/>
        </w:rPr>
        <w:t xml:space="preserve"> a </w:t>
      </w:r>
      <w:r w:rsidR="00126B63">
        <w:rPr>
          <w:rFonts w:ascii="Arial" w:hAnsi="Arial" w:cs="Arial"/>
          <w:sz w:val="20"/>
          <w:lang w:val="en-US"/>
        </w:rPr>
        <w:t xml:space="preserve">Statement of </w:t>
      </w:r>
      <w:r w:rsidR="00A268D6">
        <w:rPr>
          <w:rFonts w:ascii="Arial" w:hAnsi="Arial" w:cs="Arial"/>
          <w:sz w:val="20"/>
          <w:lang w:val="en-US"/>
        </w:rPr>
        <w:t>Compatibility</w:t>
      </w:r>
      <w:r w:rsidR="00126B63">
        <w:rPr>
          <w:rFonts w:ascii="Arial" w:hAnsi="Arial" w:cs="Arial"/>
          <w:sz w:val="20"/>
          <w:lang w:val="en-US"/>
        </w:rPr>
        <w:t xml:space="preserve"> with H</w:t>
      </w:r>
      <w:r w:rsidRPr="00DB73CD">
        <w:rPr>
          <w:rFonts w:ascii="Arial" w:hAnsi="Arial" w:cs="Arial"/>
          <w:sz w:val="20"/>
          <w:lang w:val="en-US"/>
        </w:rPr>
        <w:t xml:space="preserve">uman </w:t>
      </w:r>
      <w:r w:rsidR="00126B63">
        <w:rPr>
          <w:rFonts w:ascii="Arial" w:hAnsi="Arial" w:cs="Arial"/>
          <w:sz w:val="20"/>
          <w:lang w:val="en-US"/>
        </w:rPr>
        <w:t>R</w:t>
      </w:r>
      <w:r w:rsidRPr="00DB73CD">
        <w:rPr>
          <w:rFonts w:ascii="Arial" w:hAnsi="Arial" w:cs="Arial"/>
          <w:sz w:val="20"/>
          <w:lang w:val="en-US"/>
        </w:rPr>
        <w:t xml:space="preserve">ights </w:t>
      </w:r>
      <w:r w:rsidR="00126B63">
        <w:rPr>
          <w:rFonts w:ascii="Arial" w:hAnsi="Arial" w:cs="Arial"/>
          <w:sz w:val="20"/>
          <w:lang w:val="en-US"/>
        </w:rPr>
        <w:t>has</w:t>
      </w:r>
      <w:r w:rsidRPr="00DB73CD">
        <w:rPr>
          <w:rFonts w:ascii="Arial" w:hAnsi="Arial" w:cs="Arial"/>
          <w:sz w:val="20"/>
          <w:lang w:val="en-US"/>
        </w:rPr>
        <w:t xml:space="preserve"> been prepared by the ACMA and is attached</w:t>
      </w:r>
      <w:r w:rsidR="00126B63">
        <w:rPr>
          <w:rFonts w:ascii="Arial" w:hAnsi="Arial" w:cs="Arial"/>
          <w:sz w:val="20"/>
          <w:lang w:val="en-US"/>
        </w:rPr>
        <w:t xml:space="preserve"> as Attachment A</w:t>
      </w:r>
      <w:r w:rsidRPr="00DB73CD">
        <w:rPr>
          <w:rFonts w:ascii="Arial" w:hAnsi="Arial" w:cs="Arial"/>
          <w:sz w:val="20"/>
          <w:lang w:val="en-US"/>
        </w:rPr>
        <w:t>.</w:t>
      </w:r>
    </w:p>
    <w:p w14:paraId="407218D1" w14:textId="77777777" w:rsidR="00675C1D" w:rsidRPr="00DB73CD" w:rsidRDefault="00675C1D" w:rsidP="00862332">
      <w:pPr>
        <w:rPr>
          <w:rFonts w:ascii="Arial" w:hAnsi="Arial" w:cs="Arial"/>
          <w:sz w:val="20"/>
          <w:szCs w:val="20"/>
        </w:rPr>
      </w:pPr>
    </w:p>
    <w:p w14:paraId="742EDB98" w14:textId="77777777" w:rsidR="000D4A7E" w:rsidRPr="00DB73CD" w:rsidRDefault="00EC63DF" w:rsidP="00862332">
      <w:pPr>
        <w:rPr>
          <w:rFonts w:ascii="Arial" w:hAnsi="Arial" w:cs="Arial"/>
          <w:b/>
          <w:sz w:val="20"/>
          <w:szCs w:val="20"/>
        </w:rPr>
      </w:pPr>
      <w:r w:rsidRPr="00DB73CD">
        <w:rPr>
          <w:rFonts w:ascii="Arial" w:hAnsi="Arial" w:cs="Arial"/>
          <w:b/>
          <w:sz w:val="20"/>
          <w:szCs w:val="20"/>
        </w:rPr>
        <w:t>NOTES ON THE INSTRUMENT</w:t>
      </w:r>
    </w:p>
    <w:p w14:paraId="44AB55F9" w14:textId="77777777" w:rsidR="007179B6" w:rsidRPr="00DB73CD" w:rsidRDefault="00F03203" w:rsidP="0009706E">
      <w:pPr>
        <w:rPr>
          <w:rFonts w:ascii="Arial" w:hAnsi="Arial" w:cs="Arial"/>
          <w:b/>
          <w:sz w:val="20"/>
          <w:szCs w:val="20"/>
        </w:rPr>
      </w:pPr>
      <w:r w:rsidRPr="00DB73CD">
        <w:rPr>
          <w:rFonts w:ascii="Arial" w:hAnsi="Arial" w:cs="Arial"/>
          <w:b/>
          <w:sz w:val="20"/>
          <w:szCs w:val="20"/>
        </w:rPr>
        <w:t>Section 1</w:t>
      </w:r>
      <w:r w:rsidRPr="00DB73CD">
        <w:rPr>
          <w:rFonts w:ascii="Arial" w:hAnsi="Arial" w:cs="Arial"/>
          <w:b/>
          <w:sz w:val="20"/>
          <w:szCs w:val="20"/>
        </w:rPr>
        <w:tab/>
        <w:t xml:space="preserve">Name of </w:t>
      </w:r>
      <w:r w:rsidR="007D091E">
        <w:rPr>
          <w:rFonts w:ascii="Arial" w:hAnsi="Arial" w:cs="Arial"/>
          <w:b/>
          <w:sz w:val="20"/>
          <w:szCs w:val="20"/>
        </w:rPr>
        <w:t>Determination</w:t>
      </w:r>
    </w:p>
    <w:p w14:paraId="7C0DFFC1" w14:textId="77777777" w:rsidR="000F5A51" w:rsidRPr="00DB73CD" w:rsidRDefault="008F6804" w:rsidP="000F5A51">
      <w:pPr>
        <w:rPr>
          <w:rFonts w:ascii="Arial" w:hAnsi="Arial" w:cs="Arial"/>
          <w:i/>
          <w:sz w:val="20"/>
          <w:szCs w:val="20"/>
        </w:rPr>
      </w:pPr>
      <w:r w:rsidRPr="00DB73CD">
        <w:rPr>
          <w:rFonts w:ascii="Arial" w:hAnsi="Arial" w:cs="Arial"/>
          <w:sz w:val="20"/>
          <w:szCs w:val="20"/>
        </w:rPr>
        <w:t xml:space="preserve">Section 1 provides </w:t>
      </w:r>
      <w:r w:rsidR="00E51287" w:rsidRPr="00DB73CD">
        <w:rPr>
          <w:rFonts w:ascii="Arial" w:hAnsi="Arial" w:cs="Arial"/>
          <w:sz w:val="20"/>
          <w:szCs w:val="20"/>
        </w:rPr>
        <w:t xml:space="preserve">that </w:t>
      </w:r>
      <w:r w:rsidRPr="00DB73CD">
        <w:rPr>
          <w:rFonts w:ascii="Arial" w:hAnsi="Arial" w:cs="Arial"/>
          <w:sz w:val="20"/>
          <w:szCs w:val="20"/>
        </w:rPr>
        <w:t xml:space="preserve">the name of the </w:t>
      </w:r>
      <w:r w:rsidR="00126B63">
        <w:rPr>
          <w:rFonts w:ascii="Arial" w:hAnsi="Arial" w:cs="Arial"/>
          <w:sz w:val="20"/>
          <w:szCs w:val="20"/>
        </w:rPr>
        <w:t>I</w:t>
      </w:r>
      <w:r w:rsidRPr="00DB73CD">
        <w:rPr>
          <w:rFonts w:ascii="Arial" w:hAnsi="Arial" w:cs="Arial"/>
          <w:sz w:val="20"/>
          <w:szCs w:val="20"/>
        </w:rPr>
        <w:t xml:space="preserve">nstrument is the </w:t>
      </w:r>
      <w:r w:rsidR="000F5A51" w:rsidRPr="00DB73CD">
        <w:rPr>
          <w:rFonts w:ascii="Arial" w:hAnsi="Arial" w:cs="Arial"/>
          <w:i/>
          <w:sz w:val="20"/>
          <w:szCs w:val="20"/>
        </w:rPr>
        <w:t>Radiocommunications (</w:t>
      </w:r>
      <w:r w:rsidR="007D091E">
        <w:rPr>
          <w:rFonts w:ascii="Arial" w:hAnsi="Arial" w:cs="Arial"/>
          <w:i/>
          <w:sz w:val="20"/>
          <w:szCs w:val="20"/>
        </w:rPr>
        <w:t xml:space="preserve">Frequency Assignment </w:t>
      </w:r>
      <w:r w:rsidR="00126B63">
        <w:rPr>
          <w:rFonts w:ascii="Arial" w:hAnsi="Arial" w:cs="Arial"/>
          <w:i/>
          <w:sz w:val="20"/>
          <w:szCs w:val="20"/>
        </w:rPr>
        <w:t xml:space="preserve">Certificates) </w:t>
      </w:r>
      <w:r w:rsidR="007D091E">
        <w:rPr>
          <w:rFonts w:ascii="Arial" w:hAnsi="Arial" w:cs="Arial"/>
          <w:i/>
          <w:sz w:val="20"/>
          <w:szCs w:val="20"/>
        </w:rPr>
        <w:t xml:space="preserve">Determination </w:t>
      </w:r>
      <w:r w:rsidR="000F5A51" w:rsidRPr="00DB73CD">
        <w:rPr>
          <w:rFonts w:ascii="Arial" w:hAnsi="Arial" w:cs="Arial"/>
          <w:i/>
          <w:sz w:val="20"/>
          <w:szCs w:val="20"/>
        </w:rPr>
        <w:t>201</w:t>
      </w:r>
      <w:r w:rsidR="003C6608">
        <w:rPr>
          <w:rFonts w:ascii="Arial" w:hAnsi="Arial" w:cs="Arial"/>
          <w:i/>
          <w:sz w:val="20"/>
          <w:szCs w:val="20"/>
        </w:rPr>
        <w:t>4</w:t>
      </w:r>
      <w:r w:rsidR="00D83FC8" w:rsidRPr="00DB73CD">
        <w:rPr>
          <w:rFonts w:ascii="Arial" w:hAnsi="Arial" w:cs="Arial"/>
          <w:i/>
          <w:sz w:val="20"/>
          <w:szCs w:val="20"/>
        </w:rPr>
        <w:t>.</w:t>
      </w:r>
    </w:p>
    <w:p w14:paraId="40198833" w14:textId="77777777" w:rsidR="00F03203" w:rsidRPr="00DB73CD" w:rsidRDefault="00F03203" w:rsidP="0009706E">
      <w:pPr>
        <w:rPr>
          <w:rFonts w:ascii="Arial" w:hAnsi="Arial" w:cs="Arial"/>
          <w:b/>
          <w:sz w:val="20"/>
          <w:szCs w:val="20"/>
        </w:rPr>
      </w:pPr>
      <w:r w:rsidRPr="00DB73CD">
        <w:rPr>
          <w:rFonts w:ascii="Arial" w:hAnsi="Arial" w:cs="Arial"/>
          <w:b/>
          <w:sz w:val="20"/>
          <w:szCs w:val="20"/>
        </w:rPr>
        <w:t>Section 2</w:t>
      </w:r>
      <w:r w:rsidRPr="00DB73CD">
        <w:rPr>
          <w:rFonts w:ascii="Arial" w:hAnsi="Arial" w:cs="Arial"/>
          <w:b/>
          <w:sz w:val="20"/>
          <w:szCs w:val="20"/>
        </w:rPr>
        <w:tab/>
        <w:t xml:space="preserve">Commencement </w:t>
      </w:r>
    </w:p>
    <w:p w14:paraId="2E8AD463" w14:textId="77777777" w:rsidR="008F6804" w:rsidRPr="00DB73CD" w:rsidRDefault="00675C1D" w:rsidP="0009706E">
      <w:pPr>
        <w:rPr>
          <w:rFonts w:ascii="Arial" w:hAnsi="Arial" w:cs="Arial"/>
          <w:sz w:val="20"/>
          <w:szCs w:val="20"/>
        </w:rPr>
      </w:pPr>
      <w:r w:rsidRPr="00DB73CD">
        <w:rPr>
          <w:rFonts w:ascii="Arial" w:hAnsi="Arial" w:cs="Arial"/>
          <w:sz w:val="20"/>
          <w:szCs w:val="20"/>
        </w:rPr>
        <w:t xml:space="preserve">Section 2 provides that the </w:t>
      </w:r>
      <w:r w:rsidR="000D4A7E" w:rsidRPr="00DB73CD">
        <w:rPr>
          <w:rFonts w:ascii="Arial" w:hAnsi="Arial" w:cs="Arial"/>
          <w:sz w:val="20"/>
          <w:szCs w:val="20"/>
        </w:rPr>
        <w:t xml:space="preserve">Instrument </w:t>
      </w:r>
      <w:r w:rsidR="00D83FC8" w:rsidRPr="00DB73CD">
        <w:rPr>
          <w:rFonts w:ascii="Arial" w:hAnsi="Arial" w:cs="Arial"/>
          <w:sz w:val="20"/>
          <w:szCs w:val="20"/>
        </w:rPr>
        <w:t xml:space="preserve">commences </w:t>
      </w:r>
      <w:r w:rsidR="000D4A7E" w:rsidRPr="00DB73CD">
        <w:rPr>
          <w:rFonts w:ascii="Arial" w:hAnsi="Arial" w:cs="Arial"/>
          <w:sz w:val="20"/>
          <w:szCs w:val="20"/>
        </w:rPr>
        <w:t>on</w:t>
      </w:r>
      <w:r w:rsidR="00223F5C" w:rsidRPr="00DB73CD">
        <w:rPr>
          <w:rFonts w:ascii="Arial" w:hAnsi="Arial" w:cs="Arial"/>
          <w:sz w:val="20"/>
          <w:szCs w:val="20"/>
        </w:rPr>
        <w:t xml:space="preserve"> </w:t>
      </w:r>
      <w:r w:rsidR="007E0AA0">
        <w:rPr>
          <w:rFonts w:ascii="Arial" w:hAnsi="Arial" w:cs="Arial"/>
          <w:sz w:val="20"/>
          <w:szCs w:val="20"/>
        </w:rPr>
        <w:t>the day after it is registered on the Federal Register of Legislative Instruments.</w:t>
      </w:r>
      <w:r w:rsidR="00223F5C" w:rsidRPr="00DB73CD">
        <w:rPr>
          <w:rFonts w:ascii="Arial" w:hAnsi="Arial" w:cs="Arial"/>
          <w:sz w:val="20"/>
          <w:szCs w:val="20"/>
        </w:rPr>
        <w:t xml:space="preserve"> </w:t>
      </w:r>
      <w:r w:rsidR="000D4A7E" w:rsidRPr="00DB73CD">
        <w:rPr>
          <w:rFonts w:ascii="Arial" w:hAnsi="Arial" w:cs="Arial"/>
          <w:sz w:val="20"/>
          <w:szCs w:val="20"/>
        </w:rPr>
        <w:t xml:space="preserve"> </w:t>
      </w:r>
    </w:p>
    <w:p w14:paraId="1F0294DC" w14:textId="77777777" w:rsidR="00F03203" w:rsidRPr="00DB73CD" w:rsidRDefault="008F6804" w:rsidP="0009706E">
      <w:pPr>
        <w:rPr>
          <w:rFonts w:ascii="Arial" w:hAnsi="Arial" w:cs="Arial"/>
          <w:b/>
          <w:i/>
          <w:sz w:val="20"/>
          <w:szCs w:val="20"/>
        </w:rPr>
      </w:pPr>
      <w:r w:rsidRPr="00DB73CD">
        <w:rPr>
          <w:rFonts w:ascii="Arial" w:hAnsi="Arial" w:cs="Arial"/>
          <w:b/>
          <w:sz w:val="20"/>
          <w:szCs w:val="20"/>
        </w:rPr>
        <w:t>Section 3</w:t>
      </w:r>
      <w:r w:rsidRPr="00DB73CD">
        <w:rPr>
          <w:rFonts w:ascii="Arial" w:hAnsi="Arial" w:cs="Arial"/>
          <w:b/>
          <w:sz w:val="20"/>
          <w:szCs w:val="20"/>
        </w:rPr>
        <w:tab/>
      </w:r>
      <w:r w:rsidR="00A268D6">
        <w:rPr>
          <w:rFonts w:ascii="Arial" w:hAnsi="Arial" w:cs="Arial"/>
          <w:b/>
          <w:sz w:val="20"/>
          <w:szCs w:val="20"/>
        </w:rPr>
        <w:t xml:space="preserve">Revocation of previous </w:t>
      </w:r>
      <w:r w:rsidR="007D091E">
        <w:rPr>
          <w:rFonts w:ascii="Arial" w:hAnsi="Arial" w:cs="Arial"/>
          <w:b/>
          <w:sz w:val="20"/>
          <w:szCs w:val="20"/>
        </w:rPr>
        <w:t>Determination</w:t>
      </w:r>
      <w:r w:rsidRPr="00DB73CD">
        <w:rPr>
          <w:rFonts w:ascii="Arial" w:hAnsi="Arial" w:cs="Arial"/>
          <w:b/>
          <w:sz w:val="20"/>
          <w:szCs w:val="20"/>
        </w:rPr>
        <w:t xml:space="preserve"> </w:t>
      </w:r>
    </w:p>
    <w:p w14:paraId="41158CEB" w14:textId="77777777" w:rsidR="00D83FC8" w:rsidRPr="00DB73CD" w:rsidRDefault="00675C1D" w:rsidP="0009706E">
      <w:pPr>
        <w:rPr>
          <w:rFonts w:ascii="Arial" w:hAnsi="Arial" w:cs="Arial"/>
          <w:i/>
          <w:sz w:val="20"/>
          <w:szCs w:val="20"/>
        </w:rPr>
      </w:pPr>
      <w:r w:rsidRPr="00DB73CD">
        <w:rPr>
          <w:rFonts w:ascii="Arial" w:hAnsi="Arial" w:cs="Arial"/>
          <w:sz w:val="20"/>
          <w:szCs w:val="20"/>
        </w:rPr>
        <w:t xml:space="preserve">Section 3 provides that </w:t>
      </w:r>
      <w:r w:rsidR="00A268D6">
        <w:rPr>
          <w:rFonts w:ascii="Arial" w:hAnsi="Arial" w:cs="Arial"/>
          <w:sz w:val="20"/>
          <w:szCs w:val="20"/>
        </w:rPr>
        <w:t>the 2003 Instrument is revoked.</w:t>
      </w:r>
      <w:r w:rsidR="00223F5C" w:rsidRPr="00DB73CD">
        <w:rPr>
          <w:rFonts w:ascii="Arial" w:hAnsi="Arial" w:cs="Arial"/>
          <w:sz w:val="20"/>
          <w:szCs w:val="20"/>
        </w:rPr>
        <w:t xml:space="preserve"> </w:t>
      </w:r>
    </w:p>
    <w:p w14:paraId="72CBFAC5" w14:textId="77777777" w:rsidR="008F6804" w:rsidRPr="00DB73CD" w:rsidRDefault="008F6804" w:rsidP="0009706E">
      <w:pPr>
        <w:rPr>
          <w:rFonts w:ascii="Arial" w:hAnsi="Arial" w:cs="Arial"/>
          <w:b/>
          <w:sz w:val="20"/>
          <w:szCs w:val="20"/>
        </w:rPr>
      </w:pPr>
      <w:r w:rsidRPr="00DB73CD">
        <w:rPr>
          <w:rFonts w:ascii="Arial" w:hAnsi="Arial" w:cs="Arial"/>
          <w:b/>
          <w:sz w:val="20"/>
          <w:szCs w:val="20"/>
        </w:rPr>
        <w:t>S</w:t>
      </w:r>
      <w:r w:rsidR="00A268D6">
        <w:rPr>
          <w:rFonts w:ascii="Arial" w:hAnsi="Arial" w:cs="Arial"/>
          <w:b/>
          <w:sz w:val="20"/>
          <w:szCs w:val="20"/>
        </w:rPr>
        <w:t>ection 4</w:t>
      </w:r>
      <w:r w:rsidR="00675C1D" w:rsidRPr="00DB73CD">
        <w:rPr>
          <w:rFonts w:ascii="Arial" w:hAnsi="Arial" w:cs="Arial"/>
          <w:b/>
          <w:sz w:val="20"/>
          <w:szCs w:val="20"/>
        </w:rPr>
        <w:tab/>
      </w:r>
      <w:r w:rsidR="00A268D6">
        <w:rPr>
          <w:rFonts w:ascii="Arial" w:hAnsi="Arial" w:cs="Arial"/>
          <w:b/>
          <w:sz w:val="20"/>
          <w:szCs w:val="20"/>
        </w:rPr>
        <w:t>Interpretation</w:t>
      </w:r>
    </w:p>
    <w:p w14:paraId="16604AE2" w14:textId="77777777" w:rsidR="00A268D6" w:rsidRDefault="00A268D6">
      <w:pPr>
        <w:rPr>
          <w:rFonts w:ascii="Arial" w:hAnsi="Arial" w:cs="Arial"/>
          <w:sz w:val="20"/>
          <w:szCs w:val="20"/>
        </w:rPr>
      </w:pPr>
      <w:r>
        <w:rPr>
          <w:rFonts w:ascii="Arial" w:hAnsi="Arial" w:cs="Arial"/>
          <w:sz w:val="20"/>
          <w:szCs w:val="20"/>
        </w:rPr>
        <w:t>Section 4 defines various terms which are used in the Instrument.</w:t>
      </w:r>
    </w:p>
    <w:p w14:paraId="07258890" w14:textId="77777777" w:rsidR="00A268D6" w:rsidRDefault="00A268D6">
      <w:pPr>
        <w:rPr>
          <w:rFonts w:ascii="Arial" w:hAnsi="Arial" w:cs="Arial"/>
          <w:b/>
          <w:sz w:val="20"/>
          <w:szCs w:val="20"/>
        </w:rPr>
      </w:pPr>
      <w:r>
        <w:rPr>
          <w:rFonts w:ascii="Arial" w:hAnsi="Arial" w:cs="Arial"/>
          <w:b/>
          <w:sz w:val="20"/>
          <w:szCs w:val="20"/>
        </w:rPr>
        <w:t>Section 5</w:t>
      </w:r>
      <w:r>
        <w:rPr>
          <w:rFonts w:ascii="Arial" w:hAnsi="Arial" w:cs="Arial"/>
          <w:b/>
          <w:sz w:val="20"/>
          <w:szCs w:val="20"/>
        </w:rPr>
        <w:tab/>
      </w:r>
      <w:r w:rsidR="007D091E">
        <w:rPr>
          <w:rFonts w:ascii="Arial" w:hAnsi="Arial" w:cs="Arial"/>
          <w:b/>
          <w:sz w:val="20"/>
          <w:szCs w:val="20"/>
        </w:rPr>
        <w:t>Conditions to be met before certificates are issued</w:t>
      </w:r>
    </w:p>
    <w:p w14:paraId="45F4A23A" w14:textId="77777777" w:rsidR="00C263EC" w:rsidRDefault="00A268D6">
      <w:pPr>
        <w:rPr>
          <w:rFonts w:ascii="Arial" w:hAnsi="Arial" w:cs="Arial"/>
          <w:sz w:val="20"/>
          <w:szCs w:val="20"/>
        </w:rPr>
      </w:pPr>
      <w:r>
        <w:rPr>
          <w:rFonts w:ascii="Arial" w:hAnsi="Arial" w:cs="Arial"/>
          <w:sz w:val="20"/>
          <w:szCs w:val="20"/>
        </w:rPr>
        <w:t xml:space="preserve">Section 5 provides </w:t>
      </w:r>
      <w:r w:rsidR="00C263EC">
        <w:rPr>
          <w:rFonts w:ascii="Arial" w:hAnsi="Arial" w:cs="Arial"/>
          <w:sz w:val="20"/>
          <w:szCs w:val="20"/>
        </w:rPr>
        <w:t>for certain matters that affect when and how a FAC may be issued. For example:</w:t>
      </w:r>
    </w:p>
    <w:p w14:paraId="55006176" w14:textId="77777777" w:rsidR="00C263EC" w:rsidRDefault="00C263EC" w:rsidP="00A268D6">
      <w:pPr>
        <w:pStyle w:val="ListParagraph"/>
        <w:numPr>
          <w:ilvl w:val="0"/>
          <w:numId w:val="11"/>
        </w:numPr>
        <w:rPr>
          <w:rFonts w:cs="Arial"/>
        </w:rPr>
      </w:pPr>
      <w:r>
        <w:rPr>
          <w:rFonts w:cs="Arial"/>
        </w:rPr>
        <w:t xml:space="preserve">The FAC must be consistent with the </w:t>
      </w:r>
      <w:r w:rsidR="00A44C19">
        <w:rPr>
          <w:rFonts w:cs="Arial"/>
        </w:rPr>
        <w:t xml:space="preserve">Act, spectrum plan, </w:t>
      </w:r>
      <w:r>
        <w:rPr>
          <w:rFonts w:cs="Arial"/>
        </w:rPr>
        <w:t xml:space="preserve">relevant </w:t>
      </w:r>
      <w:r w:rsidR="005615E4">
        <w:rPr>
          <w:rFonts w:cs="Arial"/>
        </w:rPr>
        <w:t xml:space="preserve">frequency </w:t>
      </w:r>
      <w:r>
        <w:rPr>
          <w:rFonts w:cs="Arial"/>
        </w:rPr>
        <w:t>band plans</w:t>
      </w:r>
      <w:r w:rsidR="00CD6391">
        <w:rPr>
          <w:rFonts w:cs="Arial"/>
        </w:rPr>
        <w:t xml:space="preserve"> and with any procedural documents issued by the ACMA such as </w:t>
      </w:r>
      <w:r w:rsidR="009B56DE">
        <w:rPr>
          <w:rFonts w:cs="Arial"/>
        </w:rPr>
        <w:t>Radiocommunications</w:t>
      </w:r>
      <w:r w:rsidR="00CD6391">
        <w:rPr>
          <w:rFonts w:cs="Arial"/>
        </w:rPr>
        <w:t xml:space="preserve"> Assignment and Licensing Instructions.</w:t>
      </w:r>
    </w:p>
    <w:p w14:paraId="0AA7D645" w14:textId="77777777" w:rsidR="00A268D6" w:rsidRDefault="00C263EC" w:rsidP="00A268D6">
      <w:pPr>
        <w:pStyle w:val="ListParagraph"/>
        <w:numPr>
          <w:ilvl w:val="0"/>
          <w:numId w:val="11"/>
        </w:numPr>
        <w:rPr>
          <w:rFonts w:cs="Arial"/>
        </w:rPr>
      </w:pPr>
      <w:r>
        <w:rPr>
          <w:rFonts w:cs="Arial"/>
        </w:rPr>
        <w:t xml:space="preserve">The accredited person who is issuing the certificate must believe on reasonable grounds that the radiocommunications device to which the certificate relates is </w:t>
      </w:r>
      <w:r w:rsidR="009B56DE">
        <w:rPr>
          <w:rFonts w:cs="Arial"/>
        </w:rPr>
        <w:t>one</w:t>
      </w:r>
      <w:r>
        <w:rPr>
          <w:rFonts w:cs="Arial"/>
        </w:rPr>
        <w:t xml:space="preserve"> for which the ACMA would issue an apparatus licence for operation of the device on the terms set out in the certificate as to frequency, constancy, location and technical conditions.</w:t>
      </w:r>
    </w:p>
    <w:p w14:paraId="63D3C5D8" w14:textId="77777777" w:rsidR="00CD6391" w:rsidRDefault="00C263EC" w:rsidP="00A268D6">
      <w:pPr>
        <w:pStyle w:val="ListParagraph"/>
        <w:numPr>
          <w:ilvl w:val="0"/>
          <w:numId w:val="11"/>
        </w:numPr>
        <w:rPr>
          <w:rFonts w:cs="Arial"/>
        </w:rPr>
      </w:pPr>
      <w:r>
        <w:rPr>
          <w:rFonts w:cs="Arial"/>
        </w:rPr>
        <w:t xml:space="preserve">The accredited person must have regard to specified matters including whether there would be an adverse effect on licensed radiocommunications because of the proposed operation of the device to which the </w:t>
      </w:r>
      <w:r w:rsidR="00A268D6">
        <w:rPr>
          <w:rFonts w:cs="Arial"/>
        </w:rPr>
        <w:t>certificate</w:t>
      </w:r>
      <w:r w:rsidR="00CD6391">
        <w:rPr>
          <w:rFonts w:cs="Arial"/>
        </w:rPr>
        <w:t xml:space="preserve"> relates.</w:t>
      </w:r>
    </w:p>
    <w:p w14:paraId="4E59D2D3" w14:textId="77777777" w:rsidR="00A268D6" w:rsidRPr="00DB5A01" w:rsidRDefault="00DB5A01" w:rsidP="00A268D6">
      <w:pPr>
        <w:pStyle w:val="ListParagraph"/>
        <w:numPr>
          <w:ilvl w:val="0"/>
          <w:numId w:val="11"/>
        </w:numPr>
        <w:rPr>
          <w:rFonts w:cs="Arial"/>
        </w:rPr>
      </w:pPr>
      <w:r w:rsidRPr="00DB5A01">
        <w:rPr>
          <w:rFonts w:cs="Arial"/>
        </w:rPr>
        <w:t xml:space="preserve">The accredited person must first consult with the ACMA before issuing the certificate in particular circumstances such as when, for example, the accredited person believes that the device may fall within the “special circumstances” </w:t>
      </w:r>
      <w:r w:rsidR="008034A0">
        <w:rPr>
          <w:rFonts w:cs="Arial"/>
        </w:rPr>
        <w:t>set out in paragraph 105(2)(b), 153P(2)(</w:t>
      </w:r>
      <w:r w:rsidR="00BA3DF2">
        <w:rPr>
          <w:rFonts w:cs="Arial"/>
        </w:rPr>
        <w:t>e</w:t>
      </w:r>
      <w:r w:rsidR="008034A0">
        <w:rPr>
          <w:rFonts w:cs="Arial"/>
        </w:rPr>
        <w:t xml:space="preserve">) or 153P(3)(d) of the Act. </w:t>
      </w:r>
    </w:p>
    <w:p w14:paraId="66F9BCF2" w14:textId="77777777" w:rsidR="005F34DE" w:rsidRDefault="005F34DE" w:rsidP="005F34DE">
      <w:pPr>
        <w:rPr>
          <w:rFonts w:ascii="Arial" w:hAnsi="Arial" w:cs="Arial"/>
          <w:b/>
          <w:sz w:val="20"/>
          <w:szCs w:val="20"/>
        </w:rPr>
      </w:pPr>
    </w:p>
    <w:p w14:paraId="15D27705" w14:textId="77777777" w:rsidR="005F34DE" w:rsidRPr="005F34DE" w:rsidRDefault="005F34DE" w:rsidP="005F34DE">
      <w:pPr>
        <w:rPr>
          <w:rFonts w:ascii="Arial" w:hAnsi="Arial" w:cs="Arial"/>
          <w:b/>
          <w:sz w:val="20"/>
          <w:szCs w:val="20"/>
        </w:rPr>
      </w:pPr>
      <w:r w:rsidRPr="005F34DE">
        <w:rPr>
          <w:rFonts w:ascii="Arial" w:hAnsi="Arial" w:cs="Arial"/>
          <w:b/>
          <w:sz w:val="20"/>
          <w:szCs w:val="20"/>
        </w:rPr>
        <w:t>Section 6</w:t>
      </w:r>
      <w:r>
        <w:rPr>
          <w:rFonts w:ascii="Arial" w:hAnsi="Arial" w:cs="Arial"/>
          <w:b/>
          <w:sz w:val="20"/>
          <w:szCs w:val="20"/>
        </w:rPr>
        <w:tab/>
      </w:r>
      <w:r w:rsidR="00DB5A01">
        <w:rPr>
          <w:rFonts w:ascii="Arial" w:hAnsi="Arial" w:cs="Arial"/>
          <w:b/>
          <w:sz w:val="20"/>
          <w:szCs w:val="20"/>
        </w:rPr>
        <w:t>Certification in circumstances in which conditions are met</w:t>
      </w:r>
      <w:r>
        <w:rPr>
          <w:rFonts w:ascii="Arial" w:hAnsi="Arial" w:cs="Arial"/>
          <w:b/>
          <w:sz w:val="20"/>
          <w:szCs w:val="20"/>
        </w:rPr>
        <w:tab/>
      </w:r>
    </w:p>
    <w:p w14:paraId="462CABE5" w14:textId="77777777" w:rsidR="006110FC" w:rsidRDefault="005F34DE">
      <w:pPr>
        <w:rPr>
          <w:rFonts w:ascii="Arial" w:hAnsi="Arial" w:cs="Arial"/>
          <w:sz w:val="20"/>
          <w:szCs w:val="20"/>
        </w:rPr>
      </w:pPr>
      <w:r>
        <w:rPr>
          <w:rFonts w:ascii="Arial" w:hAnsi="Arial" w:cs="Arial"/>
          <w:sz w:val="20"/>
          <w:szCs w:val="20"/>
        </w:rPr>
        <w:t xml:space="preserve">Section 6 </w:t>
      </w:r>
      <w:r w:rsidR="006110FC">
        <w:rPr>
          <w:rFonts w:ascii="Arial" w:hAnsi="Arial" w:cs="Arial"/>
          <w:sz w:val="20"/>
          <w:szCs w:val="20"/>
        </w:rPr>
        <w:t xml:space="preserve">requires the accredited person to </w:t>
      </w:r>
      <w:r w:rsidR="005615E4">
        <w:rPr>
          <w:rFonts w:ascii="Arial" w:hAnsi="Arial" w:cs="Arial"/>
          <w:sz w:val="20"/>
          <w:szCs w:val="20"/>
        </w:rPr>
        <w:t>state</w:t>
      </w:r>
      <w:r w:rsidR="006110FC">
        <w:rPr>
          <w:rFonts w:ascii="Arial" w:hAnsi="Arial" w:cs="Arial"/>
          <w:sz w:val="20"/>
          <w:szCs w:val="20"/>
        </w:rPr>
        <w:t xml:space="preserve"> in </w:t>
      </w:r>
      <w:r w:rsidR="009B56DE">
        <w:rPr>
          <w:rFonts w:ascii="Arial" w:hAnsi="Arial" w:cs="Arial"/>
          <w:sz w:val="20"/>
          <w:szCs w:val="20"/>
        </w:rPr>
        <w:t>each</w:t>
      </w:r>
      <w:r w:rsidR="006110FC">
        <w:rPr>
          <w:rFonts w:ascii="Arial" w:hAnsi="Arial" w:cs="Arial"/>
          <w:sz w:val="20"/>
          <w:szCs w:val="20"/>
        </w:rPr>
        <w:t xml:space="preserve"> certificate that they issue that:</w:t>
      </w:r>
    </w:p>
    <w:p w14:paraId="3ACB490F" w14:textId="77777777" w:rsidR="006110FC" w:rsidRDefault="006110FC" w:rsidP="006110FC">
      <w:pPr>
        <w:pStyle w:val="ListParagraph"/>
        <w:numPr>
          <w:ilvl w:val="0"/>
          <w:numId w:val="14"/>
        </w:numPr>
        <w:rPr>
          <w:rFonts w:cs="Arial"/>
        </w:rPr>
      </w:pPr>
      <w:r w:rsidRPr="006110FC">
        <w:rPr>
          <w:rFonts w:cs="Arial"/>
        </w:rPr>
        <w:t>the operation of the relevant device will satisfy relevant conditions that are applicable under section 5</w:t>
      </w:r>
      <w:r>
        <w:rPr>
          <w:rFonts w:cs="Arial"/>
        </w:rPr>
        <w:t>;</w:t>
      </w:r>
      <w:r w:rsidRPr="006110FC">
        <w:rPr>
          <w:rFonts w:cs="Arial"/>
        </w:rPr>
        <w:t xml:space="preserve"> and</w:t>
      </w:r>
    </w:p>
    <w:p w14:paraId="23BE8843" w14:textId="77777777" w:rsidR="006110FC" w:rsidRDefault="006110FC" w:rsidP="006110FC">
      <w:pPr>
        <w:pStyle w:val="ListParagraph"/>
        <w:numPr>
          <w:ilvl w:val="0"/>
          <w:numId w:val="14"/>
        </w:numPr>
        <w:rPr>
          <w:rFonts w:cs="Arial"/>
        </w:rPr>
      </w:pPr>
      <w:r w:rsidRPr="006110FC">
        <w:rPr>
          <w:rFonts w:cs="Arial"/>
        </w:rPr>
        <w:t>they reasonably believe that the device is one for which the ACMA would issue an apparatus licence.</w:t>
      </w:r>
    </w:p>
    <w:p w14:paraId="5F7E3493" w14:textId="77777777" w:rsidR="00075DD9" w:rsidRPr="006110FC" w:rsidRDefault="00075DD9" w:rsidP="006110FC">
      <w:pPr>
        <w:pStyle w:val="ListParagraph"/>
        <w:rPr>
          <w:rFonts w:cs="Arial"/>
        </w:rPr>
      </w:pPr>
    </w:p>
    <w:p w14:paraId="07B3DB20" w14:textId="77777777" w:rsidR="005F34DE" w:rsidRPr="005F34DE" w:rsidRDefault="005F34DE" w:rsidP="006C1540">
      <w:pPr>
        <w:keepNext/>
        <w:keepLines/>
        <w:rPr>
          <w:rFonts w:ascii="Arial" w:hAnsi="Arial" w:cs="Arial"/>
          <w:b/>
          <w:sz w:val="20"/>
          <w:szCs w:val="20"/>
        </w:rPr>
      </w:pPr>
      <w:r w:rsidRPr="005F34DE">
        <w:rPr>
          <w:rFonts w:ascii="Arial" w:hAnsi="Arial" w:cs="Arial"/>
          <w:b/>
          <w:sz w:val="20"/>
          <w:szCs w:val="20"/>
        </w:rPr>
        <w:t>Section 7</w:t>
      </w:r>
      <w:r w:rsidRPr="005F34DE">
        <w:rPr>
          <w:rFonts w:ascii="Arial" w:hAnsi="Arial" w:cs="Arial"/>
          <w:b/>
          <w:sz w:val="20"/>
          <w:szCs w:val="20"/>
        </w:rPr>
        <w:tab/>
      </w:r>
      <w:r w:rsidR="006110FC">
        <w:rPr>
          <w:rFonts w:ascii="Arial" w:hAnsi="Arial" w:cs="Arial"/>
          <w:b/>
          <w:sz w:val="20"/>
          <w:szCs w:val="20"/>
        </w:rPr>
        <w:t>Certificates not to include false or misleading statements</w:t>
      </w:r>
    </w:p>
    <w:p w14:paraId="19EA076F" w14:textId="77777777" w:rsidR="00C51748" w:rsidRDefault="005F34DE" w:rsidP="006C1540">
      <w:pPr>
        <w:keepNext/>
        <w:keepLines/>
        <w:rPr>
          <w:rFonts w:ascii="Arial" w:hAnsi="Arial" w:cs="Arial"/>
          <w:sz w:val="20"/>
          <w:szCs w:val="20"/>
        </w:rPr>
      </w:pPr>
      <w:r>
        <w:rPr>
          <w:rFonts w:ascii="Arial" w:hAnsi="Arial" w:cs="Arial"/>
          <w:sz w:val="20"/>
          <w:szCs w:val="20"/>
        </w:rPr>
        <w:t xml:space="preserve">Section 7 </w:t>
      </w:r>
      <w:r w:rsidR="006110FC">
        <w:rPr>
          <w:rFonts w:ascii="Arial" w:hAnsi="Arial" w:cs="Arial"/>
          <w:sz w:val="20"/>
          <w:szCs w:val="20"/>
        </w:rPr>
        <w:t>prohibits the issue of a certificate that includes false or misleading statements.</w:t>
      </w:r>
    </w:p>
    <w:p w14:paraId="422BF8A1" w14:textId="77777777" w:rsidR="00C51748" w:rsidRDefault="00C51748">
      <w:pPr>
        <w:rPr>
          <w:rFonts w:ascii="Arial" w:hAnsi="Arial" w:cs="Arial"/>
          <w:b/>
          <w:sz w:val="20"/>
          <w:szCs w:val="20"/>
        </w:rPr>
      </w:pPr>
      <w:r>
        <w:rPr>
          <w:rFonts w:ascii="Arial" w:hAnsi="Arial" w:cs="Arial"/>
          <w:b/>
          <w:sz w:val="20"/>
          <w:szCs w:val="20"/>
        </w:rPr>
        <w:t>Section 8</w:t>
      </w:r>
      <w:r>
        <w:rPr>
          <w:rFonts w:ascii="Arial" w:hAnsi="Arial" w:cs="Arial"/>
          <w:b/>
          <w:sz w:val="20"/>
          <w:szCs w:val="20"/>
        </w:rPr>
        <w:tab/>
      </w:r>
      <w:r w:rsidR="006110FC">
        <w:rPr>
          <w:rFonts w:ascii="Arial" w:hAnsi="Arial" w:cs="Arial"/>
          <w:b/>
          <w:sz w:val="20"/>
          <w:szCs w:val="20"/>
        </w:rPr>
        <w:t>Records to be kept</w:t>
      </w:r>
    </w:p>
    <w:p w14:paraId="2BEE0105" w14:textId="77777777" w:rsidR="006110FC" w:rsidRDefault="00C51748">
      <w:pPr>
        <w:rPr>
          <w:rFonts w:ascii="Arial" w:hAnsi="Arial" w:cs="Arial"/>
          <w:sz w:val="20"/>
          <w:szCs w:val="20"/>
        </w:rPr>
      </w:pPr>
      <w:r>
        <w:rPr>
          <w:rFonts w:ascii="Arial" w:hAnsi="Arial" w:cs="Arial"/>
          <w:sz w:val="20"/>
          <w:szCs w:val="20"/>
        </w:rPr>
        <w:t>S</w:t>
      </w:r>
      <w:r w:rsidR="006110FC">
        <w:rPr>
          <w:rFonts w:ascii="Arial" w:hAnsi="Arial" w:cs="Arial"/>
          <w:sz w:val="20"/>
          <w:szCs w:val="20"/>
        </w:rPr>
        <w:t>ection 8 requires the accredited person to keep certain records about each certificate they issue for 5 years and to make them available to the ACMA upon request. The records are:</w:t>
      </w:r>
    </w:p>
    <w:p w14:paraId="64A9F00F" w14:textId="77777777" w:rsidR="006110FC" w:rsidRDefault="00C51748" w:rsidP="00C51748">
      <w:pPr>
        <w:pStyle w:val="ListParagraph"/>
        <w:numPr>
          <w:ilvl w:val="0"/>
          <w:numId w:val="12"/>
        </w:numPr>
        <w:rPr>
          <w:rFonts w:cs="Arial"/>
        </w:rPr>
      </w:pPr>
      <w:r>
        <w:rPr>
          <w:rFonts w:cs="Arial"/>
        </w:rPr>
        <w:t>t</w:t>
      </w:r>
      <w:r w:rsidR="006110FC">
        <w:rPr>
          <w:rFonts w:cs="Arial"/>
        </w:rPr>
        <w:t>he interference management criteria used in issuing the certificate;</w:t>
      </w:r>
    </w:p>
    <w:p w14:paraId="666B6815" w14:textId="77777777" w:rsidR="00C51748" w:rsidRDefault="006110FC" w:rsidP="00C51748">
      <w:pPr>
        <w:pStyle w:val="ListParagraph"/>
        <w:numPr>
          <w:ilvl w:val="0"/>
          <w:numId w:val="12"/>
        </w:numPr>
        <w:rPr>
          <w:rFonts w:cs="Arial"/>
        </w:rPr>
      </w:pPr>
      <w:r>
        <w:rPr>
          <w:rFonts w:cs="Arial"/>
        </w:rPr>
        <w:t>the method used to apply those criteria; and</w:t>
      </w:r>
    </w:p>
    <w:p w14:paraId="4184D867" w14:textId="77777777" w:rsidR="00C51748" w:rsidRDefault="009B56DE" w:rsidP="00C51748">
      <w:pPr>
        <w:pStyle w:val="ListParagraph"/>
        <w:numPr>
          <w:ilvl w:val="0"/>
          <w:numId w:val="12"/>
        </w:numPr>
        <w:rPr>
          <w:rFonts w:cs="Arial"/>
        </w:rPr>
      </w:pPr>
      <w:r>
        <w:rPr>
          <w:rFonts w:cs="Arial"/>
        </w:rPr>
        <w:t>the</w:t>
      </w:r>
      <w:r w:rsidR="00254377" w:rsidRPr="00254377">
        <w:rPr>
          <w:rFonts w:cs="Arial"/>
        </w:rPr>
        <w:t xml:space="preserve"> rationale for the use of the criteria and the method.</w:t>
      </w:r>
    </w:p>
    <w:p w14:paraId="206EBB0A" w14:textId="77777777" w:rsidR="00254377" w:rsidRPr="00254377" w:rsidRDefault="00254377" w:rsidP="00254377">
      <w:pPr>
        <w:pStyle w:val="ListParagraph"/>
        <w:rPr>
          <w:rFonts w:cs="Arial"/>
        </w:rPr>
      </w:pPr>
    </w:p>
    <w:p w14:paraId="530A3D62" w14:textId="77777777" w:rsidR="00075DD9" w:rsidRPr="00DB73CD" w:rsidRDefault="00C51748">
      <w:pPr>
        <w:rPr>
          <w:rFonts w:ascii="Arial" w:hAnsi="Arial" w:cs="Arial"/>
          <w:sz w:val="20"/>
          <w:szCs w:val="20"/>
        </w:rPr>
      </w:pPr>
      <w:r>
        <w:rPr>
          <w:rFonts w:ascii="Arial" w:hAnsi="Arial" w:cs="Arial"/>
          <w:b/>
          <w:sz w:val="20"/>
          <w:szCs w:val="20"/>
        </w:rPr>
        <w:t>Section 9</w:t>
      </w:r>
      <w:r w:rsidR="00167597">
        <w:rPr>
          <w:rFonts w:ascii="Arial" w:hAnsi="Arial" w:cs="Arial"/>
          <w:b/>
          <w:sz w:val="20"/>
          <w:szCs w:val="20"/>
        </w:rPr>
        <w:tab/>
      </w:r>
      <w:r w:rsidR="006110FC">
        <w:rPr>
          <w:rFonts w:ascii="Arial" w:hAnsi="Arial" w:cs="Arial"/>
          <w:b/>
          <w:sz w:val="20"/>
          <w:szCs w:val="20"/>
        </w:rPr>
        <w:t>Keeping insurance policy</w:t>
      </w:r>
      <w:r>
        <w:rPr>
          <w:rFonts w:ascii="Arial" w:hAnsi="Arial" w:cs="Arial"/>
          <w:b/>
          <w:sz w:val="20"/>
          <w:szCs w:val="20"/>
        </w:rPr>
        <w:tab/>
      </w:r>
    </w:p>
    <w:p w14:paraId="4AE1AEC5" w14:textId="77777777" w:rsidR="004157AC" w:rsidRDefault="00167597">
      <w:pPr>
        <w:rPr>
          <w:rFonts w:ascii="Arial" w:hAnsi="Arial" w:cs="Arial"/>
          <w:sz w:val="20"/>
          <w:szCs w:val="20"/>
        </w:rPr>
      </w:pPr>
      <w:r>
        <w:rPr>
          <w:rFonts w:ascii="Arial" w:hAnsi="Arial" w:cs="Arial"/>
          <w:sz w:val="20"/>
          <w:szCs w:val="20"/>
        </w:rPr>
        <w:t>Section 9</w:t>
      </w:r>
      <w:r w:rsidR="00254377" w:rsidRPr="00254377">
        <w:rPr>
          <w:rFonts w:ascii="Arial" w:hAnsi="Arial" w:cs="Arial"/>
          <w:sz w:val="20"/>
          <w:szCs w:val="20"/>
        </w:rPr>
        <w:t xml:space="preserve"> </w:t>
      </w:r>
      <w:r w:rsidR="00254377">
        <w:rPr>
          <w:rFonts w:ascii="Arial" w:hAnsi="Arial" w:cs="Arial"/>
          <w:sz w:val="20"/>
          <w:szCs w:val="20"/>
        </w:rPr>
        <w:t xml:space="preserve">only applies if the issuer of the certificate is not issuing it in government service. A person issuing a certificate other than in </w:t>
      </w:r>
      <w:r w:rsidR="009926CA">
        <w:rPr>
          <w:rFonts w:ascii="Arial" w:hAnsi="Arial" w:cs="Arial"/>
          <w:sz w:val="20"/>
          <w:szCs w:val="20"/>
        </w:rPr>
        <w:t>government service must be insured for the activity. Bec</w:t>
      </w:r>
      <w:r w:rsidR="009B56DE">
        <w:rPr>
          <w:rFonts w:ascii="Arial" w:hAnsi="Arial" w:cs="Arial"/>
          <w:sz w:val="20"/>
          <w:szCs w:val="20"/>
        </w:rPr>
        <w:t>au</w:t>
      </w:r>
      <w:r w:rsidR="009926CA">
        <w:rPr>
          <w:rFonts w:ascii="Arial" w:hAnsi="Arial" w:cs="Arial"/>
          <w:sz w:val="20"/>
          <w:szCs w:val="20"/>
        </w:rPr>
        <w:t xml:space="preserve">se of the definition of </w:t>
      </w:r>
      <w:r w:rsidR="009926CA" w:rsidRPr="009926CA">
        <w:rPr>
          <w:rFonts w:ascii="Arial" w:hAnsi="Arial" w:cs="Arial"/>
          <w:b/>
          <w:i/>
          <w:sz w:val="20"/>
          <w:szCs w:val="20"/>
        </w:rPr>
        <w:t>insurance policy</w:t>
      </w:r>
      <w:r w:rsidR="009926CA">
        <w:rPr>
          <w:rFonts w:ascii="Arial" w:hAnsi="Arial" w:cs="Arial"/>
          <w:sz w:val="20"/>
          <w:szCs w:val="20"/>
        </w:rPr>
        <w:t xml:space="preserve"> in section 4, the insurance must be for at least $2 million and must cover the </w:t>
      </w:r>
      <w:r w:rsidR="009B56DE">
        <w:rPr>
          <w:rFonts w:ascii="Arial" w:hAnsi="Arial" w:cs="Arial"/>
          <w:sz w:val="20"/>
          <w:szCs w:val="20"/>
        </w:rPr>
        <w:t xml:space="preserve">accredited person </w:t>
      </w:r>
      <w:r w:rsidR="009926CA">
        <w:rPr>
          <w:rFonts w:ascii="Arial" w:hAnsi="Arial" w:cs="Arial"/>
          <w:sz w:val="20"/>
          <w:szCs w:val="20"/>
        </w:rPr>
        <w:t xml:space="preserve">for any loss or damage caused by their negligence when issuing a certificate or otherwise acting as an accredited person. The </w:t>
      </w:r>
      <w:r w:rsidR="00E02FC6">
        <w:rPr>
          <w:rFonts w:ascii="Arial" w:hAnsi="Arial" w:cs="Arial"/>
          <w:sz w:val="20"/>
          <w:szCs w:val="20"/>
        </w:rPr>
        <w:t xml:space="preserve">accredited person must be covered by an insurance </w:t>
      </w:r>
      <w:r w:rsidR="009926CA">
        <w:rPr>
          <w:rFonts w:ascii="Arial" w:hAnsi="Arial" w:cs="Arial"/>
          <w:sz w:val="20"/>
          <w:szCs w:val="20"/>
        </w:rPr>
        <w:t xml:space="preserve">policy </w:t>
      </w:r>
      <w:r w:rsidR="00E02FC6">
        <w:rPr>
          <w:rFonts w:ascii="Arial" w:hAnsi="Arial" w:cs="Arial"/>
          <w:sz w:val="20"/>
          <w:szCs w:val="20"/>
        </w:rPr>
        <w:t xml:space="preserve">that is current </w:t>
      </w:r>
      <w:r w:rsidR="004214C9">
        <w:rPr>
          <w:rFonts w:ascii="Arial" w:hAnsi="Arial" w:cs="Arial"/>
          <w:sz w:val="20"/>
          <w:szCs w:val="20"/>
        </w:rPr>
        <w:t xml:space="preserve">and </w:t>
      </w:r>
      <w:r w:rsidR="00E02FC6">
        <w:rPr>
          <w:rFonts w:ascii="Arial" w:hAnsi="Arial" w:cs="Arial"/>
          <w:sz w:val="20"/>
          <w:szCs w:val="20"/>
        </w:rPr>
        <w:t xml:space="preserve">commences when the accredited person </w:t>
      </w:r>
      <w:r w:rsidR="00454E2D">
        <w:rPr>
          <w:rFonts w:ascii="Arial" w:hAnsi="Arial" w:cs="Arial"/>
          <w:sz w:val="20"/>
          <w:szCs w:val="20"/>
        </w:rPr>
        <w:t xml:space="preserve"> first issues a certificate and </w:t>
      </w:r>
      <w:r w:rsidR="00E02FC6">
        <w:rPr>
          <w:rFonts w:ascii="Arial" w:hAnsi="Arial" w:cs="Arial"/>
          <w:sz w:val="20"/>
          <w:szCs w:val="20"/>
        </w:rPr>
        <w:t xml:space="preserve">ends on the earlier of the date the accredited person ceases to be accredited or the date which is </w:t>
      </w:r>
      <w:r w:rsidR="00454E2D">
        <w:rPr>
          <w:rFonts w:ascii="Arial" w:hAnsi="Arial" w:cs="Arial"/>
          <w:sz w:val="20"/>
          <w:szCs w:val="20"/>
        </w:rPr>
        <w:t xml:space="preserve"> 5 years after the </w:t>
      </w:r>
      <w:r w:rsidR="00E02FC6">
        <w:rPr>
          <w:rFonts w:ascii="Arial" w:hAnsi="Arial" w:cs="Arial"/>
          <w:sz w:val="20"/>
          <w:szCs w:val="20"/>
        </w:rPr>
        <w:t xml:space="preserve">date when the accredited </w:t>
      </w:r>
      <w:r w:rsidR="00454E2D">
        <w:rPr>
          <w:rFonts w:ascii="Arial" w:hAnsi="Arial" w:cs="Arial"/>
          <w:sz w:val="20"/>
          <w:szCs w:val="20"/>
        </w:rPr>
        <w:t>person lasts issues a certificate.</w:t>
      </w:r>
      <w:r w:rsidR="009926CA">
        <w:rPr>
          <w:rFonts w:ascii="Arial" w:hAnsi="Arial" w:cs="Arial"/>
          <w:sz w:val="20"/>
          <w:szCs w:val="20"/>
        </w:rPr>
        <w:t xml:space="preserve"> </w:t>
      </w:r>
      <w:r>
        <w:rPr>
          <w:rFonts w:ascii="Arial" w:hAnsi="Arial" w:cs="Arial"/>
          <w:sz w:val="20"/>
          <w:szCs w:val="20"/>
        </w:rPr>
        <w:t xml:space="preserve"> </w:t>
      </w:r>
    </w:p>
    <w:p w14:paraId="4EFA910F" w14:textId="77777777" w:rsidR="00167597" w:rsidRDefault="00167597">
      <w:pPr>
        <w:rPr>
          <w:rFonts w:ascii="Arial" w:hAnsi="Arial" w:cs="Arial"/>
          <w:b/>
          <w:sz w:val="20"/>
          <w:szCs w:val="20"/>
        </w:rPr>
      </w:pPr>
      <w:r>
        <w:rPr>
          <w:rFonts w:ascii="Arial" w:hAnsi="Arial" w:cs="Arial"/>
          <w:b/>
          <w:sz w:val="20"/>
          <w:szCs w:val="20"/>
        </w:rPr>
        <w:t>Section 10</w:t>
      </w:r>
      <w:r>
        <w:rPr>
          <w:rFonts w:ascii="Arial" w:hAnsi="Arial" w:cs="Arial"/>
          <w:b/>
          <w:sz w:val="20"/>
          <w:szCs w:val="20"/>
        </w:rPr>
        <w:tab/>
        <w:t>D</w:t>
      </w:r>
      <w:r w:rsidR="006110FC">
        <w:rPr>
          <w:rFonts w:ascii="Arial" w:hAnsi="Arial" w:cs="Arial"/>
          <w:b/>
          <w:sz w:val="20"/>
          <w:szCs w:val="20"/>
        </w:rPr>
        <w:t>eed of Indemnity</w:t>
      </w:r>
    </w:p>
    <w:p w14:paraId="7D9BCFF3" w14:textId="77777777" w:rsidR="00167597" w:rsidRDefault="00167597" w:rsidP="00862332">
      <w:pPr>
        <w:rPr>
          <w:rFonts w:ascii="Arial" w:hAnsi="Arial" w:cs="Arial"/>
          <w:sz w:val="20"/>
          <w:szCs w:val="20"/>
        </w:rPr>
      </w:pPr>
      <w:r>
        <w:rPr>
          <w:rFonts w:ascii="Arial" w:hAnsi="Arial" w:cs="Arial"/>
          <w:sz w:val="20"/>
          <w:szCs w:val="20"/>
        </w:rPr>
        <w:t xml:space="preserve">Section 10 </w:t>
      </w:r>
      <w:r w:rsidR="004157AC">
        <w:rPr>
          <w:rFonts w:ascii="Arial" w:hAnsi="Arial" w:cs="Arial"/>
          <w:sz w:val="20"/>
          <w:szCs w:val="20"/>
        </w:rPr>
        <w:t>provides that whether or not the person is in government service</w:t>
      </w:r>
      <w:r w:rsidR="009B56DE">
        <w:rPr>
          <w:rFonts w:ascii="Arial" w:hAnsi="Arial" w:cs="Arial"/>
          <w:sz w:val="20"/>
          <w:szCs w:val="20"/>
        </w:rPr>
        <w:t>,</w:t>
      </w:r>
      <w:r w:rsidR="004157AC">
        <w:rPr>
          <w:rFonts w:ascii="Arial" w:hAnsi="Arial" w:cs="Arial"/>
          <w:sz w:val="20"/>
          <w:szCs w:val="20"/>
        </w:rPr>
        <w:t xml:space="preserve"> they must have entered into an approved Deed of Indemnity when they issue a certificate. The deed is given by the relevant government body if the person is in government service or by the </w:t>
      </w:r>
      <w:r w:rsidR="009B56DE">
        <w:rPr>
          <w:rFonts w:ascii="Arial" w:hAnsi="Arial" w:cs="Arial"/>
          <w:sz w:val="20"/>
          <w:szCs w:val="20"/>
        </w:rPr>
        <w:t xml:space="preserve">accredited </w:t>
      </w:r>
      <w:r w:rsidR="004157AC">
        <w:rPr>
          <w:rFonts w:ascii="Arial" w:hAnsi="Arial" w:cs="Arial"/>
          <w:sz w:val="20"/>
          <w:szCs w:val="20"/>
        </w:rPr>
        <w:t>person if the</w:t>
      </w:r>
      <w:r w:rsidR="005615E4">
        <w:rPr>
          <w:rFonts w:ascii="Arial" w:hAnsi="Arial" w:cs="Arial"/>
          <w:sz w:val="20"/>
          <w:szCs w:val="20"/>
        </w:rPr>
        <w:t xml:space="preserve"> person is not in government service</w:t>
      </w:r>
      <w:r w:rsidR="004157AC">
        <w:rPr>
          <w:rFonts w:ascii="Arial" w:hAnsi="Arial" w:cs="Arial"/>
          <w:sz w:val="20"/>
          <w:szCs w:val="20"/>
        </w:rPr>
        <w:t>. The Deed of Indemnity is approved and publi</w:t>
      </w:r>
      <w:r w:rsidR="001B6964">
        <w:rPr>
          <w:rFonts w:ascii="Arial" w:hAnsi="Arial" w:cs="Arial"/>
          <w:sz w:val="20"/>
          <w:szCs w:val="20"/>
        </w:rPr>
        <w:t>shed</w:t>
      </w:r>
      <w:r w:rsidR="004157AC">
        <w:rPr>
          <w:rFonts w:ascii="Arial" w:hAnsi="Arial" w:cs="Arial"/>
          <w:sz w:val="20"/>
          <w:szCs w:val="20"/>
        </w:rPr>
        <w:t xml:space="preserve"> by the ACMA</w:t>
      </w:r>
      <w:r w:rsidR="001B6964">
        <w:rPr>
          <w:rFonts w:ascii="Arial" w:hAnsi="Arial" w:cs="Arial"/>
          <w:sz w:val="20"/>
          <w:szCs w:val="20"/>
        </w:rPr>
        <w:t xml:space="preserve"> under the </w:t>
      </w:r>
      <w:r w:rsidR="001B6964">
        <w:rPr>
          <w:rFonts w:ascii="Arial" w:hAnsi="Arial" w:cs="Arial"/>
          <w:i/>
          <w:sz w:val="20"/>
          <w:szCs w:val="20"/>
        </w:rPr>
        <w:t>Radiocommunications (Accreditation – Prescribed Certificates) Principles 201</w:t>
      </w:r>
      <w:r w:rsidR="00FD2F87">
        <w:rPr>
          <w:rFonts w:ascii="Arial" w:hAnsi="Arial" w:cs="Arial"/>
          <w:i/>
          <w:sz w:val="20"/>
          <w:szCs w:val="20"/>
        </w:rPr>
        <w:t>4</w:t>
      </w:r>
      <w:r w:rsidR="004157AC">
        <w:rPr>
          <w:rFonts w:ascii="Arial" w:hAnsi="Arial" w:cs="Arial"/>
          <w:sz w:val="20"/>
          <w:szCs w:val="20"/>
        </w:rPr>
        <w:t xml:space="preserve">. </w:t>
      </w:r>
      <w:r w:rsidR="001B6964">
        <w:rPr>
          <w:rFonts w:ascii="Arial" w:hAnsi="Arial" w:cs="Arial"/>
          <w:sz w:val="20"/>
          <w:szCs w:val="20"/>
        </w:rPr>
        <w:t>The Deed indemnifies the ACMA and its officers</w:t>
      </w:r>
      <w:r w:rsidR="009B56DE">
        <w:rPr>
          <w:rFonts w:ascii="Arial" w:hAnsi="Arial" w:cs="Arial"/>
          <w:sz w:val="20"/>
          <w:szCs w:val="20"/>
        </w:rPr>
        <w:t>,</w:t>
      </w:r>
      <w:r w:rsidR="001B6964">
        <w:rPr>
          <w:rFonts w:ascii="Arial" w:hAnsi="Arial" w:cs="Arial"/>
          <w:sz w:val="20"/>
          <w:szCs w:val="20"/>
        </w:rPr>
        <w:t xml:space="preserve"> staff and other agents in relation to accreditation matters undertaken by the accredited person.</w:t>
      </w:r>
    </w:p>
    <w:p w14:paraId="5D85A5DF" w14:textId="77777777" w:rsidR="00EE322B" w:rsidRDefault="00167597" w:rsidP="00862332">
      <w:pPr>
        <w:rPr>
          <w:rFonts w:ascii="Arial" w:hAnsi="Arial" w:cs="Arial"/>
          <w:b/>
          <w:sz w:val="20"/>
          <w:szCs w:val="20"/>
        </w:rPr>
      </w:pPr>
      <w:r>
        <w:rPr>
          <w:rFonts w:ascii="Arial" w:hAnsi="Arial" w:cs="Arial"/>
          <w:b/>
          <w:sz w:val="20"/>
          <w:szCs w:val="20"/>
        </w:rPr>
        <w:t>Section 11</w:t>
      </w:r>
      <w:r>
        <w:rPr>
          <w:rFonts w:ascii="Arial" w:hAnsi="Arial" w:cs="Arial"/>
          <w:b/>
          <w:sz w:val="20"/>
          <w:szCs w:val="20"/>
        </w:rPr>
        <w:tab/>
      </w:r>
      <w:r w:rsidR="006110FC">
        <w:rPr>
          <w:rFonts w:ascii="Arial" w:hAnsi="Arial" w:cs="Arial"/>
          <w:b/>
          <w:sz w:val="20"/>
          <w:szCs w:val="20"/>
        </w:rPr>
        <w:t>Information in certificate (general)</w:t>
      </w:r>
    </w:p>
    <w:p w14:paraId="6B393AF2" w14:textId="77777777" w:rsidR="0066116D" w:rsidRDefault="00254377" w:rsidP="00862332">
      <w:pPr>
        <w:rPr>
          <w:rFonts w:ascii="Arial" w:hAnsi="Arial" w:cs="Arial"/>
          <w:sz w:val="20"/>
          <w:szCs w:val="20"/>
        </w:rPr>
      </w:pPr>
      <w:r>
        <w:rPr>
          <w:rFonts w:ascii="Arial" w:hAnsi="Arial" w:cs="Arial"/>
          <w:sz w:val="20"/>
          <w:szCs w:val="20"/>
        </w:rPr>
        <w:t xml:space="preserve">Section 11 requires the issuer of the certificate to state </w:t>
      </w:r>
      <w:r w:rsidR="009B56DE">
        <w:rPr>
          <w:rFonts w:ascii="Arial" w:hAnsi="Arial" w:cs="Arial"/>
          <w:sz w:val="20"/>
          <w:szCs w:val="20"/>
        </w:rPr>
        <w:t xml:space="preserve">in it </w:t>
      </w:r>
      <w:r>
        <w:rPr>
          <w:rFonts w:ascii="Arial" w:hAnsi="Arial" w:cs="Arial"/>
          <w:sz w:val="20"/>
          <w:szCs w:val="20"/>
        </w:rPr>
        <w:t>whether it was issued in government service.</w:t>
      </w:r>
    </w:p>
    <w:p w14:paraId="0D973514" w14:textId="77777777" w:rsidR="0066116D" w:rsidRPr="0066116D" w:rsidRDefault="0066116D" w:rsidP="00862332">
      <w:pPr>
        <w:rPr>
          <w:rFonts w:ascii="Arial" w:hAnsi="Arial" w:cs="Arial"/>
          <w:b/>
          <w:sz w:val="20"/>
          <w:szCs w:val="20"/>
        </w:rPr>
      </w:pPr>
      <w:r w:rsidRPr="0066116D">
        <w:rPr>
          <w:rFonts w:ascii="Arial" w:hAnsi="Arial" w:cs="Arial"/>
          <w:b/>
          <w:sz w:val="20"/>
          <w:szCs w:val="20"/>
        </w:rPr>
        <w:t>Section 12</w:t>
      </w:r>
      <w:r w:rsidRPr="0066116D">
        <w:rPr>
          <w:rFonts w:ascii="Arial" w:hAnsi="Arial" w:cs="Arial"/>
          <w:b/>
          <w:sz w:val="20"/>
          <w:szCs w:val="20"/>
        </w:rPr>
        <w:tab/>
      </w:r>
      <w:r w:rsidR="006110FC">
        <w:rPr>
          <w:rFonts w:ascii="Arial" w:hAnsi="Arial" w:cs="Arial"/>
          <w:b/>
          <w:sz w:val="20"/>
          <w:szCs w:val="20"/>
        </w:rPr>
        <w:t>Additional information in certificate</w:t>
      </w:r>
    </w:p>
    <w:p w14:paraId="7CDBE7C0" w14:textId="77777777" w:rsidR="00075DD9" w:rsidRPr="00DB73CD" w:rsidRDefault="00254377" w:rsidP="00A7584B">
      <w:pPr>
        <w:rPr>
          <w:rFonts w:ascii="Arial" w:hAnsi="Arial" w:cs="Arial"/>
          <w:sz w:val="20"/>
          <w:szCs w:val="20"/>
        </w:rPr>
      </w:pPr>
      <w:r>
        <w:rPr>
          <w:rFonts w:ascii="Arial" w:hAnsi="Arial" w:cs="Arial"/>
          <w:sz w:val="20"/>
          <w:szCs w:val="20"/>
        </w:rPr>
        <w:t xml:space="preserve">Section 12 only applies if the issuer of the certificate is not issuing it in government service. Where it does apply, the first certificate issued by the accredited person must attach documentary evidence of the existence of the necessary insurance policy (such as a certificate of currency). Subsequent certificates need only state the reference number and date of expiry of the insurance policy. If the insurance policy is changed or renewed then the first certificate issued after the change or renewal must again </w:t>
      </w:r>
      <w:r w:rsidR="007B729E">
        <w:rPr>
          <w:rFonts w:ascii="Arial" w:hAnsi="Arial" w:cs="Arial"/>
          <w:sz w:val="20"/>
          <w:szCs w:val="20"/>
        </w:rPr>
        <w:t xml:space="preserve">have attached to it </w:t>
      </w:r>
      <w:r>
        <w:rPr>
          <w:rFonts w:ascii="Arial" w:hAnsi="Arial" w:cs="Arial"/>
          <w:sz w:val="20"/>
          <w:szCs w:val="20"/>
        </w:rPr>
        <w:t>the certificate of currency or other documentary evidence of the existence of the changed or renewed policy.</w:t>
      </w:r>
    </w:p>
    <w:p w14:paraId="1B56A664" w14:textId="77777777" w:rsidR="00CA3ED2" w:rsidRPr="00DB73CD" w:rsidRDefault="00CA3ED2">
      <w:pPr>
        <w:rPr>
          <w:rFonts w:ascii="Arial" w:hAnsi="Arial" w:cs="Arial"/>
          <w:sz w:val="20"/>
          <w:szCs w:val="20"/>
        </w:rPr>
      </w:pPr>
      <w:r w:rsidRPr="00DB73CD">
        <w:rPr>
          <w:rFonts w:ascii="Arial" w:hAnsi="Arial" w:cs="Arial"/>
          <w:sz w:val="20"/>
          <w:szCs w:val="20"/>
        </w:rPr>
        <w:br w:type="page"/>
      </w:r>
    </w:p>
    <w:p w14:paraId="663A04B2" w14:textId="77777777" w:rsidR="00724CAC" w:rsidRPr="00DB73CD" w:rsidRDefault="00724CAC" w:rsidP="002C519C">
      <w:pPr>
        <w:ind w:left="1440"/>
        <w:rPr>
          <w:rFonts w:ascii="Arial" w:hAnsi="Arial" w:cs="Arial"/>
          <w:sz w:val="20"/>
          <w:szCs w:val="20"/>
        </w:rPr>
      </w:pPr>
    </w:p>
    <w:p w14:paraId="5AD30D9C" w14:textId="77777777" w:rsidR="005E309F" w:rsidRPr="00824B0A" w:rsidRDefault="005E309F" w:rsidP="0009706E">
      <w:pPr>
        <w:rPr>
          <w:rFonts w:ascii="Arial" w:hAnsi="Arial" w:cs="Arial"/>
          <w:b/>
        </w:rPr>
      </w:pPr>
    </w:p>
    <w:p w14:paraId="6DBDF78E" w14:textId="77777777" w:rsidR="005E309F" w:rsidRPr="00C63D15" w:rsidRDefault="005E309F" w:rsidP="00EC7A95">
      <w:pPr>
        <w:rPr>
          <w:rFonts w:ascii="Arial" w:hAnsi="Arial" w:cs="Arial"/>
          <w:b/>
        </w:rPr>
      </w:pPr>
      <w:r w:rsidRPr="00C63D15">
        <w:rPr>
          <w:rFonts w:ascii="Arial" w:hAnsi="Arial" w:cs="Arial"/>
          <w:b/>
        </w:rPr>
        <w:t xml:space="preserve">Attachment </w:t>
      </w:r>
      <w:r w:rsidR="002A7A50">
        <w:rPr>
          <w:rFonts w:ascii="Arial" w:hAnsi="Arial" w:cs="Arial"/>
          <w:b/>
        </w:rPr>
        <w:t>A</w:t>
      </w:r>
      <w:r w:rsidRPr="00C63D15">
        <w:rPr>
          <w:rFonts w:ascii="Arial" w:hAnsi="Arial" w:cs="Arial"/>
          <w:b/>
        </w:rPr>
        <w:t xml:space="preserve"> </w:t>
      </w:r>
    </w:p>
    <w:p w14:paraId="2BCEF348" w14:textId="77777777" w:rsidR="0058555C" w:rsidRPr="009B77E8"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spacing w:before="360" w:after="120"/>
        <w:jc w:val="center"/>
        <w:rPr>
          <w:rFonts w:ascii="Arial" w:hAnsi="Arial" w:cs="Arial"/>
          <w:b/>
          <w:sz w:val="28"/>
          <w:szCs w:val="28"/>
        </w:rPr>
      </w:pPr>
    </w:p>
    <w:p w14:paraId="3D57CBD3" w14:textId="77777777" w:rsidR="0058555C" w:rsidRPr="0066777B"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spacing w:before="360" w:after="120"/>
        <w:jc w:val="center"/>
        <w:rPr>
          <w:rFonts w:ascii="Arial" w:hAnsi="Arial" w:cs="Arial"/>
          <w:b/>
          <w:sz w:val="24"/>
          <w:szCs w:val="24"/>
        </w:rPr>
      </w:pPr>
      <w:r w:rsidRPr="0066777B">
        <w:rPr>
          <w:rFonts w:ascii="Arial" w:hAnsi="Arial" w:cs="Arial"/>
          <w:b/>
          <w:sz w:val="24"/>
          <w:szCs w:val="24"/>
        </w:rPr>
        <w:t>Statement of Compatibility with Human Rights</w:t>
      </w:r>
    </w:p>
    <w:p w14:paraId="6C33401B" w14:textId="77777777" w:rsidR="0058555C" w:rsidRPr="0066777B" w:rsidRDefault="004B394B" w:rsidP="0058555C">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center"/>
        <w:rPr>
          <w:rFonts w:ascii="Arial" w:hAnsi="Arial" w:cs="Arial"/>
          <w:sz w:val="20"/>
          <w:szCs w:val="20"/>
        </w:rPr>
      </w:pPr>
      <w:r w:rsidRPr="004B394B">
        <w:rPr>
          <w:rFonts w:ascii="Arial" w:hAnsi="Arial" w:cs="Arial"/>
          <w:sz w:val="20"/>
          <w:szCs w:val="20"/>
        </w:rPr>
        <w:t>Prepared in accordance with Part 3 of the</w:t>
      </w:r>
      <w:r w:rsidR="0058555C" w:rsidRPr="0066777B">
        <w:rPr>
          <w:rFonts w:ascii="Arial" w:hAnsi="Arial" w:cs="Arial"/>
          <w:i/>
          <w:sz w:val="20"/>
          <w:szCs w:val="20"/>
        </w:rPr>
        <w:t xml:space="preserve"> Human Rights (Parliamentary Scrutiny) Act 2011</w:t>
      </w:r>
    </w:p>
    <w:p w14:paraId="052F3F94" w14:textId="77777777" w:rsidR="0058555C" w:rsidRPr="0066777B"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jc w:val="center"/>
        <w:outlineLvl w:val="0"/>
        <w:rPr>
          <w:rFonts w:ascii="Arial" w:hAnsi="Arial" w:cs="Arial"/>
          <w:b/>
          <w:bCs/>
          <w:i/>
          <w:iCs/>
          <w:sz w:val="20"/>
          <w:szCs w:val="20"/>
        </w:rPr>
      </w:pPr>
      <w:r w:rsidRPr="0066777B">
        <w:rPr>
          <w:rFonts w:ascii="Arial" w:hAnsi="Arial" w:cs="Arial"/>
          <w:b/>
          <w:bCs/>
          <w:i/>
          <w:iCs/>
          <w:sz w:val="20"/>
          <w:szCs w:val="20"/>
        </w:rPr>
        <w:br/>
      </w:r>
      <w:r w:rsidR="000F5A51" w:rsidRPr="0066777B">
        <w:rPr>
          <w:rFonts w:ascii="Arial" w:hAnsi="Arial" w:cs="Arial"/>
          <w:b/>
          <w:i/>
          <w:sz w:val="20"/>
          <w:szCs w:val="20"/>
        </w:rPr>
        <w:t>Radiocommunications (</w:t>
      </w:r>
      <w:r w:rsidR="007D091E">
        <w:rPr>
          <w:rFonts w:ascii="Arial" w:hAnsi="Arial" w:cs="Arial"/>
          <w:b/>
          <w:i/>
          <w:sz w:val="20"/>
          <w:szCs w:val="20"/>
        </w:rPr>
        <w:t>Frequency Assignment</w:t>
      </w:r>
      <w:r w:rsidR="00B96349">
        <w:rPr>
          <w:rFonts w:ascii="Arial" w:hAnsi="Arial" w:cs="Arial"/>
          <w:b/>
          <w:i/>
          <w:sz w:val="20"/>
          <w:szCs w:val="20"/>
        </w:rPr>
        <w:t xml:space="preserve"> Certificates</w:t>
      </w:r>
      <w:r w:rsidR="000F5A51" w:rsidRPr="0066777B">
        <w:rPr>
          <w:rFonts w:ascii="Arial" w:hAnsi="Arial" w:cs="Arial"/>
          <w:b/>
          <w:i/>
          <w:sz w:val="20"/>
          <w:szCs w:val="20"/>
        </w:rPr>
        <w:t xml:space="preserve">) </w:t>
      </w:r>
      <w:r w:rsidR="007D091E">
        <w:rPr>
          <w:rFonts w:ascii="Arial" w:hAnsi="Arial" w:cs="Arial"/>
          <w:b/>
          <w:i/>
          <w:sz w:val="20"/>
          <w:szCs w:val="20"/>
        </w:rPr>
        <w:t>Determination</w:t>
      </w:r>
      <w:r w:rsidR="00B96349">
        <w:rPr>
          <w:rFonts w:ascii="Arial" w:hAnsi="Arial" w:cs="Arial"/>
          <w:b/>
          <w:i/>
          <w:sz w:val="20"/>
          <w:szCs w:val="20"/>
        </w:rPr>
        <w:t xml:space="preserve"> </w:t>
      </w:r>
      <w:r w:rsidR="000F5A51" w:rsidRPr="0066777B">
        <w:rPr>
          <w:rFonts w:ascii="Arial" w:hAnsi="Arial" w:cs="Arial"/>
          <w:b/>
          <w:i/>
          <w:sz w:val="20"/>
          <w:szCs w:val="20"/>
        </w:rPr>
        <w:t>201</w:t>
      </w:r>
      <w:r w:rsidR="00FD2F87">
        <w:rPr>
          <w:rFonts w:ascii="Arial" w:hAnsi="Arial" w:cs="Arial"/>
          <w:b/>
          <w:i/>
          <w:sz w:val="20"/>
          <w:szCs w:val="20"/>
        </w:rPr>
        <w:t>4</w:t>
      </w:r>
    </w:p>
    <w:p w14:paraId="00A6B64F" w14:textId="77777777" w:rsidR="00EC7A95" w:rsidRPr="0066777B" w:rsidRDefault="00EC7A95" w:rsidP="0058555C">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jc w:val="center"/>
        <w:outlineLvl w:val="0"/>
        <w:rPr>
          <w:rFonts w:ascii="Arial" w:hAnsi="Arial" w:cs="Arial"/>
          <w:b/>
          <w:bCs/>
          <w:i/>
          <w:iCs/>
          <w:sz w:val="20"/>
          <w:szCs w:val="20"/>
        </w:rPr>
      </w:pPr>
    </w:p>
    <w:p w14:paraId="16ACA841" w14:textId="77777777" w:rsidR="0058555C" w:rsidRPr="0066777B"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jc w:val="center"/>
        <w:outlineLvl w:val="0"/>
        <w:rPr>
          <w:rFonts w:ascii="Arial" w:hAnsi="Arial" w:cs="Arial"/>
          <w:b/>
          <w:bCs/>
          <w:i/>
          <w:iCs/>
          <w:sz w:val="20"/>
          <w:szCs w:val="20"/>
        </w:rPr>
      </w:pPr>
    </w:p>
    <w:p w14:paraId="78BF77E3" w14:textId="77777777" w:rsidR="0058555C" w:rsidRPr="0066777B"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jc w:val="both"/>
        <w:outlineLvl w:val="0"/>
        <w:rPr>
          <w:rFonts w:ascii="Arial" w:hAnsi="Arial" w:cs="Arial"/>
          <w:sz w:val="20"/>
          <w:szCs w:val="20"/>
        </w:rPr>
      </w:pPr>
      <w:r w:rsidRPr="0066777B">
        <w:rPr>
          <w:rFonts w:ascii="Arial" w:hAnsi="Arial" w:cs="Arial"/>
          <w:b/>
          <w:bCs/>
          <w:i/>
          <w:iCs/>
          <w:sz w:val="20"/>
          <w:szCs w:val="20"/>
        </w:rPr>
        <w:br/>
      </w:r>
      <w:r w:rsidRPr="0066777B">
        <w:rPr>
          <w:rFonts w:ascii="Arial" w:hAnsi="Arial" w:cs="Arial"/>
          <w:sz w:val="20"/>
          <w:szCs w:val="20"/>
        </w:rPr>
        <w:t xml:space="preserve">This </w:t>
      </w:r>
      <w:r w:rsidR="002A7A50" w:rsidRPr="0066777B">
        <w:rPr>
          <w:rFonts w:ascii="Arial" w:hAnsi="Arial" w:cs="Arial"/>
          <w:sz w:val="20"/>
          <w:szCs w:val="20"/>
        </w:rPr>
        <w:t>L</w:t>
      </w:r>
      <w:r w:rsidRPr="0066777B">
        <w:rPr>
          <w:rFonts w:ascii="Arial" w:hAnsi="Arial" w:cs="Arial"/>
          <w:sz w:val="20"/>
          <w:szCs w:val="20"/>
        </w:rPr>
        <w:t xml:space="preserve">egislative </w:t>
      </w:r>
      <w:r w:rsidR="002A7A50" w:rsidRPr="0066777B">
        <w:rPr>
          <w:rFonts w:ascii="Arial" w:hAnsi="Arial" w:cs="Arial"/>
          <w:sz w:val="20"/>
          <w:szCs w:val="20"/>
        </w:rPr>
        <w:t>I</w:t>
      </w:r>
      <w:r w:rsidRPr="0066777B">
        <w:rPr>
          <w:rFonts w:ascii="Arial" w:hAnsi="Arial" w:cs="Arial"/>
          <w:sz w:val="20"/>
          <w:szCs w:val="20"/>
        </w:rPr>
        <w:t xml:space="preserve">nstrument is compatible with the human rights and freedoms recognised or declared in the international instruments listed in section 3 of the </w:t>
      </w:r>
      <w:r w:rsidRPr="0066777B">
        <w:rPr>
          <w:rFonts w:ascii="Arial" w:hAnsi="Arial" w:cs="Arial"/>
          <w:i/>
          <w:sz w:val="20"/>
          <w:szCs w:val="20"/>
        </w:rPr>
        <w:t>Human Rights (Parliamentary Scrutiny) Act 2011</w:t>
      </w:r>
      <w:r w:rsidRPr="0066777B">
        <w:rPr>
          <w:rFonts w:ascii="Arial" w:hAnsi="Arial" w:cs="Arial"/>
          <w:sz w:val="20"/>
          <w:szCs w:val="20"/>
        </w:rPr>
        <w:t>.</w:t>
      </w:r>
    </w:p>
    <w:p w14:paraId="64674699" w14:textId="77777777" w:rsidR="0058555C" w:rsidRPr="0066777B"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rFonts w:ascii="Arial" w:hAnsi="Arial" w:cs="Arial"/>
          <w:b/>
          <w:sz w:val="20"/>
          <w:szCs w:val="20"/>
        </w:rPr>
      </w:pPr>
      <w:r w:rsidRPr="0066777B">
        <w:rPr>
          <w:rFonts w:ascii="Arial" w:hAnsi="Arial" w:cs="Arial"/>
          <w:b/>
          <w:sz w:val="20"/>
          <w:szCs w:val="20"/>
        </w:rPr>
        <w:br/>
        <w:t>Overview of the Legislative Instrument</w:t>
      </w:r>
    </w:p>
    <w:p w14:paraId="690C38DE" w14:textId="77777777" w:rsidR="000F5A51" w:rsidRPr="0066777B"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outlineLvl w:val="0"/>
        <w:rPr>
          <w:rStyle w:val="Emphasis"/>
          <w:rFonts w:ascii="Arial" w:hAnsi="Arial" w:cs="Arial"/>
          <w:i w:val="0"/>
          <w:color w:val="000000" w:themeColor="text1"/>
          <w:sz w:val="20"/>
          <w:szCs w:val="20"/>
          <w:shd w:val="clear" w:color="auto" w:fill="FFFFFF"/>
        </w:rPr>
      </w:pPr>
      <w:r w:rsidRPr="0066777B">
        <w:rPr>
          <w:rFonts w:ascii="Arial" w:eastAsia="Times New Roman" w:hAnsi="Arial" w:cs="Arial"/>
          <w:color w:val="000000" w:themeColor="text1"/>
          <w:sz w:val="20"/>
          <w:szCs w:val="20"/>
          <w:lang w:eastAsia="en-AU"/>
        </w:rPr>
        <w:t xml:space="preserve">The </w:t>
      </w:r>
      <w:r w:rsidR="00EC63DF" w:rsidRPr="0066777B">
        <w:rPr>
          <w:rFonts w:ascii="Arial" w:hAnsi="Arial" w:cs="Arial"/>
          <w:i/>
          <w:sz w:val="20"/>
          <w:szCs w:val="20"/>
        </w:rPr>
        <w:t>Radiocommunications (</w:t>
      </w:r>
      <w:r w:rsidR="007D091E">
        <w:rPr>
          <w:rFonts w:ascii="Arial" w:hAnsi="Arial" w:cs="Arial"/>
          <w:i/>
          <w:sz w:val="20"/>
          <w:szCs w:val="20"/>
        </w:rPr>
        <w:t xml:space="preserve">Frequency Assignment </w:t>
      </w:r>
      <w:r w:rsidR="00B96349">
        <w:rPr>
          <w:rFonts w:ascii="Arial" w:hAnsi="Arial" w:cs="Arial"/>
          <w:i/>
          <w:sz w:val="20"/>
          <w:szCs w:val="20"/>
        </w:rPr>
        <w:t xml:space="preserve">Certificates) </w:t>
      </w:r>
      <w:r w:rsidR="007D091E">
        <w:rPr>
          <w:rFonts w:ascii="Arial" w:hAnsi="Arial" w:cs="Arial"/>
          <w:i/>
          <w:sz w:val="20"/>
          <w:szCs w:val="20"/>
        </w:rPr>
        <w:t xml:space="preserve">Determination </w:t>
      </w:r>
      <w:r w:rsidR="00EC63DF" w:rsidRPr="0066777B">
        <w:rPr>
          <w:rFonts w:ascii="Arial" w:hAnsi="Arial" w:cs="Arial"/>
          <w:i/>
          <w:sz w:val="20"/>
          <w:szCs w:val="20"/>
        </w:rPr>
        <w:t>201</w:t>
      </w:r>
      <w:r w:rsidR="00C30711">
        <w:rPr>
          <w:rFonts w:ascii="Arial" w:hAnsi="Arial" w:cs="Arial"/>
          <w:i/>
          <w:sz w:val="20"/>
          <w:szCs w:val="20"/>
        </w:rPr>
        <w:t>4</w:t>
      </w:r>
      <w:r w:rsidR="00EC63DF" w:rsidRPr="0066777B">
        <w:rPr>
          <w:rFonts w:ascii="Arial" w:hAnsi="Arial" w:cs="Arial"/>
          <w:sz w:val="20"/>
          <w:szCs w:val="20"/>
        </w:rPr>
        <w:t xml:space="preserve"> (the </w:t>
      </w:r>
      <w:r w:rsidR="00EC63DF" w:rsidRPr="0066777B">
        <w:rPr>
          <w:rFonts w:ascii="Arial" w:hAnsi="Arial" w:cs="Arial"/>
          <w:b/>
          <w:sz w:val="20"/>
          <w:szCs w:val="20"/>
        </w:rPr>
        <w:t>Instrument</w:t>
      </w:r>
      <w:r w:rsidR="00EC63DF" w:rsidRPr="0066777B">
        <w:rPr>
          <w:rFonts w:ascii="Arial" w:hAnsi="Arial" w:cs="Arial"/>
          <w:sz w:val="20"/>
          <w:szCs w:val="20"/>
        </w:rPr>
        <w:t xml:space="preserve">) </w:t>
      </w:r>
      <w:r w:rsidR="00B96349">
        <w:rPr>
          <w:rFonts w:ascii="Arial" w:hAnsi="Arial" w:cs="Arial"/>
          <w:sz w:val="20"/>
          <w:szCs w:val="20"/>
        </w:rPr>
        <w:t>is made under section 266</w:t>
      </w:r>
      <w:r w:rsidR="007D091E">
        <w:rPr>
          <w:rFonts w:ascii="Arial" w:hAnsi="Arial" w:cs="Arial"/>
          <w:sz w:val="20"/>
          <w:szCs w:val="20"/>
        </w:rPr>
        <w:t>A</w:t>
      </w:r>
      <w:r w:rsidR="00B96349">
        <w:rPr>
          <w:rFonts w:ascii="Arial" w:hAnsi="Arial" w:cs="Arial"/>
          <w:sz w:val="20"/>
          <w:szCs w:val="20"/>
        </w:rPr>
        <w:t xml:space="preserve"> of the </w:t>
      </w:r>
      <w:r w:rsidR="00B96349">
        <w:rPr>
          <w:rFonts w:ascii="Arial" w:hAnsi="Arial" w:cs="Arial"/>
          <w:i/>
          <w:sz w:val="20"/>
          <w:szCs w:val="20"/>
        </w:rPr>
        <w:t xml:space="preserve">Radiocommunications Act 1992 </w:t>
      </w:r>
      <w:r w:rsidR="00B96349">
        <w:rPr>
          <w:rFonts w:ascii="Arial" w:hAnsi="Arial" w:cs="Arial"/>
          <w:sz w:val="20"/>
          <w:szCs w:val="20"/>
        </w:rPr>
        <w:t xml:space="preserve">(the </w:t>
      </w:r>
      <w:r w:rsidR="00B96349">
        <w:rPr>
          <w:rFonts w:ascii="Arial" w:hAnsi="Arial" w:cs="Arial"/>
          <w:b/>
          <w:sz w:val="20"/>
          <w:szCs w:val="20"/>
        </w:rPr>
        <w:t>Act</w:t>
      </w:r>
      <w:r w:rsidR="00B96349">
        <w:rPr>
          <w:rFonts w:ascii="Arial" w:hAnsi="Arial" w:cs="Arial"/>
          <w:sz w:val="20"/>
          <w:szCs w:val="20"/>
        </w:rPr>
        <w:t>)</w:t>
      </w:r>
      <w:r w:rsidR="00B96349">
        <w:rPr>
          <w:rFonts w:ascii="Arial" w:hAnsi="Arial" w:cs="Arial"/>
          <w:i/>
          <w:sz w:val="20"/>
          <w:szCs w:val="20"/>
        </w:rPr>
        <w:t xml:space="preserve">. </w:t>
      </w:r>
      <w:r w:rsidR="00B96349">
        <w:rPr>
          <w:rFonts w:ascii="Arial" w:hAnsi="Arial" w:cs="Arial"/>
          <w:sz w:val="20"/>
          <w:szCs w:val="20"/>
        </w:rPr>
        <w:t xml:space="preserve">It determines the </w:t>
      </w:r>
      <w:r w:rsidR="007D091E">
        <w:rPr>
          <w:rFonts w:ascii="Arial" w:hAnsi="Arial" w:cs="Arial"/>
          <w:sz w:val="20"/>
          <w:szCs w:val="20"/>
        </w:rPr>
        <w:t xml:space="preserve">conditions which apply to the issue of frequency assignment certificates issued under subsection 100(4A) of the Act. </w:t>
      </w:r>
      <w:r w:rsidR="00B96349">
        <w:rPr>
          <w:rFonts w:ascii="Arial" w:hAnsi="Arial" w:cs="Arial"/>
          <w:sz w:val="20"/>
          <w:szCs w:val="20"/>
        </w:rPr>
        <w:t>Further details about the Instrument appear in the Explanatory Statement for the Instrument.</w:t>
      </w:r>
    </w:p>
    <w:p w14:paraId="14EE7BF6" w14:textId="77777777" w:rsidR="0058555C" w:rsidRPr="0066777B"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jc w:val="both"/>
        <w:outlineLvl w:val="0"/>
        <w:rPr>
          <w:rFonts w:ascii="Arial" w:eastAsia="Times New Roman" w:hAnsi="Arial" w:cs="Arial"/>
          <w:sz w:val="20"/>
          <w:szCs w:val="20"/>
          <w:lang w:eastAsia="en-AU"/>
        </w:rPr>
      </w:pPr>
    </w:p>
    <w:p w14:paraId="1C1641A5" w14:textId="77777777" w:rsidR="0058555C" w:rsidRPr="0066777B"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rFonts w:ascii="Arial" w:hAnsi="Arial" w:cs="Arial"/>
          <w:b/>
          <w:sz w:val="20"/>
          <w:szCs w:val="20"/>
        </w:rPr>
      </w:pPr>
      <w:r w:rsidRPr="0066777B">
        <w:rPr>
          <w:rFonts w:ascii="Arial" w:hAnsi="Arial" w:cs="Arial"/>
          <w:b/>
          <w:sz w:val="20"/>
          <w:szCs w:val="20"/>
        </w:rPr>
        <w:t>Human rights implications</w:t>
      </w:r>
    </w:p>
    <w:p w14:paraId="1CE1100A" w14:textId="77777777" w:rsidR="0058555C" w:rsidRPr="0066777B"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rFonts w:ascii="Arial" w:hAnsi="Arial" w:cs="Arial"/>
          <w:sz w:val="20"/>
          <w:szCs w:val="20"/>
        </w:rPr>
      </w:pPr>
      <w:r w:rsidRPr="0066777B">
        <w:rPr>
          <w:rFonts w:ascii="Arial" w:hAnsi="Arial" w:cs="Arial"/>
          <w:sz w:val="20"/>
          <w:szCs w:val="20"/>
        </w:rPr>
        <w:t>Th</w:t>
      </w:r>
      <w:r w:rsidR="002A7A50" w:rsidRPr="0066777B">
        <w:rPr>
          <w:rFonts w:ascii="Arial" w:hAnsi="Arial" w:cs="Arial"/>
          <w:sz w:val="20"/>
          <w:szCs w:val="20"/>
        </w:rPr>
        <w:t>e</w:t>
      </w:r>
      <w:r w:rsidRPr="0066777B">
        <w:rPr>
          <w:rFonts w:ascii="Arial" w:hAnsi="Arial" w:cs="Arial"/>
          <w:sz w:val="20"/>
          <w:szCs w:val="20"/>
        </w:rPr>
        <w:t xml:space="preserve"> </w:t>
      </w:r>
      <w:r w:rsidR="002A7A50" w:rsidRPr="0066777B">
        <w:rPr>
          <w:rFonts w:ascii="Arial" w:hAnsi="Arial" w:cs="Arial"/>
          <w:sz w:val="20"/>
          <w:szCs w:val="20"/>
        </w:rPr>
        <w:t>I</w:t>
      </w:r>
      <w:r w:rsidRPr="0066777B">
        <w:rPr>
          <w:rFonts w:ascii="Arial" w:hAnsi="Arial" w:cs="Arial"/>
          <w:sz w:val="20"/>
          <w:szCs w:val="20"/>
        </w:rPr>
        <w:t>nstrument does not engage any of the applicable rights or freedoms.</w:t>
      </w:r>
    </w:p>
    <w:p w14:paraId="013112D9" w14:textId="77777777" w:rsidR="0058555C" w:rsidRPr="0066777B"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rFonts w:ascii="Arial" w:hAnsi="Arial" w:cs="Arial"/>
          <w:b/>
          <w:sz w:val="20"/>
          <w:szCs w:val="20"/>
        </w:rPr>
      </w:pPr>
      <w:r w:rsidRPr="0066777B">
        <w:rPr>
          <w:rFonts w:ascii="Arial" w:hAnsi="Arial" w:cs="Arial"/>
          <w:b/>
          <w:sz w:val="20"/>
          <w:szCs w:val="20"/>
        </w:rPr>
        <w:t>Conclusion</w:t>
      </w:r>
    </w:p>
    <w:p w14:paraId="52ACBFAF" w14:textId="77777777" w:rsidR="0058555C" w:rsidRPr="0066777B" w:rsidRDefault="0058555C" w:rsidP="0058555C">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rFonts w:ascii="Arial" w:hAnsi="Arial" w:cs="Arial"/>
          <w:sz w:val="20"/>
          <w:szCs w:val="20"/>
        </w:rPr>
      </w:pPr>
      <w:r w:rsidRPr="0066777B">
        <w:rPr>
          <w:rFonts w:ascii="Arial" w:hAnsi="Arial" w:cs="Arial"/>
          <w:sz w:val="20"/>
          <w:szCs w:val="20"/>
        </w:rPr>
        <w:t>Th</w:t>
      </w:r>
      <w:r w:rsidR="002A7A50" w:rsidRPr="0066777B">
        <w:rPr>
          <w:rFonts w:ascii="Arial" w:hAnsi="Arial" w:cs="Arial"/>
          <w:sz w:val="20"/>
          <w:szCs w:val="20"/>
        </w:rPr>
        <w:t>e</w:t>
      </w:r>
      <w:r w:rsidRPr="0066777B">
        <w:rPr>
          <w:rFonts w:ascii="Arial" w:hAnsi="Arial" w:cs="Arial"/>
          <w:sz w:val="20"/>
          <w:szCs w:val="20"/>
        </w:rPr>
        <w:t xml:space="preserve"> </w:t>
      </w:r>
      <w:r w:rsidR="002A7A50" w:rsidRPr="0066777B">
        <w:rPr>
          <w:rFonts w:ascii="Arial" w:hAnsi="Arial" w:cs="Arial"/>
          <w:sz w:val="20"/>
          <w:szCs w:val="20"/>
        </w:rPr>
        <w:t>I</w:t>
      </w:r>
      <w:r w:rsidRPr="0066777B">
        <w:rPr>
          <w:rFonts w:ascii="Arial" w:hAnsi="Arial" w:cs="Arial"/>
          <w:sz w:val="20"/>
          <w:szCs w:val="20"/>
        </w:rPr>
        <w:t>nstrument is compatible with human rights as it does not raise any human rights issues.</w:t>
      </w:r>
      <w:r w:rsidRPr="0066777B">
        <w:rPr>
          <w:rFonts w:ascii="Arial" w:hAnsi="Arial" w:cs="Arial"/>
          <w:sz w:val="20"/>
          <w:szCs w:val="20"/>
        </w:rPr>
        <w:br/>
      </w:r>
    </w:p>
    <w:p w14:paraId="484286E6" w14:textId="77777777" w:rsidR="008D3A26" w:rsidRDefault="00E05456">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center"/>
        <w:rPr>
          <w:rFonts w:ascii="Arial" w:hAnsi="Arial" w:cs="Arial"/>
          <w:b/>
        </w:rPr>
      </w:pPr>
      <w:r>
        <w:rPr>
          <w:rFonts w:ascii="Arial" w:hAnsi="Arial" w:cs="Arial"/>
          <w:b/>
        </w:rPr>
        <w:t>Australian Communications and Media Authority</w:t>
      </w:r>
    </w:p>
    <w:p w14:paraId="3B3E0131" w14:textId="77777777" w:rsidR="005E309F" w:rsidRDefault="005E309F" w:rsidP="0009706E">
      <w:pPr>
        <w:rPr>
          <w:rFonts w:cstheme="minorHAnsi"/>
          <w:b/>
        </w:rPr>
      </w:pPr>
    </w:p>
    <w:sectPr w:rsidR="005E309F" w:rsidSect="009873B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EC355" w14:textId="77777777" w:rsidR="00E16967" w:rsidRDefault="00E16967" w:rsidP="005B08DD">
      <w:pPr>
        <w:spacing w:after="0" w:line="240" w:lineRule="auto"/>
      </w:pPr>
      <w:r>
        <w:separator/>
      </w:r>
    </w:p>
  </w:endnote>
  <w:endnote w:type="continuationSeparator" w:id="0">
    <w:p w14:paraId="20ACFC7C" w14:textId="77777777" w:rsidR="00E16967" w:rsidRDefault="00E16967" w:rsidP="005B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725784"/>
      <w:docPartObj>
        <w:docPartGallery w:val="Page Numbers (Bottom of Page)"/>
        <w:docPartUnique/>
      </w:docPartObj>
    </w:sdtPr>
    <w:sdtEndPr>
      <w:rPr>
        <w:noProof/>
      </w:rPr>
    </w:sdtEndPr>
    <w:sdtContent>
      <w:p w14:paraId="1EC79D9A" w14:textId="77777777" w:rsidR="001E52BD" w:rsidRDefault="001E52BD">
        <w:pPr>
          <w:pStyle w:val="Footer"/>
          <w:jc w:val="right"/>
        </w:pPr>
        <w:r>
          <w:fldChar w:fldCharType="begin"/>
        </w:r>
        <w:r>
          <w:instrText xml:space="preserve"> PAGE   \* MERGEFORMAT </w:instrText>
        </w:r>
        <w:r>
          <w:fldChar w:fldCharType="separate"/>
        </w:r>
        <w:r w:rsidR="001C3FE6">
          <w:rPr>
            <w:noProof/>
          </w:rPr>
          <w:t>2</w:t>
        </w:r>
        <w:r>
          <w:rPr>
            <w:noProof/>
          </w:rPr>
          <w:fldChar w:fldCharType="end"/>
        </w:r>
      </w:p>
    </w:sdtContent>
  </w:sdt>
  <w:p w14:paraId="6AF5D810" w14:textId="77777777" w:rsidR="001E52BD" w:rsidRDefault="001E5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E51CB" w14:textId="77777777" w:rsidR="00E16967" w:rsidRDefault="00E16967" w:rsidP="005B08DD">
      <w:pPr>
        <w:spacing w:after="0" w:line="240" w:lineRule="auto"/>
      </w:pPr>
      <w:r>
        <w:separator/>
      </w:r>
    </w:p>
  </w:footnote>
  <w:footnote w:type="continuationSeparator" w:id="0">
    <w:p w14:paraId="228590A9" w14:textId="77777777" w:rsidR="00E16967" w:rsidRDefault="00E16967" w:rsidP="005B08DD">
      <w:pPr>
        <w:spacing w:after="0" w:line="240" w:lineRule="auto"/>
      </w:pPr>
      <w:r>
        <w:continuationSeparator/>
      </w:r>
    </w:p>
  </w:footnote>
  <w:footnote w:id="1">
    <w:p w14:paraId="213AA278" w14:textId="77777777" w:rsidR="006B242A" w:rsidRDefault="006B242A" w:rsidP="00CB44C1">
      <w:pPr>
        <w:pStyle w:val="FootnoteText"/>
        <w:ind w:left="284" w:hanging="284"/>
      </w:pPr>
      <w:r>
        <w:rPr>
          <w:rStyle w:val="FootnoteReference"/>
        </w:rPr>
        <w:footnoteRef/>
      </w:r>
      <w:r>
        <w:t xml:space="preserve">    Under subsection 314A(2) of the Act, an instrument under the Act may make provision in relation to a matter by applying, adopting or incorporating matter contained in any other instrument or writing whatever, as in force or existing at a particular time, or as in force or existing from time to time, even if the other instrument or writing does not yet exist when the instrument under the Act is made.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758C1"/>
    <w:multiLevelType w:val="hybridMultilevel"/>
    <w:tmpl w:val="121898F2"/>
    <w:lvl w:ilvl="0" w:tplc="BEAC5BFA">
      <w:start w:val="1"/>
      <w:numFmt w:val="lowerRoman"/>
      <w:lvlText w:val="(%1)"/>
      <w:lvlJc w:val="left"/>
      <w:pPr>
        <w:ind w:left="2160" w:hanging="720"/>
      </w:pPr>
    </w:lvl>
    <w:lvl w:ilvl="1" w:tplc="0C090019">
      <w:start w:val="1"/>
      <w:numFmt w:val="decimal"/>
      <w:lvlText w:val="%2."/>
      <w:lvlJc w:val="left"/>
      <w:pPr>
        <w:tabs>
          <w:tab w:val="num" w:pos="62"/>
        </w:tabs>
        <w:ind w:left="62" w:hanging="360"/>
      </w:pPr>
    </w:lvl>
    <w:lvl w:ilvl="2" w:tplc="0C09001B">
      <w:start w:val="1"/>
      <w:numFmt w:val="decimal"/>
      <w:lvlText w:val="%3."/>
      <w:lvlJc w:val="left"/>
      <w:pPr>
        <w:tabs>
          <w:tab w:val="num" w:pos="782"/>
        </w:tabs>
        <w:ind w:left="782" w:hanging="360"/>
      </w:pPr>
    </w:lvl>
    <w:lvl w:ilvl="3" w:tplc="0C09000F">
      <w:start w:val="1"/>
      <w:numFmt w:val="decimal"/>
      <w:lvlText w:val="%4."/>
      <w:lvlJc w:val="left"/>
      <w:pPr>
        <w:tabs>
          <w:tab w:val="num" w:pos="1502"/>
        </w:tabs>
        <w:ind w:left="1502" w:hanging="360"/>
      </w:pPr>
    </w:lvl>
    <w:lvl w:ilvl="4" w:tplc="0C090019">
      <w:start w:val="1"/>
      <w:numFmt w:val="decimal"/>
      <w:lvlText w:val="%5."/>
      <w:lvlJc w:val="left"/>
      <w:pPr>
        <w:tabs>
          <w:tab w:val="num" w:pos="2222"/>
        </w:tabs>
        <w:ind w:left="2222" w:hanging="360"/>
      </w:pPr>
    </w:lvl>
    <w:lvl w:ilvl="5" w:tplc="0C09001B">
      <w:start w:val="1"/>
      <w:numFmt w:val="decimal"/>
      <w:lvlText w:val="%6."/>
      <w:lvlJc w:val="left"/>
      <w:pPr>
        <w:tabs>
          <w:tab w:val="num" w:pos="2942"/>
        </w:tabs>
        <w:ind w:left="2942" w:hanging="360"/>
      </w:pPr>
    </w:lvl>
    <w:lvl w:ilvl="6" w:tplc="0C09000F">
      <w:start w:val="1"/>
      <w:numFmt w:val="decimal"/>
      <w:lvlText w:val="%7."/>
      <w:lvlJc w:val="left"/>
      <w:pPr>
        <w:tabs>
          <w:tab w:val="num" w:pos="3662"/>
        </w:tabs>
        <w:ind w:left="3662" w:hanging="360"/>
      </w:pPr>
    </w:lvl>
    <w:lvl w:ilvl="7" w:tplc="0C090019">
      <w:start w:val="1"/>
      <w:numFmt w:val="decimal"/>
      <w:lvlText w:val="%8."/>
      <w:lvlJc w:val="left"/>
      <w:pPr>
        <w:tabs>
          <w:tab w:val="num" w:pos="4382"/>
        </w:tabs>
        <w:ind w:left="4382" w:hanging="360"/>
      </w:pPr>
    </w:lvl>
    <w:lvl w:ilvl="8" w:tplc="0C09001B">
      <w:start w:val="1"/>
      <w:numFmt w:val="decimal"/>
      <w:lvlText w:val="%9."/>
      <w:lvlJc w:val="left"/>
      <w:pPr>
        <w:tabs>
          <w:tab w:val="num" w:pos="5102"/>
        </w:tabs>
        <w:ind w:left="5102" w:hanging="360"/>
      </w:pPr>
    </w:lvl>
  </w:abstractNum>
  <w:abstractNum w:abstractNumId="1">
    <w:nsid w:val="104E3986"/>
    <w:multiLevelType w:val="hybridMultilevel"/>
    <w:tmpl w:val="A788986C"/>
    <w:lvl w:ilvl="0" w:tplc="0C090001">
      <w:start w:val="1"/>
      <w:numFmt w:val="bullet"/>
      <w:lvlText w:val=""/>
      <w:lvlJc w:val="left"/>
      <w:pPr>
        <w:tabs>
          <w:tab w:val="num" w:pos="644"/>
        </w:tabs>
        <w:ind w:left="644" w:hanging="360"/>
      </w:pPr>
      <w:rPr>
        <w:rFonts w:ascii="Symbol" w:hAnsi="Symbol" w:hint="default"/>
      </w:rPr>
    </w:lvl>
    <w:lvl w:ilvl="1" w:tplc="0C090003">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2">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CD5068"/>
    <w:multiLevelType w:val="hybridMultilevel"/>
    <w:tmpl w:val="BB9E4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1DC742C"/>
    <w:multiLevelType w:val="hybridMultilevel"/>
    <w:tmpl w:val="1EC8547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nsid w:val="41B92065"/>
    <w:multiLevelType w:val="hybridMultilevel"/>
    <w:tmpl w:val="F126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00E673E"/>
    <w:multiLevelType w:val="hybridMultilevel"/>
    <w:tmpl w:val="214A8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29F59A7"/>
    <w:multiLevelType w:val="hybridMultilevel"/>
    <w:tmpl w:val="6A98D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85E6918"/>
    <w:multiLevelType w:val="hybridMultilevel"/>
    <w:tmpl w:val="03180FD8"/>
    <w:lvl w:ilvl="0" w:tplc="BEAC5BFA">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60FD1AB2"/>
    <w:multiLevelType w:val="hybridMultilevel"/>
    <w:tmpl w:val="912483DA"/>
    <w:lvl w:ilvl="0" w:tplc="0326027C">
      <w:start w:val="1"/>
      <w:numFmt w:val="lowerLetter"/>
      <w:lvlText w:val="(%1)"/>
      <w:lvlJc w:val="left"/>
      <w:pPr>
        <w:ind w:left="1080" w:hanging="360"/>
      </w:pPr>
    </w:lvl>
    <w:lvl w:ilvl="1" w:tplc="0C090019">
      <w:start w:val="1"/>
      <w:numFmt w:val="decimal"/>
      <w:lvlText w:val="%2."/>
      <w:lvlJc w:val="left"/>
      <w:pPr>
        <w:tabs>
          <w:tab w:val="num" w:pos="1800"/>
        </w:tabs>
        <w:ind w:left="1800" w:hanging="360"/>
      </w:pPr>
    </w:lvl>
    <w:lvl w:ilvl="2" w:tplc="0C09001B">
      <w:start w:val="1"/>
      <w:numFmt w:val="decimal"/>
      <w:lvlText w:val="%3."/>
      <w:lvlJc w:val="left"/>
      <w:pPr>
        <w:tabs>
          <w:tab w:val="num" w:pos="2520"/>
        </w:tabs>
        <w:ind w:left="2520" w:hanging="360"/>
      </w:pPr>
    </w:lvl>
    <w:lvl w:ilvl="3" w:tplc="0C09000F">
      <w:start w:val="1"/>
      <w:numFmt w:val="decimal"/>
      <w:lvlText w:val="%4."/>
      <w:lvlJc w:val="left"/>
      <w:pPr>
        <w:tabs>
          <w:tab w:val="num" w:pos="3240"/>
        </w:tabs>
        <w:ind w:left="3240" w:hanging="360"/>
      </w:pPr>
    </w:lvl>
    <w:lvl w:ilvl="4" w:tplc="0C090019">
      <w:start w:val="1"/>
      <w:numFmt w:val="decimal"/>
      <w:lvlText w:val="%5."/>
      <w:lvlJc w:val="left"/>
      <w:pPr>
        <w:tabs>
          <w:tab w:val="num" w:pos="3960"/>
        </w:tabs>
        <w:ind w:left="3960" w:hanging="360"/>
      </w:pPr>
    </w:lvl>
    <w:lvl w:ilvl="5" w:tplc="0C09001B">
      <w:start w:val="1"/>
      <w:numFmt w:val="decimal"/>
      <w:lvlText w:val="%6."/>
      <w:lvlJc w:val="left"/>
      <w:pPr>
        <w:tabs>
          <w:tab w:val="num" w:pos="4680"/>
        </w:tabs>
        <w:ind w:left="4680" w:hanging="360"/>
      </w:pPr>
    </w:lvl>
    <w:lvl w:ilvl="6" w:tplc="0C09000F">
      <w:start w:val="1"/>
      <w:numFmt w:val="decimal"/>
      <w:lvlText w:val="%7."/>
      <w:lvlJc w:val="left"/>
      <w:pPr>
        <w:tabs>
          <w:tab w:val="num" w:pos="5400"/>
        </w:tabs>
        <w:ind w:left="5400" w:hanging="360"/>
      </w:pPr>
    </w:lvl>
    <w:lvl w:ilvl="7" w:tplc="0C090019">
      <w:start w:val="1"/>
      <w:numFmt w:val="decimal"/>
      <w:lvlText w:val="%8."/>
      <w:lvlJc w:val="left"/>
      <w:pPr>
        <w:tabs>
          <w:tab w:val="num" w:pos="6120"/>
        </w:tabs>
        <w:ind w:left="6120" w:hanging="360"/>
      </w:pPr>
    </w:lvl>
    <w:lvl w:ilvl="8" w:tplc="0C09001B">
      <w:start w:val="1"/>
      <w:numFmt w:val="decimal"/>
      <w:lvlText w:val="%9."/>
      <w:lvlJc w:val="left"/>
      <w:pPr>
        <w:tabs>
          <w:tab w:val="num" w:pos="6840"/>
        </w:tabs>
        <w:ind w:left="6840" w:hanging="360"/>
      </w:pPr>
    </w:lvl>
  </w:abstractNum>
  <w:abstractNum w:abstractNumId="10">
    <w:nsid w:val="6A6B4C7D"/>
    <w:multiLevelType w:val="hybridMultilevel"/>
    <w:tmpl w:val="3FAC31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D3B526B"/>
    <w:multiLevelType w:val="hybridMultilevel"/>
    <w:tmpl w:val="BE64A8E8"/>
    <w:lvl w:ilvl="0" w:tplc="544A0038">
      <w:start w:val="1"/>
      <w:numFmt w:val="decimal"/>
      <w:lvlText w:val="%1."/>
      <w:lvlJc w:val="left"/>
      <w:pPr>
        <w:tabs>
          <w:tab w:val="num" w:pos="540"/>
        </w:tabs>
        <w:ind w:left="540" w:hanging="360"/>
      </w:pPr>
      <w:rPr>
        <w:rFonts w:ascii="Arial" w:hAnsi="Arial" w:cs="Arial" w:hint="default"/>
        <w:b w:val="0"/>
      </w:rPr>
    </w:lvl>
    <w:lvl w:ilvl="1" w:tplc="8B54880C">
      <w:start w:val="6"/>
      <w:numFmt w:val="decimal"/>
      <w:lvlText w:val="%2"/>
      <w:lvlJc w:val="left"/>
      <w:pPr>
        <w:tabs>
          <w:tab w:val="num" w:pos="1080"/>
        </w:tabs>
        <w:ind w:left="108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nsid w:val="78436726"/>
    <w:multiLevelType w:val="hybridMultilevel"/>
    <w:tmpl w:val="DBD400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10"/>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5"/>
  </w:num>
  <w:num w:numId="11">
    <w:abstractNumId w:val="4"/>
  </w:num>
  <w:num w:numId="12">
    <w:abstractNumId w:val="6"/>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6E"/>
    <w:rsid w:val="000016EC"/>
    <w:rsid w:val="00004963"/>
    <w:rsid w:val="00013B87"/>
    <w:rsid w:val="0003021B"/>
    <w:rsid w:val="00032315"/>
    <w:rsid w:val="000441E2"/>
    <w:rsid w:val="00050368"/>
    <w:rsid w:val="00062245"/>
    <w:rsid w:val="0006330A"/>
    <w:rsid w:val="00065ADA"/>
    <w:rsid w:val="000700FA"/>
    <w:rsid w:val="00070DE3"/>
    <w:rsid w:val="00071AC5"/>
    <w:rsid w:val="00075DD9"/>
    <w:rsid w:val="00076013"/>
    <w:rsid w:val="00087E84"/>
    <w:rsid w:val="000940D9"/>
    <w:rsid w:val="0009706E"/>
    <w:rsid w:val="0009789B"/>
    <w:rsid w:val="000A0CEF"/>
    <w:rsid w:val="000A49EF"/>
    <w:rsid w:val="000B3999"/>
    <w:rsid w:val="000C2E83"/>
    <w:rsid w:val="000C7360"/>
    <w:rsid w:val="000C74C2"/>
    <w:rsid w:val="000D4A7E"/>
    <w:rsid w:val="000E469C"/>
    <w:rsid w:val="000F19CC"/>
    <w:rsid w:val="000F5A51"/>
    <w:rsid w:val="0010211C"/>
    <w:rsid w:val="00122D71"/>
    <w:rsid w:val="001262E7"/>
    <w:rsid w:val="00126B63"/>
    <w:rsid w:val="00137A7C"/>
    <w:rsid w:val="00140419"/>
    <w:rsid w:val="001618F9"/>
    <w:rsid w:val="00162798"/>
    <w:rsid w:val="00165A99"/>
    <w:rsid w:val="00165E7E"/>
    <w:rsid w:val="001667A7"/>
    <w:rsid w:val="00167597"/>
    <w:rsid w:val="00170E65"/>
    <w:rsid w:val="001863D8"/>
    <w:rsid w:val="0019060E"/>
    <w:rsid w:val="0019279F"/>
    <w:rsid w:val="001A5E8F"/>
    <w:rsid w:val="001B41A0"/>
    <w:rsid w:val="001B6964"/>
    <w:rsid w:val="001C3FE6"/>
    <w:rsid w:val="001C6A25"/>
    <w:rsid w:val="001C6EEE"/>
    <w:rsid w:val="001E2E08"/>
    <w:rsid w:val="001E52BD"/>
    <w:rsid w:val="001E626E"/>
    <w:rsid w:val="001F294D"/>
    <w:rsid w:val="001F5247"/>
    <w:rsid w:val="0020167D"/>
    <w:rsid w:val="00202FFB"/>
    <w:rsid w:val="00203C62"/>
    <w:rsid w:val="002077A3"/>
    <w:rsid w:val="002114FB"/>
    <w:rsid w:val="00213F4D"/>
    <w:rsid w:val="0021593E"/>
    <w:rsid w:val="002167E0"/>
    <w:rsid w:val="00223F5C"/>
    <w:rsid w:val="00226856"/>
    <w:rsid w:val="00227873"/>
    <w:rsid w:val="00231D3B"/>
    <w:rsid w:val="00235881"/>
    <w:rsid w:val="0024327F"/>
    <w:rsid w:val="002434AE"/>
    <w:rsid w:val="002542B2"/>
    <w:rsid w:val="00254377"/>
    <w:rsid w:val="00255FCD"/>
    <w:rsid w:val="002577EC"/>
    <w:rsid w:val="00262ABC"/>
    <w:rsid w:val="00266BC5"/>
    <w:rsid w:val="00270761"/>
    <w:rsid w:val="002A0C05"/>
    <w:rsid w:val="002A7A50"/>
    <w:rsid w:val="002B4C7E"/>
    <w:rsid w:val="002C4A0B"/>
    <w:rsid w:val="002C4DDF"/>
    <w:rsid w:val="002C519C"/>
    <w:rsid w:val="002D16D6"/>
    <w:rsid w:val="002D3A8F"/>
    <w:rsid w:val="002D5564"/>
    <w:rsid w:val="002E14AE"/>
    <w:rsid w:val="002F32AF"/>
    <w:rsid w:val="00300F72"/>
    <w:rsid w:val="003106AB"/>
    <w:rsid w:val="0032009E"/>
    <w:rsid w:val="003210F5"/>
    <w:rsid w:val="0032317B"/>
    <w:rsid w:val="00327E4D"/>
    <w:rsid w:val="00333DC6"/>
    <w:rsid w:val="00347751"/>
    <w:rsid w:val="00351FEB"/>
    <w:rsid w:val="003533F1"/>
    <w:rsid w:val="00360308"/>
    <w:rsid w:val="00360F0D"/>
    <w:rsid w:val="003736BA"/>
    <w:rsid w:val="0038228B"/>
    <w:rsid w:val="00384188"/>
    <w:rsid w:val="003A115B"/>
    <w:rsid w:val="003A23F7"/>
    <w:rsid w:val="003A34D4"/>
    <w:rsid w:val="003A5EFB"/>
    <w:rsid w:val="003B6FF0"/>
    <w:rsid w:val="003B7176"/>
    <w:rsid w:val="003B778A"/>
    <w:rsid w:val="003C406C"/>
    <w:rsid w:val="003C6608"/>
    <w:rsid w:val="003C7B72"/>
    <w:rsid w:val="003D33A3"/>
    <w:rsid w:val="003D5A88"/>
    <w:rsid w:val="003E2F37"/>
    <w:rsid w:val="003F01BE"/>
    <w:rsid w:val="00400E99"/>
    <w:rsid w:val="00401060"/>
    <w:rsid w:val="00403F8C"/>
    <w:rsid w:val="00405583"/>
    <w:rsid w:val="004157AC"/>
    <w:rsid w:val="0041584E"/>
    <w:rsid w:val="004214C9"/>
    <w:rsid w:val="00423EC8"/>
    <w:rsid w:val="004273A5"/>
    <w:rsid w:val="00427A2E"/>
    <w:rsid w:val="00430E49"/>
    <w:rsid w:val="00435A16"/>
    <w:rsid w:val="00437DAE"/>
    <w:rsid w:val="0044551E"/>
    <w:rsid w:val="00454E2D"/>
    <w:rsid w:val="004559B6"/>
    <w:rsid w:val="0045661D"/>
    <w:rsid w:val="00462A2E"/>
    <w:rsid w:val="00462E46"/>
    <w:rsid w:val="00463568"/>
    <w:rsid w:val="00467182"/>
    <w:rsid w:val="0047249A"/>
    <w:rsid w:val="004860E1"/>
    <w:rsid w:val="00487E18"/>
    <w:rsid w:val="0049194F"/>
    <w:rsid w:val="00492206"/>
    <w:rsid w:val="00492FFB"/>
    <w:rsid w:val="00494D97"/>
    <w:rsid w:val="004A4B09"/>
    <w:rsid w:val="004B03C2"/>
    <w:rsid w:val="004B3273"/>
    <w:rsid w:val="004B394B"/>
    <w:rsid w:val="004B69AE"/>
    <w:rsid w:val="004C3E71"/>
    <w:rsid w:val="004C636D"/>
    <w:rsid w:val="004D1CCA"/>
    <w:rsid w:val="004D22C4"/>
    <w:rsid w:val="004D57D1"/>
    <w:rsid w:val="004D72CD"/>
    <w:rsid w:val="004E04EC"/>
    <w:rsid w:val="004F246C"/>
    <w:rsid w:val="00506375"/>
    <w:rsid w:val="00510EB5"/>
    <w:rsid w:val="00514CEA"/>
    <w:rsid w:val="00541C86"/>
    <w:rsid w:val="0054774E"/>
    <w:rsid w:val="0055167D"/>
    <w:rsid w:val="00554105"/>
    <w:rsid w:val="00556785"/>
    <w:rsid w:val="005615E4"/>
    <w:rsid w:val="0056662E"/>
    <w:rsid w:val="0056745E"/>
    <w:rsid w:val="00567E16"/>
    <w:rsid w:val="00570C75"/>
    <w:rsid w:val="00581848"/>
    <w:rsid w:val="0058555C"/>
    <w:rsid w:val="00591DEA"/>
    <w:rsid w:val="0059232C"/>
    <w:rsid w:val="005B022D"/>
    <w:rsid w:val="005B08DD"/>
    <w:rsid w:val="005B71B2"/>
    <w:rsid w:val="005C37A4"/>
    <w:rsid w:val="005D1EE5"/>
    <w:rsid w:val="005D2CF1"/>
    <w:rsid w:val="005D5345"/>
    <w:rsid w:val="005E309F"/>
    <w:rsid w:val="005E4478"/>
    <w:rsid w:val="005E7663"/>
    <w:rsid w:val="005E796B"/>
    <w:rsid w:val="005F34DE"/>
    <w:rsid w:val="00601C24"/>
    <w:rsid w:val="00607DB3"/>
    <w:rsid w:val="006110FC"/>
    <w:rsid w:val="00614292"/>
    <w:rsid w:val="006230F4"/>
    <w:rsid w:val="00624B13"/>
    <w:rsid w:val="00625398"/>
    <w:rsid w:val="00625C56"/>
    <w:rsid w:val="00633CFA"/>
    <w:rsid w:val="006425AE"/>
    <w:rsid w:val="00642AA5"/>
    <w:rsid w:val="0064437A"/>
    <w:rsid w:val="00650511"/>
    <w:rsid w:val="00660F41"/>
    <w:rsid w:val="0066116D"/>
    <w:rsid w:val="0066777B"/>
    <w:rsid w:val="006736E3"/>
    <w:rsid w:val="0067446E"/>
    <w:rsid w:val="00675C1D"/>
    <w:rsid w:val="006760FA"/>
    <w:rsid w:val="00676925"/>
    <w:rsid w:val="00677A07"/>
    <w:rsid w:val="006806DE"/>
    <w:rsid w:val="00681CE5"/>
    <w:rsid w:val="00682E10"/>
    <w:rsid w:val="006842A6"/>
    <w:rsid w:val="00687503"/>
    <w:rsid w:val="006A1735"/>
    <w:rsid w:val="006B242A"/>
    <w:rsid w:val="006C03E2"/>
    <w:rsid w:val="006C1540"/>
    <w:rsid w:val="006E0EA2"/>
    <w:rsid w:val="006F2EBF"/>
    <w:rsid w:val="00711688"/>
    <w:rsid w:val="007179B6"/>
    <w:rsid w:val="00724CAC"/>
    <w:rsid w:val="00726818"/>
    <w:rsid w:val="00726876"/>
    <w:rsid w:val="00730CD0"/>
    <w:rsid w:val="007347E8"/>
    <w:rsid w:val="00734C5B"/>
    <w:rsid w:val="0073541C"/>
    <w:rsid w:val="00743A10"/>
    <w:rsid w:val="007447CD"/>
    <w:rsid w:val="007461AD"/>
    <w:rsid w:val="0075243A"/>
    <w:rsid w:val="0075633E"/>
    <w:rsid w:val="00760E09"/>
    <w:rsid w:val="00773B43"/>
    <w:rsid w:val="00774462"/>
    <w:rsid w:val="0077521C"/>
    <w:rsid w:val="00780483"/>
    <w:rsid w:val="007806E4"/>
    <w:rsid w:val="00780996"/>
    <w:rsid w:val="00796AA0"/>
    <w:rsid w:val="007A634D"/>
    <w:rsid w:val="007B729E"/>
    <w:rsid w:val="007C35FF"/>
    <w:rsid w:val="007D091E"/>
    <w:rsid w:val="007D1BD4"/>
    <w:rsid w:val="007E0AA0"/>
    <w:rsid w:val="007E58FC"/>
    <w:rsid w:val="007F1813"/>
    <w:rsid w:val="007F2DFA"/>
    <w:rsid w:val="007F3A5D"/>
    <w:rsid w:val="007F4A1D"/>
    <w:rsid w:val="00802616"/>
    <w:rsid w:val="00802B92"/>
    <w:rsid w:val="008034A0"/>
    <w:rsid w:val="00824084"/>
    <w:rsid w:val="0082483A"/>
    <w:rsid w:val="00824B0A"/>
    <w:rsid w:val="00825D32"/>
    <w:rsid w:val="00832178"/>
    <w:rsid w:val="008327AD"/>
    <w:rsid w:val="00837832"/>
    <w:rsid w:val="00837D49"/>
    <w:rsid w:val="008411FC"/>
    <w:rsid w:val="008513D9"/>
    <w:rsid w:val="00860A47"/>
    <w:rsid w:val="008619CE"/>
    <w:rsid w:val="00862332"/>
    <w:rsid w:val="008629E0"/>
    <w:rsid w:val="008651FF"/>
    <w:rsid w:val="008743AF"/>
    <w:rsid w:val="00875D68"/>
    <w:rsid w:val="008761B3"/>
    <w:rsid w:val="00882FEB"/>
    <w:rsid w:val="008917E4"/>
    <w:rsid w:val="008C17DF"/>
    <w:rsid w:val="008D3A26"/>
    <w:rsid w:val="008D4E85"/>
    <w:rsid w:val="008F0FED"/>
    <w:rsid w:val="008F6804"/>
    <w:rsid w:val="0090038C"/>
    <w:rsid w:val="009071BD"/>
    <w:rsid w:val="00913ABD"/>
    <w:rsid w:val="0091794C"/>
    <w:rsid w:val="009325D1"/>
    <w:rsid w:val="009513A1"/>
    <w:rsid w:val="00956BE5"/>
    <w:rsid w:val="00964168"/>
    <w:rsid w:val="00965A35"/>
    <w:rsid w:val="009663EE"/>
    <w:rsid w:val="009701DF"/>
    <w:rsid w:val="00970B2A"/>
    <w:rsid w:val="00974B5B"/>
    <w:rsid w:val="00980657"/>
    <w:rsid w:val="0098091E"/>
    <w:rsid w:val="00985577"/>
    <w:rsid w:val="009873B3"/>
    <w:rsid w:val="009926CA"/>
    <w:rsid w:val="009B2FCE"/>
    <w:rsid w:val="009B50A0"/>
    <w:rsid w:val="009B56DE"/>
    <w:rsid w:val="009B625B"/>
    <w:rsid w:val="009C3D30"/>
    <w:rsid w:val="009C428C"/>
    <w:rsid w:val="009E1398"/>
    <w:rsid w:val="00A01215"/>
    <w:rsid w:val="00A06916"/>
    <w:rsid w:val="00A075D4"/>
    <w:rsid w:val="00A077BF"/>
    <w:rsid w:val="00A12F25"/>
    <w:rsid w:val="00A268D6"/>
    <w:rsid w:val="00A44C19"/>
    <w:rsid w:val="00A60FCA"/>
    <w:rsid w:val="00A61010"/>
    <w:rsid w:val="00A665BC"/>
    <w:rsid w:val="00A66772"/>
    <w:rsid w:val="00A7113A"/>
    <w:rsid w:val="00A7584B"/>
    <w:rsid w:val="00A80756"/>
    <w:rsid w:val="00A8448F"/>
    <w:rsid w:val="00A87CC1"/>
    <w:rsid w:val="00AA0530"/>
    <w:rsid w:val="00AB63CC"/>
    <w:rsid w:val="00AC1BBC"/>
    <w:rsid w:val="00AC20D1"/>
    <w:rsid w:val="00AC696C"/>
    <w:rsid w:val="00AC69EB"/>
    <w:rsid w:val="00AC6FB7"/>
    <w:rsid w:val="00AD2080"/>
    <w:rsid w:val="00AD22A5"/>
    <w:rsid w:val="00AD3153"/>
    <w:rsid w:val="00AD67F0"/>
    <w:rsid w:val="00AE2568"/>
    <w:rsid w:val="00AE4758"/>
    <w:rsid w:val="00AE48A1"/>
    <w:rsid w:val="00AF2FBC"/>
    <w:rsid w:val="00AF32A2"/>
    <w:rsid w:val="00B016E5"/>
    <w:rsid w:val="00B142A2"/>
    <w:rsid w:val="00B16D2F"/>
    <w:rsid w:val="00B23170"/>
    <w:rsid w:val="00B24632"/>
    <w:rsid w:val="00B270FB"/>
    <w:rsid w:val="00B31404"/>
    <w:rsid w:val="00B31663"/>
    <w:rsid w:val="00B40EDC"/>
    <w:rsid w:val="00B5310D"/>
    <w:rsid w:val="00B53528"/>
    <w:rsid w:val="00B64A0F"/>
    <w:rsid w:val="00B71132"/>
    <w:rsid w:val="00B7526A"/>
    <w:rsid w:val="00B94989"/>
    <w:rsid w:val="00B96349"/>
    <w:rsid w:val="00BA1BEA"/>
    <w:rsid w:val="00BA3DF2"/>
    <w:rsid w:val="00BB00FE"/>
    <w:rsid w:val="00BC14CE"/>
    <w:rsid w:val="00BC4225"/>
    <w:rsid w:val="00BD6748"/>
    <w:rsid w:val="00BD707E"/>
    <w:rsid w:val="00BD789F"/>
    <w:rsid w:val="00BD7C91"/>
    <w:rsid w:val="00BE1248"/>
    <w:rsid w:val="00BE2DAB"/>
    <w:rsid w:val="00BF202A"/>
    <w:rsid w:val="00C00493"/>
    <w:rsid w:val="00C10677"/>
    <w:rsid w:val="00C13697"/>
    <w:rsid w:val="00C263EC"/>
    <w:rsid w:val="00C30711"/>
    <w:rsid w:val="00C43D4A"/>
    <w:rsid w:val="00C44D28"/>
    <w:rsid w:val="00C51748"/>
    <w:rsid w:val="00C52111"/>
    <w:rsid w:val="00C63D15"/>
    <w:rsid w:val="00C82141"/>
    <w:rsid w:val="00C90C16"/>
    <w:rsid w:val="00C96EFA"/>
    <w:rsid w:val="00CA3ED2"/>
    <w:rsid w:val="00CA7286"/>
    <w:rsid w:val="00CA7658"/>
    <w:rsid w:val="00CB2BEC"/>
    <w:rsid w:val="00CB2FFC"/>
    <w:rsid w:val="00CB44C1"/>
    <w:rsid w:val="00CB66CC"/>
    <w:rsid w:val="00CD16B7"/>
    <w:rsid w:val="00CD6391"/>
    <w:rsid w:val="00CE1AA3"/>
    <w:rsid w:val="00CE6DC2"/>
    <w:rsid w:val="00CF2D3F"/>
    <w:rsid w:val="00CF3E70"/>
    <w:rsid w:val="00CF5C51"/>
    <w:rsid w:val="00D022E9"/>
    <w:rsid w:val="00D118D2"/>
    <w:rsid w:val="00D15151"/>
    <w:rsid w:val="00D1530E"/>
    <w:rsid w:val="00D1691B"/>
    <w:rsid w:val="00D22C7B"/>
    <w:rsid w:val="00D240FE"/>
    <w:rsid w:val="00D269A9"/>
    <w:rsid w:val="00D36DAA"/>
    <w:rsid w:val="00D36EE3"/>
    <w:rsid w:val="00D435D9"/>
    <w:rsid w:val="00D449EE"/>
    <w:rsid w:val="00D45124"/>
    <w:rsid w:val="00D50E06"/>
    <w:rsid w:val="00D579B8"/>
    <w:rsid w:val="00D72786"/>
    <w:rsid w:val="00D74243"/>
    <w:rsid w:val="00D75092"/>
    <w:rsid w:val="00D75FA9"/>
    <w:rsid w:val="00D76D83"/>
    <w:rsid w:val="00D80783"/>
    <w:rsid w:val="00D83FC8"/>
    <w:rsid w:val="00D9232F"/>
    <w:rsid w:val="00D9238F"/>
    <w:rsid w:val="00D9455B"/>
    <w:rsid w:val="00D95781"/>
    <w:rsid w:val="00DA6AB1"/>
    <w:rsid w:val="00DB03EE"/>
    <w:rsid w:val="00DB3F12"/>
    <w:rsid w:val="00DB415E"/>
    <w:rsid w:val="00DB4A3C"/>
    <w:rsid w:val="00DB5A01"/>
    <w:rsid w:val="00DB73CD"/>
    <w:rsid w:val="00DC705E"/>
    <w:rsid w:val="00DC7D7B"/>
    <w:rsid w:val="00DD6A90"/>
    <w:rsid w:val="00DE6976"/>
    <w:rsid w:val="00DE7F6C"/>
    <w:rsid w:val="00DF636B"/>
    <w:rsid w:val="00E0194D"/>
    <w:rsid w:val="00E02520"/>
    <w:rsid w:val="00E02FC6"/>
    <w:rsid w:val="00E05456"/>
    <w:rsid w:val="00E10B9E"/>
    <w:rsid w:val="00E10C70"/>
    <w:rsid w:val="00E16967"/>
    <w:rsid w:val="00E16DA7"/>
    <w:rsid w:val="00E3137C"/>
    <w:rsid w:val="00E3388C"/>
    <w:rsid w:val="00E343C7"/>
    <w:rsid w:val="00E41ABD"/>
    <w:rsid w:val="00E42987"/>
    <w:rsid w:val="00E50616"/>
    <w:rsid w:val="00E51287"/>
    <w:rsid w:val="00E51FB1"/>
    <w:rsid w:val="00E52997"/>
    <w:rsid w:val="00E61894"/>
    <w:rsid w:val="00E742BD"/>
    <w:rsid w:val="00E836DC"/>
    <w:rsid w:val="00E95495"/>
    <w:rsid w:val="00E960AD"/>
    <w:rsid w:val="00EA3F8D"/>
    <w:rsid w:val="00EC36E4"/>
    <w:rsid w:val="00EC63DF"/>
    <w:rsid w:val="00EC7A95"/>
    <w:rsid w:val="00ED2DC8"/>
    <w:rsid w:val="00ED3761"/>
    <w:rsid w:val="00ED3D26"/>
    <w:rsid w:val="00EE322B"/>
    <w:rsid w:val="00EF32F9"/>
    <w:rsid w:val="00EF37BB"/>
    <w:rsid w:val="00EF5565"/>
    <w:rsid w:val="00EF5835"/>
    <w:rsid w:val="00F03203"/>
    <w:rsid w:val="00F14986"/>
    <w:rsid w:val="00F47463"/>
    <w:rsid w:val="00F514BB"/>
    <w:rsid w:val="00F51B63"/>
    <w:rsid w:val="00F843AB"/>
    <w:rsid w:val="00F9114E"/>
    <w:rsid w:val="00FA698A"/>
    <w:rsid w:val="00FB20B3"/>
    <w:rsid w:val="00FB5ED2"/>
    <w:rsid w:val="00FB6E05"/>
    <w:rsid w:val="00FC464D"/>
    <w:rsid w:val="00FC6365"/>
    <w:rsid w:val="00FD2B57"/>
    <w:rsid w:val="00FD2F87"/>
    <w:rsid w:val="00FD7C83"/>
    <w:rsid w:val="00FE203F"/>
    <w:rsid w:val="00FE6149"/>
    <w:rsid w:val="00FF33E4"/>
    <w:rsid w:val="00FF3A5C"/>
    <w:rsid w:val="00FF5435"/>
    <w:rsid w:val="00FF58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902C0"/>
  <w15:docId w15:val="{0308CC96-5A1C-40AE-BCAF-740CBEBE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3B3"/>
  </w:style>
  <w:style w:type="paragraph" w:styleId="Heading2">
    <w:name w:val="heading 2"/>
    <w:basedOn w:val="Normal"/>
    <w:link w:val="Heading2Char"/>
    <w:uiPriority w:val="9"/>
    <w:qFormat/>
    <w:rsid w:val="0045661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14CE"/>
    <w:rPr>
      <w:sz w:val="16"/>
      <w:szCs w:val="16"/>
    </w:rPr>
  </w:style>
  <w:style w:type="paragraph" w:styleId="CommentText">
    <w:name w:val="annotation text"/>
    <w:basedOn w:val="Normal"/>
    <w:link w:val="CommentTextChar"/>
    <w:uiPriority w:val="99"/>
    <w:semiHidden/>
    <w:unhideWhenUsed/>
    <w:rsid w:val="00BC14CE"/>
    <w:pPr>
      <w:spacing w:line="240" w:lineRule="auto"/>
    </w:pPr>
    <w:rPr>
      <w:sz w:val="20"/>
      <w:szCs w:val="20"/>
    </w:rPr>
  </w:style>
  <w:style w:type="character" w:customStyle="1" w:styleId="CommentTextChar">
    <w:name w:val="Comment Text Char"/>
    <w:basedOn w:val="DefaultParagraphFont"/>
    <w:link w:val="CommentText"/>
    <w:uiPriority w:val="99"/>
    <w:semiHidden/>
    <w:rsid w:val="00BC14CE"/>
    <w:rPr>
      <w:sz w:val="20"/>
      <w:szCs w:val="20"/>
    </w:rPr>
  </w:style>
  <w:style w:type="paragraph" w:styleId="CommentSubject">
    <w:name w:val="annotation subject"/>
    <w:basedOn w:val="CommentText"/>
    <w:next w:val="CommentText"/>
    <w:link w:val="CommentSubjectChar"/>
    <w:uiPriority w:val="99"/>
    <w:semiHidden/>
    <w:unhideWhenUsed/>
    <w:rsid w:val="00BC14CE"/>
    <w:rPr>
      <w:b/>
      <w:bCs/>
    </w:rPr>
  </w:style>
  <w:style w:type="character" w:customStyle="1" w:styleId="CommentSubjectChar">
    <w:name w:val="Comment Subject Char"/>
    <w:basedOn w:val="CommentTextChar"/>
    <w:link w:val="CommentSubject"/>
    <w:uiPriority w:val="99"/>
    <w:semiHidden/>
    <w:rsid w:val="00BC14CE"/>
    <w:rPr>
      <w:b/>
      <w:bCs/>
      <w:sz w:val="20"/>
      <w:szCs w:val="20"/>
    </w:rPr>
  </w:style>
  <w:style w:type="paragraph" w:styleId="BalloonText">
    <w:name w:val="Balloon Text"/>
    <w:basedOn w:val="Normal"/>
    <w:link w:val="BalloonTextChar"/>
    <w:uiPriority w:val="99"/>
    <w:semiHidden/>
    <w:unhideWhenUsed/>
    <w:rsid w:val="00BC1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4CE"/>
    <w:rPr>
      <w:rFonts w:ascii="Tahoma" w:hAnsi="Tahoma" w:cs="Tahoma"/>
      <w:sz w:val="16"/>
      <w:szCs w:val="16"/>
    </w:rPr>
  </w:style>
  <w:style w:type="character" w:styleId="Hyperlink">
    <w:name w:val="Hyperlink"/>
    <w:basedOn w:val="DefaultParagraphFont"/>
    <w:uiPriority w:val="99"/>
    <w:unhideWhenUsed/>
    <w:rsid w:val="00624B13"/>
    <w:rPr>
      <w:color w:val="0000FF" w:themeColor="hyperlink"/>
      <w:u w:val="single"/>
    </w:rPr>
  </w:style>
  <w:style w:type="paragraph" w:customStyle="1" w:styleId="ACMABodyText">
    <w:name w:val="ACMA Body Text"/>
    <w:link w:val="ACMABodyTextChar1"/>
    <w:uiPriority w:val="99"/>
    <w:rsid w:val="00824B0A"/>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NumberedList">
    <w:name w:val="ACMA Numbered List"/>
    <w:rsid w:val="00607DB3"/>
    <w:pPr>
      <w:numPr>
        <w:numId w:val="1"/>
      </w:numPr>
      <w:spacing w:before="20" w:after="20" w:line="240" w:lineRule="auto"/>
    </w:pPr>
    <w:rPr>
      <w:rFonts w:ascii="Times New Roman" w:eastAsia="Times New Roman" w:hAnsi="Times New Roman" w:cs="Times New Roman"/>
      <w:sz w:val="24"/>
      <w:szCs w:val="20"/>
    </w:rPr>
  </w:style>
  <w:style w:type="paragraph" w:styleId="Revision">
    <w:name w:val="Revision"/>
    <w:hidden/>
    <w:uiPriority w:val="99"/>
    <w:semiHidden/>
    <w:rsid w:val="00607DB3"/>
    <w:pPr>
      <w:spacing w:after="0" w:line="240" w:lineRule="auto"/>
    </w:pPr>
  </w:style>
  <w:style w:type="character" w:styleId="Emphasis">
    <w:name w:val="Emphasis"/>
    <w:basedOn w:val="DefaultParagraphFont"/>
    <w:uiPriority w:val="20"/>
    <w:qFormat/>
    <w:rsid w:val="001C6EEE"/>
    <w:rPr>
      <w:i/>
      <w:iCs/>
    </w:rPr>
  </w:style>
  <w:style w:type="paragraph" w:styleId="ListParagraph">
    <w:name w:val="List Paragraph"/>
    <w:basedOn w:val="Normal"/>
    <w:uiPriority w:val="34"/>
    <w:qFormat/>
    <w:rsid w:val="00832178"/>
    <w:pPr>
      <w:spacing w:after="0" w:line="240" w:lineRule="auto"/>
      <w:ind w:left="720"/>
      <w:contextualSpacing/>
    </w:pPr>
    <w:rPr>
      <w:rFonts w:ascii="Arial" w:eastAsia="Times New Roman" w:hAnsi="Arial" w:cs="Times New Roman"/>
      <w:sz w:val="20"/>
      <w:szCs w:val="20"/>
      <w:lang w:bidi="he-IL"/>
    </w:rPr>
  </w:style>
  <w:style w:type="character" w:customStyle="1" w:styleId="apple-converted-space">
    <w:name w:val="apple-converted-space"/>
    <w:basedOn w:val="DefaultParagraphFont"/>
    <w:rsid w:val="000F5A51"/>
  </w:style>
  <w:style w:type="character" w:customStyle="1" w:styleId="Heading2Char">
    <w:name w:val="Heading 2 Char"/>
    <w:basedOn w:val="DefaultParagraphFont"/>
    <w:link w:val="Heading2"/>
    <w:uiPriority w:val="9"/>
    <w:rsid w:val="0045661D"/>
    <w:rPr>
      <w:rFonts w:ascii="Times New Roman" w:eastAsia="Times New Roman" w:hAnsi="Times New Roman" w:cs="Times New Roman"/>
      <w:b/>
      <w:bCs/>
      <w:sz w:val="36"/>
      <w:szCs w:val="36"/>
      <w:lang w:eastAsia="en-AU"/>
    </w:rPr>
  </w:style>
  <w:style w:type="paragraph" w:customStyle="1" w:styleId="Default">
    <w:name w:val="Default"/>
    <w:rsid w:val="00B31404"/>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4B3273"/>
    <w:pPr>
      <w:spacing w:after="0" w:line="240" w:lineRule="auto"/>
    </w:pPr>
    <w:rPr>
      <w:rFonts w:ascii="Consolas" w:hAnsi="Consolas" w:cs="Consolas"/>
      <w:sz w:val="21"/>
      <w:szCs w:val="21"/>
      <w:lang w:eastAsia="en-AU"/>
    </w:rPr>
  </w:style>
  <w:style w:type="character" w:customStyle="1" w:styleId="PlainTextChar">
    <w:name w:val="Plain Text Char"/>
    <w:basedOn w:val="DefaultParagraphFont"/>
    <w:link w:val="PlainText"/>
    <w:uiPriority w:val="99"/>
    <w:rsid w:val="004B3273"/>
    <w:rPr>
      <w:rFonts w:ascii="Consolas" w:hAnsi="Consolas" w:cs="Consolas"/>
      <w:sz w:val="21"/>
      <w:szCs w:val="21"/>
      <w:lang w:eastAsia="en-AU"/>
    </w:rPr>
  </w:style>
  <w:style w:type="paragraph" w:customStyle="1" w:styleId="paragraphsub">
    <w:name w:val="paragraph(sub)"/>
    <w:aliases w:val="aa"/>
    <w:basedOn w:val="Normal"/>
    <w:rsid w:val="00711688"/>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Definition">
    <w:name w:val="Definition"/>
    <w:aliases w:val="dd"/>
    <w:basedOn w:val="Normal"/>
    <w:rsid w:val="00C44D28"/>
    <w:pPr>
      <w:spacing w:before="180" w:after="0" w:line="240" w:lineRule="auto"/>
      <w:ind w:left="1134"/>
    </w:pPr>
    <w:rPr>
      <w:rFonts w:ascii="Times New Roman" w:eastAsia="Times New Roman" w:hAnsi="Times New Roman" w:cs="Times New Roman"/>
      <w:szCs w:val="20"/>
      <w:lang w:eastAsia="en-AU"/>
    </w:rPr>
  </w:style>
  <w:style w:type="character" w:customStyle="1" w:styleId="ACMABodyTextChar1">
    <w:name w:val="ACMA Body Text Char1"/>
    <w:basedOn w:val="DefaultParagraphFont"/>
    <w:link w:val="ACMABodyText"/>
    <w:uiPriority w:val="99"/>
    <w:rsid w:val="000D4A7E"/>
    <w:rPr>
      <w:rFonts w:ascii="Times New Roman" w:eastAsia="Times New Roman" w:hAnsi="Times New Roman" w:cs="Times New Roman"/>
      <w:snapToGrid w:val="0"/>
      <w:sz w:val="24"/>
      <w:szCs w:val="20"/>
    </w:rPr>
  </w:style>
  <w:style w:type="paragraph" w:styleId="FootnoteText">
    <w:name w:val="footnote text"/>
    <w:basedOn w:val="Normal"/>
    <w:link w:val="FootnoteTextChar"/>
    <w:uiPriority w:val="99"/>
    <w:semiHidden/>
    <w:unhideWhenUsed/>
    <w:rsid w:val="005B08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08DD"/>
    <w:rPr>
      <w:sz w:val="20"/>
      <w:szCs w:val="20"/>
    </w:rPr>
  </w:style>
  <w:style w:type="character" w:styleId="FootnoteReference">
    <w:name w:val="footnote reference"/>
    <w:basedOn w:val="DefaultParagraphFont"/>
    <w:uiPriority w:val="99"/>
    <w:semiHidden/>
    <w:unhideWhenUsed/>
    <w:rsid w:val="005B08DD"/>
    <w:rPr>
      <w:vertAlign w:val="superscript"/>
    </w:rPr>
  </w:style>
  <w:style w:type="paragraph" w:styleId="Header">
    <w:name w:val="header"/>
    <w:basedOn w:val="Normal"/>
    <w:link w:val="HeaderChar"/>
    <w:uiPriority w:val="99"/>
    <w:unhideWhenUsed/>
    <w:rsid w:val="001E5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2BD"/>
  </w:style>
  <w:style w:type="paragraph" w:styleId="Footer">
    <w:name w:val="footer"/>
    <w:basedOn w:val="Normal"/>
    <w:link w:val="FooterChar"/>
    <w:uiPriority w:val="99"/>
    <w:unhideWhenUsed/>
    <w:rsid w:val="001E5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45847">
      <w:bodyDiv w:val="1"/>
      <w:marLeft w:val="0"/>
      <w:marRight w:val="0"/>
      <w:marTop w:val="0"/>
      <w:marBottom w:val="0"/>
      <w:divBdr>
        <w:top w:val="none" w:sz="0" w:space="0" w:color="auto"/>
        <w:left w:val="none" w:sz="0" w:space="0" w:color="auto"/>
        <w:bottom w:val="none" w:sz="0" w:space="0" w:color="auto"/>
        <w:right w:val="none" w:sz="0" w:space="0" w:color="auto"/>
      </w:divBdr>
    </w:div>
    <w:div w:id="369838409">
      <w:bodyDiv w:val="1"/>
      <w:marLeft w:val="0"/>
      <w:marRight w:val="0"/>
      <w:marTop w:val="0"/>
      <w:marBottom w:val="0"/>
      <w:divBdr>
        <w:top w:val="none" w:sz="0" w:space="0" w:color="auto"/>
        <w:left w:val="none" w:sz="0" w:space="0" w:color="auto"/>
        <w:bottom w:val="none" w:sz="0" w:space="0" w:color="auto"/>
        <w:right w:val="none" w:sz="0" w:space="0" w:color="auto"/>
      </w:divBdr>
    </w:div>
    <w:div w:id="673798797">
      <w:bodyDiv w:val="1"/>
      <w:marLeft w:val="0"/>
      <w:marRight w:val="0"/>
      <w:marTop w:val="0"/>
      <w:marBottom w:val="0"/>
      <w:divBdr>
        <w:top w:val="none" w:sz="0" w:space="0" w:color="auto"/>
        <w:left w:val="none" w:sz="0" w:space="0" w:color="auto"/>
        <w:bottom w:val="none" w:sz="0" w:space="0" w:color="auto"/>
        <w:right w:val="none" w:sz="0" w:space="0" w:color="auto"/>
      </w:divBdr>
      <w:divsChild>
        <w:div w:id="675498827">
          <w:marLeft w:val="0"/>
          <w:marRight w:val="0"/>
          <w:marTop w:val="0"/>
          <w:marBottom w:val="0"/>
          <w:divBdr>
            <w:top w:val="none" w:sz="0" w:space="0" w:color="auto"/>
            <w:left w:val="none" w:sz="0" w:space="0" w:color="auto"/>
            <w:bottom w:val="none" w:sz="0" w:space="0" w:color="auto"/>
            <w:right w:val="none" w:sz="0" w:space="0" w:color="auto"/>
          </w:divBdr>
          <w:divsChild>
            <w:div w:id="246766206">
              <w:marLeft w:val="0"/>
              <w:marRight w:val="0"/>
              <w:marTop w:val="0"/>
              <w:marBottom w:val="0"/>
              <w:divBdr>
                <w:top w:val="none" w:sz="0" w:space="0" w:color="auto"/>
                <w:left w:val="none" w:sz="0" w:space="0" w:color="auto"/>
                <w:bottom w:val="none" w:sz="0" w:space="0" w:color="auto"/>
                <w:right w:val="none" w:sz="0" w:space="0" w:color="auto"/>
              </w:divBdr>
              <w:divsChild>
                <w:div w:id="1133248976">
                  <w:marLeft w:val="0"/>
                  <w:marRight w:val="0"/>
                  <w:marTop w:val="0"/>
                  <w:marBottom w:val="0"/>
                  <w:divBdr>
                    <w:top w:val="none" w:sz="0" w:space="0" w:color="auto"/>
                    <w:left w:val="none" w:sz="0" w:space="0" w:color="auto"/>
                    <w:bottom w:val="none" w:sz="0" w:space="0" w:color="auto"/>
                    <w:right w:val="none" w:sz="0" w:space="0" w:color="auto"/>
                  </w:divBdr>
                  <w:divsChild>
                    <w:div w:id="147985161">
                      <w:marLeft w:val="0"/>
                      <w:marRight w:val="0"/>
                      <w:marTop w:val="0"/>
                      <w:marBottom w:val="0"/>
                      <w:divBdr>
                        <w:top w:val="none" w:sz="0" w:space="0" w:color="auto"/>
                        <w:left w:val="none" w:sz="0" w:space="0" w:color="auto"/>
                        <w:bottom w:val="none" w:sz="0" w:space="0" w:color="auto"/>
                        <w:right w:val="none" w:sz="0" w:space="0" w:color="auto"/>
                      </w:divBdr>
                      <w:divsChild>
                        <w:div w:id="1000308652">
                          <w:marLeft w:val="0"/>
                          <w:marRight w:val="0"/>
                          <w:marTop w:val="0"/>
                          <w:marBottom w:val="0"/>
                          <w:divBdr>
                            <w:top w:val="single" w:sz="6" w:space="0" w:color="828282"/>
                            <w:left w:val="single" w:sz="6" w:space="0" w:color="828282"/>
                            <w:bottom w:val="single" w:sz="6" w:space="0" w:color="828282"/>
                            <w:right w:val="single" w:sz="6" w:space="0" w:color="828282"/>
                          </w:divBdr>
                          <w:divsChild>
                            <w:div w:id="1830826319">
                              <w:marLeft w:val="0"/>
                              <w:marRight w:val="0"/>
                              <w:marTop w:val="0"/>
                              <w:marBottom w:val="0"/>
                              <w:divBdr>
                                <w:top w:val="none" w:sz="0" w:space="0" w:color="auto"/>
                                <w:left w:val="none" w:sz="0" w:space="0" w:color="auto"/>
                                <w:bottom w:val="none" w:sz="0" w:space="0" w:color="auto"/>
                                <w:right w:val="none" w:sz="0" w:space="0" w:color="auto"/>
                              </w:divBdr>
                              <w:divsChild>
                                <w:div w:id="1927155519">
                                  <w:marLeft w:val="0"/>
                                  <w:marRight w:val="0"/>
                                  <w:marTop w:val="0"/>
                                  <w:marBottom w:val="0"/>
                                  <w:divBdr>
                                    <w:top w:val="none" w:sz="0" w:space="0" w:color="auto"/>
                                    <w:left w:val="none" w:sz="0" w:space="0" w:color="auto"/>
                                    <w:bottom w:val="none" w:sz="0" w:space="0" w:color="auto"/>
                                    <w:right w:val="none" w:sz="0" w:space="0" w:color="auto"/>
                                  </w:divBdr>
                                  <w:divsChild>
                                    <w:div w:id="1306623461">
                                      <w:marLeft w:val="0"/>
                                      <w:marRight w:val="0"/>
                                      <w:marTop w:val="0"/>
                                      <w:marBottom w:val="0"/>
                                      <w:divBdr>
                                        <w:top w:val="none" w:sz="0" w:space="0" w:color="auto"/>
                                        <w:left w:val="none" w:sz="0" w:space="0" w:color="auto"/>
                                        <w:bottom w:val="none" w:sz="0" w:space="0" w:color="auto"/>
                                        <w:right w:val="none" w:sz="0" w:space="0" w:color="auto"/>
                                      </w:divBdr>
                                      <w:divsChild>
                                        <w:div w:id="955991737">
                                          <w:marLeft w:val="0"/>
                                          <w:marRight w:val="0"/>
                                          <w:marTop w:val="0"/>
                                          <w:marBottom w:val="0"/>
                                          <w:divBdr>
                                            <w:top w:val="none" w:sz="0" w:space="0" w:color="auto"/>
                                            <w:left w:val="none" w:sz="0" w:space="0" w:color="auto"/>
                                            <w:bottom w:val="none" w:sz="0" w:space="0" w:color="auto"/>
                                            <w:right w:val="none" w:sz="0" w:space="0" w:color="auto"/>
                                          </w:divBdr>
                                          <w:divsChild>
                                            <w:div w:id="1557160955">
                                              <w:marLeft w:val="0"/>
                                              <w:marRight w:val="0"/>
                                              <w:marTop w:val="0"/>
                                              <w:marBottom w:val="0"/>
                                              <w:divBdr>
                                                <w:top w:val="none" w:sz="0" w:space="0" w:color="auto"/>
                                                <w:left w:val="none" w:sz="0" w:space="0" w:color="auto"/>
                                                <w:bottom w:val="none" w:sz="0" w:space="0" w:color="auto"/>
                                                <w:right w:val="none" w:sz="0" w:space="0" w:color="auto"/>
                                              </w:divBdr>
                                              <w:divsChild>
                                                <w:div w:id="5837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omlaw.gov.au/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cma.gov.au/"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tu.int/en/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Record" ma:contentTypeID="0x01010070E27D6A746B5B48ADF22C2128054D550008F88AFD77110541B30D4FCF337538AB" ma:contentTypeVersion="35" ma:contentTypeDescription="A document enhanced so that it is automatically captured by RecordPoint." ma:contentTypeScope="" ma:versionID="229ac7bab0c1ea28513ce62e41376c06">
  <xsd:schema xmlns:xsd="http://www.w3.org/2001/XMLSchema" xmlns:xs="http://www.w3.org/2001/XMLSchema" xmlns:p="http://schemas.microsoft.com/office/2006/metadata/properties" xmlns:ns2="83630db1-6fc2-4dfd-b3fe-d61d34e1440c" xmlns:ns3="6db8f3c6-01a1-4322-b043-a3b2a190f7a8" targetNamespace="http://schemas.microsoft.com/office/2006/metadata/properties" ma:root="true" ma:fieldsID="91332400f5329df21830b2638c18b9fd" ns2:_="" ns3:_="">
    <xsd:import namespace="83630db1-6fc2-4dfd-b3fe-d61d34e1440c"/>
    <xsd:import namespace="6db8f3c6-01a1-4322-b043-a3b2a190f7a8"/>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033047a-93aa-421b-8aef-52cbfb63cf36" ContentTypeId="0x01010070E27D6A746B5B48ADF22C2128054D55" PreviousValue="false"/>
</file>

<file path=customXml/item5.xml><?xml version="1.0" encoding="utf-8"?>
<p:properties xmlns:p="http://schemas.microsoft.com/office/2006/metadata/properties" xmlns:xsi="http://www.w3.org/2001/XMLSchema-instance" xmlns:pc="http://schemas.microsoft.com/office/infopath/2007/PartnerControls">
  <documentManagement>
    <Record_x0020_Number xmlns="83630db1-6fc2-4dfd-b3fe-d61d34e1440c">ER2013/026547</Record_x0020_Number>
    <Legacy_x0020_Record_x0020_Number xmlns="83630db1-6fc2-4dfd-b3fe-d61d34e1440c" xsi:nil="true"/>
    <_dlc_DocId xmlns="6db8f3c6-01a1-4322-b043-a3b2a190f7a8">KNAH4PPFC442-2115-37</_dlc_DocId>
    <_dlc_DocIdUrl xmlns="6db8f3c6-01a1-4322-b043-a3b2a190f7a8">
      <Url>http://collaboration/organisation/CID/IRB/TRDS/Proj/_layouts/DocIdRedir.aspx?ID=KNAH4PPFC442-2115-37</Url>
      <Description>KNAH4PPFC442-2115-37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98C8F-B1F9-4FCA-9B60-1BE7F2C505C0}">
  <ds:schemaRefs>
    <ds:schemaRef ds:uri="http://schemas.microsoft.com/sharepoint/v3/contenttype/forms"/>
  </ds:schemaRefs>
</ds:datastoreItem>
</file>

<file path=customXml/itemProps2.xml><?xml version="1.0" encoding="utf-8"?>
<ds:datastoreItem xmlns:ds="http://schemas.openxmlformats.org/officeDocument/2006/customXml" ds:itemID="{18E59D03-B522-4B2D-B731-63F8950EE1C2}">
  <ds:schemaRefs>
    <ds:schemaRef ds:uri="http://schemas.microsoft.com/sharepoint/events"/>
  </ds:schemaRefs>
</ds:datastoreItem>
</file>

<file path=customXml/itemProps3.xml><?xml version="1.0" encoding="utf-8"?>
<ds:datastoreItem xmlns:ds="http://schemas.openxmlformats.org/officeDocument/2006/customXml" ds:itemID="{7CEC4884-1BC3-4A01-B563-DE8051197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7FD27-E81F-4BBF-85A7-A93C79BEFC0E}">
  <ds:schemaRefs>
    <ds:schemaRef ds:uri="Microsoft.SharePoint.Taxonomy.ContentTypeSync"/>
  </ds:schemaRefs>
</ds:datastoreItem>
</file>

<file path=customXml/itemProps5.xml><?xml version="1.0" encoding="utf-8"?>
<ds:datastoreItem xmlns:ds="http://schemas.openxmlformats.org/officeDocument/2006/customXml" ds:itemID="{C462C353-06F9-4911-97AF-7435261F164D}">
  <ds:schemaRef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elements/1.1/"/>
    <ds:schemaRef ds:uri="83630db1-6fc2-4dfd-b3fe-d61d34e1440c"/>
    <ds:schemaRef ds:uri="http://purl.org/dc/terms/"/>
    <ds:schemaRef ds:uri="6db8f3c6-01a1-4322-b043-a3b2a190f7a8"/>
    <ds:schemaRef ds:uri="http://www.w3.org/XML/1998/namespace"/>
    <ds:schemaRef ds:uri="http://purl.org/dc/dcmitype/"/>
  </ds:schemaRefs>
</ds:datastoreItem>
</file>

<file path=customXml/itemProps6.xml><?xml version="1.0" encoding="utf-8"?>
<ds:datastoreItem xmlns:ds="http://schemas.openxmlformats.org/officeDocument/2006/customXml" ds:itemID="{C63A4594-7910-4A40-89FB-AC7C7986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10086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Explanatory Statement SRD Standard</vt:lpstr>
    </vt:vector>
  </TitlesOfParts>
  <Company>Australian Communications and Media Authority</Company>
  <LinksUpToDate>false</LinksUpToDate>
  <CharactersWithSpaces>11832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SRD Standard</dc:title>
  <dc:creator>Kristy Tehan</dc:creator>
  <cp:lastModifiedBy>Helen Turnbull</cp:lastModifiedBy>
  <cp:revision>2</cp:revision>
  <cp:lastPrinted>2013-08-02T01:33:00Z</cp:lastPrinted>
  <dcterms:created xsi:type="dcterms:W3CDTF">2014-09-03T05:37:00Z</dcterms:created>
  <dcterms:modified xsi:type="dcterms:W3CDTF">2014-09-03T05:37:00Z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0x01010070E27D6A746B5B48ADF22C2128054D550008F88AFD77110541B30D4FCF337538AB</vt:lpwstr>
  </property>
  <property fmtid="{D5CDD505-2E9C-101B-9397-08002B2CF9AE}" pid="3" name="_dlc_DocIdItemGuid">
    <vt:lpwstr>4f04c0b0-608b-48a5-be16-19332de1905b</vt:lpwstr>
  </property>
  <property fmtid="{D5CDD505-2E9C-101B-9397-08002B2CF9AE}" pid="4" name="RecordPoint_WorkflowType">
    <vt:lpwstr>ActiveSubmitStub</vt:lpwstr>
  </property>
  <property fmtid="{D5CDD505-2E9C-101B-9397-08002B2CF9AE}" pid="5" name="RecordPoint_SubmissionCompleted">
    <vt:lpwstr>2013-08-02T12:13:12.2398229+10:00</vt:lpwstr>
  </property>
  <property fmtid="{D5CDD505-2E9C-101B-9397-08002B2CF9AE}" pid="6" name="RecordPoint_SubmissionDate">
    <vt:lpwstr/>
  </property>
  <property fmtid="{D5CDD505-2E9C-101B-9397-08002B2CF9AE}" pid="7" name="RecordPoint_ActiveItemSiteId">
    <vt:lpwstr>{7ba5f3c1-1ab9-4cc3-a7c0-334d2b0aec73}</vt:lpwstr>
  </property>
  <property fmtid="{D5CDD505-2E9C-101B-9397-08002B2CF9AE}" pid="8" name="RecordPoint_ActiveItemListId">
    <vt:lpwstr>{a8703e1a-4baa-4f89-835b-af5d289bbeb0}</vt:lpwstr>
  </property>
  <property fmtid="{D5CDD505-2E9C-101B-9397-08002B2CF9AE}" pid="9" name="RecordPoint_ActiveItemMoved">
    <vt:lpwstr/>
  </property>
  <property fmtid="{D5CDD505-2E9C-101B-9397-08002B2CF9AE}" pid="10" name="RecordPoint_ActiveItemUniqueId">
    <vt:lpwstr>{4f04c0b0-608b-48a5-be16-19332de1905b}</vt:lpwstr>
  </property>
  <property fmtid="{D5CDD505-2E9C-101B-9397-08002B2CF9AE}" pid="11" name="RecordPoint_RecordFormat">
    <vt:lpwstr/>
  </property>
  <property fmtid="{D5CDD505-2E9C-101B-9397-08002B2CF9AE}" pid="12" name="RecordPoint_ActiveItemWebId">
    <vt:lpwstr>{5b8a22d4-e734-43ec-b258-9089c7642a7f}</vt:lpwstr>
  </property>
  <property fmtid="{D5CDD505-2E9C-101B-9397-08002B2CF9AE}" pid="13" name="IconOverlay">
    <vt:lpwstr/>
  </property>
</Properties>
</file>