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9B19A" w14:textId="77777777" w:rsidR="0013544B" w:rsidRPr="00765464" w:rsidRDefault="0013544B" w:rsidP="0013544B">
      <w:pPr>
        <w:pStyle w:val="NoSpacing"/>
        <w:jc w:val="center"/>
        <w:rPr>
          <w:rFonts w:ascii="Times New Roman" w:hAnsi="Times New Roman"/>
          <w:b/>
          <w:sz w:val="24"/>
          <w:szCs w:val="24"/>
        </w:rPr>
      </w:pPr>
      <w:r>
        <w:rPr>
          <w:rFonts w:ascii="Times New Roman" w:hAnsi="Times New Roman"/>
          <w:b/>
          <w:sz w:val="24"/>
          <w:szCs w:val="24"/>
        </w:rPr>
        <w:t>E</w:t>
      </w:r>
      <w:r w:rsidRPr="00765464">
        <w:rPr>
          <w:rFonts w:ascii="Times New Roman" w:hAnsi="Times New Roman"/>
          <w:b/>
          <w:sz w:val="24"/>
          <w:szCs w:val="24"/>
        </w:rPr>
        <w:t>XPLANATORY STATEMENT</w:t>
      </w:r>
    </w:p>
    <w:p w14:paraId="255F21E9" w14:textId="77777777" w:rsidR="0013544B" w:rsidRPr="00765464" w:rsidRDefault="0013544B" w:rsidP="0013544B">
      <w:pPr>
        <w:pStyle w:val="NoSpacing"/>
        <w:jc w:val="center"/>
        <w:rPr>
          <w:rFonts w:ascii="Times New Roman" w:hAnsi="Times New Roman"/>
          <w:b/>
          <w:sz w:val="24"/>
          <w:szCs w:val="24"/>
        </w:rPr>
      </w:pPr>
    </w:p>
    <w:p w14:paraId="4DA4B921" w14:textId="77777777" w:rsidR="0013544B" w:rsidRPr="00765464" w:rsidRDefault="0013544B" w:rsidP="0013544B">
      <w:pPr>
        <w:pStyle w:val="NoSpacing"/>
        <w:jc w:val="center"/>
        <w:rPr>
          <w:rFonts w:ascii="Times New Roman" w:hAnsi="Times New Roman"/>
          <w:b/>
          <w:sz w:val="24"/>
          <w:szCs w:val="24"/>
        </w:rPr>
      </w:pPr>
      <w:r>
        <w:rPr>
          <w:rFonts w:ascii="Times New Roman" w:hAnsi="Times New Roman"/>
          <w:sz w:val="24"/>
          <w:szCs w:val="24"/>
        </w:rPr>
        <w:t>Prepared by</w:t>
      </w:r>
      <w:r w:rsidRPr="00765464">
        <w:rPr>
          <w:rFonts w:ascii="Times New Roman" w:hAnsi="Times New Roman"/>
          <w:sz w:val="24"/>
          <w:szCs w:val="24"/>
        </w:rPr>
        <w:t xml:space="preserve"> the </w:t>
      </w:r>
      <w:r w:rsidRPr="0074080A">
        <w:rPr>
          <w:rFonts w:ascii="Times New Roman" w:hAnsi="Times New Roman"/>
          <w:sz w:val="24"/>
          <w:szCs w:val="24"/>
        </w:rPr>
        <w:t>Australian Communications and Media Authority</w:t>
      </w:r>
    </w:p>
    <w:p w14:paraId="435F0224" w14:textId="77777777" w:rsidR="0013544B" w:rsidRPr="00765464" w:rsidRDefault="0013544B" w:rsidP="0013544B">
      <w:pPr>
        <w:pStyle w:val="NoSpacing"/>
        <w:jc w:val="center"/>
        <w:rPr>
          <w:rFonts w:ascii="Times New Roman" w:hAnsi="Times New Roman"/>
          <w:b/>
          <w:sz w:val="24"/>
          <w:szCs w:val="24"/>
        </w:rPr>
      </w:pPr>
    </w:p>
    <w:p w14:paraId="2EE1E477" w14:textId="77777777" w:rsidR="0013544B" w:rsidRPr="00765464" w:rsidRDefault="0013544B" w:rsidP="0013544B">
      <w:pPr>
        <w:pStyle w:val="NoSpacing"/>
        <w:jc w:val="center"/>
        <w:rPr>
          <w:rFonts w:ascii="Times New Roman" w:hAnsi="Times New Roman"/>
          <w:i/>
          <w:sz w:val="24"/>
          <w:szCs w:val="24"/>
        </w:rPr>
      </w:pPr>
      <w:r w:rsidRPr="00765464">
        <w:rPr>
          <w:rFonts w:ascii="Times New Roman" w:hAnsi="Times New Roman"/>
          <w:i/>
          <w:sz w:val="24"/>
          <w:szCs w:val="24"/>
        </w:rPr>
        <w:t>Telecommunications (Consumer Protection and Service Standards) Act 1999</w:t>
      </w:r>
    </w:p>
    <w:p w14:paraId="2B06645A" w14:textId="77777777" w:rsidR="00D65814" w:rsidRPr="0013544B" w:rsidRDefault="00D65814" w:rsidP="00D65814">
      <w:pPr>
        <w:spacing w:before="326" w:line="259" w:lineRule="exact"/>
        <w:jc w:val="center"/>
        <w:rPr>
          <w:rFonts w:eastAsiaTheme="minorHAnsi"/>
          <w:b/>
          <w:lang w:eastAsia="en-US"/>
        </w:rPr>
      </w:pPr>
      <w:r w:rsidRPr="0013544B">
        <w:rPr>
          <w:rFonts w:eastAsiaTheme="minorHAnsi"/>
          <w:b/>
          <w:lang w:eastAsia="en-US"/>
        </w:rPr>
        <w:t xml:space="preserve">TELECOMMUNICATIONS (EMERGENCY CALL SERVICE) </w:t>
      </w:r>
      <w:r w:rsidRPr="0013544B">
        <w:rPr>
          <w:rFonts w:eastAsiaTheme="minorHAnsi"/>
          <w:b/>
          <w:lang w:eastAsia="en-US"/>
        </w:rPr>
        <w:br/>
        <w:t>AMENDMENT DETERMINATION 2014 (No.1)</w:t>
      </w:r>
    </w:p>
    <w:p w14:paraId="2F44903C" w14:textId="77777777" w:rsidR="0013544B" w:rsidRDefault="0013544B" w:rsidP="00D65814">
      <w:pPr>
        <w:spacing w:after="120"/>
        <w:rPr>
          <w:b/>
        </w:rPr>
      </w:pPr>
    </w:p>
    <w:p w14:paraId="745E28D5" w14:textId="77777777" w:rsidR="0013544B" w:rsidRDefault="0013544B" w:rsidP="00D65814">
      <w:pPr>
        <w:spacing w:after="120"/>
        <w:rPr>
          <w:b/>
        </w:rPr>
      </w:pPr>
    </w:p>
    <w:p w14:paraId="5B5167D1" w14:textId="77777777" w:rsidR="0013544B" w:rsidRDefault="0013544B" w:rsidP="00D65814">
      <w:pPr>
        <w:spacing w:after="120"/>
        <w:rPr>
          <w:b/>
        </w:rPr>
      </w:pPr>
      <w:r w:rsidRPr="00765464">
        <w:rPr>
          <w:b/>
        </w:rPr>
        <w:t>Outline</w:t>
      </w:r>
      <w:r>
        <w:rPr>
          <w:b/>
        </w:rPr>
        <w:t xml:space="preserve"> </w:t>
      </w:r>
    </w:p>
    <w:p w14:paraId="5D08A141" w14:textId="4533D9AB" w:rsidR="00D867BD" w:rsidRDefault="0013544B" w:rsidP="0013544B">
      <w:pPr>
        <w:pStyle w:val="NoSpacing"/>
        <w:rPr>
          <w:rFonts w:ascii="Times New Roman" w:eastAsiaTheme="minorHAnsi" w:hAnsi="Times New Roman"/>
        </w:rPr>
      </w:pPr>
      <w:r>
        <w:rPr>
          <w:rFonts w:ascii="Times New Roman" w:hAnsi="Times New Roman"/>
          <w:sz w:val="24"/>
          <w:szCs w:val="24"/>
        </w:rPr>
        <w:t>The Australian Communications and Media Authority (</w:t>
      </w:r>
      <w:r w:rsidRPr="0002112F">
        <w:rPr>
          <w:rFonts w:ascii="Times New Roman" w:hAnsi="Times New Roman"/>
          <w:sz w:val="24"/>
          <w:szCs w:val="24"/>
        </w:rPr>
        <w:t>the</w:t>
      </w:r>
      <w:r w:rsidRPr="0002112F">
        <w:rPr>
          <w:rFonts w:ascii="Times New Roman" w:hAnsi="Times New Roman"/>
          <w:b/>
          <w:sz w:val="24"/>
          <w:szCs w:val="24"/>
        </w:rPr>
        <w:t xml:space="preserve"> ACMA</w:t>
      </w:r>
      <w:r>
        <w:rPr>
          <w:rFonts w:ascii="Times New Roman" w:hAnsi="Times New Roman"/>
          <w:sz w:val="24"/>
          <w:szCs w:val="24"/>
        </w:rPr>
        <w:t xml:space="preserve">) </w:t>
      </w:r>
      <w:r w:rsidR="0022181B">
        <w:rPr>
          <w:rFonts w:ascii="Times New Roman" w:hAnsi="Times New Roman"/>
          <w:sz w:val="24"/>
          <w:szCs w:val="24"/>
        </w:rPr>
        <w:t xml:space="preserve">has made </w:t>
      </w:r>
      <w:r>
        <w:rPr>
          <w:rFonts w:ascii="Times New Roman" w:hAnsi="Times New Roman"/>
          <w:sz w:val="24"/>
          <w:szCs w:val="24"/>
        </w:rPr>
        <w:t xml:space="preserve">the </w:t>
      </w:r>
      <w:r w:rsidR="00D65814" w:rsidRPr="00D867BD">
        <w:rPr>
          <w:rFonts w:ascii="Times New Roman" w:eastAsiaTheme="minorHAnsi" w:hAnsi="Times New Roman"/>
          <w:i/>
        </w:rPr>
        <w:t xml:space="preserve">Telecommunications (Emergency Call Service) Amendment Determination 2014 (No.1) </w:t>
      </w:r>
      <w:r w:rsidR="00D65814" w:rsidRPr="0013544B">
        <w:rPr>
          <w:rFonts w:ascii="Times New Roman" w:eastAsiaTheme="minorHAnsi" w:hAnsi="Times New Roman"/>
        </w:rPr>
        <w:t xml:space="preserve">(the </w:t>
      </w:r>
      <w:r w:rsidR="00D65814" w:rsidRPr="00D867BD">
        <w:rPr>
          <w:rFonts w:ascii="Times New Roman" w:eastAsiaTheme="minorHAnsi" w:hAnsi="Times New Roman"/>
          <w:b/>
        </w:rPr>
        <w:t>Amendment Determination</w:t>
      </w:r>
      <w:r w:rsidR="00D65814" w:rsidRPr="0013544B">
        <w:rPr>
          <w:rFonts w:ascii="Times New Roman" w:eastAsiaTheme="minorHAnsi" w:hAnsi="Times New Roman"/>
        </w:rPr>
        <w:t xml:space="preserve">) </w:t>
      </w:r>
      <w:r w:rsidR="00D867BD">
        <w:rPr>
          <w:rFonts w:ascii="Times New Roman" w:hAnsi="Times New Roman"/>
          <w:sz w:val="24"/>
          <w:szCs w:val="24"/>
        </w:rPr>
        <w:t xml:space="preserve">under subsection 147(1) of the </w:t>
      </w:r>
      <w:r w:rsidR="00D867BD" w:rsidRPr="0002112F">
        <w:rPr>
          <w:rFonts w:ascii="Times New Roman" w:hAnsi="Times New Roman"/>
          <w:i/>
          <w:sz w:val="24"/>
          <w:szCs w:val="24"/>
        </w:rPr>
        <w:t>Telecommunications (Consumer Protection and Service Standards) Act 1999</w:t>
      </w:r>
      <w:r w:rsidR="00D867BD">
        <w:rPr>
          <w:rFonts w:ascii="Times New Roman" w:hAnsi="Times New Roman"/>
          <w:sz w:val="24"/>
          <w:szCs w:val="24"/>
        </w:rPr>
        <w:t xml:space="preserve"> (</w:t>
      </w:r>
      <w:r w:rsidR="00D867BD" w:rsidRPr="0002112F">
        <w:rPr>
          <w:rFonts w:ascii="Times New Roman" w:hAnsi="Times New Roman"/>
          <w:sz w:val="24"/>
          <w:szCs w:val="24"/>
        </w:rPr>
        <w:t>the</w:t>
      </w:r>
      <w:r w:rsidR="00D867BD" w:rsidRPr="0002112F">
        <w:rPr>
          <w:rFonts w:ascii="Times New Roman" w:hAnsi="Times New Roman"/>
          <w:b/>
          <w:sz w:val="24"/>
          <w:szCs w:val="24"/>
        </w:rPr>
        <w:t xml:space="preserve"> Act</w:t>
      </w:r>
      <w:r w:rsidR="00D867BD">
        <w:rPr>
          <w:rFonts w:ascii="Times New Roman" w:hAnsi="Times New Roman"/>
          <w:sz w:val="24"/>
          <w:szCs w:val="24"/>
        </w:rPr>
        <w:t>)</w:t>
      </w:r>
      <w:r w:rsidR="00D65814" w:rsidRPr="0013544B">
        <w:rPr>
          <w:rFonts w:ascii="Times New Roman" w:eastAsiaTheme="minorHAnsi" w:hAnsi="Times New Roman"/>
        </w:rPr>
        <w:t>.</w:t>
      </w:r>
    </w:p>
    <w:p w14:paraId="2F1F1CC5" w14:textId="77777777" w:rsidR="0013544B" w:rsidRDefault="00D867BD" w:rsidP="0013544B">
      <w:pPr>
        <w:pStyle w:val="NoSpacing"/>
        <w:rPr>
          <w:rFonts w:ascii="Times New Roman" w:hAnsi="Times New Roman"/>
          <w:sz w:val="24"/>
          <w:szCs w:val="24"/>
        </w:rPr>
      </w:pPr>
      <w:r>
        <w:rPr>
          <w:rFonts w:ascii="Times New Roman" w:eastAsiaTheme="minorHAnsi" w:hAnsi="Times New Roman"/>
        </w:rPr>
        <w:br/>
      </w:r>
      <w:r w:rsidR="0013544B" w:rsidRPr="0013544B">
        <w:rPr>
          <w:rFonts w:ascii="Times New Roman" w:eastAsiaTheme="minorHAnsi" w:hAnsi="Times New Roman"/>
          <w:sz w:val="24"/>
          <w:szCs w:val="24"/>
        </w:rPr>
        <w:t>Subsection 147(1) of the Act provides that the ACMA must make a written determination imposing requirements on carriers, carriage service providers</w:t>
      </w:r>
      <w:r w:rsidR="0013544B">
        <w:rPr>
          <w:rFonts w:ascii="Times New Roman" w:hAnsi="Times New Roman"/>
          <w:sz w:val="24"/>
          <w:szCs w:val="24"/>
        </w:rPr>
        <w:t xml:space="preserve"> (</w:t>
      </w:r>
      <w:r w:rsidR="0013544B" w:rsidRPr="00272738">
        <w:rPr>
          <w:rFonts w:ascii="Times New Roman" w:hAnsi="Times New Roman"/>
          <w:b/>
          <w:sz w:val="24"/>
          <w:szCs w:val="24"/>
        </w:rPr>
        <w:t>CSPs</w:t>
      </w:r>
      <w:r w:rsidR="0013544B">
        <w:rPr>
          <w:rFonts w:ascii="Times New Roman" w:hAnsi="Times New Roman"/>
          <w:sz w:val="24"/>
          <w:szCs w:val="24"/>
        </w:rPr>
        <w:t>)</w:t>
      </w:r>
      <w:r w:rsidR="0013544B" w:rsidRPr="0002112F">
        <w:rPr>
          <w:rFonts w:ascii="Times New Roman" w:hAnsi="Times New Roman"/>
          <w:sz w:val="24"/>
          <w:szCs w:val="24"/>
        </w:rPr>
        <w:t xml:space="preserve"> and/or emergency call persons in relation to emergency call services</w:t>
      </w:r>
      <w:r w:rsidR="0013544B">
        <w:rPr>
          <w:rFonts w:ascii="Times New Roman" w:hAnsi="Times New Roman"/>
          <w:sz w:val="24"/>
          <w:szCs w:val="24"/>
        </w:rPr>
        <w:t xml:space="preserve"> (</w:t>
      </w:r>
      <w:r w:rsidR="0013544B" w:rsidRPr="00272738">
        <w:rPr>
          <w:rFonts w:ascii="Times New Roman" w:hAnsi="Times New Roman"/>
          <w:b/>
          <w:sz w:val="24"/>
          <w:szCs w:val="24"/>
        </w:rPr>
        <w:t>ECS</w:t>
      </w:r>
      <w:r w:rsidR="0013544B">
        <w:rPr>
          <w:rFonts w:ascii="Times New Roman" w:hAnsi="Times New Roman"/>
          <w:sz w:val="24"/>
          <w:szCs w:val="24"/>
        </w:rPr>
        <w:t>). In accordance with subsection 147(1), t</w:t>
      </w:r>
      <w:r w:rsidR="0013544B" w:rsidRPr="0002112F">
        <w:rPr>
          <w:rFonts w:ascii="Times New Roman" w:hAnsi="Times New Roman"/>
          <w:sz w:val="24"/>
          <w:szCs w:val="24"/>
        </w:rPr>
        <w:t xml:space="preserve">he ACMA made the </w:t>
      </w:r>
      <w:r w:rsidR="0013544B" w:rsidRPr="0002112F">
        <w:rPr>
          <w:rFonts w:ascii="Times New Roman" w:hAnsi="Times New Roman"/>
          <w:i/>
          <w:sz w:val="24"/>
          <w:szCs w:val="24"/>
        </w:rPr>
        <w:t>Telecommunications (Emergency Call Service) Determination 2009</w:t>
      </w:r>
      <w:r w:rsidR="0013544B">
        <w:rPr>
          <w:rFonts w:ascii="Times New Roman" w:hAnsi="Times New Roman"/>
          <w:sz w:val="24"/>
          <w:szCs w:val="24"/>
        </w:rPr>
        <w:t xml:space="preserve"> (</w:t>
      </w:r>
      <w:r w:rsidR="0013544B" w:rsidRPr="0002112F">
        <w:rPr>
          <w:rFonts w:ascii="Times New Roman" w:hAnsi="Times New Roman"/>
          <w:sz w:val="24"/>
          <w:szCs w:val="24"/>
        </w:rPr>
        <w:t>the</w:t>
      </w:r>
      <w:r w:rsidR="0013544B" w:rsidRPr="0002112F">
        <w:rPr>
          <w:rFonts w:ascii="Times New Roman" w:hAnsi="Times New Roman"/>
          <w:b/>
          <w:sz w:val="24"/>
          <w:szCs w:val="24"/>
        </w:rPr>
        <w:t xml:space="preserve"> ECS Determination</w:t>
      </w:r>
      <w:r w:rsidR="0013544B">
        <w:rPr>
          <w:rFonts w:ascii="Times New Roman" w:hAnsi="Times New Roman"/>
          <w:sz w:val="24"/>
          <w:szCs w:val="24"/>
        </w:rPr>
        <w:t>).</w:t>
      </w:r>
    </w:p>
    <w:p w14:paraId="579F8975" w14:textId="77777777" w:rsidR="002F4223" w:rsidRDefault="002F4223" w:rsidP="0013544B">
      <w:pPr>
        <w:pStyle w:val="NoSpacing"/>
        <w:rPr>
          <w:rFonts w:ascii="Times New Roman" w:hAnsi="Times New Roman"/>
          <w:sz w:val="24"/>
          <w:szCs w:val="24"/>
        </w:rPr>
      </w:pPr>
    </w:p>
    <w:p w14:paraId="1E6929D1" w14:textId="7BDCF04F" w:rsidR="002F4223" w:rsidRDefault="002F4223" w:rsidP="0013544B">
      <w:pPr>
        <w:pStyle w:val="NoSpacing"/>
        <w:rPr>
          <w:rFonts w:ascii="Times New Roman" w:hAnsi="Times New Roman"/>
          <w:sz w:val="24"/>
          <w:szCs w:val="24"/>
        </w:rPr>
      </w:pPr>
      <w:r w:rsidRPr="002F4223">
        <w:rPr>
          <w:rFonts w:ascii="Times New Roman" w:hAnsi="Times New Roman"/>
          <w:sz w:val="24"/>
          <w:szCs w:val="24"/>
        </w:rPr>
        <w:t xml:space="preserve">Subsection 33(3) of the </w:t>
      </w:r>
      <w:r w:rsidRPr="002F4223">
        <w:rPr>
          <w:rFonts w:ascii="Times New Roman" w:hAnsi="Times New Roman"/>
          <w:i/>
          <w:sz w:val="24"/>
          <w:szCs w:val="24"/>
        </w:rPr>
        <w:t>Acts Interpretation Act 1901</w:t>
      </w:r>
      <w:r w:rsidRPr="002F4223">
        <w:rPr>
          <w:rFonts w:ascii="Times New Roman" w:hAnsi="Times New Roman"/>
          <w:sz w:val="24"/>
          <w:szCs w:val="24"/>
        </w:rPr>
        <w:t xml:space="preserve"> (the </w:t>
      </w:r>
      <w:r w:rsidRPr="002F4223">
        <w:rPr>
          <w:rFonts w:ascii="Times New Roman" w:hAnsi="Times New Roman"/>
          <w:b/>
          <w:sz w:val="24"/>
          <w:szCs w:val="24"/>
        </w:rPr>
        <w:t>AIA</w:t>
      </w:r>
      <w:r w:rsidRPr="002F4223">
        <w:rPr>
          <w:rFonts w:ascii="Times New Roman" w:hAnsi="Times New Roman"/>
          <w:sz w:val="24"/>
          <w:szCs w:val="24"/>
        </w:rPr>
        <w:t xml:space="preserve">) provides that where an Act confers a power to make a legislative instrument, the power shall be construed to include a power exercisable in the like manner and subject to the like conditions (if any) to repeal, rescind, revoke, amend or vary any such instrument. The power to make a written determination under subsection 147(1) </w:t>
      </w:r>
      <w:r w:rsidR="00DC1EE5">
        <w:rPr>
          <w:rFonts w:ascii="Times New Roman" w:hAnsi="Times New Roman"/>
          <w:sz w:val="24"/>
          <w:szCs w:val="24"/>
        </w:rPr>
        <w:t xml:space="preserve">therefore </w:t>
      </w:r>
      <w:r w:rsidRPr="002F4223">
        <w:rPr>
          <w:rFonts w:ascii="Times New Roman" w:hAnsi="Times New Roman"/>
          <w:sz w:val="24"/>
          <w:szCs w:val="24"/>
        </w:rPr>
        <w:t xml:space="preserve">also </w:t>
      </w:r>
      <w:r w:rsidR="00DC1EE5">
        <w:rPr>
          <w:rFonts w:ascii="Times New Roman" w:hAnsi="Times New Roman"/>
          <w:sz w:val="24"/>
          <w:szCs w:val="24"/>
        </w:rPr>
        <w:t xml:space="preserve">includes the power </w:t>
      </w:r>
      <w:r w:rsidRPr="002F4223">
        <w:rPr>
          <w:rFonts w:ascii="Times New Roman" w:hAnsi="Times New Roman"/>
          <w:sz w:val="24"/>
          <w:szCs w:val="24"/>
        </w:rPr>
        <w:t>to amend the instrument on the basis of subsection 33(3) of the AIA.</w:t>
      </w:r>
    </w:p>
    <w:p w14:paraId="12611E5C" w14:textId="77777777" w:rsidR="00F840AB" w:rsidRDefault="00F840AB" w:rsidP="0013544B">
      <w:pPr>
        <w:pStyle w:val="NoSpacing"/>
        <w:rPr>
          <w:rFonts w:ascii="Times New Roman" w:hAnsi="Times New Roman"/>
          <w:sz w:val="24"/>
          <w:szCs w:val="24"/>
        </w:rPr>
      </w:pPr>
    </w:p>
    <w:p w14:paraId="4376085F" w14:textId="77777777" w:rsidR="00D867BD" w:rsidRPr="00D867BD" w:rsidRDefault="00D867BD" w:rsidP="00D65814">
      <w:pPr>
        <w:autoSpaceDE w:val="0"/>
        <w:autoSpaceDN w:val="0"/>
        <w:adjustRightInd w:val="0"/>
        <w:spacing w:after="80"/>
        <w:rPr>
          <w:rFonts w:eastAsiaTheme="minorHAnsi"/>
          <w:b/>
          <w:lang w:eastAsia="en-US"/>
        </w:rPr>
      </w:pPr>
      <w:r>
        <w:br/>
      </w:r>
      <w:r w:rsidRPr="00D867BD">
        <w:rPr>
          <w:rFonts w:eastAsiaTheme="minorHAnsi"/>
          <w:b/>
          <w:lang w:eastAsia="en-US"/>
        </w:rPr>
        <w:t>Background</w:t>
      </w:r>
    </w:p>
    <w:p w14:paraId="222C0F5D" w14:textId="2FCABDBC" w:rsidR="0022181B" w:rsidRDefault="002F4223" w:rsidP="00477645">
      <w:pPr>
        <w:autoSpaceDE w:val="0"/>
        <w:autoSpaceDN w:val="0"/>
        <w:adjustRightInd w:val="0"/>
        <w:spacing w:after="120"/>
        <w:rPr>
          <w:rFonts w:eastAsiaTheme="minorHAnsi"/>
        </w:rPr>
      </w:pPr>
      <w:r>
        <w:rPr>
          <w:rFonts w:eastAsiaTheme="minorHAnsi"/>
        </w:rPr>
        <w:t>The ECS</w:t>
      </w:r>
      <w:r w:rsidRPr="002F4223">
        <w:rPr>
          <w:rFonts w:eastAsiaTheme="minorHAnsi"/>
        </w:rPr>
        <w:t xml:space="preserve"> in Australia operates at a national level, with </w:t>
      </w:r>
      <w:r w:rsidR="008301CC">
        <w:rPr>
          <w:rFonts w:eastAsiaTheme="minorHAnsi"/>
        </w:rPr>
        <w:t>an ECS provider</w:t>
      </w:r>
      <w:r>
        <w:rPr>
          <w:rFonts w:eastAsiaTheme="minorHAnsi"/>
        </w:rPr>
        <w:t xml:space="preserve"> </w:t>
      </w:r>
      <w:r w:rsidRPr="002F4223">
        <w:rPr>
          <w:rFonts w:eastAsiaTheme="minorHAnsi"/>
        </w:rPr>
        <w:t>acting as the initial answering point for emergency ca</w:t>
      </w:r>
      <w:r>
        <w:rPr>
          <w:rFonts w:eastAsiaTheme="minorHAnsi"/>
        </w:rPr>
        <w:t xml:space="preserve">lls.  The ECS </w:t>
      </w:r>
      <w:r w:rsidR="008301CC">
        <w:rPr>
          <w:rFonts w:eastAsiaTheme="minorHAnsi"/>
        </w:rPr>
        <w:t>provide</w:t>
      </w:r>
      <w:r w:rsidR="00DC1EE5">
        <w:rPr>
          <w:rFonts w:eastAsiaTheme="minorHAnsi"/>
        </w:rPr>
        <w:t>r</w:t>
      </w:r>
      <w:r w:rsidRPr="002F4223">
        <w:rPr>
          <w:rFonts w:eastAsiaTheme="minorHAnsi"/>
        </w:rPr>
        <w:t xml:space="preserve"> then transfer</w:t>
      </w:r>
      <w:r w:rsidR="00DC1EE5">
        <w:rPr>
          <w:rFonts w:eastAsiaTheme="minorHAnsi"/>
        </w:rPr>
        <w:t>s</w:t>
      </w:r>
      <w:r w:rsidRPr="002F4223">
        <w:rPr>
          <w:rFonts w:eastAsiaTheme="minorHAnsi"/>
        </w:rPr>
        <w:t xml:space="preserve"> calls to the appropriate state-based emergency service organisation for resolution according to the information available to the call-taker</w:t>
      </w:r>
      <w:r>
        <w:rPr>
          <w:rFonts w:eastAsiaTheme="minorHAnsi"/>
        </w:rPr>
        <w:t xml:space="preserve">. The ECS Determination </w:t>
      </w:r>
      <w:r w:rsidR="008301CC">
        <w:rPr>
          <w:rFonts w:eastAsiaTheme="minorHAnsi"/>
        </w:rPr>
        <w:t>establishes</w:t>
      </w:r>
      <w:r>
        <w:rPr>
          <w:rFonts w:eastAsiaTheme="minorHAnsi"/>
        </w:rPr>
        <w:t xml:space="preserve"> arrangements that enabled end-users to contact the ECS.</w:t>
      </w:r>
    </w:p>
    <w:p w14:paraId="0F561703" w14:textId="77777777" w:rsidR="002F4223" w:rsidRDefault="002F4223" w:rsidP="00F840AB">
      <w:pPr>
        <w:autoSpaceDE w:val="0"/>
        <w:autoSpaceDN w:val="0"/>
        <w:adjustRightInd w:val="0"/>
      </w:pPr>
      <w:r w:rsidRPr="00765464">
        <w:t xml:space="preserve">The </w:t>
      </w:r>
      <w:r>
        <w:t xml:space="preserve">Amendment </w:t>
      </w:r>
      <w:r w:rsidRPr="00765464">
        <w:t xml:space="preserve">Determination amends the </w:t>
      </w:r>
      <w:r>
        <w:t>ECS</w:t>
      </w:r>
      <w:r w:rsidRPr="00C64E83">
        <w:t xml:space="preserve"> Determination</w:t>
      </w:r>
      <w:r>
        <w:t xml:space="preserve"> </w:t>
      </w:r>
      <w:r w:rsidRPr="00D867BD">
        <w:t xml:space="preserve">as part of a whole of government initiative to amend or repeal legislation across </w:t>
      </w:r>
      <w:r>
        <w:t>various</w:t>
      </w:r>
      <w:r w:rsidRPr="00D867BD">
        <w:t xml:space="preserve"> portfolios</w:t>
      </w:r>
      <w:r>
        <w:t>.</w:t>
      </w:r>
    </w:p>
    <w:p w14:paraId="0A55A329" w14:textId="77777777" w:rsidR="00F840AB" w:rsidRDefault="00F840AB" w:rsidP="00F840AB">
      <w:pPr>
        <w:autoSpaceDE w:val="0"/>
        <w:autoSpaceDN w:val="0"/>
        <w:adjustRightInd w:val="0"/>
      </w:pPr>
    </w:p>
    <w:p w14:paraId="74BD98B7" w14:textId="77777777" w:rsidR="008301CC" w:rsidRDefault="008301CC" w:rsidP="00477645">
      <w:pPr>
        <w:rPr>
          <w:b/>
        </w:rPr>
      </w:pPr>
    </w:p>
    <w:p w14:paraId="2898A163" w14:textId="77777777" w:rsidR="00477645" w:rsidRPr="00234C1E" w:rsidRDefault="00477645" w:rsidP="00477645">
      <w:pPr>
        <w:rPr>
          <w:b/>
        </w:rPr>
      </w:pPr>
      <w:r w:rsidRPr="00234C1E">
        <w:rPr>
          <w:b/>
        </w:rPr>
        <w:t>Operation of the Amendment Determination</w:t>
      </w:r>
    </w:p>
    <w:p w14:paraId="02742504" w14:textId="77777777" w:rsidR="00D65814" w:rsidRPr="00D867BD" w:rsidRDefault="00477645" w:rsidP="00D65814">
      <w:pPr>
        <w:autoSpaceDE w:val="0"/>
        <w:autoSpaceDN w:val="0"/>
        <w:adjustRightInd w:val="0"/>
        <w:spacing w:after="80"/>
        <w:rPr>
          <w:rFonts w:eastAsiaTheme="minorHAnsi"/>
          <w:lang w:eastAsia="en-US"/>
        </w:rPr>
      </w:pPr>
      <w:r>
        <w:rPr>
          <w:rFonts w:eastAsiaTheme="minorHAnsi"/>
          <w:lang w:eastAsia="en-US"/>
        </w:rPr>
        <w:br/>
      </w:r>
      <w:r w:rsidR="00D867BD" w:rsidRPr="00D867BD">
        <w:rPr>
          <w:rFonts w:eastAsiaTheme="minorHAnsi"/>
          <w:lang w:eastAsia="en-US"/>
        </w:rPr>
        <w:t>The ECS Determination r</w:t>
      </w:r>
      <w:r w:rsidR="00D65814" w:rsidRPr="00D867BD">
        <w:rPr>
          <w:rFonts w:eastAsiaTheme="minorHAnsi"/>
          <w:lang w:eastAsia="en-US"/>
        </w:rPr>
        <w:t>equire</w:t>
      </w:r>
      <w:r w:rsidR="00042CAE">
        <w:rPr>
          <w:rFonts w:eastAsiaTheme="minorHAnsi"/>
          <w:lang w:eastAsia="en-US"/>
        </w:rPr>
        <w:t>s</w:t>
      </w:r>
      <w:r w:rsidR="00D65814" w:rsidRPr="00D867BD">
        <w:rPr>
          <w:rFonts w:eastAsiaTheme="minorHAnsi"/>
          <w:lang w:eastAsia="en-US"/>
        </w:rPr>
        <w:t xml:space="preserve"> that:</w:t>
      </w:r>
    </w:p>
    <w:p w14:paraId="3CBCB9F5" w14:textId="727D0904" w:rsidR="00D65814" w:rsidRPr="00D867BD" w:rsidRDefault="008301CC" w:rsidP="00D65814">
      <w:pPr>
        <w:numPr>
          <w:ilvl w:val="0"/>
          <w:numId w:val="18"/>
        </w:numPr>
        <w:autoSpaceDE w:val="0"/>
        <w:autoSpaceDN w:val="0"/>
        <w:adjustRightInd w:val="0"/>
        <w:spacing w:after="80"/>
        <w:rPr>
          <w:rFonts w:eastAsiaTheme="minorHAnsi"/>
          <w:lang w:eastAsia="en-US"/>
        </w:rPr>
      </w:pPr>
      <w:r>
        <w:rPr>
          <w:rFonts w:eastAsiaTheme="minorHAnsi"/>
          <w:lang w:eastAsia="en-US"/>
        </w:rPr>
        <w:t xml:space="preserve">a </w:t>
      </w:r>
      <w:r w:rsidR="00D65814" w:rsidRPr="00D867BD">
        <w:rPr>
          <w:rFonts w:eastAsiaTheme="minorHAnsi"/>
          <w:lang w:eastAsia="en-US"/>
        </w:rPr>
        <w:t>carriage service provider ha</w:t>
      </w:r>
      <w:r>
        <w:rPr>
          <w:rFonts w:eastAsiaTheme="minorHAnsi"/>
          <w:lang w:eastAsia="en-US"/>
        </w:rPr>
        <w:t>s</w:t>
      </w:r>
      <w:r w:rsidR="00D65814" w:rsidRPr="00D867BD">
        <w:rPr>
          <w:rFonts w:eastAsiaTheme="minorHAnsi"/>
          <w:lang w:eastAsia="en-US"/>
        </w:rPr>
        <w:t xml:space="preserve"> records</w:t>
      </w:r>
      <w:r w:rsidR="00DA0563">
        <w:rPr>
          <w:rFonts w:eastAsiaTheme="minorHAnsi"/>
          <w:lang w:eastAsia="en-US"/>
        </w:rPr>
        <w:t xml:space="preserve"> of written arrangements that  </w:t>
      </w:r>
      <w:r>
        <w:rPr>
          <w:rFonts w:eastAsiaTheme="minorHAnsi"/>
          <w:lang w:eastAsia="en-US"/>
        </w:rPr>
        <w:t>it has</w:t>
      </w:r>
      <w:r w:rsidR="00D65814" w:rsidRPr="00D867BD">
        <w:rPr>
          <w:rFonts w:eastAsiaTheme="minorHAnsi"/>
          <w:lang w:eastAsia="en-US"/>
        </w:rPr>
        <w:t xml:space="preserve"> in place that enable it to comply with the Determination</w:t>
      </w:r>
      <w:r w:rsidR="00042CAE">
        <w:rPr>
          <w:rFonts w:eastAsiaTheme="minorHAnsi"/>
          <w:lang w:eastAsia="en-US"/>
        </w:rPr>
        <w:t>;</w:t>
      </w:r>
    </w:p>
    <w:p w14:paraId="2F36CBFE" w14:textId="5A2B57FD" w:rsidR="00D65814" w:rsidRPr="00D867BD" w:rsidRDefault="008301CC" w:rsidP="00D65814">
      <w:pPr>
        <w:numPr>
          <w:ilvl w:val="0"/>
          <w:numId w:val="18"/>
        </w:numPr>
        <w:autoSpaceDE w:val="0"/>
        <w:autoSpaceDN w:val="0"/>
        <w:adjustRightInd w:val="0"/>
        <w:spacing w:after="80"/>
        <w:rPr>
          <w:rFonts w:eastAsiaTheme="minorHAnsi"/>
          <w:lang w:eastAsia="en-US"/>
        </w:rPr>
      </w:pPr>
      <w:r>
        <w:rPr>
          <w:rFonts w:eastAsiaTheme="minorHAnsi"/>
          <w:lang w:eastAsia="en-US"/>
        </w:rPr>
        <w:t xml:space="preserve">a </w:t>
      </w:r>
      <w:r w:rsidR="00D65814" w:rsidRPr="00D867BD">
        <w:rPr>
          <w:rFonts w:eastAsiaTheme="minorHAnsi"/>
          <w:lang w:eastAsia="en-US"/>
        </w:rPr>
        <w:t xml:space="preserve">carriage service provider provide the ACMA with </w:t>
      </w:r>
      <w:r w:rsidR="00042CAE">
        <w:rPr>
          <w:rFonts w:eastAsiaTheme="minorHAnsi"/>
          <w:lang w:eastAsia="en-US"/>
        </w:rPr>
        <w:t xml:space="preserve">requested </w:t>
      </w:r>
      <w:r w:rsidR="00D65814" w:rsidRPr="00D867BD">
        <w:rPr>
          <w:rFonts w:eastAsiaTheme="minorHAnsi"/>
          <w:lang w:eastAsia="en-US"/>
        </w:rPr>
        <w:t>records within seven days</w:t>
      </w:r>
      <w:r w:rsidR="00042CAE">
        <w:rPr>
          <w:rFonts w:eastAsiaTheme="minorHAnsi"/>
          <w:lang w:eastAsia="en-US"/>
        </w:rPr>
        <w:t xml:space="preserve"> of the ACMA issuing a written request to inspect the records specified; and </w:t>
      </w:r>
      <w:bookmarkStart w:id="0" w:name="_GoBack"/>
      <w:bookmarkEnd w:id="0"/>
    </w:p>
    <w:p w14:paraId="643C8D89" w14:textId="291DD7F0" w:rsidR="00D65814" w:rsidRPr="00D867BD" w:rsidRDefault="008301CC" w:rsidP="00D65814">
      <w:pPr>
        <w:numPr>
          <w:ilvl w:val="0"/>
          <w:numId w:val="18"/>
        </w:numPr>
        <w:autoSpaceDE w:val="0"/>
        <w:autoSpaceDN w:val="0"/>
        <w:adjustRightInd w:val="0"/>
        <w:spacing w:after="80"/>
        <w:rPr>
          <w:rFonts w:eastAsiaTheme="minorHAnsi"/>
          <w:lang w:eastAsia="en-US"/>
        </w:rPr>
      </w:pPr>
      <w:r>
        <w:rPr>
          <w:rFonts w:eastAsiaTheme="minorHAnsi"/>
          <w:lang w:eastAsia="en-US"/>
        </w:rPr>
        <w:lastRenderedPageBreak/>
        <w:t xml:space="preserve">a </w:t>
      </w:r>
      <w:r w:rsidR="00D65814" w:rsidRPr="00D867BD">
        <w:rPr>
          <w:rFonts w:eastAsiaTheme="minorHAnsi"/>
          <w:lang w:eastAsia="en-US"/>
        </w:rPr>
        <w:t xml:space="preserve">carriage service provider inform the ACMA if </w:t>
      </w:r>
      <w:r>
        <w:rPr>
          <w:rFonts w:eastAsiaTheme="minorHAnsi"/>
          <w:lang w:eastAsia="en-US"/>
        </w:rPr>
        <w:t xml:space="preserve">it is </w:t>
      </w:r>
      <w:r w:rsidR="00D65814" w:rsidRPr="00D867BD">
        <w:rPr>
          <w:rFonts w:eastAsiaTheme="minorHAnsi"/>
          <w:lang w:eastAsia="en-US"/>
        </w:rPr>
        <w:t>unable to keep records of arrangements it makes to comply with the Determination because of a dispute with another p</w:t>
      </w:r>
      <w:r>
        <w:rPr>
          <w:rFonts w:eastAsiaTheme="minorHAnsi"/>
          <w:lang w:eastAsia="en-US"/>
        </w:rPr>
        <w:t>erson</w:t>
      </w:r>
      <w:r w:rsidR="00D65814" w:rsidRPr="00D867BD">
        <w:rPr>
          <w:rFonts w:eastAsiaTheme="minorHAnsi"/>
          <w:lang w:eastAsia="en-US"/>
        </w:rPr>
        <w:t xml:space="preserve">. </w:t>
      </w:r>
    </w:p>
    <w:p w14:paraId="0ABA85E2" w14:textId="61FD7FFC" w:rsidR="008301CC" w:rsidRDefault="008301CC" w:rsidP="00F840AB">
      <w:pPr>
        <w:autoSpaceDE w:val="0"/>
        <w:autoSpaceDN w:val="0"/>
        <w:adjustRightInd w:val="0"/>
      </w:pPr>
      <w:r>
        <w:t>These</w:t>
      </w:r>
      <w:r w:rsidR="00DA0563">
        <w:t xml:space="preserve"> requirement</w:t>
      </w:r>
      <w:r>
        <w:t>s</w:t>
      </w:r>
      <w:r w:rsidR="00DA0563">
        <w:t xml:space="preserve"> </w:t>
      </w:r>
      <w:r w:rsidR="00042CAE">
        <w:t xml:space="preserve">for carriage service providers </w:t>
      </w:r>
      <w:r w:rsidR="00DA0563">
        <w:t xml:space="preserve">to have written records in place </w:t>
      </w:r>
      <w:r>
        <w:t>were</w:t>
      </w:r>
      <w:r w:rsidR="00DA0563">
        <w:t xml:space="preserve"> </w:t>
      </w:r>
      <w:r>
        <w:t xml:space="preserve">unnecessarily </w:t>
      </w:r>
      <w:r w:rsidR="00DA0563">
        <w:t xml:space="preserve">duplicated </w:t>
      </w:r>
      <w:r w:rsidR="00042CAE">
        <w:t>with</w:t>
      </w:r>
      <w:r w:rsidR="00477645">
        <w:t>in the ECS Determination</w:t>
      </w:r>
      <w:r w:rsidR="00C404C6">
        <w:t xml:space="preserve"> in order to ensure </w:t>
      </w:r>
      <w:r w:rsidR="00DC1EE5">
        <w:t xml:space="preserve">carriage service </w:t>
      </w:r>
      <w:r w:rsidR="00C404C6">
        <w:t>providers retained the appropriate records</w:t>
      </w:r>
      <w:r>
        <w:t>.</w:t>
      </w:r>
      <w:r w:rsidR="00477645">
        <w:t xml:space="preserve"> </w:t>
      </w:r>
      <w:r>
        <w:t>T</w:t>
      </w:r>
      <w:r w:rsidR="00DA0563">
        <w:t>he ACMA al</w:t>
      </w:r>
      <w:r w:rsidR="00042CAE">
        <w:t>so</w:t>
      </w:r>
      <w:r w:rsidR="00DA0563">
        <w:t xml:space="preserve"> has </w:t>
      </w:r>
      <w:r w:rsidR="00042CAE">
        <w:t xml:space="preserve">relevant </w:t>
      </w:r>
      <w:r w:rsidR="00DA0563">
        <w:t xml:space="preserve">information gathering powers under </w:t>
      </w:r>
      <w:r w:rsidR="00042CAE">
        <w:t>s</w:t>
      </w:r>
      <w:r w:rsidR="00DA0563">
        <w:t xml:space="preserve">ection 521 of the </w:t>
      </w:r>
      <w:r w:rsidR="00DA0563" w:rsidRPr="00DA0563">
        <w:rPr>
          <w:i/>
        </w:rPr>
        <w:t>Telecommunications Act 1997</w:t>
      </w:r>
      <w:r w:rsidR="00C6368C">
        <w:t xml:space="preserve"> which it can use </w:t>
      </w:r>
      <w:r>
        <w:t>to monitor compliance with</w:t>
      </w:r>
      <w:r w:rsidR="00C6368C">
        <w:t xml:space="preserve"> the ECS Determination</w:t>
      </w:r>
      <w:r w:rsidR="00DA0563">
        <w:t xml:space="preserve">. </w:t>
      </w:r>
      <w:r w:rsidR="00477645">
        <w:t xml:space="preserve"> </w:t>
      </w:r>
      <w:r>
        <w:t xml:space="preserve">The Amendment Determination removes </w:t>
      </w:r>
      <w:r w:rsidR="00477645">
        <w:t xml:space="preserve">the </w:t>
      </w:r>
      <w:r w:rsidR="00042CAE">
        <w:t xml:space="preserve">duplicated </w:t>
      </w:r>
      <w:r w:rsidR="00477645">
        <w:t xml:space="preserve">obligations </w:t>
      </w:r>
      <w:r w:rsidR="00042CAE">
        <w:t>within the ECS Determination</w:t>
      </w:r>
      <w:r w:rsidR="00477645">
        <w:t>.</w:t>
      </w:r>
    </w:p>
    <w:p w14:paraId="2AB51FBA" w14:textId="77777777" w:rsidR="00F840AB" w:rsidRDefault="00F840AB" w:rsidP="00F840AB">
      <w:pPr>
        <w:autoSpaceDE w:val="0"/>
        <w:autoSpaceDN w:val="0"/>
        <w:adjustRightInd w:val="0"/>
      </w:pPr>
    </w:p>
    <w:p w14:paraId="727D2AF6" w14:textId="77777777" w:rsidR="00F840AB" w:rsidRDefault="00F840AB" w:rsidP="00F840AB">
      <w:pPr>
        <w:autoSpaceDE w:val="0"/>
        <w:autoSpaceDN w:val="0"/>
        <w:adjustRightInd w:val="0"/>
      </w:pPr>
    </w:p>
    <w:p w14:paraId="30AEE68D" w14:textId="77777777" w:rsidR="00477645" w:rsidRDefault="00477645" w:rsidP="005F12DA">
      <w:pPr>
        <w:autoSpaceDE w:val="0"/>
        <w:autoSpaceDN w:val="0"/>
        <w:adjustRightInd w:val="0"/>
        <w:spacing w:after="120"/>
        <w:rPr>
          <w:b/>
        </w:rPr>
      </w:pPr>
      <w:r w:rsidRPr="00812AFA">
        <w:rPr>
          <w:b/>
        </w:rPr>
        <w:t>Statement of Compatibility with Human Rights</w:t>
      </w:r>
    </w:p>
    <w:p w14:paraId="40CF8994" w14:textId="70DB7716" w:rsidR="00477645" w:rsidRPr="00477645" w:rsidRDefault="00042CAE" w:rsidP="00477645">
      <w:pPr>
        <w:rPr>
          <w:b/>
        </w:rPr>
      </w:pPr>
      <w:r>
        <w:rPr>
          <w:rFonts w:eastAsia="Calibri"/>
          <w:lang w:eastAsia="en-US"/>
        </w:rPr>
        <w:t>F</w:t>
      </w:r>
      <w:r w:rsidR="00477645" w:rsidRPr="00477645">
        <w:rPr>
          <w:rFonts w:eastAsia="Calibri"/>
          <w:lang w:eastAsia="en-US"/>
        </w:rPr>
        <w:t xml:space="preserve">or the purposes of Part 3 of the </w:t>
      </w:r>
      <w:r w:rsidR="00477645" w:rsidRPr="00477645">
        <w:rPr>
          <w:rFonts w:eastAsia="Calibri"/>
          <w:i/>
          <w:lang w:eastAsia="en-US"/>
        </w:rPr>
        <w:t>Human Rights (Parliamentary Scrutiny) Act 2011</w:t>
      </w:r>
      <w:r w:rsidR="00477645" w:rsidRPr="00477645">
        <w:rPr>
          <w:rFonts w:eastAsia="Calibri"/>
          <w:lang w:eastAsia="en-US"/>
        </w:rPr>
        <w:t xml:space="preserve"> </w:t>
      </w:r>
      <w:r>
        <w:rPr>
          <w:rFonts w:eastAsia="Calibri"/>
          <w:lang w:eastAsia="en-US"/>
        </w:rPr>
        <w:t>a</w:t>
      </w:r>
      <w:r w:rsidRPr="00477645">
        <w:rPr>
          <w:rFonts w:eastAsia="Calibri"/>
          <w:lang w:eastAsia="en-US"/>
        </w:rPr>
        <w:t xml:space="preserve"> statement of compatibility with human rights </w:t>
      </w:r>
      <w:r w:rsidR="00477645" w:rsidRPr="00477645">
        <w:rPr>
          <w:rFonts w:eastAsia="Calibri"/>
          <w:lang w:eastAsia="en-US"/>
        </w:rPr>
        <w:t xml:space="preserve">is set out in </w:t>
      </w:r>
      <w:r w:rsidR="00477645" w:rsidRPr="00492383">
        <w:rPr>
          <w:rFonts w:eastAsia="Calibri"/>
          <w:b/>
          <w:lang w:eastAsia="en-US"/>
        </w:rPr>
        <w:t>Attachment A</w:t>
      </w:r>
      <w:r w:rsidR="00477645" w:rsidRPr="00492383">
        <w:rPr>
          <w:rFonts w:eastAsia="Calibri"/>
          <w:lang w:eastAsia="en-US"/>
        </w:rPr>
        <w:t>.</w:t>
      </w:r>
    </w:p>
    <w:p w14:paraId="74DDBF9A" w14:textId="77777777" w:rsidR="00477645" w:rsidRDefault="00477645" w:rsidP="00F840AB">
      <w:pPr>
        <w:autoSpaceDE w:val="0"/>
        <w:autoSpaceDN w:val="0"/>
        <w:adjustRightInd w:val="0"/>
        <w:rPr>
          <w:rFonts w:eastAsiaTheme="minorHAnsi"/>
          <w:b/>
          <w:lang w:eastAsia="en-US"/>
        </w:rPr>
      </w:pPr>
    </w:p>
    <w:p w14:paraId="204AD940" w14:textId="77777777" w:rsidR="00F840AB" w:rsidRDefault="00F840AB" w:rsidP="00F840AB">
      <w:pPr>
        <w:autoSpaceDE w:val="0"/>
        <w:autoSpaceDN w:val="0"/>
        <w:adjustRightInd w:val="0"/>
        <w:rPr>
          <w:rFonts w:eastAsiaTheme="minorHAnsi"/>
          <w:b/>
          <w:lang w:eastAsia="en-US"/>
        </w:rPr>
      </w:pPr>
    </w:p>
    <w:p w14:paraId="7A0C6E61" w14:textId="77777777" w:rsidR="00477645" w:rsidRDefault="00477645" w:rsidP="00477645">
      <w:pPr>
        <w:pStyle w:val="NoSpacing"/>
        <w:rPr>
          <w:rFonts w:ascii="Times New Roman" w:hAnsi="Times New Roman"/>
          <w:b/>
          <w:sz w:val="24"/>
          <w:szCs w:val="24"/>
        </w:rPr>
      </w:pPr>
      <w:r>
        <w:rPr>
          <w:rFonts w:ascii="Times New Roman" w:hAnsi="Times New Roman"/>
          <w:b/>
          <w:sz w:val="24"/>
          <w:szCs w:val="24"/>
        </w:rPr>
        <w:t>Regulation Impact Statement</w:t>
      </w:r>
    </w:p>
    <w:p w14:paraId="49F36DC2" w14:textId="2E747F1B" w:rsidR="00D867BD" w:rsidRPr="00D867BD" w:rsidRDefault="00477645" w:rsidP="00F840AB">
      <w:pPr>
        <w:autoSpaceDE w:val="0"/>
        <w:autoSpaceDN w:val="0"/>
        <w:adjustRightInd w:val="0"/>
        <w:rPr>
          <w:rFonts w:eastAsia="Calibri"/>
          <w:lang w:eastAsia="en-US"/>
        </w:rPr>
      </w:pPr>
      <w:r>
        <w:rPr>
          <w:rFonts w:eastAsia="Calibri"/>
          <w:lang w:eastAsia="en-US"/>
        </w:rPr>
        <w:br/>
      </w:r>
      <w:r w:rsidR="00D867BD" w:rsidRPr="00D867BD">
        <w:rPr>
          <w:rFonts w:eastAsia="Calibri"/>
          <w:lang w:eastAsia="en-US"/>
        </w:rPr>
        <w:t>After consultation with the Office of Best Practice Regulation</w:t>
      </w:r>
      <w:r w:rsidR="008301CC">
        <w:rPr>
          <w:rFonts w:eastAsia="Calibri"/>
          <w:lang w:eastAsia="en-US"/>
        </w:rPr>
        <w:t xml:space="preserve"> (OBPR)</w:t>
      </w:r>
      <w:r w:rsidR="00D867BD" w:rsidRPr="00D867BD">
        <w:rPr>
          <w:rFonts w:eastAsia="Calibri"/>
          <w:lang w:eastAsia="en-US"/>
        </w:rPr>
        <w:t>, the ACMA was advised that a regulatory impact statement was not required as the amendments are of minor and machinery nature, and do not substantially alter existing arrangements.  The</w:t>
      </w:r>
      <w:r w:rsidR="008301CC">
        <w:rPr>
          <w:rFonts w:eastAsia="Calibri"/>
          <w:lang w:eastAsia="en-US"/>
        </w:rPr>
        <w:t xml:space="preserve"> OBPR</w:t>
      </w:r>
      <w:r w:rsidR="00D867BD" w:rsidRPr="00D867BD">
        <w:rPr>
          <w:rFonts w:eastAsia="Calibri"/>
          <w:lang w:eastAsia="en-US"/>
        </w:rPr>
        <w:t xml:space="preserve"> reference number is ID16669.</w:t>
      </w:r>
    </w:p>
    <w:p w14:paraId="1AC68252" w14:textId="77777777" w:rsidR="008301CC" w:rsidRDefault="008301CC" w:rsidP="00F840AB">
      <w:pPr>
        <w:autoSpaceDE w:val="0"/>
        <w:autoSpaceDN w:val="0"/>
        <w:adjustRightInd w:val="0"/>
        <w:rPr>
          <w:rFonts w:eastAsia="Calibri"/>
          <w:b/>
          <w:lang w:eastAsia="en-US"/>
        </w:rPr>
      </w:pPr>
    </w:p>
    <w:p w14:paraId="46E620D8" w14:textId="77777777" w:rsidR="00F840AB" w:rsidRDefault="00F840AB" w:rsidP="00F840AB">
      <w:pPr>
        <w:autoSpaceDE w:val="0"/>
        <w:autoSpaceDN w:val="0"/>
        <w:adjustRightInd w:val="0"/>
        <w:rPr>
          <w:rFonts w:eastAsia="Calibri"/>
          <w:b/>
          <w:lang w:eastAsia="en-US"/>
        </w:rPr>
      </w:pPr>
    </w:p>
    <w:p w14:paraId="4C824B45" w14:textId="77777777" w:rsidR="00477645" w:rsidRPr="00477645" w:rsidRDefault="00477645" w:rsidP="00477645">
      <w:pPr>
        <w:autoSpaceDE w:val="0"/>
        <w:autoSpaceDN w:val="0"/>
        <w:adjustRightInd w:val="0"/>
        <w:spacing w:after="120"/>
        <w:rPr>
          <w:rFonts w:eastAsia="Calibri"/>
          <w:b/>
          <w:lang w:eastAsia="en-US"/>
        </w:rPr>
      </w:pPr>
      <w:r>
        <w:rPr>
          <w:rFonts w:eastAsia="Calibri"/>
          <w:b/>
          <w:lang w:eastAsia="en-US"/>
        </w:rPr>
        <w:t xml:space="preserve">Public </w:t>
      </w:r>
      <w:r w:rsidRPr="00477645">
        <w:rPr>
          <w:rFonts w:eastAsia="Calibri"/>
          <w:b/>
          <w:lang w:eastAsia="en-US"/>
        </w:rPr>
        <w:t>Consultation</w:t>
      </w:r>
    </w:p>
    <w:p w14:paraId="3D8E7AD8" w14:textId="77777777" w:rsidR="00D65814" w:rsidRPr="00D867BD" w:rsidRDefault="00D65814" w:rsidP="00D65814">
      <w:pPr>
        <w:spacing w:after="120"/>
        <w:rPr>
          <w:rFonts w:eastAsia="Calibri"/>
          <w:lang w:eastAsia="en-US"/>
        </w:rPr>
      </w:pPr>
      <w:r w:rsidRPr="00D867BD">
        <w:rPr>
          <w:rFonts w:eastAsia="Calibri"/>
          <w:lang w:eastAsia="en-US"/>
        </w:rPr>
        <w:t xml:space="preserve">Subsection 147(9) of the Act requires that, before making a determination, the ACMA must consult representatives of each of the following groups: </w:t>
      </w:r>
    </w:p>
    <w:p w14:paraId="1E0B9613" w14:textId="77777777" w:rsidR="00D65814" w:rsidRPr="00D867BD" w:rsidRDefault="00D65814" w:rsidP="00D65814">
      <w:pPr>
        <w:numPr>
          <w:ilvl w:val="0"/>
          <w:numId w:val="20"/>
        </w:numPr>
        <w:autoSpaceDE w:val="0"/>
        <w:autoSpaceDN w:val="0"/>
        <w:adjustRightInd w:val="0"/>
        <w:spacing w:after="120"/>
        <w:ind w:left="709"/>
        <w:rPr>
          <w:rFonts w:eastAsia="Calibri"/>
          <w:lang w:eastAsia="en-US"/>
        </w:rPr>
      </w:pPr>
      <w:r w:rsidRPr="00D867BD">
        <w:rPr>
          <w:rFonts w:eastAsia="Calibri"/>
          <w:lang w:eastAsia="en-US"/>
        </w:rPr>
        <w:t>carriers</w:t>
      </w:r>
    </w:p>
    <w:p w14:paraId="3D891611" w14:textId="77777777" w:rsidR="00D65814" w:rsidRPr="00D867BD" w:rsidRDefault="00D65814" w:rsidP="00D65814">
      <w:pPr>
        <w:numPr>
          <w:ilvl w:val="0"/>
          <w:numId w:val="20"/>
        </w:numPr>
        <w:autoSpaceDE w:val="0"/>
        <w:autoSpaceDN w:val="0"/>
        <w:adjustRightInd w:val="0"/>
        <w:spacing w:after="120"/>
        <w:ind w:left="709"/>
        <w:rPr>
          <w:rFonts w:eastAsia="Calibri"/>
          <w:lang w:eastAsia="en-US"/>
        </w:rPr>
      </w:pPr>
      <w:r w:rsidRPr="00D867BD">
        <w:rPr>
          <w:rFonts w:eastAsia="Calibri"/>
          <w:lang w:eastAsia="en-US"/>
        </w:rPr>
        <w:t>carriage service providers</w:t>
      </w:r>
    </w:p>
    <w:p w14:paraId="4F2068BC" w14:textId="77777777" w:rsidR="00D65814" w:rsidRPr="00D867BD" w:rsidRDefault="00D65814" w:rsidP="00D65814">
      <w:pPr>
        <w:numPr>
          <w:ilvl w:val="0"/>
          <w:numId w:val="20"/>
        </w:numPr>
        <w:autoSpaceDE w:val="0"/>
        <w:autoSpaceDN w:val="0"/>
        <w:adjustRightInd w:val="0"/>
        <w:spacing w:after="120"/>
        <w:ind w:left="709"/>
        <w:rPr>
          <w:rFonts w:eastAsia="Calibri"/>
          <w:lang w:eastAsia="en-US"/>
        </w:rPr>
      </w:pPr>
      <w:r w:rsidRPr="00D867BD">
        <w:rPr>
          <w:rFonts w:eastAsia="Calibri"/>
          <w:lang w:eastAsia="en-US"/>
        </w:rPr>
        <w:t>recognised persons who operate an emergency call service</w:t>
      </w:r>
    </w:p>
    <w:p w14:paraId="295ED6FB" w14:textId="77777777" w:rsidR="00D65814" w:rsidRPr="00D867BD" w:rsidRDefault="00D65814" w:rsidP="00D65814">
      <w:pPr>
        <w:numPr>
          <w:ilvl w:val="0"/>
          <w:numId w:val="20"/>
        </w:numPr>
        <w:autoSpaceDE w:val="0"/>
        <w:autoSpaceDN w:val="0"/>
        <w:adjustRightInd w:val="0"/>
        <w:spacing w:after="120"/>
        <w:ind w:left="709"/>
        <w:rPr>
          <w:rFonts w:eastAsia="Calibri"/>
          <w:lang w:eastAsia="en-US"/>
        </w:rPr>
      </w:pPr>
      <w:r w:rsidRPr="00D867BD">
        <w:rPr>
          <w:rFonts w:eastAsia="Calibri"/>
          <w:lang w:eastAsia="en-US"/>
        </w:rPr>
        <w:t>emergency service organisations</w:t>
      </w:r>
    </w:p>
    <w:p w14:paraId="366A1721" w14:textId="77777777" w:rsidR="00D65814" w:rsidRPr="00D867BD" w:rsidRDefault="00D65814" w:rsidP="00D65814">
      <w:pPr>
        <w:numPr>
          <w:ilvl w:val="0"/>
          <w:numId w:val="20"/>
        </w:numPr>
        <w:autoSpaceDE w:val="0"/>
        <w:autoSpaceDN w:val="0"/>
        <w:adjustRightInd w:val="0"/>
        <w:spacing w:after="120"/>
        <w:ind w:left="709"/>
        <w:rPr>
          <w:rFonts w:eastAsia="Calibri"/>
          <w:lang w:eastAsia="en-US"/>
        </w:rPr>
      </w:pPr>
      <w:proofErr w:type="gramStart"/>
      <w:r w:rsidRPr="00D867BD">
        <w:rPr>
          <w:rFonts w:eastAsia="Calibri"/>
          <w:lang w:eastAsia="en-US"/>
        </w:rPr>
        <w:t>consumers</w:t>
      </w:r>
      <w:proofErr w:type="gramEnd"/>
      <w:r w:rsidRPr="00D867BD">
        <w:rPr>
          <w:rFonts w:eastAsia="Calibri"/>
          <w:lang w:eastAsia="en-US"/>
        </w:rPr>
        <w:t xml:space="preserve"> of standard telephone services</w:t>
      </w:r>
      <w:r w:rsidR="008301CC">
        <w:rPr>
          <w:rFonts w:eastAsia="Calibri"/>
          <w:lang w:eastAsia="en-US"/>
        </w:rPr>
        <w:t>.</w:t>
      </w:r>
    </w:p>
    <w:p w14:paraId="1F060C74" w14:textId="29BED0D0" w:rsidR="00D65814" w:rsidRPr="00D867BD" w:rsidRDefault="00D65814" w:rsidP="00C6368C">
      <w:pPr>
        <w:spacing w:after="120"/>
        <w:rPr>
          <w:rFonts w:eastAsia="Calibri"/>
          <w:lang w:eastAsia="en-US"/>
        </w:rPr>
      </w:pPr>
      <w:r w:rsidRPr="00D867BD">
        <w:rPr>
          <w:rFonts w:eastAsia="Calibri"/>
          <w:lang w:eastAsia="en-US"/>
        </w:rPr>
        <w:t xml:space="preserve">The amendments </w:t>
      </w:r>
      <w:r w:rsidR="00C6368C">
        <w:rPr>
          <w:rFonts w:eastAsia="Calibri"/>
          <w:lang w:eastAsia="en-US"/>
        </w:rPr>
        <w:t>put forward</w:t>
      </w:r>
      <w:r w:rsidRPr="00D867BD">
        <w:rPr>
          <w:rFonts w:eastAsia="Calibri"/>
          <w:lang w:eastAsia="en-US"/>
        </w:rPr>
        <w:t xml:space="preserve"> in this Amendment Determination were consulted upon as part of </w:t>
      </w:r>
      <w:r w:rsidR="008301CC">
        <w:rPr>
          <w:rFonts w:eastAsia="Calibri"/>
          <w:lang w:eastAsia="en-US"/>
        </w:rPr>
        <w:t>a public</w:t>
      </w:r>
      <w:r w:rsidRPr="00D867BD">
        <w:rPr>
          <w:rFonts w:eastAsia="Calibri"/>
          <w:lang w:eastAsia="en-US"/>
        </w:rPr>
        <w:t xml:space="preserve"> consultation process during April 2014.  Submissions were received from </w:t>
      </w:r>
      <w:r w:rsidR="002A7448">
        <w:rPr>
          <w:rFonts w:eastAsia="Calibri"/>
          <w:lang w:eastAsia="en-US"/>
        </w:rPr>
        <w:t xml:space="preserve">six </w:t>
      </w:r>
      <w:r w:rsidRPr="00D867BD">
        <w:rPr>
          <w:rFonts w:eastAsia="Calibri"/>
          <w:lang w:eastAsia="en-US"/>
        </w:rPr>
        <w:t>organisations, including</w:t>
      </w:r>
      <w:proofErr w:type="gramStart"/>
      <w:r w:rsidRPr="00D867BD">
        <w:rPr>
          <w:rFonts w:eastAsia="Calibri"/>
          <w:lang w:eastAsia="en-US"/>
        </w:rPr>
        <w:t>:</w:t>
      </w:r>
      <w:proofErr w:type="gramEnd"/>
      <w:r w:rsidRPr="00D867BD">
        <w:rPr>
          <w:rFonts w:eastAsia="Calibri"/>
          <w:lang w:eastAsia="en-US"/>
        </w:rPr>
        <w:br/>
      </w:r>
      <w:r w:rsidRPr="00D867BD">
        <w:rPr>
          <w:rFonts w:eastAsia="Calibri"/>
          <w:lang w:eastAsia="en-US"/>
        </w:rPr>
        <w:br/>
        <w:t>Consumer representatives</w:t>
      </w:r>
    </w:p>
    <w:p w14:paraId="46189236" w14:textId="77777777" w:rsidR="00D65814" w:rsidRPr="00D867BD" w:rsidRDefault="00D65814" w:rsidP="00D65814">
      <w:pPr>
        <w:numPr>
          <w:ilvl w:val="0"/>
          <w:numId w:val="18"/>
        </w:numPr>
        <w:spacing w:after="120"/>
        <w:rPr>
          <w:rFonts w:eastAsia="Calibri"/>
          <w:lang w:eastAsia="en-US"/>
        </w:rPr>
      </w:pPr>
      <w:r w:rsidRPr="00D867BD">
        <w:rPr>
          <w:rFonts w:eastAsia="Calibri"/>
          <w:lang w:eastAsia="en-US"/>
        </w:rPr>
        <w:t>the Australian Communications Consumer Action Network</w:t>
      </w:r>
    </w:p>
    <w:p w14:paraId="37ADF3D0" w14:textId="77777777" w:rsidR="00D65814" w:rsidRPr="00D867BD" w:rsidRDefault="00D65814" w:rsidP="00D65814">
      <w:pPr>
        <w:spacing w:after="120"/>
        <w:rPr>
          <w:rFonts w:eastAsia="Calibri"/>
          <w:lang w:eastAsia="en-US"/>
        </w:rPr>
      </w:pPr>
      <w:r w:rsidRPr="00D867BD">
        <w:rPr>
          <w:rFonts w:eastAsia="Calibri"/>
          <w:lang w:eastAsia="en-US"/>
        </w:rPr>
        <w:t>Industry</w:t>
      </w:r>
    </w:p>
    <w:p w14:paraId="276F565E" w14:textId="77777777" w:rsidR="00D65814" w:rsidRPr="00D867BD" w:rsidRDefault="00D65814" w:rsidP="00D65814">
      <w:pPr>
        <w:numPr>
          <w:ilvl w:val="0"/>
          <w:numId w:val="18"/>
        </w:numPr>
        <w:spacing w:after="120"/>
        <w:rPr>
          <w:rFonts w:eastAsia="Calibri"/>
          <w:lang w:eastAsia="en-US"/>
        </w:rPr>
      </w:pPr>
      <w:r w:rsidRPr="00D867BD">
        <w:rPr>
          <w:rFonts w:eastAsia="Calibri"/>
          <w:lang w:eastAsia="en-US"/>
        </w:rPr>
        <w:t>Communications Alliance</w:t>
      </w:r>
    </w:p>
    <w:p w14:paraId="75512BE3" w14:textId="77777777" w:rsidR="00D65814" w:rsidRPr="00D867BD" w:rsidRDefault="00D65814" w:rsidP="00D65814">
      <w:pPr>
        <w:numPr>
          <w:ilvl w:val="0"/>
          <w:numId w:val="18"/>
        </w:numPr>
        <w:spacing w:after="120"/>
        <w:rPr>
          <w:rFonts w:eastAsia="Calibri"/>
          <w:lang w:eastAsia="en-US"/>
        </w:rPr>
      </w:pPr>
      <w:r w:rsidRPr="00D867BD">
        <w:rPr>
          <w:rFonts w:eastAsia="Calibri"/>
          <w:lang w:eastAsia="en-US"/>
        </w:rPr>
        <w:t>Telstra (the Emergency Call Person for Triple Zero (000) and 112)</w:t>
      </w:r>
    </w:p>
    <w:p w14:paraId="460D9834" w14:textId="77777777" w:rsidR="00D65814" w:rsidRPr="00D867BD" w:rsidRDefault="00D65814" w:rsidP="00D65814">
      <w:pPr>
        <w:numPr>
          <w:ilvl w:val="0"/>
          <w:numId w:val="18"/>
        </w:numPr>
        <w:spacing w:after="120"/>
        <w:rPr>
          <w:rFonts w:eastAsia="Calibri"/>
          <w:lang w:eastAsia="en-US"/>
        </w:rPr>
      </w:pPr>
      <w:r w:rsidRPr="00D867BD">
        <w:rPr>
          <w:rFonts w:eastAsia="Calibri"/>
          <w:lang w:eastAsia="en-US"/>
        </w:rPr>
        <w:t>Optus</w:t>
      </w:r>
    </w:p>
    <w:p w14:paraId="1294DCBC" w14:textId="77777777" w:rsidR="00D65814" w:rsidRPr="00D867BD" w:rsidRDefault="00D65814" w:rsidP="00D65814">
      <w:pPr>
        <w:numPr>
          <w:ilvl w:val="0"/>
          <w:numId w:val="18"/>
        </w:numPr>
        <w:spacing w:after="120"/>
        <w:rPr>
          <w:rFonts w:eastAsia="Calibri"/>
          <w:lang w:eastAsia="en-US"/>
        </w:rPr>
      </w:pPr>
      <w:r w:rsidRPr="00D867BD">
        <w:rPr>
          <w:rFonts w:eastAsia="Calibri"/>
          <w:lang w:eastAsia="en-US"/>
        </w:rPr>
        <w:t>Vodafone Hutchison Australia</w:t>
      </w:r>
    </w:p>
    <w:p w14:paraId="73E4C39A" w14:textId="77777777" w:rsidR="00D65814" w:rsidRPr="00D867BD" w:rsidRDefault="00D65814" w:rsidP="00D65814">
      <w:pPr>
        <w:spacing w:after="120"/>
        <w:rPr>
          <w:rFonts w:eastAsia="Calibri"/>
          <w:lang w:eastAsia="en-US"/>
        </w:rPr>
      </w:pPr>
      <w:r w:rsidRPr="00D867BD">
        <w:rPr>
          <w:rFonts w:eastAsia="Calibri"/>
          <w:lang w:eastAsia="en-US"/>
        </w:rPr>
        <w:t>Government</w:t>
      </w:r>
    </w:p>
    <w:p w14:paraId="2A30EAB3" w14:textId="77777777" w:rsidR="00D65814" w:rsidRPr="00D867BD" w:rsidRDefault="00D65814" w:rsidP="00D65814">
      <w:pPr>
        <w:numPr>
          <w:ilvl w:val="0"/>
          <w:numId w:val="18"/>
        </w:numPr>
        <w:spacing w:after="120"/>
        <w:rPr>
          <w:rFonts w:eastAsia="Calibri"/>
          <w:lang w:eastAsia="en-US"/>
        </w:rPr>
      </w:pPr>
      <w:r w:rsidRPr="00D867BD">
        <w:rPr>
          <w:rFonts w:eastAsia="Calibri"/>
          <w:lang w:eastAsia="en-US"/>
        </w:rPr>
        <w:lastRenderedPageBreak/>
        <w:t>Telecommunications Universal Service Management Authority</w:t>
      </w:r>
    </w:p>
    <w:p w14:paraId="31A8A354" w14:textId="77777777" w:rsidR="00D65814" w:rsidRPr="00D867BD" w:rsidRDefault="00D65814" w:rsidP="00D65814">
      <w:pPr>
        <w:spacing w:after="120"/>
        <w:rPr>
          <w:rFonts w:eastAsia="Calibri"/>
          <w:lang w:eastAsia="en-US"/>
        </w:rPr>
      </w:pPr>
      <w:r w:rsidRPr="00D867BD">
        <w:rPr>
          <w:rFonts w:eastAsia="Calibri"/>
          <w:lang w:eastAsia="en-US"/>
        </w:rPr>
        <w:t>Emergency Service Organisations</w:t>
      </w:r>
    </w:p>
    <w:p w14:paraId="2D8EA03D" w14:textId="77777777" w:rsidR="00D65814" w:rsidRPr="00D867BD" w:rsidRDefault="00D65814" w:rsidP="00D65814">
      <w:pPr>
        <w:numPr>
          <w:ilvl w:val="0"/>
          <w:numId w:val="18"/>
        </w:numPr>
        <w:spacing w:after="120"/>
        <w:rPr>
          <w:rFonts w:eastAsia="Calibri"/>
          <w:lang w:eastAsia="en-US"/>
        </w:rPr>
      </w:pPr>
      <w:r w:rsidRPr="00D867BD">
        <w:rPr>
          <w:rFonts w:eastAsia="Calibri"/>
          <w:lang w:eastAsia="en-US"/>
        </w:rPr>
        <w:t>NSW Police</w:t>
      </w:r>
      <w:r w:rsidR="00C426CE">
        <w:rPr>
          <w:rFonts w:eastAsia="Calibri"/>
          <w:lang w:eastAsia="en-US"/>
        </w:rPr>
        <w:t>.</w:t>
      </w:r>
    </w:p>
    <w:p w14:paraId="53A60C04" w14:textId="185D8392" w:rsidR="00D65814" w:rsidRDefault="00D424C5" w:rsidP="00D65814">
      <w:pPr>
        <w:spacing w:after="120"/>
        <w:rPr>
          <w:rFonts w:eastAsia="Calibri"/>
          <w:lang w:eastAsia="en-US"/>
        </w:rPr>
      </w:pPr>
      <w:r>
        <w:rPr>
          <w:rFonts w:eastAsia="Calibri"/>
          <w:lang w:eastAsia="en-US"/>
        </w:rPr>
        <w:t>Each of the</w:t>
      </w:r>
      <w:r w:rsidR="00D65814" w:rsidRPr="00D867BD">
        <w:rPr>
          <w:rFonts w:eastAsia="Calibri"/>
          <w:lang w:eastAsia="en-US"/>
        </w:rPr>
        <w:t xml:space="preserve"> submissions received </w:t>
      </w:r>
      <w:r>
        <w:rPr>
          <w:rFonts w:eastAsia="Calibri"/>
          <w:lang w:eastAsia="en-US"/>
        </w:rPr>
        <w:t xml:space="preserve">supported </w:t>
      </w:r>
      <w:r w:rsidR="00D65814" w:rsidRPr="00D867BD">
        <w:rPr>
          <w:rFonts w:eastAsia="Calibri"/>
          <w:lang w:eastAsia="en-US"/>
        </w:rPr>
        <w:t xml:space="preserve">the proposed amendments to the </w:t>
      </w:r>
      <w:r>
        <w:rPr>
          <w:rFonts w:eastAsia="Calibri"/>
          <w:lang w:eastAsia="en-US"/>
        </w:rPr>
        <w:t xml:space="preserve">ECS </w:t>
      </w:r>
      <w:r w:rsidR="00D65814" w:rsidRPr="00D867BD">
        <w:rPr>
          <w:rFonts w:eastAsia="Calibri"/>
          <w:lang w:eastAsia="en-US"/>
        </w:rPr>
        <w:t>Determination.</w:t>
      </w:r>
    </w:p>
    <w:p w14:paraId="2427D6B6" w14:textId="77777777" w:rsidR="00C426CE" w:rsidRPr="00D867BD" w:rsidRDefault="00C426CE" w:rsidP="00D65814">
      <w:pPr>
        <w:spacing w:after="120"/>
        <w:rPr>
          <w:rFonts w:eastAsia="Calibri"/>
          <w:lang w:eastAsia="en-US"/>
        </w:rPr>
      </w:pPr>
    </w:p>
    <w:p w14:paraId="2764D51E" w14:textId="77777777" w:rsidR="00477645" w:rsidRPr="00765464" w:rsidRDefault="00477645" w:rsidP="00477645">
      <w:pPr>
        <w:pStyle w:val="NoSpacing"/>
        <w:rPr>
          <w:rFonts w:ascii="Times New Roman" w:hAnsi="Times New Roman"/>
          <w:b/>
          <w:sz w:val="24"/>
          <w:szCs w:val="24"/>
        </w:rPr>
      </w:pPr>
      <w:r>
        <w:rPr>
          <w:rFonts w:ascii="Times New Roman" w:hAnsi="Times New Roman"/>
          <w:b/>
          <w:sz w:val="24"/>
          <w:szCs w:val="24"/>
        </w:rPr>
        <w:t>Description of</w:t>
      </w:r>
      <w:r w:rsidRPr="00765464">
        <w:rPr>
          <w:rFonts w:ascii="Times New Roman" w:hAnsi="Times New Roman"/>
          <w:b/>
          <w:sz w:val="24"/>
          <w:szCs w:val="24"/>
        </w:rPr>
        <w:t xml:space="preserve"> </w:t>
      </w:r>
      <w:r>
        <w:rPr>
          <w:rFonts w:ascii="Times New Roman" w:hAnsi="Times New Roman"/>
          <w:b/>
          <w:sz w:val="24"/>
          <w:szCs w:val="24"/>
        </w:rPr>
        <w:t>the provisions in the Amendment Determination</w:t>
      </w:r>
    </w:p>
    <w:p w14:paraId="6250A0EF" w14:textId="77777777" w:rsidR="00E416ED" w:rsidRDefault="00E416ED" w:rsidP="00D65814">
      <w:pPr>
        <w:autoSpaceDE w:val="0"/>
        <w:autoSpaceDN w:val="0"/>
        <w:adjustRightInd w:val="0"/>
        <w:spacing w:before="240" w:after="80"/>
        <w:ind w:left="426" w:hanging="426"/>
        <w:rPr>
          <w:rFonts w:eastAsia="Calibri"/>
          <w:lang w:eastAsia="en-US"/>
        </w:rPr>
      </w:pPr>
      <w:r w:rsidRPr="005F12DA">
        <w:rPr>
          <w:rFonts w:eastAsia="Calibri"/>
          <w:b/>
          <w:i/>
          <w:lang w:eastAsia="en-US"/>
        </w:rPr>
        <w:t>Section</w:t>
      </w:r>
      <w:r w:rsidR="00DC1EE5">
        <w:rPr>
          <w:rFonts w:eastAsia="Calibri"/>
          <w:b/>
          <w:i/>
          <w:lang w:eastAsia="en-US"/>
        </w:rPr>
        <w:t xml:space="preserve"> </w:t>
      </w:r>
      <w:r w:rsidRPr="005F12DA">
        <w:rPr>
          <w:rFonts w:eastAsia="Calibri"/>
          <w:b/>
          <w:i/>
          <w:lang w:eastAsia="en-US"/>
        </w:rPr>
        <w:t xml:space="preserve">1 </w:t>
      </w:r>
      <w:r w:rsidRPr="00E416ED">
        <w:rPr>
          <w:rFonts w:eastAsia="Calibri"/>
          <w:b/>
          <w:i/>
          <w:lang w:eastAsia="en-US"/>
        </w:rPr>
        <w:t>-</w:t>
      </w:r>
      <w:r w:rsidRPr="005F12DA">
        <w:rPr>
          <w:rFonts w:eastAsia="Calibri"/>
          <w:b/>
          <w:i/>
          <w:lang w:eastAsia="en-US"/>
        </w:rPr>
        <w:t xml:space="preserve"> Name of Determination</w:t>
      </w:r>
    </w:p>
    <w:p w14:paraId="4A3AE423" w14:textId="77777777" w:rsidR="00E416ED" w:rsidRDefault="00E416ED" w:rsidP="00E416ED">
      <w:pPr>
        <w:autoSpaceDE w:val="0"/>
        <w:autoSpaceDN w:val="0"/>
        <w:adjustRightInd w:val="0"/>
        <w:spacing w:before="240" w:after="80"/>
        <w:rPr>
          <w:rFonts w:eastAsia="Calibri"/>
          <w:i/>
          <w:lang w:eastAsia="en-US"/>
        </w:rPr>
      </w:pPr>
      <w:r>
        <w:rPr>
          <w:rFonts w:eastAsia="Calibri"/>
          <w:lang w:eastAsia="en-US"/>
        </w:rPr>
        <w:t xml:space="preserve">Section 1 provides that the name of the Amendment Determination is the </w:t>
      </w:r>
      <w:r w:rsidRPr="00E416ED">
        <w:rPr>
          <w:rFonts w:eastAsia="Calibri"/>
          <w:i/>
          <w:lang w:eastAsia="en-US"/>
        </w:rPr>
        <w:t>Telecommunications (Emergency Call Service) Amendment Determination 2014 (No.1)</w:t>
      </w:r>
      <w:r>
        <w:rPr>
          <w:rFonts w:eastAsia="Calibri"/>
          <w:i/>
          <w:lang w:eastAsia="en-US"/>
        </w:rPr>
        <w:t>.</w:t>
      </w:r>
    </w:p>
    <w:p w14:paraId="504F0175" w14:textId="77777777" w:rsidR="00E416ED" w:rsidRPr="005F12DA" w:rsidRDefault="00E416ED" w:rsidP="00E416ED">
      <w:pPr>
        <w:autoSpaceDE w:val="0"/>
        <w:autoSpaceDN w:val="0"/>
        <w:adjustRightInd w:val="0"/>
        <w:spacing w:before="240" w:after="80"/>
        <w:rPr>
          <w:rFonts w:eastAsia="Calibri"/>
          <w:b/>
          <w:lang w:eastAsia="en-US"/>
        </w:rPr>
      </w:pPr>
      <w:r w:rsidRPr="005F12DA">
        <w:rPr>
          <w:rFonts w:eastAsia="Calibri"/>
          <w:b/>
          <w:i/>
          <w:lang w:eastAsia="en-US"/>
        </w:rPr>
        <w:t>Section 2 - Commencement</w:t>
      </w:r>
    </w:p>
    <w:p w14:paraId="01F7D12E" w14:textId="77777777" w:rsidR="00E416ED" w:rsidRDefault="00E416ED" w:rsidP="00E416ED">
      <w:pPr>
        <w:autoSpaceDE w:val="0"/>
        <w:autoSpaceDN w:val="0"/>
        <w:adjustRightInd w:val="0"/>
        <w:spacing w:before="240" w:after="80"/>
      </w:pPr>
      <w:r>
        <w:rPr>
          <w:rFonts w:eastAsia="Calibri"/>
          <w:lang w:eastAsia="en-US"/>
        </w:rPr>
        <w:t xml:space="preserve">Section 2 provides that the Amendment Determination commences </w:t>
      </w:r>
      <w:r>
        <w:t xml:space="preserve">on the day after it is registered on the </w:t>
      </w:r>
      <w:r w:rsidRPr="00E416ED">
        <w:t>Federal Register of Legislative Instruments</w:t>
      </w:r>
      <w:r>
        <w:t>.</w:t>
      </w:r>
    </w:p>
    <w:p w14:paraId="1B2085DD" w14:textId="77777777" w:rsidR="00E416ED" w:rsidRDefault="00E416ED" w:rsidP="00E416ED">
      <w:pPr>
        <w:autoSpaceDE w:val="0"/>
        <w:autoSpaceDN w:val="0"/>
        <w:adjustRightInd w:val="0"/>
        <w:spacing w:before="240" w:after="80"/>
      </w:pPr>
      <w:r w:rsidRPr="005F12DA">
        <w:rPr>
          <w:b/>
          <w:i/>
        </w:rPr>
        <w:t xml:space="preserve">Section 3 - Amendment of the </w:t>
      </w:r>
      <w:r w:rsidRPr="00E416ED">
        <w:rPr>
          <w:b/>
          <w:i/>
        </w:rPr>
        <w:t>Telecommunications (Emergency Call Service) Determination 2009</w:t>
      </w:r>
    </w:p>
    <w:p w14:paraId="49BC32F3" w14:textId="77777777" w:rsidR="00E416ED" w:rsidRDefault="00E416ED" w:rsidP="00E416ED">
      <w:pPr>
        <w:autoSpaceDE w:val="0"/>
        <w:autoSpaceDN w:val="0"/>
        <w:adjustRightInd w:val="0"/>
        <w:spacing w:before="240" w:after="80"/>
        <w:rPr>
          <w:i/>
        </w:rPr>
      </w:pPr>
      <w:r>
        <w:t xml:space="preserve">Section 3 provides that Schedule 1 of the </w:t>
      </w:r>
      <w:r>
        <w:rPr>
          <w:rFonts w:eastAsia="Calibri"/>
          <w:lang w:eastAsia="en-US"/>
        </w:rPr>
        <w:t xml:space="preserve">Amendment Determination amends the </w:t>
      </w:r>
      <w:r>
        <w:rPr>
          <w:i/>
        </w:rPr>
        <w:t>Telecommunications (Emergency Call Service) Determination 2009.</w:t>
      </w:r>
    </w:p>
    <w:p w14:paraId="53FB5F94" w14:textId="77777777" w:rsidR="00E416ED" w:rsidRDefault="00E416ED" w:rsidP="00E416ED">
      <w:pPr>
        <w:autoSpaceDE w:val="0"/>
        <w:autoSpaceDN w:val="0"/>
        <w:adjustRightInd w:val="0"/>
        <w:spacing w:before="240" w:after="80"/>
        <w:rPr>
          <w:b/>
        </w:rPr>
      </w:pPr>
      <w:r w:rsidRPr="005F12DA">
        <w:rPr>
          <w:b/>
          <w:i/>
        </w:rPr>
        <w:t>Schedule 1 – Amendments</w:t>
      </w:r>
    </w:p>
    <w:p w14:paraId="6D8E9FA8" w14:textId="77777777" w:rsidR="00865700" w:rsidRDefault="00865700" w:rsidP="00E416ED">
      <w:pPr>
        <w:autoSpaceDE w:val="0"/>
        <w:autoSpaceDN w:val="0"/>
        <w:adjustRightInd w:val="0"/>
        <w:spacing w:before="240" w:after="80"/>
        <w:rPr>
          <w:b/>
        </w:rPr>
      </w:pPr>
      <w:r>
        <w:rPr>
          <w:b/>
        </w:rPr>
        <w:t>Item [1]</w:t>
      </w:r>
    </w:p>
    <w:p w14:paraId="138FE9A5" w14:textId="77777777" w:rsidR="00C404C6" w:rsidRDefault="00C404C6" w:rsidP="00C404C6">
      <w:pPr>
        <w:autoSpaceDE w:val="0"/>
        <w:autoSpaceDN w:val="0"/>
        <w:adjustRightInd w:val="0"/>
        <w:spacing w:before="240" w:after="80"/>
        <w:rPr>
          <w:rFonts w:eastAsia="Calibri"/>
          <w:lang w:eastAsia="en-US"/>
        </w:rPr>
      </w:pPr>
      <w:r>
        <w:rPr>
          <w:rFonts w:eastAsia="Calibri"/>
          <w:lang w:eastAsia="en-US"/>
        </w:rPr>
        <w:t xml:space="preserve">Item [1] corrects a typographical error in </w:t>
      </w:r>
      <w:r w:rsidRPr="00D867BD">
        <w:rPr>
          <w:rFonts w:eastAsia="Calibri"/>
          <w:lang w:eastAsia="en-US"/>
        </w:rPr>
        <w:t>subsection 49(3)</w:t>
      </w:r>
      <w:r>
        <w:rPr>
          <w:rFonts w:eastAsia="Calibri"/>
          <w:lang w:eastAsia="en-US"/>
        </w:rPr>
        <w:t xml:space="preserve"> of the ECS Determination.</w:t>
      </w:r>
    </w:p>
    <w:p w14:paraId="13030AED" w14:textId="77777777" w:rsidR="00C404C6" w:rsidRPr="00865700" w:rsidRDefault="00C404C6" w:rsidP="00C404C6">
      <w:pPr>
        <w:autoSpaceDE w:val="0"/>
        <w:autoSpaceDN w:val="0"/>
        <w:adjustRightInd w:val="0"/>
        <w:spacing w:before="240" w:after="80"/>
        <w:rPr>
          <w:rFonts w:eastAsia="Calibri"/>
          <w:b/>
          <w:lang w:eastAsia="en-US"/>
        </w:rPr>
      </w:pPr>
      <w:r w:rsidRPr="00865700">
        <w:rPr>
          <w:rFonts w:eastAsia="Calibri"/>
          <w:b/>
          <w:lang w:eastAsia="en-US"/>
        </w:rPr>
        <w:t>Item [2]</w:t>
      </w:r>
    </w:p>
    <w:p w14:paraId="76C6F179" w14:textId="77777777" w:rsidR="00C404C6" w:rsidRDefault="00C404C6" w:rsidP="00C404C6">
      <w:pPr>
        <w:autoSpaceDE w:val="0"/>
        <w:autoSpaceDN w:val="0"/>
        <w:adjustRightInd w:val="0"/>
        <w:spacing w:before="240" w:after="80"/>
        <w:rPr>
          <w:rFonts w:eastAsia="Calibri"/>
          <w:lang w:eastAsia="en-US"/>
        </w:rPr>
      </w:pPr>
      <w:r>
        <w:rPr>
          <w:rFonts w:eastAsia="Calibri"/>
          <w:lang w:eastAsia="en-US"/>
        </w:rPr>
        <w:t>Item [2] removes the heading to Division 7.1 of the Amendment Determination. This heading has become unnecessary given that the Amendment Determination omits the only other Division under Part 7, that being Division 7.2.</w:t>
      </w:r>
    </w:p>
    <w:p w14:paraId="492AA4D2" w14:textId="77777777" w:rsidR="00C404C6" w:rsidRPr="00865700" w:rsidRDefault="00C404C6" w:rsidP="00C404C6">
      <w:pPr>
        <w:autoSpaceDE w:val="0"/>
        <w:autoSpaceDN w:val="0"/>
        <w:adjustRightInd w:val="0"/>
        <w:spacing w:before="240" w:after="80"/>
        <w:rPr>
          <w:rFonts w:eastAsia="Calibri"/>
          <w:b/>
          <w:lang w:eastAsia="en-US"/>
        </w:rPr>
      </w:pPr>
      <w:r w:rsidRPr="00865700">
        <w:rPr>
          <w:rFonts w:eastAsia="Calibri"/>
          <w:b/>
          <w:lang w:eastAsia="en-US"/>
        </w:rPr>
        <w:t>Item [3]</w:t>
      </w:r>
    </w:p>
    <w:p w14:paraId="0401DB7E" w14:textId="77777777" w:rsidR="00C404C6" w:rsidRPr="00D867BD" w:rsidRDefault="00C404C6" w:rsidP="00C404C6">
      <w:pPr>
        <w:autoSpaceDE w:val="0"/>
        <w:autoSpaceDN w:val="0"/>
        <w:adjustRightInd w:val="0"/>
        <w:spacing w:before="240" w:after="80"/>
        <w:rPr>
          <w:rFonts w:eastAsia="Calibri"/>
          <w:lang w:eastAsia="en-US"/>
        </w:rPr>
      </w:pPr>
      <w:r>
        <w:rPr>
          <w:rFonts w:eastAsia="Calibri"/>
          <w:lang w:eastAsia="en-US"/>
        </w:rPr>
        <w:t xml:space="preserve">Item [3] omits section 61 of the Amendment Determination. </w:t>
      </w:r>
    </w:p>
    <w:p w14:paraId="564E2406" w14:textId="77777777" w:rsidR="00C404C6" w:rsidRDefault="00C404C6" w:rsidP="00C404C6">
      <w:pPr>
        <w:spacing w:after="120"/>
        <w:rPr>
          <w:rFonts w:eastAsia="Calibri"/>
          <w:lang w:eastAsia="en-US"/>
        </w:rPr>
      </w:pPr>
      <w:r>
        <w:rPr>
          <w:rFonts w:eastAsia="Calibri"/>
          <w:lang w:eastAsia="en-US"/>
        </w:rPr>
        <w:t>S</w:t>
      </w:r>
      <w:r w:rsidRPr="00D867BD">
        <w:rPr>
          <w:rFonts w:eastAsia="Calibri"/>
          <w:lang w:eastAsia="en-US"/>
        </w:rPr>
        <w:t xml:space="preserve">ubsection </w:t>
      </w:r>
      <w:r>
        <w:rPr>
          <w:rFonts w:eastAsia="Calibri"/>
          <w:lang w:eastAsia="en-US"/>
        </w:rPr>
        <w:t xml:space="preserve">61(1) </w:t>
      </w:r>
      <w:r w:rsidRPr="00D867BD">
        <w:rPr>
          <w:rFonts w:eastAsia="Calibri"/>
          <w:lang w:eastAsia="en-US"/>
        </w:rPr>
        <w:t xml:space="preserve">requires that </w:t>
      </w:r>
      <w:r>
        <w:rPr>
          <w:rFonts w:eastAsia="Calibri"/>
          <w:lang w:eastAsia="en-US"/>
        </w:rPr>
        <w:t>c</w:t>
      </w:r>
      <w:r w:rsidRPr="00D867BD">
        <w:rPr>
          <w:rFonts w:eastAsia="Calibri"/>
          <w:lang w:eastAsia="en-US"/>
        </w:rPr>
        <w:t xml:space="preserve">arriage service providers have records of written arrangements that it has in place that enable the provider to comply with the </w:t>
      </w:r>
      <w:r>
        <w:rPr>
          <w:rFonts w:eastAsia="Calibri"/>
          <w:lang w:eastAsia="en-US"/>
        </w:rPr>
        <w:t xml:space="preserve">ECS </w:t>
      </w:r>
      <w:r w:rsidRPr="00D867BD">
        <w:rPr>
          <w:rFonts w:eastAsia="Calibri"/>
          <w:lang w:eastAsia="en-US"/>
        </w:rPr>
        <w:t>Determination.  This specific requirement duplicates general record</w:t>
      </w:r>
      <w:r w:rsidR="00DC1EE5">
        <w:rPr>
          <w:rFonts w:eastAsia="Calibri"/>
          <w:lang w:eastAsia="en-US"/>
        </w:rPr>
        <w:t>-</w:t>
      </w:r>
      <w:r w:rsidRPr="00D867BD">
        <w:rPr>
          <w:rFonts w:eastAsia="Calibri"/>
          <w:lang w:eastAsia="en-US"/>
        </w:rPr>
        <w:t>keeping require</w:t>
      </w:r>
      <w:r>
        <w:rPr>
          <w:rFonts w:eastAsia="Calibri"/>
          <w:lang w:eastAsia="en-US"/>
        </w:rPr>
        <w:t>ments specified under section 7 of the ECS Determination</w:t>
      </w:r>
      <w:r w:rsidRPr="00D867BD">
        <w:rPr>
          <w:rFonts w:eastAsia="Calibri"/>
          <w:lang w:eastAsia="en-US"/>
        </w:rPr>
        <w:t>.</w:t>
      </w:r>
    </w:p>
    <w:p w14:paraId="0EC8DD50" w14:textId="77777777" w:rsidR="00C404C6" w:rsidRDefault="00C404C6" w:rsidP="00C404C6">
      <w:pPr>
        <w:spacing w:after="120"/>
        <w:rPr>
          <w:rFonts w:eastAsia="Calibri"/>
          <w:lang w:eastAsia="en-US"/>
        </w:rPr>
      </w:pPr>
      <w:r>
        <w:rPr>
          <w:rFonts w:eastAsia="Calibri"/>
          <w:lang w:eastAsia="en-US"/>
        </w:rPr>
        <w:t>S</w:t>
      </w:r>
      <w:r w:rsidRPr="00D867BD">
        <w:rPr>
          <w:rFonts w:eastAsia="Calibri"/>
          <w:lang w:eastAsia="en-US"/>
        </w:rPr>
        <w:t xml:space="preserve">ubsection </w:t>
      </w:r>
      <w:r>
        <w:rPr>
          <w:rFonts w:eastAsia="Calibri"/>
          <w:lang w:eastAsia="en-US"/>
        </w:rPr>
        <w:t xml:space="preserve">61(2) </w:t>
      </w:r>
      <w:r w:rsidRPr="00D867BD">
        <w:rPr>
          <w:rFonts w:eastAsia="Calibri"/>
          <w:lang w:eastAsia="en-US"/>
        </w:rPr>
        <w:t xml:space="preserve">enables the ACMA to make a written request to carriage service providers to inspect their records and requires that carriage service providers provide the ACMA with the specified records within seven days of receiving the request. This requirement duplicates the general power accorded to the ACMA under section 521 of the </w:t>
      </w:r>
      <w:r w:rsidRPr="005F12DA">
        <w:rPr>
          <w:rFonts w:eastAsia="Calibri"/>
          <w:i/>
          <w:lang w:eastAsia="en-US"/>
        </w:rPr>
        <w:t>Telecommunications Act 1997</w:t>
      </w:r>
      <w:r w:rsidRPr="00D867BD">
        <w:rPr>
          <w:rFonts w:eastAsia="Calibri"/>
          <w:lang w:eastAsia="en-US"/>
        </w:rPr>
        <w:t>.</w:t>
      </w:r>
    </w:p>
    <w:p w14:paraId="68E1003D" w14:textId="32D66752" w:rsidR="00C404C6" w:rsidRDefault="00C404C6" w:rsidP="00F840AB">
      <w:pPr>
        <w:autoSpaceDE w:val="0"/>
        <w:autoSpaceDN w:val="0"/>
        <w:adjustRightInd w:val="0"/>
        <w:rPr>
          <w:rFonts w:eastAsia="Calibri"/>
          <w:lang w:eastAsia="en-US"/>
        </w:rPr>
      </w:pPr>
      <w:r>
        <w:rPr>
          <w:rFonts w:eastAsia="Calibri"/>
          <w:lang w:eastAsia="en-US"/>
        </w:rPr>
        <w:t xml:space="preserve">The ACMA considered that the removal of section 61 </w:t>
      </w:r>
      <w:r>
        <w:rPr>
          <w:rFonts w:cs="Arial"/>
        </w:rPr>
        <w:t>would alleviate the necessity to provide separate and specific reporting under those requirements, but</w:t>
      </w:r>
      <w:r w:rsidRPr="00631B0F">
        <w:rPr>
          <w:rFonts w:cs="Arial"/>
        </w:rPr>
        <w:t xml:space="preserve"> would not </w:t>
      </w:r>
      <w:r w:rsidRPr="00631B0F">
        <w:rPr>
          <w:rFonts w:cs="Arial"/>
        </w:rPr>
        <w:lastRenderedPageBreak/>
        <w:t>weaken the operation of the emergency call service</w:t>
      </w:r>
      <w:r>
        <w:rPr>
          <w:rFonts w:cs="Arial"/>
        </w:rPr>
        <w:t>,</w:t>
      </w:r>
      <w:r w:rsidRPr="00631B0F">
        <w:rPr>
          <w:rFonts w:cs="Arial"/>
        </w:rPr>
        <w:t xml:space="preserve"> nor the obligation on carriage service providers to keep written arrangements</w:t>
      </w:r>
      <w:r>
        <w:rPr>
          <w:rFonts w:cs="Arial"/>
        </w:rPr>
        <w:t>.</w:t>
      </w:r>
    </w:p>
    <w:p w14:paraId="318F4F08" w14:textId="77777777" w:rsidR="00F840AB" w:rsidRPr="00F840AB" w:rsidRDefault="00F840AB" w:rsidP="00F840AB">
      <w:pPr>
        <w:autoSpaceDE w:val="0"/>
        <w:autoSpaceDN w:val="0"/>
        <w:adjustRightInd w:val="0"/>
        <w:rPr>
          <w:rFonts w:eastAsia="Calibri"/>
          <w:lang w:eastAsia="en-US"/>
        </w:rPr>
      </w:pPr>
    </w:p>
    <w:p w14:paraId="1AD320D8" w14:textId="77777777" w:rsidR="00C404C6" w:rsidRPr="00875D1A" w:rsidRDefault="00C404C6" w:rsidP="00C404C6">
      <w:pPr>
        <w:spacing w:after="120"/>
        <w:rPr>
          <w:rFonts w:eastAsia="Calibri"/>
          <w:b/>
          <w:lang w:eastAsia="en-US"/>
        </w:rPr>
      </w:pPr>
      <w:r w:rsidRPr="00875D1A">
        <w:rPr>
          <w:rFonts w:eastAsia="Calibri"/>
          <w:b/>
          <w:lang w:eastAsia="en-US"/>
        </w:rPr>
        <w:t>Item [4]</w:t>
      </w:r>
    </w:p>
    <w:p w14:paraId="309FBB89" w14:textId="77777777" w:rsidR="00C404C6" w:rsidRDefault="00C404C6" w:rsidP="00C404C6">
      <w:pPr>
        <w:autoSpaceDE w:val="0"/>
        <w:autoSpaceDN w:val="0"/>
        <w:adjustRightInd w:val="0"/>
        <w:spacing w:before="240" w:after="80"/>
        <w:rPr>
          <w:rFonts w:eastAsia="Calibri"/>
          <w:lang w:eastAsia="en-US"/>
        </w:rPr>
      </w:pPr>
      <w:r>
        <w:rPr>
          <w:rFonts w:eastAsia="Calibri"/>
          <w:lang w:eastAsia="en-US"/>
        </w:rPr>
        <w:t>Item [4] omits Division 7.2 of the Amendment Determination which consists of section 62.</w:t>
      </w:r>
    </w:p>
    <w:p w14:paraId="7AEA5207" w14:textId="77777777" w:rsidR="00C404C6" w:rsidRDefault="00C404C6" w:rsidP="00C404C6">
      <w:pPr>
        <w:autoSpaceDE w:val="0"/>
        <w:autoSpaceDN w:val="0"/>
        <w:adjustRightInd w:val="0"/>
        <w:spacing w:before="240" w:after="80"/>
        <w:rPr>
          <w:rFonts w:eastAsia="Calibri"/>
          <w:lang w:eastAsia="en-US"/>
        </w:rPr>
      </w:pPr>
      <w:r>
        <w:rPr>
          <w:rFonts w:eastAsia="Calibri"/>
          <w:lang w:eastAsia="en-US"/>
        </w:rPr>
        <w:t>S</w:t>
      </w:r>
      <w:r w:rsidRPr="00D867BD">
        <w:rPr>
          <w:rFonts w:eastAsia="Calibri"/>
          <w:lang w:eastAsia="en-US"/>
        </w:rPr>
        <w:t xml:space="preserve">ection </w:t>
      </w:r>
      <w:r>
        <w:rPr>
          <w:rFonts w:eastAsia="Calibri"/>
          <w:lang w:eastAsia="en-US"/>
        </w:rPr>
        <w:t xml:space="preserve">62 </w:t>
      </w:r>
      <w:r w:rsidRPr="00D867BD">
        <w:rPr>
          <w:rFonts w:eastAsia="Calibri"/>
          <w:lang w:eastAsia="en-US"/>
        </w:rPr>
        <w:t xml:space="preserve">requires carriage service providers to inform the ACMA if they are unable to keep records of arrangements it makes to comply with the </w:t>
      </w:r>
      <w:r>
        <w:rPr>
          <w:rFonts w:eastAsia="Calibri"/>
          <w:lang w:eastAsia="en-US"/>
        </w:rPr>
        <w:t xml:space="preserve">ECS </w:t>
      </w:r>
      <w:r w:rsidRPr="00D867BD">
        <w:rPr>
          <w:rFonts w:eastAsia="Calibri"/>
          <w:lang w:eastAsia="en-US"/>
        </w:rPr>
        <w:t>Determination because of</w:t>
      </w:r>
      <w:r>
        <w:rPr>
          <w:rFonts w:eastAsia="Calibri"/>
          <w:lang w:eastAsia="en-US"/>
        </w:rPr>
        <w:t xml:space="preserve"> a dispute with another person</w:t>
      </w:r>
      <w:r w:rsidRPr="00D867BD">
        <w:rPr>
          <w:rFonts w:eastAsia="Calibri"/>
          <w:lang w:eastAsia="en-US"/>
        </w:rPr>
        <w:t xml:space="preserve">. It also requires the ACMA to have regard to this information. </w:t>
      </w:r>
    </w:p>
    <w:p w14:paraId="0A59DFE4" w14:textId="568D40DE" w:rsidR="00C404C6" w:rsidRDefault="00C404C6" w:rsidP="00C404C6">
      <w:pPr>
        <w:autoSpaceDE w:val="0"/>
        <w:autoSpaceDN w:val="0"/>
        <w:adjustRightInd w:val="0"/>
        <w:spacing w:before="240" w:after="80"/>
        <w:rPr>
          <w:rFonts w:cs="Arial"/>
        </w:rPr>
      </w:pPr>
      <w:r w:rsidRPr="00D867BD">
        <w:rPr>
          <w:rFonts w:eastAsia="Calibri"/>
          <w:lang w:eastAsia="en-US"/>
        </w:rPr>
        <w:t>The ACMA propose</w:t>
      </w:r>
      <w:r>
        <w:rPr>
          <w:rFonts w:eastAsia="Calibri"/>
          <w:lang w:eastAsia="en-US"/>
        </w:rPr>
        <w:t>d</w:t>
      </w:r>
      <w:r w:rsidRPr="00D867BD">
        <w:rPr>
          <w:rFonts w:eastAsia="Calibri"/>
          <w:lang w:eastAsia="en-US"/>
        </w:rPr>
        <w:t xml:space="preserve"> to remove this report</w:t>
      </w:r>
      <w:r>
        <w:rPr>
          <w:rFonts w:eastAsia="Calibri"/>
          <w:lang w:eastAsia="en-US"/>
        </w:rPr>
        <w:t xml:space="preserve">ing requirement as it considered that along with the removal of section 61, </w:t>
      </w:r>
      <w:r>
        <w:rPr>
          <w:rFonts w:cs="Arial"/>
        </w:rPr>
        <w:t>there was an opportunity to simplify and reduce potential duplication of record</w:t>
      </w:r>
      <w:r w:rsidR="00C82549">
        <w:rPr>
          <w:rFonts w:cs="Arial"/>
        </w:rPr>
        <w:t>-</w:t>
      </w:r>
      <w:r>
        <w:rPr>
          <w:rFonts w:cs="Arial"/>
        </w:rPr>
        <w:t>keeping requirements.</w:t>
      </w:r>
    </w:p>
    <w:p w14:paraId="34EEDF5B" w14:textId="77777777" w:rsidR="00C404C6" w:rsidRPr="00865700" w:rsidRDefault="00C404C6" w:rsidP="00E416ED">
      <w:pPr>
        <w:autoSpaceDE w:val="0"/>
        <w:autoSpaceDN w:val="0"/>
        <w:adjustRightInd w:val="0"/>
        <w:spacing w:before="240" w:after="80"/>
        <w:rPr>
          <w:rFonts w:eastAsia="Calibri"/>
          <w:lang w:eastAsia="en-US"/>
        </w:rPr>
      </w:pPr>
    </w:p>
    <w:p w14:paraId="4AFB825F" w14:textId="77777777" w:rsidR="00D65814" w:rsidRPr="00477645" w:rsidRDefault="00477645" w:rsidP="00477645">
      <w:pPr>
        <w:ind w:left="6946" w:right="-199"/>
        <w:rPr>
          <w:b/>
        </w:rPr>
      </w:pPr>
      <w:r>
        <w:rPr>
          <w:rFonts w:eastAsia="Calibri"/>
          <w:lang w:eastAsia="en-US"/>
        </w:rPr>
        <w:br w:type="page"/>
      </w:r>
      <w:r w:rsidRPr="00191C18">
        <w:rPr>
          <w:b/>
        </w:rPr>
        <w:lastRenderedPageBreak/>
        <w:t xml:space="preserve">Attachment </w:t>
      </w:r>
      <w:r>
        <w:rPr>
          <w:b/>
        </w:rPr>
        <w:t>A</w:t>
      </w:r>
    </w:p>
    <w:p w14:paraId="2DC547F6" w14:textId="77777777" w:rsidR="00477645" w:rsidRPr="00E4135E" w:rsidRDefault="00477645" w:rsidP="00416448">
      <w:pPr>
        <w:spacing w:before="120" w:after="120"/>
        <w:jc w:val="center"/>
        <w:rPr>
          <w:b/>
          <w:sz w:val="28"/>
          <w:szCs w:val="28"/>
        </w:rPr>
      </w:pPr>
      <w:r w:rsidRPr="00E4135E">
        <w:rPr>
          <w:b/>
          <w:sz w:val="28"/>
          <w:szCs w:val="28"/>
        </w:rPr>
        <w:t>Statement of Compatibility with Human Rights</w:t>
      </w:r>
    </w:p>
    <w:p w14:paraId="04666CDB" w14:textId="77777777" w:rsidR="00477645" w:rsidRPr="00E4135E" w:rsidRDefault="00477645" w:rsidP="00477645">
      <w:pPr>
        <w:spacing w:before="120" w:after="120"/>
        <w:jc w:val="center"/>
      </w:pPr>
      <w:r w:rsidRPr="00E4135E">
        <w:rPr>
          <w:i/>
        </w:rPr>
        <w:t>Prepared in accordance with Part 3 of the Human Rights (Parliamentary Scrutiny) Act 2011</w:t>
      </w:r>
    </w:p>
    <w:p w14:paraId="686AC1C8" w14:textId="77777777" w:rsidR="00477645" w:rsidRPr="00E4135E" w:rsidRDefault="00477645" w:rsidP="00477645">
      <w:pPr>
        <w:spacing w:before="120" w:after="120"/>
        <w:jc w:val="center"/>
      </w:pPr>
    </w:p>
    <w:p w14:paraId="629906A5" w14:textId="77777777" w:rsidR="00477645" w:rsidRPr="00492383" w:rsidRDefault="00477645" w:rsidP="00492383">
      <w:pPr>
        <w:spacing w:before="120" w:after="120"/>
        <w:jc w:val="center"/>
        <w:rPr>
          <w:b/>
        </w:rPr>
      </w:pPr>
      <w:r>
        <w:rPr>
          <w:b/>
        </w:rPr>
        <w:t>Telecommunications (Emergency Call Service) Amendment Determination</w:t>
      </w:r>
      <w:r w:rsidRPr="00E4135E">
        <w:rPr>
          <w:b/>
        </w:rPr>
        <w:t xml:space="preserve"> </w:t>
      </w:r>
      <w:r>
        <w:rPr>
          <w:b/>
        </w:rPr>
        <w:t>2014 (No. 1)</w:t>
      </w:r>
    </w:p>
    <w:p w14:paraId="23A0E4D9" w14:textId="77777777" w:rsidR="00477645" w:rsidRPr="00E4135E" w:rsidRDefault="00477645" w:rsidP="00492383">
      <w:pPr>
        <w:spacing w:after="120"/>
      </w:pPr>
      <w:r w:rsidRPr="00477645">
        <w:t xml:space="preserve">The </w:t>
      </w:r>
      <w:r w:rsidRPr="00477645">
        <w:rPr>
          <w:i/>
          <w:iCs/>
        </w:rPr>
        <w:t xml:space="preserve">Telecommunications (Emergency Call Service) Amendment Determination 2014 (No.1) </w:t>
      </w:r>
      <w:r w:rsidRPr="00477645">
        <w:t xml:space="preserve">(the </w:t>
      </w:r>
      <w:r w:rsidRPr="00477645">
        <w:rPr>
          <w:b/>
        </w:rPr>
        <w:t>Amendment Determination</w:t>
      </w:r>
      <w:r w:rsidRPr="00477645">
        <w:t>)</w:t>
      </w:r>
      <w:r>
        <w:t xml:space="preserve"> i</w:t>
      </w:r>
      <w:r w:rsidRPr="00E4135E">
        <w:t xml:space="preserve">s compatible with the human rights and freedoms recognised or declared in the international instruments listed in section 3 of the </w:t>
      </w:r>
      <w:r w:rsidRPr="00E4135E">
        <w:rPr>
          <w:i/>
        </w:rPr>
        <w:t>Human Rights (Parliamentary Scrutiny) Act 2011</w:t>
      </w:r>
      <w:r>
        <w:t>.</w:t>
      </w:r>
    </w:p>
    <w:p w14:paraId="6E782ACD" w14:textId="77777777" w:rsidR="00477645" w:rsidRPr="00E4135E" w:rsidRDefault="00477645" w:rsidP="00492383">
      <w:pPr>
        <w:spacing w:after="120"/>
        <w:jc w:val="both"/>
        <w:rPr>
          <w:b/>
        </w:rPr>
      </w:pPr>
      <w:r w:rsidRPr="00E4135E">
        <w:rPr>
          <w:b/>
        </w:rPr>
        <w:t xml:space="preserve">Overview of the </w:t>
      </w:r>
      <w:r>
        <w:rPr>
          <w:b/>
        </w:rPr>
        <w:t>Amendment Determination</w:t>
      </w:r>
    </w:p>
    <w:p w14:paraId="130EEFBD" w14:textId="77777777" w:rsidR="00492383" w:rsidRPr="00492383" w:rsidRDefault="00477645" w:rsidP="00492383">
      <w:pPr>
        <w:pStyle w:val="NoSpacing"/>
        <w:spacing w:after="120"/>
        <w:rPr>
          <w:rFonts w:ascii="Times New Roman" w:hAnsi="Times New Roman"/>
          <w:sz w:val="24"/>
          <w:szCs w:val="24"/>
        </w:rPr>
      </w:pPr>
      <w:r w:rsidRPr="00492383">
        <w:rPr>
          <w:rFonts w:ascii="Times New Roman" w:hAnsi="Times New Roman"/>
          <w:sz w:val="24"/>
          <w:szCs w:val="24"/>
        </w:rPr>
        <w:t xml:space="preserve">The Amendment Determination amends the </w:t>
      </w:r>
      <w:r w:rsidRPr="00492383">
        <w:rPr>
          <w:rFonts w:ascii="Times New Roman" w:hAnsi="Times New Roman"/>
          <w:i/>
          <w:sz w:val="24"/>
          <w:szCs w:val="24"/>
        </w:rPr>
        <w:t xml:space="preserve">Telecommunications (Emergency Call Service) Determination 2009 </w:t>
      </w:r>
      <w:r w:rsidRPr="00492383">
        <w:rPr>
          <w:rFonts w:ascii="Times New Roman" w:hAnsi="Times New Roman"/>
          <w:sz w:val="24"/>
          <w:szCs w:val="24"/>
        </w:rPr>
        <w:t xml:space="preserve">(the </w:t>
      </w:r>
      <w:r w:rsidRPr="00492383">
        <w:rPr>
          <w:rFonts w:ascii="Times New Roman" w:hAnsi="Times New Roman"/>
          <w:b/>
          <w:sz w:val="24"/>
          <w:szCs w:val="24"/>
        </w:rPr>
        <w:t>ECS Determination</w:t>
      </w:r>
      <w:r w:rsidRPr="00492383">
        <w:rPr>
          <w:rFonts w:ascii="Times New Roman" w:hAnsi="Times New Roman"/>
          <w:sz w:val="24"/>
          <w:szCs w:val="24"/>
        </w:rPr>
        <w:t xml:space="preserve">), which is made under subsection 147(1) of the </w:t>
      </w:r>
      <w:r w:rsidRPr="00492383">
        <w:rPr>
          <w:rFonts w:ascii="Times New Roman" w:hAnsi="Times New Roman"/>
          <w:i/>
          <w:sz w:val="24"/>
          <w:szCs w:val="24"/>
        </w:rPr>
        <w:t xml:space="preserve">Telecommunications (Consumer Protection and Service Standards) Act 1999 </w:t>
      </w:r>
      <w:r w:rsidRPr="00492383">
        <w:rPr>
          <w:rFonts w:ascii="Times New Roman" w:hAnsi="Times New Roman"/>
          <w:sz w:val="24"/>
          <w:szCs w:val="24"/>
        </w:rPr>
        <w:t xml:space="preserve">(the </w:t>
      </w:r>
      <w:r w:rsidRPr="00492383">
        <w:rPr>
          <w:rFonts w:ascii="Times New Roman" w:hAnsi="Times New Roman"/>
          <w:b/>
          <w:sz w:val="24"/>
          <w:szCs w:val="24"/>
        </w:rPr>
        <w:t>Act</w:t>
      </w:r>
      <w:r w:rsidRPr="00492383">
        <w:rPr>
          <w:rFonts w:ascii="Times New Roman" w:hAnsi="Times New Roman"/>
          <w:sz w:val="24"/>
          <w:szCs w:val="24"/>
        </w:rPr>
        <w:t>).</w:t>
      </w:r>
    </w:p>
    <w:p w14:paraId="5F96938A" w14:textId="77777777" w:rsidR="00492383" w:rsidRPr="00492383" w:rsidRDefault="00492383" w:rsidP="00492383">
      <w:pPr>
        <w:autoSpaceDE w:val="0"/>
        <w:autoSpaceDN w:val="0"/>
        <w:adjustRightInd w:val="0"/>
        <w:spacing w:after="120"/>
        <w:rPr>
          <w:rFonts w:eastAsia="Calibri"/>
          <w:lang w:eastAsia="en-US"/>
        </w:rPr>
      </w:pPr>
      <w:r w:rsidRPr="00492383">
        <w:rPr>
          <w:rFonts w:eastAsia="Calibri"/>
          <w:lang w:eastAsia="en-US"/>
        </w:rPr>
        <w:t xml:space="preserve">The ECS Determination </w:t>
      </w:r>
      <w:r w:rsidR="00C404C6">
        <w:rPr>
          <w:rFonts w:eastAsia="Calibri"/>
          <w:lang w:eastAsia="en-US"/>
        </w:rPr>
        <w:t xml:space="preserve">previously </w:t>
      </w:r>
      <w:r w:rsidRPr="00492383">
        <w:rPr>
          <w:rFonts w:eastAsia="Calibri"/>
          <w:lang w:eastAsia="en-US"/>
        </w:rPr>
        <w:t>imposed requirements that:</w:t>
      </w:r>
    </w:p>
    <w:p w14:paraId="2EA6F544" w14:textId="7A65FE51" w:rsidR="00492383" w:rsidRPr="00492383" w:rsidRDefault="00492383" w:rsidP="00492383">
      <w:pPr>
        <w:numPr>
          <w:ilvl w:val="0"/>
          <w:numId w:val="18"/>
        </w:numPr>
        <w:autoSpaceDE w:val="0"/>
        <w:autoSpaceDN w:val="0"/>
        <w:adjustRightInd w:val="0"/>
        <w:spacing w:after="120"/>
        <w:rPr>
          <w:rFonts w:eastAsia="Calibri"/>
          <w:lang w:eastAsia="en-US"/>
        </w:rPr>
      </w:pPr>
      <w:r w:rsidRPr="00492383">
        <w:rPr>
          <w:rFonts w:eastAsia="Calibri"/>
          <w:lang w:eastAsia="en-US"/>
        </w:rPr>
        <w:t xml:space="preserve">carriage service providers have records of written arrangements that they have in place that enable </w:t>
      </w:r>
      <w:r w:rsidR="00C404C6">
        <w:rPr>
          <w:rFonts w:eastAsia="Calibri"/>
          <w:lang w:eastAsia="en-US"/>
        </w:rPr>
        <w:t>them</w:t>
      </w:r>
      <w:r w:rsidRPr="00492383">
        <w:rPr>
          <w:rFonts w:eastAsia="Calibri"/>
          <w:lang w:eastAsia="en-US"/>
        </w:rPr>
        <w:t xml:space="preserve"> to comply with the </w:t>
      </w:r>
      <w:r w:rsidR="00F873FF">
        <w:rPr>
          <w:rFonts w:eastAsia="Calibri"/>
          <w:lang w:eastAsia="en-US"/>
        </w:rPr>
        <w:t xml:space="preserve">ECS </w:t>
      </w:r>
      <w:r w:rsidRPr="00492383">
        <w:rPr>
          <w:rFonts w:eastAsia="Calibri"/>
          <w:lang w:eastAsia="en-US"/>
        </w:rPr>
        <w:t>Determination</w:t>
      </w:r>
      <w:r>
        <w:rPr>
          <w:rFonts w:eastAsia="Calibri"/>
          <w:lang w:eastAsia="en-US"/>
        </w:rPr>
        <w:t xml:space="preserve"> under </w:t>
      </w:r>
      <w:r w:rsidR="00145191">
        <w:rPr>
          <w:rFonts w:eastAsia="Calibri"/>
          <w:lang w:eastAsia="en-US"/>
        </w:rPr>
        <w:t xml:space="preserve">subsection </w:t>
      </w:r>
      <w:r>
        <w:rPr>
          <w:rFonts w:eastAsia="Calibri"/>
          <w:lang w:eastAsia="en-US"/>
        </w:rPr>
        <w:t>61(1)</w:t>
      </w:r>
    </w:p>
    <w:p w14:paraId="561C0D44" w14:textId="77777777" w:rsidR="00492383" w:rsidRPr="00492383" w:rsidRDefault="00492383" w:rsidP="00492383">
      <w:pPr>
        <w:numPr>
          <w:ilvl w:val="0"/>
          <w:numId w:val="18"/>
        </w:numPr>
        <w:autoSpaceDE w:val="0"/>
        <w:autoSpaceDN w:val="0"/>
        <w:adjustRightInd w:val="0"/>
        <w:spacing w:after="120"/>
        <w:rPr>
          <w:rFonts w:eastAsia="Calibri"/>
          <w:lang w:eastAsia="en-US"/>
        </w:rPr>
      </w:pPr>
      <w:r w:rsidRPr="00492383">
        <w:rPr>
          <w:rFonts w:eastAsia="Calibri"/>
          <w:lang w:eastAsia="en-US"/>
        </w:rPr>
        <w:t>carriage service providers provide the ACMA with</w:t>
      </w:r>
      <w:r w:rsidR="00F873FF">
        <w:rPr>
          <w:rFonts w:eastAsia="Calibri"/>
          <w:lang w:eastAsia="en-US"/>
        </w:rPr>
        <w:t xml:space="preserve"> </w:t>
      </w:r>
      <w:r w:rsidR="00416448">
        <w:rPr>
          <w:rFonts w:eastAsia="Calibri"/>
          <w:lang w:eastAsia="en-US"/>
        </w:rPr>
        <w:t xml:space="preserve">requested </w:t>
      </w:r>
      <w:r w:rsidRPr="00492383">
        <w:rPr>
          <w:rFonts w:eastAsia="Calibri"/>
          <w:lang w:eastAsia="en-US"/>
        </w:rPr>
        <w:t xml:space="preserve">records within seven days </w:t>
      </w:r>
      <w:r w:rsidR="00F873FF" w:rsidRPr="00492383">
        <w:rPr>
          <w:rFonts w:eastAsia="Calibri"/>
          <w:lang w:eastAsia="en-US"/>
        </w:rPr>
        <w:t xml:space="preserve">upon written request </w:t>
      </w:r>
      <w:r w:rsidR="00F873FF">
        <w:rPr>
          <w:rFonts w:eastAsia="Calibri"/>
          <w:lang w:eastAsia="en-US"/>
        </w:rPr>
        <w:t>from the ACMA to inspect specified</w:t>
      </w:r>
      <w:r w:rsidR="00F873FF" w:rsidRPr="00492383">
        <w:rPr>
          <w:rFonts w:eastAsia="Calibri"/>
          <w:lang w:eastAsia="en-US"/>
        </w:rPr>
        <w:t xml:space="preserve"> records</w:t>
      </w:r>
      <w:r w:rsidR="00F873FF">
        <w:rPr>
          <w:rFonts w:eastAsia="Calibri"/>
          <w:lang w:eastAsia="en-US"/>
        </w:rPr>
        <w:t xml:space="preserve">, </w:t>
      </w:r>
      <w:r>
        <w:rPr>
          <w:rFonts w:eastAsia="Calibri"/>
          <w:lang w:eastAsia="en-US"/>
        </w:rPr>
        <w:t xml:space="preserve">under </w:t>
      </w:r>
      <w:r w:rsidR="00145191">
        <w:rPr>
          <w:rFonts w:eastAsia="Calibri"/>
          <w:lang w:eastAsia="en-US"/>
        </w:rPr>
        <w:t xml:space="preserve">subsection </w:t>
      </w:r>
      <w:r>
        <w:rPr>
          <w:rFonts w:eastAsia="Calibri"/>
          <w:lang w:eastAsia="en-US"/>
        </w:rPr>
        <w:t>61(2)</w:t>
      </w:r>
    </w:p>
    <w:p w14:paraId="0D35C232" w14:textId="336286BB" w:rsidR="00492383" w:rsidRPr="00492383" w:rsidRDefault="00492383" w:rsidP="00492383">
      <w:pPr>
        <w:numPr>
          <w:ilvl w:val="0"/>
          <w:numId w:val="18"/>
        </w:numPr>
        <w:autoSpaceDE w:val="0"/>
        <w:autoSpaceDN w:val="0"/>
        <w:adjustRightInd w:val="0"/>
        <w:spacing w:after="120"/>
        <w:rPr>
          <w:rFonts w:eastAsia="Calibri"/>
          <w:lang w:eastAsia="en-US"/>
        </w:rPr>
      </w:pPr>
      <w:proofErr w:type="gramStart"/>
      <w:r w:rsidRPr="00492383">
        <w:rPr>
          <w:rFonts w:eastAsia="Calibri"/>
          <w:lang w:eastAsia="en-US"/>
        </w:rPr>
        <w:t>carriage</w:t>
      </w:r>
      <w:proofErr w:type="gramEnd"/>
      <w:r w:rsidRPr="00492383">
        <w:rPr>
          <w:rFonts w:eastAsia="Calibri"/>
          <w:lang w:eastAsia="en-US"/>
        </w:rPr>
        <w:t xml:space="preserve"> service providers inform the ACMA if they are unable to keep records of arrangements </w:t>
      </w:r>
      <w:r w:rsidR="00D57070">
        <w:rPr>
          <w:rFonts w:eastAsia="Calibri"/>
          <w:lang w:eastAsia="en-US"/>
        </w:rPr>
        <w:t>they</w:t>
      </w:r>
      <w:r w:rsidRPr="00492383">
        <w:rPr>
          <w:rFonts w:eastAsia="Calibri"/>
          <w:lang w:eastAsia="en-US"/>
        </w:rPr>
        <w:t xml:space="preserve"> make to comply with the </w:t>
      </w:r>
      <w:r w:rsidR="00BD6CFF">
        <w:rPr>
          <w:rFonts w:eastAsia="Calibri"/>
          <w:lang w:eastAsia="en-US"/>
        </w:rPr>
        <w:t xml:space="preserve">ECS </w:t>
      </w:r>
      <w:r w:rsidRPr="00492383">
        <w:rPr>
          <w:rFonts w:eastAsia="Calibri"/>
          <w:lang w:eastAsia="en-US"/>
        </w:rPr>
        <w:t>Determination because of a</w:t>
      </w:r>
      <w:r>
        <w:rPr>
          <w:rFonts w:eastAsia="Calibri"/>
          <w:lang w:eastAsia="en-US"/>
        </w:rPr>
        <w:t xml:space="preserve"> dispute with another </w:t>
      </w:r>
      <w:r w:rsidR="00D57070">
        <w:rPr>
          <w:rFonts w:eastAsia="Calibri"/>
          <w:lang w:eastAsia="en-US"/>
        </w:rPr>
        <w:t>person.</w:t>
      </w:r>
    </w:p>
    <w:p w14:paraId="6267BF7E" w14:textId="24BC2C55" w:rsidR="00492383" w:rsidRDefault="00492383" w:rsidP="00492383">
      <w:pPr>
        <w:autoSpaceDE w:val="0"/>
        <w:autoSpaceDN w:val="0"/>
        <w:adjustRightInd w:val="0"/>
        <w:spacing w:after="120"/>
      </w:pPr>
      <w:r>
        <w:t xml:space="preserve">The requirement to have written records in place is duplicated elsewhere in the ECS Determination and the ACMA has </w:t>
      </w:r>
      <w:r w:rsidR="00D57070">
        <w:t xml:space="preserve">other </w:t>
      </w:r>
      <w:r>
        <w:t xml:space="preserve">information gathering powers under </w:t>
      </w:r>
      <w:r w:rsidR="00BD6CFF">
        <w:t xml:space="preserve">section </w:t>
      </w:r>
      <w:r>
        <w:t xml:space="preserve">521 of the </w:t>
      </w:r>
      <w:r w:rsidRPr="00DA0563">
        <w:rPr>
          <w:i/>
        </w:rPr>
        <w:t>Telecommunications Act 1997</w:t>
      </w:r>
      <w:r>
        <w:t xml:space="preserve">.  Therefore these obligations are redundant and are being repealed. </w:t>
      </w:r>
    </w:p>
    <w:p w14:paraId="412A41FB" w14:textId="77777777" w:rsidR="00477645" w:rsidRPr="00477645" w:rsidRDefault="00477645" w:rsidP="00492383">
      <w:pPr>
        <w:spacing w:after="120"/>
        <w:rPr>
          <w:b/>
        </w:rPr>
      </w:pPr>
      <w:r w:rsidRPr="00477645">
        <w:rPr>
          <w:b/>
        </w:rPr>
        <w:t>Human rights implications</w:t>
      </w:r>
    </w:p>
    <w:p w14:paraId="0D3201AB" w14:textId="77777777" w:rsidR="00477645" w:rsidRPr="00477645" w:rsidRDefault="00477645" w:rsidP="00492383">
      <w:pPr>
        <w:spacing w:after="120"/>
      </w:pPr>
      <w:r w:rsidRPr="00477645">
        <w:t xml:space="preserve">This </w:t>
      </w:r>
      <w:r w:rsidR="00492383">
        <w:t>Amendment Determination</w:t>
      </w:r>
      <w:r w:rsidRPr="00477645">
        <w:t xml:space="preserve"> does not engage any of the applicable rights or freedoms.</w:t>
      </w:r>
    </w:p>
    <w:p w14:paraId="5276BB89" w14:textId="77777777" w:rsidR="00477645" w:rsidRPr="00477645" w:rsidRDefault="00477645" w:rsidP="00492383">
      <w:pPr>
        <w:spacing w:after="120"/>
        <w:rPr>
          <w:b/>
        </w:rPr>
      </w:pPr>
      <w:r w:rsidRPr="00477645">
        <w:rPr>
          <w:b/>
        </w:rPr>
        <w:t>Conclusion</w:t>
      </w:r>
    </w:p>
    <w:p w14:paraId="30055C60" w14:textId="77777777" w:rsidR="00477645" w:rsidRPr="00477645" w:rsidRDefault="00477645" w:rsidP="00492383">
      <w:pPr>
        <w:spacing w:after="120"/>
      </w:pPr>
      <w:r w:rsidRPr="00477645">
        <w:t xml:space="preserve">This </w:t>
      </w:r>
      <w:r w:rsidR="00492383">
        <w:t>Amendment Determination</w:t>
      </w:r>
      <w:r w:rsidR="00492383" w:rsidRPr="00477645">
        <w:t xml:space="preserve"> </w:t>
      </w:r>
      <w:r w:rsidRPr="00477645">
        <w:t>is compatible with human rights as it does not raise any human rights issues.</w:t>
      </w:r>
    </w:p>
    <w:p w14:paraId="58B58E0A" w14:textId="77777777" w:rsidR="00477645" w:rsidRPr="00477645" w:rsidRDefault="00477645" w:rsidP="00492383">
      <w:pPr>
        <w:spacing w:after="120"/>
        <w:jc w:val="center"/>
      </w:pPr>
    </w:p>
    <w:p w14:paraId="4816F431" w14:textId="77777777" w:rsidR="00A32B51" w:rsidRPr="00477645" w:rsidRDefault="00477645" w:rsidP="00492383">
      <w:pPr>
        <w:spacing w:after="120"/>
        <w:jc w:val="center"/>
        <w:rPr>
          <w:rFonts w:eastAsia="Calibri"/>
          <w:lang w:eastAsia="en-US"/>
        </w:rPr>
      </w:pPr>
      <w:r w:rsidRPr="00477645">
        <w:rPr>
          <w:b/>
          <w:bCs/>
        </w:rPr>
        <w:t>Australian Communications and Media Authority</w:t>
      </w:r>
    </w:p>
    <w:sectPr w:rsidR="00A32B51" w:rsidRPr="00477645" w:rsidSect="000F3E25">
      <w:headerReference w:type="even" r:id="rId8"/>
      <w:headerReference w:type="default" r:id="rId9"/>
      <w:pgSz w:w="11906" w:h="16838"/>
      <w:pgMar w:top="1440" w:right="1800" w:bottom="851"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D3A902" w14:textId="77777777" w:rsidR="00724CA3" w:rsidRDefault="00724CA3" w:rsidP="00FA499D">
      <w:r>
        <w:separator/>
      </w:r>
    </w:p>
  </w:endnote>
  <w:endnote w:type="continuationSeparator" w:id="0">
    <w:p w14:paraId="5BB0E2D4" w14:textId="77777777" w:rsidR="00724CA3" w:rsidRDefault="00724CA3" w:rsidP="00FA4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6928B" w14:textId="77777777" w:rsidR="00724CA3" w:rsidRDefault="00724CA3" w:rsidP="00FA499D">
      <w:r>
        <w:separator/>
      </w:r>
    </w:p>
  </w:footnote>
  <w:footnote w:type="continuationSeparator" w:id="0">
    <w:p w14:paraId="79404A95" w14:textId="77777777" w:rsidR="00724CA3" w:rsidRDefault="00724CA3" w:rsidP="00FA49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6A6B4" w14:textId="77777777" w:rsidR="0073736D" w:rsidRDefault="00542A2F" w:rsidP="00480023">
    <w:pPr>
      <w:pStyle w:val="Header"/>
      <w:framePr w:wrap="around" w:vAnchor="text" w:hAnchor="margin" w:xAlign="center" w:y="1"/>
      <w:rPr>
        <w:rStyle w:val="PageNumber"/>
      </w:rPr>
    </w:pPr>
    <w:r>
      <w:rPr>
        <w:rStyle w:val="PageNumber"/>
      </w:rPr>
      <w:fldChar w:fldCharType="begin"/>
    </w:r>
    <w:r w:rsidR="0073736D">
      <w:rPr>
        <w:rStyle w:val="PageNumber"/>
      </w:rPr>
      <w:instrText xml:space="preserve">PAGE  </w:instrText>
    </w:r>
    <w:r>
      <w:rPr>
        <w:rStyle w:val="PageNumber"/>
      </w:rPr>
      <w:fldChar w:fldCharType="end"/>
    </w:r>
  </w:p>
  <w:p w14:paraId="31E60FB3" w14:textId="77777777" w:rsidR="0073736D" w:rsidRDefault="007373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568C9" w14:textId="77777777" w:rsidR="0073736D" w:rsidRDefault="00542A2F" w:rsidP="00480023">
    <w:pPr>
      <w:pStyle w:val="Header"/>
      <w:framePr w:wrap="around" w:vAnchor="text" w:hAnchor="margin" w:xAlign="center" w:y="1"/>
      <w:rPr>
        <w:rStyle w:val="PageNumber"/>
      </w:rPr>
    </w:pPr>
    <w:r>
      <w:rPr>
        <w:rStyle w:val="PageNumber"/>
      </w:rPr>
      <w:fldChar w:fldCharType="begin"/>
    </w:r>
    <w:r w:rsidR="0073736D">
      <w:rPr>
        <w:rStyle w:val="PageNumber"/>
      </w:rPr>
      <w:instrText xml:space="preserve">PAGE  </w:instrText>
    </w:r>
    <w:r>
      <w:rPr>
        <w:rStyle w:val="PageNumber"/>
      </w:rPr>
      <w:fldChar w:fldCharType="separate"/>
    </w:r>
    <w:r w:rsidR="00E46C83">
      <w:rPr>
        <w:rStyle w:val="PageNumber"/>
        <w:noProof/>
      </w:rPr>
      <w:t>5</w:t>
    </w:r>
    <w:r>
      <w:rPr>
        <w:rStyle w:val="PageNumber"/>
      </w:rPr>
      <w:fldChar w:fldCharType="end"/>
    </w:r>
  </w:p>
  <w:p w14:paraId="3D81AA4E" w14:textId="77777777" w:rsidR="0073736D" w:rsidRDefault="007373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379A1"/>
    <w:multiLevelType w:val="hybridMultilevel"/>
    <w:tmpl w:val="ECCCFD38"/>
    <w:lvl w:ilvl="0" w:tplc="FB381BBC">
      <w:start w:val="1"/>
      <w:numFmt w:val="bullet"/>
      <w:lvlText w:val="o"/>
      <w:lvlJc w:val="left"/>
      <w:pPr>
        <w:tabs>
          <w:tab w:val="num" w:pos="360"/>
        </w:tabs>
        <w:ind w:left="36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4630C20"/>
    <w:multiLevelType w:val="multilevel"/>
    <w:tmpl w:val="2A44F18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C4C65ED"/>
    <w:multiLevelType w:val="hybridMultilevel"/>
    <w:tmpl w:val="115EB686"/>
    <w:lvl w:ilvl="0" w:tplc="0C090001">
      <w:start w:val="1"/>
      <w:numFmt w:val="bullet"/>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3">
    <w:nsid w:val="28FA3337"/>
    <w:multiLevelType w:val="hybridMultilevel"/>
    <w:tmpl w:val="2B0850CC"/>
    <w:lvl w:ilvl="0" w:tplc="AFFE323A">
      <w:start w:val="1"/>
      <w:numFmt w:val="decimal"/>
      <w:pStyle w:val="StyleAutoBefore6ptAfter6pt"/>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2C016DF4"/>
    <w:multiLevelType w:val="multilevel"/>
    <w:tmpl w:val="ECCCFD38"/>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F406306"/>
    <w:multiLevelType w:val="hybridMultilevel"/>
    <w:tmpl w:val="01080584"/>
    <w:lvl w:ilvl="0" w:tplc="0C090001">
      <w:start w:val="1"/>
      <w:numFmt w:val="bullet"/>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6">
    <w:nsid w:val="3FCD5E33"/>
    <w:multiLevelType w:val="hybridMultilevel"/>
    <w:tmpl w:val="3BFA3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63656C0"/>
    <w:multiLevelType w:val="hybridMultilevel"/>
    <w:tmpl w:val="08CE2000"/>
    <w:lvl w:ilvl="0" w:tplc="C68EB09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65B4473"/>
    <w:multiLevelType w:val="hybridMultilevel"/>
    <w:tmpl w:val="4BD0EAE6"/>
    <w:lvl w:ilvl="0" w:tplc="86F6F9E0">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46B72368"/>
    <w:multiLevelType w:val="hybridMultilevel"/>
    <w:tmpl w:val="07EC2910"/>
    <w:lvl w:ilvl="0" w:tplc="F556A374">
      <w:start w:val="2"/>
      <w:numFmt w:val="bullet"/>
      <w:lvlText w:val="-"/>
      <w:lvlJc w:val="left"/>
      <w:pPr>
        <w:tabs>
          <w:tab w:val="num" w:pos="360"/>
        </w:tabs>
        <w:ind w:left="36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534541E9"/>
    <w:multiLevelType w:val="hybridMultilevel"/>
    <w:tmpl w:val="9C6201D8"/>
    <w:lvl w:ilvl="0" w:tplc="F556A374">
      <w:start w:val="2"/>
      <w:numFmt w:val="bullet"/>
      <w:lvlText w:val="-"/>
      <w:lvlJc w:val="left"/>
      <w:pPr>
        <w:tabs>
          <w:tab w:val="num" w:pos="360"/>
        </w:tabs>
        <w:ind w:left="36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54004477"/>
    <w:multiLevelType w:val="hybridMultilevel"/>
    <w:tmpl w:val="2A44F188"/>
    <w:lvl w:ilvl="0" w:tplc="86F6F9E0">
      <w:start w:val="1"/>
      <w:numFmt w:val="bullet"/>
      <w:lvlText w:val=""/>
      <w:lvlJc w:val="left"/>
      <w:pPr>
        <w:tabs>
          <w:tab w:val="num" w:pos="360"/>
        </w:tabs>
        <w:ind w:left="360" w:hanging="360"/>
      </w:pPr>
      <w:rPr>
        <w:rFonts w:ascii="Symbol" w:hAnsi="Symbol" w:hint="default"/>
      </w:rPr>
    </w:lvl>
    <w:lvl w:ilvl="1" w:tplc="83D648E6">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58906034"/>
    <w:multiLevelType w:val="hybridMultilevel"/>
    <w:tmpl w:val="324C0F54"/>
    <w:lvl w:ilvl="0" w:tplc="54907D0E">
      <w:start w:val="2"/>
      <w:numFmt w:val="decimal"/>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99A43A0"/>
    <w:multiLevelType w:val="hybridMultilevel"/>
    <w:tmpl w:val="1B9EF49E"/>
    <w:lvl w:ilvl="0" w:tplc="86F6F9E0">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5F840CEF"/>
    <w:multiLevelType w:val="hybridMultilevel"/>
    <w:tmpl w:val="A68CE50A"/>
    <w:lvl w:ilvl="0" w:tplc="0C090001">
      <w:start w:val="1"/>
      <w:numFmt w:val="bullet"/>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5">
    <w:nsid w:val="63CC4787"/>
    <w:multiLevelType w:val="multilevel"/>
    <w:tmpl w:val="9C6201D8"/>
    <w:lvl w:ilvl="0">
      <w:start w:val="2"/>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661C7BF5"/>
    <w:multiLevelType w:val="hybridMultilevel"/>
    <w:tmpl w:val="893E90F8"/>
    <w:lvl w:ilvl="0" w:tplc="21762E2E">
      <w:start w:val="1"/>
      <w:numFmt w:val="bullet"/>
      <w:lvlText w:val="o"/>
      <w:lvlJc w:val="left"/>
      <w:pPr>
        <w:tabs>
          <w:tab w:val="num" w:pos="720"/>
        </w:tabs>
        <w:ind w:left="720" w:hanging="360"/>
      </w:pPr>
      <w:rPr>
        <w:rFonts w:ascii="Courier New" w:hAnsi="Courier New" w:hint="default"/>
      </w:rPr>
    </w:lvl>
    <w:lvl w:ilvl="1" w:tplc="83D648E6">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7">
    <w:nsid w:val="6C875404"/>
    <w:multiLevelType w:val="multilevel"/>
    <w:tmpl w:val="1F5A0822"/>
    <w:styleLink w:val="StyleNumberedAuto"/>
    <w:lvl w:ilvl="0">
      <w:start w:val="1"/>
      <w:numFmt w:val="decimal"/>
      <w:lvlText w:val="%1."/>
      <w:lvlJc w:val="left"/>
      <w:pPr>
        <w:tabs>
          <w:tab w:val="num" w:pos="207"/>
        </w:tabs>
        <w:ind w:left="397" w:hanging="397"/>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748D0FE8"/>
    <w:multiLevelType w:val="hybridMultilevel"/>
    <w:tmpl w:val="B4104B14"/>
    <w:lvl w:ilvl="0" w:tplc="CB308CCE">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7B0F41F2"/>
    <w:multiLevelType w:val="hybridMultilevel"/>
    <w:tmpl w:val="530C5DB6"/>
    <w:lvl w:ilvl="0" w:tplc="C68EB09E">
      <w:numFmt w:val="bullet"/>
      <w:lvlText w:val="-"/>
      <w:lvlJc w:val="left"/>
      <w:pPr>
        <w:ind w:left="1146" w:hanging="360"/>
      </w:pPr>
      <w:rPr>
        <w:rFonts w:ascii="Times New Roman" w:eastAsia="Times New Roman" w:hAnsi="Times New Roman" w:cs="Times New Roman"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abstractNumId w:val="3"/>
  </w:num>
  <w:num w:numId="2">
    <w:abstractNumId w:val="17"/>
  </w:num>
  <w:num w:numId="3">
    <w:abstractNumId w:val="9"/>
  </w:num>
  <w:num w:numId="4">
    <w:abstractNumId w:val="10"/>
  </w:num>
  <w:num w:numId="5">
    <w:abstractNumId w:val="15"/>
  </w:num>
  <w:num w:numId="6">
    <w:abstractNumId w:val="13"/>
  </w:num>
  <w:num w:numId="7">
    <w:abstractNumId w:val="8"/>
  </w:num>
  <w:num w:numId="8">
    <w:abstractNumId w:val="11"/>
  </w:num>
  <w:num w:numId="9">
    <w:abstractNumId w:val="1"/>
  </w:num>
  <w:num w:numId="10">
    <w:abstractNumId w:val="16"/>
  </w:num>
  <w:num w:numId="11">
    <w:abstractNumId w:val="14"/>
  </w:num>
  <w:num w:numId="12">
    <w:abstractNumId w:val="2"/>
  </w:num>
  <w:num w:numId="13">
    <w:abstractNumId w:val="5"/>
  </w:num>
  <w:num w:numId="14">
    <w:abstractNumId w:val="2"/>
  </w:num>
  <w:num w:numId="15">
    <w:abstractNumId w:val="0"/>
  </w:num>
  <w:num w:numId="16">
    <w:abstractNumId w:val="4"/>
  </w:num>
  <w:num w:numId="17">
    <w:abstractNumId w:val="18"/>
  </w:num>
  <w:num w:numId="18">
    <w:abstractNumId w:val="7"/>
  </w:num>
  <w:num w:numId="19">
    <w:abstractNumId w:val="12"/>
  </w:num>
  <w:num w:numId="20">
    <w:abstractNumId w:val="19"/>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848"/>
    <w:rsid w:val="00002A0C"/>
    <w:rsid w:val="00011306"/>
    <w:rsid w:val="00032AF7"/>
    <w:rsid w:val="00034676"/>
    <w:rsid w:val="00042CAE"/>
    <w:rsid w:val="000547D8"/>
    <w:rsid w:val="00072979"/>
    <w:rsid w:val="000824F6"/>
    <w:rsid w:val="00091AEE"/>
    <w:rsid w:val="00094546"/>
    <w:rsid w:val="000B0B97"/>
    <w:rsid w:val="000B36FA"/>
    <w:rsid w:val="000C3350"/>
    <w:rsid w:val="000F2BA9"/>
    <w:rsid w:val="000F3E25"/>
    <w:rsid w:val="0010695C"/>
    <w:rsid w:val="001216D5"/>
    <w:rsid w:val="0013544B"/>
    <w:rsid w:val="00145191"/>
    <w:rsid w:val="00170182"/>
    <w:rsid w:val="00173DDC"/>
    <w:rsid w:val="00181A20"/>
    <w:rsid w:val="00185CB4"/>
    <w:rsid w:val="001940DA"/>
    <w:rsid w:val="001969C1"/>
    <w:rsid w:val="001B3988"/>
    <w:rsid w:val="001B669B"/>
    <w:rsid w:val="001B7E92"/>
    <w:rsid w:val="001D1FB6"/>
    <w:rsid w:val="001E1C8F"/>
    <w:rsid w:val="001E2686"/>
    <w:rsid w:val="001E7350"/>
    <w:rsid w:val="001F5B13"/>
    <w:rsid w:val="001F5FB9"/>
    <w:rsid w:val="00211703"/>
    <w:rsid w:val="002169A4"/>
    <w:rsid w:val="00217734"/>
    <w:rsid w:val="0022181B"/>
    <w:rsid w:val="002268B6"/>
    <w:rsid w:val="0024145B"/>
    <w:rsid w:val="002563F6"/>
    <w:rsid w:val="0026134F"/>
    <w:rsid w:val="00270B6B"/>
    <w:rsid w:val="00270D33"/>
    <w:rsid w:val="002719E0"/>
    <w:rsid w:val="00283608"/>
    <w:rsid w:val="00284881"/>
    <w:rsid w:val="002A3243"/>
    <w:rsid w:val="002A7414"/>
    <w:rsid w:val="002A7448"/>
    <w:rsid w:val="002B5E7F"/>
    <w:rsid w:val="002C2222"/>
    <w:rsid w:val="002C47D9"/>
    <w:rsid w:val="002D57B9"/>
    <w:rsid w:val="002E40C2"/>
    <w:rsid w:val="002F2670"/>
    <w:rsid w:val="002F4223"/>
    <w:rsid w:val="00323D7D"/>
    <w:rsid w:val="003249D6"/>
    <w:rsid w:val="003357CE"/>
    <w:rsid w:val="00337784"/>
    <w:rsid w:val="003438F0"/>
    <w:rsid w:val="003471DC"/>
    <w:rsid w:val="00362540"/>
    <w:rsid w:val="003932B4"/>
    <w:rsid w:val="003C4EF8"/>
    <w:rsid w:val="003D6C9F"/>
    <w:rsid w:val="003D7675"/>
    <w:rsid w:val="003E19C1"/>
    <w:rsid w:val="004022AD"/>
    <w:rsid w:val="004038F6"/>
    <w:rsid w:val="00416448"/>
    <w:rsid w:val="0045537B"/>
    <w:rsid w:val="004630A2"/>
    <w:rsid w:val="004714E6"/>
    <w:rsid w:val="00477645"/>
    <w:rsid w:val="00480023"/>
    <w:rsid w:val="00485CC5"/>
    <w:rsid w:val="00492383"/>
    <w:rsid w:val="004B6D2C"/>
    <w:rsid w:val="004D1F5C"/>
    <w:rsid w:val="004D4FE5"/>
    <w:rsid w:val="004E308C"/>
    <w:rsid w:val="00513089"/>
    <w:rsid w:val="005143BC"/>
    <w:rsid w:val="00522396"/>
    <w:rsid w:val="005375AF"/>
    <w:rsid w:val="00542A2F"/>
    <w:rsid w:val="005514B9"/>
    <w:rsid w:val="00560371"/>
    <w:rsid w:val="00574C52"/>
    <w:rsid w:val="005829A4"/>
    <w:rsid w:val="00583EE1"/>
    <w:rsid w:val="00593751"/>
    <w:rsid w:val="00597D69"/>
    <w:rsid w:val="005A1DB5"/>
    <w:rsid w:val="005C4616"/>
    <w:rsid w:val="005C61CF"/>
    <w:rsid w:val="005D2B51"/>
    <w:rsid w:val="005D7436"/>
    <w:rsid w:val="005F12DA"/>
    <w:rsid w:val="00613D41"/>
    <w:rsid w:val="00656F1C"/>
    <w:rsid w:val="00666B40"/>
    <w:rsid w:val="00676B67"/>
    <w:rsid w:val="006916BA"/>
    <w:rsid w:val="00691E14"/>
    <w:rsid w:val="00697BFE"/>
    <w:rsid w:val="006A2924"/>
    <w:rsid w:val="006B4B42"/>
    <w:rsid w:val="006B6976"/>
    <w:rsid w:val="006C47C5"/>
    <w:rsid w:val="006C50F2"/>
    <w:rsid w:val="006D405E"/>
    <w:rsid w:val="006E2235"/>
    <w:rsid w:val="006E6AF5"/>
    <w:rsid w:val="006F0786"/>
    <w:rsid w:val="006F6702"/>
    <w:rsid w:val="00704DF3"/>
    <w:rsid w:val="00711D21"/>
    <w:rsid w:val="007128F9"/>
    <w:rsid w:val="00724848"/>
    <w:rsid w:val="00724CA3"/>
    <w:rsid w:val="0073736D"/>
    <w:rsid w:val="0074333E"/>
    <w:rsid w:val="00764ABE"/>
    <w:rsid w:val="00783913"/>
    <w:rsid w:val="00794C9A"/>
    <w:rsid w:val="00796A5C"/>
    <w:rsid w:val="007E5935"/>
    <w:rsid w:val="007F5274"/>
    <w:rsid w:val="0081193D"/>
    <w:rsid w:val="0081474D"/>
    <w:rsid w:val="00816A45"/>
    <w:rsid w:val="00817BB9"/>
    <w:rsid w:val="008301CC"/>
    <w:rsid w:val="008536E1"/>
    <w:rsid w:val="00865700"/>
    <w:rsid w:val="008677DA"/>
    <w:rsid w:val="00870F38"/>
    <w:rsid w:val="00875D1A"/>
    <w:rsid w:val="0088191F"/>
    <w:rsid w:val="00890C35"/>
    <w:rsid w:val="008A3E0B"/>
    <w:rsid w:val="008C0299"/>
    <w:rsid w:val="008C4546"/>
    <w:rsid w:val="008C57A1"/>
    <w:rsid w:val="008E05BE"/>
    <w:rsid w:val="0090614D"/>
    <w:rsid w:val="009219DF"/>
    <w:rsid w:val="00937707"/>
    <w:rsid w:val="00940630"/>
    <w:rsid w:val="009B7DEC"/>
    <w:rsid w:val="009C63B9"/>
    <w:rsid w:val="009E5568"/>
    <w:rsid w:val="00A0673D"/>
    <w:rsid w:val="00A13F3A"/>
    <w:rsid w:val="00A25B1E"/>
    <w:rsid w:val="00A32B51"/>
    <w:rsid w:val="00A37377"/>
    <w:rsid w:val="00A379ED"/>
    <w:rsid w:val="00A41810"/>
    <w:rsid w:val="00A52758"/>
    <w:rsid w:val="00A53031"/>
    <w:rsid w:val="00A83E2D"/>
    <w:rsid w:val="00A912F1"/>
    <w:rsid w:val="00AA6D73"/>
    <w:rsid w:val="00AD3276"/>
    <w:rsid w:val="00AD5B0A"/>
    <w:rsid w:val="00AF3759"/>
    <w:rsid w:val="00AF3B80"/>
    <w:rsid w:val="00B05E04"/>
    <w:rsid w:val="00B122A9"/>
    <w:rsid w:val="00B1383A"/>
    <w:rsid w:val="00B3216C"/>
    <w:rsid w:val="00B4100D"/>
    <w:rsid w:val="00B43FB9"/>
    <w:rsid w:val="00B45F02"/>
    <w:rsid w:val="00B47AB9"/>
    <w:rsid w:val="00B52905"/>
    <w:rsid w:val="00B6533F"/>
    <w:rsid w:val="00B817C7"/>
    <w:rsid w:val="00B936D2"/>
    <w:rsid w:val="00BB4E8D"/>
    <w:rsid w:val="00BD11B6"/>
    <w:rsid w:val="00BD6CFF"/>
    <w:rsid w:val="00BF24C8"/>
    <w:rsid w:val="00BF336E"/>
    <w:rsid w:val="00C404C6"/>
    <w:rsid w:val="00C426CE"/>
    <w:rsid w:val="00C504C5"/>
    <w:rsid w:val="00C61C30"/>
    <w:rsid w:val="00C6368C"/>
    <w:rsid w:val="00C71110"/>
    <w:rsid w:val="00C82549"/>
    <w:rsid w:val="00CB5A35"/>
    <w:rsid w:val="00CC055B"/>
    <w:rsid w:val="00CC6373"/>
    <w:rsid w:val="00CD0F4E"/>
    <w:rsid w:val="00CF2224"/>
    <w:rsid w:val="00CF6E4C"/>
    <w:rsid w:val="00D02904"/>
    <w:rsid w:val="00D21D64"/>
    <w:rsid w:val="00D27779"/>
    <w:rsid w:val="00D424C5"/>
    <w:rsid w:val="00D53A62"/>
    <w:rsid w:val="00D57070"/>
    <w:rsid w:val="00D6058F"/>
    <w:rsid w:val="00D65814"/>
    <w:rsid w:val="00D77C2A"/>
    <w:rsid w:val="00D867BD"/>
    <w:rsid w:val="00D906E7"/>
    <w:rsid w:val="00D92382"/>
    <w:rsid w:val="00DA0563"/>
    <w:rsid w:val="00DA694E"/>
    <w:rsid w:val="00DC1A3B"/>
    <w:rsid w:val="00DC1EE5"/>
    <w:rsid w:val="00DE205A"/>
    <w:rsid w:val="00DE6339"/>
    <w:rsid w:val="00E00862"/>
    <w:rsid w:val="00E05CB5"/>
    <w:rsid w:val="00E07C6E"/>
    <w:rsid w:val="00E12B08"/>
    <w:rsid w:val="00E22B57"/>
    <w:rsid w:val="00E24236"/>
    <w:rsid w:val="00E379C8"/>
    <w:rsid w:val="00E416ED"/>
    <w:rsid w:val="00E46C83"/>
    <w:rsid w:val="00E815FA"/>
    <w:rsid w:val="00EF3124"/>
    <w:rsid w:val="00EF41C0"/>
    <w:rsid w:val="00F0073F"/>
    <w:rsid w:val="00F03AC3"/>
    <w:rsid w:val="00F367ED"/>
    <w:rsid w:val="00F43421"/>
    <w:rsid w:val="00F540CE"/>
    <w:rsid w:val="00F55C1D"/>
    <w:rsid w:val="00F5722A"/>
    <w:rsid w:val="00F641D7"/>
    <w:rsid w:val="00F80AC4"/>
    <w:rsid w:val="00F840AB"/>
    <w:rsid w:val="00F873FF"/>
    <w:rsid w:val="00FA3892"/>
    <w:rsid w:val="00FA499D"/>
    <w:rsid w:val="00FB5125"/>
    <w:rsid w:val="00FD7E24"/>
    <w:rsid w:val="00FE06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E0C50"/>
  <w15:docId w15:val="{8B317740-F13C-450F-9AB3-90217F92F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FE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AutoBefore6ptAfter6pt">
    <w:name w:val="Style Auto Before:  6 pt After:  6 pt"/>
    <w:basedOn w:val="Normal"/>
    <w:rsid w:val="00513089"/>
    <w:pPr>
      <w:numPr>
        <w:numId w:val="1"/>
      </w:numPr>
      <w:spacing w:before="120" w:after="120"/>
    </w:pPr>
    <w:rPr>
      <w:szCs w:val="20"/>
    </w:rPr>
  </w:style>
  <w:style w:type="numbering" w:customStyle="1" w:styleId="StyleNumberedAuto">
    <w:name w:val="Style Numbered Auto"/>
    <w:basedOn w:val="NoList"/>
    <w:rsid w:val="00513089"/>
    <w:pPr>
      <w:numPr>
        <w:numId w:val="2"/>
      </w:numPr>
    </w:pPr>
  </w:style>
  <w:style w:type="paragraph" w:styleId="Header">
    <w:name w:val="header"/>
    <w:basedOn w:val="Normal"/>
    <w:rsid w:val="00480023"/>
    <w:pPr>
      <w:tabs>
        <w:tab w:val="center" w:pos="4153"/>
        <w:tab w:val="right" w:pos="8306"/>
      </w:tabs>
    </w:pPr>
  </w:style>
  <w:style w:type="character" w:styleId="PageNumber">
    <w:name w:val="page number"/>
    <w:basedOn w:val="DefaultParagraphFont"/>
    <w:rsid w:val="00480023"/>
  </w:style>
  <w:style w:type="paragraph" w:styleId="BalloonText">
    <w:name w:val="Balloon Text"/>
    <w:basedOn w:val="Normal"/>
    <w:semiHidden/>
    <w:rsid w:val="00F367ED"/>
    <w:rPr>
      <w:rFonts w:ascii="Tahoma" w:hAnsi="Tahoma" w:cs="Tahoma"/>
      <w:sz w:val="16"/>
      <w:szCs w:val="16"/>
    </w:rPr>
  </w:style>
  <w:style w:type="character" w:customStyle="1" w:styleId="EmailStyle201">
    <w:name w:val="EmailStyle201"/>
    <w:basedOn w:val="DefaultParagraphFont"/>
    <w:semiHidden/>
    <w:rsid w:val="00F5722A"/>
    <w:rPr>
      <w:rFonts w:ascii="Arial" w:hAnsi="Arial" w:cs="Arial"/>
      <w:color w:val="auto"/>
      <w:sz w:val="20"/>
      <w:szCs w:val="20"/>
    </w:rPr>
  </w:style>
  <w:style w:type="character" w:styleId="CommentReference">
    <w:name w:val="annotation reference"/>
    <w:basedOn w:val="DefaultParagraphFont"/>
    <w:uiPriority w:val="99"/>
    <w:semiHidden/>
    <w:unhideWhenUsed/>
    <w:rsid w:val="00FA499D"/>
    <w:rPr>
      <w:sz w:val="16"/>
      <w:szCs w:val="16"/>
    </w:rPr>
  </w:style>
  <w:style w:type="paragraph" w:styleId="CommentText">
    <w:name w:val="annotation text"/>
    <w:basedOn w:val="Normal"/>
    <w:link w:val="CommentTextChar"/>
    <w:uiPriority w:val="99"/>
    <w:semiHidden/>
    <w:unhideWhenUsed/>
    <w:rsid w:val="00FA499D"/>
    <w:rPr>
      <w:sz w:val="20"/>
      <w:szCs w:val="20"/>
    </w:rPr>
  </w:style>
  <w:style w:type="character" w:customStyle="1" w:styleId="CommentTextChar">
    <w:name w:val="Comment Text Char"/>
    <w:basedOn w:val="DefaultParagraphFont"/>
    <w:link w:val="CommentText"/>
    <w:uiPriority w:val="99"/>
    <w:semiHidden/>
    <w:rsid w:val="00FA499D"/>
  </w:style>
  <w:style w:type="paragraph" w:styleId="CommentSubject">
    <w:name w:val="annotation subject"/>
    <w:basedOn w:val="CommentText"/>
    <w:next w:val="CommentText"/>
    <w:link w:val="CommentSubjectChar"/>
    <w:uiPriority w:val="99"/>
    <w:semiHidden/>
    <w:unhideWhenUsed/>
    <w:rsid w:val="00FA499D"/>
    <w:rPr>
      <w:b/>
      <w:bCs/>
    </w:rPr>
  </w:style>
  <w:style w:type="character" w:customStyle="1" w:styleId="CommentSubjectChar">
    <w:name w:val="Comment Subject Char"/>
    <w:basedOn w:val="CommentTextChar"/>
    <w:link w:val="CommentSubject"/>
    <w:uiPriority w:val="99"/>
    <w:semiHidden/>
    <w:rsid w:val="00FA499D"/>
    <w:rPr>
      <w:b/>
      <w:bCs/>
    </w:rPr>
  </w:style>
  <w:style w:type="paragraph" w:styleId="NoSpacing">
    <w:name w:val="No Spacing"/>
    <w:uiPriority w:val="1"/>
    <w:qFormat/>
    <w:rsid w:val="0013544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64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2221B4-5588-463B-B58F-5C85A6028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1318</Words>
  <Characters>7773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Communications Authority</Company>
  <LinksUpToDate>false</LinksUpToDate>
  <CharactersWithSpaces>9073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Melissa O'Brien</dc:creator>
  <cp:keywords/>
  <cp:lastModifiedBy>Helen Turnbull</cp:lastModifiedBy>
  <cp:revision>4</cp:revision>
  <cp:lastPrinted>2005-06-01T01:19:00Z</cp:lastPrinted>
  <dcterms:created xsi:type="dcterms:W3CDTF">2014-07-11T05:45:00Z</dcterms:created>
  <dcterms:modified xsi:type="dcterms:W3CDTF">2014-08-18T01:10:00Z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1031783631</vt:i4>
  </property>
  <property fmtid="{D5CDD505-2E9C-101B-9397-08002B2CF9AE}" pid="3" name="_EmailEntryID">
    <vt:lpwstr>00000000448E8FF91E5C1640960F72FE070B88D407002C19239EC1F30D459ADAAC7676EE2C7B0000002CF8DC00002C19239EC1F30D459ADAAC7676EE2C7B000000C746050000</vt:lpwstr>
  </property>
  <property fmtid="{D5CDD505-2E9C-101B-9397-08002B2CF9AE}" pid="4" name="_ReviewingToolsShownOnce">
    <vt:lpwstr/>
  </property>
</Properties>
</file>