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162" w:rsidRPr="00AF114B" w:rsidRDefault="00925162" w:rsidP="00AF48F7">
      <w:pPr>
        <w:keepNext/>
        <w:keepLines/>
        <w:spacing w:before="0"/>
        <w:ind w:right="84"/>
        <w:jc w:val="center"/>
        <w:rPr>
          <w:szCs w:val="24"/>
        </w:rPr>
      </w:pPr>
      <w:r w:rsidRPr="00AF114B">
        <w:rPr>
          <w:b/>
          <w:szCs w:val="24"/>
          <w:u w:val="single"/>
        </w:rPr>
        <w:t>EXPLANATORY STATEMENT</w:t>
      </w:r>
    </w:p>
    <w:p w:rsidR="0042670F" w:rsidRPr="00AF114B" w:rsidRDefault="0042670F" w:rsidP="00AF48F7">
      <w:pPr>
        <w:pStyle w:val="Heading6"/>
        <w:keepLines/>
        <w:spacing w:before="0"/>
        <w:ind w:right="84"/>
        <w:jc w:val="center"/>
        <w:rPr>
          <w:szCs w:val="24"/>
          <w:u w:val="none"/>
        </w:rPr>
      </w:pPr>
    </w:p>
    <w:p w:rsidR="00925162" w:rsidRPr="00AF114B" w:rsidRDefault="0042670F" w:rsidP="00AF48F7">
      <w:pPr>
        <w:pStyle w:val="Heading6"/>
        <w:keepLines/>
        <w:spacing w:before="0"/>
        <w:ind w:right="84"/>
        <w:jc w:val="center"/>
        <w:rPr>
          <w:szCs w:val="24"/>
        </w:rPr>
      </w:pPr>
      <w:r w:rsidRPr="00AF114B">
        <w:rPr>
          <w:szCs w:val="24"/>
        </w:rPr>
        <w:t>Select Legislative Instrument No. </w:t>
      </w:r>
      <w:r w:rsidR="00F57776">
        <w:rPr>
          <w:szCs w:val="24"/>
        </w:rPr>
        <w:t xml:space="preserve">124, </w:t>
      </w:r>
      <w:r w:rsidR="00F57776" w:rsidRPr="00AF114B">
        <w:rPr>
          <w:szCs w:val="24"/>
        </w:rPr>
        <w:t xml:space="preserve">2014 </w:t>
      </w:r>
    </w:p>
    <w:p w:rsidR="0042670F" w:rsidRPr="00AF114B" w:rsidRDefault="0042670F" w:rsidP="00AF48F7">
      <w:pPr>
        <w:keepNext/>
        <w:keepLines/>
        <w:spacing w:before="0"/>
        <w:ind w:right="84"/>
        <w:jc w:val="center"/>
        <w:rPr>
          <w:szCs w:val="24"/>
        </w:rPr>
      </w:pPr>
    </w:p>
    <w:p w:rsidR="00925162" w:rsidRPr="00AF114B" w:rsidRDefault="00925162" w:rsidP="00AF48F7">
      <w:pPr>
        <w:keepNext/>
        <w:keepLines/>
        <w:spacing w:before="0"/>
        <w:ind w:right="84"/>
        <w:jc w:val="center"/>
        <w:rPr>
          <w:szCs w:val="24"/>
        </w:rPr>
      </w:pPr>
      <w:r w:rsidRPr="00AF114B">
        <w:rPr>
          <w:szCs w:val="24"/>
        </w:rPr>
        <w:t xml:space="preserve">Issued by the </w:t>
      </w:r>
      <w:r w:rsidR="004D4048">
        <w:rPr>
          <w:szCs w:val="24"/>
        </w:rPr>
        <w:t xml:space="preserve">Assistant </w:t>
      </w:r>
      <w:r w:rsidRPr="00AF114B">
        <w:rPr>
          <w:szCs w:val="24"/>
        </w:rPr>
        <w:t>Minister for Immigration</w:t>
      </w:r>
      <w:r w:rsidR="009B54B5" w:rsidRPr="00AF114B">
        <w:rPr>
          <w:szCs w:val="24"/>
        </w:rPr>
        <w:t xml:space="preserve"> and Border Protection</w:t>
      </w:r>
    </w:p>
    <w:p w:rsidR="0042670F" w:rsidRPr="00AF114B" w:rsidRDefault="0042670F" w:rsidP="00AF48F7">
      <w:pPr>
        <w:keepNext/>
        <w:keepLines/>
        <w:spacing w:before="0"/>
        <w:ind w:right="84"/>
        <w:jc w:val="center"/>
        <w:rPr>
          <w:szCs w:val="24"/>
        </w:rPr>
      </w:pPr>
    </w:p>
    <w:p w:rsidR="00925162" w:rsidRPr="00AF114B" w:rsidRDefault="00A97779" w:rsidP="00AF48F7">
      <w:pPr>
        <w:keepNext/>
        <w:keepLines/>
        <w:spacing w:before="0"/>
        <w:ind w:right="84"/>
        <w:jc w:val="center"/>
        <w:rPr>
          <w:i/>
          <w:szCs w:val="24"/>
        </w:rPr>
      </w:pPr>
      <w:r>
        <w:rPr>
          <w:i/>
          <w:szCs w:val="24"/>
        </w:rPr>
        <w:t>Australian Citizenship Act 2007</w:t>
      </w:r>
    </w:p>
    <w:p w:rsidR="0042670F" w:rsidRPr="00AF114B" w:rsidRDefault="0042670F" w:rsidP="003520A3">
      <w:pPr>
        <w:keepNext/>
        <w:keepLines/>
        <w:spacing w:before="0"/>
        <w:ind w:right="84"/>
        <w:jc w:val="center"/>
        <w:rPr>
          <w:szCs w:val="24"/>
          <w:highlight w:val="yellow"/>
        </w:rPr>
      </w:pPr>
    </w:p>
    <w:p w:rsidR="00925162" w:rsidRPr="0034700A" w:rsidRDefault="0034700A">
      <w:pPr>
        <w:keepNext/>
        <w:keepLines/>
        <w:spacing w:before="0"/>
        <w:ind w:right="84"/>
        <w:jc w:val="center"/>
        <w:rPr>
          <w:i/>
          <w:szCs w:val="24"/>
        </w:rPr>
      </w:pPr>
      <w:bookmarkStart w:id="0" w:name="_GoBack"/>
      <w:r w:rsidRPr="0034700A">
        <w:rPr>
          <w:i/>
        </w:rPr>
        <w:t>Australian Citizenship Amendment (Credit Card Surcharge) Regulation 2014</w:t>
      </w:r>
      <w:bookmarkEnd w:id="0"/>
    </w:p>
    <w:p w:rsidR="0042670F" w:rsidRPr="0034700A" w:rsidRDefault="0042670F">
      <w:pPr>
        <w:keepNext/>
        <w:keepLines/>
        <w:spacing w:before="0"/>
        <w:ind w:right="84"/>
        <w:jc w:val="center"/>
        <w:rPr>
          <w:szCs w:val="24"/>
        </w:rPr>
      </w:pPr>
    </w:p>
    <w:p w:rsidR="008D56CE" w:rsidRPr="008D56CE" w:rsidRDefault="00A97779" w:rsidP="00EB76D4">
      <w:pPr>
        <w:spacing w:before="0"/>
        <w:ind w:right="84"/>
      </w:pPr>
      <w:r>
        <w:t>Section </w:t>
      </w:r>
      <w:r w:rsidR="008D56CE" w:rsidRPr="008D56CE">
        <w:t>5</w:t>
      </w:r>
      <w:r>
        <w:t>4</w:t>
      </w:r>
      <w:r w:rsidR="008D56CE" w:rsidRPr="008D56CE">
        <w:t xml:space="preserve"> of the </w:t>
      </w:r>
      <w:r w:rsidR="008D56CE" w:rsidRPr="008D56CE">
        <w:rPr>
          <w:i/>
        </w:rPr>
        <w:t>Australian Citizenship Act</w:t>
      </w:r>
      <w:r w:rsidR="00793189">
        <w:rPr>
          <w:i/>
        </w:rPr>
        <w:t> </w:t>
      </w:r>
      <w:r w:rsidR="008D56CE" w:rsidRPr="008D56CE">
        <w:rPr>
          <w:i/>
        </w:rPr>
        <w:t>2007</w:t>
      </w:r>
      <w:r w:rsidR="008D56CE">
        <w:t xml:space="preserve"> (</w:t>
      </w:r>
      <w:r w:rsidR="008D56CE" w:rsidRPr="008D56CE">
        <w:t xml:space="preserve">the </w:t>
      </w:r>
      <w:r w:rsidR="008D56CE">
        <w:t>Act</w:t>
      </w:r>
      <w:r w:rsidR="008D56CE" w:rsidRPr="008D56CE">
        <w:t>) provides that the Governor-General may make regulations prescribing matters required or permitted by the Act to be prescribed, or necessary or convenient to be prescribed for carrying out or giving effect to the Act.</w:t>
      </w:r>
    </w:p>
    <w:p w:rsidR="007938E6" w:rsidRDefault="007938E6">
      <w:pPr>
        <w:pStyle w:val="EMparagraph"/>
        <w:tabs>
          <w:tab w:val="left" w:pos="8364"/>
        </w:tabs>
        <w:spacing w:after="0"/>
        <w:ind w:right="84"/>
      </w:pPr>
    </w:p>
    <w:p w:rsidR="007938E6" w:rsidRDefault="007938E6">
      <w:pPr>
        <w:pStyle w:val="EMparagraph"/>
        <w:tabs>
          <w:tab w:val="left" w:pos="8364"/>
        </w:tabs>
        <w:spacing w:after="0"/>
        <w:ind w:right="84"/>
      </w:pPr>
      <w:r w:rsidRPr="005B3A21">
        <w:t>In addition</w:t>
      </w:r>
      <w:r>
        <w:t>,</w:t>
      </w:r>
      <w:r w:rsidRPr="005B3A21">
        <w:t xml:space="preserve"> </w:t>
      </w:r>
      <w:r w:rsidR="005F55AB">
        <w:t>paragraph 46(1)(d) of the Act provides that an application under a provision of the Act must be accompanied by the fee (if any) prescribed by the regulations.  Further, subsection 46(3) of the Act provides that the regulations may make provision for and in relation to the remission, refund or waiver of any fees of a kind referred to in paragraph 46(1)(d)</w:t>
      </w:r>
      <w:r w:rsidRPr="00372EDB">
        <w:t>.</w:t>
      </w:r>
    </w:p>
    <w:p w:rsidR="00AF48F7" w:rsidRDefault="00AF48F7">
      <w:pPr>
        <w:tabs>
          <w:tab w:val="left" w:pos="8364"/>
        </w:tabs>
        <w:spacing w:before="0"/>
        <w:ind w:right="84"/>
      </w:pPr>
    </w:p>
    <w:p w:rsidR="005F55AB" w:rsidRDefault="005F55AB" w:rsidP="002D4AC4">
      <w:pPr>
        <w:spacing w:before="0"/>
        <w:ind w:right="84"/>
      </w:pPr>
      <w:r>
        <w:t xml:space="preserve">The purpose of the </w:t>
      </w:r>
      <w:r w:rsidRPr="00056ADE">
        <w:rPr>
          <w:i/>
        </w:rPr>
        <w:t>Australian Citizenship Amendment (Credit Card Surcharge) Regulation</w:t>
      </w:r>
      <w:r>
        <w:rPr>
          <w:i/>
        </w:rPr>
        <w:t> </w:t>
      </w:r>
      <w:r w:rsidRPr="00056ADE">
        <w:rPr>
          <w:i/>
        </w:rPr>
        <w:t>2014</w:t>
      </w:r>
      <w:r>
        <w:t xml:space="preserve"> (the Regulation) is to amend the </w:t>
      </w:r>
      <w:r w:rsidRPr="00421A38">
        <w:rPr>
          <w:i/>
        </w:rPr>
        <w:t>Australian Citizenship Regulations</w:t>
      </w:r>
      <w:r w:rsidR="00A260F4">
        <w:rPr>
          <w:i/>
        </w:rPr>
        <w:t> </w:t>
      </w:r>
      <w:r w:rsidRPr="00421A38">
        <w:rPr>
          <w:i/>
        </w:rPr>
        <w:t>2007</w:t>
      </w:r>
      <w:r>
        <w:t xml:space="preserve"> (the Citizenship Regulations) to provide for the amount of prescribed fees to include a surcharge (the credit charge surcharge) where the fee is paid, or paid in part, by credit card.  This allow</w:t>
      </w:r>
      <w:r w:rsidR="00DF1F86">
        <w:t>s</w:t>
      </w:r>
      <w:r>
        <w:t xml:space="preserve"> the Department of Immigration and Border Protection (the department) to recover administrative fees that are currently charged to the department by credit card issuers and the department’s banking service provider on any payment or part payment of a fee associated with a citizenship application.</w:t>
      </w:r>
    </w:p>
    <w:p w:rsidR="005F55AB" w:rsidRDefault="005F55AB" w:rsidP="002D4AC4">
      <w:pPr>
        <w:spacing w:before="0"/>
        <w:ind w:right="84"/>
      </w:pPr>
    </w:p>
    <w:p w:rsidR="005F55AB" w:rsidRDefault="005F55AB" w:rsidP="002D4AC4">
      <w:pPr>
        <w:spacing w:before="0"/>
        <w:ind w:right="84"/>
      </w:pPr>
      <w:r>
        <w:t>The credit card surcharge reflects the administrative fees charged on the amount of the fee, if any, that an applicant pays by using a credit card.  However, the surcharge will not apply to credit card payments levied against local currency in New Zealand and Singapore, where the application of a credit card surcharge is prevented by the domestic laws in those countries.  A credit card payment or part payment made for any other currency will attract the surcharge.</w:t>
      </w:r>
    </w:p>
    <w:p w:rsidR="005F55AB" w:rsidRDefault="005F55AB" w:rsidP="002D4AC4">
      <w:pPr>
        <w:spacing w:before="0"/>
        <w:ind w:right="84"/>
      </w:pPr>
    </w:p>
    <w:p w:rsidR="005F55AB" w:rsidRDefault="005F55AB" w:rsidP="002D4AC4">
      <w:pPr>
        <w:spacing w:before="0"/>
        <w:ind w:right="84"/>
      </w:pPr>
      <w:r>
        <w:t xml:space="preserve">The amendments also ensures where certain refunds are made under the </w:t>
      </w:r>
      <w:r w:rsidR="00635C31">
        <w:t xml:space="preserve">Citizenship </w:t>
      </w:r>
      <w:r>
        <w:t>Regulations, the amount of the refund will include an amount equivalent to the proportion of the credit card surcharge, if any, that was attracted by the amount of the fee being refunded.</w:t>
      </w:r>
    </w:p>
    <w:p w:rsidR="00D05E47" w:rsidRDefault="00D05E47">
      <w:pPr>
        <w:tabs>
          <w:tab w:val="left" w:pos="8364"/>
        </w:tabs>
        <w:spacing w:before="0"/>
        <w:ind w:right="84"/>
      </w:pPr>
    </w:p>
    <w:p w:rsidR="0042670F" w:rsidRPr="00AF114B" w:rsidRDefault="0042670F" w:rsidP="002D4AC4">
      <w:pPr>
        <w:tabs>
          <w:tab w:val="left" w:pos="900"/>
        </w:tabs>
        <w:spacing w:before="0"/>
        <w:ind w:right="84"/>
        <w:rPr>
          <w:szCs w:val="24"/>
        </w:rPr>
      </w:pPr>
      <w:r w:rsidRPr="00AF114B">
        <w:rPr>
          <w:szCs w:val="24"/>
        </w:rPr>
        <w:t>A Statement of Co</w:t>
      </w:r>
      <w:r w:rsidR="009B54B5" w:rsidRPr="00AF114B">
        <w:rPr>
          <w:szCs w:val="24"/>
        </w:rPr>
        <w:t>mpatibility with Human Rights (Statement</w:t>
      </w:r>
      <w:r w:rsidRPr="00AF114B">
        <w:rPr>
          <w:szCs w:val="24"/>
        </w:rPr>
        <w:t>) has been completed for the Regulation in accordance with</w:t>
      </w:r>
      <w:r w:rsidR="002D7556">
        <w:rPr>
          <w:szCs w:val="24"/>
        </w:rPr>
        <w:t xml:space="preserve"> the</w:t>
      </w:r>
      <w:r w:rsidRPr="00AF114B">
        <w:rPr>
          <w:szCs w:val="24"/>
        </w:rPr>
        <w:t xml:space="preserve"> </w:t>
      </w:r>
      <w:r w:rsidRPr="00AF114B">
        <w:rPr>
          <w:i/>
          <w:szCs w:val="24"/>
        </w:rPr>
        <w:t>Human Rights (Parliamentary Scrutiny) Act 2011</w:t>
      </w:r>
      <w:r w:rsidRPr="00AF114B">
        <w:rPr>
          <w:szCs w:val="24"/>
        </w:rPr>
        <w:t xml:space="preserve">.  The Statement’s overall assessment is that the Regulation is </w:t>
      </w:r>
      <w:r w:rsidR="009B54B5" w:rsidRPr="00AF114B">
        <w:rPr>
          <w:szCs w:val="24"/>
        </w:rPr>
        <w:t>compatible with human rights as it does not raise any human right</w:t>
      </w:r>
      <w:r w:rsidR="007448D1">
        <w:rPr>
          <w:szCs w:val="24"/>
        </w:rPr>
        <w:t>s</w:t>
      </w:r>
      <w:r w:rsidR="009B54B5" w:rsidRPr="00AF114B">
        <w:rPr>
          <w:szCs w:val="24"/>
        </w:rPr>
        <w:t xml:space="preserve"> issues</w:t>
      </w:r>
      <w:r w:rsidRPr="00AF114B">
        <w:rPr>
          <w:szCs w:val="24"/>
        </w:rPr>
        <w:t xml:space="preserve">.  A copy of the Statement is at </w:t>
      </w:r>
      <w:r w:rsidRPr="00AF114B">
        <w:rPr>
          <w:szCs w:val="24"/>
          <w:u w:val="single"/>
        </w:rPr>
        <w:t>Attachment </w:t>
      </w:r>
      <w:r w:rsidR="005F55AB">
        <w:rPr>
          <w:szCs w:val="24"/>
          <w:u w:val="single"/>
        </w:rPr>
        <w:t>A</w:t>
      </w:r>
      <w:r w:rsidRPr="00AF114B">
        <w:rPr>
          <w:szCs w:val="24"/>
        </w:rPr>
        <w:t>.</w:t>
      </w:r>
    </w:p>
    <w:p w:rsidR="0042670F" w:rsidRPr="00AF114B" w:rsidRDefault="0042670F" w:rsidP="00EB76D4">
      <w:pPr>
        <w:tabs>
          <w:tab w:val="left" w:pos="900"/>
        </w:tabs>
        <w:spacing w:before="0"/>
        <w:ind w:right="84"/>
        <w:rPr>
          <w:szCs w:val="24"/>
        </w:rPr>
      </w:pPr>
    </w:p>
    <w:p w:rsidR="00925162" w:rsidRPr="00AF114B" w:rsidRDefault="005C74CD">
      <w:pPr>
        <w:tabs>
          <w:tab w:val="left" w:pos="6521"/>
        </w:tabs>
        <w:spacing w:before="0"/>
        <w:ind w:right="84"/>
        <w:rPr>
          <w:szCs w:val="24"/>
        </w:rPr>
      </w:pPr>
      <w:r w:rsidRPr="00AF114B">
        <w:rPr>
          <w:szCs w:val="24"/>
        </w:rPr>
        <w:t>Details of the Regulation</w:t>
      </w:r>
      <w:r w:rsidR="00925162" w:rsidRPr="00AF114B">
        <w:rPr>
          <w:szCs w:val="24"/>
        </w:rPr>
        <w:t xml:space="preserve"> are set out in </w:t>
      </w:r>
      <w:r w:rsidR="00925162" w:rsidRPr="00AF114B">
        <w:rPr>
          <w:szCs w:val="24"/>
          <w:u w:val="single"/>
        </w:rPr>
        <w:t>Attachment </w:t>
      </w:r>
      <w:r w:rsidR="005F55AB">
        <w:rPr>
          <w:szCs w:val="24"/>
          <w:u w:val="single"/>
        </w:rPr>
        <w:t>B</w:t>
      </w:r>
      <w:r w:rsidR="00925162" w:rsidRPr="00AF114B">
        <w:rPr>
          <w:szCs w:val="24"/>
        </w:rPr>
        <w:t>.</w:t>
      </w:r>
    </w:p>
    <w:p w:rsidR="0042670F" w:rsidRPr="00AF114B" w:rsidRDefault="0042670F">
      <w:pPr>
        <w:tabs>
          <w:tab w:val="left" w:pos="6521"/>
        </w:tabs>
        <w:spacing w:before="0"/>
        <w:ind w:right="84"/>
        <w:rPr>
          <w:szCs w:val="24"/>
        </w:rPr>
      </w:pPr>
    </w:p>
    <w:p w:rsidR="00890E70" w:rsidRPr="00AF114B" w:rsidRDefault="00890E70">
      <w:pPr>
        <w:tabs>
          <w:tab w:val="left" w:pos="6521"/>
        </w:tabs>
        <w:spacing w:before="0"/>
        <w:ind w:right="84"/>
        <w:rPr>
          <w:szCs w:val="24"/>
        </w:rPr>
      </w:pPr>
      <w:r w:rsidRPr="00AF114B">
        <w:rPr>
          <w:szCs w:val="24"/>
        </w:rPr>
        <w:t>The Act specifies no conditions that need to be satisfied before the power to make the Regulation may be exercised.</w:t>
      </w:r>
    </w:p>
    <w:p w:rsidR="00890E70" w:rsidRPr="00AF114B" w:rsidRDefault="00890E70">
      <w:pPr>
        <w:tabs>
          <w:tab w:val="left" w:pos="6521"/>
        </w:tabs>
        <w:spacing w:before="0"/>
        <w:ind w:right="84"/>
        <w:rPr>
          <w:szCs w:val="24"/>
        </w:rPr>
      </w:pPr>
    </w:p>
    <w:p w:rsidR="00925162" w:rsidRPr="00AF114B" w:rsidRDefault="00925162">
      <w:pPr>
        <w:tabs>
          <w:tab w:val="left" w:pos="6521"/>
        </w:tabs>
        <w:spacing w:before="0"/>
        <w:ind w:right="84"/>
        <w:rPr>
          <w:szCs w:val="24"/>
        </w:rPr>
      </w:pPr>
      <w:r w:rsidRPr="00AF114B">
        <w:rPr>
          <w:szCs w:val="24"/>
        </w:rPr>
        <w:t xml:space="preserve">The Office of Best Practice Regulation (OBPR) has been consulted </w:t>
      </w:r>
      <w:r w:rsidR="00890E70" w:rsidRPr="00AF114B">
        <w:rPr>
          <w:szCs w:val="24"/>
        </w:rPr>
        <w:t xml:space="preserve">in relation to the </w:t>
      </w:r>
      <w:r w:rsidR="00890E70" w:rsidRPr="009D7CD6">
        <w:rPr>
          <w:szCs w:val="24"/>
        </w:rPr>
        <w:t xml:space="preserve">amendments made by Schedule 1 </w:t>
      </w:r>
      <w:r w:rsidR="007947D7" w:rsidRPr="009D7CD6">
        <w:rPr>
          <w:szCs w:val="24"/>
        </w:rPr>
        <w:t xml:space="preserve">to </w:t>
      </w:r>
      <w:r w:rsidR="00890E70" w:rsidRPr="009D7CD6">
        <w:rPr>
          <w:szCs w:val="24"/>
        </w:rPr>
        <w:t xml:space="preserve">the Regulation.  </w:t>
      </w:r>
      <w:r w:rsidR="00090282" w:rsidRPr="009D7CD6">
        <w:rPr>
          <w:szCs w:val="24"/>
        </w:rPr>
        <w:t xml:space="preserve">OBPR advises that the </w:t>
      </w:r>
      <w:r w:rsidR="00080CF3" w:rsidRPr="009D7CD6">
        <w:rPr>
          <w:szCs w:val="24"/>
        </w:rPr>
        <w:t xml:space="preserve">amendments </w:t>
      </w:r>
      <w:r w:rsidR="00090282" w:rsidRPr="009D7CD6">
        <w:rPr>
          <w:szCs w:val="24"/>
        </w:rPr>
        <w:t>ap</w:t>
      </w:r>
      <w:r w:rsidR="00090282">
        <w:rPr>
          <w:szCs w:val="24"/>
        </w:rPr>
        <w:t>pear to be machinery in nature and do not impose any regulatory compliance costs on business, community organisations or individuals</w:t>
      </w:r>
      <w:r w:rsidR="00890E70" w:rsidRPr="00AF114B">
        <w:rPr>
          <w:szCs w:val="24"/>
        </w:rPr>
        <w:t xml:space="preserve"> and notes that a Regulation Impact Statement will not be required</w:t>
      </w:r>
      <w:r w:rsidRPr="00AF114B">
        <w:rPr>
          <w:szCs w:val="24"/>
        </w:rPr>
        <w:t>.  The OBPR consultation reference</w:t>
      </w:r>
      <w:r w:rsidR="00890E70" w:rsidRPr="00AF114B">
        <w:rPr>
          <w:szCs w:val="24"/>
        </w:rPr>
        <w:t xml:space="preserve"> is 1</w:t>
      </w:r>
      <w:r w:rsidR="009A795D">
        <w:rPr>
          <w:szCs w:val="24"/>
        </w:rPr>
        <w:t>704</w:t>
      </w:r>
      <w:r w:rsidR="00F42B93">
        <w:rPr>
          <w:szCs w:val="24"/>
        </w:rPr>
        <w:t>7</w:t>
      </w:r>
      <w:r w:rsidR="004445B8" w:rsidRPr="00AF114B">
        <w:rPr>
          <w:szCs w:val="24"/>
        </w:rPr>
        <w:t>.</w:t>
      </w:r>
    </w:p>
    <w:p w:rsidR="004B31D4" w:rsidRDefault="004B31D4">
      <w:pPr>
        <w:tabs>
          <w:tab w:val="left" w:pos="6521"/>
        </w:tabs>
        <w:spacing w:before="0"/>
        <w:ind w:right="84"/>
        <w:rPr>
          <w:szCs w:val="24"/>
        </w:rPr>
      </w:pPr>
    </w:p>
    <w:p w:rsidR="005F55AB" w:rsidRDefault="004B31D4">
      <w:pPr>
        <w:tabs>
          <w:tab w:val="left" w:pos="6521"/>
        </w:tabs>
        <w:spacing w:before="0"/>
        <w:ind w:right="84"/>
        <w:rPr>
          <w:szCs w:val="24"/>
        </w:rPr>
      </w:pPr>
      <w:r w:rsidRPr="004B31D4">
        <w:rPr>
          <w:szCs w:val="24"/>
        </w:rPr>
        <w:t xml:space="preserve">The Department of Foreign Affairs and Trade has been consulted about the surcharge for the purpose of general comment.  They are supportive of the measures but note that there </w:t>
      </w:r>
      <w:r w:rsidR="00D33CFD">
        <w:rPr>
          <w:szCs w:val="24"/>
        </w:rPr>
        <w:t>are</w:t>
      </w:r>
      <w:r w:rsidRPr="004B31D4">
        <w:rPr>
          <w:szCs w:val="24"/>
        </w:rPr>
        <w:t xml:space="preserve"> </w:t>
      </w:r>
      <w:r w:rsidR="006A1371">
        <w:rPr>
          <w:szCs w:val="24"/>
        </w:rPr>
        <w:t xml:space="preserve"> </w:t>
      </w:r>
      <w:r w:rsidRPr="004B31D4">
        <w:rPr>
          <w:szCs w:val="24"/>
        </w:rPr>
        <w:t xml:space="preserve">countries where the surcharge </w:t>
      </w:r>
      <w:r w:rsidR="006A1371">
        <w:rPr>
          <w:szCs w:val="24"/>
        </w:rPr>
        <w:t>is prohibited</w:t>
      </w:r>
      <w:r w:rsidRPr="004B31D4">
        <w:rPr>
          <w:szCs w:val="24"/>
        </w:rPr>
        <w:t xml:space="preserve">.  It was stated that other countries operate in a financial sector governed by local business and governance.  We may not, therefore be able to impose Australian standards in some </w:t>
      </w:r>
      <w:r w:rsidR="00D33CFD">
        <w:rPr>
          <w:szCs w:val="24"/>
        </w:rPr>
        <w:t>countries</w:t>
      </w:r>
      <w:r w:rsidRPr="004B31D4">
        <w:rPr>
          <w:szCs w:val="24"/>
        </w:rPr>
        <w:t>.</w:t>
      </w:r>
    </w:p>
    <w:p w:rsidR="004B31D4" w:rsidRPr="00AF114B" w:rsidRDefault="004B31D4">
      <w:pPr>
        <w:tabs>
          <w:tab w:val="left" w:pos="6521"/>
        </w:tabs>
        <w:spacing w:before="0"/>
        <w:ind w:right="84"/>
        <w:rPr>
          <w:szCs w:val="24"/>
        </w:rPr>
      </w:pPr>
    </w:p>
    <w:p w:rsidR="00B37874" w:rsidRPr="00B37874" w:rsidRDefault="00171640">
      <w:pPr>
        <w:spacing w:before="0"/>
        <w:ind w:right="84"/>
        <w:rPr>
          <w:szCs w:val="24"/>
        </w:rPr>
      </w:pPr>
      <w:r>
        <w:rPr>
          <w:szCs w:val="24"/>
        </w:rPr>
        <w:t>On 12 and 14 </w:t>
      </w:r>
      <w:r w:rsidR="00B37874" w:rsidRPr="00B37874">
        <w:rPr>
          <w:szCs w:val="24"/>
        </w:rPr>
        <w:t>March</w:t>
      </w:r>
      <w:r>
        <w:rPr>
          <w:szCs w:val="24"/>
        </w:rPr>
        <w:t> 2014</w:t>
      </w:r>
      <w:r w:rsidR="00B37874" w:rsidRPr="00B37874">
        <w:rPr>
          <w:szCs w:val="24"/>
        </w:rPr>
        <w:t>, the department advised the Migration Institute of Australia a</w:t>
      </w:r>
      <w:r w:rsidR="00B37874">
        <w:rPr>
          <w:szCs w:val="24"/>
        </w:rPr>
        <w:t>nd the Law Council of Australia of the surcharge</w:t>
      </w:r>
      <w:r w:rsidR="00B37874" w:rsidRPr="00B37874">
        <w:rPr>
          <w:szCs w:val="24"/>
        </w:rPr>
        <w:t xml:space="preserve"> </w:t>
      </w:r>
      <w:r w:rsidR="00B37874">
        <w:rPr>
          <w:szCs w:val="24"/>
        </w:rPr>
        <w:t xml:space="preserve">as they are </w:t>
      </w:r>
      <w:r w:rsidR="00B37874" w:rsidRPr="00B37874">
        <w:rPr>
          <w:szCs w:val="24"/>
        </w:rPr>
        <w:t>key stakeholders and representative organisations i</w:t>
      </w:r>
      <w:r w:rsidR="00B37874">
        <w:rPr>
          <w:szCs w:val="24"/>
        </w:rPr>
        <w:t>n the immigration advice sector.</w:t>
      </w:r>
      <w:r w:rsidR="00B37874" w:rsidRPr="00B37874">
        <w:rPr>
          <w:szCs w:val="24"/>
        </w:rPr>
        <w:t xml:space="preserve"> </w:t>
      </w:r>
      <w:r>
        <w:rPr>
          <w:szCs w:val="24"/>
        </w:rPr>
        <w:t xml:space="preserve"> </w:t>
      </w:r>
      <w:r w:rsidR="00B37874" w:rsidRPr="00B37874">
        <w:rPr>
          <w:szCs w:val="24"/>
        </w:rPr>
        <w:t xml:space="preserve">This information was provided for distribution to their members. </w:t>
      </w:r>
      <w:r w:rsidR="009E4EED">
        <w:rPr>
          <w:szCs w:val="24"/>
        </w:rPr>
        <w:t xml:space="preserve"> </w:t>
      </w:r>
      <w:r w:rsidR="00B37874" w:rsidRPr="00B37874">
        <w:rPr>
          <w:szCs w:val="24"/>
        </w:rPr>
        <w:t xml:space="preserve">The surcharge introduction was </w:t>
      </w:r>
      <w:r w:rsidR="009E4EED">
        <w:rPr>
          <w:szCs w:val="24"/>
        </w:rPr>
        <w:t xml:space="preserve">also </w:t>
      </w:r>
      <w:r w:rsidR="00B37874" w:rsidRPr="00B37874">
        <w:rPr>
          <w:szCs w:val="24"/>
        </w:rPr>
        <w:t>discussed at the quarterly Migration Advice and Indust</w:t>
      </w:r>
      <w:r>
        <w:rPr>
          <w:szCs w:val="24"/>
        </w:rPr>
        <w:t>ry Liaison meeting on 21 March </w:t>
      </w:r>
      <w:r w:rsidR="00B37874" w:rsidRPr="00B37874">
        <w:rPr>
          <w:szCs w:val="24"/>
        </w:rPr>
        <w:t>2014.</w:t>
      </w:r>
    </w:p>
    <w:p w:rsidR="007938E6" w:rsidRDefault="007938E6" w:rsidP="0003763D">
      <w:pPr>
        <w:spacing w:before="0"/>
        <w:ind w:right="84"/>
      </w:pPr>
    </w:p>
    <w:p w:rsidR="00925162" w:rsidRPr="00AF114B" w:rsidRDefault="00925162" w:rsidP="0003763D">
      <w:pPr>
        <w:spacing w:before="0"/>
        <w:ind w:right="84"/>
        <w:rPr>
          <w:szCs w:val="24"/>
        </w:rPr>
      </w:pPr>
      <w:r w:rsidRPr="00AF114B">
        <w:rPr>
          <w:szCs w:val="24"/>
        </w:rPr>
        <w:t xml:space="preserve">The Regulation </w:t>
      </w:r>
      <w:r w:rsidR="005C74CD" w:rsidRPr="00AF114B">
        <w:rPr>
          <w:szCs w:val="24"/>
        </w:rPr>
        <w:t>is</w:t>
      </w:r>
      <w:r w:rsidRPr="00AF114B">
        <w:rPr>
          <w:szCs w:val="24"/>
        </w:rPr>
        <w:t xml:space="preserve"> a legislative instrument for the purposes of the </w:t>
      </w:r>
      <w:r w:rsidR="0093233E" w:rsidRPr="00AF114B">
        <w:rPr>
          <w:i/>
          <w:szCs w:val="24"/>
        </w:rPr>
        <w:t>Legislative Instruments Act </w:t>
      </w:r>
      <w:r w:rsidRPr="00AF114B">
        <w:rPr>
          <w:i/>
          <w:szCs w:val="24"/>
        </w:rPr>
        <w:t>2003</w:t>
      </w:r>
      <w:r w:rsidRPr="00AF114B">
        <w:rPr>
          <w:szCs w:val="24"/>
        </w:rPr>
        <w:t>.</w:t>
      </w:r>
    </w:p>
    <w:p w:rsidR="0093233E" w:rsidRPr="00AF114B" w:rsidRDefault="0093233E" w:rsidP="0003763D">
      <w:pPr>
        <w:spacing w:before="0"/>
        <w:ind w:right="84"/>
        <w:rPr>
          <w:szCs w:val="24"/>
        </w:rPr>
      </w:pPr>
    </w:p>
    <w:p w:rsidR="00437A04" w:rsidRPr="00AF114B" w:rsidRDefault="00437A04" w:rsidP="0003763D">
      <w:pPr>
        <w:spacing w:before="0"/>
        <w:ind w:right="84"/>
        <w:rPr>
          <w:szCs w:val="24"/>
        </w:rPr>
      </w:pPr>
      <w:r w:rsidRPr="00AF114B">
        <w:rPr>
          <w:szCs w:val="24"/>
        </w:rPr>
        <w:t>The Regulation commence</w:t>
      </w:r>
      <w:r w:rsidR="0093233E" w:rsidRPr="00AF114B">
        <w:rPr>
          <w:szCs w:val="24"/>
        </w:rPr>
        <w:t>s</w:t>
      </w:r>
      <w:r w:rsidRPr="00AF114B">
        <w:rPr>
          <w:szCs w:val="24"/>
        </w:rPr>
        <w:t xml:space="preserve"> on </w:t>
      </w:r>
      <w:r w:rsidR="00A1640A" w:rsidRPr="00353325">
        <w:t>23 August</w:t>
      </w:r>
      <w:r w:rsidR="005C556A">
        <w:t> </w:t>
      </w:r>
      <w:r w:rsidR="00A1640A" w:rsidRPr="00353325">
        <w:t>2014</w:t>
      </w:r>
      <w:r w:rsidRPr="00AF114B">
        <w:rPr>
          <w:szCs w:val="24"/>
        </w:rPr>
        <w:t>.</w:t>
      </w:r>
    </w:p>
    <w:p w:rsidR="0093233E" w:rsidRPr="00AF114B" w:rsidRDefault="0093233E">
      <w:pPr>
        <w:tabs>
          <w:tab w:val="left" w:pos="6521"/>
        </w:tabs>
        <w:spacing w:before="0"/>
        <w:ind w:right="84"/>
        <w:rPr>
          <w:szCs w:val="24"/>
        </w:rPr>
      </w:pPr>
    </w:p>
    <w:p w:rsidR="004445B8" w:rsidRPr="00AF114B" w:rsidRDefault="004445B8">
      <w:pPr>
        <w:tabs>
          <w:tab w:val="left" w:pos="6521"/>
        </w:tabs>
        <w:spacing w:before="0"/>
        <w:ind w:right="84"/>
        <w:rPr>
          <w:szCs w:val="24"/>
        </w:rPr>
      </w:pPr>
    </w:p>
    <w:p w:rsidR="0093233E" w:rsidRPr="00AF114B" w:rsidRDefault="0093233E">
      <w:pPr>
        <w:spacing w:before="0"/>
        <w:ind w:right="84"/>
        <w:jc w:val="right"/>
        <w:rPr>
          <w:b/>
          <w:szCs w:val="24"/>
          <w:u w:val="single"/>
        </w:rPr>
        <w:sectPr w:rsidR="0093233E" w:rsidRPr="00AF114B" w:rsidSect="0093233E">
          <w:headerReference w:type="default" r:id="rId9"/>
          <w:pgSz w:w="11906" w:h="16838"/>
          <w:pgMar w:top="1440" w:right="1800" w:bottom="1440" w:left="1800" w:header="708" w:footer="708" w:gutter="0"/>
          <w:cols w:space="708"/>
          <w:titlePg/>
          <w:docGrid w:linePitch="360"/>
        </w:sectPr>
      </w:pPr>
    </w:p>
    <w:p w:rsidR="0093233E" w:rsidRPr="00AF114B" w:rsidRDefault="0093233E">
      <w:pPr>
        <w:spacing w:before="0"/>
        <w:ind w:right="84"/>
        <w:jc w:val="right"/>
        <w:rPr>
          <w:b/>
          <w:szCs w:val="24"/>
          <w:u w:val="single"/>
        </w:rPr>
      </w:pPr>
      <w:r w:rsidRPr="00AF114B">
        <w:rPr>
          <w:b/>
          <w:szCs w:val="24"/>
          <w:u w:val="single"/>
        </w:rPr>
        <w:t>ATTACHMENT </w:t>
      </w:r>
      <w:r w:rsidR="00635C31">
        <w:rPr>
          <w:b/>
          <w:szCs w:val="24"/>
          <w:u w:val="single"/>
        </w:rPr>
        <w:t>A</w:t>
      </w:r>
    </w:p>
    <w:p w:rsidR="0093233E" w:rsidRDefault="0093233E">
      <w:pPr>
        <w:spacing w:before="0"/>
        <w:ind w:right="84"/>
        <w:rPr>
          <w:szCs w:val="24"/>
        </w:rPr>
      </w:pPr>
    </w:p>
    <w:p w:rsidR="003520A3" w:rsidRPr="00AF114B" w:rsidRDefault="003520A3">
      <w:pPr>
        <w:spacing w:before="0"/>
        <w:ind w:right="84"/>
        <w:rPr>
          <w:szCs w:val="24"/>
        </w:rPr>
      </w:pPr>
    </w:p>
    <w:p w:rsidR="009A795D" w:rsidRPr="002D4AC4" w:rsidRDefault="009A795D" w:rsidP="00A149A4">
      <w:pPr>
        <w:spacing w:before="0"/>
        <w:ind w:right="84"/>
        <w:jc w:val="center"/>
        <w:rPr>
          <w:sz w:val="28"/>
          <w:szCs w:val="28"/>
        </w:rPr>
      </w:pPr>
      <w:r w:rsidRPr="002D4AC4">
        <w:rPr>
          <w:b/>
          <w:sz w:val="28"/>
          <w:szCs w:val="28"/>
        </w:rPr>
        <w:t>Statement of Compatibility with Human Rights</w:t>
      </w:r>
    </w:p>
    <w:p w:rsidR="003520A3" w:rsidRPr="002D4AC4" w:rsidRDefault="003520A3" w:rsidP="00A149A4">
      <w:pPr>
        <w:spacing w:before="0"/>
        <w:ind w:right="84"/>
        <w:jc w:val="center"/>
        <w:rPr>
          <w:i/>
          <w:szCs w:val="24"/>
        </w:rPr>
      </w:pPr>
    </w:p>
    <w:p w:rsidR="009A795D" w:rsidRPr="002D4AC4" w:rsidRDefault="009A795D" w:rsidP="00A149A4">
      <w:pPr>
        <w:spacing w:before="0"/>
        <w:ind w:right="84"/>
        <w:jc w:val="center"/>
        <w:rPr>
          <w:szCs w:val="24"/>
        </w:rPr>
      </w:pPr>
      <w:r w:rsidRPr="002D4AC4">
        <w:rPr>
          <w:i/>
          <w:szCs w:val="24"/>
        </w:rPr>
        <w:t>Prepared in accordance with Part</w:t>
      </w:r>
      <w:r w:rsidR="003520A3" w:rsidRPr="002D4AC4">
        <w:rPr>
          <w:i/>
          <w:szCs w:val="24"/>
        </w:rPr>
        <w:t> </w:t>
      </w:r>
      <w:r w:rsidRPr="002D4AC4">
        <w:rPr>
          <w:i/>
          <w:szCs w:val="24"/>
        </w:rPr>
        <w:t>3 of the Human Rights (Parliamentary Scrutiny) Act</w:t>
      </w:r>
      <w:r w:rsidR="003520A3" w:rsidRPr="002D4AC4">
        <w:rPr>
          <w:i/>
          <w:szCs w:val="24"/>
        </w:rPr>
        <w:t> </w:t>
      </w:r>
      <w:r w:rsidRPr="002D4AC4">
        <w:rPr>
          <w:i/>
          <w:szCs w:val="24"/>
        </w:rPr>
        <w:t>2011</w:t>
      </w:r>
    </w:p>
    <w:p w:rsidR="009A795D" w:rsidRPr="002D4AC4" w:rsidRDefault="009A795D" w:rsidP="00A149A4">
      <w:pPr>
        <w:spacing w:before="0"/>
        <w:ind w:right="84"/>
        <w:rPr>
          <w:szCs w:val="24"/>
        </w:rPr>
      </w:pPr>
    </w:p>
    <w:p w:rsidR="009A795D" w:rsidRPr="002D4AC4" w:rsidRDefault="009A795D" w:rsidP="00A149A4">
      <w:pPr>
        <w:spacing w:before="0"/>
        <w:ind w:right="84"/>
        <w:jc w:val="center"/>
        <w:rPr>
          <w:szCs w:val="24"/>
        </w:rPr>
      </w:pPr>
      <w:r w:rsidRPr="002D4AC4">
        <w:rPr>
          <w:szCs w:val="24"/>
        </w:rPr>
        <w:t>This Legislative Instrument is compatible with the human rights and freedoms recognised or declared in the international instruments listed in section</w:t>
      </w:r>
      <w:r w:rsidR="003520A3" w:rsidRPr="002D4AC4">
        <w:rPr>
          <w:szCs w:val="24"/>
        </w:rPr>
        <w:t> </w:t>
      </w:r>
      <w:r w:rsidRPr="002D4AC4">
        <w:rPr>
          <w:szCs w:val="24"/>
        </w:rPr>
        <w:t xml:space="preserve">3 of the </w:t>
      </w:r>
      <w:r w:rsidRPr="002D4AC4">
        <w:rPr>
          <w:i/>
          <w:szCs w:val="24"/>
        </w:rPr>
        <w:t>Human Rights (Parliamentary Scrutiny) Act</w:t>
      </w:r>
      <w:r w:rsidR="003520A3" w:rsidRPr="002D4AC4">
        <w:rPr>
          <w:i/>
          <w:szCs w:val="24"/>
        </w:rPr>
        <w:t> </w:t>
      </w:r>
      <w:r w:rsidRPr="002D4AC4">
        <w:rPr>
          <w:i/>
          <w:szCs w:val="24"/>
        </w:rPr>
        <w:t>2011</w:t>
      </w:r>
      <w:r w:rsidRPr="002D4AC4">
        <w:rPr>
          <w:szCs w:val="24"/>
        </w:rPr>
        <w:t>.</w:t>
      </w:r>
    </w:p>
    <w:p w:rsidR="009A795D" w:rsidRPr="002D4AC4" w:rsidRDefault="009A795D" w:rsidP="00A149A4">
      <w:pPr>
        <w:spacing w:before="0"/>
        <w:ind w:right="84"/>
        <w:rPr>
          <w:szCs w:val="24"/>
        </w:rPr>
      </w:pPr>
    </w:p>
    <w:p w:rsidR="009A795D" w:rsidRPr="002D4AC4" w:rsidRDefault="009A795D" w:rsidP="00A149A4">
      <w:pPr>
        <w:spacing w:before="0"/>
        <w:ind w:right="84"/>
        <w:jc w:val="both"/>
        <w:rPr>
          <w:szCs w:val="24"/>
        </w:rPr>
      </w:pPr>
      <w:r w:rsidRPr="002D4AC4">
        <w:rPr>
          <w:b/>
          <w:szCs w:val="24"/>
        </w:rPr>
        <w:t>Overview of the Legislative Instrument</w:t>
      </w:r>
    </w:p>
    <w:p w:rsidR="003520A3" w:rsidRPr="002D4AC4" w:rsidRDefault="003520A3" w:rsidP="00A149A4">
      <w:pPr>
        <w:spacing w:before="0"/>
        <w:ind w:right="84"/>
        <w:jc w:val="both"/>
        <w:rPr>
          <w:szCs w:val="24"/>
        </w:rPr>
      </w:pPr>
    </w:p>
    <w:p w:rsidR="003520A3" w:rsidRPr="00635C31" w:rsidRDefault="003520A3" w:rsidP="003520A3">
      <w:pPr>
        <w:spacing w:before="0"/>
        <w:ind w:right="84"/>
        <w:jc w:val="both"/>
        <w:rPr>
          <w:szCs w:val="24"/>
        </w:rPr>
      </w:pPr>
      <w:r w:rsidRPr="00EB76D4">
        <w:rPr>
          <w:szCs w:val="24"/>
        </w:rPr>
        <w:t xml:space="preserve">The </w:t>
      </w:r>
      <w:r w:rsidRPr="00635C31">
        <w:rPr>
          <w:i/>
          <w:szCs w:val="24"/>
        </w:rPr>
        <w:t>Australian Citizenship Amendment (Credit Card Surcharge) Regulation 2014</w:t>
      </w:r>
      <w:r w:rsidRPr="00635C31">
        <w:rPr>
          <w:szCs w:val="24"/>
        </w:rPr>
        <w:t xml:space="preserve"> will amend the </w:t>
      </w:r>
      <w:r w:rsidRPr="00635C31">
        <w:rPr>
          <w:i/>
          <w:szCs w:val="24"/>
        </w:rPr>
        <w:t>Australian Citizenship Regulations 2007</w:t>
      </w:r>
      <w:r w:rsidRPr="00635C31">
        <w:rPr>
          <w:szCs w:val="24"/>
        </w:rPr>
        <w:t xml:space="preserve"> to introduce a credit card fee (surcharge).  The surcharge will apply to credit card payments made by clients when paying a fee that is required to accompany an application under the </w:t>
      </w:r>
      <w:r w:rsidRPr="00635C31">
        <w:rPr>
          <w:i/>
          <w:szCs w:val="24"/>
        </w:rPr>
        <w:t>Australian Citizenship Act 2007</w:t>
      </w:r>
      <w:r w:rsidRPr="00635C31">
        <w:rPr>
          <w:szCs w:val="24"/>
        </w:rPr>
        <w:t>.</w:t>
      </w:r>
    </w:p>
    <w:p w:rsidR="003520A3" w:rsidRPr="00635C31" w:rsidRDefault="003520A3" w:rsidP="003520A3">
      <w:pPr>
        <w:spacing w:before="0"/>
        <w:ind w:right="84"/>
        <w:jc w:val="both"/>
        <w:rPr>
          <w:szCs w:val="24"/>
        </w:rPr>
      </w:pPr>
    </w:p>
    <w:p w:rsidR="003520A3" w:rsidRPr="00635C31" w:rsidRDefault="003520A3" w:rsidP="00A149A4">
      <w:pPr>
        <w:spacing w:before="0"/>
        <w:ind w:right="84"/>
        <w:rPr>
          <w:szCs w:val="24"/>
        </w:rPr>
      </w:pPr>
      <w:r w:rsidRPr="00635C31">
        <w:rPr>
          <w:szCs w:val="24"/>
        </w:rPr>
        <w:t>The surcharge will be limited by the Reserve Bank of Australia (RBA) surcharging standards.  The standards allow merchants to pass on the cost of credit card transactions to customers via a surcharge.  The surcharge is calculated based on the reasonable cost of acceptance methodology, which is defined by the RBA and limited to merchant service fees, system establishment costs and direct costs associated with point of sale terminals.</w:t>
      </w:r>
    </w:p>
    <w:p w:rsidR="003520A3" w:rsidRPr="00635C31" w:rsidRDefault="003520A3" w:rsidP="00A149A4">
      <w:pPr>
        <w:spacing w:before="0"/>
        <w:ind w:right="84"/>
        <w:rPr>
          <w:szCs w:val="24"/>
        </w:rPr>
      </w:pPr>
    </w:p>
    <w:p w:rsidR="009A795D" w:rsidRPr="002D4AC4" w:rsidRDefault="009A795D" w:rsidP="00A149A4">
      <w:pPr>
        <w:spacing w:before="0"/>
        <w:ind w:right="84"/>
        <w:rPr>
          <w:b/>
          <w:szCs w:val="24"/>
        </w:rPr>
      </w:pPr>
      <w:r w:rsidRPr="002D4AC4">
        <w:rPr>
          <w:b/>
          <w:szCs w:val="24"/>
        </w:rPr>
        <w:t>Human rights implications</w:t>
      </w:r>
    </w:p>
    <w:p w:rsidR="003520A3" w:rsidRPr="002D4AC4" w:rsidRDefault="003520A3" w:rsidP="00A149A4">
      <w:pPr>
        <w:spacing w:before="0"/>
        <w:ind w:right="84"/>
        <w:rPr>
          <w:szCs w:val="24"/>
        </w:rPr>
      </w:pPr>
    </w:p>
    <w:p w:rsidR="009A795D" w:rsidRPr="002D4AC4" w:rsidRDefault="009A795D" w:rsidP="00A149A4">
      <w:pPr>
        <w:spacing w:before="0"/>
        <w:ind w:right="84"/>
        <w:rPr>
          <w:szCs w:val="24"/>
        </w:rPr>
      </w:pPr>
      <w:r w:rsidRPr="002D4AC4">
        <w:rPr>
          <w:szCs w:val="24"/>
        </w:rPr>
        <w:t xml:space="preserve">This </w:t>
      </w:r>
      <w:r w:rsidR="003520A3" w:rsidRPr="002D4AC4">
        <w:rPr>
          <w:szCs w:val="24"/>
        </w:rPr>
        <w:t xml:space="preserve">Legislative Instrument </w:t>
      </w:r>
      <w:r w:rsidRPr="002D4AC4">
        <w:rPr>
          <w:szCs w:val="24"/>
        </w:rPr>
        <w:t>does not engage any of the applicable rights or freedoms.</w:t>
      </w:r>
    </w:p>
    <w:p w:rsidR="009A795D" w:rsidRPr="002D4AC4" w:rsidRDefault="009A795D" w:rsidP="00A149A4">
      <w:pPr>
        <w:spacing w:before="0"/>
        <w:ind w:right="84"/>
        <w:rPr>
          <w:szCs w:val="24"/>
        </w:rPr>
      </w:pPr>
    </w:p>
    <w:p w:rsidR="009A795D" w:rsidRPr="002D4AC4" w:rsidRDefault="009A795D" w:rsidP="00A149A4">
      <w:pPr>
        <w:spacing w:before="0"/>
        <w:ind w:right="84"/>
        <w:rPr>
          <w:b/>
          <w:szCs w:val="24"/>
        </w:rPr>
      </w:pPr>
      <w:r w:rsidRPr="002D4AC4">
        <w:rPr>
          <w:b/>
          <w:szCs w:val="24"/>
        </w:rPr>
        <w:t>Conclusion</w:t>
      </w:r>
    </w:p>
    <w:p w:rsidR="003520A3" w:rsidRPr="002D4AC4" w:rsidRDefault="003520A3" w:rsidP="00A149A4">
      <w:pPr>
        <w:spacing w:before="0"/>
        <w:ind w:right="84"/>
        <w:rPr>
          <w:szCs w:val="24"/>
        </w:rPr>
      </w:pPr>
    </w:p>
    <w:p w:rsidR="009A795D" w:rsidRPr="002D4AC4" w:rsidRDefault="009A795D" w:rsidP="00A149A4">
      <w:pPr>
        <w:spacing w:before="0"/>
        <w:ind w:right="84"/>
        <w:rPr>
          <w:szCs w:val="24"/>
        </w:rPr>
      </w:pPr>
      <w:r w:rsidRPr="002D4AC4">
        <w:rPr>
          <w:szCs w:val="24"/>
        </w:rPr>
        <w:t xml:space="preserve">This </w:t>
      </w:r>
      <w:r w:rsidR="003520A3" w:rsidRPr="002D4AC4">
        <w:rPr>
          <w:szCs w:val="24"/>
        </w:rPr>
        <w:t xml:space="preserve">Legislative Instrument </w:t>
      </w:r>
      <w:r w:rsidRPr="002D4AC4">
        <w:rPr>
          <w:szCs w:val="24"/>
        </w:rPr>
        <w:t>is compatible with human rights as it does not raise any human rights issues.</w:t>
      </w:r>
    </w:p>
    <w:p w:rsidR="009A795D" w:rsidRPr="002D4AC4" w:rsidRDefault="009A795D" w:rsidP="00A149A4">
      <w:pPr>
        <w:spacing w:before="0"/>
        <w:ind w:right="84"/>
        <w:jc w:val="center"/>
        <w:rPr>
          <w:szCs w:val="24"/>
        </w:rPr>
      </w:pPr>
    </w:p>
    <w:p w:rsidR="009A795D" w:rsidRPr="00A149A4" w:rsidRDefault="00DF550F" w:rsidP="00A149A4">
      <w:pPr>
        <w:spacing w:before="0"/>
        <w:ind w:right="84"/>
        <w:jc w:val="center"/>
        <w:rPr>
          <w:b/>
          <w:szCs w:val="24"/>
        </w:rPr>
      </w:pPr>
      <w:r>
        <w:rPr>
          <w:b/>
          <w:szCs w:val="24"/>
        </w:rPr>
        <w:t xml:space="preserve">Senator </w:t>
      </w:r>
      <w:r w:rsidR="00115915" w:rsidRPr="002D4AC4">
        <w:rPr>
          <w:b/>
          <w:szCs w:val="24"/>
        </w:rPr>
        <w:t>The Hon</w:t>
      </w:r>
      <w:r w:rsidR="00115915">
        <w:rPr>
          <w:b/>
          <w:szCs w:val="24"/>
        </w:rPr>
        <w:t>.</w:t>
      </w:r>
      <w:r w:rsidR="00115915" w:rsidRPr="002D4AC4">
        <w:rPr>
          <w:b/>
          <w:szCs w:val="24"/>
        </w:rPr>
        <w:t xml:space="preserve"> </w:t>
      </w:r>
      <w:proofErr w:type="spellStart"/>
      <w:r>
        <w:rPr>
          <w:b/>
          <w:szCs w:val="24"/>
        </w:rPr>
        <w:t>Michaelia</w:t>
      </w:r>
      <w:proofErr w:type="spellEnd"/>
      <w:r>
        <w:rPr>
          <w:b/>
          <w:szCs w:val="24"/>
        </w:rPr>
        <w:t xml:space="preserve"> Cash</w:t>
      </w:r>
      <w:r w:rsidR="009A795D" w:rsidRPr="002D4AC4">
        <w:rPr>
          <w:b/>
          <w:szCs w:val="24"/>
        </w:rPr>
        <w:t xml:space="preserve">, </w:t>
      </w:r>
      <w:r>
        <w:rPr>
          <w:b/>
          <w:szCs w:val="24"/>
        </w:rPr>
        <w:t xml:space="preserve">Assistant </w:t>
      </w:r>
      <w:r w:rsidR="009A795D" w:rsidRPr="002D4AC4">
        <w:rPr>
          <w:b/>
          <w:szCs w:val="24"/>
        </w:rPr>
        <w:t>Minister for Immigration and Border Protection</w:t>
      </w:r>
    </w:p>
    <w:p w:rsidR="00890E70" w:rsidRPr="00AF114B" w:rsidRDefault="00890E70" w:rsidP="003520A3">
      <w:pPr>
        <w:spacing w:before="0"/>
        <w:ind w:right="84"/>
        <w:rPr>
          <w:szCs w:val="24"/>
        </w:rPr>
      </w:pPr>
    </w:p>
    <w:p w:rsidR="0093233E" w:rsidRPr="00AF114B" w:rsidRDefault="0093233E">
      <w:pPr>
        <w:spacing w:before="0"/>
        <w:ind w:right="84"/>
        <w:rPr>
          <w:szCs w:val="24"/>
        </w:rPr>
      </w:pPr>
    </w:p>
    <w:p w:rsidR="0093233E" w:rsidRPr="00AF114B" w:rsidRDefault="0093233E">
      <w:pPr>
        <w:spacing w:before="0"/>
        <w:ind w:right="84"/>
        <w:jc w:val="right"/>
        <w:rPr>
          <w:b/>
          <w:szCs w:val="24"/>
          <w:u w:val="single"/>
        </w:rPr>
        <w:sectPr w:rsidR="0093233E" w:rsidRPr="00AF114B" w:rsidSect="0093233E">
          <w:pgSz w:w="11906" w:h="16838"/>
          <w:pgMar w:top="1440" w:right="1800" w:bottom="1440" w:left="1800" w:header="708" w:footer="708" w:gutter="0"/>
          <w:pgNumType w:start="1"/>
          <w:cols w:space="708"/>
          <w:titlePg/>
          <w:docGrid w:linePitch="360"/>
        </w:sectPr>
      </w:pPr>
    </w:p>
    <w:p w:rsidR="004445B8" w:rsidRPr="00AF114B" w:rsidRDefault="0093233E">
      <w:pPr>
        <w:spacing w:before="0"/>
        <w:ind w:right="84"/>
        <w:jc w:val="right"/>
        <w:rPr>
          <w:szCs w:val="24"/>
          <w:u w:val="single"/>
        </w:rPr>
      </w:pPr>
      <w:r w:rsidRPr="00AF114B">
        <w:rPr>
          <w:b/>
          <w:szCs w:val="24"/>
          <w:u w:val="single"/>
        </w:rPr>
        <w:t>ATTACHMENT </w:t>
      </w:r>
      <w:r w:rsidR="00635C31">
        <w:rPr>
          <w:b/>
          <w:szCs w:val="24"/>
          <w:u w:val="single"/>
        </w:rPr>
        <w:t>B</w:t>
      </w:r>
    </w:p>
    <w:p w:rsidR="004445B8" w:rsidRPr="00AF114B" w:rsidRDefault="004445B8" w:rsidP="002D4AC4">
      <w:pPr>
        <w:spacing w:before="0"/>
        <w:ind w:right="84"/>
        <w:rPr>
          <w:szCs w:val="24"/>
        </w:rPr>
      </w:pPr>
    </w:p>
    <w:p w:rsidR="0093233E" w:rsidRPr="00AF114B" w:rsidRDefault="0093233E" w:rsidP="002D4AC4">
      <w:pPr>
        <w:spacing w:before="0"/>
        <w:ind w:right="84"/>
        <w:rPr>
          <w:szCs w:val="24"/>
        </w:rPr>
      </w:pPr>
    </w:p>
    <w:p w:rsidR="00966DF5" w:rsidRPr="00AF114B" w:rsidRDefault="00966DF5" w:rsidP="00EB76D4">
      <w:pPr>
        <w:keepNext/>
        <w:keepLines/>
        <w:tabs>
          <w:tab w:val="left" w:pos="8364"/>
        </w:tabs>
        <w:spacing w:before="0"/>
        <w:ind w:right="84"/>
        <w:rPr>
          <w:szCs w:val="24"/>
          <w:u w:val="single"/>
        </w:rPr>
      </w:pPr>
      <w:r w:rsidRPr="00AF114B">
        <w:rPr>
          <w:b/>
          <w:szCs w:val="24"/>
          <w:u w:val="single"/>
        </w:rPr>
        <w:t xml:space="preserve">Details of the </w:t>
      </w:r>
      <w:r w:rsidR="006775BE" w:rsidRPr="006775BE">
        <w:rPr>
          <w:b/>
          <w:i/>
          <w:szCs w:val="24"/>
          <w:u w:val="single"/>
        </w:rPr>
        <w:t>Australian Citizenship Amendment (Credit Card Surcharge) Regulation</w:t>
      </w:r>
      <w:r w:rsidR="003520A3">
        <w:rPr>
          <w:b/>
          <w:i/>
          <w:szCs w:val="24"/>
          <w:u w:val="single"/>
        </w:rPr>
        <w:t> </w:t>
      </w:r>
      <w:r w:rsidR="006775BE" w:rsidRPr="006775BE">
        <w:rPr>
          <w:b/>
          <w:i/>
          <w:szCs w:val="24"/>
          <w:u w:val="single"/>
        </w:rPr>
        <w:t>2014</w:t>
      </w:r>
    </w:p>
    <w:p w:rsidR="00966DF5" w:rsidRPr="00AF114B" w:rsidRDefault="00966DF5">
      <w:pPr>
        <w:keepNext/>
        <w:keepLines/>
        <w:tabs>
          <w:tab w:val="left" w:pos="8364"/>
        </w:tabs>
        <w:spacing w:before="0"/>
        <w:ind w:right="84"/>
        <w:rPr>
          <w:szCs w:val="24"/>
        </w:rPr>
      </w:pPr>
    </w:p>
    <w:p w:rsidR="00966DF5" w:rsidRPr="00AF114B" w:rsidRDefault="00966DF5">
      <w:pPr>
        <w:keepNext/>
        <w:keepLines/>
        <w:tabs>
          <w:tab w:val="left" w:pos="8364"/>
        </w:tabs>
        <w:spacing w:before="0"/>
        <w:ind w:right="84"/>
        <w:rPr>
          <w:szCs w:val="24"/>
        </w:rPr>
      </w:pPr>
      <w:r w:rsidRPr="00AF114B">
        <w:rPr>
          <w:szCs w:val="24"/>
          <w:u w:val="single"/>
        </w:rPr>
        <w:t>Section 1 – Name of Regulation</w:t>
      </w:r>
    </w:p>
    <w:p w:rsidR="00966DF5" w:rsidRPr="00AF114B" w:rsidRDefault="00966DF5">
      <w:pPr>
        <w:keepNext/>
        <w:keepLines/>
        <w:tabs>
          <w:tab w:val="left" w:pos="8364"/>
        </w:tabs>
        <w:spacing w:before="0"/>
        <w:ind w:right="84"/>
        <w:rPr>
          <w:szCs w:val="24"/>
        </w:rPr>
      </w:pPr>
    </w:p>
    <w:p w:rsidR="00966DF5" w:rsidRPr="00AF114B" w:rsidRDefault="00966DF5">
      <w:pPr>
        <w:keepNext/>
        <w:keepLines/>
        <w:tabs>
          <w:tab w:val="left" w:pos="8364"/>
        </w:tabs>
        <w:spacing w:before="0"/>
        <w:ind w:right="84"/>
        <w:rPr>
          <w:szCs w:val="24"/>
        </w:rPr>
      </w:pPr>
      <w:r w:rsidRPr="00AF114B">
        <w:rPr>
          <w:szCs w:val="24"/>
        </w:rPr>
        <w:t xml:space="preserve">This section provides that the title of the Regulation is the </w:t>
      </w:r>
      <w:r w:rsidR="003520A3">
        <w:rPr>
          <w:i/>
        </w:rPr>
        <w:t>Australian Citizenship Amendment (Credit Card Surcharge) Regulation 2014</w:t>
      </w:r>
      <w:r w:rsidRPr="00AF114B">
        <w:rPr>
          <w:szCs w:val="24"/>
        </w:rPr>
        <w:t xml:space="preserve"> (the Regulation).</w:t>
      </w:r>
    </w:p>
    <w:p w:rsidR="00966DF5" w:rsidRPr="00AF114B" w:rsidRDefault="00966DF5">
      <w:pPr>
        <w:tabs>
          <w:tab w:val="left" w:pos="8364"/>
        </w:tabs>
        <w:spacing w:before="0"/>
        <w:ind w:right="84"/>
        <w:rPr>
          <w:szCs w:val="24"/>
        </w:rPr>
      </w:pPr>
    </w:p>
    <w:p w:rsidR="00966DF5" w:rsidRPr="00AF114B" w:rsidRDefault="00966DF5">
      <w:pPr>
        <w:keepNext/>
        <w:keepLines/>
        <w:tabs>
          <w:tab w:val="left" w:pos="8364"/>
        </w:tabs>
        <w:spacing w:before="0"/>
        <w:ind w:right="84"/>
        <w:rPr>
          <w:szCs w:val="24"/>
          <w:u w:val="single"/>
        </w:rPr>
      </w:pPr>
      <w:r w:rsidRPr="00AF114B">
        <w:rPr>
          <w:szCs w:val="24"/>
          <w:u w:val="single"/>
        </w:rPr>
        <w:t>Section 2 – Commencement</w:t>
      </w:r>
    </w:p>
    <w:p w:rsidR="00966DF5" w:rsidRPr="00AF114B" w:rsidRDefault="00966DF5">
      <w:pPr>
        <w:keepNext/>
        <w:keepLines/>
        <w:tabs>
          <w:tab w:val="left" w:pos="8364"/>
        </w:tabs>
        <w:spacing w:before="0"/>
        <w:ind w:right="84"/>
        <w:rPr>
          <w:szCs w:val="24"/>
        </w:rPr>
      </w:pPr>
    </w:p>
    <w:p w:rsidR="0008381D" w:rsidRDefault="00966DF5">
      <w:pPr>
        <w:keepNext/>
        <w:keepLines/>
        <w:tabs>
          <w:tab w:val="left" w:pos="8364"/>
        </w:tabs>
        <w:spacing w:before="0"/>
        <w:ind w:right="84"/>
        <w:rPr>
          <w:szCs w:val="24"/>
        </w:rPr>
      </w:pPr>
      <w:r w:rsidRPr="00AF114B">
        <w:rPr>
          <w:szCs w:val="24"/>
        </w:rPr>
        <w:t xml:space="preserve">This section provides that </w:t>
      </w:r>
      <w:r w:rsidR="00410392">
        <w:rPr>
          <w:szCs w:val="24"/>
        </w:rPr>
        <w:t>t</w:t>
      </w:r>
      <w:r w:rsidR="00410392" w:rsidRPr="00410392">
        <w:rPr>
          <w:szCs w:val="24"/>
        </w:rPr>
        <w:t>h</w:t>
      </w:r>
      <w:r w:rsidR="00410392">
        <w:rPr>
          <w:szCs w:val="24"/>
        </w:rPr>
        <w:t>e R</w:t>
      </w:r>
      <w:r w:rsidR="00410392" w:rsidRPr="00410392">
        <w:rPr>
          <w:szCs w:val="24"/>
        </w:rPr>
        <w:t xml:space="preserve">egulation commences </w:t>
      </w:r>
      <w:r w:rsidR="006775BE" w:rsidRPr="00353325">
        <w:t>on 23 August 2014</w:t>
      </w:r>
      <w:r w:rsidR="00410392" w:rsidRPr="00410392">
        <w:rPr>
          <w:szCs w:val="24"/>
        </w:rPr>
        <w:t>.</w:t>
      </w:r>
    </w:p>
    <w:p w:rsidR="0008381D" w:rsidRDefault="0008381D">
      <w:pPr>
        <w:keepNext/>
        <w:keepLines/>
        <w:tabs>
          <w:tab w:val="left" w:pos="8364"/>
        </w:tabs>
        <w:spacing w:before="0"/>
        <w:ind w:right="84"/>
        <w:rPr>
          <w:szCs w:val="24"/>
        </w:rPr>
      </w:pPr>
    </w:p>
    <w:p w:rsidR="00D03D22" w:rsidRDefault="00816DB0">
      <w:pPr>
        <w:tabs>
          <w:tab w:val="left" w:pos="8364"/>
        </w:tabs>
        <w:spacing w:before="0"/>
        <w:ind w:right="84"/>
        <w:rPr>
          <w:szCs w:val="24"/>
        </w:rPr>
      </w:pPr>
      <w:r w:rsidRPr="006E206C">
        <w:rPr>
          <w:szCs w:val="24"/>
        </w:rPr>
        <w:t xml:space="preserve">The purpose of this section is to set out when </w:t>
      </w:r>
      <w:r w:rsidR="006E206C" w:rsidRPr="00425FB4">
        <w:rPr>
          <w:szCs w:val="24"/>
        </w:rPr>
        <w:t>the</w:t>
      </w:r>
      <w:r w:rsidR="006E206C" w:rsidRPr="001D66D0">
        <w:rPr>
          <w:szCs w:val="24"/>
        </w:rPr>
        <w:t xml:space="preserve"> </w:t>
      </w:r>
      <w:r w:rsidRPr="001D66D0">
        <w:rPr>
          <w:szCs w:val="24"/>
        </w:rPr>
        <w:t>provision</w:t>
      </w:r>
      <w:r w:rsidR="006E206C" w:rsidRPr="006E206C">
        <w:rPr>
          <w:szCs w:val="24"/>
        </w:rPr>
        <w:t>s</w:t>
      </w:r>
      <w:r w:rsidRPr="006E206C">
        <w:rPr>
          <w:szCs w:val="24"/>
        </w:rPr>
        <w:t xml:space="preserve"> commence.</w:t>
      </w:r>
    </w:p>
    <w:p w:rsidR="00D03D22" w:rsidRPr="00AF114B" w:rsidRDefault="00D03D22">
      <w:pPr>
        <w:tabs>
          <w:tab w:val="left" w:pos="8364"/>
        </w:tabs>
        <w:spacing w:before="0"/>
        <w:ind w:right="84"/>
        <w:rPr>
          <w:szCs w:val="24"/>
        </w:rPr>
      </w:pPr>
    </w:p>
    <w:p w:rsidR="00966DF5" w:rsidRPr="00AF114B" w:rsidRDefault="00966DF5">
      <w:pPr>
        <w:keepNext/>
        <w:keepLines/>
        <w:tabs>
          <w:tab w:val="left" w:pos="8364"/>
        </w:tabs>
        <w:spacing w:before="0"/>
        <w:ind w:right="84"/>
        <w:rPr>
          <w:szCs w:val="24"/>
        </w:rPr>
      </w:pPr>
      <w:r w:rsidRPr="00AF114B">
        <w:rPr>
          <w:szCs w:val="24"/>
          <w:u w:val="single"/>
        </w:rPr>
        <w:t>Section 3 – Authority</w:t>
      </w:r>
    </w:p>
    <w:p w:rsidR="00966DF5" w:rsidRPr="0008381D" w:rsidRDefault="00966DF5">
      <w:pPr>
        <w:keepNext/>
        <w:keepLines/>
        <w:tabs>
          <w:tab w:val="left" w:pos="8364"/>
        </w:tabs>
        <w:spacing w:before="0"/>
        <w:ind w:right="84"/>
        <w:rPr>
          <w:szCs w:val="24"/>
        </w:rPr>
      </w:pPr>
    </w:p>
    <w:p w:rsidR="00966DF5" w:rsidRPr="00AF114B" w:rsidRDefault="00966DF5">
      <w:pPr>
        <w:keepNext/>
        <w:keepLines/>
        <w:tabs>
          <w:tab w:val="left" w:pos="8364"/>
        </w:tabs>
        <w:spacing w:before="0"/>
        <w:ind w:right="84"/>
        <w:rPr>
          <w:szCs w:val="24"/>
        </w:rPr>
      </w:pPr>
      <w:r w:rsidRPr="00AF114B">
        <w:rPr>
          <w:szCs w:val="24"/>
        </w:rPr>
        <w:t xml:space="preserve">This section provides that the Regulation is made under the </w:t>
      </w:r>
      <w:r w:rsidR="0001665D" w:rsidRPr="00353325">
        <w:rPr>
          <w:i/>
        </w:rPr>
        <w:t>Australian Citizenship Act</w:t>
      </w:r>
      <w:r w:rsidR="003520A3">
        <w:rPr>
          <w:i/>
        </w:rPr>
        <w:t> </w:t>
      </w:r>
      <w:r w:rsidR="0001665D" w:rsidRPr="00353325">
        <w:rPr>
          <w:i/>
        </w:rPr>
        <w:t>2007</w:t>
      </w:r>
      <w:r w:rsidRPr="00AF114B">
        <w:rPr>
          <w:szCs w:val="24"/>
        </w:rPr>
        <w:t xml:space="preserve"> (the Act).</w:t>
      </w:r>
    </w:p>
    <w:p w:rsidR="00966DF5" w:rsidRPr="00AF114B" w:rsidRDefault="00966DF5">
      <w:pPr>
        <w:tabs>
          <w:tab w:val="left" w:pos="8364"/>
        </w:tabs>
        <w:spacing w:before="0"/>
        <w:ind w:right="84"/>
        <w:rPr>
          <w:szCs w:val="24"/>
        </w:rPr>
      </w:pPr>
    </w:p>
    <w:p w:rsidR="00966DF5" w:rsidRPr="00AF114B" w:rsidRDefault="00966DF5">
      <w:pPr>
        <w:tabs>
          <w:tab w:val="left" w:pos="8364"/>
        </w:tabs>
        <w:spacing w:before="0"/>
        <w:ind w:right="84"/>
        <w:rPr>
          <w:szCs w:val="24"/>
        </w:rPr>
      </w:pPr>
      <w:r w:rsidRPr="00AF114B">
        <w:rPr>
          <w:szCs w:val="24"/>
        </w:rPr>
        <w:t>The purpose of this section is to set out the Act under which the Regulation is made.</w:t>
      </w:r>
    </w:p>
    <w:p w:rsidR="00966DF5" w:rsidRPr="00AF114B" w:rsidRDefault="00966DF5">
      <w:pPr>
        <w:tabs>
          <w:tab w:val="left" w:pos="8364"/>
        </w:tabs>
        <w:spacing w:before="0"/>
        <w:ind w:right="84"/>
        <w:rPr>
          <w:szCs w:val="24"/>
        </w:rPr>
      </w:pPr>
    </w:p>
    <w:p w:rsidR="00966DF5" w:rsidRPr="00AF114B" w:rsidRDefault="00966DF5">
      <w:pPr>
        <w:pStyle w:val="EMHeading"/>
        <w:keepLines/>
        <w:tabs>
          <w:tab w:val="left" w:pos="8364"/>
        </w:tabs>
        <w:spacing w:after="0"/>
        <w:ind w:right="84"/>
        <w:rPr>
          <w:szCs w:val="24"/>
        </w:rPr>
      </w:pPr>
      <w:r w:rsidRPr="00AF114B">
        <w:rPr>
          <w:szCs w:val="24"/>
        </w:rPr>
        <w:t>Section 4 – Schedule(s)</w:t>
      </w:r>
    </w:p>
    <w:p w:rsidR="00966DF5" w:rsidRPr="00AF114B" w:rsidRDefault="00966DF5">
      <w:pPr>
        <w:keepNext/>
        <w:keepLines/>
        <w:tabs>
          <w:tab w:val="left" w:pos="8364"/>
        </w:tabs>
        <w:spacing w:before="0"/>
        <w:ind w:right="84"/>
        <w:rPr>
          <w:szCs w:val="24"/>
        </w:rPr>
      </w:pPr>
    </w:p>
    <w:p w:rsidR="00966DF5" w:rsidRPr="00AF114B" w:rsidRDefault="00966DF5">
      <w:pPr>
        <w:keepNext/>
        <w:keepLines/>
        <w:tabs>
          <w:tab w:val="left" w:pos="8364"/>
        </w:tabs>
        <w:spacing w:before="0"/>
        <w:ind w:right="84"/>
        <w:rPr>
          <w:szCs w:val="24"/>
        </w:rPr>
      </w:pPr>
      <w:r w:rsidRPr="00AF114B">
        <w:rPr>
          <w:szCs w:val="24"/>
        </w:rPr>
        <w:t xml:space="preserve">This section provides that </w:t>
      </w:r>
      <w:r w:rsidR="0001665D">
        <w:t>e</w:t>
      </w:r>
      <w:r w:rsidR="0001665D" w:rsidRPr="00353325">
        <w:t>ach instrument that is specified in a Schedule to this instrument is amended or repealed as set out in the applicable items in the Schedule concerned, and any other item in a Schedule to this instrument ha</w:t>
      </w:r>
      <w:r w:rsidR="0001665D">
        <w:t>s effect according to its terms</w:t>
      </w:r>
      <w:r w:rsidRPr="00AF114B">
        <w:rPr>
          <w:szCs w:val="24"/>
        </w:rPr>
        <w:t>.</w:t>
      </w:r>
    </w:p>
    <w:p w:rsidR="00966DF5" w:rsidRPr="00AF114B" w:rsidRDefault="00966DF5">
      <w:pPr>
        <w:tabs>
          <w:tab w:val="left" w:pos="8364"/>
        </w:tabs>
        <w:spacing w:before="0"/>
        <w:ind w:right="84"/>
        <w:rPr>
          <w:szCs w:val="24"/>
        </w:rPr>
      </w:pPr>
    </w:p>
    <w:p w:rsidR="00966DF5" w:rsidRPr="00AF114B" w:rsidRDefault="00966DF5">
      <w:pPr>
        <w:tabs>
          <w:tab w:val="left" w:pos="8364"/>
        </w:tabs>
        <w:spacing w:before="0"/>
        <w:ind w:right="84"/>
        <w:rPr>
          <w:szCs w:val="24"/>
        </w:rPr>
      </w:pPr>
      <w:r w:rsidRPr="00AF114B">
        <w:rPr>
          <w:szCs w:val="24"/>
        </w:rPr>
        <w:t>The purpose of this section is to provide for how the amendments in this Regulation operate.</w:t>
      </w:r>
    </w:p>
    <w:p w:rsidR="00966DF5" w:rsidRPr="00AF114B" w:rsidRDefault="00966DF5">
      <w:pPr>
        <w:tabs>
          <w:tab w:val="left" w:pos="8364"/>
        </w:tabs>
        <w:spacing w:before="0"/>
        <w:ind w:right="84"/>
        <w:rPr>
          <w:szCs w:val="24"/>
        </w:rPr>
      </w:pPr>
    </w:p>
    <w:p w:rsidR="00966DF5" w:rsidRDefault="00966DF5" w:rsidP="002D4AC4">
      <w:pPr>
        <w:keepNext/>
        <w:keepLines/>
        <w:tabs>
          <w:tab w:val="left" w:pos="8364"/>
        </w:tabs>
        <w:spacing w:before="0"/>
        <w:ind w:right="85"/>
        <w:rPr>
          <w:b/>
          <w:szCs w:val="24"/>
          <w:u w:val="single"/>
        </w:rPr>
      </w:pPr>
      <w:r w:rsidRPr="00AF114B">
        <w:rPr>
          <w:b/>
          <w:szCs w:val="24"/>
          <w:u w:val="single"/>
        </w:rPr>
        <w:t>Schedule 1 – Amendments</w:t>
      </w:r>
    </w:p>
    <w:p w:rsidR="00837FCC" w:rsidRDefault="00837FCC" w:rsidP="002D4AC4">
      <w:pPr>
        <w:keepNext/>
        <w:keepLines/>
        <w:tabs>
          <w:tab w:val="left" w:pos="8364"/>
        </w:tabs>
        <w:spacing w:before="0"/>
        <w:ind w:right="85"/>
        <w:rPr>
          <w:b/>
          <w:szCs w:val="24"/>
          <w:u w:val="single"/>
        </w:rPr>
      </w:pPr>
    </w:p>
    <w:p w:rsidR="00837FCC" w:rsidRPr="002D4AC4" w:rsidRDefault="00837FCC" w:rsidP="002D4AC4">
      <w:pPr>
        <w:keepNext/>
        <w:keepLines/>
        <w:tabs>
          <w:tab w:val="left" w:pos="8364"/>
        </w:tabs>
        <w:spacing w:before="0"/>
        <w:ind w:right="85"/>
        <w:rPr>
          <w:b/>
          <w:i/>
          <w:szCs w:val="24"/>
        </w:rPr>
      </w:pPr>
      <w:r w:rsidRPr="002D4AC4">
        <w:rPr>
          <w:b/>
          <w:i/>
          <w:szCs w:val="24"/>
        </w:rPr>
        <w:t>Part</w:t>
      </w:r>
      <w:r w:rsidR="003520A3" w:rsidRPr="002D4AC4">
        <w:rPr>
          <w:b/>
          <w:i/>
          <w:szCs w:val="24"/>
        </w:rPr>
        <w:t> </w:t>
      </w:r>
      <w:r w:rsidRPr="002D4AC4">
        <w:rPr>
          <w:b/>
          <w:i/>
          <w:szCs w:val="24"/>
        </w:rPr>
        <w:t>1 – Main amendments</w:t>
      </w:r>
    </w:p>
    <w:p w:rsidR="00966DF5" w:rsidRPr="00AF114B" w:rsidRDefault="00966DF5" w:rsidP="002D4AC4">
      <w:pPr>
        <w:keepNext/>
        <w:keepLines/>
        <w:tabs>
          <w:tab w:val="left" w:pos="8364"/>
        </w:tabs>
        <w:spacing w:before="0"/>
        <w:ind w:right="85"/>
        <w:rPr>
          <w:szCs w:val="24"/>
        </w:rPr>
      </w:pPr>
    </w:p>
    <w:p w:rsidR="00346F11" w:rsidRPr="00346F11" w:rsidRDefault="00346F11" w:rsidP="002D4AC4">
      <w:pPr>
        <w:keepNext/>
        <w:keepLines/>
        <w:tabs>
          <w:tab w:val="left" w:pos="8364"/>
        </w:tabs>
        <w:spacing w:before="0"/>
        <w:ind w:right="85"/>
        <w:rPr>
          <w:szCs w:val="24"/>
          <w:u w:val="single"/>
        </w:rPr>
      </w:pPr>
      <w:r>
        <w:rPr>
          <w:szCs w:val="24"/>
          <w:u w:val="single"/>
        </w:rPr>
        <w:t>Item 1</w:t>
      </w:r>
      <w:r w:rsidRPr="00AF114B">
        <w:rPr>
          <w:szCs w:val="24"/>
          <w:u w:val="single"/>
        </w:rPr>
        <w:t xml:space="preserve"> – </w:t>
      </w:r>
      <w:r w:rsidRPr="00346F11">
        <w:rPr>
          <w:szCs w:val="24"/>
          <w:u w:val="single"/>
        </w:rPr>
        <w:t>Regulation</w:t>
      </w:r>
      <w:r w:rsidR="003B76FE">
        <w:rPr>
          <w:szCs w:val="24"/>
          <w:u w:val="single"/>
        </w:rPr>
        <w:t> </w:t>
      </w:r>
      <w:r w:rsidRPr="00346F11">
        <w:rPr>
          <w:szCs w:val="24"/>
          <w:u w:val="single"/>
        </w:rPr>
        <w:t>4</w:t>
      </w:r>
    </w:p>
    <w:p w:rsidR="00346F11" w:rsidRDefault="00346F11" w:rsidP="002D4AC4">
      <w:pPr>
        <w:keepNext/>
        <w:keepLines/>
        <w:tabs>
          <w:tab w:val="left" w:pos="8364"/>
        </w:tabs>
        <w:spacing w:before="0"/>
        <w:ind w:right="85"/>
        <w:rPr>
          <w:szCs w:val="24"/>
        </w:rPr>
      </w:pPr>
    </w:p>
    <w:p w:rsidR="00635C31" w:rsidRDefault="00635C31" w:rsidP="002D4AC4">
      <w:pPr>
        <w:keepNext/>
        <w:keepLines/>
        <w:tabs>
          <w:tab w:val="left" w:pos="8364"/>
        </w:tabs>
        <w:spacing w:before="0"/>
        <w:ind w:right="85"/>
        <w:rPr>
          <w:szCs w:val="24"/>
        </w:rPr>
      </w:pPr>
      <w:r>
        <w:rPr>
          <w:szCs w:val="24"/>
        </w:rPr>
        <w:t xml:space="preserve">This item amends regulation 4 </w:t>
      </w:r>
      <w:r w:rsidR="00EA4505">
        <w:rPr>
          <w:szCs w:val="24"/>
        </w:rPr>
        <w:t>of</w:t>
      </w:r>
      <w:r>
        <w:rPr>
          <w:szCs w:val="24"/>
        </w:rPr>
        <w:t xml:space="preserve"> Part 1 of the </w:t>
      </w:r>
      <w:r w:rsidRPr="0003763D">
        <w:rPr>
          <w:i/>
          <w:szCs w:val="24"/>
        </w:rPr>
        <w:t>Cit</w:t>
      </w:r>
      <w:r w:rsidR="00EA4505" w:rsidRPr="0003763D">
        <w:rPr>
          <w:i/>
          <w:szCs w:val="24"/>
        </w:rPr>
        <w:t>izenship Regulations</w:t>
      </w:r>
      <w:r w:rsidR="0003763D" w:rsidRPr="0003763D">
        <w:rPr>
          <w:i/>
          <w:szCs w:val="24"/>
        </w:rPr>
        <w:t> 2007</w:t>
      </w:r>
      <w:r w:rsidR="0003763D">
        <w:rPr>
          <w:szCs w:val="24"/>
        </w:rPr>
        <w:t xml:space="preserve"> (the Citizenship Regulations)</w:t>
      </w:r>
      <w:r w:rsidR="00EA4505">
        <w:rPr>
          <w:szCs w:val="24"/>
        </w:rPr>
        <w:t xml:space="preserve"> to define the terms </w:t>
      </w:r>
      <w:r w:rsidR="00EA4505" w:rsidRPr="002D4AC4">
        <w:rPr>
          <w:i/>
          <w:szCs w:val="24"/>
        </w:rPr>
        <w:t>credit card surcharge</w:t>
      </w:r>
      <w:r w:rsidR="00EA4505">
        <w:rPr>
          <w:szCs w:val="24"/>
        </w:rPr>
        <w:t xml:space="preserve"> and </w:t>
      </w:r>
      <w:r w:rsidR="00EA4505" w:rsidRPr="002D4AC4">
        <w:rPr>
          <w:i/>
          <w:szCs w:val="24"/>
        </w:rPr>
        <w:t xml:space="preserve">Schedule 3 </w:t>
      </w:r>
      <w:r w:rsidR="00B2272F">
        <w:rPr>
          <w:i/>
          <w:szCs w:val="24"/>
        </w:rPr>
        <w:t>a</w:t>
      </w:r>
      <w:r w:rsidR="00EA4505" w:rsidRPr="002D4AC4">
        <w:rPr>
          <w:i/>
          <w:szCs w:val="24"/>
        </w:rPr>
        <w:t>mount</w:t>
      </w:r>
      <w:r w:rsidR="00EA4505">
        <w:rPr>
          <w:szCs w:val="24"/>
        </w:rPr>
        <w:t>.</w:t>
      </w:r>
    </w:p>
    <w:p w:rsidR="00EA4505" w:rsidRDefault="00EA4505">
      <w:pPr>
        <w:tabs>
          <w:tab w:val="left" w:pos="8364"/>
        </w:tabs>
        <w:spacing w:before="0"/>
        <w:ind w:right="85"/>
        <w:rPr>
          <w:szCs w:val="24"/>
        </w:rPr>
      </w:pPr>
    </w:p>
    <w:p w:rsidR="00EA4505" w:rsidRPr="00EB76D4" w:rsidRDefault="00EA4505" w:rsidP="002D4AC4">
      <w:pPr>
        <w:spacing w:before="0"/>
        <w:ind w:right="85"/>
        <w:rPr>
          <w:szCs w:val="24"/>
        </w:rPr>
      </w:pPr>
      <w:r>
        <w:rPr>
          <w:szCs w:val="24"/>
        </w:rPr>
        <w:t xml:space="preserve">The </w:t>
      </w:r>
      <w:r w:rsidR="005A56AF">
        <w:rPr>
          <w:szCs w:val="24"/>
        </w:rPr>
        <w:t>new definitions provide</w:t>
      </w:r>
      <w:r>
        <w:rPr>
          <w:szCs w:val="24"/>
        </w:rPr>
        <w:t xml:space="preserve"> for both terms to have the</w:t>
      </w:r>
      <w:r w:rsidR="0003763D">
        <w:rPr>
          <w:szCs w:val="24"/>
        </w:rPr>
        <w:t>ir</w:t>
      </w:r>
      <w:r>
        <w:rPr>
          <w:szCs w:val="24"/>
        </w:rPr>
        <w:t xml:space="preserve"> </w:t>
      </w:r>
      <w:r w:rsidR="0089226B">
        <w:rPr>
          <w:szCs w:val="24"/>
        </w:rPr>
        <w:t xml:space="preserve">respective </w:t>
      </w:r>
      <w:r>
        <w:rPr>
          <w:szCs w:val="24"/>
        </w:rPr>
        <w:t>meaning</w:t>
      </w:r>
      <w:r w:rsidR="0089226B">
        <w:rPr>
          <w:szCs w:val="24"/>
        </w:rPr>
        <w:t>s</w:t>
      </w:r>
      <w:r>
        <w:rPr>
          <w:szCs w:val="24"/>
        </w:rPr>
        <w:t xml:space="preserve"> </w:t>
      </w:r>
      <w:r w:rsidR="0003763D">
        <w:rPr>
          <w:szCs w:val="24"/>
        </w:rPr>
        <w:t xml:space="preserve">provided </w:t>
      </w:r>
      <w:r w:rsidR="0089226B">
        <w:rPr>
          <w:szCs w:val="24"/>
        </w:rPr>
        <w:t xml:space="preserve">at </w:t>
      </w:r>
      <w:r>
        <w:rPr>
          <w:szCs w:val="24"/>
        </w:rPr>
        <w:t>subregulation </w:t>
      </w:r>
      <w:proofErr w:type="spellStart"/>
      <w:r>
        <w:rPr>
          <w:szCs w:val="24"/>
        </w:rPr>
        <w:t>12A</w:t>
      </w:r>
      <w:proofErr w:type="spellEnd"/>
      <w:r>
        <w:rPr>
          <w:szCs w:val="24"/>
        </w:rPr>
        <w:t>(1) of Part 3 of the Citizenship Regulations.</w:t>
      </w:r>
    </w:p>
    <w:p w:rsidR="00635C31" w:rsidRDefault="00635C31" w:rsidP="00EB76D4">
      <w:pPr>
        <w:tabs>
          <w:tab w:val="left" w:pos="8364"/>
        </w:tabs>
        <w:spacing w:before="0"/>
        <w:ind w:right="85"/>
        <w:rPr>
          <w:szCs w:val="24"/>
        </w:rPr>
      </w:pPr>
    </w:p>
    <w:p w:rsidR="00EA4505" w:rsidRDefault="00EA4505">
      <w:pPr>
        <w:tabs>
          <w:tab w:val="left" w:pos="8364"/>
        </w:tabs>
        <w:spacing w:before="0"/>
        <w:ind w:right="85"/>
        <w:rPr>
          <w:szCs w:val="24"/>
        </w:rPr>
      </w:pPr>
      <w:r>
        <w:rPr>
          <w:szCs w:val="24"/>
        </w:rPr>
        <w:t xml:space="preserve">The purpose of this amendment is to </w:t>
      </w:r>
      <w:r w:rsidR="005A56AF">
        <w:rPr>
          <w:szCs w:val="24"/>
        </w:rPr>
        <w:t xml:space="preserve">facilitate the amendments at item 2 below, which substitutes </w:t>
      </w:r>
      <w:r w:rsidR="005A1173">
        <w:rPr>
          <w:szCs w:val="24"/>
        </w:rPr>
        <w:t>subregulation </w:t>
      </w:r>
      <w:proofErr w:type="spellStart"/>
      <w:r w:rsidR="005A1173">
        <w:rPr>
          <w:szCs w:val="24"/>
        </w:rPr>
        <w:t>12A</w:t>
      </w:r>
      <w:proofErr w:type="spellEnd"/>
      <w:r w:rsidR="005A1173">
        <w:rPr>
          <w:szCs w:val="24"/>
        </w:rPr>
        <w:t xml:space="preserve">(1) to </w:t>
      </w:r>
      <w:r w:rsidR="00B2272F">
        <w:rPr>
          <w:szCs w:val="24"/>
        </w:rPr>
        <w:t xml:space="preserve">provide that a fee to accompany an application is the sum of </w:t>
      </w:r>
      <w:r w:rsidR="005A1173">
        <w:rPr>
          <w:szCs w:val="24"/>
        </w:rPr>
        <w:t xml:space="preserve">a </w:t>
      </w:r>
      <w:r w:rsidR="005A1173" w:rsidRPr="002D4AC4">
        <w:rPr>
          <w:i/>
          <w:szCs w:val="24"/>
        </w:rPr>
        <w:t>credit card surcharge</w:t>
      </w:r>
      <w:r w:rsidR="005A1173">
        <w:rPr>
          <w:szCs w:val="24"/>
        </w:rPr>
        <w:t xml:space="preserve"> and the </w:t>
      </w:r>
      <w:r w:rsidR="005A1173" w:rsidRPr="002D4AC4">
        <w:rPr>
          <w:i/>
          <w:szCs w:val="24"/>
        </w:rPr>
        <w:t>Schedule 3 amount</w:t>
      </w:r>
      <w:r w:rsidR="005A1173">
        <w:rPr>
          <w:szCs w:val="24"/>
        </w:rPr>
        <w:t>.</w:t>
      </w:r>
      <w:r w:rsidR="005A56AF">
        <w:rPr>
          <w:szCs w:val="24"/>
        </w:rPr>
        <w:t xml:space="preserve">  This amendment has the effect of directing the reader to the appropriate provisions under the Citizenship Regulations to understand the circumstances in which the relevant surcharge will apply and the formula used to ascertain the amount</w:t>
      </w:r>
      <w:r w:rsidR="003463A2">
        <w:rPr>
          <w:szCs w:val="24"/>
        </w:rPr>
        <w:t xml:space="preserve"> payable</w:t>
      </w:r>
      <w:r w:rsidR="005A56AF">
        <w:rPr>
          <w:szCs w:val="24"/>
        </w:rPr>
        <w:t>.</w:t>
      </w:r>
    </w:p>
    <w:p w:rsidR="00346F11" w:rsidRPr="00346F11" w:rsidRDefault="00346F11">
      <w:pPr>
        <w:tabs>
          <w:tab w:val="left" w:pos="8364"/>
        </w:tabs>
        <w:spacing w:before="0"/>
        <w:ind w:right="84"/>
        <w:rPr>
          <w:szCs w:val="24"/>
        </w:rPr>
      </w:pPr>
    </w:p>
    <w:p w:rsidR="006E4614" w:rsidRPr="00AF114B" w:rsidRDefault="006E4614" w:rsidP="002D4AC4">
      <w:pPr>
        <w:keepNext/>
        <w:keepLines/>
        <w:tabs>
          <w:tab w:val="left" w:pos="8364"/>
        </w:tabs>
        <w:spacing w:before="0"/>
        <w:ind w:right="85"/>
        <w:rPr>
          <w:szCs w:val="24"/>
          <w:u w:val="single"/>
        </w:rPr>
      </w:pPr>
      <w:r>
        <w:rPr>
          <w:szCs w:val="24"/>
          <w:u w:val="single"/>
        </w:rPr>
        <w:t>Item </w:t>
      </w:r>
      <w:r w:rsidR="00544ED6">
        <w:rPr>
          <w:szCs w:val="24"/>
          <w:u w:val="single"/>
        </w:rPr>
        <w:t>2</w:t>
      </w:r>
      <w:r w:rsidRPr="00AF114B">
        <w:rPr>
          <w:szCs w:val="24"/>
          <w:u w:val="single"/>
        </w:rPr>
        <w:t xml:space="preserve"> – </w:t>
      </w:r>
      <w:r w:rsidRPr="00816DB0">
        <w:rPr>
          <w:szCs w:val="24"/>
          <w:u w:val="single"/>
        </w:rPr>
        <w:t>Subregulation</w:t>
      </w:r>
      <w:r w:rsidR="003463A2">
        <w:rPr>
          <w:szCs w:val="24"/>
          <w:u w:val="single"/>
        </w:rPr>
        <w:t> </w:t>
      </w:r>
      <w:proofErr w:type="spellStart"/>
      <w:r w:rsidR="00837FCC">
        <w:rPr>
          <w:szCs w:val="24"/>
          <w:u w:val="single"/>
        </w:rPr>
        <w:t>12A</w:t>
      </w:r>
      <w:proofErr w:type="spellEnd"/>
      <w:r w:rsidR="00837FCC">
        <w:rPr>
          <w:szCs w:val="24"/>
          <w:u w:val="single"/>
        </w:rPr>
        <w:t>(1)</w:t>
      </w:r>
    </w:p>
    <w:p w:rsidR="006E4614" w:rsidRPr="00AF114B" w:rsidRDefault="006E4614" w:rsidP="002D4AC4">
      <w:pPr>
        <w:keepNext/>
        <w:keepLines/>
        <w:tabs>
          <w:tab w:val="left" w:pos="8364"/>
        </w:tabs>
        <w:spacing w:before="0"/>
        <w:ind w:right="85"/>
        <w:rPr>
          <w:szCs w:val="24"/>
        </w:rPr>
      </w:pPr>
    </w:p>
    <w:p w:rsidR="002F6643" w:rsidRDefault="00837FCC" w:rsidP="002D4AC4">
      <w:pPr>
        <w:keepNext/>
        <w:keepLines/>
        <w:tabs>
          <w:tab w:val="left" w:pos="8364"/>
        </w:tabs>
        <w:spacing w:before="0"/>
        <w:ind w:right="85"/>
        <w:rPr>
          <w:szCs w:val="24"/>
        </w:rPr>
      </w:pPr>
      <w:r>
        <w:rPr>
          <w:szCs w:val="24"/>
        </w:rPr>
        <w:t>This</w:t>
      </w:r>
      <w:r w:rsidRPr="00AF114B">
        <w:rPr>
          <w:szCs w:val="24"/>
        </w:rPr>
        <w:t xml:space="preserve"> item </w:t>
      </w:r>
      <w:r>
        <w:rPr>
          <w:szCs w:val="24"/>
        </w:rPr>
        <w:t xml:space="preserve">repeals </w:t>
      </w:r>
      <w:r w:rsidR="00ED5E25">
        <w:rPr>
          <w:szCs w:val="24"/>
        </w:rPr>
        <w:t xml:space="preserve">and substitutes </w:t>
      </w:r>
      <w:r>
        <w:rPr>
          <w:szCs w:val="24"/>
        </w:rPr>
        <w:t>subregulation</w:t>
      </w:r>
      <w:r w:rsidR="003463A2">
        <w:rPr>
          <w:szCs w:val="24"/>
        </w:rPr>
        <w:t> </w:t>
      </w:r>
      <w:proofErr w:type="spellStart"/>
      <w:r w:rsidR="00ED5E25">
        <w:rPr>
          <w:szCs w:val="24"/>
        </w:rPr>
        <w:t>12A</w:t>
      </w:r>
      <w:proofErr w:type="spellEnd"/>
      <w:r w:rsidR="00ED5E25">
        <w:rPr>
          <w:szCs w:val="24"/>
        </w:rPr>
        <w:t>(1)</w:t>
      </w:r>
      <w:r w:rsidR="003463A2">
        <w:rPr>
          <w:szCs w:val="24"/>
        </w:rPr>
        <w:t xml:space="preserve"> of Part 3 of the Citizenship Regulations</w:t>
      </w:r>
      <w:r w:rsidR="002F6643">
        <w:rPr>
          <w:szCs w:val="24"/>
        </w:rPr>
        <w:t>.</w:t>
      </w:r>
    </w:p>
    <w:p w:rsidR="002F6643" w:rsidRDefault="002F6643">
      <w:pPr>
        <w:tabs>
          <w:tab w:val="left" w:pos="8364"/>
        </w:tabs>
        <w:spacing w:before="0"/>
        <w:ind w:right="84"/>
        <w:rPr>
          <w:szCs w:val="24"/>
        </w:rPr>
      </w:pPr>
    </w:p>
    <w:p w:rsidR="0089176C" w:rsidRDefault="00143D29">
      <w:pPr>
        <w:tabs>
          <w:tab w:val="left" w:pos="8364"/>
        </w:tabs>
        <w:spacing w:before="0"/>
        <w:ind w:right="84"/>
        <w:rPr>
          <w:szCs w:val="24"/>
        </w:rPr>
      </w:pPr>
      <w:r>
        <w:rPr>
          <w:szCs w:val="24"/>
        </w:rPr>
        <w:t>Previously, subregulation </w:t>
      </w:r>
      <w:proofErr w:type="spellStart"/>
      <w:r>
        <w:rPr>
          <w:szCs w:val="24"/>
        </w:rPr>
        <w:t>12A</w:t>
      </w:r>
      <w:proofErr w:type="spellEnd"/>
      <w:r>
        <w:rPr>
          <w:szCs w:val="24"/>
        </w:rPr>
        <w:t>(1) only provide</w:t>
      </w:r>
      <w:r w:rsidR="006A1371">
        <w:rPr>
          <w:szCs w:val="24"/>
        </w:rPr>
        <w:t>d</w:t>
      </w:r>
      <w:r>
        <w:rPr>
          <w:szCs w:val="24"/>
        </w:rPr>
        <w:t xml:space="preserve"> for the fee that must accompan</w:t>
      </w:r>
      <w:r w:rsidR="006A1371">
        <w:rPr>
          <w:szCs w:val="24"/>
        </w:rPr>
        <w:t>y</w:t>
      </w:r>
      <w:r>
        <w:rPr>
          <w:szCs w:val="24"/>
        </w:rPr>
        <w:t xml:space="preserve"> a Citizenship application.  </w:t>
      </w:r>
      <w:r w:rsidR="00067902">
        <w:rPr>
          <w:szCs w:val="24"/>
        </w:rPr>
        <w:t>S</w:t>
      </w:r>
      <w:r>
        <w:rPr>
          <w:szCs w:val="24"/>
        </w:rPr>
        <w:t>ubstituted subregulation </w:t>
      </w:r>
      <w:proofErr w:type="spellStart"/>
      <w:r>
        <w:rPr>
          <w:szCs w:val="24"/>
        </w:rPr>
        <w:t>12A</w:t>
      </w:r>
      <w:proofErr w:type="spellEnd"/>
      <w:r>
        <w:rPr>
          <w:szCs w:val="24"/>
        </w:rPr>
        <w:t>(1)</w:t>
      </w:r>
      <w:r w:rsidR="00067902">
        <w:rPr>
          <w:szCs w:val="24"/>
        </w:rPr>
        <w:t xml:space="preserve"> maintains this requirement</w:t>
      </w:r>
      <w:r w:rsidR="0089176C">
        <w:rPr>
          <w:szCs w:val="24"/>
        </w:rPr>
        <w:t xml:space="preserve"> and includes the requirement for a credit card surcharge, the circumstances in which the surcharge is applicable and the rates </w:t>
      </w:r>
      <w:r w:rsidR="00C036BA">
        <w:rPr>
          <w:szCs w:val="24"/>
        </w:rPr>
        <w:t xml:space="preserve">used to </w:t>
      </w:r>
      <w:r w:rsidR="008C3F95">
        <w:rPr>
          <w:szCs w:val="24"/>
        </w:rPr>
        <w:t>calculate</w:t>
      </w:r>
      <w:r w:rsidR="00C036BA">
        <w:rPr>
          <w:szCs w:val="24"/>
        </w:rPr>
        <w:t xml:space="preserve"> </w:t>
      </w:r>
      <w:r w:rsidR="008C3F95">
        <w:rPr>
          <w:szCs w:val="24"/>
        </w:rPr>
        <w:t xml:space="preserve">the </w:t>
      </w:r>
      <w:r w:rsidR="00C036BA">
        <w:rPr>
          <w:szCs w:val="24"/>
        </w:rPr>
        <w:t>amount of the relevant surcharge.</w:t>
      </w:r>
    </w:p>
    <w:p w:rsidR="0089176C" w:rsidRDefault="0089176C">
      <w:pPr>
        <w:tabs>
          <w:tab w:val="left" w:pos="8364"/>
        </w:tabs>
        <w:spacing w:before="0"/>
        <w:ind w:right="84"/>
        <w:rPr>
          <w:szCs w:val="24"/>
        </w:rPr>
      </w:pPr>
    </w:p>
    <w:p w:rsidR="0089176C" w:rsidRDefault="00C036BA">
      <w:pPr>
        <w:tabs>
          <w:tab w:val="left" w:pos="8364"/>
        </w:tabs>
        <w:spacing w:before="0"/>
        <w:ind w:right="84"/>
        <w:rPr>
          <w:szCs w:val="24"/>
        </w:rPr>
      </w:pPr>
      <w:r>
        <w:rPr>
          <w:szCs w:val="24"/>
        </w:rPr>
        <w:t xml:space="preserve">The purpose of this amendment is to set out the credit card surcharge that may be applicable where the fee associated with a citizenship application is paid with a credit card.  Where the surcharge is levied against payments made by local currency in New Zealand and Singapore, the </w:t>
      </w:r>
      <w:r w:rsidR="008C3F95">
        <w:rPr>
          <w:szCs w:val="24"/>
        </w:rPr>
        <w:t xml:space="preserve">relevant surcharge is not applicable because </w:t>
      </w:r>
      <w:r w:rsidR="00B2272F">
        <w:rPr>
          <w:szCs w:val="24"/>
        </w:rPr>
        <w:t>it</w:t>
      </w:r>
      <w:r w:rsidR="008C3F95">
        <w:rPr>
          <w:szCs w:val="24"/>
        </w:rPr>
        <w:t xml:space="preserve"> do</w:t>
      </w:r>
      <w:r w:rsidR="00B2272F">
        <w:rPr>
          <w:szCs w:val="24"/>
        </w:rPr>
        <w:t>es</w:t>
      </w:r>
      <w:r w:rsidR="008C3F95">
        <w:rPr>
          <w:szCs w:val="24"/>
        </w:rPr>
        <w:t xml:space="preserve"> not accord with the domestic laws in those countries.  This amendment has the effect of providing </w:t>
      </w:r>
      <w:r w:rsidR="008D54CA">
        <w:rPr>
          <w:szCs w:val="24"/>
        </w:rPr>
        <w:t>the formula for</w:t>
      </w:r>
      <w:r w:rsidR="008C3F95">
        <w:rPr>
          <w:szCs w:val="24"/>
        </w:rPr>
        <w:t xml:space="preserve"> which the surcharge amount can be </w:t>
      </w:r>
      <w:r w:rsidR="008D54CA">
        <w:rPr>
          <w:szCs w:val="24"/>
        </w:rPr>
        <w:t>calculated</w:t>
      </w:r>
      <w:r w:rsidR="008C3F95">
        <w:rPr>
          <w:szCs w:val="24"/>
        </w:rPr>
        <w:t>.</w:t>
      </w:r>
    </w:p>
    <w:p w:rsidR="006E4614" w:rsidRDefault="006E4614">
      <w:pPr>
        <w:tabs>
          <w:tab w:val="left" w:pos="8364"/>
        </w:tabs>
        <w:spacing w:before="0"/>
        <w:ind w:right="84"/>
        <w:rPr>
          <w:szCs w:val="24"/>
        </w:rPr>
      </w:pPr>
    </w:p>
    <w:p w:rsidR="00851256" w:rsidRPr="00ED5E25" w:rsidRDefault="00544ED6" w:rsidP="002D4AC4">
      <w:pPr>
        <w:keepNext/>
        <w:keepLines/>
        <w:tabs>
          <w:tab w:val="left" w:pos="8364"/>
        </w:tabs>
        <w:spacing w:before="0"/>
        <w:ind w:right="85"/>
        <w:rPr>
          <w:szCs w:val="24"/>
          <w:u w:val="single"/>
        </w:rPr>
      </w:pPr>
      <w:r>
        <w:rPr>
          <w:szCs w:val="24"/>
          <w:u w:val="single"/>
        </w:rPr>
        <w:t>Item</w:t>
      </w:r>
      <w:r w:rsidR="008C3F95">
        <w:rPr>
          <w:szCs w:val="24"/>
          <w:u w:val="single"/>
        </w:rPr>
        <w:t> </w:t>
      </w:r>
      <w:r>
        <w:rPr>
          <w:szCs w:val="24"/>
          <w:u w:val="single"/>
        </w:rPr>
        <w:t>3</w:t>
      </w:r>
      <w:r w:rsidR="00851256" w:rsidRPr="00ED5E25">
        <w:rPr>
          <w:szCs w:val="24"/>
          <w:u w:val="single"/>
        </w:rPr>
        <w:t xml:space="preserve"> </w:t>
      </w:r>
      <w:r w:rsidR="008C3F95">
        <w:rPr>
          <w:szCs w:val="24"/>
          <w:u w:val="single"/>
        </w:rPr>
        <w:t xml:space="preserve">– </w:t>
      </w:r>
      <w:r w:rsidR="00851256" w:rsidRPr="004273EA">
        <w:rPr>
          <w:szCs w:val="24"/>
          <w:u w:val="single"/>
        </w:rPr>
        <w:t>Subregulation</w:t>
      </w:r>
      <w:r w:rsidR="008C3F95">
        <w:rPr>
          <w:szCs w:val="24"/>
          <w:u w:val="single"/>
        </w:rPr>
        <w:t> </w:t>
      </w:r>
      <w:proofErr w:type="spellStart"/>
      <w:r w:rsidR="00851256" w:rsidRPr="004273EA">
        <w:rPr>
          <w:szCs w:val="24"/>
          <w:u w:val="single"/>
        </w:rPr>
        <w:t>12A</w:t>
      </w:r>
      <w:proofErr w:type="spellEnd"/>
      <w:r w:rsidR="00851256" w:rsidRPr="004273EA">
        <w:rPr>
          <w:szCs w:val="24"/>
          <w:u w:val="single"/>
        </w:rPr>
        <w:t>(2) (note)</w:t>
      </w:r>
    </w:p>
    <w:p w:rsidR="00851256" w:rsidRDefault="00851256" w:rsidP="002D4AC4">
      <w:pPr>
        <w:keepNext/>
        <w:keepLines/>
        <w:tabs>
          <w:tab w:val="left" w:pos="8364"/>
        </w:tabs>
        <w:spacing w:before="0"/>
        <w:ind w:right="85"/>
        <w:rPr>
          <w:szCs w:val="24"/>
          <w:highlight w:val="yellow"/>
        </w:rPr>
      </w:pPr>
    </w:p>
    <w:p w:rsidR="00851256" w:rsidRDefault="00851256" w:rsidP="002D4AC4">
      <w:pPr>
        <w:keepNext/>
        <w:keepLines/>
        <w:tabs>
          <w:tab w:val="left" w:pos="8364"/>
        </w:tabs>
        <w:spacing w:before="0"/>
        <w:ind w:right="85"/>
        <w:rPr>
          <w:szCs w:val="24"/>
        </w:rPr>
      </w:pPr>
      <w:r>
        <w:rPr>
          <w:szCs w:val="24"/>
        </w:rPr>
        <w:t xml:space="preserve">This item </w:t>
      </w:r>
      <w:r w:rsidR="00D00658">
        <w:rPr>
          <w:szCs w:val="24"/>
        </w:rPr>
        <w:t xml:space="preserve">amends the </w:t>
      </w:r>
      <w:r w:rsidR="00D00658" w:rsidRPr="002D4AC4">
        <w:rPr>
          <w:i/>
          <w:szCs w:val="24"/>
        </w:rPr>
        <w:t>note</w:t>
      </w:r>
      <w:r w:rsidR="00D00658">
        <w:rPr>
          <w:szCs w:val="24"/>
        </w:rPr>
        <w:t xml:space="preserve"> under subregulation </w:t>
      </w:r>
      <w:proofErr w:type="spellStart"/>
      <w:r w:rsidR="00D00658">
        <w:rPr>
          <w:szCs w:val="24"/>
        </w:rPr>
        <w:t>12A</w:t>
      </w:r>
      <w:proofErr w:type="spellEnd"/>
      <w:r w:rsidR="00D00658">
        <w:rPr>
          <w:szCs w:val="24"/>
        </w:rPr>
        <w:t xml:space="preserve">(2) of Part 3 of the Citizenship Regulations to </w:t>
      </w:r>
      <w:r>
        <w:rPr>
          <w:szCs w:val="24"/>
        </w:rPr>
        <w:t>o</w:t>
      </w:r>
      <w:r w:rsidRPr="004273EA">
        <w:rPr>
          <w:szCs w:val="24"/>
        </w:rPr>
        <w:t xml:space="preserve">mit </w:t>
      </w:r>
      <w:r>
        <w:rPr>
          <w:szCs w:val="24"/>
        </w:rPr>
        <w:t xml:space="preserve">the words </w:t>
      </w:r>
      <w:r w:rsidR="0003763D">
        <w:rPr>
          <w:szCs w:val="24"/>
        </w:rPr>
        <w:t>“</w:t>
      </w:r>
      <w:r>
        <w:rPr>
          <w:szCs w:val="24"/>
        </w:rPr>
        <w:t>paragraph</w:t>
      </w:r>
      <w:r w:rsidR="008C3F95">
        <w:rPr>
          <w:szCs w:val="24"/>
        </w:rPr>
        <w:t> </w:t>
      </w:r>
      <w:r>
        <w:rPr>
          <w:szCs w:val="24"/>
        </w:rPr>
        <w:t>22(1)(f)</w:t>
      </w:r>
      <w:r w:rsidR="0003763D">
        <w:rPr>
          <w:szCs w:val="24"/>
        </w:rPr>
        <w:t>”</w:t>
      </w:r>
      <w:r>
        <w:rPr>
          <w:szCs w:val="24"/>
        </w:rPr>
        <w:t xml:space="preserve"> and</w:t>
      </w:r>
      <w:r w:rsidRPr="004273EA">
        <w:rPr>
          <w:szCs w:val="24"/>
        </w:rPr>
        <w:t xml:space="preserve"> </w:t>
      </w:r>
      <w:r w:rsidR="008C3F95">
        <w:rPr>
          <w:szCs w:val="24"/>
        </w:rPr>
        <w:t xml:space="preserve">in its place </w:t>
      </w:r>
      <w:r w:rsidRPr="004273EA">
        <w:rPr>
          <w:szCs w:val="24"/>
        </w:rPr>
        <w:t>substitute</w:t>
      </w:r>
      <w:r>
        <w:rPr>
          <w:szCs w:val="24"/>
        </w:rPr>
        <w:t xml:space="preserve"> with </w:t>
      </w:r>
      <w:r w:rsidR="0003763D">
        <w:rPr>
          <w:szCs w:val="24"/>
        </w:rPr>
        <w:t>“</w:t>
      </w:r>
      <w:r>
        <w:rPr>
          <w:szCs w:val="24"/>
        </w:rPr>
        <w:t>section</w:t>
      </w:r>
      <w:r w:rsidR="008C3F95">
        <w:rPr>
          <w:szCs w:val="24"/>
        </w:rPr>
        <w:t> </w:t>
      </w:r>
      <w:r>
        <w:rPr>
          <w:szCs w:val="24"/>
        </w:rPr>
        <w:t>2B</w:t>
      </w:r>
      <w:r w:rsidR="0003763D">
        <w:rPr>
          <w:szCs w:val="24"/>
        </w:rPr>
        <w:t>”</w:t>
      </w:r>
      <w:r w:rsidRPr="004273EA">
        <w:rPr>
          <w:szCs w:val="24"/>
        </w:rPr>
        <w:t>.</w:t>
      </w:r>
    </w:p>
    <w:p w:rsidR="00851256" w:rsidRDefault="00851256">
      <w:pPr>
        <w:tabs>
          <w:tab w:val="left" w:pos="8364"/>
        </w:tabs>
        <w:spacing w:before="0"/>
        <w:ind w:right="84"/>
        <w:rPr>
          <w:szCs w:val="24"/>
        </w:rPr>
      </w:pPr>
    </w:p>
    <w:p w:rsidR="008C3F95" w:rsidRPr="00EB76D4" w:rsidRDefault="008C3F95">
      <w:pPr>
        <w:tabs>
          <w:tab w:val="left" w:pos="8364"/>
        </w:tabs>
        <w:spacing w:before="0"/>
        <w:ind w:right="84"/>
        <w:rPr>
          <w:szCs w:val="24"/>
        </w:rPr>
      </w:pPr>
      <w:r>
        <w:rPr>
          <w:szCs w:val="24"/>
        </w:rPr>
        <w:t xml:space="preserve">This is a technical amendment and is made for the purpose of ensuring that the Citizenship Regulations </w:t>
      </w:r>
      <w:r w:rsidR="003A7F6D">
        <w:rPr>
          <w:szCs w:val="24"/>
        </w:rPr>
        <w:t xml:space="preserve">correctly refers to the provision under the </w:t>
      </w:r>
      <w:r w:rsidR="003A7F6D" w:rsidRPr="00CA10B1">
        <w:rPr>
          <w:i/>
        </w:rPr>
        <w:t>Acts Interpretation Act 1901</w:t>
      </w:r>
      <w:r w:rsidR="003A7F6D">
        <w:rPr>
          <w:i/>
        </w:rPr>
        <w:t xml:space="preserve"> </w:t>
      </w:r>
      <w:r w:rsidR="00D00658" w:rsidRPr="002D4AC4">
        <w:t>(</w:t>
      </w:r>
      <w:r w:rsidR="00E97B3C">
        <w:t xml:space="preserve">the </w:t>
      </w:r>
      <w:r w:rsidR="00D00658">
        <w:t>Interpretation Act</w:t>
      </w:r>
      <w:r w:rsidR="00D00658" w:rsidRPr="002D4AC4">
        <w:t>)</w:t>
      </w:r>
      <w:r w:rsidR="003A7F6D">
        <w:t xml:space="preserve">, which defines </w:t>
      </w:r>
      <w:r w:rsidR="0069355D">
        <w:t>“</w:t>
      </w:r>
      <w:r w:rsidR="003A7F6D">
        <w:t>Foreign country</w:t>
      </w:r>
      <w:r w:rsidR="0069355D">
        <w:t>”</w:t>
      </w:r>
      <w:r w:rsidR="003A7F6D">
        <w:t xml:space="preserve">.  This amendment has the effect of reflecting the amendments made by the </w:t>
      </w:r>
      <w:r w:rsidR="003A7F6D" w:rsidRPr="002D4AC4">
        <w:rPr>
          <w:i/>
        </w:rPr>
        <w:t>Acts Interpretation Amendment Act 2011</w:t>
      </w:r>
      <w:r w:rsidR="003A7F6D">
        <w:t>, which relocated the definition of ‘Foreign country’ to section 2B</w:t>
      </w:r>
      <w:r w:rsidR="00D00658">
        <w:t xml:space="preserve"> of the Interpretation Act.</w:t>
      </w:r>
    </w:p>
    <w:p w:rsidR="00B92BCE" w:rsidRDefault="00B92BCE">
      <w:pPr>
        <w:tabs>
          <w:tab w:val="left" w:pos="8364"/>
        </w:tabs>
        <w:spacing w:before="0"/>
        <w:ind w:right="84"/>
      </w:pPr>
    </w:p>
    <w:p w:rsidR="00B90181" w:rsidRPr="00ED5E25" w:rsidRDefault="00B90181" w:rsidP="002D4AC4">
      <w:pPr>
        <w:keepNext/>
        <w:keepLines/>
        <w:tabs>
          <w:tab w:val="left" w:pos="8364"/>
        </w:tabs>
        <w:spacing w:before="0"/>
        <w:ind w:right="85"/>
        <w:rPr>
          <w:szCs w:val="24"/>
          <w:u w:val="single"/>
        </w:rPr>
      </w:pPr>
      <w:r w:rsidRPr="00ED5E25">
        <w:rPr>
          <w:szCs w:val="24"/>
          <w:u w:val="single"/>
        </w:rPr>
        <w:t>Item</w:t>
      </w:r>
      <w:r w:rsidR="00D00658">
        <w:rPr>
          <w:szCs w:val="24"/>
          <w:u w:val="single"/>
        </w:rPr>
        <w:t> </w:t>
      </w:r>
      <w:r w:rsidR="00544ED6">
        <w:rPr>
          <w:szCs w:val="24"/>
          <w:u w:val="single"/>
        </w:rPr>
        <w:t>4</w:t>
      </w:r>
      <w:r w:rsidRPr="00ED5E25">
        <w:rPr>
          <w:szCs w:val="24"/>
          <w:u w:val="single"/>
        </w:rPr>
        <w:t xml:space="preserve"> </w:t>
      </w:r>
      <w:r w:rsidR="0069355D">
        <w:rPr>
          <w:szCs w:val="24"/>
          <w:u w:val="single"/>
        </w:rPr>
        <w:t>–</w:t>
      </w:r>
      <w:r w:rsidRPr="00ED5E25">
        <w:rPr>
          <w:szCs w:val="24"/>
          <w:u w:val="single"/>
        </w:rPr>
        <w:t xml:space="preserve"> </w:t>
      </w:r>
      <w:r w:rsidR="00D00658">
        <w:rPr>
          <w:szCs w:val="24"/>
          <w:u w:val="single"/>
        </w:rPr>
        <w:t>Paragraph </w:t>
      </w:r>
      <w:r w:rsidRPr="00B90181">
        <w:rPr>
          <w:szCs w:val="24"/>
          <w:u w:val="single"/>
        </w:rPr>
        <w:t>13(4)</w:t>
      </w:r>
      <w:r w:rsidR="00544ED6">
        <w:rPr>
          <w:szCs w:val="24"/>
          <w:u w:val="single"/>
        </w:rPr>
        <w:t>(c)</w:t>
      </w:r>
    </w:p>
    <w:p w:rsidR="00B90181" w:rsidRDefault="00B90181" w:rsidP="002D4AC4">
      <w:pPr>
        <w:keepNext/>
        <w:keepLines/>
        <w:tabs>
          <w:tab w:val="left" w:pos="8364"/>
        </w:tabs>
        <w:spacing w:before="0"/>
        <w:ind w:right="85"/>
        <w:rPr>
          <w:szCs w:val="24"/>
        </w:rPr>
      </w:pPr>
    </w:p>
    <w:p w:rsidR="00544ED6" w:rsidRDefault="00544ED6" w:rsidP="002D4AC4">
      <w:pPr>
        <w:keepNext/>
        <w:keepLines/>
        <w:tabs>
          <w:tab w:val="left" w:pos="8364"/>
        </w:tabs>
        <w:spacing w:before="0"/>
        <w:ind w:right="85"/>
        <w:rPr>
          <w:szCs w:val="24"/>
        </w:rPr>
      </w:pPr>
      <w:r>
        <w:rPr>
          <w:szCs w:val="24"/>
        </w:rPr>
        <w:t xml:space="preserve">This item </w:t>
      </w:r>
      <w:r w:rsidR="00D00658">
        <w:rPr>
          <w:szCs w:val="24"/>
        </w:rPr>
        <w:t xml:space="preserve">amends paragraph 13(4)(c) of Part 3 of the Citizenship Regulations to </w:t>
      </w:r>
      <w:r>
        <w:rPr>
          <w:szCs w:val="24"/>
        </w:rPr>
        <w:t xml:space="preserve">omit the word </w:t>
      </w:r>
      <w:r w:rsidR="0069355D">
        <w:rPr>
          <w:szCs w:val="24"/>
        </w:rPr>
        <w:t>“</w:t>
      </w:r>
      <w:r>
        <w:rPr>
          <w:szCs w:val="24"/>
        </w:rPr>
        <w:t>fee</w:t>
      </w:r>
      <w:r w:rsidR="0069355D">
        <w:rPr>
          <w:szCs w:val="24"/>
        </w:rPr>
        <w:t>”</w:t>
      </w:r>
      <w:r>
        <w:rPr>
          <w:szCs w:val="24"/>
        </w:rPr>
        <w:t xml:space="preserve"> and </w:t>
      </w:r>
      <w:r w:rsidR="00D00658">
        <w:rPr>
          <w:szCs w:val="24"/>
        </w:rPr>
        <w:t xml:space="preserve">its place </w:t>
      </w:r>
      <w:r>
        <w:rPr>
          <w:szCs w:val="24"/>
        </w:rPr>
        <w:t xml:space="preserve">substitutes with </w:t>
      </w:r>
      <w:r w:rsidR="0069355D">
        <w:rPr>
          <w:szCs w:val="24"/>
        </w:rPr>
        <w:t>“</w:t>
      </w:r>
      <w:r>
        <w:rPr>
          <w:szCs w:val="24"/>
        </w:rPr>
        <w:t>amount</w:t>
      </w:r>
      <w:r w:rsidR="0069355D">
        <w:rPr>
          <w:szCs w:val="24"/>
        </w:rPr>
        <w:t>”</w:t>
      </w:r>
      <w:r>
        <w:rPr>
          <w:szCs w:val="24"/>
        </w:rPr>
        <w:t>.</w:t>
      </w:r>
    </w:p>
    <w:p w:rsidR="00544ED6" w:rsidRDefault="00544ED6">
      <w:pPr>
        <w:tabs>
          <w:tab w:val="left" w:pos="8364"/>
        </w:tabs>
        <w:spacing w:before="0"/>
        <w:ind w:right="84"/>
        <w:rPr>
          <w:szCs w:val="24"/>
        </w:rPr>
      </w:pPr>
    </w:p>
    <w:p w:rsidR="00D00658" w:rsidRDefault="00D00658">
      <w:pPr>
        <w:tabs>
          <w:tab w:val="left" w:pos="8364"/>
        </w:tabs>
        <w:spacing w:before="0"/>
        <w:ind w:right="84"/>
        <w:rPr>
          <w:szCs w:val="24"/>
        </w:rPr>
      </w:pPr>
      <w:r>
        <w:rPr>
          <w:szCs w:val="24"/>
        </w:rPr>
        <w:t>Th</w:t>
      </w:r>
      <w:r w:rsidR="0069355D">
        <w:rPr>
          <w:szCs w:val="24"/>
        </w:rPr>
        <w:t>e purpose of this amendment is to reflect the amendments made by item 2 above, which provided for the fee to accompany a citizenship application to include the amount set out in Schedule 3 and a credit card surcharge (if applicable).  This amendment has the effect of maintaining the operation of a refund under subregulation 13(4) of the Citizenship Regulations.</w:t>
      </w:r>
      <w:r w:rsidR="002C3EA2">
        <w:rPr>
          <w:szCs w:val="24"/>
        </w:rPr>
        <w:t xml:space="preserve">  Similar amendments are made at item 7 below.</w:t>
      </w:r>
    </w:p>
    <w:p w:rsidR="00544ED6" w:rsidRDefault="00544ED6">
      <w:pPr>
        <w:tabs>
          <w:tab w:val="left" w:pos="8364"/>
        </w:tabs>
        <w:spacing w:before="0"/>
        <w:ind w:right="84"/>
        <w:rPr>
          <w:szCs w:val="24"/>
        </w:rPr>
      </w:pPr>
    </w:p>
    <w:p w:rsidR="00672A55" w:rsidRPr="00ED5E25" w:rsidRDefault="00672A55">
      <w:pPr>
        <w:keepNext/>
        <w:keepLines/>
        <w:tabs>
          <w:tab w:val="left" w:pos="8364"/>
        </w:tabs>
        <w:spacing w:before="0"/>
        <w:ind w:right="84"/>
        <w:rPr>
          <w:szCs w:val="24"/>
          <w:u w:val="single"/>
        </w:rPr>
      </w:pPr>
      <w:r w:rsidRPr="00ED5E25">
        <w:rPr>
          <w:szCs w:val="24"/>
          <w:u w:val="single"/>
        </w:rPr>
        <w:t>Item</w:t>
      </w:r>
      <w:r w:rsidR="0069355D">
        <w:rPr>
          <w:szCs w:val="24"/>
          <w:u w:val="single"/>
        </w:rPr>
        <w:t> </w:t>
      </w:r>
      <w:r>
        <w:rPr>
          <w:szCs w:val="24"/>
          <w:u w:val="single"/>
        </w:rPr>
        <w:t>5</w:t>
      </w:r>
      <w:r w:rsidRPr="00ED5E25">
        <w:rPr>
          <w:szCs w:val="24"/>
          <w:u w:val="single"/>
        </w:rPr>
        <w:t xml:space="preserve"> </w:t>
      </w:r>
      <w:r w:rsidR="0069355D">
        <w:rPr>
          <w:szCs w:val="24"/>
          <w:u w:val="single"/>
        </w:rPr>
        <w:t>–</w:t>
      </w:r>
      <w:r w:rsidRPr="00ED5E25">
        <w:rPr>
          <w:szCs w:val="24"/>
          <w:u w:val="single"/>
        </w:rPr>
        <w:t xml:space="preserve"> </w:t>
      </w:r>
      <w:r>
        <w:rPr>
          <w:szCs w:val="24"/>
          <w:u w:val="single"/>
        </w:rPr>
        <w:t>S</w:t>
      </w:r>
      <w:r w:rsidRPr="00B90181">
        <w:rPr>
          <w:szCs w:val="24"/>
          <w:u w:val="single"/>
        </w:rPr>
        <w:t>ubregulation</w:t>
      </w:r>
      <w:r w:rsidR="0069355D">
        <w:rPr>
          <w:szCs w:val="24"/>
          <w:u w:val="single"/>
        </w:rPr>
        <w:t> </w:t>
      </w:r>
      <w:r w:rsidRPr="00B90181">
        <w:rPr>
          <w:szCs w:val="24"/>
          <w:u w:val="single"/>
        </w:rPr>
        <w:t>13(4)</w:t>
      </w:r>
    </w:p>
    <w:p w:rsidR="00672A55" w:rsidRPr="00672A55" w:rsidRDefault="00672A55">
      <w:pPr>
        <w:keepNext/>
        <w:keepLines/>
        <w:tabs>
          <w:tab w:val="left" w:pos="8364"/>
        </w:tabs>
        <w:spacing w:before="0"/>
        <w:ind w:right="84"/>
        <w:rPr>
          <w:szCs w:val="24"/>
        </w:rPr>
      </w:pPr>
    </w:p>
    <w:p w:rsidR="00672A55" w:rsidRDefault="00672A55">
      <w:pPr>
        <w:keepNext/>
        <w:keepLines/>
        <w:tabs>
          <w:tab w:val="left" w:pos="8364"/>
        </w:tabs>
        <w:spacing w:before="0"/>
        <w:ind w:right="84"/>
        <w:rPr>
          <w:szCs w:val="24"/>
        </w:rPr>
      </w:pPr>
      <w:r>
        <w:rPr>
          <w:szCs w:val="24"/>
        </w:rPr>
        <w:t xml:space="preserve">This item </w:t>
      </w:r>
      <w:r w:rsidR="0069355D">
        <w:rPr>
          <w:szCs w:val="24"/>
        </w:rPr>
        <w:t xml:space="preserve">amends subregulation 13(4) of Part 3 of the Citizenship Regulations to </w:t>
      </w:r>
      <w:r>
        <w:rPr>
          <w:szCs w:val="24"/>
        </w:rPr>
        <w:t>insert after “$20</w:t>
      </w:r>
      <w:r w:rsidR="0069355D">
        <w:rPr>
          <w:szCs w:val="24"/>
        </w:rPr>
        <w:t> </w:t>
      </w:r>
      <w:r>
        <w:rPr>
          <w:szCs w:val="24"/>
        </w:rPr>
        <w:t>of the fee”</w:t>
      </w:r>
      <w:r w:rsidR="0069355D">
        <w:rPr>
          <w:szCs w:val="24"/>
        </w:rPr>
        <w:t>,</w:t>
      </w:r>
      <w:r>
        <w:rPr>
          <w:szCs w:val="24"/>
        </w:rPr>
        <w:t xml:space="preserve"> the words </w:t>
      </w:r>
      <w:r w:rsidRPr="00672A55">
        <w:rPr>
          <w:szCs w:val="24"/>
        </w:rPr>
        <w:t>“payable under section</w:t>
      </w:r>
      <w:r w:rsidR="0069355D">
        <w:rPr>
          <w:szCs w:val="24"/>
        </w:rPr>
        <w:t> </w:t>
      </w:r>
      <w:r w:rsidRPr="00672A55">
        <w:rPr>
          <w:szCs w:val="24"/>
        </w:rPr>
        <w:t>46 of the Act in relation to the application”</w:t>
      </w:r>
      <w:r>
        <w:rPr>
          <w:szCs w:val="24"/>
        </w:rPr>
        <w:t>.</w:t>
      </w:r>
    </w:p>
    <w:p w:rsidR="00672A55" w:rsidRDefault="00672A55" w:rsidP="002D4AC4">
      <w:pPr>
        <w:tabs>
          <w:tab w:val="left" w:pos="8364"/>
        </w:tabs>
        <w:spacing w:before="0"/>
        <w:ind w:right="85"/>
        <w:rPr>
          <w:szCs w:val="24"/>
        </w:rPr>
      </w:pPr>
    </w:p>
    <w:p w:rsidR="002C3EA2" w:rsidRDefault="002C3EA2" w:rsidP="002D4AC4">
      <w:pPr>
        <w:tabs>
          <w:tab w:val="left" w:pos="8364"/>
        </w:tabs>
        <w:spacing w:before="0"/>
        <w:ind w:right="85"/>
        <w:rPr>
          <w:szCs w:val="24"/>
        </w:rPr>
      </w:pPr>
      <w:r>
        <w:rPr>
          <w:szCs w:val="24"/>
        </w:rPr>
        <w:t>This is a technical amendment and is made for the purpose of clarifying that the fee referred to is a fee payable under section 46 of the Act.  This amendment has the effect of distinguishing the Schedule 3 amount from the fee</w:t>
      </w:r>
      <w:r w:rsidR="00FB3061">
        <w:rPr>
          <w:szCs w:val="24"/>
        </w:rPr>
        <w:t>; the Schedule 3 amount is a component of the fee</w:t>
      </w:r>
      <w:r>
        <w:rPr>
          <w:szCs w:val="24"/>
        </w:rPr>
        <w:t>.  Similar amendments are made at item 8 below.</w:t>
      </w:r>
    </w:p>
    <w:p w:rsidR="00672A55" w:rsidRPr="00672A55" w:rsidRDefault="00672A55" w:rsidP="002D4AC4">
      <w:pPr>
        <w:tabs>
          <w:tab w:val="left" w:pos="8364"/>
        </w:tabs>
        <w:spacing w:before="0"/>
        <w:ind w:right="85"/>
        <w:rPr>
          <w:szCs w:val="24"/>
        </w:rPr>
      </w:pPr>
    </w:p>
    <w:p w:rsidR="00672A55" w:rsidRPr="00ED5E25" w:rsidRDefault="00672A55" w:rsidP="002D4AC4">
      <w:pPr>
        <w:keepNext/>
        <w:keepLines/>
        <w:tabs>
          <w:tab w:val="left" w:pos="8364"/>
        </w:tabs>
        <w:spacing w:before="0"/>
        <w:ind w:right="85"/>
        <w:rPr>
          <w:szCs w:val="24"/>
          <w:u w:val="single"/>
        </w:rPr>
      </w:pPr>
      <w:r w:rsidRPr="00ED5E25">
        <w:rPr>
          <w:szCs w:val="24"/>
          <w:u w:val="single"/>
        </w:rPr>
        <w:t>Item</w:t>
      </w:r>
      <w:r w:rsidR="002C3EA2">
        <w:rPr>
          <w:szCs w:val="24"/>
          <w:u w:val="single"/>
        </w:rPr>
        <w:t> </w:t>
      </w:r>
      <w:r w:rsidR="005E27E6">
        <w:rPr>
          <w:szCs w:val="24"/>
          <w:u w:val="single"/>
        </w:rPr>
        <w:t>6</w:t>
      </w:r>
      <w:r w:rsidRPr="00ED5E25">
        <w:rPr>
          <w:szCs w:val="24"/>
          <w:u w:val="single"/>
        </w:rPr>
        <w:t xml:space="preserve"> </w:t>
      </w:r>
      <w:r w:rsidR="004615FC">
        <w:rPr>
          <w:szCs w:val="24"/>
          <w:u w:val="single"/>
        </w:rPr>
        <w:t>–</w:t>
      </w:r>
      <w:r w:rsidRPr="00ED5E25">
        <w:rPr>
          <w:szCs w:val="24"/>
          <w:u w:val="single"/>
        </w:rPr>
        <w:t xml:space="preserve"> </w:t>
      </w:r>
      <w:r w:rsidRPr="00B90181">
        <w:rPr>
          <w:szCs w:val="24"/>
          <w:u w:val="single"/>
        </w:rPr>
        <w:t>After subregulation</w:t>
      </w:r>
      <w:r w:rsidR="002C3EA2">
        <w:rPr>
          <w:szCs w:val="24"/>
          <w:u w:val="single"/>
        </w:rPr>
        <w:t> </w:t>
      </w:r>
      <w:r w:rsidRPr="00B90181">
        <w:rPr>
          <w:szCs w:val="24"/>
          <w:u w:val="single"/>
        </w:rPr>
        <w:t>13(4)</w:t>
      </w:r>
    </w:p>
    <w:p w:rsidR="00544ED6" w:rsidRDefault="00544ED6" w:rsidP="002D4AC4">
      <w:pPr>
        <w:keepNext/>
        <w:keepLines/>
        <w:tabs>
          <w:tab w:val="left" w:pos="8364"/>
        </w:tabs>
        <w:spacing w:before="0"/>
        <w:ind w:right="84"/>
        <w:rPr>
          <w:szCs w:val="24"/>
        </w:rPr>
      </w:pPr>
    </w:p>
    <w:p w:rsidR="00B90181" w:rsidRDefault="00B90181" w:rsidP="002D4AC4">
      <w:pPr>
        <w:keepNext/>
        <w:keepLines/>
        <w:tabs>
          <w:tab w:val="left" w:pos="8364"/>
        </w:tabs>
        <w:spacing w:before="0"/>
        <w:ind w:right="84"/>
        <w:rPr>
          <w:szCs w:val="24"/>
        </w:rPr>
      </w:pPr>
      <w:r>
        <w:rPr>
          <w:szCs w:val="24"/>
        </w:rPr>
        <w:t xml:space="preserve">This item </w:t>
      </w:r>
      <w:r w:rsidR="002C3EA2">
        <w:rPr>
          <w:szCs w:val="24"/>
        </w:rPr>
        <w:t xml:space="preserve">amends regulation 13 of Part 3 of the Citizenship Regulations to </w:t>
      </w:r>
      <w:r>
        <w:rPr>
          <w:szCs w:val="24"/>
        </w:rPr>
        <w:t>i</w:t>
      </w:r>
      <w:r w:rsidRPr="00B90181">
        <w:rPr>
          <w:szCs w:val="24"/>
        </w:rPr>
        <w:t>nsert</w:t>
      </w:r>
      <w:r>
        <w:rPr>
          <w:szCs w:val="24"/>
        </w:rPr>
        <w:t xml:space="preserve"> a new subregulation</w:t>
      </w:r>
      <w:r w:rsidR="002C3EA2">
        <w:rPr>
          <w:szCs w:val="24"/>
        </w:rPr>
        <w:t> </w:t>
      </w:r>
      <w:r>
        <w:rPr>
          <w:szCs w:val="24"/>
        </w:rPr>
        <w:t>13(</w:t>
      </w:r>
      <w:proofErr w:type="spellStart"/>
      <w:r>
        <w:rPr>
          <w:szCs w:val="24"/>
        </w:rPr>
        <w:t>4A</w:t>
      </w:r>
      <w:proofErr w:type="spellEnd"/>
      <w:r>
        <w:rPr>
          <w:szCs w:val="24"/>
        </w:rPr>
        <w:t>).</w:t>
      </w:r>
    </w:p>
    <w:p w:rsidR="00B90181" w:rsidRDefault="00B90181">
      <w:pPr>
        <w:tabs>
          <w:tab w:val="left" w:pos="8364"/>
        </w:tabs>
        <w:spacing w:before="0"/>
        <w:ind w:right="84"/>
        <w:rPr>
          <w:szCs w:val="24"/>
        </w:rPr>
      </w:pPr>
    </w:p>
    <w:p w:rsidR="004615FC" w:rsidRDefault="001E26D1">
      <w:pPr>
        <w:tabs>
          <w:tab w:val="left" w:pos="8364"/>
        </w:tabs>
        <w:spacing w:before="0"/>
        <w:ind w:right="84"/>
        <w:rPr>
          <w:szCs w:val="24"/>
        </w:rPr>
      </w:pPr>
      <w:r>
        <w:rPr>
          <w:szCs w:val="24"/>
        </w:rPr>
        <w:t xml:space="preserve">The </w:t>
      </w:r>
      <w:r w:rsidR="005C4482">
        <w:rPr>
          <w:szCs w:val="24"/>
        </w:rPr>
        <w:t>purpose of this amendment is to</w:t>
      </w:r>
      <w:r w:rsidR="0090738C">
        <w:rPr>
          <w:szCs w:val="24"/>
        </w:rPr>
        <w:t xml:space="preserve"> set out the circumstance for which </w:t>
      </w:r>
      <w:r w:rsidR="0043622D">
        <w:rPr>
          <w:szCs w:val="24"/>
        </w:rPr>
        <w:t>a portion of the</w:t>
      </w:r>
      <w:r w:rsidR="0090738C">
        <w:rPr>
          <w:szCs w:val="24"/>
        </w:rPr>
        <w:t xml:space="preserve"> credit card surcharge </w:t>
      </w:r>
      <w:r w:rsidR="0043622D">
        <w:rPr>
          <w:szCs w:val="24"/>
        </w:rPr>
        <w:t>that was paid as part of the payment of the amount under either table item 14 or 15A of the table in Schedule 3 of the Citizenship Regulations is to be refunded.</w:t>
      </w:r>
      <w:r w:rsidR="004615FC">
        <w:rPr>
          <w:szCs w:val="24"/>
        </w:rPr>
        <w:t xml:space="preserve">  This amendment has the effect of ensuring that a refund under subregulation 13(4) of Part 3 of the Citizenship Regulations will also cause for the refund of the relevant portion of the credit card surcharge paid.</w:t>
      </w:r>
    </w:p>
    <w:p w:rsidR="004615FC" w:rsidRDefault="004615FC">
      <w:pPr>
        <w:tabs>
          <w:tab w:val="left" w:pos="8364"/>
        </w:tabs>
        <w:spacing w:before="0"/>
        <w:ind w:right="84"/>
        <w:rPr>
          <w:szCs w:val="24"/>
        </w:rPr>
      </w:pPr>
    </w:p>
    <w:p w:rsidR="0043622D" w:rsidRDefault="004615FC">
      <w:pPr>
        <w:tabs>
          <w:tab w:val="left" w:pos="8364"/>
        </w:tabs>
        <w:spacing w:before="0"/>
        <w:ind w:right="84"/>
        <w:rPr>
          <w:szCs w:val="24"/>
        </w:rPr>
      </w:pPr>
      <w:r>
        <w:rPr>
          <w:szCs w:val="24"/>
        </w:rPr>
        <w:t xml:space="preserve">It is intended that this amendment will enable the Minister to </w:t>
      </w:r>
      <w:r w:rsidRPr="000F3768">
        <w:rPr>
          <w:szCs w:val="24"/>
        </w:rPr>
        <w:t xml:space="preserve">refund </w:t>
      </w:r>
      <w:r>
        <w:rPr>
          <w:szCs w:val="24"/>
        </w:rPr>
        <w:t xml:space="preserve">a </w:t>
      </w:r>
      <w:r w:rsidR="00FB3061">
        <w:rPr>
          <w:szCs w:val="24"/>
        </w:rPr>
        <w:t xml:space="preserve">proportion </w:t>
      </w:r>
      <w:r>
        <w:rPr>
          <w:szCs w:val="24"/>
        </w:rPr>
        <w:t>of </w:t>
      </w:r>
      <w:r w:rsidRPr="000F3768">
        <w:rPr>
          <w:szCs w:val="24"/>
        </w:rPr>
        <w:t>$20</w:t>
      </w:r>
      <w:r>
        <w:rPr>
          <w:szCs w:val="24"/>
        </w:rPr>
        <w:t>, in relation to a fee</w:t>
      </w:r>
      <w:r w:rsidRPr="000F3768">
        <w:rPr>
          <w:szCs w:val="24"/>
        </w:rPr>
        <w:t xml:space="preserve">, depending on </w:t>
      </w:r>
      <w:r>
        <w:rPr>
          <w:szCs w:val="24"/>
        </w:rPr>
        <w:t xml:space="preserve">the type of credit card </w:t>
      </w:r>
      <w:r w:rsidRPr="000F3768">
        <w:rPr>
          <w:szCs w:val="24"/>
        </w:rPr>
        <w:t>used</w:t>
      </w:r>
      <w:r>
        <w:rPr>
          <w:szCs w:val="24"/>
        </w:rPr>
        <w:t>.  That is, it is intended that this amendment will also enable a proportional refund of the credit card surcharge</w:t>
      </w:r>
      <w:r w:rsidRPr="00A149A4">
        <w:rPr>
          <w:szCs w:val="24"/>
        </w:rPr>
        <w:t xml:space="preserve"> </w:t>
      </w:r>
      <w:r>
        <w:rPr>
          <w:szCs w:val="24"/>
        </w:rPr>
        <w:t>where the initial payment was made by two or more payment methods including credit card.</w:t>
      </w:r>
      <w:r w:rsidR="0043622D">
        <w:rPr>
          <w:szCs w:val="24"/>
        </w:rPr>
        <w:t xml:space="preserve">  Similar amendments are made at item 9 below.</w:t>
      </w:r>
    </w:p>
    <w:p w:rsidR="000F3768" w:rsidRDefault="000F3768">
      <w:pPr>
        <w:tabs>
          <w:tab w:val="left" w:pos="8364"/>
        </w:tabs>
        <w:spacing w:before="0"/>
        <w:ind w:right="84"/>
        <w:rPr>
          <w:szCs w:val="24"/>
        </w:rPr>
      </w:pPr>
    </w:p>
    <w:p w:rsidR="005E27E6" w:rsidRPr="00ED5E25" w:rsidRDefault="005E27E6">
      <w:pPr>
        <w:keepNext/>
        <w:keepLines/>
        <w:tabs>
          <w:tab w:val="left" w:pos="8364"/>
        </w:tabs>
        <w:spacing w:before="0"/>
        <w:ind w:right="84"/>
        <w:rPr>
          <w:szCs w:val="24"/>
          <w:u w:val="single"/>
        </w:rPr>
      </w:pPr>
      <w:r w:rsidRPr="00ED5E25">
        <w:rPr>
          <w:szCs w:val="24"/>
          <w:u w:val="single"/>
        </w:rPr>
        <w:t>Item</w:t>
      </w:r>
      <w:r w:rsidR="004615FC">
        <w:rPr>
          <w:szCs w:val="24"/>
          <w:u w:val="single"/>
        </w:rPr>
        <w:t> </w:t>
      </w:r>
      <w:r>
        <w:rPr>
          <w:szCs w:val="24"/>
          <w:u w:val="single"/>
        </w:rPr>
        <w:t>7</w:t>
      </w:r>
      <w:r w:rsidRPr="00ED5E25">
        <w:rPr>
          <w:szCs w:val="24"/>
          <w:u w:val="single"/>
        </w:rPr>
        <w:t xml:space="preserve"> </w:t>
      </w:r>
      <w:r w:rsidR="004615FC">
        <w:rPr>
          <w:szCs w:val="24"/>
          <w:u w:val="single"/>
        </w:rPr>
        <w:t>–</w:t>
      </w:r>
      <w:r w:rsidRPr="00ED5E25">
        <w:rPr>
          <w:szCs w:val="24"/>
          <w:u w:val="single"/>
        </w:rPr>
        <w:t xml:space="preserve"> </w:t>
      </w:r>
      <w:r w:rsidR="004615FC">
        <w:rPr>
          <w:szCs w:val="24"/>
          <w:u w:val="single"/>
        </w:rPr>
        <w:t>Paragraph </w:t>
      </w:r>
      <w:r w:rsidRPr="00B90181">
        <w:rPr>
          <w:szCs w:val="24"/>
          <w:u w:val="single"/>
        </w:rPr>
        <w:t>13(</w:t>
      </w:r>
      <w:r>
        <w:rPr>
          <w:szCs w:val="24"/>
          <w:u w:val="single"/>
        </w:rPr>
        <w:t>5</w:t>
      </w:r>
      <w:r w:rsidRPr="00B90181">
        <w:rPr>
          <w:szCs w:val="24"/>
          <w:u w:val="single"/>
        </w:rPr>
        <w:t>)</w:t>
      </w:r>
      <w:r>
        <w:rPr>
          <w:szCs w:val="24"/>
          <w:u w:val="single"/>
        </w:rPr>
        <w:t>(c)</w:t>
      </w:r>
    </w:p>
    <w:p w:rsidR="005E27E6" w:rsidRPr="005E27E6" w:rsidRDefault="005E27E6" w:rsidP="002D4AC4">
      <w:pPr>
        <w:keepNext/>
        <w:keepLines/>
        <w:tabs>
          <w:tab w:val="left" w:pos="8364"/>
        </w:tabs>
        <w:spacing w:before="0"/>
        <w:ind w:right="85"/>
        <w:rPr>
          <w:szCs w:val="24"/>
        </w:rPr>
      </w:pPr>
    </w:p>
    <w:p w:rsidR="004615FC" w:rsidRDefault="004615FC" w:rsidP="002D4AC4">
      <w:pPr>
        <w:keepNext/>
        <w:keepLines/>
        <w:tabs>
          <w:tab w:val="left" w:pos="8364"/>
        </w:tabs>
        <w:spacing w:before="0"/>
        <w:ind w:right="85"/>
        <w:rPr>
          <w:szCs w:val="24"/>
        </w:rPr>
      </w:pPr>
      <w:r>
        <w:rPr>
          <w:szCs w:val="24"/>
        </w:rPr>
        <w:t>This item amends paragraph 13(5)(c) of Part 3 of the Citizenship Regulations to omit the word “fee” and its place substitutes with “amount”.</w:t>
      </w:r>
    </w:p>
    <w:p w:rsidR="004615FC" w:rsidRDefault="004615FC" w:rsidP="004615FC">
      <w:pPr>
        <w:tabs>
          <w:tab w:val="left" w:pos="8364"/>
        </w:tabs>
        <w:spacing w:before="0"/>
        <w:ind w:right="84"/>
        <w:rPr>
          <w:szCs w:val="24"/>
        </w:rPr>
      </w:pPr>
    </w:p>
    <w:p w:rsidR="004615FC" w:rsidRDefault="004615FC">
      <w:pPr>
        <w:tabs>
          <w:tab w:val="left" w:pos="8364"/>
        </w:tabs>
        <w:spacing w:before="0"/>
        <w:ind w:right="84"/>
        <w:rPr>
          <w:szCs w:val="24"/>
        </w:rPr>
      </w:pPr>
      <w:r>
        <w:rPr>
          <w:szCs w:val="24"/>
        </w:rPr>
        <w:t>Similar to the amendments at item 4 above, the purpose of this amendment is to reflect the amendment</w:t>
      </w:r>
      <w:r w:rsidR="00241A57">
        <w:rPr>
          <w:szCs w:val="24"/>
        </w:rPr>
        <w:t>s made by item 2, which provides</w:t>
      </w:r>
      <w:r>
        <w:rPr>
          <w:szCs w:val="24"/>
        </w:rPr>
        <w:t xml:space="preserve"> for the fee to accompany a citizenship application to include the amount set out in Schedule 3 and a credit card surcharge (if applicable).  This amendment has the effect of maintaining the operation of a refund under subregulation 13(5) of the Citizenship Regulations.</w:t>
      </w:r>
    </w:p>
    <w:p w:rsidR="005E27E6" w:rsidRPr="005E27E6" w:rsidRDefault="005E27E6" w:rsidP="002D4AC4">
      <w:pPr>
        <w:tabs>
          <w:tab w:val="left" w:pos="8364"/>
        </w:tabs>
        <w:spacing w:before="0"/>
        <w:ind w:right="85"/>
        <w:rPr>
          <w:szCs w:val="24"/>
        </w:rPr>
      </w:pPr>
    </w:p>
    <w:p w:rsidR="005E27E6" w:rsidRPr="00ED5E25" w:rsidRDefault="005E27E6">
      <w:pPr>
        <w:keepNext/>
        <w:keepLines/>
        <w:tabs>
          <w:tab w:val="left" w:pos="8364"/>
        </w:tabs>
        <w:spacing w:before="0"/>
        <w:ind w:right="84"/>
        <w:rPr>
          <w:szCs w:val="24"/>
          <w:u w:val="single"/>
        </w:rPr>
      </w:pPr>
      <w:r w:rsidRPr="00ED5E25">
        <w:rPr>
          <w:szCs w:val="24"/>
          <w:u w:val="single"/>
        </w:rPr>
        <w:t>Item</w:t>
      </w:r>
      <w:r w:rsidR="004615FC">
        <w:rPr>
          <w:szCs w:val="24"/>
          <w:u w:val="single"/>
        </w:rPr>
        <w:t> </w:t>
      </w:r>
      <w:r>
        <w:rPr>
          <w:szCs w:val="24"/>
          <w:u w:val="single"/>
        </w:rPr>
        <w:t>8</w:t>
      </w:r>
      <w:r w:rsidRPr="00ED5E25">
        <w:rPr>
          <w:szCs w:val="24"/>
          <w:u w:val="single"/>
        </w:rPr>
        <w:t xml:space="preserve"> </w:t>
      </w:r>
      <w:r w:rsidR="00E82D0A">
        <w:rPr>
          <w:szCs w:val="24"/>
          <w:u w:val="single"/>
        </w:rPr>
        <w:t>–</w:t>
      </w:r>
      <w:r w:rsidRPr="00ED5E25">
        <w:rPr>
          <w:szCs w:val="24"/>
          <w:u w:val="single"/>
        </w:rPr>
        <w:t xml:space="preserve"> </w:t>
      </w:r>
      <w:r w:rsidR="00E82D0A">
        <w:rPr>
          <w:szCs w:val="24"/>
          <w:u w:val="single"/>
        </w:rPr>
        <w:t>S</w:t>
      </w:r>
      <w:r w:rsidRPr="00B90181">
        <w:rPr>
          <w:szCs w:val="24"/>
          <w:u w:val="single"/>
        </w:rPr>
        <w:t>ubregulation</w:t>
      </w:r>
      <w:r w:rsidR="00E82D0A">
        <w:rPr>
          <w:szCs w:val="24"/>
          <w:u w:val="single"/>
        </w:rPr>
        <w:t> </w:t>
      </w:r>
      <w:r w:rsidRPr="00B90181">
        <w:rPr>
          <w:szCs w:val="24"/>
          <w:u w:val="single"/>
        </w:rPr>
        <w:t>13(</w:t>
      </w:r>
      <w:r>
        <w:rPr>
          <w:szCs w:val="24"/>
          <w:u w:val="single"/>
        </w:rPr>
        <w:t>5</w:t>
      </w:r>
      <w:r w:rsidRPr="00B90181">
        <w:rPr>
          <w:szCs w:val="24"/>
          <w:u w:val="single"/>
        </w:rPr>
        <w:t>)</w:t>
      </w:r>
    </w:p>
    <w:p w:rsidR="005E27E6" w:rsidRPr="005E27E6" w:rsidRDefault="005E27E6">
      <w:pPr>
        <w:keepNext/>
        <w:keepLines/>
        <w:tabs>
          <w:tab w:val="left" w:pos="8364"/>
        </w:tabs>
        <w:spacing w:before="0"/>
        <w:ind w:right="84"/>
        <w:rPr>
          <w:szCs w:val="24"/>
        </w:rPr>
      </w:pPr>
    </w:p>
    <w:p w:rsidR="00E82D0A" w:rsidRDefault="00E82D0A" w:rsidP="00E82D0A">
      <w:pPr>
        <w:keepNext/>
        <w:keepLines/>
        <w:tabs>
          <w:tab w:val="left" w:pos="8364"/>
        </w:tabs>
        <w:spacing w:before="0"/>
        <w:ind w:right="84"/>
        <w:rPr>
          <w:szCs w:val="24"/>
        </w:rPr>
      </w:pPr>
      <w:r>
        <w:rPr>
          <w:szCs w:val="24"/>
        </w:rPr>
        <w:t xml:space="preserve">This item amends </w:t>
      </w:r>
      <w:r w:rsidR="00D11DAA">
        <w:rPr>
          <w:szCs w:val="24"/>
        </w:rPr>
        <w:t>subregulation 13(5</w:t>
      </w:r>
      <w:r>
        <w:rPr>
          <w:szCs w:val="24"/>
        </w:rPr>
        <w:t>) of Part 3 of the Citizenship Regulations to insert</w:t>
      </w:r>
      <w:r w:rsidR="00D11DAA">
        <w:rPr>
          <w:szCs w:val="24"/>
        </w:rPr>
        <w:t xml:space="preserve"> after “$130</w:t>
      </w:r>
      <w:r>
        <w:rPr>
          <w:szCs w:val="24"/>
        </w:rPr>
        <w:t xml:space="preserve"> of the fee”, the words </w:t>
      </w:r>
      <w:r w:rsidRPr="00672A55">
        <w:rPr>
          <w:szCs w:val="24"/>
        </w:rPr>
        <w:t>“payable under section</w:t>
      </w:r>
      <w:r>
        <w:rPr>
          <w:szCs w:val="24"/>
        </w:rPr>
        <w:t> </w:t>
      </w:r>
      <w:r w:rsidRPr="00672A55">
        <w:rPr>
          <w:szCs w:val="24"/>
        </w:rPr>
        <w:t>46 of the Act in relation to the application”</w:t>
      </w:r>
      <w:r>
        <w:rPr>
          <w:szCs w:val="24"/>
        </w:rPr>
        <w:t>.</w:t>
      </w:r>
    </w:p>
    <w:p w:rsidR="00E82D0A" w:rsidRDefault="00E82D0A" w:rsidP="00E82D0A">
      <w:pPr>
        <w:tabs>
          <w:tab w:val="left" w:pos="8364"/>
        </w:tabs>
        <w:spacing w:before="0"/>
        <w:ind w:right="85"/>
        <w:rPr>
          <w:szCs w:val="24"/>
        </w:rPr>
      </w:pPr>
    </w:p>
    <w:p w:rsidR="00E82D0A" w:rsidRDefault="00D11DAA" w:rsidP="008D54CA">
      <w:pPr>
        <w:keepNext/>
        <w:keepLines/>
        <w:tabs>
          <w:tab w:val="left" w:pos="8364"/>
        </w:tabs>
        <w:spacing w:before="0"/>
        <w:ind w:right="85"/>
        <w:rPr>
          <w:szCs w:val="24"/>
        </w:rPr>
      </w:pPr>
      <w:r>
        <w:rPr>
          <w:szCs w:val="24"/>
        </w:rPr>
        <w:t>Similar to the amendments made at item 5 above, t</w:t>
      </w:r>
      <w:r w:rsidR="00E82D0A">
        <w:rPr>
          <w:szCs w:val="24"/>
        </w:rPr>
        <w:t xml:space="preserve">his is </w:t>
      </w:r>
      <w:r>
        <w:rPr>
          <w:szCs w:val="24"/>
        </w:rPr>
        <w:t xml:space="preserve">also </w:t>
      </w:r>
      <w:r w:rsidR="00E82D0A">
        <w:rPr>
          <w:szCs w:val="24"/>
        </w:rPr>
        <w:t>a technical amendment and is made for the purpose of clarifying that the fee referred to is a fee payable under section 46 of the Act.  This amendment has the effect of distinguishing the Schedule 3 amount from the relevant fee</w:t>
      </w:r>
      <w:r w:rsidR="00FB3061">
        <w:rPr>
          <w:szCs w:val="24"/>
        </w:rPr>
        <w:t>; the Schedule 3 amount is a component of the fee</w:t>
      </w:r>
      <w:r w:rsidR="00E82D0A">
        <w:rPr>
          <w:szCs w:val="24"/>
        </w:rPr>
        <w:t>.</w:t>
      </w:r>
    </w:p>
    <w:p w:rsidR="005E27E6" w:rsidRDefault="005E27E6" w:rsidP="002D4AC4">
      <w:pPr>
        <w:tabs>
          <w:tab w:val="left" w:pos="8364"/>
        </w:tabs>
        <w:spacing w:before="0"/>
        <w:ind w:right="85"/>
        <w:rPr>
          <w:szCs w:val="24"/>
          <w:u w:val="single"/>
        </w:rPr>
      </w:pPr>
    </w:p>
    <w:p w:rsidR="00190958" w:rsidRPr="00ED5E25" w:rsidRDefault="00190958" w:rsidP="002D4AC4">
      <w:pPr>
        <w:keepNext/>
        <w:keepLines/>
        <w:tabs>
          <w:tab w:val="left" w:pos="8364"/>
        </w:tabs>
        <w:spacing w:before="0"/>
        <w:ind w:right="85"/>
        <w:rPr>
          <w:szCs w:val="24"/>
          <w:u w:val="single"/>
        </w:rPr>
      </w:pPr>
      <w:r w:rsidRPr="00ED5E25">
        <w:rPr>
          <w:szCs w:val="24"/>
          <w:u w:val="single"/>
        </w:rPr>
        <w:t>Item</w:t>
      </w:r>
      <w:r w:rsidR="00710AF3">
        <w:rPr>
          <w:szCs w:val="24"/>
          <w:u w:val="single"/>
        </w:rPr>
        <w:t> </w:t>
      </w:r>
      <w:r w:rsidR="005E27E6">
        <w:rPr>
          <w:szCs w:val="24"/>
          <w:u w:val="single"/>
        </w:rPr>
        <w:t>9</w:t>
      </w:r>
      <w:r w:rsidRPr="00ED5E25">
        <w:rPr>
          <w:szCs w:val="24"/>
          <w:u w:val="single"/>
        </w:rPr>
        <w:t xml:space="preserve"> </w:t>
      </w:r>
      <w:r w:rsidR="00710AF3">
        <w:rPr>
          <w:szCs w:val="24"/>
          <w:u w:val="single"/>
        </w:rPr>
        <w:t>–</w:t>
      </w:r>
      <w:r w:rsidRPr="00ED5E25">
        <w:rPr>
          <w:szCs w:val="24"/>
          <w:u w:val="single"/>
        </w:rPr>
        <w:t xml:space="preserve"> </w:t>
      </w:r>
      <w:r w:rsidRPr="00B90181">
        <w:rPr>
          <w:szCs w:val="24"/>
          <w:u w:val="single"/>
        </w:rPr>
        <w:t>After subregulation</w:t>
      </w:r>
      <w:r w:rsidR="00710AF3">
        <w:rPr>
          <w:szCs w:val="24"/>
          <w:u w:val="single"/>
        </w:rPr>
        <w:t> </w:t>
      </w:r>
      <w:r w:rsidRPr="00B90181">
        <w:rPr>
          <w:szCs w:val="24"/>
          <w:u w:val="single"/>
        </w:rPr>
        <w:t>13(</w:t>
      </w:r>
      <w:r>
        <w:rPr>
          <w:szCs w:val="24"/>
          <w:u w:val="single"/>
        </w:rPr>
        <w:t>5</w:t>
      </w:r>
      <w:r w:rsidRPr="00B90181">
        <w:rPr>
          <w:szCs w:val="24"/>
          <w:u w:val="single"/>
        </w:rPr>
        <w:t>)</w:t>
      </w:r>
    </w:p>
    <w:p w:rsidR="00190958" w:rsidRDefault="00190958" w:rsidP="002D4AC4">
      <w:pPr>
        <w:keepNext/>
        <w:keepLines/>
        <w:tabs>
          <w:tab w:val="left" w:pos="8364"/>
        </w:tabs>
        <w:spacing w:before="0"/>
        <w:ind w:right="85"/>
        <w:rPr>
          <w:szCs w:val="24"/>
        </w:rPr>
      </w:pPr>
    </w:p>
    <w:p w:rsidR="00710AF3" w:rsidRDefault="00710AF3" w:rsidP="002D4AC4">
      <w:pPr>
        <w:keepNext/>
        <w:keepLines/>
        <w:tabs>
          <w:tab w:val="left" w:pos="8364"/>
        </w:tabs>
        <w:spacing w:before="0"/>
        <w:ind w:right="85"/>
        <w:rPr>
          <w:szCs w:val="24"/>
        </w:rPr>
      </w:pPr>
      <w:r>
        <w:rPr>
          <w:szCs w:val="24"/>
        </w:rPr>
        <w:t>This item amends regulation 13 of Part 3 of the Citizenship Regulations to i</w:t>
      </w:r>
      <w:r w:rsidRPr="00B90181">
        <w:rPr>
          <w:szCs w:val="24"/>
        </w:rPr>
        <w:t>nsert</w:t>
      </w:r>
      <w:r>
        <w:rPr>
          <w:szCs w:val="24"/>
        </w:rPr>
        <w:t xml:space="preserve"> a new subregulation 13(5A).</w:t>
      </w:r>
    </w:p>
    <w:p w:rsidR="00710AF3" w:rsidRDefault="00710AF3" w:rsidP="00710AF3">
      <w:pPr>
        <w:tabs>
          <w:tab w:val="left" w:pos="8364"/>
        </w:tabs>
        <w:spacing w:before="0"/>
        <w:ind w:right="84"/>
        <w:rPr>
          <w:szCs w:val="24"/>
        </w:rPr>
      </w:pPr>
    </w:p>
    <w:p w:rsidR="00710AF3" w:rsidRDefault="00710AF3" w:rsidP="00710AF3">
      <w:pPr>
        <w:tabs>
          <w:tab w:val="left" w:pos="8364"/>
        </w:tabs>
        <w:spacing w:before="0"/>
        <w:ind w:right="84"/>
        <w:rPr>
          <w:szCs w:val="24"/>
        </w:rPr>
      </w:pPr>
      <w:r>
        <w:rPr>
          <w:szCs w:val="24"/>
        </w:rPr>
        <w:t>Similar to the amendments made at item 6 above, the purpose of this amendment is to set out the circumstance for which a portion of the credit card surcharge that was paid as part of the payment of the amount under either table item 14A or 15B of the table in Schedule 3 of the Citizenship Regulations is to be refunded.  This amendment has the effect of ensuring that a refund under subregulation 13(5) of Part 3 of the Citizenship Regulations will also cause for the refund of the relevant portion of the credit card surcharge paid.</w:t>
      </w:r>
    </w:p>
    <w:p w:rsidR="00710AF3" w:rsidRDefault="00710AF3" w:rsidP="00710AF3">
      <w:pPr>
        <w:tabs>
          <w:tab w:val="left" w:pos="8364"/>
        </w:tabs>
        <w:spacing w:before="0"/>
        <w:ind w:right="84"/>
        <w:rPr>
          <w:szCs w:val="24"/>
        </w:rPr>
      </w:pPr>
    </w:p>
    <w:p w:rsidR="00710AF3" w:rsidRDefault="00710AF3">
      <w:pPr>
        <w:tabs>
          <w:tab w:val="left" w:pos="8364"/>
        </w:tabs>
        <w:spacing w:before="0"/>
        <w:ind w:right="84"/>
        <w:rPr>
          <w:szCs w:val="24"/>
        </w:rPr>
      </w:pPr>
      <w:r>
        <w:rPr>
          <w:szCs w:val="24"/>
        </w:rPr>
        <w:t xml:space="preserve">It is intended that this amendment will enable the Minister to </w:t>
      </w:r>
      <w:r w:rsidRPr="000F3768">
        <w:rPr>
          <w:szCs w:val="24"/>
        </w:rPr>
        <w:t xml:space="preserve">refund </w:t>
      </w:r>
      <w:r>
        <w:rPr>
          <w:szCs w:val="24"/>
        </w:rPr>
        <w:t xml:space="preserve">a </w:t>
      </w:r>
      <w:r w:rsidR="006B2E6A">
        <w:rPr>
          <w:szCs w:val="24"/>
        </w:rPr>
        <w:t>proportion</w:t>
      </w:r>
      <w:r>
        <w:rPr>
          <w:szCs w:val="24"/>
        </w:rPr>
        <w:t xml:space="preserve"> of $13</w:t>
      </w:r>
      <w:r w:rsidRPr="000F3768">
        <w:rPr>
          <w:szCs w:val="24"/>
        </w:rPr>
        <w:t>0</w:t>
      </w:r>
      <w:r>
        <w:rPr>
          <w:szCs w:val="24"/>
        </w:rPr>
        <w:t>, in relation to a fee</w:t>
      </w:r>
      <w:r w:rsidRPr="000F3768">
        <w:rPr>
          <w:szCs w:val="24"/>
        </w:rPr>
        <w:t xml:space="preserve">, depending on </w:t>
      </w:r>
      <w:r>
        <w:rPr>
          <w:szCs w:val="24"/>
        </w:rPr>
        <w:t xml:space="preserve">the type of credit card </w:t>
      </w:r>
      <w:r w:rsidRPr="000F3768">
        <w:rPr>
          <w:szCs w:val="24"/>
        </w:rPr>
        <w:t>used</w:t>
      </w:r>
      <w:r>
        <w:rPr>
          <w:szCs w:val="24"/>
        </w:rPr>
        <w:t>.  That is, it is intended that this amendment will also enable a proportional refund of the credit card surcharge</w:t>
      </w:r>
      <w:r w:rsidRPr="00A149A4">
        <w:rPr>
          <w:szCs w:val="24"/>
        </w:rPr>
        <w:t xml:space="preserve"> </w:t>
      </w:r>
      <w:r>
        <w:rPr>
          <w:szCs w:val="24"/>
        </w:rPr>
        <w:t>where the initial payment was made by two or more payment methods including credit card.</w:t>
      </w:r>
    </w:p>
    <w:p w:rsidR="007A21C7" w:rsidRDefault="007A21C7">
      <w:pPr>
        <w:tabs>
          <w:tab w:val="left" w:pos="8364"/>
        </w:tabs>
        <w:spacing w:before="0"/>
        <w:ind w:right="84"/>
        <w:rPr>
          <w:szCs w:val="24"/>
        </w:rPr>
      </w:pPr>
    </w:p>
    <w:p w:rsidR="004273EA" w:rsidRPr="00ED5E25" w:rsidRDefault="00A667D0">
      <w:pPr>
        <w:keepNext/>
        <w:keepLines/>
        <w:tabs>
          <w:tab w:val="left" w:pos="8364"/>
        </w:tabs>
        <w:spacing w:before="0"/>
        <w:ind w:right="84"/>
        <w:rPr>
          <w:szCs w:val="24"/>
          <w:u w:val="single"/>
        </w:rPr>
      </w:pPr>
      <w:r>
        <w:rPr>
          <w:szCs w:val="24"/>
          <w:u w:val="single"/>
        </w:rPr>
        <w:t>Item</w:t>
      </w:r>
      <w:r w:rsidR="00710AF3">
        <w:rPr>
          <w:szCs w:val="24"/>
          <w:u w:val="single"/>
        </w:rPr>
        <w:t> </w:t>
      </w:r>
      <w:r>
        <w:rPr>
          <w:szCs w:val="24"/>
          <w:u w:val="single"/>
        </w:rPr>
        <w:t>10</w:t>
      </w:r>
      <w:r w:rsidR="004273EA" w:rsidRPr="00ED5E25">
        <w:rPr>
          <w:szCs w:val="24"/>
          <w:u w:val="single"/>
        </w:rPr>
        <w:t xml:space="preserve"> </w:t>
      </w:r>
      <w:r w:rsidR="00710AF3">
        <w:rPr>
          <w:szCs w:val="24"/>
          <w:u w:val="single"/>
        </w:rPr>
        <w:t xml:space="preserve">– </w:t>
      </w:r>
      <w:r w:rsidR="004273EA" w:rsidRPr="00ED5E25">
        <w:rPr>
          <w:szCs w:val="24"/>
          <w:u w:val="single"/>
        </w:rPr>
        <w:t>Schedule</w:t>
      </w:r>
      <w:r w:rsidR="00710AF3">
        <w:rPr>
          <w:szCs w:val="24"/>
          <w:u w:val="single"/>
        </w:rPr>
        <w:t> </w:t>
      </w:r>
      <w:r w:rsidR="004273EA" w:rsidRPr="00ED5E25">
        <w:rPr>
          <w:szCs w:val="24"/>
          <w:u w:val="single"/>
        </w:rPr>
        <w:t>3 (heading)</w:t>
      </w:r>
    </w:p>
    <w:p w:rsidR="004273EA" w:rsidRPr="002D4AC4" w:rsidRDefault="004273EA">
      <w:pPr>
        <w:keepNext/>
        <w:keepLines/>
        <w:tabs>
          <w:tab w:val="left" w:pos="8364"/>
        </w:tabs>
        <w:spacing w:before="0"/>
        <w:ind w:right="84"/>
        <w:rPr>
          <w:szCs w:val="24"/>
        </w:rPr>
      </w:pPr>
    </w:p>
    <w:p w:rsidR="00ED5E25" w:rsidRDefault="00ED5E25" w:rsidP="002D4AC4">
      <w:pPr>
        <w:keepNext/>
        <w:keepLines/>
        <w:tabs>
          <w:tab w:val="left" w:pos="8364"/>
        </w:tabs>
        <w:spacing w:before="0"/>
        <w:ind w:right="84"/>
        <w:rPr>
          <w:szCs w:val="24"/>
        </w:rPr>
      </w:pPr>
      <w:r>
        <w:rPr>
          <w:szCs w:val="24"/>
        </w:rPr>
        <w:t>This</w:t>
      </w:r>
      <w:r w:rsidRPr="00AF114B">
        <w:rPr>
          <w:szCs w:val="24"/>
        </w:rPr>
        <w:t xml:space="preserve"> item </w:t>
      </w:r>
      <w:r>
        <w:rPr>
          <w:szCs w:val="24"/>
        </w:rPr>
        <w:t xml:space="preserve">repeals and substitutes </w:t>
      </w:r>
      <w:r w:rsidRPr="00ED5E25">
        <w:rPr>
          <w:szCs w:val="24"/>
        </w:rPr>
        <w:t xml:space="preserve">the </w:t>
      </w:r>
      <w:r>
        <w:rPr>
          <w:szCs w:val="24"/>
        </w:rPr>
        <w:t xml:space="preserve">heading </w:t>
      </w:r>
      <w:r w:rsidR="00987211">
        <w:rPr>
          <w:szCs w:val="24"/>
        </w:rPr>
        <w:t xml:space="preserve">(not including the note) </w:t>
      </w:r>
      <w:r>
        <w:rPr>
          <w:szCs w:val="24"/>
        </w:rPr>
        <w:t>of Schedule</w:t>
      </w:r>
      <w:r w:rsidR="00987211">
        <w:rPr>
          <w:szCs w:val="24"/>
        </w:rPr>
        <w:t> </w:t>
      </w:r>
      <w:r>
        <w:rPr>
          <w:szCs w:val="24"/>
        </w:rPr>
        <w:t>3</w:t>
      </w:r>
      <w:r w:rsidR="00987211">
        <w:rPr>
          <w:szCs w:val="24"/>
        </w:rPr>
        <w:t xml:space="preserve"> of the Citizenship Regulations so that it reads as “Schedule 3 – Amounts to accompany applications”</w:t>
      </w:r>
      <w:r>
        <w:rPr>
          <w:szCs w:val="24"/>
        </w:rPr>
        <w:t>.</w:t>
      </w:r>
    </w:p>
    <w:p w:rsidR="00ED5E25" w:rsidRDefault="00ED5E25">
      <w:pPr>
        <w:tabs>
          <w:tab w:val="left" w:pos="8364"/>
        </w:tabs>
        <w:spacing w:before="0"/>
        <w:ind w:right="84"/>
        <w:rPr>
          <w:szCs w:val="24"/>
        </w:rPr>
      </w:pPr>
    </w:p>
    <w:p w:rsidR="00987211" w:rsidRDefault="00987211">
      <w:pPr>
        <w:tabs>
          <w:tab w:val="left" w:pos="8364"/>
        </w:tabs>
        <w:spacing w:before="0"/>
        <w:ind w:right="84"/>
        <w:rPr>
          <w:szCs w:val="24"/>
        </w:rPr>
      </w:pPr>
      <w:r>
        <w:rPr>
          <w:szCs w:val="24"/>
        </w:rPr>
        <w:t xml:space="preserve">This is a technical amendment and is made for the purpose of </w:t>
      </w:r>
      <w:r w:rsidR="00241A57">
        <w:rPr>
          <w:szCs w:val="24"/>
        </w:rPr>
        <w:t>facilitating the operation of the amendments made at item 2 above, which provides for the fee to accompany a citizenship application to include the amount set out in Schedule 3 and a credit card surcharge (if applicable).  This amendment has the effect of directing interested persons to the amounts that will be part of the relevant fee associated with a citizenship application.</w:t>
      </w:r>
    </w:p>
    <w:p w:rsidR="00ED5E25" w:rsidRDefault="00ED5E25">
      <w:pPr>
        <w:tabs>
          <w:tab w:val="left" w:pos="8364"/>
        </w:tabs>
        <w:spacing w:before="0"/>
        <w:ind w:right="84"/>
      </w:pPr>
    </w:p>
    <w:p w:rsidR="007C6216" w:rsidRPr="00ED5E25" w:rsidRDefault="007C6216">
      <w:pPr>
        <w:keepNext/>
        <w:keepLines/>
        <w:tabs>
          <w:tab w:val="left" w:pos="8364"/>
        </w:tabs>
        <w:spacing w:before="0"/>
        <w:ind w:right="84"/>
        <w:rPr>
          <w:szCs w:val="24"/>
          <w:u w:val="single"/>
        </w:rPr>
      </w:pPr>
      <w:r w:rsidRPr="00ED5E25">
        <w:rPr>
          <w:szCs w:val="24"/>
          <w:u w:val="single"/>
        </w:rPr>
        <w:t>Item</w:t>
      </w:r>
      <w:r w:rsidR="00241A57">
        <w:rPr>
          <w:szCs w:val="24"/>
          <w:u w:val="single"/>
        </w:rPr>
        <w:t> </w:t>
      </w:r>
      <w:r w:rsidR="00A667D0">
        <w:rPr>
          <w:szCs w:val="24"/>
          <w:u w:val="single"/>
        </w:rPr>
        <w:t>11</w:t>
      </w:r>
      <w:r w:rsidRPr="00ED5E25">
        <w:rPr>
          <w:szCs w:val="24"/>
          <w:u w:val="single"/>
        </w:rPr>
        <w:t xml:space="preserve"> </w:t>
      </w:r>
      <w:r w:rsidR="00241A57">
        <w:rPr>
          <w:szCs w:val="24"/>
          <w:u w:val="single"/>
        </w:rPr>
        <w:t>–</w:t>
      </w:r>
      <w:r w:rsidRPr="00ED5E25">
        <w:rPr>
          <w:szCs w:val="24"/>
          <w:u w:val="single"/>
        </w:rPr>
        <w:t xml:space="preserve"> </w:t>
      </w:r>
      <w:r w:rsidRPr="007C6216">
        <w:rPr>
          <w:szCs w:val="24"/>
          <w:u w:val="single"/>
        </w:rPr>
        <w:t>Schedule</w:t>
      </w:r>
      <w:r w:rsidR="00241A57">
        <w:rPr>
          <w:szCs w:val="24"/>
          <w:u w:val="single"/>
        </w:rPr>
        <w:t> </w:t>
      </w:r>
      <w:r w:rsidRPr="007C6216">
        <w:rPr>
          <w:szCs w:val="24"/>
          <w:u w:val="single"/>
        </w:rPr>
        <w:t>3 (table, heading to column headed “Fee”)</w:t>
      </w:r>
    </w:p>
    <w:p w:rsidR="007C6216" w:rsidRPr="002D4AC4" w:rsidRDefault="007C6216">
      <w:pPr>
        <w:keepNext/>
        <w:keepLines/>
        <w:tabs>
          <w:tab w:val="left" w:pos="8364"/>
        </w:tabs>
        <w:spacing w:before="0"/>
        <w:ind w:right="84"/>
        <w:rPr>
          <w:szCs w:val="24"/>
        </w:rPr>
      </w:pPr>
    </w:p>
    <w:p w:rsidR="00241A57" w:rsidRPr="002D4AC4" w:rsidRDefault="00A77AA0">
      <w:pPr>
        <w:keepNext/>
        <w:keepLines/>
        <w:tabs>
          <w:tab w:val="left" w:pos="8364"/>
        </w:tabs>
        <w:spacing w:before="0"/>
        <w:ind w:right="84"/>
        <w:rPr>
          <w:szCs w:val="24"/>
        </w:rPr>
      </w:pPr>
      <w:r>
        <w:rPr>
          <w:szCs w:val="24"/>
        </w:rPr>
        <w:t>This item amends table under Schedule 3 of the Citizenship Regulations to repeal the heading to the column head “Fee” and in its place substitute with “Amount”.</w:t>
      </w:r>
    </w:p>
    <w:p w:rsidR="00241A57" w:rsidRDefault="00241A57">
      <w:pPr>
        <w:tabs>
          <w:tab w:val="left" w:pos="8364"/>
        </w:tabs>
        <w:spacing w:before="0"/>
        <w:ind w:right="84"/>
        <w:rPr>
          <w:szCs w:val="24"/>
        </w:rPr>
      </w:pPr>
    </w:p>
    <w:p w:rsidR="00241A57" w:rsidRDefault="00A77AA0">
      <w:pPr>
        <w:tabs>
          <w:tab w:val="left" w:pos="8364"/>
        </w:tabs>
        <w:spacing w:before="0"/>
        <w:ind w:right="84"/>
        <w:rPr>
          <w:szCs w:val="24"/>
        </w:rPr>
      </w:pPr>
      <w:r>
        <w:rPr>
          <w:szCs w:val="24"/>
        </w:rPr>
        <w:t xml:space="preserve">Similar to the amendments above, this is a technical amendment and is made for the purpose of facilitating the operation of the amendments made at item 2, which provides for the fee to accompany a citizenship application to include the </w:t>
      </w:r>
      <w:r w:rsidR="00000788">
        <w:rPr>
          <w:szCs w:val="24"/>
        </w:rPr>
        <w:t>‘A</w:t>
      </w:r>
      <w:r>
        <w:rPr>
          <w:szCs w:val="24"/>
        </w:rPr>
        <w:t>mount</w:t>
      </w:r>
      <w:r w:rsidR="00000788">
        <w:rPr>
          <w:szCs w:val="24"/>
        </w:rPr>
        <w:t>’</w:t>
      </w:r>
      <w:r>
        <w:rPr>
          <w:szCs w:val="24"/>
        </w:rPr>
        <w:t xml:space="preserve"> set out in Schedule 3 and a credit card surcharge</w:t>
      </w:r>
      <w:r w:rsidR="00000788">
        <w:rPr>
          <w:szCs w:val="24"/>
        </w:rPr>
        <w:t xml:space="preserve"> amount</w:t>
      </w:r>
      <w:r>
        <w:rPr>
          <w:szCs w:val="24"/>
        </w:rPr>
        <w:t xml:space="preserve"> (if applicable).  This amendment has the effect of assisting interested persons to ascertain the “amount” excluding the credit card surcharge (if any) that must accompany a citizenship application.</w:t>
      </w:r>
    </w:p>
    <w:p w:rsidR="00C6211D" w:rsidRDefault="00C6211D">
      <w:pPr>
        <w:tabs>
          <w:tab w:val="left" w:pos="8364"/>
        </w:tabs>
        <w:spacing w:before="0"/>
        <w:ind w:right="84"/>
      </w:pPr>
    </w:p>
    <w:p w:rsidR="00902C31" w:rsidRPr="002D4AC4" w:rsidRDefault="00902C31">
      <w:pPr>
        <w:keepNext/>
        <w:keepLines/>
        <w:tabs>
          <w:tab w:val="left" w:pos="8364"/>
        </w:tabs>
        <w:spacing w:before="0"/>
        <w:ind w:right="84"/>
        <w:rPr>
          <w:b/>
          <w:i/>
          <w:szCs w:val="24"/>
        </w:rPr>
      </w:pPr>
      <w:r w:rsidRPr="002D4AC4">
        <w:rPr>
          <w:b/>
          <w:i/>
          <w:szCs w:val="24"/>
        </w:rPr>
        <w:t>Part</w:t>
      </w:r>
      <w:r w:rsidR="00557EF4">
        <w:rPr>
          <w:b/>
          <w:i/>
          <w:szCs w:val="24"/>
        </w:rPr>
        <w:t> </w:t>
      </w:r>
      <w:r w:rsidRPr="002D4AC4">
        <w:rPr>
          <w:b/>
          <w:i/>
          <w:szCs w:val="24"/>
        </w:rPr>
        <w:t>2 – Application and transitional provisions</w:t>
      </w:r>
    </w:p>
    <w:p w:rsidR="00902C31" w:rsidRPr="00AF114B" w:rsidRDefault="00902C31">
      <w:pPr>
        <w:keepNext/>
        <w:keepLines/>
        <w:tabs>
          <w:tab w:val="left" w:pos="8364"/>
        </w:tabs>
        <w:spacing w:before="0"/>
        <w:ind w:right="84"/>
        <w:rPr>
          <w:szCs w:val="24"/>
        </w:rPr>
      </w:pPr>
    </w:p>
    <w:p w:rsidR="00557EF4" w:rsidRDefault="00902C31">
      <w:pPr>
        <w:keepNext/>
        <w:keepLines/>
        <w:tabs>
          <w:tab w:val="left" w:pos="8364"/>
        </w:tabs>
        <w:spacing w:before="0"/>
        <w:ind w:right="84"/>
        <w:rPr>
          <w:szCs w:val="24"/>
          <w:u w:val="single"/>
        </w:rPr>
      </w:pPr>
      <w:r>
        <w:rPr>
          <w:szCs w:val="24"/>
          <w:u w:val="single"/>
        </w:rPr>
        <w:t>Item </w:t>
      </w:r>
      <w:r w:rsidR="00A667D0">
        <w:rPr>
          <w:szCs w:val="24"/>
          <w:u w:val="single"/>
        </w:rPr>
        <w:t>12</w:t>
      </w:r>
      <w:r w:rsidRPr="00AF114B">
        <w:rPr>
          <w:szCs w:val="24"/>
          <w:u w:val="single"/>
        </w:rPr>
        <w:t xml:space="preserve"> – </w:t>
      </w:r>
      <w:r w:rsidR="00557EF4">
        <w:rPr>
          <w:szCs w:val="24"/>
          <w:u w:val="single"/>
        </w:rPr>
        <w:t>At the end of Part 4</w:t>
      </w:r>
    </w:p>
    <w:p w:rsidR="00557EF4" w:rsidRDefault="00557EF4">
      <w:pPr>
        <w:keepNext/>
        <w:keepLines/>
        <w:tabs>
          <w:tab w:val="left" w:pos="8364"/>
        </w:tabs>
        <w:spacing w:before="0"/>
        <w:ind w:right="84"/>
        <w:rPr>
          <w:szCs w:val="24"/>
        </w:rPr>
      </w:pPr>
    </w:p>
    <w:p w:rsidR="00902C31" w:rsidRPr="00AF114B" w:rsidRDefault="00557EF4">
      <w:pPr>
        <w:keepNext/>
        <w:keepLines/>
        <w:tabs>
          <w:tab w:val="left" w:pos="8364"/>
        </w:tabs>
        <w:spacing w:before="0"/>
        <w:ind w:right="84"/>
        <w:rPr>
          <w:szCs w:val="24"/>
          <w:u w:val="single"/>
        </w:rPr>
      </w:pPr>
      <w:r>
        <w:rPr>
          <w:szCs w:val="24"/>
        </w:rPr>
        <w:t>This item amends Part 4 of the Citizenship Regulations to insert a new clause 26, entitled “Amendments made by the Australia Citizenship Amendment (Credit Card Surcharge) Regulation 2014”.</w:t>
      </w:r>
    </w:p>
    <w:p w:rsidR="00C6211D" w:rsidRDefault="00C6211D">
      <w:pPr>
        <w:tabs>
          <w:tab w:val="left" w:pos="8364"/>
        </w:tabs>
        <w:spacing w:before="0"/>
        <w:ind w:right="84"/>
      </w:pPr>
    </w:p>
    <w:p w:rsidR="008F631B" w:rsidRPr="00AF114B" w:rsidRDefault="00557EF4">
      <w:pPr>
        <w:tabs>
          <w:tab w:val="left" w:pos="8364"/>
        </w:tabs>
        <w:spacing w:before="0"/>
        <w:ind w:right="84"/>
        <w:rPr>
          <w:szCs w:val="24"/>
        </w:rPr>
      </w:pPr>
      <w:r>
        <w:t>The purpose of this amendment is to set out the citizenship applications to which the amendments will apply.</w:t>
      </w:r>
    </w:p>
    <w:sectPr w:rsidR="008F631B" w:rsidRPr="00AF114B" w:rsidSect="0093233E">
      <w:pgSz w:w="11906" w:h="16838"/>
      <w:pgMar w:top="1440" w:right="1800"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211" w:rsidRDefault="00987211" w:rsidP="0093233E">
      <w:pPr>
        <w:spacing w:before="0"/>
      </w:pPr>
      <w:r>
        <w:separator/>
      </w:r>
    </w:p>
  </w:endnote>
  <w:endnote w:type="continuationSeparator" w:id="0">
    <w:p w:rsidR="00987211" w:rsidRDefault="00987211" w:rsidP="0093233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211" w:rsidRDefault="00987211" w:rsidP="0093233E">
      <w:pPr>
        <w:spacing w:before="0"/>
      </w:pPr>
      <w:r>
        <w:separator/>
      </w:r>
    </w:p>
  </w:footnote>
  <w:footnote w:type="continuationSeparator" w:id="0">
    <w:p w:rsidR="00987211" w:rsidRDefault="00987211" w:rsidP="0093233E">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211" w:rsidRDefault="00987211">
    <w:pPr>
      <w:pStyle w:val="Header"/>
      <w:jc w:val="center"/>
    </w:pPr>
    <w:r>
      <w:fldChar w:fldCharType="begin"/>
    </w:r>
    <w:r>
      <w:instrText xml:space="preserve"> PAGE   \* MERGEFORMAT </w:instrText>
    </w:r>
    <w:r>
      <w:fldChar w:fldCharType="separate"/>
    </w:r>
    <w:r w:rsidR="00F57776">
      <w:rPr>
        <w:noProof/>
      </w:rPr>
      <w:t>2</w:t>
    </w:r>
    <w:r>
      <w:rPr>
        <w:noProof/>
      </w:rPr>
      <w:fldChar w:fldCharType="end"/>
    </w:r>
  </w:p>
  <w:p w:rsidR="00987211" w:rsidRDefault="009872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30A6"/>
    <w:multiLevelType w:val="hybridMultilevel"/>
    <w:tmpl w:val="297CD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E114C4C"/>
    <w:multiLevelType w:val="hybridMultilevel"/>
    <w:tmpl w:val="660EB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4134A7A"/>
    <w:multiLevelType w:val="hybridMultilevel"/>
    <w:tmpl w:val="CCC08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EA565A9"/>
    <w:multiLevelType w:val="hybridMultilevel"/>
    <w:tmpl w:val="E5801D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EC8077F"/>
    <w:multiLevelType w:val="hybridMultilevel"/>
    <w:tmpl w:val="70063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29E3C27"/>
    <w:multiLevelType w:val="hybridMultilevel"/>
    <w:tmpl w:val="D84EE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DA25FFF"/>
    <w:multiLevelType w:val="hybridMultilevel"/>
    <w:tmpl w:val="0B3C4E82"/>
    <w:lvl w:ilvl="0" w:tplc="0C090003">
      <w:start w:val="1"/>
      <w:numFmt w:val="bullet"/>
      <w:lvlText w:val="o"/>
      <w:lvlJc w:val="left"/>
      <w:pPr>
        <w:tabs>
          <w:tab w:val="num" w:pos="1080"/>
        </w:tabs>
        <w:ind w:left="1080" w:hanging="360"/>
      </w:pPr>
      <w:rPr>
        <w:rFonts w:ascii="Courier New" w:hAnsi="Courier New" w:cs="Courier New"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7">
    <w:nsid w:val="31CC2B6E"/>
    <w:multiLevelType w:val="hybridMultilevel"/>
    <w:tmpl w:val="33DAC3CE"/>
    <w:lvl w:ilvl="0" w:tplc="8A7E7AA2">
      <w:start w:val="1"/>
      <w:numFmt w:val="lowerRoman"/>
      <w:lvlText w:val="(%1)"/>
      <w:lvlJc w:val="left"/>
      <w:pPr>
        <w:ind w:left="2490" w:hanging="720"/>
      </w:pPr>
      <w:rPr>
        <w:rFonts w:hint="default"/>
      </w:rPr>
    </w:lvl>
    <w:lvl w:ilvl="1" w:tplc="0C090019" w:tentative="1">
      <w:start w:val="1"/>
      <w:numFmt w:val="lowerLetter"/>
      <w:lvlText w:val="%2."/>
      <w:lvlJc w:val="left"/>
      <w:pPr>
        <w:ind w:left="2850" w:hanging="360"/>
      </w:pPr>
    </w:lvl>
    <w:lvl w:ilvl="2" w:tplc="0C09001B" w:tentative="1">
      <w:start w:val="1"/>
      <w:numFmt w:val="lowerRoman"/>
      <w:lvlText w:val="%3."/>
      <w:lvlJc w:val="right"/>
      <w:pPr>
        <w:ind w:left="3570" w:hanging="180"/>
      </w:pPr>
    </w:lvl>
    <w:lvl w:ilvl="3" w:tplc="0C09000F" w:tentative="1">
      <w:start w:val="1"/>
      <w:numFmt w:val="decimal"/>
      <w:lvlText w:val="%4."/>
      <w:lvlJc w:val="left"/>
      <w:pPr>
        <w:ind w:left="4290" w:hanging="360"/>
      </w:pPr>
    </w:lvl>
    <w:lvl w:ilvl="4" w:tplc="0C090019" w:tentative="1">
      <w:start w:val="1"/>
      <w:numFmt w:val="lowerLetter"/>
      <w:lvlText w:val="%5."/>
      <w:lvlJc w:val="left"/>
      <w:pPr>
        <w:ind w:left="5010" w:hanging="360"/>
      </w:pPr>
    </w:lvl>
    <w:lvl w:ilvl="5" w:tplc="0C09001B" w:tentative="1">
      <w:start w:val="1"/>
      <w:numFmt w:val="lowerRoman"/>
      <w:lvlText w:val="%6."/>
      <w:lvlJc w:val="right"/>
      <w:pPr>
        <w:ind w:left="5730" w:hanging="180"/>
      </w:pPr>
    </w:lvl>
    <w:lvl w:ilvl="6" w:tplc="0C09000F" w:tentative="1">
      <w:start w:val="1"/>
      <w:numFmt w:val="decimal"/>
      <w:lvlText w:val="%7."/>
      <w:lvlJc w:val="left"/>
      <w:pPr>
        <w:ind w:left="6450" w:hanging="360"/>
      </w:pPr>
    </w:lvl>
    <w:lvl w:ilvl="7" w:tplc="0C090019" w:tentative="1">
      <w:start w:val="1"/>
      <w:numFmt w:val="lowerLetter"/>
      <w:lvlText w:val="%8."/>
      <w:lvlJc w:val="left"/>
      <w:pPr>
        <w:ind w:left="7170" w:hanging="360"/>
      </w:pPr>
    </w:lvl>
    <w:lvl w:ilvl="8" w:tplc="0C09001B" w:tentative="1">
      <w:start w:val="1"/>
      <w:numFmt w:val="lowerRoman"/>
      <w:lvlText w:val="%9."/>
      <w:lvlJc w:val="right"/>
      <w:pPr>
        <w:ind w:left="7890" w:hanging="180"/>
      </w:pPr>
    </w:lvl>
  </w:abstractNum>
  <w:abstractNum w:abstractNumId="8">
    <w:nsid w:val="5172431B"/>
    <w:multiLevelType w:val="hybridMultilevel"/>
    <w:tmpl w:val="3DAA296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56277041"/>
    <w:multiLevelType w:val="hybridMultilevel"/>
    <w:tmpl w:val="52FE6C76"/>
    <w:lvl w:ilvl="0" w:tplc="401A9518">
      <w:start w:val="1"/>
      <w:numFmt w:val="lowerLetter"/>
      <w:lvlText w:val="(%1)"/>
      <w:lvlJc w:val="left"/>
      <w:pPr>
        <w:ind w:left="1635" w:hanging="360"/>
      </w:pPr>
      <w:rPr>
        <w:rFonts w:hint="default"/>
      </w:rPr>
    </w:lvl>
    <w:lvl w:ilvl="1" w:tplc="0C090019" w:tentative="1">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10">
    <w:nsid w:val="612D35E2"/>
    <w:multiLevelType w:val="hybridMultilevel"/>
    <w:tmpl w:val="9656FC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3997F82"/>
    <w:multiLevelType w:val="hybridMultilevel"/>
    <w:tmpl w:val="D2F242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D9C13B3"/>
    <w:multiLevelType w:val="hybridMultilevel"/>
    <w:tmpl w:val="72E4FBBE"/>
    <w:lvl w:ilvl="0" w:tplc="0C090001">
      <w:start w:val="1"/>
      <w:numFmt w:val="bullet"/>
      <w:lvlText w:val=""/>
      <w:lvlJc w:val="left"/>
      <w:pPr>
        <w:tabs>
          <w:tab w:val="num" w:pos="720"/>
        </w:tabs>
        <w:ind w:left="720" w:hanging="360"/>
      </w:pPr>
      <w:rPr>
        <w:rFonts w:ascii="Symbol" w:hAnsi="Symbol" w:hint="default"/>
        <w:color w:val="auto"/>
      </w:rPr>
    </w:lvl>
    <w:lvl w:ilvl="1" w:tplc="0C090001">
      <w:start w:val="1"/>
      <w:numFmt w:val="bullet"/>
      <w:lvlText w:val=""/>
      <w:lvlJc w:val="left"/>
      <w:pPr>
        <w:tabs>
          <w:tab w:val="num" w:pos="-2160"/>
        </w:tabs>
        <w:ind w:left="-2160" w:hanging="360"/>
      </w:pPr>
      <w:rPr>
        <w:rFonts w:ascii="Symbol" w:hAnsi="Symbol" w:hint="default"/>
        <w:color w:val="auto"/>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720"/>
        </w:tabs>
        <w:ind w:left="-720" w:hanging="360"/>
      </w:pPr>
      <w:rPr>
        <w:rFonts w:ascii="Symbol" w:hAnsi="Symbol" w:hint="default"/>
      </w:rPr>
    </w:lvl>
    <w:lvl w:ilvl="4" w:tplc="0C090003" w:tentative="1">
      <w:start w:val="1"/>
      <w:numFmt w:val="bullet"/>
      <w:lvlText w:val="o"/>
      <w:lvlJc w:val="left"/>
      <w:pPr>
        <w:tabs>
          <w:tab w:val="num" w:pos="0"/>
        </w:tabs>
        <w:ind w:left="0" w:hanging="360"/>
      </w:pPr>
      <w:rPr>
        <w:rFonts w:ascii="Courier New" w:hAnsi="Courier New" w:cs="Courier New" w:hint="default"/>
      </w:rPr>
    </w:lvl>
    <w:lvl w:ilvl="5" w:tplc="0C090005" w:tentative="1">
      <w:start w:val="1"/>
      <w:numFmt w:val="bullet"/>
      <w:lvlText w:val=""/>
      <w:lvlJc w:val="left"/>
      <w:pPr>
        <w:tabs>
          <w:tab w:val="num" w:pos="720"/>
        </w:tabs>
        <w:ind w:left="720" w:hanging="360"/>
      </w:pPr>
      <w:rPr>
        <w:rFonts w:ascii="Wingdings" w:hAnsi="Wingdings" w:hint="default"/>
      </w:rPr>
    </w:lvl>
    <w:lvl w:ilvl="6" w:tplc="0C090001" w:tentative="1">
      <w:start w:val="1"/>
      <w:numFmt w:val="bullet"/>
      <w:lvlText w:val=""/>
      <w:lvlJc w:val="left"/>
      <w:pPr>
        <w:tabs>
          <w:tab w:val="num" w:pos="1440"/>
        </w:tabs>
        <w:ind w:left="1440" w:hanging="360"/>
      </w:pPr>
      <w:rPr>
        <w:rFonts w:ascii="Symbol" w:hAnsi="Symbol" w:hint="default"/>
      </w:rPr>
    </w:lvl>
    <w:lvl w:ilvl="7" w:tplc="0C090003" w:tentative="1">
      <w:start w:val="1"/>
      <w:numFmt w:val="bullet"/>
      <w:lvlText w:val="o"/>
      <w:lvlJc w:val="left"/>
      <w:pPr>
        <w:tabs>
          <w:tab w:val="num" w:pos="2160"/>
        </w:tabs>
        <w:ind w:left="2160" w:hanging="360"/>
      </w:pPr>
      <w:rPr>
        <w:rFonts w:ascii="Courier New" w:hAnsi="Courier New" w:cs="Courier New" w:hint="default"/>
      </w:rPr>
    </w:lvl>
    <w:lvl w:ilvl="8" w:tplc="0C090005" w:tentative="1">
      <w:start w:val="1"/>
      <w:numFmt w:val="bullet"/>
      <w:lvlText w:val=""/>
      <w:lvlJc w:val="left"/>
      <w:pPr>
        <w:tabs>
          <w:tab w:val="num" w:pos="2880"/>
        </w:tabs>
        <w:ind w:left="2880" w:hanging="360"/>
      </w:pPr>
      <w:rPr>
        <w:rFonts w:ascii="Wingdings" w:hAnsi="Wingdings" w:hint="default"/>
      </w:rPr>
    </w:lvl>
  </w:abstractNum>
  <w:num w:numId="1">
    <w:abstractNumId w:val="12"/>
  </w:num>
  <w:num w:numId="2">
    <w:abstractNumId w:val="8"/>
  </w:num>
  <w:num w:numId="3">
    <w:abstractNumId w:val="0"/>
  </w:num>
  <w:num w:numId="4">
    <w:abstractNumId w:val="3"/>
  </w:num>
  <w:num w:numId="5">
    <w:abstractNumId w:val="6"/>
  </w:num>
  <w:num w:numId="6">
    <w:abstractNumId w:val="10"/>
  </w:num>
  <w:num w:numId="7">
    <w:abstractNumId w:val="11"/>
  </w:num>
  <w:num w:numId="8">
    <w:abstractNumId w:val="9"/>
  </w:num>
  <w:num w:numId="9">
    <w:abstractNumId w:val="7"/>
  </w:num>
  <w:num w:numId="10">
    <w:abstractNumId w:val="5"/>
  </w:num>
  <w:num w:numId="11">
    <w:abstractNumId w:val="4"/>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70F"/>
    <w:rsid w:val="00000788"/>
    <w:rsid w:val="0001665D"/>
    <w:rsid w:val="000201E6"/>
    <w:rsid w:val="000265DA"/>
    <w:rsid w:val="0003763D"/>
    <w:rsid w:val="00037AE3"/>
    <w:rsid w:val="00067902"/>
    <w:rsid w:val="00080CF3"/>
    <w:rsid w:val="0008381D"/>
    <w:rsid w:val="00090282"/>
    <w:rsid w:val="000B127B"/>
    <w:rsid w:val="000B2E96"/>
    <w:rsid w:val="000C2141"/>
    <w:rsid w:val="000D0FD8"/>
    <w:rsid w:val="000F3379"/>
    <w:rsid w:val="000F3768"/>
    <w:rsid w:val="000F7A55"/>
    <w:rsid w:val="00103664"/>
    <w:rsid w:val="00115915"/>
    <w:rsid w:val="00127021"/>
    <w:rsid w:val="001377FD"/>
    <w:rsid w:val="00143C13"/>
    <w:rsid w:val="00143D29"/>
    <w:rsid w:val="00171640"/>
    <w:rsid w:val="00177E80"/>
    <w:rsid w:val="00190958"/>
    <w:rsid w:val="00191701"/>
    <w:rsid w:val="00191AB2"/>
    <w:rsid w:val="00194A5D"/>
    <w:rsid w:val="001C4054"/>
    <w:rsid w:val="001D66D0"/>
    <w:rsid w:val="001E26D1"/>
    <w:rsid w:val="00212404"/>
    <w:rsid w:val="00241A57"/>
    <w:rsid w:val="00255929"/>
    <w:rsid w:val="00260A87"/>
    <w:rsid w:val="00270106"/>
    <w:rsid w:val="00271379"/>
    <w:rsid w:val="002862B8"/>
    <w:rsid w:val="00291765"/>
    <w:rsid w:val="002A1945"/>
    <w:rsid w:val="002C3EA2"/>
    <w:rsid w:val="002D4AC4"/>
    <w:rsid w:val="002D6818"/>
    <w:rsid w:val="002D7556"/>
    <w:rsid w:val="002E32BE"/>
    <w:rsid w:val="002E3E9D"/>
    <w:rsid w:val="002E7F9D"/>
    <w:rsid w:val="002F1AFA"/>
    <w:rsid w:val="002F6643"/>
    <w:rsid w:val="003018A8"/>
    <w:rsid w:val="00311C28"/>
    <w:rsid w:val="00324B2F"/>
    <w:rsid w:val="00345109"/>
    <w:rsid w:val="003463A2"/>
    <w:rsid w:val="00346F11"/>
    <w:rsid w:val="0034700A"/>
    <w:rsid w:val="003520A3"/>
    <w:rsid w:val="003A1C24"/>
    <w:rsid w:val="003A511E"/>
    <w:rsid w:val="003A77EA"/>
    <w:rsid w:val="003A7F6D"/>
    <w:rsid w:val="003B134A"/>
    <w:rsid w:val="003B76FE"/>
    <w:rsid w:val="003D731E"/>
    <w:rsid w:val="003F7C48"/>
    <w:rsid w:val="0040415D"/>
    <w:rsid w:val="00410392"/>
    <w:rsid w:val="0041076F"/>
    <w:rsid w:val="00425B7B"/>
    <w:rsid w:val="00425FB4"/>
    <w:rsid w:val="0042670F"/>
    <w:rsid w:val="004273EA"/>
    <w:rsid w:val="00435989"/>
    <w:rsid w:val="0043622D"/>
    <w:rsid w:val="00437A04"/>
    <w:rsid w:val="004445B8"/>
    <w:rsid w:val="004451B3"/>
    <w:rsid w:val="004615FC"/>
    <w:rsid w:val="004B31D4"/>
    <w:rsid w:val="004B549E"/>
    <w:rsid w:val="004B5ED5"/>
    <w:rsid w:val="004B7EBF"/>
    <w:rsid w:val="004C4F7C"/>
    <w:rsid w:val="004D4048"/>
    <w:rsid w:val="00513E78"/>
    <w:rsid w:val="00541156"/>
    <w:rsid w:val="00544ED6"/>
    <w:rsid w:val="00546A8B"/>
    <w:rsid w:val="00557BBC"/>
    <w:rsid w:val="00557EF4"/>
    <w:rsid w:val="005850D5"/>
    <w:rsid w:val="00592197"/>
    <w:rsid w:val="0059468F"/>
    <w:rsid w:val="005A1173"/>
    <w:rsid w:val="005A56AF"/>
    <w:rsid w:val="005B69F9"/>
    <w:rsid w:val="005C4482"/>
    <w:rsid w:val="005C556A"/>
    <w:rsid w:val="005C6B06"/>
    <w:rsid w:val="005C74CD"/>
    <w:rsid w:val="005E27E6"/>
    <w:rsid w:val="005E79B7"/>
    <w:rsid w:val="005F55AB"/>
    <w:rsid w:val="00603192"/>
    <w:rsid w:val="0061203D"/>
    <w:rsid w:val="00615C60"/>
    <w:rsid w:val="006219D3"/>
    <w:rsid w:val="00635C31"/>
    <w:rsid w:val="0064274B"/>
    <w:rsid w:val="0066332B"/>
    <w:rsid w:val="00672A55"/>
    <w:rsid w:val="00676456"/>
    <w:rsid w:val="006775BE"/>
    <w:rsid w:val="0069355D"/>
    <w:rsid w:val="006A1371"/>
    <w:rsid w:val="006B2E6A"/>
    <w:rsid w:val="006E206C"/>
    <w:rsid w:val="006E4614"/>
    <w:rsid w:val="006E72F1"/>
    <w:rsid w:val="006F0439"/>
    <w:rsid w:val="00710AF3"/>
    <w:rsid w:val="007378FF"/>
    <w:rsid w:val="007448D1"/>
    <w:rsid w:val="00770806"/>
    <w:rsid w:val="00770C57"/>
    <w:rsid w:val="00784919"/>
    <w:rsid w:val="00793189"/>
    <w:rsid w:val="007938E6"/>
    <w:rsid w:val="007947D7"/>
    <w:rsid w:val="007A21C7"/>
    <w:rsid w:val="007C5D63"/>
    <w:rsid w:val="007C6216"/>
    <w:rsid w:val="007E096F"/>
    <w:rsid w:val="007F55CC"/>
    <w:rsid w:val="00811C01"/>
    <w:rsid w:val="00816DB0"/>
    <w:rsid w:val="00837FCC"/>
    <w:rsid w:val="00845C03"/>
    <w:rsid w:val="00851256"/>
    <w:rsid w:val="00862224"/>
    <w:rsid w:val="00890E70"/>
    <w:rsid w:val="0089176C"/>
    <w:rsid w:val="008917C8"/>
    <w:rsid w:val="0089226B"/>
    <w:rsid w:val="008C3F95"/>
    <w:rsid w:val="008D1CD0"/>
    <w:rsid w:val="008D54CA"/>
    <w:rsid w:val="008D56CE"/>
    <w:rsid w:val="008F279F"/>
    <w:rsid w:val="008F631B"/>
    <w:rsid w:val="00902C31"/>
    <w:rsid w:val="0090389A"/>
    <w:rsid w:val="0090738C"/>
    <w:rsid w:val="00925162"/>
    <w:rsid w:val="00926517"/>
    <w:rsid w:val="0093233E"/>
    <w:rsid w:val="0094684C"/>
    <w:rsid w:val="0095627E"/>
    <w:rsid w:val="0096363B"/>
    <w:rsid w:val="00966DF5"/>
    <w:rsid w:val="00987211"/>
    <w:rsid w:val="00992647"/>
    <w:rsid w:val="00992872"/>
    <w:rsid w:val="0099445F"/>
    <w:rsid w:val="009A795D"/>
    <w:rsid w:val="009B54B5"/>
    <w:rsid w:val="009D7CD6"/>
    <w:rsid w:val="009E2C22"/>
    <w:rsid w:val="009E4EED"/>
    <w:rsid w:val="009E7525"/>
    <w:rsid w:val="00A04EF5"/>
    <w:rsid w:val="00A10898"/>
    <w:rsid w:val="00A149A4"/>
    <w:rsid w:val="00A1640A"/>
    <w:rsid w:val="00A24AE8"/>
    <w:rsid w:val="00A24ED6"/>
    <w:rsid w:val="00A260F4"/>
    <w:rsid w:val="00A439DF"/>
    <w:rsid w:val="00A5338A"/>
    <w:rsid w:val="00A5773B"/>
    <w:rsid w:val="00A638AD"/>
    <w:rsid w:val="00A667D0"/>
    <w:rsid w:val="00A77AA0"/>
    <w:rsid w:val="00A835D8"/>
    <w:rsid w:val="00A879E6"/>
    <w:rsid w:val="00A92C4C"/>
    <w:rsid w:val="00A93DE0"/>
    <w:rsid w:val="00A95B54"/>
    <w:rsid w:val="00A97779"/>
    <w:rsid w:val="00AA6830"/>
    <w:rsid w:val="00AF114B"/>
    <w:rsid w:val="00AF48F7"/>
    <w:rsid w:val="00B13B6A"/>
    <w:rsid w:val="00B2272F"/>
    <w:rsid w:val="00B326C2"/>
    <w:rsid w:val="00B37874"/>
    <w:rsid w:val="00B44D62"/>
    <w:rsid w:val="00B475AC"/>
    <w:rsid w:val="00B62475"/>
    <w:rsid w:val="00B6508E"/>
    <w:rsid w:val="00B66849"/>
    <w:rsid w:val="00B90181"/>
    <w:rsid w:val="00B92BCE"/>
    <w:rsid w:val="00C036BA"/>
    <w:rsid w:val="00C12F71"/>
    <w:rsid w:val="00C45955"/>
    <w:rsid w:val="00C6211D"/>
    <w:rsid w:val="00C6398A"/>
    <w:rsid w:val="00C63D54"/>
    <w:rsid w:val="00C721E3"/>
    <w:rsid w:val="00C73B74"/>
    <w:rsid w:val="00C815D3"/>
    <w:rsid w:val="00C9585A"/>
    <w:rsid w:val="00CC557C"/>
    <w:rsid w:val="00CC6F94"/>
    <w:rsid w:val="00D00658"/>
    <w:rsid w:val="00D03D22"/>
    <w:rsid w:val="00D05E47"/>
    <w:rsid w:val="00D11DAA"/>
    <w:rsid w:val="00D1643C"/>
    <w:rsid w:val="00D24F1B"/>
    <w:rsid w:val="00D25C51"/>
    <w:rsid w:val="00D33CFD"/>
    <w:rsid w:val="00D53607"/>
    <w:rsid w:val="00D57DA4"/>
    <w:rsid w:val="00D70B29"/>
    <w:rsid w:val="00D80DAD"/>
    <w:rsid w:val="00D87D64"/>
    <w:rsid w:val="00DC6D28"/>
    <w:rsid w:val="00DC7F66"/>
    <w:rsid w:val="00DF1F86"/>
    <w:rsid w:val="00DF550F"/>
    <w:rsid w:val="00E02504"/>
    <w:rsid w:val="00E047AB"/>
    <w:rsid w:val="00E07F7B"/>
    <w:rsid w:val="00E11B15"/>
    <w:rsid w:val="00E30CBA"/>
    <w:rsid w:val="00E65937"/>
    <w:rsid w:val="00E65BDD"/>
    <w:rsid w:val="00E82D0A"/>
    <w:rsid w:val="00E90977"/>
    <w:rsid w:val="00E97B3C"/>
    <w:rsid w:val="00EA435B"/>
    <w:rsid w:val="00EA4505"/>
    <w:rsid w:val="00EB76D4"/>
    <w:rsid w:val="00ED5E25"/>
    <w:rsid w:val="00F0722D"/>
    <w:rsid w:val="00F42B93"/>
    <w:rsid w:val="00F43EE7"/>
    <w:rsid w:val="00F57776"/>
    <w:rsid w:val="00F57EE5"/>
    <w:rsid w:val="00F626F8"/>
    <w:rsid w:val="00F90827"/>
    <w:rsid w:val="00F9206E"/>
    <w:rsid w:val="00FA14E7"/>
    <w:rsid w:val="00FB3061"/>
    <w:rsid w:val="00FB7870"/>
    <w:rsid w:val="00FD42DA"/>
    <w:rsid w:val="00FE5AC7"/>
    <w:rsid w:val="00FF21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162"/>
    <w:pPr>
      <w:spacing w:before="240"/>
    </w:pPr>
    <w:rPr>
      <w:sz w:val="24"/>
    </w:rPr>
  </w:style>
  <w:style w:type="paragraph" w:styleId="Heading2">
    <w:name w:val="heading 2"/>
    <w:basedOn w:val="Normal"/>
    <w:next w:val="Normal"/>
    <w:qFormat/>
    <w:rsid w:val="004445B8"/>
    <w:pPr>
      <w:keepNext/>
      <w:spacing w:after="60"/>
      <w:outlineLvl w:val="1"/>
    </w:pPr>
    <w:rPr>
      <w:rFonts w:ascii="Arial" w:hAnsi="Arial" w:cs="Arial"/>
      <w:b/>
      <w:bCs/>
      <w:i/>
      <w:iCs/>
      <w:sz w:val="28"/>
      <w:szCs w:val="28"/>
    </w:rPr>
  </w:style>
  <w:style w:type="paragraph" w:styleId="Heading5">
    <w:name w:val="heading 5"/>
    <w:basedOn w:val="Normal"/>
    <w:next w:val="Normal"/>
    <w:link w:val="Heading5Char"/>
    <w:uiPriority w:val="9"/>
    <w:semiHidden/>
    <w:unhideWhenUsed/>
    <w:qFormat/>
    <w:rsid w:val="002F664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qFormat/>
    <w:rsid w:val="00925162"/>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1">
    <w:name w:val="Char Char1"/>
    <w:basedOn w:val="Normal"/>
    <w:rsid w:val="00925162"/>
    <w:pPr>
      <w:spacing w:before="120" w:after="120"/>
    </w:pPr>
    <w:rPr>
      <w:rFonts w:ascii="Arial" w:hAnsi="Arial"/>
      <w:sz w:val="22"/>
      <w:lang w:eastAsia="en-US"/>
    </w:rPr>
  </w:style>
  <w:style w:type="paragraph" w:customStyle="1" w:styleId="EMparagraph">
    <w:name w:val="EM paragraph"/>
    <w:basedOn w:val="Normal"/>
    <w:rsid w:val="004445B8"/>
    <w:pPr>
      <w:widowControl w:val="0"/>
      <w:adjustRightInd w:val="0"/>
      <w:spacing w:before="0" w:after="240"/>
      <w:ind w:right="85"/>
      <w:textAlignment w:val="baseline"/>
    </w:pPr>
  </w:style>
  <w:style w:type="paragraph" w:customStyle="1" w:styleId="EMHeading">
    <w:name w:val="EM Heading"/>
    <w:basedOn w:val="Heading2"/>
    <w:link w:val="EMHeadingChar"/>
    <w:rsid w:val="004445B8"/>
    <w:pPr>
      <w:spacing w:before="0" w:after="240"/>
    </w:pPr>
    <w:rPr>
      <w:rFonts w:ascii="Times New Roman" w:hAnsi="Times New Roman" w:cs="Times New Roman"/>
      <w:b w:val="0"/>
      <w:bCs w:val="0"/>
      <w:i w:val="0"/>
      <w:iCs w:val="0"/>
      <w:sz w:val="24"/>
      <w:szCs w:val="20"/>
      <w:u w:val="single"/>
    </w:rPr>
  </w:style>
  <w:style w:type="character" w:customStyle="1" w:styleId="EMHeadingChar">
    <w:name w:val="EM Heading Char"/>
    <w:link w:val="EMHeading"/>
    <w:rsid w:val="004445B8"/>
    <w:rPr>
      <w:sz w:val="24"/>
      <w:u w:val="single"/>
      <w:lang w:val="en-AU" w:eastAsia="en-AU" w:bidi="ar-SA"/>
    </w:rPr>
  </w:style>
  <w:style w:type="paragraph" w:styleId="BalloonText">
    <w:name w:val="Balloon Text"/>
    <w:basedOn w:val="Normal"/>
    <w:link w:val="BalloonTextChar"/>
    <w:uiPriority w:val="99"/>
    <w:semiHidden/>
    <w:unhideWhenUsed/>
    <w:rsid w:val="00437A04"/>
    <w:pPr>
      <w:spacing w:before="0"/>
    </w:pPr>
    <w:rPr>
      <w:rFonts w:ascii="Tahoma" w:hAnsi="Tahoma" w:cs="Tahoma"/>
      <w:sz w:val="16"/>
      <w:szCs w:val="16"/>
    </w:rPr>
  </w:style>
  <w:style w:type="character" w:customStyle="1" w:styleId="BalloonTextChar">
    <w:name w:val="Balloon Text Char"/>
    <w:link w:val="BalloonText"/>
    <w:uiPriority w:val="99"/>
    <w:semiHidden/>
    <w:rsid w:val="00437A04"/>
    <w:rPr>
      <w:rFonts w:ascii="Tahoma" w:hAnsi="Tahoma" w:cs="Tahoma"/>
      <w:sz w:val="16"/>
      <w:szCs w:val="16"/>
    </w:rPr>
  </w:style>
  <w:style w:type="paragraph" w:styleId="Header">
    <w:name w:val="header"/>
    <w:basedOn w:val="Normal"/>
    <w:link w:val="HeaderChar"/>
    <w:uiPriority w:val="99"/>
    <w:unhideWhenUsed/>
    <w:rsid w:val="0093233E"/>
    <w:pPr>
      <w:tabs>
        <w:tab w:val="center" w:pos="4513"/>
        <w:tab w:val="right" w:pos="9026"/>
      </w:tabs>
    </w:pPr>
  </w:style>
  <w:style w:type="character" w:customStyle="1" w:styleId="HeaderChar">
    <w:name w:val="Header Char"/>
    <w:link w:val="Header"/>
    <w:uiPriority w:val="99"/>
    <w:rsid w:val="0093233E"/>
    <w:rPr>
      <w:sz w:val="24"/>
    </w:rPr>
  </w:style>
  <w:style w:type="paragraph" w:styleId="Footer">
    <w:name w:val="footer"/>
    <w:basedOn w:val="Normal"/>
    <w:link w:val="FooterChar"/>
    <w:uiPriority w:val="99"/>
    <w:unhideWhenUsed/>
    <w:rsid w:val="0093233E"/>
    <w:pPr>
      <w:tabs>
        <w:tab w:val="center" w:pos="4513"/>
        <w:tab w:val="right" w:pos="9026"/>
      </w:tabs>
    </w:pPr>
  </w:style>
  <w:style w:type="character" w:customStyle="1" w:styleId="FooterChar">
    <w:name w:val="Footer Char"/>
    <w:link w:val="Footer"/>
    <w:uiPriority w:val="99"/>
    <w:rsid w:val="0093233E"/>
    <w:rPr>
      <w:sz w:val="24"/>
    </w:rPr>
  </w:style>
  <w:style w:type="paragraph" w:customStyle="1" w:styleId="paragraph">
    <w:name w:val="paragraph"/>
    <w:aliases w:val="a"/>
    <w:basedOn w:val="Normal"/>
    <w:link w:val="paragraphChar"/>
    <w:rsid w:val="00966DF5"/>
    <w:pPr>
      <w:tabs>
        <w:tab w:val="right" w:pos="1531"/>
      </w:tabs>
      <w:spacing w:before="40"/>
      <w:ind w:left="1644" w:hanging="1644"/>
    </w:pPr>
    <w:rPr>
      <w:sz w:val="22"/>
    </w:rPr>
  </w:style>
  <w:style w:type="character" w:customStyle="1" w:styleId="paragraphChar">
    <w:name w:val="paragraph Char"/>
    <w:aliases w:val="a Char"/>
    <w:link w:val="paragraph"/>
    <w:rsid w:val="00966DF5"/>
    <w:rPr>
      <w:sz w:val="22"/>
    </w:rPr>
  </w:style>
  <w:style w:type="character" w:styleId="CommentReference">
    <w:name w:val="annotation reference"/>
    <w:basedOn w:val="DefaultParagraphFont"/>
    <w:uiPriority w:val="99"/>
    <w:semiHidden/>
    <w:unhideWhenUsed/>
    <w:rsid w:val="00C815D3"/>
    <w:rPr>
      <w:sz w:val="16"/>
      <w:szCs w:val="16"/>
    </w:rPr>
  </w:style>
  <w:style w:type="paragraph" w:styleId="CommentText">
    <w:name w:val="annotation text"/>
    <w:basedOn w:val="Normal"/>
    <w:link w:val="CommentTextChar"/>
    <w:uiPriority w:val="99"/>
    <w:semiHidden/>
    <w:unhideWhenUsed/>
    <w:rsid w:val="00C815D3"/>
    <w:rPr>
      <w:sz w:val="20"/>
    </w:rPr>
  </w:style>
  <w:style w:type="character" w:customStyle="1" w:styleId="CommentTextChar">
    <w:name w:val="Comment Text Char"/>
    <w:basedOn w:val="DefaultParagraphFont"/>
    <w:link w:val="CommentText"/>
    <w:uiPriority w:val="99"/>
    <w:semiHidden/>
    <w:rsid w:val="00C815D3"/>
  </w:style>
  <w:style w:type="paragraph" w:styleId="CommentSubject">
    <w:name w:val="annotation subject"/>
    <w:basedOn w:val="CommentText"/>
    <w:next w:val="CommentText"/>
    <w:link w:val="CommentSubjectChar"/>
    <w:uiPriority w:val="99"/>
    <w:semiHidden/>
    <w:unhideWhenUsed/>
    <w:rsid w:val="00C815D3"/>
    <w:rPr>
      <w:b/>
      <w:bCs/>
    </w:rPr>
  </w:style>
  <w:style w:type="character" w:customStyle="1" w:styleId="CommentSubjectChar">
    <w:name w:val="Comment Subject Char"/>
    <w:basedOn w:val="CommentTextChar"/>
    <w:link w:val="CommentSubject"/>
    <w:uiPriority w:val="99"/>
    <w:semiHidden/>
    <w:rsid w:val="00C815D3"/>
    <w:rPr>
      <w:b/>
      <w:bCs/>
    </w:rPr>
  </w:style>
  <w:style w:type="paragraph" w:customStyle="1" w:styleId="Tabletext">
    <w:name w:val="Tabletext"/>
    <w:aliases w:val="tt"/>
    <w:basedOn w:val="Normal"/>
    <w:rsid w:val="0008381D"/>
    <w:pPr>
      <w:spacing w:before="60" w:line="240" w:lineRule="atLeast"/>
    </w:pPr>
    <w:rPr>
      <w:sz w:val="20"/>
    </w:rPr>
  </w:style>
  <w:style w:type="paragraph" w:customStyle="1" w:styleId="subsection">
    <w:name w:val="subsection"/>
    <w:aliases w:val="ss"/>
    <w:basedOn w:val="Normal"/>
    <w:link w:val="subsectionChar"/>
    <w:rsid w:val="006E4614"/>
    <w:pPr>
      <w:tabs>
        <w:tab w:val="right" w:pos="1021"/>
      </w:tabs>
      <w:spacing w:before="180"/>
      <w:ind w:left="1134" w:hanging="1134"/>
    </w:pPr>
    <w:rPr>
      <w:sz w:val="22"/>
    </w:rPr>
  </w:style>
  <w:style w:type="paragraph" w:customStyle="1" w:styleId="Item">
    <w:name w:val="Item"/>
    <w:aliases w:val="i"/>
    <w:basedOn w:val="Normal"/>
    <w:next w:val="Normal"/>
    <w:rsid w:val="006E4614"/>
    <w:pPr>
      <w:keepLines/>
      <w:spacing w:before="80"/>
      <w:ind w:left="709"/>
    </w:pPr>
    <w:rPr>
      <w:sz w:val="22"/>
    </w:rPr>
  </w:style>
  <w:style w:type="character" w:customStyle="1" w:styleId="subsectionChar">
    <w:name w:val="subsection Char"/>
    <w:aliases w:val="ss Char"/>
    <w:link w:val="subsection"/>
    <w:locked/>
    <w:rsid w:val="006E4614"/>
    <w:rPr>
      <w:sz w:val="22"/>
    </w:rPr>
  </w:style>
  <w:style w:type="paragraph" w:styleId="ListParagraph">
    <w:name w:val="List Paragraph"/>
    <w:basedOn w:val="Normal"/>
    <w:uiPriority w:val="34"/>
    <w:qFormat/>
    <w:rsid w:val="002F1AFA"/>
    <w:pPr>
      <w:ind w:left="720"/>
      <w:contextualSpacing/>
    </w:pPr>
  </w:style>
  <w:style w:type="paragraph" w:customStyle="1" w:styleId="ItemHead">
    <w:name w:val="ItemHead"/>
    <w:aliases w:val="ih"/>
    <w:basedOn w:val="Normal"/>
    <w:next w:val="Item"/>
    <w:rsid w:val="00837FCC"/>
    <w:pPr>
      <w:keepNext/>
      <w:keepLines/>
      <w:spacing w:before="220"/>
      <w:ind w:left="709" w:hanging="709"/>
    </w:pPr>
    <w:rPr>
      <w:rFonts w:ascii="Arial" w:hAnsi="Arial"/>
      <w:b/>
      <w:kern w:val="28"/>
    </w:rPr>
  </w:style>
  <w:style w:type="paragraph" w:customStyle="1" w:styleId="paragraphsub">
    <w:name w:val="paragraph(sub)"/>
    <w:aliases w:val="aa"/>
    <w:basedOn w:val="Normal"/>
    <w:rsid w:val="00837FCC"/>
    <w:pPr>
      <w:tabs>
        <w:tab w:val="right" w:pos="1985"/>
      </w:tabs>
      <w:spacing w:before="40"/>
      <w:ind w:left="2098" w:hanging="2098"/>
    </w:pPr>
    <w:rPr>
      <w:sz w:val="22"/>
    </w:rPr>
  </w:style>
  <w:style w:type="character" w:customStyle="1" w:styleId="Heading5Char">
    <w:name w:val="Heading 5 Char"/>
    <w:basedOn w:val="DefaultParagraphFont"/>
    <w:link w:val="Heading5"/>
    <w:uiPriority w:val="9"/>
    <w:semiHidden/>
    <w:rsid w:val="002F6643"/>
    <w:rPr>
      <w:rFonts w:asciiTheme="majorHAnsi" w:eastAsiaTheme="majorEastAsia" w:hAnsiTheme="majorHAnsi" w:cstheme="majorBidi"/>
      <w:color w:val="243F60" w:themeColor="accent1" w:themeShade="7F"/>
      <w:sz w:val="24"/>
    </w:rPr>
  </w:style>
  <w:style w:type="paragraph" w:customStyle="1" w:styleId="ActHead1">
    <w:name w:val="ActHead 1"/>
    <w:aliases w:val="c"/>
    <w:basedOn w:val="Normal"/>
    <w:next w:val="Normal"/>
    <w:qFormat/>
    <w:rsid w:val="00ED5E25"/>
    <w:pPr>
      <w:keepNext/>
      <w:keepLines/>
      <w:spacing w:before="0"/>
      <w:ind w:left="1134" w:hanging="1134"/>
      <w:outlineLvl w:val="0"/>
    </w:pPr>
    <w:rPr>
      <w:b/>
      <w:kern w:val="28"/>
      <w:sz w:val="36"/>
    </w:rPr>
  </w:style>
  <w:style w:type="paragraph" w:customStyle="1" w:styleId="TableHeading">
    <w:name w:val="TableHeading"/>
    <w:aliases w:val="th"/>
    <w:basedOn w:val="Normal"/>
    <w:next w:val="Tabletext"/>
    <w:rsid w:val="00ED5E25"/>
    <w:pPr>
      <w:keepNext/>
      <w:spacing w:before="60" w:line="240" w:lineRule="atLeast"/>
    </w:pPr>
    <w:rPr>
      <w:b/>
      <w:sz w:val="20"/>
    </w:rPr>
  </w:style>
  <w:style w:type="paragraph" w:customStyle="1" w:styleId="ActHead5">
    <w:name w:val="ActHead 5"/>
    <w:aliases w:val="s"/>
    <w:basedOn w:val="Normal"/>
    <w:next w:val="subsection"/>
    <w:qFormat/>
    <w:rsid w:val="00ED5E25"/>
    <w:pPr>
      <w:keepNext/>
      <w:keepLines/>
      <w:spacing w:before="280"/>
      <w:ind w:left="1134" w:hanging="1134"/>
      <w:outlineLvl w:val="4"/>
    </w:pPr>
    <w:rPr>
      <w:b/>
      <w:kern w:val="28"/>
    </w:rPr>
  </w:style>
  <w:style w:type="paragraph" w:customStyle="1" w:styleId="ActHead7">
    <w:name w:val="ActHead 7"/>
    <w:aliases w:val="ap"/>
    <w:basedOn w:val="Normal"/>
    <w:next w:val="ItemHead"/>
    <w:qFormat/>
    <w:rsid w:val="00ED5E25"/>
    <w:pPr>
      <w:keepNext/>
      <w:keepLines/>
      <w:spacing w:before="280"/>
      <w:ind w:left="1134" w:hanging="1134"/>
      <w:outlineLvl w:val="6"/>
    </w:pPr>
    <w:rPr>
      <w:rFonts w:ascii="Arial" w:hAnsi="Arial"/>
      <w:b/>
      <w:kern w:val="28"/>
      <w:sz w:val="28"/>
    </w:rPr>
  </w:style>
  <w:style w:type="paragraph" w:customStyle="1" w:styleId="ActHead9">
    <w:name w:val="ActHead 9"/>
    <w:aliases w:val="aat"/>
    <w:basedOn w:val="Normal"/>
    <w:next w:val="ItemHead"/>
    <w:qFormat/>
    <w:rsid w:val="00ED5E25"/>
    <w:pPr>
      <w:keepNext/>
      <w:keepLines/>
      <w:spacing w:before="280"/>
      <w:ind w:left="1134" w:hanging="1134"/>
      <w:outlineLvl w:val="8"/>
    </w:pPr>
    <w:rPr>
      <w:b/>
      <w:i/>
      <w:kern w:val="28"/>
      <w:sz w:val="28"/>
    </w:rPr>
  </w:style>
  <w:style w:type="character" w:customStyle="1" w:styleId="CharSectno">
    <w:name w:val="CharSectno"/>
    <w:basedOn w:val="DefaultParagraphFont"/>
    <w:qFormat/>
    <w:rsid w:val="00ED5E25"/>
  </w:style>
  <w:style w:type="paragraph" w:customStyle="1" w:styleId="notedraft">
    <w:name w:val="note(draft)"/>
    <w:aliases w:val="nd"/>
    <w:basedOn w:val="Normal"/>
    <w:rsid w:val="00ED5E25"/>
    <w:pPr>
      <w:ind w:left="284" w:hanging="284"/>
    </w:pPr>
    <w:rPr>
      <w:i/>
    </w:rPr>
  </w:style>
  <w:style w:type="paragraph" w:customStyle="1" w:styleId="enotetabletext">
    <w:name w:val="enotetabletext"/>
    <w:basedOn w:val="Normal"/>
    <w:rsid w:val="00B92BCE"/>
    <w:pPr>
      <w:spacing w:before="100" w:beforeAutospacing="1" w:after="100" w:afterAutospacing="1"/>
    </w:pPr>
    <w:rPr>
      <w:szCs w:val="24"/>
    </w:rPr>
  </w:style>
  <w:style w:type="paragraph" w:styleId="Revision">
    <w:name w:val="Revision"/>
    <w:hidden/>
    <w:uiPriority w:val="99"/>
    <w:semiHidden/>
    <w:rsid w:val="00A5338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162"/>
    <w:pPr>
      <w:spacing w:before="240"/>
    </w:pPr>
    <w:rPr>
      <w:sz w:val="24"/>
    </w:rPr>
  </w:style>
  <w:style w:type="paragraph" w:styleId="Heading2">
    <w:name w:val="heading 2"/>
    <w:basedOn w:val="Normal"/>
    <w:next w:val="Normal"/>
    <w:qFormat/>
    <w:rsid w:val="004445B8"/>
    <w:pPr>
      <w:keepNext/>
      <w:spacing w:after="60"/>
      <w:outlineLvl w:val="1"/>
    </w:pPr>
    <w:rPr>
      <w:rFonts w:ascii="Arial" w:hAnsi="Arial" w:cs="Arial"/>
      <w:b/>
      <w:bCs/>
      <w:i/>
      <w:iCs/>
      <w:sz w:val="28"/>
      <w:szCs w:val="28"/>
    </w:rPr>
  </w:style>
  <w:style w:type="paragraph" w:styleId="Heading5">
    <w:name w:val="heading 5"/>
    <w:basedOn w:val="Normal"/>
    <w:next w:val="Normal"/>
    <w:link w:val="Heading5Char"/>
    <w:uiPriority w:val="9"/>
    <w:semiHidden/>
    <w:unhideWhenUsed/>
    <w:qFormat/>
    <w:rsid w:val="002F664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qFormat/>
    <w:rsid w:val="00925162"/>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1">
    <w:name w:val="Char Char1"/>
    <w:basedOn w:val="Normal"/>
    <w:rsid w:val="00925162"/>
    <w:pPr>
      <w:spacing w:before="120" w:after="120"/>
    </w:pPr>
    <w:rPr>
      <w:rFonts w:ascii="Arial" w:hAnsi="Arial"/>
      <w:sz w:val="22"/>
      <w:lang w:eastAsia="en-US"/>
    </w:rPr>
  </w:style>
  <w:style w:type="paragraph" w:customStyle="1" w:styleId="EMparagraph">
    <w:name w:val="EM paragraph"/>
    <w:basedOn w:val="Normal"/>
    <w:rsid w:val="004445B8"/>
    <w:pPr>
      <w:widowControl w:val="0"/>
      <w:adjustRightInd w:val="0"/>
      <w:spacing w:before="0" w:after="240"/>
      <w:ind w:right="85"/>
      <w:textAlignment w:val="baseline"/>
    </w:pPr>
  </w:style>
  <w:style w:type="paragraph" w:customStyle="1" w:styleId="EMHeading">
    <w:name w:val="EM Heading"/>
    <w:basedOn w:val="Heading2"/>
    <w:link w:val="EMHeadingChar"/>
    <w:rsid w:val="004445B8"/>
    <w:pPr>
      <w:spacing w:before="0" w:after="240"/>
    </w:pPr>
    <w:rPr>
      <w:rFonts w:ascii="Times New Roman" w:hAnsi="Times New Roman" w:cs="Times New Roman"/>
      <w:b w:val="0"/>
      <w:bCs w:val="0"/>
      <w:i w:val="0"/>
      <w:iCs w:val="0"/>
      <w:sz w:val="24"/>
      <w:szCs w:val="20"/>
      <w:u w:val="single"/>
    </w:rPr>
  </w:style>
  <w:style w:type="character" w:customStyle="1" w:styleId="EMHeadingChar">
    <w:name w:val="EM Heading Char"/>
    <w:link w:val="EMHeading"/>
    <w:rsid w:val="004445B8"/>
    <w:rPr>
      <w:sz w:val="24"/>
      <w:u w:val="single"/>
      <w:lang w:val="en-AU" w:eastAsia="en-AU" w:bidi="ar-SA"/>
    </w:rPr>
  </w:style>
  <w:style w:type="paragraph" w:styleId="BalloonText">
    <w:name w:val="Balloon Text"/>
    <w:basedOn w:val="Normal"/>
    <w:link w:val="BalloonTextChar"/>
    <w:uiPriority w:val="99"/>
    <w:semiHidden/>
    <w:unhideWhenUsed/>
    <w:rsid w:val="00437A04"/>
    <w:pPr>
      <w:spacing w:before="0"/>
    </w:pPr>
    <w:rPr>
      <w:rFonts w:ascii="Tahoma" w:hAnsi="Tahoma" w:cs="Tahoma"/>
      <w:sz w:val="16"/>
      <w:szCs w:val="16"/>
    </w:rPr>
  </w:style>
  <w:style w:type="character" w:customStyle="1" w:styleId="BalloonTextChar">
    <w:name w:val="Balloon Text Char"/>
    <w:link w:val="BalloonText"/>
    <w:uiPriority w:val="99"/>
    <w:semiHidden/>
    <w:rsid w:val="00437A04"/>
    <w:rPr>
      <w:rFonts w:ascii="Tahoma" w:hAnsi="Tahoma" w:cs="Tahoma"/>
      <w:sz w:val="16"/>
      <w:szCs w:val="16"/>
    </w:rPr>
  </w:style>
  <w:style w:type="paragraph" w:styleId="Header">
    <w:name w:val="header"/>
    <w:basedOn w:val="Normal"/>
    <w:link w:val="HeaderChar"/>
    <w:uiPriority w:val="99"/>
    <w:unhideWhenUsed/>
    <w:rsid w:val="0093233E"/>
    <w:pPr>
      <w:tabs>
        <w:tab w:val="center" w:pos="4513"/>
        <w:tab w:val="right" w:pos="9026"/>
      </w:tabs>
    </w:pPr>
  </w:style>
  <w:style w:type="character" w:customStyle="1" w:styleId="HeaderChar">
    <w:name w:val="Header Char"/>
    <w:link w:val="Header"/>
    <w:uiPriority w:val="99"/>
    <w:rsid w:val="0093233E"/>
    <w:rPr>
      <w:sz w:val="24"/>
    </w:rPr>
  </w:style>
  <w:style w:type="paragraph" w:styleId="Footer">
    <w:name w:val="footer"/>
    <w:basedOn w:val="Normal"/>
    <w:link w:val="FooterChar"/>
    <w:uiPriority w:val="99"/>
    <w:unhideWhenUsed/>
    <w:rsid w:val="0093233E"/>
    <w:pPr>
      <w:tabs>
        <w:tab w:val="center" w:pos="4513"/>
        <w:tab w:val="right" w:pos="9026"/>
      </w:tabs>
    </w:pPr>
  </w:style>
  <w:style w:type="character" w:customStyle="1" w:styleId="FooterChar">
    <w:name w:val="Footer Char"/>
    <w:link w:val="Footer"/>
    <w:uiPriority w:val="99"/>
    <w:rsid w:val="0093233E"/>
    <w:rPr>
      <w:sz w:val="24"/>
    </w:rPr>
  </w:style>
  <w:style w:type="paragraph" w:customStyle="1" w:styleId="paragraph">
    <w:name w:val="paragraph"/>
    <w:aliases w:val="a"/>
    <w:basedOn w:val="Normal"/>
    <w:link w:val="paragraphChar"/>
    <w:rsid w:val="00966DF5"/>
    <w:pPr>
      <w:tabs>
        <w:tab w:val="right" w:pos="1531"/>
      </w:tabs>
      <w:spacing w:before="40"/>
      <w:ind w:left="1644" w:hanging="1644"/>
    </w:pPr>
    <w:rPr>
      <w:sz w:val="22"/>
    </w:rPr>
  </w:style>
  <w:style w:type="character" w:customStyle="1" w:styleId="paragraphChar">
    <w:name w:val="paragraph Char"/>
    <w:aliases w:val="a Char"/>
    <w:link w:val="paragraph"/>
    <w:rsid w:val="00966DF5"/>
    <w:rPr>
      <w:sz w:val="22"/>
    </w:rPr>
  </w:style>
  <w:style w:type="character" w:styleId="CommentReference">
    <w:name w:val="annotation reference"/>
    <w:basedOn w:val="DefaultParagraphFont"/>
    <w:uiPriority w:val="99"/>
    <w:semiHidden/>
    <w:unhideWhenUsed/>
    <w:rsid w:val="00C815D3"/>
    <w:rPr>
      <w:sz w:val="16"/>
      <w:szCs w:val="16"/>
    </w:rPr>
  </w:style>
  <w:style w:type="paragraph" w:styleId="CommentText">
    <w:name w:val="annotation text"/>
    <w:basedOn w:val="Normal"/>
    <w:link w:val="CommentTextChar"/>
    <w:uiPriority w:val="99"/>
    <w:semiHidden/>
    <w:unhideWhenUsed/>
    <w:rsid w:val="00C815D3"/>
    <w:rPr>
      <w:sz w:val="20"/>
    </w:rPr>
  </w:style>
  <w:style w:type="character" w:customStyle="1" w:styleId="CommentTextChar">
    <w:name w:val="Comment Text Char"/>
    <w:basedOn w:val="DefaultParagraphFont"/>
    <w:link w:val="CommentText"/>
    <w:uiPriority w:val="99"/>
    <w:semiHidden/>
    <w:rsid w:val="00C815D3"/>
  </w:style>
  <w:style w:type="paragraph" w:styleId="CommentSubject">
    <w:name w:val="annotation subject"/>
    <w:basedOn w:val="CommentText"/>
    <w:next w:val="CommentText"/>
    <w:link w:val="CommentSubjectChar"/>
    <w:uiPriority w:val="99"/>
    <w:semiHidden/>
    <w:unhideWhenUsed/>
    <w:rsid w:val="00C815D3"/>
    <w:rPr>
      <w:b/>
      <w:bCs/>
    </w:rPr>
  </w:style>
  <w:style w:type="character" w:customStyle="1" w:styleId="CommentSubjectChar">
    <w:name w:val="Comment Subject Char"/>
    <w:basedOn w:val="CommentTextChar"/>
    <w:link w:val="CommentSubject"/>
    <w:uiPriority w:val="99"/>
    <w:semiHidden/>
    <w:rsid w:val="00C815D3"/>
    <w:rPr>
      <w:b/>
      <w:bCs/>
    </w:rPr>
  </w:style>
  <w:style w:type="paragraph" w:customStyle="1" w:styleId="Tabletext">
    <w:name w:val="Tabletext"/>
    <w:aliases w:val="tt"/>
    <w:basedOn w:val="Normal"/>
    <w:rsid w:val="0008381D"/>
    <w:pPr>
      <w:spacing w:before="60" w:line="240" w:lineRule="atLeast"/>
    </w:pPr>
    <w:rPr>
      <w:sz w:val="20"/>
    </w:rPr>
  </w:style>
  <w:style w:type="paragraph" w:customStyle="1" w:styleId="subsection">
    <w:name w:val="subsection"/>
    <w:aliases w:val="ss"/>
    <w:basedOn w:val="Normal"/>
    <w:link w:val="subsectionChar"/>
    <w:rsid w:val="006E4614"/>
    <w:pPr>
      <w:tabs>
        <w:tab w:val="right" w:pos="1021"/>
      </w:tabs>
      <w:spacing w:before="180"/>
      <w:ind w:left="1134" w:hanging="1134"/>
    </w:pPr>
    <w:rPr>
      <w:sz w:val="22"/>
    </w:rPr>
  </w:style>
  <w:style w:type="paragraph" w:customStyle="1" w:styleId="Item">
    <w:name w:val="Item"/>
    <w:aliases w:val="i"/>
    <w:basedOn w:val="Normal"/>
    <w:next w:val="Normal"/>
    <w:rsid w:val="006E4614"/>
    <w:pPr>
      <w:keepLines/>
      <w:spacing w:before="80"/>
      <w:ind w:left="709"/>
    </w:pPr>
    <w:rPr>
      <w:sz w:val="22"/>
    </w:rPr>
  </w:style>
  <w:style w:type="character" w:customStyle="1" w:styleId="subsectionChar">
    <w:name w:val="subsection Char"/>
    <w:aliases w:val="ss Char"/>
    <w:link w:val="subsection"/>
    <w:locked/>
    <w:rsid w:val="006E4614"/>
    <w:rPr>
      <w:sz w:val="22"/>
    </w:rPr>
  </w:style>
  <w:style w:type="paragraph" w:styleId="ListParagraph">
    <w:name w:val="List Paragraph"/>
    <w:basedOn w:val="Normal"/>
    <w:uiPriority w:val="34"/>
    <w:qFormat/>
    <w:rsid w:val="002F1AFA"/>
    <w:pPr>
      <w:ind w:left="720"/>
      <w:contextualSpacing/>
    </w:pPr>
  </w:style>
  <w:style w:type="paragraph" w:customStyle="1" w:styleId="ItemHead">
    <w:name w:val="ItemHead"/>
    <w:aliases w:val="ih"/>
    <w:basedOn w:val="Normal"/>
    <w:next w:val="Item"/>
    <w:rsid w:val="00837FCC"/>
    <w:pPr>
      <w:keepNext/>
      <w:keepLines/>
      <w:spacing w:before="220"/>
      <w:ind w:left="709" w:hanging="709"/>
    </w:pPr>
    <w:rPr>
      <w:rFonts w:ascii="Arial" w:hAnsi="Arial"/>
      <w:b/>
      <w:kern w:val="28"/>
    </w:rPr>
  </w:style>
  <w:style w:type="paragraph" w:customStyle="1" w:styleId="paragraphsub">
    <w:name w:val="paragraph(sub)"/>
    <w:aliases w:val="aa"/>
    <w:basedOn w:val="Normal"/>
    <w:rsid w:val="00837FCC"/>
    <w:pPr>
      <w:tabs>
        <w:tab w:val="right" w:pos="1985"/>
      </w:tabs>
      <w:spacing w:before="40"/>
      <w:ind w:left="2098" w:hanging="2098"/>
    </w:pPr>
    <w:rPr>
      <w:sz w:val="22"/>
    </w:rPr>
  </w:style>
  <w:style w:type="character" w:customStyle="1" w:styleId="Heading5Char">
    <w:name w:val="Heading 5 Char"/>
    <w:basedOn w:val="DefaultParagraphFont"/>
    <w:link w:val="Heading5"/>
    <w:uiPriority w:val="9"/>
    <w:semiHidden/>
    <w:rsid w:val="002F6643"/>
    <w:rPr>
      <w:rFonts w:asciiTheme="majorHAnsi" w:eastAsiaTheme="majorEastAsia" w:hAnsiTheme="majorHAnsi" w:cstheme="majorBidi"/>
      <w:color w:val="243F60" w:themeColor="accent1" w:themeShade="7F"/>
      <w:sz w:val="24"/>
    </w:rPr>
  </w:style>
  <w:style w:type="paragraph" w:customStyle="1" w:styleId="ActHead1">
    <w:name w:val="ActHead 1"/>
    <w:aliases w:val="c"/>
    <w:basedOn w:val="Normal"/>
    <w:next w:val="Normal"/>
    <w:qFormat/>
    <w:rsid w:val="00ED5E25"/>
    <w:pPr>
      <w:keepNext/>
      <w:keepLines/>
      <w:spacing w:before="0"/>
      <w:ind w:left="1134" w:hanging="1134"/>
      <w:outlineLvl w:val="0"/>
    </w:pPr>
    <w:rPr>
      <w:b/>
      <w:kern w:val="28"/>
      <w:sz w:val="36"/>
    </w:rPr>
  </w:style>
  <w:style w:type="paragraph" w:customStyle="1" w:styleId="TableHeading">
    <w:name w:val="TableHeading"/>
    <w:aliases w:val="th"/>
    <w:basedOn w:val="Normal"/>
    <w:next w:val="Tabletext"/>
    <w:rsid w:val="00ED5E25"/>
    <w:pPr>
      <w:keepNext/>
      <w:spacing w:before="60" w:line="240" w:lineRule="atLeast"/>
    </w:pPr>
    <w:rPr>
      <w:b/>
      <w:sz w:val="20"/>
    </w:rPr>
  </w:style>
  <w:style w:type="paragraph" w:customStyle="1" w:styleId="ActHead5">
    <w:name w:val="ActHead 5"/>
    <w:aliases w:val="s"/>
    <w:basedOn w:val="Normal"/>
    <w:next w:val="subsection"/>
    <w:qFormat/>
    <w:rsid w:val="00ED5E25"/>
    <w:pPr>
      <w:keepNext/>
      <w:keepLines/>
      <w:spacing w:before="280"/>
      <w:ind w:left="1134" w:hanging="1134"/>
      <w:outlineLvl w:val="4"/>
    </w:pPr>
    <w:rPr>
      <w:b/>
      <w:kern w:val="28"/>
    </w:rPr>
  </w:style>
  <w:style w:type="paragraph" w:customStyle="1" w:styleId="ActHead7">
    <w:name w:val="ActHead 7"/>
    <w:aliases w:val="ap"/>
    <w:basedOn w:val="Normal"/>
    <w:next w:val="ItemHead"/>
    <w:qFormat/>
    <w:rsid w:val="00ED5E25"/>
    <w:pPr>
      <w:keepNext/>
      <w:keepLines/>
      <w:spacing w:before="280"/>
      <w:ind w:left="1134" w:hanging="1134"/>
      <w:outlineLvl w:val="6"/>
    </w:pPr>
    <w:rPr>
      <w:rFonts w:ascii="Arial" w:hAnsi="Arial"/>
      <w:b/>
      <w:kern w:val="28"/>
      <w:sz w:val="28"/>
    </w:rPr>
  </w:style>
  <w:style w:type="paragraph" w:customStyle="1" w:styleId="ActHead9">
    <w:name w:val="ActHead 9"/>
    <w:aliases w:val="aat"/>
    <w:basedOn w:val="Normal"/>
    <w:next w:val="ItemHead"/>
    <w:qFormat/>
    <w:rsid w:val="00ED5E25"/>
    <w:pPr>
      <w:keepNext/>
      <w:keepLines/>
      <w:spacing w:before="280"/>
      <w:ind w:left="1134" w:hanging="1134"/>
      <w:outlineLvl w:val="8"/>
    </w:pPr>
    <w:rPr>
      <w:b/>
      <w:i/>
      <w:kern w:val="28"/>
      <w:sz w:val="28"/>
    </w:rPr>
  </w:style>
  <w:style w:type="character" w:customStyle="1" w:styleId="CharSectno">
    <w:name w:val="CharSectno"/>
    <w:basedOn w:val="DefaultParagraphFont"/>
    <w:qFormat/>
    <w:rsid w:val="00ED5E25"/>
  </w:style>
  <w:style w:type="paragraph" w:customStyle="1" w:styleId="notedraft">
    <w:name w:val="note(draft)"/>
    <w:aliases w:val="nd"/>
    <w:basedOn w:val="Normal"/>
    <w:rsid w:val="00ED5E25"/>
    <w:pPr>
      <w:ind w:left="284" w:hanging="284"/>
    </w:pPr>
    <w:rPr>
      <w:i/>
    </w:rPr>
  </w:style>
  <w:style w:type="paragraph" w:customStyle="1" w:styleId="enotetabletext">
    <w:name w:val="enotetabletext"/>
    <w:basedOn w:val="Normal"/>
    <w:rsid w:val="00B92BCE"/>
    <w:pPr>
      <w:spacing w:before="100" w:beforeAutospacing="1" w:after="100" w:afterAutospacing="1"/>
    </w:pPr>
    <w:rPr>
      <w:szCs w:val="24"/>
    </w:rPr>
  </w:style>
  <w:style w:type="paragraph" w:styleId="Revision">
    <w:name w:val="Revision"/>
    <w:hidden/>
    <w:uiPriority w:val="99"/>
    <w:semiHidden/>
    <w:rsid w:val="00A5338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01929">
      <w:bodyDiv w:val="1"/>
      <w:marLeft w:val="0"/>
      <w:marRight w:val="0"/>
      <w:marTop w:val="0"/>
      <w:marBottom w:val="0"/>
      <w:divBdr>
        <w:top w:val="none" w:sz="0" w:space="0" w:color="auto"/>
        <w:left w:val="none" w:sz="0" w:space="0" w:color="auto"/>
        <w:bottom w:val="none" w:sz="0" w:space="0" w:color="auto"/>
        <w:right w:val="none" w:sz="0" w:space="0" w:color="auto"/>
      </w:divBdr>
      <w:divsChild>
        <w:div w:id="1002665385">
          <w:marLeft w:val="0"/>
          <w:marRight w:val="0"/>
          <w:marTop w:val="0"/>
          <w:marBottom w:val="0"/>
          <w:divBdr>
            <w:top w:val="none" w:sz="0" w:space="0" w:color="auto"/>
            <w:left w:val="none" w:sz="0" w:space="0" w:color="auto"/>
            <w:bottom w:val="none" w:sz="0" w:space="0" w:color="auto"/>
            <w:right w:val="none" w:sz="0" w:space="0" w:color="auto"/>
          </w:divBdr>
          <w:divsChild>
            <w:div w:id="508762902">
              <w:marLeft w:val="0"/>
              <w:marRight w:val="0"/>
              <w:marTop w:val="0"/>
              <w:marBottom w:val="0"/>
              <w:divBdr>
                <w:top w:val="none" w:sz="0" w:space="0" w:color="auto"/>
                <w:left w:val="none" w:sz="0" w:space="0" w:color="auto"/>
                <w:bottom w:val="none" w:sz="0" w:space="0" w:color="auto"/>
                <w:right w:val="none" w:sz="0" w:space="0" w:color="auto"/>
              </w:divBdr>
              <w:divsChild>
                <w:div w:id="1397162782">
                  <w:marLeft w:val="0"/>
                  <w:marRight w:val="0"/>
                  <w:marTop w:val="0"/>
                  <w:marBottom w:val="0"/>
                  <w:divBdr>
                    <w:top w:val="none" w:sz="0" w:space="0" w:color="auto"/>
                    <w:left w:val="none" w:sz="0" w:space="0" w:color="auto"/>
                    <w:bottom w:val="none" w:sz="0" w:space="0" w:color="auto"/>
                    <w:right w:val="none" w:sz="0" w:space="0" w:color="auto"/>
                  </w:divBdr>
                  <w:divsChild>
                    <w:div w:id="717321613">
                      <w:marLeft w:val="0"/>
                      <w:marRight w:val="0"/>
                      <w:marTop w:val="0"/>
                      <w:marBottom w:val="0"/>
                      <w:divBdr>
                        <w:top w:val="none" w:sz="0" w:space="0" w:color="auto"/>
                        <w:left w:val="none" w:sz="0" w:space="0" w:color="auto"/>
                        <w:bottom w:val="none" w:sz="0" w:space="0" w:color="auto"/>
                        <w:right w:val="none" w:sz="0" w:space="0" w:color="auto"/>
                      </w:divBdr>
                      <w:divsChild>
                        <w:div w:id="1616332049">
                          <w:marLeft w:val="0"/>
                          <w:marRight w:val="0"/>
                          <w:marTop w:val="0"/>
                          <w:marBottom w:val="0"/>
                          <w:divBdr>
                            <w:top w:val="none" w:sz="0" w:space="0" w:color="auto"/>
                            <w:left w:val="none" w:sz="0" w:space="0" w:color="auto"/>
                            <w:bottom w:val="none" w:sz="0" w:space="0" w:color="auto"/>
                            <w:right w:val="none" w:sz="0" w:space="0" w:color="auto"/>
                          </w:divBdr>
                          <w:divsChild>
                            <w:div w:id="1735008571">
                              <w:marLeft w:val="0"/>
                              <w:marRight w:val="0"/>
                              <w:marTop w:val="0"/>
                              <w:marBottom w:val="0"/>
                              <w:divBdr>
                                <w:top w:val="none" w:sz="0" w:space="0" w:color="auto"/>
                                <w:left w:val="none" w:sz="0" w:space="0" w:color="auto"/>
                                <w:bottom w:val="none" w:sz="0" w:space="0" w:color="auto"/>
                                <w:right w:val="none" w:sz="0" w:space="0" w:color="auto"/>
                              </w:divBdr>
                              <w:divsChild>
                                <w:div w:id="1737514303">
                                  <w:marLeft w:val="0"/>
                                  <w:marRight w:val="0"/>
                                  <w:marTop w:val="0"/>
                                  <w:marBottom w:val="0"/>
                                  <w:divBdr>
                                    <w:top w:val="none" w:sz="0" w:space="0" w:color="auto"/>
                                    <w:left w:val="none" w:sz="0" w:space="0" w:color="auto"/>
                                    <w:bottom w:val="none" w:sz="0" w:space="0" w:color="auto"/>
                                    <w:right w:val="none" w:sz="0" w:space="0" w:color="auto"/>
                                  </w:divBdr>
                                  <w:divsChild>
                                    <w:div w:id="27923417">
                                      <w:marLeft w:val="0"/>
                                      <w:marRight w:val="0"/>
                                      <w:marTop w:val="0"/>
                                      <w:marBottom w:val="0"/>
                                      <w:divBdr>
                                        <w:top w:val="none" w:sz="0" w:space="0" w:color="auto"/>
                                        <w:left w:val="none" w:sz="0" w:space="0" w:color="auto"/>
                                        <w:bottom w:val="none" w:sz="0" w:space="0" w:color="auto"/>
                                        <w:right w:val="none" w:sz="0" w:space="0" w:color="auto"/>
                                      </w:divBdr>
                                      <w:divsChild>
                                        <w:div w:id="923336937">
                                          <w:marLeft w:val="0"/>
                                          <w:marRight w:val="0"/>
                                          <w:marTop w:val="0"/>
                                          <w:marBottom w:val="0"/>
                                          <w:divBdr>
                                            <w:top w:val="none" w:sz="0" w:space="0" w:color="auto"/>
                                            <w:left w:val="none" w:sz="0" w:space="0" w:color="auto"/>
                                            <w:bottom w:val="none" w:sz="0" w:space="0" w:color="auto"/>
                                            <w:right w:val="none" w:sz="0" w:space="0" w:color="auto"/>
                                          </w:divBdr>
                                          <w:divsChild>
                                            <w:div w:id="908735096">
                                              <w:marLeft w:val="0"/>
                                              <w:marRight w:val="135"/>
                                              <w:marTop w:val="180"/>
                                              <w:marBottom w:val="0"/>
                                              <w:divBdr>
                                                <w:top w:val="single" w:sz="6" w:space="0" w:color="9E9E9E"/>
                                                <w:left w:val="single" w:sz="6" w:space="0" w:color="9E9E9E"/>
                                                <w:bottom w:val="single" w:sz="6" w:space="0" w:color="9E9E9E"/>
                                                <w:right w:val="single" w:sz="6" w:space="0" w:color="9E9E9E"/>
                                              </w:divBdr>
                                              <w:divsChild>
                                                <w:div w:id="601307652">
                                                  <w:marLeft w:val="0"/>
                                                  <w:marRight w:val="0"/>
                                                  <w:marTop w:val="0"/>
                                                  <w:marBottom w:val="0"/>
                                                  <w:divBdr>
                                                    <w:top w:val="single" w:sz="6" w:space="0" w:color="9E9E9E"/>
                                                    <w:left w:val="single" w:sz="6" w:space="0" w:color="9E9E9E"/>
                                                    <w:bottom w:val="single" w:sz="6" w:space="0" w:color="9E9E9E"/>
                                                    <w:right w:val="single" w:sz="6" w:space="0" w:color="9E9E9E"/>
                                                  </w:divBdr>
                                                  <w:divsChild>
                                                    <w:div w:id="112847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7129300">
      <w:bodyDiv w:val="1"/>
      <w:marLeft w:val="0"/>
      <w:marRight w:val="0"/>
      <w:marTop w:val="0"/>
      <w:marBottom w:val="0"/>
      <w:divBdr>
        <w:top w:val="none" w:sz="0" w:space="0" w:color="auto"/>
        <w:left w:val="none" w:sz="0" w:space="0" w:color="auto"/>
        <w:bottom w:val="none" w:sz="0" w:space="0" w:color="auto"/>
        <w:right w:val="none" w:sz="0" w:space="0" w:color="auto"/>
      </w:divBdr>
    </w:div>
    <w:div w:id="817654562">
      <w:bodyDiv w:val="1"/>
      <w:marLeft w:val="0"/>
      <w:marRight w:val="0"/>
      <w:marTop w:val="0"/>
      <w:marBottom w:val="0"/>
      <w:divBdr>
        <w:top w:val="none" w:sz="0" w:space="0" w:color="auto"/>
        <w:left w:val="none" w:sz="0" w:space="0" w:color="auto"/>
        <w:bottom w:val="none" w:sz="0" w:space="0" w:color="auto"/>
        <w:right w:val="none" w:sz="0" w:space="0" w:color="auto"/>
      </w:divBdr>
    </w:div>
    <w:div w:id="819728877">
      <w:bodyDiv w:val="1"/>
      <w:marLeft w:val="0"/>
      <w:marRight w:val="0"/>
      <w:marTop w:val="0"/>
      <w:marBottom w:val="0"/>
      <w:divBdr>
        <w:top w:val="none" w:sz="0" w:space="0" w:color="auto"/>
        <w:left w:val="none" w:sz="0" w:space="0" w:color="auto"/>
        <w:bottom w:val="none" w:sz="0" w:space="0" w:color="auto"/>
        <w:right w:val="none" w:sz="0" w:space="0" w:color="auto"/>
      </w:divBdr>
    </w:div>
    <w:div w:id="941691835">
      <w:bodyDiv w:val="1"/>
      <w:marLeft w:val="0"/>
      <w:marRight w:val="0"/>
      <w:marTop w:val="0"/>
      <w:marBottom w:val="0"/>
      <w:divBdr>
        <w:top w:val="none" w:sz="0" w:space="0" w:color="auto"/>
        <w:left w:val="none" w:sz="0" w:space="0" w:color="auto"/>
        <w:bottom w:val="none" w:sz="0" w:space="0" w:color="auto"/>
        <w:right w:val="none" w:sz="0" w:space="0" w:color="auto"/>
      </w:divBdr>
    </w:div>
    <w:div w:id="971253003">
      <w:bodyDiv w:val="1"/>
      <w:marLeft w:val="0"/>
      <w:marRight w:val="0"/>
      <w:marTop w:val="0"/>
      <w:marBottom w:val="0"/>
      <w:divBdr>
        <w:top w:val="none" w:sz="0" w:space="0" w:color="auto"/>
        <w:left w:val="none" w:sz="0" w:space="0" w:color="auto"/>
        <w:bottom w:val="none" w:sz="0" w:space="0" w:color="auto"/>
        <w:right w:val="none" w:sz="0" w:space="0" w:color="auto"/>
      </w:divBdr>
    </w:div>
    <w:div w:id="1014069440">
      <w:bodyDiv w:val="1"/>
      <w:marLeft w:val="0"/>
      <w:marRight w:val="0"/>
      <w:marTop w:val="0"/>
      <w:marBottom w:val="0"/>
      <w:divBdr>
        <w:top w:val="none" w:sz="0" w:space="0" w:color="auto"/>
        <w:left w:val="none" w:sz="0" w:space="0" w:color="auto"/>
        <w:bottom w:val="none" w:sz="0" w:space="0" w:color="auto"/>
        <w:right w:val="none" w:sz="0" w:space="0" w:color="auto"/>
      </w:divBdr>
    </w:div>
    <w:div w:id="1019241539">
      <w:bodyDiv w:val="1"/>
      <w:marLeft w:val="0"/>
      <w:marRight w:val="0"/>
      <w:marTop w:val="0"/>
      <w:marBottom w:val="0"/>
      <w:divBdr>
        <w:top w:val="none" w:sz="0" w:space="0" w:color="auto"/>
        <w:left w:val="none" w:sz="0" w:space="0" w:color="auto"/>
        <w:bottom w:val="none" w:sz="0" w:space="0" w:color="auto"/>
        <w:right w:val="none" w:sz="0" w:space="0" w:color="auto"/>
      </w:divBdr>
    </w:div>
    <w:div w:id="1024667736">
      <w:bodyDiv w:val="1"/>
      <w:marLeft w:val="0"/>
      <w:marRight w:val="0"/>
      <w:marTop w:val="0"/>
      <w:marBottom w:val="0"/>
      <w:divBdr>
        <w:top w:val="none" w:sz="0" w:space="0" w:color="auto"/>
        <w:left w:val="none" w:sz="0" w:space="0" w:color="auto"/>
        <w:bottom w:val="none" w:sz="0" w:space="0" w:color="auto"/>
        <w:right w:val="none" w:sz="0" w:space="0" w:color="auto"/>
      </w:divBdr>
    </w:div>
    <w:div w:id="1094588865">
      <w:bodyDiv w:val="1"/>
      <w:marLeft w:val="0"/>
      <w:marRight w:val="0"/>
      <w:marTop w:val="0"/>
      <w:marBottom w:val="0"/>
      <w:divBdr>
        <w:top w:val="none" w:sz="0" w:space="0" w:color="auto"/>
        <w:left w:val="none" w:sz="0" w:space="0" w:color="auto"/>
        <w:bottom w:val="none" w:sz="0" w:space="0" w:color="auto"/>
        <w:right w:val="none" w:sz="0" w:space="0" w:color="auto"/>
      </w:divBdr>
      <w:divsChild>
        <w:div w:id="524828438">
          <w:marLeft w:val="0"/>
          <w:marRight w:val="0"/>
          <w:marTop w:val="0"/>
          <w:marBottom w:val="0"/>
          <w:divBdr>
            <w:top w:val="none" w:sz="0" w:space="0" w:color="auto"/>
            <w:left w:val="none" w:sz="0" w:space="0" w:color="auto"/>
            <w:bottom w:val="none" w:sz="0" w:space="0" w:color="auto"/>
            <w:right w:val="none" w:sz="0" w:space="0" w:color="auto"/>
          </w:divBdr>
          <w:divsChild>
            <w:div w:id="183598687">
              <w:marLeft w:val="0"/>
              <w:marRight w:val="0"/>
              <w:marTop w:val="0"/>
              <w:marBottom w:val="0"/>
              <w:divBdr>
                <w:top w:val="none" w:sz="0" w:space="0" w:color="auto"/>
                <w:left w:val="none" w:sz="0" w:space="0" w:color="auto"/>
                <w:bottom w:val="none" w:sz="0" w:space="0" w:color="auto"/>
                <w:right w:val="none" w:sz="0" w:space="0" w:color="auto"/>
              </w:divBdr>
              <w:divsChild>
                <w:div w:id="812720217">
                  <w:marLeft w:val="0"/>
                  <w:marRight w:val="0"/>
                  <w:marTop w:val="0"/>
                  <w:marBottom w:val="0"/>
                  <w:divBdr>
                    <w:top w:val="none" w:sz="0" w:space="0" w:color="auto"/>
                    <w:left w:val="none" w:sz="0" w:space="0" w:color="auto"/>
                    <w:bottom w:val="none" w:sz="0" w:space="0" w:color="auto"/>
                    <w:right w:val="none" w:sz="0" w:space="0" w:color="auto"/>
                  </w:divBdr>
                  <w:divsChild>
                    <w:div w:id="1409962148">
                      <w:marLeft w:val="0"/>
                      <w:marRight w:val="0"/>
                      <w:marTop w:val="0"/>
                      <w:marBottom w:val="0"/>
                      <w:divBdr>
                        <w:top w:val="none" w:sz="0" w:space="0" w:color="auto"/>
                        <w:left w:val="none" w:sz="0" w:space="0" w:color="auto"/>
                        <w:bottom w:val="none" w:sz="0" w:space="0" w:color="auto"/>
                        <w:right w:val="none" w:sz="0" w:space="0" w:color="auto"/>
                      </w:divBdr>
                      <w:divsChild>
                        <w:div w:id="1352805411">
                          <w:marLeft w:val="0"/>
                          <w:marRight w:val="0"/>
                          <w:marTop w:val="0"/>
                          <w:marBottom w:val="0"/>
                          <w:divBdr>
                            <w:top w:val="single" w:sz="6" w:space="0" w:color="828282"/>
                            <w:left w:val="single" w:sz="6" w:space="0" w:color="828282"/>
                            <w:bottom w:val="single" w:sz="6" w:space="0" w:color="828282"/>
                            <w:right w:val="single" w:sz="6" w:space="0" w:color="828282"/>
                          </w:divBdr>
                          <w:divsChild>
                            <w:div w:id="747993295">
                              <w:marLeft w:val="0"/>
                              <w:marRight w:val="0"/>
                              <w:marTop w:val="0"/>
                              <w:marBottom w:val="0"/>
                              <w:divBdr>
                                <w:top w:val="none" w:sz="0" w:space="0" w:color="auto"/>
                                <w:left w:val="none" w:sz="0" w:space="0" w:color="auto"/>
                                <w:bottom w:val="none" w:sz="0" w:space="0" w:color="auto"/>
                                <w:right w:val="none" w:sz="0" w:space="0" w:color="auto"/>
                              </w:divBdr>
                              <w:divsChild>
                                <w:div w:id="910696201">
                                  <w:marLeft w:val="0"/>
                                  <w:marRight w:val="0"/>
                                  <w:marTop w:val="0"/>
                                  <w:marBottom w:val="0"/>
                                  <w:divBdr>
                                    <w:top w:val="none" w:sz="0" w:space="0" w:color="auto"/>
                                    <w:left w:val="none" w:sz="0" w:space="0" w:color="auto"/>
                                    <w:bottom w:val="none" w:sz="0" w:space="0" w:color="auto"/>
                                    <w:right w:val="none" w:sz="0" w:space="0" w:color="auto"/>
                                  </w:divBdr>
                                  <w:divsChild>
                                    <w:div w:id="2020884352">
                                      <w:marLeft w:val="0"/>
                                      <w:marRight w:val="0"/>
                                      <w:marTop w:val="0"/>
                                      <w:marBottom w:val="0"/>
                                      <w:divBdr>
                                        <w:top w:val="none" w:sz="0" w:space="0" w:color="auto"/>
                                        <w:left w:val="none" w:sz="0" w:space="0" w:color="auto"/>
                                        <w:bottom w:val="none" w:sz="0" w:space="0" w:color="auto"/>
                                        <w:right w:val="none" w:sz="0" w:space="0" w:color="auto"/>
                                      </w:divBdr>
                                      <w:divsChild>
                                        <w:div w:id="623535464">
                                          <w:marLeft w:val="0"/>
                                          <w:marRight w:val="0"/>
                                          <w:marTop w:val="0"/>
                                          <w:marBottom w:val="0"/>
                                          <w:divBdr>
                                            <w:top w:val="none" w:sz="0" w:space="0" w:color="auto"/>
                                            <w:left w:val="none" w:sz="0" w:space="0" w:color="auto"/>
                                            <w:bottom w:val="none" w:sz="0" w:space="0" w:color="auto"/>
                                            <w:right w:val="none" w:sz="0" w:space="0" w:color="auto"/>
                                          </w:divBdr>
                                          <w:divsChild>
                                            <w:div w:id="674959352">
                                              <w:marLeft w:val="0"/>
                                              <w:marRight w:val="0"/>
                                              <w:marTop w:val="0"/>
                                              <w:marBottom w:val="0"/>
                                              <w:divBdr>
                                                <w:top w:val="none" w:sz="0" w:space="0" w:color="auto"/>
                                                <w:left w:val="none" w:sz="0" w:space="0" w:color="auto"/>
                                                <w:bottom w:val="none" w:sz="0" w:space="0" w:color="auto"/>
                                                <w:right w:val="none" w:sz="0" w:space="0" w:color="auto"/>
                                              </w:divBdr>
                                              <w:divsChild>
                                                <w:div w:id="102925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9689277">
      <w:bodyDiv w:val="1"/>
      <w:marLeft w:val="0"/>
      <w:marRight w:val="0"/>
      <w:marTop w:val="0"/>
      <w:marBottom w:val="0"/>
      <w:divBdr>
        <w:top w:val="none" w:sz="0" w:space="0" w:color="auto"/>
        <w:left w:val="none" w:sz="0" w:space="0" w:color="auto"/>
        <w:bottom w:val="none" w:sz="0" w:space="0" w:color="auto"/>
        <w:right w:val="none" w:sz="0" w:space="0" w:color="auto"/>
      </w:divBdr>
    </w:div>
    <w:div w:id="1589774915">
      <w:bodyDiv w:val="1"/>
      <w:marLeft w:val="0"/>
      <w:marRight w:val="0"/>
      <w:marTop w:val="0"/>
      <w:marBottom w:val="0"/>
      <w:divBdr>
        <w:top w:val="none" w:sz="0" w:space="0" w:color="auto"/>
        <w:left w:val="none" w:sz="0" w:space="0" w:color="auto"/>
        <w:bottom w:val="none" w:sz="0" w:space="0" w:color="auto"/>
        <w:right w:val="none" w:sz="0" w:space="0" w:color="auto"/>
      </w:divBdr>
    </w:div>
    <w:div w:id="1591159298">
      <w:bodyDiv w:val="1"/>
      <w:marLeft w:val="0"/>
      <w:marRight w:val="0"/>
      <w:marTop w:val="0"/>
      <w:marBottom w:val="0"/>
      <w:divBdr>
        <w:top w:val="none" w:sz="0" w:space="0" w:color="auto"/>
        <w:left w:val="none" w:sz="0" w:space="0" w:color="auto"/>
        <w:bottom w:val="none" w:sz="0" w:space="0" w:color="auto"/>
        <w:right w:val="none" w:sz="0" w:space="0" w:color="auto"/>
      </w:divBdr>
    </w:div>
    <w:div w:id="1698575803">
      <w:bodyDiv w:val="1"/>
      <w:marLeft w:val="0"/>
      <w:marRight w:val="0"/>
      <w:marTop w:val="0"/>
      <w:marBottom w:val="0"/>
      <w:divBdr>
        <w:top w:val="none" w:sz="0" w:space="0" w:color="auto"/>
        <w:left w:val="none" w:sz="0" w:space="0" w:color="auto"/>
        <w:bottom w:val="none" w:sz="0" w:space="0" w:color="auto"/>
        <w:right w:val="none" w:sz="0" w:space="0" w:color="auto"/>
      </w:divBdr>
      <w:divsChild>
        <w:div w:id="1505971381">
          <w:marLeft w:val="0"/>
          <w:marRight w:val="0"/>
          <w:marTop w:val="0"/>
          <w:marBottom w:val="0"/>
          <w:divBdr>
            <w:top w:val="none" w:sz="0" w:space="0" w:color="auto"/>
            <w:left w:val="none" w:sz="0" w:space="0" w:color="auto"/>
            <w:bottom w:val="none" w:sz="0" w:space="0" w:color="auto"/>
            <w:right w:val="none" w:sz="0" w:space="0" w:color="auto"/>
          </w:divBdr>
          <w:divsChild>
            <w:div w:id="1776290796">
              <w:marLeft w:val="0"/>
              <w:marRight w:val="0"/>
              <w:marTop w:val="0"/>
              <w:marBottom w:val="0"/>
              <w:divBdr>
                <w:top w:val="none" w:sz="0" w:space="0" w:color="auto"/>
                <w:left w:val="none" w:sz="0" w:space="0" w:color="auto"/>
                <w:bottom w:val="none" w:sz="0" w:space="0" w:color="auto"/>
                <w:right w:val="none" w:sz="0" w:space="0" w:color="auto"/>
              </w:divBdr>
              <w:divsChild>
                <w:div w:id="1362390623">
                  <w:marLeft w:val="0"/>
                  <w:marRight w:val="0"/>
                  <w:marTop w:val="0"/>
                  <w:marBottom w:val="0"/>
                  <w:divBdr>
                    <w:top w:val="none" w:sz="0" w:space="0" w:color="auto"/>
                    <w:left w:val="none" w:sz="0" w:space="0" w:color="auto"/>
                    <w:bottom w:val="none" w:sz="0" w:space="0" w:color="auto"/>
                    <w:right w:val="none" w:sz="0" w:space="0" w:color="auto"/>
                  </w:divBdr>
                  <w:divsChild>
                    <w:div w:id="1217159977">
                      <w:marLeft w:val="0"/>
                      <w:marRight w:val="0"/>
                      <w:marTop w:val="0"/>
                      <w:marBottom w:val="0"/>
                      <w:divBdr>
                        <w:top w:val="none" w:sz="0" w:space="0" w:color="auto"/>
                        <w:left w:val="none" w:sz="0" w:space="0" w:color="auto"/>
                        <w:bottom w:val="none" w:sz="0" w:space="0" w:color="auto"/>
                        <w:right w:val="none" w:sz="0" w:space="0" w:color="auto"/>
                      </w:divBdr>
                      <w:divsChild>
                        <w:div w:id="2122070832">
                          <w:marLeft w:val="0"/>
                          <w:marRight w:val="0"/>
                          <w:marTop w:val="0"/>
                          <w:marBottom w:val="0"/>
                          <w:divBdr>
                            <w:top w:val="none" w:sz="0" w:space="0" w:color="auto"/>
                            <w:left w:val="none" w:sz="0" w:space="0" w:color="auto"/>
                            <w:bottom w:val="none" w:sz="0" w:space="0" w:color="auto"/>
                            <w:right w:val="none" w:sz="0" w:space="0" w:color="auto"/>
                          </w:divBdr>
                          <w:divsChild>
                            <w:div w:id="1717776864">
                              <w:marLeft w:val="0"/>
                              <w:marRight w:val="0"/>
                              <w:marTop w:val="0"/>
                              <w:marBottom w:val="0"/>
                              <w:divBdr>
                                <w:top w:val="none" w:sz="0" w:space="0" w:color="auto"/>
                                <w:left w:val="none" w:sz="0" w:space="0" w:color="auto"/>
                                <w:bottom w:val="none" w:sz="0" w:space="0" w:color="auto"/>
                                <w:right w:val="none" w:sz="0" w:space="0" w:color="auto"/>
                              </w:divBdr>
                              <w:divsChild>
                                <w:div w:id="2127384204">
                                  <w:marLeft w:val="0"/>
                                  <w:marRight w:val="0"/>
                                  <w:marTop w:val="0"/>
                                  <w:marBottom w:val="0"/>
                                  <w:divBdr>
                                    <w:top w:val="none" w:sz="0" w:space="0" w:color="auto"/>
                                    <w:left w:val="none" w:sz="0" w:space="0" w:color="auto"/>
                                    <w:bottom w:val="none" w:sz="0" w:space="0" w:color="auto"/>
                                    <w:right w:val="none" w:sz="0" w:space="0" w:color="auto"/>
                                  </w:divBdr>
                                  <w:divsChild>
                                    <w:div w:id="1676956508">
                                      <w:marLeft w:val="0"/>
                                      <w:marRight w:val="0"/>
                                      <w:marTop w:val="0"/>
                                      <w:marBottom w:val="0"/>
                                      <w:divBdr>
                                        <w:top w:val="none" w:sz="0" w:space="0" w:color="auto"/>
                                        <w:left w:val="none" w:sz="0" w:space="0" w:color="auto"/>
                                        <w:bottom w:val="none" w:sz="0" w:space="0" w:color="auto"/>
                                        <w:right w:val="none" w:sz="0" w:space="0" w:color="auto"/>
                                      </w:divBdr>
                                      <w:divsChild>
                                        <w:div w:id="673580171">
                                          <w:marLeft w:val="0"/>
                                          <w:marRight w:val="0"/>
                                          <w:marTop w:val="0"/>
                                          <w:marBottom w:val="0"/>
                                          <w:divBdr>
                                            <w:top w:val="none" w:sz="0" w:space="0" w:color="auto"/>
                                            <w:left w:val="none" w:sz="0" w:space="0" w:color="auto"/>
                                            <w:bottom w:val="none" w:sz="0" w:space="0" w:color="auto"/>
                                            <w:right w:val="none" w:sz="0" w:space="0" w:color="auto"/>
                                          </w:divBdr>
                                          <w:divsChild>
                                            <w:div w:id="1618946515">
                                              <w:marLeft w:val="0"/>
                                              <w:marRight w:val="135"/>
                                              <w:marTop w:val="180"/>
                                              <w:marBottom w:val="0"/>
                                              <w:divBdr>
                                                <w:top w:val="single" w:sz="6" w:space="0" w:color="9E9E9E"/>
                                                <w:left w:val="single" w:sz="6" w:space="0" w:color="9E9E9E"/>
                                                <w:bottom w:val="single" w:sz="6" w:space="0" w:color="9E9E9E"/>
                                                <w:right w:val="single" w:sz="6" w:space="0" w:color="9E9E9E"/>
                                              </w:divBdr>
                                              <w:divsChild>
                                                <w:div w:id="1622883305">
                                                  <w:marLeft w:val="0"/>
                                                  <w:marRight w:val="0"/>
                                                  <w:marTop w:val="0"/>
                                                  <w:marBottom w:val="0"/>
                                                  <w:divBdr>
                                                    <w:top w:val="single" w:sz="6" w:space="0" w:color="9E9E9E"/>
                                                    <w:left w:val="single" w:sz="6" w:space="0" w:color="9E9E9E"/>
                                                    <w:bottom w:val="single" w:sz="6" w:space="0" w:color="9E9E9E"/>
                                                    <w:right w:val="single" w:sz="6" w:space="0" w:color="9E9E9E"/>
                                                  </w:divBdr>
                                                  <w:divsChild>
                                                    <w:div w:id="183815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5133951">
      <w:bodyDiv w:val="1"/>
      <w:marLeft w:val="0"/>
      <w:marRight w:val="0"/>
      <w:marTop w:val="0"/>
      <w:marBottom w:val="0"/>
      <w:divBdr>
        <w:top w:val="none" w:sz="0" w:space="0" w:color="auto"/>
        <w:left w:val="none" w:sz="0" w:space="0" w:color="auto"/>
        <w:bottom w:val="none" w:sz="0" w:space="0" w:color="auto"/>
        <w:right w:val="none" w:sz="0" w:space="0" w:color="auto"/>
      </w:divBdr>
      <w:divsChild>
        <w:div w:id="181940637">
          <w:marLeft w:val="0"/>
          <w:marRight w:val="0"/>
          <w:marTop w:val="0"/>
          <w:marBottom w:val="0"/>
          <w:divBdr>
            <w:top w:val="none" w:sz="0" w:space="0" w:color="auto"/>
            <w:left w:val="none" w:sz="0" w:space="0" w:color="auto"/>
            <w:bottom w:val="none" w:sz="0" w:space="0" w:color="auto"/>
            <w:right w:val="none" w:sz="0" w:space="0" w:color="auto"/>
          </w:divBdr>
          <w:divsChild>
            <w:div w:id="160630875">
              <w:marLeft w:val="0"/>
              <w:marRight w:val="0"/>
              <w:marTop w:val="0"/>
              <w:marBottom w:val="0"/>
              <w:divBdr>
                <w:top w:val="none" w:sz="0" w:space="0" w:color="auto"/>
                <w:left w:val="none" w:sz="0" w:space="0" w:color="auto"/>
                <w:bottom w:val="none" w:sz="0" w:space="0" w:color="auto"/>
                <w:right w:val="none" w:sz="0" w:space="0" w:color="auto"/>
              </w:divBdr>
              <w:divsChild>
                <w:div w:id="850526615">
                  <w:marLeft w:val="0"/>
                  <w:marRight w:val="0"/>
                  <w:marTop w:val="0"/>
                  <w:marBottom w:val="0"/>
                  <w:divBdr>
                    <w:top w:val="none" w:sz="0" w:space="0" w:color="auto"/>
                    <w:left w:val="none" w:sz="0" w:space="0" w:color="auto"/>
                    <w:bottom w:val="none" w:sz="0" w:space="0" w:color="auto"/>
                    <w:right w:val="none" w:sz="0" w:space="0" w:color="auto"/>
                  </w:divBdr>
                  <w:divsChild>
                    <w:div w:id="487746475">
                      <w:marLeft w:val="0"/>
                      <w:marRight w:val="0"/>
                      <w:marTop w:val="0"/>
                      <w:marBottom w:val="0"/>
                      <w:divBdr>
                        <w:top w:val="none" w:sz="0" w:space="0" w:color="auto"/>
                        <w:left w:val="none" w:sz="0" w:space="0" w:color="auto"/>
                        <w:bottom w:val="none" w:sz="0" w:space="0" w:color="auto"/>
                        <w:right w:val="none" w:sz="0" w:space="0" w:color="auto"/>
                      </w:divBdr>
                      <w:divsChild>
                        <w:div w:id="725953770">
                          <w:marLeft w:val="0"/>
                          <w:marRight w:val="0"/>
                          <w:marTop w:val="0"/>
                          <w:marBottom w:val="0"/>
                          <w:divBdr>
                            <w:top w:val="single" w:sz="6" w:space="0" w:color="828282"/>
                            <w:left w:val="single" w:sz="6" w:space="0" w:color="828282"/>
                            <w:bottom w:val="single" w:sz="6" w:space="0" w:color="828282"/>
                            <w:right w:val="single" w:sz="6" w:space="0" w:color="828282"/>
                          </w:divBdr>
                          <w:divsChild>
                            <w:div w:id="827793792">
                              <w:marLeft w:val="0"/>
                              <w:marRight w:val="0"/>
                              <w:marTop w:val="0"/>
                              <w:marBottom w:val="0"/>
                              <w:divBdr>
                                <w:top w:val="none" w:sz="0" w:space="0" w:color="auto"/>
                                <w:left w:val="none" w:sz="0" w:space="0" w:color="auto"/>
                                <w:bottom w:val="none" w:sz="0" w:space="0" w:color="auto"/>
                                <w:right w:val="none" w:sz="0" w:space="0" w:color="auto"/>
                              </w:divBdr>
                              <w:divsChild>
                                <w:div w:id="1328940731">
                                  <w:marLeft w:val="0"/>
                                  <w:marRight w:val="0"/>
                                  <w:marTop w:val="0"/>
                                  <w:marBottom w:val="0"/>
                                  <w:divBdr>
                                    <w:top w:val="none" w:sz="0" w:space="0" w:color="auto"/>
                                    <w:left w:val="none" w:sz="0" w:space="0" w:color="auto"/>
                                    <w:bottom w:val="none" w:sz="0" w:space="0" w:color="auto"/>
                                    <w:right w:val="none" w:sz="0" w:space="0" w:color="auto"/>
                                  </w:divBdr>
                                  <w:divsChild>
                                    <w:div w:id="1073746078">
                                      <w:marLeft w:val="0"/>
                                      <w:marRight w:val="0"/>
                                      <w:marTop w:val="0"/>
                                      <w:marBottom w:val="0"/>
                                      <w:divBdr>
                                        <w:top w:val="none" w:sz="0" w:space="0" w:color="auto"/>
                                        <w:left w:val="none" w:sz="0" w:space="0" w:color="auto"/>
                                        <w:bottom w:val="none" w:sz="0" w:space="0" w:color="auto"/>
                                        <w:right w:val="none" w:sz="0" w:space="0" w:color="auto"/>
                                      </w:divBdr>
                                      <w:divsChild>
                                        <w:div w:id="1981380791">
                                          <w:marLeft w:val="0"/>
                                          <w:marRight w:val="0"/>
                                          <w:marTop w:val="0"/>
                                          <w:marBottom w:val="0"/>
                                          <w:divBdr>
                                            <w:top w:val="none" w:sz="0" w:space="0" w:color="auto"/>
                                            <w:left w:val="none" w:sz="0" w:space="0" w:color="auto"/>
                                            <w:bottom w:val="none" w:sz="0" w:space="0" w:color="auto"/>
                                            <w:right w:val="none" w:sz="0" w:space="0" w:color="auto"/>
                                          </w:divBdr>
                                          <w:divsChild>
                                            <w:div w:id="726803265">
                                              <w:marLeft w:val="0"/>
                                              <w:marRight w:val="0"/>
                                              <w:marTop w:val="0"/>
                                              <w:marBottom w:val="0"/>
                                              <w:divBdr>
                                                <w:top w:val="none" w:sz="0" w:space="0" w:color="auto"/>
                                                <w:left w:val="none" w:sz="0" w:space="0" w:color="auto"/>
                                                <w:bottom w:val="none" w:sz="0" w:space="0" w:color="auto"/>
                                                <w:right w:val="none" w:sz="0" w:space="0" w:color="auto"/>
                                              </w:divBdr>
                                              <w:divsChild>
                                                <w:div w:id="43275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9010113">
      <w:bodyDiv w:val="1"/>
      <w:marLeft w:val="0"/>
      <w:marRight w:val="0"/>
      <w:marTop w:val="0"/>
      <w:marBottom w:val="0"/>
      <w:divBdr>
        <w:top w:val="none" w:sz="0" w:space="0" w:color="auto"/>
        <w:left w:val="none" w:sz="0" w:space="0" w:color="auto"/>
        <w:bottom w:val="none" w:sz="0" w:space="0" w:color="auto"/>
        <w:right w:val="none" w:sz="0" w:space="0" w:color="auto"/>
      </w:divBdr>
      <w:divsChild>
        <w:div w:id="1919514665">
          <w:marLeft w:val="0"/>
          <w:marRight w:val="0"/>
          <w:marTop w:val="0"/>
          <w:marBottom w:val="0"/>
          <w:divBdr>
            <w:top w:val="none" w:sz="0" w:space="0" w:color="auto"/>
            <w:left w:val="none" w:sz="0" w:space="0" w:color="auto"/>
            <w:bottom w:val="none" w:sz="0" w:space="0" w:color="auto"/>
            <w:right w:val="none" w:sz="0" w:space="0" w:color="auto"/>
          </w:divBdr>
          <w:divsChild>
            <w:div w:id="488791146">
              <w:marLeft w:val="0"/>
              <w:marRight w:val="0"/>
              <w:marTop w:val="0"/>
              <w:marBottom w:val="0"/>
              <w:divBdr>
                <w:top w:val="none" w:sz="0" w:space="0" w:color="auto"/>
                <w:left w:val="none" w:sz="0" w:space="0" w:color="auto"/>
                <w:bottom w:val="none" w:sz="0" w:space="0" w:color="auto"/>
                <w:right w:val="none" w:sz="0" w:space="0" w:color="auto"/>
              </w:divBdr>
              <w:divsChild>
                <w:div w:id="381365338">
                  <w:marLeft w:val="0"/>
                  <w:marRight w:val="0"/>
                  <w:marTop w:val="0"/>
                  <w:marBottom w:val="0"/>
                  <w:divBdr>
                    <w:top w:val="none" w:sz="0" w:space="0" w:color="auto"/>
                    <w:left w:val="none" w:sz="0" w:space="0" w:color="auto"/>
                    <w:bottom w:val="none" w:sz="0" w:space="0" w:color="auto"/>
                    <w:right w:val="none" w:sz="0" w:space="0" w:color="auto"/>
                  </w:divBdr>
                  <w:divsChild>
                    <w:div w:id="1745252677">
                      <w:marLeft w:val="0"/>
                      <w:marRight w:val="0"/>
                      <w:marTop w:val="0"/>
                      <w:marBottom w:val="0"/>
                      <w:divBdr>
                        <w:top w:val="none" w:sz="0" w:space="0" w:color="auto"/>
                        <w:left w:val="none" w:sz="0" w:space="0" w:color="auto"/>
                        <w:bottom w:val="none" w:sz="0" w:space="0" w:color="auto"/>
                        <w:right w:val="none" w:sz="0" w:space="0" w:color="auto"/>
                      </w:divBdr>
                      <w:divsChild>
                        <w:div w:id="993945400">
                          <w:marLeft w:val="0"/>
                          <w:marRight w:val="0"/>
                          <w:marTop w:val="0"/>
                          <w:marBottom w:val="0"/>
                          <w:divBdr>
                            <w:top w:val="none" w:sz="0" w:space="0" w:color="auto"/>
                            <w:left w:val="none" w:sz="0" w:space="0" w:color="auto"/>
                            <w:bottom w:val="none" w:sz="0" w:space="0" w:color="auto"/>
                            <w:right w:val="none" w:sz="0" w:space="0" w:color="auto"/>
                          </w:divBdr>
                          <w:divsChild>
                            <w:div w:id="621887761">
                              <w:marLeft w:val="0"/>
                              <w:marRight w:val="0"/>
                              <w:marTop w:val="0"/>
                              <w:marBottom w:val="0"/>
                              <w:divBdr>
                                <w:top w:val="none" w:sz="0" w:space="0" w:color="auto"/>
                                <w:left w:val="none" w:sz="0" w:space="0" w:color="auto"/>
                                <w:bottom w:val="none" w:sz="0" w:space="0" w:color="auto"/>
                                <w:right w:val="none" w:sz="0" w:space="0" w:color="auto"/>
                              </w:divBdr>
                              <w:divsChild>
                                <w:div w:id="1666778877">
                                  <w:marLeft w:val="0"/>
                                  <w:marRight w:val="0"/>
                                  <w:marTop w:val="0"/>
                                  <w:marBottom w:val="0"/>
                                  <w:divBdr>
                                    <w:top w:val="none" w:sz="0" w:space="0" w:color="auto"/>
                                    <w:left w:val="none" w:sz="0" w:space="0" w:color="auto"/>
                                    <w:bottom w:val="none" w:sz="0" w:space="0" w:color="auto"/>
                                    <w:right w:val="none" w:sz="0" w:space="0" w:color="auto"/>
                                  </w:divBdr>
                                  <w:divsChild>
                                    <w:div w:id="634724837">
                                      <w:marLeft w:val="0"/>
                                      <w:marRight w:val="0"/>
                                      <w:marTop w:val="0"/>
                                      <w:marBottom w:val="0"/>
                                      <w:divBdr>
                                        <w:top w:val="none" w:sz="0" w:space="0" w:color="auto"/>
                                        <w:left w:val="none" w:sz="0" w:space="0" w:color="auto"/>
                                        <w:bottom w:val="none" w:sz="0" w:space="0" w:color="auto"/>
                                        <w:right w:val="none" w:sz="0" w:space="0" w:color="auto"/>
                                      </w:divBdr>
                                      <w:divsChild>
                                        <w:div w:id="479003362">
                                          <w:marLeft w:val="0"/>
                                          <w:marRight w:val="0"/>
                                          <w:marTop w:val="0"/>
                                          <w:marBottom w:val="0"/>
                                          <w:divBdr>
                                            <w:top w:val="none" w:sz="0" w:space="0" w:color="auto"/>
                                            <w:left w:val="none" w:sz="0" w:space="0" w:color="auto"/>
                                            <w:bottom w:val="none" w:sz="0" w:space="0" w:color="auto"/>
                                            <w:right w:val="none" w:sz="0" w:space="0" w:color="auto"/>
                                          </w:divBdr>
                                          <w:divsChild>
                                            <w:div w:id="2040859456">
                                              <w:marLeft w:val="0"/>
                                              <w:marRight w:val="135"/>
                                              <w:marTop w:val="180"/>
                                              <w:marBottom w:val="0"/>
                                              <w:divBdr>
                                                <w:top w:val="single" w:sz="6" w:space="0" w:color="9E9E9E"/>
                                                <w:left w:val="single" w:sz="6" w:space="0" w:color="9E9E9E"/>
                                                <w:bottom w:val="single" w:sz="6" w:space="0" w:color="9E9E9E"/>
                                                <w:right w:val="single" w:sz="6" w:space="0" w:color="9E9E9E"/>
                                              </w:divBdr>
                                              <w:divsChild>
                                                <w:div w:id="867185801">
                                                  <w:marLeft w:val="0"/>
                                                  <w:marRight w:val="0"/>
                                                  <w:marTop w:val="0"/>
                                                  <w:marBottom w:val="0"/>
                                                  <w:divBdr>
                                                    <w:top w:val="single" w:sz="6" w:space="0" w:color="9E9E9E"/>
                                                    <w:left w:val="single" w:sz="6" w:space="0" w:color="9E9E9E"/>
                                                    <w:bottom w:val="single" w:sz="6" w:space="0" w:color="9E9E9E"/>
                                                    <w:right w:val="single" w:sz="6" w:space="0" w:color="9E9E9E"/>
                                                  </w:divBdr>
                                                  <w:divsChild>
                                                    <w:div w:id="198719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9014184">
      <w:bodyDiv w:val="1"/>
      <w:marLeft w:val="0"/>
      <w:marRight w:val="0"/>
      <w:marTop w:val="0"/>
      <w:marBottom w:val="0"/>
      <w:divBdr>
        <w:top w:val="none" w:sz="0" w:space="0" w:color="auto"/>
        <w:left w:val="none" w:sz="0" w:space="0" w:color="auto"/>
        <w:bottom w:val="none" w:sz="0" w:space="0" w:color="auto"/>
        <w:right w:val="none" w:sz="0" w:space="0" w:color="auto"/>
      </w:divBdr>
      <w:divsChild>
        <w:div w:id="641035317">
          <w:marLeft w:val="0"/>
          <w:marRight w:val="0"/>
          <w:marTop w:val="0"/>
          <w:marBottom w:val="0"/>
          <w:divBdr>
            <w:top w:val="none" w:sz="0" w:space="0" w:color="auto"/>
            <w:left w:val="none" w:sz="0" w:space="0" w:color="auto"/>
            <w:bottom w:val="none" w:sz="0" w:space="0" w:color="auto"/>
            <w:right w:val="none" w:sz="0" w:space="0" w:color="auto"/>
          </w:divBdr>
          <w:divsChild>
            <w:div w:id="912154842">
              <w:marLeft w:val="0"/>
              <w:marRight w:val="0"/>
              <w:marTop w:val="0"/>
              <w:marBottom w:val="0"/>
              <w:divBdr>
                <w:top w:val="none" w:sz="0" w:space="0" w:color="auto"/>
                <w:left w:val="none" w:sz="0" w:space="0" w:color="auto"/>
                <w:bottom w:val="none" w:sz="0" w:space="0" w:color="auto"/>
                <w:right w:val="none" w:sz="0" w:space="0" w:color="auto"/>
              </w:divBdr>
              <w:divsChild>
                <w:div w:id="230821133">
                  <w:marLeft w:val="0"/>
                  <w:marRight w:val="0"/>
                  <w:marTop w:val="0"/>
                  <w:marBottom w:val="0"/>
                  <w:divBdr>
                    <w:top w:val="none" w:sz="0" w:space="0" w:color="auto"/>
                    <w:left w:val="none" w:sz="0" w:space="0" w:color="auto"/>
                    <w:bottom w:val="none" w:sz="0" w:space="0" w:color="auto"/>
                    <w:right w:val="none" w:sz="0" w:space="0" w:color="auto"/>
                  </w:divBdr>
                  <w:divsChild>
                    <w:div w:id="1199008262">
                      <w:marLeft w:val="0"/>
                      <w:marRight w:val="0"/>
                      <w:marTop w:val="0"/>
                      <w:marBottom w:val="0"/>
                      <w:divBdr>
                        <w:top w:val="none" w:sz="0" w:space="0" w:color="auto"/>
                        <w:left w:val="none" w:sz="0" w:space="0" w:color="auto"/>
                        <w:bottom w:val="none" w:sz="0" w:space="0" w:color="auto"/>
                        <w:right w:val="none" w:sz="0" w:space="0" w:color="auto"/>
                      </w:divBdr>
                      <w:divsChild>
                        <w:div w:id="1944847761">
                          <w:marLeft w:val="0"/>
                          <w:marRight w:val="0"/>
                          <w:marTop w:val="0"/>
                          <w:marBottom w:val="0"/>
                          <w:divBdr>
                            <w:top w:val="none" w:sz="0" w:space="0" w:color="auto"/>
                            <w:left w:val="none" w:sz="0" w:space="0" w:color="auto"/>
                            <w:bottom w:val="none" w:sz="0" w:space="0" w:color="auto"/>
                            <w:right w:val="none" w:sz="0" w:space="0" w:color="auto"/>
                          </w:divBdr>
                          <w:divsChild>
                            <w:div w:id="13703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41717">
      <w:bodyDiv w:val="1"/>
      <w:marLeft w:val="0"/>
      <w:marRight w:val="0"/>
      <w:marTop w:val="0"/>
      <w:marBottom w:val="0"/>
      <w:divBdr>
        <w:top w:val="none" w:sz="0" w:space="0" w:color="auto"/>
        <w:left w:val="none" w:sz="0" w:space="0" w:color="auto"/>
        <w:bottom w:val="none" w:sz="0" w:space="0" w:color="auto"/>
        <w:right w:val="none" w:sz="0" w:space="0" w:color="auto"/>
      </w:divBdr>
    </w:div>
    <w:div w:id="1954289516">
      <w:bodyDiv w:val="1"/>
      <w:marLeft w:val="0"/>
      <w:marRight w:val="0"/>
      <w:marTop w:val="0"/>
      <w:marBottom w:val="0"/>
      <w:divBdr>
        <w:top w:val="none" w:sz="0" w:space="0" w:color="auto"/>
        <w:left w:val="none" w:sz="0" w:space="0" w:color="auto"/>
        <w:bottom w:val="none" w:sz="0" w:space="0" w:color="auto"/>
        <w:right w:val="none" w:sz="0" w:space="0" w:color="auto"/>
      </w:divBdr>
      <w:divsChild>
        <w:div w:id="677735665">
          <w:marLeft w:val="0"/>
          <w:marRight w:val="0"/>
          <w:marTop w:val="0"/>
          <w:marBottom w:val="0"/>
          <w:divBdr>
            <w:top w:val="none" w:sz="0" w:space="0" w:color="auto"/>
            <w:left w:val="none" w:sz="0" w:space="0" w:color="auto"/>
            <w:bottom w:val="none" w:sz="0" w:space="0" w:color="auto"/>
            <w:right w:val="none" w:sz="0" w:space="0" w:color="auto"/>
          </w:divBdr>
          <w:divsChild>
            <w:div w:id="1027560091">
              <w:marLeft w:val="0"/>
              <w:marRight w:val="0"/>
              <w:marTop w:val="0"/>
              <w:marBottom w:val="0"/>
              <w:divBdr>
                <w:top w:val="none" w:sz="0" w:space="0" w:color="auto"/>
                <w:left w:val="none" w:sz="0" w:space="0" w:color="auto"/>
                <w:bottom w:val="none" w:sz="0" w:space="0" w:color="auto"/>
                <w:right w:val="none" w:sz="0" w:space="0" w:color="auto"/>
              </w:divBdr>
              <w:divsChild>
                <w:div w:id="1204175218">
                  <w:marLeft w:val="0"/>
                  <w:marRight w:val="0"/>
                  <w:marTop w:val="0"/>
                  <w:marBottom w:val="0"/>
                  <w:divBdr>
                    <w:top w:val="none" w:sz="0" w:space="0" w:color="auto"/>
                    <w:left w:val="none" w:sz="0" w:space="0" w:color="auto"/>
                    <w:bottom w:val="none" w:sz="0" w:space="0" w:color="auto"/>
                    <w:right w:val="none" w:sz="0" w:space="0" w:color="auto"/>
                  </w:divBdr>
                  <w:divsChild>
                    <w:div w:id="1585605992">
                      <w:marLeft w:val="0"/>
                      <w:marRight w:val="0"/>
                      <w:marTop w:val="0"/>
                      <w:marBottom w:val="0"/>
                      <w:divBdr>
                        <w:top w:val="none" w:sz="0" w:space="0" w:color="auto"/>
                        <w:left w:val="none" w:sz="0" w:space="0" w:color="auto"/>
                        <w:bottom w:val="none" w:sz="0" w:space="0" w:color="auto"/>
                        <w:right w:val="none" w:sz="0" w:space="0" w:color="auto"/>
                      </w:divBdr>
                      <w:divsChild>
                        <w:div w:id="1962416602">
                          <w:marLeft w:val="0"/>
                          <w:marRight w:val="0"/>
                          <w:marTop w:val="0"/>
                          <w:marBottom w:val="0"/>
                          <w:divBdr>
                            <w:top w:val="none" w:sz="0" w:space="0" w:color="auto"/>
                            <w:left w:val="none" w:sz="0" w:space="0" w:color="auto"/>
                            <w:bottom w:val="none" w:sz="0" w:space="0" w:color="auto"/>
                            <w:right w:val="none" w:sz="0" w:space="0" w:color="auto"/>
                          </w:divBdr>
                          <w:divsChild>
                            <w:div w:id="155003483">
                              <w:marLeft w:val="0"/>
                              <w:marRight w:val="0"/>
                              <w:marTop w:val="0"/>
                              <w:marBottom w:val="0"/>
                              <w:divBdr>
                                <w:top w:val="none" w:sz="0" w:space="0" w:color="auto"/>
                                <w:left w:val="none" w:sz="0" w:space="0" w:color="auto"/>
                                <w:bottom w:val="none" w:sz="0" w:space="0" w:color="auto"/>
                                <w:right w:val="none" w:sz="0" w:space="0" w:color="auto"/>
                              </w:divBdr>
                              <w:divsChild>
                                <w:div w:id="422192081">
                                  <w:marLeft w:val="0"/>
                                  <w:marRight w:val="0"/>
                                  <w:marTop w:val="0"/>
                                  <w:marBottom w:val="0"/>
                                  <w:divBdr>
                                    <w:top w:val="none" w:sz="0" w:space="0" w:color="auto"/>
                                    <w:left w:val="none" w:sz="0" w:space="0" w:color="auto"/>
                                    <w:bottom w:val="none" w:sz="0" w:space="0" w:color="auto"/>
                                    <w:right w:val="none" w:sz="0" w:space="0" w:color="auto"/>
                                  </w:divBdr>
                                  <w:divsChild>
                                    <w:div w:id="1773629168">
                                      <w:marLeft w:val="0"/>
                                      <w:marRight w:val="0"/>
                                      <w:marTop w:val="0"/>
                                      <w:marBottom w:val="0"/>
                                      <w:divBdr>
                                        <w:top w:val="none" w:sz="0" w:space="0" w:color="auto"/>
                                        <w:left w:val="none" w:sz="0" w:space="0" w:color="auto"/>
                                        <w:bottom w:val="none" w:sz="0" w:space="0" w:color="auto"/>
                                        <w:right w:val="none" w:sz="0" w:space="0" w:color="auto"/>
                                      </w:divBdr>
                                      <w:divsChild>
                                        <w:div w:id="1488588840">
                                          <w:marLeft w:val="0"/>
                                          <w:marRight w:val="0"/>
                                          <w:marTop w:val="0"/>
                                          <w:marBottom w:val="0"/>
                                          <w:divBdr>
                                            <w:top w:val="none" w:sz="0" w:space="0" w:color="auto"/>
                                            <w:left w:val="none" w:sz="0" w:space="0" w:color="auto"/>
                                            <w:bottom w:val="none" w:sz="0" w:space="0" w:color="auto"/>
                                            <w:right w:val="none" w:sz="0" w:space="0" w:color="auto"/>
                                          </w:divBdr>
                                          <w:divsChild>
                                            <w:div w:id="1190997194">
                                              <w:marLeft w:val="0"/>
                                              <w:marRight w:val="135"/>
                                              <w:marTop w:val="180"/>
                                              <w:marBottom w:val="0"/>
                                              <w:divBdr>
                                                <w:top w:val="single" w:sz="6" w:space="0" w:color="9E9E9E"/>
                                                <w:left w:val="single" w:sz="6" w:space="0" w:color="9E9E9E"/>
                                                <w:bottom w:val="single" w:sz="6" w:space="0" w:color="9E9E9E"/>
                                                <w:right w:val="single" w:sz="6" w:space="0" w:color="9E9E9E"/>
                                              </w:divBdr>
                                              <w:divsChild>
                                                <w:div w:id="311254251">
                                                  <w:marLeft w:val="0"/>
                                                  <w:marRight w:val="0"/>
                                                  <w:marTop w:val="0"/>
                                                  <w:marBottom w:val="0"/>
                                                  <w:divBdr>
                                                    <w:top w:val="single" w:sz="6" w:space="0" w:color="9E9E9E"/>
                                                    <w:left w:val="single" w:sz="6" w:space="0" w:color="9E9E9E"/>
                                                    <w:bottom w:val="single" w:sz="6" w:space="0" w:color="9E9E9E"/>
                                                    <w:right w:val="single" w:sz="6" w:space="0" w:color="9E9E9E"/>
                                                  </w:divBdr>
                                                  <w:divsChild>
                                                    <w:div w:id="103785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4498230">
      <w:bodyDiv w:val="1"/>
      <w:marLeft w:val="0"/>
      <w:marRight w:val="0"/>
      <w:marTop w:val="0"/>
      <w:marBottom w:val="0"/>
      <w:divBdr>
        <w:top w:val="none" w:sz="0" w:space="0" w:color="auto"/>
        <w:left w:val="none" w:sz="0" w:space="0" w:color="auto"/>
        <w:bottom w:val="none" w:sz="0" w:space="0" w:color="auto"/>
        <w:right w:val="none" w:sz="0" w:space="0" w:color="auto"/>
      </w:divBdr>
    </w:div>
    <w:div w:id="2109808122">
      <w:bodyDiv w:val="1"/>
      <w:marLeft w:val="0"/>
      <w:marRight w:val="0"/>
      <w:marTop w:val="0"/>
      <w:marBottom w:val="0"/>
      <w:divBdr>
        <w:top w:val="none" w:sz="0" w:space="0" w:color="auto"/>
        <w:left w:val="none" w:sz="0" w:space="0" w:color="auto"/>
        <w:bottom w:val="none" w:sz="0" w:space="0" w:color="auto"/>
        <w:right w:val="none" w:sz="0" w:space="0" w:color="auto"/>
      </w:divBdr>
      <w:divsChild>
        <w:div w:id="265773476">
          <w:marLeft w:val="0"/>
          <w:marRight w:val="0"/>
          <w:marTop w:val="0"/>
          <w:marBottom w:val="0"/>
          <w:divBdr>
            <w:top w:val="none" w:sz="0" w:space="0" w:color="auto"/>
            <w:left w:val="none" w:sz="0" w:space="0" w:color="auto"/>
            <w:bottom w:val="none" w:sz="0" w:space="0" w:color="auto"/>
            <w:right w:val="none" w:sz="0" w:space="0" w:color="auto"/>
          </w:divBdr>
          <w:divsChild>
            <w:div w:id="665328385">
              <w:marLeft w:val="0"/>
              <w:marRight w:val="0"/>
              <w:marTop w:val="0"/>
              <w:marBottom w:val="0"/>
              <w:divBdr>
                <w:top w:val="none" w:sz="0" w:space="0" w:color="auto"/>
                <w:left w:val="none" w:sz="0" w:space="0" w:color="auto"/>
                <w:bottom w:val="none" w:sz="0" w:space="0" w:color="auto"/>
                <w:right w:val="none" w:sz="0" w:space="0" w:color="auto"/>
              </w:divBdr>
              <w:divsChild>
                <w:div w:id="235358681">
                  <w:marLeft w:val="0"/>
                  <w:marRight w:val="0"/>
                  <w:marTop w:val="0"/>
                  <w:marBottom w:val="0"/>
                  <w:divBdr>
                    <w:top w:val="none" w:sz="0" w:space="0" w:color="auto"/>
                    <w:left w:val="none" w:sz="0" w:space="0" w:color="auto"/>
                    <w:bottom w:val="none" w:sz="0" w:space="0" w:color="auto"/>
                    <w:right w:val="none" w:sz="0" w:space="0" w:color="auto"/>
                  </w:divBdr>
                  <w:divsChild>
                    <w:div w:id="1342660511">
                      <w:marLeft w:val="0"/>
                      <w:marRight w:val="0"/>
                      <w:marTop w:val="0"/>
                      <w:marBottom w:val="0"/>
                      <w:divBdr>
                        <w:top w:val="none" w:sz="0" w:space="0" w:color="auto"/>
                        <w:left w:val="none" w:sz="0" w:space="0" w:color="auto"/>
                        <w:bottom w:val="none" w:sz="0" w:space="0" w:color="auto"/>
                        <w:right w:val="none" w:sz="0" w:space="0" w:color="auto"/>
                      </w:divBdr>
                      <w:divsChild>
                        <w:div w:id="1562980624">
                          <w:marLeft w:val="0"/>
                          <w:marRight w:val="0"/>
                          <w:marTop w:val="0"/>
                          <w:marBottom w:val="0"/>
                          <w:divBdr>
                            <w:top w:val="none" w:sz="0" w:space="0" w:color="auto"/>
                            <w:left w:val="none" w:sz="0" w:space="0" w:color="auto"/>
                            <w:bottom w:val="none" w:sz="0" w:space="0" w:color="auto"/>
                            <w:right w:val="none" w:sz="0" w:space="0" w:color="auto"/>
                          </w:divBdr>
                          <w:divsChild>
                            <w:div w:id="1388993742">
                              <w:marLeft w:val="0"/>
                              <w:marRight w:val="0"/>
                              <w:marTop w:val="0"/>
                              <w:marBottom w:val="0"/>
                              <w:divBdr>
                                <w:top w:val="none" w:sz="0" w:space="0" w:color="auto"/>
                                <w:left w:val="none" w:sz="0" w:space="0" w:color="auto"/>
                                <w:bottom w:val="none" w:sz="0" w:space="0" w:color="auto"/>
                                <w:right w:val="none" w:sz="0" w:space="0" w:color="auto"/>
                              </w:divBdr>
                              <w:divsChild>
                                <w:div w:id="707678496">
                                  <w:marLeft w:val="0"/>
                                  <w:marRight w:val="0"/>
                                  <w:marTop w:val="0"/>
                                  <w:marBottom w:val="0"/>
                                  <w:divBdr>
                                    <w:top w:val="none" w:sz="0" w:space="0" w:color="auto"/>
                                    <w:left w:val="none" w:sz="0" w:space="0" w:color="auto"/>
                                    <w:bottom w:val="none" w:sz="0" w:space="0" w:color="auto"/>
                                    <w:right w:val="none" w:sz="0" w:space="0" w:color="auto"/>
                                  </w:divBdr>
                                  <w:divsChild>
                                    <w:div w:id="265119739">
                                      <w:marLeft w:val="0"/>
                                      <w:marRight w:val="0"/>
                                      <w:marTop w:val="0"/>
                                      <w:marBottom w:val="0"/>
                                      <w:divBdr>
                                        <w:top w:val="none" w:sz="0" w:space="0" w:color="auto"/>
                                        <w:left w:val="none" w:sz="0" w:space="0" w:color="auto"/>
                                        <w:bottom w:val="none" w:sz="0" w:space="0" w:color="auto"/>
                                        <w:right w:val="none" w:sz="0" w:space="0" w:color="auto"/>
                                      </w:divBdr>
                                      <w:divsChild>
                                        <w:div w:id="1059748266">
                                          <w:marLeft w:val="0"/>
                                          <w:marRight w:val="0"/>
                                          <w:marTop w:val="0"/>
                                          <w:marBottom w:val="0"/>
                                          <w:divBdr>
                                            <w:top w:val="none" w:sz="0" w:space="0" w:color="auto"/>
                                            <w:left w:val="none" w:sz="0" w:space="0" w:color="auto"/>
                                            <w:bottom w:val="none" w:sz="0" w:space="0" w:color="auto"/>
                                            <w:right w:val="none" w:sz="0" w:space="0" w:color="auto"/>
                                          </w:divBdr>
                                          <w:divsChild>
                                            <w:div w:id="804273018">
                                              <w:marLeft w:val="0"/>
                                              <w:marRight w:val="135"/>
                                              <w:marTop w:val="180"/>
                                              <w:marBottom w:val="0"/>
                                              <w:divBdr>
                                                <w:top w:val="single" w:sz="6" w:space="0" w:color="9E9E9E"/>
                                                <w:left w:val="single" w:sz="6" w:space="0" w:color="9E9E9E"/>
                                                <w:bottom w:val="single" w:sz="6" w:space="0" w:color="9E9E9E"/>
                                                <w:right w:val="single" w:sz="6" w:space="0" w:color="9E9E9E"/>
                                              </w:divBdr>
                                              <w:divsChild>
                                                <w:div w:id="559678789">
                                                  <w:marLeft w:val="0"/>
                                                  <w:marRight w:val="0"/>
                                                  <w:marTop w:val="0"/>
                                                  <w:marBottom w:val="0"/>
                                                  <w:divBdr>
                                                    <w:top w:val="single" w:sz="6" w:space="0" w:color="9E9E9E"/>
                                                    <w:left w:val="single" w:sz="6" w:space="0" w:color="9E9E9E"/>
                                                    <w:bottom w:val="single" w:sz="6" w:space="0" w:color="9E9E9E"/>
                                                    <w:right w:val="single" w:sz="6" w:space="0" w:color="9E9E9E"/>
                                                  </w:divBdr>
                                                  <w:divsChild>
                                                    <w:div w:id="192167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C6FC9-3D54-4EB8-882A-B22664D1A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2471</Words>
  <Characters>12967</Characters>
  <Application>Microsoft Office Word</Application>
  <DocSecurity>0</DocSecurity>
  <Lines>219</Lines>
  <Paragraphs>119</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DIAC</Company>
  <LinksUpToDate>false</LinksUpToDate>
  <CharactersWithSpaces>15319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John LIN</dc:creator>
  <cp:lastModifiedBy>Gibson, Vikki</cp:lastModifiedBy>
  <cp:revision>2</cp:revision>
  <cp:lastPrinted>2014-08-11T05:04:00Z</cp:lastPrinted>
  <dcterms:created xsi:type="dcterms:W3CDTF">2014-08-20T00:21:00Z</dcterms:created>
  <dcterms:modified xsi:type="dcterms:W3CDTF">2014-08-20T00:21:00Z</dcterms:modified>
</cp:coreProperties>
</file>