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AD4F3" w14:textId="225C3EA7" w:rsidR="006071F6" w:rsidRDefault="009D68F2" w:rsidP="006071F6">
      <w:pPr>
        <w:ind w:firstLine="720"/>
      </w:pPr>
      <w:r w:rsidRPr="000A21E4">
        <w:rPr>
          <w:noProof/>
        </w:rPr>
        <w:drawing>
          <wp:anchor distT="0" distB="0" distL="114300" distR="114300" simplePos="0" relativeHeight="251659264" behindDoc="0" locked="0" layoutInCell="1" allowOverlap="1" wp14:anchorId="01B9327E" wp14:editId="38D2CF5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09700" cy="11049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385BD2" w14:textId="77777777" w:rsidR="006071F6" w:rsidRDefault="006071F6" w:rsidP="006071F6">
      <w:pPr>
        <w:ind w:firstLine="720"/>
      </w:pPr>
    </w:p>
    <w:p w14:paraId="7627768E" w14:textId="77777777" w:rsidR="006071F6" w:rsidRPr="006071F6" w:rsidRDefault="006071F6" w:rsidP="006071F6">
      <w:pPr>
        <w:ind w:left="720"/>
        <w:rPr>
          <w:szCs w:val="20"/>
        </w:rPr>
      </w:pPr>
      <w:r w:rsidRPr="006071F6">
        <w:rPr>
          <w:color w:val="31849B" w:themeColor="accent5" w:themeShade="BF"/>
          <w:szCs w:val="20"/>
        </w:rPr>
        <w:tab/>
      </w:r>
    </w:p>
    <w:p w14:paraId="62FC1BBF" w14:textId="77777777" w:rsidR="006071F6" w:rsidRDefault="006071F6" w:rsidP="006071F6">
      <w:pPr>
        <w:ind w:firstLine="720"/>
      </w:pPr>
    </w:p>
    <w:p w14:paraId="7CC15975" w14:textId="77777777" w:rsidR="006071F6" w:rsidRDefault="006071F6" w:rsidP="009D68F2">
      <w:pPr>
        <w:rPr>
          <w:noProof/>
        </w:rPr>
      </w:pPr>
      <w:r>
        <w:t xml:space="preserve">         </w:t>
      </w:r>
      <w:r>
        <w:rPr>
          <w:noProof/>
        </w:rPr>
        <w:t xml:space="preserve">     </w:t>
      </w:r>
    </w:p>
    <w:p w14:paraId="2091CD00" w14:textId="77777777" w:rsidR="009D68F2" w:rsidRPr="000A21E4" w:rsidRDefault="009D68F2" w:rsidP="009D68F2">
      <w:pPr>
        <w:pStyle w:val="Title"/>
        <w:pBdr>
          <w:bottom w:val="single" w:sz="4" w:space="1" w:color="auto"/>
        </w:pBdr>
        <w:spacing w:before="720"/>
        <w:rPr>
          <w:i/>
          <w:sz w:val="28"/>
          <w:szCs w:val="28"/>
        </w:rPr>
      </w:pPr>
      <w:bookmarkStart w:id="0" w:name="citation"/>
      <w:r w:rsidRPr="000A21E4">
        <w:t>Telecommunications (Backup</w:t>
      </w:r>
      <w:r w:rsidR="004634DF">
        <w:t xml:space="preserve"> </w:t>
      </w:r>
      <w:r w:rsidR="00A6657D">
        <w:t>Power</w:t>
      </w:r>
      <w:r w:rsidR="005D1211">
        <w:t xml:space="preserve"> and</w:t>
      </w:r>
      <w:r w:rsidR="00A6657D">
        <w:t xml:space="preserve"> </w:t>
      </w:r>
      <w:r w:rsidR="004634DF">
        <w:t xml:space="preserve">Informed </w:t>
      </w:r>
      <w:r w:rsidR="00E07396">
        <w:t>Decision</w:t>
      </w:r>
      <w:r w:rsidR="005F3220">
        <w:t>s</w:t>
      </w:r>
      <w:r w:rsidRPr="000A21E4">
        <w:t>) Service Provider Determination 20</w:t>
      </w:r>
      <w:bookmarkEnd w:id="0"/>
      <w:r w:rsidRPr="000A21E4">
        <w:t>1</w:t>
      </w:r>
      <w:r w:rsidR="004634DF">
        <w:t>4</w:t>
      </w:r>
      <w:r w:rsidRPr="000A21E4">
        <w:t xml:space="preserve"> </w:t>
      </w:r>
    </w:p>
    <w:p w14:paraId="14723745" w14:textId="77777777" w:rsidR="009D68F2" w:rsidRPr="000A21E4" w:rsidRDefault="009D68F2" w:rsidP="009D68F2">
      <w:pPr>
        <w:pStyle w:val="Title"/>
        <w:pBdr>
          <w:bottom w:val="single" w:sz="4" w:space="1" w:color="auto"/>
        </w:pBdr>
        <w:spacing w:before="120"/>
        <w:rPr>
          <w:b w:val="0"/>
          <w:i/>
          <w:sz w:val="28"/>
          <w:szCs w:val="28"/>
        </w:rPr>
      </w:pPr>
      <w:r w:rsidRPr="000A21E4">
        <w:rPr>
          <w:b w:val="0"/>
          <w:i/>
          <w:sz w:val="28"/>
          <w:szCs w:val="28"/>
        </w:rPr>
        <w:t>Telecommunications Act 1997</w:t>
      </w:r>
    </w:p>
    <w:p w14:paraId="7CBF035E" w14:textId="77777777" w:rsidR="009D68F2" w:rsidRPr="004F7D6B" w:rsidRDefault="009D68F2" w:rsidP="009D68F2">
      <w:pPr>
        <w:rPr>
          <w:rFonts w:ascii="Times New Roman" w:hAnsi="Times New Roman"/>
          <w:sz w:val="24"/>
        </w:rPr>
      </w:pPr>
      <w:r w:rsidRPr="004F7D6B">
        <w:rPr>
          <w:rFonts w:ascii="Times New Roman" w:hAnsi="Times New Roman"/>
          <w:sz w:val="24"/>
        </w:rPr>
        <w:t xml:space="preserve">The AUSTRALIAN COMMUNICATIONS AND MEDIA AUTHORITY makes this Service Provider Determination under subsection 99(1) of the </w:t>
      </w:r>
      <w:bookmarkStart w:id="1" w:name="Act"/>
      <w:r w:rsidRPr="004F7D6B">
        <w:rPr>
          <w:rFonts w:ascii="Times New Roman" w:hAnsi="Times New Roman"/>
          <w:i/>
          <w:sz w:val="24"/>
        </w:rPr>
        <w:t>Telecommunications Act 199</w:t>
      </w:r>
      <w:bookmarkEnd w:id="1"/>
      <w:r w:rsidRPr="004F7D6B">
        <w:rPr>
          <w:rFonts w:ascii="Times New Roman" w:hAnsi="Times New Roman"/>
          <w:i/>
          <w:sz w:val="24"/>
        </w:rPr>
        <w:t>7</w:t>
      </w:r>
      <w:r w:rsidRPr="004F7D6B">
        <w:rPr>
          <w:rFonts w:ascii="Times New Roman" w:hAnsi="Times New Roman"/>
          <w:sz w:val="24"/>
        </w:rPr>
        <w:t>.</w:t>
      </w:r>
    </w:p>
    <w:p w14:paraId="46F11AEB" w14:textId="45D2ADF0" w:rsidR="009D68F2" w:rsidRPr="004F7D6B" w:rsidRDefault="009D68F2" w:rsidP="009D68F2">
      <w:pPr>
        <w:rPr>
          <w:rFonts w:ascii="Times New Roman" w:hAnsi="Times New Roman"/>
          <w:sz w:val="24"/>
        </w:rPr>
      </w:pPr>
      <w:r w:rsidRPr="004F7D6B">
        <w:rPr>
          <w:rFonts w:ascii="Times New Roman" w:hAnsi="Times New Roman"/>
          <w:sz w:val="24"/>
        </w:rPr>
        <w:t xml:space="preserve">Dated                    </w:t>
      </w:r>
      <w:r w:rsidR="00EB0791" w:rsidRPr="00EB0791">
        <w:rPr>
          <w:rFonts w:ascii="Times New Roman" w:hAnsi="Times New Roman"/>
          <w:i/>
          <w:sz w:val="24"/>
        </w:rPr>
        <w:t>12</w:t>
      </w:r>
      <w:r w:rsidR="00EB0791" w:rsidRPr="00EB0791">
        <w:rPr>
          <w:rFonts w:ascii="Times New Roman" w:hAnsi="Times New Roman"/>
          <w:i/>
          <w:sz w:val="24"/>
          <w:vertAlign w:val="superscript"/>
        </w:rPr>
        <w:t>th</w:t>
      </w:r>
      <w:r w:rsidR="00EB0791" w:rsidRPr="00EB0791">
        <w:rPr>
          <w:rFonts w:ascii="Times New Roman" w:hAnsi="Times New Roman"/>
          <w:i/>
          <w:sz w:val="24"/>
        </w:rPr>
        <w:t xml:space="preserve"> August</w:t>
      </w:r>
      <w:r w:rsidR="00EB0791">
        <w:rPr>
          <w:rFonts w:ascii="Times New Roman" w:hAnsi="Times New Roman"/>
          <w:sz w:val="24"/>
        </w:rPr>
        <w:t xml:space="preserve"> </w:t>
      </w:r>
      <w:r w:rsidRPr="004F7D6B">
        <w:rPr>
          <w:rFonts w:ascii="Times New Roman" w:hAnsi="Times New Roman"/>
          <w:sz w:val="24"/>
        </w:rPr>
        <w:t>201</w:t>
      </w:r>
      <w:r w:rsidR="004634DF" w:rsidRPr="004F7D6B">
        <w:rPr>
          <w:rFonts w:ascii="Times New Roman" w:hAnsi="Times New Roman"/>
          <w:sz w:val="24"/>
        </w:rPr>
        <w:t>4</w:t>
      </w:r>
    </w:p>
    <w:p w14:paraId="2AA28742" w14:textId="77777777" w:rsidR="009D68F2" w:rsidRPr="004F7D6B" w:rsidRDefault="009D68F2" w:rsidP="009D68F2">
      <w:pPr>
        <w:rPr>
          <w:rFonts w:ascii="Times New Roman" w:hAnsi="Times New Roman"/>
          <w:sz w:val="24"/>
        </w:rPr>
      </w:pPr>
    </w:p>
    <w:p w14:paraId="382BB94E" w14:textId="630BC3E6" w:rsidR="009D68F2" w:rsidRPr="004F7D6B" w:rsidRDefault="00EB0791" w:rsidP="007B2C70">
      <w:pPr>
        <w:jc w:val="right"/>
        <w:rPr>
          <w:rFonts w:ascii="Times New Roman" w:hAnsi="Times New Roman"/>
          <w:sz w:val="24"/>
        </w:rPr>
      </w:pPr>
      <w:r w:rsidRPr="00E037B2">
        <w:rPr>
          <w:rFonts w:ascii="Times New Roman" w:hAnsi="Times New Roman"/>
          <w:i/>
          <w:sz w:val="24"/>
        </w:rPr>
        <w:t>Chris Chapman</w:t>
      </w:r>
      <w:r>
        <w:rPr>
          <w:rFonts w:ascii="Times New Roman" w:hAnsi="Times New Roman"/>
          <w:sz w:val="24"/>
        </w:rPr>
        <w:t xml:space="preserve"> </w:t>
      </w:r>
      <w:r w:rsidR="00322D09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[signed</w:t>
      </w:r>
      <w:proofErr w:type="gramStart"/>
      <w:r>
        <w:rPr>
          <w:rFonts w:ascii="Times New Roman" w:hAnsi="Times New Roman"/>
          <w:sz w:val="24"/>
        </w:rPr>
        <w:t>]</w:t>
      </w:r>
      <w:proofErr w:type="gramEnd"/>
      <w:r w:rsidR="00322D09">
        <w:rPr>
          <w:rFonts w:ascii="Times New Roman" w:hAnsi="Times New Roman"/>
          <w:sz w:val="24"/>
        </w:rPr>
        <w:br/>
      </w:r>
      <w:r w:rsidR="009D68F2" w:rsidRPr="004F7D6B">
        <w:rPr>
          <w:rFonts w:ascii="Times New Roman" w:hAnsi="Times New Roman"/>
          <w:sz w:val="24"/>
        </w:rPr>
        <w:t>Member</w:t>
      </w:r>
    </w:p>
    <w:p w14:paraId="0070C65F" w14:textId="77777777" w:rsidR="009D68F2" w:rsidRPr="004F7D6B" w:rsidRDefault="009D68F2" w:rsidP="007B2C70">
      <w:pPr>
        <w:jc w:val="right"/>
        <w:rPr>
          <w:rFonts w:ascii="Times New Roman" w:hAnsi="Times New Roman"/>
          <w:sz w:val="24"/>
        </w:rPr>
      </w:pPr>
    </w:p>
    <w:p w14:paraId="0176E69C" w14:textId="77777777" w:rsidR="009D68F2" w:rsidRPr="004F7D6B" w:rsidRDefault="009D68F2" w:rsidP="007B2C70">
      <w:pPr>
        <w:jc w:val="right"/>
        <w:rPr>
          <w:rFonts w:ascii="Times New Roman" w:hAnsi="Times New Roman"/>
          <w:sz w:val="24"/>
        </w:rPr>
      </w:pPr>
    </w:p>
    <w:p w14:paraId="497995B6" w14:textId="74D29657" w:rsidR="009D68F2" w:rsidRPr="004F7D6B" w:rsidRDefault="00EB0791" w:rsidP="007B2C70">
      <w:pPr>
        <w:jc w:val="right"/>
        <w:rPr>
          <w:rFonts w:ascii="Times New Roman" w:hAnsi="Times New Roman"/>
          <w:sz w:val="24"/>
        </w:rPr>
      </w:pPr>
      <w:r w:rsidRPr="00E037B2">
        <w:rPr>
          <w:rFonts w:ascii="Times New Roman" w:hAnsi="Times New Roman"/>
          <w:i/>
          <w:sz w:val="24"/>
        </w:rPr>
        <w:t>Richard Bean</w:t>
      </w:r>
      <w:r>
        <w:rPr>
          <w:rFonts w:ascii="Times New Roman" w:hAnsi="Times New Roman"/>
          <w:sz w:val="24"/>
        </w:rPr>
        <w:t xml:space="preserve"> </w:t>
      </w:r>
      <w:r w:rsidR="00322D09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[signed] </w:t>
      </w:r>
      <w:r w:rsidR="00322D09">
        <w:rPr>
          <w:rFonts w:ascii="Times New Roman" w:hAnsi="Times New Roman"/>
          <w:sz w:val="24"/>
        </w:rPr>
        <w:br/>
      </w:r>
      <w:r w:rsidR="009D68F2" w:rsidRPr="004F7D6B">
        <w:rPr>
          <w:rFonts w:ascii="Times New Roman" w:hAnsi="Times New Roman"/>
          <w:sz w:val="24"/>
        </w:rPr>
        <w:t xml:space="preserve">Member / </w:t>
      </w:r>
      <w:r w:rsidR="009D68F2" w:rsidRPr="00EB0791">
        <w:rPr>
          <w:rFonts w:ascii="Times New Roman" w:hAnsi="Times New Roman"/>
          <w:strike/>
          <w:sz w:val="24"/>
        </w:rPr>
        <w:t>General Manager</w:t>
      </w:r>
    </w:p>
    <w:p w14:paraId="58713E71" w14:textId="77777777" w:rsidR="009D68F2" w:rsidRPr="004F7D6B" w:rsidRDefault="009D68F2" w:rsidP="009D68F2">
      <w:pPr>
        <w:rPr>
          <w:rFonts w:ascii="Times New Roman" w:hAnsi="Times New Roman"/>
          <w:sz w:val="24"/>
        </w:rPr>
      </w:pPr>
    </w:p>
    <w:p w14:paraId="0B75660C" w14:textId="77777777" w:rsidR="009D68F2" w:rsidRPr="004F7D6B" w:rsidRDefault="009D68F2" w:rsidP="009D68F2">
      <w:pPr>
        <w:pBdr>
          <w:bottom w:val="single" w:sz="6" w:space="1" w:color="auto"/>
        </w:pBdr>
        <w:rPr>
          <w:rFonts w:ascii="Times New Roman" w:hAnsi="Times New Roman"/>
          <w:sz w:val="24"/>
        </w:rPr>
      </w:pPr>
      <w:r w:rsidRPr="004F7D6B">
        <w:rPr>
          <w:rFonts w:ascii="Times New Roman" w:hAnsi="Times New Roman"/>
          <w:sz w:val="24"/>
        </w:rPr>
        <w:t>Australian Communications and Media Authority</w:t>
      </w:r>
    </w:p>
    <w:p w14:paraId="31D88A8A" w14:textId="77777777" w:rsidR="007B2C70" w:rsidRPr="004F7D6B" w:rsidRDefault="007B2C70" w:rsidP="009D68F2">
      <w:pPr>
        <w:rPr>
          <w:rFonts w:ascii="Times New Roman" w:hAnsi="Times New Roman"/>
          <w:sz w:val="24"/>
        </w:rPr>
      </w:pPr>
    </w:p>
    <w:p w14:paraId="5B47A21A" w14:textId="77777777" w:rsidR="00FC1B2F" w:rsidRDefault="00FC1B2F">
      <w:pPr>
        <w:spacing w:before="0" w:after="200" w:line="276" w:lineRule="auto"/>
      </w:pPr>
      <w:r>
        <w:br w:type="page"/>
      </w:r>
      <w:bookmarkStart w:id="2" w:name="_GoBack"/>
      <w:bookmarkEnd w:id="2"/>
    </w:p>
    <w:p w14:paraId="6622B4B5" w14:textId="77777777" w:rsidR="009D68F2" w:rsidRPr="00FC1B2F" w:rsidRDefault="009D68F2" w:rsidP="00A81F88">
      <w:pPr>
        <w:rPr>
          <w:b/>
          <w:sz w:val="28"/>
          <w:szCs w:val="28"/>
        </w:rPr>
      </w:pPr>
      <w:r w:rsidRPr="00FC1B2F">
        <w:rPr>
          <w:b/>
          <w:sz w:val="28"/>
          <w:szCs w:val="28"/>
        </w:rPr>
        <w:lastRenderedPageBreak/>
        <w:t>Part 1 - Preliminary</w:t>
      </w:r>
    </w:p>
    <w:p w14:paraId="5C7B67DB" w14:textId="77777777" w:rsidR="009D68F2" w:rsidRPr="006071F6" w:rsidRDefault="009D68F2" w:rsidP="009D68F2">
      <w:pPr>
        <w:pStyle w:val="HR"/>
        <w:ind w:left="567" w:hanging="567"/>
      </w:pPr>
      <w:bookmarkStart w:id="3" w:name="_Toc478458795"/>
      <w:r w:rsidRPr="006071F6">
        <w:rPr>
          <w:rStyle w:val="CharSectno"/>
        </w:rPr>
        <w:t>1</w:t>
      </w:r>
      <w:r w:rsidRPr="006071F6">
        <w:tab/>
        <w:t>Name of Determination</w:t>
      </w:r>
      <w:bookmarkEnd w:id="3"/>
    </w:p>
    <w:p w14:paraId="054C302D" w14:textId="77777777" w:rsidR="009D68F2" w:rsidRPr="006071F6" w:rsidRDefault="009D68F2" w:rsidP="009D68F2">
      <w:pPr>
        <w:pStyle w:val="R1"/>
        <w:tabs>
          <w:tab w:val="left" w:pos="720"/>
        </w:tabs>
        <w:ind w:left="567" w:firstLine="0"/>
        <w:jc w:val="left"/>
        <w:rPr>
          <w:i/>
        </w:rPr>
      </w:pPr>
      <w:r w:rsidRPr="006071F6">
        <w:t xml:space="preserve">This Determination is the </w:t>
      </w:r>
      <w:r w:rsidRPr="006071F6">
        <w:rPr>
          <w:i/>
        </w:rPr>
        <w:t>Telecommunications (</w:t>
      </w:r>
      <w:r w:rsidR="004634DF">
        <w:rPr>
          <w:i/>
        </w:rPr>
        <w:t xml:space="preserve">Backup </w:t>
      </w:r>
      <w:r w:rsidR="00A6657D">
        <w:rPr>
          <w:i/>
        </w:rPr>
        <w:t xml:space="preserve">Power </w:t>
      </w:r>
      <w:r w:rsidR="005D1211">
        <w:rPr>
          <w:i/>
        </w:rPr>
        <w:t xml:space="preserve">and </w:t>
      </w:r>
      <w:r w:rsidR="00DD538F">
        <w:rPr>
          <w:i/>
        </w:rPr>
        <w:t xml:space="preserve">Informed </w:t>
      </w:r>
      <w:r w:rsidR="00B97A2B">
        <w:rPr>
          <w:i/>
        </w:rPr>
        <w:t>Decisions</w:t>
      </w:r>
      <w:r w:rsidRPr="006071F6">
        <w:rPr>
          <w:i/>
        </w:rPr>
        <w:t>) Service Provider Determination 201</w:t>
      </w:r>
      <w:r w:rsidR="004634DF">
        <w:rPr>
          <w:i/>
        </w:rPr>
        <w:t>4</w:t>
      </w:r>
      <w:r w:rsidRPr="006071F6">
        <w:rPr>
          <w:i/>
        </w:rPr>
        <w:t>.</w:t>
      </w:r>
    </w:p>
    <w:p w14:paraId="56E0EC3D" w14:textId="77777777" w:rsidR="009D68F2" w:rsidRPr="00053B36" w:rsidRDefault="009D68F2" w:rsidP="00053B36">
      <w:pPr>
        <w:pStyle w:val="NoteEnd"/>
        <w:ind w:left="1134" w:right="110"/>
        <w:jc w:val="left"/>
        <w:rPr>
          <w:sz w:val="20"/>
          <w:szCs w:val="20"/>
        </w:rPr>
      </w:pPr>
      <w:bookmarkStart w:id="4" w:name="_Toc478458797"/>
      <w:r w:rsidRPr="006071F6">
        <w:rPr>
          <w:i/>
          <w:color w:val="000000"/>
          <w:sz w:val="20"/>
          <w:szCs w:val="20"/>
        </w:rPr>
        <w:t xml:space="preserve">Note </w:t>
      </w:r>
      <w:r w:rsidRPr="006071F6">
        <w:rPr>
          <w:i/>
          <w:color w:val="000000"/>
          <w:sz w:val="20"/>
          <w:szCs w:val="20"/>
        </w:rPr>
        <w:tab/>
      </w:r>
      <w:r w:rsidRPr="006071F6">
        <w:rPr>
          <w:color w:val="000000"/>
          <w:sz w:val="20"/>
          <w:szCs w:val="20"/>
        </w:rPr>
        <w:t xml:space="preserve">All legislative instruments and compilations are registered on the Federal Register of Legislative Instruments kept under the </w:t>
      </w:r>
      <w:r w:rsidRPr="006071F6">
        <w:rPr>
          <w:i/>
          <w:color w:val="000000"/>
          <w:sz w:val="20"/>
          <w:szCs w:val="20"/>
        </w:rPr>
        <w:t>Legislative Instruments Act 2003</w:t>
      </w:r>
      <w:r w:rsidRPr="006071F6">
        <w:rPr>
          <w:color w:val="000000"/>
          <w:sz w:val="20"/>
          <w:szCs w:val="20"/>
        </w:rPr>
        <w:t>.</w:t>
      </w:r>
      <w:r w:rsidRPr="006071F6">
        <w:rPr>
          <w:i/>
          <w:color w:val="000000"/>
          <w:sz w:val="20"/>
          <w:szCs w:val="20"/>
        </w:rPr>
        <w:t xml:space="preserve"> </w:t>
      </w:r>
      <w:r w:rsidRPr="006071F6">
        <w:rPr>
          <w:color w:val="000000"/>
          <w:sz w:val="20"/>
          <w:szCs w:val="20"/>
        </w:rPr>
        <w:t xml:space="preserve">See </w:t>
      </w:r>
      <w:r w:rsidRPr="006071F6">
        <w:rPr>
          <w:color w:val="000000"/>
          <w:sz w:val="20"/>
          <w:szCs w:val="20"/>
          <w:u w:val="single"/>
        </w:rPr>
        <w:t>http://www.comlaw.gov.au</w:t>
      </w:r>
      <w:r w:rsidRPr="006071F6">
        <w:rPr>
          <w:color w:val="000000"/>
          <w:sz w:val="20"/>
          <w:szCs w:val="20"/>
        </w:rPr>
        <w:t>.</w:t>
      </w:r>
      <w:bookmarkEnd w:id="4"/>
    </w:p>
    <w:p w14:paraId="0DD3BB5A" w14:textId="77777777" w:rsidR="009D68F2" w:rsidRPr="006071F6" w:rsidRDefault="009D68F2" w:rsidP="00C54341">
      <w:pPr>
        <w:pStyle w:val="HR"/>
        <w:ind w:left="567" w:hanging="567"/>
        <w:rPr>
          <w:rStyle w:val="CharSectno"/>
        </w:rPr>
      </w:pPr>
      <w:bookmarkStart w:id="5" w:name="_Toc478458796"/>
      <w:r w:rsidRPr="006071F6">
        <w:rPr>
          <w:rStyle w:val="CharSectno"/>
        </w:rPr>
        <w:t>2</w:t>
      </w:r>
      <w:r w:rsidRPr="006071F6">
        <w:rPr>
          <w:rStyle w:val="CharSectno"/>
        </w:rPr>
        <w:tab/>
        <w:t>Commencement</w:t>
      </w:r>
      <w:bookmarkEnd w:id="5"/>
    </w:p>
    <w:p w14:paraId="0EC72159" w14:textId="415B6AC4" w:rsidR="009D68F2" w:rsidRPr="000A21E4" w:rsidRDefault="009D68F2" w:rsidP="009D68F2">
      <w:pPr>
        <w:pStyle w:val="R1"/>
        <w:tabs>
          <w:tab w:val="left" w:pos="720"/>
        </w:tabs>
        <w:ind w:left="567" w:firstLine="0"/>
        <w:jc w:val="left"/>
      </w:pPr>
      <w:r w:rsidRPr="006071F6">
        <w:t xml:space="preserve">This Determination commences on </w:t>
      </w:r>
      <w:r w:rsidR="00703A56">
        <w:t>2</w:t>
      </w:r>
      <w:r w:rsidR="00CF715B">
        <w:t xml:space="preserve"> October 2014</w:t>
      </w:r>
      <w:r w:rsidRPr="006071F6">
        <w:t>.</w:t>
      </w:r>
    </w:p>
    <w:p w14:paraId="085708E9" w14:textId="0AED244E" w:rsidR="009D68F2" w:rsidRPr="000A21E4" w:rsidRDefault="009D68F2" w:rsidP="009D68F2">
      <w:pPr>
        <w:pStyle w:val="HR"/>
        <w:ind w:left="567" w:hanging="567"/>
        <w:rPr>
          <w:rStyle w:val="CharSectno"/>
        </w:rPr>
      </w:pPr>
      <w:r w:rsidRPr="000A21E4">
        <w:rPr>
          <w:rStyle w:val="CharSectno"/>
        </w:rPr>
        <w:t>3</w:t>
      </w:r>
      <w:r w:rsidRPr="000A21E4">
        <w:rPr>
          <w:rStyle w:val="CharSectno"/>
        </w:rPr>
        <w:tab/>
        <w:t xml:space="preserve">Object </w:t>
      </w:r>
    </w:p>
    <w:p w14:paraId="0DFD8141" w14:textId="77777777" w:rsidR="009D68F2" w:rsidRPr="000A21E4" w:rsidRDefault="009D68F2" w:rsidP="005472B6">
      <w:pPr>
        <w:pStyle w:val="R1"/>
        <w:tabs>
          <w:tab w:val="left" w:pos="720"/>
        </w:tabs>
        <w:ind w:left="1134" w:hanging="567"/>
        <w:jc w:val="left"/>
      </w:pPr>
      <w:r w:rsidRPr="000A21E4">
        <w:t>(1)</w:t>
      </w:r>
      <w:r w:rsidRPr="000A21E4">
        <w:tab/>
      </w:r>
      <w:r w:rsidR="005D1211">
        <w:tab/>
      </w:r>
      <w:r w:rsidRPr="000A21E4">
        <w:t>The object of this Determination</w:t>
      </w:r>
      <w:r w:rsidR="00224FD9">
        <w:t xml:space="preserve"> is to </w:t>
      </w:r>
      <w:r w:rsidR="00D97930">
        <w:t xml:space="preserve">help </w:t>
      </w:r>
      <w:r w:rsidR="00224FD9">
        <w:t>pr</w:t>
      </w:r>
      <w:r w:rsidR="00A54BF3">
        <w:t>otect the interests of</w:t>
      </w:r>
      <w:r w:rsidR="001F49AF">
        <w:t xml:space="preserve"> </w:t>
      </w:r>
      <w:r w:rsidRPr="000A21E4">
        <w:t xml:space="preserve">customers of carriage service providers </w:t>
      </w:r>
      <w:r w:rsidR="00224FD9">
        <w:t>that</w:t>
      </w:r>
      <w:r w:rsidR="005D1211">
        <w:t xml:space="preserve"> </w:t>
      </w:r>
      <w:r w:rsidR="001B3D0A">
        <w:t>supply specified carriage services</w:t>
      </w:r>
      <w:r w:rsidR="00620EC5">
        <w:t xml:space="preserve"> which will not operate during a power failure unless a backup power service is supplied</w:t>
      </w:r>
      <w:r w:rsidR="00FC38A6">
        <w:t>.</w:t>
      </w:r>
    </w:p>
    <w:p w14:paraId="51544D57" w14:textId="77777777" w:rsidR="009D68F2" w:rsidRPr="000A21E4" w:rsidRDefault="00CA352D" w:rsidP="00B21480">
      <w:pPr>
        <w:pStyle w:val="R1"/>
        <w:tabs>
          <w:tab w:val="clear" w:pos="964"/>
        </w:tabs>
        <w:ind w:left="1134" w:hanging="567"/>
        <w:jc w:val="left"/>
      </w:pPr>
      <w:r>
        <w:t>(</w:t>
      </w:r>
      <w:r w:rsidR="00670774">
        <w:t>2</w:t>
      </w:r>
      <w:r w:rsidR="009D68F2" w:rsidRPr="000A21E4">
        <w:t>)</w:t>
      </w:r>
      <w:r w:rsidR="009D68F2" w:rsidRPr="000A21E4">
        <w:tab/>
        <w:t>This Determination</w:t>
      </w:r>
      <w:r w:rsidR="002E1F02">
        <w:t xml:space="preserve"> achieves this object</w:t>
      </w:r>
      <w:r w:rsidR="00A54BF3">
        <w:t xml:space="preserve"> by requiring th</w:t>
      </w:r>
      <w:r w:rsidR="009D68F2" w:rsidRPr="000A21E4">
        <w:t>e providers</w:t>
      </w:r>
      <w:r w:rsidR="00DC613C">
        <w:t xml:space="preserve"> </w:t>
      </w:r>
      <w:r w:rsidR="00045FE8">
        <w:t xml:space="preserve">to </w:t>
      </w:r>
      <w:r w:rsidR="002C7366">
        <w:t>do the following</w:t>
      </w:r>
      <w:r w:rsidR="00876A83">
        <w:t>, if</w:t>
      </w:r>
      <w:r w:rsidR="001B3D0A">
        <w:t xml:space="preserve"> a customer has requested them to supply a </w:t>
      </w:r>
      <w:r w:rsidR="00620EC5">
        <w:t xml:space="preserve">specified carriage </w:t>
      </w:r>
      <w:r w:rsidR="001B3D0A">
        <w:t xml:space="preserve">service </w:t>
      </w:r>
      <w:r w:rsidR="003336E7">
        <w:t>to the customer’s premises</w:t>
      </w:r>
      <w:r w:rsidR="00CF715B">
        <w:t>:</w:t>
      </w:r>
      <w:r w:rsidR="006071F6" w:rsidRPr="006071F6">
        <w:rPr>
          <w:noProof/>
        </w:rPr>
        <w:t xml:space="preserve"> </w:t>
      </w:r>
    </w:p>
    <w:p w14:paraId="6020C287" w14:textId="56CDCB75" w:rsidR="006B4C10" w:rsidRDefault="009D68F2" w:rsidP="000B1DC7">
      <w:pPr>
        <w:pStyle w:val="R1"/>
        <w:tabs>
          <w:tab w:val="left" w:pos="720"/>
          <w:tab w:val="left" w:pos="1134"/>
        </w:tabs>
        <w:ind w:left="1701" w:hanging="567"/>
        <w:jc w:val="left"/>
      </w:pPr>
      <w:r w:rsidRPr="000A21E4">
        <w:t>(a)</w:t>
      </w:r>
      <w:r w:rsidRPr="000A21E4">
        <w:tab/>
        <w:t xml:space="preserve">to give </w:t>
      </w:r>
      <w:r w:rsidR="00876A83">
        <w:t xml:space="preserve">the </w:t>
      </w:r>
      <w:r w:rsidRPr="000A21E4">
        <w:t>customer</w:t>
      </w:r>
      <w:r w:rsidR="00DC613C">
        <w:t xml:space="preserve">, before entering into any agreement for the supply of the </w:t>
      </w:r>
      <w:r w:rsidR="004C3609">
        <w:t xml:space="preserve">specified carriage </w:t>
      </w:r>
      <w:r w:rsidR="00DC613C">
        <w:t>service,</w:t>
      </w:r>
      <w:r w:rsidRPr="000A21E4">
        <w:t xml:space="preserve"> </w:t>
      </w:r>
      <w:r w:rsidR="005C7600">
        <w:t>sufficient</w:t>
      </w:r>
      <w:r w:rsidRPr="000A21E4">
        <w:t xml:space="preserve"> information</w:t>
      </w:r>
      <w:r w:rsidR="005E5222">
        <w:t xml:space="preserve"> about</w:t>
      </w:r>
      <w:r w:rsidR="005B5BB6">
        <w:t xml:space="preserve"> what </w:t>
      </w:r>
      <w:r w:rsidR="00BA6B49">
        <w:t xml:space="preserve">a </w:t>
      </w:r>
      <w:r w:rsidR="00CA7BEB">
        <w:t>b</w:t>
      </w:r>
      <w:r w:rsidR="00BA6B49">
        <w:t>ackup power service</w:t>
      </w:r>
      <w:r w:rsidR="005B5BB6">
        <w:t xml:space="preserve"> supplied by means of a BPSU would do, and not do, during a power failure</w:t>
      </w:r>
      <w:r w:rsidR="00BA6B49">
        <w:t>, which</w:t>
      </w:r>
      <w:r w:rsidR="007B4185">
        <w:t>:</w:t>
      </w:r>
      <w:r w:rsidR="005C7600">
        <w:t xml:space="preserve"> </w:t>
      </w:r>
    </w:p>
    <w:p w14:paraId="10C565D2" w14:textId="469683A6" w:rsidR="006B4C10" w:rsidRDefault="000B125E" w:rsidP="006B4C10">
      <w:pPr>
        <w:pStyle w:val="R1"/>
        <w:tabs>
          <w:tab w:val="left" w:pos="720"/>
        </w:tabs>
        <w:ind w:left="2211" w:hanging="510"/>
        <w:jc w:val="left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D0502B">
        <w:t>may</w:t>
      </w:r>
      <w:proofErr w:type="gramEnd"/>
      <w:r w:rsidR="00D0502B">
        <w:t xml:space="preserve"> be relied upon</w:t>
      </w:r>
      <w:r w:rsidR="0072667C">
        <w:t xml:space="preserve"> by the customer</w:t>
      </w:r>
      <w:r w:rsidR="00CA7BEB">
        <w:t xml:space="preserve"> </w:t>
      </w:r>
      <w:r w:rsidR="005C7600">
        <w:t>to make an informed decision</w:t>
      </w:r>
      <w:r w:rsidR="009D68F2" w:rsidRPr="000A21E4">
        <w:t xml:space="preserve"> about</w:t>
      </w:r>
      <w:r w:rsidR="005C7600">
        <w:t xml:space="preserve"> whether or not to have </w:t>
      </w:r>
      <w:r w:rsidR="00BA6B49">
        <w:t>the</w:t>
      </w:r>
      <w:r w:rsidR="004C3609">
        <w:t xml:space="preserve"> </w:t>
      </w:r>
      <w:r w:rsidR="005C7600">
        <w:t xml:space="preserve">backup power </w:t>
      </w:r>
      <w:r w:rsidR="004C3609">
        <w:t>service</w:t>
      </w:r>
      <w:r>
        <w:t>; and</w:t>
      </w:r>
      <w:r w:rsidR="007B4185">
        <w:t xml:space="preserve"> </w:t>
      </w:r>
    </w:p>
    <w:p w14:paraId="2A27DB52" w14:textId="49362B8C" w:rsidR="00E7351F" w:rsidRDefault="000B125E" w:rsidP="00DA7FAD">
      <w:pPr>
        <w:pStyle w:val="R1"/>
        <w:tabs>
          <w:tab w:val="left" w:pos="720"/>
        </w:tabs>
        <w:ind w:left="2211" w:hanging="510"/>
        <w:jc w:val="left"/>
      </w:pPr>
      <w:r>
        <w:t>(i</w:t>
      </w:r>
      <w:r w:rsidR="00BA6B49">
        <w:t>i</w:t>
      </w:r>
      <w:r>
        <w:t>)</w:t>
      </w:r>
      <w:r>
        <w:tab/>
      </w:r>
      <w:proofErr w:type="gramStart"/>
      <w:r w:rsidR="000C3EB0">
        <w:t>will</w:t>
      </w:r>
      <w:proofErr w:type="gramEnd"/>
      <w:r w:rsidR="000C3EB0">
        <w:t xml:space="preserve"> ensure that the customer is made aware of</w:t>
      </w:r>
      <w:r>
        <w:t xml:space="preserve"> the </w:t>
      </w:r>
      <w:r w:rsidR="0091536D">
        <w:t>limitations</w:t>
      </w:r>
      <w:r>
        <w:t xml:space="preserve"> of</w:t>
      </w:r>
      <w:r w:rsidR="00BA6B49">
        <w:t xml:space="preserve"> the</w:t>
      </w:r>
      <w:r>
        <w:t xml:space="preserve"> backup power service</w:t>
      </w:r>
      <w:r w:rsidR="005C7600">
        <w:t>;</w:t>
      </w:r>
      <w:r w:rsidR="009D68F2" w:rsidRPr="000A21E4">
        <w:t xml:space="preserve"> </w:t>
      </w:r>
      <w:r w:rsidR="00B21480">
        <w:t>and</w:t>
      </w:r>
    </w:p>
    <w:p w14:paraId="5615B506" w14:textId="77777777" w:rsidR="009D68F2" w:rsidRDefault="00B21480" w:rsidP="00B21480">
      <w:pPr>
        <w:pStyle w:val="R1"/>
        <w:tabs>
          <w:tab w:val="left" w:pos="720"/>
          <w:tab w:val="left" w:pos="1701"/>
        </w:tabs>
        <w:ind w:left="1701" w:hanging="567"/>
        <w:jc w:val="left"/>
      </w:pPr>
      <w:r>
        <w:t>(b</w:t>
      </w:r>
      <w:r w:rsidR="00D61908">
        <w:t>)</w:t>
      </w:r>
      <w:r w:rsidR="00D61908">
        <w:tab/>
      </w:r>
      <w:proofErr w:type="gramStart"/>
      <w:r w:rsidR="00D61908">
        <w:t>to</w:t>
      </w:r>
      <w:proofErr w:type="gramEnd"/>
      <w:r w:rsidR="00D61908">
        <w:t xml:space="preserve"> make and retain records</w:t>
      </w:r>
      <w:r>
        <w:t xml:space="preserve"> </w:t>
      </w:r>
      <w:r w:rsidR="00CC37A6">
        <w:t>verify</w:t>
      </w:r>
      <w:r>
        <w:t>ing</w:t>
      </w:r>
      <w:r w:rsidR="00A1168C">
        <w:t xml:space="preserve"> </w:t>
      </w:r>
      <w:r w:rsidR="00D61908">
        <w:t>that</w:t>
      </w:r>
      <w:r w:rsidR="002D46E5">
        <w:t xml:space="preserve"> the customer</w:t>
      </w:r>
      <w:r w:rsidR="00D61908">
        <w:t xml:space="preserve"> </w:t>
      </w:r>
      <w:r w:rsidR="00045FE8">
        <w:t>w</w:t>
      </w:r>
      <w:r w:rsidR="002D46E5">
        <w:t>as</w:t>
      </w:r>
      <w:r w:rsidR="00045FE8">
        <w:t xml:space="preserve"> given</w:t>
      </w:r>
      <w:r w:rsidR="007F2480">
        <w:t xml:space="preserve"> </w:t>
      </w:r>
      <w:r>
        <w:t xml:space="preserve">such </w:t>
      </w:r>
      <w:r w:rsidR="00D61908">
        <w:t>information</w:t>
      </w:r>
      <w:r w:rsidR="00804140">
        <w:t xml:space="preserve"> before entering into the agreement.</w:t>
      </w:r>
    </w:p>
    <w:p w14:paraId="54975B1B" w14:textId="23519259" w:rsidR="001C5338" w:rsidRPr="000A21E4" w:rsidRDefault="009D68F2" w:rsidP="00953617">
      <w:pPr>
        <w:pStyle w:val="R2"/>
        <w:tabs>
          <w:tab w:val="left" w:pos="720"/>
        </w:tabs>
        <w:ind w:left="1701" w:hanging="708"/>
        <w:jc w:val="left"/>
        <w:rPr>
          <w:sz w:val="20"/>
        </w:rPr>
      </w:pPr>
      <w:r w:rsidRPr="000A21E4">
        <w:rPr>
          <w:i/>
          <w:sz w:val="20"/>
        </w:rPr>
        <w:t>Note</w:t>
      </w:r>
      <w:r w:rsidR="00E31560">
        <w:rPr>
          <w:i/>
          <w:sz w:val="20"/>
        </w:rPr>
        <w:t xml:space="preserve"> </w:t>
      </w:r>
      <w:r w:rsidRPr="000A21E4">
        <w:rPr>
          <w:sz w:val="20"/>
        </w:rPr>
        <w:tab/>
        <w:t xml:space="preserve">For the purposes of subsection 99(3) of the Act, this Determination relates to a matter specified in </w:t>
      </w:r>
      <w:proofErr w:type="spellStart"/>
      <w:r w:rsidRPr="000A21E4">
        <w:rPr>
          <w:sz w:val="20"/>
        </w:rPr>
        <w:t>subregulation</w:t>
      </w:r>
      <w:proofErr w:type="spellEnd"/>
      <w:r w:rsidRPr="000A21E4">
        <w:rPr>
          <w:sz w:val="20"/>
        </w:rPr>
        <w:t xml:space="preserve"> 3.13(2) of the </w:t>
      </w:r>
      <w:r w:rsidRPr="000A21E4">
        <w:rPr>
          <w:i/>
          <w:sz w:val="20"/>
        </w:rPr>
        <w:t>Telecommunications Regulations 2001</w:t>
      </w:r>
      <w:r w:rsidRPr="000A21E4">
        <w:rPr>
          <w:sz w:val="20"/>
        </w:rPr>
        <w:t>.</w:t>
      </w:r>
    </w:p>
    <w:p w14:paraId="25AAE6CA" w14:textId="77777777" w:rsidR="009D68F2" w:rsidRPr="000A21E4" w:rsidRDefault="009D68F2" w:rsidP="009D68F2">
      <w:pPr>
        <w:pStyle w:val="HR"/>
        <w:ind w:left="567" w:hanging="567"/>
        <w:rPr>
          <w:rStyle w:val="CharSectno"/>
        </w:rPr>
      </w:pPr>
      <w:bookmarkStart w:id="6" w:name="_Toc478458799"/>
      <w:r w:rsidRPr="000A21E4">
        <w:rPr>
          <w:rStyle w:val="CharSectno"/>
        </w:rPr>
        <w:t>4</w:t>
      </w:r>
      <w:r w:rsidRPr="000A21E4">
        <w:rPr>
          <w:rStyle w:val="CharSectno"/>
        </w:rPr>
        <w:tab/>
        <w:t xml:space="preserve">Definitions </w:t>
      </w:r>
    </w:p>
    <w:p w14:paraId="2864873C" w14:textId="77777777" w:rsidR="009D68F2" w:rsidRPr="000A21E4" w:rsidRDefault="009D68F2" w:rsidP="009D68F2">
      <w:pPr>
        <w:pStyle w:val="R1"/>
        <w:tabs>
          <w:tab w:val="left" w:pos="720"/>
        </w:tabs>
        <w:ind w:left="1134" w:hanging="567"/>
        <w:jc w:val="left"/>
      </w:pPr>
      <w:r w:rsidRPr="000A21E4">
        <w:t xml:space="preserve">In this Determination: </w:t>
      </w:r>
    </w:p>
    <w:p w14:paraId="33A4D6F3" w14:textId="77777777" w:rsidR="00980F18" w:rsidRPr="00980F18" w:rsidRDefault="00980F18" w:rsidP="009D68F2">
      <w:pPr>
        <w:pStyle w:val="R1"/>
        <w:tabs>
          <w:tab w:val="left" w:pos="720"/>
        </w:tabs>
        <w:ind w:left="567" w:firstLine="0"/>
        <w:jc w:val="left"/>
      </w:pPr>
      <w:r>
        <w:rPr>
          <w:b/>
          <w:i/>
        </w:rPr>
        <w:t>ABN</w:t>
      </w:r>
      <w:r>
        <w:t xml:space="preserve"> has the meaning given in section 41 of the </w:t>
      </w:r>
      <w:r w:rsidRPr="008B336A">
        <w:rPr>
          <w:i/>
        </w:rPr>
        <w:t>A New Tax System (Australian Business Number) Act 1999</w:t>
      </w:r>
      <w:r>
        <w:t>.</w:t>
      </w:r>
    </w:p>
    <w:p w14:paraId="55D6ED0F" w14:textId="77777777" w:rsidR="009D68F2" w:rsidRPr="000A21E4" w:rsidRDefault="009D68F2" w:rsidP="009D68F2">
      <w:pPr>
        <w:pStyle w:val="R1"/>
        <w:tabs>
          <w:tab w:val="left" w:pos="720"/>
        </w:tabs>
        <w:ind w:left="567" w:firstLine="0"/>
        <w:jc w:val="left"/>
      </w:pPr>
      <w:r w:rsidRPr="000A21E4">
        <w:rPr>
          <w:b/>
          <w:i/>
        </w:rPr>
        <w:t xml:space="preserve">ACMA </w:t>
      </w:r>
      <w:r w:rsidRPr="000A21E4">
        <w:t>means the Australian Communications and Media Authority.</w:t>
      </w:r>
    </w:p>
    <w:p w14:paraId="31514EE9" w14:textId="77777777" w:rsidR="009D68F2" w:rsidRDefault="009D68F2" w:rsidP="009D68F2">
      <w:pPr>
        <w:pStyle w:val="R1"/>
        <w:tabs>
          <w:tab w:val="left" w:pos="720"/>
        </w:tabs>
        <w:ind w:left="567" w:firstLine="0"/>
        <w:jc w:val="left"/>
        <w:rPr>
          <w:i/>
        </w:rPr>
      </w:pPr>
      <w:r w:rsidRPr="000A21E4">
        <w:rPr>
          <w:b/>
          <w:i/>
        </w:rPr>
        <w:t xml:space="preserve">Act </w:t>
      </w:r>
      <w:r w:rsidRPr="000A21E4">
        <w:t xml:space="preserve">means the </w:t>
      </w:r>
      <w:r w:rsidRPr="000A21E4">
        <w:rPr>
          <w:i/>
        </w:rPr>
        <w:t xml:space="preserve">Telecommunications Act 1997. </w:t>
      </w:r>
    </w:p>
    <w:p w14:paraId="174D2128" w14:textId="77777777" w:rsidR="007A4059" w:rsidRDefault="007A4059" w:rsidP="009D68F2">
      <w:pPr>
        <w:pStyle w:val="R2"/>
        <w:tabs>
          <w:tab w:val="left" w:pos="720"/>
        </w:tabs>
        <w:ind w:left="567" w:firstLine="0"/>
        <w:jc w:val="left"/>
        <w:rPr>
          <w:i/>
          <w:noProof/>
        </w:rPr>
      </w:pPr>
      <w:proofErr w:type="gramStart"/>
      <w:r w:rsidRPr="007A4059">
        <w:rPr>
          <w:b/>
          <w:i/>
        </w:rPr>
        <w:t>backup</w:t>
      </w:r>
      <w:proofErr w:type="gramEnd"/>
      <w:r w:rsidRPr="007A4059">
        <w:rPr>
          <w:b/>
          <w:i/>
        </w:rPr>
        <w:t xml:space="preserve"> power </w:t>
      </w:r>
      <w:r>
        <w:rPr>
          <w:b/>
          <w:i/>
          <w:noProof/>
        </w:rPr>
        <w:t xml:space="preserve">service </w:t>
      </w:r>
      <w:r w:rsidRPr="00553A30">
        <w:rPr>
          <w:noProof/>
        </w:rPr>
        <w:t xml:space="preserve">means a </w:t>
      </w:r>
      <w:r w:rsidR="00553A30" w:rsidRPr="00553A30">
        <w:rPr>
          <w:noProof/>
        </w:rPr>
        <w:t>service</w:t>
      </w:r>
      <w:r w:rsidRPr="00553A30">
        <w:rPr>
          <w:noProof/>
        </w:rPr>
        <w:t xml:space="preserve"> </w:t>
      </w:r>
      <w:r w:rsidR="005837A8" w:rsidRPr="005837A8">
        <w:rPr>
          <w:noProof/>
        </w:rPr>
        <w:t>supplied by a carriage service provider</w:t>
      </w:r>
      <w:r w:rsidR="005837A8">
        <w:rPr>
          <w:noProof/>
        </w:rPr>
        <w:t xml:space="preserve"> </w:t>
      </w:r>
      <w:r w:rsidRPr="00553A30">
        <w:rPr>
          <w:noProof/>
        </w:rPr>
        <w:t xml:space="preserve">that </w:t>
      </w:r>
      <w:r w:rsidR="00F733B3" w:rsidRPr="00553A30">
        <w:rPr>
          <w:noProof/>
        </w:rPr>
        <w:t xml:space="preserve">enables the continued </w:t>
      </w:r>
      <w:r w:rsidR="003526D3">
        <w:rPr>
          <w:noProof/>
        </w:rPr>
        <w:t>operation</w:t>
      </w:r>
      <w:r w:rsidR="00F733B3" w:rsidRPr="00553A30">
        <w:rPr>
          <w:noProof/>
        </w:rPr>
        <w:t xml:space="preserve"> of a </w:t>
      </w:r>
      <w:r w:rsidR="00DE197E" w:rsidRPr="00553A30">
        <w:rPr>
          <w:noProof/>
        </w:rPr>
        <w:t xml:space="preserve">specified carriage service </w:t>
      </w:r>
      <w:r w:rsidR="00F733B3" w:rsidRPr="00553A30">
        <w:rPr>
          <w:noProof/>
        </w:rPr>
        <w:t xml:space="preserve">for a limited period of time </w:t>
      </w:r>
      <w:r w:rsidR="00CC37A6">
        <w:rPr>
          <w:noProof/>
        </w:rPr>
        <w:t>during</w:t>
      </w:r>
      <w:r w:rsidR="00DE197E" w:rsidRPr="00553A30">
        <w:rPr>
          <w:noProof/>
        </w:rPr>
        <w:t xml:space="preserve"> a</w:t>
      </w:r>
      <w:r w:rsidR="00553A30" w:rsidRPr="00553A30">
        <w:rPr>
          <w:noProof/>
        </w:rPr>
        <w:t xml:space="preserve"> </w:t>
      </w:r>
      <w:r w:rsidR="00DE197E" w:rsidRPr="00553A30">
        <w:rPr>
          <w:noProof/>
        </w:rPr>
        <w:t xml:space="preserve">power </w:t>
      </w:r>
      <w:r w:rsidR="00553A30">
        <w:rPr>
          <w:noProof/>
        </w:rPr>
        <w:t>failu</w:t>
      </w:r>
      <w:r w:rsidR="00553A30" w:rsidRPr="00553A30">
        <w:rPr>
          <w:noProof/>
        </w:rPr>
        <w:t>r</w:t>
      </w:r>
      <w:r w:rsidR="00553A30">
        <w:rPr>
          <w:noProof/>
        </w:rPr>
        <w:t>e</w:t>
      </w:r>
      <w:r w:rsidR="00F733B3" w:rsidRPr="00553A30">
        <w:rPr>
          <w:noProof/>
        </w:rPr>
        <w:t>.</w:t>
      </w:r>
    </w:p>
    <w:p w14:paraId="04FDAD36" w14:textId="77777777" w:rsidR="00FC38A6" w:rsidRDefault="00FC38A6" w:rsidP="009D68F2">
      <w:pPr>
        <w:pStyle w:val="R2"/>
        <w:tabs>
          <w:tab w:val="left" w:pos="720"/>
        </w:tabs>
        <w:ind w:left="567" w:firstLine="0"/>
        <w:jc w:val="left"/>
        <w:rPr>
          <w:b/>
          <w:i/>
        </w:rPr>
      </w:pPr>
      <w:r w:rsidRPr="00203FF7">
        <w:rPr>
          <w:b/>
          <w:i/>
        </w:rPr>
        <w:lastRenderedPageBreak/>
        <w:t xml:space="preserve">BPSU </w:t>
      </w:r>
      <w:r w:rsidRPr="00203FF7">
        <w:t>means a</w:t>
      </w:r>
      <w:r w:rsidR="00040F87">
        <w:t xml:space="preserve"> </w:t>
      </w:r>
      <w:r w:rsidR="00980F18">
        <w:t xml:space="preserve">battery </w:t>
      </w:r>
      <w:r w:rsidRPr="00203FF7">
        <w:t xml:space="preserve">backup power supply unit </w:t>
      </w:r>
      <w:r w:rsidR="00620EC5">
        <w:t xml:space="preserve">supplied by NBN Co </w:t>
      </w:r>
      <w:r w:rsidR="00CC37A6">
        <w:t>that</w:t>
      </w:r>
      <w:r w:rsidRPr="00203FF7">
        <w:t xml:space="preserve"> </w:t>
      </w:r>
      <w:r w:rsidR="008C0BA5">
        <w:t xml:space="preserve">may </w:t>
      </w:r>
      <w:r w:rsidR="00040F87">
        <w:t xml:space="preserve">be </w:t>
      </w:r>
      <w:r w:rsidRPr="00203FF7">
        <w:t xml:space="preserve">installed at a customer’s premises </w:t>
      </w:r>
      <w:r w:rsidR="00CC37A6">
        <w:t>and activated</w:t>
      </w:r>
      <w:r w:rsidR="005837A8">
        <w:t>,</w:t>
      </w:r>
      <w:r w:rsidR="005837A8" w:rsidRPr="005837A8">
        <w:t xml:space="preserve"> in accordance with arrangements made by a carriage service provider,</w:t>
      </w:r>
      <w:r w:rsidR="00CC37A6" w:rsidRPr="005837A8">
        <w:t xml:space="preserve"> </w:t>
      </w:r>
      <w:r w:rsidRPr="00203FF7">
        <w:t xml:space="preserve">for the </w:t>
      </w:r>
      <w:r w:rsidR="00227368">
        <w:t xml:space="preserve">primary purpose of </w:t>
      </w:r>
      <w:r w:rsidRPr="00203FF7">
        <w:t>supply</w:t>
      </w:r>
      <w:r w:rsidR="00227368">
        <w:t>ing</w:t>
      </w:r>
      <w:r w:rsidRPr="00203FF7">
        <w:t xml:space="preserve"> a backup power service.</w:t>
      </w:r>
    </w:p>
    <w:p w14:paraId="12EAB481" w14:textId="77777777" w:rsidR="00CC37A6" w:rsidRPr="00CC37A6" w:rsidRDefault="00CC37A6" w:rsidP="00CC37A6">
      <w:pPr>
        <w:ind w:left="567"/>
      </w:pPr>
      <w:proofErr w:type="gramStart"/>
      <w:r>
        <w:rPr>
          <w:rFonts w:ascii="Times New Roman" w:hAnsi="Times New Roman"/>
          <w:b/>
          <w:i/>
          <w:sz w:val="24"/>
          <w:szCs w:val="20"/>
        </w:rPr>
        <w:t>business</w:t>
      </w:r>
      <w:proofErr w:type="gramEnd"/>
      <w:r>
        <w:rPr>
          <w:rFonts w:ascii="Times New Roman" w:hAnsi="Times New Roman"/>
          <w:sz w:val="24"/>
          <w:szCs w:val="20"/>
        </w:rPr>
        <w:t xml:space="preserve"> has the meaning given in section 41 of the </w:t>
      </w:r>
      <w:r w:rsidRPr="008B336A">
        <w:rPr>
          <w:rFonts w:ascii="Times New Roman" w:hAnsi="Times New Roman"/>
          <w:i/>
          <w:sz w:val="24"/>
          <w:szCs w:val="20"/>
        </w:rPr>
        <w:t>A New Tax System (Australian Business Number) Act 1999</w:t>
      </w:r>
      <w:r>
        <w:rPr>
          <w:rFonts w:ascii="Times New Roman" w:hAnsi="Times New Roman"/>
          <w:sz w:val="24"/>
          <w:szCs w:val="20"/>
        </w:rPr>
        <w:t>.</w:t>
      </w:r>
    </w:p>
    <w:p w14:paraId="3705CC7A" w14:textId="77777777" w:rsidR="009D68F2" w:rsidRPr="000A21E4" w:rsidRDefault="009D68F2" w:rsidP="009D68F2">
      <w:pPr>
        <w:pStyle w:val="R2"/>
        <w:tabs>
          <w:tab w:val="left" w:pos="720"/>
        </w:tabs>
        <w:ind w:left="567" w:firstLine="0"/>
        <w:jc w:val="left"/>
      </w:pPr>
      <w:proofErr w:type="gramStart"/>
      <w:r w:rsidRPr="000A21E4">
        <w:rPr>
          <w:b/>
          <w:i/>
        </w:rPr>
        <w:t>customer</w:t>
      </w:r>
      <w:proofErr w:type="gramEnd"/>
      <w:r w:rsidRPr="000A21E4">
        <w:t xml:space="preserve"> has the meaning given in section 6.</w:t>
      </w:r>
    </w:p>
    <w:p w14:paraId="74822C19" w14:textId="77777777" w:rsidR="00DA2024" w:rsidRPr="00DA2024" w:rsidRDefault="00946B30" w:rsidP="009D68F2">
      <w:pPr>
        <w:pStyle w:val="R1"/>
        <w:tabs>
          <w:tab w:val="left" w:pos="720"/>
        </w:tabs>
        <w:ind w:left="567" w:firstLine="0"/>
        <w:jc w:val="left"/>
      </w:pPr>
      <w:proofErr w:type="gramStart"/>
      <w:r>
        <w:rPr>
          <w:b/>
          <w:i/>
        </w:rPr>
        <w:t>f</w:t>
      </w:r>
      <w:r w:rsidR="00DA2024">
        <w:rPr>
          <w:b/>
          <w:i/>
        </w:rPr>
        <w:t>ibre</w:t>
      </w:r>
      <w:r>
        <w:rPr>
          <w:b/>
          <w:i/>
        </w:rPr>
        <w:t>-</w:t>
      </w:r>
      <w:r w:rsidR="00DA2024">
        <w:rPr>
          <w:b/>
          <w:i/>
        </w:rPr>
        <w:t>to</w:t>
      </w:r>
      <w:r>
        <w:rPr>
          <w:b/>
          <w:i/>
        </w:rPr>
        <w:t>-</w:t>
      </w:r>
      <w:r w:rsidR="00DA2024">
        <w:rPr>
          <w:b/>
          <w:i/>
        </w:rPr>
        <w:t>the</w:t>
      </w:r>
      <w:r>
        <w:rPr>
          <w:b/>
          <w:i/>
        </w:rPr>
        <w:t>-</w:t>
      </w:r>
      <w:r w:rsidR="00DA2024">
        <w:rPr>
          <w:b/>
          <w:i/>
        </w:rPr>
        <w:t>premises</w:t>
      </w:r>
      <w:proofErr w:type="gramEnd"/>
      <w:r>
        <w:rPr>
          <w:b/>
          <w:i/>
        </w:rPr>
        <w:t xml:space="preserve"> architecture</w:t>
      </w:r>
      <w:r w:rsidR="00DA2024">
        <w:t xml:space="preserve"> means an o</w:t>
      </w:r>
      <w:r w:rsidR="00DA2024" w:rsidRPr="00DA2024">
        <w:t>ptical fibre</w:t>
      </w:r>
      <w:r>
        <w:t xml:space="preserve"> cable</w:t>
      </w:r>
      <w:r w:rsidR="00DA2024" w:rsidRPr="00DA2024">
        <w:t xml:space="preserve"> </w:t>
      </w:r>
      <w:r w:rsidR="009B7A5F">
        <w:t>that reaches</w:t>
      </w:r>
      <w:r w:rsidR="00DA2024" w:rsidRPr="00DA2024">
        <w:t xml:space="preserve"> all the way to a customer's premise</w:t>
      </w:r>
      <w:r>
        <w:t>s</w:t>
      </w:r>
      <w:r w:rsidR="00DA2024" w:rsidRPr="00DA2024">
        <w:t xml:space="preserve">, allowing for </w:t>
      </w:r>
      <w:r w:rsidR="009B7A5F">
        <w:t>the</w:t>
      </w:r>
      <w:r w:rsidR="00620EC5">
        <w:t xml:space="preserve"> high speed carriage of communications</w:t>
      </w:r>
      <w:r w:rsidR="00DA2024">
        <w:t>.</w:t>
      </w:r>
    </w:p>
    <w:p w14:paraId="40E2BBBC" w14:textId="77777777" w:rsidR="009D68F2" w:rsidRPr="000A21E4" w:rsidRDefault="009D68F2" w:rsidP="009D68F2">
      <w:pPr>
        <w:pStyle w:val="R1"/>
        <w:tabs>
          <w:tab w:val="left" w:pos="720"/>
        </w:tabs>
        <w:ind w:left="567" w:firstLine="0"/>
        <w:jc w:val="left"/>
      </w:pPr>
      <w:r w:rsidRPr="000A21E4">
        <w:rPr>
          <w:b/>
          <w:i/>
        </w:rPr>
        <w:t xml:space="preserve">National Broadband Network </w:t>
      </w:r>
      <w:r w:rsidRPr="000A21E4">
        <w:t xml:space="preserve">has the meaning given in section 5 of the </w:t>
      </w:r>
      <w:r w:rsidRPr="000A21E4">
        <w:rPr>
          <w:i/>
        </w:rPr>
        <w:t>National Broadband Network Companies Act 2011</w:t>
      </w:r>
      <w:r w:rsidRPr="000A21E4">
        <w:t>.</w:t>
      </w:r>
    </w:p>
    <w:p w14:paraId="5548F07D" w14:textId="77777777" w:rsidR="009D68F2" w:rsidRPr="000A21E4" w:rsidRDefault="00DA2024" w:rsidP="009D68F2">
      <w:pPr>
        <w:pStyle w:val="R1"/>
        <w:tabs>
          <w:tab w:val="left" w:pos="720"/>
        </w:tabs>
        <w:ind w:left="567" w:firstLine="0"/>
        <w:jc w:val="left"/>
      </w:pPr>
      <w:r>
        <w:rPr>
          <w:b/>
          <w:bCs/>
          <w:i/>
          <w:iCs/>
        </w:rPr>
        <w:t>NBN Co</w:t>
      </w:r>
      <w:r w:rsidR="00620EC5">
        <w:rPr>
          <w:b/>
          <w:bCs/>
          <w:i/>
          <w:iCs/>
        </w:rPr>
        <w:t xml:space="preserve"> </w:t>
      </w:r>
      <w:r w:rsidR="00620EC5" w:rsidRPr="000A21E4">
        <w:t xml:space="preserve">has the meaning given in </w:t>
      </w:r>
      <w:r w:rsidR="00620EC5" w:rsidRPr="002C3F26">
        <w:t>section 5</w:t>
      </w:r>
      <w:r w:rsidR="00620EC5" w:rsidRPr="000A21E4">
        <w:t xml:space="preserve"> of the </w:t>
      </w:r>
      <w:r w:rsidR="00620EC5" w:rsidRPr="000A21E4">
        <w:rPr>
          <w:i/>
        </w:rPr>
        <w:t>National Broadband Network Companies Act 2011</w:t>
      </w:r>
      <w:r>
        <w:t>.</w:t>
      </w:r>
    </w:p>
    <w:p w14:paraId="467E9D9C" w14:textId="7E123C3C" w:rsidR="004C034D" w:rsidRDefault="001B3BC4" w:rsidP="009D68F2">
      <w:pPr>
        <w:pStyle w:val="R1"/>
        <w:tabs>
          <w:tab w:val="left" w:pos="720"/>
        </w:tabs>
        <w:ind w:left="567" w:firstLine="0"/>
        <w:jc w:val="left"/>
      </w:pPr>
      <w:r>
        <w:rPr>
          <w:b/>
          <w:i/>
        </w:rPr>
        <w:t>NBN connection box</w:t>
      </w:r>
      <w:r>
        <w:t xml:space="preserve"> means </w:t>
      </w:r>
      <w:r w:rsidR="00CA2131">
        <w:t xml:space="preserve">a network termination device </w:t>
      </w:r>
      <w:r>
        <w:t>supplied by NBN Co</w:t>
      </w:r>
      <w:r w:rsidR="00045260">
        <w:t xml:space="preserve"> that</w:t>
      </w:r>
      <w:r w:rsidR="004C034D">
        <w:t>:</w:t>
      </w:r>
      <w:r w:rsidR="002B4F92">
        <w:t xml:space="preserve"> </w:t>
      </w:r>
    </w:p>
    <w:p w14:paraId="5B23F69B" w14:textId="6B9A9C56" w:rsidR="004C034D" w:rsidRDefault="00045260" w:rsidP="004C034D">
      <w:pPr>
        <w:pStyle w:val="R1"/>
        <w:numPr>
          <w:ilvl w:val="0"/>
          <w:numId w:val="35"/>
        </w:numPr>
        <w:tabs>
          <w:tab w:val="clear" w:pos="794"/>
          <w:tab w:val="clear" w:pos="964"/>
          <w:tab w:val="left" w:pos="1134"/>
        </w:tabs>
        <w:ind w:left="1134" w:hanging="567"/>
        <w:jc w:val="left"/>
      </w:pPr>
      <w:r>
        <w:t>is</w:t>
      </w:r>
      <w:r w:rsidR="001B3BC4">
        <w:t xml:space="preserve"> installed at a customer’s premises</w:t>
      </w:r>
      <w:r w:rsidR="004C034D">
        <w:t>;</w:t>
      </w:r>
      <w:r w:rsidR="002B4F92">
        <w:t xml:space="preserve"> and </w:t>
      </w:r>
    </w:p>
    <w:p w14:paraId="7941DEFD" w14:textId="3CA0C0D3" w:rsidR="004C034D" w:rsidRDefault="00045260" w:rsidP="004C034D">
      <w:pPr>
        <w:pStyle w:val="R1"/>
        <w:numPr>
          <w:ilvl w:val="0"/>
          <w:numId w:val="35"/>
        </w:numPr>
        <w:tabs>
          <w:tab w:val="clear" w:pos="794"/>
          <w:tab w:val="clear" w:pos="964"/>
          <w:tab w:val="left" w:pos="1134"/>
        </w:tabs>
        <w:ind w:left="1134" w:hanging="567"/>
        <w:jc w:val="left"/>
      </w:pPr>
      <w:r>
        <w:t>has</w:t>
      </w:r>
      <w:r w:rsidR="00860659">
        <w:t xml:space="preserve"> voice</w:t>
      </w:r>
      <w:r w:rsidR="00ED09BE">
        <w:t xml:space="preserve"> (UNI-V)</w:t>
      </w:r>
      <w:r w:rsidR="00860659">
        <w:t xml:space="preserve"> and data </w:t>
      </w:r>
      <w:r w:rsidR="004C034D">
        <w:t xml:space="preserve">(UNI-D) </w:t>
      </w:r>
      <w:r w:rsidR="00860659">
        <w:t xml:space="preserve">ports to which </w:t>
      </w:r>
      <w:r w:rsidR="002B4F92">
        <w:t>customer equipment</w:t>
      </w:r>
      <w:r w:rsidR="002F5408">
        <w:t xml:space="preserve"> may be</w:t>
      </w:r>
      <w:r w:rsidR="00860659">
        <w:t xml:space="preserve"> connected</w:t>
      </w:r>
      <w:r w:rsidR="004C034D">
        <w:t>;</w:t>
      </w:r>
    </w:p>
    <w:p w14:paraId="49A49536" w14:textId="02AA3D22" w:rsidR="001B3BC4" w:rsidRPr="001B3BC4" w:rsidRDefault="004C034D" w:rsidP="009D68F2">
      <w:pPr>
        <w:pStyle w:val="R1"/>
        <w:tabs>
          <w:tab w:val="left" w:pos="720"/>
        </w:tabs>
        <w:ind w:left="567" w:firstLine="0"/>
        <w:jc w:val="left"/>
      </w:pPr>
      <w:proofErr w:type="gramStart"/>
      <w:r>
        <w:t>for</w:t>
      </w:r>
      <w:proofErr w:type="gramEnd"/>
      <w:r>
        <w:t xml:space="preserve"> the supply of </w:t>
      </w:r>
      <w:r w:rsidR="001305E4">
        <w:t>a specified carriage service.</w:t>
      </w:r>
    </w:p>
    <w:p w14:paraId="6A3ED967" w14:textId="77777777" w:rsidR="009D68F2" w:rsidRPr="000A21E4" w:rsidRDefault="009D68F2" w:rsidP="009D68F2">
      <w:pPr>
        <w:pStyle w:val="R1"/>
        <w:tabs>
          <w:tab w:val="left" w:pos="720"/>
        </w:tabs>
        <w:ind w:left="567" w:firstLine="0"/>
        <w:jc w:val="left"/>
      </w:pPr>
      <w:proofErr w:type="gramStart"/>
      <w:r w:rsidRPr="000A21E4">
        <w:rPr>
          <w:b/>
          <w:i/>
        </w:rPr>
        <w:t>specified</w:t>
      </w:r>
      <w:proofErr w:type="gramEnd"/>
      <w:r w:rsidRPr="000A21E4">
        <w:rPr>
          <w:b/>
          <w:i/>
        </w:rPr>
        <w:t xml:space="preserve"> carriage service</w:t>
      </w:r>
      <w:r w:rsidRPr="000A21E4">
        <w:t xml:space="preserve"> has the meaning given in section 5.</w:t>
      </w:r>
      <w:r w:rsidR="0097622E" w:rsidRPr="0097622E">
        <w:rPr>
          <w:noProof/>
        </w:rPr>
        <w:t xml:space="preserve"> </w:t>
      </w:r>
    </w:p>
    <w:p w14:paraId="08273723" w14:textId="0CB698EE" w:rsidR="009D68F2" w:rsidRPr="000A21E4" w:rsidRDefault="009D68F2" w:rsidP="00E95EDA">
      <w:pPr>
        <w:pStyle w:val="R2"/>
        <w:tabs>
          <w:tab w:val="left" w:pos="720"/>
        </w:tabs>
        <w:spacing w:before="120" w:after="240"/>
        <w:ind w:left="1134" w:hanging="567"/>
        <w:jc w:val="left"/>
        <w:rPr>
          <w:sz w:val="20"/>
        </w:rPr>
      </w:pPr>
      <w:r w:rsidRPr="000A21E4">
        <w:rPr>
          <w:i/>
          <w:sz w:val="20"/>
        </w:rPr>
        <w:t>Note</w:t>
      </w:r>
      <w:r w:rsidRPr="000A21E4">
        <w:rPr>
          <w:sz w:val="20"/>
        </w:rPr>
        <w:tab/>
      </w:r>
      <w:r w:rsidR="00A64D48">
        <w:rPr>
          <w:sz w:val="20"/>
        </w:rPr>
        <w:tab/>
      </w:r>
      <w:r w:rsidRPr="000A21E4">
        <w:rPr>
          <w:sz w:val="20"/>
        </w:rPr>
        <w:t>A number of expressions used in this Determination are defined in the Act, incl</w:t>
      </w:r>
      <w:r w:rsidR="000A4BCC">
        <w:rPr>
          <w:sz w:val="20"/>
        </w:rPr>
        <w:t>uding carriage service</w:t>
      </w:r>
      <w:r w:rsidR="005837A8">
        <w:rPr>
          <w:sz w:val="20"/>
        </w:rPr>
        <w:t>,</w:t>
      </w:r>
      <w:r w:rsidR="000A4BCC">
        <w:rPr>
          <w:sz w:val="20"/>
        </w:rPr>
        <w:t xml:space="preserve"> </w:t>
      </w:r>
      <w:r w:rsidRPr="000A21E4">
        <w:rPr>
          <w:sz w:val="20"/>
        </w:rPr>
        <w:t>carriage service provider</w:t>
      </w:r>
      <w:r w:rsidR="00F15926">
        <w:rPr>
          <w:sz w:val="20"/>
        </w:rPr>
        <w:t xml:space="preserve">, </w:t>
      </w:r>
      <w:r w:rsidR="00F97A2B">
        <w:rPr>
          <w:sz w:val="20"/>
        </w:rPr>
        <w:t xml:space="preserve">carrier, </w:t>
      </w:r>
      <w:r w:rsidR="00BB26E1">
        <w:rPr>
          <w:sz w:val="20"/>
        </w:rPr>
        <w:t>customer equipment</w:t>
      </w:r>
      <w:r w:rsidR="004259DF">
        <w:rPr>
          <w:sz w:val="20"/>
        </w:rPr>
        <w:t>,</w:t>
      </w:r>
      <w:r w:rsidR="00F15926">
        <w:rPr>
          <w:sz w:val="20"/>
        </w:rPr>
        <w:t xml:space="preserve"> emergency service</w:t>
      </w:r>
      <w:r w:rsidR="002C3F26">
        <w:rPr>
          <w:sz w:val="20"/>
        </w:rPr>
        <w:t xml:space="preserve"> number</w:t>
      </w:r>
      <w:r w:rsidR="00CE20A2">
        <w:rPr>
          <w:sz w:val="20"/>
        </w:rPr>
        <w:t xml:space="preserve"> </w:t>
      </w:r>
      <w:r w:rsidR="00995139">
        <w:rPr>
          <w:sz w:val="20"/>
        </w:rPr>
        <w:t>and standard telephone service</w:t>
      </w:r>
      <w:r w:rsidR="000F465E">
        <w:rPr>
          <w:sz w:val="20"/>
        </w:rPr>
        <w:t>.</w:t>
      </w:r>
    </w:p>
    <w:p w14:paraId="637AF0B6" w14:textId="77777777" w:rsidR="009D68F2" w:rsidRPr="000A21E4" w:rsidRDefault="009D68F2" w:rsidP="009D68F2">
      <w:pPr>
        <w:pStyle w:val="R1"/>
        <w:tabs>
          <w:tab w:val="left" w:pos="720"/>
        </w:tabs>
        <w:ind w:left="567" w:hanging="567"/>
        <w:jc w:val="left"/>
        <w:rPr>
          <w:rFonts w:ascii="Arial" w:hAnsi="Arial" w:cs="Arial"/>
          <w:b/>
        </w:rPr>
      </w:pPr>
      <w:r w:rsidRPr="000A21E4">
        <w:rPr>
          <w:rFonts w:ascii="Arial" w:hAnsi="Arial" w:cs="Arial"/>
          <w:b/>
        </w:rPr>
        <w:t>5</w:t>
      </w:r>
      <w:r w:rsidRPr="000A21E4">
        <w:rPr>
          <w:rFonts w:ascii="Arial" w:hAnsi="Arial" w:cs="Arial"/>
          <w:b/>
        </w:rPr>
        <w:tab/>
        <w:t>Specified carriage service</w:t>
      </w:r>
    </w:p>
    <w:p w14:paraId="7E715C64" w14:textId="77777777" w:rsidR="009D68F2" w:rsidRPr="000A21E4" w:rsidRDefault="009D68F2" w:rsidP="009D68F2">
      <w:pPr>
        <w:pStyle w:val="R1"/>
        <w:tabs>
          <w:tab w:val="left" w:pos="720"/>
        </w:tabs>
        <w:ind w:left="567" w:hanging="567"/>
        <w:jc w:val="left"/>
      </w:pPr>
      <w:r w:rsidRPr="000A21E4">
        <w:tab/>
        <w:t xml:space="preserve">In this Determination, a carriage service that is, or is to be, supplied to a customer is a </w:t>
      </w:r>
      <w:r w:rsidRPr="000A21E4">
        <w:rPr>
          <w:b/>
          <w:i/>
        </w:rPr>
        <w:t>specified carriage service</w:t>
      </w:r>
      <w:r w:rsidRPr="000A21E4">
        <w:t xml:space="preserve"> if the carriage service:</w:t>
      </w:r>
      <w:r w:rsidR="00EF61F2" w:rsidRPr="00EF61F2">
        <w:rPr>
          <w:noProof/>
        </w:rPr>
        <w:t xml:space="preserve"> </w:t>
      </w:r>
    </w:p>
    <w:p w14:paraId="31A0588E" w14:textId="63D3D7C6" w:rsidR="00811919" w:rsidRPr="00811919" w:rsidRDefault="009D68F2" w:rsidP="008F73FB">
      <w:pPr>
        <w:pStyle w:val="R2"/>
        <w:tabs>
          <w:tab w:val="left" w:pos="720"/>
        </w:tabs>
        <w:spacing w:before="120" w:after="240"/>
        <w:ind w:left="1134" w:hanging="567"/>
        <w:jc w:val="left"/>
      </w:pPr>
      <w:r w:rsidRPr="000A21E4">
        <w:t>(a)</w:t>
      </w:r>
      <w:r w:rsidRPr="000A21E4">
        <w:tab/>
      </w:r>
      <w:r w:rsidR="00200738">
        <w:tab/>
      </w:r>
      <w:r w:rsidR="004259DF" w:rsidRPr="00413CF9">
        <w:t>is a standard telephone service</w:t>
      </w:r>
      <w:r w:rsidR="00AA2D03">
        <w:t xml:space="preserve"> </w:t>
      </w:r>
      <w:r w:rsidR="002C3F26">
        <w:t>irrespective of whether or not the service is</w:t>
      </w:r>
      <w:r w:rsidR="00156D0D">
        <w:t>, or is to be,</w:t>
      </w:r>
      <w:r w:rsidR="002C3F26">
        <w:t xml:space="preserve"> supplied as part of, or in conjunction with</w:t>
      </w:r>
      <w:r w:rsidR="00153CE1">
        <w:t>,</w:t>
      </w:r>
      <w:r w:rsidR="002C3F26">
        <w:t xml:space="preserve"> another carriage service or some other kind of service</w:t>
      </w:r>
      <w:r w:rsidRPr="00413CF9">
        <w:t>;</w:t>
      </w:r>
      <w:r w:rsidRPr="000A21E4">
        <w:t xml:space="preserve"> and</w:t>
      </w:r>
    </w:p>
    <w:p w14:paraId="3747DF17" w14:textId="18ED25C2" w:rsidR="009D68F2" w:rsidRDefault="009D68F2" w:rsidP="009D68F2">
      <w:pPr>
        <w:pStyle w:val="R1"/>
        <w:tabs>
          <w:tab w:val="left" w:pos="720"/>
        </w:tabs>
        <w:ind w:left="1134" w:hanging="567"/>
        <w:jc w:val="left"/>
      </w:pPr>
      <w:r w:rsidRPr="000A21E4">
        <w:t>(b)</w:t>
      </w:r>
      <w:r w:rsidRPr="000A21E4">
        <w:tab/>
      </w:r>
      <w:r w:rsidR="00200738">
        <w:tab/>
      </w:r>
      <w:proofErr w:type="gramStart"/>
      <w:r w:rsidRPr="000A21E4">
        <w:t>is</w:t>
      </w:r>
      <w:proofErr w:type="gramEnd"/>
      <w:r w:rsidRPr="000A21E4">
        <w:t xml:space="preserve">, or is to be, supplied to the </w:t>
      </w:r>
      <w:r w:rsidR="004259DF">
        <w:t xml:space="preserve">customer’s </w:t>
      </w:r>
      <w:r w:rsidRPr="000A21E4">
        <w:t>premises by means of the National Broadband Network</w:t>
      </w:r>
      <w:r w:rsidR="003C64C9">
        <w:t xml:space="preserve"> </w:t>
      </w:r>
      <w:r w:rsidR="00386C4B">
        <w:t>using</w:t>
      </w:r>
      <w:r w:rsidR="00946B30">
        <w:t xml:space="preserve"> </w:t>
      </w:r>
      <w:r w:rsidR="003C64C9">
        <w:t>fibre</w:t>
      </w:r>
      <w:r w:rsidR="00386C4B">
        <w:t>-</w:t>
      </w:r>
      <w:r w:rsidR="003C64C9">
        <w:t>to</w:t>
      </w:r>
      <w:r w:rsidR="00386C4B">
        <w:t>-</w:t>
      </w:r>
      <w:r w:rsidR="003C64C9">
        <w:t>the</w:t>
      </w:r>
      <w:r w:rsidR="00386C4B">
        <w:t>-</w:t>
      </w:r>
      <w:r w:rsidR="003C64C9">
        <w:t xml:space="preserve">premises </w:t>
      </w:r>
      <w:r w:rsidR="002C3F26">
        <w:t>architecture</w:t>
      </w:r>
      <w:r w:rsidRPr="000A21E4">
        <w:t xml:space="preserve">. </w:t>
      </w:r>
    </w:p>
    <w:p w14:paraId="64BA8643" w14:textId="70F960DE" w:rsidR="00513D55" w:rsidRPr="00513D55" w:rsidRDefault="008F73FB" w:rsidP="00513D55">
      <w:pPr>
        <w:pStyle w:val="R2"/>
        <w:tabs>
          <w:tab w:val="left" w:pos="720"/>
        </w:tabs>
        <w:spacing w:before="120" w:after="240"/>
        <w:ind w:left="1134" w:hanging="567"/>
        <w:jc w:val="left"/>
        <w:rPr>
          <w:sz w:val="20"/>
        </w:rPr>
      </w:pPr>
      <w:r w:rsidRPr="000A21E4">
        <w:rPr>
          <w:i/>
          <w:sz w:val="20"/>
        </w:rPr>
        <w:t>Note</w:t>
      </w:r>
      <w:r w:rsidRPr="000A21E4">
        <w:rPr>
          <w:sz w:val="20"/>
        </w:rPr>
        <w:tab/>
      </w:r>
      <w:r w:rsidR="00513D55">
        <w:rPr>
          <w:sz w:val="20"/>
        </w:rPr>
        <w:tab/>
      </w:r>
      <w:r w:rsidR="00513D55" w:rsidRPr="00513D55">
        <w:rPr>
          <w:sz w:val="20"/>
        </w:rPr>
        <w:t>One effect of paragraph (a) is that this Determination applies to a carriage service provider who has been requested to supply a standard telephone service to the customer’s premises even if the provider is not offering to supply a backup power service by means of a BPSU or any other form of backup power service.</w:t>
      </w:r>
    </w:p>
    <w:p w14:paraId="5B46350B" w14:textId="77777777" w:rsidR="009D68F2" w:rsidRPr="000A21E4" w:rsidRDefault="009D68F2" w:rsidP="00AB7F26">
      <w:pPr>
        <w:pStyle w:val="R2"/>
        <w:tabs>
          <w:tab w:val="clear" w:pos="964"/>
          <w:tab w:val="left" w:pos="567"/>
          <w:tab w:val="left" w:pos="720"/>
        </w:tabs>
        <w:ind w:left="0" w:firstLine="0"/>
        <w:rPr>
          <w:rFonts w:ascii="Arial" w:hAnsi="Arial" w:cs="Arial"/>
          <w:b/>
        </w:rPr>
      </w:pPr>
      <w:r w:rsidRPr="000A21E4">
        <w:rPr>
          <w:rFonts w:ascii="Arial" w:hAnsi="Arial" w:cs="Arial"/>
          <w:b/>
        </w:rPr>
        <w:t>6</w:t>
      </w:r>
      <w:r w:rsidRPr="000A21E4">
        <w:rPr>
          <w:rFonts w:ascii="Arial" w:hAnsi="Arial" w:cs="Arial"/>
          <w:b/>
        </w:rPr>
        <w:tab/>
        <w:t>Customer</w:t>
      </w:r>
    </w:p>
    <w:p w14:paraId="2F6DCFF9" w14:textId="77777777" w:rsidR="00CA12BB" w:rsidRDefault="009D68F2" w:rsidP="008E67C1">
      <w:pPr>
        <w:pStyle w:val="R2"/>
        <w:tabs>
          <w:tab w:val="left" w:pos="720"/>
        </w:tabs>
        <w:ind w:left="1134" w:hanging="567"/>
        <w:jc w:val="left"/>
      </w:pPr>
      <w:r w:rsidRPr="000A21E4">
        <w:t>(1)</w:t>
      </w:r>
      <w:r w:rsidRPr="000A21E4">
        <w:tab/>
      </w:r>
      <w:r w:rsidR="00A64D48">
        <w:tab/>
      </w:r>
      <w:r w:rsidRPr="000A21E4">
        <w:t xml:space="preserve">In this Determination, subject to subsection (2), a person is a </w:t>
      </w:r>
      <w:r w:rsidRPr="000A21E4">
        <w:rPr>
          <w:b/>
          <w:i/>
        </w:rPr>
        <w:t>customer</w:t>
      </w:r>
      <w:r w:rsidRPr="000A21E4">
        <w:t xml:space="preserve"> of a carriage service provider that supplies specified carriage</w:t>
      </w:r>
      <w:r w:rsidR="007736E3">
        <w:t xml:space="preserve"> services if</w:t>
      </w:r>
      <w:r w:rsidR="00075E1D">
        <w:t xml:space="preserve"> the person</w:t>
      </w:r>
      <w:r w:rsidR="00CA12BB">
        <w:t>:</w:t>
      </w:r>
      <w:r w:rsidR="007736E3">
        <w:t xml:space="preserve"> </w:t>
      </w:r>
    </w:p>
    <w:p w14:paraId="22D0494B" w14:textId="77777777" w:rsidR="00075E1D" w:rsidRDefault="00A74C2E" w:rsidP="00C80239">
      <w:pPr>
        <w:pStyle w:val="R2"/>
        <w:numPr>
          <w:ilvl w:val="0"/>
          <w:numId w:val="12"/>
        </w:numPr>
        <w:tabs>
          <w:tab w:val="clear" w:pos="794"/>
          <w:tab w:val="clear" w:pos="964"/>
        </w:tabs>
        <w:ind w:left="1701" w:hanging="567"/>
        <w:jc w:val="left"/>
      </w:pPr>
      <w:r>
        <w:t xml:space="preserve">has </w:t>
      </w:r>
      <w:r w:rsidR="00D727FA">
        <w:t>r</w:t>
      </w:r>
      <w:r w:rsidR="00E95EDA">
        <w:t>equest</w:t>
      </w:r>
      <w:r w:rsidR="00D727FA">
        <w:t>ed</w:t>
      </w:r>
      <w:r w:rsidR="00126E91">
        <w:t xml:space="preserve"> the provider</w:t>
      </w:r>
      <w:r w:rsidR="00D727FA">
        <w:t xml:space="preserve"> to</w:t>
      </w:r>
      <w:r w:rsidR="009D68F2" w:rsidRPr="000A21E4">
        <w:t xml:space="preserve"> supply a specified carriage service to the person</w:t>
      </w:r>
      <w:r w:rsidR="00D727FA">
        <w:t>’s premises</w:t>
      </w:r>
      <w:r w:rsidR="00075E1D">
        <w:t>;</w:t>
      </w:r>
      <w:r w:rsidR="00126E91">
        <w:t xml:space="preserve"> or </w:t>
      </w:r>
    </w:p>
    <w:p w14:paraId="2B9880D0" w14:textId="3E3174AC" w:rsidR="00075E1D" w:rsidRDefault="00A74C2E" w:rsidP="00C80239">
      <w:pPr>
        <w:pStyle w:val="R2"/>
        <w:numPr>
          <w:ilvl w:val="0"/>
          <w:numId w:val="12"/>
        </w:numPr>
        <w:tabs>
          <w:tab w:val="clear" w:pos="794"/>
          <w:tab w:val="clear" w:pos="964"/>
        </w:tabs>
        <w:ind w:left="1701" w:hanging="567"/>
        <w:jc w:val="left"/>
      </w:pPr>
      <w:proofErr w:type="gramStart"/>
      <w:r>
        <w:lastRenderedPageBreak/>
        <w:t>has</w:t>
      </w:r>
      <w:proofErr w:type="gramEnd"/>
      <w:r>
        <w:t xml:space="preserve"> </w:t>
      </w:r>
      <w:r w:rsidR="00075E1D">
        <w:t>entered into an agreement with the provider for the supply of a specified carriage service</w:t>
      </w:r>
      <w:r w:rsidR="00D727FA">
        <w:t xml:space="preserve"> to the person’s premises</w:t>
      </w:r>
      <w:r w:rsidR="00075E1D">
        <w:t>.</w:t>
      </w:r>
    </w:p>
    <w:p w14:paraId="149278BE" w14:textId="77777777" w:rsidR="00553A30" w:rsidRDefault="009D68F2" w:rsidP="009D68F2">
      <w:pPr>
        <w:pStyle w:val="R2"/>
        <w:tabs>
          <w:tab w:val="left" w:pos="720"/>
        </w:tabs>
        <w:ind w:left="1134" w:hanging="567"/>
        <w:jc w:val="left"/>
      </w:pPr>
      <w:r w:rsidRPr="000A21E4">
        <w:t>(2)</w:t>
      </w:r>
      <w:r w:rsidRPr="000A21E4">
        <w:tab/>
      </w:r>
      <w:r w:rsidR="00F2379B">
        <w:tab/>
      </w:r>
      <w:r w:rsidRPr="000A21E4">
        <w:t>A person is not</w:t>
      </w:r>
      <w:r w:rsidR="008E67C1">
        <w:t xml:space="preserve"> </w:t>
      </w:r>
      <w:r w:rsidRPr="000A21E4">
        <w:t>a customer</w:t>
      </w:r>
      <w:r w:rsidR="00497009">
        <w:t xml:space="preserve"> of such a carriage service provider</w:t>
      </w:r>
      <w:r w:rsidRPr="000A21E4">
        <w:t xml:space="preserve"> if the person</w:t>
      </w:r>
      <w:r w:rsidR="00553A30">
        <w:t>:</w:t>
      </w:r>
      <w:r w:rsidRPr="000A21E4">
        <w:t xml:space="preserve"> </w:t>
      </w:r>
    </w:p>
    <w:p w14:paraId="522EC7F2" w14:textId="0CCECDD5" w:rsidR="00602840" w:rsidRDefault="00553A30" w:rsidP="00A74C2E">
      <w:pPr>
        <w:pStyle w:val="R2"/>
        <w:tabs>
          <w:tab w:val="clear" w:pos="794"/>
          <w:tab w:val="clear" w:pos="964"/>
        </w:tabs>
        <w:ind w:left="1701" w:hanging="567"/>
        <w:jc w:val="left"/>
      </w:pPr>
      <w:r>
        <w:t>(</w:t>
      </w:r>
      <w:r w:rsidR="00A74C2E">
        <w:t>a</w:t>
      </w:r>
      <w:r>
        <w:t>)</w:t>
      </w:r>
      <w:r w:rsidR="00EA4855">
        <w:t xml:space="preserve"> </w:t>
      </w:r>
      <w:r w:rsidR="00F2379B">
        <w:tab/>
      </w:r>
      <w:proofErr w:type="gramStart"/>
      <w:r w:rsidR="00F97A2B">
        <w:t>carries</w:t>
      </w:r>
      <w:proofErr w:type="gramEnd"/>
      <w:r w:rsidR="00F97A2B">
        <w:t xml:space="preserve"> on</w:t>
      </w:r>
      <w:r w:rsidR="00A74C2E">
        <w:t xml:space="preserve"> </w:t>
      </w:r>
      <w:r w:rsidR="00EA4855">
        <w:t xml:space="preserve">a business </w:t>
      </w:r>
      <w:r w:rsidR="00F97A2B">
        <w:t>and has an ABN for that business</w:t>
      </w:r>
      <w:r w:rsidR="00602840">
        <w:t>; or</w:t>
      </w:r>
      <w:r w:rsidR="00C71C59" w:rsidDel="00C71C59">
        <w:t xml:space="preserve"> </w:t>
      </w:r>
    </w:p>
    <w:p w14:paraId="0A78EE2D" w14:textId="77777777" w:rsidR="00A74C2E" w:rsidRDefault="00A74C2E" w:rsidP="00A74C2E">
      <w:pPr>
        <w:pStyle w:val="R2"/>
        <w:tabs>
          <w:tab w:val="clear" w:pos="794"/>
          <w:tab w:val="clear" w:pos="964"/>
        </w:tabs>
        <w:ind w:left="1701" w:hanging="567"/>
        <w:jc w:val="left"/>
      </w:pPr>
      <w:r>
        <w:t xml:space="preserve">(b) </w:t>
      </w:r>
      <w:r>
        <w:tab/>
      </w:r>
      <w:proofErr w:type="gramStart"/>
      <w:r>
        <w:t>is</w:t>
      </w:r>
      <w:proofErr w:type="gramEnd"/>
      <w:r>
        <w:t xml:space="preserve"> </w:t>
      </w:r>
      <w:r w:rsidR="00980465">
        <w:t>itself a</w:t>
      </w:r>
      <w:r w:rsidRPr="000A21E4">
        <w:t xml:space="preserve"> carriage service provider</w:t>
      </w:r>
      <w:r w:rsidR="00980465">
        <w:t xml:space="preserve"> or a carrier</w:t>
      </w:r>
      <w:r>
        <w:t>.</w:t>
      </w:r>
    </w:p>
    <w:p w14:paraId="5C55E533" w14:textId="77777777" w:rsidR="00A54BF3" w:rsidRDefault="00A54BF3">
      <w:pPr>
        <w:spacing w:before="0" w:after="200" w:line="276" w:lineRule="auto"/>
        <w:rPr>
          <w:rFonts w:ascii="Times New Roman" w:hAnsi="Times New Roman"/>
          <w:sz w:val="24"/>
          <w:szCs w:val="20"/>
        </w:rPr>
      </w:pPr>
      <w:r>
        <w:br w:type="page"/>
      </w:r>
    </w:p>
    <w:p w14:paraId="6646BFD9" w14:textId="691DEE1D" w:rsidR="009D68F2" w:rsidRPr="000A21E4" w:rsidRDefault="009D68F2" w:rsidP="0061591C">
      <w:pPr>
        <w:pStyle w:val="R2"/>
        <w:tabs>
          <w:tab w:val="clear" w:pos="794"/>
          <w:tab w:val="clear" w:pos="964"/>
        </w:tabs>
        <w:ind w:left="1134" w:hanging="1134"/>
        <w:jc w:val="left"/>
      </w:pPr>
      <w:r w:rsidRPr="000A21E4">
        <w:rPr>
          <w:rFonts w:ascii="Arial" w:hAnsi="Arial" w:cs="Arial"/>
          <w:b/>
          <w:sz w:val="28"/>
          <w:szCs w:val="28"/>
        </w:rPr>
        <w:lastRenderedPageBreak/>
        <w:t>Part 2 – Rules relating to informing customers</w:t>
      </w:r>
      <w:r w:rsidR="0061591C">
        <w:rPr>
          <w:rFonts w:ascii="Arial" w:hAnsi="Arial" w:cs="Arial"/>
          <w:b/>
          <w:sz w:val="28"/>
          <w:szCs w:val="28"/>
        </w:rPr>
        <w:t xml:space="preserve"> about backup power </w:t>
      </w:r>
      <w:r w:rsidR="00AB7F26">
        <w:rPr>
          <w:rFonts w:ascii="Arial" w:hAnsi="Arial" w:cs="Arial"/>
          <w:b/>
          <w:sz w:val="28"/>
          <w:szCs w:val="28"/>
        </w:rPr>
        <w:t>services</w:t>
      </w:r>
    </w:p>
    <w:bookmarkEnd w:id="6"/>
    <w:p w14:paraId="433ADE5E" w14:textId="77777777" w:rsidR="00624089" w:rsidRDefault="00624089" w:rsidP="00063C7F">
      <w:pPr>
        <w:keepNext/>
        <w:numPr>
          <w:ilvl w:val="0"/>
          <w:numId w:val="1"/>
        </w:numPr>
        <w:spacing w:before="360" w:after="200" w:line="240" w:lineRule="auto"/>
        <w:ind w:left="567" w:hanging="567"/>
        <w:rPr>
          <w:b/>
          <w:noProof/>
          <w:sz w:val="24"/>
          <w:szCs w:val="20"/>
        </w:rPr>
      </w:pPr>
      <w:r w:rsidRPr="00624089">
        <w:rPr>
          <w:b/>
          <w:noProof/>
          <w:sz w:val="24"/>
          <w:szCs w:val="20"/>
        </w:rPr>
        <w:t>Application of Part 2</w:t>
      </w:r>
      <w:r w:rsidR="00603B76">
        <w:rPr>
          <w:b/>
          <w:noProof/>
          <w:sz w:val="24"/>
          <w:szCs w:val="20"/>
        </w:rPr>
        <w:t xml:space="preserve"> </w:t>
      </w:r>
    </w:p>
    <w:p w14:paraId="4471A3A0" w14:textId="77777777" w:rsidR="00AA2D03" w:rsidRPr="00DA2024" w:rsidRDefault="00F42165" w:rsidP="00DA2024">
      <w:pPr>
        <w:spacing w:before="120" w:after="120" w:line="260" w:lineRule="exact"/>
        <w:ind w:left="567"/>
        <w:rPr>
          <w:rFonts w:ascii="Times New Roman" w:hAnsi="Times New Roman"/>
          <w:sz w:val="24"/>
        </w:rPr>
      </w:pPr>
      <w:r w:rsidRPr="00603B76">
        <w:rPr>
          <w:rFonts w:ascii="Times New Roman" w:hAnsi="Times New Roman"/>
          <w:sz w:val="24"/>
          <w:szCs w:val="20"/>
        </w:rPr>
        <w:t>This Part applies</w:t>
      </w:r>
      <w:r w:rsidR="00D64299" w:rsidRPr="00603B76">
        <w:rPr>
          <w:rFonts w:ascii="Times New Roman" w:hAnsi="Times New Roman"/>
          <w:sz w:val="24"/>
          <w:szCs w:val="20"/>
        </w:rPr>
        <w:t xml:space="preserve"> to a carriage service provider if</w:t>
      </w:r>
      <w:r w:rsidR="00DA2024">
        <w:rPr>
          <w:rFonts w:ascii="Times New Roman" w:hAnsi="Times New Roman"/>
          <w:sz w:val="24"/>
          <w:szCs w:val="20"/>
        </w:rPr>
        <w:t xml:space="preserve"> </w:t>
      </w:r>
      <w:r w:rsidR="006577B9" w:rsidRPr="00DA2024">
        <w:rPr>
          <w:rFonts w:ascii="Times New Roman" w:hAnsi="Times New Roman"/>
          <w:sz w:val="24"/>
        </w:rPr>
        <w:t xml:space="preserve">a customer has requested </w:t>
      </w:r>
      <w:r w:rsidR="00D16D31" w:rsidRPr="00DA2024">
        <w:rPr>
          <w:rFonts w:ascii="Times New Roman" w:hAnsi="Times New Roman"/>
          <w:sz w:val="24"/>
        </w:rPr>
        <w:t>the provider to supply</w:t>
      </w:r>
      <w:r w:rsidR="00131461" w:rsidRPr="00DA2024">
        <w:rPr>
          <w:rFonts w:ascii="Times New Roman" w:hAnsi="Times New Roman"/>
          <w:sz w:val="24"/>
        </w:rPr>
        <w:t xml:space="preserve"> </w:t>
      </w:r>
      <w:r w:rsidR="00D16D31" w:rsidRPr="00DA2024">
        <w:rPr>
          <w:rFonts w:ascii="Times New Roman" w:hAnsi="Times New Roman"/>
          <w:sz w:val="24"/>
        </w:rPr>
        <w:t>a</w:t>
      </w:r>
      <w:r w:rsidR="006577B9" w:rsidRPr="00DA2024">
        <w:rPr>
          <w:rFonts w:ascii="Times New Roman" w:hAnsi="Times New Roman"/>
          <w:sz w:val="24"/>
        </w:rPr>
        <w:t xml:space="preserve"> </w:t>
      </w:r>
      <w:r w:rsidR="001B3D0A" w:rsidRPr="00DA2024">
        <w:rPr>
          <w:rFonts w:ascii="Times New Roman" w:hAnsi="Times New Roman"/>
          <w:sz w:val="24"/>
        </w:rPr>
        <w:t xml:space="preserve">specified carriage </w:t>
      </w:r>
      <w:r w:rsidR="006577B9" w:rsidRPr="00DA2024">
        <w:rPr>
          <w:rFonts w:ascii="Times New Roman" w:hAnsi="Times New Roman"/>
          <w:sz w:val="24"/>
        </w:rPr>
        <w:t>service to the</w:t>
      </w:r>
      <w:r w:rsidR="00D16D31" w:rsidRPr="00DA2024">
        <w:rPr>
          <w:rFonts w:ascii="Times New Roman" w:hAnsi="Times New Roman"/>
          <w:sz w:val="24"/>
        </w:rPr>
        <w:t xml:space="preserve"> customer’s premises</w:t>
      </w:r>
      <w:r w:rsidR="0021034E" w:rsidRPr="00DA2024">
        <w:rPr>
          <w:rFonts w:ascii="Times New Roman" w:hAnsi="Times New Roman"/>
          <w:sz w:val="24"/>
        </w:rPr>
        <w:t>.</w:t>
      </w:r>
      <w:r w:rsidR="00D16D31" w:rsidRPr="00DA2024">
        <w:rPr>
          <w:rFonts w:ascii="Times New Roman" w:hAnsi="Times New Roman"/>
          <w:sz w:val="24"/>
        </w:rPr>
        <w:t xml:space="preserve"> </w:t>
      </w:r>
    </w:p>
    <w:p w14:paraId="569F050B" w14:textId="77777777" w:rsidR="00705FB6" w:rsidRPr="009F73DE" w:rsidRDefault="00705FB6" w:rsidP="00063C7F">
      <w:pPr>
        <w:keepNext/>
        <w:numPr>
          <w:ilvl w:val="0"/>
          <w:numId w:val="1"/>
        </w:numPr>
        <w:spacing w:before="360" w:after="200" w:line="240" w:lineRule="auto"/>
        <w:ind w:left="567" w:hanging="567"/>
        <w:rPr>
          <w:b/>
          <w:noProof/>
          <w:sz w:val="24"/>
          <w:szCs w:val="20"/>
        </w:rPr>
      </w:pPr>
      <w:r w:rsidRPr="009F73DE">
        <w:rPr>
          <w:b/>
          <w:sz w:val="24"/>
          <w:szCs w:val="20"/>
        </w:rPr>
        <w:t xml:space="preserve">Obligation to inform before entering into an agreement </w:t>
      </w:r>
      <w:r w:rsidR="00D61908">
        <w:rPr>
          <w:b/>
          <w:sz w:val="24"/>
          <w:szCs w:val="20"/>
        </w:rPr>
        <w:t>for the</w:t>
      </w:r>
      <w:r w:rsidRPr="009F73DE">
        <w:rPr>
          <w:b/>
          <w:sz w:val="24"/>
          <w:szCs w:val="20"/>
        </w:rPr>
        <w:t xml:space="preserve"> supply </w:t>
      </w:r>
      <w:r w:rsidR="00D61908">
        <w:rPr>
          <w:b/>
          <w:sz w:val="24"/>
          <w:szCs w:val="20"/>
        </w:rPr>
        <w:t xml:space="preserve">of </w:t>
      </w:r>
      <w:r w:rsidRPr="009F73DE">
        <w:rPr>
          <w:b/>
          <w:sz w:val="24"/>
          <w:szCs w:val="20"/>
        </w:rPr>
        <w:t>a specified carriage service</w:t>
      </w:r>
    </w:p>
    <w:p w14:paraId="2D91619F" w14:textId="77777777" w:rsidR="00156138" w:rsidRPr="002128D6" w:rsidRDefault="00156138" w:rsidP="00156138">
      <w:pPr>
        <w:pStyle w:val="ListParagraph"/>
        <w:numPr>
          <w:ilvl w:val="0"/>
          <w:numId w:val="5"/>
        </w:numPr>
        <w:spacing w:before="180" w:after="120" w:line="260" w:lineRule="exact"/>
        <w:ind w:left="1134" w:hanging="567"/>
        <w:rPr>
          <w:rFonts w:ascii="Times New Roman" w:hAnsi="Times New Roman"/>
          <w:sz w:val="24"/>
          <w:szCs w:val="20"/>
        </w:rPr>
      </w:pPr>
      <w:r w:rsidRPr="00A80EF0">
        <w:rPr>
          <w:rFonts w:ascii="Times New Roman" w:hAnsi="Times New Roman"/>
          <w:sz w:val="24"/>
          <w:szCs w:val="20"/>
        </w:rPr>
        <w:t>The carriage service provider must not enter into an agreement with the customer to supply a specified carriage service</w:t>
      </w:r>
      <w:r>
        <w:rPr>
          <w:rFonts w:ascii="Times New Roman" w:hAnsi="Times New Roman"/>
          <w:sz w:val="24"/>
          <w:szCs w:val="20"/>
        </w:rPr>
        <w:t xml:space="preserve"> to the customer’s premi</w:t>
      </w:r>
      <w:r w:rsidRPr="002128D6">
        <w:rPr>
          <w:rFonts w:ascii="Times New Roman" w:hAnsi="Times New Roman"/>
          <w:sz w:val="24"/>
          <w:szCs w:val="20"/>
        </w:rPr>
        <w:t>ses unless the provider has:</w:t>
      </w:r>
    </w:p>
    <w:p w14:paraId="3D5AD672" w14:textId="293026E4" w:rsidR="00156138" w:rsidRDefault="007F40A3" w:rsidP="00156138">
      <w:pPr>
        <w:pStyle w:val="ListParagraph"/>
        <w:numPr>
          <w:ilvl w:val="3"/>
          <w:numId w:val="5"/>
        </w:numPr>
        <w:spacing w:before="180" w:after="120" w:line="260" w:lineRule="exact"/>
        <w:ind w:left="1701" w:hanging="567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inform</w:t>
      </w:r>
      <w:r w:rsidR="002C3F26">
        <w:rPr>
          <w:rFonts w:ascii="Times New Roman" w:hAnsi="Times New Roman"/>
          <w:sz w:val="24"/>
          <w:szCs w:val="20"/>
        </w:rPr>
        <w:t>ed</w:t>
      </w:r>
      <w:r>
        <w:rPr>
          <w:rFonts w:ascii="Times New Roman" w:hAnsi="Times New Roman"/>
          <w:sz w:val="24"/>
          <w:szCs w:val="20"/>
        </w:rPr>
        <w:t xml:space="preserve"> </w:t>
      </w:r>
      <w:r w:rsidR="00156138" w:rsidRPr="002128D6">
        <w:rPr>
          <w:rFonts w:ascii="Times New Roman" w:hAnsi="Times New Roman"/>
          <w:sz w:val="24"/>
          <w:szCs w:val="20"/>
        </w:rPr>
        <w:t>the customer that the ability to</w:t>
      </w:r>
      <w:r w:rsidR="002C055C">
        <w:rPr>
          <w:rFonts w:ascii="Times New Roman" w:hAnsi="Times New Roman"/>
          <w:sz w:val="24"/>
          <w:szCs w:val="20"/>
        </w:rPr>
        <w:t xml:space="preserve"> use the specified carriage service to</w:t>
      </w:r>
      <w:r w:rsidR="00156138" w:rsidRPr="002128D6">
        <w:rPr>
          <w:rFonts w:ascii="Times New Roman" w:hAnsi="Times New Roman"/>
          <w:sz w:val="24"/>
          <w:szCs w:val="20"/>
        </w:rPr>
        <w:t xml:space="preserve"> make </w:t>
      </w:r>
      <w:r w:rsidR="00031347">
        <w:rPr>
          <w:rFonts w:ascii="Times New Roman" w:hAnsi="Times New Roman"/>
          <w:sz w:val="24"/>
          <w:szCs w:val="20"/>
        </w:rPr>
        <w:t>or</w:t>
      </w:r>
      <w:r w:rsidR="00156138">
        <w:rPr>
          <w:rFonts w:ascii="Times New Roman" w:hAnsi="Times New Roman"/>
          <w:sz w:val="24"/>
          <w:szCs w:val="20"/>
        </w:rPr>
        <w:t xml:space="preserve"> receive </w:t>
      </w:r>
      <w:r w:rsidR="00031347">
        <w:rPr>
          <w:rFonts w:ascii="Times New Roman" w:hAnsi="Times New Roman"/>
          <w:sz w:val="24"/>
          <w:szCs w:val="20"/>
        </w:rPr>
        <w:t xml:space="preserve">any </w:t>
      </w:r>
      <w:r w:rsidR="00156138" w:rsidRPr="00974A87">
        <w:rPr>
          <w:rFonts w:ascii="Times New Roman" w:hAnsi="Times New Roman"/>
          <w:sz w:val="24"/>
          <w:szCs w:val="20"/>
        </w:rPr>
        <w:t xml:space="preserve">calls during a power </w:t>
      </w:r>
      <w:r w:rsidR="002C3F26">
        <w:rPr>
          <w:rFonts w:ascii="Times New Roman" w:hAnsi="Times New Roman"/>
          <w:sz w:val="24"/>
          <w:szCs w:val="20"/>
        </w:rPr>
        <w:t>failure</w:t>
      </w:r>
      <w:r w:rsidR="00156138" w:rsidRPr="00974A87">
        <w:rPr>
          <w:rFonts w:ascii="Times New Roman" w:hAnsi="Times New Roman"/>
          <w:sz w:val="24"/>
          <w:szCs w:val="20"/>
        </w:rPr>
        <w:t xml:space="preserve">, including </w:t>
      </w:r>
      <w:r w:rsidR="002C3F26">
        <w:rPr>
          <w:rFonts w:ascii="Times New Roman" w:hAnsi="Times New Roman"/>
          <w:sz w:val="24"/>
          <w:szCs w:val="20"/>
        </w:rPr>
        <w:t xml:space="preserve">calls </w:t>
      </w:r>
      <w:r w:rsidR="00156138" w:rsidRPr="00974A87">
        <w:rPr>
          <w:rFonts w:ascii="Times New Roman" w:hAnsi="Times New Roman"/>
          <w:sz w:val="24"/>
          <w:szCs w:val="20"/>
        </w:rPr>
        <w:t xml:space="preserve">to </w:t>
      </w:r>
      <w:r w:rsidR="002C3F26">
        <w:rPr>
          <w:rFonts w:ascii="Times New Roman" w:hAnsi="Times New Roman"/>
          <w:sz w:val="24"/>
          <w:szCs w:val="20"/>
        </w:rPr>
        <w:t xml:space="preserve">an </w:t>
      </w:r>
      <w:r w:rsidR="00156138" w:rsidRPr="00974A87">
        <w:rPr>
          <w:rFonts w:ascii="Times New Roman" w:hAnsi="Times New Roman"/>
          <w:sz w:val="24"/>
          <w:szCs w:val="20"/>
        </w:rPr>
        <w:t>emergency service</w:t>
      </w:r>
      <w:r w:rsidR="002C3F26">
        <w:rPr>
          <w:rFonts w:ascii="Times New Roman" w:hAnsi="Times New Roman"/>
          <w:sz w:val="24"/>
          <w:szCs w:val="20"/>
        </w:rPr>
        <w:t xml:space="preserve"> number</w:t>
      </w:r>
      <w:r w:rsidR="00156138" w:rsidRPr="00974A87">
        <w:rPr>
          <w:rFonts w:ascii="Times New Roman" w:hAnsi="Times New Roman"/>
          <w:sz w:val="24"/>
          <w:szCs w:val="20"/>
        </w:rPr>
        <w:t xml:space="preserve">, depends on </w:t>
      </w:r>
      <w:r w:rsidR="00156138">
        <w:rPr>
          <w:rFonts w:ascii="Times New Roman" w:hAnsi="Times New Roman"/>
          <w:sz w:val="24"/>
          <w:szCs w:val="20"/>
        </w:rPr>
        <w:t xml:space="preserve">whether a </w:t>
      </w:r>
      <w:r w:rsidR="00BF38BE">
        <w:rPr>
          <w:rFonts w:ascii="Times New Roman" w:hAnsi="Times New Roman"/>
          <w:sz w:val="24"/>
          <w:szCs w:val="20"/>
        </w:rPr>
        <w:t>backup power service is supplied</w:t>
      </w:r>
      <w:r w:rsidR="006C5F8A">
        <w:rPr>
          <w:rFonts w:ascii="Times New Roman" w:hAnsi="Times New Roman"/>
          <w:sz w:val="24"/>
          <w:szCs w:val="20"/>
        </w:rPr>
        <w:t xml:space="preserve"> </w:t>
      </w:r>
      <w:r w:rsidR="00BF38BE">
        <w:rPr>
          <w:rFonts w:ascii="Times New Roman" w:hAnsi="Times New Roman"/>
          <w:sz w:val="24"/>
          <w:szCs w:val="20"/>
        </w:rPr>
        <w:t>to</w:t>
      </w:r>
      <w:r w:rsidR="00156138">
        <w:rPr>
          <w:rFonts w:ascii="Times New Roman" w:hAnsi="Times New Roman"/>
          <w:sz w:val="24"/>
          <w:szCs w:val="20"/>
        </w:rPr>
        <w:t xml:space="preserve"> the customer’s premises</w:t>
      </w:r>
      <w:r w:rsidR="006B6994">
        <w:rPr>
          <w:rFonts w:ascii="Times New Roman" w:hAnsi="Times New Roman"/>
          <w:sz w:val="24"/>
          <w:szCs w:val="20"/>
        </w:rPr>
        <w:t xml:space="preserve"> by means of a BPSU</w:t>
      </w:r>
      <w:r w:rsidR="00156138" w:rsidRPr="00974A87">
        <w:rPr>
          <w:rFonts w:ascii="Times New Roman" w:hAnsi="Times New Roman"/>
          <w:sz w:val="24"/>
          <w:szCs w:val="20"/>
        </w:rPr>
        <w:t>; and</w:t>
      </w:r>
    </w:p>
    <w:p w14:paraId="60E1AA67" w14:textId="6A9AEEF8" w:rsidR="00156138" w:rsidRDefault="007F40A3" w:rsidP="00156138">
      <w:pPr>
        <w:pStyle w:val="ListParagraph"/>
        <w:numPr>
          <w:ilvl w:val="3"/>
          <w:numId w:val="5"/>
        </w:numPr>
        <w:spacing w:before="180" w:after="120" w:line="260" w:lineRule="exact"/>
        <w:ind w:left="1701" w:hanging="567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give</w:t>
      </w:r>
      <w:r w:rsidR="002C3F26">
        <w:rPr>
          <w:rFonts w:ascii="Times New Roman" w:hAnsi="Times New Roman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 xml:space="preserve"> </w:t>
      </w:r>
      <w:r w:rsidR="00156138" w:rsidRPr="002128D6">
        <w:rPr>
          <w:rFonts w:ascii="Times New Roman" w:hAnsi="Times New Roman"/>
          <w:sz w:val="24"/>
          <w:szCs w:val="20"/>
        </w:rPr>
        <w:t xml:space="preserve">the customer </w:t>
      </w:r>
      <w:r w:rsidR="00E349D6">
        <w:rPr>
          <w:rFonts w:ascii="Times New Roman" w:hAnsi="Times New Roman"/>
          <w:sz w:val="24"/>
          <w:szCs w:val="20"/>
        </w:rPr>
        <w:t xml:space="preserve">accurate, </w:t>
      </w:r>
      <w:r w:rsidR="00156138" w:rsidRPr="002128D6">
        <w:rPr>
          <w:rFonts w:ascii="Times New Roman" w:hAnsi="Times New Roman"/>
          <w:sz w:val="24"/>
          <w:szCs w:val="20"/>
        </w:rPr>
        <w:t>clear and concise information concerning</w:t>
      </w:r>
      <w:r w:rsidR="00156138">
        <w:rPr>
          <w:rFonts w:ascii="Times New Roman" w:hAnsi="Times New Roman"/>
          <w:sz w:val="24"/>
          <w:szCs w:val="20"/>
        </w:rPr>
        <w:t>:</w:t>
      </w:r>
      <w:r w:rsidR="00156138" w:rsidRPr="002128D6">
        <w:rPr>
          <w:rFonts w:ascii="Times New Roman" w:hAnsi="Times New Roman"/>
          <w:sz w:val="24"/>
          <w:szCs w:val="20"/>
        </w:rPr>
        <w:t xml:space="preserve"> </w:t>
      </w:r>
    </w:p>
    <w:p w14:paraId="4C532D33" w14:textId="77777777" w:rsidR="00156138" w:rsidRPr="002128D6" w:rsidRDefault="002C3F26" w:rsidP="00156138">
      <w:pPr>
        <w:pStyle w:val="ListParagraph"/>
        <w:numPr>
          <w:ilvl w:val="4"/>
          <w:numId w:val="5"/>
        </w:numPr>
        <w:spacing w:before="180" w:after="120" w:line="260" w:lineRule="exact"/>
        <w:ind w:left="2268" w:hanging="567"/>
        <w:rPr>
          <w:rFonts w:ascii="Times New Roman" w:hAnsi="Times New Roman"/>
          <w:sz w:val="24"/>
          <w:szCs w:val="20"/>
        </w:rPr>
      </w:pPr>
      <w:r w:rsidRPr="002128D6">
        <w:rPr>
          <w:rFonts w:ascii="Times New Roman" w:hAnsi="Times New Roman"/>
          <w:sz w:val="24"/>
          <w:szCs w:val="20"/>
        </w:rPr>
        <w:t xml:space="preserve">the impact that a power failure would have on the operation of the specified carriage service if a backup power service </w:t>
      </w:r>
      <w:r w:rsidR="00156138" w:rsidRPr="002128D6">
        <w:rPr>
          <w:rFonts w:ascii="Times New Roman" w:hAnsi="Times New Roman"/>
          <w:sz w:val="24"/>
          <w:szCs w:val="20"/>
        </w:rPr>
        <w:t xml:space="preserve">is not supplied to the customer’s premises, particularly in respect of an end-user’s inability to use the specified carriage service during a power failure: </w:t>
      </w:r>
    </w:p>
    <w:p w14:paraId="2DF9DA11" w14:textId="77777777" w:rsidR="00156138" w:rsidRDefault="00156138" w:rsidP="00156138">
      <w:pPr>
        <w:pStyle w:val="ListParagraph"/>
        <w:numPr>
          <w:ilvl w:val="0"/>
          <w:numId w:val="31"/>
        </w:numPr>
        <w:spacing w:before="180" w:after="120" w:line="260" w:lineRule="exact"/>
        <w:ind w:left="2835" w:hanging="567"/>
        <w:rPr>
          <w:rFonts w:ascii="Times New Roman" w:hAnsi="Times New Roman"/>
          <w:sz w:val="24"/>
          <w:szCs w:val="20"/>
        </w:rPr>
      </w:pPr>
      <w:r w:rsidRPr="002128D6">
        <w:rPr>
          <w:rFonts w:ascii="Times New Roman" w:hAnsi="Times New Roman"/>
          <w:sz w:val="24"/>
          <w:szCs w:val="20"/>
        </w:rPr>
        <w:t xml:space="preserve">to </w:t>
      </w:r>
      <w:r w:rsidR="002C3F26">
        <w:rPr>
          <w:rFonts w:ascii="Times New Roman" w:hAnsi="Times New Roman"/>
          <w:sz w:val="24"/>
          <w:szCs w:val="20"/>
        </w:rPr>
        <w:t>make any calls</w:t>
      </w:r>
      <w:r w:rsidRPr="002128D6">
        <w:rPr>
          <w:rFonts w:ascii="Times New Roman" w:hAnsi="Times New Roman"/>
          <w:sz w:val="24"/>
          <w:szCs w:val="20"/>
        </w:rPr>
        <w:t xml:space="preserve"> to an emergency service</w:t>
      </w:r>
      <w:r w:rsidR="002C3F26">
        <w:rPr>
          <w:rFonts w:ascii="Times New Roman" w:hAnsi="Times New Roman"/>
          <w:sz w:val="24"/>
          <w:szCs w:val="20"/>
        </w:rPr>
        <w:t xml:space="preserve"> number</w:t>
      </w:r>
      <w:r w:rsidRPr="002128D6">
        <w:rPr>
          <w:rFonts w:ascii="Times New Roman" w:hAnsi="Times New Roman"/>
          <w:sz w:val="24"/>
          <w:szCs w:val="20"/>
        </w:rPr>
        <w:t>; or</w:t>
      </w:r>
    </w:p>
    <w:p w14:paraId="652F7E2A" w14:textId="77777777" w:rsidR="00156138" w:rsidRPr="0063090E" w:rsidRDefault="00156138" w:rsidP="00156138">
      <w:pPr>
        <w:pStyle w:val="ListParagraph"/>
        <w:numPr>
          <w:ilvl w:val="0"/>
          <w:numId w:val="31"/>
        </w:numPr>
        <w:spacing w:before="180" w:after="120" w:line="260" w:lineRule="exact"/>
        <w:ind w:left="2835" w:hanging="567"/>
        <w:rPr>
          <w:rFonts w:ascii="Times New Roman" w:hAnsi="Times New Roman"/>
          <w:sz w:val="24"/>
          <w:szCs w:val="20"/>
        </w:rPr>
      </w:pPr>
      <w:r w:rsidRPr="0088755B">
        <w:rPr>
          <w:rFonts w:ascii="Times New Roman" w:hAnsi="Times New Roman"/>
          <w:sz w:val="24"/>
          <w:szCs w:val="20"/>
        </w:rPr>
        <w:t xml:space="preserve">to make </w:t>
      </w:r>
      <w:r w:rsidR="002C3F26">
        <w:rPr>
          <w:rFonts w:ascii="Times New Roman" w:hAnsi="Times New Roman"/>
          <w:sz w:val="24"/>
          <w:szCs w:val="20"/>
        </w:rPr>
        <w:t xml:space="preserve">any other calls </w:t>
      </w:r>
      <w:r w:rsidRPr="0088755B">
        <w:rPr>
          <w:rFonts w:ascii="Times New Roman" w:hAnsi="Times New Roman"/>
          <w:sz w:val="24"/>
          <w:szCs w:val="20"/>
        </w:rPr>
        <w:t>or receive any calls</w:t>
      </w:r>
      <w:r w:rsidRPr="0063090E">
        <w:rPr>
          <w:rFonts w:ascii="Times New Roman" w:hAnsi="Times New Roman"/>
          <w:sz w:val="24"/>
          <w:szCs w:val="20"/>
        </w:rPr>
        <w:t>; and</w:t>
      </w:r>
    </w:p>
    <w:p w14:paraId="6A07EFBD" w14:textId="77777777" w:rsidR="00156138" w:rsidRPr="004E617C" w:rsidRDefault="002C3F26" w:rsidP="00156138">
      <w:pPr>
        <w:pStyle w:val="ListParagraph"/>
        <w:numPr>
          <w:ilvl w:val="4"/>
          <w:numId w:val="5"/>
        </w:numPr>
        <w:spacing w:before="180" w:after="120" w:line="260" w:lineRule="exact"/>
        <w:ind w:left="2268" w:hanging="567"/>
        <w:rPr>
          <w:rFonts w:ascii="Times New Roman" w:hAnsi="Times New Roman"/>
          <w:sz w:val="24"/>
          <w:szCs w:val="20"/>
        </w:rPr>
      </w:pPr>
      <w:r w:rsidRPr="002128D6">
        <w:rPr>
          <w:rFonts w:ascii="Times New Roman" w:hAnsi="Times New Roman"/>
          <w:sz w:val="24"/>
          <w:szCs w:val="20"/>
        </w:rPr>
        <w:t>the impact that a power failure would have on the operation of the specified carriage service if a backup power service</w:t>
      </w:r>
      <w:r w:rsidRPr="004E617C">
        <w:rPr>
          <w:rFonts w:ascii="Times New Roman" w:hAnsi="Times New Roman"/>
          <w:sz w:val="24"/>
          <w:szCs w:val="20"/>
        </w:rPr>
        <w:t xml:space="preserve"> </w:t>
      </w:r>
      <w:r w:rsidR="00156138" w:rsidRPr="004E617C">
        <w:rPr>
          <w:rFonts w:ascii="Times New Roman" w:hAnsi="Times New Roman"/>
          <w:sz w:val="24"/>
          <w:szCs w:val="20"/>
        </w:rPr>
        <w:t>is supplied to the customer’s premises</w:t>
      </w:r>
      <w:r w:rsidR="00156138">
        <w:rPr>
          <w:rFonts w:ascii="Times New Roman" w:hAnsi="Times New Roman"/>
          <w:sz w:val="24"/>
          <w:szCs w:val="20"/>
        </w:rPr>
        <w:t xml:space="preserve"> by means of a BPSU</w:t>
      </w:r>
      <w:r w:rsidR="00156138" w:rsidRPr="004E617C">
        <w:rPr>
          <w:rFonts w:ascii="Times New Roman" w:hAnsi="Times New Roman"/>
          <w:sz w:val="24"/>
          <w:szCs w:val="20"/>
        </w:rPr>
        <w:t xml:space="preserve">, particularly in respect of: </w:t>
      </w:r>
    </w:p>
    <w:p w14:paraId="4D8527BC" w14:textId="77777777" w:rsidR="00156138" w:rsidRDefault="00156138" w:rsidP="00156138">
      <w:pPr>
        <w:pStyle w:val="ListParagraph"/>
        <w:numPr>
          <w:ilvl w:val="0"/>
          <w:numId w:val="33"/>
        </w:numPr>
        <w:spacing w:before="180" w:after="120" w:line="260" w:lineRule="exact"/>
        <w:ind w:left="2835" w:hanging="567"/>
        <w:rPr>
          <w:rFonts w:ascii="Times New Roman" w:hAnsi="Times New Roman"/>
          <w:sz w:val="24"/>
          <w:szCs w:val="20"/>
        </w:rPr>
      </w:pPr>
      <w:r w:rsidRPr="00156138">
        <w:rPr>
          <w:rFonts w:ascii="Times New Roman" w:hAnsi="Times New Roman"/>
          <w:sz w:val="24"/>
          <w:szCs w:val="20"/>
        </w:rPr>
        <w:t>the estimated period of time the backup power service would enable the continued operation of the specified carriage service; and</w:t>
      </w:r>
    </w:p>
    <w:p w14:paraId="17C85CE2" w14:textId="77777777" w:rsidR="006618EF" w:rsidRDefault="00156138" w:rsidP="00156138">
      <w:pPr>
        <w:pStyle w:val="ListParagraph"/>
        <w:numPr>
          <w:ilvl w:val="0"/>
          <w:numId w:val="33"/>
        </w:numPr>
        <w:spacing w:before="180" w:after="120" w:line="260" w:lineRule="exact"/>
        <w:ind w:left="2835" w:hanging="567"/>
        <w:rPr>
          <w:rFonts w:ascii="Times New Roman" w:hAnsi="Times New Roman"/>
          <w:sz w:val="24"/>
          <w:szCs w:val="20"/>
        </w:rPr>
      </w:pPr>
      <w:r w:rsidRPr="00156138">
        <w:rPr>
          <w:rFonts w:ascii="Times New Roman" w:hAnsi="Times New Roman"/>
          <w:sz w:val="24"/>
          <w:szCs w:val="20"/>
        </w:rPr>
        <w:t xml:space="preserve">the fact that customer equipment </w:t>
      </w:r>
      <w:r w:rsidR="002C3F26">
        <w:rPr>
          <w:rFonts w:ascii="Times New Roman" w:hAnsi="Times New Roman"/>
          <w:sz w:val="24"/>
          <w:szCs w:val="20"/>
        </w:rPr>
        <w:t xml:space="preserve">for use </w:t>
      </w:r>
      <w:r w:rsidR="00946B30">
        <w:rPr>
          <w:rFonts w:ascii="Times New Roman" w:hAnsi="Times New Roman"/>
          <w:sz w:val="24"/>
          <w:szCs w:val="20"/>
        </w:rPr>
        <w:t>in</w:t>
      </w:r>
      <w:r w:rsidR="002C3F26">
        <w:rPr>
          <w:rFonts w:ascii="Times New Roman" w:hAnsi="Times New Roman"/>
          <w:sz w:val="24"/>
          <w:szCs w:val="20"/>
        </w:rPr>
        <w:t xml:space="preserve"> connection with the specified carriage service </w:t>
      </w:r>
      <w:r w:rsidRPr="00156138">
        <w:rPr>
          <w:rFonts w:ascii="Times New Roman" w:hAnsi="Times New Roman"/>
          <w:sz w:val="24"/>
          <w:szCs w:val="20"/>
        </w:rPr>
        <w:t>will not operate during a power failure</w:t>
      </w:r>
      <w:r w:rsidR="002C3F26">
        <w:rPr>
          <w:rFonts w:ascii="Times New Roman" w:hAnsi="Times New Roman"/>
          <w:sz w:val="24"/>
          <w:szCs w:val="20"/>
        </w:rPr>
        <w:t xml:space="preserve"> unless</w:t>
      </w:r>
      <w:r w:rsidR="006618EF">
        <w:rPr>
          <w:rFonts w:ascii="Times New Roman" w:hAnsi="Times New Roman"/>
          <w:sz w:val="24"/>
          <w:szCs w:val="20"/>
        </w:rPr>
        <w:t>:</w:t>
      </w:r>
      <w:r w:rsidR="002C3F26">
        <w:rPr>
          <w:rFonts w:ascii="Times New Roman" w:hAnsi="Times New Roman"/>
          <w:sz w:val="24"/>
          <w:szCs w:val="20"/>
        </w:rPr>
        <w:t xml:space="preserve"> </w:t>
      </w:r>
    </w:p>
    <w:p w14:paraId="62F2FE7D" w14:textId="77777777" w:rsidR="006618EF" w:rsidRDefault="002C3F26" w:rsidP="006618EF">
      <w:pPr>
        <w:pStyle w:val="ListParagraph"/>
        <w:numPr>
          <w:ilvl w:val="0"/>
          <w:numId w:val="34"/>
        </w:numPr>
        <w:tabs>
          <w:tab w:val="left" w:pos="3402"/>
        </w:tabs>
        <w:spacing w:before="180" w:after="120" w:line="260" w:lineRule="exact"/>
        <w:ind w:hanging="133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it has its own backup power supply</w:t>
      </w:r>
      <w:r w:rsidR="006618EF">
        <w:rPr>
          <w:rFonts w:ascii="Times New Roman" w:hAnsi="Times New Roman"/>
          <w:sz w:val="24"/>
          <w:szCs w:val="20"/>
        </w:rPr>
        <w:t>; or</w:t>
      </w:r>
    </w:p>
    <w:p w14:paraId="08523DBA" w14:textId="18706734" w:rsidR="00C26490" w:rsidRPr="00156138" w:rsidRDefault="006618EF" w:rsidP="00BB56F0">
      <w:pPr>
        <w:pStyle w:val="ListParagraph"/>
        <w:numPr>
          <w:ilvl w:val="0"/>
          <w:numId w:val="34"/>
        </w:numPr>
        <w:tabs>
          <w:tab w:val="left" w:pos="3402"/>
        </w:tabs>
        <w:spacing w:before="180" w:after="120" w:line="260" w:lineRule="exact"/>
        <w:ind w:left="3402" w:hanging="567"/>
        <w:rPr>
          <w:rFonts w:ascii="Times New Roman" w:hAnsi="Times New Roman"/>
          <w:sz w:val="24"/>
          <w:szCs w:val="20"/>
        </w:rPr>
      </w:pPr>
      <w:proofErr w:type="gramStart"/>
      <w:r>
        <w:rPr>
          <w:rFonts w:ascii="Times New Roman" w:hAnsi="Times New Roman"/>
          <w:sz w:val="24"/>
          <w:szCs w:val="20"/>
        </w:rPr>
        <w:t>it</w:t>
      </w:r>
      <w:proofErr w:type="gramEnd"/>
      <w:r>
        <w:rPr>
          <w:rFonts w:ascii="Times New Roman" w:hAnsi="Times New Roman"/>
          <w:sz w:val="24"/>
          <w:szCs w:val="20"/>
        </w:rPr>
        <w:t xml:space="preserve"> is a standard corded telephone</w:t>
      </w:r>
      <w:r w:rsidR="00CC17F4">
        <w:rPr>
          <w:rFonts w:ascii="Times New Roman" w:hAnsi="Times New Roman"/>
          <w:sz w:val="24"/>
          <w:szCs w:val="20"/>
        </w:rPr>
        <w:t xml:space="preserve"> device</w:t>
      </w:r>
      <w:r>
        <w:rPr>
          <w:rFonts w:ascii="Times New Roman" w:hAnsi="Times New Roman"/>
          <w:sz w:val="24"/>
          <w:szCs w:val="20"/>
        </w:rPr>
        <w:t xml:space="preserve"> </w:t>
      </w:r>
      <w:r w:rsidR="0039463E">
        <w:rPr>
          <w:rFonts w:ascii="Times New Roman" w:hAnsi="Times New Roman"/>
          <w:sz w:val="24"/>
          <w:szCs w:val="20"/>
        </w:rPr>
        <w:t xml:space="preserve">that is </w:t>
      </w:r>
      <w:r w:rsidR="00B97230">
        <w:rPr>
          <w:rFonts w:ascii="Times New Roman" w:hAnsi="Times New Roman"/>
          <w:sz w:val="24"/>
          <w:szCs w:val="20"/>
        </w:rPr>
        <w:t>not dependent on mains power</w:t>
      </w:r>
      <w:r w:rsidR="006816F7">
        <w:rPr>
          <w:rFonts w:ascii="Times New Roman" w:hAnsi="Times New Roman"/>
          <w:sz w:val="24"/>
          <w:szCs w:val="20"/>
        </w:rPr>
        <w:t xml:space="preserve"> and</w:t>
      </w:r>
      <w:r w:rsidR="00890898">
        <w:rPr>
          <w:rFonts w:ascii="Times New Roman" w:hAnsi="Times New Roman"/>
          <w:sz w:val="24"/>
          <w:szCs w:val="20"/>
        </w:rPr>
        <w:t xml:space="preserve"> is </w:t>
      </w:r>
      <w:r w:rsidR="00E349D6">
        <w:rPr>
          <w:rFonts w:ascii="Times New Roman" w:hAnsi="Times New Roman"/>
          <w:sz w:val="24"/>
          <w:szCs w:val="20"/>
        </w:rPr>
        <w:t xml:space="preserve">connected to </w:t>
      </w:r>
      <w:r w:rsidR="005570DE">
        <w:rPr>
          <w:rFonts w:ascii="Times New Roman" w:hAnsi="Times New Roman"/>
          <w:sz w:val="24"/>
          <w:szCs w:val="20"/>
        </w:rPr>
        <w:t>a</w:t>
      </w:r>
      <w:r w:rsidR="00E349D6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voice</w:t>
      </w:r>
      <w:r w:rsidR="001B3BC4">
        <w:rPr>
          <w:rFonts w:ascii="Times New Roman" w:hAnsi="Times New Roman"/>
          <w:sz w:val="24"/>
          <w:szCs w:val="20"/>
        </w:rPr>
        <w:t xml:space="preserve"> (UNI-V)</w:t>
      </w:r>
      <w:r>
        <w:rPr>
          <w:rFonts w:ascii="Times New Roman" w:hAnsi="Times New Roman"/>
          <w:sz w:val="24"/>
          <w:szCs w:val="20"/>
        </w:rPr>
        <w:t xml:space="preserve"> port on the NBN connection box</w:t>
      </w:r>
      <w:r w:rsidR="005570DE">
        <w:rPr>
          <w:rFonts w:ascii="Times New Roman" w:hAnsi="Times New Roman"/>
          <w:sz w:val="24"/>
          <w:szCs w:val="20"/>
        </w:rPr>
        <w:t xml:space="preserve"> </w:t>
      </w:r>
      <w:r w:rsidR="00D749F1">
        <w:rPr>
          <w:rFonts w:ascii="Times New Roman" w:hAnsi="Times New Roman"/>
          <w:sz w:val="24"/>
          <w:szCs w:val="20"/>
        </w:rPr>
        <w:t>designated for the supply of the specified carriage service</w:t>
      </w:r>
      <w:r w:rsidR="00156138" w:rsidRPr="00156138">
        <w:rPr>
          <w:rFonts w:ascii="Times New Roman" w:hAnsi="Times New Roman"/>
          <w:sz w:val="24"/>
          <w:szCs w:val="20"/>
        </w:rPr>
        <w:t>.</w:t>
      </w:r>
      <w:r w:rsidR="00AB103C" w:rsidRPr="00156138">
        <w:rPr>
          <w:rFonts w:ascii="Times New Roman" w:hAnsi="Times New Roman"/>
          <w:i/>
          <w:sz w:val="24"/>
          <w:szCs w:val="20"/>
        </w:rPr>
        <w:tab/>
      </w:r>
    </w:p>
    <w:p w14:paraId="5616C7A9" w14:textId="77777777" w:rsidR="00705FB6" w:rsidRPr="00C94060" w:rsidRDefault="00705FB6" w:rsidP="004A19B4">
      <w:pPr>
        <w:pStyle w:val="ListParagraph"/>
        <w:numPr>
          <w:ilvl w:val="0"/>
          <w:numId w:val="5"/>
        </w:numPr>
        <w:ind w:left="1134" w:hanging="567"/>
        <w:rPr>
          <w:rFonts w:ascii="Times New Roman" w:hAnsi="Times New Roman"/>
          <w:sz w:val="24"/>
          <w:szCs w:val="20"/>
        </w:rPr>
      </w:pPr>
      <w:r w:rsidRPr="00C94060">
        <w:rPr>
          <w:rFonts w:ascii="Times New Roman" w:hAnsi="Times New Roman"/>
          <w:sz w:val="24"/>
          <w:szCs w:val="20"/>
        </w:rPr>
        <w:t>If the customer enters into an agreement with the carriage service provider for the supply of a specified carriage service</w:t>
      </w:r>
      <w:r w:rsidR="00E37973">
        <w:rPr>
          <w:rFonts w:ascii="Times New Roman" w:hAnsi="Times New Roman"/>
          <w:sz w:val="24"/>
          <w:szCs w:val="20"/>
        </w:rPr>
        <w:t xml:space="preserve"> to the customer’s premises</w:t>
      </w:r>
      <w:r w:rsidRPr="00C94060">
        <w:rPr>
          <w:rFonts w:ascii="Times New Roman" w:hAnsi="Times New Roman"/>
          <w:sz w:val="24"/>
          <w:szCs w:val="20"/>
        </w:rPr>
        <w:t>, the provider must:</w:t>
      </w:r>
    </w:p>
    <w:p w14:paraId="42F675FC" w14:textId="77777777" w:rsidR="00705FB6" w:rsidRDefault="00705FB6" w:rsidP="00063C7F">
      <w:pPr>
        <w:pStyle w:val="ListParagraph"/>
        <w:numPr>
          <w:ilvl w:val="0"/>
          <w:numId w:val="8"/>
        </w:numPr>
        <w:spacing w:before="180" w:after="120" w:line="260" w:lineRule="exact"/>
        <w:ind w:left="1701" w:hanging="567"/>
        <w:rPr>
          <w:rFonts w:ascii="Times New Roman" w:hAnsi="Times New Roman"/>
          <w:sz w:val="24"/>
          <w:szCs w:val="20"/>
        </w:rPr>
      </w:pPr>
      <w:r w:rsidRPr="00751C17">
        <w:rPr>
          <w:rFonts w:ascii="Times New Roman" w:hAnsi="Times New Roman"/>
          <w:sz w:val="24"/>
          <w:szCs w:val="20"/>
        </w:rPr>
        <w:lastRenderedPageBreak/>
        <w:t>obtain</w:t>
      </w:r>
      <w:r w:rsidR="00174BD2">
        <w:rPr>
          <w:rFonts w:ascii="Times New Roman" w:hAnsi="Times New Roman"/>
          <w:sz w:val="24"/>
          <w:szCs w:val="20"/>
        </w:rPr>
        <w:t xml:space="preserve"> from the customer</w:t>
      </w:r>
      <w:r w:rsidRPr="00751C17">
        <w:rPr>
          <w:rFonts w:ascii="Times New Roman" w:hAnsi="Times New Roman"/>
          <w:sz w:val="24"/>
          <w:szCs w:val="20"/>
        </w:rPr>
        <w:t xml:space="preserve"> an acknowledgement that the</w:t>
      </w:r>
      <w:r w:rsidR="00E811C2">
        <w:rPr>
          <w:rFonts w:ascii="Times New Roman" w:hAnsi="Times New Roman"/>
          <w:sz w:val="24"/>
          <w:szCs w:val="20"/>
        </w:rPr>
        <w:t xml:space="preserve"> </w:t>
      </w:r>
      <w:r w:rsidR="00B31EEC">
        <w:rPr>
          <w:rFonts w:ascii="Times New Roman" w:hAnsi="Times New Roman"/>
          <w:sz w:val="24"/>
          <w:szCs w:val="20"/>
        </w:rPr>
        <w:t>customer was given</w:t>
      </w:r>
      <w:r w:rsidR="00E811C2">
        <w:rPr>
          <w:rFonts w:ascii="Times New Roman" w:hAnsi="Times New Roman"/>
          <w:sz w:val="24"/>
          <w:szCs w:val="20"/>
        </w:rPr>
        <w:t xml:space="preserve"> the</w:t>
      </w:r>
      <w:r w:rsidRPr="00751C17">
        <w:rPr>
          <w:rFonts w:ascii="Times New Roman" w:hAnsi="Times New Roman"/>
          <w:sz w:val="24"/>
          <w:szCs w:val="20"/>
        </w:rPr>
        <w:t xml:space="preserve"> information described in </w:t>
      </w:r>
      <w:r w:rsidR="00413CF9">
        <w:rPr>
          <w:rFonts w:ascii="Times New Roman" w:hAnsi="Times New Roman"/>
          <w:sz w:val="24"/>
          <w:szCs w:val="20"/>
        </w:rPr>
        <w:t>subsection</w:t>
      </w:r>
      <w:r w:rsidRPr="00751C17">
        <w:rPr>
          <w:rFonts w:ascii="Times New Roman" w:hAnsi="Times New Roman"/>
          <w:sz w:val="24"/>
          <w:szCs w:val="20"/>
        </w:rPr>
        <w:t xml:space="preserve"> (</w:t>
      </w:r>
      <w:r w:rsidR="00341383">
        <w:rPr>
          <w:rFonts w:ascii="Times New Roman" w:hAnsi="Times New Roman"/>
          <w:sz w:val="24"/>
          <w:szCs w:val="20"/>
        </w:rPr>
        <w:t>1</w:t>
      </w:r>
      <w:r w:rsidRPr="00751C17">
        <w:rPr>
          <w:rFonts w:ascii="Times New Roman" w:hAnsi="Times New Roman"/>
          <w:sz w:val="24"/>
          <w:szCs w:val="20"/>
        </w:rPr>
        <w:t xml:space="preserve">) prior to entering </w:t>
      </w:r>
      <w:r w:rsidR="00ED4F41">
        <w:rPr>
          <w:rFonts w:ascii="Times New Roman" w:hAnsi="Times New Roman"/>
          <w:sz w:val="24"/>
          <w:szCs w:val="20"/>
        </w:rPr>
        <w:t xml:space="preserve">into </w:t>
      </w:r>
      <w:r w:rsidRPr="00751C17">
        <w:rPr>
          <w:rFonts w:ascii="Times New Roman" w:hAnsi="Times New Roman"/>
          <w:sz w:val="24"/>
          <w:szCs w:val="20"/>
        </w:rPr>
        <w:t>the agreement; and</w:t>
      </w:r>
    </w:p>
    <w:p w14:paraId="04192B5A" w14:textId="77777777" w:rsidR="00705FB6" w:rsidRPr="00751C17" w:rsidRDefault="00705FB6" w:rsidP="00063C7F">
      <w:pPr>
        <w:pStyle w:val="ListParagraph"/>
        <w:numPr>
          <w:ilvl w:val="0"/>
          <w:numId w:val="8"/>
        </w:numPr>
        <w:spacing w:before="180" w:after="120" w:line="260" w:lineRule="exact"/>
        <w:ind w:left="1701" w:hanging="567"/>
        <w:rPr>
          <w:rFonts w:ascii="Times New Roman" w:hAnsi="Times New Roman"/>
          <w:sz w:val="24"/>
          <w:szCs w:val="20"/>
        </w:rPr>
      </w:pPr>
      <w:r w:rsidRPr="00751C17">
        <w:rPr>
          <w:rFonts w:ascii="Times New Roman" w:hAnsi="Times New Roman"/>
          <w:sz w:val="24"/>
          <w:szCs w:val="20"/>
        </w:rPr>
        <w:t>make a record</w:t>
      </w:r>
      <w:r>
        <w:rPr>
          <w:rFonts w:ascii="Times New Roman" w:hAnsi="Times New Roman"/>
          <w:sz w:val="24"/>
          <w:szCs w:val="20"/>
        </w:rPr>
        <w:t xml:space="preserve"> of the</w:t>
      </w:r>
      <w:r w:rsidR="0049349B">
        <w:rPr>
          <w:rFonts w:ascii="Times New Roman" w:hAnsi="Times New Roman"/>
          <w:sz w:val="24"/>
          <w:szCs w:val="20"/>
        </w:rPr>
        <w:t xml:space="preserve"> following</w:t>
      </w:r>
      <w:r w:rsidRPr="00751C17">
        <w:rPr>
          <w:rFonts w:ascii="Times New Roman" w:hAnsi="Times New Roman"/>
          <w:sz w:val="24"/>
          <w:szCs w:val="20"/>
        </w:rPr>
        <w:t>:</w:t>
      </w:r>
    </w:p>
    <w:p w14:paraId="54A0D743" w14:textId="77777777" w:rsidR="00705FB6" w:rsidRPr="00413CF9" w:rsidRDefault="0049349B" w:rsidP="00063C7F">
      <w:pPr>
        <w:pStyle w:val="ListParagraph"/>
        <w:numPr>
          <w:ilvl w:val="0"/>
          <w:numId w:val="6"/>
        </w:numPr>
        <w:spacing w:before="180" w:after="120" w:line="260" w:lineRule="exact"/>
        <w:ind w:left="2268" w:hanging="567"/>
        <w:rPr>
          <w:rFonts w:ascii="Times New Roman" w:hAnsi="Times New Roman"/>
          <w:sz w:val="24"/>
          <w:szCs w:val="20"/>
        </w:rPr>
      </w:pPr>
      <w:r w:rsidRPr="00413CF9">
        <w:rPr>
          <w:rFonts w:ascii="Times New Roman" w:hAnsi="Times New Roman"/>
          <w:sz w:val="24"/>
          <w:szCs w:val="20"/>
        </w:rPr>
        <w:t xml:space="preserve">a description of </w:t>
      </w:r>
      <w:r w:rsidR="00705FB6" w:rsidRPr="00413CF9">
        <w:rPr>
          <w:rFonts w:ascii="Times New Roman" w:hAnsi="Times New Roman"/>
          <w:sz w:val="24"/>
          <w:szCs w:val="20"/>
        </w:rPr>
        <w:t xml:space="preserve">the information </w:t>
      </w:r>
      <w:r w:rsidRPr="00413CF9">
        <w:rPr>
          <w:rFonts w:ascii="Times New Roman" w:hAnsi="Times New Roman"/>
          <w:sz w:val="24"/>
          <w:szCs w:val="20"/>
        </w:rPr>
        <w:t xml:space="preserve">that </w:t>
      </w:r>
      <w:r w:rsidR="00B31EEC" w:rsidRPr="00413CF9">
        <w:rPr>
          <w:rFonts w:ascii="Times New Roman" w:hAnsi="Times New Roman"/>
          <w:sz w:val="24"/>
          <w:szCs w:val="20"/>
        </w:rPr>
        <w:t xml:space="preserve">was </w:t>
      </w:r>
      <w:r w:rsidR="00705FB6" w:rsidRPr="00413CF9">
        <w:rPr>
          <w:rFonts w:ascii="Times New Roman" w:hAnsi="Times New Roman"/>
          <w:sz w:val="24"/>
          <w:szCs w:val="20"/>
        </w:rPr>
        <w:t xml:space="preserve">given </w:t>
      </w:r>
      <w:r w:rsidR="00C26A46" w:rsidRPr="00413CF9">
        <w:rPr>
          <w:rFonts w:ascii="Times New Roman" w:hAnsi="Times New Roman"/>
          <w:sz w:val="24"/>
          <w:szCs w:val="20"/>
        </w:rPr>
        <w:t>to the customer</w:t>
      </w:r>
      <w:r w:rsidR="00705FB6" w:rsidRPr="00413CF9">
        <w:rPr>
          <w:rFonts w:ascii="Times New Roman" w:hAnsi="Times New Roman"/>
          <w:sz w:val="24"/>
          <w:szCs w:val="20"/>
        </w:rPr>
        <w:t xml:space="preserve"> </w:t>
      </w:r>
      <w:r w:rsidRPr="00413CF9">
        <w:rPr>
          <w:rFonts w:ascii="Times New Roman" w:hAnsi="Times New Roman"/>
          <w:sz w:val="24"/>
          <w:szCs w:val="20"/>
        </w:rPr>
        <w:t>in accordance wit</w:t>
      </w:r>
      <w:r w:rsidR="000F77C4" w:rsidRPr="00413CF9">
        <w:rPr>
          <w:rFonts w:ascii="Times New Roman" w:hAnsi="Times New Roman"/>
          <w:sz w:val="24"/>
          <w:szCs w:val="20"/>
        </w:rPr>
        <w:t>h</w:t>
      </w:r>
      <w:r w:rsidR="00705FB6" w:rsidRPr="00413CF9">
        <w:rPr>
          <w:rFonts w:ascii="Times New Roman" w:hAnsi="Times New Roman"/>
          <w:sz w:val="24"/>
          <w:szCs w:val="20"/>
        </w:rPr>
        <w:t xml:space="preserve"> </w:t>
      </w:r>
      <w:r w:rsidR="00413CF9">
        <w:rPr>
          <w:rFonts w:ascii="Times New Roman" w:hAnsi="Times New Roman"/>
          <w:sz w:val="24"/>
          <w:szCs w:val="20"/>
        </w:rPr>
        <w:t>subsection</w:t>
      </w:r>
      <w:r w:rsidR="00705FB6" w:rsidRPr="00413CF9">
        <w:rPr>
          <w:rFonts w:ascii="Times New Roman" w:hAnsi="Times New Roman"/>
          <w:sz w:val="24"/>
          <w:szCs w:val="20"/>
        </w:rPr>
        <w:t xml:space="preserve"> (</w:t>
      </w:r>
      <w:r w:rsidR="00341383">
        <w:rPr>
          <w:rFonts w:ascii="Times New Roman" w:hAnsi="Times New Roman"/>
          <w:sz w:val="24"/>
          <w:szCs w:val="20"/>
        </w:rPr>
        <w:t>1</w:t>
      </w:r>
      <w:r w:rsidR="00705FB6" w:rsidRPr="00413CF9">
        <w:rPr>
          <w:rFonts w:ascii="Times New Roman" w:hAnsi="Times New Roman"/>
          <w:sz w:val="24"/>
          <w:szCs w:val="20"/>
        </w:rPr>
        <w:t>);</w:t>
      </w:r>
      <w:r w:rsidR="00372BA1">
        <w:rPr>
          <w:rFonts w:ascii="Times New Roman" w:hAnsi="Times New Roman"/>
          <w:sz w:val="24"/>
          <w:szCs w:val="20"/>
        </w:rPr>
        <w:t xml:space="preserve"> </w:t>
      </w:r>
    </w:p>
    <w:p w14:paraId="396F0EB1" w14:textId="77777777" w:rsidR="00705FB6" w:rsidRPr="00DA2024" w:rsidRDefault="00705FB6" w:rsidP="00DA2024">
      <w:pPr>
        <w:pStyle w:val="ListParagraph"/>
        <w:numPr>
          <w:ilvl w:val="0"/>
          <w:numId w:val="6"/>
        </w:numPr>
        <w:spacing w:before="180" w:after="120" w:line="260" w:lineRule="exact"/>
        <w:ind w:left="2268" w:hanging="567"/>
        <w:rPr>
          <w:rFonts w:ascii="Times New Roman" w:hAnsi="Times New Roman"/>
          <w:sz w:val="24"/>
          <w:szCs w:val="20"/>
        </w:rPr>
      </w:pPr>
      <w:r w:rsidRPr="00413CF9">
        <w:rPr>
          <w:rFonts w:ascii="Times New Roman" w:hAnsi="Times New Roman"/>
          <w:sz w:val="24"/>
          <w:szCs w:val="20"/>
        </w:rPr>
        <w:t>the acknowledgement</w:t>
      </w:r>
      <w:r w:rsidR="00B31EEC" w:rsidRPr="00413CF9">
        <w:rPr>
          <w:rFonts w:ascii="Times New Roman" w:hAnsi="Times New Roman"/>
          <w:sz w:val="24"/>
          <w:szCs w:val="20"/>
        </w:rPr>
        <w:t xml:space="preserve"> obtained from</w:t>
      </w:r>
      <w:r w:rsidR="000F77C4" w:rsidRPr="00413CF9">
        <w:rPr>
          <w:rFonts w:ascii="Times New Roman" w:hAnsi="Times New Roman"/>
          <w:sz w:val="24"/>
          <w:szCs w:val="20"/>
        </w:rPr>
        <w:t xml:space="preserve"> the</w:t>
      </w:r>
      <w:r w:rsidR="00B31EEC" w:rsidRPr="00413CF9">
        <w:rPr>
          <w:rFonts w:ascii="Times New Roman" w:hAnsi="Times New Roman"/>
          <w:sz w:val="24"/>
          <w:szCs w:val="20"/>
        </w:rPr>
        <w:t xml:space="preserve"> customer in accordance with paragraph (a)</w:t>
      </w:r>
      <w:r w:rsidR="000F77C4" w:rsidRPr="00413CF9">
        <w:rPr>
          <w:rFonts w:ascii="Times New Roman" w:hAnsi="Times New Roman"/>
          <w:sz w:val="24"/>
          <w:szCs w:val="20"/>
        </w:rPr>
        <w:t>, includ</w:t>
      </w:r>
      <w:r w:rsidR="000F77C4">
        <w:rPr>
          <w:rFonts w:ascii="Times New Roman" w:hAnsi="Times New Roman"/>
          <w:sz w:val="24"/>
          <w:szCs w:val="20"/>
        </w:rPr>
        <w:t>ing</w:t>
      </w:r>
      <w:r w:rsidR="00DA2024">
        <w:rPr>
          <w:rFonts w:ascii="Times New Roman" w:hAnsi="Times New Roman"/>
          <w:sz w:val="24"/>
          <w:szCs w:val="20"/>
        </w:rPr>
        <w:t xml:space="preserve"> </w:t>
      </w:r>
      <w:r w:rsidRPr="00DA2024">
        <w:rPr>
          <w:rFonts w:ascii="Times New Roman" w:hAnsi="Times New Roman"/>
          <w:sz w:val="24"/>
          <w:szCs w:val="20"/>
        </w:rPr>
        <w:t>the date the acknowledgement</w:t>
      </w:r>
      <w:r w:rsidR="000F77C4" w:rsidRPr="00DA2024">
        <w:rPr>
          <w:rFonts w:ascii="Times New Roman" w:hAnsi="Times New Roman"/>
          <w:sz w:val="24"/>
          <w:szCs w:val="20"/>
        </w:rPr>
        <w:t xml:space="preserve"> was obtained</w:t>
      </w:r>
      <w:r w:rsidRPr="00DA2024">
        <w:rPr>
          <w:rFonts w:ascii="Times New Roman" w:hAnsi="Times New Roman"/>
          <w:sz w:val="24"/>
          <w:szCs w:val="20"/>
        </w:rPr>
        <w:t xml:space="preserve">; </w:t>
      </w:r>
    </w:p>
    <w:p w14:paraId="74935E9C" w14:textId="77777777" w:rsidR="00153F81" w:rsidRPr="00DA2024" w:rsidRDefault="00FF5BF4" w:rsidP="00DA2024">
      <w:pPr>
        <w:pStyle w:val="ListParagraph"/>
        <w:numPr>
          <w:ilvl w:val="0"/>
          <w:numId w:val="6"/>
        </w:numPr>
        <w:spacing w:before="180" w:after="120" w:line="260" w:lineRule="exact"/>
        <w:ind w:left="2268" w:hanging="567"/>
        <w:rPr>
          <w:rFonts w:ascii="Times New Roman" w:hAnsi="Times New Roman"/>
          <w:sz w:val="24"/>
          <w:szCs w:val="20"/>
        </w:rPr>
      </w:pPr>
      <w:r w:rsidRPr="00DA2024">
        <w:rPr>
          <w:rFonts w:ascii="Times New Roman" w:hAnsi="Times New Roman"/>
          <w:sz w:val="24"/>
          <w:szCs w:val="20"/>
        </w:rPr>
        <w:t xml:space="preserve">the customer’s decision about whether or not to </w:t>
      </w:r>
      <w:r w:rsidR="00D0352C">
        <w:rPr>
          <w:rFonts w:ascii="Times New Roman" w:hAnsi="Times New Roman"/>
          <w:sz w:val="24"/>
          <w:szCs w:val="20"/>
        </w:rPr>
        <w:t>have</w:t>
      </w:r>
      <w:r w:rsidRPr="00DA2024">
        <w:rPr>
          <w:rFonts w:ascii="Times New Roman" w:hAnsi="Times New Roman"/>
          <w:sz w:val="24"/>
          <w:szCs w:val="20"/>
        </w:rPr>
        <w:t xml:space="preserve"> the backup power service</w:t>
      </w:r>
      <w:r w:rsidR="00153F81" w:rsidRPr="00DA2024">
        <w:rPr>
          <w:rFonts w:ascii="Times New Roman" w:hAnsi="Times New Roman"/>
          <w:sz w:val="24"/>
          <w:szCs w:val="20"/>
        </w:rPr>
        <w:t xml:space="preserve">; and </w:t>
      </w:r>
    </w:p>
    <w:p w14:paraId="54A17D5B" w14:textId="77777777" w:rsidR="00C54494" w:rsidRPr="00153F81" w:rsidRDefault="00153F81" w:rsidP="008A2BAF">
      <w:pPr>
        <w:pStyle w:val="ListParagraph"/>
        <w:numPr>
          <w:ilvl w:val="0"/>
          <w:numId w:val="6"/>
        </w:numPr>
        <w:spacing w:before="180" w:after="120" w:line="260" w:lineRule="exact"/>
        <w:ind w:left="2268" w:hanging="567"/>
        <w:rPr>
          <w:rFonts w:ascii="Times New Roman" w:hAnsi="Times New Roman"/>
          <w:sz w:val="24"/>
          <w:szCs w:val="20"/>
        </w:rPr>
      </w:pPr>
      <w:proofErr w:type="gramStart"/>
      <w:r>
        <w:rPr>
          <w:rFonts w:ascii="Times New Roman" w:hAnsi="Times New Roman"/>
          <w:sz w:val="24"/>
          <w:szCs w:val="20"/>
        </w:rPr>
        <w:t>the</w:t>
      </w:r>
      <w:proofErr w:type="gramEnd"/>
      <w:r>
        <w:rPr>
          <w:rFonts w:ascii="Times New Roman" w:hAnsi="Times New Roman"/>
          <w:sz w:val="24"/>
          <w:szCs w:val="20"/>
        </w:rPr>
        <w:t xml:space="preserve"> date the provider</w:t>
      </w:r>
      <w:r w:rsidRPr="00CE1AC6">
        <w:rPr>
          <w:rFonts w:ascii="Times New Roman" w:hAnsi="Times New Roman"/>
          <w:sz w:val="24"/>
          <w:szCs w:val="20"/>
        </w:rPr>
        <w:t xml:space="preserve"> enter</w:t>
      </w:r>
      <w:r>
        <w:rPr>
          <w:rFonts w:ascii="Times New Roman" w:hAnsi="Times New Roman"/>
          <w:sz w:val="24"/>
          <w:szCs w:val="20"/>
        </w:rPr>
        <w:t>ed</w:t>
      </w:r>
      <w:r w:rsidRPr="00CE1AC6">
        <w:rPr>
          <w:rFonts w:ascii="Times New Roman" w:hAnsi="Times New Roman"/>
          <w:sz w:val="24"/>
          <w:szCs w:val="20"/>
        </w:rPr>
        <w:t xml:space="preserve"> into </w:t>
      </w:r>
      <w:r>
        <w:rPr>
          <w:rFonts w:ascii="Times New Roman" w:hAnsi="Times New Roman"/>
          <w:sz w:val="24"/>
          <w:szCs w:val="20"/>
        </w:rPr>
        <w:t>the</w:t>
      </w:r>
      <w:r w:rsidRPr="00CE1AC6">
        <w:rPr>
          <w:rFonts w:ascii="Times New Roman" w:hAnsi="Times New Roman"/>
          <w:sz w:val="24"/>
          <w:szCs w:val="20"/>
        </w:rPr>
        <w:t xml:space="preserve"> agreement with the customer for the supply of </w:t>
      </w:r>
      <w:r>
        <w:rPr>
          <w:rFonts w:ascii="Times New Roman" w:hAnsi="Times New Roman"/>
          <w:sz w:val="24"/>
          <w:szCs w:val="20"/>
        </w:rPr>
        <w:t xml:space="preserve">the </w:t>
      </w:r>
      <w:r w:rsidRPr="00CE1AC6">
        <w:rPr>
          <w:rFonts w:ascii="Times New Roman" w:hAnsi="Times New Roman"/>
          <w:sz w:val="24"/>
          <w:szCs w:val="20"/>
        </w:rPr>
        <w:t>specified carriage service</w:t>
      </w:r>
      <w:r>
        <w:rPr>
          <w:rFonts w:ascii="Times New Roman" w:hAnsi="Times New Roman"/>
          <w:sz w:val="24"/>
          <w:szCs w:val="20"/>
        </w:rPr>
        <w:t>.</w:t>
      </w:r>
    </w:p>
    <w:p w14:paraId="52530178" w14:textId="77777777" w:rsidR="00624089" w:rsidRPr="00DE5D14" w:rsidRDefault="00624089" w:rsidP="00705FB6">
      <w:pPr>
        <w:pStyle w:val="ListParagraph"/>
        <w:keepNext/>
        <w:numPr>
          <w:ilvl w:val="0"/>
          <w:numId w:val="9"/>
        </w:numPr>
        <w:spacing w:before="240" w:after="120" w:line="240" w:lineRule="auto"/>
        <w:ind w:left="567" w:hanging="567"/>
        <w:rPr>
          <w:b/>
          <w:sz w:val="24"/>
          <w:szCs w:val="20"/>
        </w:rPr>
      </w:pPr>
      <w:r w:rsidRPr="00DE5D14">
        <w:rPr>
          <w:b/>
          <w:sz w:val="24"/>
          <w:szCs w:val="20"/>
        </w:rPr>
        <w:t>Provision of information</w:t>
      </w:r>
    </w:p>
    <w:p w14:paraId="556C4AA2" w14:textId="77777777" w:rsidR="00624089" w:rsidRPr="00624089" w:rsidRDefault="00624089" w:rsidP="00063C7F">
      <w:pPr>
        <w:spacing w:before="180" w:after="120" w:line="260" w:lineRule="exact"/>
        <w:ind w:left="567"/>
        <w:rPr>
          <w:rFonts w:ascii="Times New Roman" w:hAnsi="Times New Roman"/>
          <w:sz w:val="24"/>
          <w:szCs w:val="20"/>
        </w:rPr>
      </w:pPr>
      <w:r w:rsidRPr="00624089">
        <w:rPr>
          <w:rFonts w:ascii="Times New Roman" w:hAnsi="Times New Roman"/>
          <w:sz w:val="24"/>
          <w:szCs w:val="20"/>
        </w:rPr>
        <w:t xml:space="preserve">The following does not constitute the giving of information </w:t>
      </w:r>
      <w:r w:rsidRPr="00624089">
        <w:rPr>
          <w:rFonts w:ascii="Times New Roman" w:hAnsi="Times New Roman"/>
          <w:sz w:val="24"/>
        </w:rPr>
        <w:t xml:space="preserve">by a carriage service provider to a customer </w:t>
      </w:r>
      <w:r w:rsidRPr="00624089">
        <w:rPr>
          <w:rFonts w:ascii="Times New Roman" w:hAnsi="Times New Roman"/>
          <w:sz w:val="24"/>
          <w:szCs w:val="20"/>
        </w:rPr>
        <w:t>for the purposes of this Part:</w:t>
      </w:r>
    </w:p>
    <w:p w14:paraId="3678143A" w14:textId="7FAF4DA7" w:rsidR="00624089" w:rsidRPr="00624089" w:rsidRDefault="00A6728B" w:rsidP="00063C7F">
      <w:pPr>
        <w:numPr>
          <w:ilvl w:val="0"/>
          <w:numId w:val="3"/>
        </w:numPr>
        <w:tabs>
          <w:tab w:val="left" w:pos="1134"/>
        </w:tabs>
        <w:spacing w:before="180" w:after="120" w:line="260" w:lineRule="exact"/>
        <w:ind w:left="1134" w:hanging="567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>giving</w:t>
      </w:r>
      <w:r w:rsidR="00886557">
        <w:rPr>
          <w:rFonts w:ascii="Times New Roman" w:hAnsi="Times New Roman"/>
          <w:sz w:val="24"/>
        </w:rPr>
        <w:t xml:space="preserve"> </w:t>
      </w:r>
      <w:r w:rsidR="00624089" w:rsidRPr="00624089">
        <w:rPr>
          <w:rFonts w:ascii="Times New Roman" w:hAnsi="Times New Roman"/>
          <w:sz w:val="24"/>
        </w:rPr>
        <w:t xml:space="preserve">information to a customer as part of a standard form of agreement formulated by a carriage service provider for the purposes of section 479 of the </w:t>
      </w:r>
      <w:r w:rsidR="00624089" w:rsidRPr="00624089">
        <w:rPr>
          <w:rFonts w:ascii="Times New Roman" w:hAnsi="Times New Roman"/>
          <w:i/>
          <w:iCs/>
          <w:sz w:val="24"/>
        </w:rPr>
        <w:t>Telecommunications Act 1997</w:t>
      </w:r>
      <w:r w:rsidR="00624089" w:rsidRPr="00624089">
        <w:rPr>
          <w:rFonts w:ascii="Times New Roman" w:hAnsi="Times New Roman"/>
          <w:sz w:val="24"/>
        </w:rPr>
        <w:t xml:space="preserve">; </w:t>
      </w:r>
      <w:r w:rsidR="008646B2">
        <w:rPr>
          <w:rFonts w:ascii="Times New Roman" w:hAnsi="Times New Roman"/>
          <w:sz w:val="24"/>
        </w:rPr>
        <w:t>or</w:t>
      </w:r>
    </w:p>
    <w:p w14:paraId="37ACB3B6" w14:textId="77777777" w:rsidR="00624089" w:rsidRPr="00624089" w:rsidRDefault="00A6728B" w:rsidP="00063C7F">
      <w:pPr>
        <w:numPr>
          <w:ilvl w:val="0"/>
          <w:numId w:val="3"/>
        </w:numPr>
        <w:tabs>
          <w:tab w:val="left" w:pos="1134"/>
        </w:tabs>
        <w:spacing w:before="180" w:after="120" w:line="260" w:lineRule="exact"/>
        <w:ind w:left="1134" w:hanging="567"/>
        <w:rPr>
          <w:rFonts w:ascii="Times New Roman" w:hAnsi="Times New Roman"/>
          <w:sz w:val="24"/>
          <w:szCs w:val="20"/>
        </w:rPr>
      </w:pPr>
      <w:proofErr w:type="gramStart"/>
      <w:r>
        <w:rPr>
          <w:rFonts w:ascii="Times New Roman" w:hAnsi="Times New Roman"/>
          <w:sz w:val="24"/>
          <w:szCs w:val="20"/>
        </w:rPr>
        <w:t>making</w:t>
      </w:r>
      <w:proofErr w:type="gramEnd"/>
      <w:r>
        <w:rPr>
          <w:rFonts w:ascii="Times New Roman" w:hAnsi="Times New Roman"/>
          <w:sz w:val="24"/>
          <w:szCs w:val="20"/>
        </w:rPr>
        <w:t xml:space="preserve"> information</w:t>
      </w:r>
      <w:r w:rsidR="00475F5B">
        <w:rPr>
          <w:rFonts w:ascii="Times New Roman" w:hAnsi="Times New Roman"/>
          <w:sz w:val="24"/>
          <w:szCs w:val="20"/>
        </w:rPr>
        <w:t xml:space="preserve"> available</w:t>
      </w:r>
      <w:r w:rsidR="00304046">
        <w:rPr>
          <w:rFonts w:ascii="Times New Roman" w:hAnsi="Times New Roman"/>
          <w:sz w:val="24"/>
          <w:szCs w:val="20"/>
        </w:rPr>
        <w:t xml:space="preserve"> to a customer as part of </w:t>
      </w:r>
      <w:r w:rsidR="00304046" w:rsidRPr="00624089">
        <w:rPr>
          <w:rFonts w:ascii="Times New Roman" w:hAnsi="Times New Roman"/>
          <w:sz w:val="24"/>
          <w:szCs w:val="20"/>
        </w:rPr>
        <w:t>marketing, promotional or advertising material</w:t>
      </w:r>
      <w:r w:rsidR="00304046">
        <w:rPr>
          <w:rFonts w:ascii="Times New Roman" w:hAnsi="Times New Roman"/>
          <w:sz w:val="24"/>
          <w:szCs w:val="20"/>
        </w:rPr>
        <w:t xml:space="preserve"> by </w:t>
      </w:r>
      <w:r w:rsidR="00624089" w:rsidRPr="00624089">
        <w:rPr>
          <w:rFonts w:ascii="Times New Roman" w:hAnsi="Times New Roman"/>
          <w:sz w:val="24"/>
          <w:szCs w:val="20"/>
        </w:rPr>
        <w:t>broadcast, publication</w:t>
      </w:r>
      <w:r w:rsidR="00304046">
        <w:rPr>
          <w:rFonts w:ascii="Times New Roman" w:hAnsi="Times New Roman"/>
          <w:sz w:val="24"/>
          <w:szCs w:val="20"/>
        </w:rPr>
        <w:t xml:space="preserve"> or </w:t>
      </w:r>
      <w:r w:rsidR="00474EEF">
        <w:rPr>
          <w:rFonts w:ascii="Times New Roman" w:hAnsi="Times New Roman"/>
          <w:sz w:val="24"/>
          <w:szCs w:val="20"/>
        </w:rPr>
        <w:t xml:space="preserve">by </w:t>
      </w:r>
      <w:r w:rsidR="00304046">
        <w:rPr>
          <w:rFonts w:ascii="Times New Roman" w:hAnsi="Times New Roman"/>
          <w:sz w:val="24"/>
          <w:szCs w:val="20"/>
        </w:rPr>
        <w:t>any other means</w:t>
      </w:r>
      <w:r w:rsidR="00624089" w:rsidRPr="00624089">
        <w:rPr>
          <w:rFonts w:ascii="Times New Roman" w:hAnsi="Times New Roman"/>
          <w:sz w:val="24"/>
          <w:szCs w:val="20"/>
        </w:rPr>
        <w:t>.</w:t>
      </w:r>
    </w:p>
    <w:p w14:paraId="77772142" w14:textId="77777777" w:rsidR="00881887" w:rsidRDefault="00881887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3043E081" w14:textId="77777777" w:rsidR="009D68F2" w:rsidRPr="000A21E4" w:rsidRDefault="00486AAD" w:rsidP="0061591C">
      <w:pPr>
        <w:pStyle w:val="R1"/>
        <w:tabs>
          <w:tab w:val="left" w:pos="720"/>
        </w:tabs>
        <w:ind w:left="1134" w:hanging="1134"/>
        <w:jc w:val="left"/>
      </w:pPr>
      <w:r>
        <w:rPr>
          <w:rFonts w:ascii="Arial" w:hAnsi="Arial" w:cs="Arial"/>
          <w:b/>
          <w:sz w:val="28"/>
          <w:szCs w:val="28"/>
        </w:rPr>
        <w:lastRenderedPageBreak/>
        <w:t>Part 3</w:t>
      </w:r>
      <w:r w:rsidR="009D68F2" w:rsidRPr="000A21E4">
        <w:rPr>
          <w:rFonts w:ascii="Arial" w:hAnsi="Arial" w:cs="Arial"/>
          <w:b/>
          <w:sz w:val="28"/>
          <w:szCs w:val="28"/>
        </w:rPr>
        <w:t xml:space="preserve"> – Rules relating to the making, retention and provision of records</w:t>
      </w:r>
    </w:p>
    <w:p w14:paraId="370894B3" w14:textId="77777777" w:rsidR="009D68F2" w:rsidRPr="000A21E4" w:rsidRDefault="00B31EEC" w:rsidP="006C4CDF">
      <w:pPr>
        <w:pStyle w:val="HR"/>
        <w:numPr>
          <w:ilvl w:val="0"/>
          <w:numId w:val="30"/>
        </w:numPr>
        <w:ind w:left="567" w:hanging="567"/>
        <w:rPr>
          <w:rStyle w:val="CharSectno"/>
          <w:b w:val="0"/>
        </w:rPr>
      </w:pPr>
      <w:r>
        <w:rPr>
          <w:rStyle w:val="CharSectno"/>
        </w:rPr>
        <w:t>M</w:t>
      </w:r>
      <w:r w:rsidR="009D68F2" w:rsidRPr="000A21E4">
        <w:rPr>
          <w:rStyle w:val="CharSectno"/>
        </w:rPr>
        <w:t xml:space="preserve">aking of records </w:t>
      </w:r>
    </w:p>
    <w:p w14:paraId="5F3D56B7" w14:textId="77777777" w:rsidR="00307AD1" w:rsidRDefault="009D68F2" w:rsidP="00063C7F">
      <w:pPr>
        <w:pStyle w:val="R1"/>
        <w:tabs>
          <w:tab w:val="left" w:pos="720"/>
        </w:tabs>
        <w:ind w:left="567" w:firstLine="0"/>
        <w:jc w:val="left"/>
      </w:pPr>
      <w:r w:rsidRPr="000A21E4">
        <w:t>Where a provision of this Determination requires a carriage service provider to make a record, the record must be in writing or in such an electronic form that will enable the ACMA to verify the provider’s compliance with that provision.</w:t>
      </w:r>
    </w:p>
    <w:p w14:paraId="4F349374" w14:textId="77777777" w:rsidR="009D68F2" w:rsidRPr="000A21E4" w:rsidRDefault="009D68F2" w:rsidP="006C4CDF">
      <w:pPr>
        <w:pStyle w:val="HR"/>
        <w:numPr>
          <w:ilvl w:val="0"/>
          <w:numId w:val="30"/>
        </w:numPr>
        <w:ind w:left="567" w:hanging="567"/>
        <w:rPr>
          <w:rStyle w:val="CharSectno"/>
        </w:rPr>
      </w:pPr>
      <w:r w:rsidRPr="000A21E4">
        <w:rPr>
          <w:rStyle w:val="CharSectno"/>
        </w:rPr>
        <w:t>Retention of records</w:t>
      </w:r>
    </w:p>
    <w:p w14:paraId="2F09B557" w14:textId="77777777" w:rsidR="003A4681" w:rsidRDefault="009D68F2" w:rsidP="00063C7F">
      <w:pPr>
        <w:pStyle w:val="R1"/>
        <w:tabs>
          <w:tab w:val="left" w:pos="720"/>
        </w:tabs>
        <w:ind w:left="567" w:firstLine="0"/>
        <w:jc w:val="left"/>
      </w:pPr>
      <w:r w:rsidRPr="000A21E4">
        <w:t>Where a provision of this Determination requires a carriage service provider to make a record, the provider must retain that record</w:t>
      </w:r>
      <w:r w:rsidR="005046A1">
        <w:t xml:space="preserve"> for </w:t>
      </w:r>
      <w:r w:rsidR="001E4227">
        <w:t>at least</w:t>
      </w:r>
      <w:r w:rsidR="003A4681">
        <w:t>:</w:t>
      </w:r>
      <w:r w:rsidR="005046A1">
        <w:t xml:space="preserve"> </w:t>
      </w:r>
    </w:p>
    <w:p w14:paraId="227E892C" w14:textId="77777777" w:rsidR="003A4681" w:rsidRDefault="005046A1" w:rsidP="003A4681">
      <w:pPr>
        <w:pStyle w:val="R1"/>
        <w:numPr>
          <w:ilvl w:val="1"/>
          <w:numId w:val="5"/>
        </w:numPr>
        <w:tabs>
          <w:tab w:val="clear" w:pos="794"/>
          <w:tab w:val="clear" w:pos="964"/>
        </w:tabs>
        <w:ind w:left="1134" w:hanging="567"/>
        <w:jc w:val="left"/>
      </w:pPr>
      <w:r>
        <w:t xml:space="preserve">6 years </w:t>
      </w:r>
      <w:r w:rsidR="001E4227">
        <w:t>after</w:t>
      </w:r>
      <w:r>
        <w:t xml:space="preserve"> </w:t>
      </w:r>
      <w:r w:rsidR="001E4227">
        <w:t xml:space="preserve">the creation of </w:t>
      </w:r>
      <w:r>
        <w:t>the record</w:t>
      </w:r>
      <w:r w:rsidR="003A4681">
        <w:t>; or</w:t>
      </w:r>
    </w:p>
    <w:p w14:paraId="6B612A28" w14:textId="77777777" w:rsidR="003A4681" w:rsidRDefault="00613A18" w:rsidP="003A4681">
      <w:pPr>
        <w:pStyle w:val="R1"/>
        <w:numPr>
          <w:ilvl w:val="1"/>
          <w:numId w:val="5"/>
        </w:numPr>
        <w:tabs>
          <w:tab w:val="clear" w:pos="794"/>
          <w:tab w:val="clear" w:pos="964"/>
        </w:tabs>
        <w:ind w:left="1134" w:hanging="567"/>
        <w:jc w:val="left"/>
      </w:pPr>
      <w:r>
        <w:t>6 months</w:t>
      </w:r>
      <w:r w:rsidR="00C40F8F">
        <w:t xml:space="preserve"> after the provider ceases to supply </w:t>
      </w:r>
      <w:r w:rsidR="003A4681">
        <w:t>the specified carriage service to the customer</w:t>
      </w:r>
      <w:r w:rsidR="00C40F8F">
        <w:t xml:space="preserve"> to which the record relates</w:t>
      </w:r>
      <w:r w:rsidR="003A4681">
        <w:t>;</w:t>
      </w:r>
    </w:p>
    <w:p w14:paraId="099B442F" w14:textId="77777777" w:rsidR="009D68F2" w:rsidRPr="000A21E4" w:rsidRDefault="003A4681" w:rsidP="003A4681">
      <w:pPr>
        <w:pStyle w:val="R1"/>
        <w:tabs>
          <w:tab w:val="clear" w:pos="794"/>
          <w:tab w:val="clear" w:pos="964"/>
        </w:tabs>
        <w:ind w:left="567" w:firstLine="0"/>
        <w:jc w:val="left"/>
      </w:pPr>
      <w:proofErr w:type="gramStart"/>
      <w:r>
        <w:t>whichever</w:t>
      </w:r>
      <w:proofErr w:type="gramEnd"/>
      <w:r>
        <w:t xml:space="preserve"> is </w:t>
      </w:r>
      <w:r w:rsidR="00EF4485">
        <w:t xml:space="preserve">the </w:t>
      </w:r>
      <w:r>
        <w:t xml:space="preserve">earlier. </w:t>
      </w:r>
      <w:r w:rsidR="00881887" w:rsidRPr="00881887">
        <w:t xml:space="preserve"> </w:t>
      </w:r>
    </w:p>
    <w:p w14:paraId="24937819" w14:textId="77777777" w:rsidR="009D68F2" w:rsidRPr="000A21E4" w:rsidRDefault="009D68F2" w:rsidP="006C4CDF">
      <w:pPr>
        <w:pStyle w:val="HR"/>
        <w:numPr>
          <w:ilvl w:val="0"/>
          <w:numId w:val="30"/>
        </w:numPr>
        <w:ind w:left="567" w:hanging="567"/>
        <w:rPr>
          <w:rStyle w:val="CharSectno"/>
        </w:rPr>
      </w:pPr>
      <w:r w:rsidRPr="000A21E4">
        <w:rPr>
          <w:rStyle w:val="CharSectno"/>
        </w:rPr>
        <w:t>Provision of records to the ACMA</w:t>
      </w:r>
    </w:p>
    <w:p w14:paraId="48731353" w14:textId="373116AC" w:rsidR="00307AD1" w:rsidRPr="00307AD1" w:rsidRDefault="009D68F2" w:rsidP="00063C7F">
      <w:pPr>
        <w:pStyle w:val="R1"/>
        <w:tabs>
          <w:tab w:val="left" w:pos="720"/>
        </w:tabs>
        <w:ind w:left="567" w:firstLine="0"/>
        <w:jc w:val="left"/>
      </w:pPr>
      <w:r w:rsidRPr="000A21E4">
        <w:t xml:space="preserve">A carriage service provider must, within one month </w:t>
      </w:r>
      <w:r w:rsidR="00413CF9">
        <w:t xml:space="preserve">or such longer period as the ACMA allows </w:t>
      </w:r>
      <w:r w:rsidRPr="000A21E4">
        <w:t xml:space="preserve">after receiving a written notice from the ACMA </w:t>
      </w:r>
      <w:r w:rsidR="008408B1">
        <w:t xml:space="preserve">issued </w:t>
      </w:r>
      <w:r w:rsidRPr="000A21E4">
        <w:t>pursuant to this section, provide the ACMA with copies of any record</w:t>
      </w:r>
      <w:r w:rsidR="00204581">
        <w:t xml:space="preserve"> </w:t>
      </w:r>
      <w:r w:rsidRPr="000A21E4">
        <w:t>made in accordance with this Determination and described in the notice.</w:t>
      </w:r>
    </w:p>
    <w:sectPr w:rsidR="00307AD1" w:rsidRPr="00307AD1" w:rsidSect="0061591C">
      <w:footerReference w:type="default" r:id="rId14"/>
      <w:pgSz w:w="11906" w:h="16838" w:code="9"/>
      <w:pgMar w:top="1945" w:right="1700" w:bottom="868" w:left="1276" w:header="709" w:footer="4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B5548" w14:textId="77777777" w:rsidR="0085591F" w:rsidRDefault="0085591F" w:rsidP="005A1A47">
      <w:pPr>
        <w:spacing w:before="0" w:line="240" w:lineRule="auto"/>
      </w:pPr>
      <w:r>
        <w:separator/>
      </w:r>
    </w:p>
  </w:endnote>
  <w:endnote w:type="continuationSeparator" w:id="0">
    <w:p w14:paraId="78C64D10" w14:textId="77777777" w:rsidR="0085591F" w:rsidRDefault="0085591F" w:rsidP="005A1A4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262339235"/>
      <w:docPartObj>
        <w:docPartGallery w:val="Page Numbers (Bottom of Page)"/>
        <w:docPartUnique/>
      </w:docPartObj>
    </w:sdtPr>
    <w:sdtEndPr/>
    <w:sdtContent>
      <w:p w14:paraId="653FCE18" w14:textId="77777777" w:rsidR="00A81F88" w:rsidRPr="0061591C" w:rsidRDefault="00A81F88" w:rsidP="00A81F88">
        <w:pPr>
          <w:pStyle w:val="Footer"/>
          <w:pBdr>
            <w:bottom w:val="single" w:sz="4" w:space="1" w:color="auto"/>
          </w:pBdr>
          <w:spacing w:before="120"/>
          <w:jc w:val="center"/>
          <w:rPr>
            <w:sz w:val="18"/>
            <w:szCs w:val="18"/>
          </w:rPr>
        </w:pPr>
      </w:p>
      <w:p w14:paraId="4CD2129F" w14:textId="5BD2578B" w:rsidR="00A81F88" w:rsidRPr="0061591C" w:rsidRDefault="00F77D8D" w:rsidP="00A81F88">
        <w:pPr>
          <w:pStyle w:val="Footer"/>
          <w:spacing w:before="120"/>
          <w:jc w:val="center"/>
          <w:rPr>
            <w:i/>
            <w:sz w:val="18"/>
            <w:szCs w:val="18"/>
          </w:rPr>
        </w:pPr>
        <w:r w:rsidRPr="0061591C">
          <w:rPr>
            <w:i/>
            <w:sz w:val="18"/>
            <w:szCs w:val="18"/>
          </w:rPr>
          <w:t>Telecommunications (Backup Power and Informed Decisions) Service</w:t>
        </w:r>
      </w:p>
      <w:p w14:paraId="040C7DC0" w14:textId="32214CE2" w:rsidR="00F77D8D" w:rsidRPr="0061591C" w:rsidRDefault="00F77D8D" w:rsidP="00A81F88">
        <w:pPr>
          <w:pStyle w:val="Footer"/>
          <w:spacing w:before="0"/>
          <w:jc w:val="center"/>
          <w:rPr>
            <w:sz w:val="18"/>
            <w:szCs w:val="18"/>
          </w:rPr>
        </w:pPr>
        <w:r w:rsidRPr="0061591C">
          <w:rPr>
            <w:i/>
            <w:sz w:val="18"/>
            <w:szCs w:val="18"/>
          </w:rPr>
          <w:t>Provider Determination 2014</w:t>
        </w:r>
      </w:p>
    </w:sdtContent>
  </w:sdt>
  <w:p w14:paraId="6E40E36C" w14:textId="49F1A46E" w:rsidR="00F77D8D" w:rsidRPr="0061591C" w:rsidRDefault="00A81F88" w:rsidP="00A81F88">
    <w:pPr>
      <w:pStyle w:val="Footer"/>
      <w:spacing w:before="120"/>
      <w:ind w:left="1134" w:right="-142"/>
      <w:jc w:val="right"/>
      <w:rPr>
        <w:sz w:val="18"/>
        <w:szCs w:val="18"/>
      </w:rPr>
    </w:pPr>
    <w:r w:rsidRPr="0061591C">
      <w:rPr>
        <w:sz w:val="18"/>
        <w:szCs w:val="18"/>
      </w:rPr>
      <w:fldChar w:fldCharType="begin"/>
    </w:r>
    <w:r w:rsidRPr="0061591C">
      <w:rPr>
        <w:sz w:val="18"/>
        <w:szCs w:val="18"/>
      </w:rPr>
      <w:instrText xml:space="preserve"> PAGE   \* MERGEFORMAT </w:instrText>
    </w:r>
    <w:r w:rsidRPr="0061591C">
      <w:rPr>
        <w:sz w:val="18"/>
        <w:szCs w:val="18"/>
      </w:rPr>
      <w:fldChar w:fldCharType="separate"/>
    </w:r>
    <w:r w:rsidR="0013727B">
      <w:rPr>
        <w:noProof/>
        <w:sz w:val="18"/>
        <w:szCs w:val="18"/>
      </w:rPr>
      <w:t>2</w:t>
    </w:r>
    <w:r w:rsidRPr="0061591C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B2913" w14:textId="77777777" w:rsidR="0085591F" w:rsidRDefault="0085591F" w:rsidP="005A1A47">
      <w:pPr>
        <w:spacing w:before="0" w:line="240" w:lineRule="auto"/>
      </w:pPr>
      <w:r>
        <w:separator/>
      </w:r>
    </w:p>
  </w:footnote>
  <w:footnote w:type="continuationSeparator" w:id="0">
    <w:p w14:paraId="493FEC9F" w14:textId="77777777" w:rsidR="0085591F" w:rsidRDefault="0085591F" w:rsidP="005A1A4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F683A"/>
    <w:multiLevelType w:val="hybridMultilevel"/>
    <w:tmpl w:val="A7A053AE"/>
    <w:lvl w:ilvl="0" w:tplc="6E3C5A3A">
      <w:start w:val="1"/>
      <w:numFmt w:val="lowerRoman"/>
      <w:lvlText w:val="(%1)"/>
      <w:lvlJc w:val="left"/>
      <w:pPr>
        <w:ind w:left="178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09" w:hanging="360"/>
      </w:pPr>
    </w:lvl>
    <w:lvl w:ilvl="2" w:tplc="0C09001B" w:tentative="1">
      <w:start w:val="1"/>
      <w:numFmt w:val="lowerRoman"/>
      <w:lvlText w:val="%3."/>
      <w:lvlJc w:val="right"/>
      <w:pPr>
        <w:ind w:left="3229" w:hanging="180"/>
      </w:pPr>
    </w:lvl>
    <w:lvl w:ilvl="3" w:tplc="0C09000F" w:tentative="1">
      <w:start w:val="1"/>
      <w:numFmt w:val="decimal"/>
      <w:lvlText w:val="%4."/>
      <w:lvlJc w:val="left"/>
      <w:pPr>
        <w:ind w:left="3949" w:hanging="360"/>
      </w:pPr>
    </w:lvl>
    <w:lvl w:ilvl="4" w:tplc="0C090019" w:tentative="1">
      <w:start w:val="1"/>
      <w:numFmt w:val="lowerLetter"/>
      <w:lvlText w:val="%5."/>
      <w:lvlJc w:val="left"/>
      <w:pPr>
        <w:ind w:left="4669" w:hanging="360"/>
      </w:pPr>
    </w:lvl>
    <w:lvl w:ilvl="5" w:tplc="0C09001B" w:tentative="1">
      <w:start w:val="1"/>
      <w:numFmt w:val="lowerRoman"/>
      <w:lvlText w:val="%6."/>
      <w:lvlJc w:val="right"/>
      <w:pPr>
        <w:ind w:left="5389" w:hanging="180"/>
      </w:pPr>
    </w:lvl>
    <w:lvl w:ilvl="6" w:tplc="0C09000F" w:tentative="1">
      <w:start w:val="1"/>
      <w:numFmt w:val="decimal"/>
      <w:lvlText w:val="%7."/>
      <w:lvlJc w:val="left"/>
      <w:pPr>
        <w:ind w:left="6109" w:hanging="360"/>
      </w:pPr>
    </w:lvl>
    <w:lvl w:ilvl="7" w:tplc="0C090019" w:tentative="1">
      <w:start w:val="1"/>
      <w:numFmt w:val="lowerLetter"/>
      <w:lvlText w:val="%8."/>
      <w:lvlJc w:val="left"/>
      <w:pPr>
        <w:ind w:left="6829" w:hanging="360"/>
      </w:pPr>
    </w:lvl>
    <w:lvl w:ilvl="8" w:tplc="0C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08852D0"/>
    <w:multiLevelType w:val="hybridMultilevel"/>
    <w:tmpl w:val="8A2076D2"/>
    <w:lvl w:ilvl="0" w:tplc="430E06F0">
      <w:start w:val="1"/>
      <w:numFmt w:val="upperLetter"/>
      <w:lvlText w:val="(%1)"/>
      <w:lvlJc w:val="left"/>
      <w:pPr>
        <w:ind w:left="26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348" w:hanging="360"/>
      </w:pPr>
    </w:lvl>
    <w:lvl w:ilvl="2" w:tplc="0C09001B" w:tentative="1">
      <w:start w:val="1"/>
      <w:numFmt w:val="lowerRoman"/>
      <w:lvlText w:val="%3."/>
      <w:lvlJc w:val="right"/>
      <w:pPr>
        <w:ind w:left="4068" w:hanging="180"/>
      </w:pPr>
    </w:lvl>
    <w:lvl w:ilvl="3" w:tplc="0C09000F" w:tentative="1">
      <w:start w:val="1"/>
      <w:numFmt w:val="decimal"/>
      <w:lvlText w:val="%4."/>
      <w:lvlJc w:val="left"/>
      <w:pPr>
        <w:ind w:left="4788" w:hanging="360"/>
      </w:pPr>
    </w:lvl>
    <w:lvl w:ilvl="4" w:tplc="0C090019" w:tentative="1">
      <w:start w:val="1"/>
      <w:numFmt w:val="lowerLetter"/>
      <w:lvlText w:val="%5."/>
      <w:lvlJc w:val="left"/>
      <w:pPr>
        <w:ind w:left="5508" w:hanging="360"/>
      </w:pPr>
    </w:lvl>
    <w:lvl w:ilvl="5" w:tplc="0C09001B" w:tentative="1">
      <w:start w:val="1"/>
      <w:numFmt w:val="lowerRoman"/>
      <w:lvlText w:val="%6."/>
      <w:lvlJc w:val="right"/>
      <w:pPr>
        <w:ind w:left="6228" w:hanging="180"/>
      </w:pPr>
    </w:lvl>
    <w:lvl w:ilvl="6" w:tplc="0C09000F" w:tentative="1">
      <w:start w:val="1"/>
      <w:numFmt w:val="decimal"/>
      <w:lvlText w:val="%7."/>
      <w:lvlJc w:val="left"/>
      <w:pPr>
        <w:ind w:left="6948" w:hanging="360"/>
      </w:pPr>
    </w:lvl>
    <w:lvl w:ilvl="7" w:tplc="0C090019" w:tentative="1">
      <w:start w:val="1"/>
      <w:numFmt w:val="lowerLetter"/>
      <w:lvlText w:val="%8."/>
      <w:lvlJc w:val="left"/>
      <w:pPr>
        <w:ind w:left="7668" w:hanging="360"/>
      </w:pPr>
    </w:lvl>
    <w:lvl w:ilvl="8" w:tplc="0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176A723E"/>
    <w:multiLevelType w:val="hybridMultilevel"/>
    <w:tmpl w:val="BBAC53B0"/>
    <w:lvl w:ilvl="0" w:tplc="B5B686C8">
      <w:start w:val="11"/>
      <w:numFmt w:val="decimal"/>
      <w:lvlText w:val="%1"/>
      <w:lvlJc w:val="left"/>
      <w:pPr>
        <w:ind w:left="1287" w:hanging="360"/>
      </w:pPr>
      <w:rPr>
        <w:rFonts w:ascii="Arial" w:hAnsi="Arial" w:cs="Arial" w:hint="default"/>
        <w:b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D60BB"/>
    <w:multiLevelType w:val="hybridMultilevel"/>
    <w:tmpl w:val="900C8194"/>
    <w:lvl w:ilvl="0" w:tplc="F0A6A6A2">
      <w:start w:val="1"/>
      <w:numFmt w:val="lowerLetter"/>
      <w:lvlText w:val="(%1)"/>
      <w:lvlJc w:val="left"/>
      <w:pPr>
        <w:ind w:left="231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036" w:hanging="360"/>
      </w:pPr>
    </w:lvl>
    <w:lvl w:ilvl="2" w:tplc="0C09001B" w:tentative="1">
      <w:start w:val="1"/>
      <w:numFmt w:val="lowerRoman"/>
      <w:lvlText w:val="%3."/>
      <w:lvlJc w:val="right"/>
      <w:pPr>
        <w:ind w:left="3756" w:hanging="180"/>
      </w:pPr>
    </w:lvl>
    <w:lvl w:ilvl="3" w:tplc="0C09000F" w:tentative="1">
      <w:start w:val="1"/>
      <w:numFmt w:val="decimal"/>
      <w:lvlText w:val="%4."/>
      <w:lvlJc w:val="left"/>
      <w:pPr>
        <w:ind w:left="4476" w:hanging="360"/>
      </w:pPr>
    </w:lvl>
    <w:lvl w:ilvl="4" w:tplc="0C090019" w:tentative="1">
      <w:start w:val="1"/>
      <w:numFmt w:val="lowerLetter"/>
      <w:lvlText w:val="%5."/>
      <w:lvlJc w:val="left"/>
      <w:pPr>
        <w:ind w:left="5196" w:hanging="360"/>
      </w:pPr>
    </w:lvl>
    <w:lvl w:ilvl="5" w:tplc="0C09001B" w:tentative="1">
      <w:start w:val="1"/>
      <w:numFmt w:val="lowerRoman"/>
      <w:lvlText w:val="%6."/>
      <w:lvlJc w:val="right"/>
      <w:pPr>
        <w:ind w:left="5916" w:hanging="180"/>
      </w:pPr>
    </w:lvl>
    <w:lvl w:ilvl="6" w:tplc="0C09000F" w:tentative="1">
      <w:start w:val="1"/>
      <w:numFmt w:val="decimal"/>
      <w:lvlText w:val="%7."/>
      <w:lvlJc w:val="left"/>
      <w:pPr>
        <w:ind w:left="6636" w:hanging="360"/>
      </w:pPr>
    </w:lvl>
    <w:lvl w:ilvl="7" w:tplc="0C090019" w:tentative="1">
      <w:start w:val="1"/>
      <w:numFmt w:val="lowerLetter"/>
      <w:lvlText w:val="%8."/>
      <w:lvlJc w:val="left"/>
      <w:pPr>
        <w:ind w:left="7356" w:hanging="360"/>
      </w:pPr>
    </w:lvl>
    <w:lvl w:ilvl="8" w:tplc="0C09001B" w:tentative="1">
      <w:start w:val="1"/>
      <w:numFmt w:val="lowerRoman"/>
      <w:lvlText w:val="%9."/>
      <w:lvlJc w:val="right"/>
      <w:pPr>
        <w:ind w:left="8076" w:hanging="180"/>
      </w:pPr>
    </w:lvl>
  </w:abstractNum>
  <w:abstractNum w:abstractNumId="4">
    <w:nsid w:val="1D3070F3"/>
    <w:multiLevelType w:val="hybridMultilevel"/>
    <w:tmpl w:val="C7D86750"/>
    <w:lvl w:ilvl="0" w:tplc="47FAAF56">
      <w:start w:val="1"/>
      <w:numFmt w:val="lowerRoman"/>
      <w:lvlText w:val="(%1)"/>
      <w:lvlJc w:val="left"/>
      <w:pPr>
        <w:ind w:left="41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E570C"/>
    <w:multiLevelType w:val="hybridMultilevel"/>
    <w:tmpl w:val="06A43592"/>
    <w:lvl w:ilvl="0" w:tplc="AE9C0CAA">
      <w:start w:val="1"/>
      <w:numFmt w:val="lowerLetter"/>
      <w:lvlText w:val="(%1)"/>
      <w:lvlJc w:val="left"/>
      <w:pPr>
        <w:ind w:left="2421" w:hanging="72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21AF7F5A"/>
    <w:multiLevelType w:val="hybridMultilevel"/>
    <w:tmpl w:val="7F5ED1F6"/>
    <w:lvl w:ilvl="0" w:tplc="B192BF38">
      <w:start w:val="1"/>
      <w:numFmt w:val="upperLetter"/>
      <w:lvlText w:val="(%1)"/>
      <w:lvlJc w:val="left"/>
      <w:pPr>
        <w:ind w:left="24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3" w:hanging="360"/>
      </w:pPr>
    </w:lvl>
    <w:lvl w:ilvl="2" w:tplc="0C09001B" w:tentative="1">
      <w:start w:val="1"/>
      <w:numFmt w:val="lowerRoman"/>
      <w:lvlText w:val="%3."/>
      <w:lvlJc w:val="right"/>
      <w:pPr>
        <w:ind w:left="3783" w:hanging="180"/>
      </w:pPr>
    </w:lvl>
    <w:lvl w:ilvl="3" w:tplc="0C09000F" w:tentative="1">
      <w:start w:val="1"/>
      <w:numFmt w:val="decimal"/>
      <w:lvlText w:val="%4."/>
      <w:lvlJc w:val="left"/>
      <w:pPr>
        <w:ind w:left="4503" w:hanging="360"/>
      </w:pPr>
    </w:lvl>
    <w:lvl w:ilvl="4" w:tplc="0C090019" w:tentative="1">
      <w:start w:val="1"/>
      <w:numFmt w:val="lowerLetter"/>
      <w:lvlText w:val="%5."/>
      <w:lvlJc w:val="left"/>
      <w:pPr>
        <w:ind w:left="5223" w:hanging="360"/>
      </w:pPr>
    </w:lvl>
    <w:lvl w:ilvl="5" w:tplc="0C09001B" w:tentative="1">
      <w:start w:val="1"/>
      <w:numFmt w:val="lowerRoman"/>
      <w:lvlText w:val="%6."/>
      <w:lvlJc w:val="right"/>
      <w:pPr>
        <w:ind w:left="5943" w:hanging="180"/>
      </w:pPr>
    </w:lvl>
    <w:lvl w:ilvl="6" w:tplc="0C09000F" w:tentative="1">
      <w:start w:val="1"/>
      <w:numFmt w:val="decimal"/>
      <w:lvlText w:val="%7."/>
      <w:lvlJc w:val="left"/>
      <w:pPr>
        <w:ind w:left="6663" w:hanging="360"/>
      </w:pPr>
    </w:lvl>
    <w:lvl w:ilvl="7" w:tplc="0C090019" w:tentative="1">
      <w:start w:val="1"/>
      <w:numFmt w:val="lowerLetter"/>
      <w:lvlText w:val="%8."/>
      <w:lvlJc w:val="left"/>
      <w:pPr>
        <w:ind w:left="7383" w:hanging="360"/>
      </w:pPr>
    </w:lvl>
    <w:lvl w:ilvl="8" w:tplc="0C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7">
    <w:nsid w:val="24D941B9"/>
    <w:multiLevelType w:val="hybridMultilevel"/>
    <w:tmpl w:val="52BEA9FA"/>
    <w:lvl w:ilvl="0" w:tplc="7762771E">
      <w:start w:val="10"/>
      <w:numFmt w:val="decimal"/>
      <w:lvlText w:val="%1"/>
      <w:lvlJc w:val="left"/>
      <w:pPr>
        <w:ind w:left="1494" w:hanging="360"/>
      </w:pPr>
      <w:rPr>
        <w:rFonts w:ascii="Arial" w:hAnsi="Arial" w:cs="Arial" w:hint="default"/>
        <w:b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F08E6"/>
    <w:multiLevelType w:val="hybridMultilevel"/>
    <w:tmpl w:val="187225EA"/>
    <w:lvl w:ilvl="0" w:tplc="A8C07EC2">
      <w:start w:val="2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379B4"/>
    <w:multiLevelType w:val="hybridMultilevel"/>
    <w:tmpl w:val="707EF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12A0C"/>
    <w:multiLevelType w:val="hybridMultilevel"/>
    <w:tmpl w:val="8438DF6A"/>
    <w:lvl w:ilvl="0" w:tplc="3A7E7630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28C36ABA"/>
    <w:multiLevelType w:val="hybridMultilevel"/>
    <w:tmpl w:val="DB4ED070"/>
    <w:lvl w:ilvl="0" w:tplc="DBACE950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 w:tplc="4A8684D4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0462BB8"/>
    <w:multiLevelType w:val="hybridMultilevel"/>
    <w:tmpl w:val="3ACAB304"/>
    <w:lvl w:ilvl="0" w:tplc="B192BF38">
      <w:start w:val="1"/>
      <w:numFmt w:val="upperLetter"/>
      <w:lvlText w:val="(%1)"/>
      <w:lvlJc w:val="left"/>
      <w:pPr>
        <w:ind w:left="20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3FF97285"/>
    <w:multiLevelType w:val="hybridMultilevel"/>
    <w:tmpl w:val="698CC23C"/>
    <w:lvl w:ilvl="0" w:tplc="C362FBC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0397E52"/>
    <w:multiLevelType w:val="hybridMultilevel"/>
    <w:tmpl w:val="D980B73C"/>
    <w:lvl w:ilvl="0" w:tplc="2020BD12">
      <w:start w:val="2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44AF1F4D"/>
    <w:multiLevelType w:val="hybridMultilevel"/>
    <w:tmpl w:val="3BFCC06C"/>
    <w:lvl w:ilvl="0" w:tplc="C1EAEAC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BDC6E3A"/>
    <w:multiLevelType w:val="hybridMultilevel"/>
    <w:tmpl w:val="018E0E12"/>
    <w:lvl w:ilvl="0" w:tplc="4A8684D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DE21D03"/>
    <w:multiLevelType w:val="hybridMultilevel"/>
    <w:tmpl w:val="08ACF216"/>
    <w:lvl w:ilvl="0" w:tplc="FD0C3AAA">
      <w:start w:val="1"/>
      <w:numFmt w:val="decimal"/>
      <w:lvlText w:val="(%1)"/>
      <w:lvlJc w:val="left"/>
      <w:pPr>
        <w:ind w:left="128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4A8684D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727" w:hanging="180"/>
      </w:pPr>
    </w:lvl>
    <w:lvl w:ilvl="3" w:tplc="950A2BF8">
      <w:start w:val="1"/>
      <w:numFmt w:val="lowerLetter"/>
      <w:lvlText w:val="(%4)"/>
      <w:lvlJc w:val="left"/>
      <w:pPr>
        <w:ind w:left="3807" w:hanging="720"/>
      </w:pPr>
      <w:rPr>
        <w:rFonts w:hint="default"/>
        <w:color w:val="auto"/>
      </w:rPr>
    </w:lvl>
    <w:lvl w:ilvl="4" w:tplc="47FAAF56">
      <w:start w:val="1"/>
      <w:numFmt w:val="lowerRoman"/>
      <w:lvlText w:val="(%5)"/>
      <w:lvlJc w:val="left"/>
      <w:pPr>
        <w:ind w:left="4167" w:hanging="360"/>
      </w:pPr>
      <w:rPr>
        <w:rFonts w:hint="default"/>
      </w:rPr>
    </w:lvl>
    <w:lvl w:ilvl="5" w:tplc="C1383DFC">
      <w:start w:val="2"/>
      <w:numFmt w:val="lowerRoman"/>
      <w:lvlText w:val="(%6)"/>
      <w:lvlJc w:val="left"/>
      <w:pPr>
        <w:ind w:left="5427" w:hanging="720"/>
      </w:pPr>
      <w:rPr>
        <w:rFonts w:hint="default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347245C"/>
    <w:multiLevelType w:val="hybridMultilevel"/>
    <w:tmpl w:val="568CD26E"/>
    <w:lvl w:ilvl="0" w:tplc="4A8684D4">
      <w:start w:val="1"/>
      <w:numFmt w:val="lowerLetter"/>
      <w:lvlText w:val="(%1)"/>
      <w:lvlJc w:val="left"/>
      <w:pPr>
        <w:ind w:left="200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67" w:hanging="360"/>
      </w:pPr>
    </w:lvl>
    <w:lvl w:ilvl="2" w:tplc="0C09001B" w:tentative="1">
      <w:start w:val="1"/>
      <w:numFmt w:val="lowerRoman"/>
      <w:lvlText w:val="%3."/>
      <w:lvlJc w:val="right"/>
      <w:pPr>
        <w:ind w:left="3087" w:hanging="180"/>
      </w:pPr>
    </w:lvl>
    <w:lvl w:ilvl="3" w:tplc="0C09000F" w:tentative="1">
      <w:start w:val="1"/>
      <w:numFmt w:val="decimal"/>
      <w:lvlText w:val="%4."/>
      <w:lvlJc w:val="left"/>
      <w:pPr>
        <w:ind w:left="3807" w:hanging="360"/>
      </w:pPr>
    </w:lvl>
    <w:lvl w:ilvl="4" w:tplc="0C090019" w:tentative="1">
      <w:start w:val="1"/>
      <w:numFmt w:val="lowerLetter"/>
      <w:lvlText w:val="%5."/>
      <w:lvlJc w:val="left"/>
      <w:pPr>
        <w:ind w:left="4527" w:hanging="360"/>
      </w:pPr>
    </w:lvl>
    <w:lvl w:ilvl="5" w:tplc="0C09001B" w:tentative="1">
      <w:start w:val="1"/>
      <w:numFmt w:val="lowerRoman"/>
      <w:lvlText w:val="%6."/>
      <w:lvlJc w:val="right"/>
      <w:pPr>
        <w:ind w:left="5247" w:hanging="180"/>
      </w:pPr>
    </w:lvl>
    <w:lvl w:ilvl="6" w:tplc="0C09000F" w:tentative="1">
      <w:start w:val="1"/>
      <w:numFmt w:val="decimal"/>
      <w:lvlText w:val="%7."/>
      <w:lvlJc w:val="left"/>
      <w:pPr>
        <w:ind w:left="5967" w:hanging="360"/>
      </w:pPr>
    </w:lvl>
    <w:lvl w:ilvl="7" w:tplc="0C090019" w:tentative="1">
      <w:start w:val="1"/>
      <w:numFmt w:val="lowerLetter"/>
      <w:lvlText w:val="%8."/>
      <w:lvlJc w:val="left"/>
      <w:pPr>
        <w:ind w:left="6687" w:hanging="360"/>
      </w:pPr>
    </w:lvl>
    <w:lvl w:ilvl="8" w:tplc="0C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>
    <w:nsid w:val="562055FA"/>
    <w:multiLevelType w:val="hybridMultilevel"/>
    <w:tmpl w:val="A9C2FDF0"/>
    <w:lvl w:ilvl="0" w:tplc="9D427886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8E0E08"/>
    <w:multiLevelType w:val="hybridMultilevel"/>
    <w:tmpl w:val="17C40EB2"/>
    <w:lvl w:ilvl="0" w:tplc="23024B7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1134EFA"/>
    <w:multiLevelType w:val="hybridMultilevel"/>
    <w:tmpl w:val="2C9A9E2E"/>
    <w:lvl w:ilvl="0" w:tplc="EA009A80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37F3E"/>
    <w:multiLevelType w:val="hybridMultilevel"/>
    <w:tmpl w:val="9C18F500"/>
    <w:lvl w:ilvl="0" w:tplc="F1445DA2">
      <w:start w:val="2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616943F3"/>
    <w:multiLevelType w:val="hybridMultilevel"/>
    <w:tmpl w:val="FA74DA9E"/>
    <w:lvl w:ilvl="0" w:tplc="AAB0C798">
      <w:start w:val="4"/>
      <w:numFmt w:val="decimal"/>
      <w:lvlText w:val="(%1)"/>
      <w:lvlJc w:val="left"/>
      <w:pPr>
        <w:ind w:left="128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A05CD"/>
    <w:multiLevelType w:val="hybridMultilevel"/>
    <w:tmpl w:val="7856EED0"/>
    <w:lvl w:ilvl="0" w:tplc="9806B48A">
      <w:start w:val="4"/>
      <w:numFmt w:val="lowerLetter"/>
      <w:lvlText w:val="(%1)"/>
      <w:lvlJc w:val="left"/>
      <w:pPr>
        <w:ind w:left="20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674D4"/>
    <w:multiLevelType w:val="hybridMultilevel"/>
    <w:tmpl w:val="3B44F626"/>
    <w:lvl w:ilvl="0" w:tplc="1924D0F8">
      <w:start w:val="9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67ED2AE1"/>
    <w:multiLevelType w:val="hybridMultilevel"/>
    <w:tmpl w:val="0E8EC842"/>
    <w:lvl w:ilvl="0" w:tplc="3E54AB38">
      <w:start w:val="1"/>
      <w:numFmt w:val="decimal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7">
    <w:nsid w:val="67EF010D"/>
    <w:multiLevelType w:val="hybridMultilevel"/>
    <w:tmpl w:val="A920CE4E"/>
    <w:lvl w:ilvl="0" w:tplc="6E3C5A3A">
      <w:start w:val="1"/>
      <w:numFmt w:val="lowerRoman"/>
      <w:lvlText w:val="(%1)"/>
      <w:lvlJc w:val="left"/>
      <w:pPr>
        <w:ind w:left="271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436" w:hanging="360"/>
      </w:pPr>
    </w:lvl>
    <w:lvl w:ilvl="2" w:tplc="0C09001B" w:tentative="1">
      <w:start w:val="1"/>
      <w:numFmt w:val="lowerRoman"/>
      <w:lvlText w:val="%3."/>
      <w:lvlJc w:val="right"/>
      <w:pPr>
        <w:ind w:left="4156" w:hanging="180"/>
      </w:pPr>
    </w:lvl>
    <w:lvl w:ilvl="3" w:tplc="0C09000F" w:tentative="1">
      <w:start w:val="1"/>
      <w:numFmt w:val="decimal"/>
      <w:lvlText w:val="%4."/>
      <w:lvlJc w:val="left"/>
      <w:pPr>
        <w:ind w:left="4876" w:hanging="360"/>
      </w:pPr>
    </w:lvl>
    <w:lvl w:ilvl="4" w:tplc="0C090019" w:tentative="1">
      <w:start w:val="1"/>
      <w:numFmt w:val="lowerLetter"/>
      <w:lvlText w:val="%5."/>
      <w:lvlJc w:val="left"/>
      <w:pPr>
        <w:ind w:left="5596" w:hanging="360"/>
      </w:pPr>
    </w:lvl>
    <w:lvl w:ilvl="5" w:tplc="0C09001B" w:tentative="1">
      <w:start w:val="1"/>
      <w:numFmt w:val="lowerRoman"/>
      <w:lvlText w:val="%6."/>
      <w:lvlJc w:val="right"/>
      <w:pPr>
        <w:ind w:left="6316" w:hanging="180"/>
      </w:pPr>
    </w:lvl>
    <w:lvl w:ilvl="6" w:tplc="0C09000F" w:tentative="1">
      <w:start w:val="1"/>
      <w:numFmt w:val="decimal"/>
      <w:lvlText w:val="%7."/>
      <w:lvlJc w:val="left"/>
      <w:pPr>
        <w:ind w:left="7036" w:hanging="360"/>
      </w:pPr>
    </w:lvl>
    <w:lvl w:ilvl="7" w:tplc="0C090019" w:tentative="1">
      <w:start w:val="1"/>
      <w:numFmt w:val="lowerLetter"/>
      <w:lvlText w:val="%8."/>
      <w:lvlJc w:val="left"/>
      <w:pPr>
        <w:ind w:left="7756" w:hanging="360"/>
      </w:pPr>
    </w:lvl>
    <w:lvl w:ilvl="8" w:tplc="0C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28">
    <w:nsid w:val="6CEA28B7"/>
    <w:multiLevelType w:val="hybridMultilevel"/>
    <w:tmpl w:val="9EB8800E"/>
    <w:lvl w:ilvl="0" w:tplc="694AB4D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701239D"/>
    <w:multiLevelType w:val="hybridMultilevel"/>
    <w:tmpl w:val="F02C4952"/>
    <w:lvl w:ilvl="0" w:tplc="651EB1C2">
      <w:start w:val="9"/>
      <w:numFmt w:val="decimal"/>
      <w:lvlText w:val="%1"/>
      <w:lvlJc w:val="left"/>
      <w:pPr>
        <w:ind w:left="2160" w:hanging="360"/>
      </w:pPr>
      <w:rPr>
        <w:rFonts w:ascii="Arial" w:hAnsi="Arial" w:cs="Arial" w:hint="default"/>
        <w:b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42A1E"/>
    <w:multiLevelType w:val="hybridMultilevel"/>
    <w:tmpl w:val="12721C22"/>
    <w:lvl w:ilvl="0" w:tplc="464C483E">
      <w:start w:val="10"/>
      <w:numFmt w:val="decimal"/>
      <w:lvlText w:val="%1"/>
      <w:lvlJc w:val="left"/>
      <w:pPr>
        <w:ind w:left="1287" w:hanging="360"/>
      </w:pPr>
      <w:rPr>
        <w:rFonts w:ascii="Arial" w:hAnsi="Arial" w:cs="Arial" w:hint="default"/>
        <w:b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991A22"/>
    <w:multiLevelType w:val="hybridMultilevel"/>
    <w:tmpl w:val="1D4C5774"/>
    <w:lvl w:ilvl="0" w:tplc="2BA6E4D4">
      <w:start w:val="9"/>
      <w:numFmt w:val="lowerLetter"/>
      <w:lvlText w:val="(%1)"/>
      <w:lvlJc w:val="left"/>
      <w:pPr>
        <w:ind w:left="27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36" w:hanging="360"/>
      </w:pPr>
    </w:lvl>
    <w:lvl w:ilvl="2" w:tplc="0C09001B" w:tentative="1">
      <w:start w:val="1"/>
      <w:numFmt w:val="lowerRoman"/>
      <w:lvlText w:val="%3."/>
      <w:lvlJc w:val="right"/>
      <w:pPr>
        <w:ind w:left="4156" w:hanging="180"/>
      </w:pPr>
    </w:lvl>
    <w:lvl w:ilvl="3" w:tplc="0C09000F" w:tentative="1">
      <w:start w:val="1"/>
      <w:numFmt w:val="decimal"/>
      <w:lvlText w:val="%4."/>
      <w:lvlJc w:val="left"/>
      <w:pPr>
        <w:ind w:left="4876" w:hanging="360"/>
      </w:pPr>
    </w:lvl>
    <w:lvl w:ilvl="4" w:tplc="0C090019" w:tentative="1">
      <w:start w:val="1"/>
      <w:numFmt w:val="lowerLetter"/>
      <w:lvlText w:val="%5."/>
      <w:lvlJc w:val="left"/>
      <w:pPr>
        <w:ind w:left="5596" w:hanging="360"/>
      </w:pPr>
    </w:lvl>
    <w:lvl w:ilvl="5" w:tplc="0C09001B" w:tentative="1">
      <w:start w:val="1"/>
      <w:numFmt w:val="lowerRoman"/>
      <w:lvlText w:val="%6."/>
      <w:lvlJc w:val="right"/>
      <w:pPr>
        <w:ind w:left="6316" w:hanging="180"/>
      </w:pPr>
    </w:lvl>
    <w:lvl w:ilvl="6" w:tplc="0C09000F" w:tentative="1">
      <w:start w:val="1"/>
      <w:numFmt w:val="decimal"/>
      <w:lvlText w:val="%7."/>
      <w:lvlJc w:val="left"/>
      <w:pPr>
        <w:ind w:left="7036" w:hanging="360"/>
      </w:pPr>
    </w:lvl>
    <w:lvl w:ilvl="7" w:tplc="0C090019" w:tentative="1">
      <w:start w:val="1"/>
      <w:numFmt w:val="lowerLetter"/>
      <w:lvlText w:val="%8."/>
      <w:lvlJc w:val="left"/>
      <w:pPr>
        <w:ind w:left="7756" w:hanging="360"/>
      </w:pPr>
    </w:lvl>
    <w:lvl w:ilvl="8" w:tplc="0C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32">
    <w:nsid w:val="7DC53800"/>
    <w:multiLevelType w:val="hybridMultilevel"/>
    <w:tmpl w:val="1C94D662"/>
    <w:lvl w:ilvl="0" w:tplc="B192BF3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03E75"/>
    <w:multiLevelType w:val="hybridMultilevel"/>
    <w:tmpl w:val="97FE615C"/>
    <w:lvl w:ilvl="0" w:tplc="4A8684D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EE15BD6"/>
    <w:multiLevelType w:val="hybridMultilevel"/>
    <w:tmpl w:val="93FCD680"/>
    <w:lvl w:ilvl="0" w:tplc="C5502EAA">
      <w:start w:val="7"/>
      <w:numFmt w:val="decimal"/>
      <w:lvlText w:val="%1"/>
      <w:lvlJc w:val="left"/>
      <w:pPr>
        <w:ind w:left="1494" w:hanging="360"/>
      </w:pPr>
      <w:rPr>
        <w:rFonts w:ascii="Arial" w:hAnsi="Arial" w:cs="Arial" w:hint="default"/>
        <w:b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1"/>
  </w:num>
  <w:num w:numId="3">
    <w:abstractNumId w:val="33"/>
  </w:num>
  <w:num w:numId="4">
    <w:abstractNumId w:val="16"/>
  </w:num>
  <w:num w:numId="5">
    <w:abstractNumId w:val="17"/>
  </w:num>
  <w:num w:numId="6">
    <w:abstractNumId w:val="0"/>
  </w:num>
  <w:num w:numId="7">
    <w:abstractNumId w:val="24"/>
  </w:num>
  <w:num w:numId="8">
    <w:abstractNumId w:val="21"/>
  </w:num>
  <w:num w:numId="9">
    <w:abstractNumId w:val="29"/>
  </w:num>
  <w:num w:numId="10">
    <w:abstractNumId w:val="7"/>
  </w:num>
  <w:num w:numId="11">
    <w:abstractNumId w:val="8"/>
  </w:num>
  <w:num w:numId="12">
    <w:abstractNumId w:val="5"/>
  </w:num>
  <w:num w:numId="13">
    <w:abstractNumId w:val="28"/>
  </w:num>
  <w:num w:numId="14">
    <w:abstractNumId w:val="3"/>
  </w:num>
  <w:num w:numId="15">
    <w:abstractNumId w:val="31"/>
  </w:num>
  <w:num w:numId="16">
    <w:abstractNumId w:val="14"/>
  </w:num>
  <w:num w:numId="17">
    <w:abstractNumId w:val="25"/>
  </w:num>
  <w:num w:numId="18">
    <w:abstractNumId w:val="22"/>
  </w:num>
  <w:num w:numId="19">
    <w:abstractNumId w:val="19"/>
  </w:num>
  <w:num w:numId="20">
    <w:abstractNumId w:val="18"/>
  </w:num>
  <w:num w:numId="21">
    <w:abstractNumId w:val="27"/>
  </w:num>
  <w:num w:numId="22">
    <w:abstractNumId w:val="6"/>
  </w:num>
  <w:num w:numId="23">
    <w:abstractNumId w:val="9"/>
  </w:num>
  <w:num w:numId="24">
    <w:abstractNumId w:val="23"/>
  </w:num>
  <w:num w:numId="25">
    <w:abstractNumId w:val="20"/>
  </w:num>
  <w:num w:numId="26">
    <w:abstractNumId w:val="2"/>
  </w:num>
  <w:num w:numId="27">
    <w:abstractNumId w:val="1"/>
  </w:num>
  <w:num w:numId="28">
    <w:abstractNumId w:val="15"/>
  </w:num>
  <w:num w:numId="29">
    <w:abstractNumId w:val="26"/>
  </w:num>
  <w:num w:numId="30">
    <w:abstractNumId w:val="30"/>
  </w:num>
  <w:num w:numId="31">
    <w:abstractNumId w:val="12"/>
  </w:num>
  <w:num w:numId="32">
    <w:abstractNumId w:val="10"/>
  </w:num>
  <w:num w:numId="33">
    <w:abstractNumId w:val="32"/>
  </w:num>
  <w:num w:numId="34">
    <w:abstractNumId w:val="4"/>
  </w:num>
  <w:num w:numId="3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oNotTrackFormatting/>
  <w:defaultTabStop w:val="737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F2"/>
    <w:rsid w:val="0000536B"/>
    <w:rsid w:val="0000755A"/>
    <w:rsid w:val="00011263"/>
    <w:rsid w:val="0001600F"/>
    <w:rsid w:val="000175D4"/>
    <w:rsid w:val="000214B1"/>
    <w:rsid w:val="000244FA"/>
    <w:rsid w:val="00031347"/>
    <w:rsid w:val="00032A29"/>
    <w:rsid w:val="00036D92"/>
    <w:rsid w:val="000408E3"/>
    <w:rsid w:val="00040F87"/>
    <w:rsid w:val="00045260"/>
    <w:rsid w:val="00045FE8"/>
    <w:rsid w:val="00053B36"/>
    <w:rsid w:val="00054A54"/>
    <w:rsid w:val="00062086"/>
    <w:rsid w:val="00062134"/>
    <w:rsid w:val="000631AB"/>
    <w:rsid w:val="00063C7F"/>
    <w:rsid w:val="000669DC"/>
    <w:rsid w:val="00075E1D"/>
    <w:rsid w:val="00075F44"/>
    <w:rsid w:val="00076590"/>
    <w:rsid w:val="00083EC6"/>
    <w:rsid w:val="00093F70"/>
    <w:rsid w:val="00094EF8"/>
    <w:rsid w:val="000A0F01"/>
    <w:rsid w:val="000A3A46"/>
    <w:rsid w:val="000A3FE7"/>
    <w:rsid w:val="000A4BCC"/>
    <w:rsid w:val="000B125E"/>
    <w:rsid w:val="000B1DC7"/>
    <w:rsid w:val="000B279B"/>
    <w:rsid w:val="000B51A9"/>
    <w:rsid w:val="000C115B"/>
    <w:rsid w:val="000C3EB0"/>
    <w:rsid w:val="000D0EBF"/>
    <w:rsid w:val="000D2A9B"/>
    <w:rsid w:val="000D2D36"/>
    <w:rsid w:val="000D77D4"/>
    <w:rsid w:val="000E4FFA"/>
    <w:rsid w:val="000F2529"/>
    <w:rsid w:val="000F3334"/>
    <w:rsid w:val="000F465E"/>
    <w:rsid w:val="000F4E6C"/>
    <w:rsid w:val="000F77C4"/>
    <w:rsid w:val="00111A47"/>
    <w:rsid w:val="001129F8"/>
    <w:rsid w:val="00126E91"/>
    <w:rsid w:val="001305E4"/>
    <w:rsid w:val="00130907"/>
    <w:rsid w:val="00131461"/>
    <w:rsid w:val="00132739"/>
    <w:rsid w:val="001343F8"/>
    <w:rsid w:val="001344C0"/>
    <w:rsid w:val="0013727B"/>
    <w:rsid w:val="00140DDD"/>
    <w:rsid w:val="00143A8E"/>
    <w:rsid w:val="00153CE1"/>
    <w:rsid w:val="00153F81"/>
    <w:rsid w:val="00156138"/>
    <w:rsid w:val="00156D0D"/>
    <w:rsid w:val="0015786E"/>
    <w:rsid w:val="001579CB"/>
    <w:rsid w:val="00157F43"/>
    <w:rsid w:val="0017405C"/>
    <w:rsid w:val="00174BD2"/>
    <w:rsid w:val="00187B30"/>
    <w:rsid w:val="001A340D"/>
    <w:rsid w:val="001A71D0"/>
    <w:rsid w:val="001B0F89"/>
    <w:rsid w:val="001B28EB"/>
    <w:rsid w:val="001B3BC4"/>
    <w:rsid w:val="001B3D0A"/>
    <w:rsid w:val="001C4AE2"/>
    <w:rsid w:val="001C4F05"/>
    <w:rsid w:val="001C5338"/>
    <w:rsid w:val="001C5ECA"/>
    <w:rsid w:val="001D2A03"/>
    <w:rsid w:val="001E4227"/>
    <w:rsid w:val="001F20B4"/>
    <w:rsid w:val="001F49AF"/>
    <w:rsid w:val="00200738"/>
    <w:rsid w:val="00204581"/>
    <w:rsid w:val="0021034E"/>
    <w:rsid w:val="00217C2D"/>
    <w:rsid w:val="0022244B"/>
    <w:rsid w:val="00224FD9"/>
    <w:rsid w:val="0022575B"/>
    <w:rsid w:val="00227368"/>
    <w:rsid w:val="0024252A"/>
    <w:rsid w:val="002508EB"/>
    <w:rsid w:val="00252130"/>
    <w:rsid w:val="00253840"/>
    <w:rsid w:val="00255F36"/>
    <w:rsid w:val="002560CF"/>
    <w:rsid w:val="00257E79"/>
    <w:rsid w:val="00260911"/>
    <w:rsid w:val="00265005"/>
    <w:rsid w:val="00274107"/>
    <w:rsid w:val="00282F22"/>
    <w:rsid w:val="0028473F"/>
    <w:rsid w:val="00284D16"/>
    <w:rsid w:val="0029336E"/>
    <w:rsid w:val="00293CA1"/>
    <w:rsid w:val="002A386C"/>
    <w:rsid w:val="002B4F92"/>
    <w:rsid w:val="002B654C"/>
    <w:rsid w:val="002B79B1"/>
    <w:rsid w:val="002C055C"/>
    <w:rsid w:val="002C3F26"/>
    <w:rsid w:val="002C4E13"/>
    <w:rsid w:val="002C7366"/>
    <w:rsid w:val="002D09D5"/>
    <w:rsid w:val="002D0C67"/>
    <w:rsid w:val="002D46E5"/>
    <w:rsid w:val="002D47E7"/>
    <w:rsid w:val="002D66DD"/>
    <w:rsid w:val="002E1F02"/>
    <w:rsid w:val="002E264B"/>
    <w:rsid w:val="002F093B"/>
    <w:rsid w:val="002F2CA4"/>
    <w:rsid w:val="002F39CE"/>
    <w:rsid w:val="002F5408"/>
    <w:rsid w:val="002F71C9"/>
    <w:rsid w:val="003002BA"/>
    <w:rsid w:val="0030117E"/>
    <w:rsid w:val="00302165"/>
    <w:rsid w:val="0030368A"/>
    <w:rsid w:val="00304046"/>
    <w:rsid w:val="00307A6A"/>
    <w:rsid w:val="00307AD1"/>
    <w:rsid w:val="0031136E"/>
    <w:rsid w:val="003118BE"/>
    <w:rsid w:val="003204D9"/>
    <w:rsid w:val="003223E9"/>
    <w:rsid w:val="00322D09"/>
    <w:rsid w:val="00326F2D"/>
    <w:rsid w:val="003274DE"/>
    <w:rsid w:val="003336E7"/>
    <w:rsid w:val="00335291"/>
    <w:rsid w:val="00340CE7"/>
    <w:rsid w:val="00341383"/>
    <w:rsid w:val="00342388"/>
    <w:rsid w:val="00347E51"/>
    <w:rsid w:val="0035044D"/>
    <w:rsid w:val="003526D3"/>
    <w:rsid w:val="00352A20"/>
    <w:rsid w:val="00357DDC"/>
    <w:rsid w:val="003601D1"/>
    <w:rsid w:val="00364078"/>
    <w:rsid w:val="00372BA1"/>
    <w:rsid w:val="00373B78"/>
    <w:rsid w:val="00374658"/>
    <w:rsid w:val="00375BB8"/>
    <w:rsid w:val="00382846"/>
    <w:rsid w:val="00382F72"/>
    <w:rsid w:val="00386C4B"/>
    <w:rsid w:val="0039463E"/>
    <w:rsid w:val="0039589F"/>
    <w:rsid w:val="003A422F"/>
    <w:rsid w:val="003A4681"/>
    <w:rsid w:val="003B29EB"/>
    <w:rsid w:val="003C2CD9"/>
    <w:rsid w:val="003C57E2"/>
    <w:rsid w:val="003C64C9"/>
    <w:rsid w:val="003C650A"/>
    <w:rsid w:val="003D1D0F"/>
    <w:rsid w:val="003D328E"/>
    <w:rsid w:val="003F237E"/>
    <w:rsid w:val="003F3C2F"/>
    <w:rsid w:val="00401D29"/>
    <w:rsid w:val="0040604D"/>
    <w:rsid w:val="0041286D"/>
    <w:rsid w:val="00413CF9"/>
    <w:rsid w:val="00413ED5"/>
    <w:rsid w:val="00416FE2"/>
    <w:rsid w:val="004259DF"/>
    <w:rsid w:val="00426D71"/>
    <w:rsid w:val="00427964"/>
    <w:rsid w:val="004433C0"/>
    <w:rsid w:val="00445137"/>
    <w:rsid w:val="00452191"/>
    <w:rsid w:val="00457FEF"/>
    <w:rsid w:val="004626C8"/>
    <w:rsid w:val="004634DF"/>
    <w:rsid w:val="0046421D"/>
    <w:rsid w:val="00465F49"/>
    <w:rsid w:val="00467871"/>
    <w:rsid w:val="00467989"/>
    <w:rsid w:val="00467E67"/>
    <w:rsid w:val="00470F27"/>
    <w:rsid w:val="00472D9C"/>
    <w:rsid w:val="004744AD"/>
    <w:rsid w:val="00474EEF"/>
    <w:rsid w:val="00475D37"/>
    <w:rsid w:val="00475F5B"/>
    <w:rsid w:val="00484639"/>
    <w:rsid w:val="00485629"/>
    <w:rsid w:val="00486444"/>
    <w:rsid w:val="0048685B"/>
    <w:rsid w:val="00486AAD"/>
    <w:rsid w:val="0049349B"/>
    <w:rsid w:val="00493EF2"/>
    <w:rsid w:val="00497009"/>
    <w:rsid w:val="004A19B4"/>
    <w:rsid w:val="004A25F0"/>
    <w:rsid w:val="004B6F59"/>
    <w:rsid w:val="004C034D"/>
    <w:rsid w:val="004C3609"/>
    <w:rsid w:val="004D4ADB"/>
    <w:rsid w:val="004D7E74"/>
    <w:rsid w:val="004E5A85"/>
    <w:rsid w:val="004E617C"/>
    <w:rsid w:val="004E779D"/>
    <w:rsid w:val="004F3275"/>
    <w:rsid w:val="004F7D6B"/>
    <w:rsid w:val="00502F50"/>
    <w:rsid w:val="005046A1"/>
    <w:rsid w:val="00504FB4"/>
    <w:rsid w:val="00506A9D"/>
    <w:rsid w:val="0050745F"/>
    <w:rsid w:val="00511BBA"/>
    <w:rsid w:val="005132E4"/>
    <w:rsid w:val="00513D55"/>
    <w:rsid w:val="00516FBE"/>
    <w:rsid w:val="00524A76"/>
    <w:rsid w:val="0052521A"/>
    <w:rsid w:val="00525DA7"/>
    <w:rsid w:val="00526E1C"/>
    <w:rsid w:val="00530A88"/>
    <w:rsid w:val="00535C34"/>
    <w:rsid w:val="00536475"/>
    <w:rsid w:val="005407D0"/>
    <w:rsid w:val="00540AAE"/>
    <w:rsid w:val="00543DBD"/>
    <w:rsid w:val="005472B6"/>
    <w:rsid w:val="00553A30"/>
    <w:rsid w:val="0055640B"/>
    <w:rsid w:val="005570DE"/>
    <w:rsid w:val="005615F0"/>
    <w:rsid w:val="00566017"/>
    <w:rsid w:val="005672ED"/>
    <w:rsid w:val="005813FA"/>
    <w:rsid w:val="005837A8"/>
    <w:rsid w:val="005842FD"/>
    <w:rsid w:val="0058500A"/>
    <w:rsid w:val="00585BA7"/>
    <w:rsid w:val="00593F86"/>
    <w:rsid w:val="005A1A47"/>
    <w:rsid w:val="005A3F0E"/>
    <w:rsid w:val="005B5BB6"/>
    <w:rsid w:val="005C1CF2"/>
    <w:rsid w:val="005C5C8B"/>
    <w:rsid w:val="005C7600"/>
    <w:rsid w:val="005D04A7"/>
    <w:rsid w:val="005D1211"/>
    <w:rsid w:val="005D26B6"/>
    <w:rsid w:val="005D6F13"/>
    <w:rsid w:val="005E5222"/>
    <w:rsid w:val="005E79D8"/>
    <w:rsid w:val="005F3220"/>
    <w:rsid w:val="005F34D0"/>
    <w:rsid w:val="005F7890"/>
    <w:rsid w:val="005F7BB6"/>
    <w:rsid w:val="00602840"/>
    <w:rsid w:val="00602A18"/>
    <w:rsid w:val="00603B76"/>
    <w:rsid w:val="006071F6"/>
    <w:rsid w:val="00607269"/>
    <w:rsid w:val="00611557"/>
    <w:rsid w:val="00613A18"/>
    <w:rsid w:val="00613BAA"/>
    <w:rsid w:val="0061591C"/>
    <w:rsid w:val="00620EC5"/>
    <w:rsid w:val="00624089"/>
    <w:rsid w:val="006309DF"/>
    <w:rsid w:val="0063488E"/>
    <w:rsid w:val="00634D96"/>
    <w:rsid w:val="00641B09"/>
    <w:rsid w:val="00643526"/>
    <w:rsid w:val="0064574F"/>
    <w:rsid w:val="00647C11"/>
    <w:rsid w:val="00650E5D"/>
    <w:rsid w:val="00657706"/>
    <w:rsid w:val="006577B9"/>
    <w:rsid w:val="006614DF"/>
    <w:rsid w:val="006618EF"/>
    <w:rsid w:val="00663304"/>
    <w:rsid w:val="00670774"/>
    <w:rsid w:val="0067091F"/>
    <w:rsid w:val="00673E70"/>
    <w:rsid w:val="00674524"/>
    <w:rsid w:val="006816F7"/>
    <w:rsid w:val="00690C24"/>
    <w:rsid w:val="0069240A"/>
    <w:rsid w:val="00694B3A"/>
    <w:rsid w:val="006B1280"/>
    <w:rsid w:val="006B4C10"/>
    <w:rsid w:val="006B6994"/>
    <w:rsid w:val="006C4CDF"/>
    <w:rsid w:val="006C5F8A"/>
    <w:rsid w:val="006C7FC3"/>
    <w:rsid w:val="006D04CB"/>
    <w:rsid w:val="006E0894"/>
    <w:rsid w:val="006E5EE3"/>
    <w:rsid w:val="006E5F2E"/>
    <w:rsid w:val="006F0AF0"/>
    <w:rsid w:val="006F4325"/>
    <w:rsid w:val="006F56F5"/>
    <w:rsid w:val="007013D9"/>
    <w:rsid w:val="00703456"/>
    <w:rsid w:val="00703A56"/>
    <w:rsid w:val="007056BA"/>
    <w:rsid w:val="0070593A"/>
    <w:rsid w:val="00705FB6"/>
    <w:rsid w:val="00706866"/>
    <w:rsid w:val="00716E96"/>
    <w:rsid w:val="00720767"/>
    <w:rsid w:val="0072667C"/>
    <w:rsid w:val="007309AC"/>
    <w:rsid w:val="007347B8"/>
    <w:rsid w:val="00734DE4"/>
    <w:rsid w:val="00737112"/>
    <w:rsid w:val="007407A9"/>
    <w:rsid w:val="0074117A"/>
    <w:rsid w:val="00744B83"/>
    <w:rsid w:val="00745207"/>
    <w:rsid w:val="00746A51"/>
    <w:rsid w:val="00751C17"/>
    <w:rsid w:val="0075506C"/>
    <w:rsid w:val="00765E5D"/>
    <w:rsid w:val="007736E3"/>
    <w:rsid w:val="00773873"/>
    <w:rsid w:val="00776670"/>
    <w:rsid w:val="00790114"/>
    <w:rsid w:val="00791576"/>
    <w:rsid w:val="00791FEC"/>
    <w:rsid w:val="007A0038"/>
    <w:rsid w:val="007A032F"/>
    <w:rsid w:val="007A29E9"/>
    <w:rsid w:val="007A4059"/>
    <w:rsid w:val="007A4999"/>
    <w:rsid w:val="007A54C8"/>
    <w:rsid w:val="007B18DF"/>
    <w:rsid w:val="007B2C70"/>
    <w:rsid w:val="007B3AAA"/>
    <w:rsid w:val="007B4185"/>
    <w:rsid w:val="007B5947"/>
    <w:rsid w:val="007C52F7"/>
    <w:rsid w:val="007D09FA"/>
    <w:rsid w:val="007D485C"/>
    <w:rsid w:val="007E0CDF"/>
    <w:rsid w:val="007E2B0D"/>
    <w:rsid w:val="007E56B5"/>
    <w:rsid w:val="007E6849"/>
    <w:rsid w:val="007F0C35"/>
    <w:rsid w:val="007F2480"/>
    <w:rsid w:val="007F343C"/>
    <w:rsid w:val="007F3532"/>
    <w:rsid w:val="007F3C83"/>
    <w:rsid w:val="007F40A3"/>
    <w:rsid w:val="0080120E"/>
    <w:rsid w:val="00801577"/>
    <w:rsid w:val="00804140"/>
    <w:rsid w:val="008048DE"/>
    <w:rsid w:val="00806279"/>
    <w:rsid w:val="00811919"/>
    <w:rsid w:val="008251BB"/>
    <w:rsid w:val="00830581"/>
    <w:rsid w:val="00832F8D"/>
    <w:rsid w:val="0083526E"/>
    <w:rsid w:val="008408B1"/>
    <w:rsid w:val="00843B2D"/>
    <w:rsid w:val="0084593A"/>
    <w:rsid w:val="008462F4"/>
    <w:rsid w:val="00851494"/>
    <w:rsid w:val="0085591F"/>
    <w:rsid w:val="00860659"/>
    <w:rsid w:val="008607D0"/>
    <w:rsid w:val="008646B2"/>
    <w:rsid w:val="0087032B"/>
    <w:rsid w:val="00873DAA"/>
    <w:rsid w:val="00874F4F"/>
    <w:rsid w:val="00876A83"/>
    <w:rsid w:val="00881887"/>
    <w:rsid w:val="0088378B"/>
    <w:rsid w:val="0088504B"/>
    <w:rsid w:val="00886557"/>
    <w:rsid w:val="00890898"/>
    <w:rsid w:val="00890CBE"/>
    <w:rsid w:val="0089128D"/>
    <w:rsid w:val="00893C70"/>
    <w:rsid w:val="00893D35"/>
    <w:rsid w:val="008A2BAF"/>
    <w:rsid w:val="008A3BFB"/>
    <w:rsid w:val="008A4B4B"/>
    <w:rsid w:val="008A66EC"/>
    <w:rsid w:val="008A7E22"/>
    <w:rsid w:val="008B0094"/>
    <w:rsid w:val="008B229C"/>
    <w:rsid w:val="008B334A"/>
    <w:rsid w:val="008B336A"/>
    <w:rsid w:val="008B3F5B"/>
    <w:rsid w:val="008B6A0E"/>
    <w:rsid w:val="008C0BA5"/>
    <w:rsid w:val="008C13AC"/>
    <w:rsid w:val="008C165E"/>
    <w:rsid w:val="008C16C9"/>
    <w:rsid w:val="008D33DD"/>
    <w:rsid w:val="008D42E8"/>
    <w:rsid w:val="008D4349"/>
    <w:rsid w:val="008E035E"/>
    <w:rsid w:val="008E0FB7"/>
    <w:rsid w:val="008E552F"/>
    <w:rsid w:val="008E67C1"/>
    <w:rsid w:val="008F21B2"/>
    <w:rsid w:val="008F73FB"/>
    <w:rsid w:val="00907AC7"/>
    <w:rsid w:val="0091536D"/>
    <w:rsid w:val="009170EA"/>
    <w:rsid w:val="00923783"/>
    <w:rsid w:val="009318B8"/>
    <w:rsid w:val="009327A5"/>
    <w:rsid w:val="00936C0C"/>
    <w:rsid w:val="009377DD"/>
    <w:rsid w:val="00942549"/>
    <w:rsid w:val="00946B30"/>
    <w:rsid w:val="0094766E"/>
    <w:rsid w:val="00953617"/>
    <w:rsid w:val="00961D97"/>
    <w:rsid w:val="00970831"/>
    <w:rsid w:val="009722DD"/>
    <w:rsid w:val="0097622E"/>
    <w:rsid w:val="00976E6A"/>
    <w:rsid w:val="00977878"/>
    <w:rsid w:val="00980465"/>
    <w:rsid w:val="00980F18"/>
    <w:rsid w:val="009852FB"/>
    <w:rsid w:val="009932F3"/>
    <w:rsid w:val="00995139"/>
    <w:rsid w:val="00997ADF"/>
    <w:rsid w:val="009A071A"/>
    <w:rsid w:val="009A0C2C"/>
    <w:rsid w:val="009B2DA3"/>
    <w:rsid w:val="009B7A5F"/>
    <w:rsid w:val="009D0793"/>
    <w:rsid w:val="009D0EE6"/>
    <w:rsid w:val="009D1E18"/>
    <w:rsid w:val="009D2858"/>
    <w:rsid w:val="009D49F2"/>
    <w:rsid w:val="009D68F2"/>
    <w:rsid w:val="009E1B95"/>
    <w:rsid w:val="009E28FA"/>
    <w:rsid w:val="009E43A4"/>
    <w:rsid w:val="009E5AE3"/>
    <w:rsid w:val="009F33D1"/>
    <w:rsid w:val="009F6547"/>
    <w:rsid w:val="009F6835"/>
    <w:rsid w:val="009F73DE"/>
    <w:rsid w:val="009F7FC5"/>
    <w:rsid w:val="00A026BB"/>
    <w:rsid w:val="00A03E5E"/>
    <w:rsid w:val="00A05687"/>
    <w:rsid w:val="00A1168C"/>
    <w:rsid w:val="00A136F4"/>
    <w:rsid w:val="00A17271"/>
    <w:rsid w:val="00A270AB"/>
    <w:rsid w:val="00A32F24"/>
    <w:rsid w:val="00A32FF0"/>
    <w:rsid w:val="00A35379"/>
    <w:rsid w:val="00A413A8"/>
    <w:rsid w:val="00A53675"/>
    <w:rsid w:val="00A54BF3"/>
    <w:rsid w:val="00A54C04"/>
    <w:rsid w:val="00A56B9D"/>
    <w:rsid w:val="00A64D48"/>
    <w:rsid w:val="00A6657D"/>
    <w:rsid w:val="00A6728B"/>
    <w:rsid w:val="00A74C2E"/>
    <w:rsid w:val="00A80EF0"/>
    <w:rsid w:val="00A81F88"/>
    <w:rsid w:val="00A84282"/>
    <w:rsid w:val="00A854CC"/>
    <w:rsid w:val="00A93925"/>
    <w:rsid w:val="00AA1581"/>
    <w:rsid w:val="00AA1969"/>
    <w:rsid w:val="00AA2C3A"/>
    <w:rsid w:val="00AA2D03"/>
    <w:rsid w:val="00AB08B0"/>
    <w:rsid w:val="00AB103C"/>
    <w:rsid w:val="00AB130F"/>
    <w:rsid w:val="00AB7DF4"/>
    <w:rsid w:val="00AB7F26"/>
    <w:rsid w:val="00AD41C4"/>
    <w:rsid w:val="00AD4FCE"/>
    <w:rsid w:val="00AE1B5E"/>
    <w:rsid w:val="00AE2E2A"/>
    <w:rsid w:val="00AE6A3D"/>
    <w:rsid w:val="00AF0A67"/>
    <w:rsid w:val="00AF0FBE"/>
    <w:rsid w:val="00AF11EB"/>
    <w:rsid w:val="00AF1232"/>
    <w:rsid w:val="00AF4B29"/>
    <w:rsid w:val="00B01CA8"/>
    <w:rsid w:val="00B02B5D"/>
    <w:rsid w:val="00B164CA"/>
    <w:rsid w:val="00B1715F"/>
    <w:rsid w:val="00B20B70"/>
    <w:rsid w:val="00B2128C"/>
    <w:rsid w:val="00B21480"/>
    <w:rsid w:val="00B265FA"/>
    <w:rsid w:val="00B30D4C"/>
    <w:rsid w:val="00B31EEC"/>
    <w:rsid w:val="00B35A7C"/>
    <w:rsid w:val="00B409C7"/>
    <w:rsid w:val="00B473E5"/>
    <w:rsid w:val="00B529FA"/>
    <w:rsid w:val="00B550B6"/>
    <w:rsid w:val="00B56716"/>
    <w:rsid w:val="00B57EBC"/>
    <w:rsid w:val="00B61617"/>
    <w:rsid w:val="00B629CA"/>
    <w:rsid w:val="00B71D1C"/>
    <w:rsid w:val="00B7602A"/>
    <w:rsid w:val="00B82B27"/>
    <w:rsid w:val="00B92980"/>
    <w:rsid w:val="00B94E73"/>
    <w:rsid w:val="00B95571"/>
    <w:rsid w:val="00B97230"/>
    <w:rsid w:val="00B97A2B"/>
    <w:rsid w:val="00BA2429"/>
    <w:rsid w:val="00BA6B49"/>
    <w:rsid w:val="00BA7792"/>
    <w:rsid w:val="00BB26E1"/>
    <w:rsid w:val="00BB56F0"/>
    <w:rsid w:val="00BB68E3"/>
    <w:rsid w:val="00BC27E3"/>
    <w:rsid w:val="00BD24F8"/>
    <w:rsid w:val="00BD2721"/>
    <w:rsid w:val="00BD6B85"/>
    <w:rsid w:val="00BE362E"/>
    <w:rsid w:val="00BE6BCA"/>
    <w:rsid w:val="00BF38BE"/>
    <w:rsid w:val="00C10A0C"/>
    <w:rsid w:val="00C12FBF"/>
    <w:rsid w:val="00C14B15"/>
    <w:rsid w:val="00C212DD"/>
    <w:rsid w:val="00C26490"/>
    <w:rsid w:val="00C26A46"/>
    <w:rsid w:val="00C27813"/>
    <w:rsid w:val="00C32398"/>
    <w:rsid w:val="00C33A0D"/>
    <w:rsid w:val="00C40F8F"/>
    <w:rsid w:val="00C47267"/>
    <w:rsid w:val="00C502D4"/>
    <w:rsid w:val="00C50582"/>
    <w:rsid w:val="00C5389E"/>
    <w:rsid w:val="00C54341"/>
    <w:rsid w:val="00C54494"/>
    <w:rsid w:val="00C64EC4"/>
    <w:rsid w:val="00C71C59"/>
    <w:rsid w:val="00C7360F"/>
    <w:rsid w:val="00C75FCF"/>
    <w:rsid w:val="00C762EE"/>
    <w:rsid w:val="00C76CBB"/>
    <w:rsid w:val="00C80239"/>
    <w:rsid w:val="00C8425B"/>
    <w:rsid w:val="00C8658E"/>
    <w:rsid w:val="00C92379"/>
    <w:rsid w:val="00C94060"/>
    <w:rsid w:val="00C95097"/>
    <w:rsid w:val="00C97E8B"/>
    <w:rsid w:val="00CA12BB"/>
    <w:rsid w:val="00CA2131"/>
    <w:rsid w:val="00CA352D"/>
    <w:rsid w:val="00CA7BEB"/>
    <w:rsid w:val="00CB60E7"/>
    <w:rsid w:val="00CC0531"/>
    <w:rsid w:val="00CC0DDA"/>
    <w:rsid w:val="00CC160D"/>
    <w:rsid w:val="00CC17F4"/>
    <w:rsid w:val="00CC1FA7"/>
    <w:rsid w:val="00CC37A6"/>
    <w:rsid w:val="00CC4DDC"/>
    <w:rsid w:val="00CD10CF"/>
    <w:rsid w:val="00CD18D5"/>
    <w:rsid w:val="00CD1A67"/>
    <w:rsid w:val="00CD5A4A"/>
    <w:rsid w:val="00CD7F83"/>
    <w:rsid w:val="00CE1AC6"/>
    <w:rsid w:val="00CE20A2"/>
    <w:rsid w:val="00CE35B0"/>
    <w:rsid w:val="00CE5583"/>
    <w:rsid w:val="00CE5A99"/>
    <w:rsid w:val="00CE5FE4"/>
    <w:rsid w:val="00CF2167"/>
    <w:rsid w:val="00CF5D50"/>
    <w:rsid w:val="00CF715B"/>
    <w:rsid w:val="00D0352C"/>
    <w:rsid w:val="00D0359D"/>
    <w:rsid w:val="00D0502B"/>
    <w:rsid w:val="00D05650"/>
    <w:rsid w:val="00D06643"/>
    <w:rsid w:val="00D12924"/>
    <w:rsid w:val="00D164C7"/>
    <w:rsid w:val="00D16D31"/>
    <w:rsid w:val="00D26147"/>
    <w:rsid w:val="00D27E06"/>
    <w:rsid w:val="00D31341"/>
    <w:rsid w:val="00D316F0"/>
    <w:rsid w:val="00D36634"/>
    <w:rsid w:val="00D401E3"/>
    <w:rsid w:val="00D40CB5"/>
    <w:rsid w:val="00D53250"/>
    <w:rsid w:val="00D558FC"/>
    <w:rsid w:val="00D61908"/>
    <w:rsid w:val="00D61C07"/>
    <w:rsid w:val="00D63E10"/>
    <w:rsid w:val="00D64299"/>
    <w:rsid w:val="00D7218D"/>
    <w:rsid w:val="00D727FA"/>
    <w:rsid w:val="00D749F1"/>
    <w:rsid w:val="00D86A5D"/>
    <w:rsid w:val="00D87C50"/>
    <w:rsid w:val="00D938D7"/>
    <w:rsid w:val="00D94D78"/>
    <w:rsid w:val="00D97930"/>
    <w:rsid w:val="00DA2024"/>
    <w:rsid w:val="00DA55AC"/>
    <w:rsid w:val="00DA7FAD"/>
    <w:rsid w:val="00DB011F"/>
    <w:rsid w:val="00DC37AE"/>
    <w:rsid w:val="00DC613C"/>
    <w:rsid w:val="00DD538F"/>
    <w:rsid w:val="00DD734F"/>
    <w:rsid w:val="00DD7BE3"/>
    <w:rsid w:val="00DE197E"/>
    <w:rsid w:val="00DE5D14"/>
    <w:rsid w:val="00DE6960"/>
    <w:rsid w:val="00DF2B26"/>
    <w:rsid w:val="00DF398E"/>
    <w:rsid w:val="00DF3A35"/>
    <w:rsid w:val="00E037B2"/>
    <w:rsid w:val="00E03E19"/>
    <w:rsid w:val="00E05842"/>
    <w:rsid w:val="00E05F37"/>
    <w:rsid w:val="00E07396"/>
    <w:rsid w:val="00E12C1C"/>
    <w:rsid w:val="00E14270"/>
    <w:rsid w:val="00E2147F"/>
    <w:rsid w:val="00E222CE"/>
    <w:rsid w:val="00E22EBF"/>
    <w:rsid w:val="00E31560"/>
    <w:rsid w:val="00E349D6"/>
    <w:rsid w:val="00E37973"/>
    <w:rsid w:val="00E406A5"/>
    <w:rsid w:val="00E43FC4"/>
    <w:rsid w:val="00E57FF3"/>
    <w:rsid w:val="00E61FA7"/>
    <w:rsid w:val="00E66922"/>
    <w:rsid w:val="00E70B6F"/>
    <w:rsid w:val="00E7351F"/>
    <w:rsid w:val="00E75A02"/>
    <w:rsid w:val="00E77FC0"/>
    <w:rsid w:val="00E811C2"/>
    <w:rsid w:val="00E8304F"/>
    <w:rsid w:val="00E853A6"/>
    <w:rsid w:val="00E91FA9"/>
    <w:rsid w:val="00E94CFF"/>
    <w:rsid w:val="00E95049"/>
    <w:rsid w:val="00E95434"/>
    <w:rsid w:val="00E955D0"/>
    <w:rsid w:val="00E95EDA"/>
    <w:rsid w:val="00E97471"/>
    <w:rsid w:val="00E97A55"/>
    <w:rsid w:val="00EA0C41"/>
    <w:rsid w:val="00EA0DAE"/>
    <w:rsid w:val="00EA4855"/>
    <w:rsid w:val="00EB0791"/>
    <w:rsid w:val="00EB4B56"/>
    <w:rsid w:val="00EC198B"/>
    <w:rsid w:val="00ED09BE"/>
    <w:rsid w:val="00ED2227"/>
    <w:rsid w:val="00ED4F41"/>
    <w:rsid w:val="00ED548D"/>
    <w:rsid w:val="00EE3A41"/>
    <w:rsid w:val="00EF02F2"/>
    <w:rsid w:val="00EF069F"/>
    <w:rsid w:val="00EF2238"/>
    <w:rsid w:val="00EF4485"/>
    <w:rsid w:val="00EF61F2"/>
    <w:rsid w:val="00F028D1"/>
    <w:rsid w:val="00F02AE2"/>
    <w:rsid w:val="00F02D0A"/>
    <w:rsid w:val="00F064BC"/>
    <w:rsid w:val="00F06644"/>
    <w:rsid w:val="00F13D62"/>
    <w:rsid w:val="00F142DA"/>
    <w:rsid w:val="00F1478E"/>
    <w:rsid w:val="00F15926"/>
    <w:rsid w:val="00F2379B"/>
    <w:rsid w:val="00F26DA9"/>
    <w:rsid w:val="00F27316"/>
    <w:rsid w:val="00F279EF"/>
    <w:rsid w:val="00F34834"/>
    <w:rsid w:val="00F36139"/>
    <w:rsid w:val="00F42165"/>
    <w:rsid w:val="00F523D1"/>
    <w:rsid w:val="00F733B3"/>
    <w:rsid w:val="00F77191"/>
    <w:rsid w:val="00F77D8D"/>
    <w:rsid w:val="00F8240C"/>
    <w:rsid w:val="00F92A53"/>
    <w:rsid w:val="00F952E1"/>
    <w:rsid w:val="00F97A2B"/>
    <w:rsid w:val="00FA613C"/>
    <w:rsid w:val="00FA6642"/>
    <w:rsid w:val="00FB73BE"/>
    <w:rsid w:val="00FC1B2F"/>
    <w:rsid w:val="00FC223D"/>
    <w:rsid w:val="00FC2D52"/>
    <w:rsid w:val="00FC38A6"/>
    <w:rsid w:val="00FC413A"/>
    <w:rsid w:val="00FD0114"/>
    <w:rsid w:val="00FD5553"/>
    <w:rsid w:val="00FF2514"/>
    <w:rsid w:val="00FF4922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1FF8CB9C"/>
  <w15:docId w15:val="{BC5B36D2-DF98-4DEE-84AB-DBC44277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F2"/>
    <w:pPr>
      <w:spacing w:before="200" w:after="0" w:line="240" w:lineRule="atLeast"/>
    </w:pPr>
    <w:rPr>
      <w:rFonts w:ascii="Arial" w:eastAsia="Times New Roman" w:hAnsi="Arial" w:cs="Times New Roman"/>
      <w:sz w:val="20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8F2"/>
    <w:pPr>
      <w:tabs>
        <w:tab w:val="center" w:pos="4153"/>
        <w:tab w:val="right" w:pos="8306"/>
      </w:tabs>
      <w:spacing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D68F2"/>
    <w:rPr>
      <w:rFonts w:ascii="Arial" w:eastAsia="Times New Roman" w:hAnsi="Arial" w:cs="Times New Roman"/>
      <w:sz w:val="16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9D68F2"/>
    <w:pPr>
      <w:tabs>
        <w:tab w:val="center" w:pos="4153"/>
        <w:tab w:val="right" w:pos="8306"/>
      </w:tabs>
      <w:spacing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D68F2"/>
    <w:rPr>
      <w:rFonts w:ascii="Arial" w:eastAsia="Times New Roman" w:hAnsi="Arial" w:cs="Times New Roman"/>
      <w:sz w:val="16"/>
      <w:szCs w:val="24"/>
      <w:lang w:eastAsia="en-AU"/>
    </w:rPr>
  </w:style>
  <w:style w:type="character" w:styleId="Hyperlink">
    <w:name w:val="Hyperlink"/>
    <w:basedOn w:val="DefaultParagraphFont"/>
    <w:rsid w:val="009D68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68F2"/>
    <w:pPr>
      <w:ind w:left="720"/>
    </w:pPr>
  </w:style>
  <w:style w:type="character" w:customStyle="1" w:styleId="CharSectno">
    <w:name w:val="CharSectno"/>
    <w:basedOn w:val="DefaultParagraphFont"/>
    <w:rsid w:val="009D68F2"/>
  </w:style>
  <w:style w:type="paragraph" w:customStyle="1" w:styleId="R1">
    <w:name w:val="R1"/>
    <w:aliases w:val="1. or 1.(1)"/>
    <w:basedOn w:val="Normal"/>
    <w:next w:val="Normal"/>
    <w:rsid w:val="009D68F2"/>
    <w:pPr>
      <w:tabs>
        <w:tab w:val="right" w:pos="794"/>
        <w:tab w:val="left" w:pos="964"/>
      </w:tabs>
      <w:spacing w:before="120" w:after="120" w:line="260" w:lineRule="exact"/>
      <w:ind w:left="964" w:hanging="964"/>
      <w:jc w:val="both"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next w:val="Normal"/>
    <w:link w:val="TitleChar"/>
    <w:rsid w:val="009D68F2"/>
    <w:pPr>
      <w:spacing w:before="240" w:after="240" w:line="240" w:lineRule="auto"/>
    </w:pPr>
    <w:rPr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9D68F2"/>
    <w:rPr>
      <w:rFonts w:ascii="Arial" w:eastAsia="Times New Roman" w:hAnsi="Arial" w:cs="Times New Roman"/>
      <w:b/>
      <w:sz w:val="40"/>
      <w:szCs w:val="20"/>
      <w:lang w:eastAsia="en-AU"/>
    </w:rPr>
  </w:style>
  <w:style w:type="paragraph" w:customStyle="1" w:styleId="R2">
    <w:name w:val="R2"/>
    <w:aliases w:val="(2)"/>
    <w:basedOn w:val="R1"/>
    <w:rsid w:val="009D68F2"/>
    <w:pPr>
      <w:spacing w:before="180"/>
    </w:pPr>
  </w:style>
  <w:style w:type="paragraph" w:customStyle="1" w:styleId="HR">
    <w:name w:val="HR"/>
    <w:aliases w:val="Regulation Heading"/>
    <w:basedOn w:val="Normal"/>
    <w:next w:val="R1"/>
    <w:rsid w:val="009D68F2"/>
    <w:pPr>
      <w:keepNext/>
      <w:spacing w:before="360" w:after="120" w:line="240" w:lineRule="auto"/>
      <w:ind w:left="964" w:hanging="964"/>
    </w:pPr>
    <w:rPr>
      <w:b/>
      <w:sz w:val="24"/>
      <w:szCs w:val="20"/>
    </w:rPr>
  </w:style>
  <w:style w:type="paragraph" w:customStyle="1" w:styleId="NoteEnd">
    <w:name w:val="Note End"/>
    <w:basedOn w:val="Normal"/>
    <w:rsid w:val="009D68F2"/>
    <w:pPr>
      <w:keepLines/>
      <w:spacing w:before="120" w:after="120" w:line="240" w:lineRule="exact"/>
      <w:ind w:left="567" w:hanging="567"/>
      <w:jc w:val="both"/>
    </w:pPr>
    <w:rPr>
      <w:rFonts w:ascii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1F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1F6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81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88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887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887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88655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cord" ma:contentTypeID="0x01010070E27D6A746B5B48ADF22C2128054D5500716CB7AA94B2964D89B51EAFED1405CD" ma:contentTypeVersion="1" ma:contentTypeDescription="A corporate electronic record that is automatically captured by ACMA's RecordPoint document management system." ma:contentTypeScope="" ma:versionID="50687ff0a1118a7fb1510565ee2e34a1">
  <xsd:schema xmlns:xsd="http://www.w3.org/2001/XMLSchema" xmlns:xs="http://www.w3.org/2001/XMLSchema" xmlns:p="http://schemas.microsoft.com/office/2006/metadata/properties" xmlns:ns1="http://schemas.microsoft.com/sharepoint/v3" xmlns:ns2="83630db1-6fc2-4dfd-b3fe-d61d34e1440c" xmlns:ns3="6db8f3c6-01a1-4322-b043-a3b2a190f7a8" xmlns:ns5="http://schemas.microsoft.com/sharepoint/v4" targetNamespace="http://schemas.microsoft.com/office/2006/metadata/properties" ma:root="true" ma:fieldsID="2c3efc1ff6de602f1c50c732bcd3e212" ns1:_="" ns2:_="" ns3:_="" ns5:_="">
    <xsd:import namespace="http://schemas.microsoft.com/sharepoint/v3"/>
    <xsd:import namespace="83630db1-6fc2-4dfd-b3fe-d61d34e1440c"/>
    <xsd:import namespace="6db8f3c6-01a1-4322-b043-a3b2a190f7a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egacy_x0020_Record_x0020_Number" minOccurs="0"/>
                <xsd:element ref="ns2:Record_x0020_Number" minOccurs="0"/>
                <xsd:element ref="ns3:_dlc_DocId" minOccurs="0"/>
                <xsd:element ref="ns3:_dlc_DocIdUrl" minOccurs="0"/>
                <xsd:element ref="ns3:_dlc_DocIdPersistId" minOccurs="0"/>
                <xsd:element ref="ns3:TaxCatchAll" minOccurs="0"/>
                <xsd:element ref="ns5:IconOverlay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5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2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21" nillable="true" ma:displayName="E-Mail From" ma:hidden="true" ma:internalName="EmailFrom">
      <xsd:simpleType>
        <xsd:restriction base="dms:Text"/>
      </xsd:simpleType>
    </xsd:element>
    <xsd:element name="EmailSubject" ma:index="2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0db1-6fc2-4dfd-b3fe-d61d34e1440c" elementFormDefault="qualified">
    <xsd:import namespace="http://schemas.microsoft.com/office/2006/documentManagement/types"/>
    <xsd:import namespace="http://schemas.microsoft.com/office/infopath/2007/PartnerControls"/>
    <xsd:element name="Legacy_x0020_Record_x0020_Number" ma:index="8" nillable="true" ma:displayName="Legacy Record Number" ma:description="Captures legacy record numbers, eg from TRIM." ma:internalName="Legacy_x0020_Record_x0020_Number">
      <xsd:simpleType>
        <xsd:restriction base="dms:Text">
          <xsd:maxLength value="40"/>
        </xsd:restriction>
      </xsd:simpleType>
    </xsd:element>
    <xsd:element name="Record_x0020_Number" ma:index="9" nillable="true" ma:displayName="Record Number" ma:internalName="Record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description="" ma:hidden="true" ma:list="{1bb55c8d-2a31-4abb-942a-851e983a24b0}" ma:internalName="TaxCatchAll" ma:showField="CatchAllData" ma:web="6db8f3c6-01a1-4322-b043-a3b2a190f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  <xsd:element name="EmailHeaders" ma:index="2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033047a-93aa-421b-8aef-52cbfb63cf36" ContentTypeId="0x01010070E27D6A746B5B48ADF22C2128054D55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Record_x0020_Number xmlns="83630db1-6fc2-4dfd-b3fe-d61d34e1440c">ER2014/070410</Record_x0020_Number>
    <EmailHeaders xmlns="http://schemas.microsoft.com/sharepoint/v4" xsi:nil="true"/>
    <Legacy_x0020_Record_x0020_Number xmlns="83630db1-6fc2-4dfd-b3fe-d61d34e1440c" xsi:nil="true"/>
    <IconOverlay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TaxCatchAll xmlns="6db8f3c6-01a1-4322-b043-a3b2a190f7a8"/>
    <EmailCc xmlns="http://schemas.microsoft.com/sharepoint/v3" xsi:nil="true"/>
    <_dlc_DocId xmlns="6db8f3c6-01a1-4322-b043-a3b2a190f7a8">KNAH4PPFC442-2143-718</_dlc_DocId>
    <_dlc_DocIdUrl xmlns="6db8f3c6-01a1-4322-b043-a3b2a190f7a8">
      <Url>http://collaboration/organisation/DED/NBNIMB/NBNIS/BB/_layouts/DocIdRedir.aspx?ID=KNAH4PPFC442-2143-718</Url>
      <Description>KNAH4PPFC442-2143-718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20329-815C-440A-AF75-9C6E1CAE13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19555-1FE0-4CB2-A956-8D30A4276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630db1-6fc2-4dfd-b3fe-d61d34e1440c"/>
    <ds:schemaRef ds:uri="6db8f3c6-01a1-4322-b043-a3b2a190f7a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D3138-C53F-47F0-A741-D9531BA8E54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F1EBAA7-19F8-42D2-93F4-FAC7443FB8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38B8E12-3CDA-4B24-973B-37AAD37C42E0}">
  <ds:schemaRefs>
    <ds:schemaRef ds:uri="http://schemas.microsoft.com/office/2006/documentManagement/types"/>
    <ds:schemaRef ds:uri="http://purl.org/dc/elements/1.1/"/>
    <ds:schemaRef ds:uri="83630db1-6fc2-4dfd-b3fe-d61d34e1440c"/>
    <ds:schemaRef ds:uri="http://purl.org/dc/dcmitype/"/>
    <ds:schemaRef ds:uri="http://purl.org/dc/terms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sharepoint/v4"/>
    <ds:schemaRef ds:uri="6db8f3c6-01a1-4322-b043-a3b2a190f7a8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916E2971-1981-4F2D-990E-FE512BBC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Backup Power Informed Consent SPD 2014 _ 13 May 2014 CLEAN</vt:lpstr>
    </vt:vector>
  </TitlesOfParts>
  <Company>Australian Communications and Media Authority</Company>
  <LinksUpToDate>false</LinksUpToDate>
  <CharactersWithSpaces>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Backup Power Informed Consent SPD 2014 _ 13 May 2014 CLEAN</dc:title>
  <dc:creator>John Griffiths</dc:creator>
  <cp:lastModifiedBy>Helen Turnbull</cp:lastModifiedBy>
  <cp:revision>5</cp:revision>
  <cp:lastPrinted>2014-06-16T01:44:00Z</cp:lastPrinted>
  <dcterms:created xsi:type="dcterms:W3CDTF">2014-08-06T00:01:00Z</dcterms:created>
  <dcterms:modified xsi:type="dcterms:W3CDTF">2014-08-15T03:26:00Z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0x01010070E27D6A746B5B48ADF22C2128054D5500716CB7AA94B2964D89B51EAFED1405CD</vt:lpwstr>
  </property>
  <property fmtid="{D5CDD505-2E9C-101B-9397-08002B2CF9AE}" pid="3" name="_dlc_DocIdItemGuid">
    <vt:lpwstr>20d42a25-4de8-4470-a799-127772fa3421</vt:lpwstr>
  </property>
  <property fmtid="{D5CDD505-2E9C-101B-9397-08002B2CF9AE}" pid="4" name="RecordPoint_SubmissionDate">
    <vt:lpwstr/>
  </property>
  <property fmtid="{D5CDD505-2E9C-101B-9397-08002B2CF9AE}" pid="5" name="RecordPoint_ActiveItemSiteId">
    <vt:lpwstr>{7ba5f3c1-1ab9-4cc3-a7c0-334d2b0aec73}</vt:lpwstr>
  </property>
  <property fmtid="{D5CDD505-2E9C-101B-9397-08002B2CF9AE}" pid="6" name="RecordPoint_ActiveItemListId">
    <vt:lpwstr>{c37c67c0-c5d9-45e2-b19c-5157dbcb426a}</vt:lpwstr>
  </property>
  <property fmtid="{D5CDD505-2E9C-101B-9397-08002B2CF9AE}" pid="7" name="RecordPoint_SubmissionCompleted">
    <vt:lpwstr>2014-05-28T16:11:48.7277638+10:00</vt:lpwstr>
  </property>
  <property fmtid="{D5CDD505-2E9C-101B-9397-08002B2CF9AE}" pid="8" name="RecordPoint_ActiveItemMoved">
    <vt:lpwstr/>
  </property>
  <property fmtid="{D5CDD505-2E9C-101B-9397-08002B2CF9AE}" pid="9" name="RecordPoint_ActiveItemUniqueId">
    <vt:lpwstr>{20d42a25-4de8-4470-a799-127772fa3421}</vt:lpwstr>
  </property>
  <property fmtid="{D5CDD505-2E9C-101B-9397-08002B2CF9AE}" pid="10" name="RecordPoint_RecordFormat">
    <vt:lpwstr/>
  </property>
  <property fmtid="{D5CDD505-2E9C-101B-9397-08002B2CF9AE}" pid="11" name="RecordPoint_ActiveItemWebId">
    <vt:lpwstr>{174070f5-e481-4be0-8934-3309665a2b0a}</vt:lpwstr>
  </property>
  <property fmtid="{D5CDD505-2E9C-101B-9397-08002B2CF9AE}" pid="12" name="RecordPoint_WorkflowType">
    <vt:lpwstr>ActiveSubmitStub</vt:lpwstr>
  </property>
  <property fmtid="{D5CDD505-2E9C-101B-9397-08002B2CF9AE}" pid="13" name="Order">
    <vt:r8>65800</vt:r8>
  </property>
</Properties>
</file>