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CAEB6" w14:textId="77777777" w:rsidR="00D00981" w:rsidRPr="00603250" w:rsidRDefault="00C61B49" w:rsidP="00603250">
      <w:pPr>
        <w:pStyle w:val="Title"/>
      </w:pPr>
      <w:r w:rsidRPr="00603250">
        <w:t>EXPLANATORY STATEMENT</w:t>
      </w:r>
    </w:p>
    <w:p w14:paraId="34E758CE" w14:textId="77777777" w:rsidR="00C61B49" w:rsidRPr="000265A3" w:rsidRDefault="00FB19E8" w:rsidP="00FB19E8">
      <w:pPr>
        <w:jc w:val="center"/>
        <w:rPr>
          <w:b/>
          <w:sz w:val="26"/>
          <w:szCs w:val="26"/>
          <w:lang w:val="en-US"/>
        </w:rPr>
      </w:pPr>
      <w:r w:rsidRPr="000265A3">
        <w:rPr>
          <w:b/>
          <w:sz w:val="26"/>
          <w:szCs w:val="26"/>
          <w:lang w:val="en-US"/>
        </w:rPr>
        <w:t xml:space="preserve">Prepared </w:t>
      </w:r>
      <w:r w:rsidR="00C61B49" w:rsidRPr="000265A3">
        <w:rPr>
          <w:b/>
          <w:sz w:val="26"/>
          <w:szCs w:val="26"/>
          <w:lang w:val="en-US"/>
        </w:rPr>
        <w:t>by the Australian Communications and Media Authority</w:t>
      </w:r>
    </w:p>
    <w:p w14:paraId="2A46A4C3" w14:textId="77777777" w:rsidR="00FB19E8" w:rsidRPr="000265A3" w:rsidRDefault="003A6502" w:rsidP="00FB19E8">
      <w:pPr>
        <w:jc w:val="center"/>
        <w:rPr>
          <w:b/>
          <w:i/>
          <w:sz w:val="26"/>
          <w:szCs w:val="26"/>
          <w:lang w:val="en-US"/>
        </w:rPr>
      </w:pPr>
      <w:r w:rsidRPr="000265A3">
        <w:rPr>
          <w:b/>
          <w:i/>
          <w:sz w:val="26"/>
          <w:szCs w:val="26"/>
          <w:lang w:val="en-US"/>
        </w:rPr>
        <w:t>Telecommunications (Backup Power and Informed Decisions) Service Provider Determination 2014</w:t>
      </w:r>
    </w:p>
    <w:p w14:paraId="732BA314" w14:textId="77777777" w:rsidR="003A6502" w:rsidRPr="000265A3" w:rsidRDefault="003A6502" w:rsidP="003A6502">
      <w:pPr>
        <w:jc w:val="center"/>
        <w:rPr>
          <w:i/>
          <w:lang w:val="en-US"/>
        </w:rPr>
      </w:pPr>
      <w:r w:rsidRPr="00603250">
        <w:rPr>
          <w:i/>
          <w:lang w:val="en-US"/>
        </w:rPr>
        <w:t>Telecommunications Act 1997</w:t>
      </w:r>
    </w:p>
    <w:p w14:paraId="6C1C3917" w14:textId="77777777" w:rsidR="003A6502" w:rsidRDefault="003A6502" w:rsidP="000265A3">
      <w:pPr>
        <w:jc w:val="left"/>
      </w:pPr>
      <w:r w:rsidRPr="004249A2">
        <w:t>The</w:t>
      </w:r>
      <w:r w:rsidRPr="000265A3">
        <w:rPr>
          <w:i/>
          <w:lang w:val="en-US"/>
        </w:rPr>
        <w:t xml:space="preserve"> Telecommunications (Backup Power and Informed Decisions) Service Provider Determination 2014</w:t>
      </w:r>
      <w:r>
        <w:rPr>
          <w:lang w:val="en-US"/>
        </w:rPr>
        <w:t xml:space="preserve"> </w:t>
      </w:r>
      <w:r w:rsidR="00D065B4">
        <w:rPr>
          <w:lang w:val="en-US"/>
        </w:rPr>
        <w:t>(</w:t>
      </w:r>
      <w:r w:rsidR="00D065B4" w:rsidRPr="000265A3">
        <w:rPr>
          <w:lang w:val="en-US"/>
        </w:rPr>
        <w:t>the</w:t>
      </w:r>
      <w:r w:rsidR="00D065B4" w:rsidRPr="000265A3">
        <w:rPr>
          <w:b/>
          <w:lang w:val="en-US"/>
        </w:rPr>
        <w:t xml:space="preserve"> Determination</w:t>
      </w:r>
      <w:r w:rsidR="00D065B4">
        <w:rPr>
          <w:lang w:val="en-US"/>
        </w:rPr>
        <w:t xml:space="preserve">) </w:t>
      </w:r>
      <w:r>
        <w:rPr>
          <w:lang w:val="en-US"/>
        </w:rPr>
        <w:t>is made by the Australian Communications and Media Authority (</w:t>
      </w:r>
      <w:r w:rsidRPr="000265A3">
        <w:rPr>
          <w:lang w:val="en-US"/>
        </w:rPr>
        <w:t>the</w:t>
      </w:r>
      <w:r w:rsidRPr="000265A3">
        <w:rPr>
          <w:b/>
          <w:lang w:val="en-US"/>
        </w:rPr>
        <w:t xml:space="preserve"> ACMA</w:t>
      </w:r>
      <w:r>
        <w:rPr>
          <w:lang w:val="en-US"/>
        </w:rPr>
        <w:t xml:space="preserve">) under subsection 99(1) of </w:t>
      </w:r>
      <w:r w:rsidRPr="00A0560D">
        <w:t xml:space="preserve">the </w:t>
      </w:r>
      <w:r w:rsidRPr="00A0560D">
        <w:rPr>
          <w:i/>
        </w:rPr>
        <w:t>Telecommunications Act 1997</w:t>
      </w:r>
      <w:r w:rsidRPr="00A0560D">
        <w:t xml:space="preserve"> (</w:t>
      </w:r>
      <w:r w:rsidRPr="0041200A">
        <w:t>the</w:t>
      </w:r>
      <w:r w:rsidRPr="00546A33">
        <w:rPr>
          <w:b/>
        </w:rPr>
        <w:t xml:space="preserve"> Act</w:t>
      </w:r>
      <w:r w:rsidRPr="00A0560D">
        <w:t>)</w:t>
      </w:r>
      <w:r>
        <w:t>.</w:t>
      </w:r>
    </w:p>
    <w:p w14:paraId="11C706E4" w14:textId="77777777" w:rsidR="003A6502" w:rsidRPr="005A68AB" w:rsidRDefault="003A6502" w:rsidP="000265A3">
      <w:pPr>
        <w:rPr>
          <w:szCs w:val="26"/>
        </w:rPr>
      </w:pPr>
      <w:r w:rsidRPr="000265A3">
        <w:rPr>
          <w:b/>
          <w:sz w:val="26"/>
          <w:szCs w:val="26"/>
        </w:rPr>
        <w:t>Background</w:t>
      </w:r>
    </w:p>
    <w:p w14:paraId="1B602316" w14:textId="77777777" w:rsidR="005042F9" w:rsidRPr="000265A3" w:rsidRDefault="005042F9" w:rsidP="000265A3">
      <w:pPr>
        <w:pStyle w:val="zr1"/>
        <w:rPr>
          <w:i/>
        </w:rPr>
      </w:pPr>
      <w:r w:rsidRPr="000265A3">
        <w:rPr>
          <w:i/>
        </w:rPr>
        <w:t>Legislative provisions</w:t>
      </w:r>
    </w:p>
    <w:p w14:paraId="522EB6B1" w14:textId="77777777" w:rsidR="002941E9" w:rsidRDefault="003A6502" w:rsidP="000265A3">
      <w:pPr>
        <w:pStyle w:val="zr1"/>
        <w:rPr>
          <w:rFonts w:ascii="Arial" w:hAnsi="Arial" w:cs="Arial"/>
          <w:sz w:val="19"/>
          <w:szCs w:val="19"/>
        </w:rPr>
      </w:pPr>
      <w:r w:rsidRPr="00A0560D">
        <w:t>Subsection 99(1) of the</w:t>
      </w:r>
      <w:r>
        <w:t xml:space="preserve"> Act provides that the ACMA</w:t>
      </w:r>
      <w:r w:rsidRPr="00A0560D">
        <w:t xml:space="preserve"> may</w:t>
      </w:r>
      <w:r w:rsidR="00125C9B">
        <w:t xml:space="preserve">, by legislative instrument, make a </w:t>
      </w:r>
      <w:r w:rsidRPr="00A0560D">
        <w:t>determination setting out rules</w:t>
      </w:r>
      <w:r w:rsidR="00125C9B">
        <w:t xml:space="preserve"> that apply to</w:t>
      </w:r>
      <w:r w:rsidRPr="00A0560D">
        <w:t xml:space="preserve"> service providers in relation to the supply of specified carriage </w:t>
      </w:r>
      <w:r>
        <w:t xml:space="preserve">services </w:t>
      </w:r>
      <w:r w:rsidRPr="00A0560D">
        <w:t xml:space="preserve">or specified content services. </w:t>
      </w:r>
      <w:r w:rsidR="00125C9B">
        <w:t xml:space="preserve"> A service provider is a carriage </w:t>
      </w:r>
      <w:proofErr w:type="gramStart"/>
      <w:r w:rsidR="00125C9B">
        <w:t>service</w:t>
      </w:r>
      <w:proofErr w:type="gramEnd"/>
      <w:r w:rsidR="00125C9B">
        <w:t xml:space="preserve"> provider</w:t>
      </w:r>
      <w:r w:rsidR="005042F9">
        <w:t xml:space="preserve"> (</w:t>
      </w:r>
      <w:r w:rsidR="005042F9" w:rsidRPr="000265A3">
        <w:rPr>
          <w:b/>
        </w:rPr>
        <w:t>CSP</w:t>
      </w:r>
      <w:r w:rsidR="005042F9">
        <w:t>)</w:t>
      </w:r>
      <w:r w:rsidR="00125C9B">
        <w:t xml:space="preserve"> or a content service provider (see section 86 of the Act). </w:t>
      </w:r>
      <w:r w:rsidR="002941E9">
        <w:t xml:space="preserve"> </w:t>
      </w:r>
      <w:r w:rsidR="002941E9" w:rsidRPr="002941E9">
        <w:rPr>
          <w:rFonts w:ascii="Arial" w:hAnsi="Arial" w:cs="Arial"/>
          <w:sz w:val="19"/>
          <w:szCs w:val="19"/>
        </w:rPr>
        <w:t xml:space="preserve">  </w:t>
      </w:r>
    </w:p>
    <w:p w14:paraId="65238AE0" w14:textId="77777777" w:rsidR="003A6502" w:rsidRDefault="00125C9B" w:rsidP="000265A3">
      <w:pPr>
        <w:jc w:val="left"/>
      </w:pPr>
      <w:r>
        <w:t>The rules set out in a</w:t>
      </w:r>
      <w:r w:rsidR="003A6502" w:rsidRPr="00A0560D">
        <w:t xml:space="preserve"> service provider determination</w:t>
      </w:r>
      <w:r>
        <w:t xml:space="preserve"> are</w:t>
      </w:r>
      <w:r w:rsidR="003A6502" w:rsidRPr="00A0560D">
        <w:t xml:space="preserve"> service provider rules</w:t>
      </w:r>
      <w:r>
        <w:t xml:space="preserve"> for the purpose of</w:t>
      </w:r>
      <w:r w:rsidR="003A6502" w:rsidRPr="00A0560D">
        <w:t xml:space="preserve"> the Act</w:t>
      </w:r>
      <w:r>
        <w:t xml:space="preserve"> (see subsection 98(1) of the Act)</w:t>
      </w:r>
      <w:r w:rsidR="003A6502" w:rsidRPr="00A0560D">
        <w:t>.</w:t>
      </w:r>
      <w:r>
        <w:t xml:space="preserve">  A service provider must comply with the service provider rules that apply to the provider (</w:t>
      </w:r>
      <w:r w:rsidR="002941E9">
        <w:t xml:space="preserve">see </w:t>
      </w:r>
      <w:r>
        <w:t>subsection 101(1) of the Act).</w:t>
      </w:r>
    </w:p>
    <w:p w14:paraId="1F93A6C4" w14:textId="571B9FD3" w:rsidR="002941E9" w:rsidRDefault="002941E9" w:rsidP="000265A3">
      <w:pPr>
        <w:jc w:val="left"/>
        <w:rPr>
          <w:rFonts w:ascii="Arial" w:hAnsi="Arial" w:cs="Arial"/>
          <w:snapToGrid/>
          <w:sz w:val="19"/>
          <w:szCs w:val="19"/>
          <w:lang w:eastAsia="en-AU"/>
        </w:rPr>
      </w:pPr>
      <w:r>
        <w:t>A service provider determination must relate to a matter specified in the regulations or in section 346</w:t>
      </w:r>
      <w:r w:rsidR="00052F5F">
        <w:t xml:space="preserve"> (see subsection 99(3) of the Act)</w:t>
      </w:r>
      <w:r>
        <w:t>.  Regulation 3.13 of the</w:t>
      </w:r>
      <w:r w:rsidRPr="000265A3">
        <w:rPr>
          <w:i/>
        </w:rPr>
        <w:t xml:space="preserve"> Telecommunications Regulations 2001</w:t>
      </w:r>
      <w:r>
        <w:t xml:space="preserve"> applies to, among other things, the supply of standard telephone services (see sub-regulation 3.13(1)).  Sub-regulation 3.13(2) provides that the ACMA</w:t>
      </w:r>
      <w:r w:rsidRPr="000265A3">
        <w:rPr>
          <w:snapToGrid/>
          <w:lang w:eastAsia="en-AU"/>
        </w:rPr>
        <w:t xml:space="preserve"> may make a service provider determination setting out rules that apply to service providers in relation to a customer’s interests as regards the supply of th</w:t>
      </w:r>
      <w:r w:rsidR="00095544">
        <w:rPr>
          <w:snapToGrid/>
          <w:lang w:eastAsia="en-AU"/>
        </w:rPr>
        <w:t>os</w:t>
      </w:r>
      <w:r w:rsidRPr="000265A3">
        <w:rPr>
          <w:snapToGrid/>
          <w:lang w:eastAsia="en-AU"/>
        </w:rPr>
        <w:t>e services.</w:t>
      </w:r>
    </w:p>
    <w:p w14:paraId="7E717C8C" w14:textId="77777777" w:rsidR="005042F9" w:rsidRPr="000265A3" w:rsidRDefault="005042F9" w:rsidP="000265A3">
      <w:pPr>
        <w:jc w:val="left"/>
        <w:rPr>
          <w:i/>
        </w:rPr>
      </w:pPr>
      <w:r>
        <w:rPr>
          <w:i/>
        </w:rPr>
        <w:t>Standard telephone services supplied by means of the National Broadband Network</w:t>
      </w:r>
    </w:p>
    <w:p w14:paraId="62C414C6" w14:textId="77777777" w:rsidR="004249A2" w:rsidRDefault="005042F9" w:rsidP="000265A3">
      <w:pPr>
        <w:jc w:val="left"/>
      </w:pPr>
      <w:r>
        <w:t xml:space="preserve">In April 2009, </w:t>
      </w:r>
      <w:r w:rsidR="00DF049E" w:rsidRPr="00871CA5">
        <w:t>NBN Co</w:t>
      </w:r>
      <w:r>
        <w:rPr>
          <w:rStyle w:val="FootnoteReference"/>
        </w:rPr>
        <w:footnoteReference w:id="1"/>
      </w:r>
      <w:r w:rsidR="00DF049E" w:rsidRPr="00871CA5">
        <w:t xml:space="preserve"> was established to design, build and operate a high speed wholesale National Broadband Network</w:t>
      </w:r>
      <w:r w:rsidR="00227FC5">
        <w:t xml:space="preserve"> (the </w:t>
      </w:r>
      <w:r w:rsidR="00227FC5" w:rsidRPr="000265A3">
        <w:rPr>
          <w:b/>
        </w:rPr>
        <w:t>NBN</w:t>
      </w:r>
      <w:r w:rsidR="00227FC5">
        <w:t>)</w:t>
      </w:r>
      <w:r w:rsidR="00DF049E" w:rsidRPr="00871CA5">
        <w:t xml:space="preserve">. </w:t>
      </w:r>
      <w:r w:rsidR="00546A33">
        <w:t xml:space="preserve">NBN </w:t>
      </w:r>
      <w:r w:rsidR="00DF049E" w:rsidRPr="00EA3EC9">
        <w:t xml:space="preserve">Co is building a national wholesale-only, open access broadband network offering wholesale services to all </w:t>
      </w:r>
      <w:r w:rsidR="00DF049E" w:rsidRPr="000265A3">
        <w:t>CSPs</w:t>
      </w:r>
      <w:r>
        <w:t>.  CSPs may, in turn, offer</w:t>
      </w:r>
      <w:r w:rsidR="00DF049E" w:rsidRPr="00EA3EC9">
        <w:t xml:space="preserve"> retail services to </w:t>
      </w:r>
      <w:r w:rsidR="00DF049E">
        <w:t>customer</w:t>
      </w:r>
      <w:r w:rsidR="00DF049E" w:rsidRPr="00EA3EC9">
        <w:t xml:space="preserve">s or wholesale services to other </w:t>
      </w:r>
      <w:r>
        <w:t>CSPs, or both</w:t>
      </w:r>
      <w:r w:rsidR="004249A2">
        <w:t xml:space="preserve"> </w:t>
      </w:r>
      <w:r w:rsidR="004249A2" w:rsidRPr="004249A2">
        <w:t>(</w:t>
      </w:r>
      <w:r w:rsidR="004249A2" w:rsidRPr="000265A3">
        <w:rPr>
          <w:b/>
        </w:rPr>
        <w:t>NBN services</w:t>
      </w:r>
      <w:r w:rsidR="004249A2" w:rsidRPr="004249A2">
        <w:t>)</w:t>
      </w:r>
      <w:r w:rsidR="00DF049E" w:rsidRPr="00EA3EC9">
        <w:t>.</w:t>
      </w:r>
    </w:p>
    <w:p w14:paraId="175DCAF8" w14:textId="5D5857F5" w:rsidR="00065D3B" w:rsidRDefault="00A50818" w:rsidP="000265A3">
      <w:pPr>
        <w:jc w:val="left"/>
      </w:pPr>
      <w:r>
        <w:t xml:space="preserve">The use of </w:t>
      </w:r>
      <w:r w:rsidRPr="001329E0">
        <w:t>fibre-to-the premises (</w:t>
      </w:r>
      <w:r w:rsidRPr="00FF737D">
        <w:rPr>
          <w:b/>
        </w:rPr>
        <w:t>FTTP</w:t>
      </w:r>
      <w:r w:rsidRPr="001329E0">
        <w:t>)</w:t>
      </w:r>
      <w:r>
        <w:t xml:space="preserve"> architecture has</w:t>
      </w:r>
      <w:r w:rsidR="00EB5D16">
        <w:t>, to date,</w:t>
      </w:r>
      <w:r>
        <w:t xml:space="preserve"> been the predominant model for the supply of</w:t>
      </w:r>
      <w:r w:rsidR="004249A2">
        <w:t xml:space="preserve"> </w:t>
      </w:r>
      <w:r w:rsidR="00065D3B">
        <w:t>NBN</w:t>
      </w:r>
      <w:r w:rsidR="009C3790">
        <w:t xml:space="preserve"> service</w:t>
      </w:r>
      <w:r w:rsidR="00A87FA8">
        <w:t>s</w:t>
      </w:r>
      <w:r w:rsidR="0076209C">
        <w:t xml:space="preserve"> </w:t>
      </w:r>
      <w:r w:rsidR="009C3790">
        <w:t xml:space="preserve">to </w:t>
      </w:r>
      <w:r w:rsidR="007B6780">
        <w:t>customer</w:t>
      </w:r>
      <w:r w:rsidR="00FF424B">
        <w:t>s’</w:t>
      </w:r>
      <w:r w:rsidR="007B6780">
        <w:t xml:space="preserve"> premises</w:t>
      </w:r>
      <w:r w:rsidR="004249A2">
        <w:t>.</w:t>
      </w:r>
      <w:r w:rsidR="00FF424B">
        <w:rPr>
          <w:rStyle w:val="FootnoteReference"/>
        </w:rPr>
        <w:footnoteReference w:id="2"/>
      </w:r>
      <w:r>
        <w:t xml:space="preserve">  While</w:t>
      </w:r>
      <w:r w:rsidR="004249A2">
        <w:t xml:space="preserve"> the </w:t>
      </w:r>
      <w:r w:rsidR="00065D3B">
        <w:t xml:space="preserve">NBN </w:t>
      </w:r>
      <w:r w:rsidR="004249A2">
        <w:t>rollout</w:t>
      </w:r>
      <w:r>
        <w:t xml:space="preserve"> is </w:t>
      </w:r>
      <w:r w:rsidR="00065D3B">
        <w:t xml:space="preserve">planned </w:t>
      </w:r>
      <w:r>
        <w:t>to</w:t>
      </w:r>
      <w:r w:rsidR="004249A2">
        <w:t xml:space="preserve"> transition</w:t>
      </w:r>
      <w:r w:rsidR="00065D3B">
        <w:t xml:space="preserve"> </w:t>
      </w:r>
      <w:r>
        <w:t>to an optimised multi-technology mix model</w:t>
      </w:r>
      <w:r w:rsidR="00065D3B">
        <w:t xml:space="preserve">, </w:t>
      </w:r>
      <w:r w:rsidR="00E46DA7">
        <w:t xml:space="preserve">FTTP architecture </w:t>
      </w:r>
      <w:r w:rsidR="00FD16F1">
        <w:t xml:space="preserve">is </w:t>
      </w:r>
      <w:r w:rsidR="00FD16F1">
        <w:lastRenderedPageBreak/>
        <w:t xml:space="preserve">expected to </w:t>
      </w:r>
      <w:r w:rsidR="00E46DA7">
        <w:t xml:space="preserve">be used for the supply of NBN services to </w:t>
      </w:r>
      <w:r w:rsidR="00065D3B">
        <w:t>approximately 26 per cent of customers’ premises</w:t>
      </w:r>
      <w:r w:rsidR="0076209C">
        <w:t xml:space="preserve">.  </w:t>
      </w:r>
    </w:p>
    <w:p w14:paraId="04405A2C" w14:textId="77777777" w:rsidR="008D7149" w:rsidRDefault="009B2CC5" w:rsidP="000265A3">
      <w:pPr>
        <w:jc w:val="left"/>
      </w:pPr>
      <w:r>
        <w:t>Unlike copper lines used in legacy telecommunications ne</w:t>
      </w:r>
      <w:r w:rsidRPr="00EA3EC9">
        <w:t>t</w:t>
      </w:r>
      <w:r>
        <w:t xml:space="preserve">works, FTTP </w:t>
      </w:r>
      <w:r w:rsidR="00D96CC1">
        <w:t>architecture</w:t>
      </w:r>
      <w:r>
        <w:t xml:space="preserve"> </w:t>
      </w:r>
      <w:r w:rsidRPr="00EA3EC9">
        <w:t xml:space="preserve">is unable to carry electrical power to </w:t>
      </w:r>
      <w:r>
        <w:t>a</w:t>
      </w:r>
      <w:r w:rsidRPr="00EA3EC9">
        <w:t xml:space="preserve"> </w:t>
      </w:r>
      <w:r>
        <w:t>customer</w:t>
      </w:r>
      <w:r w:rsidRPr="00EA3EC9">
        <w:t xml:space="preserve">’s premises and requires mains power within the </w:t>
      </w:r>
      <w:r>
        <w:t>customer’s</w:t>
      </w:r>
      <w:r w:rsidRPr="00EA3EC9">
        <w:t xml:space="preserve"> premises </w:t>
      </w:r>
      <w:r w:rsidR="00181B34">
        <w:t>for the normal operation of an NBN service</w:t>
      </w:r>
      <w:r>
        <w:t xml:space="preserve">. </w:t>
      </w:r>
    </w:p>
    <w:p w14:paraId="33D007CD" w14:textId="77777777" w:rsidR="00D96CC1" w:rsidRDefault="008D7149" w:rsidP="000265A3">
      <w:pPr>
        <w:jc w:val="left"/>
      </w:pPr>
      <w:r>
        <w:t>Consequently</w:t>
      </w:r>
      <w:r w:rsidR="00D96CC1">
        <w:t>:</w:t>
      </w:r>
      <w:r w:rsidR="009B2CC5" w:rsidRPr="00EA3EC9">
        <w:t xml:space="preserve"> </w:t>
      </w:r>
    </w:p>
    <w:p w14:paraId="4EC817B1" w14:textId="77777777" w:rsidR="0006050D" w:rsidRDefault="00D96CC1" w:rsidP="000265A3">
      <w:pPr>
        <w:pStyle w:val="ListParagraph"/>
        <w:numPr>
          <w:ilvl w:val="0"/>
          <w:numId w:val="35"/>
        </w:numPr>
        <w:spacing w:before="120" w:after="120"/>
        <w:ind w:left="851" w:hanging="425"/>
        <w:jc w:val="left"/>
      </w:pPr>
      <w:r>
        <w:t xml:space="preserve">an NBN service supplied to a customer’s premises using FTTP architecture will not operate during a power failure unless there is a backup power </w:t>
      </w:r>
      <w:r w:rsidR="001D3331">
        <w:t>supply</w:t>
      </w:r>
      <w:r w:rsidR="0006050D">
        <w:t>; and</w:t>
      </w:r>
      <w:r>
        <w:t xml:space="preserve">  </w:t>
      </w:r>
    </w:p>
    <w:p w14:paraId="6D41C16E" w14:textId="4FAB8BA3" w:rsidR="009B2CC5" w:rsidRDefault="00D96CC1" w:rsidP="000265A3">
      <w:pPr>
        <w:pStyle w:val="ListParagraph"/>
        <w:numPr>
          <w:ilvl w:val="0"/>
          <w:numId w:val="35"/>
        </w:numPr>
        <w:spacing w:before="120" w:after="120"/>
        <w:ind w:left="851" w:hanging="425"/>
        <w:jc w:val="left"/>
      </w:pPr>
      <w:proofErr w:type="gramStart"/>
      <w:r>
        <w:t>if</w:t>
      </w:r>
      <w:proofErr w:type="gramEnd"/>
      <w:r>
        <w:t xml:space="preserve"> the NBN service is a standard telephone service (</w:t>
      </w:r>
      <w:r w:rsidRPr="000265A3">
        <w:rPr>
          <w:b/>
        </w:rPr>
        <w:t>specified carriage service</w:t>
      </w:r>
      <w:r>
        <w:t>)</w:t>
      </w:r>
      <w:r w:rsidR="0006050D">
        <w:t>,</w:t>
      </w:r>
      <w:r>
        <w:t xml:space="preserve"> an end-user would no</w:t>
      </w:r>
      <w:r w:rsidR="0006050D">
        <w:t>t be able to make</w:t>
      </w:r>
      <w:r w:rsidR="008D7149">
        <w:t xml:space="preserve"> or receive</w:t>
      </w:r>
      <w:r w:rsidR="0006050D">
        <w:t xml:space="preserve"> any calls</w:t>
      </w:r>
      <w:r w:rsidR="008D7149">
        <w:t xml:space="preserve"> during a power failure</w:t>
      </w:r>
      <w:r w:rsidR="0006050D">
        <w:t xml:space="preserve"> (including calls to</w:t>
      </w:r>
      <w:r w:rsidRPr="00D96CC1">
        <w:t xml:space="preserve"> </w:t>
      </w:r>
      <w:r>
        <w:t>an emergency service number</w:t>
      </w:r>
      <w:r w:rsidR="0006050D">
        <w:t>)</w:t>
      </w:r>
      <w:r>
        <w:t>.</w:t>
      </w:r>
      <w:r w:rsidR="009B2CC5" w:rsidRPr="00EA3EC9">
        <w:t xml:space="preserve"> </w:t>
      </w:r>
    </w:p>
    <w:p w14:paraId="0EA69AE4" w14:textId="71B68CF5" w:rsidR="003D41CB" w:rsidRDefault="00CE4FDA" w:rsidP="000265A3">
      <w:pPr>
        <w:jc w:val="left"/>
      </w:pPr>
      <w:r>
        <w:t xml:space="preserve">A CSP may </w:t>
      </w:r>
      <w:r w:rsidR="00217D2A">
        <w:t xml:space="preserve">supply a </w:t>
      </w:r>
      <w:r w:rsidR="0041200A">
        <w:t>service</w:t>
      </w:r>
      <w:r w:rsidR="00217D2A">
        <w:t xml:space="preserve"> </w:t>
      </w:r>
      <w:r w:rsidR="00841961">
        <w:t xml:space="preserve">that </w:t>
      </w:r>
      <w:r w:rsidR="0041200A">
        <w:t xml:space="preserve">enables the continued operation of </w:t>
      </w:r>
      <w:r>
        <w:t>a specified carriage service</w:t>
      </w:r>
      <w:r w:rsidR="0041200A">
        <w:t xml:space="preserve"> for a limited </w:t>
      </w:r>
      <w:r w:rsidR="00935EF9">
        <w:t xml:space="preserve">period of </w:t>
      </w:r>
      <w:r w:rsidR="0041200A">
        <w:t>time during a power failure</w:t>
      </w:r>
      <w:r>
        <w:t xml:space="preserve"> (</w:t>
      </w:r>
      <w:r w:rsidRPr="000265A3">
        <w:rPr>
          <w:b/>
        </w:rPr>
        <w:t>backup power service</w:t>
      </w:r>
      <w:r>
        <w:t xml:space="preserve">) </w:t>
      </w:r>
      <w:r w:rsidR="0041200A">
        <w:t>by means of a battery backup power supply unit (</w:t>
      </w:r>
      <w:r w:rsidR="0041200A" w:rsidRPr="000265A3">
        <w:rPr>
          <w:b/>
        </w:rPr>
        <w:t>BPSU</w:t>
      </w:r>
      <w:r w:rsidR="0041200A">
        <w:t>)</w:t>
      </w:r>
      <w:r w:rsidR="00AE1A20">
        <w:t>.</w:t>
      </w:r>
    </w:p>
    <w:p w14:paraId="2890CF1B" w14:textId="77777777" w:rsidR="00330621" w:rsidRDefault="00330621" w:rsidP="000265A3">
      <w:pPr>
        <w:spacing w:before="120" w:after="120"/>
        <w:jc w:val="left"/>
        <w:rPr>
          <w:lang w:val="en-US"/>
        </w:rPr>
      </w:pPr>
      <w:r>
        <w:rPr>
          <w:lang w:val="en-US"/>
        </w:rPr>
        <w:t>It is the Australian Government’s policy</w:t>
      </w:r>
      <w:r w:rsidR="00CE4FDA">
        <w:rPr>
          <w:lang w:val="en-US"/>
        </w:rPr>
        <w:t>,</w:t>
      </w:r>
      <w:r w:rsidR="00E375D8">
        <w:rPr>
          <w:lang w:val="en-US"/>
        </w:rPr>
        <w:t xml:space="preserve"> in relation to the supply of </w:t>
      </w:r>
      <w:r w:rsidR="004C28D1">
        <w:rPr>
          <w:lang w:val="en-US"/>
        </w:rPr>
        <w:t>specified carriage services</w:t>
      </w:r>
      <w:r w:rsidR="002B5897">
        <w:rPr>
          <w:lang w:val="en-US"/>
        </w:rPr>
        <w:t>, that</w:t>
      </w:r>
      <w:r>
        <w:rPr>
          <w:lang w:val="en-US"/>
        </w:rPr>
        <w:t xml:space="preserve">: </w:t>
      </w:r>
    </w:p>
    <w:p w14:paraId="56661413" w14:textId="77777777" w:rsidR="006858A3" w:rsidRPr="000265A3" w:rsidRDefault="00330621" w:rsidP="000265A3">
      <w:pPr>
        <w:pStyle w:val="ListParagraph"/>
        <w:numPr>
          <w:ilvl w:val="0"/>
          <w:numId w:val="36"/>
        </w:numPr>
        <w:spacing w:before="120" w:after="120"/>
        <w:ind w:left="851" w:hanging="425"/>
        <w:jc w:val="left"/>
        <w:rPr>
          <w:lang w:val="en-US"/>
        </w:rPr>
      </w:pPr>
      <w:r w:rsidRPr="000265A3">
        <w:rPr>
          <w:lang w:val="en-US"/>
        </w:rPr>
        <w:t>a customer who receives “priority assistance” (an enhanced telephone and connection service for people with life-threatening medical conditions) will automatically</w:t>
      </w:r>
      <w:r w:rsidR="00AC3230" w:rsidRPr="000265A3">
        <w:rPr>
          <w:lang w:val="en-US"/>
        </w:rPr>
        <w:t xml:space="preserve"> be supplied with</w:t>
      </w:r>
      <w:r w:rsidRPr="000265A3">
        <w:rPr>
          <w:lang w:val="en-US"/>
        </w:rPr>
        <w:t xml:space="preserve"> a backup power service</w:t>
      </w:r>
      <w:r w:rsidR="004C28D1" w:rsidRPr="000265A3">
        <w:rPr>
          <w:lang w:val="en-US"/>
        </w:rPr>
        <w:t xml:space="preserve"> </w:t>
      </w:r>
      <w:r w:rsidRPr="000265A3">
        <w:rPr>
          <w:lang w:val="en-US"/>
        </w:rPr>
        <w:t>by means of a BPSU; and</w:t>
      </w:r>
    </w:p>
    <w:p w14:paraId="251D11DE" w14:textId="77777777" w:rsidR="00DF049E" w:rsidRPr="00330621" w:rsidRDefault="00330621" w:rsidP="000265A3">
      <w:pPr>
        <w:pStyle w:val="ListParagraph"/>
        <w:numPr>
          <w:ilvl w:val="0"/>
          <w:numId w:val="36"/>
        </w:numPr>
        <w:spacing w:before="120" w:after="120"/>
        <w:ind w:left="851" w:hanging="425"/>
        <w:jc w:val="left"/>
      </w:pPr>
      <w:proofErr w:type="gramStart"/>
      <w:r w:rsidRPr="000265A3">
        <w:rPr>
          <w:lang w:val="en-US"/>
        </w:rPr>
        <w:t>any</w:t>
      </w:r>
      <w:proofErr w:type="gramEnd"/>
      <w:r w:rsidRPr="000265A3">
        <w:rPr>
          <w:lang w:val="en-US"/>
        </w:rPr>
        <w:t xml:space="preserve"> other customer</w:t>
      </w:r>
      <w:r w:rsidR="00AC3230" w:rsidRPr="000265A3">
        <w:rPr>
          <w:lang w:val="en-US"/>
        </w:rPr>
        <w:t xml:space="preserve"> has</w:t>
      </w:r>
      <w:r w:rsidR="00E375D8" w:rsidRPr="000265A3">
        <w:rPr>
          <w:lang w:val="en-US"/>
        </w:rPr>
        <w:t xml:space="preserve"> </w:t>
      </w:r>
      <w:r w:rsidRPr="000265A3">
        <w:rPr>
          <w:lang w:val="en-US"/>
        </w:rPr>
        <w:t>the option of</w:t>
      </w:r>
      <w:r w:rsidR="00E375D8" w:rsidRPr="000265A3">
        <w:rPr>
          <w:lang w:val="en-US"/>
        </w:rPr>
        <w:t xml:space="preserve"> deciding whether or not </w:t>
      </w:r>
      <w:r w:rsidR="004C28D1" w:rsidRPr="000265A3">
        <w:rPr>
          <w:lang w:val="en-US"/>
        </w:rPr>
        <w:t xml:space="preserve">to </w:t>
      </w:r>
      <w:r w:rsidR="00E375D8" w:rsidRPr="000265A3">
        <w:rPr>
          <w:lang w:val="en-US"/>
        </w:rPr>
        <w:t>have</w:t>
      </w:r>
      <w:r w:rsidRPr="000265A3">
        <w:rPr>
          <w:lang w:val="en-US"/>
        </w:rPr>
        <w:t xml:space="preserve"> </w:t>
      </w:r>
      <w:r w:rsidR="006157B1" w:rsidRPr="000265A3">
        <w:rPr>
          <w:lang w:val="en-US"/>
        </w:rPr>
        <w:t xml:space="preserve">such </w:t>
      </w:r>
      <w:r w:rsidRPr="000265A3">
        <w:rPr>
          <w:lang w:val="en-US"/>
        </w:rPr>
        <w:t>a backup power ser</w:t>
      </w:r>
      <w:r w:rsidR="006157B1" w:rsidRPr="000265A3">
        <w:rPr>
          <w:lang w:val="en-US"/>
        </w:rPr>
        <w:t>vice</w:t>
      </w:r>
      <w:r w:rsidRPr="000265A3">
        <w:rPr>
          <w:lang w:val="en-US"/>
        </w:rPr>
        <w:t>.</w:t>
      </w:r>
    </w:p>
    <w:p w14:paraId="674339E1" w14:textId="77777777" w:rsidR="0095458F" w:rsidRDefault="00FC236C" w:rsidP="000265A3">
      <w:pPr>
        <w:pStyle w:val="Heading1"/>
        <w:spacing w:before="0"/>
        <w:jc w:val="left"/>
      </w:pPr>
      <w:r w:rsidRPr="00B34F11">
        <w:t>Purpose</w:t>
      </w:r>
    </w:p>
    <w:p w14:paraId="19104A7A" w14:textId="799587DD" w:rsidR="0095458F" w:rsidRDefault="00FC236C" w:rsidP="000265A3">
      <w:pPr>
        <w:spacing w:before="240"/>
        <w:jc w:val="left"/>
      </w:pPr>
      <w:r w:rsidRPr="00434F24">
        <w:t xml:space="preserve">The purpose of the Determination is to </w:t>
      </w:r>
      <w:r w:rsidR="0095458F">
        <w:t>help protect the interests of customers of</w:t>
      </w:r>
      <w:r w:rsidR="00D065B4">
        <w:t xml:space="preserve"> CSPs</w:t>
      </w:r>
      <w:r w:rsidRPr="00434F24">
        <w:t xml:space="preserve"> </w:t>
      </w:r>
      <w:r w:rsidR="0095458F">
        <w:t xml:space="preserve">that supply </w:t>
      </w:r>
      <w:r w:rsidR="00D065B4">
        <w:t>specified carriages services</w:t>
      </w:r>
      <w:r w:rsidR="001662AF">
        <w:t>,</w:t>
      </w:r>
      <w:r w:rsidR="00D065B4">
        <w:t xml:space="preserve"> which will not operate during a power failure unless a backup power service is supplied.</w:t>
      </w:r>
    </w:p>
    <w:p w14:paraId="2105E6B7" w14:textId="77777777" w:rsidR="00300BB0" w:rsidRDefault="00300BB0" w:rsidP="000265A3">
      <w:pPr>
        <w:jc w:val="left"/>
      </w:pPr>
      <w:r>
        <w:t>A “customer” does not include a person who carries on a business and has an ABN or who is itself a CSP or a carrier.</w:t>
      </w:r>
    </w:p>
    <w:p w14:paraId="7A70BD63" w14:textId="77777777" w:rsidR="00300BB0" w:rsidRDefault="00300BB0" w:rsidP="000265A3">
      <w:pPr>
        <w:jc w:val="left"/>
      </w:pPr>
      <w:r>
        <w:t>A “specified carriage service” is a standard telephone service that is, or is to be, supplied to a customer’s premises by means of the NBN using F</w:t>
      </w:r>
      <w:r w:rsidR="00095544">
        <w:t>T</w:t>
      </w:r>
      <w:r>
        <w:t>TP architecture.</w:t>
      </w:r>
    </w:p>
    <w:p w14:paraId="521E8709" w14:textId="77777777" w:rsidR="0095458F" w:rsidRDefault="0095458F" w:rsidP="000265A3">
      <w:pPr>
        <w:jc w:val="left"/>
      </w:pPr>
      <w:r>
        <w:t>The Determination achieves th</w:t>
      </w:r>
      <w:r w:rsidR="00300BB0">
        <w:t>e stated</w:t>
      </w:r>
      <w:r>
        <w:t xml:space="preserve"> purpose by requiring </w:t>
      </w:r>
      <w:r w:rsidR="00390DC8">
        <w:t xml:space="preserve">the </w:t>
      </w:r>
      <w:r>
        <w:t>CSPs to do the following, if a customer has requested them to supply a specified carriage service to the customer’s premises:</w:t>
      </w:r>
    </w:p>
    <w:p w14:paraId="782F38B6" w14:textId="77777777" w:rsidR="003C2BE8" w:rsidRPr="000265A3" w:rsidRDefault="0095458F" w:rsidP="000265A3">
      <w:pPr>
        <w:pStyle w:val="R1"/>
        <w:numPr>
          <w:ilvl w:val="0"/>
          <w:numId w:val="37"/>
        </w:numPr>
        <w:tabs>
          <w:tab w:val="clear" w:pos="794"/>
          <w:tab w:val="clear" w:pos="964"/>
        </w:tabs>
        <w:ind w:left="850" w:hanging="425"/>
        <w:jc w:val="left"/>
      </w:pPr>
      <w:r w:rsidRPr="000265A3">
        <w:t>to give the customer, before entering into any agreement for the supply of the specified carriage service, sufficient information</w:t>
      </w:r>
      <w:r w:rsidR="00282DF3" w:rsidRPr="000265A3">
        <w:t xml:space="preserve"> about what a backup power service supplied by means of a BPSU would do, and not do, during a power failure, which</w:t>
      </w:r>
      <w:r w:rsidR="003C2BE8" w:rsidRPr="000265A3">
        <w:t>:</w:t>
      </w:r>
      <w:r w:rsidRPr="000265A3">
        <w:t xml:space="preserve"> </w:t>
      </w:r>
    </w:p>
    <w:p w14:paraId="469F9328" w14:textId="77777777" w:rsidR="003C2BE8" w:rsidRPr="000265A3" w:rsidRDefault="00282DF3" w:rsidP="000265A3">
      <w:pPr>
        <w:pStyle w:val="R1"/>
        <w:numPr>
          <w:ilvl w:val="1"/>
          <w:numId w:val="37"/>
        </w:numPr>
        <w:tabs>
          <w:tab w:val="clear" w:pos="794"/>
          <w:tab w:val="clear" w:pos="964"/>
        </w:tabs>
        <w:ind w:left="1418" w:hanging="425"/>
        <w:jc w:val="left"/>
      </w:pPr>
      <w:r w:rsidRPr="000265A3">
        <w:t xml:space="preserve">may be relied upon by the customer </w:t>
      </w:r>
      <w:r w:rsidR="0095458F" w:rsidRPr="000265A3">
        <w:t>to make an informed decision about whether or not to have</w:t>
      </w:r>
      <w:r w:rsidRPr="000265A3">
        <w:t xml:space="preserve"> the</w:t>
      </w:r>
      <w:r w:rsidR="0095458F" w:rsidRPr="000265A3">
        <w:t xml:space="preserve"> backup power service; and</w:t>
      </w:r>
    </w:p>
    <w:p w14:paraId="72DD34E1" w14:textId="034A85B9" w:rsidR="003C2BE8" w:rsidRPr="000265A3" w:rsidRDefault="00282DF3" w:rsidP="000265A3">
      <w:pPr>
        <w:pStyle w:val="R1"/>
        <w:numPr>
          <w:ilvl w:val="1"/>
          <w:numId w:val="37"/>
        </w:numPr>
        <w:tabs>
          <w:tab w:val="clear" w:pos="794"/>
          <w:tab w:val="clear" w:pos="964"/>
        </w:tabs>
        <w:ind w:left="1418" w:hanging="425"/>
        <w:jc w:val="left"/>
      </w:pPr>
      <w:r w:rsidRPr="000265A3">
        <w:t xml:space="preserve">will ensure that the customer is made aware of the </w:t>
      </w:r>
      <w:r w:rsidR="00D2593D">
        <w:t>limitations</w:t>
      </w:r>
      <w:r w:rsidRPr="000265A3">
        <w:t xml:space="preserve"> of the backup power service</w:t>
      </w:r>
      <w:r w:rsidR="003C2BE8" w:rsidRPr="000265A3">
        <w:t>; and</w:t>
      </w:r>
      <w:r w:rsidR="003C2BE8" w:rsidRPr="000265A3">
        <w:tab/>
      </w:r>
    </w:p>
    <w:p w14:paraId="2B42834A" w14:textId="77777777" w:rsidR="00227425" w:rsidRDefault="0095458F" w:rsidP="000265A3">
      <w:pPr>
        <w:pStyle w:val="R1"/>
        <w:numPr>
          <w:ilvl w:val="0"/>
          <w:numId w:val="37"/>
        </w:numPr>
        <w:tabs>
          <w:tab w:val="clear" w:pos="794"/>
          <w:tab w:val="clear" w:pos="964"/>
        </w:tabs>
        <w:ind w:left="850" w:hanging="425"/>
        <w:jc w:val="left"/>
      </w:pPr>
      <w:proofErr w:type="gramStart"/>
      <w:r>
        <w:t>to</w:t>
      </w:r>
      <w:proofErr w:type="gramEnd"/>
      <w:r>
        <w:t xml:space="preserve"> make and retain records verifying that the customer was given such information before entering into the agreement.</w:t>
      </w:r>
    </w:p>
    <w:p w14:paraId="31B388EC" w14:textId="77777777" w:rsidR="00300BB0" w:rsidRDefault="00300BB0" w:rsidP="000265A3">
      <w:pPr>
        <w:pStyle w:val="R1"/>
        <w:spacing w:before="240"/>
        <w:jc w:val="left"/>
      </w:pPr>
    </w:p>
    <w:p w14:paraId="4F9893CF" w14:textId="77777777" w:rsidR="00F35FBD" w:rsidRPr="0070381F" w:rsidRDefault="00F35FBD" w:rsidP="000265A3">
      <w:pPr>
        <w:pStyle w:val="R1"/>
        <w:spacing w:before="240"/>
        <w:jc w:val="left"/>
      </w:pPr>
      <w:r w:rsidRPr="000265A3">
        <w:rPr>
          <w:b/>
        </w:rPr>
        <w:t xml:space="preserve">Operation of the </w:t>
      </w:r>
      <w:r w:rsidR="005B2692" w:rsidRPr="000265A3">
        <w:rPr>
          <w:b/>
        </w:rPr>
        <w:t>Determination</w:t>
      </w:r>
    </w:p>
    <w:p w14:paraId="2B6B5061" w14:textId="77777777" w:rsidR="00390DC8" w:rsidRDefault="006518E0" w:rsidP="000265A3">
      <w:pPr>
        <w:jc w:val="left"/>
      </w:pPr>
      <w:r>
        <w:rPr>
          <w:lang w:val="en-US"/>
        </w:rPr>
        <w:t xml:space="preserve">The </w:t>
      </w:r>
      <w:r w:rsidR="005B2692">
        <w:rPr>
          <w:lang w:val="en-US"/>
        </w:rPr>
        <w:t>Determination</w:t>
      </w:r>
      <w:r>
        <w:rPr>
          <w:lang w:val="en-US"/>
        </w:rPr>
        <w:t xml:space="preserve"> </w:t>
      </w:r>
      <w:r w:rsidR="00227425">
        <w:rPr>
          <w:lang w:val="en-US"/>
        </w:rPr>
        <w:t xml:space="preserve">sets out rules that apply </w:t>
      </w:r>
      <w:r w:rsidR="00227425">
        <w:t>to</w:t>
      </w:r>
      <w:r w:rsidR="00227425" w:rsidRPr="00A0560D">
        <w:t xml:space="preserve"> </w:t>
      </w:r>
      <w:r w:rsidR="00390DC8">
        <w:t>CSPs</w:t>
      </w:r>
      <w:r w:rsidR="00227425" w:rsidRPr="00A0560D">
        <w:t xml:space="preserve"> in relation to the supply of specified carriage </w:t>
      </w:r>
      <w:r w:rsidR="00227425">
        <w:t>services to customers</w:t>
      </w:r>
      <w:r w:rsidR="00390DC8">
        <w:t>.</w:t>
      </w:r>
    </w:p>
    <w:p w14:paraId="4EF76D75" w14:textId="18A307A4" w:rsidR="00DB4A4E" w:rsidRDefault="00976C62" w:rsidP="000265A3">
      <w:pPr>
        <w:jc w:val="left"/>
      </w:pPr>
      <w:r>
        <w:t>The rules apply to a CSP if a customer has requested the CSP to supply a specified carriage service to the customer’s premises</w:t>
      </w:r>
      <w:r w:rsidR="00DD5A01">
        <w:t>,</w:t>
      </w:r>
      <w:r w:rsidR="00DB4A4E">
        <w:t xml:space="preserve"> </w:t>
      </w:r>
      <w:r w:rsidR="00EB6AFF">
        <w:t xml:space="preserve">even if </w:t>
      </w:r>
      <w:r w:rsidR="00DB4A4E">
        <w:t>the CSP is</w:t>
      </w:r>
      <w:r w:rsidR="00EB6AFF">
        <w:t xml:space="preserve"> not</w:t>
      </w:r>
      <w:r w:rsidR="00DB4A4E">
        <w:t xml:space="preserve"> offering to supply a backup power service by means of a BPSU</w:t>
      </w:r>
      <w:r w:rsidR="002A0073">
        <w:t xml:space="preserve"> or any other form of backup power serv</w:t>
      </w:r>
      <w:bookmarkStart w:id="0" w:name="_GoBack"/>
      <w:bookmarkEnd w:id="0"/>
      <w:r w:rsidR="002A0073">
        <w:t>ice</w:t>
      </w:r>
      <w:r>
        <w:t xml:space="preserve">.  </w:t>
      </w:r>
    </w:p>
    <w:p w14:paraId="052F01A4" w14:textId="77777777" w:rsidR="001E37FB" w:rsidRDefault="00976C62" w:rsidP="000265A3">
      <w:pPr>
        <w:jc w:val="left"/>
      </w:pPr>
      <w:r>
        <w:t>The CSP must not enter into an agreement with the customer to supply a specified carriage service to the customer’s premises unless the CSP has</w:t>
      </w:r>
      <w:r w:rsidR="001E37FB">
        <w:t xml:space="preserve"> given the customer certain information.</w:t>
      </w:r>
    </w:p>
    <w:p w14:paraId="775EA5C6" w14:textId="77777777" w:rsidR="001B7CA8" w:rsidRDefault="001E37FB" w:rsidP="000265A3">
      <w:pPr>
        <w:jc w:val="left"/>
      </w:pPr>
      <w:r>
        <w:t xml:space="preserve">If the customer enters into an agreement with the CSP for the supply </w:t>
      </w:r>
      <w:r w:rsidR="00DB4A4E">
        <w:t>of a specified carriage service</w:t>
      </w:r>
      <w:r>
        <w:t xml:space="preserve"> to the customer’s premises, the CSP must</w:t>
      </w:r>
      <w:r w:rsidR="001B7CA8">
        <w:t>:</w:t>
      </w:r>
      <w:r>
        <w:t xml:space="preserve"> </w:t>
      </w:r>
    </w:p>
    <w:p w14:paraId="050A9BCA" w14:textId="788A32B3" w:rsidR="001B7CA8" w:rsidRDefault="001E37FB" w:rsidP="000265A3">
      <w:pPr>
        <w:pStyle w:val="ListParagraph"/>
        <w:numPr>
          <w:ilvl w:val="0"/>
          <w:numId w:val="39"/>
        </w:numPr>
        <w:spacing w:before="120" w:after="120"/>
        <w:ind w:left="851" w:hanging="425"/>
        <w:jc w:val="left"/>
      </w:pPr>
      <w:r>
        <w:t xml:space="preserve">obtain from the customer an acknowledgement that </w:t>
      </w:r>
      <w:r w:rsidR="00CA38AE">
        <w:t>the</w:t>
      </w:r>
      <w:r>
        <w:t xml:space="preserve"> </w:t>
      </w:r>
      <w:r w:rsidR="00EB5D16">
        <w:t xml:space="preserve">required </w:t>
      </w:r>
      <w:r>
        <w:t>information was given</w:t>
      </w:r>
      <w:r w:rsidR="001B7CA8">
        <w:t>;</w:t>
      </w:r>
      <w:r>
        <w:t xml:space="preserve"> and </w:t>
      </w:r>
    </w:p>
    <w:p w14:paraId="0307356E" w14:textId="77777777" w:rsidR="001E37FB" w:rsidRDefault="001E37FB" w:rsidP="000265A3">
      <w:pPr>
        <w:pStyle w:val="ListParagraph"/>
        <w:numPr>
          <w:ilvl w:val="0"/>
          <w:numId w:val="39"/>
        </w:numPr>
        <w:spacing w:before="120" w:after="120"/>
        <w:ind w:left="851" w:hanging="425"/>
        <w:jc w:val="left"/>
      </w:pPr>
      <w:proofErr w:type="gramStart"/>
      <w:r>
        <w:t>make</w:t>
      </w:r>
      <w:proofErr w:type="gramEnd"/>
      <w:r>
        <w:t xml:space="preserve"> a record of certain matters</w:t>
      </w:r>
      <w:r w:rsidR="00330621">
        <w:t>, including</w:t>
      </w:r>
      <w:r w:rsidR="003645EF">
        <w:t xml:space="preserve"> a description of</w:t>
      </w:r>
      <w:r w:rsidR="00330621">
        <w:t xml:space="preserve"> th</w:t>
      </w:r>
      <w:r w:rsidR="003645EF">
        <w:t>at</w:t>
      </w:r>
      <w:r w:rsidR="00330621">
        <w:t xml:space="preserve"> information and the customer’s decision about whether or not to have </w:t>
      </w:r>
      <w:r w:rsidR="003645EF">
        <w:t>a</w:t>
      </w:r>
      <w:r w:rsidR="00330621">
        <w:t xml:space="preserve"> backup power service</w:t>
      </w:r>
      <w:r w:rsidR="003645EF">
        <w:t xml:space="preserve"> supplied</w:t>
      </w:r>
      <w:r w:rsidR="001B7CA8">
        <w:t xml:space="preserve"> by means of a BPSU</w:t>
      </w:r>
      <w:r w:rsidR="00330621">
        <w:t>.</w:t>
      </w:r>
    </w:p>
    <w:p w14:paraId="46997468" w14:textId="0EFC4098" w:rsidR="00DB4A4E" w:rsidRPr="000265A3" w:rsidRDefault="00B75F45" w:rsidP="000265A3">
      <w:pPr>
        <w:pStyle w:val="Heading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 CSP must</w:t>
      </w:r>
      <w:r w:rsidR="001B7CA8">
        <w:rPr>
          <w:b w:val="0"/>
          <w:sz w:val="24"/>
          <w:szCs w:val="24"/>
        </w:rPr>
        <w:t xml:space="preserve"> also</w:t>
      </w:r>
      <w:r>
        <w:rPr>
          <w:b w:val="0"/>
          <w:sz w:val="24"/>
          <w:szCs w:val="24"/>
        </w:rPr>
        <w:t xml:space="preserve"> comply with rules relating to the form, retention and provision of records made under the Determination</w:t>
      </w:r>
      <w:r w:rsidR="00076B8A">
        <w:rPr>
          <w:b w:val="0"/>
          <w:sz w:val="24"/>
          <w:szCs w:val="24"/>
        </w:rPr>
        <w:t>.</w:t>
      </w:r>
      <w:r w:rsidR="00DB4A4E" w:rsidRPr="000265A3">
        <w:rPr>
          <w:b w:val="0"/>
          <w:sz w:val="24"/>
          <w:szCs w:val="24"/>
        </w:rPr>
        <w:t xml:space="preserve"> </w:t>
      </w:r>
    </w:p>
    <w:p w14:paraId="0813A383" w14:textId="77777777" w:rsidR="00DB23CA" w:rsidRDefault="00DB23CA" w:rsidP="000265A3">
      <w:pPr>
        <w:pStyle w:val="Heading1"/>
        <w:jc w:val="left"/>
      </w:pPr>
      <w:r w:rsidRPr="00D91B1C">
        <w:t>Consultation</w:t>
      </w:r>
    </w:p>
    <w:p w14:paraId="74748804" w14:textId="77777777" w:rsidR="00461CE5" w:rsidRDefault="00461CE5" w:rsidP="000265A3">
      <w:pPr>
        <w:spacing w:before="240"/>
        <w:jc w:val="left"/>
      </w:pPr>
      <w:r>
        <w:t xml:space="preserve">The ACMA has consulted widely on </w:t>
      </w:r>
      <w:r w:rsidR="001B7CA8">
        <w:t>potential</w:t>
      </w:r>
      <w:r w:rsidR="00804CB8">
        <w:t xml:space="preserve"> regulatory </w:t>
      </w:r>
      <w:r w:rsidR="001B7CA8">
        <w:t>mechanisms</w:t>
      </w:r>
      <w:r w:rsidR="00804CB8">
        <w:t xml:space="preserve"> in relation to </w:t>
      </w:r>
      <w:r w:rsidR="00D10CA3">
        <w:t xml:space="preserve">supply of </w:t>
      </w:r>
      <w:r w:rsidR="001B7CA8">
        <w:t>specified carriage services</w:t>
      </w:r>
      <w:r>
        <w:t>.</w:t>
      </w:r>
    </w:p>
    <w:p w14:paraId="359300D5" w14:textId="4910780B" w:rsidR="00804CB8" w:rsidRDefault="00287EF6" w:rsidP="000265A3">
      <w:pPr>
        <w:jc w:val="left"/>
      </w:pPr>
      <w:r>
        <w:t>The c</w:t>
      </w:r>
      <w:r w:rsidR="00461CE5">
        <w:t>onsultation</w:t>
      </w:r>
      <w:r>
        <w:t xml:space="preserve"> process</w:t>
      </w:r>
      <w:r w:rsidR="00461CE5">
        <w:t xml:space="preserve"> commenced in July 2013 with a meeting </w:t>
      </w:r>
      <w:r w:rsidR="001B7CA8">
        <w:t>of</w:t>
      </w:r>
      <w:r w:rsidR="00461CE5">
        <w:t xml:space="preserve"> a working group including representatives from the telecommunications industry under the auspices of Communications Alliance </w:t>
      </w:r>
      <w:r w:rsidR="00461CE5" w:rsidRPr="006A0C8F">
        <w:t>(the primary representative industry body for telecommunications in Australia)</w:t>
      </w:r>
      <w:r w:rsidR="00461CE5">
        <w:t xml:space="preserve">.  </w:t>
      </w:r>
      <w:r w:rsidR="00804CB8">
        <w:t>A w</w:t>
      </w:r>
      <w:r w:rsidR="00461CE5">
        <w:t xml:space="preserve">orkshop </w:t>
      </w:r>
      <w:r w:rsidR="00804CB8">
        <w:t>with industry</w:t>
      </w:r>
      <w:r w:rsidR="00461CE5">
        <w:t xml:space="preserve"> w</w:t>
      </w:r>
      <w:r w:rsidR="00804CB8">
        <w:t>as</w:t>
      </w:r>
      <w:r w:rsidR="00461CE5">
        <w:t xml:space="preserve"> held in August 2013</w:t>
      </w:r>
      <w:r w:rsidR="00804CB8">
        <w:t>.</w:t>
      </w:r>
    </w:p>
    <w:p w14:paraId="6393BD20" w14:textId="77777777" w:rsidR="00287EF6" w:rsidRDefault="00804CB8" w:rsidP="000265A3">
      <w:pPr>
        <w:jc w:val="left"/>
      </w:pPr>
      <w:r>
        <w:t xml:space="preserve">A media release and consultation paper were published on the ACMA website </w:t>
      </w:r>
      <w:r w:rsidRPr="002B2CD4">
        <w:t>on 26 November 2013</w:t>
      </w:r>
      <w:r>
        <w:t>,</w:t>
      </w:r>
      <w:r w:rsidRPr="002B2CD4">
        <w:t xml:space="preserve"> inviting comment on the </w:t>
      </w:r>
      <w:r w:rsidR="001B7CA8">
        <w:t>potential regulatory mechanisms</w:t>
      </w:r>
      <w:r>
        <w:t xml:space="preserve"> and</w:t>
      </w:r>
      <w:r w:rsidR="00287EF6">
        <w:t xml:space="preserve"> the terms of</w:t>
      </w:r>
      <w:r>
        <w:t xml:space="preserve"> a draft version of the Determination </w:t>
      </w:r>
      <w:r w:rsidR="00287EF6">
        <w:t>(</w:t>
      </w:r>
      <w:r>
        <w:t>which was attached</w:t>
      </w:r>
      <w:r w:rsidR="00287EF6">
        <w:t xml:space="preserve"> to the paper)</w:t>
      </w:r>
      <w:r w:rsidRPr="002B2CD4">
        <w:t>.</w:t>
      </w:r>
      <w:r w:rsidR="00287EF6">
        <w:t xml:space="preserve">  The ACMA received 13 submissions.  </w:t>
      </w:r>
    </w:p>
    <w:p w14:paraId="35CB54FC" w14:textId="4A98D66E" w:rsidR="00287EF6" w:rsidRDefault="00287EF6" w:rsidP="000265A3">
      <w:pPr>
        <w:jc w:val="left"/>
      </w:pPr>
      <w:r>
        <w:t>The draft version of the Determination was revised in response to the submissions and circulated to</w:t>
      </w:r>
      <w:r w:rsidR="00AB60B5">
        <w:t xml:space="preserve"> the working group and</w:t>
      </w:r>
      <w:r>
        <w:t xml:space="preserve"> </w:t>
      </w:r>
      <w:r w:rsidR="00281932">
        <w:t>the submitters</w:t>
      </w:r>
      <w:r w:rsidR="00A5085D">
        <w:t xml:space="preserve"> for comment</w:t>
      </w:r>
      <w:r>
        <w:t xml:space="preserve"> in May 2014.</w:t>
      </w:r>
      <w:r w:rsidR="00A5085D">
        <w:t xml:space="preserve">  The ACMA received </w:t>
      </w:r>
      <w:r w:rsidR="00F657D3">
        <w:t>four</w:t>
      </w:r>
      <w:r w:rsidR="00A5085D">
        <w:t xml:space="preserve"> </w:t>
      </w:r>
      <w:r w:rsidR="00281932">
        <w:t xml:space="preserve">further </w:t>
      </w:r>
      <w:r w:rsidR="00A5085D">
        <w:t>submissions.</w:t>
      </w:r>
    </w:p>
    <w:p w14:paraId="548811A6" w14:textId="77777777" w:rsidR="00A5085D" w:rsidRDefault="00A5085D" w:rsidP="000265A3">
      <w:pPr>
        <w:jc w:val="left"/>
      </w:pPr>
      <w:r>
        <w:t>The ACMA also consulted the ACCC before making the Determination, as required by subsection 99(4) of the Act.</w:t>
      </w:r>
    </w:p>
    <w:p w14:paraId="0319FFCD" w14:textId="77777777" w:rsidR="00A5085D" w:rsidRDefault="00A5085D" w:rsidP="000265A3">
      <w:pPr>
        <w:jc w:val="left"/>
      </w:pPr>
      <w:r>
        <w:t xml:space="preserve">All issues raised during the consultation process were considered by the ACMA and subsequently informed the content of the Determination. </w:t>
      </w:r>
    </w:p>
    <w:p w14:paraId="4E1A4825" w14:textId="77777777" w:rsidR="003646B5" w:rsidRDefault="003646B5">
      <w:pPr>
        <w:suppressAutoHyphens w:val="0"/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776FD91" w14:textId="5D48D4D8" w:rsidR="00710CFB" w:rsidRPr="0070381F" w:rsidRDefault="00710CFB" w:rsidP="000265A3">
      <w:pPr>
        <w:jc w:val="left"/>
      </w:pPr>
      <w:r w:rsidRPr="000265A3">
        <w:rPr>
          <w:b/>
        </w:rPr>
        <w:t xml:space="preserve">Notes on </w:t>
      </w:r>
      <w:r w:rsidR="007E41B3" w:rsidRPr="000265A3">
        <w:rPr>
          <w:b/>
        </w:rPr>
        <w:t>S</w:t>
      </w:r>
      <w:r w:rsidRPr="000265A3">
        <w:rPr>
          <w:b/>
        </w:rPr>
        <w:t>ections</w:t>
      </w:r>
    </w:p>
    <w:p w14:paraId="4AEA6FF4" w14:textId="77777777" w:rsidR="00710CFB" w:rsidRPr="00710CFB" w:rsidRDefault="00BD2C82" w:rsidP="000265A3">
      <w:pPr>
        <w:jc w:val="left"/>
        <w:rPr>
          <w:lang w:val="en-US"/>
        </w:rPr>
      </w:pPr>
      <w:r>
        <w:rPr>
          <w:lang w:val="en-US"/>
        </w:rPr>
        <w:t xml:space="preserve">The provisions of the Determination, and how they operate, are described in </w:t>
      </w:r>
      <w:r w:rsidRPr="00BD2C82">
        <w:rPr>
          <w:b/>
          <w:lang w:val="en-US"/>
        </w:rPr>
        <w:t>Attachment A</w:t>
      </w:r>
      <w:r>
        <w:rPr>
          <w:lang w:val="en-US"/>
        </w:rPr>
        <w:t>.</w:t>
      </w:r>
    </w:p>
    <w:p w14:paraId="1ED5D10A" w14:textId="77777777" w:rsidR="00163CD5" w:rsidRPr="00163CD5" w:rsidRDefault="00163CD5" w:rsidP="000265A3">
      <w:pPr>
        <w:pStyle w:val="Heading1"/>
        <w:jc w:val="left"/>
      </w:pPr>
      <w:r w:rsidRPr="00163CD5">
        <w:t>Statement of Compatibility with Human Rights</w:t>
      </w:r>
    </w:p>
    <w:p w14:paraId="0BC1279B" w14:textId="77777777" w:rsidR="00163CD5" w:rsidRPr="00FC32B5" w:rsidRDefault="00163CD5" w:rsidP="000265A3">
      <w:pPr>
        <w:jc w:val="left"/>
        <w:rPr>
          <w:b/>
        </w:rPr>
      </w:pPr>
      <w:r w:rsidRPr="0065387F">
        <w:t xml:space="preserve">A statement of compatibility with human rights for the purposes of Part 3 of the </w:t>
      </w:r>
      <w:r w:rsidRPr="0065387F">
        <w:rPr>
          <w:i/>
        </w:rPr>
        <w:t>Human Rights (Parliamentary Scrutiny) Act 2011</w:t>
      </w:r>
      <w:r w:rsidRPr="0065387F">
        <w:t xml:space="preserve"> is set out in </w:t>
      </w:r>
      <w:r w:rsidRPr="0065387F">
        <w:rPr>
          <w:b/>
        </w:rPr>
        <w:t>Attachment B</w:t>
      </w:r>
      <w:r w:rsidRPr="0065387F">
        <w:t>.</w:t>
      </w:r>
    </w:p>
    <w:p w14:paraId="0C1916EA" w14:textId="77777777" w:rsidR="00710CFB" w:rsidRPr="00D91B1C" w:rsidRDefault="00710CFB" w:rsidP="000265A3">
      <w:pPr>
        <w:pStyle w:val="Heading1"/>
        <w:jc w:val="left"/>
      </w:pPr>
      <w:r>
        <w:t>Regulation Impact Statement</w:t>
      </w:r>
    </w:p>
    <w:p w14:paraId="3990CBED" w14:textId="77777777" w:rsidR="00DB23CA" w:rsidRPr="0049760E" w:rsidRDefault="00C65EA7" w:rsidP="000265A3">
      <w:pPr>
        <w:jc w:val="left"/>
        <w:rPr>
          <w:lang w:val="en-US"/>
        </w:rPr>
      </w:pPr>
      <w:r w:rsidRPr="0049760E">
        <w:rPr>
          <w:lang w:val="en-US"/>
        </w:rPr>
        <w:t xml:space="preserve">A </w:t>
      </w:r>
      <w:r w:rsidR="00CF0151" w:rsidRPr="0049760E">
        <w:rPr>
          <w:lang w:val="en-US"/>
        </w:rPr>
        <w:t xml:space="preserve">Regulation Impact Statement </w:t>
      </w:r>
      <w:r w:rsidR="007E41B3">
        <w:rPr>
          <w:lang w:val="en-US"/>
        </w:rPr>
        <w:t xml:space="preserve">was </w:t>
      </w:r>
      <w:r w:rsidR="00BF4D28">
        <w:rPr>
          <w:lang w:val="en-US"/>
        </w:rPr>
        <w:t xml:space="preserve">prepared by the ACMA </w:t>
      </w:r>
      <w:r w:rsidR="00552FEA">
        <w:rPr>
          <w:lang w:val="en-US"/>
        </w:rPr>
        <w:t xml:space="preserve">and </w:t>
      </w:r>
      <w:r w:rsidR="007E41B3">
        <w:rPr>
          <w:lang w:val="en-US"/>
        </w:rPr>
        <w:t xml:space="preserve">is </w:t>
      </w:r>
      <w:r w:rsidR="00552FEA">
        <w:rPr>
          <w:lang w:val="en-US"/>
        </w:rPr>
        <w:t xml:space="preserve">available on </w:t>
      </w:r>
      <w:r w:rsidR="00E103BD" w:rsidRPr="0065387F">
        <w:t>the Office of Best Practice Regulation (</w:t>
      </w:r>
      <w:r w:rsidR="00E103BD" w:rsidRPr="0065387F">
        <w:rPr>
          <w:b/>
        </w:rPr>
        <w:t>OBPR</w:t>
      </w:r>
      <w:r w:rsidR="00E103BD" w:rsidRPr="0065387F">
        <w:t>)</w:t>
      </w:r>
      <w:r w:rsidR="00E103BD">
        <w:t xml:space="preserve"> website at </w:t>
      </w:r>
      <w:hyperlink r:id="rId13" w:history="1">
        <w:r w:rsidR="00E103BD" w:rsidRPr="003228B8">
          <w:rPr>
            <w:rStyle w:val="Hyperlink"/>
          </w:rPr>
          <w:t>http://ris.finance.gov.au/</w:t>
        </w:r>
      </w:hyperlink>
      <w:r w:rsidR="00E103BD" w:rsidRPr="0065387F">
        <w:t>. The OBPR reference number is</w:t>
      </w:r>
      <w:r w:rsidR="00E103BD">
        <w:t xml:space="preserve"> </w:t>
      </w:r>
      <w:r w:rsidR="00212014" w:rsidRPr="00212014">
        <w:t>15138</w:t>
      </w:r>
      <w:r w:rsidR="00E103BD" w:rsidRPr="0065387F">
        <w:t>.</w:t>
      </w:r>
    </w:p>
    <w:p w14:paraId="02EC106D" w14:textId="77777777" w:rsidR="00163CD5" w:rsidRDefault="00163CD5" w:rsidP="000265A3">
      <w:pPr>
        <w:jc w:val="left"/>
        <w:rPr>
          <w:lang w:val="en-US"/>
        </w:rPr>
      </w:pPr>
    </w:p>
    <w:p w14:paraId="353EEA75" w14:textId="77777777" w:rsidR="00DB23CA" w:rsidRPr="007E1E62" w:rsidRDefault="00DB23CA" w:rsidP="000265A3">
      <w:pPr>
        <w:jc w:val="left"/>
        <w:rPr>
          <w:lang w:val="en-US"/>
        </w:rPr>
      </w:pPr>
      <w:r w:rsidRPr="007E1E62">
        <w:rPr>
          <w:lang w:val="en-US"/>
        </w:rPr>
        <w:br w:type="page"/>
      </w:r>
    </w:p>
    <w:p w14:paraId="49B56193" w14:textId="77777777" w:rsidR="004453B3" w:rsidRDefault="004453B3" w:rsidP="000265A3">
      <w:pPr>
        <w:pStyle w:val="Heading1"/>
        <w:jc w:val="right"/>
      </w:pPr>
      <w:r>
        <w:t>ATTACHMENT A</w:t>
      </w:r>
    </w:p>
    <w:p w14:paraId="4E6D116E" w14:textId="77777777" w:rsidR="00DB23CA" w:rsidRPr="005C5D99" w:rsidRDefault="00281932" w:rsidP="00072B31">
      <w:pPr>
        <w:pStyle w:val="Heading1"/>
      </w:pPr>
      <w:r>
        <w:t>Notes on Sections</w:t>
      </w:r>
    </w:p>
    <w:p w14:paraId="4942784F" w14:textId="77777777" w:rsidR="00DB23CA" w:rsidRPr="004805FA" w:rsidRDefault="00DB23CA" w:rsidP="000265A3">
      <w:pPr>
        <w:pStyle w:val="Heading1"/>
        <w:jc w:val="center"/>
      </w:pPr>
      <w:r w:rsidRPr="004805FA">
        <w:t xml:space="preserve">Part 1 – </w:t>
      </w:r>
      <w:r w:rsidR="00AC17F6">
        <w:t>Preliminary</w:t>
      </w:r>
    </w:p>
    <w:p w14:paraId="160E5641" w14:textId="77777777" w:rsidR="00DB23CA" w:rsidRDefault="007E1E62" w:rsidP="000265A3">
      <w:pPr>
        <w:pStyle w:val="Heading1"/>
        <w:jc w:val="left"/>
      </w:pPr>
      <w:r w:rsidRPr="004805FA">
        <w:t xml:space="preserve">Section 1 – </w:t>
      </w:r>
      <w:r w:rsidR="00AC17F6" w:rsidRPr="006071F6">
        <w:t>Name of Determination</w:t>
      </w:r>
    </w:p>
    <w:p w14:paraId="3F0FB023" w14:textId="77777777" w:rsidR="00AC17F6" w:rsidRDefault="005C5D99" w:rsidP="000265A3">
      <w:pPr>
        <w:jc w:val="left"/>
      </w:pPr>
      <w:r w:rsidRPr="005C5D99">
        <w:t>Section 1</w:t>
      </w:r>
      <w:r w:rsidR="00FA643D">
        <w:t xml:space="preserve"> provides </w:t>
      </w:r>
      <w:r w:rsidR="007B6A4E">
        <w:t xml:space="preserve">for </w:t>
      </w:r>
      <w:r w:rsidR="00FA643D">
        <w:t xml:space="preserve">the citation of the Determination as the </w:t>
      </w:r>
      <w:r w:rsidR="00FA643D" w:rsidRPr="000265A3">
        <w:rPr>
          <w:i/>
        </w:rPr>
        <w:t>Telecommunications (Backup Power and Informed Decisions) Service Provider Determination 2014</w:t>
      </w:r>
      <w:r w:rsidR="00FA643D">
        <w:t>.</w:t>
      </w:r>
    </w:p>
    <w:p w14:paraId="57E51537" w14:textId="77777777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2</w:t>
      </w:r>
      <w:r w:rsidRPr="004805FA">
        <w:t xml:space="preserve"> – </w:t>
      </w:r>
      <w:r w:rsidRPr="006071F6">
        <w:rPr>
          <w:rStyle w:val="CharSectno"/>
        </w:rPr>
        <w:t>Commencement</w:t>
      </w:r>
    </w:p>
    <w:p w14:paraId="0A6BCB68" w14:textId="77777777" w:rsidR="00AC17F6" w:rsidRPr="00AC17F6" w:rsidRDefault="005C5D99" w:rsidP="000265A3">
      <w:pPr>
        <w:jc w:val="left"/>
        <w:rPr>
          <w:lang w:val="en-US"/>
        </w:rPr>
      </w:pPr>
      <w:r w:rsidRPr="005C5D99">
        <w:rPr>
          <w:lang w:val="en-US"/>
        </w:rPr>
        <w:t>Section 2</w:t>
      </w:r>
      <w:r w:rsidR="001657B3">
        <w:rPr>
          <w:lang w:val="en-US"/>
        </w:rPr>
        <w:t xml:space="preserve"> provides that the </w:t>
      </w:r>
      <w:r w:rsidR="005B2692">
        <w:t>Determination</w:t>
      </w:r>
      <w:r w:rsidR="001657B3">
        <w:t xml:space="preserve"> commences on 2 October 2014</w:t>
      </w:r>
      <w:r w:rsidR="001F75F8">
        <w:t xml:space="preserve">. </w:t>
      </w:r>
    </w:p>
    <w:p w14:paraId="646701E3" w14:textId="77777777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3</w:t>
      </w:r>
      <w:r w:rsidRPr="004805FA">
        <w:t xml:space="preserve"> – </w:t>
      </w:r>
      <w:r w:rsidRPr="000A21E4">
        <w:rPr>
          <w:rStyle w:val="CharSectno"/>
        </w:rPr>
        <w:t>Object</w:t>
      </w:r>
    </w:p>
    <w:p w14:paraId="5EC048A4" w14:textId="77777777" w:rsidR="00AC17F6" w:rsidRPr="00AC17F6" w:rsidRDefault="005C5D99" w:rsidP="000265A3">
      <w:pPr>
        <w:jc w:val="left"/>
        <w:rPr>
          <w:lang w:val="en-US"/>
        </w:rPr>
      </w:pPr>
      <w:r w:rsidRPr="005B2692">
        <w:rPr>
          <w:lang w:val="en-US"/>
        </w:rPr>
        <w:t>Section 3</w:t>
      </w:r>
      <w:r w:rsidR="003D7877" w:rsidRPr="005B2692">
        <w:rPr>
          <w:lang w:val="en-US"/>
        </w:rPr>
        <w:t xml:space="preserve"> </w:t>
      </w:r>
      <w:r w:rsidR="005B2692" w:rsidRPr="005B2692">
        <w:rPr>
          <w:lang w:val="en-US"/>
        </w:rPr>
        <w:t>sets out t</w:t>
      </w:r>
      <w:r w:rsidR="005B2692">
        <w:rPr>
          <w:lang w:val="en-US"/>
        </w:rPr>
        <w:t>he object of the Determination</w:t>
      </w:r>
      <w:r w:rsidR="007B6A4E">
        <w:rPr>
          <w:lang w:val="en-US"/>
        </w:rPr>
        <w:t xml:space="preserve"> and how the Determination achieves that object</w:t>
      </w:r>
      <w:r w:rsidR="005B2692">
        <w:rPr>
          <w:lang w:val="en-US"/>
        </w:rPr>
        <w:t>.</w:t>
      </w:r>
    </w:p>
    <w:p w14:paraId="11AF99FE" w14:textId="77777777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4</w:t>
      </w:r>
      <w:r w:rsidRPr="004805FA">
        <w:t xml:space="preserve"> – </w:t>
      </w:r>
      <w:r w:rsidRPr="000A21E4">
        <w:rPr>
          <w:rStyle w:val="CharSectno"/>
        </w:rPr>
        <w:t>Definitions</w:t>
      </w:r>
    </w:p>
    <w:p w14:paraId="18B353A8" w14:textId="77777777" w:rsidR="00AC17F6" w:rsidRPr="00AC17F6" w:rsidRDefault="005C5D99" w:rsidP="000265A3">
      <w:pPr>
        <w:jc w:val="left"/>
        <w:rPr>
          <w:lang w:val="en-US"/>
        </w:rPr>
      </w:pPr>
      <w:r w:rsidRPr="005C5D99">
        <w:rPr>
          <w:lang w:val="en-US"/>
        </w:rPr>
        <w:t>Section 4</w:t>
      </w:r>
      <w:r w:rsidR="005B2692">
        <w:rPr>
          <w:lang w:val="en-US"/>
        </w:rPr>
        <w:t xml:space="preserve"> </w:t>
      </w:r>
      <w:r w:rsidR="007B6A4E">
        <w:rPr>
          <w:lang w:val="en-US"/>
        </w:rPr>
        <w:t>set outs out the</w:t>
      </w:r>
      <w:r w:rsidR="00B73C1D">
        <w:rPr>
          <w:lang w:val="en-US"/>
        </w:rPr>
        <w:t xml:space="preserve"> definitions </w:t>
      </w:r>
      <w:r w:rsidR="007B6A4E">
        <w:rPr>
          <w:lang w:val="en-US"/>
        </w:rPr>
        <w:t>of key</w:t>
      </w:r>
      <w:r w:rsidR="00B73C1D">
        <w:rPr>
          <w:lang w:val="en-US"/>
        </w:rPr>
        <w:t xml:space="preserve"> terms used in the Determination</w:t>
      </w:r>
      <w:r w:rsidR="006C08E7">
        <w:rPr>
          <w:lang w:val="en-US"/>
        </w:rPr>
        <w:t xml:space="preserve">, </w:t>
      </w:r>
      <w:r w:rsidR="00D10CA3">
        <w:rPr>
          <w:lang w:val="en-US"/>
        </w:rPr>
        <w:t>including</w:t>
      </w:r>
      <w:r w:rsidR="006C08E7">
        <w:rPr>
          <w:lang w:val="en-US"/>
        </w:rPr>
        <w:t xml:space="preserve"> </w:t>
      </w:r>
      <w:r w:rsidR="00727D27">
        <w:rPr>
          <w:lang w:val="en-US"/>
        </w:rPr>
        <w:t>“</w:t>
      </w:r>
      <w:r w:rsidR="006C08E7" w:rsidRPr="00727D27">
        <w:rPr>
          <w:lang w:val="en-US"/>
        </w:rPr>
        <w:t>backup power service</w:t>
      </w:r>
      <w:r w:rsidR="00727D27">
        <w:rPr>
          <w:lang w:val="en-US"/>
        </w:rPr>
        <w:t>”</w:t>
      </w:r>
      <w:r w:rsidR="006C08E7" w:rsidRPr="000265A3">
        <w:rPr>
          <w:lang w:val="en-US"/>
        </w:rPr>
        <w:t>,</w:t>
      </w:r>
      <w:r w:rsidR="00727D27">
        <w:rPr>
          <w:lang w:val="en-US"/>
        </w:rPr>
        <w:t xml:space="preserve"> “BPSU”,</w:t>
      </w:r>
      <w:r w:rsidR="006C08E7" w:rsidRPr="000265A3">
        <w:rPr>
          <w:lang w:val="en-US"/>
        </w:rPr>
        <w:t xml:space="preserve"> </w:t>
      </w:r>
      <w:r w:rsidR="00727D27">
        <w:rPr>
          <w:lang w:val="en-US"/>
        </w:rPr>
        <w:t>“</w:t>
      </w:r>
      <w:r w:rsidR="006C08E7" w:rsidRPr="000265A3">
        <w:rPr>
          <w:lang w:val="en-US"/>
        </w:rPr>
        <w:t>customer</w:t>
      </w:r>
      <w:r w:rsidR="00727D27">
        <w:rPr>
          <w:lang w:val="en-US"/>
        </w:rPr>
        <w:t>”</w:t>
      </w:r>
      <w:r w:rsidR="006C08E7" w:rsidRPr="000265A3">
        <w:rPr>
          <w:lang w:val="en-US"/>
        </w:rPr>
        <w:t xml:space="preserve"> (which refers to </w:t>
      </w:r>
      <w:r w:rsidR="003D5D79" w:rsidRPr="00727D27">
        <w:rPr>
          <w:lang w:val="en-US"/>
        </w:rPr>
        <w:t xml:space="preserve">the meaning given in </w:t>
      </w:r>
      <w:r w:rsidR="006C08E7" w:rsidRPr="000265A3">
        <w:rPr>
          <w:lang w:val="en-US"/>
        </w:rPr>
        <w:t xml:space="preserve">section 6) and </w:t>
      </w:r>
      <w:r w:rsidR="00727D27">
        <w:rPr>
          <w:lang w:val="en-US"/>
        </w:rPr>
        <w:t>“</w:t>
      </w:r>
      <w:r w:rsidR="006C08E7" w:rsidRPr="000265A3">
        <w:rPr>
          <w:lang w:val="en-US"/>
        </w:rPr>
        <w:t>specified carriage service</w:t>
      </w:r>
      <w:r w:rsidR="00727D27">
        <w:rPr>
          <w:lang w:val="en-US"/>
        </w:rPr>
        <w:t>”</w:t>
      </w:r>
      <w:r w:rsidR="006C08E7" w:rsidRPr="000265A3">
        <w:rPr>
          <w:lang w:val="en-US"/>
        </w:rPr>
        <w:t xml:space="preserve"> </w:t>
      </w:r>
      <w:r w:rsidR="006C08E7" w:rsidRPr="00727D27">
        <w:t>(which refers to</w:t>
      </w:r>
      <w:r w:rsidR="00F65C49" w:rsidRPr="00727D27">
        <w:t xml:space="preserve"> the</w:t>
      </w:r>
      <w:r w:rsidR="006C08E7" w:rsidRPr="00727D27">
        <w:t xml:space="preserve"> </w:t>
      </w:r>
      <w:r w:rsidR="003D5D79" w:rsidRPr="00727D27">
        <w:t>meanin</w:t>
      </w:r>
      <w:r w:rsidR="003D5D79">
        <w:t xml:space="preserve">g given in </w:t>
      </w:r>
      <w:r w:rsidR="006C08E7">
        <w:t>section 5)</w:t>
      </w:r>
      <w:r w:rsidR="00B73C1D" w:rsidRPr="00FF424B">
        <w:rPr>
          <w:lang w:val="en-US"/>
        </w:rPr>
        <w:t>.</w:t>
      </w:r>
      <w:r w:rsidR="00B73C1D">
        <w:rPr>
          <w:lang w:val="en-US"/>
        </w:rPr>
        <w:t xml:space="preserve"> </w:t>
      </w:r>
    </w:p>
    <w:p w14:paraId="329D1838" w14:textId="77777777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5</w:t>
      </w:r>
      <w:r w:rsidRPr="004805FA">
        <w:t xml:space="preserve"> – </w:t>
      </w:r>
      <w:r w:rsidRPr="000A21E4">
        <w:t>Specified carriage service</w:t>
      </w:r>
    </w:p>
    <w:p w14:paraId="4FB6DB0F" w14:textId="77777777" w:rsidR="004E4DE3" w:rsidRDefault="005C5D99" w:rsidP="000265A3">
      <w:pPr>
        <w:jc w:val="left"/>
        <w:rPr>
          <w:lang w:val="en-US"/>
        </w:rPr>
      </w:pPr>
      <w:r w:rsidRPr="005C5D99">
        <w:rPr>
          <w:lang w:val="en-US"/>
        </w:rPr>
        <w:t>Section 5</w:t>
      </w:r>
      <w:r w:rsidR="002014B2">
        <w:rPr>
          <w:lang w:val="en-US"/>
        </w:rPr>
        <w:t xml:space="preserve"> </w:t>
      </w:r>
      <w:r w:rsidR="003D5D79">
        <w:rPr>
          <w:lang w:val="en-US"/>
        </w:rPr>
        <w:t>provides that</w:t>
      </w:r>
      <w:r w:rsidR="00366AAD">
        <w:rPr>
          <w:lang w:val="en-US"/>
        </w:rPr>
        <w:t xml:space="preserve"> a carriage service that is, or is to be, supplied to a</w:t>
      </w:r>
      <w:r w:rsidR="00F65C49">
        <w:rPr>
          <w:lang w:val="en-US"/>
        </w:rPr>
        <w:t xml:space="preserve"> customer is</w:t>
      </w:r>
      <w:r w:rsidR="002014B2">
        <w:rPr>
          <w:lang w:val="en-US"/>
        </w:rPr>
        <w:t xml:space="preserve"> a specified carriage service</w:t>
      </w:r>
      <w:r w:rsidR="00F65C49">
        <w:rPr>
          <w:lang w:val="en-US"/>
        </w:rPr>
        <w:t xml:space="preserve"> if the carriage service</w:t>
      </w:r>
      <w:r w:rsidR="004E4DE3">
        <w:rPr>
          <w:lang w:val="en-US"/>
        </w:rPr>
        <w:t>:</w:t>
      </w:r>
      <w:r w:rsidR="00F65C49">
        <w:rPr>
          <w:lang w:val="en-US"/>
        </w:rPr>
        <w:t xml:space="preserve"> </w:t>
      </w:r>
    </w:p>
    <w:p w14:paraId="34FEA990" w14:textId="77777777" w:rsidR="004E4DE3" w:rsidRPr="004E4DE3" w:rsidRDefault="00F65C49" w:rsidP="000265A3">
      <w:pPr>
        <w:pStyle w:val="ListParagraph"/>
        <w:numPr>
          <w:ilvl w:val="0"/>
          <w:numId w:val="40"/>
        </w:numPr>
        <w:ind w:left="851" w:hanging="425"/>
        <w:jc w:val="left"/>
        <w:rPr>
          <w:lang w:val="en-US"/>
        </w:rPr>
      </w:pPr>
      <w:r w:rsidRPr="004E4DE3">
        <w:rPr>
          <w:lang w:val="en-US"/>
        </w:rPr>
        <w:t>is a standard telephone service</w:t>
      </w:r>
      <w:r w:rsidR="004E4DE3" w:rsidRPr="004E4DE3">
        <w:rPr>
          <w:lang w:val="en-US"/>
        </w:rPr>
        <w:t xml:space="preserve"> irrespective of whether or not the service is</w:t>
      </w:r>
      <w:r w:rsidR="00887EC0">
        <w:rPr>
          <w:lang w:val="en-US"/>
        </w:rPr>
        <w:t>, or is to be,</w:t>
      </w:r>
      <w:r w:rsidR="004E4DE3" w:rsidRPr="004E4DE3">
        <w:rPr>
          <w:lang w:val="en-US"/>
        </w:rPr>
        <w:t xml:space="preserve"> supplied as part of, or in conjunction with, another carriage or some other kind of service;</w:t>
      </w:r>
      <w:r w:rsidRPr="004E4DE3">
        <w:rPr>
          <w:lang w:val="en-US"/>
        </w:rPr>
        <w:t xml:space="preserve"> and </w:t>
      </w:r>
    </w:p>
    <w:p w14:paraId="28BBCE5C" w14:textId="77777777" w:rsidR="00F65C49" w:rsidRPr="004E4DE3" w:rsidRDefault="00F65C49" w:rsidP="000265A3">
      <w:pPr>
        <w:pStyle w:val="ListParagraph"/>
        <w:numPr>
          <w:ilvl w:val="0"/>
          <w:numId w:val="40"/>
        </w:numPr>
        <w:ind w:left="851" w:hanging="425"/>
        <w:jc w:val="left"/>
        <w:rPr>
          <w:lang w:val="en-US"/>
        </w:rPr>
      </w:pPr>
      <w:proofErr w:type="gramStart"/>
      <w:r w:rsidRPr="004E4DE3">
        <w:rPr>
          <w:lang w:val="en-US"/>
        </w:rPr>
        <w:t>is</w:t>
      </w:r>
      <w:proofErr w:type="gramEnd"/>
      <w:r w:rsidRPr="004E4DE3">
        <w:rPr>
          <w:lang w:val="en-US"/>
        </w:rPr>
        <w:t xml:space="preserve">, or is to be, supplied to the customer’s premises by means of the NBN using </w:t>
      </w:r>
      <w:r w:rsidR="005B2530" w:rsidRPr="004E4DE3">
        <w:rPr>
          <w:lang w:val="en-US"/>
        </w:rPr>
        <w:t>FTTP</w:t>
      </w:r>
      <w:r w:rsidRPr="004E4DE3">
        <w:rPr>
          <w:lang w:val="en-US"/>
        </w:rPr>
        <w:t xml:space="preserve"> architecture.</w:t>
      </w:r>
    </w:p>
    <w:p w14:paraId="47E8591E" w14:textId="77777777" w:rsidR="00653860" w:rsidRDefault="005B2530" w:rsidP="000265A3">
      <w:pPr>
        <w:jc w:val="left"/>
        <w:rPr>
          <w:lang w:val="en-US"/>
        </w:rPr>
      </w:pPr>
      <w:r>
        <w:rPr>
          <w:lang w:val="en-US"/>
        </w:rPr>
        <w:t xml:space="preserve">This definition covers </w:t>
      </w:r>
      <w:r w:rsidR="006A1F1B">
        <w:rPr>
          <w:lang w:val="en-US"/>
        </w:rPr>
        <w:t>the supply</w:t>
      </w:r>
      <w:r>
        <w:rPr>
          <w:lang w:val="en-US"/>
        </w:rPr>
        <w:t xml:space="preserve"> or proposed supply to a customer</w:t>
      </w:r>
      <w:r w:rsidR="006A1F1B">
        <w:rPr>
          <w:lang w:val="en-US"/>
        </w:rPr>
        <w:t xml:space="preserve"> of voice telephony services</w:t>
      </w:r>
      <w:r>
        <w:rPr>
          <w:lang w:val="en-US"/>
        </w:rPr>
        <w:t>,</w:t>
      </w:r>
      <w:r w:rsidR="006A1F1B">
        <w:rPr>
          <w:lang w:val="en-US"/>
        </w:rPr>
        <w:t xml:space="preserve"> </w:t>
      </w:r>
      <w:r w:rsidR="00305C23">
        <w:rPr>
          <w:lang w:val="en-US"/>
        </w:rPr>
        <w:t>includ</w:t>
      </w:r>
      <w:r w:rsidR="006A1F1B">
        <w:rPr>
          <w:lang w:val="en-US"/>
        </w:rPr>
        <w:t>ing</w:t>
      </w:r>
      <w:r w:rsidR="00305C23">
        <w:rPr>
          <w:lang w:val="en-US"/>
        </w:rPr>
        <w:t xml:space="preserve"> two way </w:t>
      </w:r>
      <w:r w:rsidR="00FB3665">
        <w:rPr>
          <w:lang w:val="en-US"/>
        </w:rPr>
        <w:t>voice over internet protocol (</w:t>
      </w:r>
      <w:r w:rsidR="00305C23" w:rsidRPr="00FB3665">
        <w:rPr>
          <w:b/>
          <w:lang w:val="en-US"/>
        </w:rPr>
        <w:t>VoIP</w:t>
      </w:r>
      <w:r w:rsidR="00FB3665">
        <w:rPr>
          <w:b/>
          <w:lang w:val="en-US"/>
        </w:rPr>
        <w:t>)</w:t>
      </w:r>
      <w:r w:rsidR="00305C23">
        <w:rPr>
          <w:lang w:val="en-US"/>
        </w:rPr>
        <w:t xml:space="preserve"> service</w:t>
      </w:r>
      <w:r w:rsidR="006A1F1B">
        <w:rPr>
          <w:lang w:val="en-US"/>
        </w:rPr>
        <w:t>s,</w:t>
      </w:r>
      <w:r>
        <w:rPr>
          <w:lang w:val="en-US"/>
        </w:rPr>
        <w:t xml:space="preserve"> by means of</w:t>
      </w:r>
      <w:r w:rsidR="00D1079D">
        <w:rPr>
          <w:lang w:val="en-US"/>
        </w:rPr>
        <w:t xml:space="preserve"> </w:t>
      </w:r>
      <w:r w:rsidR="00653860">
        <w:rPr>
          <w:lang w:val="en-US"/>
        </w:rPr>
        <w:t xml:space="preserve">the NBN </w:t>
      </w:r>
      <w:r w:rsidR="006A1F1B">
        <w:rPr>
          <w:lang w:val="en-US"/>
        </w:rPr>
        <w:t xml:space="preserve">using </w:t>
      </w:r>
      <w:r>
        <w:rPr>
          <w:lang w:val="en-US"/>
        </w:rPr>
        <w:t>FTTP architecture</w:t>
      </w:r>
      <w:r w:rsidR="006A1F1B">
        <w:rPr>
          <w:lang w:val="en-US"/>
        </w:rPr>
        <w:t>.</w:t>
      </w:r>
      <w:r w:rsidR="006A1F1B" w:rsidDel="006A1F1B">
        <w:rPr>
          <w:lang w:val="en-US"/>
        </w:rPr>
        <w:t xml:space="preserve"> </w:t>
      </w:r>
    </w:p>
    <w:p w14:paraId="37AFA87E" w14:textId="77777777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6</w:t>
      </w:r>
      <w:r w:rsidRPr="004805FA">
        <w:t xml:space="preserve"> – </w:t>
      </w:r>
      <w:r w:rsidRPr="000A21E4">
        <w:t>Customer</w:t>
      </w:r>
    </w:p>
    <w:p w14:paraId="68DFC662" w14:textId="77777777" w:rsidR="00A80259" w:rsidRDefault="005C5D99" w:rsidP="000265A3">
      <w:pPr>
        <w:jc w:val="left"/>
        <w:rPr>
          <w:lang w:val="en-US"/>
        </w:rPr>
      </w:pPr>
      <w:r w:rsidRPr="005C5D99">
        <w:rPr>
          <w:lang w:val="en-US"/>
        </w:rPr>
        <w:t>Section 6</w:t>
      </w:r>
      <w:r w:rsidR="00D1079D">
        <w:rPr>
          <w:lang w:val="en-US"/>
        </w:rPr>
        <w:t xml:space="preserve"> </w:t>
      </w:r>
      <w:r w:rsidR="005B2530">
        <w:rPr>
          <w:lang w:val="en-US"/>
        </w:rPr>
        <w:t xml:space="preserve">provides that </w:t>
      </w:r>
      <w:r w:rsidR="00956A82">
        <w:rPr>
          <w:lang w:val="en-US"/>
        </w:rPr>
        <w:t>a</w:t>
      </w:r>
      <w:r w:rsidR="0013401E">
        <w:rPr>
          <w:lang w:val="en-US"/>
        </w:rPr>
        <w:t xml:space="preserve"> person is a customer of a CSP that supplies specified carriage services if the person</w:t>
      </w:r>
      <w:r w:rsidR="00A80259">
        <w:rPr>
          <w:lang w:val="en-US"/>
        </w:rPr>
        <w:t>:</w:t>
      </w:r>
      <w:r w:rsidR="0013401E">
        <w:rPr>
          <w:lang w:val="en-US"/>
        </w:rPr>
        <w:t xml:space="preserve"> </w:t>
      </w:r>
    </w:p>
    <w:p w14:paraId="6BCA8AEB" w14:textId="77777777" w:rsidR="00A80259" w:rsidRPr="00A80259" w:rsidRDefault="0013401E" w:rsidP="000265A3">
      <w:pPr>
        <w:pStyle w:val="ListParagraph"/>
        <w:numPr>
          <w:ilvl w:val="0"/>
          <w:numId w:val="41"/>
        </w:numPr>
        <w:ind w:left="851" w:hanging="425"/>
        <w:jc w:val="left"/>
        <w:rPr>
          <w:lang w:val="en-US"/>
        </w:rPr>
      </w:pPr>
      <w:r w:rsidRPr="00A80259">
        <w:rPr>
          <w:lang w:val="en-US"/>
        </w:rPr>
        <w:t>has requested the</w:t>
      </w:r>
      <w:r w:rsidR="00956A82" w:rsidRPr="00A80259">
        <w:rPr>
          <w:lang w:val="en-US"/>
        </w:rPr>
        <w:t xml:space="preserve"> </w:t>
      </w:r>
      <w:r w:rsidR="007E001B" w:rsidRPr="00A80259">
        <w:rPr>
          <w:lang w:val="en-US"/>
        </w:rPr>
        <w:t>CSP</w:t>
      </w:r>
      <w:r w:rsidR="005B2530" w:rsidRPr="00A80259">
        <w:rPr>
          <w:lang w:val="en-US"/>
        </w:rPr>
        <w:t xml:space="preserve"> t</w:t>
      </w:r>
      <w:r w:rsidRPr="00A80259">
        <w:rPr>
          <w:lang w:val="en-US"/>
        </w:rPr>
        <w:t>o supply the specified carriage service to the customer’s premises</w:t>
      </w:r>
      <w:r w:rsidR="00A80259" w:rsidRPr="00A80259">
        <w:rPr>
          <w:lang w:val="en-US"/>
        </w:rPr>
        <w:t>;</w:t>
      </w:r>
      <w:r w:rsidRPr="00A80259">
        <w:rPr>
          <w:lang w:val="en-US"/>
        </w:rPr>
        <w:t xml:space="preserve"> or</w:t>
      </w:r>
    </w:p>
    <w:p w14:paraId="54405A19" w14:textId="75D05A30" w:rsidR="0013401E" w:rsidRPr="00A80259" w:rsidRDefault="0013401E" w:rsidP="000265A3">
      <w:pPr>
        <w:pStyle w:val="ListParagraph"/>
        <w:numPr>
          <w:ilvl w:val="0"/>
          <w:numId w:val="41"/>
        </w:numPr>
        <w:ind w:left="851" w:hanging="425"/>
        <w:jc w:val="left"/>
        <w:rPr>
          <w:lang w:val="en-US"/>
        </w:rPr>
      </w:pPr>
      <w:proofErr w:type="gramStart"/>
      <w:r w:rsidRPr="00A80259">
        <w:rPr>
          <w:lang w:val="en-US"/>
        </w:rPr>
        <w:t>has</w:t>
      </w:r>
      <w:proofErr w:type="gramEnd"/>
      <w:r w:rsidRPr="00A80259">
        <w:rPr>
          <w:lang w:val="en-US"/>
        </w:rPr>
        <w:t xml:space="preserve"> entered into an agreement with the CSP for the supply of such a service.</w:t>
      </w:r>
    </w:p>
    <w:p w14:paraId="43CD4D52" w14:textId="7701C29F" w:rsidR="005B2530" w:rsidRDefault="0013401E" w:rsidP="000265A3">
      <w:pPr>
        <w:jc w:val="left"/>
      </w:pPr>
      <w:r>
        <w:rPr>
          <w:lang w:val="en-US"/>
        </w:rPr>
        <w:t xml:space="preserve">Section 6 also provides that a customer </w:t>
      </w:r>
      <w:r>
        <w:t xml:space="preserve">does not include </w:t>
      </w:r>
      <w:r w:rsidR="00863A51">
        <w:t xml:space="preserve">a </w:t>
      </w:r>
      <w:r>
        <w:t>person who carries on a business and has an ABN or who is itself a CSP or a carrier</w:t>
      </w:r>
      <w:r w:rsidR="00396784">
        <w:t>.</w:t>
      </w:r>
    </w:p>
    <w:p w14:paraId="361C0D45" w14:textId="77777777" w:rsidR="00AC17F6" w:rsidRDefault="00AC17F6" w:rsidP="000265A3">
      <w:pPr>
        <w:pStyle w:val="Heading1"/>
        <w:jc w:val="center"/>
      </w:pPr>
      <w:r>
        <w:t xml:space="preserve">Part 2 – </w:t>
      </w:r>
      <w:r w:rsidRPr="00AC17F6">
        <w:t>Rules relating to informing customers about backup power services</w:t>
      </w:r>
    </w:p>
    <w:p w14:paraId="6D35D8AB" w14:textId="77777777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7</w:t>
      </w:r>
      <w:r w:rsidRPr="004805FA">
        <w:t xml:space="preserve"> – </w:t>
      </w:r>
      <w:r w:rsidR="00454B35" w:rsidRPr="00624089">
        <w:rPr>
          <w:noProof/>
        </w:rPr>
        <w:t>Application of Part 2</w:t>
      </w:r>
    </w:p>
    <w:p w14:paraId="45C618B3" w14:textId="77777777" w:rsidR="00AC17F6" w:rsidRPr="00AC17F6" w:rsidRDefault="005C5D99" w:rsidP="00FA22F9">
      <w:pPr>
        <w:spacing w:before="240"/>
        <w:jc w:val="left"/>
        <w:rPr>
          <w:lang w:val="en-US"/>
        </w:rPr>
      </w:pPr>
      <w:r w:rsidRPr="005C5D99">
        <w:rPr>
          <w:lang w:val="en-US"/>
        </w:rPr>
        <w:t>Section 7</w:t>
      </w:r>
      <w:r w:rsidR="00121514">
        <w:rPr>
          <w:lang w:val="en-US"/>
        </w:rPr>
        <w:t xml:space="preserve"> </w:t>
      </w:r>
      <w:r w:rsidR="00697C12">
        <w:rPr>
          <w:lang w:val="en-US"/>
        </w:rPr>
        <w:t xml:space="preserve">provides </w:t>
      </w:r>
      <w:r w:rsidR="00021E76">
        <w:rPr>
          <w:lang w:val="en-US"/>
        </w:rPr>
        <w:t xml:space="preserve">that </w:t>
      </w:r>
      <w:r w:rsidR="00697C12">
        <w:rPr>
          <w:lang w:val="en-US"/>
        </w:rPr>
        <w:t xml:space="preserve">Part 2 applies to a CSP if a customer has requested the CSP to supply a specified </w:t>
      </w:r>
      <w:r w:rsidR="00021E76">
        <w:rPr>
          <w:lang w:val="en-US"/>
        </w:rPr>
        <w:t>carriage service to the customer’s premises.</w:t>
      </w:r>
      <w:r w:rsidR="00DD5A01">
        <w:rPr>
          <w:lang w:val="en-US"/>
        </w:rPr>
        <w:t xml:space="preserve"> </w:t>
      </w:r>
      <w:r w:rsidR="00021E76">
        <w:rPr>
          <w:lang w:val="en-US"/>
        </w:rPr>
        <w:t xml:space="preserve"> </w:t>
      </w:r>
    </w:p>
    <w:p w14:paraId="5BAE592D" w14:textId="77777777" w:rsidR="00E76329" w:rsidRPr="000265A3" w:rsidRDefault="00AC17F6" w:rsidP="000265A3">
      <w:pPr>
        <w:pStyle w:val="Heading1"/>
        <w:jc w:val="left"/>
      </w:pPr>
      <w:r w:rsidRPr="004805FA">
        <w:t xml:space="preserve">Section </w:t>
      </w:r>
      <w:r>
        <w:t>8</w:t>
      </w:r>
      <w:r w:rsidRPr="004805FA">
        <w:t xml:space="preserve"> – </w:t>
      </w:r>
      <w:r w:rsidR="00454B35" w:rsidRPr="009F73DE">
        <w:t xml:space="preserve">Obligation to inform before entering into an agreement </w:t>
      </w:r>
      <w:r w:rsidR="00454B35">
        <w:t>for the</w:t>
      </w:r>
      <w:r w:rsidR="00454B35" w:rsidRPr="009F73DE">
        <w:t xml:space="preserve"> supply </w:t>
      </w:r>
      <w:r w:rsidR="00454B35">
        <w:t xml:space="preserve">of </w:t>
      </w:r>
      <w:r w:rsidR="00454B35" w:rsidRPr="009F73DE">
        <w:t>a specified carriage service</w:t>
      </w:r>
    </w:p>
    <w:p w14:paraId="4A9FFE7F" w14:textId="536C3D3B" w:rsidR="00396784" w:rsidRDefault="005C5D99" w:rsidP="000265A3">
      <w:pPr>
        <w:spacing w:before="240"/>
        <w:jc w:val="left"/>
      </w:pPr>
      <w:r w:rsidRPr="005C5D99">
        <w:rPr>
          <w:lang w:val="en-US"/>
        </w:rPr>
        <w:t>S</w:t>
      </w:r>
      <w:r w:rsidR="00935EF9">
        <w:rPr>
          <w:lang w:val="en-US"/>
        </w:rPr>
        <w:t>ubs</w:t>
      </w:r>
      <w:r w:rsidRPr="005C5D99">
        <w:rPr>
          <w:lang w:val="en-US"/>
        </w:rPr>
        <w:t>ection 8</w:t>
      </w:r>
      <w:r w:rsidR="00935EF9">
        <w:rPr>
          <w:lang w:val="en-US"/>
        </w:rPr>
        <w:t>(1)</w:t>
      </w:r>
      <w:r w:rsidR="00BB48D8">
        <w:rPr>
          <w:lang w:val="en-US"/>
        </w:rPr>
        <w:t xml:space="preserve"> </w:t>
      </w:r>
      <w:r w:rsidR="00197A90">
        <w:rPr>
          <w:lang w:val="en-US"/>
        </w:rPr>
        <w:t xml:space="preserve">provides </w:t>
      </w:r>
      <w:r w:rsidR="00045A69">
        <w:t>that th</w:t>
      </w:r>
      <w:r w:rsidR="0020568F">
        <w:t>e CSP must not enter into an agreement with the customer to supply a specified carriage service to the customer’s premises unless the CSP has given the customer certain information</w:t>
      </w:r>
      <w:r w:rsidR="00045A69">
        <w:t xml:space="preserve"> specified in paragraphs 8(1)(a) and (b)</w:t>
      </w:r>
      <w:r w:rsidR="00396784">
        <w:t xml:space="preserve">.  </w:t>
      </w:r>
    </w:p>
    <w:p w14:paraId="76F31E3B" w14:textId="71A5BBE4" w:rsidR="00AC17F6" w:rsidRDefault="005E1869" w:rsidP="000265A3">
      <w:pPr>
        <w:jc w:val="left"/>
        <w:rPr>
          <w:lang w:val="en-US"/>
        </w:rPr>
      </w:pPr>
      <w:r>
        <w:rPr>
          <w:lang w:val="en-US"/>
        </w:rPr>
        <w:t xml:space="preserve">Paragraph </w:t>
      </w:r>
      <w:r w:rsidR="00B54CF8">
        <w:rPr>
          <w:lang w:val="en-US"/>
        </w:rPr>
        <w:t>8(</w:t>
      </w:r>
      <w:r w:rsidR="00AD1816">
        <w:rPr>
          <w:lang w:val="en-US"/>
        </w:rPr>
        <w:t>1</w:t>
      </w:r>
      <w:r w:rsidR="00B54CF8">
        <w:rPr>
          <w:lang w:val="en-US"/>
        </w:rPr>
        <w:t>)</w:t>
      </w:r>
      <w:r w:rsidR="00AD1816">
        <w:rPr>
          <w:lang w:val="en-US"/>
        </w:rPr>
        <w:t xml:space="preserve">(a) </w:t>
      </w:r>
      <w:r w:rsidR="00197A90">
        <w:rPr>
          <w:lang w:val="en-US"/>
        </w:rPr>
        <w:t xml:space="preserve">provides that </w:t>
      </w:r>
      <w:r w:rsidR="00F35605">
        <w:rPr>
          <w:lang w:val="en-US"/>
        </w:rPr>
        <w:t xml:space="preserve">a CSP </w:t>
      </w:r>
      <w:r w:rsidR="007D48DE">
        <w:rPr>
          <w:lang w:val="en-US"/>
        </w:rPr>
        <w:t xml:space="preserve">must inform the customer </w:t>
      </w:r>
      <w:r w:rsidR="00DE4265">
        <w:rPr>
          <w:lang w:val="en-US"/>
        </w:rPr>
        <w:t>that the ability to</w:t>
      </w:r>
      <w:r w:rsidR="00C56529">
        <w:rPr>
          <w:lang w:val="en-US"/>
        </w:rPr>
        <w:t xml:space="preserve"> use the specified carriage service to</w:t>
      </w:r>
      <w:r w:rsidR="00DE4265">
        <w:rPr>
          <w:lang w:val="en-US"/>
        </w:rPr>
        <w:t xml:space="preserve"> make </w:t>
      </w:r>
      <w:r w:rsidR="00CB21FB">
        <w:rPr>
          <w:lang w:val="en-US"/>
        </w:rPr>
        <w:t>or</w:t>
      </w:r>
      <w:r w:rsidR="00DE4265">
        <w:rPr>
          <w:lang w:val="en-US"/>
        </w:rPr>
        <w:t xml:space="preserve"> receive </w:t>
      </w:r>
      <w:r w:rsidR="00CB21FB">
        <w:rPr>
          <w:lang w:val="en-US"/>
        </w:rPr>
        <w:t xml:space="preserve">any </w:t>
      </w:r>
      <w:r w:rsidR="00DE4265">
        <w:rPr>
          <w:lang w:val="en-US"/>
        </w:rPr>
        <w:t>calls</w:t>
      </w:r>
      <w:r w:rsidR="00045A69">
        <w:rPr>
          <w:lang w:val="en-US"/>
        </w:rPr>
        <w:t xml:space="preserve"> during a power failure</w:t>
      </w:r>
      <w:r w:rsidR="00FC71B2">
        <w:rPr>
          <w:lang w:val="en-US"/>
        </w:rPr>
        <w:t>, including calls to an emergency service number,</w:t>
      </w:r>
      <w:r w:rsidR="00DE4265">
        <w:rPr>
          <w:lang w:val="en-US"/>
        </w:rPr>
        <w:t xml:space="preserve"> depends on whether a</w:t>
      </w:r>
      <w:r w:rsidR="0092116A">
        <w:rPr>
          <w:lang w:val="en-US"/>
        </w:rPr>
        <w:t xml:space="preserve"> backup power service is supplied to the customer’s premises by means of a BPSU</w:t>
      </w:r>
      <w:r w:rsidR="00DE4265">
        <w:rPr>
          <w:lang w:val="en-US"/>
        </w:rPr>
        <w:t>.</w:t>
      </w:r>
      <w:r w:rsidR="0092116A">
        <w:rPr>
          <w:lang w:val="en-US"/>
        </w:rPr>
        <w:t xml:space="preserve"> </w:t>
      </w:r>
      <w:r w:rsidR="00DE4265">
        <w:rPr>
          <w:lang w:val="en-US"/>
        </w:rPr>
        <w:t xml:space="preserve"> </w:t>
      </w:r>
    </w:p>
    <w:p w14:paraId="67DBC44D" w14:textId="77777777" w:rsidR="006C1D6A" w:rsidRDefault="005E1869" w:rsidP="000265A3">
      <w:pPr>
        <w:jc w:val="left"/>
        <w:rPr>
          <w:lang w:val="en-US"/>
        </w:rPr>
      </w:pPr>
      <w:r w:rsidRPr="000265A3">
        <w:rPr>
          <w:lang w:val="en-US"/>
        </w:rPr>
        <w:t xml:space="preserve">Subparagraph </w:t>
      </w:r>
      <w:r w:rsidR="00B54CF8" w:rsidRPr="000265A3">
        <w:rPr>
          <w:lang w:val="en-US"/>
        </w:rPr>
        <w:t>8(1)(b)</w:t>
      </w:r>
      <w:r w:rsidR="00F92DF1" w:rsidRPr="000265A3">
        <w:rPr>
          <w:lang w:val="en-US"/>
        </w:rPr>
        <w:t>(</w:t>
      </w:r>
      <w:proofErr w:type="spellStart"/>
      <w:r w:rsidR="00F92DF1" w:rsidRPr="000265A3">
        <w:rPr>
          <w:lang w:val="en-US"/>
        </w:rPr>
        <w:t>i</w:t>
      </w:r>
      <w:proofErr w:type="spellEnd"/>
      <w:r w:rsidR="00F92DF1" w:rsidRPr="000265A3">
        <w:rPr>
          <w:lang w:val="en-US"/>
        </w:rPr>
        <w:t>)</w:t>
      </w:r>
      <w:r w:rsidR="00B54CF8" w:rsidRPr="000265A3">
        <w:rPr>
          <w:lang w:val="en-US"/>
        </w:rPr>
        <w:t xml:space="preserve"> provides that </w:t>
      </w:r>
      <w:r w:rsidR="00C655F1" w:rsidRPr="000265A3">
        <w:rPr>
          <w:lang w:val="en-US"/>
        </w:rPr>
        <w:t>the CSP must give the customer</w:t>
      </w:r>
      <w:r w:rsidR="006C1D6A" w:rsidRPr="000265A3">
        <w:rPr>
          <w:lang w:val="en-US"/>
        </w:rPr>
        <w:t xml:space="preserve"> accurate,</w:t>
      </w:r>
      <w:r w:rsidR="00C655F1" w:rsidRPr="000265A3">
        <w:rPr>
          <w:lang w:val="en-US"/>
        </w:rPr>
        <w:t xml:space="preserve"> clear and concise information concerning the impact</w:t>
      </w:r>
      <w:r w:rsidR="006C1D6A" w:rsidRPr="000265A3">
        <w:rPr>
          <w:lang w:val="en-US"/>
        </w:rPr>
        <w:t xml:space="preserve"> that</w:t>
      </w:r>
      <w:r w:rsidR="00C655F1" w:rsidRPr="000265A3">
        <w:rPr>
          <w:lang w:val="en-US"/>
        </w:rPr>
        <w:t xml:space="preserve"> a power failure</w:t>
      </w:r>
      <w:r w:rsidR="006C1D6A" w:rsidRPr="000265A3">
        <w:rPr>
          <w:lang w:val="en-US"/>
        </w:rPr>
        <w:t xml:space="preserve"> would have</w:t>
      </w:r>
      <w:r w:rsidR="00C655F1" w:rsidRPr="000265A3">
        <w:rPr>
          <w:lang w:val="en-US"/>
        </w:rPr>
        <w:t xml:space="preserve"> on the</w:t>
      </w:r>
      <w:r w:rsidR="006C1D6A" w:rsidRPr="000265A3">
        <w:rPr>
          <w:lang w:val="en-US"/>
        </w:rPr>
        <w:t xml:space="preserve"> operation of the specified carriage</w:t>
      </w:r>
      <w:r w:rsidR="00C655F1" w:rsidRPr="000265A3">
        <w:rPr>
          <w:lang w:val="en-US"/>
        </w:rPr>
        <w:t xml:space="preserve"> service</w:t>
      </w:r>
      <w:r w:rsidR="00712A56" w:rsidRPr="000265A3">
        <w:rPr>
          <w:lang w:val="en-US"/>
        </w:rPr>
        <w:t xml:space="preserve"> if a backup power service </w:t>
      </w:r>
      <w:r w:rsidR="006C1D6A" w:rsidRPr="000265A3">
        <w:rPr>
          <w:lang w:val="en-US"/>
        </w:rPr>
        <w:t>is</w:t>
      </w:r>
      <w:r w:rsidR="00712A56" w:rsidRPr="000265A3">
        <w:rPr>
          <w:lang w:val="en-US"/>
        </w:rPr>
        <w:t xml:space="preserve"> not supplied to the customer</w:t>
      </w:r>
      <w:r w:rsidR="006C1D6A" w:rsidRPr="000265A3">
        <w:rPr>
          <w:lang w:val="en-US"/>
        </w:rPr>
        <w:t>’s premises</w:t>
      </w:r>
      <w:r w:rsidR="00C655F1" w:rsidRPr="000265A3">
        <w:rPr>
          <w:lang w:val="en-US"/>
        </w:rPr>
        <w:t xml:space="preserve">. </w:t>
      </w:r>
      <w:r w:rsidR="006C1D6A" w:rsidRPr="000265A3">
        <w:rPr>
          <w:lang w:val="en-US"/>
        </w:rPr>
        <w:t xml:space="preserve"> </w:t>
      </w:r>
      <w:r w:rsidR="00C655F1" w:rsidRPr="000265A3">
        <w:rPr>
          <w:lang w:val="en-US"/>
        </w:rPr>
        <w:t>This include</w:t>
      </w:r>
      <w:r w:rsidR="006C1D6A" w:rsidRPr="000265A3">
        <w:rPr>
          <w:lang w:val="en-US"/>
        </w:rPr>
        <w:t>s information about an end-user’s inability to use the specified carriage service during a power failure to make any calls to an emergency service number or to ma</w:t>
      </w:r>
      <w:r w:rsidR="00D66D68" w:rsidRPr="000265A3">
        <w:rPr>
          <w:lang w:val="en-US"/>
        </w:rPr>
        <w:t>ke</w:t>
      </w:r>
      <w:r w:rsidR="006C1D6A" w:rsidRPr="000265A3">
        <w:rPr>
          <w:lang w:val="en-US"/>
        </w:rPr>
        <w:t xml:space="preserve"> any other calls or receive any calls.</w:t>
      </w:r>
    </w:p>
    <w:p w14:paraId="7506BC60" w14:textId="4021251D" w:rsidR="006C1D6A" w:rsidRDefault="006C1D6A" w:rsidP="000265A3">
      <w:pPr>
        <w:spacing w:before="120" w:after="120"/>
        <w:jc w:val="left"/>
        <w:rPr>
          <w:lang w:val="en-US"/>
        </w:rPr>
      </w:pPr>
      <w:r>
        <w:rPr>
          <w:lang w:val="en-US"/>
        </w:rPr>
        <w:t>Subparagraph 8(1)(b)(ii) provides that the CSP must give the customer accurate, clear and concise information concerning the impact that a power failure would have on the operation of the specified carriage service if a backup power service is supplied to the customer’s premises by means of a BPSU.  This includes information about</w:t>
      </w:r>
      <w:r w:rsidRPr="006C1D6A">
        <w:rPr>
          <w:szCs w:val="20"/>
        </w:rPr>
        <w:t xml:space="preserve"> </w:t>
      </w:r>
      <w:r w:rsidRPr="00156138">
        <w:rPr>
          <w:szCs w:val="20"/>
        </w:rPr>
        <w:t>the estimated period of time</w:t>
      </w:r>
      <w:r w:rsidR="00EB5D16">
        <w:rPr>
          <w:szCs w:val="20"/>
        </w:rPr>
        <w:t xml:space="preserve"> during which</w:t>
      </w:r>
      <w:r w:rsidRPr="00156138">
        <w:rPr>
          <w:szCs w:val="20"/>
        </w:rPr>
        <w:t xml:space="preserve"> the backup power service would enable the continued operation of the specified carriage service</w:t>
      </w:r>
      <w:r>
        <w:rPr>
          <w:lang w:val="en-US"/>
        </w:rPr>
        <w:t xml:space="preserve"> and the fact that customer equipment for use in connection with the specified carriage service will not operate during a power failure unless:</w:t>
      </w:r>
    </w:p>
    <w:p w14:paraId="1E759920" w14:textId="77777777" w:rsidR="006C1D6A" w:rsidRPr="006C1D6A" w:rsidRDefault="006C1D6A" w:rsidP="000265A3">
      <w:pPr>
        <w:pStyle w:val="ListParagraph"/>
        <w:numPr>
          <w:ilvl w:val="0"/>
          <w:numId w:val="22"/>
        </w:numPr>
        <w:suppressAutoHyphens w:val="0"/>
        <w:spacing w:before="120" w:after="120" w:line="260" w:lineRule="exact"/>
        <w:ind w:left="851" w:hanging="425"/>
        <w:jc w:val="left"/>
        <w:rPr>
          <w:szCs w:val="20"/>
        </w:rPr>
      </w:pPr>
      <w:r w:rsidRPr="006C1D6A">
        <w:rPr>
          <w:szCs w:val="20"/>
        </w:rPr>
        <w:t>it has its own backup power supply; or</w:t>
      </w:r>
    </w:p>
    <w:p w14:paraId="208029FB" w14:textId="77777777" w:rsidR="006C1D6A" w:rsidRPr="003F4DFF" w:rsidRDefault="006C1D6A" w:rsidP="000265A3">
      <w:pPr>
        <w:pStyle w:val="ListParagraph"/>
        <w:numPr>
          <w:ilvl w:val="0"/>
          <w:numId w:val="22"/>
        </w:numPr>
        <w:suppressAutoHyphens w:val="0"/>
        <w:spacing w:before="120" w:after="120" w:line="260" w:lineRule="exact"/>
        <w:ind w:left="851" w:hanging="425"/>
        <w:jc w:val="left"/>
        <w:rPr>
          <w:szCs w:val="20"/>
        </w:rPr>
      </w:pPr>
      <w:proofErr w:type="gramStart"/>
      <w:r w:rsidRPr="003F4DFF">
        <w:rPr>
          <w:szCs w:val="20"/>
        </w:rPr>
        <w:t>it</w:t>
      </w:r>
      <w:proofErr w:type="gramEnd"/>
      <w:r w:rsidRPr="003F4DFF">
        <w:rPr>
          <w:szCs w:val="20"/>
        </w:rPr>
        <w:t xml:space="preserve"> is a standard corded telephone </w:t>
      </w:r>
      <w:r w:rsidR="000F65DB">
        <w:rPr>
          <w:szCs w:val="20"/>
        </w:rPr>
        <w:t xml:space="preserve">device </w:t>
      </w:r>
      <w:r w:rsidRPr="003F4DFF">
        <w:rPr>
          <w:szCs w:val="20"/>
        </w:rPr>
        <w:t>that is</w:t>
      </w:r>
      <w:r w:rsidR="00DB134F">
        <w:rPr>
          <w:szCs w:val="20"/>
        </w:rPr>
        <w:t xml:space="preserve"> not dependent on mains power and is</w:t>
      </w:r>
      <w:r w:rsidRPr="003F4DFF">
        <w:rPr>
          <w:szCs w:val="20"/>
        </w:rPr>
        <w:t xml:space="preserve"> connected to a </w:t>
      </w:r>
      <w:r w:rsidRPr="0055501D">
        <w:rPr>
          <w:szCs w:val="20"/>
        </w:rPr>
        <w:t>voice (UNI-V) port on the NBN connection box</w:t>
      </w:r>
      <w:r w:rsidRPr="00296B9F">
        <w:rPr>
          <w:szCs w:val="20"/>
        </w:rPr>
        <w:t xml:space="preserve"> designated for the supply of the specified carriage service</w:t>
      </w:r>
      <w:r>
        <w:rPr>
          <w:szCs w:val="20"/>
        </w:rPr>
        <w:t>.</w:t>
      </w:r>
    </w:p>
    <w:p w14:paraId="6FD7555A" w14:textId="4E1BAE0A" w:rsidR="00296B9F" w:rsidRDefault="00296B9F" w:rsidP="000265A3">
      <w:pPr>
        <w:spacing w:before="120" w:after="120"/>
        <w:jc w:val="left"/>
        <w:rPr>
          <w:lang w:val="en-US"/>
        </w:rPr>
      </w:pPr>
      <w:r>
        <w:rPr>
          <w:lang w:val="en-US"/>
        </w:rPr>
        <w:t>Th</w:t>
      </w:r>
      <w:r w:rsidR="0064391A">
        <w:rPr>
          <w:lang w:val="en-US"/>
        </w:rPr>
        <w:t>e</w:t>
      </w:r>
      <w:r w:rsidR="00E34F18">
        <w:rPr>
          <w:lang w:val="en-US"/>
        </w:rPr>
        <w:t xml:space="preserve"> </w:t>
      </w:r>
      <w:r w:rsidR="00396784">
        <w:rPr>
          <w:lang w:val="en-US"/>
        </w:rPr>
        <w:t xml:space="preserve">intent of this </w:t>
      </w:r>
      <w:r w:rsidR="00E34F18">
        <w:rPr>
          <w:lang w:val="en-US"/>
        </w:rPr>
        <w:t>provision</w:t>
      </w:r>
      <w:r>
        <w:rPr>
          <w:lang w:val="en-US"/>
        </w:rPr>
        <w:t xml:space="preserve"> is to </w:t>
      </w:r>
      <w:r w:rsidR="00396784">
        <w:rPr>
          <w:lang w:val="en-US"/>
        </w:rPr>
        <w:t>make it clear to the customer</w:t>
      </w:r>
      <w:r>
        <w:rPr>
          <w:lang w:val="en-US"/>
        </w:rPr>
        <w:t xml:space="preserve"> that</w:t>
      </w:r>
      <w:r w:rsidR="0003310E">
        <w:rPr>
          <w:lang w:val="en-US"/>
        </w:rPr>
        <w:t xml:space="preserve"> the period of time</w:t>
      </w:r>
      <w:r>
        <w:rPr>
          <w:lang w:val="en-US"/>
        </w:rPr>
        <w:t xml:space="preserve"> </w:t>
      </w:r>
      <w:r w:rsidR="0003310E">
        <w:rPr>
          <w:lang w:val="en-US"/>
        </w:rPr>
        <w:t>the</w:t>
      </w:r>
      <w:r>
        <w:rPr>
          <w:lang w:val="en-US"/>
        </w:rPr>
        <w:t xml:space="preserve"> backup power service</w:t>
      </w:r>
      <w:r w:rsidR="0003310E">
        <w:rPr>
          <w:lang w:val="en-US"/>
        </w:rPr>
        <w:t xml:space="preserve"> would enable the continued operation of the specified carriage service during a power failure is not unlimited.</w:t>
      </w:r>
      <w:r w:rsidR="00F95334">
        <w:rPr>
          <w:lang w:val="en-US"/>
        </w:rPr>
        <w:t xml:space="preserve">  The charge of the battery installed in the BPSU, by means o</w:t>
      </w:r>
      <w:r w:rsidR="00863A51">
        <w:rPr>
          <w:lang w:val="en-US"/>
        </w:rPr>
        <w:t>f</w:t>
      </w:r>
      <w:r w:rsidR="00F95334">
        <w:rPr>
          <w:lang w:val="en-US"/>
        </w:rPr>
        <w:t xml:space="preserve"> which the backup power service is supplied, only lasts for </w:t>
      </w:r>
      <w:r w:rsidR="00B70697">
        <w:rPr>
          <w:lang w:val="en-US"/>
        </w:rPr>
        <w:t>a limited period of time</w:t>
      </w:r>
      <w:r w:rsidR="00F95334">
        <w:rPr>
          <w:lang w:val="en-US"/>
        </w:rPr>
        <w:t xml:space="preserve"> during a power failure.</w:t>
      </w:r>
      <w:r w:rsidR="005A0EB9">
        <w:rPr>
          <w:lang w:val="en-US"/>
        </w:rPr>
        <w:t xml:space="preserve">  If a power failure lasts for a longer period</w:t>
      </w:r>
      <w:r w:rsidR="00CE5279">
        <w:rPr>
          <w:lang w:val="en-US"/>
        </w:rPr>
        <w:t>,</w:t>
      </w:r>
      <w:r w:rsidR="005A0EB9">
        <w:rPr>
          <w:lang w:val="en-US"/>
        </w:rPr>
        <w:t xml:space="preserve"> an end-user </w:t>
      </w:r>
      <w:r w:rsidR="00D66D68">
        <w:rPr>
          <w:lang w:val="en-US"/>
        </w:rPr>
        <w:t>will be unable to use</w:t>
      </w:r>
      <w:r w:rsidR="005A0EB9">
        <w:rPr>
          <w:lang w:val="en-US"/>
        </w:rPr>
        <w:t xml:space="preserve"> the specified carriage service to make</w:t>
      </w:r>
      <w:r w:rsidR="00F95334">
        <w:rPr>
          <w:lang w:val="en-US"/>
        </w:rPr>
        <w:t xml:space="preserve"> or receive</w:t>
      </w:r>
      <w:r w:rsidR="005A0EB9">
        <w:rPr>
          <w:lang w:val="en-US"/>
        </w:rPr>
        <w:t xml:space="preserve"> any calls </w:t>
      </w:r>
      <w:r w:rsidR="00F95334">
        <w:rPr>
          <w:lang w:val="en-US"/>
        </w:rPr>
        <w:t>(including calls to an emergency service</w:t>
      </w:r>
      <w:r w:rsidR="004C13E7">
        <w:rPr>
          <w:lang w:val="en-US"/>
        </w:rPr>
        <w:t xml:space="preserve"> number</w:t>
      </w:r>
      <w:r w:rsidR="00F95334">
        <w:rPr>
          <w:lang w:val="en-US"/>
        </w:rPr>
        <w:t>, such as Triple Zero)</w:t>
      </w:r>
      <w:r w:rsidR="00F76427">
        <w:rPr>
          <w:lang w:val="en-US"/>
        </w:rPr>
        <w:t>.</w:t>
      </w:r>
    </w:p>
    <w:p w14:paraId="40B3B58B" w14:textId="5520DB2C" w:rsidR="000361C1" w:rsidRDefault="00441411" w:rsidP="00935EF9">
      <w:pPr>
        <w:jc w:val="left"/>
        <w:rPr>
          <w:lang w:val="en-US"/>
        </w:rPr>
      </w:pPr>
      <w:r>
        <w:rPr>
          <w:lang w:val="en-US"/>
        </w:rPr>
        <w:t>Th</w:t>
      </w:r>
      <w:r w:rsidR="00C76662">
        <w:rPr>
          <w:lang w:val="en-US"/>
        </w:rPr>
        <w:t>e intent of the</w:t>
      </w:r>
      <w:r w:rsidR="00E34F18">
        <w:rPr>
          <w:lang w:val="en-US"/>
        </w:rPr>
        <w:t xml:space="preserve"> provision is</w:t>
      </w:r>
      <w:r w:rsidR="00C76662">
        <w:rPr>
          <w:lang w:val="en-US"/>
        </w:rPr>
        <w:t xml:space="preserve"> to also make it clear to the customer</w:t>
      </w:r>
      <w:r w:rsidR="00E40B83">
        <w:rPr>
          <w:lang w:val="en-US"/>
        </w:rPr>
        <w:t xml:space="preserve"> that </w:t>
      </w:r>
      <w:r w:rsidR="005B45D2">
        <w:rPr>
          <w:lang w:val="en-US"/>
        </w:rPr>
        <w:t xml:space="preserve">any </w:t>
      </w:r>
      <w:r w:rsidR="00FA22F9">
        <w:rPr>
          <w:lang w:val="en-US"/>
        </w:rPr>
        <w:t>customer equipment</w:t>
      </w:r>
      <w:r w:rsidR="00E40B83">
        <w:rPr>
          <w:lang w:val="en-US"/>
        </w:rPr>
        <w:t xml:space="preserve"> for use in connection with the specified carriage service</w:t>
      </w:r>
      <w:r w:rsidR="005B45D2">
        <w:rPr>
          <w:lang w:val="en-US"/>
        </w:rPr>
        <w:t xml:space="preserve"> </w:t>
      </w:r>
      <w:r w:rsidR="00863A51">
        <w:rPr>
          <w:lang w:val="en-US"/>
        </w:rPr>
        <w:t xml:space="preserve">may need </w:t>
      </w:r>
      <w:r w:rsidR="005B45D2" w:rsidRPr="005B45D2">
        <w:rPr>
          <w:lang w:val="en-US"/>
        </w:rPr>
        <w:t>its own backup power supply</w:t>
      </w:r>
      <w:r w:rsidR="00863A51">
        <w:rPr>
          <w:lang w:val="en-US"/>
        </w:rPr>
        <w:t xml:space="preserve"> unless it </w:t>
      </w:r>
      <w:r w:rsidR="00DB134F">
        <w:rPr>
          <w:lang w:val="en-US"/>
        </w:rPr>
        <w:t>is not dependent on mains power</w:t>
      </w:r>
      <w:r w:rsidR="005B45D2" w:rsidRPr="005B45D2">
        <w:rPr>
          <w:lang w:val="en-US"/>
        </w:rPr>
        <w:t xml:space="preserve">. </w:t>
      </w:r>
    </w:p>
    <w:p w14:paraId="494863A5" w14:textId="7611568A" w:rsidR="004C13E7" w:rsidRDefault="00FA22F9" w:rsidP="000265A3">
      <w:pPr>
        <w:spacing w:before="120" w:after="120"/>
        <w:jc w:val="left"/>
        <w:rPr>
          <w:lang w:val="en-US"/>
        </w:rPr>
      </w:pPr>
      <w:r>
        <w:rPr>
          <w:lang w:val="en-US"/>
        </w:rPr>
        <w:t>Customer equipment</w:t>
      </w:r>
      <w:r w:rsidR="004C13E7">
        <w:rPr>
          <w:lang w:val="en-US"/>
        </w:rPr>
        <w:t xml:space="preserve"> that typically require</w:t>
      </w:r>
      <w:r>
        <w:rPr>
          <w:lang w:val="en-US"/>
        </w:rPr>
        <w:t>s</w:t>
      </w:r>
      <w:r w:rsidR="004C13E7">
        <w:rPr>
          <w:lang w:val="en-US"/>
        </w:rPr>
        <w:t xml:space="preserve"> </w:t>
      </w:r>
      <w:r>
        <w:rPr>
          <w:lang w:val="en-US"/>
        </w:rPr>
        <w:t>its</w:t>
      </w:r>
      <w:r w:rsidR="004C13E7">
        <w:rPr>
          <w:lang w:val="en-US"/>
        </w:rPr>
        <w:t xml:space="preserve"> own backup power supply to operate during a power failure include</w:t>
      </w:r>
      <w:r w:rsidR="000249EB">
        <w:rPr>
          <w:lang w:val="en-US"/>
        </w:rPr>
        <w:t>s</w:t>
      </w:r>
      <w:r w:rsidR="004C13E7">
        <w:rPr>
          <w:lang w:val="en-US"/>
        </w:rPr>
        <w:t xml:space="preserve"> a cordless telephone</w:t>
      </w:r>
      <w:r w:rsidR="00315027">
        <w:rPr>
          <w:lang w:val="en-US"/>
        </w:rPr>
        <w:t xml:space="preserve"> handset and base station</w:t>
      </w:r>
      <w:r w:rsidR="004C13E7">
        <w:rPr>
          <w:lang w:val="en-US"/>
        </w:rPr>
        <w:t>, wireless rout</w:t>
      </w:r>
      <w:r w:rsidR="00F12201">
        <w:rPr>
          <w:lang w:val="en-US"/>
        </w:rPr>
        <w:t>er and</w:t>
      </w:r>
      <w:r w:rsidR="006A3F0D">
        <w:rPr>
          <w:lang w:val="en-US"/>
        </w:rPr>
        <w:t xml:space="preserve"> </w:t>
      </w:r>
      <w:r w:rsidR="004C13E7">
        <w:rPr>
          <w:lang w:val="en-US"/>
        </w:rPr>
        <w:t>medical</w:t>
      </w:r>
      <w:r w:rsidR="00F12201">
        <w:rPr>
          <w:lang w:val="en-US"/>
        </w:rPr>
        <w:t>/security</w:t>
      </w:r>
      <w:r w:rsidR="006A3F0D">
        <w:rPr>
          <w:lang w:val="en-US"/>
        </w:rPr>
        <w:t xml:space="preserve"> alarm</w:t>
      </w:r>
      <w:r w:rsidR="004C13E7">
        <w:rPr>
          <w:lang w:val="en-US"/>
        </w:rPr>
        <w:t>.</w:t>
      </w:r>
    </w:p>
    <w:p w14:paraId="79239C16" w14:textId="77777777" w:rsidR="003C2BE8" w:rsidRDefault="003C2BE8" w:rsidP="000265A3">
      <w:pPr>
        <w:spacing w:before="120" w:after="120"/>
        <w:jc w:val="left"/>
      </w:pPr>
      <w:r>
        <w:t>Subsection 8(2) provides that, if the customer enters into an agreement with the CSP for the supply of a specified carriage service to the customer’s premises, the CSP must obtain from the customer an acknowledgement that the information</w:t>
      </w:r>
      <w:r w:rsidR="00E34F18">
        <w:t xml:space="preserve"> described in subsection 8(1)</w:t>
      </w:r>
      <w:r>
        <w:t xml:space="preserve"> was given and make a record of certain matters including:</w:t>
      </w:r>
    </w:p>
    <w:p w14:paraId="6627EE74" w14:textId="77777777" w:rsidR="003C2BE8" w:rsidRDefault="003C2BE8" w:rsidP="000265A3">
      <w:pPr>
        <w:pStyle w:val="ListParagraph"/>
        <w:numPr>
          <w:ilvl w:val="0"/>
          <w:numId w:val="17"/>
        </w:numPr>
        <w:spacing w:before="120" w:after="120"/>
        <w:ind w:left="851" w:hanging="425"/>
        <w:jc w:val="left"/>
      </w:pPr>
      <w:r>
        <w:t>a description of the information that was given;</w:t>
      </w:r>
    </w:p>
    <w:p w14:paraId="24F3B8BA" w14:textId="77777777" w:rsidR="003C2BE8" w:rsidRDefault="003C2BE8" w:rsidP="000265A3">
      <w:pPr>
        <w:pStyle w:val="ListParagraph"/>
        <w:numPr>
          <w:ilvl w:val="0"/>
          <w:numId w:val="17"/>
        </w:numPr>
        <w:spacing w:before="120" w:after="120"/>
        <w:ind w:left="851" w:hanging="425"/>
        <w:jc w:val="left"/>
      </w:pPr>
      <w:r>
        <w:t>the acknowledgment obtained, and the date it was obtained;</w:t>
      </w:r>
    </w:p>
    <w:p w14:paraId="35027038" w14:textId="77777777" w:rsidR="003C2BE8" w:rsidRDefault="003C2BE8" w:rsidP="000265A3">
      <w:pPr>
        <w:pStyle w:val="ListParagraph"/>
        <w:numPr>
          <w:ilvl w:val="0"/>
          <w:numId w:val="17"/>
        </w:numPr>
        <w:spacing w:before="120" w:after="120"/>
        <w:ind w:left="851" w:hanging="425"/>
        <w:jc w:val="left"/>
      </w:pPr>
      <w:r>
        <w:t xml:space="preserve">the customer’s decision about whether or not to have </w:t>
      </w:r>
      <w:r w:rsidR="000361C1">
        <w:t>a</w:t>
      </w:r>
      <w:r>
        <w:t xml:space="preserve"> backup power service</w:t>
      </w:r>
      <w:r w:rsidR="00363C24">
        <w:t xml:space="preserve"> supplied by means of a BPSU</w:t>
      </w:r>
      <w:r>
        <w:t>; and</w:t>
      </w:r>
    </w:p>
    <w:p w14:paraId="3997D41C" w14:textId="77777777" w:rsidR="003C2BE8" w:rsidRDefault="003C2BE8" w:rsidP="000265A3">
      <w:pPr>
        <w:pStyle w:val="ListParagraph"/>
        <w:numPr>
          <w:ilvl w:val="0"/>
          <w:numId w:val="17"/>
        </w:numPr>
        <w:spacing w:before="120" w:after="120"/>
        <w:ind w:left="851" w:hanging="425"/>
        <w:jc w:val="left"/>
      </w:pPr>
      <w:proofErr w:type="gramStart"/>
      <w:r>
        <w:t>the</w:t>
      </w:r>
      <w:proofErr w:type="gramEnd"/>
      <w:r>
        <w:t xml:space="preserve"> date the CSP entered into the agreement with the customer.</w:t>
      </w:r>
    </w:p>
    <w:p w14:paraId="10B0FFC1" w14:textId="77777777" w:rsidR="007330A9" w:rsidRDefault="00517CC0" w:rsidP="000265A3">
      <w:pPr>
        <w:jc w:val="left"/>
        <w:rPr>
          <w:lang w:val="en-US"/>
        </w:rPr>
      </w:pPr>
      <w:r>
        <w:rPr>
          <w:lang w:val="en-US"/>
        </w:rPr>
        <w:t>The intent of this provision</w:t>
      </w:r>
      <w:r w:rsidR="003A5C0D">
        <w:rPr>
          <w:lang w:val="en-US"/>
        </w:rPr>
        <w:t xml:space="preserve"> is to ensure that </w:t>
      </w:r>
      <w:r w:rsidR="007330A9">
        <w:rPr>
          <w:lang w:val="en-US"/>
        </w:rPr>
        <w:t xml:space="preserve">there are appropriate records to enable the ACMA to verify </w:t>
      </w:r>
      <w:r w:rsidR="00280419">
        <w:rPr>
          <w:lang w:val="en-US"/>
        </w:rPr>
        <w:t>the</w:t>
      </w:r>
      <w:r w:rsidR="007330A9">
        <w:rPr>
          <w:lang w:val="en-US"/>
        </w:rPr>
        <w:t xml:space="preserve"> CSP’s compliance with the Determination.</w:t>
      </w:r>
    </w:p>
    <w:p w14:paraId="715050D3" w14:textId="77777777" w:rsidR="005E5316" w:rsidRDefault="005E5316" w:rsidP="000265A3">
      <w:pPr>
        <w:jc w:val="left"/>
        <w:rPr>
          <w:lang w:val="en-US"/>
        </w:rPr>
      </w:pPr>
      <w:r>
        <w:rPr>
          <w:lang w:val="en-US"/>
        </w:rPr>
        <w:t>The CSP may make</w:t>
      </w:r>
      <w:r w:rsidR="007330A9">
        <w:rPr>
          <w:lang w:val="en-US"/>
        </w:rPr>
        <w:t xml:space="preserve"> a record of a description of the information that was given to a customer by indicating that the customer was</w:t>
      </w:r>
      <w:r>
        <w:rPr>
          <w:lang w:val="en-US"/>
        </w:rPr>
        <w:t xml:space="preserve"> given the information described in</w:t>
      </w:r>
      <w:r w:rsidR="007330A9">
        <w:rPr>
          <w:lang w:val="en-US"/>
        </w:rPr>
        <w:t xml:space="preserve"> a</w:t>
      </w:r>
      <w:r>
        <w:rPr>
          <w:lang w:val="en-US"/>
        </w:rPr>
        <w:t xml:space="preserve"> specified</w:t>
      </w:r>
      <w:r w:rsidR="007330A9">
        <w:rPr>
          <w:lang w:val="en-US"/>
        </w:rPr>
        <w:t xml:space="preserve"> policy or script</w:t>
      </w:r>
      <w:r>
        <w:rPr>
          <w:lang w:val="en-US"/>
        </w:rPr>
        <w:t xml:space="preserve"> of the CSP in effect at the time the information was given.</w:t>
      </w:r>
    </w:p>
    <w:p w14:paraId="313993F5" w14:textId="77777777" w:rsidR="009F5DF2" w:rsidRPr="007330A9" w:rsidRDefault="00A43644" w:rsidP="000265A3">
      <w:pPr>
        <w:jc w:val="left"/>
        <w:rPr>
          <w:lang w:val="en-US"/>
        </w:rPr>
      </w:pPr>
      <w:r>
        <w:rPr>
          <w:lang w:val="en-US"/>
        </w:rPr>
        <w:t xml:space="preserve">The CSP may make a record of </w:t>
      </w:r>
      <w:r w:rsidR="00DA1CFA">
        <w:rPr>
          <w:lang w:val="en-US"/>
        </w:rPr>
        <w:t>other matters by asking the customer to complete a form in hard copy or online or</w:t>
      </w:r>
      <w:r w:rsidR="004A2CAA">
        <w:rPr>
          <w:lang w:val="en-US"/>
        </w:rPr>
        <w:t xml:space="preserve"> by making</w:t>
      </w:r>
      <w:r w:rsidR="00DA1CFA">
        <w:rPr>
          <w:lang w:val="en-US"/>
        </w:rPr>
        <w:t xml:space="preserve"> database</w:t>
      </w:r>
      <w:r w:rsidR="004A2CAA">
        <w:rPr>
          <w:lang w:val="en-US"/>
        </w:rPr>
        <w:t xml:space="preserve"> entries which capture those matters</w:t>
      </w:r>
      <w:r w:rsidR="00DA1CFA">
        <w:rPr>
          <w:lang w:val="en-US"/>
        </w:rPr>
        <w:t>.</w:t>
      </w:r>
    </w:p>
    <w:p w14:paraId="08EDE7A9" w14:textId="77777777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9</w:t>
      </w:r>
      <w:r w:rsidRPr="004805FA">
        <w:t xml:space="preserve"> – </w:t>
      </w:r>
      <w:r w:rsidR="00454B35" w:rsidRPr="00DE5D14">
        <w:t>Provision of information</w:t>
      </w:r>
    </w:p>
    <w:p w14:paraId="29DD0714" w14:textId="77777777" w:rsidR="006D3539" w:rsidRDefault="005C5D99" w:rsidP="000265A3">
      <w:pPr>
        <w:jc w:val="left"/>
        <w:rPr>
          <w:lang w:val="en-US"/>
        </w:rPr>
      </w:pPr>
      <w:r w:rsidRPr="005C5D99">
        <w:rPr>
          <w:lang w:val="en-US"/>
        </w:rPr>
        <w:t>Section 9</w:t>
      </w:r>
      <w:r w:rsidR="00B15020">
        <w:rPr>
          <w:lang w:val="en-US"/>
        </w:rPr>
        <w:t xml:space="preserve"> </w:t>
      </w:r>
      <w:r w:rsidR="006D3539">
        <w:rPr>
          <w:lang w:val="en-US"/>
        </w:rPr>
        <w:t xml:space="preserve">provides </w:t>
      </w:r>
      <w:r w:rsidR="00363C24">
        <w:rPr>
          <w:lang w:val="en-US"/>
        </w:rPr>
        <w:t xml:space="preserve">that </w:t>
      </w:r>
      <w:r w:rsidR="006D3539">
        <w:rPr>
          <w:lang w:val="en-US"/>
        </w:rPr>
        <w:t>the following does not constitute the giving of information by a CSP to a customer for the purposes of Part 2:</w:t>
      </w:r>
    </w:p>
    <w:p w14:paraId="1F654516" w14:textId="68C80253" w:rsidR="006D3539" w:rsidRPr="00DE2A95" w:rsidRDefault="006D3539" w:rsidP="000265A3">
      <w:pPr>
        <w:pStyle w:val="ListParagraph"/>
        <w:numPr>
          <w:ilvl w:val="0"/>
          <w:numId w:val="34"/>
        </w:numPr>
        <w:tabs>
          <w:tab w:val="left" w:pos="1134"/>
        </w:tabs>
        <w:suppressAutoHyphens w:val="0"/>
        <w:spacing w:before="120" w:after="120" w:line="260" w:lineRule="exact"/>
        <w:ind w:left="851" w:hanging="425"/>
        <w:jc w:val="left"/>
        <w:rPr>
          <w:szCs w:val="20"/>
        </w:rPr>
      </w:pPr>
      <w:r>
        <w:t xml:space="preserve">giving </w:t>
      </w:r>
      <w:r w:rsidRPr="00624089">
        <w:t>information to a customer as part of a standard form of agreement formulated by a carriage service provider for the purposes of section 479 of the</w:t>
      </w:r>
      <w:r w:rsidRPr="00DE2A95">
        <w:rPr>
          <w:i/>
          <w:iCs/>
        </w:rPr>
        <w:t xml:space="preserve"> </w:t>
      </w:r>
      <w:r w:rsidRPr="00935EF9">
        <w:rPr>
          <w:iCs/>
        </w:rPr>
        <w:t>Act</w:t>
      </w:r>
      <w:r w:rsidRPr="00624089">
        <w:t xml:space="preserve">; </w:t>
      </w:r>
      <w:r w:rsidR="00E31D60">
        <w:t>or</w:t>
      </w:r>
    </w:p>
    <w:p w14:paraId="0B182706" w14:textId="77777777" w:rsidR="006D3539" w:rsidRPr="005A68AB" w:rsidRDefault="006D3539" w:rsidP="000265A3">
      <w:pPr>
        <w:pStyle w:val="ListParagraph"/>
        <w:numPr>
          <w:ilvl w:val="0"/>
          <w:numId w:val="34"/>
        </w:numPr>
        <w:tabs>
          <w:tab w:val="left" w:pos="1134"/>
        </w:tabs>
        <w:suppressAutoHyphens w:val="0"/>
        <w:spacing w:before="120" w:after="120" w:line="260" w:lineRule="exact"/>
        <w:ind w:left="851" w:hanging="425"/>
        <w:jc w:val="left"/>
        <w:rPr>
          <w:szCs w:val="20"/>
        </w:rPr>
      </w:pPr>
      <w:proofErr w:type="gramStart"/>
      <w:r w:rsidRPr="005A68AB">
        <w:rPr>
          <w:szCs w:val="20"/>
        </w:rPr>
        <w:t>making</w:t>
      </w:r>
      <w:proofErr w:type="gramEnd"/>
      <w:r w:rsidRPr="005A68AB">
        <w:rPr>
          <w:szCs w:val="20"/>
        </w:rPr>
        <w:t xml:space="preserve"> information available to a customer as part of marketing, promotional or advertising material by broadcast, publication or by any other means.</w:t>
      </w:r>
    </w:p>
    <w:p w14:paraId="389DD657" w14:textId="227F446C" w:rsidR="002F66EE" w:rsidRDefault="00DE2A95" w:rsidP="000265A3">
      <w:pPr>
        <w:jc w:val="left"/>
        <w:rPr>
          <w:lang w:val="en-US"/>
        </w:rPr>
      </w:pPr>
      <w:r>
        <w:rPr>
          <w:lang w:val="en-US"/>
        </w:rPr>
        <w:t xml:space="preserve">The </w:t>
      </w:r>
      <w:r w:rsidR="00517CC0">
        <w:rPr>
          <w:lang w:val="en-US"/>
        </w:rPr>
        <w:t>intent of this provision</w:t>
      </w:r>
      <w:r>
        <w:rPr>
          <w:lang w:val="en-US"/>
        </w:rPr>
        <w:t xml:space="preserve"> is to ensure that the information</w:t>
      </w:r>
      <w:r w:rsidR="00517CC0">
        <w:rPr>
          <w:lang w:val="en-US"/>
        </w:rPr>
        <w:t xml:space="preserve"> required to be given</w:t>
      </w:r>
      <w:r w:rsidR="002F66EE">
        <w:rPr>
          <w:lang w:val="en-US"/>
        </w:rPr>
        <w:t xml:space="preserve"> to customers is properly considered and</w:t>
      </w:r>
      <w:r>
        <w:rPr>
          <w:lang w:val="en-US"/>
        </w:rPr>
        <w:t xml:space="preserve"> not subsumed with</w:t>
      </w:r>
      <w:r w:rsidR="00AC0759">
        <w:rPr>
          <w:lang w:val="en-US"/>
        </w:rPr>
        <w:t>in</w:t>
      </w:r>
      <w:r>
        <w:rPr>
          <w:lang w:val="en-US"/>
        </w:rPr>
        <w:t xml:space="preserve"> other information, which is typically made available to </w:t>
      </w:r>
      <w:r w:rsidR="002F66EE">
        <w:rPr>
          <w:lang w:val="en-US"/>
        </w:rPr>
        <w:t>them.</w:t>
      </w:r>
    </w:p>
    <w:p w14:paraId="1A34942F" w14:textId="7E46CFAC" w:rsidR="000567CB" w:rsidRDefault="000567CB" w:rsidP="000265A3">
      <w:pPr>
        <w:pStyle w:val="Heading1"/>
        <w:jc w:val="center"/>
      </w:pPr>
      <w:r>
        <w:t xml:space="preserve">Part 3 – </w:t>
      </w:r>
      <w:r w:rsidRPr="00AC17F6">
        <w:t xml:space="preserve">Rules relating to </w:t>
      </w:r>
      <w:r w:rsidR="00AC0759">
        <w:t xml:space="preserve">the </w:t>
      </w:r>
      <w:r>
        <w:t>making, retention and provision of records</w:t>
      </w:r>
    </w:p>
    <w:p w14:paraId="6E259AF9" w14:textId="77777777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10</w:t>
      </w:r>
      <w:r w:rsidRPr="004805FA">
        <w:t xml:space="preserve"> – </w:t>
      </w:r>
      <w:r w:rsidR="00454B35">
        <w:rPr>
          <w:rStyle w:val="CharSectno"/>
        </w:rPr>
        <w:t>M</w:t>
      </w:r>
      <w:r w:rsidR="00454B35" w:rsidRPr="000A21E4">
        <w:rPr>
          <w:rStyle w:val="CharSectno"/>
        </w:rPr>
        <w:t>aking of records</w:t>
      </w:r>
    </w:p>
    <w:p w14:paraId="33B742BC" w14:textId="77777777" w:rsidR="00B754BA" w:rsidRPr="004E63DB" w:rsidRDefault="00B754BA" w:rsidP="000265A3">
      <w:pPr>
        <w:jc w:val="left"/>
        <w:rPr>
          <w:b/>
        </w:rPr>
      </w:pPr>
      <w:r>
        <w:rPr>
          <w:lang w:val="en-US"/>
        </w:rPr>
        <w:t>Section 10 provides that any record required to be made by a CSP under a provision of the Determination</w:t>
      </w:r>
      <w:r w:rsidRPr="004E63DB">
        <w:rPr>
          <w:b/>
        </w:rPr>
        <w:t xml:space="preserve"> </w:t>
      </w:r>
      <w:r w:rsidRPr="00461CE5">
        <w:t>must be in writing or in such electronic form that will enable the ACMA to verify the CSP’s</w:t>
      </w:r>
      <w:r>
        <w:t xml:space="preserve"> compliance with that provision.</w:t>
      </w:r>
    </w:p>
    <w:p w14:paraId="1887FEF1" w14:textId="77777777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11</w:t>
      </w:r>
      <w:r w:rsidRPr="004805FA">
        <w:t xml:space="preserve"> – </w:t>
      </w:r>
      <w:r w:rsidR="00454B35" w:rsidRPr="000A21E4">
        <w:rPr>
          <w:rStyle w:val="CharSectno"/>
        </w:rPr>
        <w:t>Retention of records</w:t>
      </w:r>
    </w:p>
    <w:p w14:paraId="344C1275" w14:textId="68850B03" w:rsidR="00517CC0" w:rsidRDefault="005C5D99" w:rsidP="000265A3">
      <w:pPr>
        <w:jc w:val="left"/>
      </w:pPr>
      <w:r w:rsidRPr="005C5D99">
        <w:rPr>
          <w:lang w:val="en-US"/>
        </w:rPr>
        <w:t>Section 11</w:t>
      </w:r>
      <w:r w:rsidR="00091B52">
        <w:rPr>
          <w:lang w:val="en-US"/>
        </w:rPr>
        <w:t xml:space="preserve"> provides that any record required to be made by a CSP under a provision of the Determination </w:t>
      </w:r>
      <w:r w:rsidR="00091B52" w:rsidRPr="004E63DB">
        <w:t xml:space="preserve">must be </w:t>
      </w:r>
      <w:r w:rsidR="00935EF9">
        <w:t>retained</w:t>
      </w:r>
      <w:r w:rsidR="00091B52" w:rsidRPr="004E63DB">
        <w:t xml:space="preserve"> for</w:t>
      </w:r>
      <w:r w:rsidR="00517CC0">
        <w:t>:</w:t>
      </w:r>
      <w:r w:rsidR="00091B52" w:rsidRPr="004E63DB">
        <w:t xml:space="preserve"> </w:t>
      </w:r>
    </w:p>
    <w:p w14:paraId="656CE11A" w14:textId="77777777" w:rsidR="00517CC0" w:rsidRDefault="00091B52" w:rsidP="000265A3">
      <w:pPr>
        <w:pStyle w:val="ListParagraph"/>
        <w:numPr>
          <w:ilvl w:val="0"/>
          <w:numId w:val="42"/>
        </w:numPr>
        <w:ind w:left="851" w:hanging="425"/>
        <w:jc w:val="left"/>
      </w:pPr>
      <w:r w:rsidRPr="004E63DB">
        <w:t>at least 6 years after the creation of the record</w:t>
      </w:r>
      <w:r w:rsidR="00517CC0">
        <w:t>;</w:t>
      </w:r>
      <w:r w:rsidRPr="004E63DB">
        <w:t xml:space="preserve"> or </w:t>
      </w:r>
    </w:p>
    <w:p w14:paraId="1D04910B" w14:textId="4D4BC578" w:rsidR="00517CC0" w:rsidRDefault="00091B52" w:rsidP="00FA22F9">
      <w:pPr>
        <w:pStyle w:val="ListParagraph"/>
        <w:numPr>
          <w:ilvl w:val="0"/>
          <w:numId w:val="42"/>
        </w:numPr>
        <w:spacing w:after="0"/>
        <w:ind w:left="851" w:hanging="425"/>
        <w:jc w:val="left"/>
      </w:pPr>
      <w:r w:rsidRPr="004E63DB">
        <w:t>6 months after the CSP ceases to supply</w:t>
      </w:r>
      <w:r>
        <w:t xml:space="preserve"> the specified carriage service</w:t>
      </w:r>
      <w:r w:rsidRPr="004E63DB">
        <w:t xml:space="preserve"> to the customer to which the record relates</w:t>
      </w:r>
      <w:r w:rsidR="00517CC0">
        <w:t>;</w:t>
      </w:r>
    </w:p>
    <w:p w14:paraId="533D0A5E" w14:textId="77777777" w:rsidR="00FA22F9" w:rsidRDefault="00091B52" w:rsidP="00BD1EAC">
      <w:pPr>
        <w:spacing w:after="0"/>
        <w:ind w:firstLine="426"/>
        <w:jc w:val="left"/>
      </w:pPr>
      <w:proofErr w:type="gramStart"/>
      <w:r w:rsidRPr="004E63DB">
        <w:t>whichever</w:t>
      </w:r>
      <w:proofErr w:type="gramEnd"/>
      <w:r w:rsidRPr="004E63DB">
        <w:t xml:space="preserve"> </w:t>
      </w:r>
      <w:r w:rsidR="00B754BA">
        <w:t xml:space="preserve">is the earlier.  </w:t>
      </w:r>
    </w:p>
    <w:p w14:paraId="67C39AE7" w14:textId="77777777" w:rsidR="00AC17F6" w:rsidRPr="00AC17F6" w:rsidRDefault="00FA22F9" w:rsidP="00FA22F9">
      <w:pPr>
        <w:spacing w:before="240"/>
        <w:jc w:val="left"/>
        <w:rPr>
          <w:lang w:val="en-US"/>
        </w:rPr>
      </w:pPr>
      <w:r>
        <w:softHyphen/>
      </w:r>
      <w:r w:rsidR="007E4C9C">
        <w:t>It is anticipated</w:t>
      </w:r>
      <w:r w:rsidR="00363C24">
        <w:t xml:space="preserve"> that</w:t>
      </w:r>
      <w:r w:rsidR="006E0E29">
        <w:t xml:space="preserve"> any</w:t>
      </w:r>
      <w:r w:rsidR="00363C24">
        <w:t xml:space="preserve"> compliance issues </w:t>
      </w:r>
      <w:r w:rsidR="006E0E29">
        <w:t xml:space="preserve">are likely to </w:t>
      </w:r>
      <w:r w:rsidR="007E4C9C">
        <w:t>arise within the retention period specified and the records so retained will assist the</w:t>
      </w:r>
      <w:r w:rsidR="00B754BA">
        <w:t xml:space="preserve"> ACMA</w:t>
      </w:r>
      <w:r w:rsidR="007E4C9C">
        <w:t xml:space="preserve"> in </w:t>
      </w:r>
      <w:r w:rsidR="00280419">
        <w:t>any</w:t>
      </w:r>
      <w:r w:rsidR="007E4C9C">
        <w:t xml:space="preserve"> investigation of such issues</w:t>
      </w:r>
      <w:r w:rsidR="00B754BA">
        <w:t xml:space="preserve">. </w:t>
      </w:r>
    </w:p>
    <w:p w14:paraId="561A7931" w14:textId="204A4DFE" w:rsidR="00AC17F6" w:rsidRDefault="00AC17F6" w:rsidP="000265A3">
      <w:pPr>
        <w:pStyle w:val="Heading1"/>
        <w:jc w:val="left"/>
      </w:pPr>
      <w:r w:rsidRPr="004805FA">
        <w:t xml:space="preserve">Section </w:t>
      </w:r>
      <w:r>
        <w:t>12</w:t>
      </w:r>
      <w:r w:rsidRPr="004805FA">
        <w:t xml:space="preserve"> – </w:t>
      </w:r>
      <w:r w:rsidR="00454B35" w:rsidRPr="000A21E4">
        <w:rPr>
          <w:rStyle w:val="CharSectno"/>
        </w:rPr>
        <w:t>Provision of records to the ACMA</w:t>
      </w:r>
    </w:p>
    <w:p w14:paraId="50A82E82" w14:textId="540274FC" w:rsidR="000567CB" w:rsidRPr="004E63DB" w:rsidRDefault="005C5D99" w:rsidP="000265A3">
      <w:pPr>
        <w:jc w:val="left"/>
      </w:pPr>
      <w:r w:rsidRPr="005C5D99">
        <w:rPr>
          <w:lang w:val="en-US"/>
        </w:rPr>
        <w:t>Section 12</w:t>
      </w:r>
      <w:r w:rsidR="000567CB">
        <w:rPr>
          <w:lang w:val="en-US"/>
        </w:rPr>
        <w:t xml:space="preserve"> provides that any record required to be made by a CSP under a provision of the Determination</w:t>
      </w:r>
      <w:r w:rsidR="000567CB" w:rsidRPr="004E63DB">
        <w:rPr>
          <w:b/>
        </w:rPr>
        <w:t xml:space="preserve"> </w:t>
      </w:r>
      <w:r w:rsidR="000567CB" w:rsidRPr="004E63DB">
        <w:t>must be provided to the ACMA</w:t>
      </w:r>
      <w:r w:rsidR="00F26321">
        <w:t>,</w:t>
      </w:r>
      <w:r w:rsidR="000567CB" w:rsidRPr="004E63DB">
        <w:t xml:space="preserve"> if required by written notice</w:t>
      </w:r>
      <w:r w:rsidR="00F26321">
        <w:t xml:space="preserve"> </w:t>
      </w:r>
      <w:r w:rsidR="00522CAD">
        <w:t>issued pursuant to that section</w:t>
      </w:r>
      <w:r w:rsidR="00F26321">
        <w:t>,</w:t>
      </w:r>
      <w:r w:rsidR="000567CB" w:rsidRPr="004E63DB">
        <w:t xml:space="preserve"> within one month or such longer period as the ACMA allows.</w:t>
      </w:r>
    </w:p>
    <w:p w14:paraId="5F0D05AB" w14:textId="77777777" w:rsidR="000567CB" w:rsidRPr="00AC17F6" w:rsidRDefault="000567CB" w:rsidP="00434F24">
      <w:pPr>
        <w:rPr>
          <w:lang w:val="en-US"/>
        </w:rPr>
      </w:pPr>
    </w:p>
    <w:p w14:paraId="119F662A" w14:textId="77777777" w:rsidR="00003222" w:rsidRDefault="00003222" w:rsidP="00434F24">
      <w:pPr>
        <w:sectPr w:rsidR="00003222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1F0218" w14:textId="77777777" w:rsidR="00125C6E" w:rsidRPr="00776264" w:rsidRDefault="00125C6E" w:rsidP="000265A3">
      <w:pPr>
        <w:jc w:val="right"/>
        <w:rPr>
          <w:b/>
          <w:color w:val="000000" w:themeColor="text1"/>
          <w:sz w:val="26"/>
          <w:szCs w:val="26"/>
        </w:rPr>
      </w:pPr>
      <w:r w:rsidRPr="00776264">
        <w:rPr>
          <w:b/>
          <w:color w:val="000000" w:themeColor="text1"/>
          <w:sz w:val="26"/>
          <w:szCs w:val="26"/>
        </w:rPr>
        <w:t>ATTACHMENT B</w:t>
      </w:r>
    </w:p>
    <w:p w14:paraId="5FA02C55" w14:textId="77777777" w:rsidR="00125C6E" w:rsidRPr="000265A3" w:rsidRDefault="00125C6E" w:rsidP="000265A3">
      <w:pPr>
        <w:jc w:val="center"/>
        <w:rPr>
          <w:b/>
          <w:color w:val="000000" w:themeColor="text1"/>
          <w:sz w:val="26"/>
          <w:szCs w:val="26"/>
        </w:rPr>
      </w:pPr>
      <w:r w:rsidRPr="000265A3">
        <w:rPr>
          <w:b/>
          <w:color w:val="000000" w:themeColor="text1"/>
          <w:sz w:val="26"/>
          <w:szCs w:val="26"/>
        </w:rPr>
        <w:t>Statement of Compatibility with Human Rights</w:t>
      </w:r>
    </w:p>
    <w:p w14:paraId="1ED19C03" w14:textId="77777777" w:rsidR="00125C6E" w:rsidRPr="004604B1" w:rsidRDefault="00125C6E" w:rsidP="00434F24">
      <w:pPr>
        <w:rPr>
          <w:color w:val="000000" w:themeColor="text1"/>
        </w:rPr>
      </w:pPr>
      <w:r w:rsidRPr="004604B1">
        <w:rPr>
          <w:color w:val="000000" w:themeColor="text1"/>
        </w:rPr>
        <w:t xml:space="preserve">Prepared in accordance with Part 3 of the </w:t>
      </w:r>
      <w:r w:rsidRPr="00CA38DB">
        <w:rPr>
          <w:i/>
          <w:color w:val="000000" w:themeColor="text1"/>
        </w:rPr>
        <w:t>Human Rights (Parliamentary Scrutiny) Act 2011</w:t>
      </w:r>
    </w:p>
    <w:p w14:paraId="6A5ADE7A" w14:textId="77777777" w:rsidR="007A4183" w:rsidRPr="000265A3" w:rsidRDefault="007A4183" w:rsidP="000265A3">
      <w:pPr>
        <w:jc w:val="center"/>
        <w:rPr>
          <w:b/>
          <w:i/>
          <w:color w:val="000000" w:themeColor="text1"/>
          <w:sz w:val="26"/>
          <w:szCs w:val="26"/>
          <w:lang w:val="en-US"/>
        </w:rPr>
      </w:pPr>
      <w:r w:rsidRPr="000265A3">
        <w:rPr>
          <w:b/>
          <w:i/>
          <w:color w:val="000000" w:themeColor="text1"/>
          <w:sz w:val="26"/>
          <w:szCs w:val="26"/>
          <w:lang w:val="en-US"/>
        </w:rPr>
        <w:t>Telecommunications (Backup Power and Informed Decisions) Service Provider Determination 2014</w:t>
      </w:r>
    </w:p>
    <w:p w14:paraId="3B15E1C9" w14:textId="77777777" w:rsidR="00125C6E" w:rsidRPr="004604B1" w:rsidRDefault="00125C6E" w:rsidP="000265A3">
      <w:pPr>
        <w:jc w:val="left"/>
        <w:rPr>
          <w:color w:val="000000" w:themeColor="text1"/>
        </w:rPr>
      </w:pPr>
      <w:r w:rsidRPr="004604B1">
        <w:rPr>
          <w:color w:val="000000" w:themeColor="text1"/>
        </w:rPr>
        <w:t xml:space="preserve">This Legislative Instrument is compatible with the human rights and freedoms recognised or declared in the international instruments listed in section 3 of the </w:t>
      </w:r>
      <w:r w:rsidRPr="004604B1">
        <w:rPr>
          <w:i/>
          <w:color w:val="000000" w:themeColor="text1"/>
        </w:rPr>
        <w:t>Human Rights (Parliamentary Scrutiny) Act 2011</w:t>
      </w:r>
      <w:r w:rsidRPr="004604B1">
        <w:rPr>
          <w:color w:val="000000" w:themeColor="text1"/>
        </w:rPr>
        <w:t>.</w:t>
      </w:r>
    </w:p>
    <w:p w14:paraId="5183B256" w14:textId="77777777" w:rsidR="00125C6E" w:rsidRPr="000265A3" w:rsidRDefault="00A773CD" w:rsidP="000265A3">
      <w:pPr>
        <w:jc w:val="left"/>
        <w:rPr>
          <w:b/>
          <w:color w:val="000000" w:themeColor="text1"/>
          <w:sz w:val="26"/>
          <w:szCs w:val="26"/>
        </w:rPr>
      </w:pPr>
      <w:r w:rsidRPr="000265A3">
        <w:rPr>
          <w:b/>
          <w:color w:val="000000" w:themeColor="text1"/>
          <w:sz w:val="26"/>
          <w:szCs w:val="26"/>
        </w:rPr>
        <w:t>Overview of the Legislative instrument</w:t>
      </w:r>
    </w:p>
    <w:p w14:paraId="445D70AC" w14:textId="77777777" w:rsidR="00803831" w:rsidRDefault="00330F9B" w:rsidP="000265A3">
      <w:pPr>
        <w:pStyle w:val="zr1"/>
        <w:rPr>
          <w:rFonts w:ascii="Arial" w:hAnsi="Arial" w:cs="Arial"/>
          <w:sz w:val="19"/>
          <w:szCs w:val="19"/>
        </w:rPr>
      </w:pPr>
      <w:r w:rsidRPr="00A0560D">
        <w:t>Subsection 99(1) of the</w:t>
      </w:r>
      <w:r>
        <w:t xml:space="preserve"> </w:t>
      </w:r>
      <w:r w:rsidRPr="004E63DB">
        <w:rPr>
          <w:i/>
        </w:rPr>
        <w:t>Telecommunications Act 1997</w:t>
      </w:r>
      <w:r>
        <w:t xml:space="preserve"> (</w:t>
      </w:r>
      <w:r w:rsidRPr="004E63DB">
        <w:rPr>
          <w:b/>
        </w:rPr>
        <w:t>the Act</w:t>
      </w:r>
      <w:r>
        <w:t>) provides that</w:t>
      </w:r>
      <w:r w:rsidRPr="00330F9B">
        <w:rPr>
          <w:lang w:val="en-US"/>
        </w:rPr>
        <w:t xml:space="preserve"> </w:t>
      </w:r>
      <w:r>
        <w:rPr>
          <w:lang w:val="en-US"/>
        </w:rPr>
        <w:t>the Australian Communications and Media Authority (</w:t>
      </w:r>
      <w:r w:rsidRPr="004E63DB">
        <w:rPr>
          <w:lang w:val="en-US"/>
        </w:rPr>
        <w:t>the</w:t>
      </w:r>
      <w:r w:rsidRPr="004E63DB">
        <w:rPr>
          <w:b/>
          <w:lang w:val="en-US"/>
        </w:rPr>
        <w:t xml:space="preserve"> ACMA</w:t>
      </w:r>
      <w:r>
        <w:rPr>
          <w:lang w:val="en-US"/>
        </w:rPr>
        <w:t>)</w:t>
      </w:r>
      <w:r w:rsidRPr="00A0560D">
        <w:t xml:space="preserve"> may</w:t>
      </w:r>
      <w:r>
        <w:t xml:space="preserve">, by legislative instrument, make a </w:t>
      </w:r>
      <w:r w:rsidRPr="00A0560D">
        <w:t>determination setting out rules</w:t>
      </w:r>
      <w:r>
        <w:t xml:space="preserve"> that apply to</w:t>
      </w:r>
      <w:r w:rsidRPr="00A0560D">
        <w:t xml:space="preserve"> service providers in relation to the supply of specified carriage </w:t>
      </w:r>
      <w:r>
        <w:t xml:space="preserve">services </w:t>
      </w:r>
      <w:r w:rsidRPr="00A0560D">
        <w:t xml:space="preserve">or specified content services. </w:t>
      </w:r>
      <w:r>
        <w:t xml:space="preserve"> A service provider is a carriage service provider (</w:t>
      </w:r>
      <w:r w:rsidRPr="004E63DB">
        <w:rPr>
          <w:b/>
        </w:rPr>
        <w:t>CSP</w:t>
      </w:r>
      <w:r>
        <w:t xml:space="preserve">) or a content service provider (see section 86 of the Act).  </w:t>
      </w:r>
      <w:r w:rsidRPr="002941E9">
        <w:rPr>
          <w:rFonts w:ascii="Arial" w:hAnsi="Arial" w:cs="Arial"/>
          <w:sz w:val="19"/>
          <w:szCs w:val="19"/>
        </w:rPr>
        <w:t> </w:t>
      </w:r>
    </w:p>
    <w:p w14:paraId="4FB851BF" w14:textId="53045EBC" w:rsidR="00803831" w:rsidRDefault="00803831" w:rsidP="000265A3">
      <w:pPr>
        <w:jc w:val="left"/>
        <w:rPr>
          <w:rFonts w:ascii="Arial" w:hAnsi="Arial" w:cs="Arial"/>
          <w:snapToGrid/>
          <w:sz w:val="19"/>
          <w:szCs w:val="19"/>
          <w:lang w:eastAsia="en-AU"/>
        </w:rPr>
      </w:pPr>
      <w:r>
        <w:t>A service provider determination must relate to a matter specified in the regulations or in section 346</w:t>
      </w:r>
      <w:r w:rsidR="001D3331">
        <w:t xml:space="preserve"> (see subsection 99(3) of the Act)</w:t>
      </w:r>
      <w:r>
        <w:t>.  Regulation 3.13 of the</w:t>
      </w:r>
      <w:r w:rsidRPr="007A4E10">
        <w:rPr>
          <w:i/>
        </w:rPr>
        <w:t xml:space="preserve"> Telecommunications Regulations 2001</w:t>
      </w:r>
      <w:r>
        <w:t xml:space="preserve"> </w:t>
      </w:r>
      <w:r w:rsidR="00BB3968">
        <w:t>(the</w:t>
      </w:r>
      <w:r w:rsidR="00BB3968" w:rsidRPr="000265A3">
        <w:rPr>
          <w:b/>
        </w:rPr>
        <w:t xml:space="preserve"> Regulations</w:t>
      </w:r>
      <w:r w:rsidR="00BB3968">
        <w:t xml:space="preserve">) </w:t>
      </w:r>
      <w:r>
        <w:t>applies to, among other things, the supply of standard telephone services (see sub-regulation 3.13(1)).  Sub-regulation 3.13(2) provides that the ACMA</w:t>
      </w:r>
      <w:r w:rsidRPr="007A4E10">
        <w:rPr>
          <w:snapToGrid/>
          <w:lang w:eastAsia="en-AU"/>
        </w:rPr>
        <w:t xml:space="preserve"> may make a service provider determination setting out rules that apply to service providers in relation to a customer’s interests as regards the supply of th</w:t>
      </w:r>
      <w:r w:rsidR="001D3331">
        <w:rPr>
          <w:snapToGrid/>
          <w:lang w:eastAsia="en-AU"/>
        </w:rPr>
        <w:t>o</w:t>
      </w:r>
      <w:r w:rsidR="0091117B">
        <w:rPr>
          <w:snapToGrid/>
          <w:lang w:eastAsia="en-AU"/>
        </w:rPr>
        <w:t>s</w:t>
      </w:r>
      <w:r w:rsidRPr="007A4E10">
        <w:rPr>
          <w:snapToGrid/>
          <w:lang w:eastAsia="en-AU"/>
        </w:rPr>
        <w:t>e services.</w:t>
      </w:r>
    </w:p>
    <w:p w14:paraId="6D24EF5D" w14:textId="77777777" w:rsidR="000361C1" w:rsidRPr="000265A3" w:rsidRDefault="00121E30" w:rsidP="000265A3">
      <w:pPr>
        <w:pStyle w:val="zr1"/>
      </w:pPr>
      <w:r>
        <w:rPr>
          <w:color w:val="000000" w:themeColor="text1"/>
        </w:rPr>
        <w:t>The Legislative Instrument</w:t>
      </w:r>
      <w:r w:rsidR="008D094A">
        <w:rPr>
          <w:lang w:val="en-US"/>
        </w:rPr>
        <w:t xml:space="preserve"> </w:t>
      </w:r>
      <w:r w:rsidR="00330F9B">
        <w:rPr>
          <w:lang w:val="en-US"/>
        </w:rPr>
        <w:t>has been</w:t>
      </w:r>
      <w:r w:rsidR="008D094A">
        <w:rPr>
          <w:lang w:val="en-US"/>
        </w:rPr>
        <w:t xml:space="preserve"> made by the</w:t>
      </w:r>
      <w:r w:rsidR="00330F9B">
        <w:rPr>
          <w:lang w:val="en-US"/>
        </w:rPr>
        <w:t xml:space="preserve"> ACMA under subsection 99(1) of the Act</w:t>
      </w:r>
      <w:r w:rsidR="00330F9B" w:rsidRPr="00330F9B">
        <w:t xml:space="preserve"> </w:t>
      </w:r>
      <w:r w:rsidR="00330F9B" w:rsidRPr="00434F24">
        <w:t xml:space="preserve">to </w:t>
      </w:r>
      <w:r w:rsidR="00330F9B">
        <w:t>help protect the interests of residential customers of CSPs</w:t>
      </w:r>
      <w:r w:rsidR="00330F9B" w:rsidRPr="00434F24">
        <w:t xml:space="preserve"> </w:t>
      </w:r>
      <w:r w:rsidR="00330F9B">
        <w:t xml:space="preserve">that supply </w:t>
      </w:r>
      <w:r w:rsidR="000361C1">
        <w:t>standard telephone services, by means of the National Broadband Network using fibre-to-the-premises architecture, (</w:t>
      </w:r>
      <w:r w:rsidR="000361C1" w:rsidRPr="000265A3">
        <w:rPr>
          <w:b/>
        </w:rPr>
        <w:t>specified carriage services</w:t>
      </w:r>
      <w:r w:rsidR="000361C1">
        <w:t>)</w:t>
      </w:r>
      <w:r w:rsidR="00330F9B">
        <w:t xml:space="preserve"> which will not operate during a power failure</w:t>
      </w:r>
      <w:r w:rsidR="00637198">
        <w:t xml:space="preserve"> </w:t>
      </w:r>
      <w:r w:rsidR="00330F9B">
        <w:t>unless a backup power service is supplied</w:t>
      </w:r>
      <w:r w:rsidR="00330F9B">
        <w:rPr>
          <w:lang w:val="en-US"/>
        </w:rPr>
        <w:t>.</w:t>
      </w:r>
      <w:r w:rsidR="001940AD">
        <w:rPr>
          <w:lang w:val="en-US"/>
        </w:rPr>
        <w:t xml:space="preserve">  </w:t>
      </w:r>
    </w:p>
    <w:p w14:paraId="3CFFC0F7" w14:textId="77777777" w:rsidR="005C0A36" w:rsidRPr="000265A3" w:rsidRDefault="005E2EEB" w:rsidP="000265A3">
      <w:pPr>
        <w:pStyle w:val="zr1"/>
      </w:pPr>
      <w:r>
        <w:t>The Legislative Instrument</w:t>
      </w:r>
      <w:r w:rsidR="00330F9B">
        <w:t xml:space="preserve"> requires the CSPs to do the following, if a residential customer </w:t>
      </w:r>
      <w:r w:rsidR="00330F9B" w:rsidRPr="000265A3">
        <w:t>has requested them to supply a specified carriage service to the customer’s premises:</w:t>
      </w:r>
    </w:p>
    <w:p w14:paraId="3A9A9913" w14:textId="77777777" w:rsidR="005C0A36" w:rsidRPr="000265A3" w:rsidRDefault="00330F9B" w:rsidP="000265A3">
      <w:pPr>
        <w:pStyle w:val="zr1"/>
        <w:numPr>
          <w:ilvl w:val="0"/>
          <w:numId w:val="33"/>
        </w:numPr>
        <w:spacing w:before="0" w:beforeAutospacing="0" w:after="120" w:afterAutospacing="0"/>
        <w:ind w:left="851" w:hanging="425"/>
      </w:pPr>
      <w:r w:rsidRPr="000265A3">
        <w:t>to give the customer, before entering into any agreement for the supply of the specified carriage service,</w:t>
      </w:r>
      <w:r w:rsidR="00A8533A" w:rsidRPr="000265A3">
        <w:t xml:space="preserve"> certain</w:t>
      </w:r>
      <w:r w:rsidRPr="000265A3">
        <w:t xml:space="preserve"> information</w:t>
      </w:r>
      <w:r w:rsidR="00280419" w:rsidRPr="000265A3">
        <w:t xml:space="preserve"> about what a backup power service supplied by means of a battery backup supply unit (</w:t>
      </w:r>
      <w:r w:rsidR="00280419" w:rsidRPr="000265A3">
        <w:rPr>
          <w:b/>
        </w:rPr>
        <w:t>BPSU</w:t>
      </w:r>
      <w:r w:rsidR="00280419" w:rsidRPr="000265A3">
        <w:t>) would do, and not do, during a power failure, which</w:t>
      </w:r>
      <w:r w:rsidRPr="000265A3">
        <w:t xml:space="preserve">: </w:t>
      </w:r>
    </w:p>
    <w:p w14:paraId="57EF4378" w14:textId="77777777" w:rsidR="005C0A36" w:rsidRPr="000265A3" w:rsidRDefault="00280419" w:rsidP="000265A3">
      <w:pPr>
        <w:pStyle w:val="zr1"/>
        <w:numPr>
          <w:ilvl w:val="1"/>
          <w:numId w:val="33"/>
        </w:numPr>
        <w:spacing w:before="120" w:beforeAutospacing="0" w:after="120" w:afterAutospacing="0"/>
        <w:ind w:left="1418" w:hanging="425"/>
      </w:pPr>
      <w:r w:rsidRPr="000265A3">
        <w:t xml:space="preserve">may be relied upon by the customer </w:t>
      </w:r>
      <w:r w:rsidR="00330F9B" w:rsidRPr="000265A3">
        <w:t xml:space="preserve">to make an informed decision about whether or not to have </w:t>
      </w:r>
      <w:r w:rsidRPr="000265A3">
        <w:t>the</w:t>
      </w:r>
      <w:r w:rsidR="00330F9B" w:rsidRPr="000265A3">
        <w:t xml:space="preserve"> backup power service; and</w:t>
      </w:r>
    </w:p>
    <w:p w14:paraId="10FC3D12" w14:textId="062AFD50" w:rsidR="005C0A36" w:rsidRPr="000265A3" w:rsidRDefault="00280419" w:rsidP="000265A3">
      <w:pPr>
        <w:pStyle w:val="zr1"/>
        <w:numPr>
          <w:ilvl w:val="1"/>
          <w:numId w:val="33"/>
        </w:numPr>
        <w:spacing w:before="120" w:beforeAutospacing="0" w:after="120" w:afterAutospacing="0"/>
        <w:ind w:left="1418" w:hanging="425"/>
      </w:pPr>
      <w:r w:rsidRPr="000265A3">
        <w:t xml:space="preserve">will ensure that the customer is made aware of the </w:t>
      </w:r>
      <w:r w:rsidR="00D2593D">
        <w:t>limitations</w:t>
      </w:r>
      <w:r w:rsidRPr="000265A3">
        <w:t xml:space="preserve"> of the</w:t>
      </w:r>
      <w:r w:rsidR="00067130" w:rsidRPr="000265A3">
        <w:t xml:space="preserve"> backup power service</w:t>
      </w:r>
      <w:r w:rsidR="000361C1" w:rsidRPr="000265A3">
        <w:t>;</w:t>
      </w:r>
      <w:r w:rsidR="00121E30" w:rsidRPr="000265A3">
        <w:t xml:space="preserve"> </w:t>
      </w:r>
      <w:r w:rsidR="00AA4EFE" w:rsidRPr="000265A3">
        <w:t>and</w:t>
      </w:r>
    </w:p>
    <w:p w14:paraId="37BF9349" w14:textId="69B33AAB" w:rsidR="00330F9B" w:rsidRPr="000265A3" w:rsidRDefault="00330F9B" w:rsidP="000265A3">
      <w:pPr>
        <w:pStyle w:val="zr1"/>
        <w:numPr>
          <w:ilvl w:val="0"/>
          <w:numId w:val="33"/>
        </w:numPr>
        <w:spacing w:before="120" w:beforeAutospacing="0" w:after="120" w:afterAutospacing="0"/>
        <w:ind w:left="851" w:hanging="425"/>
      </w:pPr>
      <w:proofErr w:type="gramStart"/>
      <w:r w:rsidRPr="000265A3">
        <w:t>to</w:t>
      </w:r>
      <w:proofErr w:type="gramEnd"/>
      <w:r w:rsidRPr="000265A3">
        <w:t xml:space="preserve"> make and retain records verifying that the customer was given </w:t>
      </w:r>
      <w:r w:rsidR="00935EF9">
        <w:t>such</w:t>
      </w:r>
      <w:r w:rsidRPr="000265A3">
        <w:t xml:space="preserve"> information before entering into the agreement.</w:t>
      </w:r>
    </w:p>
    <w:p w14:paraId="4B8236C1" w14:textId="1BDEB34D" w:rsidR="00635404" w:rsidRDefault="005E2EEB" w:rsidP="000265A3">
      <w:pPr>
        <w:jc w:val="left"/>
        <w:rPr>
          <w:lang w:val="en-US"/>
        </w:rPr>
      </w:pPr>
      <w:r w:rsidRPr="000265A3">
        <w:rPr>
          <w:lang w:val="en-US"/>
        </w:rPr>
        <w:t>The Legislative Instrument</w:t>
      </w:r>
      <w:r>
        <w:rPr>
          <w:lang w:val="en-US"/>
        </w:rPr>
        <w:t xml:space="preserve"> restricts</w:t>
      </w:r>
      <w:r w:rsidR="00121E30">
        <w:rPr>
          <w:lang w:val="en-US"/>
        </w:rPr>
        <w:t xml:space="preserve"> the CSPs from giving the</w:t>
      </w:r>
      <w:r w:rsidR="00935EF9">
        <w:rPr>
          <w:lang w:val="en-US"/>
        </w:rPr>
        <w:t xml:space="preserve"> relevant</w:t>
      </w:r>
      <w:r w:rsidR="00121E30">
        <w:rPr>
          <w:lang w:val="en-US"/>
        </w:rPr>
        <w:t xml:space="preserve"> </w:t>
      </w:r>
      <w:r>
        <w:rPr>
          <w:lang w:val="en-US"/>
        </w:rPr>
        <w:t>information in any of the following ways:</w:t>
      </w:r>
    </w:p>
    <w:p w14:paraId="5D7B5EC8" w14:textId="5C0E0963" w:rsidR="005E2EEB" w:rsidRPr="00624089" w:rsidRDefault="005E2EEB" w:rsidP="000265A3">
      <w:pPr>
        <w:numPr>
          <w:ilvl w:val="0"/>
          <w:numId w:val="38"/>
        </w:numPr>
        <w:suppressAutoHyphens w:val="0"/>
        <w:spacing w:before="120" w:after="120" w:line="260" w:lineRule="exact"/>
        <w:ind w:left="851" w:hanging="425"/>
        <w:jc w:val="left"/>
        <w:rPr>
          <w:szCs w:val="20"/>
        </w:rPr>
      </w:pPr>
      <w:r>
        <w:t xml:space="preserve">giving </w:t>
      </w:r>
      <w:r w:rsidRPr="00624089">
        <w:t xml:space="preserve">information to a customer as part of a standard form of agreement formulated by a carriage service provider for the purposes of section 479 of </w:t>
      </w:r>
      <w:r w:rsidR="008644C1">
        <w:t xml:space="preserve">the </w:t>
      </w:r>
      <w:r>
        <w:t>Act</w:t>
      </w:r>
      <w:r w:rsidRPr="00624089">
        <w:t xml:space="preserve">; </w:t>
      </w:r>
      <w:r w:rsidR="00AC0759">
        <w:t>or</w:t>
      </w:r>
    </w:p>
    <w:p w14:paraId="60F0023C" w14:textId="77777777" w:rsidR="005E2EEB" w:rsidRPr="00624089" w:rsidRDefault="005E2EEB" w:rsidP="000265A3">
      <w:pPr>
        <w:numPr>
          <w:ilvl w:val="0"/>
          <w:numId w:val="38"/>
        </w:numPr>
        <w:suppressAutoHyphens w:val="0"/>
        <w:spacing w:before="120" w:after="120" w:line="260" w:lineRule="exact"/>
        <w:ind w:left="851" w:hanging="425"/>
        <w:jc w:val="left"/>
        <w:rPr>
          <w:szCs w:val="20"/>
        </w:rPr>
      </w:pPr>
      <w:proofErr w:type="gramStart"/>
      <w:r>
        <w:rPr>
          <w:szCs w:val="20"/>
        </w:rPr>
        <w:t>making</w:t>
      </w:r>
      <w:proofErr w:type="gramEnd"/>
      <w:r>
        <w:rPr>
          <w:szCs w:val="20"/>
        </w:rPr>
        <w:t xml:space="preserve"> information available to a customer as part of </w:t>
      </w:r>
      <w:r w:rsidRPr="00624089">
        <w:rPr>
          <w:szCs w:val="20"/>
        </w:rPr>
        <w:t>marketing, promotional or advertising material</w:t>
      </w:r>
      <w:r>
        <w:rPr>
          <w:szCs w:val="20"/>
        </w:rPr>
        <w:t xml:space="preserve"> by </w:t>
      </w:r>
      <w:r w:rsidRPr="00624089">
        <w:rPr>
          <w:szCs w:val="20"/>
        </w:rPr>
        <w:t>broadcast, publication</w:t>
      </w:r>
      <w:r>
        <w:rPr>
          <w:szCs w:val="20"/>
        </w:rPr>
        <w:t xml:space="preserve"> or by any other means</w:t>
      </w:r>
      <w:r w:rsidRPr="00624089">
        <w:rPr>
          <w:szCs w:val="20"/>
        </w:rPr>
        <w:t>.</w:t>
      </w:r>
    </w:p>
    <w:p w14:paraId="7292A0FE" w14:textId="77777777" w:rsidR="00A773CD" w:rsidRPr="000265A3" w:rsidRDefault="00A773CD" w:rsidP="000265A3">
      <w:pPr>
        <w:jc w:val="left"/>
        <w:rPr>
          <w:b/>
          <w:color w:val="000000" w:themeColor="text1"/>
          <w:sz w:val="26"/>
          <w:szCs w:val="26"/>
          <w:lang w:eastAsia="en-AU"/>
        </w:rPr>
      </w:pPr>
      <w:r w:rsidRPr="000265A3">
        <w:rPr>
          <w:b/>
          <w:color w:val="000000" w:themeColor="text1"/>
          <w:sz w:val="26"/>
          <w:szCs w:val="26"/>
          <w:lang w:eastAsia="en-AU"/>
        </w:rPr>
        <w:t>Human rights implications</w:t>
      </w:r>
    </w:p>
    <w:p w14:paraId="7E37315F" w14:textId="77777777" w:rsidR="00A773CD" w:rsidRPr="00776264" w:rsidRDefault="00A773CD" w:rsidP="000265A3">
      <w:pPr>
        <w:jc w:val="left"/>
        <w:rPr>
          <w:i/>
          <w:color w:val="000000" w:themeColor="text1"/>
          <w:lang w:eastAsia="en-AU"/>
        </w:rPr>
      </w:pPr>
      <w:r w:rsidRPr="00776264">
        <w:rPr>
          <w:i/>
          <w:color w:val="000000" w:themeColor="text1"/>
          <w:lang w:eastAsia="en-AU"/>
        </w:rPr>
        <w:t>Right to freedom of expression</w:t>
      </w:r>
    </w:p>
    <w:p w14:paraId="266E0884" w14:textId="12B546AC" w:rsidR="00A8533A" w:rsidRDefault="00A7337D" w:rsidP="000265A3">
      <w:pPr>
        <w:jc w:val="left"/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 xml:space="preserve">It is possible that </w:t>
      </w:r>
      <w:r w:rsidR="009F5995">
        <w:rPr>
          <w:color w:val="000000" w:themeColor="text1"/>
          <w:lang w:eastAsia="en-AU"/>
        </w:rPr>
        <w:t>the</w:t>
      </w:r>
      <w:r w:rsidR="00AC2200">
        <w:rPr>
          <w:color w:val="000000" w:themeColor="text1"/>
          <w:lang w:eastAsia="en-AU"/>
        </w:rPr>
        <w:t xml:space="preserve"> </w:t>
      </w:r>
      <w:r w:rsidR="00F0677A">
        <w:rPr>
          <w:color w:val="000000" w:themeColor="text1"/>
          <w:lang w:eastAsia="en-AU"/>
        </w:rPr>
        <w:t xml:space="preserve">requirement to give </w:t>
      </w:r>
      <w:r w:rsidR="00AC2200">
        <w:rPr>
          <w:color w:val="000000" w:themeColor="text1"/>
          <w:lang w:eastAsia="en-AU"/>
        </w:rPr>
        <w:t>certain information to customers</w:t>
      </w:r>
      <w:r w:rsidR="009F5995">
        <w:rPr>
          <w:color w:val="000000" w:themeColor="text1"/>
          <w:lang w:eastAsia="en-AU"/>
        </w:rPr>
        <w:t xml:space="preserve"> and the</w:t>
      </w:r>
      <w:r w:rsidR="001943F9">
        <w:rPr>
          <w:color w:val="000000" w:themeColor="text1"/>
          <w:lang w:eastAsia="en-AU"/>
        </w:rPr>
        <w:t xml:space="preserve"> restriction</w:t>
      </w:r>
      <w:r w:rsidR="00F0677A">
        <w:rPr>
          <w:color w:val="000000" w:themeColor="text1"/>
          <w:lang w:eastAsia="en-AU"/>
        </w:rPr>
        <w:t xml:space="preserve"> </w:t>
      </w:r>
      <w:r w:rsidR="008D0BEF">
        <w:rPr>
          <w:color w:val="000000" w:themeColor="text1"/>
          <w:lang w:eastAsia="en-AU"/>
        </w:rPr>
        <w:t>on the</w:t>
      </w:r>
      <w:r w:rsidR="000C0A2E">
        <w:rPr>
          <w:color w:val="000000" w:themeColor="text1"/>
          <w:lang w:eastAsia="en-AU"/>
        </w:rPr>
        <w:t xml:space="preserve"> way</w:t>
      </w:r>
      <w:r w:rsidR="008D0BEF">
        <w:rPr>
          <w:color w:val="000000" w:themeColor="text1"/>
          <w:lang w:eastAsia="en-AU"/>
        </w:rPr>
        <w:t xml:space="preserve"> in</w:t>
      </w:r>
      <w:r w:rsidR="00AC2200">
        <w:rPr>
          <w:color w:val="000000" w:themeColor="text1"/>
          <w:lang w:eastAsia="en-AU"/>
        </w:rPr>
        <w:t xml:space="preserve"> which that information may be given</w:t>
      </w:r>
      <w:r w:rsidR="008D0BEF">
        <w:rPr>
          <w:color w:val="000000" w:themeColor="text1"/>
          <w:lang w:eastAsia="en-AU"/>
        </w:rPr>
        <w:t xml:space="preserve"> </w:t>
      </w:r>
      <w:r>
        <w:rPr>
          <w:color w:val="000000" w:themeColor="text1"/>
          <w:lang w:eastAsia="en-AU"/>
        </w:rPr>
        <w:t>(the</w:t>
      </w:r>
      <w:r w:rsidR="009F5995">
        <w:rPr>
          <w:b/>
          <w:color w:val="000000" w:themeColor="text1"/>
          <w:lang w:eastAsia="en-AU"/>
        </w:rPr>
        <w:t xml:space="preserve"> rules</w:t>
      </w:r>
      <w:r>
        <w:rPr>
          <w:color w:val="000000" w:themeColor="text1"/>
          <w:lang w:eastAsia="en-AU"/>
        </w:rPr>
        <w:t xml:space="preserve">) </w:t>
      </w:r>
      <w:r w:rsidR="008D0BEF">
        <w:rPr>
          <w:color w:val="000000" w:themeColor="text1"/>
          <w:lang w:eastAsia="en-AU"/>
        </w:rPr>
        <w:t xml:space="preserve">may </w:t>
      </w:r>
      <w:r>
        <w:rPr>
          <w:color w:val="000000" w:themeColor="text1"/>
          <w:lang w:eastAsia="en-AU"/>
        </w:rPr>
        <w:t>be viewed as limiting</w:t>
      </w:r>
      <w:r w:rsidR="008D0BEF">
        <w:rPr>
          <w:color w:val="000000" w:themeColor="text1"/>
          <w:lang w:eastAsia="en-AU"/>
        </w:rPr>
        <w:t xml:space="preserve"> </w:t>
      </w:r>
      <w:r w:rsidR="0073290F">
        <w:rPr>
          <w:color w:val="000000" w:themeColor="text1"/>
          <w:lang w:eastAsia="en-AU"/>
        </w:rPr>
        <w:t xml:space="preserve">the right to freedom of expression </w:t>
      </w:r>
      <w:r w:rsidR="008D0BEF">
        <w:rPr>
          <w:color w:val="000000" w:themeColor="text1"/>
          <w:lang w:eastAsia="en-AU"/>
        </w:rPr>
        <w:t xml:space="preserve">in </w:t>
      </w:r>
      <w:r w:rsidR="00A773CD" w:rsidRPr="00776264">
        <w:rPr>
          <w:color w:val="000000" w:themeColor="text1"/>
          <w:lang w:eastAsia="en-AU"/>
        </w:rPr>
        <w:t>Article 19(2) of the I</w:t>
      </w:r>
      <w:r w:rsidR="00121E30">
        <w:rPr>
          <w:color w:val="000000" w:themeColor="text1"/>
          <w:lang w:eastAsia="en-AU"/>
        </w:rPr>
        <w:t xml:space="preserve">nternational </w:t>
      </w:r>
      <w:r w:rsidR="00A773CD" w:rsidRPr="00776264">
        <w:rPr>
          <w:color w:val="000000" w:themeColor="text1"/>
          <w:lang w:eastAsia="en-AU"/>
        </w:rPr>
        <w:t>C</w:t>
      </w:r>
      <w:r w:rsidR="00121E30">
        <w:rPr>
          <w:color w:val="000000" w:themeColor="text1"/>
          <w:lang w:eastAsia="en-AU"/>
        </w:rPr>
        <w:t xml:space="preserve">ovenant on </w:t>
      </w:r>
      <w:r w:rsidR="00A773CD" w:rsidRPr="00776264">
        <w:rPr>
          <w:color w:val="000000" w:themeColor="text1"/>
          <w:lang w:eastAsia="en-AU"/>
        </w:rPr>
        <w:t>C</w:t>
      </w:r>
      <w:r w:rsidR="00121E30">
        <w:rPr>
          <w:color w:val="000000" w:themeColor="text1"/>
          <w:lang w:eastAsia="en-AU"/>
        </w:rPr>
        <w:t xml:space="preserve">ivil and </w:t>
      </w:r>
      <w:r w:rsidR="00A773CD" w:rsidRPr="00776264">
        <w:rPr>
          <w:color w:val="000000" w:themeColor="text1"/>
          <w:lang w:eastAsia="en-AU"/>
        </w:rPr>
        <w:t>P</w:t>
      </w:r>
      <w:r w:rsidR="00121E30">
        <w:rPr>
          <w:color w:val="000000" w:themeColor="text1"/>
          <w:lang w:eastAsia="en-AU"/>
        </w:rPr>
        <w:t xml:space="preserve">olitical </w:t>
      </w:r>
      <w:r w:rsidR="00A773CD" w:rsidRPr="00776264">
        <w:rPr>
          <w:color w:val="000000" w:themeColor="text1"/>
          <w:lang w:eastAsia="en-AU"/>
        </w:rPr>
        <w:t>R</w:t>
      </w:r>
      <w:r w:rsidR="00121E30">
        <w:rPr>
          <w:color w:val="000000" w:themeColor="text1"/>
          <w:lang w:eastAsia="en-AU"/>
        </w:rPr>
        <w:t>ights</w:t>
      </w:r>
      <w:r w:rsidR="008D0BEF">
        <w:rPr>
          <w:color w:val="000000" w:themeColor="text1"/>
          <w:lang w:eastAsia="en-AU"/>
        </w:rPr>
        <w:t>.  Article 19(2)</w:t>
      </w:r>
      <w:r w:rsidR="0073290F">
        <w:rPr>
          <w:color w:val="000000" w:themeColor="text1"/>
          <w:lang w:eastAsia="en-AU"/>
        </w:rPr>
        <w:t xml:space="preserve"> </w:t>
      </w:r>
      <w:r w:rsidR="00A773CD" w:rsidRPr="00776264">
        <w:rPr>
          <w:color w:val="000000" w:themeColor="text1"/>
          <w:lang w:eastAsia="en-AU"/>
        </w:rPr>
        <w:t xml:space="preserve">protects the right to freedom of expression, including the right to seek, receive and impart information and ideas through any media of a person’s choice. </w:t>
      </w:r>
      <w:r w:rsidR="005E2EEB">
        <w:rPr>
          <w:color w:val="000000" w:themeColor="text1"/>
          <w:lang w:eastAsia="en-AU"/>
        </w:rPr>
        <w:t xml:space="preserve"> </w:t>
      </w:r>
      <w:r w:rsidR="008B7BCC">
        <w:rPr>
          <w:color w:val="000000" w:themeColor="text1"/>
          <w:lang w:eastAsia="en-AU"/>
        </w:rPr>
        <w:t xml:space="preserve">However, this right </w:t>
      </w:r>
      <w:r>
        <w:rPr>
          <w:color w:val="000000" w:themeColor="text1"/>
          <w:lang w:eastAsia="en-AU"/>
        </w:rPr>
        <w:t>is subject to any limitation</w:t>
      </w:r>
      <w:r w:rsidR="008B7BCC">
        <w:rPr>
          <w:color w:val="000000" w:themeColor="text1"/>
          <w:lang w:eastAsia="en-AU"/>
        </w:rPr>
        <w:t xml:space="preserve"> </w:t>
      </w:r>
      <w:r>
        <w:rPr>
          <w:color w:val="000000" w:themeColor="text1"/>
          <w:lang w:eastAsia="en-AU"/>
        </w:rPr>
        <w:t>that</w:t>
      </w:r>
      <w:r w:rsidR="005F2080">
        <w:rPr>
          <w:color w:val="000000" w:themeColor="text1"/>
          <w:lang w:eastAsia="en-AU"/>
        </w:rPr>
        <w:t xml:space="preserve"> is</w:t>
      </w:r>
      <w:r w:rsidR="00A8533A">
        <w:rPr>
          <w:color w:val="000000" w:themeColor="text1"/>
          <w:lang w:eastAsia="en-AU"/>
        </w:rPr>
        <w:t>:</w:t>
      </w:r>
      <w:r w:rsidR="00BB3968">
        <w:rPr>
          <w:color w:val="000000" w:themeColor="text1"/>
          <w:lang w:eastAsia="en-AU"/>
        </w:rPr>
        <w:t xml:space="preserve"> </w:t>
      </w:r>
    </w:p>
    <w:p w14:paraId="6649854B" w14:textId="77777777" w:rsidR="00A8533A" w:rsidRPr="000265A3" w:rsidRDefault="00BB3968" w:rsidP="000265A3">
      <w:pPr>
        <w:pStyle w:val="ListParagraph"/>
        <w:numPr>
          <w:ilvl w:val="0"/>
          <w:numId w:val="44"/>
        </w:numPr>
        <w:ind w:left="851" w:hanging="425"/>
        <w:jc w:val="left"/>
        <w:rPr>
          <w:color w:val="000000" w:themeColor="text1"/>
          <w:lang w:eastAsia="en-AU"/>
        </w:rPr>
      </w:pPr>
      <w:r w:rsidRPr="000265A3">
        <w:rPr>
          <w:color w:val="000000" w:themeColor="text1"/>
          <w:lang w:eastAsia="en-AU"/>
        </w:rPr>
        <w:t>authorised by law</w:t>
      </w:r>
      <w:r w:rsidR="00A8533A" w:rsidRPr="000265A3">
        <w:rPr>
          <w:color w:val="000000" w:themeColor="text1"/>
          <w:lang w:eastAsia="en-AU"/>
        </w:rPr>
        <w:t>;</w:t>
      </w:r>
    </w:p>
    <w:p w14:paraId="2D8B8A2E" w14:textId="77777777" w:rsidR="00A8533A" w:rsidRPr="000265A3" w:rsidRDefault="00BB3968" w:rsidP="000265A3">
      <w:pPr>
        <w:pStyle w:val="ListParagraph"/>
        <w:numPr>
          <w:ilvl w:val="0"/>
          <w:numId w:val="44"/>
        </w:numPr>
        <w:ind w:left="851" w:hanging="425"/>
        <w:jc w:val="left"/>
        <w:rPr>
          <w:color w:val="000000" w:themeColor="text1"/>
          <w:lang w:eastAsia="en-AU"/>
        </w:rPr>
      </w:pPr>
      <w:r w:rsidRPr="000265A3">
        <w:rPr>
          <w:color w:val="000000" w:themeColor="text1"/>
          <w:lang w:eastAsia="en-AU"/>
        </w:rPr>
        <w:t>aimed at achieving a legitimate objective</w:t>
      </w:r>
      <w:r w:rsidR="008B7BCC" w:rsidRPr="000265A3">
        <w:rPr>
          <w:color w:val="000000" w:themeColor="text1"/>
          <w:lang w:eastAsia="en-AU"/>
        </w:rPr>
        <w:t xml:space="preserve"> </w:t>
      </w:r>
      <w:r w:rsidRPr="000265A3">
        <w:rPr>
          <w:color w:val="000000" w:themeColor="text1"/>
          <w:lang w:eastAsia="en-AU"/>
        </w:rPr>
        <w:t>(</w:t>
      </w:r>
      <w:r w:rsidR="00465B40" w:rsidRPr="000265A3">
        <w:rPr>
          <w:color w:val="000000" w:themeColor="text1"/>
          <w:lang w:eastAsia="en-AU"/>
        </w:rPr>
        <w:t>such as</w:t>
      </w:r>
      <w:r w:rsidR="00A773CD" w:rsidRPr="000265A3">
        <w:rPr>
          <w:color w:val="000000" w:themeColor="text1"/>
          <w:lang w:eastAsia="en-AU"/>
        </w:rPr>
        <w:t xml:space="preserve"> </w:t>
      </w:r>
      <w:r w:rsidR="00465B40" w:rsidRPr="000265A3">
        <w:rPr>
          <w:color w:val="000000" w:themeColor="text1"/>
          <w:lang w:eastAsia="en-AU"/>
        </w:rPr>
        <w:t xml:space="preserve">the protection </w:t>
      </w:r>
      <w:r w:rsidR="0073290F" w:rsidRPr="000265A3">
        <w:rPr>
          <w:color w:val="000000" w:themeColor="text1"/>
          <w:lang w:eastAsia="en-AU"/>
        </w:rPr>
        <w:t>of the rights of others</w:t>
      </w:r>
      <w:r w:rsidR="004951CD" w:rsidRPr="004951CD">
        <w:rPr>
          <w:color w:val="000000" w:themeColor="text1"/>
          <w:lang w:eastAsia="en-AU"/>
        </w:rPr>
        <w:t xml:space="preserve"> </w:t>
      </w:r>
      <w:r w:rsidR="004951CD">
        <w:rPr>
          <w:color w:val="000000" w:themeColor="text1"/>
          <w:lang w:eastAsia="en-AU"/>
        </w:rPr>
        <w:t xml:space="preserve">and </w:t>
      </w:r>
      <w:r w:rsidR="004951CD" w:rsidRPr="00A420A5">
        <w:rPr>
          <w:color w:val="000000" w:themeColor="text1"/>
          <w:lang w:eastAsia="en-AU"/>
        </w:rPr>
        <w:t>the protection of public health</w:t>
      </w:r>
      <w:r w:rsidRPr="000265A3">
        <w:rPr>
          <w:color w:val="000000" w:themeColor="text1"/>
          <w:lang w:eastAsia="en-AU"/>
        </w:rPr>
        <w:t>)</w:t>
      </w:r>
      <w:r w:rsidR="00A8533A" w:rsidRPr="000265A3">
        <w:rPr>
          <w:color w:val="000000" w:themeColor="text1"/>
          <w:lang w:eastAsia="en-AU"/>
        </w:rPr>
        <w:t>;</w:t>
      </w:r>
      <w:r w:rsidRPr="000265A3">
        <w:rPr>
          <w:color w:val="000000" w:themeColor="text1"/>
          <w:lang w:eastAsia="en-AU"/>
        </w:rPr>
        <w:t xml:space="preserve"> and </w:t>
      </w:r>
    </w:p>
    <w:p w14:paraId="5D40CAD2" w14:textId="77777777" w:rsidR="00A773CD" w:rsidRPr="000265A3" w:rsidRDefault="00BB3968" w:rsidP="000265A3">
      <w:pPr>
        <w:pStyle w:val="ListParagraph"/>
        <w:numPr>
          <w:ilvl w:val="0"/>
          <w:numId w:val="44"/>
        </w:numPr>
        <w:ind w:left="851" w:hanging="425"/>
        <w:jc w:val="left"/>
        <w:rPr>
          <w:color w:val="000000" w:themeColor="text1"/>
          <w:lang w:eastAsia="en-AU"/>
        </w:rPr>
      </w:pPr>
      <w:proofErr w:type="gramStart"/>
      <w:r w:rsidRPr="000265A3">
        <w:rPr>
          <w:color w:val="000000" w:themeColor="text1"/>
          <w:lang w:eastAsia="en-AU"/>
        </w:rPr>
        <w:t>reasonable</w:t>
      </w:r>
      <w:proofErr w:type="gramEnd"/>
      <w:r w:rsidRPr="000265A3">
        <w:rPr>
          <w:color w:val="000000" w:themeColor="text1"/>
          <w:lang w:eastAsia="en-AU"/>
        </w:rPr>
        <w:t>, necessary and proportionate</w:t>
      </w:r>
      <w:r w:rsidR="00A773CD" w:rsidRPr="000265A3">
        <w:rPr>
          <w:color w:val="000000" w:themeColor="text1"/>
          <w:lang w:eastAsia="en-AU"/>
        </w:rPr>
        <w:t xml:space="preserve">. </w:t>
      </w:r>
    </w:p>
    <w:p w14:paraId="19B1B867" w14:textId="3A449AAA" w:rsidR="004951CD" w:rsidRDefault="00A7337D" w:rsidP="004951CD">
      <w:pPr>
        <w:jc w:val="left"/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 xml:space="preserve">The </w:t>
      </w:r>
      <w:r w:rsidR="00BE5DEF">
        <w:rPr>
          <w:color w:val="000000" w:themeColor="text1"/>
          <w:lang w:eastAsia="en-AU"/>
        </w:rPr>
        <w:t>rules</w:t>
      </w:r>
      <w:r w:rsidR="00BB3968">
        <w:rPr>
          <w:color w:val="000000" w:themeColor="text1"/>
          <w:lang w:eastAsia="en-AU"/>
        </w:rPr>
        <w:t xml:space="preserve"> </w:t>
      </w:r>
      <w:r w:rsidR="00BE5DEF">
        <w:rPr>
          <w:color w:val="000000" w:themeColor="text1"/>
          <w:lang w:eastAsia="en-AU"/>
        </w:rPr>
        <w:t>are</w:t>
      </w:r>
      <w:r w:rsidR="00BB3968">
        <w:rPr>
          <w:color w:val="000000" w:themeColor="text1"/>
          <w:lang w:eastAsia="en-AU"/>
        </w:rPr>
        <w:t xml:space="preserve"> authorised by subsection 99(1) of the Act and</w:t>
      </w:r>
      <w:r w:rsidR="00BB3968">
        <w:t xml:space="preserve"> Regulation 3.13 of the Regulations</w:t>
      </w:r>
      <w:r w:rsidR="00D93367">
        <w:rPr>
          <w:i/>
        </w:rPr>
        <w:t xml:space="preserve"> </w:t>
      </w:r>
      <w:r w:rsidR="00D93367" w:rsidRPr="000265A3">
        <w:t>and</w:t>
      </w:r>
      <w:r>
        <w:t xml:space="preserve"> </w:t>
      </w:r>
      <w:r w:rsidR="008644C1">
        <w:t>are</w:t>
      </w:r>
      <w:r>
        <w:t xml:space="preserve"> aimed at achieving</w:t>
      </w:r>
      <w:r w:rsidR="008B7BCC">
        <w:rPr>
          <w:color w:val="000000" w:themeColor="text1"/>
          <w:lang w:eastAsia="en-AU"/>
        </w:rPr>
        <w:t xml:space="preserve"> legitimate objective</w:t>
      </w:r>
      <w:r w:rsidR="00465B40">
        <w:rPr>
          <w:color w:val="000000" w:themeColor="text1"/>
          <w:lang w:eastAsia="en-AU"/>
        </w:rPr>
        <w:t>s</w:t>
      </w:r>
      <w:r w:rsidR="004951CD">
        <w:rPr>
          <w:color w:val="000000" w:themeColor="text1"/>
          <w:lang w:eastAsia="en-AU"/>
        </w:rPr>
        <w:t>, being</w:t>
      </w:r>
      <w:r w:rsidR="00BB2C26">
        <w:rPr>
          <w:color w:val="000000" w:themeColor="text1"/>
          <w:lang w:eastAsia="en-AU"/>
        </w:rPr>
        <w:t xml:space="preserve"> the protection</w:t>
      </w:r>
      <w:r w:rsidR="004951CD">
        <w:rPr>
          <w:color w:val="000000" w:themeColor="text1"/>
          <w:lang w:eastAsia="en-AU"/>
        </w:rPr>
        <w:t xml:space="preserve"> of the interests of customers as regards the supply of specified carriage services and</w:t>
      </w:r>
      <w:r w:rsidR="00916BC0">
        <w:rPr>
          <w:color w:val="000000" w:themeColor="text1"/>
          <w:lang w:eastAsia="en-AU"/>
        </w:rPr>
        <w:t xml:space="preserve"> their</w:t>
      </w:r>
      <w:r w:rsidR="004951CD">
        <w:rPr>
          <w:color w:val="000000" w:themeColor="text1"/>
          <w:lang w:eastAsia="en-AU"/>
        </w:rPr>
        <w:t xml:space="preserve"> access to emergency call services and, by extension, the protection of public health.</w:t>
      </w:r>
    </w:p>
    <w:p w14:paraId="4BA3EB8D" w14:textId="49914A25" w:rsidR="00A7337D" w:rsidRDefault="002F66EE">
      <w:pPr>
        <w:jc w:val="left"/>
        <w:rPr>
          <w:lang w:val="en-US"/>
        </w:rPr>
      </w:pPr>
      <w:r>
        <w:rPr>
          <w:lang w:val="en-US"/>
        </w:rPr>
        <w:t xml:space="preserve">The intent of </w:t>
      </w:r>
      <w:r w:rsidR="00BE5DEF">
        <w:rPr>
          <w:lang w:val="en-US"/>
        </w:rPr>
        <w:t>the rules</w:t>
      </w:r>
      <w:r>
        <w:rPr>
          <w:lang w:val="en-US"/>
        </w:rPr>
        <w:t xml:space="preserve"> is to ensure that</w:t>
      </w:r>
      <w:r w:rsidR="00BE5DEF">
        <w:rPr>
          <w:lang w:val="en-US"/>
        </w:rPr>
        <w:t xml:space="preserve"> customers</w:t>
      </w:r>
      <w:r w:rsidR="00CD091D">
        <w:rPr>
          <w:lang w:val="en-US"/>
        </w:rPr>
        <w:t xml:space="preserve"> are given</w:t>
      </w:r>
      <w:r w:rsidR="00BE5DEF">
        <w:rPr>
          <w:lang w:val="en-US"/>
        </w:rPr>
        <w:t xml:space="preserve"> information</w:t>
      </w:r>
      <w:r w:rsidR="00CD091D">
        <w:rPr>
          <w:lang w:val="en-US"/>
        </w:rPr>
        <w:t xml:space="preserve"> in a way</w:t>
      </w:r>
      <w:r w:rsidR="00BE5DEF">
        <w:rPr>
          <w:lang w:val="en-US"/>
        </w:rPr>
        <w:t xml:space="preserve"> that will enable them to </w:t>
      </w:r>
      <w:r w:rsidR="00CD091D">
        <w:rPr>
          <w:lang w:val="en-US"/>
        </w:rPr>
        <w:t>fully appreciate</w:t>
      </w:r>
      <w:r w:rsidR="00BE5DEF">
        <w:rPr>
          <w:lang w:val="en-US"/>
        </w:rPr>
        <w:t xml:space="preserve"> the consequences of having or not hav</w:t>
      </w:r>
      <w:r w:rsidR="008644C1">
        <w:rPr>
          <w:lang w:val="en-US"/>
        </w:rPr>
        <w:t>ing</w:t>
      </w:r>
      <w:r w:rsidR="00BE5DEF">
        <w:rPr>
          <w:lang w:val="en-US"/>
        </w:rPr>
        <w:t xml:space="preserve"> a backup power service supplied and to take appropriate measures to safeguard their access to emergency call services.  </w:t>
      </w:r>
      <w:r w:rsidR="00146957">
        <w:rPr>
          <w:lang w:val="en-US"/>
        </w:rPr>
        <w:t xml:space="preserve">Those measures </w:t>
      </w:r>
      <w:r w:rsidR="00F0677A">
        <w:rPr>
          <w:lang w:val="en-US"/>
        </w:rPr>
        <w:t xml:space="preserve">may </w:t>
      </w:r>
      <w:r w:rsidR="001379AF">
        <w:rPr>
          <w:lang w:val="en-US"/>
        </w:rPr>
        <w:t>include having</w:t>
      </w:r>
      <w:r>
        <w:rPr>
          <w:lang w:val="en-US"/>
        </w:rPr>
        <w:t xml:space="preserve"> a backup p</w:t>
      </w:r>
      <w:r w:rsidR="001379AF">
        <w:rPr>
          <w:lang w:val="en-US"/>
        </w:rPr>
        <w:t>ower service supplied</w:t>
      </w:r>
      <w:r w:rsidR="000249EB">
        <w:rPr>
          <w:lang w:val="en-US"/>
        </w:rPr>
        <w:t xml:space="preserve"> by means of a BPSU</w:t>
      </w:r>
      <w:r w:rsidR="00146957">
        <w:rPr>
          <w:lang w:val="en-US"/>
        </w:rPr>
        <w:t xml:space="preserve"> </w:t>
      </w:r>
      <w:r w:rsidR="00935EF9">
        <w:rPr>
          <w:lang w:val="en-US"/>
        </w:rPr>
        <w:t>with</w:t>
      </w:r>
      <w:r w:rsidR="00146957">
        <w:rPr>
          <w:lang w:val="en-US"/>
        </w:rPr>
        <w:t xml:space="preserve"> </w:t>
      </w:r>
      <w:r w:rsidR="001379AF">
        <w:rPr>
          <w:lang w:val="en-US"/>
        </w:rPr>
        <w:t>a telephone</w:t>
      </w:r>
      <w:r w:rsidR="00FA22F9">
        <w:rPr>
          <w:lang w:val="en-US"/>
        </w:rPr>
        <w:t xml:space="preserve"> device</w:t>
      </w:r>
      <w:r w:rsidR="000249EB">
        <w:rPr>
          <w:lang w:val="en-US"/>
        </w:rPr>
        <w:t xml:space="preserve"> </w:t>
      </w:r>
      <w:r w:rsidR="001379AF">
        <w:rPr>
          <w:lang w:val="en-US"/>
        </w:rPr>
        <w:t>that will operate during a power failure</w:t>
      </w:r>
      <w:r w:rsidR="00146957">
        <w:rPr>
          <w:lang w:val="en-US"/>
        </w:rPr>
        <w:t xml:space="preserve"> </w:t>
      </w:r>
      <w:r w:rsidR="000249EB">
        <w:rPr>
          <w:lang w:val="en-US"/>
        </w:rPr>
        <w:t>or having a fully charged mobile telephone, or both</w:t>
      </w:r>
      <w:r w:rsidR="001379AF">
        <w:rPr>
          <w:lang w:val="en-US"/>
        </w:rPr>
        <w:t>.</w:t>
      </w:r>
    </w:p>
    <w:p w14:paraId="0B152894" w14:textId="7F50E3D2" w:rsidR="00EF6922" w:rsidRDefault="00124C66" w:rsidP="000265A3">
      <w:pPr>
        <w:jc w:val="left"/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Without the restriction</w:t>
      </w:r>
      <w:r w:rsidR="00CD091D">
        <w:rPr>
          <w:color w:val="000000" w:themeColor="text1"/>
          <w:lang w:eastAsia="en-AU"/>
        </w:rPr>
        <w:t xml:space="preserve"> on the way in which the information may be given</w:t>
      </w:r>
      <w:r w:rsidR="001D3331">
        <w:rPr>
          <w:color w:val="000000" w:themeColor="text1"/>
          <w:lang w:eastAsia="en-AU"/>
        </w:rPr>
        <w:t>,</w:t>
      </w:r>
      <w:r>
        <w:rPr>
          <w:color w:val="000000" w:themeColor="text1"/>
          <w:lang w:eastAsia="en-AU"/>
        </w:rPr>
        <w:t xml:space="preserve"> the noticeability and effectiveness of the informat</w:t>
      </w:r>
      <w:r w:rsidR="00C316FE">
        <w:rPr>
          <w:color w:val="000000" w:themeColor="text1"/>
          <w:lang w:eastAsia="en-AU"/>
        </w:rPr>
        <w:t xml:space="preserve">ion </w:t>
      </w:r>
      <w:r w:rsidR="003F22D1">
        <w:rPr>
          <w:color w:val="000000" w:themeColor="text1"/>
          <w:lang w:eastAsia="en-AU"/>
        </w:rPr>
        <w:t xml:space="preserve">may </w:t>
      </w:r>
      <w:r w:rsidR="00C316FE">
        <w:rPr>
          <w:color w:val="000000" w:themeColor="text1"/>
          <w:lang w:eastAsia="en-AU"/>
        </w:rPr>
        <w:t>be reduced</w:t>
      </w:r>
      <w:r w:rsidR="00EF6922">
        <w:rPr>
          <w:color w:val="000000" w:themeColor="text1"/>
          <w:lang w:eastAsia="en-AU"/>
        </w:rPr>
        <w:t>.  T</w:t>
      </w:r>
      <w:r w:rsidR="00CD091D">
        <w:rPr>
          <w:color w:val="000000" w:themeColor="text1"/>
          <w:lang w:eastAsia="en-AU"/>
        </w:rPr>
        <w:t xml:space="preserve">he information </w:t>
      </w:r>
      <w:r w:rsidR="00EF6922">
        <w:rPr>
          <w:color w:val="000000" w:themeColor="text1"/>
          <w:lang w:eastAsia="en-AU"/>
        </w:rPr>
        <w:t>may be</w:t>
      </w:r>
      <w:r w:rsidR="00CD091D">
        <w:rPr>
          <w:color w:val="000000" w:themeColor="text1"/>
          <w:lang w:eastAsia="en-AU"/>
        </w:rPr>
        <w:t xml:space="preserve"> subsumed with</w:t>
      </w:r>
      <w:r w:rsidR="00AC0759">
        <w:rPr>
          <w:color w:val="000000" w:themeColor="text1"/>
          <w:lang w:eastAsia="en-AU"/>
        </w:rPr>
        <w:t>in</w:t>
      </w:r>
      <w:r w:rsidR="00CD091D">
        <w:rPr>
          <w:color w:val="000000" w:themeColor="text1"/>
          <w:lang w:eastAsia="en-AU"/>
        </w:rPr>
        <w:t xml:space="preserve"> other information</w:t>
      </w:r>
      <w:r w:rsidR="00EF6922">
        <w:rPr>
          <w:color w:val="000000" w:themeColor="text1"/>
          <w:lang w:eastAsia="en-AU"/>
        </w:rPr>
        <w:t>,</w:t>
      </w:r>
      <w:r w:rsidR="00CD091D">
        <w:rPr>
          <w:color w:val="000000" w:themeColor="text1"/>
          <w:lang w:eastAsia="en-AU"/>
        </w:rPr>
        <w:t xml:space="preserve"> which is typically made available to them</w:t>
      </w:r>
      <w:r w:rsidR="00EF6922">
        <w:rPr>
          <w:color w:val="000000" w:themeColor="text1"/>
          <w:lang w:eastAsia="en-AU"/>
        </w:rPr>
        <w:t>,</w:t>
      </w:r>
      <w:r w:rsidR="00C316FE">
        <w:rPr>
          <w:color w:val="000000" w:themeColor="text1"/>
          <w:lang w:eastAsia="en-AU"/>
        </w:rPr>
        <w:t xml:space="preserve"> and </w:t>
      </w:r>
      <w:r>
        <w:rPr>
          <w:color w:val="000000" w:themeColor="text1"/>
          <w:lang w:eastAsia="en-AU"/>
        </w:rPr>
        <w:t>customer</w:t>
      </w:r>
      <w:r w:rsidR="00C316FE">
        <w:rPr>
          <w:color w:val="000000" w:themeColor="text1"/>
          <w:lang w:eastAsia="en-AU"/>
        </w:rPr>
        <w:t>s</w:t>
      </w:r>
      <w:r>
        <w:rPr>
          <w:color w:val="000000" w:themeColor="text1"/>
          <w:lang w:eastAsia="en-AU"/>
        </w:rPr>
        <w:t xml:space="preserve"> </w:t>
      </w:r>
      <w:r w:rsidR="00C316FE">
        <w:rPr>
          <w:color w:val="000000" w:themeColor="text1"/>
          <w:lang w:eastAsia="en-AU"/>
        </w:rPr>
        <w:t>may make poorly-informed decision</w:t>
      </w:r>
      <w:r w:rsidR="00CC0FBA">
        <w:rPr>
          <w:color w:val="000000" w:themeColor="text1"/>
          <w:lang w:eastAsia="en-AU"/>
        </w:rPr>
        <w:t>s</w:t>
      </w:r>
      <w:r w:rsidR="00DD5A98">
        <w:rPr>
          <w:color w:val="000000" w:themeColor="text1"/>
          <w:lang w:eastAsia="en-AU"/>
        </w:rPr>
        <w:t xml:space="preserve"> about whether </w:t>
      </w:r>
      <w:r w:rsidR="004943F1">
        <w:rPr>
          <w:color w:val="000000" w:themeColor="text1"/>
          <w:lang w:eastAsia="en-AU"/>
        </w:rPr>
        <w:t xml:space="preserve">or not </w:t>
      </w:r>
      <w:r w:rsidR="00DD5A98">
        <w:rPr>
          <w:color w:val="000000" w:themeColor="text1"/>
          <w:lang w:eastAsia="en-AU"/>
        </w:rPr>
        <w:t>to have a backup power service</w:t>
      </w:r>
      <w:r w:rsidR="004943F1">
        <w:rPr>
          <w:color w:val="000000" w:themeColor="text1"/>
          <w:lang w:eastAsia="en-AU"/>
        </w:rPr>
        <w:t xml:space="preserve"> supplied</w:t>
      </w:r>
      <w:r w:rsidR="00CC0FBA">
        <w:rPr>
          <w:color w:val="000000" w:themeColor="text1"/>
          <w:lang w:eastAsia="en-AU"/>
        </w:rPr>
        <w:t>.</w:t>
      </w:r>
      <w:r w:rsidR="002F559C">
        <w:rPr>
          <w:color w:val="000000" w:themeColor="text1"/>
          <w:lang w:eastAsia="en-AU"/>
        </w:rPr>
        <w:t xml:space="preserve"> </w:t>
      </w:r>
      <w:r w:rsidR="001379AF">
        <w:rPr>
          <w:color w:val="000000" w:themeColor="text1"/>
          <w:lang w:eastAsia="en-AU"/>
        </w:rPr>
        <w:t xml:space="preserve"> </w:t>
      </w:r>
    </w:p>
    <w:p w14:paraId="6A9063CD" w14:textId="1270A978" w:rsidR="007C3F34" w:rsidRDefault="00CC0FBA" w:rsidP="000265A3">
      <w:pPr>
        <w:jc w:val="left"/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 xml:space="preserve">Customers </w:t>
      </w:r>
      <w:r w:rsidR="00EF6922">
        <w:rPr>
          <w:color w:val="000000" w:themeColor="text1"/>
          <w:lang w:eastAsia="en-AU"/>
        </w:rPr>
        <w:t xml:space="preserve">who are not properly informed </w:t>
      </w:r>
      <w:r>
        <w:rPr>
          <w:color w:val="000000" w:themeColor="text1"/>
          <w:lang w:eastAsia="en-AU"/>
        </w:rPr>
        <w:t xml:space="preserve">may </w:t>
      </w:r>
      <w:r w:rsidR="002F559C">
        <w:rPr>
          <w:color w:val="000000" w:themeColor="text1"/>
          <w:lang w:eastAsia="en-AU"/>
        </w:rPr>
        <w:t>fail to appreciate that</w:t>
      </w:r>
      <w:r w:rsidR="00AF03B1">
        <w:rPr>
          <w:color w:val="000000" w:themeColor="text1"/>
          <w:lang w:eastAsia="en-AU"/>
        </w:rPr>
        <w:t xml:space="preserve"> they will be </w:t>
      </w:r>
      <w:r w:rsidR="00C316FE">
        <w:rPr>
          <w:color w:val="000000" w:themeColor="text1"/>
          <w:lang w:eastAsia="en-AU"/>
        </w:rPr>
        <w:t xml:space="preserve">unable to use </w:t>
      </w:r>
      <w:r w:rsidR="00AF03B1">
        <w:rPr>
          <w:color w:val="000000" w:themeColor="text1"/>
          <w:lang w:eastAsia="en-AU"/>
        </w:rPr>
        <w:t>the</w:t>
      </w:r>
      <w:r w:rsidR="00DD5A98">
        <w:rPr>
          <w:color w:val="000000" w:themeColor="text1"/>
          <w:lang w:eastAsia="en-AU"/>
        </w:rPr>
        <w:t>ir</w:t>
      </w:r>
      <w:r>
        <w:rPr>
          <w:color w:val="000000" w:themeColor="text1"/>
          <w:lang w:eastAsia="en-AU"/>
        </w:rPr>
        <w:t xml:space="preserve"> </w:t>
      </w:r>
      <w:r w:rsidR="00C316FE">
        <w:rPr>
          <w:color w:val="000000" w:themeColor="text1"/>
          <w:lang w:eastAsia="en-AU"/>
        </w:rPr>
        <w:t>specified carriage service to make</w:t>
      </w:r>
      <w:r w:rsidR="001379AF">
        <w:rPr>
          <w:color w:val="000000" w:themeColor="text1"/>
          <w:lang w:eastAsia="en-AU"/>
        </w:rPr>
        <w:t xml:space="preserve"> or receive</w:t>
      </w:r>
      <w:r w:rsidR="00C316FE">
        <w:rPr>
          <w:color w:val="000000" w:themeColor="text1"/>
          <w:lang w:eastAsia="en-AU"/>
        </w:rPr>
        <w:t xml:space="preserve"> a</w:t>
      </w:r>
      <w:r w:rsidR="004943F1">
        <w:rPr>
          <w:color w:val="000000" w:themeColor="text1"/>
          <w:lang w:eastAsia="en-AU"/>
        </w:rPr>
        <w:t>ny</w:t>
      </w:r>
      <w:r w:rsidR="00C316FE">
        <w:rPr>
          <w:color w:val="000000" w:themeColor="text1"/>
          <w:lang w:eastAsia="en-AU"/>
        </w:rPr>
        <w:t xml:space="preserve"> call</w:t>
      </w:r>
      <w:r w:rsidR="004943F1">
        <w:rPr>
          <w:color w:val="000000" w:themeColor="text1"/>
          <w:lang w:eastAsia="en-AU"/>
        </w:rPr>
        <w:t>s</w:t>
      </w:r>
      <w:r w:rsidR="001379AF">
        <w:rPr>
          <w:color w:val="000000" w:themeColor="text1"/>
          <w:lang w:eastAsia="en-AU"/>
        </w:rPr>
        <w:t xml:space="preserve"> during a power failure</w:t>
      </w:r>
      <w:r w:rsidR="004943F1">
        <w:rPr>
          <w:color w:val="000000" w:themeColor="text1"/>
          <w:lang w:eastAsia="en-AU"/>
        </w:rPr>
        <w:t xml:space="preserve"> (including </w:t>
      </w:r>
      <w:r w:rsidR="001379AF">
        <w:rPr>
          <w:color w:val="000000" w:themeColor="text1"/>
          <w:lang w:eastAsia="en-AU"/>
        </w:rPr>
        <w:t xml:space="preserve">any </w:t>
      </w:r>
      <w:r w:rsidR="004943F1">
        <w:rPr>
          <w:color w:val="000000" w:themeColor="text1"/>
          <w:lang w:eastAsia="en-AU"/>
        </w:rPr>
        <w:t>calls</w:t>
      </w:r>
      <w:r w:rsidR="00C316FE">
        <w:rPr>
          <w:color w:val="000000" w:themeColor="text1"/>
          <w:lang w:eastAsia="en-AU"/>
        </w:rPr>
        <w:t xml:space="preserve"> to </w:t>
      </w:r>
      <w:r w:rsidR="001379AF">
        <w:rPr>
          <w:color w:val="000000" w:themeColor="text1"/>
          <w:lang w:eastAsia="en-AU"/>
        </w:rPr>
        <w:t>Triple Zero</w:t>
      </w:r>
      <w:r w:rsidR="004943F1">
        <w:rPr>
          <w:color w:val="000000" w:themeColor="text1"/>
          <w:lang w:eastAsia="en-AU"/>
        </w:rPr>
        <w:t>)</w:t>
      </w:r>
      <w:r w:rsidR="00783CB4">
        <w:rPr>
          <w:color w:val="000000" w:themeColor="text1"/>
          <w:lang w:eastAsia="en-AU"/>
        </w:rPr>
        <w:t xml:space="preserve"> if</w:t>
      </w:r>
      <w:r w:rsidR="007C3F34">
        <w:rPr>
          <w:color w:val="000000" w:themeColor="text1"/>
          <w:lang w:eastAsia="en-AU"/>
        </w:rPr>
        <w:t>:</w:t>
      </w:r>
    </w:p>
    <w:p w14:paraId="405198AC" w14:textId="77777777" w:rsidR="007C3F34" w:rsidRPr="000265A3" w:rsidRDefault="00783CB4" w:rsidP="000265A3">
      <w:pPr>
        <w:pStyle w:val="ListParagraph"/>
        <w:numPr>
          <w:ilvl w:val="0"/>
          <w:numId w:val="46"/>
        </w:numPr>
        <w:jc w:val="left"/>
        <w:rPr>
          <w:color w:val="000000" w:themeColor="text1"/>
          <w:lang w:eastAsia="en-AU"/>
        </w:rPr>
      </w:pPr>
      <w:r w:rsidRPr="000265A3">
        <w:rPr>
          <w:color w:val="000000" w:themeColor="text1"/>
          <w:lang w:eastAsia="en-AU"/>
        </w:rPr>
        <w:t>they do not have a backup power service</w:t>
      </w:r>
      <w:r w:rsidR="007C3F34" w:rsidRPr="000265A3">
        <w:rPr>
          <w:color w:val="000000" w:themeColor="text1"/>
          <w:lang w:eastAsia="en-AU"/>
        </w:rPr>
        <w:t>; or</w:t>
      </w:r>
    </w:p>
    <w:p w14:paraId="155AD93A" w14:textId="77777777" w:rsidR="007C3F34" w:rsidRPr="000265A3" w:rsidRDefault="007C3F34" w:rsidP="000265A3">
      <w:pPr>
        <w:pStyle w:val="ListParagraph"/>
        <w:numPr>
          <w:ilvl w:val="0"/>
          <w:numId w:val="46"/>
        </w:numPr>
        <w:jc w:val="left"/>
        <w:rPr>
          <w:color w:val="000000" w:themeColor="text1"/>
          <w:lang w:eastAsia="en-AU"/>
        </w:rPr>
      </w:pPr>
      <w:r w:rsidRPr="000265A3">
        <w:rPr>
          <w:color w:val="000000" w:themeColor="text1"/>
          <w:lang w:eastAsia="en-AU"/>
        </w:rPr>
        <w:t>(</w:t>
      </w:r>
      <w:proofErr w:type="gramStart"/>
      <w:r w:rsidRPr="000265A3">
        <w:rPr>
          <w:color w:val="000000" w:themeColor="text1"/>
          <w:lang w:eastAsia="en-AU"/>
        </w:rPr>
        <w:t>even</w:t>
      </w:r>
      <w:proofErr w:type="gramEnd"/>
      <w:r w:rsidRPr="000265A3">
        <w:rPr>
          <w:color w:val="000000" w:themeColor="text1"/>
          <w:lang w:eastAsia="en-AU"/>
        </w:rPr>
        <w:t xml:space="preserve"> if they do have a backup power service)</w:t>
      </w:r>
      <w:r w:rsidR="00783CB4" w:rsidRPr="000265A3">
        <w:rPr>
          <w:color w:val="000000" w:themeColor="text1"/>
          <w:lang w:eastAsia="en-AU"/>
        </w:rPr>
        <w:t xml:space="preserve"> </w:t>
      </w:r>
      <w:r w:rsidRPr="000265A3">
        <w:rPr>
          <w:color w:val="000000" w:themeColor="text1"/>
          <w:lang w:eastAsia="en-AU"/>
        </w:rPr>
        <w:t xml:space="preserve">they have </w:t>
      </w:r>
      <w:r w:rsidR="001D3331">
        <w:rPr>
          <w:color w:val="000000" w:themeColor="text1"/>
          <w:lang w:eastAsia="en-AU"/>
        </w:rPr>
        <w:t xml:space="preserve">a </w:t>
      </w:r>
      <w:r w:rsidR="00783CB4" w:rsidRPr="000265A3">
        <w:rPr>
          <w:color w:val="000000" w:themeColor="text1"/>
          <w:lang w:eastAsia="en-AU"/>
        </w:rPr>
        <w:t>telephone</w:t>
      </w:r>
      <w:r w:rsidRPr="000265A3">
        <w:rPr>
          <w:color w:val="000000" w:themeColor="text1"/>
          <w:lang w:eastAsia="en-AU"/>
        </w:rPr>
        <w:t xml:space="preserve"> </w:t>
      </w:r>
      <w:r w:rsidR="0091117B">
        <w:rPr>
          <w:color w:val="000000" w:themeColor="text1"/>
          <w:lang w:eastAsia="en-AU"/>
        </w:rPr>
        <w:t xml:space="preserve">device </w:t>
      </w:r>
      <w:r w:rsidRPr="000265A3">
        <w:rPr>
          <w:color w:val="000000" w:themeColor="text1"/>
          <w:lang w:eastAsia="en-AU"/>
        </w:rPr>
        <w:t>tha</w:t>
      </w:r>
      <w:r w:rsidR="001D3331">
        <w:rPr>
          <w:color w:val="000000" w:themeColor="text1"/>
          <w:lang w:eastAsia="en-AU"/>
        </w:rPr>
        <w:t>t is dependent on mains power</w:t>
      </w:r>
      <w:r w:rsidR="0091117B">
        <w:rPr>
          <w:color w:val="000000" w:themeColor="text1"/>
          <w:lang w:eastAsia="en-AU"/>
        </w:rPr>
        <w:t>,</w:t>
      </w:r>
      <w:r w:rsidR="001D3331">
        <w:rPr>
          <w:color w:val="000000" w:themeColor="text1"/>
          <w:lang w:eastAsia="en-AU"/>
        </w:rPr>
        <w:t xml:space="preserve"> but</w:t>
      </w:r>
      <w:r w:rsidRPr="000265A3">
        <w:rPr>
          <w:color w:val="000000" w:themeColor="text1"/>
          <w:lang w:eastAsia="en-AU"/>
        </w:rPr>
        <w:t xml:space="preserve"> </w:t>
      </w:r>
      <w:r w:rsidR="00783CB4" w:rsidRPr="000265A3">
        <w:rPr>
          <w:color w:val="000000" w:themeColor="text1"/>
          <w:lang w:eastAsia="en-AU"/>
        </w:rPr>
        <w:t>do</w:t>
      </w:r>
      <w:r w:rsidR="001D3331">
        <w:rPr>
          <w:color w:val="000000" w:themeColor="text1"/>
          <w:lang w:eastAsia="en-AU"/>
        </w:rPr>
        <w:t>es</w:t>
      </w:r>
      <w:r w:rsidR="00783CB4" w:rsidRPr="000265A3">
        <w:rPr>
          <w:color w:val="000000" w:themeColor="text1"/>
          <w:lang w:eastAsia="en-AU"/>
        </w:rPr>
        <w:t xml:space="preserve"> not have </w:t>
      </w:r>
      <w:r w:rsidR="001D3331">
        <w:rPr>
          <w:color w:val="000000" w:themeColor="text1"/>
          <w:lang w:eastAsia="en-AU"/>
        </w:rPr>
        <w:t>its</w:t>
      </w:r>
      <w:r w:rsidR="00783CB4" w:rsidRPr="000265A3">
        <w:rPr>
          <w:color w:val="000000" w:themeColor="text1"/>
          <w:lang w:eastAsia="en-AU"/>
        </w:rPr>
        <w:t xml:space="preserve"> own backup power supply</w:t>
      </w:r>
      <w:r w:rsidR="00C316FE" w:rsidRPr="000265A3">
        <w:rPr>
          <w:color w:val="000000" w:themeColor="text1"/>
          <w:lang w:eastAsia="en-AU"/>
        </w:rPr>
        <w:t>.</w:t>
      </w:r>
      <w:r w:rsidR="004943F1" w:rsidRPr="000265A3">
        <w:rPr>
          <w:color w:val="000000" w:themeColor="text1"/>
          <w:lang w:eastAsia="en-AU"/>
        </w:rPr>
        <w:t xml:space="preserve">  </w:t>
      </w:r>
    </w:p>
    <w:p w14:paraId="594C3845" w14:textId="218AEFA3" w:rsidR="00A7337D" w:rsidRDefault="004943F1" w:rsidP="000265A3">
      <w:pPr>
        <w:jc w:val="left"/>
        <w:rPr>
          <w:color w:val="000000" w:themeColor="text1"/>
          <w:lang w:eastAsia="en-AU"/>
        </w:rPr>
      </w:pPr>
      <w:r>
        <w:rPr>
          <w:color w:val="000000" w:themeColor="text1"/>
          <w:lang w:eastAsia="en-AU"/>
        </w:rPr>
        <w:t>Access to emergency call services is a vital public protection</w:t>
      </w:r>
      <w:r w:rsidR="00703DDC">
        <w:rPr>
          <w:color w:val="000000" w:themeColor="text1"/>
          <w:lang w:eastAsia="en-AU"/>
        </w:rPr>
        <w:t xml:space="preserve"> which the Determination seeks to safeguard</w:t>
      </w:r>
      <w:r>
        <w:rPr>
          <w:color w:val="000000" w:themeColor="text1"/>
          <w:lang w:eastAsia="en-AU"/>
        </w:rPr>
        <w:t>.</w:t>
      </w:r>
      <w:r w:rsidR="002F559C">
        <w:rPr>
          <w:color w:val="000000" w:themeColor="text1"/>
          <w:lang w:eastAsia="en-AU"/>
        </w:rPr>
        <w:t xml:space="preserve">  A lack of immediate access to an emergency call service can have very serious consequences</w:t>
      </w:r>
      <w:r w:rsidR="00124C66">
        <w:rPr>
          <w:color w:val="000000" w:themeColor="text1"/>
          <w:lang w:eastAsia="en-AU"/>
        </w:rPr>
        <w:t xml:space="preserve"> </w:t>
      </w:r>
      <w:r w:rsidR="00B94D90">
        <w:rPr>
          <w:color w:val="000000" w:themeColor="text1"/>
          <w:lang w:eastAsia="en-AU"/>
        </w:rPr>
        <w:t>in the event that there is a health or safety issue requiring urgent attention.</w:t>
      </w:r>
      <w:r w:rsidR="008464F9">
        <w:rPr>
          <w:color w:val="000000" w:themeColor="text1"/>
          <w:lang w:eastAsia="en-AU"/>
        </w:rPr>
        <w:t xml:space="preserve">  </w:t>
      </w:r>
      <w:r w:rsidR="004A795E">
        <w:rPr>
          <w:color w:val="000000" w:themeColor="text1"/>
          <w:lang w:eastAsia="en-AU"/>
        </w:rPr>
        <w:t xml:space="preserve">The </w:t>
      </w:r>
      <w:r w:rsidR="00EF6922">
        <w:rPr>
          <w:color w:val="000000" w:themeColor="text1"/>
          <w:lang w:eastAsia="en-AU"/>
        </w:rPr>
        <w:t>rules are</w:t>
      </w:r>
      <w:r w:rsidR="00465B40">
        <w:rPr>
          <w:color w:val="000000" w:themeColor="text1"/>
          <w:lang w:eastAsia="en-AU"/>
        </w:rPr>
        <w:t xml:space="preserve"> </w:t>
      </w:r>
      <w:r w:rsidR="000C7B24">
        <w:rPr>
          <w:color w:val="000000" w:themeColor="text1"/>
          <w:lang w:eastAsia="en-AU"/>
        </w:rPr>
        <w:t>reasonable, necessary and proportionate</w:t>
      </w:r>
      <w:r w:rsidR="00E44A4E">
        <w:rPr>
          <w:color w:val="000000" w:themeColor="text1"/>
          <w:lang w:eastAsia="en-AU"/>
        </w:rPr>
        <w:t xml:space="preserve"> as </w:t>
      </w:r>
      <w:r w:rsidR="008644C1">
        <w:rPr>
          <w:color w:val="000000" w:themeColor="text1"/>
          <w:lang w:eastAsia="en-AU"/>
        </w:rPr>
        <w:t>they are</w:t>
      </w:r>
      <w:r w:rsidR="00E44A4E">
        <w:rPr>
          <w:color w:val="000000" w:themeColor="text1"/>
          <w:lang w:eastAsia="en-AU"/>
        </w:rPr>
        <w:t xml:space="preserve"> aimed at</w:t>
      </w:r>
      <w:r w:rsidR="003B4EA5">
        <w:rPr>
          <w:color w:val="000000" w:themeColor="text1"/>
          <w:lang w:eastAsia="en-AU"/>
        </w:rPr>
        <w:t xml:space="preserve"> </w:t>
      </w:r>
      <w:r w:rsidR="00645DCA">
        <w:rPr>
          <w:color w:val="000000" w:themeColor="text1"/>
          <w:lang w:eastAsia="en-AU"/>
        </w:rPr>
        <w:t>protecting</w:t>
      </w:r>
      <w:r w:rsidR="00E44A4E">
        <w:rPr>
          <w:color w:val="000000" w:themeColor="text1"/>
          <w:lang w:eastAsia="en-AU"/>
        </w:rPr>
        <w:t xml:space="preserve"> the interests of customers</w:t>
      </w:r>
      <w:r w:rsidR="00645DCA">
        <w:rPr>
          <w:color w:val="000000" w:themeColor="text1"/>
          <w:lang w:eastAsia="en-AU"/>
        </w:rPr>
        <w:t xml:space="preserve"> </w:t>
      </w:r>
      <w:r w:rsidR="003362B5">
        <w:rPr>
          <w:color w:val="000000" w:themeColor="text1"/>
          <w:lang w:eastAsia="en-AU"/>
        </w:rPr>
        <w:t>and mitigating</w:t>
      </w:r>
      <w:r w:rsidR="003B4EA5">
        <w:rPr>
          <w:color w:val="000000" w:themeColor="text1"/>
          <w:lang w:eastAsia="en-AU"/>
        </w:rPr>
        <w:t xml:space="preserve"> </w:t>
      </w:r>
      <w:r w:rsidR="00645DCA">
        <w:rPr>
          <w:color w:val="000000" w:themeColor="text1"/>
          <w:lang w:eastAsia="en-AU"/>
        </w:rPr>
        <w:t xml:space="preserve">any </w:t>
      </w:r>
      <w:r w:rsidR="003B4EA5">
        <w:rPr>
          <w:color w:val="000000" w:themeColor="text1"/>
          <w:lang w:eastAsia="en-AU"/>
        </w:rPr>
        <w:t>risks to health and safety</w:t>
      </w:r>
      <w:r w:rsidR="00645DCA">
        <w:rPr>
          <w:color w:val="000000" w:themeColor="text1"/>
          <w:lang w:eastAsia="en-AU"/>
        </w:rPr>
        <w:t xml:space="preserve"> which </w:t>
      </w:r>
      <w:r w:rsidR="003362B5">
        <w:rPr>
          <w:color w:val="000000" w:themeColor="text1"/>
          <w:lang w:eastAsia="en-AU"/>
        </w:rPr>
        <w:t xml:space="preserve">could </w:t>
      </w:r>
      <w:r w:rsidR="00645DCA">
        <w:rPr>
          <w:color w:val="000000" w:themeColor="text1"/>
          <w:lang w:eastAsia="en-AU"/>
        </w:rPr>
        <w:t>arise</w:t>
      </w:r>
      <w:r w:rsidR="007B3027">
        <w:rPr>
          <w:color w:val="000000" w:themeColor="text1"/>
          <w:lang w:eastAsia="en-AU"/>
        </w:rPr>
        <w:t xml:space="preserve"> if </w:t>
      </w:r>
      <w:r w:rsidR="00AC0759">
        <w:rPr>
          <w:color w:val="000000" w:themeColor="text1"/>
          <w:lang w:eastAsia="en-AU"/>
        </w:rPr>
        <w:t>those customers</w:t>
      </w:r>
      <w:r w:rsidR="00EF6922">
        <w:rPr>
          <w:color w:val="000000" w:themeColor="text1"/>
          <w:lang w:eastAsia="en-AU"/>
        </w:rPr>
        <w:t xml:space="preserve"> are not given</w:t>
      </w:r>
      <w:r w:rsidR="008644C1">
        <w:rPr>
          <w:color w:val="000000" w:themeColor="text1"/>
          <w:lang w:eastAsia="en-AU"/>
        </w:rPr>
        <w:t>,</w:t>
      </w:r>
      <w:r w:rsidR="00EF6922">
        <w:rPr>
          <w:color w:val="000000" w:themeColor="text1"/>
          <w:lang w:eastAsia="en-AU"/>
        </w:rPr>
        <w:t xml:space="preserve"> or</w:t>
      </w:r>
      <w:r w:rsidR="007B3027">
        <w:rPr>
          <w:color w:val="000000" w:themeColor="text1"/>
          <w:lang w:eastAsia="en-AU"/>
        </w:rPr>
        <w:t xml:space="preserve"> do no properly consider</w:t>
      </w:r>
      <w:r w:rsidR="008644C1">
        <w:rPr>
          <w:color w:val="000000" w:themeColor="text1"/>
          <w:lang w:eastAsia="en-AU"/>
        </w:rPr>
        <w:t>,</w:t>
      </w:r>
      <w:r w:rsidR="00873F36">
        <w:rPr>
          <w:color w:val="000000" w:themeColor="text1"/>
          <w:lang w:eastAsia="en-AU"/>
        </w:rPr>
        <w:t xml:space="preserve"> the </w:t>
      </w:r>
      <w:r w:rsidR="008644C1">
        <w:rPr>
          <w:color w:val="000000" w:themeColor="text1"/>
          <w:lang w:eastAsia="en-AU"/>
        </w:rPr>
        <w:t xml:space="preserve">relevant </w:t>
      </w:r>
      <w:r w:rsidR="00873F36">
        <w:rPr>
          <w:color w:val="000000" w:themeColor="text1"/>
          <w:lang w:eastAsia="en-AU"/>
        </w:rPr>
        <w:t>information</w:t>
      </w:r>
      <w:r w:rsidR="003B4EA5">
        <w:rPr>
          <w:color w:val="000000" w:themeColor="text1"/>
          <w:lang w:eastAsia="en-AU"/>
        </w:rPr>
        <w:t>.</w:t>
      </w:r>
      <w:r w:rsidR="008464F9">
        <w:rPr>
          <w:color w:val="000000" w:themeColor="text1"/>
          <w:lang w:eastAsia="en-AU"/>
        </w:rPr>
        <w:t xml:space="preserve"> </w:t>
      </w:r>
    </w:p>
    <w:p w14:paraId="5C17A3BA" w14:textId="77777777" w:rsidR="00125C6E" w:rsidRPr="000265A3" w:rsidRDefault="00125C6E" w:rsidP="000265A3">
      <w:pPr>
        <w:jc w:val="left"/>
        <w:rPr>
          <w:b/>
          <w:color w:val="000000" w:themeColor="text1"/>
          <w:sz w:val="26"/>
          <w:szCs w:val="26"/>
        </w:rPr>
      </w:pPr>
      <w:r w:rsidRPr="000265A3">
        <w:rPr>
          <w:b/>
          <w:color w:val="000000" w:themeColor="text1"/>
          <w:sz w:val="26"/>
          <w:szCs w:val="26"/>
        </w:rPr>
        <w:t xml:space="preserve">Conclusion </w:t>
      </w:r>
    </w:p>
    <w:p w14:paraId="11F10FA8" w14:textId="77777777" w:rsidR="00125C6E" w:rsidRPr="004604B1" w:rsidRDefault="00125C6E" w:rsidP="000265A3">
      <w:pPr>
        <w:jc w:val="left"/>
        <w:rPr>
          <w:color w:val="000000" w:themeColor="text1"/>
        </w:rPr>
      </w:pPr>
      <w:r w:rsidRPr="00776264">
        <w:rPr>
          <w:color w:val="000000" w:themeColor="text1"/>
          <w:lang w:eastAsia="en-AU"/>
        </w:rPr>
        <w:t xml:space="preserve">This Legislative Instrument is compatible with human rights. </w:t>
      </w:r>
      <w:r w:rsidR="009E4552">
        <w:rPr>
          <w:color w:val="000000" w:themeColor="text1"/>
          <w:lang w:eastAsia="en-AU"/>
        </w:rPr>
        <w:t>Any limit</w:t>
      </w:r>
      <w:r w:rsidRPr="00776264">
        <w:rPr>
          <w:color w:val="000000" w:themeColor="text1"/>
          <w:lang w:eastAsia="en-AU"/>
        </w:rPr>
        <w:t xml:space="preserve"> o</w:t>
      </w:r>
      <w:r w:rsidR="008B7BCC">
        <w:rPr>
          <w:color w:val="000000" w:themeColor="text1"/>
          <w:lang w:eastAsia="en-AU"/>
        </w:rPr>
        <w:t>f</w:t>
      </w:r>
      <w:r w:rsidR="009E4552">
        <w:rPr>
          <w:color w:val="000000" w:themeColor="text1"/>
          <w:lang w:eastAsia="en-AU"/>
        </w:rPr>
        <w:t xml:space="preserve"> the</w:t>
      </w:r>
      <w:r w:rsidR="00B71705">
        <w:rPr>
          <w:color w:val="000000" w:themeColor="text1"/>
          <w:lang w:eastAsia="en-AU"/>
        </w:rPr>
        <w:t xml:space="preserve"> right to</w:t>
      </w:r>
      <w:r w:rsidRPr="00776264">
        <w:rPr>
          <w:color w:val="000000" w:themeColor="text1"/>
          <w:lang w:eastAsia="en-AU"/>
        </w:rPr>
        <w:t xml:space="preserve"> freedom of expression </w:t>
      </w:r>
      <w:r w:rsidR="009E4552">
        <w:rPr>
          <w:color w:val="000000" w:themeColor="text1"/>
          <w:lang w:eastAsia="en-AU"/>
        </w:rPr>
        <w:t>is</w:t>
      </w:r>
      <w:r w:rsidR="00B71705">
        <w:rPr>
          <w:color w:val="000000" w:themeColor="text1"/>
          <w:lang w:eastAsia="en-AU"/>
        </w:rPr>
        <w:t xml:space="preserve"> authorised by law and</w:t>
      </w:r>
      <w:r w:rsidRPr="00776264">
        <w:rPr>
          <w:color w:val="000000" w:themeColor="text1"/>
          <w:lang w:eastAsia="en-AU"/>
        </w:rPr>
        <w:t xml:space="preserve"> reasonable, necessary and proportionate to give effect to legitimate objectives.</w:t>
      </w:r>
    </w:p>
    <w:p w14:paraId="598850B8" w14:textId="77777777" w:rsidR="00776264" w:rsidRPr="00776264" w:rsidRDefault="00776264" w:rsidP="00434F24">
      <w:pPr>
        <w:rPr>
          <w:color w:val="000000" w:themeColor="text1"/>
        </w:rPr>
      </w:pPr>
    </w:p>
    <w:sectPr w:rsidR="00776264" w:rsidRPr="00776264" w:rsidSect="0066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EF7CF" w14:textId="77777777" w:rsidR="00EF396D" w:rsidRDefault="00EF396D" w:rsidP="00434F24">
      <w:r>
        <w:separator/>
      </w:r>
    </w:p>
  </w:endnote>
  <w:endnote w:type="continuationSeparator" w:id="0">
    <w:p w14:paraId="6748B757" w14:textId="77777777" w:rsidR="00EF396D" w:rsidRDefault="00EF396D" w:rsidP="0043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75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8"/>
    </w:tblGrid>
    <w:tr w:rsidR="002F66EE" w14:paraId="240C27F4" w14:textId="77777777" w:rsidTr="00AE1140">
      <w:tc>
        <w:tcPr>
          <w:tcW w:w="1508" w:type="dxa"/>
        </w:tcPr>
        <w:p w14:paraId="2DA4BDA5" w14:textId="77777777" w:rsidR="002F66EE" w:rsidRDefault="002F66EE" w:rsidP="00434F24">
          <w:pPr>
            <w:pStyle w:val="Footer"/>
          </w:pPr>
        </w:p>
      </w:tc>
    </w:tr>
  </w:tbl>
  <w:p w14:paraId="01657A49" w14:textId="77777777" w:rsidR="002F66EE" w:rsidRPr="00FB19E8" w:rsidRDefault="002F66EE" w:rsidP="00FB19E8">
    <w:pPr>
      <w:pStyle w:val="Footer"/>
      <w:jc w:val="right"/>
      <w:rPr>
        <w:sz w:val="20"/>
        <w:szCs w:val="20"/>
      </w:rPr>
    </w:pPr>
    <w:r w:rsidRPr="00FB19E8">
      <w:rPr>
        <w:sz w:val="20"/>
        <w:szCs w:val="20"/>
      </w:rPr>
      <w:t xml:space="preserve">Page </w:t>
    </w:r>
    <w:r w:rsidRPr="00FB19E8">
      <w:rPr>
        <w:sz w:val="20"/>
        <w:szCs w:val="20"/>
      </w:rPr>
      <w:fldChar w:fldCharType="begin"/>
    </w:r>
    <w:r w:rsidRPr="00FB19E8">
      <w:rPr>
        <w:sz w:val="20"/>
        <w:szCs w:val="20"/>
      </w:rPr>
      <w:instrText xml:space="preserve"> PAGE  \* Arabic  \* MERGEFORMAT </w:instrText>
    </w:r>
    <w:r w:rsidRPr="00FB19E8">
      <w:rPr>
        <w:sz w:val="20"/>
        <w:szCs w:val="20"/>
      </w:rPr>
      <w:fldChar w:fldCharType="separate"/>
    </w:r>
    <w:r w:rsidR="00EB6AFF">
      <w:rPr>
        <w:noProof/>
        <w:sz w:val="20"/>
        <w:szCs w:val="20"/>
      </w:rPr>
      <w:t>11</w:t>
    </w:r>
    <w:r w:rsidRPr="00FB19E8">
      <w:rPr>
        <w:sz w:val="20"/>
        <w:szCs w:val="20"/>
      </w:rPr>
      <w:fldChar w:fldCharType="end"/>
    </w:r>
    <w:r w:rsidRPr="00FB19E8">
      <w:rPr>
        <w:sz w:val="20"/>
        <w:szCs w:val="20"/>
      </w:rPr>
      <w:t xml:space="preserve"> of </w:t>
    </w:r>
    <w:fldSimple w:instr=" NUMPAGES  \* Arabic  \* MERGEFORMAT ">
      <w:r w:rsidR="00EB6AFF" w:rsidRPr="00EB6AFF">
        <w:rPr>
          <w:noProof/>
          <w:sz w:val="20"/>
          <w:szCs w:val="20"/>
        </w:rPr>
        <w:t>11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54133" w14:textId="77777777" w:rsidR="00EF396D" w:rsidRDefault="00EF396D" w:rsidP="00434F24">
      <w:r>
        <w:separator/>
      </w:r>
    </w:p>
  </w:footnote>
  <w:footnote w:type="continuationSeparator" w:id="0">
    <w:p w14:paraId="2247A636" w14:textId="77777777" w:rsidR="00EF396D" w:rsidRDefault="00EF396D" w:rsidP="00434F24">
      <w:r>
        <w:continuationSeparator/>
      </w:r>
    </w:p>
  </w:footnote>
  <w:footnote w:id="1">
    <w:p w14:paraId="051C90E7" w14:textId="77777777" w:rsidR="002F66EE" w:rsidRPr="000265A3" w:rsidRDefault="002F66E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71CA5">
        <w:t>NBN Co is a wholly Commonwealth government owned business enterprise and reports to the Minister for Communications and the Minister for Finance.</w:t>
      </w:r>
    </w:p>
  </w:footnote>
  <w:footnote w:id="2">
    <w:p w14:paraId="33EFAE6F" w14:textId="77777777" w:rsidR="002F66EE" w:rsidRPr="000265A3" w:rsidRDefault="002F66E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Optical </w:t>
      </w:r>
      <w:proofErr w:type="spellStart"/>
      <w:r>
        <w:rPr>
          <w:lang w:val="en-US"/>
        </w:rPr>
        <w:t>fibre</w:t>
      </w:r>
      <w:proofErr w:type="spellEnd"/>
      <w:r>
        <w:rPr>
          <w:lang w:val="en-US"/>
        </w:rPr>
        <w:t xml:space="preserve"> cables reach all the way to customers’ premises, allowing for the high speed carriage of communications.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1F4FED0"/>
    <w:lvl w:ilvl="0">
      <w:start w:val="1"/>
      <w:numFmt w:val="bullet"/>
      <w:pStyle w:val="ListBullet"/>
      <w:lvlText w:val="&gt;"/>
      <w:lvlJc w:val="left"/>
      <w:pPr>
        <w:tabs>
          <w:tab w:val="num" w:pos="295"/>
        </w:tabs>
        <w:ind w:left="295" w:hanging="295"/>
      </w:pPr>
      <w:rPr>
        <w:rFonts w:ascii="HelveticaNeueLT Std Lt" w:hAnsi="HelveticaNeueLT Std Lt" w:hint="default"/>
        <w:sz w:val="20"/>
      </w:rPr>
    </w:lvl>
  </w:abstractNum>
  <w:abstractNum w:abstractNumId="1">
    <w:nsid w:val="034F0B1A"/>
    <w:multiLevelType w:val="hybridMultilevel"/>
    <w:tmpl w:val="249CC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D5396"/>
    <w:multiLevelType w:val="hybridMultilevel"/>
    <w:tmpl w:val="A2D07752"/>
    <w:lvl w:ilvl="0" w:tplc="48D0B4A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80B3268"/>
    <w:multiLevelType w:val="hybridMultilevel"/>
    <w:tmpl w:val="6532B522"/>
    <w:lvl w:ilvl="0" w:tplc="9F1809C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52145"/>
    <w:multiLevelType w:val="hybridMultilevel"/>
    <w:tmpl w:val="36A48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3488D"/>
    <w:multiLevelType w:val="hybridMultilevel"/>
    <w:tmpl w:val="FA38C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F4E65"/>
    <w:multiLevelType w:val="hybridMultilevel"/>
    <w:tmpl w:val="7B329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95702"/>
    <w:multiLevelType w:val="hybridMultilevel"/>
    <w:tmpl w:val="4086E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275A9"/>
    <w:multiLevelType w:val="hybridMultilevel"/>
    <w:tmpl w:val="3A900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31703"/>
    <w:multiLevelType w:val="hybridMultilevel"/>
    <w:tmpl w:val="0F0A5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8367C"/>
    <w:multiLevelType w:val="hybridMultilevel"/>
    <w:tmpl w:val="4268DC90"/>
    <w:lvl w:ilvl="0" w:tplc="3482DD1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CC6135C"/>
    <w:multiLevelType w:val="hybridMultilevel"/>
    <w:tmpl w:val="BFFE2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070F3"/>
    <w:multiLevelType w:val="hybridMultilevel"/>
    <w:tmpl w:val="C7D86750"/>
    <w:lvl w:ilvl="0" w:tplc="47FAAF56">
      <w:start w:val="1"/>
      <w:numFmt w:val="lowerRoman"/>
      <w:lvlText w:val="(%1)"/>
      <w:lvlJc w:val="left"/>
      <w:pPr>
        <w:ind w:left="41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813F6"/>
    <w:multiLevelType w:val="hybridMultilevel"/>
    <w:tmpl w:val="11C29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20AAB"/>
    <w:multiLevelType w:val="hybridMultilevel"/>
    <w:tmpl w:val="FF4EE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BE55C8"/>
    <w:multiLevelType w:val="hybridMultilevel"/>
    <w:tmpl w:val="69521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995806"/>
    <w:multiLevelType w:val="hybridMultilevel"/>
    <w:tmpl w:val="5B0EA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9A3291"/>
    <w:multiLevelType w:val="hybridMultilevel"/>
    <w:tmpl w:val="7BA6F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54931"/>
    <w:multiLevelType w:val="hybridMultilevel"/>
    <w:tmpl w:val="28743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37DE8"/>
    <w:multiLevelType w:val="hybridMultilevel"/>
    <w:tmpl w:val="A2D07752"/>
    <w:lvl w:ilvl="0" w:tplc="48D0B4A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34B716A9"/>
    <w:multiLevelType w:val="hybridMultilevel"/>
    <w:tmpl w:val="10747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02937"/>
    <w:multiLevelType w:val="hybridMultilevel"/>
    <w:tmpl w:val="954CE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47BB2"/>
    <w:multiLevelType w:val="hybridMultilevel"/>
    <w:tmpl w:val="3D706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FE4504"/>
    <w:multiLevelType w:val="hybridMultilevel"/>
    <w:tmpl w:val="FC82C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410F3"/>
    <w:multiLevelType w:val="hybridMultilevel"/>
    <w:tmpl w:val="97FE615C"/>
    <w:lvl w:ilvl="0" w:tplc="4A8684D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A871AB1"/>
    <w:multiLevelType w:val="hybridMultilevel"/>
    <w:tmpl w:val="42203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015A6"/>
    <w:multiLevelType w:val="hybridMultilevel"/>
    <w:tmpl w:val="26423528"/>
    <w:lvl w:ilvl="0" w:tplc="A62EAC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2331C0"/>
    <w:multiLevelType w:val="hybridMultilevel"/>
    <w:tmpl w:val="C56A12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775BC"/>
    <w:multiLevelType w:val="hybridMultilevel"/>
    <w:tmpl w:val="FA621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6261B"/>
    <w:multiLevelType w:val="hybridMultilevel"/>
    <w:tmpl w:val="4A30A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91408"/>
    <w:multiLevelType w:val="hybridMultilevel"/>
    <w:tmpl w:val="EAE2A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A3D97"/>
    <w:multiLevelType w:val="hybridMultilevel"/>
    <w:tmpl w:val="07D24B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24362C"/>
    <w:multiLevelType w:val="hybridMultilevel"/>
    <w:tmpl w:val="D690F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53A81"/>
    <w:multiLevelType w:val="hybridMultilevel"/>
    <w:tmpl w:val="67046A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ED4037"/>
    <w:multiLevelType w:val="hybridMultilevel"/>
    <w:tmpl w:val="94540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765A2"/>
    <w:multiLevelType w:val="hybridMultilevel"/>
    <w:tmpl w:val="96A4A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502D39"/>
    <w:multiLevelType w:val="hybridMultilevel"/>
    <w:tmpl w:val="64DA5608"/>
    <w:lvl w:ilvl="0" w:tplc="950A315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BF85C27"/>
    <w:multiLevelType w:val="hybridMultilevel"/>
    <w:tmpl w:val="9CEA5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A4AF9"/>
    <w:multiLevelType w:val="hybridMultilevel"/>
    <w:tmpl w:val="EA9AD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76558"/>
    <w:multiLevelType w:val="hybridMultilevel"/>
    <w:tmpl w:val="49A0E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05D19"/>
    <w:multiLevelType w:val="hybridMultilevel"/>
    <w:tmpl w:val="CA4E8BAC"/>
    <w:lvl w:ilvl="0" w:tplc="950A315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CC7DC1"/>
    <w:multiLevelType w:val="multilevel"/>
    <w:tmpl w:val="7274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CD5075"/>
    <w:multiLevelType w:val="hybridMultilevel"/>
    <w:tmpl w:val="B9F45480"/>
    <w:lvl w:ilvl="0" w:tplc="871EEB5C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CC615A0"/>
    <w:multiLevelType w:val="hybridMultilevel"/>
    <w:tmpl w:val="7B2CA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53800"/>
    <w:multiLevelType w:val="hybridMultilevel"/>
    <w:tmpl w:val="1C94D662"/>
    <w:lvl w:ilvl="0" w:tplc="B192BF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03E75"/>
    <w:multiLevelType w:val="hybridMultilevel"/>
    <w:tmpl w:val="97FE615C"/>
    <w:lvl w:ilvl="0" w:tplc="4A8684D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9"/>
  </w:num>
  <w:num w:numId="3">
    <w:abstractNumId w:val="30"/>
  </w:num>
  <w:num w:numId="4">
    <w:abstractNumId w:val="27"/>
  </w:num>
  <w:num w:numId="5">
    <w:abstractNumId w:val="17"/>
  </w:num>
  <w:num w:numId="6">
    <w:abstractNumId w:val="41"/>
  </w:num>
  <w:num w:numId="7">
    <w:abstractNumId w:val="43"/>
  </w:num>
  <w:num w:numId="8">
    <w:abstractNumId w:val="32"/>
  </w:num>
  <w:num w:numId="9">
    <w:abstractNumId w:val="7"/>
  </w:num>
  <w:num w:numId="10">
    <w:abstractNumId w:val="14"/>
  </w:num>
  <w:num w:numId="11">
    <w:abstractNumId w:val="16"/>
  </w:num>
  <w:num w:numId="12">
    <w:abstractNumId w:val="25"/>
  </w:num>
  <w:num w:numId="13">
    <w:abstractNumId w:val="1"/>
  </w:num>
  <w:num w:numId="14">
    <w:abstractNumId w:val="13"/>
  </w:num>
  <w:num w:numId="15">
    <w:abstractNumId w:val="39"/>
  </w:num>
  <w:num w:numId="16">
    <w:abstractNumId w:val="3"/>
  </w:num>
  <w:num w:numId="17">
    <w:abstractNumId w:val="9"/>
  </w:num>
  <w:num w:numId="18">
    <w:abstractNumId w:val="18"/>
  </w:num>
  <w:num w:numId="19">
    <w:abstractNumId w:val="45"/>
  </w:num>
  <w:num w:numId="20">
    <w:abstractNumId w:val="44"/>
  </w:num>
  <w:num w:numId="21">
    <w:abstractNumId w:val="12"/>
  </w:num>
  <w:num w:numId="22">
    <w:abstractNumId w:val="5"/>
  </w:num>
  <w:num w:numId="23">
    <w:abstractNumId w:val="42"/>
  </w:num>
  <w:num w:numId="24">
    <w:abstractNumId w:val="38"/>
  </w:num>
  <w:num w:numId="25">
    <w:abstractNumId w:val="31"/>
  </w:num>
  <w:num w:numId="26">
    <w:abstractNumId w:val="36"/>
  </w:num>
  <w:num w:numId="27">
    <w:abstractNumId w:val="40"/>
  </w:num>
  <w:num w:numId="28">
    <w:abstractNumId w:val="26"/>
  </w:num>
  <w:num w:numId="29">
    <w:abstractNumId w:val="10"/>
  </w:num>
  <w:num w:numId="30">
    <w:abstractNumId w:val="2"/>
  </w:num>
  <w:num w:numId="31">
    <w:abstractNumId w:val="24"/>
  </w:num>
  <w:num w:numId="32">
    <w:abstractNumId w:val="19"/>
  </w:num>
  <w:num w:numId="33">
    <w:abstractNumId w:val="35"/>
  </w:num>
  <w:num w:numId="34">
    <w:abstractNumId w:val="11"/>
  </w:num>
  <w:num w:numId="35">
    <w:abstractNumId w:val="8"/>
  </w:num>
  <w:num w:numId="36">
    <w:abstractNumId w:val="28"/>
  </w:num>
  <w:num w:numId="37">
    <w:abstractNumId w:val="37"/>
  </w:num>
  <w:num w:numId="38">
    <w:abstractNumId w:val="33"/>
  </w:num>
  <w:num w:numId="39">
    <w:abstractNumId w:val="4"/>
  </w:num>
  <w:num w:numId="40">
    <w:abstractNumId w:val="22"/>
  </w:num>
  <w:num w:numId="41">
    <w:abstractNumId w:val="21"/>
  </w:num>
  <w:num w:numId="42">
    <w:abstractNumId w:val="20"/>
  </w:num>
  <w:num w:numId="43">
    <w:abstractNumId w:val="23"/>
  </w:num>
  <w:num w:numId="44">
    <w:abstractNumId w:val="15"/>
  </w:num>
  <w:num w:numId="45">
    <w:abstractNumId w:val="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49"/>
    <w:rsid w:val="00002CE0"/>
    <w:rsid w:val="00003222"/>
    <w:rsid w:val="00013F45"/>
    <w:rsid w:val="00021E76"/>
    <w:rsid w:val="000249EB"/>
    <w:rsid w:val="000265A3"/>
    <w:rsid w:val="0003310E"/>
    <w:rsid w:val="00034688"/>
    <w:rsid w:val="000361C1"/>
    <w:rsid w:val="000366A7"/>
    <w:rsid w:val="00036C90"/>
    <w:rsid w:val="000452E1"/>
    <w:rsid w:val="00045A02"/>
    <w:rsid w:val="00045A69"/>
    <w:rsid w:val="00052F5F"/>
    <w:rsid w:val="000567CB"/>
    <w:rsid w:val="0006050D"/>
    <w:rsid w:val="00063108"/>
    <w:rsid w:val="0006407C"/>
    <w:rsid w:val="00065D3B"/>
    <w:rsid w:val="00067130"/>
    <w:rsid w:val="00067699"/>
    <w:rsid w:val="00072B31"/>
    <w:rsid w:val="0007549F"/>
    <w:rsid w:val="00075833"/>
    <w:rsid w:val="00076B8A"/>
    <w:rsid w:val="00077B58"/>
    <w:rsid w:val="0008425A"/>
    <w:rsid w:val="00091B52"/>
    <w:rsid w:val="00094C6B"/>
    <w:rsid w:val="00095544"/>
    <w:rsid w:val="000A26E5"/>
    <w:rsid w:val="000A2A73"/>
    <w:rsid w:val="000A746D"/>
    <w:rsid w:val="000B030C"/>
    <w:rsid w:val="000B21D6"/>
    <w:rsid w:val="000C0A2E"/>
    <w:rsid w:val="000C7B24"/>
    <w:rsid w:val="000D29F1"/>
    <w:rsid w:val="000D51C6"/>
    <w:rsid w:val="000E1CF5"/>
    <w:rsid w:val="000F65DB"/>
    <w:rsid w:val="0010167C"/>
    <w:rsid w:val="00102C7A"/>
    <w:rsid w:val="001132A1"/>
    <w:rsid w:val="00114019"/>
    <w:rsid w:val="00120849"/>
    <w:rsid w:val="001211CE"/>
    <w:rsid w:val="00121514"/>
    <w:rsid w:val="00121E30"/>
    <w:rsid w:val="00124C66"/>
    <w:rsid w:val="00125C6E"/>
    <w:rsid w:val="00125C9B"/>
    <w:rsid w:val="001309A2"/>
    <w:rsid w:val="0013401E"/>
    <w:rsid w:val="001379AF"/>
    <w:rsid w:val="00146957"/>
    <w:rsid w:val="00151A0B"/>
    <w:rsid w:val="001535C2"/>
    <w:rsid w:val="00157BDF"/>
    <w:rsid w:val="00160A30"/>
    <w:rsid w:val="00163CD5"/>
    <w:rsid w:val="001657B3"/>
    <w:rsid w:val="001662AF"/>
    <w:rsid w:val="00181B34"/>
    <w:rsid w:val="00181B95"/>
    <w:rsid w:val="0018553B"/>
    <w:rsid w:val="00185F5B"/>
    <w:rsid w:val="001940AD"/>
    <w:rsid w:val="001943F9"/>
    <w:rsid w:val="001966CD"/>
    <w:rsid w:val="00197A90"/>
    <w:rsid w:val="00197FA3"/>
    <w:rsid w:val="001A0B7C"/>
    <w:rsid w:val="001A572E"/>
    <w:rsid w:val="001B2561"/>
    <w:rsid w:val="001B5D77"/>
    <w:rsid w:val="001B6403"/>
    <w:rsid w:val="001B7B5D"/>
    <w:rsid w:val="001B7CA8"/>
    <w:rsid w:val="001C1785"/>
    <w:rsid w:val="001D1EBA"/>
    <w:rsid w:val="001D3257"/>
    <w:rsid w:val="001D3331"/>
    <w:rsid w:val="001E18B8"/>
    <w:rsid w:val="001E37FB"/>
    <w:rsid w:val="001F75F8"/>
    <w:rsid w:val="002014B2"/>
    <w:rsid w:val="0020568F"/>
    <w:rsid w:val="00206356"/>
    <w:rsid w:val="00212014"/>
    <w:rsid w:val="0021216F"/>
    <w:rsid w:val="00216131"/>
    <w:rsid w:val="00217D2A"/>
    <w:rsid w:val="00227425"/>
    <w:rsid w:val="00227FC5"/>
    <w:rsid w:val="00233A75"/>
    <w:rsid w:val="00251B00"/>
    <w:rsid w:val="00255277"/>
    <w:rsid w:val="00261E78"/>
    <w:rsid w:val="00274B33"/>
    <w:rsid w:val="00275C91"/>
    <w:rsid w:val="00280419"/>
    <w:rsid w:val="00281932"/>
    <w:rsid w:val="00282DF3"/>
    <w:rsid w:val="00283FB0"/>
    <w:rsid w:val="00287EF6"/>
    <w:rsid w:val="002941E9"/>
    <w:rsid w:val="00294343"/>
    <w:rsid w:val="00294CD4"/>
    <w:rsid w:val="00295EA1"/>
    <w:rsid w:val="00296B9F"/>
    <w:rsid w:val="002A0073"/>
    <w:rsid w:val="002B0227"/>
    <w:rsid w:val="002B0C2B"/>
    <w:rsid w:val="002B1768"/>
    <w:rsid w:val="002B5897"/>
    <w:rsid w:val="002C1E83"/>
    <w:rsid w:val="002D0DD9"/>
    <w:rsid w:val="002D5E56"/>
    <w:rsid w:val="002E00EA"/>
    <w:rsid w:val="002E5CEA"/>
    <w:rsid w:val="002E63E8"/>
    <w:rsid w:val="002E6B75"/>
    <w:rsid w:val="002F4C6D"/>
    <w:rsid w:val="002F559C"/>
    <w:rsid w:val="002F59EB"/>
    <w:rsid w:val="002F66EE"/>
    <w:rsid w:val="00300BB0"/>
    <w:rsid w:val="003011A6"/>
    <w:rsid w:val="00305C23"/>
    <w:rsid w:val="00315027"/>
    <w:rsid w:val="00330189"/>
    <w:rsid w:val="00330621"/>
    <w:rsid w:val="00330F9B"/>
    <w:rsid w:val="00335196"/>
    <w:rsid w:val="00336121"/>
    <w:rsid w:val="003362B5"/>
    <w:rsid w:val="00352DFE"/>
    <w:rsid w:val="00362096"/>
    <w:rsid w:val="00362DCC"/>
    <w:rsid w:val="00363C24"/>
    <w:rsid w:val="003645EF"/>
    <w:rsid w:val="003646B5"/>
    <w:rsid w:val="003648FE"/>
    <w:rsid w:val="00366AAD"/>
    <w:rsid w:val="00376F3B"/>
    <w:rsid w:val="00384714"/>
    <w:rsid w:val="00390DC8"/>
    <w:rsid w:val="00394BF4"/>
    <w:rsid w:val="00396784"/>
    <w:rsid w:val="003A2129"/>
    <w:rsid w:val="003A43CB"/>
    <w:rsid w:val="003A5C0D"/>
    <w:rsid w:val="003A6502"/>
    <w:rsid w:val="003B4EA5"/>
    <w:rsid w:val="003B5EE8"/>
    <w:rsid w:val="003B75F9"/>
    <w:rsid w:val="003C2BE8"/>
    <w:rsid w:val="003D41CB"/>
    <w:rsid w:val="003D5907"/>
    <w:rsid w:val="003D5D79"/>
    <w:rsid w:val="003D7877"/>
    <w:rsid w:val="003E7356"/>
    <w:rsid w:val="003F22D1"/>
    <w:rsid w:val="003F2F1F"/>
    <w:rsid w:val="003F34D1"/>
    <w:rsid w:val="003F4DFF"/>
    <w:rsid w:val="0041200A"/>
    <w:rsid w:val="00412DAB"/>
    <w:rsid w:val="00423631"/>
    <w:rsid w:val="00423EBF"/>
    <w:rsid w:val="004249A2"/>
    <w:rsid w:val="00433B2B"/>
    <w:rsid w:val="00434F24"/>
    <w:rsid w:val="004405FD"/>
    <w:rsid w:val="00441411"/>
    <w:rsid w:val="00441FD3"/>
    <w:rsid w:val="00442AA1"/>
    <w:rsid w:val="00443086"/>
    <w:rsid w:val="004453B3"/>
    <w:rsid w:val="00454B35"/>
    <w:rsid w:val="004604B1"/>
    <w:rsid w:val="00461CE5"/>
    <w:rsid w:val="00465B40"/>
    <w:rsid w:val="00470812"/>
    <w:rsid w:val="00474111"/>
    <w:rsid w:val="004805FA"/>
    <w:rsid w:val="00481D94"/>
    <w:rsid w:val="00491858"/>
    <w:rsid w:val="00491E3E"/>
    <w:rsid w:val="004943F1"/>
    <w:rsid w:val="004951CD"/>
    <w:rsid w:val="0049565D"/>
    <w:rsid w:val="00496B1F"/>
    <w:rsid w:val="0049760E"/>
    <w:rsid w:val="004A2CAA"/>
    <w:rsid w:val="004A302F"/>
    <w:rsid w:val="004A33AF"/>
    <w:rsid w:val="004A795E"/>
    <w:rsid w:val="004B11BF"/>
    <w:rsid w:val="004B350D"/>
    <w:rsid w:val="004C13E7"/>
    <w:rsid w:val="004C28D1"/>
    <w:rsid w:val="004C4DC0"/>
    <w:rsid w:val="004E0A3C"/>
    <w:rsid w:val="004E4DE3"/>
    <w:rsid w:val="004E51AE"/>
    <w:rsid w:val="004F5B87"/>
    <w:rsid w:val="00501C65"/>
    <w:rsid w:val="005042F9"/>
    <w:rsid w:val="00517CC0"/>
    <w:rsid w:val="00522CAD"/>
    <w:rsid w:val="00532B69"/>
    <w:rsid w:val="005432CD"/>
    <w:rsid w:val="0054461D"/>
    <w:rsid w:val="00544B8E"/>
    <w:rsid w:val="00546A33"/>
    <w:rsid w:val="00552FEA"/>
    <w:rsid w:val="0055501D"/>
    <w:rsid w:val="00561843"/>
    <w:rsid w:val="0056281D"/>
    <w:rsid w:val="00584EFD"/>
    <w:rsid w:val="00586692"/>
    <w:rsid w:val="00594216"/>
    <w:rsid w:val="005A0EB9"/>
    <w:rsid w:val="005A68AB"/>
    <w:rsid w:val="005A6C12"/>
    <w:rsid w:val="005A77C7"/>
    <w:rsid w:val="005B0D2B"/>
    <w:rsid w:val="005B2530"/>
    <w:rsid w:val="005B2692"/>
    <w:rsid w:val="005B45D2"/>
    <w:rsid w:val="005B7506"/>
    <w:rsid w:val="005C0A36"/>
    <w:rsid w:val="005C153B"/>
    <w:rsid w:val="005C15FB"/>
    <w:rsid w:val="005C5D99"/>
    <w:rsid w:val="005C68E9"/>
    <w:rsid w:val="005D6BB1"/>
    <w:rsid w:val="005E170A"/>
    <w:rsid w:val="005E1869"/>
    <w:rsid w:val="005E2EEB"/>
    <w:rsid w:val="005E5316"/>
    <w:rsid w:val="005E63D2"/>
    <w:rsid w:val="005F2080"/>
    <w:rsid w:val="005F2C7B"/>
    <w:rsid w:val="005F4897"/>
    <w:rsid w:val="00601C74"/>
    <w:rsid w:val="00603250"/>
    <w:rsid w:val="00614265"/>
    <w:rsid w:val="006157B1"/>
    <w:rsid w:val="006218D7"/>
    <w:rsid w:val="006278C2"/>
    <w:rsid w:val="006335AF"/>
    <w:rsid w:val="00635404"/>
    <w:rsid w:val="00637198"/>
    <w:rsid w:val="00640430"/>
    <w:rsid w:val="0064391A"/>
    <w:rsid w:val="00645DCA"/>
    <w:rsid w:val="00646392"/>
    <w:rsid w:val="006518E0"/>
    <w:rsid w:val="00652007"/>
    <w:rsid w:val="00653860"/>
    <w:rsid w:val="00654CBE"/>
    <w:rsid w:val="00662692"/>
    <w:rsid w:val="006666BF"/>
    <w:rsid w:val="00670294"/>
    <w:rsid w:val="00675CC0"/>
    <w:rsid w:val="00684BDD"/>
    <w:rsid w:val="006858A3"/>
    <w:rsid w:val="0069384A"/>
    <w:rsid w:val="00697C12"/>
    <w:rsid w:val="00697D69"/>
    <w:rsid w:val="006A1F1B"/>
    <w:rsid w:val="006A3348"/>
    <w:rsid w:val="006A3F0D"/>
    <w:rsid w:val="006C00F8"/>
    <w:rsid w:val="006C08E7"/>
    <w:rsid w:val="006C1D6A"/>
    <w:rsid w:val="006D3539"/>
    <w:rsid w:val="006E0E29"/>
    <w:rsid w:val="006E37DE"/>
    <w:rsid w:val="006E4B7D"/>
    <w:rsid w:val="006E6405"/>
    <w:rsid w:val="006F3696"/>
    <w:rsid w:val="0070381F"/>
    <w:rsid w:val="00703DDC"/>
    <w:rsid w:val="00710CFB"/>
    <w:rsid w:val="00712A56"/>
    <w:rsid w:val="00716B87"/>
    <w:rsid w:val="0072534F"/>
    <w:rsid w:val="00727D27"/>
    <w:rsid w:val="007305B2"/>
    <w:rsid w:val="0073290F"/>
    <w:rsid w:val="007330A9"/>
    <w:rsid w:val="0074528F"/>
    <w:rsid w:val="00754082"/>
    <w:rsid w:val="0076209C"/>
    <w:rsid w:val="00762821"/>
    <w:rsid w:val="00765228"/>
    <w:rsid w:val="00776264"/>
    <w:rsid w:val="00783CB4"/>
    <w:rsid w:val="007A3B1A"/>
    <w:rsid w:val="007A4183"/>
    <w:rsid w:val="007B3027"/>
    <w:rsid w:val="007B6780"/>
    <w:rsid w:val="007B6A4E"/>
    <w:rsid w:val="007B6A5B"/>
    <w:rsid w:val="007C0CFB"/>
    <w:rsid w:val="007C3F34"/>
    <w:rsid w:val="007C6148"/>
    <w:rsid w:val="007D28EA"/>
    <w:rsid w:val="007D48DE"/>
    <w:rsid w:val="007E001B"/>
    <w:rsid w:val="007E1E62"/>
    <w:rsid w:val="007E41B3"/>
    <w:rsid w:val="007E4C9C"/>
    <w:rsid w:val="00803173"/>
    <w:rsid w:val="00803831"/>
    <w:rsid w:val="00804CB8"/>
    <w:rsid w:val="008123F4"/>
    <w:rsid w:val="00815804"/>
    <w:rsid w:val="0082080A"/>
    <w:rsid w:val="0082118F"/>
    <w:rsid w:val="00825B60"/>
    <w:rsid w:val="00832182"/>
    <w:rsid w:val="00832324"/>
    <w:rsid w:val="00834493"/>
    <w:rsid w:val="00841961"/>
    <w:rsid w:val="00841980"/>
    <w:rsid w:val="008432AB"/>
    <w:rsid w:val="00845506"/>
    <w:rsid w:val="008464F9"/>
    <w:rsid w:val="008564A4"/>
    <w:rsid w:val="00863A51"/>
    <w:rsid w:val="008644C1"/>
    <w:rsid w:val="0086730A"/>
    <w:rsid w:val="008736DB"/>
    <w:rsid w:val="00873F36"/>
    <w:rsid w:val="0087605E"/>
    <w:rsid w:val="00887EC0"/>
    <w:rsid w:val="008926AF"/>
    <w:rsid w:val="00894A15"/>
    <w:rsid w:val="008A0905"/>
    <w:rsid w:val="008B7BCC"/>
    <w:rsid w:val="008C3A15"/>
    <w:rsid w:val="008C66DD"/>
    <w:rsid w:val="008D094A"/>
    <w:rsid w:val="008D0BEF"/>
    <w:rsid w:val="008D4CEC"/>
    <w:rsid w:val="008D5DA6"/>
    <w:rsid w:val="008D7149"/>
    <w:rsid w:val="008E3627"/>
    <w:rsid w:val="008F372F"/>
    <w:rsid w:val="008F3A02"/>
    <w:rsid w:val="00906187"/>
    <w:rsid w:val="0091117B"/>
    <w:rsid w:val="00916BC0"/>
    <w:rsid w:val="0092116A"/>
    <w:rsid w:val="009315D6"/>
    <w:rsid w:val="00935EF9"/>
    <w:rsid w:val="00942EAB"/>
    <w:rsid w:val="0095142D"/>
    <w:rsid w:val="00952205"/>
    <w:rsid w:val="00954500"/>
    <w:rsid w:val="0095458F"/>
    <w:rsid w:val="00956A82"/>
    <w:rsid w:val="00964AC8"/>
    <w:rsid w:val="009671F1"/>
    <w:rsid w:val="00971FEB"/>
    <w:rsid w:val="00976C62"/>
    <w:rsid w:val="009806BB"/>
    <w:rsid w:val="0098540C"/>
    <w:rsid w:val="00995E5D"/>
    <w:rsid w:val="009B147E"/>
    <w:rsid w:val="009B20A0"/>
    <w:rsid w:val="009B2CC5"/>
    <w:rsid w:val="009B69D4"/>
    <w:rsid w:val="009B7E1C"/>
    <w:rsid w:val="009C0DD0"/>
    <w:rsid w:val="009C3790"/>
    <w:rsid w:val="009D5623"/>
    <w:rsid w:val="009D5A74"/>
    <w:rsid w:val="009E4302"/>
    <w:rsid w:val="009E4552"/>
    <w:rsid w:val="009E644E"/>
    <w:rsid w:val="009F13E1"/>
    <w:rsid w:val="009F5995"/>
    <w:rsid w:val="009F5DF2"/>
    <w:rsid w:val="009F5F8A"/>
    <w:rsid w:val="00A062F1"/>
    <w:rsid w:val="00A115FD"/>
    <w:rsid w:val="00A22112"/>
    <w:rsid w:val="00A42C22"/>
    <w:rsid w:val="00A43644"/>
    <w:rsid w:val="00A456A5"/>
    <w:rsid w:val="00A50818"/>
    <w:rsid w:val="00A5085D"/>
    <w:rsid w:val="00A7337D"/>
    <w:rsid w:val="00A773CD"/>
    <w:rsid w:val="00A80259"/>
    <w:rsid w:val="00A80906"/>
    <w:rsid w:val="00A8533A"/>
    <w:rsid w:val="00A87FA8"/>
    <w:rsid w:val="00A973F1"/>
    <w:rsid w:val="00AA4EFE"/>
    <w:rsid w:val="00AA67D5"/>
    <w:rsid w:val="00AA7BA8"/>
    <w:rsid w:val="00AB60B5"/>
    <w:rsid w:val="00AC0759"/>
    <w:rsid w:val="00AC17F6"/>
    <w:rsid w:val="00AC2200"/>
    <w:rsid w:val="00AC3230"/>
    <w:rsid w:val="00AD1816"/>
    <w:rsid w:val="00AD6134"/>
    <w:rsid w:val="00AE1140"/>
    <w:rsid w:val="00AE1A20"/>
    <w:rsid w:val="00AF03B1"/>
    <w:rsid w:val="00B15020"/>
    <w:rsid w:val="00B20D93"/>
    <w:rsid w:val="00B3269A"/>
    <w:rsid w:val="00B35255"/>
    <w:rsid w:val="00B53700"/>
    <w:rsid w:val="00B545D1"/>
    <w:rsid w:val="00B54CF8"/>
    <w:rsid w:val="00B60B21"/>
    <w:rsid w:val="00B676D3"/>
    <w:rsid w:val="00B70697"/>
    <w:rsid w:val="00B71705"/>
    <w:rsid w:val="00B73C1D"/>
    <w:rsid w:val="00B754BA"/>
    <w:rsid w:val="00B75F45"/>
    <w:rsid w:val="00B86D4A"/>
    <w:rsid w:val="00B903A1"/>
    <w:rsid w:val="00B912F2"/>
    <w:rsid w:val="00B94D90"/>
    <w:rsid w:val="00BA208B"/>
    <w:rsid w:val="00BB2C26"/>
    <w:rsid w:val="00BB3968"/>
    <w:rsid w:val="00BB48D8"/>
    <w:rsid w:val="00BC1D99"/>
    <w:rsid w:val="00BD1EAC"/>
    <w:rsid w:val="00BD2C82"/>
    <w:rsid w:val="00BE5DEF"/>
    <w:rsid w:val="00BF2481"/>
    <w:rsid w:val="00BF4AA1"/>
    <w:rsid w:val="00BF4D28"/>
    <w:rsid w:val="00C011A7"/>
    <w:rsid w:val="00C01302"/>
    <w:rsid w:val="00C02AD1"/>
    <w:rsid w:val="00C141AE"/>
    <w:rsid w:val="00C201C1"/>
    <w:rsid w:val="00C24BAD"/>
    <w:rsid w:val="00C316FE"/>
    <w:rsid w:val="00C33536"/>
    <w:rsid w:val="00C4104D"/>
    <w:rsid w:val="00C41FC1"/>
    <w:rsid w:val="00C549CE"/>
    <w:rsid w:val="00C56529"/>
    <w:rsid w:val="00C60B9E"/>
    <w:rsid w:val="00C61B49"/>
    <w:rsid w:val="00C64259"/>
    <w:rsid w:val="00C655F1"/>
    <w:rsid w:val="00C65EA7"/>
    <w:rsid w:val="00C71643"/>
    <w:rsid w:val="00C731F4"/>
    <w:rsid w:val="00C76662"/>
    <w:rsid w:val="00C80150"/>
    <w:rsid w:val="00CA38AE"/>
    <w:rsid w:val="00CA38DB"/>
    <w:rsid w:val="00CB21FB"/>
    <w:rsid w:val="00CB221E"/>
    <w:rsid w:val="00CB64A9"/>
    <w:rsid w:val="00CC028B"/>
    <w:rsid w:val="00CC0FBA"/>
    <w:rsid w:val="00CD091D"/>
    <w:rsid w:val="00CE21F7"/>
    <w:rsid w:val="00CE4FDA"/>
    <w:rsid w:val="00CE5279"/>
    <w:rsid w:val="00CE670E"/>
    <w:rsid w:val="00CF0151"/>
    <w:rsid w:val="00D00981"/>
    <w:rsid w:val="00D02F2F"/>
    <w:rsid w:val="00D0548E"/>
    <w:rsid w:val="00D0597F"/>
    <w:rsid w:val="00D065B4"/>
    <w:rsid w:val="00D1079D"/>
    <w:rsid w:val="00D10CA3"/>
    <w:rsid w:val="00D13286"/>
    <w:rsid w:val="00D15411"/>
    <w:rsid w:val="00D20A5A"/>
    <w:rsid w:val="00D2593D"/>
    <w:rsid w:val="00D43B7C"/>
    <w:rsid w:val="00D44273"/>
    <w:rsid w:val="00D54257"/>
    <w:rsid w:val="00D66D68"/>
    <w:rsid w:val="00D7406A"/>
    <w:rsid w:val="00D841B1"/>
    <w:rsid w:val="00D91B1C"/>
    <w:rsid w:val="00D93367"/>
    <w:rsid w:val="00D96CC1"/>
    <w:rsid w:val="00DA1CFA"/>
    <w:rsid w:val="00DA6570"/>
    <w:rsid w:val="00DB134F"/>
    <w:rsid w:val="00DB23CA"/>
    <w:rsid w:val="00DB35CF"/>
    <w:rsid w:val="00DB423D"/>
    <w:rsid w:val="00DB4A4E"/>
    <w:rsid w:val="00DC3B9A"/>
    <w:rsid w:val="00DD5A01"/>
    <w:rsid w:val="00DD5A98"/>
    <w:rsid w:val="00DD63C0"/>
    <w:rsid w:val="00DE1B5A"/>
    <w:rsid w:val="00DE2A95"/>
    <w:rsid w:val="00DE4265"/>
    <w:rsid w:val="00DF049E"/>
    <w:rsid w:val="00DF1BD0"/>
    <w:rsid w:val="00DF2022"/>
    <w:rsid w:val="00DF500F"/>
    <w:rsid w:val="00DF65DB"/>
    <w:rsid w:val="00E017D7"/>
    <w:rsid w:val="00E103BD"/>
    <w:rsid w:val="00E31D60"/>
    <w:rsid w:val="00E34F18"/>
    <w:rsid w:val="00E36829"/>
    <w:rsid w:val="00E375D8"/>
    <w:rsid w:val="00E40B83"/>
    <w:rsid w:val="00E44A4E"/>
    <w:rsid w:val="00E46DA7"/>
    <w:rsid w:val="00E509A8"/>
    <w:rsid w:val="00E670A4"/>
    <w:rsid w:val="00E71195"/>
    <w:rsid w:val="00E76329"/>
    <w:rsid w:val="00E7665F"/>
    <w:rsid w:val="00E77950"/>
    <w:rsid w:val="00E92738"/>
    <w:rsid w:val="00E92953"/>
    <w:rsid w:val="00E95C3F"/>
    <w:rsid w:val="00EB5D16"/>
    <w:rsid w:val="00EB665B"/>
    <w:rsid w:val="00EB6AFF"/>
    <w:rsid w:val="00EC2864"/>
    <w:rsid w:val="00ED4F9A"/>
    <w:rsid w:val="00ED729C"/>
    <w:rsid w:val="00EF396D"/>
    <w:rsid w:val="00EF6922"/>
    <w:rsid w:val="00F016A1"/>
    <w:rsid w:val="00F0677A"/>
    <w:rsid w:val="00F12201"/>
    <w:rsid w:val="00F21468"/>
    <w:rsid w:val="00F2470E"/>
    <w:rsid w:val="00F26321"/>
    <w:rsid w:val="00F348E2"/>
    <w:rsid w:val="00F35605"/>
    <w:rsid w:val="00F35FBD"/>
    <w:rsid w:val="00F60829"/>
    <w:rsid w:val="00F657D3"/>
    <w:rsid w:val="00F65C49"/>
    <w:rsid w:val="00F67832"/>
    <w:rsid w:val="00F76427"/>
    <w:rsid w:val="00F76B5D"/>
    <w:rsid w:val="00F81E89"/>
    <w:rsid w:val="00F82DCC"/>
    <w:rsid w:val="00F92DF1"/>
    <w:rsid w:val="00F95334"/>
    <w:rsid w:val="00FA22F9"/>
    <w:rsid w:val="00FA37A1"/>
    <w:rsid w:val="00FA643D"/>
    <w:rsid w:val="00FB19E8"/>
    <w:rsid w:val="00FB3665"/>
    <w:rsid w:val="00FC0D3A"/>
    <w:rsid w:val="00FC236C"/>
    <w:rsid w:val="00FC5394"/>
    <w:rsid w:val="00FC71B2"/>
    <w:rsid w:val="00FD16F1"/>
    <w:rsid w:val="00FD1905"/>
    <w:rsid w:val="00FD5FF8"/>
    <w:rsid w:val="00FE0362"/>
    <w:rsid w:val="00FF24F6"/>
    <w:rsid w:val="00FF3059"/>
    <w:rsid w:val="00FF424B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D7E04A2"/>
  <w15:docId w15:val="{E44DACC9-CCD3-4FB9-B2FE-2B9C2BB0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394"/>
    <w:pPr>
      <w:suppressAutoHyphens/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E89"/>
    <w:pPr>
      <w:keepNext/>
      <w:spacing w:before="200" w:after="60"/>
      <w:outlineLvl w:val="0"/>
    </w:pPr>
    <w:rPr>
      <w:b/>
      <w:sz w:val="2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C74"/>
    <w:pPr>
      <w:keepNext/>
      <w:keepLines/>
      <w:spacing w:before="40" w:after="0"/>
      <w:outlineLvl w:val="1"/>
    </w:pPr>
    <w:rPr>
      <w:rFonts w:eastAsiaTheme="majorEastAsia"/>
      <w:b/>
      <w:i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1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6134"/>
  </w:style>
  <w:style w:type="paragraph" w:styleId="Footer">
    <w:name w:val="footer"/>
    <w:basedOn w:val="Normal"/>
    <w:link w:val="FooterChar"/>
    <w:uiPriority w:val="99"/>
    <w:unhideWhenUsed/>
    <w:rsid w:val="00AD61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6134"/>
  </w:style>
  <w:style w:type="table" w:styleId="TableGrid">
    <w:name w:val="Table Grid"/>
    <w:basedOn w:val="TableNormal"/>
    <w:uiPriority w:val="39"/>
    <w:rsid w:val="00AD6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Heading1"/>
    <w:next w:val="Normal"/>
    <w:link w:val="TitleChar"/>
    <w:uiPriority w:val="10"/>
    <w:qFormat/>
    <w:rsid w:val="00603250"/>
    <w:pPr>
      <w:spacing w:after="200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81E89"/>
    <w:rPr>
      <w:rFonts w:ascii="Times New Roman" w:eastAsia="Times New Roman" w:hAnsi="Times New Roman" w:cs="Times New Roman"/>
      <w:b/>
      <w:snapToGrid w:val="0"/>
      <w:sz w:val="26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F049E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</w:rPr>
  </w:style>
  <w:style w:type="paragraph" w:styleId="ListBullet">
    <w:name w:val="List Bullet"/>
    <w:basedOn w:val="Normal"/>
    <w:qFormat/>
    <w:rsid w:val="00DF049E"/>
    <w:pPr>
      <w:numPr>
        <w:numId w:val="1"/>
      </w:numPr>
      <w:suppressAutoHyphens w:val="0"/>
      <w:spacing w:after="0" w:line="240" w:lineRule="atLeast"/>
      <w:jc w:val="left"/>
    </w:pPr>
    <w:rPr>
      <w:snapToGrid/>
      <w:lang w:eastAsia="en-AU"/>
    </w:rPr>
  </w:style>
  <w:style w:type="character" w:styleId="Hyperlink">
    <w:name w:val="Hyperlink"/>
    <w:basedOn w:val="DefaultParagraphFont"/>
    <w:rsid w:val="00DF049E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DF049E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rsid w:val="00DF049E"/>
    <w:pPr>
      <w:suppressAutoHyphens w:val="0"/>
      <w:spacing w:after="0" w:line="240" w:lineRule="atLeast"/>
      <w:jc w:val="left"/>
    </w:pPr>
    <w:rPr>
      <w:snapToGrid/>
      <w:sz w:val="16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049E"/>
    <w:rPr>
      <w:rFonts w:ascii="Arial" w:eastAsia="Times New Roman" w:hAnsi="Arial" w:cs="Times New Roman"/>
      <w:sz w:val="16"/>
      <w:szCs w:val="16"/>
      <w:lang w:eastAsia="en-AU"/>
    </w:rPr>
  </w:style>
  <w:style w:type="paragraph" w:customStyle="1" w:styleId="FirstParagraphAfterHeading2">
    <w:name w:val="First Paragraph After Heading 2"/>
    <w:aliases w:val="3,body sub-header &amp; body sub-sub-header"/>
    <w:basedOn w:val="Normal"/>
    <w:next w:val="Normal"/>
    <w:rsid w:val="00DF049E"/>
    <w:pPr>
      <w:suppressAutoHyphens w:val="0"/>
      <w:spacing w:before="60" w:after="0" w:line="240" w:lineRule="atLeast"/>
      <w:jc w:val="left"/>
    </w:pPr>
    <w:rPr>
      <w:snapToGrid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36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6A7"/>
  </w:style>
  <w:style w:type="character" w:customStyle="1" w:styleId="CommentTextChar">
    <w:name w:val="Comment Text Char"/>
    <w:basedOn w:val="DefaultParagraphFont"/>
    <w:link w:val="CommentText"/>
    <w:uiPriority w:val="99"/>
    <w:rsid w:val="000366A7"/>
    <w:rPr>
      <w:rFonts w:ascii="Arial" w:eastAsia="Times New Roman" w:hAnsi="Arial" w:cs="Arial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6A7"/>
    <w:rPr>
      <w:rFonts w:ascii="Arial" w:eastAsia="Times New Roman" w:hAnsi="Arial" w:cs="Arial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6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6A7"/>
    <w:rPr>
      <w:rFonts w:ascii="Segoe UI" w:eastAsia="Times New Roman" w:hAnsi="Segoe UI" w:cs="Segoe UI"/>
      <w:snapToGrid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01C74"/>
    <w:rPr>
      <w:rFonts w:ascii="Times New Roman" w:eastAsiaTheme="majorEastAsia" w:hAnsi="Times New Roman" w:cs="Times New Roman"/>
      <w:b/>
      <w:i/>
      <w:snapToGrid w:val="0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34F"/>
    <w:pPr>
      <w:ind w:left="720"/>
      <w:contextualSpacing/>
    </w:pPr>
  </w:style>
  <w:style w:type="character" w:customStyle="1" w:styleId="CharSectno">
    <w:name w:val="CharSectno"/>
    <w:basedOn w:val="DefaultParagraphFont"/>
    <w:rsid w:val="00AC17F6"/>
  </w:style>
  <w:style w:type="character" w:customStyle="1" w:styleId="TitleChar">
    <w:name w:val="Title Char"/>
    <w:basedOn w:val="DefaultParagraphFont"/>
    <w:link w:val="Title"/>
    <w:uiPriority w:val="10"/>
    <w:rsid w:val="00603250"/>
    <w:rPr>
      <w:rFonts w:ascii="Times New Roman" w:eastAsia="Times New Roman" w:hAnsi="Times New Roman" w:cs="Times New Roman"/>
      <w:b/>
      <w:snapToGrid w:val="0"/>
      <w:sz w:val="26"/>
      <w:szCs w:val="28"/>
      <w:lang w:val="en-US"/>
    </w:rPr>
  </w:style>
  <w:style w:type="paragraph" w:customStyle="1" w:styleId="Bodytext-Indent">
    <w:name w:val="Body text - Indent"/>
    <w:basedOn w:val="BodyText"/>
    <w:next w:val="BodyText"/>
    <w:qFormat/>
    <w:rsid w:val="00125C6E"/>
    <w:pPr>
      <w:suppressAutoHyphens w:val="0"/>
      <w:spacing w:before="240" w:after="240"/>
      <w:ind w:left="340"/>
      <w:jc w:val="left"/>
    </w:pPr>
    <w:rPr>
      <w:rFonts w:ascii="Calibri" w:eastAsiaTheme="minorHAnsi" w:hAnsi="Calibri" w:cstheme="minorBidi"/>
      <w:snapToGrid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25C6E"/>
  </w:style>
  <w:style w:type="character" w:customStyle="1" w:styleId="BodyTextChar">
    <w:name w:val="Body Text Char"/>
    <w:basedOn w:val="DefaultParagraphFont"/>
    <w:link w:val="BodyText"/>
    <w:uiPriority w:val="99"/>
    <w:semiHidden/>
    <w:rsid w:val="00125C6E"/>
    <w:rPr>
      <w:rFonts w:ascii="Arial" w:eastAsia="Times New Roman" w:hAnsi="Arial" w:cs="Arial"/>
      <w:snapToGrid w:val="0"/>
      <w:sz w:val="20"/>
      <w:szCs w:val="20"/>
    </w:rPr>
  </w:style>
  <w:style w:type="paragraph" w:styleId="NoSpacing">
    <w:name w:val="No Spacing"/>
    <w:uiPriority w:val="1"/>
    <w:qFormat/>
    <w:rsid w:val="00CB221E"/>
    <w:pPr>
      <w:suppressAutoHyphens/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</w:rPr>
  </w:style>
  <w:style w:type="paragraph" w:customStyle="1" w:styleId="zr1">
    <w:name w:val="zr1"/>
    <w:basedOn w:val="Normal"/>
    <w:rsid w:val="002941E9"/>
    <w:pPr>
      <w:suppressAutoHyphens w:val="0"/>
      <w:spacing w:before="100" w:beforeAutospacing="1" w:after="100" w:afterAutospacing="1"/>
      <w:jc w:val="left"/>
    </w:pPr>
    <w:rPr>
      <w:snapToGrid/>
      <w:lang w:eastAsia="en-AU"/>
    </w:rPr>
  </w:style>
  <w:style w:type="paragraph" w:customStyle="1" w:styleId="p1">
    <w:name w:val="p1"/>
    <w:basedOn w:val="Normal"/>
    <w:rsid w:val="002941E9"/>
    <w:pPr>
      <w:suppressAutoHyphens w:val="0"/>
      <w:spacing w:before="100" w:beforeAutospacing="1" w:after="100" w:afterAutospacing="1"/>
      <w:jc w:val="left"/>
    </w:pPr>
    <w:rPr>
      <w:snapToGrid/>
      <w:lang w:eastAsia="en-AU"/>
    </w:rPr>
  </w:style>
  <w:style w:type="paragraph" w:customStyle="1" w:styleId="R1">
    <w:name w:val="R1"/>
    <w:aliases w:val="1. or 1.(1)"/>
    <w:basedOn w:val="Normal"/>
    <w:next w:val="Normal"/>
    <w:rsid w:val="0095458F"/>
    <w:pPr>
      <w:tabs>
        <w:tab w:val="right" w:pos="794"/>
        <w:tab w:val="left" w:pos="964"/>
      </w:tabs>
      <w:suppressAutoHyphens w:val="0"/>
      <w:spacing w:before="120" w:after="120" w:line="260" w:lineRule="exact"/>
      <w:ind w:left="964" w:hanging="964"/>
    </w:pPr>
    <w:rPr>
      <w:snapToGrid/>
      <w:szCs w:val="20"/>
      <w:lang w:eastAsia="en-AU"/>
    </w:rPr>
  </w:style>
  <w:style w:type="paragraph" w:styleId="Revision">
    <w:name w:val="Revision"/>
    <w:hidden/>
    <w:uiPriority w:val="99"/>
    <w:semiHidden/>
    <w:rsid w:val="00FA22F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5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0097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76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1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5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8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ris.finance.gov.au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Record_x0020_Number xmlns="83630db1-6fc2-4dfd-b3fe-d61d34e1440c">ER2014/071747</Record_x0020_Number>
    <EmailHeaders xmlns="http://schemas.microsoft.com/sharepoint/v4" xsi:nil="true"/>
    <Legacy_x0020_Record_x0020_Number xmlns="83630db1-6fc2-4dfd-b3fe-d61d34e1440c" xsi:nil="true"/>
    <IconOverlay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TaxCatchAll xmlns="6db8f3c6-01a1-4322-b043-a3b2a190f7a8"/>
    <EmailCc xmlns="http://schemas.microsoft.com/sharepoint/v3" xsi:nil="true"/>
    <_dlc_DocId xmlns="6db8f3c6-01a1-4322-b043-a3b2a190f7a8">KNAH4PPFC442-2143-747</_dlc_DocId>
    <_dlc_DocIdUrl xmlns="6db8f3c6-01a1-4322-b043-a3b2a190f7a8">
      <Url>http://collaboration/organisation/DED/NBNIMB/NBNIS/BB/_layouts/DocIdRedir.aspx?ID=KNAH4PPFC442-2143-747</Url>
      <Description>KNAH4PPFC442-2143-747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716CB7AA94B2964D89B51EAFED1405CD" ma:contentTypeVersion="1" ma:contentTypeDescription="A corporate electronic record that is automatically captured by ACMA's RecordPoint document management system." ma:contentTypeScope="" ma:versionID="50687ff0a1118a7fb1510565ee2e34a1">
  <xsd:schema xmlns:xsd="http://www.w3.org/2001/XMLSchema" xmlns:xs="http://www.w3.org/2001/XMLSchema" xmlns:p="http://schemas.microsoft.com/office/2006/metadata/properties" xmlns:ns1="http://schemas.microsoft.com/sharepoint/v3" xmlns:ns2="83630db1-6fc2-4dfd-b3fe-d61d34e1440c" xmlns:ns3="6db8f3c6-01a1-4322-b043-a3b2a190f7a8" xmlns:ns5="http://schemas.microsoft.com/sharepoint/v4" targetNamespace="http://schemas.microsoft.com/office/2006/metadata/properties" ma:root="true" ma:fieldsID="2c3efc1ff6de602f1c50c732bcd3e212" ns1:_="" ns2:_="" ns3:_="" ns5:_="">
    <xsd:import namespace="http://schemas.microsoft.com/sharepoint/v3"/>
    <xsd:import namespace="83630db1-6fc2-4dfd-b3fe-d61d34e1440c"/>
    <xsd:import namespace="6db8f3c6-01a1-4322-b043-a3b2a190f7a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5:IconOverlay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2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1" nillable="true" ma:displayName="E-Mail From" ma:hidden="true" ma:internalName="EmailFrom">
      <xsd:simpleType>
        <xsd:restriction base="dms:Text"/>
      </xsd:simpleType>
    </xsd:element>
    <xsd:element name="EmailSubject" ma:index="2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description="" ma:hidden="true" ma:list="{1bb55c8d-2a31-4abb-942a-851e983a24b0}" ma:internalName="TaxCatchAll" ma:showField="CatchAllData" ma:web="6db8f3c6-01a1-4322-b043-a3b2a190f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  <xsd:element name="EmailHeaders" ma:index="2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BB05-7C1E-4742-A528-67FC814130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D87CF5-501A-4B81-930D-9A111C5FEC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32C6B0-20AA-4779-8DFD-CD750A97C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D25AD-592D-4293-B0FC-1862E7B71AA3}">
  <ds:schemaRefs>
    <ds:schemaRef ds:uri="http://purl.org/dc/terms/"/>
    <ds:schemaRef ds:uri="6db8f3c6-01a1-4322-b043-a3b2a190f7a8"/>
    <ds:schemaRef ds:uri="83630db1-6fc2-4dfd-b3fe-d61d34e1440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F6270A4-725F-444C-85CF-734A28AC5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30db1-6fc2-4dfd-b3fe-d61d34e1440c"/>
    <ds:schemaRef ds:uri="6db8f3c6-01a1-4322-b043-a3b2a190f7a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C8D12E8-AF85-478E-A39C-5421555A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22439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Griffiths</dc:creator>
  <cp:keywords/>
  <dc:description/>
  <cp:lastModifiedBy>Annette Vella</cp:lastModifiedBy>
  <cp:revision>5</cp:revision>
  <cp:lastPrinted>2014-06-15T23:26:00Z</cp:lastPrinted>
  <dcterms:created xsi:type="dcterms:W3CDTF">2014-08-05T06:01:00Z</dcterms:created>
  <dcterms:modified xsi:type="dcterms:W3CDTF">2014-08-06T01:11:00Z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0x01010070E27D6A746B5B48ADF22C2128054D5500716CB7AA94B2964D89B51EAFED1405CD</vt:lpwstr>
  </property>
  <property fmtid="{D5CDD505-2E9C-101B-9397-08002B2CF9AE}" pid="3" name="_dlc_DocIdItemGuid">
    <vt:lpwstr>0420ddd2-8a7a-416d-8169-897f25ff3dc3</vt:lpwstr>
  </property>
  <property fmtid="{D5CDD505-2E9C-101B-9397-08002B2CF9AE}" pid="4" name="RecordPoint_SubmissionDate">
    <vt:lpwstr/>
  </property>
  <property fmtid="{D5CDD505-2E9C-101B-9397-08002B2CF9AE}" pid="5" name="RecordPoint_SubmissionCompleted">
    <vt:lpwstr>2014-06-16T12:29:05.3652749+10:00</vt:lpwstr>
  </property>
  <property fmtid="{D5CDD505-2E9C-101B-9397-08002B2CF9AE}" pid="6" name="RecordPoint_ActiveItemMoved">
    <vt:lpwstr/>
  </property>
  <property fmtid="{D5CDD505-2E9C-101B-9397-08002B2CF9AE}" pid="7" name="RecordPoint_ActiveItemUniqueId">
    <vt:lpwstr>{0420ddd2-8a7a-416d-8169-897f25ff3dc3}</vt:lpwstr>
  </property>
  <property fmtid="{D5CDD505-2E9C-101B-9397-08002B2CF9AE}" pid="8" name="RecordPoint_RecordFormat">
    <vt:lpwstr/>
  </property>
  <property fmtid="{D5CDD505-2E9C-101B-9397-08002B2CF9AE}" pid="9" name="RecordPoint_ActiveItemWebId">
    <vt:lpwstr>{174070f5-e481-4be0-8934-3309665a2b0a}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SiteId">
    <vt:lpwstr>{7ba5f3c1-1ab9-4cc3-a7c0-334d2b0aec73}</vt:lpwstr>
  </property>
  <property fmtid="{D5CDD505-2E9C-101B-9397-08002B2CF9AE}" pid="12" name="RecordPoint_ActiveItemListId">
    <vt:lpwstr>{c37c67c0-c5d9-45e2-b19c-5157dbcb426a}</vt:lpwstr>
  </property>
</Properties>
</file>