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49" w:rsidRDefault="008B3D49" w:rsidP="001D0333">
      <w:pPr>
        <w:ind w:right="91"/>
        <w:jc w:val="center"/>
        <w:rPr>
          <w:rFonts w:ascii="Times New Roman" w:hAnsi="Times New Roman" w:cs="Times New Roman"/>
          <w:b/>
          <w:sz w:val="24"/>
          <w:szCs w:val="24"/>
          <w:u w:val="single"/>
        </w:rPr>
      </w:pPr>
      <w:r w:rsidRPr="009A3286">
        <w:rPr>
          <w:rFonts w:ascii="Times New Roman" w:hAnsi="Times New Roman" w:cs="Times New Roman"/>
          <w:b/>
          <w:sz w:val="24"/>
          <w:szCs w:val="24"/>
          <w:u w:val="single"/>
        </w:rPr>
        <w:t xml:space="preserve">EXPLANATORY </w:t>
      </w:r>
      <w:r>
        <w:rPr>
          <w:rFonts w:ascii="Times New Roman" w:hAnsi="Times New Roman" w:cs="Times New Roman"/>
          <w:b/>
          <w:sz w:val="24"/>
          <w:szCs w:val="24"/>
          <w:u w:val="single"/>
        </w:rPr>
        <w:t>STATEMENT</w:t>
      </w:r>
    </w:p>
    <w:p w:rsidR="00C45BA6" w:rsidRPr="00C45BA6" w:rsidRDefault="00C45BA6" w:rsidP="001D0333">
      <w:pPr>
        <w:pStyle w:val="Heading6"/>
        <w:jc w:val="center"/>
      </w:pPr>
      <w:r>
        <w:t>Select Legislative Instrument No.</w:t>
      </w:r>
      <w:r w:rsidR="00AD2A60">
        <w:t xml:space="preserve"> 109, </w:t>
      </w:r>
      <w:r w:rsidR="00AD2A60">
        <w:t>2014</w:t>
      </w:r>
      <w:bookmarkStart w:id="0" w:name="_GoBack"/>
      <w:bookmarkEnd w:id="0"/>
    </w:p>
    <w:p w:rsidR="007737CF" w:rsidRPr="00C45BA6" w:rsidRDefault="007737CF" w:rsidP="001D0333">
      <w:pPr>
        <w:pStyle w:val="Heading6"/>
        <w:jc w:val="center"/>
        <w:rPr>
          <w:u w:val="none"/>
        </w:rPr>
      </w:pPr>
      <w:r w:rsidRPr="00C45BA6">
        <w:rPr>
          <w:u w:val="none"/>
        </w:rPr>
        <w:t>Issued by Authority of the Attorney-General</w:t>
      </w:r>
    </w:p>
    <w:p w:rsidR="007737CF" w:rsidRDefault="007737CF" w:rsidP="001D0333">
      <w:pPr>
        <w:spacing w:after="0"/>
        <w:ind w:right="91"/>
        <w:jc w:val="center"/>
        <w:rPr>
          <w:rFonts w:ascii="Times New Roman" w:hAnsi="Times New Roman" w:cs="Times New Roman"/>
          <w:sz w:val="24"/>
          <w:szCs w:val="24"/>
        </w:rPr>
      </w:pPr>
    </w:p>
    <w:p w:rsidR="001D0333" w:rsidRPr="001D0333" w:rsidRDefault="001D0333" w:rsidP="001D0333">
      <w:pPr>
        <w:spacing w:after="0"/>
        <w:ind w:right="91"/>
        <w:jc w:val="center"/>
        <w:rPr>
          <w:rFonts w:ascii="Times New Roman" w:hAnsi="Times New Roman" w:cs="Times New Roman"/>
          <w:i/>
          <w:sz w:val="24"/>
          <w:szCs w:val="24"/>
        </w:rPr>
      </w:pPr>
      <w:r>
        <w:rPr>
          <w:rFonts w:ascii="Times New Roman" w:hAnsi="Times New Roman" w:cs="Times New Roman"/>
          <w:i/>
          <w:sz w:val="24"/>
          <w:szCs w:val="24"/>
        </w:rPr>
        <w:t>Sex Discrimination Act 1984</w:t>
      </w:r>
    </w:p>
    <w:p w:rsidR="001D0333" w:rsidRPr="001D0333" w:rsidRDefault="001D0333" w:rsidP="0076326D">
      <w:pPr>
        <w:spacing w:after="0"/>
        <w:ind w:right="91"/>
        <w:rPr>
          <w:rFonts w:ascii="Times New Roman" w:hAnsi="Times New Roman" w:cs="Times New Roman"/>
          <w:sz w:val="24"/>
          <w:szCs w:val="24"/>
        </w:rPr>
      </w:pPr>
    </w:p>
    <w:p w:rsidR="007737CF" w:rsidRPr="007737CF" w:rsidRDefault="007737CF" w:rsidP="001D0333">
      <w:pPr>
        <w:ind w:right="91"/>
        <w:jc w:val="center"/>
        <w:rPr>
          <w:rFonts w:ascii="Times New Roman" w:hAnsi="Times New Roman" w:cs="Times New Roman"/>
          <w:i/>
          <w:sz w:val="24"/>
          <w:szCs w:val="24"/>
        </w:rPr>
      </w:pPr>
      <w:r w:rsidRPr="007737CF">
        <w:rPr>
          <w:rFonts w:ascii="Times New Roman" w:hAnsi="Times New Roman" w:cs="Times New Roman"/>
          <w:i/>
          <w:sz w:val="24"/>
          <w:szCs w:val="24"/>
        </w:rPr>
        <w:t>Sex Discrimination Amendment (</w:t>
      </w:r>
      <w:r w:rsidR="00105590">
        <w:rPr>
          <w:rFonts w:ascii="Times New Roman" w:hAnsi="Times New Roman" w:cs="Times New Roman"/>
          <w:i/>
          <w:sz w:val="24"/>
          <w:szCs w:val="24"/>
        </w:rPr>
        <w:t>Exemptions</w:t>
      </w:r>
      <w:r w:rsidRPr="007737CF">
        <w:rPr>
          <w:rFonts w:ascii="Times New Roman" w:hAnsi="Times New Roman" w:cs="Times New Roman"/>
          <w:i/>
          <w:sz w:val="24"/>
          <w:szCs w:val="24"/>
        </w:rPr>
        <w:t>) Regulation 201</w:t>
      </w:r>
      <w:r w:rsidR="00943790">
        <w:rPr>
          <w:rFonts w:ascii="Times New Roman" w:hAnsi="Times New Roman" w:cs="Times New Roman"/>
          <w:i/>
          <w:sz w:val="24"/>
          <w:szCs w:val="24"/>
        </w:rPr>
        <w:t>4</w:t>
      </w:r>
    </w:p>
    <w:p w:rsidR="00103FCE" w:rsidRPr="00103FCE" w:rsidRDefault="00103FCE" w:rsidP="008B3D49">
      <w:pPr>
        <w:ind w:right="91"/>
        <w:rPr>
          <w:rFonts w:ascii="Times New Roman" w:hAnsi="Times New Roman" w:cs="Times New Roman"/>
          <w:b/>
          <w:sz w:val="24"/>
          <w:szCs w:val="24"/>
        </w:rPr>
      </w:pPr>
      <w:r>
        <w:rPr>
          <w:rFonts w:ascii="Times New Roman" w:hAnsi="Times New Roman" w:cs="Times New Roman"/>
          <w:b/>
          <w:sz w:val="24"/>
          <w:szCs w:val="24"/>
        </w:rPr>
        <w:t>Overview</w:t>
      </w:r>
    </w:p>
    <w:p w:rsidR="008B3D49" w:rsidRPr="008B3D49" w:rsidRDefault="008B3D49" w:rsidP="008B3D49">
      <w:pPr>
        <w:ind w:right="91"/>
        <w:rPr>
          <w:rFonts w:ascii="Times New Roman" w:hAnsi="Times New Roman" w:cs="Times New Roman"/>
          <w:sz w:val="24"/>
          <w:szCs w:val="24"/>
        </w:rPr>
      </w:pPr>
      <w:r w:rsidRPr="008B3D49">
        <w:rPr>
          <w:rFonts w:ascii="Times New Roman" w:hAnsi="Times New Roman" w:cs="Times New Roman"/>
          <w:sz w:val="24"/>
          <w:szCs w:val="24"/>
        </w:rPr>
        <w:t xml:space="preserve">Section 116 of the </w:t>
      </w:r>
      <w:r w:rsidRPr="008B3D49">
        <w:rPr>
          <w:rFonts w:ascii="Times New Roman" w:hAnsi="Times New Roman" w:cs="Times New Roman"/>
          <w:i/>
          <w:sz w:val="24"/>
          <w:szCs w:val="24"/>
        </w:rPr>
        <w:t xml:space="preserve">Sex Discrimination Act 1984 </w:t>
      </w:r>
      <w:r w:rsidRPr="008B3D49">
        <w:rPr>
          <w:rFonts w:ascii="Times New Roman" w:hAnsi="Times New Roman" w:cs="Times New Roman"/>
          <w:sz w:val="24"/>
          <w:szCs w:val="24"/>
        </w:rPr>
        <w:t>(the Sex Discrimination Act) provides that the Governor</w:t>
      </w:r>
      <w:r w:rsidRPr="008B3D49">
        <w:rPr>
          <w:rFonts w:ascii="Times New Roman" w:hAnsi="Times New Roman" w:cs="Times New Roman"/>
          <w:sz w:val="24"/>
          <w:szCs w:val="24"/>
        </w:rPr>
        <w:noBreakHyphen/>
        <w:t>General may make regulations prescribing matters required or permitted by the Act to be prescribed, or necessary or convenient to be prescribed</w:t>
      </w:r>
      <w:r w:rsidR="000B42B7">
        <w:rPr>
          <w:rFonts w:ascii="Times New Roman" w:hAnsi="Times New Roman" w:cs="Times New Roman"/>
          <w:sz w:val="24"/>
          <w:szCs w:val="24"/>
        </w:rPr>
        <w:t>,</w:t>
      </w:r>
      <w:r w:rsidRPr="008B3D49">
        <w:rPr>
          <w:rFonts w:ascii="Times New Roman" w:hAnsi="Times New Roman" w:cs="Times New Roman"/>
          <w:sz w:val="24"/>
          <w:szCs w:val="24"/>
        </w:rPr>
        <w:t xml:space="preserve"> for carrying out or giving effect to the Act.</w:t>
      </w:r>
    </w:p>
    <w:p w:rsidR="00CE040B" w:rsidRPr="00CE040B" w:rsidRDefault="00CE040B" w:rsidP="00CE040B">
      <w:pPr>
        <w:rPr>
          <w:rFonts w:ascii="Times New Roman" w:hAnsi="Times New Roman" w:cs="Times New Roman"/>
          <w:sz w:val="24"/>
          <w:szCs w:val="24"/>
        </w:rPr>
      </w:pPr>
      <w:r w:rsidRPr="00CE040B">
        <w:rPr>
          <w:rFonts w:ascii="Times New Roman" w:hAnsi="Times New Roman" w:cs="Times New Roman"/>
          <w:sz w:val="24"/>
          <w:szCs w:val="24"/>
        </w:rPr>
        <w:t xml:space="preserve">In 2013, the Sex Discrimination Act was amended to provide protection against discrimination on the basis of sexual orientation, gender identity and intersex status. At the same time, subsection 40(2B) was inserted to provide an exemption for conduct that would otherwise be discrimination on the grounds of sexual orientation (section 5A), gender identity (section 5B) or intersex status (section 5C) if the conduct is in direct compliance with a Commonwealth, State or Territory law prescribed by regulations. </w:t>
      </w:r>
    </w:p>
    <w:p w:rsidR="00CE040B" w:rsidRDefault="00CE040B" w:rsidP="00CE040B">
      <w:pPr>
        <w:rPr>
          <w:rFonts w:ascii="Times New Roman" w:hAnsi="Times New Roman" w:cs="Times New Roman"/>
          <w:sz w:val="24"/>
          <w:szCs w:val="24"/>
        </w:rPr>
      </w:pPr>
      <w:r w:rsidRPr="00CE040B">
        <w:rPr>
          <w:rFonts w:ascii="Times New Roman" w:hAnsi="Times New Roman" w:cs="Times New Roman"/>
          <w:sz w:val="24"/>
          <w:szCs w:val="24"/>
        </w:rPr>
        <w:t xml:space="preserve">All Commonwealth, State and Territory laws as in force at 1 August 2013 were prescribed for an initial period of one year </w:t>
      </w:r>
      <w:r w:rsidRPr="00CE040B">
        <w:rPr>
          <w:rFonts w:ascii="Times New Roman" w:hAnsi="Times New Roman" w:cs="Times New Roman"/>
          <w:bCs/>
          <w:sz w:val="24"/>
          <w:szCs w:val="24"/>
        </w:rPr>
        <w:t xml:space="preserve">to allow time for the Commonwealth, States and Territories to </w:t>
      </w:r>
      <w:r w:rsidRPr="00CE040B">
        <w:rPr>
          <w:rFonts w:ascii="Times New Roman" w:hAnsi="Times New Roman" w:cs="Times New Roman"/>
          <w:sz w:val="24"/>
          <w:szCs w:val="24"/>
        </w:rPr>
        <w:t>review their laws to assess whether they comply with the new protections against discrimination. The Regulation prescribe</w:t>
      </w:r>
      <w:r>
        <w:rPr>
          <w:rFonts w:ascii="Times New Roman" w:hAnsi="Times New Roman" w:cs="Times New Roman"/>
          <w:sz w:val="24"/>
          <w:szCs w:val="24"/>
        </w:rPr>
        <w:t>s</w:t>
      </w:r>
      <w:r w:rsidRPr="00CE040B">
        <w:rPr>
          <w:rFonts w:ascii="Times New Roman" w:hAnsi="Times New Roman" w:cs="Times New Roman"/>
          <w:sz w:val="24"/>
          <w:szCs w:val="24"/>
        </w:rPr>
        <w:t xml:space="preserve"> all State and Territory laws as in force at 1</w:t>
      </w:r>
      <w:r w:rsidR="0099607A">
        <w:rPr>
          <w:rFonts w:ascii="Times New Roman" w:hAnsi="Times New Roman" w:cs="Times New Roman"/>
          <w:sz w:val="24"/>
          <w:szCs w:val="24"/>
        </w:rPr>
        <w:t> August </w:t>
      </w:r>
      <w:r w:rsidRPr="00CE040B">
        <w:rPr>
          <w:rFonts w:ascii="Times New Roman" w:hAnsi="Times New Roman" w:cs="Times New Roman"/>
          <w:sz w:val="24"/>
          <w:szCs w:val="24"/>
        </w:rPr>
        <w:t>2013 for another year and remove</w:t>
      </w:r>
      <w:r w:rsidR="00553598">
        <w:rPr>
          <w:rFonts w:ascii="Times New Roman" w:hAnsi="Times New Roman" w:cs="Times New Roman"/>
          <w:sz w:val="24"/>
          <w:szCs w:val="24"/>
        </w:rPr>
        <w:t>s</w:t>
      </w:r>
      <w:r w:rsidRPr="00CE040B">
        <w:rPr>
          <w:rFonts w:ascii="Times New Roman" w:hAnsi="Times New Roman" w:cs="Times New Roman"/>
          <w:sz w:val="24"/>
          <w:szCs w:val="24"/>
        </w:rPr>
        <w:t xml:space="preserve"> the pres</w:t>
      </w:r>
      <w:r w:rsidR="00553598">
        <w:rPr>
          <w:rFonts w:ascii="Times New Roman" w:hAnsi="Times New Roman" w:cs="Times New Roman"/>
          <w:sz w:val="24"/>
          <w:szCs w:val="24"/>
        </w:rPr>
        <w:t xml:space="preserve">cription of Commonwealth laws. </w:t>
      </w:r>
      <w:r w:rsidRPr="00CE040B">
        <w:rPr>
          <w:rFonts w:ascii="Times New Roman" w:hAnsi="Times New Roman" w:cs="Times New Roman"/>
          <w:sz w:val="24"/>
          <w:szCs w:val="24"/>
        </w:rPr>
        <w:t>A</w:t>
      </w:r>
      <w:r w:rsidR="00553598">
        <w:rPr>
          <w:rFonts w:ascii="Times New Roman" w:hAnsi="Times New Roman" w:cs="Times New Roman"/>
          <w:sz w:val="24"/>
          <w:szCs w:val="24"/>
        </w:rPr>
        <w:t> </w:t>
      </w:r>
      <w:r w:rsidRPr="00CE040B">
        <w:rPr>
          <w:rFonts w:ascii="Times New Roman" w:hAnsi="Times New Roman" w:cs="Times New Roman"/>
          <w:sz w:val="24"/>
          <w:szCs w:val="24"/>
        </w:rPr>
        <w:t>review of Com</w:t>
      </w:r>
      <w:r w:rsidR="00553598">
        <w:rPr>
          <w:rFonts w:ascii="Times New Roman" w:hAnsi="Times New Roman" w:cs="Times New Roman"/>
          <w:sz w:val="24"/>
          <w:szCs w:val="24"/>
        </w:rPr>
        <w:t>monwealth laws found</w:t>
      </w:r>
      <w:r w:rsidRPr="00CE040B">
        <w:rPr>
          <w:rFonts w:ascii="Times New Roman" w:hAnsi="Times New Roman" w:cs="Times New Roman"/>
          <w:sz w:val="24"/>
          <w:szCs w:val="24"/>
        </w:rPr>
        <w:t xml:space="preserve"> these laws </w:t>
      </w:r>
      <w:r w:rsidR="0099607A">
        <w:rPr>
          <w:rFonts w:ascii="Times New Roman" w:hAnsi="Times New Roman" w:cs="Times New Roman"/>
          <w:sz w:val="24"/>
          <w:szCs w:val="24"/>
        </w:rPr>
        <w:t>are</w:t>
      </w:r>
      <w:r w:rsidRPr="00CE040B">
        <w:rPr>
          <w:rFonts w:ascii="Times New Roman" w:hAnsi="Times New Roman" w:cs="Times New Roman"/>
          <w:sz w:val="24"/>
          <w:szCs w:val="24"/>
        </w:rPr>
        <w:t xml:space="preserve"> consistent with the </w:t>
      </w:r>
      <w:r w:rsidR="0099607A">
        <w:rPr>
          <w:rFonts w:ascii="Times New Roman" w:hAnsi="Times New Roman" w:cs="Times New Roman"/>
          <w:sz w:val="24"/>
          <w:szCs w:val="24"/>
        </w:rPr>
        <w:t>new</w:t>
      </w:r>
      <w:r w:rsidRPr="00CE040B">
        <w:rPr>
          <w:rFonts w:ascii="Times New Roman" w:hAnsi="Times New Roman" w:cs="Times New Roman"/>
          <w:sz w:val="24"/>
          <w:szCs w:val="24"/>
        </w:rPr>
        <w:t xml:space="preserve"> protections against discrimination on the grounds of sexual orientation, gender identity or intersex status.  Therefore, Commonwealth laws will no longer need to be prescribed. The Regulation allow</w:t>
      </w:r>
      <w:r>
        <w:rPr>
          <w:rFonts w:ascii="Times New Roman" w:hAnsi="Times New Roman" w:cs="Times New Roman"/>
          <w:sz w:val="24"/>
          <w:szCs w:val="24"/>
        </w:rPr>
        <w:t>s</w:t>
      </w:r>
      <w:r w:rsidRPr="00CE040B">
        <w:rPr>
          <w:rFonts w:ascii="Times New Roman" w:hAnsi="Times New Roman" w:cs="Times New Roman"/>
          <w:sz w:val="24"/>
          <w:szCs w:val="24"/>
        </w:rPr>
        <w:t xml:space="preserve"> States and Territories time to complete their review</w:t>
      </w:r>
      <w:r w:rsidR="0099607A">
        <w:rPr>
          <w:rFonts w:ascii="Times New Roman" w:hAnsi="Times New Roman" w:cs="Times New Roman"/>
          <w:sz w:val="24"/>
          <w:szCs w:val="24"/>
        </w:rPr>
        <w:t>s</w:t>
      </w:r>
      <w:r w:rsidRPr="00CE040B">
        <w:rPr>
          <w:rFonts w:ascii="Times New Roman" w:hAnsi="Times New Roman" w:cs="Times New Roman"/>
          <w:sz w:val="24"/>
          <w:szCs w:val="24"/>
        </w:rPr>
        <w:t xml:space="preserve"> of laws for consistency with the new grounds of protection against discrimination. </w:t>
      </w:r>
    </w:p>
    <w:p w:rsidR="001B004C" w:rsidRPr="008B3D49" w:rsidRDefault="001B004C" w:rsidP="001B004C">
      <w:pPr>
        <w:tabs>
          <w:tab w:val="left" w:pos="6521"/>
        </w:tabs>
        <w:ind w:right="91"/>
        <w:rPr>
          <w:rFonts w:ascii="Times New Roman" w:hAnsi="Times New Roman" w:cs="Times New Roman"/>
          <w:sz w:val="24"/>
          <w:szCs w:val="24"/>
        </w:rPr>
      </w:pPr>
      <w:r w:rsidRPr="008B3D49">
        <w:rPr>
          <w:rFonts w:ascii="Times New Roman" w:hAnsi="Times New Roman" w:cs="Times New Roman"/>
          <w:sz w:val="24"/>
          <w:szCs w:val="24"/>
        </w:rPr>
        <w:t xml:space="preserve">The </w:t>
      </w:r>
      <w:r>
        <w:rPr>
          <w:rFonts w:ascii="Times New Roman" w:hAnsi="Times New Roman" w:cs="Times New Roman"/>
          <w:sz w:val="24"/>
          <w:szCs w:val="24"/>
        </w:rPr>
        <w:t>R</w:t>
      </w:r>
      <w:r w:rsidRPr="008B3D49">
        <w:rPr>
          <w:rFonts w:ascii="Times New Roman" w:hAnsi="Times New Roman" w:cs="Times New Roman"/>
          <w:sz w:val="24"/>
          <w:szCs w:val="24"/>
        </w:rPr>
        <w:t xml:space="preserve">egulation </w:t>
      </w:r>
      <w:r>
        <w:rPr>
          <w:rFonts w:ascii="Times New Roman" w:hAnsi="Times New Roman" w:cs="Times New Roman"/>
          <w:sz w:val="24"/>
          <w:szCs w:val="24"/>
        </w:rPr>
        <w:t>is</w:t>
      </w:r>
      <w:r w:rsidRPr="008B3D49">
        <w:rPr>
          <w:rFonts w:ascii="Times New Roman" w:hAnsi="Times New Roman" w:cs="Times New Roman"/>
          <w:sz w:val="24"/>
          <w:szCs w:val="24"/>
        </w:rPr>
        <w:t xml:space="preserve"> a legislative instrument for the purposes of the </w:t>
      </w:r>
      <w:r w:rsidRPr="008B3D49">
        <w:rPr>
          <w:rFonts w:ascii="Times New Roman" w:hAnsi="Times New Roman" w:cs="Times New Roman"/>
          <w:i/>
          <w:sz w:val="24"/>
          <w:szCs w:val="24"/>
        </w:rPr>
        <w:t>Legislative Instruments Act 2003</w:t>
      </w:r>
      <w:r w:rsidRPr="008B3D49">
        <w:rPr>
          <w:rFonts w:ascii="Times New Roman" w:hAnsi="Times New Roman" w:cs="Times New Roman"/>
          <w:sz w:val="24"/>
          <w:szCs w:val="24"/>
        </w:rPr>
        <w:t>.</w:t>
      </w:r>
    </w:p>
    <w:p w:rsidR="00103FCE" w:rsidRPr="00103FCE" w:rsidRDefault="00103FCE" w:rsidP="00D472DD">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Consultation</w:t>
      </w:r>
    </w:p>
    <w:p w:rsidR="00D472DD" w:rsidRPr="00567A78" w:rsidRDefault="00D472DD" w:rsidP="00D472DD">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relation to the prescription of </w:t>
      </w:r>
      <w:r w:rsidR="00640BF0">
        <w:rPr>
          <w:rFonts w:ascii="Times New Roman" w:eastAsia="Times New Roman" w:hAnsi="Times New Roman" w:cs="Times New Roman"/>
          <w:sz w:val="24"/>
          <w:szCs w:val="24"/>
          <w:lang w:eastAsia="en-AU"/>
        </w:rPr>
        <w:t xml:space="preserve">Commonwealth, State and Territory </w:t>
      </w:r>
      <w:r>
        <w:rPr>
          <w:rFonts w:ascii="Times New Roman" w:eastAsia="Times New Roman" w:hAnsi="Times New Roman" w:cs="Times New Roman"/>
          <w:sz w:val="24"/>
          <w:szCs w:val="24"/>
          <w:lang w:eastAsia="en-AU"/>
        </w:rPr>
        <w:t xml:space="preserve">laws, this formed part of the </w:t>
      </w:r>
      <w:r w:rsidR="00BD42EC" w:rsidRPr="002505D4">
        <w:rPr>
          <w:rFonts w:ascii="Times New Roman" w:hAnsi="Times New Roman" w:cs="Times New Roman"/>
          <w:i/>
          <w:sz w:val="24"/>
          <w:szCs w:val="24"/>
        </w:rPr>
        <w:t>Sex Discrimination Amendment (Sexual Orientation, Gender Identity and Intersex Status) Act 2013</w:t>
      </w:r>
      <w:r w:rsidR="00BD42EC" w:rsidRPr="008B3D49">
        <w:rPr>
          <w:rFonts w:ascii="Times New Roman" w:hAnsi="Times New Roman" w:cs="Times New Roman"/>
          <w:sz w:val="24"/>
          <w:szCs w:val="24"/>
        </w:rPr>
        <w:t xml:space="preserve"> </w:t>
      </w:r>
      <w:r>
        <w:rPr>
          <w:rFonts w:ascii="Times New Roman" w:eastAsia="Times New Roman" w:hAnsi="Times New Roman" w:cs="Times New Roman"/>
          <w:sz w:val="24"/>
          <w:szCs w:val="24"/>
          <w:lang w:eastAsia="en-AU"/>
        </w:rPr>
        <w:t>which was the subject of inquiry by the Senate Legal and Constitutional A</w:t>
      </w:r>
      <w:r w:rsidR="00132C56">
        <w:rPr>
          <w:rFonts w:ascii="Times New Roman" w:eastAsia="Times New Roman" w:hAnsi="Times New Roman" w:cs="Times New Roman"/>
          <w:sz w:val="24"/>
          <w:szCs w:val="24"/>
          <w:lang w:eastAsia="en-AU"/>
        </w:rPr>
        <w:t xml:space="preserve">ffairs Legislation Committee.  The Committee handed down its report in June 2013.  </w:t>
      </w:r>
      <w:r w:rsidR="000B42B7">
        <w:rPr>
          <w:rFonts w:ascii="Times New Roman" w:eastAsia="Times New Roman" w:hAnsi="Times New Roman" w:cs="Times New Roman"/>
          <w:sz w:val="24"/>
          <w:szCs w:val="24"/>
          <w:lang w:eastAsia="en-AU"/>
        </w:rPr>
        <w:t>The </w:t>
      </w:r>
      <w:r w:rsidR="00943790">
        <w:rPr>
          <w:rFonts w:ascii="Times New Roman" w:eastAsia="Times New Roman" w:hAnsi="Times New Roman" w:cs="Times New Roman"/>
          <w:sz w:val="24"/>
          <w:szCs w:val="24"/>
          <w:lang w:eastAsia="en-AU"/>
        </w:rPr>
        <w:t>Regulation simply extends the existing prescription for a further period of one year</w:t>
      </w:r>
      <w:r w:rsidR="00CE040B">
        <w:rPr>
          <w:rFonts w:ascii="Times New Roman" w:eastAsia="Times New Roman" w:hAnsi="Times New Roman" w:cs="Times New Roman"/>
          <w:sz w:val="24"/>
          <w:szCs w:val="24"/>
          <w:lang w:eastAsia="en-AU"/>
        </w:rPr>
        <w:t xml:space="preserve"> for States and Territories</w:t>
      </w:r>
      <w:r w:rsidR="00943790">
        <w:rPr>
          <w:rFonts w:ascii="Times New Roman" w:eastAsia="Times New Roman" w:hAnsi="Times New Roman" w:cs="Times New Roman"/>
          <w:sz w:val="24"/>
          <w:szCs w:val="24"/>
          <w:lang w:eastAsia="en-AU"/>
        </w:rPr>
        <w:t xml:space="preserve">. Consultation on the need to extend this period was undertaken with States and Territories. </w:t>
      </w:r>
    </w:p>
    <w:p w:rsidR="0076326D" w:rsidRPr="0076326D" w:rsidRDefault="0076326D" w:rsidP="00CE040B">
      <w:pPr>
        <w:keepNext/>
        <w:rPr>
          <w:rFonts w:ascii="Times New Roman" w:hAnsi="Times New Roman" w:cs="Times New Roman"/>
          <w:b/>
          <w:sz w:val="24"/>
          <w:szCs w:val="24"/>
        </w:rPr>
      </w:pPr>
      <w:r>
        <w:rPr>
          <w:rFonts w:ascii="Times New Roman" w:hAnsi="Times New Roman" w:cs="Times New Roman"/>
          <w:b/>
          <w:sz w:val="24"/>
          <w:szCs w:val="24"/>
        </w:rPr>
        <w:lastRenderedPageBreak/>
        <w:t>Commencement</w:t>
      </w:r>
    </w:p>
    <w:p w:rsidR="001B004C" w:rsidRPr="001B004C" w:rsidRDefault="001B004C" w:rsidP="001B004C">
      <w:pPr>
        <w:tabs>
          <w:tab w:val="left" w:pos="6521"/>
        </w:tabs>
        <w:ind w:right="91"/>
        <w:rPr>
          <w:rFonts w:ascii="Times New Roman" w:hAnsi="Times New Roman" w:cs="Times New Roman"/>
          <w:sz w:val="24"/>
          <w:szCs w:val="24"/>
          <w:u w:val="single"/>
        </w:rPr>
      </w:pPr>
      <w:r w:rsidRPr="001B004C">
        <w:rPr>
          <w:rFonts w:ascii="Times New Roman" w:hAnsi="Times New Roman" w:cs="Times New Roman"/>
          <w:sz w:val="24"/>
          <w:szCs w:val="24"/>
          <w:u w:val="single"/>
        </w:rPr>
        <w:t xml:space="preserve">Section 2 – Commencement </w:t>
      </w:r>
    </w:p>
    <w:p w:rsidR="001B004C" w:rsidRPr="001B004C" w:rsidRDefault="001B004C" w:rsidP="001B004C">
      <w:pPr>
        <w:tabs>
          <w:tab w:val="left" w:pos="6521"/>
        </w:tabs>
        <w:ind w:right="91"/>
        <w:rPr>
          <w:rFonts w:ascii="Times New Roman" w:hAnsi="Times New Roman" w:cs="Times New Roman"/>
          <w:sz w:val="24"/>
          <w:szCs w:val="24"/>
        </w:rPr>
      </w:pPr>
      <w:r w:rsidRPr="00555FC2">
        <w:rPr>
          <w:rFonts w:ascii="Times New Roman" w:hAnsi="Times New Roman" w:cs="Times New Roman"/>
          <w:sz w:val="24"/>
          <w:szCs w:val="24"/>
        </w:rPr>
        <w:t>Th</w:t>
      </w:r>
      <w:r>
        <w:rPr>
          <w:rFonts w:ascii="Times New Roman" w:hAnsi="Times New Roman" w:cs="Times New Roman"/>
          <w:sz w:val="24"/>
          <w:szCs w:val="24"/>
        </w:rPr>
        <w:t>e</w:t>
      </w:r>
      <w:r w:rsidRPr="00555FC2">
        <w:rPr>
          <w:rFonts w:ascii="Times New Roman" w:hAnsi="Times New Roman" w:cs="Times New Roman"/>
          <w:sz w:val="24"/>
          <w:szCs w:val="24"/>
        </w:rPr>
        <w:t xml:space="preserve"> </w:t>
      </w:r>
      <w:r>
        <w:rPr>
          <w:rFonts w:ascii="Times New Roman" w:hAnsi="Times New Roman" w:cs="Times New Roman"/>
          <w:sz w:val="24"/>
          <w:szCs w:val="24"/>
        </w:rPr>
        <w:t>Regulation</w:t>
      </w:r>
      <w:r w:rsidRPr="00555FC2">
        <w:rPr>
          <w:rFonts w:ascii="Times New Roman" w:hAnsi="Times New Roman" w:cs="Times New Roman"/>
          <w:sz w:val="24"/>
          <w:szCs w:val="24"/>
        </w:rPr>
        <w:t xml:space="preserve"> provides for the commencement of each section as follows:</w:t>
      </w:r>
    </w:p>
    <w:p w:rsidR="001B004C" w:rsidRPr="001B004C" w:rsidRDefault="001B004C" w:rsidP="001B004C">
      <w:pPr>
        <w:numPr>
          <w:ilvl w:val="0"/>
          <w:numId w:val="13"/>
        </w:numPr>
        <w:tabs>
          <w:tab w:val="left" w:pos="6521"/>
        </w:tabs>
        <w:ind w:right="91"/>
        <w:rPr>
          <w:rFonts w:ascii="Times New Roman" w:hAnsi="Times New Roman" w:cs="Times New Roman"/>
          <w:sz w:val="24"/>
          <w:szCs w:val="24"/>
        </w:rPr>
      </w:pPr>
      <w:r w:rsidRPr="001B004C">
        <w:rPr>
          <w:rFonts w:ascii="Times New Roman" w:hAnsi="Times New Roman" w:cs="Times New Roman"/>
          <w:sz w:val="24"/>
          <w:szCs w:val="24"/>
        </w:rPr>
        <w:t>Sections 1 to 4 and other sections not elsewhere covered by the table commence the day after the Regulation is registered.</w:t>
      </w:r>
    </w:p>
    <w:p w:rsidR="001B004C" w:rsidRPr="001B004C" w:rsidRDefault="001B004C" w:rsidP="001B004C">
      <w:pPr>
        <w:numPr>
          <w:ilvl w:val="0"/>
          <w:numId w:val="13"/>
        </w:numPr>
        <w:tabs>
          <w:tab w:val="left" w:pos="6521"/>
        </w:tabs>
        <w:ind w:right="91"/>
        <w:rPr>
          <w:rFonts w:ascii="Times New Roman" w:hAnsi="Times New Roman" w:cs="Times New Roman"/>
          <w:sz w:val="24"/>
          <w:szCs w:val="24"/>
        </w:rPr>
      </w:pPr>
      <w:r w:rsidRPr="001B004C">
        <w:rPr>
          <w:rFonts w:ascii="Times New Roman" w:hAnsi="Times New Roman" w:cs="Times New Roman"/>
          <w:sz w:val="24"/>
          <w:szCs w:val="24"/>
        </w:rPr>
        <w:t>The amendments in Schedule 1 commence on:</w:t>
      </w:r>
    </w:p>
    <w:p w:rsidR="001B004C" w:rsidRPr="001B004C" w:rsidRDefault="001B004C" w:rsidP="001B004C">
      <w:pPr>
        <w:numPr>
          <w:ilvl w:val="1"/>
          <w:numId w:val="13"/>
        </w:numPr>
        <w:tabs>
          <w:tab w:val="left" w:pos="6521"/>
        </w:tabs>
        <w:ind w:right="91"/>
        <w:rPr>
          <w:rFonts w:ascii="Times New Roman" w:hAnsi="Times New Roman" w:cs="Times New Roman"/>
          <w:sz w:val="24"/>
          <w:szCs w:val="24"/>
        </w:rPr>
      </w:pPr>
      <w:r w:rsidRPr="001B004C">
        <w:rPr>
          <w:rFonts w:ascii="Times New Roman" w:hAnsi="Times New Roman" w:cs="Times New Roman"/>
          <w:sz w:val="24"/>
          <w:szCs w:val="24"/>
        </w:rPr>
        <w:t>Item 1 – 1 August 2014</w:t>
      </w:r>
    </w:p>
    <w:p w:rsidR="001B004C" w:rsidRPr="001B004C" w:rsidRDefault="001B004C" w:rsidP="001B004C">
      <w:pPr>
        <w:numPr>
          <w:ilvl w:val="1"/>
          <w:numId w:val="13"/>
        </w:numPr>
        <w:tabs>
          <w:tab w:val="left" w:pos="6521"/>
        </w:tabs>
        <w:ind w:right="91"/>
        <w:rPr>
          <w:rFonts w:ascii="Times New Roman" w:hAnsi="Times New Roman" w:cs="Times New Roman"/>
          <w:sz w:val="24"/>
          <w:szCs w:val="24"/>
        </w:rPr>
      </w:pPr>
      <w:r w:rsidRPr="001B004C">
        <w:rPr>
          <w:rFonts w:ascii="Times New Roman" w:hAnsi="Times New Roman" w:cs="Times New Roman"/>
          <w:sz w:val="24"/>
          <w:szCs w:val="24"/>
        </w:rPr>
        <w:t>Item 2 – the day after the Regulation is registered</w:t>
      </w:r>
    </w:p>
    <w:p w:rsidR="008B3D49" w:rsidRPr="008B3D49" w:rsidRDefault="008B3D49" w:rsidP="008B3D49">
      <w:pPr>
        <w:tabs>
          <w:tab w:val="left" w:pos="3969"/>
          <w:tab w:val="left" w:pos="5245"/>
        </w:tabs>
        <w:ind w:right="91"/>
        <w:jc w:val="right"/>
        <w:rPr>
          <w:rFonts w:ascii="Times New Roman" w:hAnsi="Times New Roman" w:cs="Times New Roman"/>
          <w:sz w:val="24"/>
          <w:szCs w:val="24"/>
        </w:rPr>
      </w:pPr>
    </w:p>
    <w:p w:rsidR="00EF4B86" w:rsidRPr="008B3D49" w:rsidRDefault="008B3D49" w:rsidP="00EF4B86">
      <w:pPr>
        <w:tabs>
          <w:tab w:val="left" w:pos="3969"/>
          <w:tab w:val="left" w:pos="5245"/>
        </w:tabs>
        <w:ind w:right="91"/>
        <w:jc w:val="center"/>
        <w:rPr>
          <w:rFonts w:ascii="Times New Roman" w:hAnsi="Times New Roman" w:cs="Times New Roman"/>
          <w:i/>
          <w:sz w:val="24"/>
          <w:szCs w:val="24"/>
        </w:rPr>
      </w:pPr>
      <w:r w:rsidRPr="008B3D4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3D49" w:rsidRPr="008B3D49" w:rsidRDefault="008B3D49" w:rsidP="008B3D49">
      <w:pPr>
        <w:tabs>
          <w:tab w:val="left" w:pos="3969"/>
          <w:tab w:val="left" w:pos="5245"/>
        </w:tabs>
        <w:ind w:right="91"/>
        <w:jc w:val="center"/>
        <w:rPr>
          <w:rFonts w:ascii="Times New Roman" w:hAnsi="Times New Roman" w:cs="Times New Roman"/>
          <w:i/>
          <w:sz w:val="24"/>
          <w:szCs w:val="24"/>
        </w:rPr>
      </w:pPr>
    </w:p>
    <w:p w:rsidR="008B3D49" w:rsidRDefault="008B3D49" w:rsidP="00555FC2">
      <w:pPr>
        <w:tabs>
          <w:tab w:val="left" w:pos="3969"/>
          <w:tab w:val="left" w:pos="5245"/>
        </w:tabs>
        <w:ind w:right="91"/>
      </w:pPr>
      <w:r w:rsidRPr="008B3D49">
        <w:rPr>
          <w:rFonts w:ascii="Times New Roman" w:hAnsi="Times New Roman" w:cs="Times New Roman"/>
          <w:sz w:val="24"/>
          <w:szCs w:val="24"/>
        </w:rPr>
        <w:t xml:space="preserve">                                                          </w:t>
      </w:r>
    </w:p>
    <w:p w:rsidR="008B3D49" w:rsidRDefault="008B3D49" w:rsidP="008B3D49">
      <w:pPr>
        <w:rPr>
          <w:rFonts w:ascii="Times New Roman" w:hAnsi="Times New Roman"/>
          <w:i/>
          <w:sz w:val="24"/>
          <w:szCs w:val="24"/>
        </w:rPr>
      </w:pPr>
      <w:r w:rsidRPr="009A3286">
        <w:rPr>
          <w:rFonts w:ascii="Times New Roman" w:hAnsi="Times New Roman"/>
          <w:i/>
          <w:sz w:val="24"/>
          <w:szCs w:val="24"/>
        </w:rPr>
        <w:br w:type="page"/>
      </w:r>
    </w:p>
    <w:p w:rsidR="00CE040B" w:rsidRDefault="00CE040B" w:rsidP="00CE040B">
      <w:pPr>
        <w:spacing w:after="360" w:line="240" w:lineRule="auto"/>
        <w:jc w:val="center"/>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lastRenderedPageBreak/>
        <w:t>Statement of Compatibility with Human Rights</w:t>
      </w:r>
    </w:p>
    <w:p w:rsidR="00CE040B" w:rsidRDefault="00CE040B" w:rsidP="00CE040B">
      <w:pPr>
        <w:spacing w:after="0" w:line="240" w:lineRule="auto"/>
        <w:rPr>
          <w:rFonts w:ascii="Times New Roman" w:eastAsia="Times New Roman" w:hAnsi="Times New Roman"/>
          <w:i/>
          <w:sz w:val="24"/>
          <w:szCs w:val="24"/>
          <w:lang w:eastAsia="en-AU"/>
        </w:rPr>
      </w:pPr>
      <w:r>
        <w:rPr>
          <w:rFonts w:ascii="Times New Roman" w:eastAsia="Times New Roman" w:hAnsi="Times New Roman"/>
          <w:i/>
          <w:sz w:val="24"/>
          <w:szCs w:val="24"/>
          <w:lang w:eastAsia="en-AU"/>
        </w:rPr>
        <w:t>Prepared in accordance with Part 3 of the Human Rights (Parliamentary Scrutiny) Act 2011</w:t>
      </w:r>
    </w:p>
    <w:p w:rsidR="00CE040B" w:rsidRDefault="00CE040B" w:rsidP="00CE040B">
      <w:pPr>
        <w:spacing w:after="0" w:line="240" w:lineRule="auto"/>
        <w:rPr>
          <w:rFonts w:ascii="Times New Roman" w:eastAsia="Times New Roman" w:hAnsi="Times New Roman"/>
          <w:b/>
          <w:i/>
          <w:sz w:val="24"/>
          <w:szCs w:val="24"/>
          <w:lang w:eastAsia="en-AU"/>
        </w:rPr>
      </w:pPr>
    </w:p>
    <w:p w:rsidR="00CE040B" w:rsidRPr="008A5990" w:rsidRDefault="00CE040B" w:rsidP="00CE040B">
      <w:pPr>
        <w:pStyle w:val="Paragraph"/>
        <w:rPr>
          <w:b/>
          <w:bCs/>
          <w:i/>
          <w:szCs w:val="24"/>
        </w:rPr>
      </w:pPr>
      <w:r w:rsidRPr="008A5990">
        <w:rPr>
          <w:b/>
          <w:bCs/>
          <w:i/>
          <w:szCs w:val="24"/>
        </w:rPr>
        <w:t>Sex Discrimination Amendment (</w:t>
      </w:r>
      <w:r>
        <w:rPr>
          <w:b/>
          <w:bCs/>
          <w:i/>
          <w:szCs w:val="24"/>
        </w:rPr>
        <w:t>Exemptions</w:t>
      </w:r>
      <w:r w:rsidRPr="008A5990">
        <w:rPr>
          <w:b/>
          <w:bCs/>
          <w:i/>
          <w:szCs w:val="24"/>
        </w:rPr>
        <w:t>) Regulation 201</w:t>
      </w:r>
      <w:r>
        <w:rPr>
          <w:b/>
          <w:bCs/>
          <w:i/>
          <w:szCs w:val="24"/>
        </w:rPr>
        <w:t>4</w:t>
      </w:r>
    </w:p>
    <w:p w:rsidR="00CE040B" w:rsidRPr="008A5990" w:rsidRDefault="00CE040B" w:rsidP="00CE040B">
      <w:pPr>
        <w:pStyle w:val="Paragraph"/>
        <w:spacing w:before="100" w:beforeAutospacing="1" w:after="120"/>
        <w:rPr>
          <w:b/>
          <w:szCs w:val="24"/>
        </w:rPr>
      </w:pPr>
      <w:r w:rsidRPr="008A5990">
        <w:rPr>
          <w:b/>
          <w:iCs/>
          <w:szCs w:val="24"/>
        </w:rPr>
        <w:t xml:space="preserve">Overview of the Amendments </w:t>
      </w:r>
    </w:p>
    <w:p w:rsidR="00CE040B" w:rsidRDefault="00CE040B" w:rsidP="00CE040B">
      <w:pPr>
        <w:keepNext/>
        <w:spacing w:before="100" w:beforeAutospacing="1" w:after="120"/>
        <w:rPr>
          <w:rFonts w:ascii="Times New Roman" w:hAnsi="Times New Roman"/>
          <w:sz w:val="24"/>
          <w:szCs w:val="24"/>
        </w:rPr>
      </w:pPr>
      <w:r>
        <w:rPr>
          <w:rFonts w:ascii="Times New Roman" w:hAnsi="Times New Roman"/>
          <w:sz w:val="24"/>
          <w:szCs w:val="24"/>
        </w:rPr>
        <w:t>In 2013, t</w:t>
      </w:r>
      <w:r w:rsidRPr="00714B9A">
        <w:rPr>
          <w:rFonts w:ascii="Times New Roman" w:hAnsi="Times New Roman"/>
          <w:sz w:val="24"/>
          <w:szCs w:val="24"/>
        </w:rPr>
        <w:t xml:space="preserve">he </w:t>
      </w:r>
      <w:r>
        <w:rPr>
          <w:rFonts w:ascii="Times New Roman" w:hAnsi="Times New Roman"/>
          <w:i/>
          <w:sz w:val="24"/>
          <w:szCs w:val="24"/>
        </w:rPr>
        <w:t xml:space="preserve">Sex Discrimination Act 1984 </w:t>
      </w:r>
      <w:r>
        <w:rPr>
          <w:rFonts w:ascii="Times New Roman" w:hAnsi="Times New Roman"/>
          <w:sz w:val="24"/>
          <w:szCs w:val="24"/>
        </w:rPr>
        <w:t>was amended to provide</w:t>
      </w:r>
      <w:r w:rsidRPr="00714B9A">
        <w:rPr>
          <w:rFonts w:ascii="Times New Roman" w:hAnsi="Times New Roman"/>
          <w:sz w:val="24"/>
          <w:szCs w:val="24"/>
        </w:rPr>
        <w:t xml:space="preserve"> protection against discrimination on the basis of sexual orientation, gender identity and intersex status</w:t>
      </w:r>
      <w:r>
        <w:rPr>
          <w:rFonts w:ascii="Times New Roman" w:hAnsi="Times New Roman"/>
          <w:sz w:val="24"/>
          <w:szCs w:val="24"/>
        </w:rPr>
        <w:t>.  At the same time, new s</w:t>
      </w:r>
      <w:r w:rsidRPr="00A72430">
        <w:rPr>
          <w:rFonts w:ascii="Times New Roman" w:hAnsi="Times New Roman"/>
          <w:sz w:val="24"/>
          <w:szCs w:val="24"/>
        </w:rPr>
        <w:t xml:space="preserve">ubsection 40(2B) </w:t>
      </w:r>
      <w:r>
        <w:rPr>
          <w:rFonts w:ascii="Times New Roman" w:hAnsi="Times New Roman"/>
          <w:sz w:val="24"/>
          <w:szCs w:val="24"/>
        </w:rPr>
        <w:t>was i</w:t>
      </w:r>
      <w:r w:rsidR="00553598">
        <w:rPr>
          <w:rFonts w:ascii="Times New Roman" w:hAnsi="Times New Roman"/>
          <w:sz w:val="24"/>
          <w:szCs w:val="24"/>
        </w:rPr>
        <w:t>nserted</w:t>
      </w:r>
      <w:r>
        <w:rPr>
          <w:rFonts w:ascii="Times New Roman" w:hAnsi="Times New Roman"/>
          <w:sz w:val="24"/>
          <w:szCs w:val="24"/>
        </w:rPr>
        <w:t xml:space="preserve"> to </w:t>
      </w:r>
      <w:r w:rsidRPr="00A72430">
        <w:rPr>
          <w:rFonts w:ascii="Times New Roman" w:hAnsi="Times New Roman"/>
          <w:sz w:val="24"/>
          <w:szCs w:val="24"/>
        </w:rPr>
        <w:t>provide an exemption for conduct that would otherwise be discrimination on the grounds of sexual orientation (section 5A), gender identity (section 5B) or intersex status (section 5C) if the conduct is in direct compliance with a Commonwealth, State or Territory law prescribed by regulations.</w:t>
      </w:r>
    </w:p>
    <w:p w:rsidR="00CE040B" w:rsidRDefault="00CE040B" w:rsidP="00CE040B">
      <w:pPr>
        <w:rPr>
          <w:rFonts w:ascii="Times New Roman" w:hAnsi="Times New Roman"/>
          <w:sz w:val="24"/>
          <w:szCs w:val="24"/>
        </w:rPr>
      </w:pPr>
      <w:r>
        <w:rPr>
          <w:rFonts w:ascii="Times New Roman" w:hAnsi="Times New Roman"/>
          <w:sz w:val="24"/>
          <w:szCs w:val="24"/>
        </w:rPr>
        <w:t xml:space="preserve">In 2013, the </w:t>
      </w:r>
      <w:r w:rsidRPr="00B75B31">
        <w:rPr>
          <w:rFonts w:ascii="Times New Roman" w:hAnsi="Times New Roman"/>
          <w:i/>
          <w:sz w:val="24"/>
          <w:szCs w:val="24"/>
        </w:rPr>
        <w:t>Sex Discrimination Regulations 1984</w:t>
      </w:r>
      <w:r>
        <w:rPr>
          <w:rFonts w:ascii="Times New Roman" w:hAnsi="Times New Roman"/>
          <w:sz w:val="24"/>
          <w:szCs w:val="24"/>
        </w:rPr>
        <w:t xml:space="preserve"> were amended to </w:t>
      </w:r>
      <w:r w:rsidR="00553598">
        <w:rPr>
          <w:rFonts w:ascii="Times New Roman" w:hAnsi="Times New Roman"/>
          <w:sz w:val="24"/>
          <w:szCs w:val="24"/>
        </w:rPr>
        <w:t>prescribe</w:t>
      </w:r>
      <w:r>
        <w:rPr>
          <w:rFonts w:ascii="Times New Roman" w:eastAsia="Times New Roman" w:hAnsi="Times New Roman"/>
          <w:bCs/>
          <w:i/>
          <w:sz w:val="24"/>
          <w:szCs w:val="24"/>
          <w:lang w:eastAsia="en-AU"/>
        </w:rPr>
        <w:t xml:space="preserve"> </w:t>
      </w:r>
      <w:r>
        <w:rPr>
          <w:rFonts w:ascii="Times New Roman" w:eastAsia="Times New Roman" w:hAnsi="Times New Roman"/>
          <w:bCs/>
          <w:sz w:val="24"/>
          <w:szCs w:val="24"/>
          <w:lang w:eastAsia="en-AU"/>
        </w:rPr>
        <w:t xml:space="preserve">all Commonwealth, State and Territory laws </w:t>
      </w:r>
      <w:r w:rsidRPr="00A72430">
        <w:rPr>
          <w:rFonts w:ascii="Times New Roman" w:eastAsia="Times New Roman" w:hAnsi="Times New Roman"/>
          <w:bCs/>
          <w:sz w:val="24"/>
          <w:szCs w:val="24"/>
          <w:lang w:eastAsia="en-AU"/>
        </w:rPr>
        <w:t>as in force at 1</w:t>
      </w:r>
      <w:r>
        <w:rPr>
          <w:rFonts w:ascii="Times New Roman" w:eastAsia="Times New Roman" w:hAnsi="Times New Roman"/>
          <w:bCs/>
          <w:sz w:val="24"/>
          <w:szCs w:val="24"/>
          <w:lang w:eastAsia="en-AU"/>
        </w:rPr>
        <w:t> </w:t>
      </w:r>
      <w:r w:rsidRPr="00A72430">
        <w:rPr>
          <w:rFonts w:ascii="Times New Roman" w:eastAsia="Times New Roman" w:hAnsi="Times New Roman"/>
          <w:bCs/>
          <w:sz w:val="24"/>
          <w:szCs w:val="24"/>
          <w:lang w:eastAsia="en-AU"/>
        </w:rPr>
        <w:t>August</w:t>
      </w:r>
      <w:r>
        <w:rPr>
          <w:rFonts w:ascii="Times New Roman" w:eastAsia="Times New Roman" w:hAnsi="Times New Roman"/>
          <w:bCs/>
          <w:sz w:val="24"/>
          <w:szCs w:val="24"/>
          <w:lang w:eastAsia="en-AU"/>
        </w:rPr>
        <w:t> </w:t>
      </w:r>
      <w:r w:rsidRPr="00A72430">
        <w:rPr>
          <w:rFonts w:ascii="Times New Roman" w:eastAsia="Times New Roman" w:hAnsi="Times New Roman"/>
          <w:bCs/>
          <w:sz w:val="24"/>
          <w:szCs w:val="24"/>
          <w:lang w:eastAsia="en-AU"/>
        </w:rPr>
        <w:t xml:space="preserve">2013 </w:t>
      </w:r>
      <w:r w:rsidRPr="00714B9A">
        <w:rPr>
          <w:rFonts w:ascii="Times New Roman" w:hAnsi="Times New Roman"/>
          <w:sz w:val="24"/>
          <w:szCs w:val="24"/>
        </w:rPr>
        <w:t>for the purposes of</w:t>
      </w:r>
      <w:r>
        <w:rPr>
          <w:rFonts w:ascii="Times New Roman" w:eastAsia="Times New Roman" w:hAnsi="Times New Roman"/>
          <w:bCs/>
          <w:sz w:val="24"/>
          <w:szCs w:val="24"/>
          <w:lang w:eastAsia="en-AU"/>
        </w:rPr>
        <w:t xml:space="preserve"> </w:t>
      </w:r>
      <w:r w:rsidRPr="00714B9A">
        <w:rPr>
          <w:rFonts w:ascii="Times New Roman" w:hAnsi="Times New Roman"/>
          <w:sz w:val="24"/>
          <w:szCs w:val="24"/>
        </w:rPr>
        <w:t>subsection 40(2B)</w:t>
      </w:r>
      <w:r>
        <w:rPr>
          <w:rFonts w:ascii="Times New Roman" w:hAnsi="Times New Roman"/>
          <w:sz w:val="24"/>
          <w:szCs w:val="24"/>
        </w:rPr>
        <w:t xml:space="preserve"> </w:t>
      </w:r>
      <w:r>
        <w:rPr>
          <w:rFonts w:ascii="Times New Roman" w:eastAsia="Times New Roman" w:hAnsi="Times New Roman"/>
          <w:bCs/>
          <w:sz w:val="24"/>
          <w:szCs w:val="24"/>
          <w:lang w:eastAsia="en-AU"/>
        </w:rPr>
        <w:t>until 31 July 2014 to allow time for Commonwe</w:t>
      </w:r>
      <w:r w:rsidR="00553598">
        <w:rPr>
          <w:rFonts w:ascii="Times New Roman" w:eastAsia="Times New Roman" w:hAnsi="Times New Roman"/>
          <w:bCs/>
          <w:sz w:val="24"/>
          <w:szCs w:val="24"/>
          <w:lang w:eastAsia="en-AU"/>
        </w:rPr>
        <w:t>alth, States and Territories to</w:t>
      </w:r>
      <w:r w:rsidRPr="00561090">
        <w:rPr>
          <w:rFonts w:ascii="Times New Roman" w:hAnsi="Times New Roman"/>
          <w:sz w:val="24"/>
          <w:szCs w:val="24"/>
        </w:rPr>
        <w:t xml:space="preserve"> review </w:t>
      </w:r>
      <w:r w:rsidR="00553598">
        <w:rPr>
          <w:rFonts w:ascii="Times New Roman" w:hAnsi="Times New Roman"/>
          <w:sz w:val="24"/>
          <w:szCs w:val="24"/>
        </w:rPr>
        <w:t xml:space="preserve">their </w:t>
      </w:r>
      <w:r w:rsidRPr="00561090">
        <w:rPr>
          <w:rFonts w:ascii="Times New Roman" w:hAnsi="Times New Roman"/>
          <w:sz w:val="24"/>
          <w:szCs w:val="24"/>
        </w:rPr>
        <w:t xml:space="preserve">laws to assess whether they comply with the </w:t>
      </w:r>
      <w:r>
        <w:rPr>
          <w:rFonts w:ascii="Times New Roman" w:hAnsi="Times New Roman"/>
          <w:sz w:val="24"/>
          <w:szCs w:val="24"/>
        </w:rPr>
        <w:t>new protections against discrimination</w:t>
      </w:r>
      <w:r>
        <w:rPr>
          <w:rFonts w:ascii="Times New Roman" w:eastAsia="Times New Roman" w:hAnsi="Times New Roman"/>
          <w:bCs/>
          <w:sz w:val="24"/>
          <w:szCs w:val="24"/>
          <w:lang w:eastAsia="en-AU"/>
        </w:rPr>
        <w:t xml:space="preserve">. </w:t>
      </w:r>
    </w:p>
    <w:p w:rsidR="00CE040B" w:rsidRPr="00714B9A" w:rsidRDefault="00CE040B" w:rsidP="00CE040B">
      <w:pPr>
        <w:rPr>
          <w:rFonts w:ascii="Times New Roman" w:hAnsi="Times New Roman"/>
          <w:sz w:val="24"/>
          <w:szCs w:val="24"/>
        </w:rPr>
      </w:pPr>
      <w:r w:rsidRPr="00714B9A">
        <w:rPr>
          <w:rFonts w:ascii="Times New Roman" w:hAnsi="Times New Roman"/>
          <w:sz w:val="24"/>
          <w:szCs w:val="24"/>
        </w:rPr>
        <w:t xml:space="preserve">This Legislative Instrument </w:t>
      </w:r>
      <w:r>
        <w:rPr>
          <w:rFonts w:ascii="Times New Roman" w:hAnsi="Times New Roman"/>
          <w:sz w:val="24"/>
          <w:szCs w:val="24"/>
        </w:rPr>
        <w:t xml:space="preserve">amends the </w:t>
      </w:r>
      <w:r w:rsidRPr="00B75B31">
        <w:rPr>
          <w:rFonts w:ascii="Times New Roman" w:hAnsi="Times New Roman"/>
          <w:sz w:val="24"/>
          <w:szCs w:val="24"/>
        </w:rPr>
        <w:t xml:space="preserve">Sex Discrimination Regulations </w:t>
      </w:r>
      <w:r>
        <w:rPr>
          <w:rFonts w:ascii="Times New Roman" w:hAnsi="Times New Roman"/>
          <w:sz w:val="24"/>
          <w:szCs w:val="24"/>
        </w:rPr>
        <w:t xml:space="preserve">to extend the </w:t>
      </w:r>
      <w:r w:rsidRPr="00714B9A">
        <w:rPr>
          <w:rFonts w:ascii="Times New Roman" w:hAnsi="Times New Roman"/>
          <w:sz w:val="24"/>
          <w:szCs w:val="24"/>
        </w:rPr>
        <w:t>prescri</w:t>
      </w:r>
      <w:r>
        <w:rPr>
          <w:rFonts w:ascii="Times New Roman" w:hAnsi="Times New Roman"/>
          <w:sz w:val="24"/>
          <w:szCs w:val="24"/>
        </w:rPr>
        <w:t>ption of</w:t>
      </w:r>
      <w:r w:rsidRPr="00714B9A">
        <w:rPr>
          <w:rFonts w:ascii="Times New Roman" w:hAnsi="Times New Roman"/>
          <w:sz w:val="24"/>
          <w:szCs w:val="24"/>
        </w:rPr>
        <w:t xml:space="preserve"> all State and Territory laws</w:t>
      </w:r>
      <w:r>
        <w:rPr>
          <w:rFonts w:ascii="Times New Roman" w:hAnsi="Times New Roman"/>
          <w:sz w:val="24"/>
          <w:szCs w:val="24"/>
        </w:rPr>
        <w:t xml:space="preserve"> in force at 1 August 2013</w:t>
      </w:r>
      <w:r w:rsidRPr="00714B9A">
        <w:rPr>
          <w:rFonts w:ascii="Times New Roman" w:hAnsi="Times New Roman"/>
          <w:sz w:val="24"/>
          <w:szCs w:val="24"/>
        </w:rPr>
        <w:t xml:space="preserve"> for </w:t>
      </w:r>
      <w:r>
        <w:rPr>
          <w:rFonts w:ascii="Times New Roman" w:hAnsi="Times New Roman"/>
          <w:sz w:val="24"/>
          <w:szCs w:val="24"/>
        </w:rPr>
        <w:t>a further 12 months until 31 July 2015. The amendments also remove the exemption for all Commonwealth laws.</w:t>
      </w:r>
    </w:p>
    <w:p w:rsidR="00CE040B" w:rsidRDefault="00CE040B" w:rsidP="00CE040B">
      <w:pPr>
        <w:pStyle w:val="Paragraph"/>
        <w:spacing w:before="100" w:beforeAutospacing="1" w:after="120"/>
        <w:rPr>
          <w:b/>
          <w:i/>
          <w:iCs/>
          <w:szCs w:val="24"/>
        </w:rPr>
      </w:pPr>
      <w:r w:rsidRPr="004369A5">
        <w:rPr>
          <w:b/>
          <w:iCs/>
          <w:szCs w:val="24"/>
        </w:rPr>
        <w:t xml:space="preserve">Human rights implications </w:t>
      </w:r>
    </w:p>
    <w:p w:rsidR="00CE040B" w:rsidRPr="00AD707E" w:rsidRDefault="00CE040B" w:rsidP="00CE040B">
      <w:pPr>
        <w:pStyle w:val="Paragraph"/>
        <w:spacing w:before="100" w:beforeAutospacing="1" w:after="120"/>
        <w:rPr>
          <w:b/>
          <w:i/>
          <w:iCs/>
          <w:szCs w:val="24"/>
        </w:rPr>
      </w:pPr>
      <w:r>
        <w:rPr>
          <w:b/>
          <w:i/>
          <w:iCs/>
          <w:szCs w:val="24"/>
        </w:rPr>
        <w:t>T</w:t>
      </w:r>
      <w:r w:rsidRPr="001526A4">
        <w:rPr>
          <w:b/>
          <w:i/>
          <w:iCs/>
          <w:szCs w:val="24"/>
        </w:rPr>
        <w:t xml:space="preserve">he </w:t>
      </w:r>
      <w:r w:rsidRPr="009F36B6">
        <w:rPr>
          <w:b/>
          <w:i/>
          <w:iCs/>
          <w:szCs w:val="24"/>
        </w:rPr>
        <w:t>right</w:t>
      </w:r>
      <w:r w:rsidRPr="00AD707E">
        <w:rPr>
          <w:b/>
          <w:i/>
          <w:iCs/>
          <w:szCs w:val="24"/>
        </w:rPr>
        <w:t xml:space="preserve"> to equality and non-discrimination</w:t>
      </w:r>
    </w:p>
    <w:p w:rsidR="00CE040B" w:rsidRDefault="00CE040B" w:rsidP="00CE040B">
      <w:pPr>
        <w:rPr>
          <w:rFonts w:ascii="Times New Roman" w:hAnsi="Times New Roman"/>
          <w:sz w:val="24"/>
          <w:szCs w:val="24"/>
        </w:rPr>
      </w:pPr>
      <w:r w:rsidRPr="00901AC2">
        <w:rPr>
          <w:rFonts w:ascii="Times New Roman" w:hAnsi="Times New Roman"/>
          <w:sz w:val="24"/>
          <w:szCs w:val="24"/>
        </w:rPr>
        <w:t>By</w:t>
      </w:r>
      <w:r>
        <w:rPr>
          <w:rFonts w:ascii="Times New Roman" w:hAnsi="Times New Roman"/>
          <w:sz w:val="24"/>
          <w:szCs w:val="24"/>
        </w:rPr>
        <w:t xml:space="preserve"> extending the </w:t>
      </w:r>
      <w:r w:rsidRPr="00901AC2">
        <w:rPr>
          <w:rFonts w:ascii="Times New Roman" w:hAnsi="Times New Roman"/>
          <w:sz w:val="24"/>
          <w:szCs w:val="24"/>
        </w:rPr>
        <w:t>prescri</w:t>
      </w:r>
      <w:r>
        <w:rPr>
          <w:rFonts w:ascii="Times New Roman" w:hAnsi="Times New Roman"/>
          <w:sz w:val="24"/>
          <w:szCs w:val="24"/>
        </w:rPr>
        <w:t xml:space="preserve">ption of </w:t>
      </w:r>
      <w:r w:rsidRPr="00901AC2">
        <w:rPr>
          <w:rFonts w:ascii="Times New Roman" w:hAnsi="Times New Roman"/>
          <w:sz w:val="24"/>
          <w:szCs w:val="24"/>
        </w:rPr>
        <w:t>State and Territory laws</w:t>
      </w:r>
      <w:r>
        <w:rPr>
          <w:rFonts w:ascii="Times New Roman" w:hAnsi="Times New Roman"/>
          <w:sz w:val="24"/>
          <w:szCs w:val="24"/>
        </w:rPr>
        <w:t xml:space="preserve"> and removing the prescription for Commonwealth laws,</w:t>
      </w:r>
      <w:r w:rsidRPr="00901AC2">
        <w:rPr>
          <w:rFonts w:ascii="Times New Roman" w:hAnsi="Times New Roman"/>
          <w:sz w:val="24"/>
          <w:szCs w:val="24"/>
        </w:rPr>
        <w:t xml:space="preserve"> the amendments to the Sex Discrimination </w:t>
      </w:r>
      <w:r w:rsidR="00553598">
        <w:rPr>
          <w:rFonts w:ascii="Times New Roman" w:hAnsi="Times New Roman"/>
          <w:sz w:val="24"/>
          <w:szCs w:val="24"/>
        </w:rPr>
        <w:t>R</w:t>
      </w:r>
      <w:r w:rsidRPr="00901AC2">
        <w:rPr>
          <w:rFonts w:ascii="Times New Roman" w:hAnsi="Times New Roman"/>
          <w:sz w:val="24"/>
          <w:szCs w:val="24"/>
        </w:rPr>
        <w:t>egulations engage the right to equality and non-discrimination in articles 2 and 26 of the I</w:t>
      </w:r>
      <w:r>
        <w:rPr>
          <w:rFonts w:ascii="Times New Roman" w:hAnsi="Times New Roman"/>
          <w:sz w:val="24"/>
          <w:szCs w:val="24"/>
        </w:rPr>
        <w:t xml:space="preserve">nternational </w:t>
      </w:r>
      <w:r w:rsidRPr="00901AC2">
        <w:rPr>
          <w:rFonts w:ascii="Times New Roman" w:hAnsi="Times New Roman"/>
          <w:sz w:val="24"/>
          <w:szCs w:val="24"/>
        </w:rPr>
        <w:t>C</w:t>
      </w:r>
      <w:r>
        <w:rPr>
          <w:rFonts w:ascii="Times New Roman" w:hAnsi="Times New Roman"/>
          <w:sz w:val="24"/>
          <w:szCs w:val="24"/>
        </w:rPr>
        <w:t xml:space="preserve">ovenant on </w:t>
      </w:r>
      <w:r w:rsidRPr="00901AC2">
        <w:rPr>
          <w:rFonts w:ascii="Times New Roman" w:hAnsi="Times New Roman"/>
          <w:sz w:val="24"/>
          <w:szCs w:val="24"/>
        </w:rPr>
        <w:t>C</w:t>
      </w:r>
      <w:r>
        <w:rPr>
          <w:rFonts w:ascii="Times New Roman" w:hAnsi="Times New Roman"/>
          <w:sz w:val="24"/>
          <w:szCs w:val="24"/>
        </w:rPr>
        <w:t xml:space="preserve">ivil and </w:t>
      </w:r>
      <w:r w:rsidRPr="00901AC2">
        <w:rPr>
          <w:rFonts w:ascii="Times New Roman" w:hAnsi="Times New Roman"/>
          <w:sz w:val="24"/>
          <w:szCs w:val="24"/>
        </w:rPr>
        <w:t>P</w:t>
      </w:r>
      <w:r>
        <w:rPr>
          <w:rFonts w:ascii="Times New Roman" w:hAnsi="Times New Roman"/>
          <w:sz w:val="24"/>
          <w:szCs w:val="24"/>
        </w:rPr>
        <w:t xml:space="preserve">olitical </w:t>
      </w:r>
      <w:r w:rsidRPr="00901AC2">
        <w:rPr>
          <w:rFonts w:ascii="Times New Roman" w:hAnsi="Times New Roman"/>
          <w:sz w:val="24"/>
          <w:szCs w:val="24"/>
        </w:rPr>
        <w:t>R</w:t>
      </w:r>
      <w:r>
        <w:rPr>
          <w:rFonts w:ascii="Times New Roman" w:hAnsi="Times New Roman"/>
          <w:sz w:val="24"/>
          <w:szCs w:val="24"/>
        </w:rPr>
        <w:t>ights</w:t>
      </w:r>
      <w:r w:rsidRPr="00901AC2">
        <w:rPr>
          <w:rFonts w:ascii="Times New Roman" w:hAnsi="Times New Roman"/>
          <w:sz w:val="24"/>
          <w:szCs w:val="24"/>
        </w:rPr>
        <w:t xml:space="preserve"> </w:t>
      </w:r>
      <w:r>
        <w:rPr>
          <w:rFonts w:ascii="Times New Roman" w:hAnsi="Times New Roman"/>
          <w:sz w:val="24"/>
          <w:szCs w:val="24"/>
        </w:rPr>
        <w:t xml:space="preserve">(ICCPR) </w:t>
      </w:r>
      <w:r w:rsidRPr="00901AC2">
        <w:rPr>
          <w:rFonts w:ascii="Times New Roman" w:hAnsi="Times New Roman"/>
          <w:sz w:val="24"/>
          <w:szCs w:val="24"/>
        </w:rPr>
        <w:t>and article 2(2) of the I</w:t>
      </w:r>
      <w:r>
        <w:rPr>
          <w:rFonts w:ascii="Times New Roman" w:hAnsi="Times New Roman"/>
          <w:sz w:val="24"/>
          <w:szCs w:val="24"/>
        </w:rPr>
        <w:t xml:space="preserve">nternational </w:t>
      </w:r>
      <w:r w:rsidRPr="00901AC2">
        <w:rPr>
          <w:rFonts w:ascii="Times New Roman" w:hAnsi="Times New Roman"/>
          <w:sz w:val="24"/>
          <w:szCs w:val="24"/>
        </w:rPr>
        <w:t>C</w:t>
      </w:r>
      <w:r>
        <w:rPr>
          <w:rFonts w:ascii="Times New Roman" w:hAnsi="Times New Roman"/>
          <w:sz w:val="24"/>
          <w:szCs w:val="24"/>
        </w:rPr>
        <w:t xml:space="preserve">ovenant on </w:t>
      </w:r>
      <w:r w:rsidRPr="00901AC2">
        <w:rPr>
          <w:rFonts w:ascii="Times New Roman" w:hAnsi="Times New Roman"/>
          <w:sz w:val="24"/>
          <w:szCs w:val="24"/>
        </w:rPr>
        <w:t>E</w:t>
      </w:r>
      <w:r>
        <w:rPr>
          <w:rFonts w:ascii="Times New Roman" w:hAnsi="Times New Roman"/>
          <w:sz w:val="24"/>
          <w:szCs w:val="24"/>
        </w:rPr>
        <w:t xml:space="preserve">conomic, </w:t>
      </w:r>
      <w:r w:rsidRPr="00901AC2">
        <w:rPr>
          <w:rFonts w:ascii="Times New Roman" w:hAnsi="Times New Roman"/>
          <w:sz w:val="24"/>
          <w:szCs w:val="24"/>
        </w:rPr>
        <w:t>S</w:t>
      </w:r>
      <w:r>
        <w:rPr>
          <w:rFonts w:ascii="Times New Roman" w:hAnsi="Times New Roman"/>
          <w:sz w:val="24"/>
          <w:szCs w:val="24"/>
        </w:rPr>
        <w:t xml:space="preserve">ocial and </w:t>
      </w:r>
      <w:r w:rsidRPr="00901AC2">
        <w:rPr>
          <w:rFonts w:ascii="Times New Roman" w:hAnsi="Times New Roman"/>
          <w:sz w:val="24"/>
          <w:szCs w:val="24"/>
        </w:rPr>
        <w:t>C</w:t>
      </w:r>
      <w:r>
        <w:rPr>
          <w:rFonts w:ascii="Times New Roman" w:hAnsi="Times New Roman"/>
          <w:sz w:val="24"/>
          <w:szCs w:val="24"/>
        </w:rPr>
        <w:t xml:space="preserve">ultural </w:t>
      </w:r>
      <w:r w:rsidRPr="00901AC2">
        <w:rPr>
          <w:rFonts w:ascii="Times New Roman" w:hAnsi="Times New Roman"/>
          <w:sz w:val="24"/>
          <w:szCs w:val="24"/>
        </w:rPr>
        <w:t>R</w:t>
      </w:r>
      <w:r>
        <w:rPr>
          <w:rFonts w:ascii="Times New Roman" w:hAnsi="Times New Roman"/>
          <w:sz w:val="24"/>
          <w:szCs w:val="24"/>
        </w:rPr>
        <w:t>ights</w:t>
      </w:r>
      <w:r w:rsidRPr="00901AC2">
        <w:rPr>
          <w:rFonts w:ascii="Times New Roman" w:hAnsi="Times New Roman"/>
          <w:sz w:val="24"/>
          <w:szCs w:val="24"/>
        </w:rPr>
        <w:t>.</w:t>
      </w:r>
    </w:p>
    <w:p w:rsidR="00CE040B" w:rsidRDefault="00CE040B" w:rsidP="00CE040B">
      <w:pPr>
        <w:rPr>
          <w:rFonts w:ascii="Times New Roman" w:hAnsi="Times New Roman"/>
          <w:sz w:val="24"/>
          <w:szCs w:val="24"/>
        </w:rPr>
      </w:pPr>
      <w:r w:rsidRPr="00135DAD">
        <w:rPr>
          <w:rFonts w:ascii="Times New Roman" w:hAnsi="Times New Roman"/>
          <w:sz w:val="24"/>
          <w:szCs w:val="24"/>
        </w:rPr>
        <w:t>The right to equality and non-discrimination provide</w:t>
      </w:r>
      <w:r>
        <w:rPr>
          <w:rFonts w:ascii="Times New Roman" w:hAnsi="Times New Roman"/>
          <w:sz w:val="24"/>
          <w:szCs w:val="24"/>
        </w:rPr>
        <w:t>s</w:t>
      </w:r>
      <w:r w:rsidRPr="00135DAD">
        <w:rPr>
          <w:rFonts w:ascii="Times New Roman" w:hAnsi="Times New Roman"/>
          <w:sz w:val="24"/>
          <w:szCs w:val="24"/>
        </w:rPr>
        <w:t xml:space="preserve"> that all persons are equal before the law and entitled, without any discrimination, to the equal protection of the law.</w:t>
      </w:r>
      <w:r w:rsidR="000B42B7">
        <w:rPr>
          <w:rFonts w:ascii="Times New Roman" w:hAnsi="Times New Roman"/>
          <w:sz w:val="24"/>
          <w:szCs w:val="24"/>
        </w:rPr>
        <w:t xml:space="preserve"> As a result, laws should</w:t>
      </w:r>
      <w:r>
        <w:rPr>
          <w:rFonts w:ascii="Times New Roman" w:hAnsi="Times New Roman"/>
          <w:sz w:val="24"/>
          <w:szCs w:val="24"/>
        </w:rPr>
        <w:t xml:space="preserve"> prohibit discrimination and guarantee to all persons equal and effective protection against discrimination on any ground such as race, colour, sex, language, religion, political or other opinion, national or social origin, property, birth or ‘other status’.</w:t>
      </w:r>
      <w:r w:rsidR="00AA5363">
        <w:rPr>
          <w:rFonts w:ascii="Times New Roman" w:hAnsi="Times New Roman"/>
          <w:sz w:val="24"/>
          <w:szCs w:val="24"/>
        </w:rPr>
        <w:t xml:space="preserve"> T</w:t>
      </w:r>
      <w:r>
        <w:rPr>
          <w:rFonts w:ascii="Times New Roman" w:hAnsi="Times New Roman"/>
          <w:sz w:val="24"/>
          <w:szCs w:val="24"/>
        </w:rPr>
        <w:t xml:space="preserve">he United Nations Human Rights Committee </w:t>
      </w:r>
      <w:r w:rsidR="00AA5363">
        <w:rPr>
          <w:rFonts w:ascii="Times New Roman" w:hAnsi="Times New Roman"/>
          <w:sz w:val="24"/>
          <w:szCs w:val="24"/>
        </w:rPr>
        <w:t xml:space="preserve">has found that ‘other status’ </w:t>
      </w:r>
      <w:r>
        <w:rPr>
          <w:rFonts w:ascii="Times New Roman" w:hAnsi="Times New Roman"/>
          <w:sz w:val="24"/>
          <w:szCs w:val="24"/>
        </w:rPr>
        <w:t>include</w:t>
      </w:r>
      <w:r w:rsidR="00AA5363">
        <w:rPr>
          <w:rFonts w:ascii="Times New Roman" w:hAnsi="Times New Roman"/>
          <w:sz w:val="24"/>
          <w:szCs w:val="24"/>
        </w:rPr>
        <w:t>s sexual orientation.</w:t>
      </w:r>
    </w:p>
    <w:p w:rsidR="00AA5363" w:rsidRDefault="00AA5363" w:rsidP="00AA5363">
      <w:pPr>
        <w:rPr>
          <w:rFonts w:ascii="Times New Roman" w:hAnsi="Times New Roman"/>
          <w:sz w:val="24"/>
          <w:szCs w:val="24"/>
        </w:rPr>
      </w:pPr>
      <w:r>
        <w:rPr>
          <w:rFonts w:ascii="Times New Roman" w:hAnsi="Times New Roman"/>
          <w:sz w:val="24"/>
          <w:szCs w:val="24"/>
        </w:rPr>
        <w:t xml:space="preserve">The right to </w:t>
      </w:r>
      <w:r w:rsidRPr="00135DAD">
        <w:rPr>
          <w:rFonts w:ascii="Times New Roman" w:hAnsi="Times New Roman"/>
          <w:sz w:val="24"/>
          <w:szCs w:val="24"/>
        </w:rPr>
        <w:t>equality and non-discrimination</w:t>
      </w:r>
      <w:r>
        <w:rPr>
          <w:rFonts w:ascii="Times New Roman" w:hAnsi="Times New Roman"/>
          <w:sz w:val="24"/>
          <w:szCs w:val="24"/>
        </w:rPr>
        <w:t xml:space="preserve"> is subject to </w:t>
      </w:r>
      <w:r w:rsidRPr="00561090">
        <w:rPr>
          <w:rFonts w:ascii="Times New Roman" w:hAnsi="Times New Roman"/>
          <w:sz w:val="24"/>
          <w:szCs w:val="24"/>
        </w:rPr>
        <w:t>the international human rights law principle of `legitimate differential treatment</w:t>
      </w:r>
      <w:r>
        <w:rPr>
          <w:rFonts w:ascii="Times New Roman" w:hAnsi="Times New Roman"/>
          <w:sz w:val="24"/>
          <w:szCs w:val="24"/>
        </w:rPr>
        <w:t>.</w:t>
      </w:r>
      <w:r w:rsidRPr="00561090">
        <w:rPr>
          <w:rFonts w:ascii="Times New Roman" w:hAnsi="Times New Roman"/>
          <w:sz w:val="24"/>
          <w:szCs w:val="24"/>
        </w:rPr>
        <w:t>'</w:t>
      </w:r>
      <w:r>
        <w:rPr>
          <w:rFonts w:ascii="Times New Roman" w:hAnsi="Times New Roman"/>
          <w:sz w:val="24"/>
          <w:szCs w:val="24"/>
        </w:rPr>
        <w:t xml:space="preserve"> This principle</w:t>
      </w:r>
      <w:r w:rsidRPr="00561090">
        <w:rPr>
          <w:rFonts w:ascii="Times New Roman" w:hAnsi="Times New Roman"/>
          <w:sz w:val="24"/>
          <w:szCs w:val="24"/>
        </w:rPr>
        <w:t xml:space="preserve"> </w:t>
      </w:r>
      <w:r>
        <w:rPr>
          <w:rFonts w:ascii="Times New Roman" w:hAnsi="Times New Roman"/>
          <w:sz w:val="24"/>
          <w:szCs w:val="24"/>
        </w:rPr>
        <w:t>allow</w:t>
      </w:r>
      <w:r w:rsidRPr="00561090">
        <w:rPr>
          <w:rFonts w:ascii="Times New Roman" w:hAnsi="Times New Roman"/>
          <w:sz w:val="24"/>
          <w:szCs w:val="24"/>
        </w:rPr>
        <w:t xml:space="preserve">s particular groups of people to be treated differently </w:t>
      </w:r>
      <w:r>
        <w:rPr>
          <w:rFonts w:ascii="Times New Roman" w:hAnsi="Times New Roman"/>
          <w:sz w:val="24"/>
          <w:szCs w:val="24"/>
        </w:rPr>
        <w:t xml:space="preserve">where the treatment is </w:t>
      </w:r>
      <w:r w:rsidRPr="00561090">
        <w:rPr>
          <w:rFonts w:ascii="Times New Roman" w:hAnsi="Times New Roman"/>
          <w:sz w:val="24"/>
          <w:szCs w:val="24"/>
        </w:rPr>
        <w:t xml:space="preserve">aimed at achieving a legitimate </w:t>
      </w:r>
      <w:r w:rsidRPr="00561090">
        <w:rPr>
          <w:rFonts w:ascii="Times New Roman" w:hAnsi="Times New Roman"/>
          <w:sz w:val="24"/>
          <w:szCs w:val="24"/>
        </w:rPr>
        <w:lastRenderedPageBreak/>
        <w:t xml:space="preserve">objective, </w:t>
      </w:r>
      <w:r>
        <w:rPr>
          <w:rFonts w:ascii="Times New Roman" w:hAnsi="Times New Roman"/>
          <w:sz w:val="24"/>
          <w:szCs w:val="24"/>
        </w:rPr>
        <w:t xml:space="preserve">is </w:t>
      </w:r>
      <w:r w:rsidRPr="00561090">
        <w:rPr>
          <w:rFonts w:ascii="Times New Roman" w:hAnsi="Times New Roman"/>
          <w:sz w:val="24"/>
          <w:szCs w:val="24"/>
        </w:rPr>
        <w:t xml:space="preserve">based on reasonable and objective criteria and </w:t>
      </w:r>
      <w:r>
        <w:rPr>
          <w:rFonts w:ascii="Times New Roman" w:hAnsi="Times New Roman"/>
          <w:sz w:val="24"/>
          <w:szCs w:val="24"/>
        </w:rPr>
        <w:t>is</w:t>
      </w:r>
      <w:r w:rsidRPr="00561090">
        <w:rPr>
          <w:rFonts w:ascii="Times New Roman" w:hAnsi="Times New Roman"/>
          <w:sz w:val="24"/>
          <w:szCs w:val="24"/>
        </w:rPr>
        <w:t xml:space="preserve"> proportionate to the objective to be achieved.</w:t>
      </w:r>
    </w:p>
    <w:p w:rsidR="00CE040B" w:rsidRDefault="00CE040B" w:rsidP="00CE040B">
      <w:pPr>
        <w:rPr>
          <w:rFonts w:ascii="Times New Roman" w:eastAsia="Times New Roman" w:hAnsi="Times New Roman"/>
          <w:bCs/>
          <w:sz w:val="24"/>
          <w:szCs w:val="24"/>
          <w:lang w:eastAsia="en-AU"/>
        </w:rPr>
      </w:pPr>
      <w:r>
        <w:rPr>
          <w:rFonts w:ascii="Times New Roman" w:hAnsi="Times New Roman"/>
          <w:sz w:val="24"/>
          <w:szCs w:val="24"/>
        </w:rPr>
        <w:t>When the new protections against discrimination on the grounds of sexual orientation, gender identity and intersex status were put in place in August 2013, all</w:t>
      </w:r>
      <w:r>
        <w:rPr>
          <w:rFonts w:ascii="Times New Roman" w:eastAsia="Times New Roman" w:hAnsi="Times New Roman"/>
          <w:bCs/>
          <w:sz w:val="24"/>
          <w:szCs w:val="24"/>
          <w:lang w:eastAsia="en-AU"/>
        </w:rPr>
        <w:t xml:space="preserve"> Commonwealth, State and Territory laws were exempted</w:t>
      </w:r>
      <w:r>
        <w:rPr>
          <w:rFonts w:ascii="Times New Roman" w:hAnsi="Times New Roman"/>
          <w:sz w:val="24"/>
          <w:szCs w:val="24"/>
        </w:rPr>
        <w:t xml:space="preserve"> </w:t>
      </w:r>
      <w:r>
        <w:rPr>
          <w:rFonts w:ascii="Times New Roman" w:eastAsia="Times New Roman" w:hAnsi="Times New Roman"/>
          <w:bCs/>
          <w:sz w:val="24"/>
          <w:szCs w:val="24"/>
          <w:lang w:eastAsia="en-AU"/>
        </w:rPr>
        <w:t xml:space="preserve">until 31 July 2014 through prescription in the Sex Discrimination Regulations. </w:t>
      </w:r>
    </w:p>
    <w:p w:rsidR="00CE040B" w:rsidRDefault="00CE040B" w:rsidP="00CE040B">
      <w:pPr>
        <w:rPr>
          <w:rFonts w:ascii="Times New Roman" w:hAnsi="Times New Roman"/>
          <w:sz w:val="24"/>
          <w:szCs w:val="24"/>
        </w:rPr>
      </w:pPr>
      <w:r>
        <w:rPr>
          <w:rFonts w:ascii="Times New Roman" w:eastAsia="Times New Roman" w:hAnsi="Times New Roman"/>
          <w:bCs/>
          <w:sz w:val="24"/>
          <w:szCs w:val="24"/>
          <w:lang w:eastAsia="en-AU"/>
        </w:rPr>
        <w:t>This Legislative Instrument amends the Regulations to remove the prescription of all Commonwealth laws, which means that from 1 August 2014, conduct under all Commonwealth laws will be subject to the new protections against discrim</w:t>
      </w:r>
      <w:r w:rsidR="000B42B7">
        <w:rPr>
          <w:rFonts w:ascii="Times New Roman" w:eastAsia="Times New Roman" w:hAnsi="Times New Roman"/>
          <w:bCs/>
          <w:sz w:val="24"/>
          <w:szCs w:val="24"/>
          <w:lang w:eastAsia="en-AU"/>
        </w:rPr>
        <w:t>ination. This amendment protects</w:t>
      </w:r>
      <w:r>
        <w:rPr>
          <w:rFonts w:ascii="Times New Roman" w:eastAsia="Times New Roman" w:hAnsi="Times New Roman"/>
          <w:bCs/>
          <w:sz w:val="24"/>
          <w:szCs w:val="24"/>
          <w:lang w:eastAsia="en-AU"/>
        </w:rPr>
        <w:t xml:space="preserve"> the</w:t>
      </w:r>
      <w:r w:rsidRPr="00135DAD">
        <w:rPr>
          <w:rFonts w:ascii="Times New Roman" w:hAnsi="Times New Roman"/>
          <w:sz w:val="24"/>
          <w:szCs w:val="24"/>
        </w:rPr>
        <w:t xml:space="preserve"> right to equality and non-discrimination for </w:t>
      </w:r>
      <w:r>
        <w:rPr>
          <w:rFonts w:ascii="Times New Roman" w:hAnsi="Times New Roman"/>
          <w:sz w:val="24"/>
          <w:szCs w:val="24"/>
        </w:rPr>
        <w:t>lesbian, gay, bisexual, transgender and intersex</w:t>
      </w:r>
      <w:r w:rsidRPr="00135DAD">
        <w:rPr>
          <w:rFonts w:ascii="Times New Roman" w:hAnsi="Times New Roman"/>
          <w:sz w:val="24"/>
          <w:szCs w:val="24"/>
        </w:rPr>
        <w:t xml:space="preserve"> people</w:t>
      </w:r>
      <w:r>
        <w:rPr>
          <w:rFonts w:ascii="Times New Roman" w:hAnsi="Times New Roman"/>
          <w:sz w:val="24"/>
          <w:szCs w:val="24"/>
        </w:rPr>
        <w:t>.</w:t>
      </w:r>
      <w:r w:rsidR="007512EB">
        <w:rPr>
          <w:rFonts w:ascii="Times New Roman" w:hAnsi="Times New Roman"/>
          <w:sz w:val="24"/>
          <w:szCs w:val="24"/>
        </w:rPr>
        <w:t xml:space="preserve"> </w:t>
      </w:r>
    </w:p>
    <w:p w:rsidR="007512EB" w:rsidRDefault="007512EB" w:rsidP="00CE040B">
      <w:pPr>
        <w:rPr>
          <w:rFonts w:ascii="Times New Roman" w:hAnsi="Times New Roman"/>
          <w:sz w:val="24"/>
          <w:szCs w:val="24"/>
        </w:rPr>
      </w:pPr>
      <w:r>
        <w:rPr>
          <w:rFonts w:ascii="Times New Roman" w:eastAsia="Times New Roman" w:hAnsi="Times New Roman"/>
          <w:bCs/>
          <w:sz w:val="24"/>
          <w:szCs w:val="24"/>
          <w:lang w:eastAsia="en-AU"/>
        </w:rPr>
        <w:t>The Legislative Instrument also extends the prescription of State and Territory laws for a further 12 months. This means that anything done by a person in direct compliance with a State or Territory law will not be subject to the protection from discrimination on the grounds of sexual orientation, gender identity or intersex status in the Act during this period.</w:t>
      </w:r>
    </w:p>
    <w:p w:rsidR="00CE040B" w:rsidRDefault="00CE040B" w:rsidP="00CE040B">
      <w:pPr>
        <w:rPr>
          <w:rFonts w:ascii="Times New Roman" w:hAnsi="Times New Roman"/>
          <w:sz w:val="24"/>
          <w:szCs w:val="24"/>
        </w:rPr>
      </w:pPr>
      <w:r>
        <w:rPr>
          <w:rFonts w:ascii="Times New Roman" w:hAnsi="Times New Roman"/>
          <w:sz w:val="24"/>
          <w:szCs w:val="24"/>
        </w:rPr>
        <w:t>The extension of the prescription of State and Territory laws for a further twelve months is necessary to enable States and Territories to</w:t>
      </w:r>
      <w:r w:rsidRPr="00561090">
        <w:rPr>
          <w:rFonts w:ascii="Times New Roman" w:hAnsi="Times New Roman"/>
          <w:sz w:val="24"/>
          <w:szCs w:val="24"/>
        </w:rPr>
        <w:t xml:space="preserve"> </w:t>
      </w:r>
      <w:r>
        <w:rPr>
          <w:rFonts w:ascii="Times New Roman" w:hAnsi="Times New Roman"/>
          <w:sz w:val="24"/>
          <w:szCs w:val="24"/>
        </w:rPr>
        <w:t>complete a</w:t>
      </w:r>
      <w:r w:rsidRPr="00561090">
        <w:rPr>
          <w:rFonts w:ascii="Times New Roman" w:hAnsi="Times New Roman"/>
          <w:sz w:val="24"/>
          <w:szCs w:val="24"/>
        </w:rPr>
        <w:t xml:space="preserve"> review </w:t>
      </w:r>
      <w:r>
        <w:rPr>
          <w:rFonts w:ascii="Times New Roman" w:hAnsi="Times New Roman"/>
          <w:sz w:val="24"/>
          <w:szCs w:val="24"/>
        </w:rPr>
        <w:t xml:space="preserve">of </w:t>
      </w:r>
      <w:r w:rsidRPr="00561090">
        <w:rPr>
          <w:rFonts w:ascii="Times New Roman" w:hAnsi="Times New Roman"/>
          <w:sz w:val="24"/>
          <w:szCs w:val="24"/>
        </w:rPr>
        <w:t xml:space="preserve">laws </w:t>
      </w:r>
      <w:r>
        <w:rPr>
          <w:rFonts w:ascii="Times New Roman" w:hAnsi="Times New Roman"/>
          <w:sz w:val="24"/>
          <w:szCs w:val="24"/>
        </w:rPr>
        <w:t xml:space="preserve">for consistency </w:t>
      </w:r>
      <w:r w:rsidRPr="00561090">
        <w:rPr>
          <w:rFonts w:ascii="Times New Roman" w:hAnsi="Times New Roman"/>
          <w:sz w:val="24"/>
          <w:szCs w:val="24"/>
        </w:rPr>
        <w:t>with the</w:t>
      </w:r>
      <w:r>
        <w:rPr>
          <w:rFonts w:ascii="Times New Roman" w:hAnsi="Times New Roman"/>
          <w:sz w:val="24"/>
          <w:szCs w:val="24"/>
        </w:rPr>
        <w:t xml:space="preserve"> new protections from discrimination on the grounds of sexual orientation, gender identity and intersex status in the Sex Discrimination Act. The amendment is therefore aimed at achieving the legitimate objective of providing additional time for States and Territories to complete the review of their laws. Steps have been taken to ensure the amended </w:t>
      </w:r>
      <w:r w:rsidR="00553598">
        <w:rPr>
          <w:rFonts w:ascii="Times New Roman" w:hAnsi="Times New Roman"/>
          <w:sz w:val="24"/>
          <w:szCs w:val="24"/>
        </w:rPr>
        <w:t>R</w:t>
      </w:r>
      <w:r>
        <w:rPr>
          <w:rFonts w:ascii="Times New Roman" w:hAnsi="Times New Roman"/>
          <w:sz w:val="24"/>
          <w:szCs w:val="24"/>
        </w:rPr>
        <w:t>egulations are no more restrictive than required to achieve the aim of allowing States and Territories adequate time to review their laws for consistency. Whether there are s</w:t>
      </w:r>
      <w:r w:rsidRPr="00561090">
        <w:rPr>
          <w:rFonts w:ascii="Times New Roman" w:hAnsi="Times New Roman"/>
          <w:sz w:val="24"/>
          <w:szCs w:val="24"/>
        </w:rPr>
        <w:t>pecific laws which need to be prescribed in the long term, provided there is a clear policy rationale for their prescription</w:t>
      </w:r>
      <w:r>
        <w:rPr>
          <w:rFonts w:ascii="Times New Roman" w:hAnsi="Times New Roman"/>
          <w:sz w:val="24"/>
          <w:szCs w:val="24"/>
        </w:rPr>
        <w:t>, will be determined during this period, in consultation with State and Territory governments</w:t>
      </w:r>
      <w:r w:rsidRPr="00561090">
        <w:rPr>
          <w:rFonts w:ascii="Times New Roman" w:hAnsi="Times New Roman"/>
          <w:sz w:val="24"/>
          <w:szCs w:val="24"/>
        </w:rPr>
        <w:t xml:space="preserve">. </w:t>
      </w:r>
      <w:r>
        <w:rPr>
          <w:rFonts w:ascii="Times New Roman" w:hAnsi="Times New Roman"/>
          <w:sz w:val="24"/>
          <w:szCs w:val="24"/>
        </w:rPr>
        <w:t xml:space="preserve">The limitation is also based on reasonable and objective criteria as it only extends to </w:t>
      </w:r>
      <w:r w:rsidRPr="007621ED">
        <w:rPr>
          <w:rFonts w:ascii="Times New Roman" w:hAnsi="Times New Roman"/>
          <w:sz w:val="24"/>
          <w:szCs w:val="24"/>
        </w:rPr>
        <w:t>State and Territory laws in force at 1 August 2013</w:t>
      </w:r>
      <w:r>
        <w:rPr>
          <w:rFonts w:ascii="Times New Roman" w:hAnsi="Times New Roman"/>
          <w:sz w:val="24"/>
          <w:szCs w:val="24"/>
        </w:rPr>
        <w:t xml:space="preserve">, which ensures any States and Territory laws passed after that date must comply with the new protections from discrimination on the grounds of sexual orientation, gender identity and intersex status. The limitation is proportionate as it is for a short time period. </w:t>
      </w:r>
    </w:p>
    <w:p w:rsidR="00CE040B" w:rsidRDefault="00CE040B" w:rsidP="00CE040B">
      <w:pPr>
        <w:rPr>
          <w:rFonts w:ascii="Times New Roman" w:hAnsi="Times New Roman"/>
          <w:sz w:val="24"/>
          <w:szCs w:val="24"/>
        </w:rPr>
      </w:pPr>
      <w:r>
        <w:rPr>
          <w:rFonts w:ascii="Times New Roman" w:hAnsi="Times New Roman"/>
          <w:sz w:val="24"/>
          <w:szCs w:val="24"/>
        </w:rPr>
        <w:t xml:space="preserve">The </w:t>
      </w:r>
      <w:r w:rsidRPr="00991896">
        <w:rPr>
          <w:rFonts w:ascii="Times New Roman" w:hAnsi="Times New Roman"/>
          <w:sz w:val="24"/>
          <w:szCs w:val="24"/>
        </w:rPr>
        <w:t>Australia</w:t>
      </w:r>
      <w:r>
        <w:rPr>
          <w:rFonts w:ascii="Times New Roman" w:hAnsi="Times New Roman"/>
          <w:sz w:val="24"/>
          <w:szCs w:val="24"/>
        </w:rPr>
        <w:t>n Government believe</w:t>
      </w:r>
      <w:r w:rsidRPr="00991896">
        <w:rPr>
          <w:rFonts w:ascii="Times New Roman" w:hAnsi="Times New Roman"/>
          <w:sz w:val="24"/>
          <w:szCs w:val="24"/>
        </w:rPr>
        <w:t>s all pe</w:t>
      </w:r>
      <w:r>
        <w:rPr>
          <w:rFonts w:ascii="Times New Roman" w:hAnsi="Times New Roman"/>
          <w:sz w:val="24"/>
          <w:szCs w:val="24"/>
        </w:rPr>
        <w:t xml:space="preserve">ople </w:t>
      </w:r>
      <w:r w:rsidRPr="00991896">
        <w:rPr>
          <w:rFonts w:ascii="Times New Roman" w:hAnsi="Times New Roman"/>
          <w:sz w:val="24"/>
          <w:szCs w:val="24"/>
        </w:rPr>
        <w:t>are entitled to respect, dignity and legal protection regardless of their sexual orientation</w:t>
      </w:r>
      <w:r>
        <w:rPr>
          <w:rFonts w:ascii="Times New Roman" w:hAnsi="Times New Roman"/>
          <w:sz w:val="24"/>
          <w:szCs w:val="24"/>
        </w:rPr>
        <w:t xml:space="preserve">, </w:t>
      </w:r>
      <w:r w:rsidRPr="00991896">
        <w:rPr>
          <w:rFonts w:ascii="Times New Roman" w:hAnsi="Times New Roman"/>
          <w:sz w:val="24"/>
          <w:szCs w:val="24"/>
        </w:rPr>
        <w:t>gender identity</w:t>
      </w:r>
      <w:r>
        <w:rPr>
          <w:rFonts w:ascii="Times New Roman" w:hAnsi="Times New Roman"/>
          <w:sz w:val="24"/>
          <w:szCs w:val="24"/>
        </w:rPr>
        <w:t xml:space="preserve"> or intersex status and will work with States and Territories over the prescription period, with a view to full application of the new protections against discrimination.</w:t>
      </w:r>
    </w:p>
    <w:p w:rsidR="00CE040B" w:rsidRPr="00561090" w:rsidRDefault="00CE040B" w:rsidP="00CE040B">
      <w:pPr>
        <w:keepNext/>
        <w:rPr>
          <w:rFonts w:ascii="Times New Roman" w:hAnsi="Times New Roman"/>
          <w:b/>
          <w:sz w:val="24"/>
          <w:szCs w:val="24"/>
        </w:rPr>
      </w:pPr>
      <w:r w:rsidRPr="00561090">
        <w:rPr>
          <w:rFonts w:ascii="Times New Roman" w:hAnsi="Times New Roman"/>
          <w:b/>
          <w:sz w:val="24"/>
          <w:szCs w:val="24"/>
        </w:rPr>
        <w:t>Conclusion</w:t>
      </w:r>
    </w:p>
    <w:p w:rsidR="00CE040B" w:rsidRDefault="00CE040B" w:rsidP="00CE040B">
      <w:r>
        <w:rPr>
          <w:rFonts w:ascii="Times New Roman" w:hAnsi="Times New Roman"/>
          <w:sz w:val="24"/>
          <w:szCs w:val="24"/>
        </w:rPr>
        <w:t xml:space="preserve">The Legislative Instrument is compatible with human rights because the limitations it places on the right to </w:t>
      </w:r>
      <w:r w:rsidRPr="00135DAD">
        <w:rPr>
          <w:rFonts w:ascii="Times New Roman" w:hAnsi="Times New Roman"/>
          <w:sz w:val="24"/>
          <w:szCs w:val="24"/>
        </w:rPr>
        <w:t>equality and non-discrimination</w:t>
      </w:r>
      <w:r>
        <w:rPr>
          <w:rFonts w:ascii="Times New Roman" w:hAnsi="Times New Roman"/>
          <w:sz w:val="24"/>
          <w:szCs w:val="24"/>
        </w:rPr>
        <w:t xml:space="preserve"> are reasonable, necessary and proportionate to achieving a legitimate aim.</w:t>
      </w:r>
    </w:p>
    <w:p w:rsidR="00CE040B" w:rsidRDefault="00CE040B">
      <w:pPr>
        <w:rPr>
          <w:rFonts w:ascii="Times New Roman" w:hAnsi="Times New Roman"/>
          <w:sz w:val="24"/>
          <w:szCs w:val="24"/>
        </w:rPr>
      </w:pPr>
      <w:r>
        <w:rPr>
          <w:rFonts w:ascii="Times New Roman" w:hAnsi="Times New Roman"/>
          <w:sz w:val="24"/>
          <w:szCs w:val="24"/>
        </w:rPr>
        <w:br w:type="page"/>
      </w:r>
    </w:p>
    <w:p w:rsidR="00CE040B" w:rsidRPr="00555FC2" w:rsidRDefault="00CE040B" w:rsidP="00CE040B">
      <w:pPr>
        <w:rPr>
          <w:rFonts w:ascii="Times New Roman" w:hAnsi="Times New Roman" w:cs="Times New Roman"/>
          <w:b/>
          <w:i/>
          <w:sz w:val="24"/>
          <w:szCs w:val="24"/>
          <w:u w:val="single"/>
        </w:rPr>
      </w:pPr>
      <w:r w:rsidRPr="00555FC2">
        <w:rPr>
          <w:rFonts w:ascii="Times New Roman" w:hAnsi="Times New Roman" w:cs="Times New Roman"/>
          <w:b/>
          <w:sz w:val="24"/>
          <w:szCs w:val="24"/>
          <w:u w:val="single"/>
        </w:rPr>
        <w:lastRenderedPageBreak/>
        <w:t xml:space="preserve">Details of the </w:t>
      </w:r>
      <w:r w:rsidRPr="00555FC2">
        <w:rPr>
          <w:rFonts w:ascii="Times New Roman" w:hAnsi="Times New Roman" w:cs="Times New Roman"/>
          <w:b/>
          <w:i/>
          <w:sz w:val="24"/>
          <w:szCs w:val="24"/>
          <w:u w:val="single"/>
        </w:rPr>
        <w:t>Sex Discrimination Amendment (</w:t>
      </w:r>
      <w:r w:rsidR="007C669C">
        <w:rPr>
          <w:rFonts w:ascii="Times New Roman" w:hAnsi="Times New Roman" w:cs="Times New Roman"/>
          <w:b/>
          <w:i/>
          <w:sz w:val="24"/>
          <w:szCs w:val="24"/>
          <w:u w:val="single"/>
        </w:rPr>
        <w:t>Exemptions</w:t>
      </w:r>
      <w:r w:rsidRPr="00555FC2">
        <w:rPr>
          <w:rFonts w:ascii="Times New Roman" w:hAnsi="Times New Roman" w:cs="Times New Roman"/>
          <w:b/>
          <w:i/>
          <w:sz w:val="24"/>
          <w:szCs w:val="24"/>
          <w:u w:val="single"/>
        </w:rPr>
        <w:t>) Regulation 201</w:t>
      </w:r>
      <w:r w:rsidR="007C669C">
        <w:rPr>
          <w:rFonts w:ascii="Times New Roman" w:hAnsi="Times New Roman" w:cs="Times New Roman"/>
          <w:b/>
          <w:i/>
          <w:sz w:val="24"/>
          <w:szCs w:val="24"/>
          <w:u w:val="single"/>
        </w:rPr>
        <w:t>4</w:t>
      </w:r>
    </w:p>
    <w:p w:rsidR="00CE040B" w:rsidRPr="00555FC2" w:rsidRDefault="00CE040B" w:rsidP="00CE040B">
      <w:pPr>
        <w:rPr>
          <w:rFonts w:ascii="Times New Roman" w:hAnsi="Times New Roman" w:cs="Times New Roman"/>
          <w:sz w:val="24"/>
          <w:szCs w:val="24"/>
          <w:u w:val="single"/>
        </w:rPr>
      </w:pPr>
      <w:r w:rsidRPr="00555FC2">
        <w:rPr>
          <w:rFonts w:ascii="Times New Roman" w:hAnsi="Times New Roman" w:cs="Times New Roman"/>
          <w:sz w:val="24"/>
          <w:szCs w:val="24"/>
          <w:u w:val="single"/>
        </w:rPr>
        <w:t xml:space="preserve">Section 1 – Name of regulation </w:t>
      </w:r>
    </w:p>
    <w:p w:rsidR="00CE040B" w:rsidRPr="00555FC2" w:rsidRDefault="00CE040B" w:rsidP="00CE040B">
      <w:pPr>
        <w:rPr>
          <w:rFonts w:ascii="Times New Roman" w:hAnsi="Times New Roman" w:cs="Times New Roman"/>
          <w:sz w:val="24"/>
          <w:szCs w:val="24"/>
        </w:rPr>
      </w:pPr>
      <w:r w:rsidRPr="00555FC2">
        <w:rPr>
          <w:rFonts w:ascii="Times New Roman" w:hAnsi="Times New Roman" w:cs="Times New Roman"/>
          <w:sz w:val="24"/>
          <w:szCs w:val="24"/>
        </w:rPr>
        <w:t xml:space="preserve">This </w:t>
      </w:r>
      <w:r>
        <w:rPr>
          <w:rFonts w:ascii="Times New Roman" w:hAnsi="Times New Roman" w:cs="Times New Roman"/>
          <w:sz w:val="24"/>
          <w:szCs w:val="24"/>
        </w:rPr>
        <w:t>section</w:t>
      </w:r>
      <w:r w:rsidRPr="00555FC2">
        <w:rPr>
          <w:rFonts w:ascii="Times New Roman" w:hAnsi="Times New Roman" w:cs="Times New Roman"/>
          <w:sz w:val="24"/>
          <w:szCs w:val="24"/>
        </w:rPr>
        <w:t xml:space="preserve"> provides that the name of the </w:t>
      </w:r>
      <w:r w:rsidR="007C669C">
        <w:rPr>
          <w:rFonts w:ascii="Times New Roman" w:hAnsi="Times New Roman" w:cs="Times New Roman"/>
          <w:sz w:val="24"/>
          <w:szCs w:val="24"/>
        </w:rPr>
        <w:t>R</w:t>
      </w:r>
      <w:r w:rsidRPr="00555FC2">
        <w:rPr>
          <w:rFonts w:ascii="Times New Roman" w:hAnsi="Times New Roman" w:cs="Times New Roman"/>
          <w:sz w:val="24"/>
          <w:szCs w:val="24"/>
        </w:rPr>
        <w:t xml:space="preserve">egulation is the </w:t>
      </w:r>
      <w:r w:rsidRPr="00555FC2">
        <w:rPr>
          <w:rFonts w:ascii="Times New Roman" w:hAnsi="Times New Roman" w:cs="Times New Roman"/>
          <w:i/>
          <w:sz w:val="24"/>
          <w:szCs w:val="24"/>
        </w:rPr>
        <w:t>Sex Discrimination Amendment (</w:t>
      </w:r>
      <w:r w:rsidR="007C669C">
        <w:rPr>
          <w:rFonts w:ascii="Times New Roman" w:hAnsi="Times New Roman" w:cs="Times New Roman"/>
          <w:i/>
          <w:sz w:val="24"/>
          <w:szCs w:val="24"/>
        </w:rPr>
        <w:t>Exemptions</w:t>
      </w:r>
      <w:r w:rsidRPr="00555FC2">
        <w:rPr>
          <w:rFonts w:ascii="Times New Roman" w:hAnsi="Times New Roman" w:cs="Times New Roman"/>
          <w:i/>
          <w:sz w:val="24"/>
          <w:szCs w:val="24"/>
        </w:rPr>
        <w:t>) Regulation 201</w:t>
      </w:r>
      <w:r w:rsidR="007C669C">
        <w:rPr>
          <w:rFonts w:ascii="Times New Roman" w:hAnsi="Times New Roman" w:cs="Times New Roman"/>
          <w:i/>
          <w:sz w:val="24"/>
          <w:szCs w:val="24"/>
        </w:rPr>
        <w:t>4</w:t>
      </w:r>
      <w:r w:rsidRPr="00555FC2">
        <w:rPr>
          <w:rFonts w:ascii="Times New Roman" w:hAnsi="Times New Roman" w:cs="Times New Roman"/>
          <w:sz w:val="24"/>
          <w:szCs w:val="24"/>
        </w:rPr>
        <w:t>.</w:t>
      </w:r>
    </w:p>
    <w:p w:rsidR="00CE040B" w:rsidRPr="00555FC2" w:rsidRDefault="00CE040B" w:rsidP="00CE040B">
      <w:pPr>
        <w:rPr>
          <w:rFonts w:ascii="Times New Roman" w:hAnsi="Times New Roman" w:cs="Times New Roman"/>
          <w:sz w:val="24"/>
          <w:szCs w:val="24"/>
          <w:u w:val="single"/>
        </w:rPr>
      </w:pPr>
      <w:r w:rsidRPr="00555FC2">
        <w:rPr>
          <w:rFonts w:ascii="Times New Roman" w:hAnsi="Times New Roman" w:cs="Times New Roman"/>
          <w:sz w:val="24"/>
          <w:szCs w:val="24"/>
          <w:u w:val="single"/>
        </w:rPr>
        <w:t>Section 2 – Commencement</w:t>
      </w:r>
    </w:p>
    <w:p w:rsidR="007C669C" w:rsidRPr="001B004C" w:rsidRDefault="007C669C" w:rsidP="007C669C">
      <w:pPr>
        <w:tabs>
          <w:tab w:val="left" w:pos="6521"/>
        </w:tabs>
        <w:ind w:right="91"/>
        <w:rPr>
          <w:rFonts w:ascii="Times New Roman" w:hAnsi="Times New Roman" w:cs="Times New Roman"/>
          <w:sz w:val="24"/>
          <w:szCs w:val="24"/>
        </w:rPr>
      </w:pPr>
      <w:r w:rsidRPr="00555FC2">
        <w:rPr>
          <w:rFonts w:ascii="Times New Roman" w:hAnsi="Times New Roman" w:cs="Times New Roman"/>
          <w:sz w:val="24"/>
          <w:szCs w:val="24"/>
        </w:rPr>
        <w:t>Th</w:t>
      </w:r>
      <w:r>
        <w:rPr>
          <w:rFonts w:ascii="Times New Roman" w:hAnsi="Times New Roman" w:cs="Times New Roman"/>
          <w:sz w:val="24"/>
          <w:szCs w:val="24"/>
        </w:rPr>
        <w:t>is section</w:t>
      </w:r>
      <w:r w:rsidRPr="00555FC2">
        <w:rPr>
          <w:rFonts w:ascii="Times New Roman" w:hAnsi="Times New Roman" w:cs="Times New Roman"/>
          <w:sz w:val="24"/>
          <w:szCs w:val="24"/>
        </w:rPr>
        <w:t xml:space="preserve"> provides for the commencement of each section as follows:</w:t>
      </w:r>
    </w:p>
    <w:p w:rsidR="007C669C" w:rsidRPr="001B004C" w:rsidRDefault="007C669C" w:rsidP="007C669C">
      <w:pPr>
        <w:numPr>
          <w:ilvl w:val="0"/>
          <w:numId w:val="13"/>
        </w:numPr>
        <w:tabs>
          <w:tab w:val="left" w:pos="6521"/>
        </w:tabs>
        <w:ind w:right="91"/>
        <w:rPr>
          <w:rFonts w:ascii="Times New Roman" w:hAnsi="Times New Roman" w:cs="Times New Roman"/>
          <w:sz w:val="24"/>
          <w:szCs w:val="24"/>
        </w:rPr>
      </w:pPr>
      <w:r w:rsidRPr="001B004C">
        <w:rPr>
          <w:rFonts w:ascii="Times New Roman" w:hAnsi="Times New Roman" w:cs="Times New Roman"/>
          <w:sz w:val="24"/>
          <w:szCs w:val="24"/>
        </w:rPr>
        <w:t>Sections 1 to 4 and other sections not elsewhere covered by the table commence the day after the Regulation is registered.</w:t>
      </w:r>
    </w:p>
    <w:p w:rsidR="007C669C" w:rsidRPr="001B004C" w:rsidRDefault="007C669C" w:rsidP="007C669C">
      <w:pPr>
        <w:numPr>
          <w:ilvl w:val="0"/>
          <w:numId w:val="13"/>
        </w:numPr>
        <w:tabs>
          <w:tab w:val="left" w:pos="6521"/>
        </w:tabs>
        <w:ind w:right="91"/>
        <w:rPr>
          <w:rFonts w:ascii="Times New Roman" w:hAnsi="Times New Roman" w:cs="Times New Roman"/>
          <w:sz w:val="24"/>
          <w:szCs w:val="24"/>
        </w:rPr>
      </w:pPr>
      <w:r w:rsidRPr="001B004C">
        <w:rPr>
          <w:rFonts w:ascii="Times New Roman" w:hAnsi="Times New Roman" w:cs="Times New Roman"/>
          <w:sz w:val="24"/>
          <w:szCs w:val="24"/>
        </w:rPr>
        <w:t>The amendments in Schedule 1 commence on:</w:t>
      </w:r>
    </w:p>
    <w:p w:rsidR="007C669C" w:rsidRPr="001B004C" w:rsidRDefault="007C669C" w:rsidP="007C669C">
      <w:pPr>
        <w:numPr>
          <w:ilvl w:val="1"/>
          <w:numId w:val="13"/>
        </w:numPr>
        <w:tabs>
          <w:tab w:val="left" w:pos="6521"/>
        </w:tabs>
        <w:ind w:right="91"/>
        <w:rPr>
          <w:rFonts w:ascii="Times New Roman" w:hAnsi="Times New Roman" w:cs="Times New Roman"/>
          <w:sz w:val="24"/>
          <w:szCs w:val="24"/>
        </w:rPr>
      </w:pPr>
      <w:r w:rsidRPr="001B004C">
        <w:rPr>
          <w:rFonts w:ascii="Times New Roman" w:hAnsi="Times New Roman" w:cs="Times New Roman"/>
          <w:sz w:val="24"/>
          <w:szCs w:val="24"/>
        </w:rPr>
        <w:t>Item 1 – 1 August 2014</w:t>
      </w:r>
    </w:p>
    <w:p w:rsidR="007C669C" w:rsidRPr="001B004C" w:rsidRDefault="007C669C" w:rsidP="007C669C">
      <w:pPr>
        <w:numPr>
          <w:ilvl w:val="1"/>
          <w:numId w:val="13"/>
        </w:numPr>
        <w:tabs>
          <w:tab w:val="left" w:pos="6521"/>
        </w:tabs>
        <w:ind w:right="91"/>
        <w:rPr>
          <w:rFonts w:ascii="Times New Roman" w:hAnsi="Times New Roman" w:cs="Times New Roman"/>
          <w:sz w:val="24"/>
          <w:szCs w:val="24"/>
        </w:rPr>
      </w:pPr>
      <w:r w:rsidRPr="001B004C">
        <w:rPr>
          <w:rFonts w:ascii="Times New Roman" w:hAnsi="Times New Roman" w:cs="Times New Roman"/>
          <w:sz w:val="24"/>
          <w:szCs w:val="24"/>
        </w:rPr>
        <w:t>Item 2 – the day after the Regulation is registered</w:t>
      </w:r>
    </w:p>
    <w:p w:rsidR="00CE040B" w:rsidRPr="00555FC2" w:rsidRDefault="00CE040B" w:rsidP="00CE040B">
      <w:pPr>
        <w:rPr>
          <w:rFonts w:ascii="Times New Roman" w:hAnsi="Times New Roman" w:cs="Times New Roman"/>
          <w:sz w:val="24"/>
          <w:szCs w:val="24"/>
          <w:u w:val="single"/>
        </w:rPr>
      </w:pPr>
      <w:r w:rsidRPr="00555FC2">
        <w:rPr>
          <w:rFonts w:ascii="Times New Roman" w:hAnsi="Times New Roman" w:cs="Times New Roman"/>
          <w:sz w:val="24"/>
          <w:szCs w:val="24"/>
          <w:u w:val="single"/>
        </w:rPr>
        <w:t>Section 3 – Authority</w:t>
      </w:r>
    </w:p>
    <w:p w:rsidR="00CE040B" w:rsidRDefault="00CE040B" w:rsidP="00CE040B">
      <w:pPr>
        <w:rPr>
          <w:rFonts w:ascii="Times New Roman" w:hAnsi="Times New Roman" w:cs="Times New Roman"/>
          <w:sz w:val="24"/>
          <w:szCs w:val="24"/>
        </w:rPr>
      </w:pPr>
      <w:r w:rsidRPr="00555FC2">
        <w:rPr>
          <w:rFonts w:ascii="Times New Roman" w:hAnsi="Times New Roman" w:cs="Times New Roman"/>
          <w:sz w:val="24"/>
          <w:szCs w:val="24"/>
        </w:rPr>
        <w:t xml:space="preserve">This section specifies that the </w:t>
      </w:r>
      <w:r w:rsidR="007C669C">
        <w:rPr>
          <w:rFonts w:ascii="Times New Roman" w:hAnsi="Times New Roman" w:cs="Times New Roman"/>
          <w:sz w:val="24"/>
          <w:szCs w:val="24"/>
        </w:rPr>
        <w:t>R</w:t>
      </w:r>
      <w:r w:rsidRPr="00555FC2">
        <w:rPr>
          <w:rFonts w:ascii="Times New Roman" w:hAnsi="Times New Roman" w:cs="Times New Roman"/>
          <w:sz w:val="24"/>
          <w:szCs w:val="24"/>
        </w:rPr>
        <w:t xml:space="preserve">egulation is made under the </w:t>
      </w:r>
      <w:r w:rsidRPr="00555FC2">
        <w:rPr>
          <w:rFonts w:ascii="Times New Roman" w:hAnsi="Times New Roman" w:cs="Times New Roman"/>
          <w:i/>
          <w:sz w:val="24"/>
          <w:szCs w:val="24"/>
        </w:rPr>
        <w:t>Sex Discrimination Act 1984</w:t>
      </w:r>
      <w:r>
        <w:rPr>
          <w:rFonts w:ascii="Times New Roman" w:hAnsi="Times New Roman" w:cs="Times New Roman"/>
          <w:i/>
          <w:sz w:val="24"/>
          <w:szCs w:val="24"/>
        </w:rPr>
        <w:t xml:space="preserve"> </w:t>
      </w:r>
      <w:r>
        <w:rPr>
          <w:rFonts w:ascii="Times New Roman" w:hAnsi="Times New Roman" w:cs="Times New Roman"/>
          <w:sz w:val="24"/>
          <w:szCs w:val="24"/>
        </w:rPr>
        <w:t>(the Sex Discrimination Act)</w:t>
      </w:r>
      <w:r w:rsidRPr="00555FC2">
        <w:rPr>
          <w:rFonts w:ascii="Times New Roman" w:hAnsi="Times New Roman" w:cs="Times New Roman"/>
          <w:i/>
          <w:sz w:val="24"/>
          <w:szCs w:val="24"/>
        </w:rPr>
        <w:t>.</w:t>
      </w:r>
      <w:r>
        <w:rPr>
          <w:rFonts w:ascii="Times New Roman" w:hAnsi="Times New Roman" w:cs="Times New Roman"/>
          <w:i/>
          <w:sz w:val="24"/>
          <w:szCs w:val="24"/>
        </w:rPr>
        <w:t xml:space="preserve"> </w:t>
      </w:r>
    </w:p>
    <w:p w:rsidR="00CE040B" w:rsidRDefault="00CE040B" w:rsidP="00CE040B">
      <w:pPr>
        <w:rPr>
          <w:rFonts w:ascii="Times New Roman" w:hAnsi="Times New Roman" w:cs="Times New Roman"/>
          <w:sz w:val="24"/>
          <w:szCs w:val="24"/>
          <w:u w:val="single"/>
        </w:rPr>
      </w:pPr>
      <w:r>
        <w:rPr>
          <w:rFonts w:ascii="Times New Roman" w:hAnsi="Times New Roman" w:cs="Times New Roman"/>
          <w:sz w:val="24"/>
          <w:szCs w:val="24"/>
          <w:u w:val="single"/>
        </w:rPr>
        <w:t xml:space="preserve">Section 4 – Schedule(s) </w:t>
      </w:r>
    </w:p>
    <w:p w:rsidR="00CE040B" w:rsidRPr="001A5308" w:rsidRDefault="00CE040B" w:rsidP="00CE040B">
      <w:pPr>
        <w:rPr>
          <w:rFonts w:ascii="Times New Roman" w:hAnsi="Times New Roman" w:cs="Times New Roman"/>
          <w:sz w:val="24"/>
          <w:szCs w:val="24"/>
        </w:rPr>
      </w:pPr>
      <w:r>
        <w:rPr>
          <w:rFonts w:ascii="Times New Roman" w:hAnsi="Times New Roman" w:cs="Times New Roman"/>
          <w:sz w:val="24"/>
          <w:szCs w:val="24"/>
        </w:rPr>
        <w:t>This section specifies that each instrument that is specified in the Schedule to th</w:t>
      </w:r>
      <w:r w:rsidR="007C669C">
        <w:rPr>
          <w:rFonts w:ascii="Times New Roman" w:hAnsi="Times New Roman" w:cs="Times New Roman"/>
          <w:sz w:val="24"/>
          <w:szCs w:val="24"/>
        </w:rPr>
        <w:t>e</w:t>
      </w:r>
      <w:r>
        <w:rPr>
          <w:rFonts w:ascii="Times New Roman" w:hAnsi="Times New Roman" w:cs="Times New Roman"/>
          <w:sz w:val="24"/>
          <w:szCs w:val="24"/>
        </w:rPr>
        <w:t xml:space="preserve"> </w:t>
      </w:r>
      <w:r w:rsidR="007C669C">
        <w:rPr>
          <w:rFonts w:ascii="Times New Roman" w:hAnsi="Times New Roman" w:cs="Times New Roman"/>
          <w:sz w:val="24"/>
          <w:szCs w:val="24"/>
        </w:rPr>
        <w:t>R</w:t>
      </w:r>
      <w:r>
        <w:rPr>
          <w:rFonts w:ascii="Times New Roman" w:hAnsi="Times New Roman" w:cs="Times New Roman"/>
          <w:sz w:val="24"/>
          <w:szCs w:val="24"/>
        </w:rPr>
        <w:t xml:space="preserve">egulation is amended or repealed as set out in the applicable items in the Schedule, and any other item in the Schedule to this regulation has effect according to its terms. </w:t>
      </w:r>
    </w:p>
    <w:p w:rsidR="00CE040B" w:rsidRDefault="00CE040B" w:rsidP="00CE040B">
      <w:pPr>
        <w:rPr>
          <w:rFonts w:ascii="Times New Roman" w:hAnsi="Times New Roman" w:cs="Times New Roman"/>
          <w:b/>
          <w:sz w:val="24"/>
          <w:szCs w:val="24"/>
          <w:u w:val="single"/>
        </w:rPr>
      </w:pPr>
      <w:r w:rsidRPr="00555FC2">
        <w:rPr>
          <w:rFonts w:ascii="Times New Roman" w:hAnsi="Times New Roman" w:cs="Times New Roman"/>
          <w:b/>
          <w:sz w:val="24"/>
          <w:szCs w:val="24"/>
          <w:u w:val="single"/>
        </w:rPr>
        <w:t xml:space="preserve">Schedule 1 – Amendments </w:t>
      </w:r>
    </w:p>
    <w:p w:rsidR="007C669C" w:rsidRPr="007C669C" w:rsidRDefault="007C669C" w:rsidP="00CE040B">
      <w:pPr>
        <w:rPr>
          <w:rFonts w:ascii="Times New Roman" w:hAnsi="Times New Roman" w:cs="Times New Roman"/>
          <w:sz w:val="24"/>
          <w:szCs w:val="24"/>
          <w:u w:val="single"/>
        </w:rPr>
      </w:pPr>
      <w:r>
        <w:rPr>
          <w:rFonts w:ascii="Times New Roman" w:hAnsi="Times New Roman" w:cs="Times New Roman"/>
          <w:sz w:val="24"/>
          <w:szCs w:val="24"/>
          <w:u w:val="single"/>
        </w:rPr>
        <w:t xml:space="preserve">Item 1 </w:t>
      </w:r>
    </w:p>
    <w:p w:rsidR="00CE040B" w:rsidRDefault="007C669C" w:rsidP="00CE040B">
      <w:pPr>
        <w:rPr>
          <w:rFonts w:ascii="Times New Roman" w:hAnsi="Times New Roman" w:cs="Times New Roman"/>
          <w:sz w:val="24"/>
          <w:szCs w:val="24"/>
        </w:rPr>
      </w:pPr>
      <w:r>
        <w:rPr>
          <w:rFonts w:ascii="Times New Roman" w:hAnsi="Times New Roman" w:cs="Times New Roman"/>
          <w:sz w:val="24"/>
          <w:szCs w:val="24"/>
        </w:rPr>
        <w:t>Item 1 amends subregulation 5(1) to omit “the Commonwealth”. A review of Commonwealth laws has determined that these laws can apply consistently with the new grounds of protection against discrimination on the grounds of sexual orientation, gender i</w:t>
      </w:r>
      <w:r w:rsidR="007D34F4">
        <w:rPr>
          <w:rFonts w:ascii="Times New Roman" w:hAnsi="Times New Roman" w:cs="Times New Roman"/>
          <w:sz w:val="24"/>
          <w:szCs w:val="24"/>
        </w:rPr>
        <w:t xml:space="preserve">dentity or intersex status so there is no longer any need to prescribe these laws for the purposes of the exemption in subsection 40(2B) of the Sex Discrimination Act. State and Territory laws will continue to be prescribed. </w:t>
      </w:r>
    </w:p>
    <w:p w:rsidR="007C669C" w:rsidRPr="007C669C" w:rsidRDefault="007C669C" w:rsidP="00CE040B">
      <w:pPr>
        <w:rPr>
          <w:rFonts w:ascii="Times New Roman" w:hAnsi="Times New Roman" w:cs="Times New Roman"/>
          <w:sz w:val="24"/>
          <w:szCs w:val="24"/>
        </w:rPr>
      </w:pPr>
      <w:r>
        <w:rPr>
          <w:rFonts w:ascii="Times New Roman" w:hAnsi="Times New Roman" w:cs="Times New Roman"/>
          <w:sz w:val="24"/>
          <w:szCs w:val="24"/>
          <w:u w:val="single"/>
        </w:rPr>
        <w:t xml:space="preserve">Item 2 </w:t>
      </w:r>
    </w:p>
    <w:p w:rsidR="00CE040B" w:rsidRPr="00555FC2" w:rsidRDefault="007D34F4" w:rsidP="00105590">
      <w:pPr>
        <w:rPr>
          <w:rFonts w:ascii="Times New Roman" w:hAnsi="Times New Roman"/>
          <w:sz w:val="28"/>
          <w:szCs w:val="28"/>
        </w:rPr>
      </w:pPr>
      <w:r>
        <w:rPr>
          <w:rFonts w:ascii="Times New Roman" w:hAnsi="Times New Roman" w:cs="Times New Roman"/>
          <w:sz w:val="24"/>
          <w:szCs w:val="24"/>
        </w:rPr>
        <w:t xml:space="preserve">Item 2 amends the date so that the prescription of State and Territory laws now ends on 31 July 2015. </w:t>
      </w:r>
    </w:p>
    <w:sectPr w:rsidR="00CE040B" w:rsidRPr="00555F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9C" w:rsidRDefault="007C669C" w:rsidP="0076326D">
      <w:pPr>
        <w:spacing w:after="0" w:line="240" w:lineRule="auto"/>
      </w:pPr>
      <w:r>
        <w:separator/>
      </w:r>
    </w:p>
  </w:endnote>
  <w:endnote w:type="continuationSeparator" w:id="0">
    <w:p w:rsidR="007C669C" w:rsidRDefault="007C669C" w:rsidP="0076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9C" w:rsidRDefault="007C669C" w:rsidP="0076326D">
      <w:pPr>
        <w:spacing w:after="0" w:line="240" w:lineRule="auto"/>
      </w:pPr>
      <w:r>
        <w:separator/>
      </w:r>
    </w:p>
  </w:footnote>
  <w:footnote w:type="continuationSeparator" w:id="0">
    <w:p w:rsidR="007C669C" w:rsidRDefault="007C669C" w:rsidP="00763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881"/>
    <w:multiLevelType w:val="hybridMultilevel"/>
    <w:tmpl w:val="EE32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291964"/>
    <w:multiLevelType w:val="hybridMultilevel"/>
    <w:tmpl w:val="03A64A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CD73DC"/>
    <w:multiLevelType w:val="hybridMultilevel"/>
    <w:tmpl w:val="3DDE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CE03AA"/>
    <w:multiLevelType w:val="hybridMultilevel"/>
    <w:tmpl w:val="D2B64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A03EB1"/>
    <w:multiLevelType w:val="hybridMultilevel"/>
    <w:tmpl w:val="88909E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2F674643"/>
    <w:multiLevelType w:val="hybridMultilevel"/>
    <w:tmpl w:val="E2E05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0F0A0F"/>
    <w:multiLevelType w:val="hybridMultilevel"/>
    <w:tmpl w:val="FB28E42E"/>
    <w:lvl w:ilvl="0" w:tplc="4C4452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36468D"/>
    <w:multiLevelType w:val="hybridMultilevel"/>
    <w:tmpl w:val="14A2E0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7D40421"/>
    <w:multiLevelType w:val="hybridMultilevel"/>
    <w:tmpl w:val="0FB8514A"/>
    <w:lvl w:ilvl="0" w:tplc="6336A9FE">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8D86816"/>
    <w:multiLevelType w:val="hybridMultilevel"/>
    <w:tmpl w:val="996426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452BE4"/>
    <w:multiLevelType w:val="hybridMultilevel"/>
    <w:tmpl w:val="02500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2E0478"/>
    <w:multiLevelType w:val="singleLevel"/>
    <w:tmpl w:val="5A9A2EF2"/>
    <w:lvl w:ilvl="0">
      <w:start w:val="2"/>
      <w:numFmt w:val="decimal"/>
      <w:pStyle w:val="Paragraphnumbered"/>
      <w:lvlText w:val="%1."/>
      <w:legacy w:legacy="1" w:legacySpace="0" w:legacyIndent="567"/>
      <w:lvlJc w:val="left"/>
      <w:pPr>
        <w:ind w:left="993" w:hanging="567"/>
      </w:pPr>
    </w:lvl>
  </w:abstractNum>
  <w:abstractNum w:abstractNumId="12">
    <w:nsid w:val="65A65B97"/>
    <w:multiLevelType w:val="hybridMultilevel"/>
    <w:tmpl w:val="F69EC3E4"/>
    <w:lvl w:ilvl="0" w:tplc="A4B8AF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A48196F"/>
    <w:multiLevelType w:val="hybridMultilevel"/>
    <w:tmpl w:val="F872CD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C4565A2"/>
    <w:multiLevelType w:val="multilevel"/>
    <w:tmpl w:val="8B5C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690049"/>
    <w:multiLevelType w:val="hybridMultilevel"/>
    <w:tmpl w:val="434C1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CD2DF1"/>
    <w:multiLevelType w:val="hybridMultilevel"/>
    <w:tmpl w:val="5E763F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E694727"/>
    <w:multiLevelType w:val="hybridMultilevel"/>
    <w:tmpl w:val="B4C6BFC0"/>
    <w:lvl w:ilvl="0" w:tplc="A4B8AFF2">
      <w:start w:val="1"/>
      <w:numFmt w:val="lowerLetter"/>
      <w:lvlText w:val="(%1)"/>
      <w:lvlJc w:val="left"/>
      <w:pPr>
        <w:ind w:left="780" w:hanging="360"/>
      </w:pPr>
      <w:rPr>
        <w:rFonts w:hint="default"/>
      </w:rPr>
    </w:lvl>
    <w:lvl w:ilvl="1" w:tplc="18C6DFD6">
      <w:start w:val="1"/>
      <w:numFmt w:val="lowerRoman"/>
      <w:lvlText w:val="(%2)"/>
      <w:lvlJc w:val="left"/>
      <w:pPr>
        <w:ind w:left="1500" w:hanging="360"/>
      </w:pPr>
      <w:rPr>
        <w:rFonts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12"/>
  </w:num>
  <w:num w:numId="3">
    <w:abstractNumId w:val="17"/>
  </w:num>
  <w:num w:numId="4">
    <w:abstractNumId w:val="4"/>
  </w:num>
  <w:num w:numId="5">
    <w:abstractNumId w:val="14"/>
    <w:lvlOverride w:ilvl="0">
      <w:startOverride w:val="52"/>
    </w:lvlOverride>
  </w:num>
  <w:num w:numId="6">
    <w:abstractNumId w:val="14"/>
    <w:lvlOverride w:ilvl="0">
      <w:startOverride w:val="53"/>
    </w:lvlOverride>
  </w:num>
  <w:num w:numId="7">
    <w:abstractNumId w:val="14"/>
    <w:lvlOverride w:ilvl="0">
      <w:startOverride w:val="54"/>
    </w:lvlOverride>
  </w:num>
  <w:num w:numId="8">
    <w:abstractNumId w:val="14"/>
    <w:lvlOverride w:ilvl="0">
      <w:startOverride w:val="55"/>
    </w:lvlOverride>
  </w:num>
  <w:num w:numId="9">
    <w:abstractNumId w:val="14"/>
    <w:lvlOverride w:ilvl="0">
      <w:startOverride w:val="56"/>
    </w:lvlOverride>
  </w:num>
  <w:num w:numId="10">
    <w:abstractNumId w:val="14"/>
    <w:lvlOverride w:ilvl="0">
      <w:startOverride w:val="57"/>
    </w:lvlOverride>
  </w:num>
  <w:num w:numId="11">
    <w:abstractNumId w:val="14"/>
    <w:lvlOverride w:ilvl="0">
      <w:startOverride w:val="58"/>
    </w:lvlOverride>
  </w:num>
  <w:num w:numId="12">
    <w:abstractNumId w:val="15"/>
  </w:num>
  <w:num w:numId="13">
    <w:abstractNumId w:val="10"/>
  </w:num>
  <w:num w:numId="14">
    <w:abstractNumId w:val="5"/>
  </w:num>
  <w:num w:numId="15">
    <w:abstractNumId w:val="13"/>
  </w:num>
  <w:num w:numId="16">
    <w:abstractNumId w:val="16"/>
  </w:num>
  <w:num w:numId="17">
    <w:abstractNumId w:val="0"/>
  </w:num>
  <w:num w:numId="18">
    <w:abstractNumId w:val="1"/>
  </w:num>
  <w:num w:numId="19">
    <w:abstractNumId w:val="7"/>
  </w:num>
  <w:num w:numId="20">
    <w:abstractNumId w:val="9"/>
  </w:num>
  <w:num w:numId="21">
    <w:abstractNumId w:val="2"/>
  </w:num>
  <w:num w:numId="22">
    <w:abstractNumId w:val="6"/>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49"/>
    <w:rsid w:val="0004759E"/>
    <w:rsid w:val="00072192"/>
    <w:rsid w:val="000B42B7"/>
    <w:rsid w:val="000D3658"/>
    <w:rsid w:val="00103FCE"/>
    <w:rsid w:val="00105590"/>
    <w:rsid w:val="00132C56"/>
    <w:rsid w:val="00182017"/>
    <w:rsid w:val="001A5308"/>
    <w:rsid w:val="001B004C"/>
    <w:rsid w:val="001D0333"/>
    <w:rsid w:val="002505D4"/>
    <w:rsid w:val="002B6845"/>
    <w:rsid w:val="002D42A3"/>
    <w:rsid w:val="00307906"/>
    <w:rsid w:val="00402119"/>
    <w:rsid w:val="00521DD7"/>
    <w:rsid w:val="00553598"/>
    <w:rsid w:val="00555FC2"/>
    <w:rsid w:val="00567A78"/>
    <w:rsid w:val="005836C8"/>
    <w:rsid w:val="00640BF0"/>
    <w:rsid w:val="00691032"/>
    <w:rsid w:val="006C59A1"/>
    <w:rsid w:val="007512EB"/>
    <w:rsid w:val="0076326D"/>
    <w:rsid w:val="00772DBA"/>
    <w:rsid w:val="007737CF"/>
    <w:rsid w:val="007C669C"/>
    <w:rsid w:val="007C6925"/>
    <w:rsid w:val="007D34F4"/>
    <w:rsid w:val="007D6B0C"/>
    <w:rsid w:val="008353C8"/>
    <w:rsid w:val="008700C8"/>
    <w:rsid w:val="008B3D49"/>
    <w:rsid w:val="008C45F6"/>
    <w:rsid w:val="009019C3"/>
    <w:rsid w:val="009150C5"/>
    <w:rsid w:val="00943790"/>
    <w:rsid w:val="00971D47"/>
    <w:rsid w:val="0099607A"/>
    <w:rsid w:val="009B785D"/>
    <w:rsid w:val="009F2EF8"/>
    <w:rsid w:val="00A64260"/>
    <w:rsid w:val="00A96C16"/>
    <w:rsid w:val="00AA5363"/>
    <w:rsid w:val="00AB2B81"/>
    <w:rsid w:val="00AB39C0"/>
    <w:rsid w:val="00AD2A60"/>
    <w:rsid w:val="00AF168E"/>
    <w:rsid w:val="00B4329B"/>
    <w:rsid w:val="00BA5B2D"/>
    <w:rsid w:val="00BD42EC"/>
    <w:rsid w:val="00C45BA6"/>
    <w:rsid w:val="00CC63B3"/>
    <w:rsid w:val="00CE040B"/>
    <w:rsid w:val="00CE0BA4"/>
    <w:rsid w:val="00D472DD"/>
    <w:rsid w:val="00E97DC3"/>
    <w:rsid w:val="00ED6530"/>
    <w:rsid w:val="00EF4B86"/>
    <w:rsid w:val="00F07FCF"/>
    <w:rsid w:val="00F47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49"/>
  </w:style>
  <w:style w:type="paragraph" w:styleId="Heading6">
    <w:name w:val="heading 6"/>
    <w:basedOn w:val="Normal"/>
    <w:next w:val="Normal"/>
    <w:link w:val="Heading6Char"/>
    <w:qFormat/>
    <w:rsid w:val="008B3D49"/>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B3D49"/>
    <w:rPr>
      <w:rFonts w:ascii="Times New Roman" w:eastAsia="Times New Roman" w:hAnsi="Times New Roman" w:cs="Times New Roman"/>
      <w:sz w:val="24"/>
      <w:szCs w:val="20"/>
      <w:u w:val="single"/>
      <w:lang w:eastAsia="en-AU"/>
    </w:rPr>
  </w:style>
  <w:style w:type="paragraph" w:customStyle="1" w:styleId="Paragraph">
    <w:name w:val="Paragraph"/>
    <w:basedOn w:val="Normal"/>
    <w:link w:val="ParagraphChar"/>
    <w:rsid w:val="008B3D49"/>
    <w:pPr>
      <w:spacing w:before="240" w:after="0" w:line="240" w:lineRule="auto"/>
    </w:pPr>
    <w:rPr>
      <w:rFonts w:ascii="Times" w:eastAsia="Times New Roman" w:hAnsi="Times" w:cs="Times New Roman"/>
      <w:sz w:val="26"/>
      <w:szCs w:val="20"/>
      <w:lang w:eastAsia="en-AU"/>
    </w:rPr>
  </w:style>
  <w:style w:type="paragraph" w:customStyle="1" w:styleId="Paragraphnumbered">
    <w:name w:val="Paragraph (numbered)"/>
    <w:basedOn w:val="Normal"/>
    <w:rsid w:val="008B3D49"/>
    <w:pPr>
      <w:numPr>
        <w:numId w:val="1"/>
      </w:numPr>
      <w:spacing w:before="240"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B3D49"/>
    <w:pPr>
      <w:ind w:left="720"/>
      <w:contextualSpacing/>
    </w:pPr>
    <w:rPr>
      <w:rFonts w:ascii="Calibri" w:eastAsia="Calibri" w:hAnsi="Calibri" w:cs="Times New Roman"/>
    </w:rPr>
  </w:style>
  <w:style w:type="paragraph" w:styleId="Header">
    <w:name w:val="header"/>
    <w:basedOn w:val="Normal"/>
    <w:link w:val="HeaderChar"/>
    <w:uiPriority w:val="99"/>
    <w:unhideWhenUsed/>
    <w:rsid w:val="00763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26D"/>
  </w:style>
  <w:style w:type="paragraph" w:styleId="Footer">
    <w:name w:val="footer"/>
    <w:basedOn w:val="Normal"/>
    <w:link w:val="FooterChar"/>
    <w:uiPriority w:val="99"/>
    <w:unhideWhenUsed/>
    <w:rsid w:val="00763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26D"/>
  </w:style>
  <w:style w:type="character" w:styleId="CommentReference">
    <w:name w:val="annotation reference"/>
    <w:basedOn w:val="DefaultParagraphFont"/>
    <w:uiPriority w:val="99"/>
    <w:semiHidden/>
    <w:unhideWhenUsed/>
    <w:rsid w:val="00182017"/>
    <w:rPr>
      <w:sz w:val="16"/>
      <w:szCs w:val="16"/>
    </w:rPr>
  </w:style>
  <w:style w:type="paragraph" w:styleId="CommentText">
    <w:name w:val="annotation text"/>
    <w:basedOn w:val="Normal"/>
    <w:link w:val="CommentTextChar"/>
    <w:uiPriority w:val="99"/>
    <w:semiHidden/>
    <w:unhideWhenUsed/>
    <w:rsid w:val="00182017"/>
    <w:pPr>
      <w:spacing w:line="240" w:lineRule="auto"/>
    </w:pPr>
    <w:rPr>
      <w:sz w:val="20"/>
      <w:szCs w:val="20"/>
    </w:rPr>
  </w:style>
  <w:style w:type="character" w:customStyle="1" w:styleId="CommentTextChar">
    <w:name w:val="Comment Text Char"/>
    <w:basedOn w:val="DefaultParagraphFont"/>
    <w:link w:val="CommentText"/>
    <w:uiPriority w:val="99"/>
    <w:semiHidden/>
    <w:rsid w:val="00182017"/>
    <w:rPr>
      <w:sz w:val="20"/>
      <w:szCs w:val="20"/>
    </w:rPr>
  </w:style>
  <w:style w:type="paragraph" w:styleId="CommentSubject">
    <w:name w:val="annotation subject"/>
    <w:basedOn w:val="CommentText"/>
    <w:next w:val="CommentText"/>
    <w:link w:val="CommentSubjectChar"/>
    <w:uiPriority w:val="99"/>
    <w:semiHidden/>
    <w:unhideWhenUsed/>
    <w:rsid w:val="00182017"/>
    <w:rPr>
      <w:b/>
      <w:bCs/>
    </w:rPr>
  </w:style>
  <w:style w:type="character" w:customStyle="1" w:styleId="CommentSubjectChar">
    <w:name w:val="Comment Subject Char"/>
    <w:basedOn w:val="CommentTextChar"/>
    <w:link w:val="CommentSubject"/>
    <w:uiPriority w:val="99"/>
    <w:semiHidden/>
    <w:rsid w:val="00182017"/>
    <w:rPr>
      <w:b/>
      <w:bCs/>
      <w:sz w:val="20"/>
      <w:szCs w:val="20"/>
    </w:rPr>
  </w:style>
  <w:style w:type="paragraph" w:styleId="BalloonText">
    <w:name w:val="Balloon Text"/>
    <w:basedOn w:val="Normal"/>
    <w:link w:val="BalloonTextChar"/>
    <w:uiPriority w:val="99"/>
    <w:semiHidden/>
    <w:unhideWhenUsed/>
    <w:rsid w:val="00182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017"/>
    <w:rPr>
      <w:rFonts w:ascii="Tahoma" w:hAnsi="Tahoma" w:cs="Tahoma"/>
      <w:sz w:val="16"/>
      <w:szCs w:val="16"/>
    </w:rPr>
  </w:style>
  <w:style w:type="character" w:customStyle="1" w:styleId="ParagraphChar">
    <w:name w:val="Paragraph Char"/>
    <w:link w:val="Paragraph"/>
    <w:locked/>
    <w:rsid w:val="00691032"/>
    <w:rPr>
      <w:rFonts w:ascii="Times" w:eastAsia="Times New Roman" w:hAnsi="Times" w:cs="Times New Roman"/>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49"/>
  </w:style>
  <w:style w:type="paragraph" w:styleId="Heading6">
    <w:name w:val="heading 6"/>
    <w:basedOn w:val="Normal"/>
    <w:next w:val="Normal"/>
    <w:link w:val="Heading6Char"/>
    <w:qFormat/>
    <w:rsid w:val="008B3D49"/>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B3D49"/>
    <w:rPr>
      <w:rFonts w:ascii="Times New Roman" w:eastAsia="Times New Roman" w:hAnsi="Times New Roman" w:cs="Times New Roman"/>
      <w:sz w:val="24"/>
      <w:szCs w:val="20"/>
      <w:u w:val="single"/>
      <w:lang w:eastAsia="en-AU"/>
    </w:rPr>
  </w:style>
  <w:style w:type="paragraph" w:customStyle="1" w:styleId="Paragraph">
    <w:name w:val="Paragraph"/>
    <w:basedOn w:val="Normal"/>
    <w:link w:val="ParagraphChar"/>
    <w:rsid w:val="008B3D49"/>
    <w:pPr>
      <w:spacing w:before="240" w:after="0" w:line="240" w:lineRule="auto"/>
    </w:pPr>
    <w:rPr>
      <w:rFonts w:ascii="Times" w:eastAsia="Times New Roman" w:hAnsi="Times" w:cs="Times New Roman"/>
      <w:sz w:val="26"/>
      <w:szCs w:val="20"/>
      <w:lang w:eastAsia="en-AU"/>
    </w:rPr>
  </w:style>
  <w:style w:type="paragraph" w:customStyle="1" w:styleId="Paragraphnumbered">
    <w:name w:val="Paragraph (numbered)"/>
    <w:basedOn w:val="Normal"/>
    <w:rsid w:val="008B3D49"/>
    <w:pPr>
      <w:numPr>
        <w:numId w:val="1"/>
      </w:numPr>
      <w:spacing w:before="240"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B3D49"/>
    <w:pPr>
      <w:ind w:left="720"/>
      <w:contextualSpacing/>
    </w:pPr>
    <w:rPr>
      <w:rFonts w:ascii="Calibri" w:eastAsia="Calibri" w:hAnsi="Calibri" w:cs="Times New Roman"/>
    </w:rPr>
  </w:style>
  <w:style w:type="paragraph" w:styleId="Header">
    <w:name w:val="header"/>
    <w:basedOn w:val="Normal"/>
    <w:link w:val="HeaderChar"/>
    <w:uiPriority w:val="99"/>
    <w:unhideWhenUsed/>
    <w:rsid w:val="00763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26D"/>
  </w:style>
  <w:style w:type="paragraph" w:styleId="Footer">
    <w:name w:val="footer"/>
    <w:basedOn w:val="Normal"/>
    <w:link w:val="FooterChar"/>
    <w:uiPriority w:val="99"/>
    <w:unhideWhenUsed/>
    <w:rsid w:val="00763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26D"/>
  </w:style>
  <w:style w:type="character" w:styleId="CommentReference">
    <w:name w:val="annotation reference"/>
    <w:basedOn w:val="DefaultParagraphFont"/>
    <w:uiPriority w:val="99"/>
    <w:semiHidden/>
    <w:unhideWhenUsed/>
    <w:rsid w:val="00182017"/>
    <w:rPr>
      <w:sz w:val="16"/>
      <w:szCs w:val="16"/>
    </w:rPr>
  </w:style>
  <w:style w:type="paragraph" w:styleId="CommentText">
    <w:name w:val="annotation text"/>
    <w:basedOn w:val="Normal"/>
    <w:link w:val="CommentTextChar"/>
    <w:uiPriority w:val="99"/>
    <w:semiHidden/>
    <w:unhideWhenUsed/>
    <w:rsid w:val="00182017"/>
    <w:pPr>
      <w:spacing w:line="240" w:lineRule="auto"/>
    </w:pPr>
    <w:rPr>
      <w:sz w:val="20"/>
      <w:szCs w:val="20"/>
    </w:rPr>
  </w:style>
  <w:style w:type="character" w:customStyle="1" w:styleId="CommentTextChar">
    <w:name w:val="Comment Text Char"/>
    <w:basedOn w:val="DefaultParagraphFont"/>
    <w:link w:val="CommentText"/>
    <w:uiPriority w:val="99"/>
    <w:semiHidden/>
    <w:rsid w:val="00182017"/>
    <w:rPr>
      <w:sz w:val="20"/>
      <w:szCs w:val="20"/>
    </w:rPr>
  </w:style>
  <w:style w:type="paragraph" w:styleId="CommentSubject">
    <w:name w:val="annotation subject"/>
    <w:basedOn w:val="CommentText"/>
    <w:next w:val="CommentText"/>
    <w:link w:val="CommentSubjectChar"/>
    <w:uiPriority w:val="99"/>
    <w:semiHidden/>
    <w:unhideWhenUsed/>
    <w:rsid w:val="00182017"/>
    <w:rPr>
      <w:b/>
      <w:bCs/>
    </w:rPr>
  </w:style>
  <w:style w:type="character" w:customStyle="1" w:styleId="CommentSubjectChar">
    <w:name w:val="Comment Subject Char"/>
    <w:basedOn w:val="CommentTextChar"/>
    <w:link w:val="CommentSubject"/>
    <w:uiPriority w:val="99"/>
    <w:semiHidden/>
    <w:rsid w:val="00182017"/>
    <w:rPr>
      <w:b/>
      <w:bCs/>
      <w:sz w:val="20"/>
      <w:szCs w:val="20"/>
    </w:rPr>
  </w:style>
  <w:style w:type="paragraph" w:styleId="BalloonText">
    <w:name w:val="Balloon Text"/>
    <w:basedOn w:val="Normal"/>
    <w:link w:val="BalloonTextChar"/>
    <w:uiPriority w:val="99"/>
    <w:semiHidden/>
    <w:unhideWhenUsed/>
    <w:rsid w:val="00182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017"/>
    <w:rPr>
      <w:rFonts w:ascii="Tahoma" w:hAnsi="Tahoma" w:cs="Tahoma"/>
      <w:sz w:val="16"/>
      <w:szCs w:val="16"/>
    </w:rPr>
  </w:style>
  <w:style w:type="character" w:customStyle="1" w:styleId="ParagraphChar">
    <w:name w:val="Paragraph Char"/>
    <w:link w:val="Paragraph"/>
    <w:locked/>
    <w:rsid w:val="00691032"/>
    <w:rPr>
      <w:rFonts w:ascii="Times" w:eastAsia="Times New Roman" w:hAnsi="Times" w:cs="Times New Roman"/>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96545">
      <w:bodyDiv w:val="1"/>
      <w:marLeft w:val="0"/>
      <w:marRight w:val="0"/>
      <w:marTop w:val="0"/>
      <w:marBottom w:val="0"/>
      <w:divBdr>
        <w:top w:val="none" w:sz="0" w:space="0" w:color="auto"/>
        <w:left w:val="none" w:sz="0" w:space="0" w:color="auto"/>
        <w:bottom w:val="none" w:sz="0" w:space="0" w:color="auto"/>
        <w:right w:val="none" w:sz="0" w:space="0" w:color="auto"/>
      </w:divBdr>
      <w:divsChild>
        <w:div w:id="393429067">
          <w:marLeft w:val="0"/>
          <w:marRight w:val="0"/>
          <w:marTop w:val="0"/>
          <w:marBottom w:val="0"/>
          <w:divBdr>
            <w:top w:val="none" w:sz="0" w:space="0" w:color="auto"/>
            <w:left w:val="none" w:sz="0" w:space="0" w:color="auto"/>
            <w:bottom w:val="none" w:sz="0" w:space="0" w:color="auto"/>
            <w:right w:val="none" w:sz="0" w:space="0" w:color="auto"/>
          </w:divBdr>
          <w:divsChild>
            <w:div w:id="69236094">
              <w:marLeft w:val="0"/>
              <w:marRight w:val="0"/>
              <w:marTop w:val="0"/>
              <w:marBottom w:val="0"/>
              <w:divBdr>
                <w:top w:val="none" w:sz="0" w:space="0" w:color="auto"/>
                <w:left w:val="none" w:sz="0" w:space="0" w:color="auto"/>
                <w:bottom w:val="none" w:sz="0" w:space="0" w:color="auto"/>
                <w:right w:val="none" w:sz="0" w:space="0" w:color="auto"/>
              </w:divBdr>
              <w:divsChild>
                <w:div w:id="682055913">
                  <w:marLeft w:val="0"/>
                  <w:marRight w:val="0"/>
                  <w:marTop w:val="100"/>
                  <w:marBottom w:val="100"/>
                  <w:divBdr>
                    <w:top w:val="none" w:sz="0" w:space="0" w:color="auto"/>
                    <w:left w:val="none" w:sz="0" w:space="0" w:color="auto"/>
                    <w:bottom w:val="none" w:sz="0" w:space="0" w:color="auto"/>
                    <w:right w:val="none" w:sz="0" w:space="0" w:color="auto"/>
                  </w:divBdr>
                  <w:divsChild>
                    <w:div w:id="1975981522">
                      <w:marLeft w:val="0"/>
                      <w:marRight w:val="0"/>
                      <w:marTop w:val="0"/>
                      <w:marBottom w:val="0"/>
                      <w:divBdr>
                        <w:top w:val="none" w:sz="0" w:space="0" w:color="auto"/>
                        <w:left w:val="none" w:sz="0" w:space="0" w:color="auto"/>
                        <w:bottom w:val="none" w:sz="0" w:space="0" w:color="auto"/>
                        <w:right w:val="none" w:sz="0" w:space="0" w:color="auto"/>
                      </w:divBdr>
                      <w:divsChild>
                        <w:div w:id="890844373">
                          <w:marLeft w:val="0"/>
                          <w:marRight w:val="0"/>
                          <w:marTop w:val="0"/>
                          <w:marBottom w:val="0"/>
                          <w:divBdr>
                            <w:top w:val="none" w:sz="0" w:space="0" w:color="auto"/>
                            <w:left w:val="none" w:sz="0" w:space="0" w:color="auto"/>
                            <w:bottom w:val="none" w:sz="0" w:space="0" w:color="auto"/>
                            <w:right w:val="none" w:sz="0" w:space="0" w:color="auto"/>
                          </w:divBdr>
                          <w:divsChild>
                            <w:div w:id="1298876999">
                              <w:marLeft w:val="0"/>
                              <w:marRight w:val="0"/>
                              <w:marTop w:val="0"/>
                              <w:marBottom w:val="0"/>
                              <w:divBdr>
                                <w:top w:val="none" w:sz="0" w:space="0" w:color="auto"/>
                                <w:left w:val="none" w:sz="0" w:space="0" w:color="auto"/>
                                <w:bottom w:val="none" w:sz="0" w:space="0" w:color="auto"/>
                                <w:right w:val="none" w:sz="0" w:space="0" w:color="auto"/>
                              </w:divBdr>
                              <w:divsChild>
                                <w:div w:id="878585690">
                                  <w:marLeft w:val="0"/>
                                  <w:marRight w:val="0"/>
                                  <w:marTop w:val="0"/>
                                  <w:marBottom w:val="0"/>
                                  <w:divBdr>
                                    <w:top w:val="none" w:sz="0" w:space="0" w:color="auto"/>
                                    <w:left w:val="none" w:sz="0" w:space="0" w:color="auto"/>
                                    <w:bottom w:val="none" w:sz="0" w:space="0" w:color="auto"/>
                                    <w:right w:val="none" w:sz="0" w:space="0" w:color="auto"/>
                                  </w:divBdr>
                                  <w:divsChild>
                                    <w:div w:id="142742641">
                                      <w:marLeft w:val="0"/>
                                      <w:marRight w:val="0"/>
                                      <w:marTop w:val="0"/>
                                      <w:marBottom w:val="0"/>
                                      <w:divBdr>
                                        <w:top w:val="none" w:sz="0" w:space="0" w:color="auto"/>
                                        <w:left w:val="none" w:sz="0" w:space="0" w:color="auto"/>
                                        <w:bottom w:val="none" w:sz="0" w:space="0" w:color="auto"/>
                                        <w:right w:val="none" w:sz="0" w:space="0" w:color="auto"/>
                                      </w:divBdr>
                                      <w:divsChild>
                                        <w:div w:id="1074937203">
                                          <w:marLeft w:val="0"/>
                                          <w:marRight w:val="0"/>
                                          <w:marTop w:val="0"/>
                                          <w:marBottom w:val="360"/>
                                          <w:divBdr>
                                            <w:top w:val="none" w:sz="0" w:space="0" w:color="auto"/>
                                            <w:left w:val="none" w:sz="0" w:space="0" w:color="auto"/>
                                            <w:bottom w:val="none" w:sz="0" w:space="0" w:color="auto"/>
                                            <w:right w:val="none" w:sz="0" w:space="0" w:color="auto"/>
                                          </w:divBdr>
                                          <w:divsChild>
                                            <w:div w:id="36666902">
                                              <w:marLeft w:val="0"/>
                                              <w:marRight w:val="0"/>
                                              <w:marTop w:val="0"/>
                                              <w:marBottom w:val="0"/>
                                              <w:divBdr>
                                                <w:top w:val="none" w:sz="0" w:space="0" w:color="auto"/>
                                                <w:left w:val="none" w:sz="0" w:space="0" w:color="auto"/>
                                                <w:bottom w:val="none" w:sz="0" w:space="0" w:color="auto"/>
                                                <w:right w:val="none" w:sz="0" w:space="0" w:color="auto"/>
                                              </w:divBdr>
                                              <w:divsChild>
                                                <w:div w:id="523052858">
                                                  <w:marLeft w:val="0"/>
                                                  <w:marRight w:val="0"/>
                                                  <w:marTop w:val="0"/>
                                                  <w:marBottom w:val="0"/>
                                                  <w:divBdr>
                                                    <w:top w:val="none" w:sz="0" w:space="0" w:color="auto"/>
                                                    <w:left w:val="none" w:sz="0" w:space="0" w:color="auto"/>
                                                    <w:bottom w:val="none" w:sz="0" w:space="0" w:color="auto"/>
                                                    <w:right w:val="none" w:sz="0" w:space="0" w:color="auto"/>
                                                  </w:divBdr>
                                                  <w:divsChild>
                                                    <w:div w:id="554698746">
                                                      <w:marLeft w:val="5370"/>
                                                      <w:marRight w:val="0"/>
                                                      <w:marTop w:val="120"/>
                                                      <w:marBottom w:val="0"/>
                                                      <w:divBdr>
                                                        <w:top w:val="none" w:sz="0" w:space="0" w:color="auto"/>
                                                        <w:left w:val="none" w:sz="0" w:space="0" w:color="auto"/>
                                                        <w:bottom w:val="none" w:sz="0" w:space="0" w:color="auto"/>
                                                        <w:right w:val="none" w:sz="0" w:space="0" w:color="auto"/>
                                                      </w:divBdr>
                                                      <w:divsChild>
                                                        <w:div w:id="6236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074864">
      <w:bodyDiv w:val="1"/>
      <w:marLeft w:val="0"/>
      <w:marRight w:val="0"/>
      <w:marTop w:val="0"/>
      <w:marBottom w:val="0"/>
      <w:divBdr>
        <w:top w:val="none" w:sz="0" w:space="0" w:color="auto"/>
        <w:left w:val="none" w:sz="0" w:space="0" w:color="auto"/>
        <w:bottom w:val="none" w:sz="0" w:space="0" w:color="auto"/>
        <w:right w:val="none" w:sz="0" w:space="0" w:color="auto"/>
      </w:divBdr>
      <w:divsChild>
        <w:div w:id="391004236">
          <w:marLeft w:val="0"/>
          <w:marRight w:val="0"/>
          <w:marTop w:val="0"/>
          <w:marBottom w:val="0"/>
          <w:divBdr>
            <w:top w:val="none" w:sz="0" w:space="0" w:color="auto"/>
            <w:left w:val="none" w:sz="0" w:space="0" w:color="auto"/>
            <w:bottom w:val="none" w:sz="0" w:space="0" w:color="auto"/>
            <w:right w:val="none" w:sz="0" w:space="0" w:color="auto"/>
          </w:divBdr>
          <w:divsChild>
            <w:div w:id="1026055652">
              <w:marLeft w:val="0"/>
              <w:marRight w:val="0"/>
              <w:marTop w:val="0"/>
              <w:marBottom w:val="0"/>
              <w:divBdr>
                <w:top w:val="none" w:sz="0" w:space="0" w:color="auto"/>
                <w:left w:val="none" w:sz="0" w:space="0" w:color="auto"/>
                <w:bottom w:val="none" w:sz="0" w:space="0" w:color="auto"/>
                <w:right w:val="none" w:sz="0" w:space="0" w:color="auto"/>
              </w:divBdr>
              <w:divsChild>
                <w:div w:id="1997683507">
                  <w:marLeft w:val="0"/>
                  <w:marRight w:val="0"/>
                  <w:marTop w:val="100"/>
                  <w:marBottom w:val="100"/>
                  <w:divBdr>
                    <w:top w:val="none" w:sz="0" w:space="0" w:color="auto"/>
                    <w:left w:val="none" w:sz="0" w:space="0" w:color="auto"/>
                    <w:bottom w:val="none" w:sz="0" w:space="0" w:color="auto"/>
                    <w:right w:val="none" w:sz="0" w:space="0" w:color="auto"/>
                  </w:divBdr>
                  <w:divsChild>
                    <w:div w:id="775294676">
                      <w:marLeft w:val="0"/>
                      <w:marRight w:val="0"/>
                      <w:marTop w:val="0"/>
                      <w:marBottom w:val="0"/>
                      <w:divBdr>
                        <w:top w:val="none" w:sz="0" w:space="0" w:color="auto"/>
                        <w:left w:val="none" w:sz="0" w:space="0" w:color="auto"/>
                        <w:bottom w:val="none" w:sz="0" w:space="0" w:color="auto"/>
                        <w:right w:val="none" w:sz="0" w:space="0" w:color="auto"/>
                      </w:divBdr>
                      <w:divsChild>
                        <w:div w:id="637878097">
                          <w:marLeft w:val="0"/>
                          <w:marRight w:val="0"/>
                          <w:marTop w:val="0"/>
                          <w:marBottom w:val="0"/>
                          <w:divBdr>
                            <w:top w:val="none" w:sz="0" w:space="0" w:color="auto"/>
                            <w:left w:val="none" w:sz="0" w:space="0" w:color="auto"/>
                            <w:bottom w:val="none" w:sz="0" w:space="0" w:color="auto"/>
                            <w:right w:val="none" w:sz="0" w:space="0" w:color="auto"/>
                          </w:divBdr>
                          <w:divsChild>
                            <w:div w:id="435295214">
                              <w:marLeft w:val="0"/>
                              <w:marRight w:val="0"/>
                              <w:marTop w:val="0"/>
                              <w:marBottom w:val="0"/>
                              <w:divBdr>
                                <w:top w:val="none" w:sz="0" w:space="0" w:color="auto"/>
                                <w:left w:val="none" w:sz="0" w:space="0" w:color="auto"/>
                                <w:bottom w:val="none" w:sz="0" w:space="0" w:color="auto"/>
                                <w:right w:val="none" w:sz="0" w:space="0" w:color="auto"/>
                              </w:divBdr>
                              <w:divsChild>
                                <w:div w:id="702437499">
                                  <w:marLeft w:val="0"/>
                                  <w:marRight w:val="0"/>
                                  <w:marTop w:val="0"/>
                                  <w:marBottom w:val="0"/>
                                  <w:divBdr>
                                    <w:top w:val="none" w:sz="0" w:space="0" w:color="auto"/>
                                    <w:left w:val="none" w:sz="0" w:space="0" w:color="auto"/>
                                    <w:bottom w:val="none" w:sz="0" w:space="0" w:color="auto"/>
                                    <w:right w:val="none" w:sz="0" w:space="0" w:color="auto"/>
                                  </w:divBdr>
                                  <w:divsChild>
                                    <w:div w:id="1627663728">
                                      <w:marLeft w:val="0"/>
                                      <w:marRight w:val="0"/>
                                      <w:marTop w:val="0"/>
                                      <w:marBottom w:val="0"/>
                                      <w:divBdr>
                                        <w:top w:val="none" w:sz="0" w:space="0" w:color="auto"/>
                                        <w:left w:val="none" w:sz="0" w:space="0" w:color="auto"/>
                                        <w:bottom w:val="none" w:sz="0" w:space="0" w:color="auto"/>
                                        <w:right w:val="none" w:sz="0" w:space="0" w:color="auto"/>
                                      </w:divBdr>
                                      <w:divsChild>
                                        <w:div w:id="648899554">
                                          <w:marLeft w:val="0"/>
                                          <w:marRight w:val="0"/>
                                          <w:marTop w:val="0"/>
                                          <w:marBottom w:val="360"/>
                                          <w:divBdr>
                                            <w:top w:val="none" w:sz="0" w:space="0" w:color="auto"/>
                                            <w:left w:val="none" w:sz="0" w:space="0" w:color="auto"/>
                                            <w:bottom w:val="none" w:sz="0" w:space="0" w:color="auto"/>
                                            <w:right w:val="none" w:sz="0" w:space="0" w:color="auto"/>
                                          </w:divBdr>
                                          <w:divsChild>
                                            <w:div w:id="1734818291">
                                              <w:marLeft w:val="0"/>
                                              <w:marRight w:val="0"/>
                                              <w:marTop w:val="0"/>
                                              <w:marBottom w:val="0"/>
                                              <w:divBdr>
                                                <w:top w:val="none" w:sz="0" w:space="0" w:color="auto"/>
                                                <w:left w:val="none" w:sz="0" w:space="0" w:color="auto"/>
                                                <w:bottom w:val="none" w:sz="0" w:space="0" w:color="auto"/>
                                                <w:right w:val="none" w:sz="0" w:space="0" w:color="auto"/>
                                              </w:divBdr>
                                              <w:divsChild>
                                                <w:div w:id="32996930">
                                                  <w:marLeft w:val="0"/>
                                                  <w:marRight w:val="0"/>
                                                  <w:marTop w:val="0"/>
                                                  <w:marBottom w:val="0"/>
                                                  <w:divBdr>
                                                    <w:top w:val="none" w:sz="0" w:space="0" w:color="auto"/>
                                                    <w:left w:val="none" w:sz="0" w:space="0" w:color="auto"/>
                                                    <w:bottom w:val="none" w:sz="0" w:space="0" w:color="auto"/>
                                                    <w:right w:val="none" w:sz="0" w:space="0" w:color="auto"/>
                                                  </w:divBdr>
                                                  <w:divsChild>
                                                    <w:div w:id="1024095924">
                                                      <w:marLeft w:val="5370"/>
                                                      <w:marRight w:val="0"/>
                                                      <w:marTop w:val="120"/>
                                                      <w:marBottom w:val="0"/>
                                                      <w:divBdr>
                                                        <w:top w:val="none" w:sz="0" w:space="0" w:color="auto"/>
                                                        <w:left w:val="none" w:sz="0" w:space="0" w:color="auto"/>
                                                        <w:bottom w:val="none" w:sz="0" w:space="0" w:color="auto"/>
                                                        <w:right w:val="none" w:sz="0" w:space="0" w:color="auto"/>
                                                      </w:divBdr>
                                                      <w:divsChild>
                                                        <w:div w:id="2082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8613</Characters>
  <Application>Microsoft Office Word</Application>
  <DocSecurity>0</DocSecurity>
  <Lines>662</Lines>
  <Paragraphs>322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wignes</dc:creator>
  <cp:lastModifiedBy>Gibson, Vikki</cp:lastModifiedBy>
  <cp:revision>2</cp:revision>
  <cp:lastPrinted>2014-07-04T00:26:00Z</cp:lastPrinted>
  <dcterms:created xsi:type="dcterms:W3CDTF">2014-07-18T06:39:00Z</dcterms:created>
  <dcterms:modified xsi:type="dcterms:W3CDTF">2014-07-18T06:39:00Z</dcterms:modified>
</cp:coreProperties>
</file>