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502D5" w:rsidRDefault="00952ED1" w:rsidP="00515B8E">
      <w:pPr>
        <w:pStyle w:val="Heading1"/>
        <w:spacing w:before="120" w:after="240"/>
        <w:jc w:val="center"/>
        <w:rPr>
          <w:rFonts w:ascii="Times New Roman" w:hAnsi="Times New Roman" w:cs="Times New Roman"/>
        </w:rPr>
      </w:pPr>
      <w:r w:rsidRPr="009502D5">
        <w:rPr>
          <w:rFonts w:ascii="Times New Roman" w:hAnsi="Times New Roman" w:cs="Times New Roman"/>
        </w:rPr>
        <w:t>E</w:t>
      </w:r>
      <w:r w:rsidR="00BA0BF3" w:rsidRPr="009502D5">
        <w:rPr>
          <w:rFonts w:ascii="Times New Roman" w:hAnsi="Times New Roman" w:cs="Times New Roman"/>
        </w:rPr>
        <w:t>XPLANATORY STATEMENT</w:t>
      </w:r>
    </w:p>
    <w:p w:rsidR="00172128" w:rsidRPr="009502D5" w:rsidRDefault="00172128" w:rsidP="009569FF">
      <w:pPr>
        <w:tabs>
          <w:tab w:val="left" w:pos="184"/>
        </w:tabs>
        <w:rPr>
          <w:b/>
        </w:rPr>
      </w:pPr>
    </w:p>
    <w:p w:rsidR="004C33CE" w:rsidRPr="009502D5" w:rsidRDefault="004C33CE" w:rsidP="004C33CE">
      <w:pPr>
        <w:jc w:val="center"/>
        <w:rPr>
          <w:b/>
        </w:rPr>
      </w:pPr>
      <w:r w:rsidRPr="009502D5">
        <w:rPr>
          <w:b/>
        </w:rPr>
        <w:t>Issued by the Authority of the Minister for Finance</w:t>
      </w:r>
    </w:p>
    <w:p w:rsidR="00172128" w:rsidRPr="009502D5" w:rsidRDefault="00172128" w:rsidP="004C33CE">
      <w:pPr>
        <w:jc w:val="center"/>
        <w:rPr>
          <w:b/>
        </w:rPr>
      </w:pPr>
    </w:p>
    <w:p w:rsidR="00172128" w:rsidRPr="009502D5" w:rsidRDefault="00172128" w:rsidP="003068FC">
      <w:pPr>
        <w:jc w:val="center"/>
        <w:rPr>
          <w:b/>
        </w:rPr>
      </w:pPr>
      <w:r w:rsidRPr="009502D5">
        <w:rPr>
          <w:b/>
          <w:i/>
        </w:rPr>
        <w:t xml:space="preserve">Public Governance, Performance and Accountability (Investment) </w:t>
      </w:r>
      <w:r w:rsidR="00BA2A0A">
        <w:rPr>
          <w:b/>
          <w:i/>
        </w:rPr>
        <w:t xml:space="preserve">Amendment </w:t>
      </w:r>
      <w:r w:rsidRPr="009502D5">
        <w:rPr>
          <w:b/>
          <w:i/>
        </w:rPr>
        <w:t>Authorisation 2014</w:t>
      </w:r>
    </w:p>
    <w:p w:rsidR="00172128" w:rsidRPr="009502D5" w:rsidRDefault="00172128"/>
    <w:p w:rsidR="003C0A8B" w:rsidRPr="009502D5" w:rsidRDefault="00D736FB">
      <w:r w:rsidRPr="009502D5">
        <w:t>Section</w:t>
      </w:r>
      <w:r w:rsidR="008202E7" w:rsidRPr="009502D5">
        <w:t xml:space="preserve"> 59 of the </w:t>
      </w:r>
      <w:r w:rsidR="00F8257F" w:rsidRPr="009502D5">
        <w:rPr>
          <w:i/>
        </w:rPr>
        <w:t xml:space="preserve">Public Governance, Performance </w:t>
      </w:r>
      <w:r w:rsidR="00F8257F">
        <w:rPr>
          <w:i/>
        </w:rPr>
        <w:t xml:space="preserve">and Accountability Act </w:t>
      </w:r>
      <w:r w:rsidR="00F8257F" w:rsidRPr="00F8257F">
        <w:rPr>
          <w:i/>
        </w:rPr>
        <w:t>2013</w:t>
      </w:r>
      <w:r w:rsidR="00F8257F">
        <w:t xml:space="preserve"> (</w:t>
      </w:r>
      <w:r w:rsidR="008202E7" w:rsidRPr="00F8257F">
        <w:t>PGPA</w:t>
      </w:r>
      <w:r w:rsidR="008202E7" w:rsidRPr="009502D5">
        <w:t xml:space="preserve"> Act</w:t>
      </w:r>
      <w:r w:rsidR="00F8257F">
        <w:t>)</w:t>
      </w:r>
      <w:r w:rsidR="008202E7" w:rsidRPr="009502D5">
        <w:t xml:space="preserve"> permits </w:t>
      </w:r>
      <w:r w:rsidR="006562BB">
        <w:t xml:space="preserve">corporate entities to invest </w:t>
      </w:r>
      <w:r w:rsidRPr="009502D5">
        <w:t xml:space="preserve">money that is (not immediately required for the purposes of the entity) in certain instruments prescribed in the Act as well as investments approved by the Finance Minister in writing.  Subparagraph 59(1)(b)(iii) of the </w:t>
      </w:r>
      <w:r w:rsidR="00F8257F">
        <w:t xml:space="preserve">PGPA </w:t>
      </w:r>
      <w:r w:rsidR="002265B9" w:rsidRPr="009502D5">
        <w:t xml:space="preserve">Act </w:t>
      </w:r>
      <w:r w:rsidR="00723465" w:rsidRPr="009502D5">
        <w:t>provides that</w:t>
      </w:r>
      <w:r w:rsidR="002265B9" w:rsidRPr="009502D5">
        <w:t xml:space="preserve"> the </w:t>
      </w:r>
      <w:r w:rsidR="003C49CD" w:rsidRPr="009502D5">
        <w:t>Finance Minister</w:t>
      </w:r>
      <w:r w:rsidR="002265B9" w:rsidRPr="009502D5">
        <w:t xml:space="preserve"> </w:t>
      </w:r>
      <w:r w:rsidR="00723465" w:rsidRPr="009502D5">
        <w:t>may</w:t>
      </w:r>
      <w:r w:rsidR="002265B9" w:rsidRPr="009502D5">
        <w:t xml:space="preserve"> </w:t>
      </w:r>
      <w:r w:rsidR="00C00B73" w:rsidRPr="009502D5">
        <w:t>make specific investment approvals for corporate Commonwealth entities.</w:t>
      </w:r>
    </w:p>
    <w:p w:rsidR="003C0A8B" w:rsidRPr="009502D5" w:rsidRDefault="003C0A8B"/>
    <w:p w:rsidR="004C33CE" w:rsidRPr="009502D5" w:rsidRDefault="00F770B3" w:rsidP="00F8257F">
      <w:r w:rsidRPr="009502D5">
        <w:t xml:space="preserve">The </w:t>
      </w:r>
      <w:r w:rsidR="003E244C" w:rsidRPr="009502D5">
        <w:rPr>
          <w:i/>
        </w:rPr>
        <w:t xml:space="preserve">Public Governance, Performance </w:t>
      </w:r>
      <w:r w:rsidR="003F2F8C">
        <w:rPr>
          <w:i/>
        </w:rPr>
        <w:t>and Accountability (Investment)</w:t>
      </w:r>
      <w:r w:rsidR="00BA2A0A">
        <w:rPr>
          <w:i/>
        </w:rPr>
        <w:t xml:space="preserve"> </w:t>
      </w:r>
      <w:r w:rsidR="003F2F8C">
        <w:rPr>
          <w:i/>
        </w:rPr>
        <w:t xml:space="preserve">Amendment </w:t>
      </w:r>
      <w:r w:rsidR="00544FA6">
        <w:rPr>
          <w:i/>
        </w:rPr>
        <w:t>Authorisation 2014</w:t>
      </w:r>
      <w:r w:rsidR="003E244C" w:rsidRPr="009502D5">
        <w:rPr>
          <w:i/>
        </w:rPr>
        <w:t xml:space="preserve"> </w:t>
      </w:r>
      <w:r w:rsidR="003F2F8C">
        <w:t>amends</w:t>
      </w:r>
      <w:r w:rsidR="00E74966" w:rsidRPr="009502D5">
        <w:t xml:space="preserve"> the </w:t>
      </w:r>
      <w:r w:rsidR="003F2F8C" w:rsidRPr="009502D5">
        <w:rPr>
          <w:i/>
        </w:rPr>
        <w:t xml:space="preserve">Public Governance, Performance </w:t>
      </w:r>
      <w:r w:rsidR="003F2F8C">
        <w:rPr>
          <w:i/>
        </w:rPr>
        <w:t xml:space="preserve">and Accountability (Investment) </w:t>
      </w:r>
      <w:r w:rsidR="003F2F8C" w:rsidRPr="009502D5">
        <w:rPr>
          <w:i/>
        </w:rPr>
        <w:t>Authorisation 2014</w:t>
      </w:r>
      <w:r w:rsidR="00E74966" w:rsidRPr="009502D5">
        <w:rPr>
          <w:i/>
        </w:rPr>
        <w:t xml:space="preserve">. </w:t>
      </w:r>
      <w:r w:rsidR="00E74966" w:rsidRPr="009502D5">
        <w:t xml:space="preserve"> </w:t>
      </w:r>
      <w:r w:rsidR="006562BB">
        <w:t>The investment authoris</w:t>
      </w:r>
      <w:r w:rsidR="00A10E1B">
        <w:t xml:space="preserve">ation was intended to continue </w:t>
      </w:r>
      <w:r w:rsidR="00BA2A0A" w:rsidRPr="009502D5">
        <w:t xml:space="preserve">the scope of the investment approvals previously provided under </w:t>
      </w:r>
      <w:r w:rsidR="00F8257F">
        <w:t>paragraph</w:t>
      </w:r>
      <w:r w:rsidR="00BA2A0A" w:rsidRPr="009502D5">
        <w:t xml:space="preserve"> 18(3)(d)</w:t>
      </w:r>
      <w:r w:rsidR="00BA2A0A">
        <w:t xml:space="preserve"> of </w:t>
      </w:r>
      <w:r w:rsidR="00A10E1B">
        <w:t xml:space="preserve">the </w:t>
      </w:r>
      <w:r w:rsidR="00A10E1B" w:rsidRPr="00BA2A0A">
        <w:rPr>
          <w:i/>
        </w:rPr>
        <w:t>Commonwealth Authorities and Companies Act 1997</w:t>
      </w:r>
      <w:r w:rsidR="00BA2A0A">
        <w:rPr>
          <w:i/>
        </w:rPr>
        <w:t xml:space="preserve">. </w:t>
      </w:r>
      <w:r w:rsidR="00F8257F">
        <w:t xml:space="preserve"> </w:t>
      </w:r>
      <w:r w:rsidR="00E74966" w:rsidRPr="009502D5">
        <w:t>The</w:t>
      </w:r>
      <w:r w:rsidR="006562BB">
        <w:t xml:space="preserve"> amendment authoris</w:t>
      </w:r>
      <w:r w:rsidR="00A34D87">
        <w:t>ation,</w:t>
      </w:r>
      <w:r w:rsidR="00E74966" w:rsidRPr="009502D5">
        <w:t xml:space="preserve"> created pursuant to subparagraph 59(1)(b)(iii) of the PGPA Act</w:t>
      </w:r>
      <w:r w:rsidR="00A34D87">
        <w:t>,</w:t>
      </w:r>
      <w:r w:rsidR="00E74966" w:rsidRPr="009502D5">
        <w:t xml:space="preserve"> </w:t>
      </w:r>
      <w:r w:rsidR="00A34D87">
        <w:t>correct</w:t>
      </w:r>
      <w:r w:rsidR="00E74966" w:rsidRPr="009502D5">
        <w:t xml:space="preserve">s </w:t>
      </w:r>
      <w:r w:rsidR="00A34D87">
        <w:t xml:space="preserve">a technical drafting error which </w:t>
      </w:r>
      <w:r w:rsidR="003068FC">
        <w:t>switched the</w:t>
      </w:r>
      <w:r w:rsidR="006562BB">
        <w:t xml:space="preserve"> authoris</w:t>
      </w:r>
      <w:r w:rsidR="00A34D87">
        <w:t>ation</w:t>
      </w:r>
      <w:r w:rsidR="00A10E1B">
        <w:t>s</w:t>
      </w:r>
      <w:r w:rsidR="003068FC">
        <w:t xml:space="preserve"> of</w:t>
      </w:r>
      <w:r w:rsidR="00A34D87">
        <w:t xml:space="preserve"> two corporate Commonwealth entities</w:t>
      </w:r>
      <w:r w:rsidR="00E74966" w:rsidRPr="009502D5">
        <w:t>.</w:t>
      </w:r>
      <w:r w:rsidR="00A34D87">
        <w:t xml:space="preserve">  </w:t>
      </w:r>
    </w:p>
    <w:p w:rsidR="00801E93" w:rsidRPr="009502D5" w:rsidRDefault="00801E93">
      <w:pPr>
        <w:pStyle w:val="ParaNumbering"/>
        <w:rPr>
          <w:rFonts w:eastAsiaTheme="minorEastAsia"/>
          <w:szCs w:val="24"/>
          <w:lang w:val="en-US" w:bidi="en-US"/>
        </w:rPr>
      </w:pPr>
    </w:p>
    <w:p w:rsidR="00DB4792" w:rsidRPr="009502D5" w:rsidRDefault="00DB4792">
      <w:pPr>
        <w:pStyle w:val="ParaNumbering"/>
        <w:rPr>
          <w:rFonts w:eastAsiaTheme="minorEastAsia"/>
          <w:szCs w:val="24"/>
          <w:lang w:val="en-US" w:bidi="en-US"/>
        </w:rPr>
      </w:pPr>
      <w:r w:rsidRPr="009502D5">
        <w:rPr>
          <w:rFonts w:eastAsiaTheme="minorEastAsia"/>
          <w:szCs w:val="24"/>
          <w:lang w:val="en-US" w:bidi="en-US"/>
        </w:rPr>
        <w:t xml:space="preserve">Subsection 59(4), of the PGPA Act establishes these </w:t>
      </w:r>
      <w:r w:rsidR="00264172" w:rsidRPr="009502D5">
        <w:rPr>
          <w:rFonts w:eastAsiaTheme="minorEastAsia"/>
          <w:szCs w:val="24"/>
          <w:lang w:val="en-US" w:bidi="en-US"/>
        </w:rPr>
        <w:t>authoris</w:t>
      </w:r>
      <w:r w:rsidRPr="009502D5">
        <w:rPr>
          <w:rFonts w:eastAsiaTheme="minorEastAsia"/>
          <w:szCs w:val="24"/>
          <w:lang w:val="en-US" w:bidi="en-US"/>
        </w:rPr>
        <w:t xml:space="preserve">ations as legislative instruments that are not subject to disallowance. </w:t>
      </w:r>
      <w:r w:rsidR="00DC43A7" w:rsidRPr="009502D5">
        <w:rPr>
          <w:rFonts w:eastAsiaTheme="minorEastAsia"/>
          <w:szCs w:val="24"/>
          <w:lang w:val="en-US" w:bidi="en-US"/>
        </w:rPr>
        <w:t xml:space="preserve"> Hence section 42 (disallowance) of the </w:t>
      </w:r>
      <w:r w:rsidR="00A76536" w:rsidRPr="009502D5">
        <w:rPr>
          <w:rFonts w:eastAsiaTheme="minorEastAsia"/>
          <w:i/>
          <w:szCs w:val="24"/>
          <w:lang w:val="en-US" w:bidi="en-US"/>
        </w:rPr>
        <w:t>Legislative I</w:t>
      </w:r>
      <w:r w:rsidR="00050FD0" w:rsidRPr="009502D5">
        <w:rPr>
          <w:rFonts w:eastAsiaTheme="minorEastAsia"/>
          <w:i/>
          <w:szCs w:val="24"/>
          <w:lang w:val="en-US" w:bidi="en-US"/>
        </w:rPr>
        <w:t>nstruments Act 200</w:t>
      </w:r>
      <w:r w:rsidR="00DC43A7" w:rsidRPr="009502D5">
        <w:rPr>
          <w:rFonts w:eastAsiaTheme="minorEastAsia"/>
          <w:i/>
          <w:szCs w:val="24"/>
          <w:lang w:val="en-US" w:bidi="en-US"/>
        </w:rPr>
        <w:t>3</w:t>
      </w:r>
      <w:r w:rsidR="00DC43A7" w:rsidRPr="009502D5">
        <w:rPr>
          <w:rFonts w:eastAsiaTheme="minorEastAsia"/>
          <w:szCs w:val="24"/>
          <w:lang w:val="en-US" w:bidi="en-US"/>
        </w:rPr>
        <w:t xml:space="preserve"> does </w:t>
      </w:r>
      <w:r w:rsidR="003014A3" w:rsidRPr="009502D5">
        <w:rPr>
          <w:rFonts w:eastAsiaTheme="minorEastAsia"/>
          <w:szCs w:val="24"/>
          <w:lang w:val="en-US" w:bidi="en-US"/>
        </w:rPr>
        <w:t xml:space="preserve">not </w:t>
      </w:r>
      <w:r w:rsidR="00897D16" w:rsidRPr="009502D5">
        <w:rPr>
          <w:rFonts w:eastAsiaTheme="minorEastAsia"/>
          <w:szCs w:val="24"/>
          <w:lang w:val="en-US" w:bidi="en-US"/>
        </w:rPr>
        <w:t>apply.</w:t>
      </w:r>
    </w:p>
    <w:p w:rsidR="00DB4792" w:rsidRPr="009502D5" w:rsidRDefault="00DB4792">
      <w:pPr>
        <w:pStyle w:val="ParaNumbering"/>
        <w:rPr>
          <w:rFonts w:eastAsiaTheme="minorEastAsia"/>
          <w:i/>
          <w:szCs w:val="24"/>
          <w:lang w:val="en-US" w:bidi="en-US"/>
        </w:rPr>
      </w:pPr>
    </w:p>
    <w:p w:rsidR="000134C5" w:rsidRPr="009502D5" w:rsidRDefault="000134C5">
      <w:pPr>
        <w:pStyle w:val="ParaNumbering"/>
        <w:rPr>
          <w:rFonts w:eastAsiaTheme="minorEastAsia"/>
          <w:szCs w:val="24"/>
          <w:lang w:val="en-US" w:bidi="en-US"/>
        </w:rPr>
      </w:pPr>
      <w:r w:rsidRPr="009502D5">
        <w:rPr>
          <w:rFonts w:eastAsiaTheme="minorEastAsia"/>
          <w:i/>
          <w:szCs w:val="24"/>
          <w:lang w:val="en-US" w:bidi="en-US"/>
        </w:rPr>
        <w:t xml:space="preserve">The Public Governance, Performance and Accountability (Investment) </w:t>
      </w:r>
      <w:r w:rsidR="00A34D87">
        <w:rPr>
          <w:rFonts w:eastAsiaTheme="minorEastAsia"/>
          <w:i/>
          <w:szCs w:val="24"/>
          <w:lang w:val="en-US" w:bidi="en-US"/>
        </w:rPr>
        <w:t xml:space="preserve">Amendment </w:t>
      </w:r>
      <w:r w:rsidRPr="009502D5">
        <w:rPr>
          <w:rFonts w:eastAsiaTheme="minorEastAsia"/>
          <w:i/>
          <w:szCs w:val="24"/>
          <w:lang w:val="en-US" w:bidi="en-US"/>
        </w:rPr>
        <w:t>Authorisation 2014</w:t>
      </w:r>
      <w:r w:rsidR="00BA2A0A">
        <w:rPr>
          <w:rFonts w:eastAsiaTheme="minorEastAsia"/>
          <w:szCs w:val="24"/>
          <w:lang w:val="en-US" w:bidi="en-US"/>
        </w:rPr>
        <w:t xml:space="preserve"> </w:t>
      </w:r>
      <w:r w:rsidR="00A34D87">
        <w:rPr>
          <w:rFonts w:eastAsiaTheme="minorEastAsia"/>
          <w:szCs w:val="24"/>
          <w:lang w:val="en-US" w:bidi="en-US"/>
        </w:rPr>
        <w:t xml:space="preserve">amends the primary instrument by changing a reference in section 4 to read “Part 3” instead of “Part 4”.  This references the </w:t>
      </w:r>
      <w:r w:rsidR="00BA2A0A">
        <w:rPr>
          <w:rFonts w:eastAsiaTheme="minorEastAsia"/>
          <w:szCs w:val="24"/>
          <w:lang w:val="en-US" w:bidi="en-US"/>
        </w:rPr>
        <w:t>authoris</w:t>
      </w:r>
      <w:r w:rsidR="00A34D87">
        <w:rPr>
          <w:rFonts w:eastAsiaTheme="minorEastAsia"/>
          <w:szCs w:val="24"/>
          <w:lang w:val="en-US" w:bidi="en-US"/>
        </w:rPr>
        <w:t>ation for the Export Finance and Insurance Corporation</w:t>
      </w:r>
      <w:r w:rsidR="00A10E1B">
        <w:rPr>
          <w:rFonts w:eastAsiaTheme="minorEastAsia"/>
          <w:szCs w:val="24"/>
          <w:lang w:val="en-US" w:bidi="en-US"/>
        </w:rPr>
        <w:t xml:space="preserve"> instead of the Grains Research and Development Corporation.  The reference had not been amended when an earlier Part was removed from the original instrument, inadvertently </w:t>
      </w:r>
      <w:r w:rsidR="00BA2A0A">
        <w:rPr>
          <w:rFonts w:eastAsiaTheme="minorEastAsia"/>
          <w:szCs w:val="24"/>
          <w:lang w:val="en-US" w:bidi="en-US"/>
        </w:rPr>
        <w:t>switching the continuing</w:t>
      </w:r>
      <w:r w:rsidR="00A10E1B">
        <w:rPr>
          <w:rFonts w:eastAsiaTheme="minorEastAsia"/>
          <w:szCs w:val="24"/>
          <w:lang w:val="en-US" w:bidi="en-US"/>
        </w:rPr>
        <w:t xml:space="preserve"> </w:t>
      </w:r>
      <w:r w:rsidR="00BA2A0A">
        <w:rPr>
          <w:rFonts w:eastAsiaTheme="minorEastAsia"/>
          <w:szCs w:val="24"/>
          <w:lang w:val="en-US" w:bidi="en-US"/>
        </w:rPr>
        <w:t>authoris</w:t>
      </w:r>
      <w:r w:rsidR="00A10E1B">
        <w:rPr>
          <w:rFonts w:eastAsiaTheme="minorEastAsia"/>
          <w:szCs w:val="24"/>
          <w:lang w:val="en-US" w:bidi="en-US"/>
        </w:rPr>
        <w:t xml:space="preserve">ations </w:t>
      </w:r>
      <w:r w:rsidR="00BA2A0A">
        <w:rPr>
          <w:rFonts w:eastAsiaTheme="minorEastAsia"/>
          <w:szCs w:val="24"/>
          <w:lang w:val="en-US" w:bidi="en-US"/>
        </w:rPr>
        <w:t>for</w:t>
      </w:r>
      <w:r w:rsidR="00A10E1B">
        <w:rPr>
          <w:rFonts w:eastAsiaTheme="minorEastAsia"/>
          <w:szCs w:val="24"/>
          <w:lang w:val="en-US" w:bidi="en-US"/>
        </w:rPr>
        <w:t xml:space="preserve"> these two entities.</w:t>
      </w:r>
    </w:p>
    <w:p w:rsidR="000134C5" w:rsidRPr="009502D5" w:rsidRDefault="000134C5" w:rsidP="00F8257F">
      <w:pPr>
        <w:pStyle w:val="ParaNumbering"/>
        <w:spacing w:line="240" w:lineRule="auto"/>
        <w:rPr>
          <w:rFonts w:eastAsiaTheme="minorEastAsia"/>
          <w:szCs w:val="24"/>
          <w:lang w:val="en-US" w:bidi="en-US"/>
        </w:rPr>
      </w:pPr>
    </w:p>
    <w:p w:rsidR="005C5470" w:rsidRDefault="00A53E39" w:rsidP="00F8257F">
      <w:pPr>
        <w:pStyle w:val="Heading2"/>
        <w:spacing w:before="0"/>
        <w:rPr>
          <w:rFonts w:ascii="Times New Roman" w:hAnsi="Times New Roman" w:cs="Times New Roman"/>
        </w:rPr>
      </w:pPr>
      <w:r w:rsidRPr="009502D5">
        <w:rPr>
          <w:rFonts w:ascii="Times New Roman" w:hAnsi="Times New Roman" w:cs="Times New Roman"/>
        </w:rPr>
        <w:t>Consultation</w:t>
      </w:r>
    </w:p>
    <w:p w:rsidR="00F8257F" w:rsidRPr="00F8257F" w:rsidRDefault="00F8257F" w:rsidP="00F8257F"/>
    <w:p w:rsidR="00BE3437" w:rsidRPr="009502D5" w:rsidRDefault="00A10E1B" w:rsidP="00BB7D07">
      <w:pPr>
        <w:pStyle w:val="ParaNumbering"/>
      </w:pPr>
      <w:r>
        <w:t>The two</w:t>
      </w:r>
      <w:r w:rsidR="00264172" w:rsidRPr="009502D5">
        <w:t xml:space="preserve"> Commonwealth entities </w:t>
      </w:r>
      <w:r>
        <w:t xml:space="preserve">affected by the technical drafting error </w:t>
      </w:r>
      <w:r w:rsidR="00D36A0E" w:rsidRPr="009502D5">
        <w:t>have been consulted</w:t>
      </w:r>
      <w:r w:rsidR="00BB7D07" w:rsidRPr="009502D5">
        <w:t>.</w:t>
      </w:r>
    </w:p>
    <w:sectPr w:rsidR="00BE3437" w:rsidRPr="009502D5" w:rsidSect="00427E4B">
      <w:headerReference w:type="default" r:id="rId8"/>
      <w:pgSz w:w="11906" w:h="16838"/>
      <w:pgMar w:top="1440" w:right="1440" w:bottom="1440" w:left="1440" w:header="708" w:footer="51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8A" w:rsidRDefault="0039698A" w:rsidP="00D976E6">
      <w:r>
        <w:separator/>
      </w:r>
    </w:p>
    <w:p w:rsidR="0039698A" w:rsidRDefault="0039698A" w:rsidP="00D976E6"/>
  </w:endnote>
  <w:endnote w:type="continuationSeparator" w:id="0">
    <w:p w:rsidR="0039698A" w:rsidRDefault="0039698A" w:rsidP="00D976E6">
      <w:r>
        <w:continuationSeparator/>
      </w:r>
    </w:p>
    <w:p w:rsidR="0039698A" w:rsidRDefault="0039698A"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8A" w:rsidRDefault="0039698A" w:rsidP="00D976E6">
      <w:r>
        <w:separator/>
      </w:r>
    </w:p>
    <w:p w:rsidR="0039698A" w:rsidRDefault="0039698A" w:rsidP="00D976E6"/>
  </w:footnote>
  <w:footnote w:type="continuationSeparator" w:id="0">
    <w:p w:rsidR="0039698A" w:rsidRDefault="0039698A" w:rsidP="00D976E6">
      <w:r>
        <w:continuationSeparator/>
      </w:r>
    </w:p>
    <w:p w:rsidR="0039698A" w:rsidRDefault="0039698A"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Pr="004C33CE" w:rsidRDefault="00A34D87" w:rsidP="004C33CE">
    <w:pPr>
      <w:pStyle w:val="Header"/>
      <w:jc w:val="right"/>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B4008C"/>
    <w:multiLevelType w:val="hybridMultilevel"/>
    <w:tmpl w:val="4612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D67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3">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7E2E8A"/>
    <w:multiLevelType w:val="hybridMultilevel"/>
    <w:tmpl w:val="9710AAA6"/>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36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8D4993"/>
    <w:multiLevelType w:val="hybridMultilevel"/>
    <w:tmpl w:val="C352C366"/>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0"/>
  </w:num>
  <w:num w:numId="4">
    <w:abstractNumId w:val="11"/>
  </w:num>
  <w:num w:numId="5">
    <w:abstractNumId w:val="3"/>
  </w:num>
  <w:num w:numId="6">
    <w:abstractNumId w:val="31"/>
  </w:num>
  <w:num w:numId="7">
    <w:abstractNumId w:val="0"/>
  </w:num>
  <w:num w:numId="8">
    <w:abstractNumId w:val="12"/>
  </w:num>
  <w:num w:numId="9">
    <w:abstractNumId w:val="13"/>
  </w:num>
  <w:num w:numId="10">
    <w:abstractNumId w:val="7"/>
  </w:num>
  <w:num w:numId="11">
    <w:abstractNumId w:val="4"/>
  </w:num>
  <w:num w:numId="12">
    <w:abstractNumId w:val="6"/>
  </w:num>
  <w:num w:numId="13">
    <w:abstractNumId w:val="17"/>
  </w:num>
  <w:num w:numId="14">
    <w:abstractNumId w:val="8"/>
  </w:num>
  <w:num w:numId="15">
    <w:abstractNumId w:val="19"/>
  </w:num>
  <w:num w:numId="16">
    <w:abstractNumId w:val="24"/>
  </w:num>
  <w:num w:numId="17">
    <w:abstractNumId w:val="5"/>
  </w:num>
  <w:num w:numId="18">
    <w:abstractNumId w:val="30"/>
  </w:num>
  <w:num w:numId="19">
    <w:abstractNumId w:val="21"/>
  </w:num>
  <w:num w:numId="20">
    <w:abstractNumId w:val="26"/>
  </w:num>
  <w:num w:numId="21">
    <w:abstractNumId w:val="16"/>
  </w:num>
  <w:num w:numId="22">
    <w:abstractNumId w:val="9"/>
  </w:num>
  <w:num w:numId="23">
    <w:abstractNumId w:val="1"/>
  </w:num>
  <w:num w:numId="24">
    <w:abstractNumId w:val="2"/>
  </w:num>
  <w:num w:numId="25">
    <w:abstractNumId w:val="27"/>
  </w:num>
  <w:num w:numId="26">
    <w:abstractNumId w:val="23"/>
  </w:num>
  <w:num w:numId="27">
    <w:abstractNumId w:val="28"/>
  </w:num>
  <w:num w:numId="28">
    <w:abstractNumId w:val="14"/>
  </w:num>
  <w:num w:numId="29">
    <w:abstractNumId w:val="22"/>
  </w:num>
  <w:num w:numId="30">
    <w:abstractNumId w:val="25"/>
  </w:num>
  <w:num w:numId="31">
    <w:abstractNumId w:val="1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452D0D"/>
    <w:rsid w:val="00000A08"/>
    <w:rsid w:val="000034CC"/>
    <w:rsid w:val="000043E7"/>
    <w:rsid w:val="00005815"/>
    <w:rsid w:val="00007FE2"/>
    <w:rsid w:val="0001085E"/>
    <w:rsid w:val="0001195F"/>
    <w:rsid w:val="00012890"/>
    <w:rsid w:val="000128B4"/>
    <w:rsid w:val="000134C5"/>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A61"/>
    <w:rsid w:val="00040627"/>
    <w:rsid w:val="0004247F"/>
    <w:rsid w:val="000433F3"/>
    <w:rsid w:val="00044073"/>
    <w:rsid w:val="000465AC"/>
    <w:rsid w:val="00050EC4"/>
    <w:rsid w:val="00050FD0"/>
    <w:rsid w:val="000512E1"/>
    <w:rsid w:val="00051C48"/>
    <w:rsid w:val="0005407E"/>
    <w:rsid w:val="000554B7"/>
    <w:rsid w:val="00057D2F"/>
    <w:rsid w:val="0006098E"/>
    <w:rsid w:val="00061B95"/>
    <w:rsid w:val="00063152"/>
    <w:rsid w:val="00064BF3"/>
    <w:rsid w:val="00064FA4"/>
    <w:rsid w:val="000678F3"/>
    <w:rsid w:val="000717A8"/>
    <w:rsid w:val="000718DC"/>
    <w:rsid w:val="00076A90"/>
    <w:rsid w:val="00076B6F"/>
    <w:rsid w:val="0007737C"/>
    <w:rsid w:val="000801D8"/>
    <w:rsid w:val="00080476"/>
    <w:rsid w:val="00080A2B"/>
    <w:rsid w:val="0008188E"/>
    <w:rsid w:val="0008428C"/>
    <w:rsid w:val="00085E21"/>
    <w:rsid w:val="00090136"/>
    <w:rsid w:val="00090756"/>
    <w:rsid w:val="00091186"/>
    <w:rsid w:val="00093909"/>
    <w:rsid w:val="00093B08"/>
    <w:rsid w:val="000969F7"/>
    <w:rsid w:val="00097075"/>
    <w:rsid w:val="000A5518"/>
    <w:rsid w:val="000A5D25"/>
    <w:rsid w:val="000A6F15"/>
    <w:rsid w:val="000B09EC"/>
    <w:rsid w:val="000B280B"/>
    <w:rsid w:val="000B64FC"/>
    <w:rsid w:val="000B693D"/>
    <w:rsid w:val="000B7217"/>
    <w:rsid w:val="000C1985"/>
    <w:rsid w:val="000C2407"/>
    <w:rsid w:val="000D0AB1"/>
    <w:rsid w:val="000D15D9"/>
    <w:rsid w:val="000D2ED1"/>
    <w:rsid w:val="000D4F6A"/>
    <w:rsid w:val="000D5C03"/>
    <w:rsid w:val="000E0B88"/>
    <w:rsid w:val="000E540D"/>
    <w:rsid w:val="000E54FC"/>
    <w:rsid w:val="000F1205"/>
    <w:rsid w:val="000F1F20"/>
    <w:rsid w:val="001019A4"/>
    <w:rsid w:val="00103D96"/>
    <w:rsid w:val="00114A68"/>
    <w:rsid w:val="0012031D"/>
    <w:rsid w:val="00125A1D"/>
    <w:rsid w:val="00132DCA"/>
    <w:rsid w:val="00132F9A"/>
    <w:rsid w:val="00134A1D"/>
    <w:rsid w:val="0013538B"/>
    <w:rsid w:val="00135B9F"/>
    <w:rsid w:val="00140166"/>
    <w:rsid w:val="00144068"/>
    <w:rsid w:val="00144EA6"/>
    <w:rsid w:val="00146231"/>
    <w:rsid w:val="00146277"/>
    <w:rsid w:val="0014629D"/>
    <w:rsid w:val="00157EBE"/>
    <w:rsid w:val="0016392F"/>
    <w:rsid w:val="00163ADB"/>
    <w:rsid w:val="00163AF3"/>
    <w:rsid w:val="001647FC"/>
    <w:rsid w:val="001677F9"/>
    <w:rsid w:val="00167E2E"/>
    <w:rsid w:val="001709E7"/>
    <w:rsid w:val="00172128"/>
    <w:rsid w:val="00176D5D"/>
    <w:rsid w:val="0018067C"/>
    <w:rsid w:val="00185E46"/>
    <w:rsid w:val="001861C4"/>
    <w:rsid w:val="00186FE6"/>
    <w:rsid w:val="00191A27"/>
    <w:rsid w:val="00196919"/>
    <w:rsid w:val="00197F02"/>
    <w:rsid w:val="001A019D"/>
    <w:rsid w:val="001A06F8"/>
    <w:rsid w:val="001A09DE"/>
    <w:rsid w:val="001A1EBC"/>
    <w:rsid w:val="001A228A"/>
    <w:rsid w:val="001A60F4"/>
    <w:rsid w:val="001A745A"/>
    <w:rsid w:val="001B18DD"/>
    <w:rsid w:val="001B24D6"/>
    <w:rsid w:val="001B7ECD"/>
    <w:rsid w:val="001C0A53"/>
    <w:rsid w:val="001C0D33"/>
    <w:rsid w:val="001C2D98"/>
    <w:rsid w:val="001C3154"/>
    <w:rsid w:val="001C4F31"/>
    <w:rsid w:val="001C5E34"/>
    <w:rsid w:val="001C68FE"/>
    <w:rsid w:val="001C78B1"/>
    <w:rsid w:val="001D1914"/>
    <w:rsid w:val="001D551C"/>
    <w:rsid w:val="001D638D"/>
    <w:rsid w:val="001D6578"/>
    <w:rsid w:val="001D73B8"/>
    <w:rsid w:val="001D7E5A"/>
    <w:rsid w:val="001E087F"/>
    <w:rsid w:val="001E0982"/>
    <w:rsid w:val="001E1224"/>
    <w:rsid w:val="001E34BC"/>
    <w:rsid w:val="001E40D6"/>
    <w:rsid w:val="001E4CEA"/>
    <w:rsid w:val="001E5E26"/>
    <w:rsid w:val="001E75C1"/>
    <w:rsid w:val="001F07AD"/>
    <w:rsid w:val="001F2529"/>
    <w:rsid w:val="001F400C"/>
    <w:rsid w:val="001F5359"/>
    <w:rsid w:val="001F590C"/>
    <w:rsid w:val="001F687E"/>
    <w:rsid w:val="001F72A9"/>
    <w:rsid w:val="002032FC"/>
    <w:rsid w:val="0020484A"/>
    <w:rsid w:val="00206192"/>
    <w:rsid w:val="00206508"/>
    <w:rsid w:val="00207B5F"/>
    <w:rsid w:val="00210EFB"/>
    <w:rsid w:val="0021459A"/>
    <w:rsid w:val="00216919"/>
    <w:rsid w:val="0021740E"/>
    <w:rsid w:val="00220F02"/>
    <w:rsid w:val="002226FB"/>
    <w:rsid w:val="00222981"/>
    <w:rsid w:val="00222F07"/>
    <w:rsid w:val="00223932"/>
    <w:rsid w:val="0022412F"/>
    <w:rsid w:val="002246AE"/>
    <w:rsid w:val="002265B9"/>
    <w:rsid w:val="002272EA"/>
    <w:rsid w:val="00236791"/>
    <w:rsid w:val="00243BAA"/>
    <w:rsid w:val="00246632"/>
    <w:rsid w:val="00251841"/>
    <w:rsid w:val="0025196F"/>
    <w:rsid w:val="00257472"/>
    <w:rsid w:val="00260183"/>
    <w:rsid w:val="002609DC"/>
    <w:rsid w:val="00261293"/>
    <w:rsid w:val="002616FA"/>
    <w:rsid w:val="00264172"/>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FF2"/>
    <w:rsid w:val="002A1A8B"/>
    <w:rsid w:val="002A24AD"/>
    <w:rsid w:val="002A282E"/>
    <w:rsid w:val="002A49B0"/>
    <w:rsid w:val="002A6402"/>
    <w:rsid w:val="002A65CB"/>
    <w:rsid w:val="002A666E"/>
    <w:rsid w:val="002A74F7"/>
    <w:rsid w:val="002B1949"/>
    <w:rsid w:val="002C1217"/>
    <w:rsid w:val="002C20D1"/>
    <w:rsid w:val="002C21C1"/>
    <w:rsid w:val="002C6606"/>
    <w:rsid w:val="002D36F0"/>
    <w:rsid w:val="002D51B2"/>
    <w:rsid w:val="002D6258"/>
    <w:rsid w:val="002E01CE"/>
    <w:rsid w:val="002E0D75"/>
    <w:rsid w:val="002E2701"/>
    <w:rsid w:val="002E307D"/>
    <w:rsid w:val="002F214A"/>
    <w:rsid w:val="002F2EC8"/>
    <w:rsid w:val="002F77DE"/>
    <w:rsid w:val="003014A3"/>
    <w:rsid w:val="00301C10"/>
    <w:rsid w:val="003068FC"/>
    <w:rsid w:val="00306D19"/>
    <w:rsid w:val="00312581"/>
    <w:rsid w:val="0031473F"/>
    <w:rsid w:val="00315546"/>
    <w:rsid w:val="00315A11"/>
    <w:rsid w:val="00315E9C"/>
    <w:rsid w:val="00322CAC"/>
    <w:rsid w:val="003233A0"/>
    <w:rsid w:val="00323A1A"/>
    <w:rsid w:val="00324047"/>
    <w:rsid w:val="00326483"/>
    <w:rsid w:val="0032663B"/>
    <w:rsid w:val="003267C3"/>
    <w:rsid w:val="00332640"/>
    <w:rsid w:val="003327B3"/>
    <w:rsid w:val="00333469"/>
    <w:rsid w:val="0033754A"/>
    <w:rsid w:val="00342EC7"/>
    <w:rsid w:val="003437FF"/>
    <w:rsid w:val="003458B4"/>
    <w:rsid w:val="00347CC6"/>
    <w:rsid w:val="0035248E"/>
    <w:rsid w:val="003533EA"/>
    <w:rsid w:val="0035416D"/>
    <w:rsid w:val="003549E2"/>
    <w:rsid w:val="00356CCE"/>
    <w:rsid w:val="00357216"/>
    <w:rsid w:val="00362A63"/>
    <w:rsid w:val="0036443A"/>
    <w:rsid w:val="00365F54"/>
    <w:rsid w:val="003704E8"/>
    <w:rsid w:val="00370F50"/>
    <w:rsid w:val="003804F8"/>
    <w:rsid w:val="0038080A"/>
    <w:rsid w:val="00380B15"/>
    <w:rsid w:val="00382FEA"/>
    <w:rsid w:val="0038485E"/>
    <w:rsid w:val="0038530C"/>
    <w:rsid w:val="003954A0"/>
    <w:rsid w:val="00395C9F"/>
    <w:rsid w:val="00395EB4"/>
    <w:rsid w:val="0039698A"/>
    <w:rsid w:val="003A5DB3"/>
    <w:rsid w:val="003A657C"/>
    <w:rsid w:val="003A6FF0"/>
    <w:rsid w:val="003B0C6F"/>
    <w:rsid w:val="003B1654"/>
    <w:rsid w:val="003B4161"/>
    <w:rsid w:val="003B72D5"/>
    <w:rsid w:val="003B738F"/>
    <w:rsid w:val="003C0972"/>
    <w:rsid w:val="003C0A8B"/>
    <w:rsid w:val="003C226F"/>
    <w:rsid w:val="003C2CC2"/>
    <w:rsid w:val="003C3575"/>
    <w:rsid w:val="003C49CD"/>
    <w:rsid w:val="003C6CB8"/>
    <w:rsid w:val="003C6DB3"/>
    <w:rsid w:val="003D21CC"/>
    <w:rsid w:val="003E052E"/>
    <w:rsid w:val="003E179E"/>
    <w:rsid w:val="003E244C"/>
    <w:rsid w:val="003E3538"/>
    <w:rsid w:val="003E3C8A"/>
    <w:rsid w:val="003F2F8C"/>
    <w:rsid w:val="003F5656"/>
    <w:rsid w:val="004062D7"/>
    <w:rsid w:val="00406CDE"/>
    <w:rsid w:val="00406EB7"/>
    <w:rsid w:val="004111A2"/>
    <w:rsid w:val="00411D73"/>
    <w:rsid w:val="00413BD9"/>
    <w:rsid w:val="00413ED9"/>
    <w:rsid w:val="004146F9"/>
    <w:rsid w:val="00415B3F"/>
    <w:rsid w:val="00417420"/>
    <w:rsid w:val="0042298C"/>
    <w:rsid w:val="00424CBD"/>
    <w:rsid w:val="0042666E"/>
    <w:rsid w:val="00427E4B"/>
    <w:rsid w:val="00431E77"/>
    <w:rsid w:val="00431F5D"/>
    <w:rsid w:val="00431FB8"/>
    <w:rsid w:val="004342C0"/>
    <w:rsid w:val="00434E5C"/>
    <w:rsid w:val="004367A4"/>
    <w:rsid w:val="004378A0"/>
    <w:rsid w:val="0044131F"/>
    <w:rsid w:val="00446662"/>
    <w:rsid w:val="00446A8A"/>
    <w:rsid w:val="00447E0E"/>
    <w:rsid w:val="00450C7D"/>
    <w:rsid w:val="00451CCE"/>
    <w:rsid w:val="00452D0D"/>
    <w:rsid w:val="00461A2C"/>
    <w:rsid w:val="00467BD0"/>
    <w:rsid w:val="00471841"/>
    <w:rsid w:val="004725C6"/>
    <w:rsid w:val="004766F4"/>
    <w:rsid w:val="004770DC"/>
    <w:rsid w:val="004835F5"/>
    <w:rsid w:val="004856FC"/>
    <w:rsid w:val="00487238"/>
    <w:rsid w:val="00495107"/>
    <w:rsid w:val="00496EDF"/>
    <w:rsid w:val="004A039A"/>
    <w:rsid w:val="004A106C"/>
    <w:rsid w:val="004A12BF"/>
    <w:rsid w:val="004A1967"/>
    <w:rsid w:val="004A1BDD"/>
    <w:rsid w:val="004A43A6"/>
    <w:rsid w:val="004A5CD4"/>
    <w:rsid w:val="004A6F55"/>
    <w:rsid w:val="004A7B43"/>
    <w:rsid w:val="004B1905"/>
    <w:rsid w:val="004B3ED8"/>
    <w:rsid w:val="004B6092"/>
    <w:rsid w:val="004C041D"/>
    <w:rsid w:val="004C243D"/>
    <w:rsid w:val="004C33CE"/>
    <w:rsid w:val="004C474E"/>
    <w:rsid w:val="004C4D35"/>
    <w:rsid w:val="004C54D6"/>
    <w:rsid w:val="004C5940"/>
    <w:rsid w:val="004C5D10"/>
    <w:rsid w:val="004D0B37"/>
    <w:rsid w:val="004D102D"/>
    <w:rsid w:val="004D5837"/>
    <w:rsid w:val="004E2F91"/>
    <w:rsid w:val="004E3AC2"/>
    <w:rsid w:val="004F0ADE"/>
    <w:rsid w:val="004F0C0F"/>
    <w:rsid w:val="004F312F"/>
    <w:rsid w:val="004F55AD"/>
    <w:rsid w:val="00503225"/>
    <w:rsid w:val="00503562"/>
    <w:rsid w:val="00504022"/>
    <w:rsid w:val="00505B3D"/>
    <w:rsid w:val="00507E7A"/>
    <w:rsid w:val="00511E7E"/>
    <w:rsid w:val="00514B3D"/>
    <w:rsid w:val="00515980"/>
    <w:rsid w:val="00515B8E"/>
    <w:rsid w:val="00524376"/>
    <w:rsid w:val="00527EA6"/>
    <w:rsid w:val="00530040"/>
    <w:rsid w:val="0053006C"/>
    <w:rsid w:val="0053458D"/>
    <w:rsid w:val="005354CD"/>
    <w:rsid w:val="005417A4"/>
    <w:rsid w:val="00542D61"/>
    <w:rsid w:val="00544FA6"/>
    <w:rsid w:val="005503F7"/>
    <w:rsid w:val="00550C24"/>
    <w:rsid w:val="00550D2A"/>
    <w:rsid w:val="00551496"/>
    <w:rsid w:val="00552876"/>
    <w:rsid w:val="005532B4"/>
    <w:rsid w:val="005542C1"/>
    <w:rsid w:val="00554901"/>
    <w:rsid w:val="00554BFE"/>
    <w:rsid w:val="0055596F"/>
    <w:rsid w:val="0056043B"/>
    <w:rsid w:val="00563C05"/>
    <w:rsid w:val="005667AA"/>
    <w:rsid w:val="00567785"/>
    <w:rsid w:val="00567DFD"/>
    <w:rsid w:val="005702E5"/>
    <w:rsid w:val="00572508"/>
    <w:rsid w:val="005746B4"/>
    <w:rsid w:val="00577587"/>
    <w:rsid w:val="00581920"/>
    <w:rsid w:val="00584F3E"/>
    <w:rsid w:val="005860DE"/>
    <w:rsid w:val="00590BAA"/>
    <w:rsid w:val="00594706"/>
    <w:rsid w:val="00594933"/>
    <w:rsid w:val="005956AC"/>
    <w:rsid w:val="00595983"/>
    <w:rsid w:val="005A21CF"/>
    <w:rsid w:val="005B0034"/>
    <w:rsid w:val="005B01BF"/>
    <w:rsid w:val="005B3CB2"/>
    <w:rsid w:val="005B544C"/>
    <w:rsid w:val="005B7B3F"/>
    <w:rsid w:val="005C31A3"/>
    <w:rsid w:val="005C3715"/>
    <w:rsid w:val="005C5470"/>
    <w:rsid w:val="005C6557"/>
    <w:rsid w:val="005D1B5E"/>
    <w:rsid w:val="005D2C2A"/>
    <w:rsid w:val="005D6969"/>
    <w:rsid w:val="005E10A2"/>
    <w:rsid w:val="005E4FAF"/>
    <w:rsid w:val="005E6A8D"/>
    <w:rsid w:val="005E7912"/>
    <w:rsid w:val="005F23EF"/>
    <w:rsid w:val="005F3869"/>
    <w:rsid w:val="005F3DBF"/>
    <w:rsid w:val="005F7A45"/>
    <w:rsid w:val="006068AF"/>
    <w:rsid w:val="00610B00"/>
    <w:rsid w:val="0061335A"/>
    <w:rsid w:val="00614B21"/>
    <w:rsid w:val="006158C8"/>
    <w:rsid w:val="00616C5D"/>
    <w:rsid w:val="006171DF"/>
    <w:rsid w:val="00622157"/>
    <w:rsid w:val="00624703"/>
    <w:rsid w:val="00626265"/>
    <w:rsid w:val="006332BD"/>
    <w:rsid w:val="0063433B"/>
    <w:rsid w:val="00637F44"/>
    <w:rsid w:val="00640FC7"/>
    <w:rsid w:val="006450F3"/>
    <w:rsid w:val="006461B9"/>
    <w:rsid w:val="00646F27"/>
    <w:rsid w:val="00646F88"/>
    <w:rsid w:val="00653702"/>
    <w:rsid w:val="006562BB"/>
    <w:rsid w:val="00656E73"/>
    <w:rsid w:val="00657C55"/>
    <w:rsid w:val="00661056"/>
    <w:rsid w:val="00661076"/>
    <w:rsid w:val="006632FE"/>
    <w:rsid w:val="006639E8"/>
    <w:rsid w:val="0066606C"/>
    <w:rsid w:val="006674F1"/>
    <w:rsid w:val="0067186D"/>
    <w:rsid w:val="00672661"/>
    <w:rsid w:val="00672D48"/>
    <w:rsid w:val="00673473"/>
    <w:rsid w:val="00673D80"/>
    <w:rsid w:val="0067653E"/>
    <w:rsid w:val="0068160B"/>
    <w:rsid w:val="00687021"/>
    <w:rsid w:val="006915E2"/>
    <w:rsid w:val="006919AB"/>
    <w:rsid w:val="00693FB0"/>
    <w:rsid w:val="00695A8B"/>
    <w:rsid w:val="00695EA2"/>
    <w:rsid w:val="00697C43"/>
    <w:rsid w:val="00697F48"/>
    <w:rsid w:val="006A07A6"/>
    <w:rsid w:val="006A3C08"/>
    <w:rsid w:val="006A417C"/>
    <w:rsid w:val="006A642D"/>
    <w:rsid w:val="006A6ED3"/>
    <w:rsid w:val="006A6F84"/>
    <w:rsid w:val="006B1670"/>
    <w:rsid w:val="006B30DE"/>
    <w:rsid w:val="006B3772"/>
    <w:rsid w:val="006B38D6"/>
    <w:rsid w:val="006B3E56"/>
    <w:rsid w:val="006B7B43"/>
    <w:rsid w:val="006C0FE5"/>
    <w:rsid w:val="006C120B"/>
    <w:rsid w:val="006C7E51"/>
    <w:rsid w:val="006D077B"/>
    <w:rsid w:val="006D2212"/>
    <w:rsid w:val="006D258C"/>
    <w:rsid w:val="006D36F5"/>
    <w:rsid w:val="006D4BCA"/>
    <w:rsid w:val="006D5003"/>
    <w:rsid w:val="006D5420"/>
    <w:rsid w:val="006E2791"/>
    <w:rsid w:val="006E43DE"/>
    <w:rsid w:val="006E5D24"/>
    <w:rsid w:val="006F47D9"/>
    <w:rsid w:val="006F7B99"/>
    <w:rsid w:val="00700652"/>
    <w:rsid w:val="00704FFE"/>
    <w:rsid w:val="00705DC2"/>
    <w:rsid w:val="00712114"/>
    <w:rsid w:val="00714068"/>
    <w:rsid w:val="0071583C"/>
    <w:rsid w:val="0071739C"/>
    <w:rsid w:val="00723465"/>
    <w:rsid w:val="007251D8"/>
    <w:rsid w:val="00727540"/>
    <w:rsid w:val="007314B5"/>
    <w:rsid w:val="0073452A"/>
    <w:rsid w:val="00737470"/>
    <w:rsid w:val="00737824"/>
    <w:rsid w:val="00741A77"/>
    <w:rsid w:val="00742842"/>
    <w:rsid w:val="00742C87"/>
    <w:rsid w:val="00743C7A"/>
    <w:rsid w:val="007466FE"/>
    <w:rsid w:val="007478DD"/>
    <w:rsid w:val="007504F7"/>
    <w:rsid w:val="00750F20"/>
    <w:rsid w:val="00757A24"/>
    <w:rsid w:val="00760C51"/>
    <w:rsid w:val="00760CA3"/>
    <w:rsid w:val="00763F72"/>
    <w:rsid w:val="007643A5"/>
    <w:rsid w:val="00765F0B"/>
    <w:rsid w:val="00767345"/>
    <w:rsid w:val="00770245"/>
    <w:rsid w:val="007714FF"/>
    <w:rsid w:val="00776833"/>
    <w:rsid w:val="00784041"/>
    <w:rsid w:val="0078464F"/>
    <w:rsid w:val="00786CC5"/>
    <w:rsid w:val="00790DFE"/>
    <w:rsid w:val="00791817"/>
    <w:rsid w:val="00793904"/>
    <w:rsid w:val="00794FCA"/>
    <w:rsid w:val="007A0D3C"/>
    <w:rsid w:val="007A0DA6"/>
    <w:rsid w:val="007A2C4E"/>
    <w:rsid w:val="007A40CE"/>
    <w:rsid w:val="007A5801"/>
    <w:rsid w:val="007B011B"/>
    <w:rsid w:val="007B04BD"/>
    <w:rsid w:val="007B05A1"/>
    <w:rsid w:val="007B0A15"/>
    <w:rsid w:val="007B3498"/>
    <w:rsid w:val="007B54F1"/>
    <w:rsid w:val="007B77D6"/>
    <w:rsid w:val="007B7C4B"/>
    <w:rsid w:val="007C1962"/>
    <w:rsid w:val="007D1AD7"/>
    <w:rsid w:val="007D5B8F"/>
    <w:rsid w:val="007D5C88"/>
    <w:rsid w:val="007D7A27"/>
    <w:rsid w:val="007E0308"/>
    <w:rsid w:val="007E37F9"/>
    <w:rsid w:val="007E5747"/>
    <w:rsid w:val="007E6382"/>
    <w:rsid w:val="007E7C9D"/>
    <w:rsid w:val="007F12AE"/>
    <w:rsid w:val="007F42B1"/>
    <w:rsid w:val="007F4473"/>
    <w:rsid w:val="007F4937"/>
    <w:rsid w:val="007F5EDB"/>
    <w:rsid w:val="008005CE"/>
    <w:rsid w:val="008008C1"/>
    <w:rsid w:val="00801E93"/>
    <w:rsid w:val="00802C95"/>
    <w:rsid w:val="008042C5"/>
    <w:rsid w:val="00805160"/>
    <w:rsid w:val="00805A29"/>
    <w:rsid w:val="00805A50"/>
    <w:rsid w:val="00806A5C"/>
    <w:rsid w:val="00807264"/>
    <w:rsid w:val="00807B22"/>
    <w:rsid w:val="008141C4"/>
    <w:rsid w:val="008171FB"/>
    <w:rsid w:val="008202E7"/>
    <w:rsid w:val="00820BA6"/>
    <w:rsid w:val="0082495E"/>
    <w:rsid w:val="00827DFA"/>
    <w:rsid w:val="008302C6"/>
    <w:rsid w:val="008323B2"/>
    <w:rsid w:val="00833282"/>
    <w:rsid w:val="00840A19"/>
    <w:rsid w:val="008422E2"/>
    <w:rsid w:val="00845110"/>
    <w:rsid w:val="008454FC"/>
    <w:rsid w:val="00855BE9"/>
    <w:rsid w:val="00856F7C"/>
    <w:rsid w:val="008576AD"/>
    <w:rsid w:val="00862F91"/>
    <w:rsid w:val="00864A15"/>
    <w:rsid w:val="008668A7"/>
    <w:rsid w:val="00872841"/>
    <w:rsid w:val="00875805"/>
    <w:rsid w:val="008765B6"/>
    <w:rsid w:val="008833A8"/>
    <w:rsid w:val="008857DB"/>
    <w:rsid w:val="00886297"/>
    <w:rsid w:val="00891623"/>
    <w:rsid w:val="008940E3"/>
    <w:rsid w:val="00897D16"/>
    <w:rsid w:val="008A5901"/>
    <w:rsid w:val="008A610C"/>
    <w:rsid w:val="008B0C66"/>
    <w:rsid w:val="008B229B"/>
    <w:rsid w:val="008B2D4A"/>
    <w:rsid w:val="008C016F"/>
    <w:rsid w:val="008C04FE"/>
    <w:rsid w:val="008C2DBE"/>
    <w:rsid w:val="008D0485"/>
    <w:rsid w:val="008D1AC7"/>
    <w:rsid w:val="008D22B4"/>
    <w:rsid w:val="008E21FF"/>
    <w:rsid w:val="008E24F3"/>
    <w:rsid w:val="008E74E6"/>
    <w:rsid w:val="008F2166"/>
    <w:rsid w:val="008F323F"/>
    <w:rsid w:val="008F4F61"/>
    <w:rsid w:val="008F5EC7"/>
    <w:rsid w:val="009002E4"/>
    <w:rsid w:val="009015C3"/>
    <w:rsid w:val="00902FEF"/>
    <w:rsid w:val="0090333B"/>
    <w:rsid w:val="0090363A"/>
    <w:rsid w:val="0090543F"/>
    <w:rsid w:val="00906220"/>
    <w:rsid w:val="00916010"/>
    <w:rsid w:val="00916BD3"/>
    <w:rsid w:val="0092041D"/>
    <w:rsid w:val="00921772"/>
    <w:rsid w:val="009238AC"/>
    <w:rsid w:val="00925B37"/>
    <w:rsid w:val="00925FB7"/>
    <w:rsid w:val="0092738C"/>
    <w:rsid w:val="00930168"/>
    <w:rsid w:val="009321E5"/>
    <w:rsid w:val="00932527"/>
    <w:rsid w:val="009328FC"/>
    <w:rsid w:val="00937AA1"/>
    <w:rsid w:val="009421E1"/>
    <w:rsid w:val="00943E09"/>
    <w:rsid w:val="00944272"/>
    <w:rsid w:val="0094557D"/>
    <w:rsid w:val="00947605"/>
    <w:rsid w:val="009502D5"/>
    <w:rsid w:val="00952ED1"/>
    <w:rsid w:val="00952FA3"/>
    <w:rsid w:val="009542CF"/>
    <w:rsid w:val="009556C2"/>
    <w:rsid w:val="009569FF"/>
    <w:rsid w:val="00961021"/>
    <w:rsid w:val="00965A32"/>
    <w:rsid w:val="00972689"/>
    <w:rsid w:val="00973426"/>
    <w:rsid w:val="009735BA"/>
    <w:rsid w:val="0097482E"/>
    <w:rsid w:val="0097797C"/>
    <w:rsid w:val="0098153F"/>
    <w:rsid w:val="0098225E"/>
    <w:rsid w:val="009831BA"/>
    <w:rsid w:val="0098379F"/>
    <w:rsid w:val="00983DFB"/>
    <w:rsid w:val="00986D43"/>
    <w:rsid w:val="009877E2"/>
    <w:rsid w:val="0099057E"/>
    <w:rsid w:val="00990BB2"/>
    <w:rsid w:val="009910AE"/>
    <w:rsid w:val="0099342F"/>
    <w:rsid w:val="009935C5"/>
    <w:rsid w:val="009A1C81"/>
    <w:rsid w:val="009A31BF"/>
    <w:rsid w:val="009A3369"/>
    <w:rsid w:val="009A3D01"/>
    <w:rsid w:val="009B00DD"/>
    <w:rsid w:val="009B1CD2"/>
    <w:rsid w:val="009B41D9"/>
    <w:rsid w:val="009B476F"/>
    <w:rsid w:val="009B5BC0"/>
    <w:rsid w:val="009C0A93"/>
    <w:rsid w:val="009C16CF"/>
    <w:rsid w:val="009C2D4F"/>
    <w:rsid w:val="009C449A"/>
    <w:rsid w:val="009C4556"/>
    <w:rsid w:val="009C481F"/>
    <w:rsid w:val="009C5A85"/>
    <w:rsid w:val="009C75A8"/>
    <w:rsid w:val="009D1475"/>
    <w:rsid w:val="009D2EC9"/>
    <w:rsid w:val="009D319D"/>
    <w:rsid w:val="009D3A00"/>
    <w:rsid w:val="009E0210"/>
    <w:rsid w:val="009E3017"/>
    <w:rsid w:val="009F00B0"/>
    <w:rsid w:val="009F2A78"/>
    <w:rsid w:val="009F4A79"/>
    <w:rsid w:val="009F6A71"/>
    <w:rsid w:val="009F6E07"/>
    <w:rsid w:val="009F7BDA"/>
    <w:rsid w:val="00A01C71"/>
    <w:rsid w:val="00A036AC"/>
    <w:rsid w:val="00A0393E"/>
    <w:rsid w:val="00A03A50"/>
    <w:rsid w:val="00A03C3E"/>
    <w:rsid w:val="00A068E4"/>
    <w:rsid w:val="00A07268"/>
    <w:rsid w:val="00A106AB"/>
    <w:rsid w:val="00A10E1B"/>
    <w:rsid w:val="00A113B5"/>
    <w:rsid w:val="00A134EB"/>
    <w:rsid w:val="00A15A5F"/>
    <w:rsid w:val="00A160A6"/>
    <w:rsid w:val="00A201D2"/>
    <w:rsid w:val="00A26E77"/>
    <w:rsid w:val="00A26FA9"/>
    <w:rsid w:val="00A34934"/>
    <w:rsid w:val="00A34D87"/>
    <w:rsid w:val="00A35A63"/>
    <w:rsid w:val="00A37534"/>
    <w:rsid w:val="00A507E4"/>
    <w:rsid w:val="00A5154B"/>
    <w:rsid w:val="00A535AE"/>
    <w:rsid w:val="00A53E39"/>
    <w:rsid w:val="00A54EBB"/>
    <w:rsid w:val="00A5559B"/>
    <w:rsid w:val="00A56A24"/>
    <w:rsid w:val="00A601D6"/>
    <w:rsid w:val="00A61374"/>
    <w:rsid w:val="00A61470"/>
    <w:rsid w:val="00A63EDE"/>
    <w:rsid w:val="00A66CF7"/>
    <w:rsid w:val="00A66D05"/>
    <w:rsid w:val="00A67933"/>
    <w:rsid w:val="00A74C4D"/>
    <w:rsid w:val="00A74EDA"/>
    <w:rsid w:val="00A76536"/>
    <w:rsid w:val="00A77863"/>
    <w:rsid w:val="00A812DF"/>
    <w:rsid w:val="00A87B4E"/>
    <w:rsid w:val="00A87C84"/>
    <w:rsid w:val="00A90B3D"/>
    <w:rsid w:val="00A93E8E"/>
    <w:rsid w:val="00A951A2"/>
    <w:rsid w:val="00AA2057"/>
    <w:rsid w:val="00AA721B"/>
    <w:rsid w:val="00AB095D"/>
    <w:rsid w:val="00AB58F2"/>
    <w:rsid w:val="00AB5C8F"/>
    <w:rsid w:val="00AC24C5"/>
    <w:rsid w:val="00AC60B9"/>
    <w:rsid w:val="00AC6670"/>
    <w:rsid w:val="00AD2131"/>
    <w:rsid w:val="00AD45EA"/>
    <w:rsid w:val="00AE14FC"/>
    <w:rsid w:val="00AE2D3B"/>
    <w:rsid w:val="00AE55F9"/>
    <w:rsid w:val="00AF1B33"/>
    <w:rsid w:val="00AF2F58"/>
    <w:rsid w:val="00AF36CB"/>
    <w:rsid w:val="00AF3CF2"/>
    <w:rsid w:val="00AF4566"/>
    <w:rsid w:val="00AF474A"/>
    <w:rsid w:val="00AF7658"/>
    <w:rsid w:val="00B0140C"/>
    <w:rsid w:val="00B043E9"/>
    <w:rsid w:val="00B0788B"/>
    <w:rsid w:val="00B107AC"/>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6AF8"/>
    <w:rsid w:val="00B37F9F"/>
    <w:rsid w:val="00B41BDA"/>
    <w:rsid w:val="00B4482B"/>
    <w:rsid w:val="00B472AE"/>
    <w:rsid w:val="00B50230"/>
    <w:rsid w:val="00B515B3"/>
    <w:rsid w:val="00B5536C"/>
    <w:rsid w:val="00B60293"/>
    <w:rsid w:val="00B62B01"/>
    <w:rsid w:val="00B635BF"/>
    <w:rsid w:val="00B668FB"/>
    <w:rsid w:val="00B67849"/>
    <w:rsid w:val="00B71A39"/>
    <w:rsid w:val="00B76B30"/>
    <w:rsid w:val="00B77392"/>
    <w:rsid w:val="00B808DC"/>
    <w:rsid w:val="00B81DCF"/>
    <w:rsid w:val="00B82319"/>
    <w:rsid w:val="00B85851"/>
    <w:rsid w:val="00B872EA"/>
    <w:rsid w:val="00B932BD"/>
    <w:rsid w:val="00B96770"/>
    <w:rsid w:val="00B97CF7"/>
    <w:rsid w:val="00BA011E"/>
    <w:rsid w:val="00BA097C"/>
    <w:rsid w:val="00BA0BF3"/>
    <w:rsid w:val="00BA1763"/>
    <w:rsid w:val="00BA293D"/>
    <w:rsid w:val="00BA2A0A"/>
    <w:rsid w:val="00BA32FC"/>
    <w:rsid w:val="00BA5077"/>
    <w:rsid w:val="00BA78F7"/>
    <w:rsid w:val="00BB0E7B"/>
    <w:rsid w:val="00BB16BA"/>
    <w:rsid w:val="00BB6960"/>
    <w:rsid w:val="00BB7D07"/>
    <w:rsid w:val="00BC2158"/>
    <w:rsid w:val="00BC2A56"/>
    <w:rsid w:val="00BC4568"/>
    <w:rsid w:val="00BC4CDF"/>
    <w:rsid w:val="00BC75E6"/>
    <w:rsid w:val="00BD0493"/>
    <w:rsid w:val="00BD0539"/>
    <w:rsid w:val="00BD1E94"/>
    <w:rsid w:val="00BD32FD"/>
    <w:rsid w:val="00BD4D4A"/>
    <w:rsid w:val="00BE3437"/>
    <w:rsid w:val="00BF036C"/>
    <w:rsid w:val="00BF32B9"/>
    <w:rsid w:val="00C00B73"/>
    <w:rsid w:val="00C10296"/>
    <w:rsid w:val="00C122F3"/>
    <w:rsid w:val="00C1311B"/>
    <w:rsid w:val="00C135D5"/>
    <w:rsid w:val="00C1421A"/>
    <w:rsid w:val="00C142D8"/>
    <w:rsid w:val="00C17205"/>
    <w:rsid w:val="00C176B4"/>
    <w:rsid w:val="00C200AC"/>
    <w:rsid w:val="00C22C59"/>
    <w:rsid w:val="00C23E8A"/>
    <w:rsid w:val="00C24A3A"/>
    <w:rsid w:val="00C24E0A"/>
    <w:rsid w:val="00C24E61"/>
    <w:rsid w:val="00C30C40"/>
    <w:rsid w:val="00C32450"/>
    <w:rsid w:val="00C3782D"/>
    <w:rsid w:val="00C37D30"/>
    <w:rsid w:val="00C413D7"/>
    <w:rsid w:val="00C46EF6"/>
    <w:rsid w:val="00C510F2"/>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759D"/>
    <w:rsid w:val="00C77A77"/>
    <w:rsid w:val="00C827CD"/>
    <w:rsid w:val="00C857DE"/>
    <w:rsid w:val="00C91892"/>
    <w:rsid w:val="00CA02BB"/>
    <w:rsid w:val="00CA2FAE"/>
    <w:rsid w:val="00CA35E3"/>
    <w:rsid w:val="00CA4984"/>
    <w:rsid w:val="00CA629D"/>
    <w:rsid w:val="00CA7EEE"/>
    <w:rsid w:val="00CB0175"/>
    <w:rsid w:val="00CB1C6A"/>
    <w:rsid w:val="00CB2FD4"/>
    <w:rsid w:val="00CB6F34"/>
    <w:rsid w:val="00CB7846"/>
    <w:rsid w:val="00CC02A2"/>
    <w:rsid w:val="00CC4C4B"/>
    <w:rsid w:val="00CC5033"/>
    <w:rsid w:val="00CC601F"/>
    <w:rsid w:val="00CC7D02"/>
    <w:rsid w:val="00CD268A"/>
    <w:rsid w:val="00CE34DB"/>
    <w:rsid w:val="00CE5699"/>
    <w:rsid w:val="00CE5AE7"/>
    <w:rsid w:val="00CE750C"/>
    <w:rsid w:val="00CE7CE8"/>
    <w:rsid w:val="00CF5055"/>
    <w:rsid w:val="00CF7820"/>
    <w:rsid w:val="00D0194F"/>
    <w:rsid w:val="00D05FB3"/>
    <w:rsid w:val="00D077A9"/>
    <w:rsid w:val="00D10316"/>
    <w:rsid w:val="00D14961"/>
    <w:rsid w:val="00D15892"/>
    <w:rsid w:val="00D17345"/>
    <w:rsid w:val="00D1787F"/>
    <w:rsid w:val="00D17999"/>
    <w:rsid w:val="00D2189E"/>
    <w:rsid w:val="00D24861"/>
    <w:rsid w:val="00D35E0C"/>
    <w:rsid w:val="00D3655B"/>
    <w:rsid w:val="00D36A0E"/>
    <w:rsid w:val="00D43942"/>
    <w:rsid w:val="00D44C6C"/>
    <w:rsid w:val="00D531F3"/>
    <w:rsid w:val="00D55978"/>
    <w:rsid w:val="00D56F87"/>
    <w:rsid w:val="00D615B4"/>
    <w:rsid w:val="00D61DD7"/>
    <w:rsid w:val="00D62D8C"/>
    <w:rsid w:val="00D64ECC"/>
    <w:rsid w:val="00D65DBE"/>
    <w:rsid w:val="00D66929"/>
    <w:rsid w:val="00D721AD"/>
    <w:rsid w:val="00D736FB"/>
    <w:rsid w:val="00D73A2C"/>
    <w:rsid w:val="00D7410D"/>
    <w:rsid w:val="00D741C2"/>
    <w:rsid w:val="00D747DC"/>
    <w:rsid w:val="00D7569F"/>
    <w:rsid w:val="00D76CB0"/>
    <w:rsid w:val="00D82B61"/>
    <w:rsid w:val="00D83186"/>
    <w:rsid w:val="00D8500C"/>
    <w:rsid w:val="00D865BD"/>
    <w:rsid w:val="00D87FE8"/>
    <w:rsid w:val="00D90DDF"/>
    <w:rsid w:val="00D9282C"/>
    <w:rsid w:val="00D92C1F"/>
    <w:rsid w:val="00D954CF"/>
    <w:rsid w:val="00D95C57"/>
    <w:rsid w:val="00D970BC"/>
    <w:rsid w:val="00D976E6"/>
    <w:rsid w:val="00DA2476"/>
    <w:rsid w:val="00DA4AE0"/>
    <w:rsid w:val="00DA7A40"/>
    <w:rsid w:val="00DA7D04"/>
    <w:rsid w:val="00DA7D55"/>
    <w:rsid w:val="00DB393C"/>
    <w:rsid w:val="00DB4792"/>
    <w:rsid w:val="00DC0627"/>
    <w:rsid w:val="00DC43A7"/>
    <w:rsid w:val="00DC44A8"/>
    <w:rsid w:val="00DC6867"/>
    <w:rsid w:val="00DC7576"/>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1AFB"/>
    <w:rsid w:val="00E0251A"/>
    <w:rsid w:val="00E04F1E"/>
    <w:rsid w:val="00E05043"/>
    <w:rsid w:val="00E0539D"/>
    <w:rsid w:val="00E079BE"/>
    <w:rsid w:val="00E07A94"/>
    <w:rsid w:val="00E1052A"/>
    <w:rsid w:val="00E10565"/>
    <w:rsid w:val="00E13CAB"/>
    <w:rsid w:val="00E15A6B"/>
    <w:rsid w:val="00E22CAC"/>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12C6"/>
    <w:rsid w:val="00E5134D"/>
    <w:rsid w:val="00E5200E"/>
    <w:rsid w:val="00E52593"/>
    <w:rsid w:val="00E529C6"/>
    <w:rsid w:val="00E5507F"/>
    <w:rsid w:val="00E577BB"/>
    <w:rsid w:val="00E661AC"/>
    <w:rsid w:val="00E677A6"/>
    <w:rsid w:val="00E7012B"/>
    <w:rsid w:val="00E702CA"/>
    <w:rsid w:val="00E71F41"/>
    <w:rsid w:val="00E722D3"/>
    <w:rsid w:val="00E72F6D"/>
    <w:rsid w:val="00E74966"/>
    <w:rsid w:val="00E77A64"/>
    <w:rsid w:val="00E80978"/>
    <w:rsid w:val="00E817CC"/>
    <w:rsid w:val="00E851CB"/>
    <w:rsid w:val="00E85AEB"/>
    <w:rsid w:val="00E869EE"/>
    <w:rsid w:val="00E94BCC"/>
    <w:rsid w:val="00E96A40"/>
    <w:rsid w:val="00E96BA1"/>
    <w:rsid w:val="00E978C4"/>
    <w:rsid w:val="00EA2575"/>
    <w:rsid w:val="00EA269B"/>
    <w:rsid w:val="00EA56D9"/>
    <w:rsid w:val="00EA75F5"/>
    <w:rsid w:val="00EB3435"/>
    <w:rsid w:val="00EB357F"/>
    <w:rsid w:val="00EB371B"/>
    <w:rsid w:val="00EB5BE7"/>
    <w:rsid w:val="00EB6FA4"/>
    <w:rsid w:val="00EB7010"/>
    <w:rsid w:val="00EC3ABF"/>
    <w:rsid w:val="00EC3CBE"/>
    <w:rsid w:val="00EC52D0"/>
    <w:rsid w:val="00ED49E8"/>
    <w:rsid w:val="00ED5767"/>
    <w:rsid w:val="00EE0899"/>
    <w:rsid w:val="00EE26F4"/>
    <w:rsid w:val="00EE37FE"/>
    <w:rsid w:val="00EE3C02"/>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22A7A"/>
    <w:rsid w:val="00F2377C"/>
    <w:rsid w:val="00F23E79"/>
    <w:rsid w:val="00F2560A"/>
    <w:rsid w:val="00F2702D"/>
    <w:rsid w:val="00F274A9"/>
    <w:rsid w:val="00F30A3A"/>
    <w:rsid w:val="00F334CA"/>
    <w:rsid w:val="00F3586D"/>
    <w:rsid w:val="00F362CD"/>
    <w:rsid w:val="00F37299"/>
    <w:rsid w:val="00F4112E"/>
    <w:rsid w:val="00F411A8"/>
    <w:rsid w:val="00F41398"/>
    <w:rsid w:val="00F430D9"/>
    <w:rsid w:val="00F44D19"/>
    <w:rsid w:val="00F46201"/>
    <w:rsid w:val="00F4797F"/>
    <w:rsid w:val="00F529BA"/>
    <w:rsid w:val="00F56EA9"/>
    <w:rsid w:val="00F57675"/>
    <w:rsid w:val="00F60016"/>
    <w:rsid w:val="00F60224"/>
    <w:rsid w:val="00F71353"/>
    <w:rsid w:val="00F74EDD"/>
    <w:rsid w:val="00F770B3"/>
    <w:rsid w:val="00F80D27"/>
    <w:rsid w:val="00F811C7"/>
    <w:rsid w:val="00F81851"/>
    <w:rsid w:val="00F8257F"/>
    <w:rsid w:val="00F83E96"/>
    <w:rsid w:val="00F84C29"/>
    <w:rsid w:val="00F86B20"/>
    <w:rsid w:val="00F9060C"/>
    <w:rsid w:val="00F90877"/>
    <w:rsid w:val="00F935E6"/>
    <w:rsid w:val="00F93C3D"/>
    <w:rsid w:val="00F95375"/>
    <w:rsid w:val="00F95FE8"/>
    <w:rsid w:val="00FA0E5E"/>
    <w:rsid w:val="00FA1CC7"/>
    <w:rsid w:val="00FA2C06"/>
    <w:rsid w:val="00FA62A1"/>
    <w:rsid w:val="00FA66F3"/>
    <w:rsid w:val="00FA6B79"/>
    <w:rsid w:val="00FB03BF"/>
    <w:rsid w:val="00FB5F28"/>
    <w:rsid w:val="00FB60A4"/>
    <w:rsid w:val="00FB724C"/>
    <w:rsid w:val="00FB778F"/>
    <w:rsid w:val="00FC309B"/>
    <w:rsid w:val="00FC3A9E"/>
    <w:rsid w:val="00FC789C"/>
    <w:rsid w:val="00FC7A7C"/>
    <w:rsid w:val="00FD24F6"/>
    <w:rsid w:val="00FD372A"/>
    <w:rsid w:val="00FD3C56"/>
    <w:rsid w:val="00FD4113"/>
    <w:rsid w:val="00FD4A07"/>
    <w:rsid w:val="00FD659B"/>
    <w:rsid w:val="00FD6EC5"/>
    <w:rsid w:val="00FE05F4"/>
    <w:rsid w:val="00FE355B"/>
    <w:rsid w:val="00FE6723"/>
    <w:rsid w:val="00FE6737"/>
    <w:rsid w:val="00FF1A86"/>
    <w:rsid w:val="00FF3444"/>
    <w:rsid w:val="00FF37CC"/>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99"/>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99"/>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NumberList">
    <w:name w:val="Number List"/>
    <w:basedOn w:val="Normal"/>
    <w:rsid w:val="000134C5"/>
    <w:pPr>
      <w:numPr>
        <w:numId w:val="29"/>
      </w:numPr>
      <w:tabs>
        <w:tab w:val="left" w:pos="1985"/>
      </w:tabs>
      <w:spacing w:before="240" w:line="240" w:lineRule="atLeast"/>
    </w:pPr>
    <w:rPr>
      <w:rFonts w:eastAsia="Times New Roman"/>
      <w:lang w:val="en-AU" w:bidi="ar-SA"/>
    </w:rPr>
  </w:style>
  <w:style w:type="paragraph" w:customStyle="1" w:styleId="NumberListSub">
    <w:name w:val="Number List Sub"/>
    <w:basedOn w:val="NumberList"/>
    <w:rsid w:val="000134C5"/>
    <w:pPr>
      <w:numPr>
        <w:ilvl w:val="1"/>
      </w:numPr>
      <w:tabs>
        <w:tab w:val="left" w:pos="2552"/>
      </w:tabs>
    </w:pPr>
  </w:style>
  <w:style w:type="paragraph" w:styleId="Revision">
    <w:name w:val="Revision"/>
    <w:hidden/>
    <w:uiPriority w:val="99"/>
    <w:semiHidden/>
    <w:rsid w:val="00D741C2"/>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6B330-BD00-4F2C-AE1E-74D9BE87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NICMA1</cp:lastModifiedBy>
  <cp:revision>2</cp:revision>
  <cp:lastPrinted>2014-06-25T08:04:00Z</cp:lastPrinted>
  <dcterms:created xsi:type="dcterms:W3CDTF">2014-07-21T06:04:00Z</dcterms:created>
  <dcterms:modified xsi:type="dcterms:W3CDTF">2014-07-21T06:04:00Z</dcterms:modified>
</cp:coreProperties>
</file>