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3" w:rsidRPr="00B874C8" w:rsidRDefault="00CB6B83" w:rsidP="00021C7B">
      <w:pPr>
        <w:jc w:val="center"/>
        <w:rPr>
          <w:rFonts w:ascii="Verdana" w:hAnsi="Verdana"/>
          <w:b/>
          <w:sz w:val="20"/>
          <w:szCs w:val="20"/>
        </w:rPr>
      </w:pPr>
      <w:bookmarkStart w:id="0" w:name="_GoBack"/>
      <w:bookmarkEnd w:id="0"/>
      <w:r w:rsidRPr="00B874C8">
        <w:rPr>
          <w:rFonts w:ascii="Verdana" w:hAnsi="Verdana"/>
          <w:b/>
          <w:sz w:val="20"/>
          <w:szCs w:val="20"/>
        </w:rPr>
        <w:t>EXPLANATORY STATEMENT</w:t>
      </w:r>
    </w:p>
    <w:p w:rsidR="00CB6B83" w:rsidRPr="00B874C8" w:rsidRDefault="00CB6B83" w:rsidP="00021C7B">
      <w:pPr>
        <w:jc w:val="center"/>
        <w:rPr>
          <w:rFonts w:ascii="Verdana" w:hAnsi="Verdana"/>
          <w:b/>
          <w:sz w:val="20"/>
          <w:szCs w:val="20"/>
        </w:rPr>
      </w:pPr>
    </w:p>
    <w:p w:rsidR="00CB6B83" w:rsidRPr="00B874C8" w:rsidRDefault="00983CF6" w:rsidP="00021C7B">
      <w:pPr>
        <w:jc w:val="center"/>
        <w:rPr>
          <w:rFonts w:ascii="Verdana" w:hAnsi="Verdana"/>
          <w:i/>
          <w:sz w:val="20"/>
          <w:szCs w:val="20"/>
        </w:rPr>
      </w:pPr>
      <w:r w:rsidRPr="00B874C8">
        <w:rPr>
          <w:rFonts w:ascii="Verdana" w:hAnsi="Verdana"/>
          <w:i/>
          <w:sz w:val="20"/>
          <w:szCs w:val="20"/>
        </w:rPr>
        <w:t>Work Health and Safety Regulations 2011</w:t>
      </w:r>
    </w:p>
    <w:p w:rsidR="00CB6B83" w:rsidRPr="00B874C8" w:rsidRDefault="00CB6B83" w:rsidP="00021C7B">
      <w:pPr>
        <w:jc w:val="center"/>
        <w:rPr>
          <w:rFonts w:ascii="Verdana" w:hAnsi="Verdana"/>
          <w:i/>
          <w:sz w:val="20"/>
          <w:szCs w:val="20"/>
        </w:rPr>
      </w:pPr>
    </w:p>
    <w:p w:rsidR="00CB6B83" w:rsidRPr="00B874C8" w:rsidRDefault="00CB6B83" w:rsidP="00021C7B">
      <w:pPr>
        <w:jc w:val="center"/>
        <w:rPr>
          <w:rFonts w:ascii="Verdana" w:hAnsi="Verdana"/>
          <w:b/>
          <w:sz w:val="20"/>
          <w:szCs w:val="20"/>
        </w:rPr>
      </w:pPr>
      <w:r w:rsidRPr="00B874C8">
        <w:rPr>
          <w:rFonts w:ascii="Verdana" w:hAnsi="Verdana"/>
          <w:b/>
          <w:sz w:val="20"/>
          <w:szCs w:val="20"/>
        </w:rPr>
        <w:t>Notice of a Disallowable Instrument</w:t>
      </w:r>
    </w:p>
    <w:p w:rsidR="00CB6B83" w:rsidRPr="00B874C8" w:rsidRDefault="00CB6B83" w:rsidP="00021C7B">
      <w:pPr>
        <w:jc w:val="center"/>
        <w:rPr>
          <w:rFonts w:ascii="Verdana" w:hAnsi="Verdana"/>
          <w:b/>
          <w:sz w:val="20"/>
          <w:szCs w:val="20"/>
        </w:rPr>
      </w:pPr>
    </w:p>
    <w:p w:rsidR="00021C7B" w:rsidRDefault="00CB6B83" w:rsidP="00021C7B">
      <w:pPr>
        <w:jc w:val="center"/>
        <w:rPr>
          <w:rFonts w:ascii="Verdana" w:hAnsi="Verdana"/>
          <w:b/>
          <w:sz w:val="20"/>
          <w:szCs w:val="20"/>
        </w:rPr>
      </w:pPr>
      <w:r w:rsidRPr="00B874C8">
        <w:rPr>
          <w:rFonts w:ascii="Verdana" w:hAnsi="Verdana"/>
          <w:b/>
          <w:sz w:val="20"/>
          <w:szCs w:val="20"/>
        </w:rPr>
        <w:t>Work Health a</w:t>
      </w:r>
      <w:r w:rsidR="00983CF6" w:rsidRPr="00B874C8">
        <w:rPr>
          <w:rFonts w:ascii="Verdana" w:hAnsi="Verdana"/>
          <w:b/>
          <w:sz w:val="20"/>
          <w:szCs w:val="20"/>
        </w:rPr>
        <w:t>nd Safety</w:t>
      </w:r>
      <w:r w:rsidR="00A96FF4" w:rsidRPr="00B874C8">
        <w:rPr>
          <w:rFonts w:ascii="Verdana" w:hAnsi="Verdana"/>
          <w:b/>
          <w:sz w:val="20"/>
          <w:szCs w:val="20"/>
        </w:rPr>
        <w:t xml:space="preserve"> Exemption</w:t>
      </w:r>
      <w:r w:rsidR="0082626A" w:rsidRPr="00B874C8">
        <w:rPr>
          <w:rFonts w:ascii="Verdana" w:hAnsi="Verdana"/>
          <w:b/>
          <w:sz w:val="20"/>
          <w:szCs w:val="20"/>
        </w:rPr>
        <w:t xml:space="preserve">s </w:t>
      </w:r>
      <w:r w:rsidR="0024773A">
        <w:rPr>
          <w:rFonts w:ascii="Verdana" w:hAnsi="Verdana"/>
          <w:b/>
          <w:sz w:val="20"/>
          <w:szCs w:val="20"/>
        </w:rPr>
        <w:t>(Diving by members of the Australian Defence Force)</w:t>
      </w:r>
    </w:p>
    <w:p w:rsidR="003321E0" w:rsidRPr="00B874C8" w:rsidRDefault="0024773A" w:rsidP="00021C7B">
      <w:pPr>
        <w:jc w:val="center"/>
        <w:rPr>
          <w:rFonts w:ascii="Verdana" w:hAnsi="Verdana"/>
          <w:b/>
          <w:sz w:val="20"/>
          <w:szCs w:val="20"/>
        </w:rPr>
      </w:pPr>
      <w:r>
        <w:rPr>
          <w:rFonts w:ascii="Verdana" w:hAnsi="Verdana"/>
          <w:b/>
          <w:sz w:val="20"/>
          <w:szCs w:val="20"/>
        </w:rPr>
        <w:t>(Ju</w:t>
      </w:r>
      <w:r w:rsidR="000D1CE9">
        <w:rPr>
          <w:rFonts w:ascii="Verdana" w:hAnsi="Verdana"/>
          <w:b/>
          <w:sz w:val="20"/>
          <w:szCs w:val="20"/>
        </w:rPr>
        <w:t>ly</w:t>
      </w:r>
      <w:r>
        <w:rPr>
          <w:rFonts w:ascii="Verdana" w:hAnsi="Verdana"/>
          <w:b/>
          <w:sz w:val="20"/>
          <w:szCs w:val="20"/>
        </w:rPr>
        <w:t xml:space="preserve"> 2014)</w:t>
      </w:r>
    </w:p>
    <w:p w:rsidR="00CB6B83" w:rsidRPr="00B874C8" w:rsidRDefault="00CB6B83" w:rsidP="006B3682">
      <w:pPr>
        <w:jc w:val="both"/>
        <w:rPr>
          <w:rFonts w:ascii="Verdana" w:hAnsi="Verdana"/>
          <w:b/>
          <w:sz w:val="20"/>
          <w:szCs w:val="20"/>
        </w:rPr>
      </w:pPr>
    </w:p>
    <w:p w:rsidR="00CB6B83" w:rsidRDefault="00CB6B83" w:rsidP="006B3682">
      <w:pPr>
        <w:jc w:val="both"/>
        <w:rPr>
          <w:rFonts w:ascii="Verdana" w:hAnsi="Verdana"/>
          <w:b/>
          <w:sz w:val="20"/>
          <w:szCs w:val="20"/>
        </w:rPr>
      </w:pPr>
    </w:p>
    <w:p w:rsidR="003D12E5" w:rsidRDefault="003D12E5" w:rsidP="006B3682">
      <w:pPr>
        <w:jc w:val="both"/>
        <w:rPr>
          <w:rFonts w:ascii="Verdana" w:hAnsi="Verdana"/>
          <w:b/>
          <w:sz w:val="20"/>
          <w:szCs w:val="20"/>
        </w:rPr>
      </w:pPr>
      <w:r>
        <w:rPr>
          <w:rFonts w:ascii="Verdana" w:hAnsi="Verdana"/>
          <w:b/>
          <w:sz w:val="20"/>
          <w:szCs w:val="20"/>
        </w:rPr>
        <w:t>Introduction</w:t>
      </w:r>
    </w:p>
    <w:p w:rsidR="001944D2" w:rsidRDefault="001944D2" w:rsidP="006B3682">
      <w:pPr>
        <w:jc w:val="both"/>
        <w:rPr>
          <w:rFonts w:ascii="Verdana" w:hAnsi="Verdana"/>
          <w:sz w:val="20"/>
          <w:szCs w:val="20"/>
        </w:rPr>
      </w:pPr>
      <w:r w:rsidRPr="00544B97">
        <w:rPr>
          <w:rFonts w:ascii="Verdana" w:hAnsi="Verdana"/>
          <w:sz w:val="20"/>
          <w:szCs w:val="20"/>
        </w:rPr>
        <w:t xml:space="preserve">The purpose of the </w:t>
      </w:r>
      <w:r>
        <w:rPr>
          <w:rFonts w:ascii="Verdana" w:hAnsi="Verdana"/>
          <w:sz w:val="20"/>
          <w:szCs w:val="20"/>
        </w:rPr>
        <w:t>i</w:t>
      </w:r>
      <w:r w:rsidRPr="00544B97">
        <w:rPr>
          <w:rFonts w:ascii="Verdana" w:hAnsi="Verdana"/>
          <w:sz w:val="20"/>
          <w:szCs w:val="20"/>
        </w:rPr>
        <w:t xml:space="preserve">nstrument, to which this Explanatory Statement relates, is to </w:t>
      </w:r>
      <w:r w:rsidR="0024773A">
        <w:rPr>
          <w:rFonts w:ascii="Verdana" w:hAnsi="Verdana"/>
          <w:sz w:val="20"/>
          <w:szCs w:val="20"/>
        </w:rPr>
        <w:t>gr</w:t>
      </w:r>
      <w:r w:rsidRPr="00544B97">
        <w:rPr>
          <w:rFonts w:ascii="Verdana" w:hAnsi="Verdana"/>
          <w:sz w:val="20"/>
          <w:szCs w:val="20"/>
        </w:rPr>
        <w:t xml:space="preserve">ant an exemption from compliance with </w:t>
      </w:r>
      <w:r w:rsidRPr="001944D2">
        <w:rPr>
          <w:rFonts w:ascii="Verdana" w:hAnsi="Verdana"/>
          <w:sz w:val="20"/>
          <w:szCs w:val="20"/>
        </w:rPr>
        <w:t>sub</w:t>
      </w:r>
      <w:r w:rsidRPr="001944D2">
        <w:rPr>
          <w:rFonts w:ascii="Verdana" w:hAnsi="Verdana"/>
          <w:sz w:val="20"/>
          <w:szCs w:val="20"/>
        </w:rPr>
        <w:noBreakHyphen/>
        <w:t>regulation</w:t>
      </w:r>
      <w:r w:rsidR="0024773A">
        <w:rPr>
          <w:rFonts w:ascii="Verdana" w:hAnsi="Verdana"/>
          <w:sz w:val="20"/>
          <w:szCs w:val="20"/>
        </w:rPr>
        <w:t>s</w:t>
      </w:r>
      <w:r w:rsidRPr="001944D2">
        <w:rPr>
          <w:rFonts w:ascii="Verdana" w:hAnsi="Verdana"/>
          <w:sz w:val="20"/>
          <w:szCs w:val="20"/>
        </w:rPr>
        <w:t xml:space="preserve"> 171(a)</w:t>
      </w:r>
      <w:r w:rsidR="0024773A">
        <w:rPr>
          <w:rFonts w:ascii="Verdana" w:hAnsi="Verdana"/>
          <w:sz w:val="20"/>
          <w:szCs w:val="20"/>
        </w:rPr>
        <w:t xml:space="preserve"> and</w:t>
      </w:r>
      <w:r w:rsidRPr="001944D2">
        <w:rPr>
          <w:rFonts w:ascii="Verdana" w:hAnsi="Verdana"/>
          <w:sz w:val="20"/>
          <w:szCs w:val="20"/>
        </w:rPr>
        <w:t xml:space="preserve"> 174</w:t>
      </w:r>
      <w:r w:rsidR="0024773A">
        <w:rPr>
          <w:rFonts w:ascii="Verdana" w:hAnsi="Verdana"/>
          <w:sz w:val="20"/>
          <w:szCs w:val="20"/>
        </w:rPr>
        <w:t>(a)</w:t>
      </w:r>
      <w:r>
        <w:rPr>
          <w:rFonts w:ascii="Verdana" w:hAnsi="Verdana"/>
          <w:sz w:val="20"/>
          <w:szCs w:val="20"/>
        </w:rPr>
        <w:t xml:space="preserve"> </w:t>
      </w:r>
      <w:r w:rsidRPr="00544B97">
        <w:rPr>
          <w:rFonts w:ascii="Verdana" w:hAnsi="Verdana"/>
          <w:sz w:val="20"/>
          <w:szCs w:val="20"/>
        </w:rPr>
        <w:t xml:space="preserve">of the </w:t>
      </w:r>
      <w:r w:rsidRPr="00544B97">
        <w:rPr>
          <w:rFonts w:ascii="Verdana" w:hAnsi="Verdana"/>
          <w:i/>
          <w:sz w:val="20"/>
          <w:szCs w:val="20"/>
        </w:rPr>
        <w:t>Work Health and Safety Regulations 2011</w:t>
      </w:r>
      <w:r w:rsidRPr="00544B97">
        <w:rPr>
          <w:rFonts w:ascii="Verdana" w:hAnsi="Verdana"/>
          <w:sz w:val="20"/>
          <w:szCs w:val="20"/>
        </w:rPr>
        <w:t xml:space="preserve"> (the WHS Regulations) to </w:t>
      </w:r>
      <w:r w:rsidR="0024773A">
        <w:rPr>
          <w:rFonts w:ascii="Verdana" w:hAnsi="Verdana"/>
          <w:sz w:val="20"/>
          <w:szCs w:val="20"/>
        </w:rPr>
        <w:t>two</w:t>
      </w:r>
      <w:r w:rsidRPr="00544B97">
        <w:rPr>
          <w:rFonts w:ascii="Verdana" w:hAnsi="Verdana"/>
          <w:sz w:val="20"/>
          <w:szCs w:val="20"/>
        </w:rPr>
        <w:t xml:space="preserve"> class</w:t>
      </w:r>
      <w:r w:rsidR="0024773A">
        <w:rPr>
          <w:rFonts w:ascii="Verdana" w:hAnsi="Verdana"/>
          <w:sz w:val="20"/>
          <w:szCs w:val="20"/>
        </w:rPr>
        <w:t>es</w:t>
      </w:r>
      <w:r w:rsidRPr="00544B97">
        <w:rPr>
          <w:rFonts w:ascii="Verdana" w:hAnsi="Verdana"/>
          <w:sz w:val="20"/>
          <w:szCs w:val="20"/>
        </w:rPr>
        <w:t xml:space="preserve"> of persons</w:t>
      </w:r>
      <w:r w:rsidR="0024773A">
        <w:rPr>
          <w:rFonts w:ascii="Verdana" w:hAnsi="Verdana"/>
          <w:sz w:val="20"/>
          <w:szCs w:val="20"/>
        </w:rPr>
        <w:t>, namely,</w:t>
      </w:r>
      <w:r w:rsidR="00601FED">
        <w:rPr>
          <w:rFonts w:ascii="Verdana" w:hAnsi="Verdana"/>
          <w:sz w:val="20"/>
          <w:szCs w:val="20"/>
        </w:rPr>
        <w:t xml:space="preserve"> members of the Australian Defence Force (‘the ADF’) who carry out, or supervise general diving work (‘ADF divers’ and ‘ADF dive supervisors’ respectively).</w:t>
      </w:r>
    </w:p>
    <w:p w:rsidR="001944D2" w:rsidRDefault="001944D2" w:rsidP="006B3682">
      <w:pPr>
        <w:jc w:val="both"/>
        <w:rPr>
          <w:rFonts w:ascii="Verdana" w:hAnsi="Verdana"/>
          <w:sz w:val="20"/>
          <w:szCs w:val="20"/>
        </w:rPr>
      </w:pPr>
    </w:p>
    <w:p w:rsidR="001944D2" w:rsidRPr="00544B97" w:rsidRDefault="001944D2" w:rsidP="006B3682">
      <w:pPr>
        <w:jc w:val="both"/>
        <w:rPr>
          <w:rFonts w:ascii="Verdana" w:hAnsi="Verdana"/>
          <w:sz w:val="20"/>
          <w:szCs w:val="20"/>
        </w:rPr>
      </w:pPr>
      <w:r w:rsidRPr="00544B97">
        <w:rPr>
          <w:rFonts w:ascii="Verdana" w:hAnsi="Verdana"/>
          <w:sz w:val="20"/>
          <w:szCs w:val="20"/>
        </w:rPr>
        <w:t xml:space="preserve">Regulation 684 provides that the </w:t>
      </w:r>
      <w:r>
        <w:rPr>
          <w:rFonts w:ascii="Verdana" w:hAnsi="Verdana"/>
          <w:sz w:val="20"/>
          <w:szCs w:val="20"/>
        </w:rPr>
        <w:t>r</w:t>
      </w:r>
      <w:r w:rsidRPr="00544B97">
        <w:rPr>
          <w:rFonts w:ascii="Verdana" w:hAnsi="Verdana"/>
          <w:sz w:val="20"/>
          <w:szCs w:val="20"/>
        </w:rPr>
        <w:t xml:space="preserve">egulator may exempt a person or class of persons from compliance with any of the regulations in the WHS Regulations. </w:t>
      </w:r>
    </w:p>
    <w:p w:rsidR="001944D2" w:rsidRDefault="001944D2" w:rsidP="006B3682">
      <w:pPr>
        <w:ind w:right="26"/>
        <w:jc w:val="both"/>
        <w:rPr>
          <w:rFonts w:ascii="Verdana" w:hAnsi="Verdana"/>
          <w:sz w:val="20"/>
          <w:szCs w:val="20"/>
        </w:rPr>
      </w:pPr>
    </w:p>
    <w:p w:rsidR="001944D2" w:rsidRDefault="001944D2" w:rsidP="006B3682">
      <w:pPr>
        <w:ind w:right="26"/>
        <w:jc w:val="both"/>
        <w:rPr>
          <w:rFonts w:ascii="Verdana" w:hAnsi="Verdana"/>
          <w:i/>
          <w:sz w:val="20"/>
          <w:szCs w:val="20"/>
        </w:rPr>
      </w:pPr>
      <w:r w:rsidRPr="00544B97">
        <w:rPr>
          <w:rFonts w:ascii="Verdana" w:hAnsi="Verdana"/>
          <w:sz w:val="20"/>
          <w:szCs w:val="20"/>
        </w:rPr>
        <w:t>In accordance with sub</w:t>
      </w:r>
      <w:r w:rsidR="00A21B05">
        <w:rPr>
          <w:rFonts w:ascii="Verdana" w:hAnsi="Verdana"/>
          <w:sz w:val="20"/>
          <w:szCs w:val="20"/>
        </w:rPr>
        <w:noBreakHyphen/>
      </w:r>
      <w:r w:rsidRPr="00544B97">
        <w:rPr>
          <w:rFonts w:ascii="Verdana" w:hAnsi="Verdana"/>
          <w:sz w:val="20"/>
          <w:szCs w:val="20"/>
        </w:rPr>
        <w:t xml:space="preserve">regulation 692(2) of the WHS Regulations, an exemption </w:t>
      </w:r>
      <w:r>
        <w:rPr>
          <w:rFonts w:ascii="Verdana" w:hAnsi="Verdana"/>
          <w:sz w:val="20"/>
          <w:szCs w:val="20"/>
        </w:rPr>
        <w:t xml:space="preserve">document that exempts a class of persons </w:t>
      </w:r>
      <w:r w:rsidRPr="00544B97">
        <w:rPr>
          <w:rFonts w:ascii="Verdana" w:hAnsi="Verdana"/>
          <w:sz w:val="20"/>
          <w:szCs w:val="20"/>
        </w:rPr>
        <w:t xml:space="preserve">is a Legislative Instrument within the meaning of the </w:t>
      </w:r>
      <w:r w:rsidRPr="00544B97">
        <w:rPr>
          <w:rFonts w:ascii="Verdana" w:hAnsi="Verdana"/>
          <w:i/>
          <w:sz w:val="20"/>
          <w:szCs w:val="20"/>
        </w:rPr>
        <w:t xml:space="preserve">Legislative Instruments Act 2003. </w:t>
      </w:r>
    </w:p>
    <w:p w:rsidR="00376CEE" w:rsidRDefault="00376CEE" w:rsidP="006B3682">
      <w:pPr>
        <w:jc w:val="both"/>
        <w:rPr>
          <w:rFonts w:ascii="Verdana" w:hAnsi="Verdana"/>
          <w:sz w:val="20"/>
          <w:szCs w:val="20"/>
        </w:rPr>
      </w:pPr>
    </w:p>
    <w:p w:rsidR="00F0456C" w:rsidRPr="00796178" w:rsidRDefault="00F0456C" w:rsidP="006B3682">
      <w:pPr>
        <w:jc w:val="both"/>
        <w:rPr>
          <w:rFonts w:ascii="Verdana" w:hAnsi="Verdana"/>
          <w:sz w:val="20"/>
          <w:szCs w:val="20"/>
          <w:u w:val="single"/>
        </w:rPr>
      </w:pPr>
      <w:r w:rsidRPr="00796178">
        <w:rPr>
          <w:rFonts w:ascii="Verdana" w:hAnsi="Verdana"/>
          <w:sz w:val="20"/>
          <w:szCs w:val="20"/>
          <w:u w:val="single"/>
        </w:rPr>
        <w:t>Exemptions apply</w:t>
      </w:r>
      <w:r w:rsidR="00B9760D">
        <w:rPr>
          <w:rFonts w:ascii="Verdana" w:hAnsi="Verdana"/>
          <w:sz w:val="20"/>
          <w:szCs w:val="20"/>
          <w:u w:val="single"/>
        </w:rPr>
        <w:t>ing</w:t>
      </w:r>
      <w:r w:rsidRPr="00796178">
        <w:rPr>
          <w:rFonts w:ascii="Verdana" w:hAnsi="Verdana"/>
          <w:sz w:val="20"/>
          <w:szCs w:val="20"/>
          <w:u w:val="single"/>
        </w:rPr>
        <w:t xml:space="preserve"> to ADF divers and ADF dive supervisors</w:t>
      </w:r>
    </w:p>
    <w:p w:rsidR="00A0331A" w:rsidRDefault="001944D2" w:rsidP="006B3682">
      <w:pPr>
        <w:ind w:right="26"/>
        <w:jc w:val="both"/>
        <w:rPr>
          <w:rFonts w:ascii="Verdana" w:hAnsi="Verdana"/>
          <w:sz w:val="20"/>
          <w:szCs w:val="20"/>
        </w:rPr>
      </w:pPr>
      <w:r w:rsidRPr="00544B97">
        <w:rPr>
          <w:rFonts w:ascii="Verdana" w:hAnsi="Verdana"/>
          <w:sz w:val="20"/>
          <w:szCs w:val="20"/>
        </w:rPr>
        <w:t xml:space="preserve">This </w:t>
      </w:r>
      <w:r>
        <w:rPr>
          <w:rFonts w:ascii="Verdana" w:hAnsi="Verdana"/>
          <w:sz w:val="20"/>
          <w:szCs w:val="20"/>
        </w:rPr>
        <w:t>i</w:t>
      </w:r>
      <w:r w:rsidRPr="00544B97">
        <w:rPr>
          <w:rFonts w:ascii="Verdana" w:hAnsi="Verdana"/>
          <w:sz w:val="20"/>
          <w:szCs w:val="20"/>
        </w:rPr>
        <w:t xml:space="preserve">nstrument exempts </w:t>
      </w:r>
      <w:r>
        <w:rPr>
          <w:rFonts w:ascii="Verdana" w:hAnsi="Verdana"/>
          <w:sz w:val="20"/>
          <w:szCs w:val="20"/>
        </w:rPr>
        <w:t>ADF</w:t>
      </w:r>
      <w:r w:rsidR="00601FED">
        <w:rPr>
          <w:rFonts w:ascii="Verdana" w:hAnsi="Verdana"/>
          <w:sz w:val="20"/>
          <w:szCs w:val="20"/>
        </w:rPr>
        <w:t xml:space="preserve"> divers and ADF dive supervisors </w:t>
      </w:r>
      <w:r>
        <w:rPr>
          <w:rFonts w:ascii="Verdana" w:hAnsi="Verdana"/>
          <w:sz w:val="20"/>
          <w:szCs w:val="20"/>
        </w:rPr>
        <w:t xml:space="preserve">who carry out, or supervise, general diving work from complying with </w:t>
      </w:r>
      <w:r w:rsidR="0097674C" w:rsidRPr="001944D2">
        <w:rPr>
          <w:rFonts w:ascii="Verdana" w:hAnsi="Verdana"/>
          <w:sz w:val="20"/>
          <w:szCs w:val="20"/>
        </w:rPr>
        <w:t>sub</w:t>
      </w:r>
      <w:r w:rsidR="0097674C" w:rsidRPr="001944D2">
        <w:rPr>
          <w:rFonts w:ascii="Verdana" w:hAnsi="Verdana"/>
          <w:sz w:val="20"/>
          <w:szCs w:val="20"/>
        </w:rPr>
        <w:noBreakHyphen/>
        <w:t>regulation 171(a)</w:t>
      </w:r>
      <w:r w:rsidR="0097674C">
        <w:rPr>
          <w:rFonts w:ascii="Verdana" w:hAnsi="Verdana"/>
          <w:sz w:val="20"/>
          <w:szCs w:val="20"/>
        </w:rPr>
        <w:t xml:space="preserve"> and</w:t>
      </w:r>
      <w:r w:rsidR="00A0331A">
        <w:rPr>
          <w:rFonts w:ascii="Verdana" w:hAnsi="Verdana"/>
          <w:sz w:val="20"/>
          <w:szCs w:val="20"/>
        </w:rPr>
        <w:t xml:space="preserve"> (where supervision</w:t>
      </w:r>
      <w:r w:rsidR="00F0456C">
        <w:rPr>
          <w:rFonts w:ascii="Verdana" w:hAnsi="Verdana"/>
          <w:sz w:val="20"/>
          <w:szCs w:val="20"/>
        </w:rPr>
        <w:t xml:space="preserve"> of general diving work</w:t>
      </w:r>
      <w:r w:rsidR="00A0331A">
        <w:rPr>
          <w:rFonts w:ascii="Verdana" w:hAnsi="Verdana"/>
          <w:sz w:val="20"/>
          <w:szCs w:val="20"/>
        </w:rPr>
        <w:t xml:space="preserve"> is involved)</w:t>
      </w:r>
      <w:r w:rsidR="0097674C" w:rsidRPr="001944D2">
        <w:rPr>
          <w:rFonts w:ascii="Verdana" w:hAnsi="Verdana"/>
          <w:sz w:val="20"/>
          <w:szCs w:val="20"/>
        </w:rPr>
        <w:t xml:space="preserve"> </w:t>
      </w:r>
      <w:r w:rsidR="00601FED">
        <w:rPr>
          <w:rFonts w:ascii="Verdana" w:hAnsi="Verdana"/>
          <w:sz w:val="20"/>
          <w:szCs w:val="20"/>
        </w:rPr>
        <w:t>sub</w:t>
      </w:r>
      <w:r w:rsidR="00601FED">
        <w:rPr>
          <w:rFonts w:ascii="Verdana" w:hAnsi="Verdana"/>
          <w:sz w:val="20"/>
          <w:szCs w:val="20"/>
        </w:rPr>
        <w:noBreakHyphen/>
      </w:r>
      <w:r w:rsidR="0097674C" w:rsidRPr="001944D2">
        <w:rPr>
          <w:rFonts w:ascii="Verdana" w:hAnsi="Verdana"/>
          <w:sz w:val="20"/>
          <w:szCs w:val="20"/>
        </w:rPr>
        <w:t>regulation 174</w:t>
      </w:r>
      <w:r w:rsidR="00601FED">
        <w:rPr>
          <w:rFonts w:ascii="Verdana" w:hAnsi="Verdana"/>
          <w:sz w:val="20"/>
          <w:szCs w:val="20"/>
        </w:rPr>
        <w:t>(a)</w:t>
      </w:r>
      <w:r w:rsidR="0097674C">
        <w:rPr>
          <w:rFonts w:ascii="Verdana" w:hAnsi="Verdana"/>
          <w:sz w:val="20"/>
          <w:szCs w:val="20"/>
        </w:rPr>
        <w:t>.</w:t>
      </w:r>
      <w:r w:rsidR="005A6A3B">
        <w:rPr>
          <w:rFonts w:ascii="Verdana" w:hAnsi="Verdana"/>
          <w:sz w:val="20"/>
          <w:szCs w:val="20"/>
        </w:rPr>
        <w:t xml:space="preserve"> </w:t>
      </w:r>
    </w:p>
    <w:p w:rsidR="00601FED" w:rsidRDefault="00601FED" w:rsidP="006B3682">
      <w:pPr>
        <w:ind w:right="26"/>
        <w:jc w:val="both"/>
        <w:rPr>
          <w:rFonts w:ascii="Verdana" w:hAnsi="Verdana"/>
          <w:sz w:val="20"/>
          <w:szCs w:val="20"/>
        </w:rPr>
      </w:pPr>
    </w:p>
    <w:p w:rsidR="00280D47" w:rsidRDefault="00A0331A" w:rsidP="006B3682">
      <w:pPr>
        <w:ind w:right="26"/>
        <w:jc w:val="both"/>
        <w:rPr>
          <w:rFonts w:ascii="Verdana" w:hAnsi="Verdana"/>
          <w:sz w:val="20"/>
          <w:szCs w:val="20"/>
        </w:rPr>
      </w:pPr>
      <w:r>
        <w:rPr>
          <w:rFonts w:ascii="Verdana" w:hAnsi="Verdana"/>
          <w:sz w:val="20"/>
          <w:szCs w:val="20"/>
        </w:rPr>
        <w:t>The exemption</w:t>
      </w:r>
      <w:r w:rsidR="00F0456C">
        <w:rPr>
          <w:rFonts w:ascii="Verdana" w:hAnsi="Verdana"/>
          <w:sz w:val="20"/>
          <w:szCs w:val="20"/>
        </w:rPr>
        <w:t>s</w:t>
      </w:r>
      <w:r>
        <w:rPr>
          <w:rFonts w:ascii="Verdana" w:hAnsi="Verdana"/>
          <w:sz w:val="20"/>
          <w:szCs w:val="20"/>
        </w:rPr>
        <w:t xml:space="preserve"> involving ADF divers and ADF dive supervisors </w:t>
      </w:r>
      <w:r w:rsidR="00F0456C">
        <w:rPr>
          <w:rFonts w:ascii="Verdana" w:hAnsi="Verdana"/>
          <w:sz w:val="20"/>
          <w:szCs w:val="20"/>
        </w:rPr>
        <w:t>are</w:t>
      </w:r>
      <w:r>
        <w:rPr>
          <w:rFonts w:ascii="Verdana" w:hAnsi="Verdana"/>
          <w:sz w:val="20"/>
          <w:szCs w:val="20"/>
        </w:rPr>
        <w:t xml:space="preserve"> necessary because </w:t>
      </w:r>
      <w:r w:rsidR="00280D47">
        <w:rPr>
          <w:rFonts w:ascii="Verdana" w:hAnsi="Verdana"/>
          <w:sz w:val="20"/>
          <w:szCs w:val="20"/>
        </w:rPr>
        <w:t xml:space="preserve">both of </w:t>
      </w:r>
      <w:r>
        <w:rPr>
          <w:rFonts w:ascii="Verdana" w:hAnsi="Verdana"/>
          <w:sz w:val="20"/>
          <w:szCs w:val="20"/>
        </w:rPr>
        <w:t>these classes of persons cannot comply with the competency requirements set out in sub</w:t>
      </w:r>
      <w:r>
        <w:rPr>
          <w:rFonts w:ascii="Verdana" w:hAnsi="Verdana"/>
          <w:sz w:val="20"/>
          <w:szCs w:val="20"/>
        </w:rPr>
        <w:noBreakHyphen/>
        <w:t>regulation 171(a)</w:t>
      </w:r>
      <w:r w:rsidR="00280D47">
        <w:rPr>
          <w:rFonts w:ascii="Verdana" w:hAnsi="Verdana"/>
          <w:sz w:val="20"/>
          <w:szCs w:val="20"/>
        </w:rPr>
        <w:t xml:space="preserve">. </w:t>
      </w:r>
      <w:r w:rsidR="006207E7">
        <w:rPr>
          <w:rFonts w:ascii="Verdana" w:hAnsi="Verdana"/>
          <w:sz w:val="20"/>
          <w:szCs w:val="20"/>
        </w:rPr>
        <w:t xml:space="preserve">ADF dive supervisors </w:t>
      </w:r>
      <w:r w:rsidR="00460135">
        <w:rPr>
          <w:rFonts w:ascii="Verdana" w:hAnsi="Verdana"/>
          <w:sz w:val="20"/>
          <w:szCs w:val="20"/>
        </w:rPr>
        <w:t>cannot comply with</w:t>
      </w:r>
      <w:r w:rsidR="006207E7">
        <w:rPr>
          <w:rFonts w:ascii="Verdana" w:hAnsi="Verdana"/>
          <w:sz w:val="20"/>
          <w:szCs w:val="20"/>
        </w:rPr>
        <w:t xml:space="preserve"> the requirements of </w:t>
      </w:r>
      <w:r w:rsidR="00601FED">
        <w:rPr>
          <w:rFonts w:ascii="Verdana" w:hAnsi="Verdana"/>
          <w:sz w:val="20"/>
          <w:szCs w:val="20"/>
        </w:rPr>
        <w:t>sub</w:t>
      </w:r>
      <w:r w:rsidR="00601FED">
        <w:rPr>
          <w:rFonts w:ascii="Verdana" w:hAnsi="Verdana"/>
          <w:sz w:val="20"/>
          <w:szCs w:val="20"/>
        </w:rPr>
        <w:noBreakHyphen/>
      </w:r>
      <w:r w:rsidR="006207E7">
        <w:rPr>
          <w:rFonts w:ascii="Verdana" w:hAnsi="Verdana"/>
          <w:sz w:val="20"/>
          <w:szCs w:val="20"/>
        </w:rPr>
        <w:t>regulation 174</w:t>
      </w:r>
      <w:r w:rsidR="00B9760D">
        <w:rPr>
          <w:rFonts w:ascii="Verdana" w:hAnsi="Verdana"/>
          <w:sz w:val="20"/>
          <w:szCs w:val="20"/>
        </w:rPr>
        <w:t>(a)</w:t>
      </w:r>
      <w:r w:rsidR="00601FED">
        <w:rPr>
          <w:rFonts w:ascii="Verdana" w:hAnsi="Verdana"/>
          <w:sz w:val="20"/>
          <w:szCs w:val="20"/>
        </w:rPr>
        <w:t xml:space="preserve"> as a result</w:t>
      </w:r>
      <w:r w:rsidR="006207E7">
        <w:rPr>
          <w:rFonts w:ascii="Verdana" w:hAnsi="Verdana"/>
          <w:sz w:val="20"/>
          <w:szCs w:val="20"/>
        </w:rPr>
        <w:t>.</w:t>
      </w:r>
    </w:p>
    <w:p w:rsidR="00F0456C" w:rsidRDefault="00F0456C" w:rsidP="006B3682">
      <w:pPr>
        <w:ind w:right="26"/>
        <w:jc w:val="both"/>
        <w:rPr>
          <w:rFonts w:ascii="Verdana" w:hAnsi="Verdana"/>
          <w:sz w:val="20"/>
          <w:szCs w:val="20"/>
        </w:rPr>
      </w:pPr>
    </w:p>
    <w:p w:rsidR="00F0456C" w:rsidRDefault="00F0456C" w:rsidP="006B3682">
      <w:pPr>
        <w:ind w:right="26"/>
        <w:jc w:val="both"/>
        <w:rPr>
          <w:rFonts w:ascii="Verdana" w:hAnsi="Verdana"/>
          <w:sz w:val="20"/>
          <w:szCs w:val="20"/>
        </w:rPr>
      </w:pPr>
      <w:r>
        <w:rPr>
          <w:rFonts w:ascii="Verdana" w:hAnsi="Verdana"/>
          <w:sz w:val="20"/>
          <w:szCs w:val="20"/>
        </w:rPr>
        <w:t>The exemptions apply subject to conditions.</w:t>
      </w:r>
    </w:p>
    <w:p w:rsidR="00F0456C" w:rsidRDefault="00F0456C" w:rsidP="006B3682">
      <w:pPr>
        <w:ind w:right="26"/>
        <w:jc w:val="both"/>
        <w:rPr>
          <w:rFonts w:ascii="Verdana" w:hAnsi="Verdana"/>
          <w:sz w:val="20"/>
          <w:szCs w:val="20"/>
        </w:rPr>
      </w:pPr>
    </w:p>
    <w:p w:rsidR="003D12E5" w:rsidRPr="00796178" w:rsidRDefault="00796178" w:rsidP="006B3682">
      <w:pPr>
        <w:ind w:right="26"/>
        <w:jc w:val="both"/>
        <w:rPr>
          <w:rFonts w:ascii="Verdana" w:hAnsi="Verdana"/>
          <w:b/>
          <w:sz w:val="20"/>
          <w:szCs w:val="20"/>
        </w:rPr>
      </w:pPr>
      <w:r>
        <w:rPr>
          <w:rFonts w:ascii="Verdana" w:hAnsi="Verdana"/>
          <w:b/>
          <w:sz w:val="20"/>
          <w:szCs w:val="20"/>
        </w:rPr>
        <w:t>Details of the exemptions</w:t>
      </w:r>
    </w:p>
    <w:p w:rsidR="00394279" w:rsidRDefault="00394279" w:rsidP="006B3682">
      <w:pPr>
        <w:ind w:right="28"/>
        <w:contextualSpacing/>
        <w:jc w:val="both"/>
        <w:rPr>
          <w:rFonts w:ascii="Verdana" w:hAnsi="Verdana"/>
          <w:sz w:val="20"/>
          <w:szCs w:val="20"/>
        </w:rPr>
      </w:pPr>
      <w:r>
        <w:rPr>
          <w:rFonts w:ascii="Verdana" w:hAnsi="Verdana"/>
          <w:sz w:val="20"/>
          <w:szCs w:val="20"/>
        </w:rPr>
        <w:t>Sub</w:t>
      </w:r>
      <w:r w:rsidR="008263B3">
        <w:rPr>
          <w:rFonts w:ascii="Verdana" w:hAnsi="Verdana"/>
          <w:sz w:val="20"/>
          <w:szCs w:val="20"/>
        </w:rPr>
        <w:noBreakHyphen/>
      </w:r>
      <w:r>
        <w:rPr>
          <w:rFonts w:ascii="Verdana" w:hAnsi="Verdana"/>
          <w:sz w:val="20"/>
          <w:szCs w:val="20"/>
        </w:rPr>
        <w:t>r</w:t>
      </w:r>
      <w:r w:rsidRPr="00AA6514">
        <w:rPr>
          <w:rFonts w:ascii="Verdana" w:hAnsi="Verdana"/>
          <w:sz w:val="20"/>
          <w:szCs w:val="20"/>
        </w:rPr>
        <w:t>egulation 171</w:t>
      </w:r>
      <w:r>
        <w:rPr>
          <w:rFonts w:ascii="Verdana" w:hAnsi="Verdana"/>
          <w:sz w:val="20"/>
          <w:szCs w:val="20"/>
        </w:rPr>
        <w:t>(a)</w:t>
      </w:r>
      <w:r w:rsidRPr="00AA6514">
        <w:rPr>
          <w:rFonts w:ascii="Verdana" w:hAnsi="Verdana"/>
          <w:sz w:val="20"/>
          <w:szCs w:val="20"/>
        </w:rPr>
        <w:t xml:space="preserve"> of the WHS Regulations provides that a person must not carry out general diving work (other than incidental diving work and limited scientific diving work) unless the person has a statement of attainment for a specified VET course</w:t>
      </w:r>
      <w:r>
        <w:rPr>
          <w:rFonts w:ascii="Verdana" w:hAnsi="Verdana"/>
          <w:sz w:val="20"/>
          <w:szCs w:val="20"/>
        </w:rPr>
        <w:t>;</w:t>
      </w:r>
      <w:r w:rsidRPr="00AA6514">
        <w:rPr>
          <w:rFonts w:ascii="Verdana" w:hAnsi="Verdana"/>
          <w:sz w:val="20"/>
          <w:szCs w:val="20"/>
        </w:rPr>
        <w:t xml:space="preserve"> a certificate for general diving work, issued by a training </w:t>
      </w:r>
      <w:proofErr w:type="gramStart"/>
      <w:r w:rsidRPr="00AA6514">
        <w:rPr>
          <w:rFonts w:ascii="Verdana" w:hAnsi="Verdana"/>
          <w:sz w:val="20"/>
          <w:szCs w:val="20"/>
        </w:rPr>
        <w:t>organisation</w:t>
      </w:r>
      <w:proofErr w:type="gramEnd"/>
      <w:r w:rsidRPr="00AA6514">
        <w:rPr>
          <w:rFonts w:ascii="Verdana" w:hAnsi="Verdana"/>
          <w:sz w:val="20"/>
          <w:szCs w:val="20"/>
        </w:rPr>
        <w:t>, that mentions the subject areas covered in AS/NZS 4005.2:2000</w:t>
      </w:r>
      <w:r w:rsidR="006B04A3">
        <w:rPr>
          <w:rFonts w:ascii="Verdana" w:hAnsi="Verdana"/>
          <w:sz w:val="20"/>
          <w:szCs w:val="20"/>
        </w:rPr>
        <w:t xml:space="preserve"> (</w:t>
      </w:r>
      <w:r w:rsidR="006B04A3">
        <w:rPr>
          <w:rFonts w:ascii="Verdana" w:hAnsi="Verdana"/>
          <w:i/>
          <w:sz w:val="20"/>
          <w:szCs w:val="20"/>
        </w:rPr>
        <w:t xml:space="preserve">Training and certification of recreational divers—Recreational SCUBA dive supervisor) </w:t>
      </w:r>
      <w:r w:rsidR="006B04A3">
        <w:rPr>
          <w:rFonts w:ascii="Verdana" w:hAnsi="Verdana"/>
          <w:sz w:val="20"/>
          <w:szCs w:val="20"/>
        </w:rPr>
        <w:t>(</w:t>
      </w:r>
      <w:r w:rsidR="003B7133">
        <w:rPr>
          <w:rFonts w:ascii="Verdana" w:hAnsi="Verdana"/>
          <w:sz w:val="20"/>
          <w:szCs w:val="20"/>
        </w:rPr>
        <w:t>‘</w:t>
      </w:r>
      <w:r w:rsidR="006B04A3">
        <w:rPr>
          <w:rFonts w:ascii="Verdana" w:hAnsi="Verdana"/>
          <w:sz w:val="20"/>
          <w:szCs w:val="20"/>
        </w:rPr>
        <w:t>AS 4005</w:t>
      </w:r>
      <w:r w:rsidR="003B7133">
        <w:rPr>
          <w:rFonts w:ascii="Verdana" w:hAnsi="Verdana"/>
          <w:sz w:val="20"/>
          <w:szCs w:val="20"/>
        </w:rPr>
        <w:t>’</w:t>
      </w:r>
      <w:r w:rsidR="006B04A3">
        <w:rPr>
          <w:rFonts w:ascii="Verdana" w:hAnsi="Verdana"/>
          <w:sz w:val="20"/>
          <w:szCs w:val="20"/>
        </w:rPr>
        <w:t>)</w:t>
      </w:r>
      <w:r>
        <w:rPr>
          <w:rFonts w:ascii="Verdana" w:hAnsi="Verdana"/>
          <w:sz w:val="20"/>
          <w:szCs w:val="20"/>
        </w:rPr>
        <w:t>;</w:t>
      </w:r>
      <w:r w:rsidRPr="00AA6514">
        <w:rPr>
          <w:rFonts w:ascii="Verdana" w:hAnsi="Verdana"/>
          <w:sz w:val="20"/>
          <w:szCs w:val="20"/>
        </w:rPr>
        <w:t xml:space="preserve"> or both.</w:t>
      </w:r>
    </w:p>
    <w:p w:rsidR="00394279" w:rsidRDefault="00394279" w:rsidP="006B3682">
      <w:pPr>
        <w:contextualSpacing/>
        <w:jc w:val="both"/>
      </w:pPr>
    </w:p>
    <w:p w:rsidR="00394279" w:rsidRDefault="00E051B7" w:rsidP="006B3682">
      <w:pPr>
        <w:contextualSpacing/>
        <w:jc w:val="both"/>
        <w:rPr>
          <w:rFonts w:ascii="Verdana" w:hAnsi="Verdana"/>
          <w:sz w:val="20"/>
          <w:szCs w:val="20"/>
        </w:rPr>
      </w:pPr>
      <w:r>
        <w:rPr>
          <w:rFonts w:ascii="Verdana" w:hAnsi="Verdana"/>
          <w:sz w:val="20"/>
          <w:szCs w:val="20"/>
        </w:rPr>
        <w:t>At</w:t>
      </w:r>
      <w:r w:rsidR="00394279">
        <w:rPr>
          <w:rFonts w:ascii="Verdana" w:hAnsi="Verdana"/>
          <w:sz w:val="20"/>
          <w:szCs w:val="20"/>
        </w:rPr>
        <w:t xml:space="preserve"> present </w:t>
      </w:r>
      <w:r w:rsidR="00394279" w:rsidRPr="00432EEE">
        <w:rPr>
          <w:rFonts w:ascii="Verdana" w:hAnsi="Verdana"/>
          <w:sz w:val="20"/>
          <w:szCs w:val="20"/>
        </w:rPr>
        <w:t>no specified VET course is prescribed for general diving work</w:t>
      </w:r>
      <w:r w:rsidR="00394279">
        <w:rPr>
          <w:rFonts w:ascii="Verdana" w:hAnsi="Verdana"/>
          <w:sz w:val="20"/>
          <w:szCs w:val="20"/>
        </w:rPr>
        <w:t xml:space="preserve"> for the purposes of the WHS Regulations. Consequently, </w:t>
      </w:r>
      <w:r w:rsidR="005A6A3B">
        <w:rPr>
          <w:rFonts w:ascii="Verdana" w:hAnsi="Verdana"/>
          <w:sz w:val="20"/>
          <w:szCs w:val="20"/>
        </w:rPr>
        <w:t xml:space="preserve">ADF divers and ADF dive supervisors </w:t>
      </w:r>
      <w:r w:rsidR="00394279">
        <w:rPr>
          <w:rFonts w:ascii="Verdana" w:hAnsi="Verdana"/>
          <w:sz w:val="20"/>
          <w:szCs w:val="20"/>
        </w:rPr>
        <w:t>who carry out general diving work cannot presently comply with sub</w:t>
      </w:r>
      <w:r>
        <w:rPr>
          <w:rFonts w:ascii="Verdana" w:hAnsi="Verdana"/>
          <w:sz w:val="20"/>
          <w:szCs w:val="20"/>
        </w:rPr>
        <w:noBreakHyphen/>
      </w:r>
      <w:r w:rsidR="00394279">
        <w:rPr>
          <w:rFonts w:ascii="Verdana" w:hAnsi="Verdana"/>
          <w:sz w:val="20"/>
          <w:szCs w:val="20"/>
        </w:rPr>
        <w:t>regulation 171(a)(</w:t>
      </w:r>
      <w:proofErr w:type="spellStart"/>
      <w:r w:rsidR="00394279">
        <w:rPr>
          <w:rFonts w:ascii="Verdana" w:hAnsi="Verdana"/>
          <w:sz w:val="20"/>
          <w:szCs w:val="20"/>
        </w:rPr>
        <w:t>i</w:t>
      </w:r>
      <w:proofErr w:type="spellEnd"/>
      <w:r w:rsidR="00394279">
        <w:rPr>
          <w:rFonts w:ascii="Verdana" w:hAnsi="Verdana"/>
          <w:sz w:val="20"/>
          <w:szCs w:val="20"/>
        </w:rPr>
        <w:t xml:space="preserve">) of the </w:t>
      </w:r>
      <w:r w:rsidR="00394279" w:rsidRPr="00AA6514">
        <w:rPr>
          <w:rFonts w:ascii="Verdana" w:hAnsi="Verdana"/>
          <w:sz w:val="20"/>
          <w:szCs w:val="20"/>
        </w:rPr>
        <w:t>WHS Regulations</w:t>
      </w:r>
      <w:r w:rsidR="006B04A3">
        <w:rPr>
          <w:rFonts w:ascii="Verdana" w:hAnsi="Verdana"/>
          <w:sz w:val="20"/>
          <w:szCs w:val="20"/>
        </w:rPr>
        <w:t xml:space="preserve"> and must obtain</w:t>
      </w:r>
      <w:r w:rsidR="00460135">
        <w:rPr>
          <w:rFonts w:ascii="Verdana" w:hAnsi="Verdana"/>
          <w:sz w:val="20"/>
          <w:szCs w:val="20"/>
        </w:rPr>
        <w:t>, in accordance with sub</w:t>
      </w:r>
      <w:r w:rsidR="00460135">
        <w:rPr>
          <w:rFonts w:ascii="Verdana" w:hAnsi="Verdana"/>
          <w:sz w:val="20"/>
          <w:szCs w:val="20"/>
        </w:rPr>
        <w:noBreakHyphen/>
        <w:t>regulation 171(a)(ii),</w:t>
      </w:r>
      <w:r w:rsidR="006B04A3">
        <w:rPr>
          <w:rFonts w:ascii="Verdana" w:hAnsi="Verdana"/>
          <w:sz w:val="20"/>
          <w:szCs w:val="20"/>
        </w:rPr>
        <w:t xml:space="preserve"> a certificate for general diving work that mentions the subject areas covered in AS 4005</w:t>
      </w:r>
      <w:r w:rsidR="00460135">
        <w:rPr>
          <w:rFonts w:ascii="Verdana" w:hAnsi="Verdana"/>
          <w:sz w:val="20"/>
          <w:szCs w:val="20"/>
        </w:rPr>
        <w:t>.</w:t>
      </w:r>
      <w:r w:rsidR="00394279" w:rsidRPr="00751D9B">
        <w:rPr>
          <w:rFonts w:ascii="Verdana" w:hAnsi="Verdana"/>
          <w:sz w:val="20"/>
          <w:szCs w:val="20"/>
        </w:rPr>
        <w:t xml:space="preserve"> </w:t>
      </w:r>
    </w:p>
    <w:p w:rsidR="00394279" w:rsidRDefault="00394279" w:rsidP="006B3682">
      <w:pPr>
        <w:contextualSpacing/>
        <w:jc w:val="both"/>
        <w:rPr>
          <w:rFonts w:ascii="Verdana" w:hAnsi="Verdana"/>
          <w:sz w:val="20"/>
          <w:szCs w:val="20"/>
        </w:rPr>
      </w:pPr>
    </w:p>
    <w:p w:rsidR="00394279" w:rsidRDefault="00394279" w:rsidP="006B3682">
      <w:pPr>
        <w:contextualSpacing/>
        <w:jc w:val="both"/>
        <w:rPr>
          <w:rFonts w:ascii="Verdana" w:hAnsi="Verdana"/>
          <w:sz w:val="20"/>
          <w:szCs w:val="20"/>
        </w:rPr>
      </w:pPr>
      <w:r w:rsidRPr="00432EEE">
        <w:rPr>
          <w:rFonts w:ascii="Verdana" w:hAnsi="Verdana"/>
          <w:sz w:val="20"/>
          <w:szCs w:val="20"/>
        </w:rPr>
        <w:t>AS</w:t>
      </w:r>
      <w:r w:rsidR="006B04A3">
        <w:rPr>
          <w:rFonts w:ascii="Verdana" w:hAnsi="Verdana"/>
          <w:sz w:val="20"/>
          <w:szCs w:val="20"/>
        </w:rPr>
        <w:t> </w:t>
      </w:r>
      <w:r w:rsidRPr="00432EEE">
        <w:rPr>
          <w:rFonts w:ascii="Verdana" w:hAnsi="Verdana"/>
          <w:sz w:val="20"/>
          <w:szCs w:val="20"/>
        </w:rPr>
        <w:t>4005</w:t>
      </w:r>
      <w:r w:rsidR="0086138E">
        <w:rPr>
          <w:rFonts w:ascii="Verdana" w:hAnsi="Verdana"/>
          <w:sz w:val="20"/>
          <w:szCs w:val="20"/>
        </w:rPr>
        <w:t xml:space="preserve"> </w:t>
      </w:r>
      <w:r w:rsidRPr="00B874C8">
        <w:rPr>
          <w:rFonts w:ascii="Verdana" w:hAnsi="Verdana"/>
          <w:sz w:val="20"/>
          <w:szCs w:val="20"/>
        </w:rPr>
        <w:t xml:space="preserve">is </w:t>
      </w:r>
      <w:r w:rsidR="00195560">
        <w:rPr>
          <w:rFonts w:ascii="Verdana" w:hAnsi="Verdana"/>
          <w:sz w:val="20"/>
          <w:szCs w:val="20"/>
        </w:rPr>
        <w:t xml:space="preserve">directed solely towards training supervisors of recreational SCUBA divers and </w:t>
      </w:r>
      <w:r w:rsidRPr="00B874C8">
        <w:rPr>
          <w:rFonts w:ascii="Verdana" w:hAnsi="Verdana"/>
          <w:sz w:val="20"/>
          <w:szCs w:val="20"/>
        </w:rPr>
        <w:t>is inadequate in setting training requirements for general diving work carried out</w:t>
      </w:r>
      <w:r>
        <w:rPr>
          <w:rFonts w:ascii="Verdana" w:hAnsi="Verdana"/>
          <w:sz w:val="20"/>
          <w:szCs w:val="20"/>
        </w:rPr>
        <w:t>, or supervised,</w:t>
      </w:r>
      <w:r w:rsidRPr="00B874C8">
        <w:rPr>
          <w:rFonts w:ascii="Verdana" w:hAnsi="Verdana"/>
          <w:sz w:val="20"/>
          <w:szCs w:val="20"/>
        </w:rPr>
        <w:t xml:space="preserve"> by</w:t>
      </w:r>
      <w:r>
        <w:rPr>
          <w:rFonts w:ascii="Verdana" w:hAnsi="Verdana"/>
          <w:sz w:val="20"/>
          <w:szCs w:val="20"/>
        </w:rPr>
        <w:t xml:space="preserve"> members of the ADF.</w:t>
      </w:r>
      <w:r w:rsidRPr="00B874C8">
        <w:rPr>
          <w:rFonts w:ascii="Verdana" w:hAnsi="Verdana"/>
          <w:sz w:val="20"/>
          <w:szCs w:val="20"/>
        </w:rPr>
        <w:t xml:space="preserve"> </w:t>
      </w:r>
    </w:p>
    <w:p w:rsidR="00394279" w:rsidRPr="00821652" w:rsidRDefault="00394279" w:rsidP="006B3682">
      <w:pPr>
        <w:ind w:right="28"/>
        <w:contextualSpacing/>
        <w:jc w:val="both"/>
        <w:rPr>
          <w:rFonts w:ascii="Verdana" w:hAnsi="Verdana"/>
          <w:sz w:val="20"/>
          <w:szCs w:val="20"/>
        </w:rPr>
      </w:pPr>
    </w:p>
    <w:p w:rsidR="00796178" w:rsidRDefault="00AA3CEA" w:rsidP="006B3682">
      <w:pPr>
        <w:ind w:right="28"/>
        <w:contextualSpacing/>
        <w:jc w:val="both"/>
        <w:rPr>
          <w:rFonts w:ascii="Verdana" w:hAnsi="Verdana"/>
          <w:sz w:val="20"/>
          <w:szCs w:val="20"/>
        </w:rPr>
      </w:pPr>
      <w:r w:rsidRPr="00821652">
        <w:rPr>
          <w:rFonts w:ascii="Verdana" w:hAnsi="Verdana"/>
          <w:sz w:val="20"/>
          <w:szCs w:val="20"/>
        </w:rPr>
        <w:t>The</w:t>
      </w:r>
      <w:r w:rsidR="003B7133" w:rsidRPr="00821652">
        <w:rPr>
          <w:rFonts w:ascii="Verdana" w:hAnsi="Verdana"/>
          <w:sz w:val="20"/>
          <w:szCs w:val="20"/>
        </w:rPr>
        <w:t xml:space="preserve"> </w:t>
      </w:r>
      <w:r w:rsidR="00394279" w:rsidRPr="00821652">
        <w:rPr>
          <w:rFonts w:ascii="Verdana" w:hAnsi="Verdana"/>
          <w:sz w:val="20"/>
          <w:szCs w:val="20"/>
        </w:rPr>
        <w:t>exemption from compl</w:t>
      </w:r>
      <w:r w:rsidR="005631AD" w:rsidRPr="00821652">
        <w:rPr>
          <w:rFonts w:ascii="Verdana" w:hAnsi="Verdana"/>
          <w:sz w:val="20"/>
          <w:szCs w:val="20"/>
        </w:rPr>
        <w:t>iance</w:t>
      </w:r>
      <w:r w:rsidR="00394279" w:rsidRPr="00821652">
        <w:rPr>
          <w:rFonts w:ascii="Verdana" w:hAnsi="Verdana"/>
          <w:sz w:val="20"/>
          <w:szCs w:val="20"/>
        </w:rPr>
        <w:t xml:space="preserve"> with sub-regulation 171(a) of the WHS Regulations, </w:t>
      </w:r>
      <w:r w:rsidR="005631AD" w:rsidRPr="00821652">
        <w:rPr>
          <w:rFonts w:ascii="Verdana" w:hAnsi="Verdana"/>
          <w:sz w:val="20"/>
          <w:szCs w:val="20"/>
        </w:rPr>
        <w:t>has been</w:t>
      </w:r>
      <w:r w:rsidR="00394279" w:rsidRPr="00821652">
        <w:rPr>
          <w:rFonts w:ascii="Verdana" w:hAnsi="Verdana"/>
          <w:sz w:val="20"/>
          <w:szCs w:val="20"/>
        </w:rPr>
        <w:t xml:space="preserve"> granted on the condition that members of the ADF who carry out</w:t>
      </w:r>
      <w:r w:rsidR="002968C0" w:rsidRPr="00821652">
        <w:rPr>
          <w:rFonts w:ascii="Verdana" w:hAnsi="Verdana"/>
          <w:sz w:val="20"/>
          <w:szCs w:val="20"/>
        </w:rPr>
        <w:t>,</w:t>
      </w:r>
      <w:r w:rsidR="00394279" w:rsidRPr="00821652">
        <w:rPr>
          <w:rFonts w:ascii="Verdana" w:hAnsi="Verdana"/>
          <w:sz w:val="20"/>
          <w:szCs w:val="20"/>
        </w:rPr>
        <w:t xml:space="preserve"> or supervise</w:t>
      </w:r>
      <w:r w:rsidR="002968C0" w:rsidRPr="00821652">
        <w:rPr>
          <w:rFonts w:ascii="Verdana" w:hAnsi="Verdana"/>
          <w:sz w:val="20"/>
          <w:szCs w:val="20"/>
        </w:rPr>
        <w:t>,</w:t>
      </w:r>
      <w:r w:rsidR="00394279" w:rsidRPr="00821652">
        <w:rPr>
          <w:rFonts w:ascii="Verdana" w:hAnsi="Verdana"/>
          <w:sz w:val="20"/>
          <w:szCs w:val="20"/>
        </w:rPr>
        <w:t xml:space="preserve"> </w:t>
      </w:r>
      <w:r w:rsidR="005631AD" w:rsidRPr="00821652">
        <w:rPr>
          <w:rFonts w:ascii="Verdana" w:hAnsi="Verdana"/>
          <w:sz w:val="20"/>
          <w:szCs w:val="20"/>
        </w:rPr>
        <w:t xml:space="preserve">general </w:t>
      </w:r>
      <w:r w:rsidR="00394279" w:rsidRPr="00821652">
        <w:rPr>
          <w:rFonts w:ascii="Verdana" w:hAnsi="Verdana"/>
          <w:sz w:val="20"/>
          <w:szCs w:val="20"/>
        </w:rPr>
        <w:t xml:space="preserve">diving work </w:t>
      </w:r>
      <w:r w:rsidR="005631AD" w:rsidRPr="00821652">
        <w:rPr>
          <w:rFonts w:ascii="Verdana" w:hAnsi="Verdana"/>
          <w:sz w:val="20"/>
          <w:szCs w:val="20"/>
        </w:rPr>
        <w:t>must satisfactorily</w:t>
      </w:r>
      <w:r w:rsidR="00394279" w:rsidRPr="00821652">
        <w:rPr>
          <w:rFonts w:ascii="Verdana" w:hAnsi="Verdana"/>
          <w:sz w:val="20"/>
          <w:szCs w:val="20"/>
        </w:rPr>
        <w:t xml:space="preserve"> complete </w:t>
      </w:r>
      <w:r w:rsidR="00E16382" w:rsidRPr="00821652">
        <w:rPr>
          <w:rFonts w:ascii="Verdana" w:hAnsi="Verdana"/>
          <w:sz w:val="20"/>
          <w:szCs w:val="20"/>
        </w:rPr>
        <w:t>ADF</w:t>
      </w:r>
      <w:r w:rsidR="00394279" w:rsidRPr="00821652">
        <w:rPr>
          <w:rFonts w:ascii="Verdana" w:hAnsi="Verdana"/>
          <w:sz w:val="20"/>
          <w:szCs w:val="20"/>
        </w:rPr>
        <w:t xml:space="preserve"> diver training to a level that is at least equivalent to that provided in </w:t>
      </w:r>
      <w:r w:rsidR="005631AD" w:rsidRPr="00821652">
        <w:rPr>
          <w:rFonts w:ascii="Verdana" w:hAnsi="Verdana"/>
          <w:sz w:val="20"/>
          <w:szCs w:val="20"/>
        </w:rPr>
        <w:t>AS 2815.1—2008 (</w:t>
      </w:r>
      <w:r w:rsidR="005631AD" w:rsidRPr="00821652">
        <w:rPr>
          <w:rFonts w:ascii="Verdana" w:hAnsi="Verdana"/>
          <w:i/>
          <w:sz w:val="20"/>
          <w:szCs w:val="20"/>
        </w:rPr>
        <w:t>Training and certification of occupational divers,</w:t>
      </w:r>
      <w:r w:rsidR="005631AD" w:rsidRPr="00821652">
        <w:rPr>
          <w:rFonts w:ascii="Verdana" w:hAnsi="Verdana"/>
          <w:sz w:val="20"/>
          <w:szCs w:val="20"/>
        </w:rPr>
        <w:t xml:space="preserve"> Part 1: </w:t>
      </w:r>
      <w:r w:rsidR="005631AD" w:rsidRPr="00821652">
        <w:rPr>
          <w:rFonts w:ascii="Verdana" w:hAnsi="Verdana"/>
          <w:i/>
          <w:sz w:val="20"/>
          <w:szCs w:val="20"/>
        </w:rPr>
        <w:t xml:space="preserve">Occupational SCUBA diver — Standard) </w:t>
      </w:r>
      <w:r w:rsidR="005631AD" w:rsidRPr="00821652">
        <w:rPr>
          <w:rFonts w:ascii="Verdana" w:hAnsi="Verdana"/>
          <w:sz w:val="20"/>
          <w:szCs w:val="20"/>
        </w:rPr>
        <w:t>(‘AS 2815.1’) with some minor modifications</w:t>
      </w:r>
      <w:r w:rsidR="00460135">
        <w:rPr>
          <w:rFonts w:ascii="Verdana" w:hAnsi="Verdana"/>
          <w:sz w:val="20"/>
          <w:szCs w:val="20"/>
        </w:rPr>
        <w:t xml:space="preserve">. These modifications </w:t>
      </w:r>
      <w:r w:rsidR="00015E2C">
        <w:rPr>
          <w:rFonts w:ascii="Verdana" w:hAnsi="Verdana"/>
          <w:sz w:val="20"/>
          <w:szCs w:val="20"/>
        </w:rPr>
        <w:t>cater for ADF</w:t>
      </w:r>
      <w:r w:rsidR="00015E2C">
        <w:rPr>
          <w:rFonts w:ascii="Verdana" w:hAnsi="Verdana"/>
          <w:sz w:val="20"/>
          <w:szCs w:val="20"/>
        </w:rPr>
        <w:noBreakHyphen/>
        <w:t xml:space="preserve">specific diver training needs and will have no adverse </w:t>
      </w:r>
      <w:r w:rsidR="00B9760D">
        <w:rPr>
          <w:rFonts w:ascii="Verdana" w:hAnsi="Verdana"/>
          <w:sz w:val="20"/>
          <w:szCs w:val="20"/>
        </w:rPr>
        <w:t xml:space="preserve">health or safety </w:t>
      </w:r>
      <w:r w:rsidR="007F5666">
        <w:rPr>
          <w:rFonts w:ascii="Verdana" w:hAnsi="Verdana"/>
          <w:sz w:val="20"/>
          <w:szCs w:val="20"/>
        </w:rPr>
        <w:t xml:space="preserve">consequences in the conduct of the ADF’s general diving work activities. </w:t>
      </w:r>
    </w:p>
    <w:p w:rsidR="007F5666" w:rsidRDefault="007F5666" w:rsidP="006B3682">
      <w:pPr>
        <w:ind w:right="28"/>
        <w:contextualSpacing/>
        <w:jc w:val="both"/>
        <w:rPr>
          <w:rFonts w:ascii="Verdana" w:hAnsi="Verdana"/>
          <w:sz w:val="20"/>
          <w:szCs w:val="20"/>
        </w:rPr>
      </w:pPr>
    </w:p>
    <w:p w:rsidR="005631AD" w:rsidRDefault="005631AD" w:rsidP="006B3682">
      <w:pPr>
        <w:ind w:right="28"/>
        <w:contextualSpacing/>
        <w:jc w:val="both"/>
        <w:rPr>
          <w:rFonts w:ascii="Verdana" w:hAnsi="Verdana"/>
          <w:sz w:val="20"/>
          <w:szCs w:val="20"/>
        </w:rPr>
      </w:pPr>
      <w:r w:rsidRPr="00821652">
        <w:rPr>
          <w:rFonts w:ascii="Verdana" w:hAnsi="Verdana"/>
          <w:sz w:val="20"/>
          <w:szCs w:val="20"/>
        </w:rPr>
        <w:t>AS 2815.1 is endorsed as a training standard by AS/NZS 2299.1:2007 (</w:t>
      </w:r>
      <w:r w:rsidRPr="00821652">
        <w:rPr>
          <w:rFonts w:ascii="Verdana" w:hAnsi="Verdana"/>
          <w:i/>
          <w:sz w:val="20"/>
          <w:szCs w:val="20"/>
        </w:rPr>
        <w:t>Occupational diving operations—Standard operational practice</w:t>
      </w:r>
      <w:r w:rsidRPr="00821652">
        <w:rPr>
          <w:rFonts w:ascii="Verdana" w:hAnsi="Verdana"/>
          <w:sz w:val="20"/>
          <w:szCs w:val="20"/>
        </w:rPr>
        <w:t xml:space="preserve">) (‘AS/NZS 2299’) </w:t>
      </w:r>
      <w:r w:rsidR="00796178">
        <w:rPr>
          <w:rFonts w:ascii="Verdana" w:hAnsi="Verdana"/>
          <w:sz w:val="20"/>
          <w:szCs w:val="20"/>
        </w:rPr>
        <w:t xml:space="preserve">which, itself, is prescribed by the </w:t>
      </w:r>
      <w:r w:rsidRPr="00821652">
        <w:rPr>
          <w:rFonts w:ascii="Verdana" w:hAnsi="Verdana"/>
          <w:sz w:val="20"/>
          <w:szCs w:val="20"/>
        </w:rPr>
        <w:t xml:space="preserve">WHS Regulations </w:t>
      </w:r>
      <w:r w:rsidR="00796178">
        <w:rPr>
          <w:rFonts w:ascii="Verdana" w:hAnsi="Verdana"/>
          <w:sz w:val="20"/>
          <w:szCs w:val="20"/>
        </w:rPr>
        <w:t>as the standard by which high risk diving work is conducted.</w:t>
      </w:r>
      <w:r w:rsidRPr="00821652">
        <w:rPr>
          <w:rFonts w:ascii="Verdana" w:hAnsi="Verdana"/>
          <w:sz w:val="20"/>
          <w:szCs w:val="20"/>
        </w:rPr>
        <w:t xml:space="preserve"> </w:t>
      </w:r>
    </w:p>
    <w:p w:rsidR="007F5666" w:rsidRDefault="007F5666" w:rsidP="006B3682">
      <w:pPr>
        <w:ind w:right="28"/>
        <w:contextualSpacing/>
        <w:jc w:val="both"/>
        <w:rPr>
          <w:rFonts w:ascii="Verdana" w:hAnsi="Verdana"/>
          <w:sz w:val="20"/>
          <w:szCs w:val="20"/>
        </w:rPr>
      </w:pPr>
    </w:p>
    <w:p w:rsidR="007F5666" w:rsidRPr="00821652" w:rsidRDefault="007F5666" w:rsidP="006B3682">
      <w:pPr>
        <w:ind w:right="28"/>
        <w:contextualSpacing/>
        <w:jc w:val="both"/>
        <w:rPr>
          <w:rFonts w:ascii="Verdana" w:hAnsi="Verdana"/>
          <w:sz w:val="20"/>
          <w:szCs w:val="20"/>
        </w:rPr>
      </w:pPr>
      <w:r>
        <w:rPr>
          <w:rFonts w:ascii="Verdana" w:hAnsi="Verdana"/>
          <w:sz w:val="20"/>
          <w:szCs w:val="20"/>
        </w:rPr>
        <w:t xml:space="preserve">ADF divers and dive supervisors who train to </w:t>
      </w:r>
      <w:r w:rsidR="00F86885">
        <w:rPr>
          <w:rFonts w:ascii="Verdana" w:hAnsi="Verdana"/>
          <w:sz w:val="20"/>
          <w:szCs w:val="20"/>
        </w:rPr>
        <w:t>AS 2815.1 (as modified) will be more competent to carry out general diving work than if they trained only in accordance with AS 4005 (as provided by sub</w:t>
      </w:r>
      <w:r w:rsidR="00F86885">
        <w:rPr>
          <w:rFonts w:ascii="Verdana" w:hAnsi="Verdana"/>
          <w:sz w:val="20"/>
          <w:szCs w:val="20"/>
        </w:rPr>
        <w:noBreakHyphen/>
        <w:t>regulation 171(a)(ii).</w:t>
      </w:r>
    </w:p>
    <w:p w:rsidR="005631AD" w:rsidRPr="00821652" w:rsidRDefault="005631AD" w:rsidP="006B3682">
      <w:pPr>
        <w:ind w:right="28"/>
        <w:contextualSpacing/>
        <w:jc w:val="both"/>
        <w:rPr>
          <w:rFonts w:ascii="Verdana" w:hAnsi="Verdana"/>
          <w:sz w:val="20"/>
          <w:szCs w:val="20"/>
        </w:rPr>
      </w:pPr>
    </w:p>
    <w:p w:rsidR="00E223BA" w:rsidRDefault="00B54019" w:rsidP="006B3682">
      <w:pPr>
        <w:ind w:right="28"/>
        <w:contextualSpacing/>
        <w:jc w:val="both"/>
        <w:rPr>
          <w:rFonts w:ascii="Verdana" w:hAnsi="Verdana"/>
          <w:sz w:val="20"/>
          <w:szCs w:val="20"/>
        </w:rPr>
      </w:pPr>
      <w:r>
        <w:rPr>
          <w:rFonts w:ascii="Verdana" w:hAnsi="Verdana"/>
          <w:sz w:val="20"/>
          <w:szCs w:val="20"/>
        </w:rPr>
        <w:t xml:space="preserve">Insofar as ADF dive supervisor training is concerned, </w:t>
      </w:r>
      <w:r w:rsidR="00F86885">
        <w:rPr>
          <w:rFonts w:ascii="Verdana" w:hAnsi="Verdana"/>
          <w:sz w:val="20"/>
          <w:szCs w:val="20"/>
        </w:rPr>
        <w:t>sub</w:t>
      </w:r>
      <w:r w:rsidR="00F86885">
        <w:rPr>
          <w:rFonts w:ascii="Verdana" w:hAnsi="Verdana"/>
          <w:sz w:val="20"/>
          <w:szCs w:val="20"/>
        </w:rPr>
        <w:noBreakHyphen/>
      </w:r>
      <w:r>
        <w:rPr>
          <w:rFonts w:ascii="Verdana" w:hAnsi="Verdana"/>
          <w:sz w:val="20"/>
          <w:szCs w:val="20"/>
        </w:rPr>
        <w:t>r</w:t>
      </w:r>
      <w:r w:rsidR="009845BC" w:rsidRPr="00821652">
        <w:rPr>
          <w:rFonts w:ascii="Verdana" w:hAnsi="Verdana"/>
          <w:sz w:val="20"/>
          <w:szCs w:val="20"/>
        </w:rPr>
        <w:t>egulation 174</w:t>
      </w:r>
      <w:r w:rsidR="00F86885">
        <w:rPr>
          <w:rFonts w:ascii="Verdana" w:hAnsi="Verdana"/>
          <w:sz w:val="20"/>
          <w:szCs w:val="20"/>
        </w:rPr>
        <w:t>(a)</w:t>
      </w:r>
      <w:r w:rsidR="009845BC" w:rsidRPr="00821652">
        <w:rPr>
          <w:rFonts w:ascii="Verdana" w:hAnsi="Verdana"/>
          <w:sz w:val="20"/>
          <w:szCs w:val="20"/>
        </w:rPr>
        <w:t xml:space="preserve"> of the WHS Regulations provides that a person appointed </w:t>
      </w:r>
      <w:r>
        <w:rPr>
          <w:rFonts w:ascii="Verdana" w:hAnsi="Verdana"/>
          <w:sz w:val="20"/>
          <w:szCs w:val="20"/>
        </w:rPr>
        <w:t>under regulation 177 (</w:t>
      </w:r>
      <w:r w:rsidR="00F86885">
        <w:rPr>
          <w:rFonts w:ascii="Verdana" w:hAnsi="Verdana"/>
          <w:sz w:val="20"/>
          <w:szCs w:val="20"/>
        </w:rPr>
        <w:t>e.g. an ADF dive supervisor)</w:t>
      </w:r>
      <w:r w:rsidR="00AA3CEA" w:rsidRPr="00821652">
        <w:rPr>
          <w:rFonts w:ascii="Verdana" w:hAnsi="Verdana"/>
          <w:sz w:val="20"/>
          <w:szCs w:val="20"/>
        </w:rPr>
        <w:t xml:space="preserve"> </w:t>
      </w:r>
      <w:r w:rsidR="009845BC" w:rsidRPr="00821652">
        <w:rPr>
          <w:rFonts w:ascii="Verdana" w:hAnsi="Verdana"/>
          <w:sz w:val="20"/>
          <w:szCs w:val="20"/>
        </w:rPr>
        <w:t>must not perform any functions associated with that appointment unless the person has</w:t>
      </w:r>
      <w:r w:rsidR="00E223BA">
        <w:rPr>
          <w:rFonts w:ascii="Verdana" w:hAnsi="Verdana"/>
          <w:sz w:val="20"/>
          <w:szCs w:val="20"/>
        </w:rPr>
        <w:t>:</w:t>
      </w:r>
    </w:p>
    <w:p w:rsidR="00E223BA" w:rsidRDefault="00E223BA" w:rsidP="006B3682">
      <w:pPr>
        <w:ind w:right="28"/>
        <w:contextualSpacing/>
        <w:jc w:val="both"/>
        <w:rPr>
          <w:rFonts w:ascii="Verdana" w:hAnsi="Verdana"/>
          <w:sz w:val="20"/>
          <w:szCs w:val="20"/>
        </w:rPr>
      </w:pPr>
    </w:p>
    <w:p w:rsidR="00F86885" w:rsidRDefault="009845BC" w:rsidP="006B3682">
      <w:pPr>
        <w:pStyle w:val="ListParagraph"/>
        <w:numPr>
          <w:ilvl w:val="0"/>
          <w:numId w:val="22"/>
        </w:numPr>
        <w:ind w:right="28"/>
        <w:contextualSpacing/>
        <w:jc w:val="both"/>
        <w:rPr>
          <w:rFonts w:ascii="Verdana" w:hAnsi="Verdana"/>
          <w:sz w:val="20"/>
          <w:szCs w:val="20"/>
        </w:rPr>
      </w:pPr>
      <w:proofErr w:type="gramStart"/>
      <w:r w:rsidRPr="00E223BA">
        <w:rPr>
          <w:rFonts w:ascii="Verdana" w:hAnsi="Verdana"/>
          <w:sz w:val="20"/>
          <w:szCs w:val="20"/>
        </w:rPr>
        <w:t>the</w:t>
      </w:r>
      <w:proofErr w:type="gramEnd"/>
      <w:r w:rsidRPr="00E223BA">
        <w:rPr>
          <w:rFonts w:ascii="Verdana" w:hAnsi="Verdana"/>
          <w:sz w:val="20"/>
          <w:szCs w:val="20"/>
        </w:rPr>
        <w:t xml:space="preserve"> qualifications specified in sub</w:t>
      </w:r>
      <w:r w:rsidR="00AA3CEA" w:rsidRPr="00E223BA">
        <w:rPr>
          <w:rFonts w:ascii="Verdana" w:hAnsi="Verdana"/>
          <w:sz w:val="20"/>
          <w:szCs w:val="20"/>
        </w:rPr>
        <w:noBreakHyphen/>
      </w:r>
      <w:r w:rsidRPr="00E223BA">
        <w:rPr>
          <w:rFonts w:ascii="Verdana" w:hAnsi="Verdana"/>
          <w:sz w:val="20"/>
          <w:szCs w:val="20"/>
        </w:rPr>
        <w:t>regulation 171(a)</w:t>
      </w:r>
      <w:r w:rsidR="00F86885">
        <w:rPr>
          <w:rFonts w:ascii="Verdana" w:hAnsi="Verdana"/>
          <w:sz w:val="20"/>
          <w:szCs w:val="20"/>
        </w:rPr>
        <w:t>.</w:t>
      </w:r>
      <w:r w:rsidR="00F86885" w:rsidRPr="00E223BA" w:rsidDel="00E223BA">
        <w:rPr>
          <w:rFonts w:ascii="Verdana" w:hAnsi="Verdana"/>
          <w:sz w:val="20"/>
          <w:szCs w:val="20"/>
        </w:rPr>
        <w:t xml:space="preserve"> </w:t>
      </w:r>
    </w:p>
    <w:p w:rsidR="000B1D52" w:rsidRPr="00F86885" w:rsidRDefault="000B1D52" w:rsidP="006B3682">
      <w:pPr>
        <w:ind w:right="28"/>
        <w:contextualSpacing/>
        <w:jc w:val="both"/>
        <w:rPr>
          <w:rFonts w:ascii="Verdana" w:hAnsi="Verdana"/>
          <w:sz w:val="20"/>
          <w:szCs w:val="20"/>
        </w:rPr>
      </w:pPr>
    </w:p>
    <w:p w:rsidR="000B1D52" w:rsidRDefault="00AA3CEA" w:rsidP="006B3682">
      <w:pPr>
        <w:ind w:right="28"/>
        <w:contextualSpacing/>
        <w:jc w:val="both"/>
        <w:rPr>
          <w:rFonts w:ascii="Verdana" w:hAnsi="Verdana"/>
          <w:sz w:val="20"/>
          <w:szCs w:val="20"/>
        </w:rPr>
      </w:pPr>
      <w:r w:rsidRPr="00821652">
        <w:rPr>
          <w:rFonts w:ascii="Verdana" w:hAnsi="Verdana"/>
          <w:sz w:val="20"/>
          <w:szCs w:val="20"/>
        </w:rPr>
        <w:t>For the</w:t>
      </w:r>
      <w:r w:rsidR="00CA2752" w:rsidRPr="00821652">
        <w:rPr>
          <w:rFonts w:ascii="Verdana" w:hAnsi="Verdana"/>
          <w:sz w:val="20"/>
          <w:szCs w:val="20"/>
        </w:rPr>
        <w:t xml:space="preserve"> reasons cited above, the ADF dive supervisor cannot comply with </w:t>
      </w:r>
      <w:r w:rsidR="009845BC" w:rsidRPr="00821652">
        <w:rPr>
          <w:rFonts w:ascii="Verdana" w:hAnsi="Verdana"/>
          <w:sz w:val="20"/>
          <w:szCs w:val="20"/>
        </w:rPr>
        <w:t>regulation 171(a) of the WHS Regulations</w:t>
      </w:r>
      <w:r w:rsidR="000B1D52">
        <w:rPr>
          <w:rFonts w:ascii="Verdana" w:hAnsi="Verdana"/>
          <w:sz w:val="20"/>
          <w:szCs w:val="20"/>
        </w:rPr>
        <w:t>.</w:t>
      </w:r>
    </w:p>
    <w:p w:rsidR="00AA3CEA" w:rsidRPr="00821652" w:rsidRDefault="00AA3CEA" w:rsidP="006B3682">
      <w:pPr>
        <w:ind w:right="28"/>
        <w:contextualSpacing/>
        <w:jc w:val="both"/>
        <w:rPr>
          <w:rFonts w:ascii="Verdana" w:hAnsi="Verdana"/>
          <w:sz w:val="20"/>
          <w:szCs w:val="20"/>
        </w:rPr>
      </w:pPr>
    </w:p>
    <w:p w:rsidR="00CC1873" w:rsidRDefault="002A3F26" w:rsidP="006B3682">
      <w:pPr>
        <w:ind w:right="28"/>
        <w:contextualSpacing/>
        <w:jc w:val="both"/>
        <w:rPr>
          <w:rFonts w:ascii="Verdana" w:hAnsi="Verdana"/>
          <w:sz w:val="20"/>
          <w:szCs w:val="20"/>
        </w:rPr>
      </w:pPr>
      <w:r>
        <w:rPr>
          <w:rFonts w:ascii="Verdana" w:hAnsi="Verdana"/>
          <w:sz w:val="20"/>
          <w:szCs w:val="20"/>
        </w:rPr>
        <w:t>An</w:t>
      </w:r>
      <w:r w:rsidR="00AA3CEA">
        <w:rPr>
          <w:rFonts w:ascii="Verdana" w:hAnsi="Verdana"/>
          <w:sz w:val="20"/>
          <w:szCs w:val="20"/>
        </w:rPr>
        <w:t xml:space="preserve"> </w:t>
      </w:r>
      <w:r w:rsidR="009845BC">
        <w:rPr>
          <w:rFonts w:ascii="Verdana" w:hAnsi="Verdana"/>
          <w:sz w:val="20"/>
          <w:szCs w:val="20"/>
        </w:rPr>
        <w:t xml:space="preserve">exemption from </w:t>
      </w:r>
      <w:r w:rsidR="00B9760D">
        <w:rPr>
          <w:rFonts w:ascii="Verdana" w:hAnsi="Verdana"/>
          <w:sz w:val="20"/>
          <w:szCs w:val="20"/>
        </w:rPr>
        <w:t>sub</w:t>
      </w:r>
      <w:r w:rsidR="00B9760D">
        <w:rPr>
          <w:rFonts w:ascii="Verdana" w:hAnsi="Verdana"/>
          <w:sz w:val="20"/>
          <w:szCs w:val="20"/>
        </w:rPr>
        <w:noBreakHyphen/>
      </w:r>
      <w:r w:rsidR="009845BC">
        <w:rPr>
          <w:rFonts w:ascii="Verdana" w:hAnsi="Verdana"/>
          <w:sz w:val="20"/>
          <w:szCs w:val="20"/>
        </w:rPr>
        <w:t>regulation 174</w:t>
      </w:r>
      <w:r w:rsidR="00B9760D">
        <w:rPr>
          <w:rFonts w:ascii="Verdana" w:hAnsi="Verdana"/>
          <w:sz w:val="20"/>
          <w:szCs w:val="20"/>
        </w:rPr>
        <w:t>(a)</w:t>
      </w:r>
      <w:r w:rsidR="00EF0320">
        <w:rPr>
          <w:rFonts w:ascii="Verdana" w:hAnsi="Verdana"/>
          <w:sz w:val="20"/>
          <w:szCs w:val="20"/>
        </w:rPr>
        <w:t xml:space="preserve"> </w:t>
      </w:r>
      <w:r>
        <w:rPr>
          <w:rFonts w:ascii="Verdana" w:hAnsi="Verdana"/>
          <w:sz w:val="20"/>
          <w:szCs w:val="20"/>
        </w:rPr>
        <w:t xml:space="preserve">has consequently been </w:t>
      </w:r>
      <w:r w:rsidR="009845BC">
        <w:rPr>
          <w:rFonts w:ascii="Verdana" w:hAnsi="Verdana"/>
          <w:sz w:val="20"/>
          <w:szCs w:val="20"/>
        </w:rPr>
        <w:t>granted</w:t>
      </w:r>
      <w:r>
        <w:rPr>
          <w:rFonts w:ascii="Verdana" w:hAnsi="Verdana"/>
          <w:sz w:val="20"/>
          <w:szCs w:val="20"/>
        </w:rPr>
        <w:t xml:space="preserve">. To ensure work health and safety is maintained, the exemption is conditional </w:t>
      </w:r>
      <w:r w:rsidR="009845BC">
        <w:rPr>
          <w:rFonts w:ascii="Verdana" w:hAnsi="Verdana"/>
          <w:sz w:val="20"/>
          <w:szCs w:val="20"/>
        </w:rPr>
        <w:t xml:space="preserve">on </w:t>
      </w:r>
      <w:r w:rsidR="00CC1873">
        <w:rPr>
          <w:rFonts w:ascii="Verdana" w:hAnsi="Verdana"/>
          <w:sz w:val="20"/>
          <w:szCs w:val="20"/>
        </w:rPr>
        <w:t xml:space="preserve">the </w:t>
      </w:r>
      <w:r w:rsidR="009845BC" w:rsidRPr="00B874C8">
        <w:rPr>
          <w:rFonts w:ascii="Verdana" w:hAnsi="Verdana"/>
          <w:sz w:val="20"/>
          <w:szCs w:val="20"/>
        </w:rPr>
        <w:t>ADF dive supervisor satisfactorily complet</w:t>
      </w:r>
      <w:r>
        <w:rPr>
          <w:rFonts w:ascii="Verdana" w:hAnsi="Verdana"/>
          <w:sz w:val="20"/>
          <w:szCs w:val="20"/>
        </w:rPr>
        <w:t>ing</w:t>
      </w:r>
      <w:r w:rsidR="009845BC" w:rsidRPr="00B874C8">
        <w:rPr>
          <w:rFonts w:ascii="Verdana" w:hAnsi="Verdana"/>
          <w:sz w:val="20"/>
          <w:szCs w:val="20"/>
        </w:rPr>
        <w:t xml:space="preserve"> training</w:t>
      </w:r>
      <w:r w:rsidR="00CC1873">
        <w:rPr>
          <w:rFonts w:ascii="Verdana" w:hAnsi="Verdana"/>
          <w:sz w:val="20"/>
          <w:szCs w:val="20"/>
        </w:rPr>
        <w:t>:</w:t>
      </w:r>
    </w:p>
    <w:p w:rsidR="00CC1873" w:rsidRDefault="00CC1873" w:rsidP="006B3682">
      <w:pPr>
        <w:contextualSpacing/>
        <w:jc w:val="both"/>
        <w:rPr>
          <w:rFonts w:ascii="Verdana" w:hAnsi="Verdana"/>
          <w:sz w:val="20"/>
          <w:szCs w:val="20"/>
        </w:rPr>
      </w:pPr>
    </w:p>
    <w:p w:rsidR="00CC1873" w:rsidRDefault="009845BC" w:rsidP="006B3682">
      <w:pPr>
        <w:pStyle w:val="ListParagraph"/>
        <w:numPr>
          <w:ilvl w:val="0"/>
          <w:numId w:val="21"/>
        </w:numPr>
        <w:contextualSpacing/>
        <w:jc w:val="both"/>
        <w:rPr>
          <w:rFonts w:ascii="Verdana" w:hAnsi="Verdana"/>
          <w:sz w:val="20"/>
          <w:szCs w:val="20"/>
        </w:rPr>
      </w:pPr>
      <w:r w:rsidRPr="00CC1873">
        <w:rPr>
          <w:rFonts w:ascii="Verdana" w:hAnsi="Verdana"/>
          <w:sz w:val="20"/>
          <w:szCs w:val="20"/>
        </w:rPr>
        <w:t xml:space="preserve">to a level at least equivalent to </w:t>
      </w:r>
      <w:r w:rsidR="00EF0320" w:rsidRPr="00CC1873">
        <w:rPr>
          <w:rFonts w:ascii="Verdana" w:hAnsi="Verdana"/>
          <w:sz w:val="20"/>
          <w:szCs w:val="20"/>
        </w:rPr>
        <w:t>AS 2815.1 as modified above</w:t>
      </w:r>
      <w:r w:rsidR="00CC1873">
        <w:rPr>
          <w:rFonts w:ascii="Verdana" w:hAnsi="Verdana"/>
          <w:sz w:val="20"/>
          <w:szCs w:val="20"/>
        </w:rPr>
        <w:t>;</w:t>
      </w:r>
      <w:r w:rsidR="00EF0320" w:rsidRPr="00CC1873">
        <w:rPr>
          <w:rFonts w:ascii="Verdana" w:hAnsi="Verdana"/>
          <w:sz w:val="20"/>
          <w:szCs w:val="20"/>
        </w:rPr>
        <w:t xml:space="preserve"> and</w:t>
      </w:r>
    </w:p>
    <w:p w:rsidR="002A3F26" w:rsidRDefault="002A3F26" w:rsidP="006B3682">
      <w:pPr>
        <w:pStyle w:val="ListParagraph"/>
        <w:ind w:left="795"/>
        <w:contextualSpacing/>
        <w:jc w:val="both"/>
        <w:rPr>
          <w:rFonts w:ascii="Verdana" w:hAnsi="Verdana"/>
          <w:sz w:val="20"/>
          <w:szCs w:val="20"/>
        </w:rPr>
      </w:pPr>
    </w:p>
    <w:p w:rsidR="009845BC" w:rsidRPr="00CC1873" w:rsidRDefault="00B9760D" w:rsidP="006B3682">
      <w:pPr>
        <w:pStyle w:val="ListParagraph"/>
        <w:numPr>
          <w:ilvl w:val="0"/>
          <w:numId w:val="21"/>
        </w:numPr>
        <w:contextualSpacing/>
        <w:jc w:val="both"/>
        <w:rPr>
          <w:rFonts w:ascii="Verdana" w:hAnsi="Verdana"/>
          <w:sz w:val="20"/>
          <w:szCs w:val="20"/>
        </w:rPr>
      </w:pPr>
      <w:r>
        <w:rPr>
          <w:rFonts w:ascii="Verdana" w:hAnsi="Verdana"/>
          <w:sz w:val="20"/>
          <w:szCs w:val="20"/>
        </w:rPr>
        <w:t xml:space="preserve">in accordance with specified </w:t>
      </w:r>
      <w:r w:rsidR="009845BC" w:rsidRPr="00CC1873">
        <w:rPr>
          <w:rFonts w:ascii="Verdana" w:hAnsi="Verdana"/>
          <w:sz w:val="20"/>
          <w:szCs w:val="20"/>
        </w:rPr>
        <w:t xml:space="preserve">units of competency </w:t>
      </w:r>
      <w:r>
        <w:rPr>
          <w:rFonts w:ascii="Verdana" w:hAnsi="Verdana"/>
          <w:sz w:val="20"/>
          <w:szCs w:val="20"/>
        </w:rPr>
        <w:t xml:space="preserve">based on those in </w:t>
      </w:r>
      <w:r w:rsidR="009845BC" w:rsidRPr="00CC1873">
        <w:rPr>
          <w:rFonts w:ascii="Verdana" w:hAnsi="Verdana"/>
          <w:sz w:val="20"/>
          <w:szCs w:val="20"/>
        </w:rPr>
        <w:t>AS/NZS 2815.5:2013 (</w:t>
      </w:r>
      <w:r w:rsidR="009845BC" w:rsidRPr="00CC1873">
        <w:rPr>
          <w:rFonts w:ascii="Verdana" w:hAnsi="Verdana"/>
          <w:i/>
          <w:sz w:val="20"/>
          <w:szCs w:val="20"/>
        </w:rPr>
        <w:t>Training and certification of occupational divers, Part 5: Dive supervisor</w:t>
      </w:r>
      <w:r w:rsidR="009845BC" w:rsidRPr="00CC1873">
        <w:rPr>
          <w:rFonts w:ascii="Verdana" w:hAnsi="Verdana"/>
          <w:sz w:val="20"/>
          <w:szCs w:val="20"/>
        </w:rPr>
        <w:t>)</w:t>
      </w:r>
      <w:r w:rsidR="00CC1873">
        <w:rPr>
          <w:rFonts w:ascii="Verdana" w:hAnsi="Verdana"/>
          <w:sz w:val="20"/>
          <w:szCs w:val="20"/>
        </w:rPr>
        <w:t xml:space="preserve"> (‘AS/NZS 2815.5’)</w:t>
      </w:r>
      <w:r w:rsidR="000F2769" w:rsidRPr="00CC1873">
        <w:rPr>
          <w:rFonts w:ascii="Verdana" w:hAnsi="Verdana"/>
          <w:sz w:val="20"/>
          <w:szCs w:val="20"/>
        </w:rPr>
        <w:t>,</w:t>
      </w:r>
      <w:r w:rsidR="009845BC" w:rsidRPr="00CC1873">
        <w:rPr>
          <w:rFonts w:ascii="Verdana" w:hAnsi="Verdana"/>
          <w:sz w:val="20"/>
          <w:szCs w:val="20"/>
        </w:rPr>
        <w:t xml:space="preserve"> </w:t>
      </w:r>
      <w:r w:rsidR="00E41A02" w:rsidRPr="00CC1873">
        <w:rPr>
          <w:rFonts w:ascii="Verdana" w:hAnsi="Verdana"/>
          <w:sz w:val="20"/>
          <w:szCs w:val="20"/>
        </w:rPr>
        <w:t>with some minor modifications</w:t>
      </w:r>
      <w:r w:rsidR="00CC1873">
        <w:rPr>
          <w:rFonts w:ascii="Verdana" w:hAnsi="Verdana"/>
          <w:sz w:val="20"/>
          <w:szCs w:val="20"/>
        </w:rPr>
        <w:t xml:space="preserve"> </w:t>
      </w:r>
      <w:r w:rsidR="00F86885">
        <w:rPr>
          <w:rFonts w:ascii="Verdana" w:hAnsi="Verdana"/>
          <w:sz w:val="20"/>
          <w:szCs w:val="20"/>
        </w:rPr>
        <w:t>that</w:t>
      </w:r>
      <w:r w:rsidR="00CC1873">
        <w:rPr>
          <w:rFonts w:ascii="Verdana" w:hAnsi="Verdana"/>
          <w:sz w:val="20"/>
          <w:szCs w:val="20"/>
        </w:rPr>
        <w:t xml:space="preserve"> </w:t>
      </w:r>
      <w:r w:rsidR="001510AC">
        <w:rPr>
          <w:rFonts w:ascii="Verdana" w:hAnsi="Verdana"/>
          <w:sz w:val="20"/>
          <w:szCs w:val="20"/>
        </w:rPr>
        <w:t xml:space="preserve">reflect differences in the </w:t>
      </w:r>
      <w:r w:rsidR="00CC1873">
        <w:rPr>
          <w:rFonts w:ascii="Verdana" w:hAnsi="Verdana"/>
          <w:sz w:val="20"/>
          <w:szCs w:val="20"/>
        </w:rPr>
        <w:t xml:space="preserve">general diving work </w:t>
      </w:r>
      <w:r w:rsidR="001510AC">
        <w:rPr>
          <w:rFonts w:ascii="Verdana" w:hAnsi="Verdana"/>
          <w:sz w:val="20"/>
          <w:szCs w:val="20"/>
        </w:rPr>
        <w:t xml:space="preserve">activities </w:t>
      </w:r>
      <w:r w:rsidR="00CC1873">
        <w:rPr>
          <w:rFonts w:ascii="Verdana" w:hAnsi="Verdana"/>
          <w:sz w:val="20"/>
          <w:szCs w:val="20"/>
        </w:rPr>
        <w:t>supervised by ADF Special Forces and Army Work dive supervisors.</w:t>
      </w:r>
    </w:p>
    <w:p w:rsidR="00394279" w:rsidRDefault="00394279" w:rsidP="006B3682">
      <w:pPr>
        <w:ind w:right="28"/>
        <w:contextualSpacing/>
        <w:jc w:val="both"/>
        <w:rPr>
          <w:rFonts w:ascii="Verdana" w:hAnsi="Verdana"/>
          <w:sz w:val="20"/>
          <w:szCs w:val="20"/>
        </w:rPr>
      </w:pPr>
    </w:p>
    <w:p w:rsidR="00923E29" w:rsidRDefault="005C427F" w:rsidP="006B3682">
      <w:pPr>
        <w:ind w:right="28"/>
        <w:contextualSpacing/>
        <w:jc w:val="both"/>
        <w:rPr>
          <w:rFonts w:ascii="Verdana" w:hAnsi="Verdana"/>
          <w:sz w:val="20"/>
          <w:szCs w:val="20"/>
        </w:rPr>
      </w:pPr>
      <w:proofErr w:type="spellStart"/>
      <w:r>
        <w:rPr>
          <w:rFonts w:ascii="Verdana" w:hAnsi="Verdana"/>
          <w:sz w:val="20"/>
          <w:szCs w:val="20"/>
        </w:rPr>
        <w:t>Comcare</w:t>
      </w:r>
      <w:proofErr w:type="spellEnd"/>
      <w:r>
        <w:rPr>
          <w:rFonts w:ascii="Verdana" w:hAnsi="Verdana"/>
          <w:sz w:val="20"/>
          <w:szCs w:val="20"/>
        </w:rPr>
        <w:t xml:space="preserve"> has consulted with Defence, the ADF and the Defence</w:t>
      </w:r>
      <w:r w:rsidR="00B9760D">
        <w:rPr>
          <w:rFonts w:ascii="Verdana" w:hAnsi="Verdana"/>
          <w:sz w:val="20"/>
          <w:szCs w:val="20"/>
        </w:rPr>
        <w:t xml:space="preserve"> dive school regarding the proposed modifications</w:t>
      </w:r>
      <w:r>
        <w:rPr>
          <w:rFonts w:ascii="Verdana" w:hAnsi="Verdana"/>
          <w:sz w:val="20"/>
          <w:szCs w:val="20"/>
        </w:rPr>
        <w:t xml:space="preserve">. </w:t>
      </w:r>
    </w:p>
    <w:p w:rsidR="00755271" w:rsidRDefault="00755271" w:rsidP="006B3682">
      <w:pPr>
        <w:ind w:right="28"/>
        <w:contextualSpacing/>
        <w:jc w:val="both"/>
        <w:rPr>
          <w:rFonts w:ascii="Verdana" w:hAnsi="Verdana"/>
          <w:sz w:val="20"/>
          <w:szCs w:val="20"/>
        </w:rPr>
      </w:pPr>
    </w:p>
    <w:p w:rsidR="00B901D0" w:rsidRDefault="00AC3629" w:rsidP="006B3682">
      <w:pPr>
        <w:contextualSpacing/>
        <w:jc w:val="both"/>
        <w:rPr>
          <w:rFonts w:ascii="Verdana" w:hAnsi="Verdana"/>
          <w:sz w:val="20"/>
          <w:szCs w:val="20"/>
        </w:rPr>
      </w:pPr>
      <w:r>
        <w:rPr>
          <w:rFonts w:ascii="Verdana" w:hAnsi="Verdana"/>
          <w:sz w:val="20"/>
          <w:szCs w:val="20"/>
        </w:rPr>
        <w:t xml:space="preserve">The exemptions will only apply to </w:t>
      </w:r>
      <w:r w:rsidR="006B3682">
        <w:rPr>
          <w:rFonts w:ascii="Verdana" w:hAnsi="Verdana"/>
          <w:sz w:val="20"/>
          <w:szCs w:val="20"/>
        </w:rPr>
        <w:t>ADF divers and ADF dive supervisors</w:t>
      </w:r>
      <w:r w:rsidR="00B9760D">
        <w:rPr>
          <w:rFonts w:ascii="Verdana" w:hAnsi="Verdana"/>
          <w:sz w:val="20"/>
          <w:szCs w:val="20"/>
        </w:rPr>
        <w:t xml:space="preserve"> (and indirectly to the ADF and Defence)</w:t>
      </w:r>
      <w:r>
        <w:rPr>
          <w:rFonts w:ascii="Verdana" w:hAnsi="Verdana"/>
          <w:sz w:val="20"/>
          <w:szCs w:val="20"/>
        </w:rPr>
        <w:t>. As such, a</w:t>
      </w:r>
      <w:r w:rsidR="00B901D0" w:rsidRPr="00C15715">
        <w:rPr>
          <w:rFonts w:ascii="Verdana" w:hAnsi="Verdana"/>
          <w:sz w:val="20"/>
          <w:szCs w:val="20"/>
        </w:rPr>
        <w:t xml:space="preserve"> Regulation Impact Statement is </w:t>
      </w:r>
      <w:r>
        <w:rPr>
          <w:rFonts w:ascii="Verdana" w:hAnsi="Verdana"/>
          <w:sz w:val="20"/>
          <w:szCs w:val="20"/>
        </w:rPr>
        <w:t xml:space="preserve">not </w:t>
      </w:r>
      <w:r w:rsidR="00B901D0" w:rsidRPr="00C15715">
        <w:rPr>
          <w:rFonts w:ascii="Verdana" w:hAnsi="Verdana"/>
          <w:sz w:val="20"/>
          <w:szCs w:val="20"/>
        </w:rPr>
        <w:t>require</w:t>
      </w:r>
      <w:r>
        <w:rPr>
          <w:rFonts w:ascii="Verdana" w:hAnsi="Verdana"/>
          <w:sz w:val="20"/>
          <w:szCs w:val="20"/>
        </w:rPr>
        <w:t>d.</w:t>
      </w:r>
    </w:p>
    <w:p w:rsidR="00B901D0" w:rsidRDefault="00B901D0" w:rsidP="006B3682">
      <w:pPr>
        <w:contextualSpacing/>
        <w:jc w:val="both"/>
        <w:rPr>
          <w:rFonts w:ascii="Verdana" w:hAnsi="Verdana"/>
          <w:sz w:val="20"/>
          <w:szCs w:val="20"/>
        </w:rPr>
      </w:pPr>
    </w:p>
    <w:p w:rsidR="00B901D0" w:rsidRPr="00964DB0" w:rsidRDefault="00B901D0" w:rsidP="006B3682">
      <w:pPr>
        <w:autoSpaceDE w:val="0"/>
        <w:autoSpaceDN w:val="0"/>
        <w:adjustRightInd w:val="0"/>
        <w:jc w:val="both"/>
        <w:rPr>
          <w:rFonts w:ascii="Verdana" w:eastAsia="Calibri" w:hAnsi="Verdana"/>
          <w:sz w:val="20"/>
          <w:szCs w:val="20"/>
        </w:rPr>
      </w:pPr>
      <w:r w:rsidRPr="00964DB0">
        <w:rPr>
          <w:rFonts w:ascii="Verdana" w:eastAsia="Calibri" w:hAnsi="Verdana"/>
          <w:sz w:val="20"/>
          <w:szCs w:val="20"/>
        </w:rPr>
        <w:t xml:space="preserve">A Statement of Compatibility with Human Rights has been completed for the Amending Regulation, in accordance with the </w:t>
      </w:r>
      <w:r w:rsidRPr="00964DB0">
        <w:rPr>
          <w:rFonts w:ascii="Verdana" w:eastAsia="Calibri" w:hAnsi="Verdana"/>
          <w:i/>
          <w:iCs/>
          <w:sz w:val="20"/>
          <w:szCs w:val="20"/>
        </w:rPr>
        <w:t>Human Rights (Parliamentary Scrutiny) Act 2011</w:t>
      </w:r>
      <w:r w:rsidRPr="00964DB0">
        <w:rPr>
          <w:rFonts w:ascii="Verdana" w:eastAsia="Calibri" w:hAnsi="Verdana"/>
          <w:sz w:val="20"/>
          <w:szCs w:val="20"/>
        </w:rPr>
        <w:t xml:space="preserve">. The Statement’s assessment is that the </w:t>
      </w:r>
      <w:r>
        <w:rPr>
          <w:rFonts w:ascii="Verdana" w:eastAsia="Calibri" w:hAnsi="Verdana"/>
          <w:sz w:val="20"/>
          <w:szCs w:val="20"/>
        </w:rPr>
        <w:t>instrument</w:t>
      </w:r>
      <w:r w:rsidRPr="00964DB0">
        <w:rPr>
          <w:rFonts w:ascii="Verdana" w:eastAsia="Calibri" w:hAnsi="Verdana"/>
          <w:sz w:val="20"/>
          <w:szCs w:val="20"/>
        </w:rPr>
        <w:t xml:space="preserve"> is compatible with human rights. A copy of the Statement is attached.</w:t>
      </w:r>
    </w:p>
    <w:p w:rsidR="00CA709C" w:rsidRDefault="00CA709C" w:rsidP="006B3682">
      <w:pPr>
        <w:contextualSpacing/>
        <w:jc w:val="both"/>
        <w:rPr>
          <w:rFonts w:ascii="Verdana" w:eastAsia="Calibri" w:hAnsi="Verdana"/>
          <w:sz w:val="20"/>
          <w:szCs w:val="20"/>
          <w:lang w:eastAsia="en-US"/>
        </w:rPr>
      </w:pPr>
    </w:p>
    <w:p w:rsidR="00E04723" w:rsidRDefault="00CA709C" w:rsidP="006B3682">
      <w:pPr>
        <w:contextualSpacing/>
        <w:jc w:val="both"/>
        <w:rPr>
          <w:rFonts w:ascii="Verdana" w:hAnsi="Verdana"/>
          <w:sz w:val="20"/>
          <w:szCs w:val="20"/>
        </w:rPr>
      </w:pPr>
      <w:r w:rsidRPr="00544B97">
        <w:rPr>
          <w:rFonts w:ascii="Verdana" w:eastAsia="Calibri" w:hAnsi="Verdana"/>
          <w:sz w:val="20"/>
          <w:szCs w:val="20"/>
          <w:lang w:eastAsia="en-US"/>
        </w:rPr>
        <w:t>The exemption</w:t>
      </w:r>
      <w:r w:rsidR="00B9760D">
        <w:rPr>
          <w:rFonts w:ascii="Verdana" w:eastAsia="Calibri" w:hAnsi="Verdana"/>
          <w:sz w:val="20"/>
          <w:szCs w:val="20"/>
          <w:lang w:eastAsia="en-US"/>
        </w:rPr>
        <w:t>s are</w:t>
      </w:r>
      <w:r w:rsidRPr="00544B97">
        <w:rPr>
          <w:rFonts w:ascii="Verdana" w:eastAsia="Calibri" w:hAnsi="Verdana"/>
          <w:sz w:val="20"/>
          <w:szCs w:val="20"/>
          <w:lang w:eastAsia="en-US"/>
        </w:rPr>
        <w:t xml:space="preserve"> taken to have commenced on the day after </w:t>
      </w:r>
      <w:r w:rsidR="00B9760D">
        <w:rPr>
          <w:rFonts w:ascii="Verdana" w:eastAsia="Calibri" w:hAnsi="Verdana"/>
          <w:sz w:val="20"/>
          <w:szCs w:val="20"/>
          <w:lang w:eastAsia="en-US"/>
        </w:rPr>
        <w:t>they are</w:t>
      </w:r>
      <w:r w:rsidRPr="00544B97">
        <w:rPr>
          <w:rFonts w:ascii="Verdana" w:eastAsia="Calibri" w:hAnsi="Verdana"/>
          <w:sz w:val="20"/>
          <w:szCs w:val="20"/>
          <w:lang w:eastAsia="en-US"/>
        </w:rPr>
        <w:t xml:space="preserve"> registered on the Federal Register of Legislative Instruments.</w:t>
      </w:r>
    </w:p>
    <w:p w:rsidR="005B5B03" w:rsidRDefault="005B5B03" w:rsidP="006B3682">
      <w:pPr>
        <w:ind w:right="28"/>
        <w:contextualSpacing/>
        <w:jc w:val="both"/>
        <w:rPr>
          <w:rFonts w:ascii="Verdana" w:hAnsi="Verdana"/>
          <w:sz w:val="20"/>
          <w:szCs w:val="20"/>
        </w:rPr>
        <w:sectPr w:rsidR="005B5B03">
          <w:headerReference w:type="default" r:id="rId9"/>
          <w:pgSz w:w="11906" w:h="16838"/>
          <w:pgMar w:top="1440" w:right="1800" w:bottom="1440" w:left="1800" w:header="708" w:footer="708" w:gutter="0"/>
          <w:cols w:space="708"/>
          <w:docGrid w:linePitch="360"/>
        </w:sectPr>
      </w:pPr>
    </w:p>
    <w:p w:rsidR="00E04723" w:rsidRDefault="00E04723" w:rsidP="006B3682">
      <w:pPr>
        <w:ind w:right="28"/>
        <w:contextualSpacing/>
        <w:jc w:val="both"/>
        <w:rPr>
          <w:rFonts w:ascii="Verdana" w:hAnsi="Verdana"/>
          <w:sz w:val="20"/>
          <w:szCs w:val="20"/>
        </w:rPr>
      </w:pPr>
    </w:p>
    <w:p w:rsidR="00E04723" w:rsidRDefault="00E04723" w:rsidP="006B3682">
      <w:pPr>
        <w:ind w:right="28"/>
        <w:contextualSpacing/>
        <w:jc w:val="both"/>
        <w:rPr>
          <w:rFonts w:ascii="Verdana" w:hAnsi="Verdana"/>
          <w:sz w:val="20"/>
          <w:szCs w:val="20"/>
        </w:rPr>
      </w:pPr>
    </w:p>
    <w:p w:rsidR="00E04723" w:rsidRDefault="00E04723" w:rsidP="006B3682">
      <w:pPr>
        <w:ind w:right="28"/>
        <w:contextualSpacing/>
        <w:jc w:val="both"/>
        <w:rPr>
          <w:rFonts w:ascii="Verdana" w:hAnsi="Verdana"/>
          <w:sz w:val="20"/>
          <w:szCs w:val="20"/>
        </w:rPr>
      </w:pPr>
    </w:p>
    <w:p w:rsidR="00B84AD7" w:rsidRPr="00D94DAE" w:rsidRDefault="00B84AD7" w:rsidP="00021C7B">
      <w:pPr>
        <w:pStyle w:val="NormalWeb"/>
        <w:contextualSpacing/>
        <w:jc w:val="center"/>
        <w:rPr>
          <w:rFonts w:ascii="Verdana" w:hAnsi="Verdana"/>
          <w:b/>
          <w:sz w:val="22"/>
          <w:szCs w:val="22"/>
        </w:rPr>
      </w:pPr>
      <w:r w:rsidRPr="00D94DAE">
        <w:rPr>
          <w:rFonts w:ascii="Verdana" w:hAnsi="Verdana"/>
          <w:b/>
          <w:sz w:val="22"/>
          <w:szCs w:val="22"/>
        </w:rPr>
        <w:t>Statement of Compatibility with Human Rights</w:t>
      </w:r>
    </w:p>
    <w:p w:rsidR="00B84AD7" w:rsidRDefault="00B84AD7" w:rsidP="00021C7B">
      <w:pPr>
        <w:spacing w:before="120" w:after="120"/>
        <w:contextualSpacing/>
        <w:jc w:val="center"/>
        <w:rPr>
          <w:rFonts w:ascii="Verdana" w:hAnsi="Verdana"/>
          <w:i/>
          <w:sz w:val="20"/>
          <w:szCs w:val="20"/>
        </w:rPr>
      </w:pPr>
      <w:r w:rsidRPr="00D94DAE">
        <w:rPr>
          <w:rFonts w:ascii="Verdana" w:hAnsi="Verdana"/>
          <w:i/>
          <w:sz w:val="20"/>
          <w:szCs w:val="20"/>
        </w:rPr>
        <w:t>Prepared in accordance with Part 3 of the</w:t>
      </w:r>
    </w:p>
    <w:p w:rsidR="00B84AD7" w:rsidRPr="00D94DAE" w:rsidRDefault="00B84AD7" w:rsidP="00021C7B">
      <w:pPr>
        <w:spacing w:before="120" w:after="120"/>
        <w:contextualSpacing/>
        <w:jc w:val="center"/>
        <w:rPr>
          <w:rFonts w:ascii="Verdana" w:hAnsi="Verdana"/>
          <w:i/>
          <w:sz w:val="20"/>
          <w:szCs w:val="20"/>
        </w:rPr>
      </w:pPr>
      <w:r w:rsidRPr="00D94DAE">
        <w:rPr>
          <w:rFonts w:ascii="Verdana" w:hAnsi="Verdana"/>
          <w:i/>
          <w:sz w:val="20"/>
          <w:szCs w:val="20"/>
        </w:rPr>
        <w:t>Human Rights (Parliamentary Scrutiny) Act 2011</w:t>
      </w:r>
    </w:p>
    <w:p w:rsidR="005B5B03" w:rsidRDefault="005B5B03" w:rsidP="00021C7B">
      <w:pPr>
        <w:ind w:right="28"/>
        <w:contextualSpacing/>
        <w:jc w:val="center"/>
        <w:rPr>
          <w:rFonts w:ascii="Verdana" w:hAnsi="Verdana"/>
          <w:sz w:val="20"/>
          <w:szCs w:val="20"/>
        </w:rPr>
      </w:pPr>
    </w:p>
    <w:p w:rsidR="00F86885" w:rsidRPr="00B874C8" w:rsidRDefault="00F86885" w:rsidP="00021C7B">
      <w:pPr>
        <w:jc w:val="center"/>
        <w:rPr>
          <w:rFonts w:ascii="Verdana" w:hAnsi="Verdana"/>
          <w:b/>
          <w:sz w:val="20"/>
          <w:szCs w:val="20"/>
        </w:rPr>
      </w:pPr>
      <w:r w:rsidRPr="00B874C8">
        <w:rPr>
          <w:rFonts w:ascii="Verdana" w:hAnsi="Verdana"/>
          <w:b/>
          <w:sz w:val="20"/>
          <w:szCs w:val="20"/>
        </w:rPr>
        <w:t xml:space="preserve">Work Health and Safety Exemptions </w:t>
      </w:r>
      <w:r>
        <w:rPr>
          <w:rFonts w:ascii="Verdana" w:hAnsi="Verdana"/>
          <w:b/>
          <w:sz w:val="20"/>
          <w:szCs w:val="20"/>
        </w:rPr>
        <w:t>(Diving by members of the Australian Defence Force) (Ju</w:t>
      </w:r>
      <w:r w:rsidR="000D1CE9">
        <w:rPr>
          <w:rFonts w:ascii="Verdana" w:hAnsi="Verdana"/>
          <w:b/>
          <w:sz w:val="20"/>
          <w:szCs w:val="20"/>
        </w:rPr>
        <w:t>ly</w:t>
      </w:r>
      <w:r>
        <w:rPr>
          <w:rFonts w:ascii="Verdana" w:hAnsi="Verdana"/>
          <w:b/>
          <w:sz w:val="20"/>
          <w:szCs w:val="20"/>
        </w:rPr>
        <w:t xml:space="preserve"> 2014)</w:t>
      </w:r>
    </w:p>
    <w:p w:rsidR="00F86885" w:rsidRPr="00B874C8" w:rsidRDefault="00F86885" w:rsidP="006B3682">
      <w:pPr>
        <w:jc w:val="both"/>
        <w:rPr>
          <w:rFonts w:ascii="Verdana" w:hAnsi="Verdana"/>
          <w:b/>
          <w:sz w:val="20"/>
          <w:szCs w:val="20"/>
        </w:rPr>
      </w:pPr>
    </w:p>
    <w:p w:rsidR="005B5B03" w:rsidRDefault="005B5B03" w:rsidP="006B3682">
      <w:pPr>
        <w:ind w:right="28"/>
        <w:contextualSpacing/>
        <w:jc w:val="both"/>
        <w:rPr>
          <w:rFonts w:ascii="Verdana" w:hAnsi="Verdana"/>
          <w:sz w:val="20"/>
          <w:szCs w:val="20"/>
        </w:rPr>
      </w:pPr>
    </w:p>
    <w:p w:rsidR="004809A2" w:rsidRPr="00F24006" w:rsidRDefault="004809A2" w:rsidP="006B3682">
      <w:pPr>
        <w:spacing w:before="120" w:after="120"/>
        <w:contextualSpacing/>
        <w:jc w:val="both"/>
        <w:rPr>
          <w:rFonts w:ascii="Verdana" w:hAnsi="Verdana"/>
          <w:sz w:val="20"/>
          <w:szCs w:val="20"/>
        </w:rPr>
      </w:pPr>
      <w:r w:rsidRPr="00F24006">
        <w:rPr>
          <w:rFonts w:ascii="Verdana" w:hAnsi="Verdana"/>
          <w:sz w:val="20"/>
          <w:szCs w:val="20"/>
        </w:rPr>
        <w:t xml:space="preserve">This Legislative Instrument is compatible with the human rights and freedoms recognised or declared in the international instruments listed in section 3 of the </w:t>
      </w:r>
      <w:r w:rsidRPr="00F24006">
        <w:rPr>
          <w:rFonts w:ascii="Verdana" w:hAnsi="Verdana"/>
          <w:i/>
          <w:sz w:val="20"/>
          <w:szCs w:val="20"/>
        </w:rPr>
        <w:t>Human Rights (Parliamentary Scrutiny) Act 2011</w:t>
      </w:r>
      <w:r w:rsidRPr="00F24006">
        <w:rPr>
          <w:rFonts w:ascii="Verdana" w:hAnsi="Verdana"/>
          <w:sz w:val="20"/>
          <w:szCs w:val="20"/>
        </w:rPr>
        <w:t>.</w:t>
      </w:r>
    </w:p>
    <w:p w:rsidR="004809A2" w:rsidRPr="00F24006" w:rsidRDefault="004809A2" w:rsidP="006B3682">
      <w:pPr>
        <w:spacing w:before="120" w:after="120"/>
        <w:contextualSpacing/>
        <w:jc w:val="both"/>
        <w:rPr>
          <w:rFonts w:ascii="Verdana" w:hAnsi="Verdana"/>
          <w:sz w:val="20"/>
          <w:szCs w:val="20"/>
        </w:rPr>
      </w:pPr>
    </w:p>
    <w:p w:rsidR="004809A2" w:rsidRDefault="004809A2" w:rsidP="006B3682">
      <w:pPr>
        <w:spacing w:before="120" w:after="120"/>
        <w:contextualSpacing/>
        <w:jc w:val="both"/>
        <w:rPr>
          <w:rFonts w:ascii="Verdana" w:hAnsi="Verdana"/>
          <w:b/>
          <w:sz w:val="20"/>
          <w:szCs w:val="20"/>
        </w:rPr>
      </w:pPr>
      <w:r w:rsidRPr="00F24006">
        <w:rPr>
          <w:rFonts w:ascii="Verdana" w:hAnsi="Verdana"/>
          <w:b/>
          <w:sz w:val="20"/>
          <w:szCs w:val="20"/>
        </w:rPr>
        <w:t xml:space="preserve">Overview of </w:t>
      </w:r>
      <w:r w:rsidR="00B9760D">
        <w:rPr>
          <w:rFonts w:ascii="Verdana" w:hAnsi="Verdana"/>
          <w:b/>
          <w:sz w:val="20"/>
          <w:szCs w:val="20"/>
        </w:rPr>
        <w:t xml:space="preserve">the </w:t>
      </w:r>
      <w:r w:rsidRPr="00F24006">
        <w:rPr>
          <w:rFonts w:ascii="Verdana" w:hAnsi="Verdana"/>
          <w:b/>
          <w:sz w:val="20"/>
          <w:szCs w:val="20"/>
        </w:rPr>
        <w:t>Legislative Instrument</w:t>
      </w:r>
    </w:p>
    <w:p w:rsidR="004809A2" w:rsidRDefault="004809A2" w:rsidP="006B3682">
      <w:pPr>
        <w:spacing w:before="120" w:after="120"/>
        <w:contextualSpacing/>
        <w:jc w:val="both"/>
        <w:rPr>
          <w:rFonts w:ascii="Verdana" w:hAnsi="Verdana"/>
          <w:b/>
          <w:sz w:val="20"/>
          <w:szCs w:val="20"/>
        </w:rPr>
      </w:pPr>
    </w:p>
    <w:p w:rsidR="006B3682" w:rsidRDefault="006B3682" w:rsidP="006B3682">
      <w:pPr>
        <w:jc w:val="both"/>
        <w:rPr>
          <w:rFonts w:ascii="Verdana" w:hAnsi="Verdana"/>
          <w:b/>
          <w:sz w:val="20"/>
          <w:szCs w:val="20"/>
        </w:rPr>
      </w:pPr>
      <w:r>
        <w:rPr>
          <w:rFonts w:ascii="Verdana" w:hAnsi="Verdana"/>
          <w:b/>
          <w:sz w:val="20"/>
          <w:szCs w:val="20"/>
        </w:rPr>
        <w:t>Introduction</w:t>
      </w:r>
    </w:p>
    <w:p w:rsidR="006B3682" w:rsidRDefault="006B3682" w:rsidP="006B3682">
      <w:pPr>
        <w:jc w:val="both"/>
        <w:rPr>
          <w:rFonts w:ascii="Verdana" w:hAnsi="Verdana"/>
          <w:sz w:val="20"/>
          <w:szCs w:val="20"/>
        </w:rPr>
      </w:pPr>
      <w:r w:rsidRPr="00544B97">
        <w:rPr>
          <w:rFonts w:ascii="Verdana" w:hAnsi="Verdana"/>
          <w:sz w:val="20"/>
          <w:szCs w:val="20"/>
        </w:rPr>
        <w:t xml:space="preserve">The purpose of the </w:t>
      </w:r>
      <w:r>
        <w:rPr>
          <w:rFonts w:ascii="Verdana" w:hAnsi="Verdana"/>
          <w:sz w:val="20"/>
          <w:szCs w:val="20"/>
        </w:rPr>
        <w:t>i</w:t>
      </w:r>
      <w:r w:rsidRPr="00544B97">
        <w:rPr>
          <w:rFonts w:ascii="Verdana" w:hAnsi="Verdana"/>
          <w:sz w:val="20"/>
          <w:szCs w:val="20"/>
        </w:rPr>
        <w:t xml:space="preserve">nstrument, to which this Explanatory Statement relates, is to </w:t>
      </w:r>
      <w:r>
        <w:rPr>
          <w:rFonts w:ascii="Verdana" w:hAnsi="Verdana"/>
          <w:sz w:val="20"/>
          <w:szCs w:val="20"/>
        </w:rPr>
        <w:t>gr</w:t>
      </w:r>
      <w:r w:rsidRPr="00544B97">
        <w:rPr>
          <w:rFonts w:ascii="Verdana" w:hAnsi="Verdana"/>
          <w:sz w:val="20"/>
          <w:szCs w:val="20"/>
        </w:rPr>
        <w:t xml:space="preserve">ant an exemption from compliance with </w:t>
      </w:r>
      <w:r w:rsidRPr="001944D2">
        <w:rPr>
          <w:rFonts w:ascii="Verdana" w:hAnsi="Verdana"/>
          <w:sz w:val="20"/>
          <w:szCs w:val="20"/>
        </w:rPr>
        <w:t>sub</w:t>
      </w:r>
      <w:r w:rsidRPr="001944D2">
        <w:rPr>
          <w:rFonts w:ascii="Verdana" w:hAnsi="Verdana"/>
          <w:sz w:val="20"/>
          <w:szCs w:val="20"/>
        </w:rPr>
        <w:noBreakHyphen/>
        <w:t>regulation</w:t>
      </w:r>
      <w:r>
        <w:rPr>
          <w:rFonts w:ascii="Verdana" w:hAnsi="Verdana"/>
          <w:sz w:val="20"/>
          <w:szCs w:val="20"/>
        </w:rPr>
        <w:t>s</w:t>
      </w:r>
      <w:r w:rsidRPr="001944D2">
        <w:rPr>
          <w:rFonts w:ascii="Verdana" w:hAnsi="Verdana"/>
          <w:sz w:val="20"/>
          <w:szCs w:val="20"/>
        </w:rPr>
        <w:t xml:space="preserve"> 171(a)</w:t>
      </w:r>
      <w:r>
        <w:rPr>
          <w:rFonts w:ascii="Verdana" w:hAnsi="Verdana"/>
          <w:sz w:val="20"/>
          <w:szCs w:val="20"/>
        </w:rPr>
        <w:t xml:space="preserve"> and</w:t>
      </w:r>
      <w:r w:rsidRPr="001944D2">
        <w:rPr>
          <w:rFonts w:ascii="Verdana" w:hAnsi="Verdana"/>
          <w:sz w:val="20"/>
          <w:szCs w:val="20"/>
        </w:rPr>
        <w:t xml:space="preserve"> 174</w:t>
      </w:r>
      <w:r>
        <w:rPr>
          <w:rFonts w:ascii="Verdana" w:hAnsi="Verdana"/>
          <w:sz w:val="20"/>
          <w:szCs w:val="20"/>
        </w:rPr>
        <w:t xml:space="preserve">(a) </w:t>
      </w:r>
      <w:r w:rsidRPr="00544B97">
        <w:rPr>
          <w:rFonts w:ascii="Verdana" w:hAnsi="Verdana"/>
          <w:sz w:val="20"/>
          <w:szCs w:val="20"/>
        </w:rPr>
        <w:t xml:space="preserve">of the </w:t>
      </w:r>
      <w:r w:rsidRPr="00544B97">
        <w:rPr>
          <w:rFonts w:ascii="Verdana" w:hAnsi="Verdana"/>
          <w:i/>
          <w:sz w:val="20"/>
          <w:szCs w:val="20"/>
        </w:rPr>
        <w:t>Work Health and Safety Regulations 2011</w:t>
      </w:r>
      <w:r w:rsidRPr="00544B97">
        <w:rPr>
          <w:rFonts w:ascii="Verdana" w:hAnsi="Verdana"/>
          <w:sz w:val="20"/>
          <w:szCs w:val="20"/>
        </w:rPr>
        <w:t xml:space="preserve"> (the WHS Regulations) to </w:t>
      </w:r>
      <w:r>
        <w:rPr>
          <w:rFonts w:ascii="Verdana" w:hAnsi="Verdana"/>
          <w:sz w:val="20"/>
          <w:szCs w:val="20"/>
        </w:rPr>
        <w:t>two</w:t>
      </w:r>
      <w:r w:rsidRPr="00544B97">
        <w:rPr>
          <w:rFonts w:ascii="Verdana" w:hAnsi="Verdana"/>
          <w:sz w:val="20"/>
          <w:szCs w:val="20"/>
        </w:rPr>
        <w:t xml:space="preserve"> class</w:t>
      </w:r>
      <w:r>
        <w:rPr>
          <w:rFonts w:ascii="Verdana" w:hAnsi="Verdana"/>
          <w:sz w:val="20"/>
          <w:szCs w:val="20"/>
        </w:rPr>
        <w:t>es</w:t>
      </w:r>
      <w:r w:rsidRPr="00544B97">
        <w:rPr>
          <w:rFonts w:ascii="Verdana" w:hAnsi="Verdana"/>
          <w:sz w:val="20"/>
          <w:szCs w:val="20"/>
        </w:rPr>
        <w:t xml:space="preserve"> of persons</w:t>
      </w:r>
      <w:r>
        <w:rPr>
          <w:rFonts w:ascii="Verdana" w:hAnsi="Verdana"/>
          <w:sz w:val="20"/>
          <w:szCs w:val="20"/>
        </w:rPr>
        <w:t>, namely, members of the Australian Defence Force (‘the ADF’) who carry out, or supervise general diving work (‘ADF divers’ and ‘ADF dive supervisors’ respectively).</w:t>
      </w:r>
    </w:p>
    <w:p w:rsidR="006B3682" w:rsidRDefault="006B3682" w:rsidP="006B3682">
      <w:pPr>
        <w:jc w:val="both"/>
        <w:rPr>
          <w:rFonts w:ascii="Verdana" w:hAnsi="Verdana"/>
          <w:sz w:val="20"/>
          <w:szCs w:val="20"/>
        </w:rPr>
      </w:pPr>
    </w:p>
    <w:p w:rsidR="006B3682" w:rsidRPr="00544B97" w:rsidRDefault="006B3682" w:rsidP="006B3682">
      <w:pPr>
        <w:jc w:val="both"/>
        <w:rPr>
          <w:rFonts w:ascii="Verdana" w:hAnsi="Verdana"/>
          <w:sz w:val="20"/>
          <w:szCs w:val="20"/>
        </w:rPr>
      </w:pPr>
      <w:r w:rsidRPr="00544B97">
        <w:rPr>
          <w:rFonts w:ascii="Verdana" w:hAnsi="Verdana"/>
          <w:sz w:val="20"/>
          <w:szCs w:val="20"/>
        </w:rPr>
        <w:t xml:space="preserve">Regulation 684 provides that the </w:t>
      </w:r>
      <w:r>
        <w:rPr>
          <w:rFonts w:ascii="Verdana" w:hAnsi="Verdana"/>
          <w:sz w:val="20"/>
          <w:szCs w:val="20"/>
        </w:rPr>
        <w:t>r</w:t>
      </w:r>
      <w:r w:rsidRPr="00544B97">
        <w:rPr>
          <w:rFonts w:ascii="Verdana" w:hAnsi="Verdana"/>
          <w:sz w:val="20"/>
          <w:szCs w:val="20"/>
        </w:rPr>
        <w:t xml:space="preserve">egulator may exempt a person or class of persons from compliance with any of the regulations in the WHS Regulations. </w:t>
      </w:r>
    </w:p>
    <w:p w:rsidR="006B3682" w:rsidRDefault="006B3682" w:rsidP="006B3682">
      <w:pPr>
        <w:ind w:right="26"/>
        <w:jc w:val="both"/>
        <w:rPr>
          <w:rFonts w:ascii="Verdana" w:hAnsi="Verdana"/>
          <w:sz w:val="20"/>
          <w:szCs w:val="20"/>
        </w:rPr>
      </w:pPr>
    </w:p>
    <w:p w:rsidR="006B3682" w:rsidRDefault="006B3682" w:rsidP="006B3682">
      <w:pPr>
        <w:ind w:right="26"/>
        <w:jc w:val="both"/>
        <w:rPr>
          <w:rFonts w:ascii="Verdana" w:hAnsi="Verdana"/>
          <w:i/>
          <w:sz w:val="20"/>
          <w:szCs w:val="20"/>
        </w:rPr>
      </w:pPr>
      <w:r w:rsidRPr="00544B97">
        <w:rPr>
          <w:rFonts w:ascii="Verdana" w:hAnsi="Verdana"/>
          <w:sz w:val="20"/>
          <w:szCs w:val="20"/>
        </w:rPr>
        <w:t>In accordance with sub</w:t>
      </w:r>
      <w:r>
        <w:rPr>
          <w:rFonts w:ascii="Verdana" w:hAnsi="Verdana"/>
          <w:sz w:val="20"/>
          <w:szCs w:val="20"/>
        </w:rPr>
        <w:noBreakHyphen/>
      </w:r>
      <w:r w:rsidRPr="00544B97">
        <w:rPr>
          <w:rFonts w:ascii="Verdana" w:hAnsi="Verdana"/>
          <w:sz w:val="20"/>
          <w:szCs w:val="20"/>
        </w:rPr>
        <w:t xml:space="preserve">regulation 692(2) of the WHS Regulations, an exemption </w:t>
      </w:r>
      <w:r>
        <w:rPr>
          <w:rFonts w:ascii="Verdana" w:hAnsi="Verdana"/>
          <w:sz w:val="20"/>
          <w:szCs w:val="20"/>
        </w:rPr>
        <w:t xml:space="preserve">document that exempts a class of persons </w:t>
      </w:r>
      <w:r w:rsidRPr="00544B97">
        <w:rPr>
          <w:rFonts w:ascii="Verdana" w:hAnsi="Verdana"/>
          <w:sz w:val="20"/>
          <w:szCs w:val="20"/>
        </w:rPr>
        <w:t xml:space="preserve">is a Legislative Instrument within the meaning of the </w:t>
      </w:r>
      <w:r w:rsidRPr="00544B97">
        <w:rPr>
          <w:rFonts w:ascii="Verdana" w:hAnsi="Verdana"/>
          <w:i/>
          <w:sz w:val="20"/>
          <w:szCs w:val="20"/>
        </w:rPr>
        <w:t xml:space="preserve">Legislative Instruments Act 2003. </w:t>
      </w:r>
    </w:p>
    <w:p w:rsidR="006B3682" w:rsidRDefault="006B3682" w:rsidP="006B3682">
      <w:pPr>
        <w:jc w:val="both"/>
        <w:rPr>
          <w:rFonts w:ascii="Verdana" w:hAnsi="Verdana"/>
          <w:sz w:val="20"/>
          <w:szCs w:val="20"/>
        </w:rPr>
      </w:pPr>
    </w:p>
    <w:p w:rsidR="006B3682" w:rsidRPr="00796178" w:rsidRDefault="006B3682" w:rsidP="006B3682">
      <w:pPr>
        <w:jc w:val="both"/>
        <w:rPr>
          <w:rFonts w:ascii="Verdana" w:hAnsi="Verdana"/>
          <w:sz w:val="20"/>
          <w:szCs w:val="20"/>
          <w:u w:val="single"/>
        </w:rPr>
      </w:pPr>
      <w:r w:rsidRPr="00796178">
        <w:rPr>
          <w:rFonts w:ascii="Verdana" w:hAnsi="Verdana"/>
          <w:sz w:val="20"/>
          <w:szCs w:val="20"/>
          <w:u w:val="single"/>
        </w:rPr>
        <w:t>Exemptions applying to ADF divers and ADF dive supervisors</w:t>
      </w:r>
    </w:p>
    <w:p w:rsidR="006B3682" w:rsidRDefault="006B3682" w:rsidP="006B3682">
      <w:pPr>
        <w:ind w:right="26"/>
        <w:jc w:val="both"/>
        <w:rPr>
          <w:rFonts w:ascii="Verdana" w:hAnsi="Verdana"/>
          <w:sz w:val="20"/>
          <w:szCs w:val="20"/>
        </w:rPr>
      </w:pPr>
      <w:r w:rsidRPr="00544B97">
        <w:rPr>
          <w:rFonts w:ascii="Verdana" w:hAnsi="Verdana"/>
          <w:sz w:val="20"/>
          <w:szCs w:val="20"/>
        </w:rPr>
        <w:t xml:space="preserve">This </w:t>
      </w:r>
      <w:r>
        <w:rPr>
          <w:rFonts w:ascii="Verdana" w:hAnsi="Verdana"/>
          <w:sz w:val="20"/>
          <w:szCs w:val="20"/>
        </w:rPr>
        <w:t>i</w:t>
      </w:r>
      <w:r w:rsidRPr="00544B97">
        <w:rPr>
          <w:rFonts w:ascii="Verdana" w:hAnsi="Verdana"/>
          <w:sz w:val="20"/>
          <w:szCs w:val="20"/>
        </w:rPr>
        <w:t xml:space="preserve">nstrument exempts </w:t>
      </w:r>
      <w:r>
        <w:rPr>
          <w:rFonts w:ascii="Verdana" w:hAnsi="Verdana"/>
          <w:sz w:val="20"/>
          <w:szCs w:val="20"/>
        </w:rPr>
        <w:t xml:space="preserve">ADF divers and ADF dive supervisors who carry out, or supervise, general diving work from complying with </w:t>
      </w:r>
      <w:r w:rsidRPr="001944D2">
        <w:rPr>
          <w:rFonts w:ascii="Verdana" w:hAnsi="Verdana"/>
          <w:sz w:val="20"/>
          <w:szCs w:val="20"/>
        </w:rPr>
        <w:t>sub</w:t>
      </w:r>
      <w:r w:rsidRPr="001944D2">
        <w:rPr>
          <w:rFonts w:ascii="Verdana" w:hAnsi="Verdana"/>
          <w:sz w:val="20"/>
          <w:szCs w:val="20"/>
        </w:rPr>
        <w:noBreakHyphen/>
        <w:t>regulation 171(a)</w:t>
      </w:r>
      <w:r>
        <w:rPr>
          <w:rFonts w:ascii="Verdana" w:hAnsi="Verdana"/>
          <w:sz w:val="20"/>
          <w:szCs w:val="20"/>
        </w:rPr>
        <w:t xml:space="preserve"> and (where supervision of general diving work is involved)</w:t>
      </w:r>
      <w:r w:rsidRPr="001944D2">
        <w:rPr>
          <w:rFonts w:ascii="Verdana" w:hAnsi="Verdana"/>
          <w:sz w:val="20"/>
          <w:szCs w:val="20"/>
        </w:rPr>
        <w:t xml:space="preserve"> </w:t>
      </w:r>
      <w:r>
        <w:rPr>
          <w:rFonts w:ascii="Verdana" w:hAnsi="Verdana"/>
          <w:sz w:val="20"/>
          <w:szCs w:val="20"/>
        </w:rPr>
        <w:t>sub</w:t>
      </w:r>
      <w:r>
        <w:rPr>
          <w:rFonts w:ascii="Verdana" w:hAnsi="Verdana"/>
          <w:sz w:val="20"/>
          <w:szCs w:val="20"/>
        </w:rPr>
        <w:noBreakHyphen/>
      </w:r>
      <w:r w:rsidRPr="001944D2">
        <w:rPr>
          <w:rFonts w:ascii="Verdana" w:hAnsi="Verdana"/>
          <w:sz w:val="20"/>
          <w:szCs w:val="20"/>
        </w:rPr>
        <w:t>regulation 174</w:t>
      </w:r>
      <w:r>
        <w:rPr>
          <w:rFonts w:ascii="Verdana" w:hAnsi="Verdana"/>
          <w:sz w:val="20"/>
          <w:szCs w:val="20"/>
        </w:rPr>
        <w:t xml:space="preserve">(a). </w:t>
      </w:r>
    </w:p>
    <w:p w:rsidR="006B3682" w:rsidRDefault="006B3682" w:rsidP="006B3682">
      <w:pPr>
        <w:ind w:right="26"/>
        <w:jc w:val="both"/>
        <w:rPr>
          <w:rFonts w:ascii="Verdana" w:hAnsi="Verdana"/>
          <w:sz w:val="20"/>
          <w:szCs w:val="20"/>
        </w:rPr>
      </w:pPr>
    </w:p>
    <w:p w:rsidR="006B3682" w:rsidRDefault="006B3682" w:rsidP="006B3682">
      <w:pPr>
        <w:ind w:right="26"/>
        <w:jc w:val="both"/>
        <w:rPr>
          <w:rFonts w:ascii="Verdana" w:hAnsi="Verdana"/>
          <w:sz w:val="20"/>
          <w:szCs w:val="20"/>
        </w:rPr>
      </w:pPr>
      <w:r>
        <w:rPr>
          <w:rFonts w:ascii="Verdana" w:hAnsi="Verdana"/>
          <w:sz w:val="20"/>
          <w:szCs w:val="20"/>
        </w:rPr>
        <w:t>The exemptions involving ADF divers and ADF dive supervisors are necessary because both of these classes of persons cannot comply with the competency requirements set out in sub</w:t>
      </w:r>
      <w:r>
        <w:rPr>
          <w:rFonts w:ascii="Verdana" w:hAnsi="Verdana"/>
          <w:sz w:val="20"/>
          <w:szCs w:val="20"/>
        </w:rPr>
        <w:noBreakHyphen/>
        <w:t>regulation 171(a). ADF dive supervisors cannot comply with the requirements of sub</w:t>
      </w:r>
      <w:r>
        <w:rPr>
          <w:rFonts w:ascii="Verdana" w:hAnsi="Verdana"/>
          <w:sz w:val="20"/>
          <w:szCs w:val="20"/>
        </w:rPr>
        <w:noBreakHyphen/>
        <w:t>regulation 174 as a result.</w:t>
      </w:r>
    </w:p>
    <w:p w:rsidR="006B3682" w:rsidRDefault="006B3682" w:rsidP="006B3682">
      <w:pPr>
        <w:ind w:right="26"/>
        <w:jc w:val="both"/>
        <w:rPr>
          <w:rFonts w:ascii="Verdana" w:hAnsi="Verdana"/>
          <w:sz w:val="20"/>
          <w:szCs w:val="20"/>
        </w:rPr>
      </w:pPr>
    </w:p>
    <w:p w:rsidR="006B3682" w:rsidRDefault="006B3682" w:rsidP="006B3682">
      <w:pPr>
        <w:ind w:right="26"/>
        <w:jc w:val="both"/>
        <w:rPr>
          <w:rFonts w:ascii="Verdana" w:hAnsi="Verdana"/>
          <w:sz w:val="20"/>
          <w:szCs w:val="20"/>
        </w:rPr>
      </w:pPr>
      <w:r>
        <w:rPr>
          <w:rFonts w:ascii="Verdana" w:hAnsi="Verdana"/>
          <w:sz w:val="20"/>
          <w:szCs w:val="20"/>
        </w:rPr>
        <w:t>The exemptions apply subject to conditions.</w:t>
      </w:r>
    </w:p>
    <w:p w:rsidR="006B3682" w:rsidRDefault="006B3682" w:rsidP="006B3682">
      <w:pPr>
        <w:ind w:right="26"/>
        <w:jc w:val="both"/>
        <w:rPr>
          <w:rFonts w:ascii="Verdana" w:hAnsi="Verdana"/>
          <w:sz w:val="20"/>
          <w:szCs w:val="20"/>
        </w:rPr>
      </w:pPr>
    </w:p>
    <w:p w:rsidR="006B3682" w:rsidRPr="00796178" w:rsidRDefault="006B3682" w:rsidP="006B3682">
      <w:pPr>
        <w:ind w:right="26"/>
        <w:jc w:val="both"/>
        <w:rPr>
          <w:rFonts w:ascii="Verdana" w:hAnsi="Verdana"/>
          <w:b/>
          <w:sz w:val="20"/>
          <w:szCs w:val="20"/>
        </w:rPr>
      </w:pPr>
      <w:r>
        <w:rPr>
          <w:rFonts w:ascii="Verdana" w:hAnsi="Verdana"/>
          <w:b/>
          <w:sz w:val="20"/>
          <w:szCs w:val="20"/>
        </w:rPr>
        <w:t>Details of the exemptions</w:t>
      </w:r>
    </w:p>
    <w:p w:rsidR="006B3682" w:rsidRDefault="006B3682" w:rsidP="006B3682">
      <w:pPr>
        <w:ind w:right="28"/>
        <w:contextualSpacing/>
        <w:jc w:val="both"/>
        <w:rPr>
          <w:rFonts w:ascii="Verdana" w:hAnsi="Verdana"/>
          <w:sz w:val="20"/>
          <w:szCs w:val="20"/>
        </w:rPr>
      </w:pPr>
      <w:r>
        <w:rPr>
          <w:rFonts w:ascii="Verdana" w:hAnsi="Verdana"/>
          <w:sz w:val="20"/>
          <w:szCs w:val="20"/>
        </w:rPr>
        <w:t>Sub</w:t>
      </w:r>
      <w:r>
        <w:rPr>
          <w:rFonts w:ascii="Verdana" w:hAnsi="Verdana"/>
          <w:sz w:val="20"/>
          <w:szCs w:val="20"/>
        </w:rPr>
        <w:noBreakHyphen/>
        <w:t>r</w:t>
      </w:r>
      <w:r w:rsidRPr="00AA6514">
        <w:rPr>
          <w:rFonts w:ascii="Verdana" w:hAnsi="Verdana"/>
          <w:sz w:val="20"/>
          <w:szCs w:val="20"/>
        </w:rPr>
        <w:t>egulation 171</w:t>
      </w:r>
      <w:r>
        <w:rPr>
          <w:rFonts w:ascii="Verdana" w:hAnsi="Verdana"/>
          <w:sz w:val="20"/>
          <w:szCs w:val="20"/>
        </w:rPr>
        <w:t>(a)</w:t>
      </w:r>
      <w:r w:rsidRPr="00AA6514">
        <w:rPr>
          <w:rFonts w:ascii="Verdana" w:hAnsi="Verdana"/>
          <w:sz w:val="20"/>
          <w:szCs w:val="20"/>
        </w:rPr>
        <w:t xml:space="preserve"> of the WHS Regulations provides that a person must not carry out general diving work (other than incidental diving work and limited scientific diving work) unless the person has a statement of attainment for a specified VET course</w:t>
      </w:r>
      <w:r>
        <w:rPr>
          <w:rFonts w:ascii="Verdana" w:hAnsi="Verdana"/>
          <w:sz w:val="20"/>
          <w:szCs w:val="20"/>
        </w:rPr>
        <w:t>;</w:t>
      </w:r>
      <w:r w:rsidRPr="00AA6514">
        <w:rPr>
          <w:rFonts w:ascii="Verdana" w:hAnsi="Verdana"/>
          <w:sz w:val="20"/>
          <w:szCs w:val="20"/>
        </w:rPr>
        <w:t xml:space="preserve"> a certificate for general diving work, issued by a training organisation, that mentions the subject areas covered in AS/NZS 4005.2:2000</w:t>
      </w:r>
      <w:r>
        <w:rPr>
          <w:rFonts w:ascii="Verdana" w:hAnsi="Verdana"/>
          <w:sz w:val="20"/>
          <w:szCs w:val="20"/>
        </w:rPr>
        <w:t xml:space="preserve"> (</w:t>
      </w:r>
      <w:r>
        <w:rPr>
          <w:rFonts w:ascii="Verdana" w:hAnsi="Verdana"/>
          <w:i/>
          <w:sz w:val="20"/>
          <w:szCs w:val="20"/>
        </w:rPr>
        <w:t xml:space="preserve">Training and certification of recreational divers—Recreational SCUBA dive supervisor) </w:t>
      </w:r>
      <w:r>
        <w:rPr>
          <w:rFonts w:ascii="Verdana" w:hAnsi="Verdana"/>
          <w:sz w:val="20"/>
          <w:szCs w:val="20"/>
        </w:rPr>
        <w:t>(‘AS 4005’);</w:t>
      </w:r>
      <w:r w:rsidRPr="00AA6514">
        <w:rPr>
          <w:rFonts w:ascii="Verdana" w:hAnsi="Verdana"/>
          <w:sz w:val="20"/>
          <w:szCs w:val="20"/>
        </w:rPr>
        <w:t xml:space="preserve"> or both.</w:t>
      </w:r>
    </w:p>
    <w:p w:rsidR="006B3682" w:rsidRDefault="006B3682" w:rsidP="006B3682">
      <w:pPr>
        <w:contextualSpacing/>
        <w:jc w:val="both"/>
      </w:pPr>
    </w:p>
    <w:p w:rsidR="006B3682" w:rsidRDefault="006B3682" w:rsidP="006B3682">
      <w:pPr>
        <w:contextualSpacing/>
        <w:jc w:val="both"/>
        <w:rPr>
          <w:rFonts w:ascii="Verdana" w:hAnsi="Verdana"/>
          <w:sz w:val="20"/>
          <w:szCs w:val="20"/>
        </w:rPr>
      </w:pPr>
      <w:r>
        <w:rPr>
          <w:rFonts w:ascii="Verdana" w:hAnsi="Verdana"/>
          <w:sz w:val="20"/>
          <w:szCs w:val="20"/>
        </w:rPr>
        <w:t xml:space="preserve">At present </w:t>
      </w:r>
      <w:r w:rsidRPr="00432EEE">
        <w:rPr>
          <w:rFonts w:ascii="Verdana" w:hAnsi="Verdana"/>
          <w:sz w:val="20"/>
          <w:szCs w:val="20"/>
        </w:rPr>
        <w:t>no specified VET course is prescribed for general diving work</w:t>
      </w:r>
      <w:r>
        <w:rPr>
          <w:rFonts w:ascii="Verdana" w:hAnsi="Verdana"/>
          <w:sz w:val="20"/>
          <w:szCs w:val="20"/>
        </w:rPr>
        <w:t xml:space="preserve"> for the purposes of the WHS Regulations. Consequently, ADF divers and ADF dive supervisors who carry out general diving work cannot presently comply with sub</w:t>
      </w:r>
      <w:r>
        <w:rPr>
          <w:rFonts w:ascii="Verdana" w:hAnsi="Verdana"/>
          <w:sz w:val="20"/>
          <w:szCs w:val="20"/>
        </w:rPr>
        <w:noBreakHyphen/>
        <w:t>regulation 171(a)(</w:t>
      </w:r>
      <w:proofErr w:type="spellStart"/>
      <w:r>
        <w:rPr>
          <w:rFonts w:ascii="Verdana" w:hAnsi="Verdana"/>
          <w:sz w:val="20"/>
          <w:szCs w:val="20"/>
        </w:rPr>
        <w:t>i</w:t>
      </w:r>
      <w:proofErr w:type="spellEnd"/>
      <w:r>
        <w:rPr>
          <w:rFonts w:ascii="Verdana" w:hAnsi="Verdana"/>
          <w:sz w:val="20"/>
          <w:szCs w:val="20"/>
        </w:rPr>
        <w:t xml:space="preserve">) of the </w:t>
      </w:r>
      <w:r w:rsidRPr="00AA6514">
        <w:rPr>
          <w:rFonts w:ascii="Verdana" w:hAnsi="Verdana"/>
          <w:sz w:val="20"/>
          <w:szCs w:val="20"/>
        </w:rPr>
        <w:t>WHS Regulations</w:t>
      </w:r>
      <w:r>
        <w:rPr>
          <w:rFonts w:ascii="Verdana" w:hAnsi="Verdana"/>
          <w:sz w:val="20"/>
          <w:szCs w:val="20"/>
        </w:rPr>
        <w:t xml:space="preserve"> and must obtain, in accordance with sub</w:t>
      </w:r>
      <w:r>
        <w:rPr>
          <w:rFonts w:ascii="Verdana" w:hAnsi="Verdana"/>
          <w:sz w:val="20"/>
          <w:szCs w:val="20"/>
        </w:rPr>
        <w:noBreakHyphen/>
        <w:t>regulation 171(a)(ii), a certificate for general diving work that mentions the subject areas covered in AS 4005.</w:t>
      </w:r>
      <w:r w:rsidRPr="00751D9B">
        <w:rPr>
          <w:rFonts w:ascii="Verdana" w:hAnsi="Verdana"/>
          <w:sz w:val="20"/>
          <w:szCs w:val="20"/>
        </w:rPr>
        <w:t xml:space="preserve"> </w:t>
      </w:r>
    </w:p>
    <w:p w:rsidR="006B3682" w:rsidRDefault="006B3682" w:rsidP="006B3682">
      <w:pPr>
        <w:contextualSpacing/>
        <w:jc w:val="both"/>
        <w:rPr>
          <w:rFonts w:ascii="Verdana" w:hAnsi="Verdana"/>
          <w:sz w:val="20"/>
          <w:szCs w:val="20"/>
        </w:rPr>
      </w:pPr>
    </w:p>
    <w:p w:rsidR="006B3682" w:rsidRDefault="006B3682" w:rsidP="006B3682">
      <w:pPr>
        <w:contextualSpacing/>
        <w:jc w:val="both"/>
        <w:rPr>
          <w:rFonts w:ascii="Verdana" w:hAnsi="Verdana"/>
          <w:sz w:val="20"/>
          <w:szCs w:val="20"/>
        </w:rPr>
      </w:pPr>
      <w:r w:rsidRPr="00432EEE">
        <w:rPr>
          <w:rFonts w:ascii="Verdana" w:hAnsi="Verdana"/>
          <w:sz w:val="20"/>
          <w:szCs w:val="20"/>
        </w:rPr>
        <w:t>AS</w:t>
      </w:r>
      <w:r>
        <w:rPr>
          <w:rFonts w:ascii="Verdana" w:hAnsi="Verdana"/>
          <w:sz w:val="20"/>
          <w:szCs w:val="20"/>
        </w:rPr>
        <w:t> </w:t>
      </w:r>
      <w:r w:rsidRPr="00432EEE">
        <w:rPr>
          <w:rFonts w:ascii="Verdana" w:hAnsi="Verdana"/>
          <w:sz w:val="20"/>
          <w:szCs w:val="20"/>
        </w:rPr>
        <w:t>4005</w:t>
      </w:r>
      <w:r>
        <w:rPr>
          <w:rFonts w:ascii="Verdana" w:hAnsi="Verdana"/>
          <w:sz w:val="20"/>
          <w:szCs w:val="20"/>
        </w:rPr>
        <w:t xml:space="preserve"> </w:t>
      </w:r>
      <w:r w:rsidRPr="00B874C8">
        <w:rPr>
          <w:rFonts w:ascii="Verdana" w:hAnsi="Verdana"/>
          <w:sz w:val="20"/>
          <w:szCs w:val="20"/>
        </w:rPr>
        <w:t xml:space="preserve">is </w:t>
      </w:r>
      <w:r>
        <w:rPr>
          <w:rFonts w:ascii="Verdana" w:hAnsi="Verdana"/>
          <w:sz w:val="20"/>
          <w:szCs w:val="20"/>
        </w:rPr>
        <w:t xml:space="preserve">directed solely towards training supervisors of recreational SCUBA divers and </w:t>
      </w:r>
      <w:r w:rsidRPr="00B874C8">
        <w:rPr>
          <w:rFonts w:ascii="Verdana" w:hAnsi="Verdana"/>
          <w:sz w:val="20"/>
          <w:szCs w:val="20"/>
        </w:rPr>
        <w:t>is inadequate in setting training requirements for general diving work carried out</w:t>
      </w:r>
      <w:r>
        <w:rPr>
          <w:rFonts w:ascii="Verdana" w:hAnsi="Verdana"/>
          <w:sz w:val="20"/>
          <w:szCs w:val="20"/>
        </w:rPr>
        <w:t>, or supervised,</w:t>
      </w:r>
      <w:r w:rsidRPr="00B874C8">
        <w:rPr>
          <w:rFonts w:ascii="Verdana" w:hAnsi="Verdana"/>
          <w:sz w:val="20"/>
          <w:szCs w:val="20"/>
        </w:rPr>
        <w:t xml:space="preserve"> by</w:t>
      </w:r>
      <w:r>
        <w:rPr>
          <w:rFonts w:ascii="Verdana" w:hAnsi="Verdana"/>
          <w:sz w:val="20"/>
          <w:szCs w:val="20"/>
        </w:rPr>
        <w:t xml:space="preserve"> members of the ADF.</w:t>
      </w:r>
      <w:r w:rsidRPr="00B874C8">
        <w:rPr>
          <w:rFonts w:ascii="Verdana" w:hAnsi="Verdana"/>
          <w:sz w:val="20"/>
          <w:szCs w:val="20"/>
        </w:rPr>
        <w:t xml:space="preserve"> </w:t>
      </w:r>
    </w:p>
    <w:p w:rsidR="00B9760D" w:rsidRDefault="00B9760D" w:rsidP="00B9760D">
      <w:pPr>
        <w:ind w:right="28"/>
        <w:contextualSpacing/>
        <w:jc w:val="both"/>
        <w:rPr>
          <w:rFonts w:ascii="Verdana" w:hAnsi="Verdana"/>
          <w:sz w:val="20"/>
          <w:szCs w:val="20"/>
        </w:rPr>
      </w:pPr>
      <w:r w:rsidRPr="00821652">
        <w:rPr>
          <w:rFonts w:ascii="Verdana" w:hAnsi="Verdana"/>
          <w:sz w:val="20"/>
          <w:szCs w:val="20"/>
        </w:rPr>
        <w:t>The exemption from compliance with sub-regulation 171(a) of the WHS Regulations, has been granted on the condition that members of the ADF who carry out, or supervise, general diving work must satisfactorily complete ADF diver training to a level that is at least equivalent to that provided in AS 2815.1—2008 (</w:t>
      </w:r>
      <w:r w:rsidRPr="00821652">
        <w:rPr>
          <w:rFonts w:ascii="Verdana" w:hAnsi="Verdana"/>
          <w:i/>
          <w:sz w:val="20"/>
          <w:szCs w:val="20"/>
        </w:rPr>
        <w:t>Training and certification of occupational divers,</w:t>
      </w:r>
      <w:r w:rsidRPr="00821652">
        <w:rPr>
          <w:rFonts w:ascii="Verdana" w:hAnsi="Verdana"/>
          <w:sz w:val="20"/>
          <w:szCs w:val="20"/>
        </w:rPr>
        <w:t xml:space="preserve"> Part 1: </w:t>
      </w:r>
      <w:r w:rsidRPr="00821652">
        <w:rPr>
          <w:rFonts w:ascii="Verdana" w:hAnsi="Verdana"/>
          <w:i/>
          <w:sz w:val="20"/>
          <w:szCs w:val="20"/>
        </w:rPr>
        <w:t xml:space="preserve">Occupational SCUBA diver — Standard) </w:t>
      </w:r>
      <w:r w:rsidRPr="00821652">
        <w:rPr>
          <w:rFonts w:ascii="Verdana" w:hAnsi="Verdana"/>
          <w:sz w:val="20"/>
          <w:szCs w:val="20"/>
        </w:rPr>
        <w:t>(‘AS 2815.1’) with some minor modifications</w:t>
      </w:r>
      <w:r>
        <w:rPr>
          <w:rFonts w:ascii="Verdana" w:hAnsi="Verdana"/>
          <w:sz w:val="20"/>
          <w:szCs w:val="20"/>
        </w:rPr>
        <w:t>. These modifications cater for ADF</w:t>
      </w:r>
      <w:r>
        <w:rPr>
          <w:rFonts w:ascii="Verdana" w:hAnsi="Verdana"/>
          <w:sz w:val="20"/>
          <w:szCs w:val="20"/>
        </w:rPr>
        <w:noBreakHyphen/>
        <w:t xml:space="preserve">specific diver training needs and will have no adverse health or safety consequences in the conduct of the ADF’s general diving work activities. </w:t>
      </w:r>
    </w:p>
    <w:p w:rsidR="00B9760D" w:rsidRDefault="00B9760D" w:rsidP="00B9760D">
      <w:pPr>
        <w:ind w:right="28"/>
        <w:contextualSpacing/>
        <w:jc w:val="both"/>
        <w:rPr>
          <w:rFonts w:ascii="Verdana" w:hAnsi="Verdana"/>
          <w:sz w:val="20"/>
          <w:szCs w:val="20"/>
        </w:rPr>
      </w:pPr>
    </w:p>
    <w:p w:rsidR="00B9760D" w:rsidRDefault="00B9760D" w:rsidP="00B9760D">
      <w:pPr>
        <w:ind w:right="28"/>
        <w:contextualSpacing/>
        <w:jc w:val="both"/>
        <w:rPr>
          <w:rFonts w:ascii="Verdana" w:hAnsi="Verdana"/>
          <w:sz w:val="20"/>
          <w:szCs w:val="20"/>
        </w:rPr>
      </w:pPr>
      <w:r w:rsidRPr="00821652">
        <w:rPr>
          <w:rFonts w:ascii="Verdana" w:hAnsi="Verdana"/>
          <w:sz w:val="20"/>
          <w:szCs w:val="20"/>
        </w:rPr>
        <w:t>AS 2815.1 is endorsed as a training standard by AS/NZS 2299.1:2007 (</w:t>
      </w:r>
      <w:r w:rsidRPr="00821652">
        <w:rPr>
          <w:rFonts w:ascii="Verdana" w:hAnsi="Verdana"/>
          <w:i/>
          <w:sz w:val="20"/>
          <w:szCs w:val="20"/>
        </w:rPr>
        <w:t>Occupational diving operations—Standard operational practice</w:t>
      </w:r>
      <w:r w:rsidRPr="00821652">
        <w:rPr>
          <w:rFonts w:ascii="Verdana" w:hAnsi="Verdana"/>
          <w:sz w:val="20"/>
          <w:szCs w:val="20"/>
        </w:rPr>
        <w:t xml:space="preserve">) (‘AS/NZS 2299’) </w:t>
      </w:r>
      <w:r>
        <w:rPr>
          <w:rFonts w:ascii="Verdana" w:hAnsi="Verdana"/>
          <w:sz w:val="20"/>
          <w:szCs w:val="20"/>
        </w:rPr>
        <w:t xml:space="preserve">which, itself, is prescribed by the </w:t>
      </w:r>
      <w:r w:rsidRPr="00821652">
        <w:rPr>
          <w:rFonts w:ascii="Verdana" w:hAnsi="Verdana"/>
          <w:sz w:val="20"/>
          <w:szCs w:val="20"/>
        </w:rPr>
        <w:t xml:space="preserve">WHS Regulations </w:t>
      </w:r>
      <w:r>
        <w:rPr>
          <w:rFonts w:ascii="Verdana" w:hAnsi="Verdana"/>
          <w:sz w:val="20"/>
          <w:szCs w:val="20"/>
        </w:rPr>
        <w:t>as the standard by which high risk diving work is conducted.</w:t>
      </w:r>
      <w:r w:rsidRPr="00821652">
        <w:rPr>
          <w:rFonts w:ascii="Verdana" w:hAnsi="Verdana"/>
          <w:sz w:val="20"/>
          <w:szCs w:val="20"/>
        </w:rPr>
        <w:t xml:space="preserve"> </w:t>
      </w:r>
    </w:p>
    <w:p w:rsidR="00B9760D" w:rsidRDefault="00B9760D" w:rsidP="00B9760D">
      <w:pPr>
        <w:ind w:right="28"/>
        <w:contextualSpacing/>
        <w:jc w:val="both"/>
        <w:rPr>
          <w:rFonts w:ascii="Verdana" w:hAnsi="Verdana"/>
          <w:sz w:val="20"/>
          <w:szCs w:val="20"/>
        </w:rPr>
      </w:pPr>
    </w:p>
    <w:p w:rsidR="00B9760D" w:rsidRPr="00821652" w:rsidRDefault="00B9760D" w:rsidP="00B9760D">
      <w:pPr>
        <w:ind w:right="28"/>
        <w:contextualSpacing/>
        <w:jc w:val="both"/>
        <w:rPr>
          <w:rFonts w:ascii="Verdana" w:hAnsi="Verdana"/>
          <w:sz w:val="20"/>
          <w:szCs w:val="20"/>
        </w:rPr>
      </w:pPr>
      <w:r>
        <w:rPr>
          <w:rFonts w:ascii="Verdana" w:hAnsi="Verdana"/>
          <w:sz w:val="20"/>
          <w:szCs w:val="20"/>
        </w:rPr>
        <w:t>ADF divers and dive supervisors who train to AS 2815.1 (as modified) will be more competent to carry out general diving work than if they trained only in accordance with AS 4005 (as provided by sub</w:t>
      </w:r>
      <w:r>
        <w:rPr>
          <w:rFonts w:ascii="Verdana" w:hAnsi="Verdana"/>
          <w:sz w:val="20"/>
          <w:szCs w:val="20"/>
        </w:rPr>
        <w:noBreakHyphen/>
        <w:t>regulation 171(a)(ii).</w:t>
      </w:r>
    </w:p>
    <w:p w:rsidR="00B9760D" w:rsidRPr="00821652" w:rsidRDefault="00B9760D" w:rsidP="00B9760D">
      <w:pPr>
        <w:ind w:right="28"/>
        <w:contextualSpacing/>
        <w:jc w:val="both"/>
        <w:rPr>
          <w:rFonts w:ascii="Verdana" w:hAnsi="Verdana"/>
          <w:sz w:val="20"/>
          <w:szCs w:val="20"/>
        </w:rPr>
      </w:pPr>
    </w:p>
    <w:p w:rsidR="00B9760D" w:rsidRDefault="00B9760D" w:rsidP="00B9760D">
      <w:pPr>
        <w:ind w:right="28"/>
        <w:contextualSpacing/>
        <w:jc w:val="both"/>
        <w:rPr>
          <w:rFonts w:ascii="Verdana" w:hAnsi="Verdana"/>
          <w:sz w:val="20"/>
          <w:szCs w:val="20"/>
        </w:rPr>
      </w:pPr>
      <w:r>
        <w:rPr>
          <w:rFonts w:ascii="Verdana" w:hAnsi="Verdana"/>
          <w:sz w:val="20"/>
          <w:szCs w:val="20"/>
        </w:rPr>
        <w:t>Insofar as ADF dive supervisor training is concerned, sub</w:t>
      </w:r>
      <w:r>
        <w:rPr>
          <w:rFonts w:ascii="Verdana" w:hAnsi="Verdana"/>
          <w:sz w:val="20"/>
          <w:szCs w:val="20"/>
        </w:rPr>
        <w:noBreakHyphen/>
        <w:t>r</w:t>
      </w:r>
      <w:r w:rsidRPr="00821652">
        <w:rPr>
          <w:rFonts w:ascii="Verdana" w:hAnsi="Verdana"/>
          <w:sz w:val="20"/>
          <w:szCs w:val="20"/>
        </w:rPr>
        <w:t>egulation 174</w:t>
      </w:r>
      <w:r>
        <w:rPr>
          <w:rFonts w:ascii="Verdana" w:hAnsi="Verdana"/>
          <w:sz w:val="20"/>
          <w:szCs w:val="20"/>
        </w:rPr>
        <w:t>(a)</w:t>
      </w:r>
      <w:r w:rsidRPr="00821652">
        <w:rPr>
          <w:rFonts w:ascii="Verdana" w:hAnsi="Verdana"/>
          <w:sz w:val="20"/>
          <w:szCs w:val="20"/>
        </w:rPr>
        <w:t xml:space="preserve"> of the WHS Regulations provides that a person appointed </w:t>
      </w:r>
      <w:r>
        <w:rPr>
          <w:rFonts w:ascii="Verdana" w:hAnsi="Verdana"/>
          <w:sz w:val="20"/>
          <w:szCs w:val="20"/>
        </w:rPr>
        <w:t>under regulation 177 (e.g. an ADF dive supervisor)</w:t>
      </w:r>
      <w:r w:rsidRPr="00821652">
        <w:rPr>
          <w:rFonts w:ascii="Verdana" w:hAnsi="Verdana"/>
          <w:sz w:val="20"/>
          <w:szCs w:val="20"/>
        </w:rPr>
        <w:t xml:space="preserve"> must not perform any functions associated with that appointment unless the person has</w:t>
      </w:r>
      <w:r>
        <w:rPr>
          <w:rFonts w:ascii="Verdana" w:hAnsi="Verdana"/>
          <w:sz w:val="20"/>
          <w:szCs w:val="20"/>
        </w:rPr>
        <w:t>:</w:t>
      </w:r>
    </w:p>
    <w:p w:rsidR="00B9760D" w:rsidRDefault="00B9760D" w:rsidP="00B9760D">
      <w:pPr>
        <w:ind w:right="28"/>
        <w:contextualSpacing/>
        <w:jc w:val="both"/>
        <w:rPr>
          <w:rFonts w:ascii="Verdana" w:hAnsi="Verdana"/>
          <w:sz w:val="20"/>
          <w:szCs w:val="20"/>
        </w:rPr>
      </w:pPr>
    </w:p>
    <w:p w:rsidR="00B9760D" w:rsidRDefault="00B9760D" w:rsidP="00B9760D">
      <w:pPr>
        <w:pStyle w:val="ListParagraph"/>
        <w:numPr>
          <w:ilvl w:val="0"/>
          <w:numId w:val="22"/>
        </w:numPr>
        <w:ind w:right="28"/>
        <w:contextualSpacing/>
        <w:jc w:val="both"/>
        <w:rPr>
          <w:rFonts w:ascii="Verdana" w:hAnsi="Verdana"/>
          <w:sz w:val="20"/>
          <w:szCs w:val="20"/>
        </w:rPr>
      </w:pPr>
      <w:proofErr w:type="gramStart"/>
      <w:r w:rsidRPr="00E223BA">
        <w:rPr>
          <w:rFonts w:ascii="Verdana" w:hAnsi="Verdana"/>
          <w:sz w:val="20"/>
          <w:szCs w:val="20"/>
        </w:rPr>
        <w:t>the</w:t>
      </w:r>
      <w:proofErr w:type="gramEnd"/>
      <w:r w:rsidRPr="00E223BA">
        <w:rPr>
          <w:rFonts w:ascii="Verdana" w:hAnsi="Verdana"/>
          <w:sz w:val="20"/>
          <w:szCs w:val="20"/>
        </w:rPr>
        <w:t xml:space="preserve"> qualifications specified in sub</w:t>
      </w:r>
      <w:r w:rsidRPr="00E223BA">
        <w:rPr>
          <w:rFonts w:ascii="Verdana" w:hAnsi="Verdana"/>
          <w:sz w:val="20"/>
          <w:szCs w:val="20"/>
        </w:rPr>
        <w:noBreakHyphen/>
        <w:t>regulation 171(a)</w:t>
      </w:r>
      <w:r>
        <w:rPr>
          <w:rFonts w:ascii="Verdana" w:hAnsi="Verdana"/>
          <w:sz w:val="20"/>
          <w:szCs w:val="20"/>
        </w:rPr>
        <w:t>.</w:t>
      </w:r>
      <w:r w:rsidRPr="00E223BA" w:rsidDel="00E223BA">
        <w:rPr>
          <w:rFonts w:ascii="Verdana" w:hAnsi="Verdana"/>
          <w:sz w:val="20"/>
          <w:szCs w:val="20"/>
        </w:rPr>
        <w:t xml:space="preserve"> </w:t>
      </w:r>
    </w:p>
    <w:p w:rsidR="00B9760D" w:rsidRPr="00F86885" w:rsidRDefault="00B9760D" w:rsidP="00B9760D">
      <w:pPr>
        <w:ind w:right="28"/>
        <w:contextualSpacing/>
        <w:jc w:val="both"/>
        <w:rPr>
          <w:rFonts w:ascii="Verdana" w:hAnsi="Verdana"/>
          <w:sz w:val="20"/>
          <w:szCs w:val="20"/>
        </w:rPr>
      </w:pPr>
    </w:p>
    <w:p w:rsidR="00B9760D" w:rsidRDefault="00B9760D" w:rsidP="00B9760D">
      <w:pPr>
        <w:ind w:right="28"/>
        <w:contextualSpacing/>
        <w:jc w:val="both"/>
        <w:rPr>
          <w:rFonts w:ascii="Verdana" w:hAnsi="Verdana"/>
          <w:sz w:val="20"/>
          <w:szCs w:val="20"/>
        </w:rPr>
      </w:pPr>
      <w:r w:rsidRPr="00821652">
        <w:rPr>
          <w:rFonts w:ascii="Verdana" w:hAnsi="Verdana"/>
          <w:sz w:val="20"/>
          <w:szCs w:val="20"/>
        </w:rPr>
        <w:t>For the reasons cited above, the ADF dive supervisor cannot comply with regulation 171(a) of the WHS Regulations</w:t>
      </w:r>
      <w:r>
        <w:rPr>
          <w:rFonts w:ascii="Verdana" w:hAnsi="Verdana"/>
          <w:sz w:val="20"/>
          <w:szCs w:val="20"/>
        </w:rPr>
        <w:t>.</w:t>
      </w:r>
    </w:p>
    <w:p w:rsidR="00B9760D" w:rsidRPr="00821652" w:rsidRDefault="00B9760D" w:rsidP="00B9760D">
      <w:pPr>
        <w:ind w:right="28"/>
        <w:contextualSpacing/>
        <w:jc w:val="both"/>
        <w:rPr>
          <w:rFonts w:ascii="Verdana" w:hAnsi="Verdana"/>
          <w:sz w:val="20"/>
          <w:szCs w:val="20"/>
        </w:rPr>
      </w:pPr>
    </w:p>
    <w:p w:rsidR="00B9760D" w:rsidRDefault="00B9760D" w:rsidP="00B9760D">
      <w:pPr>
        <w:ind w:right="28"/>
        <w:contextualSpacing/>
        <w:jc w:val="both"/>
        <w:rPr>
          <w:rFonts w:ascii="Verdana" w:hAnsi="Verdana"/>
          <w:sz w:val="20"/>
          <w:szCs w:val="20"/>
        </w:rPr>
      </w:pPr>
      <w:r>
        <w:rPr>
          <w:rFonts w:ascii="Verdana" w:hAnsi="Verdana"/>
          <w:sz w:val="20"/>
          <w:szCs w:val="20"/>
        </w:rPr>
        <w:t>An exemption from sub</w:t>
      </w:r>
      <w:r>
        <w:rPr>
          <w:rFonts w:ascii="Verdana" w:hAnsi="Verdana"/>
          <w:sz w:val="20"/>
          <w:szCs w:val="20"/>
        </w:rPr>
        <w:noBreakHyphen/>
        <w:t xml:space="preserve">regulation 174(a) has consequently been granted. To ensure work health and safety is maintained, the exemption is conditional on the </w:t>
      </w:r>
      <w:r w:rsidRPr="00B874C8">
        <w:rPr>
          <w:rFonts w:ascii="Verdana" w:hAnsi="Verdana"/>
          <w:sz w:val="20"/>
          <w:szCs w:val="20"/>
        </w:rPr>
        <w:t>ADF dive supervisor satisfactorily complet</w:t>
      </w:r>
      <w:r>
        <w:rPr>
          <w:rFonts w:ascii="Verdana" w:hAnsi="Verdana"/>
          <w:sz w:val="20"/>
          <w:szCs w:val="20"/>
        </w:rPr>
        <w:t>ing</w:t>
      </w:r>
      <w:r w:rsidRPr="00B874C8">
        <w:rPr>
          <w:rFonts w:ascii="Verdana" w:hAnsi="Verdana"/>
          <w:sz w:val="20"/>
          <w:szCs w:val="20"/>
        </w:rPr>
        <w:t xml:space="preserve"> training</w:t>
      </w:r>
      <w:r>
        <w:rPr>
          <w:rFonts w:ascii="Verdana" w:hAnsi="Verdana"/>
          <w:sz w:val="20"/>
          <w:szCs w:val="20"/>
        </w:rPr>
        <w:t>:</w:t>
      </w:r>
    </w:p>
    <w:p w:rsidR="00B9760D" w:rsidRDefault="00B9760D" w:rsidP="00B9760D">
      <w:pPr>
        <w:contextualSpacing/>
        <w:jc w:val="both"/>
        <w:rPr>
          <w:rFonts w:ascii="Verdana" w:hAnsi="Verdana"/>
          <w:sz w:val="20"/>
          <w:szCs w:val="20"/>
        </w:rPr>
      </w:pPr>
    </w:p>
    <w:p w:rsidR="00B9760D" w:rsidRDefault="00B9760D" w:rsidP="00B9760D">
      <w:pPr>
        <w:pStyle w:val="ListParagraph"/>
        <w:numPr>
          <w:ilvl w:val="0"/>
          <w:numId w:val="21"/>
        </w:numPr>
        <w:contextualSpacing/>
        <w:jc w:val="both"/>
        <w:rPr>
          <w:rFonts w:ascii="Verdana" w:hAnsi="Verdana"/>
          <w:sz w:val="20"/>
          <w:szCs w:val="20"/>
        </w:rPr>
      </w:pPr>
      <w:r w:rsidRPr="00CC1873">
        <w:rPr>
          <w:rFonts w:ascii="Verdana" w:hAnsi="Verdana"/>
          <w:sz w:val="20"/>
          <w:szCs w:val="20"/>
        </w:rPr>
        <w:t>to a level at least equivalent to AS 2815.1 as modified above</w:t>
      </w:r>
      <w:r>
        <w:rPr>
          <w:rFonts w:ascii="Verdana" w:hAnsi="Verdana"/>
          <w:sz w:val="20"/>
          <w:szCs w:val="20"/>
        </w:rPr>
        <w:t>;</w:t>
      </w:r>
      <w:r w:rsidRPr="00CC1873">
        <w:rPr>
          <w:rFonts w:ascii="Verdana" w:hAnsi="Verdana"/>
          <w:sz w:val="20"/>
          <w:szCs w:val="20"/>
        </w:rPr>
        <w:t xml:space="preserve"> and</w:t>
      </w:r>
    </w:p>
    <w:p w:rsidR="00B9760D" w:rsidRDefault="00B9760D" w:rsidP="00B9760D">
      <w:pPr>
        <w:pStyle w:val="ListParagraph"/>
        <w:ind w:left="795"/>
        <w:contextualSpacing/>
        <w:jc w:val="both"/>
        <w:rPr>
          <w:rFonts w:ascii="Verdana" w:hAnsi="Verdana"/>
          <w:sz w:val="20"/>
          <w:szCs w:val="20"/>
        </w:rPr>
      </w:pPr>
    </w:p>
    <w:p w:rsidR="00B9760D" w:rsidRPr="00CC1873" w:rsidRDefault="00B9760D" w:rsidP="00B9760D">
      <w:pPr>
        <w:pStyle w:val="ListParagraph"/>
        <w:numPr>
          <w:ilvl w:val="0"/>
          <w:numId w:val="21"/>
        </w:numPr>
        <w:contextualSpacing/>
        <w:jc w:val="both"/>
        <w:rPr>
          <w:rFonts w:ascii="Verdana" w:hAnsi="Verdana"/>
          <w:sz w:val="20"/>
          <w:szCs w:val="20"/>
        </w:rPr>
      </w:pPr>
      <w:r>
        <w:rPr>
          <w:rFonts w:ascii="Verdana" w:hAnsi="Verdana"/>
          <w:sz w:val="20"/>
          <w:szCs w:val="20"/>
        </w:rPr>
        <w:t xml:space="preserve">in accordance with specified </w:t>
      </w:r>
      <w:r w:rsidRPr="00CC1873">
        <w:rPr>
          <w:rFonts w:ascii="Verdana" w:hAnsi="Verdana"/>
          <w:sz w:val="20"/>
          <w:szCs w:val="20"/>
        </w:rPr>
        <w:t xml:space="preserve">units of competency </w:t>
      </w:r>
      <w:r>
        <w:rPr>
          <w:rFonts w:ascii="Verdana" w:hAnsi="Verdana"/>
          <w:sz w:val="20"/>
          <w:szCs w:val="20"/>
        </w:rPr>
        <w:t xml:space="preserve">based on those in </w:t>
      </w:r>
      <w:r w:rsidRPr="00CC1873">
        <w:rPr>
          <w:rFonts w:ascii="Verdana" w:hAnsi="Verdana"/>
          <w:sz w:val="20"/>
          <w:szCs w:val="20"/>
        </w:rPr>
        <w:t>AS/NZS 2815.5:2013 (</w:t>
      </w:r>
      <w:r w:rsidRPr="00CC1873">
        <w:rPr>
          <w:rFonts w:ascii="Verdana" w:hAnsi="Verdana"/>
          <w:i/>
          <w:sz w:val="20"/>
          <w:szCs w:val="20"/>
        </w:rPr>
        <w:t>Training and certification of occupational divers, Part 5: Dive supervisor</w:t>
      </w:r>
      <w:r w:rsidRPr="00CC1873">
        <w:rPr>
          <w:rFonts w:ascii="Verdana" w:hAnsi="Verdana"/>
          <w:sz w:val="20"/>
          <w:szCs w:val="20"/>
        </w:rPr>
        <w:t>)</w:t>
      </w:r>
      <w:r>
        <w:rPr>
          <w:rFonts w:ascii="Verdana" w:hAnsi="Verdana"/>
          <w:sz w:val="20"/>
          <w:szCs w:val="20"/>
        </w:rPr>
        <w:t xml:space="preserve"> (‘AS/NZS 2815.5’)</w:t>
      </w:r>
      <w:r w:rsidRPr="00CC1873">
        <w:rPr>
          <w:rFonts w:ascii="Verdana" w:hAnsi="Verdana"/>
          <w:sz w:val="20"/>
          <w:szCs w:val="20"/>
        </w:rPr>
        <w:t>, with some minor modifications</w:t>
      </w:r>
      <w:r>
        <w:rPr>
          <w:rFonts w:ascii="Verdana" w:hAnsi="Verdana"/>
          <w:sz w:val="20"/>
          <w:szCs w:val="20"/>
        </w:rPr>
        <w:t xml:space="preserve"> that reflect differences in the general diving work activities supervised by ADF Special Forces and Army Work dive supervisors.</w:t>
      </w:r>
    </w:p>
    <w:p w:rsidR="00B9760D" w:rsidRDefault="00B9760D" w:rsidP="00B9760D">
      <w:pPr>
        <w:ind w:right="28"/>
        <w:contextualSpacing/>
        <w:jc w:val="both"/>
        <w:rPr>
          <w:rFonts w:ascii="Verdana" w:hAnsi="Verdana"/>
          <w:sz w:val="20"/>
          <w:szCs w:val="20"/>
        </w:rPr>
      </w:pPr>
    </w:p>
    <w:p w:rsidR="00B9760D" w:rsidRDefault="00B9760D" w:rsidP="00B9760D">
      <w:pPr>
        <w:ind w:right="28"/>
        <w:contextualSpacing/>
        <w:jc w:val="both"/>
        <w:rPr>
          <w:rFonts w:ascii="Verdana" w:hAnsi="Verdana"/>
          <w:sz w:val="20"/>
          <w:szCs w:val="20"/>
        </w:rPr>
      </w:pPr>
      <w:proofErr w:type="spellStart"/>
      <w:r>
        <w:rPr>
          <w:rFonts w:ascii="Verdana" w:hAnsi="Verdana"/>
          <w:sz w:val="20"/>
          <w:szCs w:val="20"/>
        </w:rPr>
        <w:t>Comcare</w:t>
      </w:r>
      <w:proofErr w:type="spellEnd"/>
      <w:r>
        <w:rPr>
          <w:rFonts w:ascii="Verdana" w:hAnsi="Verdana"/>
          <w:sz w:val="20"/>
          <w:szCs w:val="20"/>
        </w:rPr>
        <w:t xml:space="preserve"> has consulted with Defence, the ADF and the Defence dive school regarding the proposed modifications. </w:t>
      </w:r>
    </w:p>
    <w:p w:rsidR="00B9760D" w:rsidRDefault="00B9760D" w:rsidP="00B9760D">
      <w:pPr>
        <w:ind w:right="28"/>
        <w:contextualSpacing/>
        <w:jc w:val="both"/>
        <w:rPr>
          <w:rFonts w:ascii="Verdana" w:hAnsi="Verdana"/>
          <w:sz w:val="20"/>
          <w:szCs w:val="20"/>
        </w:rPr>
      </w:pPr>
    </w:p>
    <w:p w:rsidR="00B9760D" w:rsidRDefault="00B9760D" w:rsidP="00B9760D">
      <w:pPr>
        <w:contextualSpacing/>
        <w:jc w:val="both"/>
        <w:rPr>
          <w:rFonts w:ascii="Verdana" w:hAnsi="Verdana"/>
          <w:sz w:val="20"/>
          <w:szCs w:val="20"/>
        </w:rPr>
      </w:pPr>
      <w:r>
        <w:rPr>
          <w:rFonts w:ascii="Verdana" w:hAnsi="Verdana"/>
          <w:sz w:val="20"/>
          <w:szCs w:val="20"/>
        </w:rPr>
        <w:t>The exemptions will only apply to ADF divers and ADF dive supervisors (and indirectly to the ADF and Defence). As such, a</w:t>
      </w:r>
      <w:r w:rsidRPr="00C15715">
        <w:rPr>
          <w:rFonts w:ascii="Verdana" w:hAnsi="Verdana"/>
          <w:sz w:val="20"/>
          <w:szCs w:val="20"/>
        </w:rPr>
        <w:t xml:space="preserve"> Regulation Impact Statement is </w:t>
      </w:r>
      <w:r>
        <w:rPr>
          <w:rFonts w:ascii="Verdana" w:hAnsi="Verdana"/>
          <w:sz w:val="20"/>
          <w:szCs w:val="20"/>
        </w:rPr>
        <w:t xml:space="preserve">not </w:t>
      </w:r>
      <w:r w:rsidRPr="00C15715">
        <w:rPr>
          <w:rFonts w:ascii="Verdana" w:hAnsi="Verdana"/>
          <w:sz w:val="20"/>
          <w:szCs w:val="20"/>
        </w:rPr>
        <w:t>require</w:t>
      </w:r>
      <w:r>
        <w:rPr>
          <w:rFonts w:ascii="Verdana" w:hAnsi="Verdana"/>
          <w:sz w:val="20"/>
          <w:szCs w:val="20"/>
        </w:rPr>
        <w:t>d.</w:t>
      </w:r>
    </w:p>
    <w:p w:rsidR="00B9760D" w:rsidRDefault="00B9760D" w:rsidP="00B9760D">
      <w:pPr>
        <w:contextualSpacing/>
        <w:jc w:val="both"/>
        <w:rPr>
          <w:rFonts w:ascii="Verdana" w:hAnsi="Verdana"/>
          <w:sz w:val="20"/>
          <w:szCs w:val="20"/>
        </w:rPr>
      </w:pPr>
    </w:p>
    <w:p w:rsidR="00021C7B" w:rsidRDefault="00021C7B">
      <w:pPr>
        <w:rPr>
          <w:rFonts w:ascii="Verdana" w:hAnsi="Verdana"/>
          <w:b/>
          <w:sz w:val="20"/>
          <w:szCs w:val="20"/>
        </w:rPr>
      </w:pPr>
      <w:r>
        <w:rPr>
          <w:rFonts w:ascii="Verdana" w:hAnsi="Verdana"/>
          <w:b/>
          <w:sz w:val="20"/>
          <w:szCs w:val="20"/>
        </w:rPr>
        <w:br w:type="page"/>
      </w:r>
    </w:p>
    <w:p w:rsidR="00B40295" w:rsidRPr="00F24006" w:rsidRDefault="00B40295" w:rsidP="006B3682">
      <w:pPr>
        <w:spacing w:before="120" w:after="120"/>
        <w:contextualSpacing/>
        <w:jc w:val="both"/>
        <w:rPr>
          <w:rFonts w:ascii="Verdana" w:hAnsi="Verdana"/>
          <w:b/>
          <w:sz w:val="20"/>
          <w:szCs w:val="20"/>
        </w:rPr>
      </w:pPr>
      <w:r w:rsidRPr="00F24006">
        <w:rPr>
          <w:rFonts w:ascii="Verdana" w:hAnsi="Verdana"/>
          <w:b/>
          <w:sz w:val="20"/>
          <w:szCs w:val="20"/>
        </w:rPr>
        <w:t>Human rights implications</w:t>
      </w:r>
    </w:p>
    <w:p w:rsidR="005D69A4" w:rsidRDefault="005D69A4" w:rsidP="006B3682">
      <w:pPr>
        <w:spacing w:before="120" w:after="120"/>
        <w:contextualSpacing/>
        <w:jc w:val="both"/>
        <w:rPr>
          <w:rFonts w:ascii="Verdana" w:hAnsi="Verdana"/>
          <w:sz w:val="20"/>
          <w:szCs w:val="20"/>
        </w:rPr>
      </w:pPr>
      <w:r w:rsidRPr="00F24006">
        <w:rPr>
          <w:rFonts w:ascii="Verdana" w:hAnsi="Verdana"/>
          <w:sz w:val="20"/>
          <w:szCs w:val="20"/>
        </w:rPr>
        <w:t xml:space="preserve">A human right engaged by this </w:t>
      </w:r>
      <w:r>
        <w:rPr>
          <w:rFonts w:ascii="Verdana" w:hAnsi="Verdana"/>
          <w:sz w:val="20"/>
          <w:szCs w:val="20"/>
        </w:rPr>
        <w:t>I</w:t>
      </w:r>
      <w:r w:rsidRPr="00F24006">
        <w:rPr>
          <w:rFonts w:ascii="Verdana" w:hAnsi="Verdana"/>
          <w:sz w:val="20"/>
          <w:szCs w:val="20"/>
        </w:rPr>
        <w:t>nstrument, included in the section 3 definition of human rights in the</w:t>
      </w:r>
      <w:r w:rsidRPr="00F24006">
        <w:rPr>
          <w:rFonts w:ascii="Verdana" w:eastAsia="Calibri" w:hAnsi="Verdana"/>
          <w:i/>
          <w:sz w:val="20"/>
          <w:szCs w:val="20"/>
          <w:lang w:eastAsia="en-US"/>
        </w:rPr>
        <w:t xml:space="preserve"> Human Rights (Parliamentary Scrutiny) Act 2011,</w:t>
      </w:r>
      <w:r w:rsidRPr="00F24006">
        <w:rPr>
          <w:rFonts w:ascii="Verdana" w:hAnsi="Verdana"/>
          <w:sz w:val="20"/>
          <w:szCs w:val="20"/>
        </w:rPr>
        <w:t xml:space="preserve"> is the right to </w:t>
      </w:r>
      <w:r>
        <w:rPr>
          <w:rFonts w:ascii="Verdana" w:hAnsi="Verdana"/>
          <w:sz w:val="20"/>
          <w:szCs w:val="20"/>
        </w:rPr>
        <w:t>just and favourable</w:t>
      </w:r>
      <w:r w:rsidRPr="00F24006">
        <w:rPr>
          <w:rFonts w:ascii="Verdana" w:hAnsi="Verdana"/>
          <w:sz w:val="20"/>
          <w:szCs w:val="20"/>
        </w:rPr>
        <w:t xml:space="preserve"> conditions</w:t>
      </w:r>
      <w:r>
        <w:rPr>
          <w:rFonts w:ascii="Verdana" w:hAnsi="Verdana"/>
          <w:sz w:val="20"/>
          <w:szCs w:val="20"/>
        </w:rPr>
        <w:t xml:space="preserve"> of work</w:t>
      </w:r>
      <w:r w:rsidRPr="00F24006">
        <w:rPr>
          <w:rFonts w:ascii="Verdana" w:hAnsi="Verdana"/>
          <w:sz w:val="20"/>
          <w:szCs w:val="20"/>
        </w:rPr>
        <w:t xml:space="preserve"> contained in article 7 of the International Covenant on Economic, Social and Cultural Rights. </w:t>
      </w:r>
      <w:r>
        <w:rPr>
          <w:rFonts w:ascii="Verdana" w:hAnsi="Verdana"/>
          <w:sz w:val="20"/>
          <w:szCs w:val="20"/>
        </w:rPr>
        <w:t>The right to enjoy just and favourable working conditions has various components that require states to establish a minimum standard for working conditions for all workers and develop appropriate enforcement measures. One of the components of article 17 is the right to safe and healthy working conditions. In relation to this right, the Committee on Economic, Social and Cultural Rights has stated that ‘people must be afforded minimum conditions of occupational health and safety, and States parties are responsible for adopting policies and laws to that end’.</w:t>
      </w:r>
      <w:r>
        <w:rPr>
          <w:rStyle w:val="FootnoteReference"/>
          <w:rFonts w:ascii="Verdana" w:hAnsi="Verdana"/>
          <w:sz w:val="20"/>
          <w:szCs w:val="20"/>
        </w:rPr>
        <w:footnoteReference w:id="1"/>
      </w:r>
      <w:r>
        <w:rPr>
          <w:rFonts w:ascii="Verdana" w:hAnsi="Verdana"/>
          <w:sz w:val="20"/>
          <w:szCs w:val="20"/>
        </w:rPr>
        <w:t xml:space="preserve">  </w:t>
      </w:r>
      <w:r w:rsidRPr="00F24006">
        <w:rPr>
          <w:rFonts w:ascii="Verdana" w:hAnsi="Verdana"/>
          <w:sz w:val="20"/>
          <w:szCs w:val="20"/>
        </w:rPr>
        <w:t xml:space="preserve"> </w:t>
      </w:r>
      <w:r>
        <w:rPr>
          <w:rFonts w:ascii="Verdana" w:hAnsi="Verdana"/>
          <w:sz w:val="20"/>
          <w:szCs w:val="20"/>
        </w:rPr>
        <w:t xml:space="preserve"> </w:t>
      </w:r>
    </w:p>
    <w:p w:rsidR="005D69A4" w:rsidRDefault="005D69A4" w:rsidP="006B3682">
      <w:pPr>
        <w:spacing w:before="120" w:after="120"/>
        <w:contextualSpacing/>
        <w:jc w:val="both"/>
        <w:rPr>
          <w:rFonts w:ascii="Verdana" w:hAnsi="Verdana"/>
          <w:sz w:val="20"/>
          <w:szCs w:val="20"/>
        </w:rPr>
      </w:pPr>
    </w:p>
    <w:p w:rsidR="00000672" w:rsidRDefault="005D69A4" w:rsidP="006B3682">
      <w:pPr>
        <w:spacing w:before="120" w:after="120"/>
        <w:contextualSpacing/>
        <w:jc w:val="both"/>
        <w:rPr>
          <w:rFonts w:ascii="Verdana" w:hAnsi="Verdana"/>
          <w:sz w:val="20"/>
          <w:szCs w:val="20"/>
        </w:rPr>
      </w:pPr>
      <w:r>
        <w:rPr>
          <w:rFonts w:ascii="Verdana" w:hAnsi="Verdana"/>
          <w:sz w:val="20"/>
          <w:szCs w:val="20"/>
        </w:rPr>
        <w:t xml:space="preserve">The right to safe and healthy working conditions is primarily underpinned in Australia by work health and safety legislation at the Commonwealth, state and territory levels. At the Commonwealth level, this includes the </w:t>
      </w:r>
      <w:r>
        <w:rPr>
          <w:rFonts w:ascii="Verdana" w:hAnsi="Verdana"/>
          <w:i/>
          <w:sz w:val="20"/>
          <w:szCs w:val="20"/>
        </w:rPr>
        <w:t>Work Health and Safety Act 2011</w:t>
      </w:r>
      <w:r>
        <w:rPr>
          <w:rFonts w:ascii="Verdana" w:hAnsi="Verdana"/>
          <w:sz w:val="20"/>
          <w:szCs w:val="20"/>
        </w:rPr>
        <w:t xml:space="preserve"> (the WHS Act) and the WHS Regulations. The WHS Act places high</w:t>
      </w:r>
      <w:r w:rsidR="006B3682">
        <w:rPr>
          <w:rFonts w:ascii="Verdana" w:hAnsi="Verdana"/>
          <w:sz w:val="20"/>
          <w:szCs w:val="20"/>
        </w:rPr>
        <w:noBreakHyphen/>
      </w:r>
      <w:r>
        <w:rPr>
          <w:rFonts w:ascii="Verdana" w:hAnsi="Verdana"/>
          <w:sz w:val="20"/>
          <w:szCs w:val="20"/>
        </w:rPr>
        <w:t>level duties on a range of entities that are designed to ensure safe and health</w:t>
      </w:r>
      <w:r w:rsidR="006B3682">
        <w:rPr>
          <w:rFonts w:ascii="Verdana" w:hAnsi="Verdana"/>
          <w:sz w:val="20"/>
          <w:szCs w:val="20"/>
        </w:rPr>
        <w:t>y</w:t>
      </w:r>
      <w:r>
        <w:rPr>
          <w:rFonts w:ascii="Verdana" w:hAnsi="Verdana"/>
          <w:sz w:val="20"/>
          <w:szCs w:val="20"/>
        </w:rPr>
        <w:t xml:space="preserve"> working conditions. It is supported by the WHS Regulations which provide more specific obligations, including </w:t>
      </w:r>
      <w:r w:rsidR="00000672" w:rsidRPr="00B874C8">
        <w:rPr>
          <w:rFonts w:ascii="Verdana" w:hAnsi="Verdana"/>
          <w:sz w:val="20"/>
          <w:szCs w:val="20"/>
        </w:rPr>
        <w:t>those applying to general diving work.</w:t>
      </w:r>
    </w:p>
    <w:p w:rsidR="00000672" w:rsidRDefault="00000672" w:rsidP="006B3682">
      <w:pPr>
        <w:spacing w:before="120" w:after="120"/>
        <w:contextualSpacing/>
        <w:jc w:val="both"/>
        <w:rPr>
          <w:rFonts w:ascii="Verdana" w:hAnsi="Verdana"/>
          <w:sz w:val="20"/>
          <w:szCs w:val="20"/>
        </w:rPr>
      </w:pPr>
    </w:p>
    <w:p w:rsidR="008364CA" w:rsidRPr="00F24006" w:rsidRDefault="008364CA" w:rsidP="006B3682">
      <w:pPr>
        <w:spacing w:before="120" w:after="120"/>
        <w:contextualSpacing/>
        <w:jc w:val="both"/>
        <w:rPr>
          <w:rFonts w:ascii="Verdana" w:hAnsi="Verdana"/>
          <w:sz w:val="20"/>
          <w:szCs w:val="20"/>
        </w:rPr>
      </w:pPr>
      <w:r>
        <w:rPr>
          <w:rFonts w:ascii="Verdana" w:hAnsi="Verdana"/>
          <w:sz w:val="20"/>
          <w:szCs w:val="20"/>
        </w:rPr>
        <w:t xml:space="preserve">This </w:t>
      </w:r>
      <w:r w:rsidR="00D40DE9">
        <w:rPr>
          <w:rFonts w:ascii="Verdana" w:hAnsi="Verdana"/>
          <w:sz w:val="20"/>
          <w:szCs w:val="20"/>
        </w:rPr>
        <w:t>Legislative Instrument grants a conditional</w:t>
      </w:r>
      <w:r>
        <w:rPr>
          <w:rFonts w:ascii="Verdana" w:hAnsi="Verdana"/>
          <w:sz w:val="20"/>
          <w:szCs w:val="20"/>
        </w:rPr>
        <w:t xml:space="preserve"> exemption from </w:t>
      </w:r>
      <w:r w:rsidR="00DC6C2B">
        <w:rPr>
          <w:rFonts w:ascii="Verdana" w:hAnsi="Verdana"/>
          <w:sz w:val="20"/>
          <w:szCs w:val="20"/>
        </w:rPr>
        <w:t xml:space="preserve">compliance with </w:t>
      </w:r>
      <w:r w:rsidR="001B4251">
        <w:rPr>
          <w:rFonts w:ascii="Verdana" w:hAnsi="Verdana"/>
          <w:sz w:val="20"/>
          <w:szCs w:val="20"/>
        </w:rPr>
        <w:t>sub</w:t>
      </w:r>
      <w:r w:rsidR="001B4251">
        <w:rPr>
          <w:rFonts w:ascii="Verdana" w:hAnsi="Verdana"/>
          <w:sz w:val="20"/>
          <w:szCs w:val="20"/>
        </w:rPr>
        <w:noBreakHyphen/>
        <w:t xml:space="preserve">regulations 171(a) and 174(a) </w:t>
      </w:r>
      <w:r w:rsidR="00DC6C2B">
        <w:rPr>
          <w:rFonts w:ascii="Verdana" w:hAnsi="Verdana"/>
          <w:sz w:val="20"/>
          <w:szCs w:val="20"/>
        </w:rPr>
        <w:t>where general diving work is undertaken by members of the ADF. This exemption</w:t>
      </w:r>
      <w:r>
        <w:rPr>
          <w:rFonts w:ascii="Verdana" w:hAnsi="Verdana"/>
          <w:sz w:val="20"/>
          <w:szCs w:val="20"/>
        </w:rPr>
        <w:t xml:space="preserve"> is considered compatible with the right to safe and healthy working conditions for </w:t>
      </w:r>
      <w:r w:rsidR="00021C7B">
        <w:rPr>
          <w:rFonts w:ascii="Verdana" w:hAnsi="Verdana"/>
          <w:sz w:val="20"/>
          <w:szCs w:val="20"/>
        </w:rPr>
        <w:t>these</w:t>
      </w:r>
      <w:r>
        <w:rPr>
          <w:rFonts w:ascii="Verdana" w:hAnsi="Verdana"/>
          <w:sz w:val="20"/>
          <w:szCs w:val="20"/>
        </w:rPr>
        <w:t xml:space="preserve"> reasons.</w:t>
      </w:r>
    </w:p>
    <w:p w:rsidR="002A6062" w:rsidRDefault="002A6062" w:rsidP="006B3682">
      <w:pPr>
        <w:ind w:right="26"/>
        <w:jc w:val="both"/>
        <w:rPr>
          <w:rFonts w:ascii="Verdana" w:hAnsi="Verdana"/>
          <w:sz w:val="20"/>
          <w:szCs w:val="20"/>
        </w:rPr>
      </w:pPr>
    </w:p>
    <w:p w:rsidR="00515C0C" w:rsidRDefault="00076E97" w:rsidP="006B3682">
      <w:pPr>
        <w:ind w:right="26"/>
        <w:jc w:val="both"/>
        <w:rPr>
          <w:rFonts w:ascii="Verdana" w:hAnsi="Verdana"/>
          <w:sz w:val="20"/>
          <w:szCs w:val="20"/>
        </w:rPr>
      </w:pPr>
      <w:r>
        <w:rPr>
          <w:rFonts w:ascii="Verdana" w:hAnsi="Verdana"/>
          <w:sz w:val="20"/>
          <w:szCs w:val="20"/>
        </w:rPr>
        <w:t xml:space="preserve">First, in order to grant this exemption </w:t>
      </w:r>
      <w:proofErr w:type="spellStart"/>
      <w:r>
        <w:rPr>
          <w:rFonts w:ascii="Verdana" w:hAnsi="Verdana"/>
          <w:sz w:val="20"/>
          <w:szCs w:val="20"/>
        </w:rPr>
        <w:t>Comcare</w:t>
      </w:r>
      <w:proofErr w:type="spellEnd"/>
      <w:r>
        <w:rPr>
          <w:rFonts w:ascii="Verdana" w:hAnsi="Verdana"/>
          <w:sz w:val="20"/>
          <w:szCs w:val="20"/>
        </w:rPr>
        <w:t xml:space="preserve"> must consider whether granting the exemption will result in a standard of health and safety at the relevant workplace, or in relation to the relevant undertaking, that is at least equivalent to the standard that would be achieved by compliance with the relevant provision. </w:t>
      </w:r>
    </w:p>
    <w:p w:rsidR="00076E97" w:rsidRDefault="00076E97" w:rsidP="006B3682">
      <w:pPr>
        <w:ind w:right="28"/>
        <w:contextualSpacing/>
        <w:jc w:val="both"/>
        <w:rPr>
          <w:rFonts w:ascii="Verdana" w:hAnsi="Verdana"/>
          <w:sz w:val="20"/>
          <w:szCs w:val="20"/>
        </w:rPr>
      </w:pPr>
    </w:p>
    <w:p w:rsidR="00B378DB" w:rsidRDefault="00076E97" w:rsidP="006B3682">
      <w:pPr>
        <w:ind w:right="28"/>
        <w:contextualSpacing/>
        <w:jc w:val="both"/>
        <w:rPr>
          <w:rFonts w:ascii="Verdana" w:hAnsi="Verdana"/>
          <w:sz w:val="20"/>
          <w:szCs w:val="20"/>
        </w:rPr>
      </w:pPr>
      <w:proofErr w:type="spellStart"/>
      <w:r w:rsidRPr="00F24006">
        <w:rPr>
          <w:rFonts w:ascii="Verdana" w:hAnsi="Verdana"/>
          <w:sz w:val="20"/>
          <w:szCs w:val="20"/>
        </w:rPr>
        <w:t>Comcare</w:t>
      </w:r>
      <w:proofErr w:type="spellEnd"/>
      <w:r w:rsidRPr="00F24006">
        <w:rPr>
          <w:rFonts w:ascii="Verdana" w:hAnsi="Verdana"/>
          <w:sz w:val="20"/>
          <w:szCs w:val="20"/>
        </w:rPr>
        <w:t xml:space="preserve"> considers that an exemption from complying with </w:t>
      </w:r>
      <w:r w:rsidR="00AA5A61">
        <w:rPr>
          <w:rFonts w:ascii="Verdana" w:hAnsi="Verdana"/>
          <w:sz w:val="20"/>
          <w:szCs w:val="20"/>
        </w:rPr>
        <w:t xml:space="preserve">AS 4005 </w:t>
      </w:r>
      <w:r w:rsidR="00B378DB">
        <w:rPr>
          <w:rFonts w:ascii="Verdana" w:hAnsi="Verdana"/>
          <w:sz w:val="20"/>
          <w:szCs w:val="20"/>
        </w:rPr>
        <w:t>(</w:t>
      </w:r>
      <w:r w:rsidR="00021C7B">
        <w:rPr>
          <w:rFonts w:ascii="Verdana" w:hAnsi="Verdana"/>
          <w:sz w:val="20"/>
          <w:szCs w:val="20"/>
        </w:rPr>
        <w:t xml:space="preserve">see </w:t>
      </w:r>
      <w:r w:rsidR="00B378DB">
        <w:rPr>
          <w:rFonts w:ascii="Verdana" w:hAnsi="Verdana"/>
          <w:sz w:val="20"/>
          <w:szCs w:val="20"/>
        </w:rPr>
        <w:t>sub</w:t>
      </w:r>
      <w:r w:rsidR="00B378DB">
        <w:rPr>
          <w:rFonts w:ascii="Verdana" w:hAnsi="Verdana"/>
          <w:sz w:val="20"/>
          <w:szCs w:val="20"/>
        </w:rPr>
        <w:noBreakHyphen/>
        <w:t>regulation 171(a</w:t>
      </w:r>
      <w:proofErr w:type="gramStart"/>
      <w:r w:rsidR="00B378DB">
        <w:rPr>
          <w:rFonts w:ascii="Verdana" w:hAnsi="Verdana"/>
          <w:sz w:val="20"/>
          <w:szCs w:val="20"/>
        </w:rPr>
        <w:t>)(</w:t>
      </w:r>
      <w:proofErr w:type="gramEnd"/>
      <w:r w:rsidR="00B378DB">
        <w:rPr>
          <w:rFonts w:ascii="Verdana" w:hAnsi="Verdana"/>
          <w:sz w:val="20"/>
          <w:szCs w:val="20"/>
        </w:rPr>
        <w:t xml:space="preserve">ii) of the WHS </w:t>
      </w:r>
      <w:r w:rsidR="008A5618">
        <w:rPr>
          <w:rFonts w:ascii="Verdana" w:hAnsi="Verdana"/>
          <w:sz w:val="20"/>
          <w:szCs w:val="20"/>
        </w:rPr>
        <w:t>Regulations</w:t>
      </w:r>
      <w:r w:rsidR="00B378DB">
        <w:rPr>
          <w:rFonts w:ascii="Verdana" w:hAnsi="Verdana"/>
          <w:sz w:val="20"/>
          <w:szCs w:val="20"/>
        </w:rPr>
        <w:t xml:space="preserve">) on condition that members of the ADF train in accordance with AS 2815.1 and AS/NZS 2815.5 as modified will ensure that these members will continue to receive suitable and appropriate training and instruction to carry out general diving work competently and safely. The application of the training conditions will, in fact, ensure that general diving work will be carried out by ADF divers and ADF dive supervisors more competently and at a higher level of work health and safety than </w:t>
      </w:r>
      <w:r w:rsidR="00B9760D">
        <w:rPr>
          <w:rFonts w:ascii="Verdana" w:hAnsi="Verdana"/>
          <w:sz w:val="20"/>
          <w:szCs w:val="20"/>
        </w:rPr>
        <w:t>if they complied with AS 4005.</w:t>
      </w:r>
    </w:p>
    <w:p w:rsidR="00076E97" w:rsidRDefault="00076E97" w:rsidP="006B3682">
      <w:pPr>
        <w:ind w:right="28"/>
        <w:contextualSpacing/>
        <w:jc w:val="both"/>
        <w:rPr>
          <w:rFonts w:ascii="Verdana" w:hAnsi="Verdana"/>
          <w:sz w:val="20"/>
          <w:szCs w:val="20"/>
        </w:rPr>
      </w:pPr>
    </w:p>
    <w:p w:rsidR="00AE0538" w:rsidRDefault="008A5618" w:rsidP="006B3682">
      <w:pPr>
        <w:ind w:right="28"/>
        <w:contextualSpacing/>
        <w:jc w:val="both"/>
        <w:rPr>
          <w:rFonts w:ascii="Verdana" w:hAnsi="Verdana"/>
          <w:sz w:val="20"/>
          <w:szCs w:val="20"/>
        </w:rPr>
      </w:pPr>
      <w:r>
        <w:rPr>
          <w:rFonts w:ascii="Verdana" w:hAnsi="Verdana"/>
          <w:sz w:val="20"/>
          <w:szCs w:val="20"/>
        </w:rPr>
        <w:t xml:space="preserve">Second, </w:t>
      </w:r>
      <w:r w:rsidR="004708E0">
        <w:rPr>
          <w:rFonts w:ascii="Verdana" w:hAnsi="Verdana"/>
          <w:sz w:val="20"/>
          <w:szCs w:val="20"/>
        </w:rPr>
        <w:t>the exemption being granted by this legislative instrument does not alter the remaining general diving work requir</w:t>
      </w:r>
      <w:r w:rsidR="00FF7D61">
        <w:rPr>
          <w:rFonts w:ascii="Verdana" w:hAnsi="Verdana"/>
          <w:sz w:val="20"/>
          <w:szCs w:val="20"/>
        </w:rPr>
        <w:t>e</w:t>
      </w:r>
      <w:r w:rsidR="004708E0">
        <w:rPr>
          <w:rFonts w:ascii="Verdana" w:hAnsi="Verdana"/>
          <w:sz w:val="20"/>
          <w:szCs w:val="20"/>
        </w:rPr>
        <w:t>ments or the other duties contained in the WHS Act that underpin the right to healthy and safe working conditions.</w:t>
      </w:r>
    </w:p>
    <w:p w:rsidR="0049793A" w:rsidRDefault="0049793A" w:rsidP="006B3682">
      <w:pPr>
        <w:ind w:right="28"/>
        <w:contextualSpacing/>
        <w:jc w:val="both"/>
        <w:rPr>
          <w:rFonts w:ascii="Verdana" w:hAnsi="Verdana"/>
          <w:sz w:val="20"/>
          <w:szCs w:val="20"/>
        </w:rPr>
      </w:pPr>
    </w:p>
    <w:p w:rsidR="004708E0" w:rsidRPr="00F24006" w:rsidRDefault="004708E0" w:rsidP="006B3682">
      <w:pPr>
        <w:spacing w:before="120" w:after="120"/>
        <w:contextualSpacing/>
        <w:jc w:val="both"/>
        <w:rPr>
          <w:rFonts w:ascii="Verdana" w:hAnsi="Verdana"/>
          <w:b/>
          <w:sz w:val="20"/>
          <w:szCs w:val="20"/>
        </w:rPr>
      </w:pPr>
      <w:r w:rsidRPr="00F24006">
        <w:rPr>
          <w:rFonts w:ascii="Verdana" w:hAnsi="Verdana"/>
          <w:b/>
          <w:sz w:val="20"/>
          <w:szCs w:val="20"/>
        </w:rPr>
        <w:t>Conclusion</w:t>
      </w:r>
    </w:p>
    <w:p w:rsidR="00C252D2" w:rsidRPr="00D32060" w:rsidRDefault="00C252D2" w:rsidP="006B3682">
      <w:pPr>
        <w:spacing w:before="120" w:after="120"/>
        <w:contextualSpacing/>
        <w:jc w:val="both"/>
        <w:rPr>
          <w:rFonts w:ascii="Verdana" w:hAnsi="Verdana"/>
          <w:sz w:val="20"/>
          <w:szCs w:val="20"/>
        </w:rPr>
      </w:pPr>
      <w:r w:rsidRPr="00D32060">
        <w:rPr>
          <w:rFonts w:ascii="Verdana" w:hAnsi="Verdana"/>
          <w:sz w:val="20"/>
          <w:szCs w:val="20"/>
        </w:rPr>
        <w:t>This Legislative Instrument is compatible with human rights</w:t>
      </w:r>
      <w:r>
        <w:rPr>
          <w:rFonts w:ascii="Verdana" w:hAnsi="Verdana"/>
          <w:sz w:val="20"/>
          <w:szCs w:val="20"/>
        </w:rPr>
        <w:t xml:space="preserve"> because it seeks to facilitate a smooth transition to the new Work Health and Safety laws for </w:t>
      </w:r>
      <w:r w:rsidR="00021C7B">
        <w:rPr>
          <w:rFonts w:ascii="Verdana" w:hAnsi="Verdana"/>
          <w:sz w:val="20"/>
          <w:szCs w:val="20"/>
        </w:rPr>
        <w:t xml:space="preserve">Defence, the </w:t>
      </w:r>
      <w:r>
        <w:rPr>
          <w:rFonts w:ascii="Verdana" w:hAnsi="Verdana"/>
          <w:sz w:val="20"/>
          <w:szCs w:val="20"/>
        </w:rPr>
        <w:t>ADF and members</w:t>
      </w:r>
      <w:r w:rsidR="00021C7B">
        <w:rPr>
          <w:rFonts w:ascii="Verdana" w:hAnsi="Verdana"/>
          <w:sz w:val="20"/>
          <w:szCs w:val="20"/>
        </w:rPr>
        <w:t xml:space="preserve"> of the ADF. To</w:t>
      </w:r>
      <w:r>
        <w:rPr>
          <w:rFonts w:ascii="Verdana" w:hAnsi="Verdana"/>
          <w:sz w:val="20"/>
          <w:szCs w:val="20"/>
        </w:rPr>
        <w:t xml:space="preserve"> the extent that it may limit rights, th</w:t>
      </w:r>
      <w:r w:rsidR="00021C7B">
        <w:rPr>
          <w:rFonts w:ascii="Verdana" w:hAnsi="Verdana"/>
          <w:sz w:val="20"/>
          <w:szCs w:val="20"/>
        </w:rPr>
        <w:t>e</w:t>
      </w:r>
      <w:r>
        <w:rPr>
          <w:rFonts w:ascii="Verdana" w:hAnsi="Verdana"/>
          <w:sz w:val="20"/>
          <w:szCs w:val="20"/>
        </w:rPr>
        <w:t>se limitations are reasonable, necessary and proportionate to the achievement of that legitimate objective</w:t>
      </w:r>
      <w:r w:rsidRPr="00D32060">
        <w:rPr>
          <w:rFonts w:ascii="Verdana" w:hAnsi="Verdana"/>
          <w:sz w:val="20"/>
          <w:szCs w:val="20"/>
        </w:rPr>
        <w:t>.</w:t>
      </w:r>
    </w:p>
    <w:p w:rsidR="0049793A" w:rsidRDefault="0049793A" w:rsidP="006B3682">
      <w:pPr>
        <w:ind w:right="26"/>
        <w:jc w:val="both"/>
        <w:rPr>
          <w:rFonts w:ascii="Verdana" w:hAnsi="Verdana"/>
          <w:sz w:val="20"/>
          <w:szCs w:val="20"/>
        </w:rPr>
      </w:pPr>
    </w:p>
    <w:p w:rsidR="001856A4" w:rsidRPr="00676ED6" w:rsidRDefault="004708E0" w:rsidP="006B3682">
      <w:pPr>
        <w:jc w:val="both"/>
        <w:rPr>
          <w:rFonts w:ascii="Verdana" w:hAnsi="Verdana"/>
          <w:b/>
          <w:sz w:val="20"/>
          <w:szCs w:val="20"/>
        </w:rPr>
      </w:pPr>
      <w:proofErr w:type="spellStart"/>
      <w:r w:rsidRPr="00061397">
        <w:rPr>
          <w:rFonts w:ascii="Verdana" w:hAnsi="Verdana"/>
          <w:b/>
          <w:sz w:val="20"/>
          <w:szCs w:val="20"/>
        </w:rPr>
        <w:t>Comcare</w:t>
      </w:r>
      <w:proofErr w:type="spellEnd"/>
    </w:p>
    <w:sectPr w:rsidR="001856A4" w:rsidRPr="00676ED6" w:rsidSect="005B5B03">
      <w:headerReference w:type="default" r:id="rId10"/>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59" w:rsidRDefault="003C5D59" w:rsidP="00EB49A5">
      <w:r>
        <w:separator/>
      </w:r>
    </w:p>
  </w:endnote>
  <w:endnote w:type="continuationSeparator" w:id="0">
    <w:p w:rsidR="003C5D59" w:rsidRDefault="003C5D59" w:rsidP="00EB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59" w:rsidRDefault="003C5D59" w:rsidP="00EB49A5">
      <w:r>
        <w:separator/>
      </w:r>
    </w:p>
  </w:footnote>
  <w:footnote w:type="continuationSeparator" w:id="0">
    <w:p w:rsidR="003C5D59" w:rsidRDefault="003C5D59" w:rsidP="00EB49A5">
      <w:r>
        <w:continuationSeparator/>
      </w:r>
    </w:p>
  </w:footnote>
  <w:footnote w:id="1">
    <w:p w:rsidR="005D69A4" w:rsidRPr="00D7736C" w:rsidRDefault="005D69A4" w:rsidP="005D69A4">
      <w:pPr>
        <w:pStyle w:val="FootnoteText"/>
      </w:pPr>
      <w:r>
        <w:rPr>
          <w:rStyle w:val="FootnoteReference"/>
        </w:rPr>
        <w:footnoteRef/>
      </w:r>
      <w:r>
        <w:t xml:space="preserve"> UN Office of the High Commissioner for Human Rights (OHCHR), </w:t>
      </w:r>
      <w:r>
        <w:rPr>
          <w:i/>
          <w:iCs/>
        </w:rPr>
        <w:t>Fact Sheet No. 16 (Rev.1), The Committee on Economic, Social and Cultural Rights</w:t>
      </w:r>
      <w:r>
        <w:t>, May 1996, No. 16 (Rev.1), available at: http://www.refworld.org/docid/4794773cd.html [accessed 22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31" w:rsidRPr="00B84AD7" w:rsidRDefault="00045831" w:rsidP="00B84AD7">
    <w:pPr>
      <w:pStyle w:val="Header"/>
      <w:jc w:val="right"/>
      <w:rPr>
        <w:rFonts w:ascii="Verdana" w:hAnsi="Verdan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03" w:rsidRPr="00B84AD7" w:rsidRDefault="005B5B03" w:rsidP="00B84AD7">
    <w:pPr>
      <w:pStyle w:val="Header"/>
      <w:jc w:val="right"/>
      <w:rPr>
        <w:rFonts w:ascii="Verdana" w:hAnsi="Verdana"/>
        <w:sz w:val="20"/>
        <w:szCs w:val="20"/>
      </w:rPr>
    </w:pPr>
    <w:r w:rsidRPr="005B5B03">
      <w:rPr>
        <w:rFonts w:ascii="Verdana" w:hAnsi="Verdana"/>
        <w:b/>
        <w:sz w:val="20"/>
        <w:szCs w:val="20"/>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B17"/>
    <w:multiLevelType w:val="hybridMultilevel"/>
    <w:tmpl w:val="1094464C"/>
    <w:lvl w:ilvl="0" w:tplc="945AD9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0B4A9E"/>
    <w:multiLevelType w:val="hybridMultilevel"/>
    <w:tmpl w:val="B00E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40D98"/>
    <w:multiLevelType w:val="hybridMultilevel"/>
    <w:tmpl w:val="BE1488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1326CC"/>
    <w:multiLevelType w:val="hybridMultilevel"/>
    <w:tmpl w:val="1FAA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612725"/>
    <w:multiLevelType w:val="hybridMultilevel"/>
    <w:tmpl w:val="E836E892"/>
    <w:lvl w:ilvl="0" w:tplc="43545FE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8C7FE2"/>
    <w:multiLevelType w:val="hybridMultilevel"/>
    <w:tmpl w:val="C7C8F7F6"/>
    <w:lvl w:ilvl="0" w:tplc="43545FE6">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045169"/>
    <w:multiLevelType w:val="hybridMultilevel"/>
    <w:tmpl w:val="71AC381A"/>
    <w:lvl w:ilvl="0" w:tplc="226253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5C7CA2"/>
    <w:multiLevelType w:val="hybridMultilevel"/>
    <w:tmpl w:val="6BB207D0"/>
    <w:lvl w:ilvl="0" w:tplc="43545FE6">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4E4E01"/>
    <w:multiLevelType w:val="hybridMultilevel"/>
    <w:tmpl w:val="9304640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9">
    <w:nsid w:val="1FB22F00"/>
    <w:multiLevelType w:val="hybridMultilevel"/>
    <w:tmpl w:val="AC7216EA"/>
    <w:lvl w:ilvl="0" w:tplc="F058EE1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BF441E"/>
    <w:multiLevelType w:val="hybridMultilevel"/>
    <w:tmpl w:val="D92AA85A"/>
    <w:lvl w:ilvl="0" w:tplc="744AC9E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8F57CA"/>
    <w:multiLevelType w:val="hybridMultilevel"/>
    <w:tmpl w:val="D396B9F2"/>
    <w:lvl w:ilvl="0" w:tplc="97144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733DF2"/>
    <w:multiLevelType w:val="hybridMultilevel"/>
    <w:tmpl w:val="71AC381A"/>
    <w:lvl w:ilvl="0" w:tplc="226253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3A1D06"/>
    <w:multiLevelType w:val="hybridMultilevel"/>
    <w:tmpl w:val="42A0527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4">
    <w:nsid w:val="4F9839B9"/>
    <w:multiLevelType w:val="hybridMultilevel"/>
    <w:tmpl w:val="8C841A7C"/>
    <w:lvl w:ilvl="0" w:tplc="99BE9A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604F53"/>
    <w:multiLevelType w:val="hybridMultilevel"/>
    <w:tmpl w:val="C6A43C8E"/>
    <w:lvl w:ilvl="0" w:tplc="A864922A">
      <w:start w:val="1"/>
      <w:numFmt w:val="lowerLetter"/>
      <w:lvlText w:val="(%1)"/>
      <w:lvlJc w:val="left"/>
      <w:pPr>
        <w:ind w:left="1429" w:hanging="720"/>
      </w:pPr>
      <w:rPr>
        <w:rFonts w:hint="default"/>
      </w:rPr>
    </w:lvl>
    <w:lvl w:ilvl="1" w:tplc="59D0FC88">
      <w:start w:val="1"/>
      <w:numFmt w:val="lowerRoman"/>
      <w:lvlText w:val="(%2)"/>
      <w:lvlJc w:val="left"/>
      <w:pPr>
        <w:ind w:left="1789" w:hanging="360"/>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601607D8"/>
    <w:multiLevelType w:val="hybridMultilevel"/>
    <w:tmpl w:val="156C1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072209"/>
    <w:multiLevelType w:val="hybridMultilevel"/>
    <w:tmpl w:val="DD86F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9548A7"/>
    <w:multiLevelType w:val="hybridMultilevel"/>
    <w:tmpl w:val="0EE0E480"/>
    <w:lvl w:ilvl="0" w:tplc="D81AFD10">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71ED5A0E"/>
    <w:multiLevelType w:val="hybridMultilevel"/>
    <w:tmpl w:val="16F2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7847A5"/>
    <w:multiLevelType w:val="hybridMultilevel"/>
    <w:tmpl w:val="28ACB9B6"/>
    <w:lvl w:ilvl="0" w:tplc="0820EE5E">
      <w:start w:val="2"/>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7BA66AF9"/>
    <w:multiLevelType w:val="hybridMultilevel"/>
    <w:tmpl w:val="01AA1A24"/>
    <w:lvl w:ilvl="0" w:tplc="3306F314">
      <w:start w:val="1"/>
      <w:numFmt w:val="lowerLetter"/>
      <w:lvlText w:val="(%1)"/>
      <w:lvlJc w:val="left"/>
      <w:pPr>
        <w:ind w:left="1429" w:hanging="720"/>
      </w:pPr>
      <w:rPr>
        <w:rFonts w:hint="default"/>
      </w:rPr>
    </w:lvl>
    <w:lvl w:ilvl="1" w:tplc="43545FE6">
      <w:start w:val="1"/>
      <w:numFmt w:val="lowerRoman"/>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
  </w:num>
  <w:num w:numId="2">
    <w:abstractNumId w:val="16"/>
  </w:num>
  <w:num w:numId="3">
    <w:abstractNumId w:val="2"/>
  </w:num>
  <w:num w:numId="4">
    <w:abstractNumId w:val="11"/>
  </w:num>
  <w:num w:numId="5">
    <w:abstractNumId w:val="19"/>
  </w:num>
  <w:num w:numId="6">
    <w:abstractNumId w:val="3"/>
  </w:num>
  <w:num w:numId="7">
    <w:abstractNumId w:val="8"/>
  </w:num>
  <w:num w:numId="8">
    <w:abstractNumId w:val="15"/>
  </w:num>
  <w:num w:numId="9">
    <w:abstractNumId w:val="20"/>
  </w:num>
  <w:num w:numId="10">
    <w:abstractNumId w:val="7"/>
  </w:num>
  <w:num w:numId="11">
    <w:abstractNumId w:val="4"/>
  </w:num>
  <w:num w:numId="12">
    <w:abstractNumId w:val="14"/>
  </w:num>
  <w:num w:numId="13">
    <w:abstractNumId w:val="5"/>
  </w:num>
  <w:num w:numId="14">
    <w:abstractNumId w:val="10"/>
  </w:num>
  <w:num w:numId="15">
    <w:abstractNumId w:val="18"/>
  </w:num>
  <w:num w:numId="16">
    <w:abstractNumId w:val="21"/>
  </w:num>
  <w:num w:numId="17">
    <w:abstractNumId w:val="9"/>
  </w:num>
  <w:num w:numId="18">
    <w:abstractNumId w:val="0"/>
  </w:num>
  <w:num w:numId="19">
    <w:abstractNumId w:val="12"/>
  </w:num>
  <w:num w:numId="20">
    <w:abstractNumId w:val="6"/>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83"/>
    <w:rsid w:val="00000672"/>
    <w:rsid w:val="00003B1C"/>
    <w:rsid w:val="00005D04"/>
    <w:rsid w:val="000063AF"/>
    <w:rsid w:val="000068F1"/>
    <w:rsid w:val="000071DF"/>
    <w:rsid w:val="0001131F"/>
    <w:rsid w:val="00011C89"/>
    <w:rsid w:val="00011C8F"/>
    <w:rsid w:val="0001258F"/>
    <w:rsid w:val="00014437"/>
    <w:rsid w:val="000149B5"/>
    <w:rsid w:val="00015B29"/>
    <w:rsid w:val="00015E2C"/>
    <w:rsid w:val="000216B8"/>
    <w:rsid w:val="00021C7B"/>
    <w:rsid w:val="0002262F"/>
    <w:rsid w:val="00023101"/>
    <w:rsid w:val="00027096"/>
    <w:rsid w:val="00030882"/>
    <w:rsid w:val="000314C1"/>
    <w:rsid w:val="00036ECA"/>
    <w:rsid w:val="000372E0"/>
    <w:rsid w:val="00041E12"/>
    <w:rsid w:val="000449BF"/>
    <w:rsid w:val="00044B67"/>
    <w:rsid w:val="00045831"/>
    <w:rsid w:val="00062927"/>
    <w:rsid w:val="00062A4C"/>
    <w:rsid w:val="00063C1E"/>
    <w:rsid w:val="00064CBD"/>
    <w:rsid w:val="00065701"/>
    <w:rsid w:val="0007201F"/>
    <w:rsid w:val="00072A8F"/>
    <w:rsid w:val="00076E97"/>
    <w:rsid w:val="0007726E"/>
    <w:rsid w:val="000773C0"/>
    <w:rsid w:val="00080B8C"/>
    <w:rsid w:val="00080D34"/>
    <w:rsid w:val="00081A76"/>
    <w:rsid w:val="000829E3"/>
    <w:rsid w:val="000857EB"/>
    <w:rsid w:val="000915E0"/>
    <w:rsid w:val="000931B5"/>
    <w:rsid w:val="0009384A"/>
    <w:rsid w:val="000A1FE3"/>
    <w:rsid w:val="000A2F59"/>
    <w:rsid w:val="000A2FA6"/>
    <w:rsid w:val="000A4D9E"/>
    <w:rsid w:val="000A6D84"/>
    <w:rsid w:val="000A722B"/>
    <w:rsid w:val="000A73A3"/>
    <w:rsid w:val="000B0191"/>
    <w:rsid w:val="000B1D52"/>
    <w:rsid w:val="000B1EB6"/>
    <w:rsid w:val="000B37FB"/>
    <w:rsid w:val="000B3D3F"/>
    <w:rsid w:val="000B58FC"/>
    <w:rsid w:val="000B6661"/>
    <w:rsid w:val="000B6934"/>
    <w:rsid w:val="000B7815"/>
    <w:rsid w:val="000C3B27"/>
    <w:rsid w:val="000C3D46"/>
    <w:rsid w:val="000C58D2"/>
    <w:rsid w:val="000D05D5"/>
    <w:rsid w:val="000D1CE9"/>
    <w:rsid w:val="000D2658"/>
    <w:rsid w:val="000D3EF5"/>
    <w:rsid w:val="000D4901"/>
    <w:rsid w:val="000D7BB9"/>
    <w:rsid w:val="000E0012"/>
    <w:rsid w:val="000E21FD"/>
    <w:rsid w:val="000E41AB"/>
    <w:rsid w:val="000E5F53"/>
    <w:rsid w:val="000E748A"/>
    <w:rsid w:val="000F11F0"/>
    <w:rsid w:val="000F2769"/>
    <w:rsid w:val="000F3E42"/>
    <w:rsid w:val="000F40F1"/>
    <w:rsid w:val="000F6CA4"/>
    <w:rsid w:val="001000FC"/>
    <w:rsid w:val="00101039"/>
    <w:rsid w:val="00103E2B"/>
    <w:rsid w:val="0010686A"/>
    <w:rsid w:val="001071F2"/>
    <w:rsid w:val="001144FE"/>
    <w:rsid w:val="0011582D"/>
    <w:rsid w:val="00116F71"/>
    <w:rsid w:val="00117B2E"/>
    <w:rsid w:val="00123C1E"/>
    <w:rsid w:val="00127AB1"/>
    <w:rsid w:val="001308DF"/>
    <w:rsid w:val="00134ED2"/>
    <w:rsid w:val="00135C2A"/>
    <w:rsid w:val="00140763"/>
    <w:rsid w:val="001422B6"/>
    <w:rsid w:val="00142C63"/>
    <w:rsid w:val="001431A8"/>
    <w:rsid w:val="0014432A"/>
    <w:rsid w:val="00144DB6"/>
    <w:rsid w:val="00150795"/>
    <w:rsid w:val="00150E22"/>
    <w:rsid w:val="001510AC"/>
    <w:rsid w:val="001517C0"/>
    <w:rsid w:val="0015370A"/>
    <w:rsid w:val="00153A4C"/>
    <w:rsid w:val="001543F8"/>
    <w:rsid w:val="00155675"/>
    <w:rsid w:val="00156978"/>
    <w:rsid w:val="0016183F"/>
    <w:rsid w:val="001654F2"/>
    <w:rsid w:val="0017393F"/>
    <w:rsid w:val="001765C5"/>
    <w:rsid w:val="00176C36"/>
    <w:rsid w:val="001820D8"/>
    <w:rsid w:val="001856A4"/>
    <w:rsid w:val="00190EB5"/>
    <w:rsid w:val="001936AB"/>
    <w:rsid w:val="001944D2"/>
    <w:rsid w:val="00195560"/>
    <w:rsid w:val="00196876"/>
    <w:rsid w:val="001A08A7"/>
    <w:rsid w:val="001A15CC"/>
    <w:rsid w:val="001A275E"/>
    <w:rsid w:val="001A3F54"/>
    <w:rsid w:val="001A6ABE"/>
    <w:rsid w:val="001A77A8"/>
    <w:rsid w:val="001B1B75"/>
    <w:rsid w:val="001B3D39"/>
    <w:rsid w:val="001B4251"/>
    <w:rsid w:val="001B42C2"/>
    <w:rsid w:val="001B5308"/>
    <w:rsid w:val="001B734C"/>
    <w:rsid w:val="001C380E"/>
    <w:rsid w:val="001C6AED"/>
    <w:rsid w:val="001D1681"/>
    <w:rsid w:val="001D245C"/>
    <w:rsid w:val="001D31F2"/>
    <w:rsid w:val="001D51F0"/>
    <w:rsid w:val="001D6792"/>
    <w:rsid w:val="001E0976"/>
    <w:rsid w:val="001E35E7"/>
    <w:rsid w:val="001F098E"/>
    <w:rsid w:val="001F0CDB"/>
    <w:rsid w:val="001F1C58"/>
    <w:rsid w:val="001F287D"/>
    <w:rsid w:val="001F7655"/>
    <w:rsid w:val="002038FD"/>
    <w:rsid w:val="002066F6"/>
    <w:rsid w:val="00210CC5"/>
    <w:rsid w:val="00212F02"/>
    <w:rsid w:val="002157AA"/>
    <w:rsid w:val="002167F8"/>
    <w:rsid w:val="00216CA9"/>
    <w:rsid w:val="00216CFD"/>
    <w:rsid w:val="00217C31"/>
    <w:rsid w:val="002223DA"/>
    <w:rsid w:val="00223859"/>
    <w:rsid w:val="00223D8C"/>
    <w:rsid w:val="0022573B"/>
    <w:rsid w:val="00226738"/>
    <w:rsid w:val="00233A6C"/>
    <w:rsid w:val="002344B5"/>
    <w:rsid w:val="00234621"/>
    <w:rsid w:val="00236FB1"/>
    <w:rsid w:val="002370B2"/>
    <w:rsid w:val="002379BD"/>
    <w:rsid w:val="00237D59"/>
    <w:rsid w:val="00241640"/>
    <w:rsid w:val="0024203D"/>
    <w:rsid w:val="00243349"/>
    <w:rsid w:val="00244FC7"/>
    <w:rsid w:val="00245D1C"/>
    <w:rsid w:val="00246DDF"/>
    <w:rsid w:val="0024773A"/>
    <w:rsid w:val="00247755"/>
    <w:rsid w:val="00250194"/>
    <w:rsid w:val="002547FF"/>
    <w:rsid w:val="00254AD4"/>
    <w:rsid w:val="00261790"/>
    <w:rsid w:val="00263A12"/>
    <w:rsid w:val="00265742"/>
    <w:rsid w:val="002707BE"/>
    <w:rsid w:val="00271BBA"/>
    <w:rsid w:val="002763B1"/>
    <w:rsid w:val="002764B1"/>
    <w:rsid w:val="00277713"/>
    <w:rsid w:val="00280D47"/>
    <w:rsid w:val="00281EE5"/>
    <w:rsid w:val="002843FF"/>
    <w:rsid w:val="00287CF7"/>
    <w:rsid w:val="00290C63"/>
    <w:rsid w:val="002968C0"/>
    <w:rsid w:val="002A0F9C"/>
    <w:rsid w:val="002A37FF"/>
    <w:rsid w:val="002A3F26"/>
    <w:rsid w:val="002A4A87"/>
    <w:rsid w:val="002A6062"/>
    <w:rsid w:val="002A70C8"/>
    <w:rsid w:val="002B12EA"/>
    <w:rsid w:val="002B1CF4"/>
    <w:rsid w:val="002C28E7"/>
    <w:rsid w:val="002C3752"/>
    <w:rsid w:val="002C7D56"/>
    <w:rsid w:val="002D0A9E"/>
    <w:rsid w:val="002D1760"/>
    <w:rsid w:val="002D2A7E"/>
    <w:rsid w:val="002D38A3"/>
    <w:rsid w:val="002E0CCB"/>
    <w:rsid w:val="002E17BB"/>
    <w:rsid w:val="002E4FF5"/>
    <w:rsid w:val="002E7197"/>
    <w:rsid w:val="002F07CB"/>
    <w:rsid w:val="002F1BA6"/>
    <w:rsid w:val="00301664"/>
    <w:rsid w:val="00301D47"/>
    <w:rsid w:val="00304C32"/>
    <w:rsid w:val="00306326"/>
    <w:rsid w:val="003077F7"/>
    <w:rsid w:val="00312819"/>
    <w:rsid w:val="00314E5A"/>
    <w:rsid w:val="003151E3"/>
    <w:rsid w:val="0031711D"/>
    <w:rsid w:val="003176AA"/>
    <w:rsid w:val="00320EE4"/>
    <w:rsid w:val="00327125"/>
    <w:rsid w:val="003321E0"/>
    <w:rsid w:val="00333B73"/>
    <w:rsid w:val="00333E64"/>
    <w:rsid w:val="0033431B"/>
    <w:rsid w:val="00336249"/>
    <w:rsid w:val="00340009"/>
    <w:rsid w:val="003419B9"/>
    <w:rsid w:val="00343E0D"/>
    <w:rsid w:val="00345A69"/>
    <w:rsid w:val="00347B94"/>
    <w:rsid w:val="00347E01"/>
    <w:rsid w:val="00351E83"/>
    <w:rsid w:val="003527CC"/>
    <w:rsid w:val="00355719"/>
    <w:rsid w:val="0035704F"/>
    <w:rsid w:val="00357FED"/>
    <w:rsid w:val="003614DB"/>
    <w:rsid w:val="00363085"/>
    <w:rsid w:val="003672EC"/>
    <w:rsid w:val="00370928"/>
    <w:rsid w:val="003724BA"/>
    <w:rsid w:val="003767A6"/>
    <w:rsid w:val="00376CEE"/>
    <w:rsid w:val="0038012E"/>
    <w:rsid w:val="00380143"/>
    <w:rsid w:val="00381DCC"/>
    <w:rsid w:val="0038234B"/>
    <w:rsid w:val="00385A45"/>
    <w:rsid w:val="00390E83"/>
    <w:rsid w:val="00393099"/>
    <w:rsid w:val="0039399F"/>
    <w:rsid w:val="00394279"/>
    <w:rsid w:val="003A0001"/>
    <w:rsid w:val="003A1613"/>
    <w:rsid w:val="003A3131"/>
    <w:rsid w:val="003B04E4"/>
    <w:rsid w:val="003B2E6D"/>
    <w:rsid w:val="003B4658"/>
    <w:rsid w:val="003B5E6E"/>
    <w:rsid w:val="003B7133"/>
    <w:rsid w:val="003C0753"/>
    <w:rsid w:val="003C5D59"/>
    <w:rsid w:val="003D12E5"/>
    <w:rsid w:val="003D7153"/>
    <w:rsid w:val="003E18D9"/>
    <w:rsid w:val="003E2B4E"/>
    <w:rsid w:val="003F19A5"/>
    <w:rsid w:val="003F1F87"/>
    <w:rsid w:val="003F4951"/>
    <w:rsid w:val="003F495E"/>
    <w:rsid w:val="0040210D"/>
    <w:rsid w:val="00402797"/>
    <w:rsid w:val="004041D8"/>
    <w:rsid w:val="00404966"/>
    <w:rsid w:val="004053DF"/>
    <w:rsid w:val="00405EE9"/>
    <w:rsid w:val="00406A3B"/>
    <w:rsid w:val="004072F0"/>
    <w:rsid w:val="00407D3D"/>
    <w:rsid w:val="00411601"/>
    <w:rsid w:val="004137A2"/>
    <w:rsid w:val="00421F93"/>
    <w:rsid w:val="00422464"/>
    <w:rsid w:val="004224FF"/>
    <w:rsid w:val="0043204B"/>
    <w:rsid w:val="00434854"/>
    <w:rsid w:val="00436707"/>
    <w:rsid w:val="004437AD"/>
    <w:rsid w:val="00443C36"/>
    <w:rsid w:val="0044446A"/>
    <w:rsid w:val="004475BC"/>
    <w:rsid w:val="00450906"/>
    <w:rsid w:val="00454086"/>
    <w:rsid w:val="00456758"/>
    <w:rsid w:val="00460135"/>
    <w:rsid w:val="00461D80"/>
    <w:rsid w:val="0046523A"/>
    <w:rsid w:val="00466923"/>
    <w:rsid w:val="0046766F"/>
    <w:rsid w:val="004708E0"/>
    <w:rsid w:val="00470F81"/>
    <w:rsid w:val="004713BE"/>
    <w:rsid w:val="00472EF7"/>
    <w:rsid w:val="004809A2"/>
    <w:rsid w:val="004813C0"/>
    <w:rsid w:val="004836E9"/>
    <w:rsid w:val="00487040"/>
    <w:rsid w:val="00487515"/>
    <w:rsid w:val="00490E73"/>
    <w:rsid w:val="00491CF7"/>
    <w:rsid w:val="00493452"/>
    <w:rsid w:val="00495F6D"/>
    <w:rsid w:val="0049793A"/>
    <w:rsid w:val="004A1AA5"/>
    <w:rsid w:val="004A1FA3"/>
    <w:rsid w:val="004A2022"/>
    <w:rsid w:val="004A325B"/>
    <w:rsid w:val="004A66CF"/>
    <w:rsid w:val="004A6863"/>
    <w:rsid w:val="004B0263"/>
    <w:rsid w:val="004B0BB0"/>
    <w:rsid w:val="004B1993"/>
    <w:rsid w:val="004B2CC0"/>
    <w:rsid w:val="004B6C36"/>
    <w:rsid w:val="004B7125"/>
    <w:rsid w:val="004B7463"/>
    <w:rsid w:val="004B7578"/>
    <w:rsid w:val="004B7ECD"/>
    <w:rsid w:val="004C0DFC"/>
    <w:rsid w:val="004C1DD1"/>
    <w:rsid w:val="004C4BB7"/>
    <w:rsid w:val="004C4C61"/>
    <w:rsid w:val="004C5668"/>
    <w:rsid w:val="004C5AB2"/>
    <w:rsid w:val="004C60A0"/>
    <w:rsid w:val="004C6672"/>
    <w:rsid w:val="004C7C58"/>
    <w:rsid w:val="004D04B4"/>
    <w:rsid w:val="004D2E08"/>
    <w:rsid w:val="004D3DF7"/>
    <w:rsid w:val="004D47FC"/>
    <w:rsid w:val="004E1C86"/>
    <w:rsid w:val="004E2030"/>
    <w:rsid w:val="004E7BF9"/>
    <w:rsid w:val="004F2EE9"/>
    <w:rsid w:val="004F5AD2"/>
    <w:rsid w:val="0050057B"/>
    <w:rsid w:val="00500933"/>
    <w:rsid w:val="0050200A"/>
    <w:rsid w:val="00502A39"/>
    <w:rsid w:val="0050436E"/>
    <w:rsid w:val="005047A4"/>
    <w:rsid w:val="00505347"/>
    <w:rsid w:val="00506267"/>
    <w:rsid w:val="005076FB"/>
    <w:rsid w:val="00510A72"/>
    <w:rsid w:val="00511B39"/>
    <w:rsid w:val="00513933"/>
    <w:rsid w:val="0051487E"/>
    <w:rsid w:val="00515146"/>
    <w:rsid w:val="00515A5A"/>
    <w:rsid w:val="00515C0C"/>
    <w:rsid w:val="0052200C"/>
    <w:rsid w:val="00522865"/>
    <w:rsid w:val="00522D67"/>
    <w:rsid w:val="005237E2"/>
    <w:rsid w:val="00525E4B"/>
    <w:rsid w:val="00526688"/>
    <w:rsid w:val="00526ABF"/>
    <w:rsid w:val="00531B38"/>
    <w:rsid w:val="00542351"/>
    <w:rsid w:val="005430EE"/>
    <w:rsid w:val="0054353C"/>
    <w:rsid w:val="00544B97"/>
    <w:rsid w:val="005472A6"/>
    <w:rsid w:val="00547782"/>
    <w:rsid w:val="00547ADA"/>
    <w:rsid w:val="005510F5"/>
    <w:rsid w:val="0055373F"/>
    <w:rsid w:val="00553CD1"/>
    <w:rsid w:val="00553CF3"/>
    <w:rsid w:val="005545B8"/>
    <w:rsid w:val="00557664"/>
    <w:rsid w:val="005615BF"/>
    <w:rsid w:val="00562DFC"/>
    <w:rsid w:val="005631AD"/>
    <w:rsid w:val="00564BF4"/>
    <w:rsid w:val="00574524"/>
    <w:rsid w:val="005760EA"/>
    <w:rsid w:val="00576A58"/>
    <w:rsid w:val="00580A67"/>
    <w:rsid w:val="00582BE1"/>
    <w:rsid w:val="00582FD4"/>
    <w:rsid w:val="005838B4"/>
    <w:rsid w:val="00583E9B"/>
    <w:rsid w:val="0058630C"/>
    <w:rsid w:val="00590530"/>
    <w:rsid w:val="0059289C"/>
    <w:rsid w:val="0059604C"/>
    <w:rsid w:val="005A50D1"/>
    <w:rsid w:val="005A6A3B"/>
    <w:rsid w:val="005B2111"/>
    <w:rsid w:val="005B2465"/>
    <w:rsid w:val="005B2906"/>
    <w:rsid w:val="005B5B03"/>
    <w:rsid w:val="005B7ECF"/>
    <w:rsid w:val="005C0915"/>
    <w:rsid w:val="005C0DBB"/>
    <w:rsid w:val="005C1EAD"/>
    <w:rsid w:val="005C427F"/>
    <w:rsid w:val="005C4F14"/>
    <w:rsid w:val="005C65F7"/>
    <w:rsid w:val="005D0104"/>
    <w:rsid w:val="005D05CA"/>
    <w:rsid w:val="005D0E89"/>
    <w:rsid w:val="005D1CC4"/>
    <w:rsid w:val="005D363E"/>
    <w:rsid w:val="005D43AB"/>
    <w:rsid w:val="005D57DC"/>
    <w:rsid w:val="005D69A4"/>
    <w:rsid w:val="005E0081"/>
    <w:rsid w:val="005E7603"/>
    <w:rsid w:val="00601FED"/>
    <w:rsid w:val="0060457A"/>
    <w:rsid w:val="0060793C"/>
    <w:rsid w:val="00607D53"/>
    <w:rsid w:val="006100BE"/>
    <w:rsid w:val="00614108"/>
    <w:rsid w:val="006171B3"/>
    <w:rsid w:val="006207E7"/>
    <w:rsid w:val="00622C1E"/>
    <w:rsid w:val="00622DA2"/>
    <w:rsid w:val="0062493C"/>
    <w:rsid w:val="006274AB"/>
    <w:rsid w:val="006309A4"/>
    <w:rsid w:val="00634AD1"/>
    <w:rsid w:val="006351E5"/>
    <w:rsid w:val="00636AAE"/>
    <w:rsid w:val="00636E08"/>
    <w:rsid w:val="006428DE"/>
    <w:rsid w:val="006443A7"/>
    <w:rsid w:val="00647B46"/>
    <w:rsid w:val="00650E73"/>
    <w:rsid w:val="00653FA4"/>
    <w:rsid w:val="00664885"/>
    <w:rsid w:val="00667F78"/>
    <w:rsid w:val="0067639B"/>
    <w:rsid w:val="00676ED6"/>
    <w:rsid w:val="00680ABC"/>
    <w:rsid w:val="00682E87"/>
    <w:rsid w:val="00683CDD"/>
    <w:rsid w:val="0068484F"/>
    <w:rsid w:val="00686180"/>
    <w:rsid w:val="00693F6B"/>
    <w:rsid w:val="006A59E7"/>
    <w:rsid w:val="006A6E4C"/>
    <w:rsid w:val="006A728F"/>
    <w:rsid w:val="006B04A3"/>
    <w:rsid w:val="006B11C6"/>
    <w:rsid w:val="006B3682"/>
    <w:rsid w:val="006B6519"/>
    <w:rsid w:val="006C0063"/>
    <w:rsid w:val="006C041B"/>
    <w:rsid w:val="006C4133"/>
    <w:rsid w:val="006C4C5C"/>
    <w:rsid w:val="006C4D6E"/>
    <w:rsid w:val="006D15B1"/>
    <w:rsid w:val="006D1F62"/>
    <w:rsid w:val="006E0080"/>
    <w:rsid w:val="006E128F"/>
    <w:rsid w:val="006E2C00"/>
    <w:rsid w:val="006E32CF"/>
    <w:rsid w:val="006E5CFD"/>
    <w:rsid w:val="006E731C"/>
    <w:rsid w:val="006E7346"/>
    <w:rsid w:val="006E758C"/>
    <w:rsid w:val="006F503C"/>
    <w:rsid w:val="006F7E88"/>
    <w:rsid w:val="007013F0"/>
    <w:rsid w:val="00702E5A"/>
    <w:rsid w:val="007035A8"/>
    <w:rsid w:val="00704641"/>
    <w:rsid w:val="007050A9"/>
    <w:rsid w:val="00707F90"/>
    <w:rsid w:val="00710625"/>
    <w:rsid w:val="007110B7"/>
    <w:rsid w:val="00711E6E"/>
    <w:rsid w:val="00713495"/>
    <w:rsid w:val="00716F21"/>
    <w:rsid w:val="0071781C"/>
    <w:rsid w:val="007223E4"/>
    <w:rsid w:val="0072292A"/>
    <w:rsid w:val="00723221"/>
    <w:rsid w:val="00723426"/>
    <w:rsid w:val="0072706F"/>
    <w:rsid w:val="007273CE"/>
    <w:rsid w:val="00731386"/>
    <w:rsid w:val="007330FA"/>
    <w:rsid w:val="00744359"/>
    <w:rsid w:val="00750F97"/>
    <w:rsid w:val="00751E75"/>
    <w:rsid w:val="00752F5A"/>
    <w:rsid w:val="00753AEA"/>
    <w:rsid w:val="00755271"/>
    <w:rsid w:val="00764AD2"/>
    <w:rsid w:val="00765119"/>
    <w:rsid w:val="00765C28"/>
    <w:rsid w:val="00771202"/>
    <w:rsid w:val="00771EA8"/>
    <w:rsid w:val="00771F4A"/>
    <w:rsid w:val="0077576A"/>
    <w:rsid w:val="00780C32"/>
    <w:rsid w:val="00782AD9"/>
    <w:rsid w:val="0078321D"/>
    <w:rsid w:val="00784E39"/>
    <w:rsid w:val="0079215D"/>
    <w:rsid w:val="00792EDE"/>
    <w:rsid w:val="0079385B"/>
    <w:rsid w:val="00794BB5"/>
    <w:rsid w:val="0079511C"/>
    <w:rsid w:val="00796178"/>
    <w:rsid w:val="00796DB2"/>
    <w:rsid w:val="007A0E2F"/>
    <w:rsid w:val="007A1189"/>
    <w:rsid w:val="007A3C84"/>
    <w:rsid w:val="007A53A5"/>
    <w:rsid w:val="007A629C"/>
    <w:rsid w:val="007A6A88"/>
    <w:rsid w:val="007A7DAD"/>
    <w:rsid w:val="007B4A00"/>
    <w:rsid w:val="007B6C9D"/>
    <w:rsid w:val="007B7204"/>
    <w:rsid w:val="007B7416"/>
    <w:rsid w:val="007C105F"/>
    <w:rsid w:val="007C25A7"/>
    <w:rsid w:val="007C2A1D"/>
    <w:rsid w:val="007C2BD1"/>
    <w:rsid w:val="007C3E7A"/>
    <w:rsid w:val="007C5437"/>
    <w:rsid w:val="007D1BF9"/>
    <w:rsid w:val="007D1D05"/>
    <w:rsid w:val="007D5253"/>
    <w:rsid w:val="007D5C62"/>
    <w:rsid w:val="007D7422"/>
    <w:rsid w:val="007E126F"/>
    <w:rsid w:val="007E1902"/>
    <w:rsid w:val="007E3818"/>
    <w:rsid w:val="007F0FA9"/>
    <w:rsid w:val="007F3054"/>
    <w:rsid w:val="007F5666"/>
    <w:rsid w:val="008048AA"/>
    <w:rsid w:val="008048E7"/>
    <w:rsid w:val="008054B0"/>
    <w:rsid w:val="00810605"/>
    <w:rsid w:val="00810D51"/>
    <w:rsid w:val="00812B31"/>
    <w:rsid w:val="00815F98"/>
    <w:rsid w:val="00821652"/>
    <w:rsid w:val="00822802"/>
    <w:rsid w:val="00823221"/>
    <w:rsid w:val="0082341B"/>
    <w:rsid w:val="0082626A"/>
    <w:rsid w:val="008263B3"/>
    <w:rsid w:val="00831E36"/>
    <w:rsid w:val="00833515"/>
    <w:rsid w:val="00833F58"/>
    <w:rsid w:val="008364CA"/>
    <w:rsid w:val="00836977"/>
    <w:rsid w:val="0084173E"/>
    <w:rsid w:val="00842146"/>
    <w:rsid w:val="00842EA9"/>
    <w:rsid w:val="00844FFC"/>
    <w:rsid w:val="00845754"/>
    <w:rsid w:val="00845F0A"/>
    <w:rsid w:val="008521DC"/>
    <w:rsid w:val="00855E03"/>
    <w:rsid w:val="0085795C"/>
    <w:rsid w:val="008608A2"/>
    <w:rsid w:val="0086138E"/>
    <w:rsid w:val="00862F75"/>
    <w:rsid w:val="00862FBD"/>
    <w:rsid w:val="00866D31"/>
    <w:rsid w:val="008711F3"/>
    <w:rsid w:val="00872167"/>
    <w:rsid w:val="00882A01"/>
    <w:rsid w:val="008834CE"/>
    <w:rsid w:val="0088562F"/>
    <w:rsid w:val="00891EE4"/>
    <w:rsid w:val="00893164"/>
    <w:rsid w:val="00897A11"/>
    <w:rsid w:val="008A1977"/>
    <w:rsid w:val="008A3B2D"/>
    <w:rsid w:val="008A3C41"/>
    <w:rsid w:val="008A4AAE"/>
    <w:rsid w:val="008A5618"/>
    <w:rsid w:val="008A779A"/>
    <w:rsid w:val="008A7D16"/>
    <w:rsid w:val="008B0D2B"/>
    <w:rsid w:val="008B4692"/>
    <w:rsid w:val="008B5CE8"/>
    <w:rsid w:val="008B5E69"/>
    <w:rsid w:val="008B7AD7"/>
    <w:rsid w:val="008C1188"/>
    <w:rsid w:val="008C1442"/>
    <w:rsid w:val="008C16D5"/>
    <w:rsid w:val="008C1FFC"/>
    <w:rsid w:val="008C308F"/>
    <w:rsid w:val="008C3E6D"/>
    <w:rsid w:val="008C4836"/>
    <w:rsid w:val="008D07C4"/>
    <w:rsid w:val="008D6A27"/>
    <w:rsid w:val="008D7277"/>
    <w:rsid w:val="008D7CF1"/>
    <w:rsid w:val="008E0D80"/>
    <w:rsid w:val="008E174B"/>
    <w:rsid w:val="008E6833"/>
    <w:rsid w:val="008E6ED2"/>
    <w:rsid w:val="008F0BD5"/>
    <w:rsid w:val="008F1171"/>
    <w:rsid w:val="008F3B32"/>
    <w:rsid w:val="008F7DB1"/>
    <w:rsid w:val="00901392"/>
    <w:rsid w:val="00911F03"/>
    <w:rsid w:val="00920950"/>
    <w:rsid w:val="009222C9"/>
    <w:rsid w:val="009223B7"/>
    <w:rsid w:val="00923E29"/>
    <w:rsid w:val="009249B0"/>
    <w:rsid w:val="00925A63"/>
    <w:rsid w:val="00926194"/>
    <w:rsid w:val="00932371"/>
    <w:rsid w:val="00932374"/>
    <w:rsid w:val="009347A5"/>
    <w:rsid w:val="00943039"/>
    <w:rsid w:val="0094695E"/>
    <w:rsid w:val="00950CD5"/>
    <w:rsid w:val="0095533C"/>
    <w:rsid w:val="009564B8"/>
    <w:rsid w:val="00962F2B"/>
    <w:rsid w:val="00970703"/>
    <w:rsid w:val="0097373E"/>
    <w:rsid w:val="00973AE4"/>
    <w:rsid w:val="00974245"/>
    <w:rsid w:val="00975A6A"/>
    <w:rsid w:val="0097674C"/>
    <w:rsid w:val="00981743"/>
    <w:rsid w:val="00983254"/>
    <w:rsid w:val="00983CF6"/>
    <w:rsid w:val="009845BC"/>
    <w:rsid w:val="00986090"/>
    <w:rsid w:val="00986A6A"/>
    <w:rsid w:val="00992E07"/>
    <w:rsid w:val="00995820"/>
    <w:rsid w:val="009972DE"/>
    <w:rsid w:val="00997F43"/>
    <w:rsid w:val="009A0C1B"/>
    <w:rsid w:val="009A5335"/>
    <w:rsid w:val="009A7A30"/>
    <w:rsid w:val="009B33E2"/>
    <w:rsid w:val="009B6A63"/>
    <w:rsid w:val="009C0189"/>
    <w:rsid w:val="009C2ECA"/>
    <w:rsid w:val="009D3102"/>
    <w:rsid w:val="009D4E25"/>
    <w:rsid w:val="009D6C59"/>
    <w:rsid w:val="009E0A59"/>
    <w:rsid w:val="009E24B9"/>
    <w:rsid w:val="009E30AA"/>
    <w:rsid w:val="009E50EE"/>
    <w:rsid w:val="009E5DD2"/>
    <w:rsid w:val="009E7923"/>
    <w:rsid w:val="009F0E53"/>
    <w:rsid w:val="009F24DA"/>
    <w:rsid w:val="009F6F87"/>
    <w:rsid w:val="009F7C29"/>
    <w:rsid w:val="00A02280"/>
    <w:rsid w:val="00A02DFE"/>
    <w:rsid w:val="00A0331A"/>
    <w:rsid w:val="00A03AC5"/>
    <w:rsid w:val="00A06E64"/>
    <w:rsid w:val="00A0756E"/>
    <w:rsid w:val="00A12FB4"/>
    <w:rsid w:val="00A1551C"/>
    <w:rsid w:val="00A15C54"/>
    <w:rsid w:val="00A204B5"/>
    <w:rsid w:val="00A2149A"/>
    <w:rsid w:val="00A21B05"/>
    <w:rsid w:val="00A24D99"/>
    <w:rsid w:val="00A2699C"/>
    <w:rsid w:val="00A27563"/>
    <w:rsid w:val="00A304D8"/>
    <w:rsid w:val="00A33688"/>
    <w:rsid w:val="00A3667C"/>
    <w:rsid w:val="00A40828"/>
    <w:rsid w:val="00A42514"/>
    <w:rsid w:val="00A46938"/>
    <w:rsid w:val="00A46DE1"/>
    <w:rsid w:val="00A505D9"/>
    <w:rsid w:val="00A513F6"/>
    <w:rsid w:val="00A518E7"/>
    <w:rsid w:val="00A54509"/>
    <w:rsid w:val="00A54E3C"/>
    <w:rsid w:val="00A6409F"/>
    <w:rsid w:val="00A649D6"/>
    <w:rsid w:val="00A66718"/>
    <w:rsid w:val="00A70497"/>
    <w:rsid w:val="00A70934"/>
    <w:rsid w:val="00A71018"/>
    <w:rsid w:val="00A747FE"/>
    <w:rsid w:val="00A81EE7"/>
    <w:rsid w:val="00A8302C"/>
    <w:rsid w:val="00A9557B"/>
    <w:rsid w:val="00A96FF4"/>
    <w:rsid w:val="00A97648"/>
    <w:rsid w:val="00AA0A69"/>
    <w:rsid w:val="00AA3CEA"/>
    <w:rsid w:val="00AA5A61"/>
    <w:rsid w:val="00AB1149"/>
    <w:rsid w:val="00AB114E"/>
    <w:rsid w:val="00AB1BDC"/>
    <w:rsid w:val="00AB2A16"/>
    <w:rsid w:val="00AB3903"/>
    <w:rsid w:val="00AB4680"/>
    <w:rsid w:val="00AC0947"/>
    <w:rsid w:val="00AC2860"/>
    <w:rsid w:val="00AC3629"/>
    <w:rsid w:val="00AC4747"/>
    <w:rsid w:val="00AC7171"/>
    <w:rsid w:val="00AD3789"/>
    <w:rsid w:val="00AD52AC"/>
    <w:rsid w:val="00AE0538"/>
    <w:rsid w:val="00AE1ED8"/>
    <w:rsid w:val="00AE2619"/>
    <w:rsid w:val="00AE271B"/>
    <w:rsid w:val="00AE6A96"/>
    <w:rsid w:val="00AF3A9F"/>
    <w:rsid w:val="00AF5688"/>
    <w:rsid w:val="00AF5B81"/>
    <w:rsid w:val="00B01EA7"/>
    <w:rsid w:val="00B052DA"/>
    <w:rsid w:val="00B05347"/>
    <w:rsid w:val="00B063FC"/>
    <w:rsid w:val="00B07E4C"/>
    <w:rsid w:val="00B13197"/>
    <w:rsid w:val="00B136C4"/>
    <w:rsid w:val="00B17A57"/>
    <w:rsid w:val="00B22EC8"/>
    <w:rsid w:val="00B2376F"/>
    <w:rsid w:val="00B237E4"/>
    <w:rsid w:val="00B276FF"/>
    <w:rsid w:val="00B27C4C"/>
    <w:rsid w:val="00B27E6E"/>
    <w:rsid w:val="00B3130F"/>
    <w:rsid w:val="00B33067"/>
    <w:rsid w:val="00B33E46"/>
    <w:rsid w:val="00B343EA"/>
    <w:rsid w:val="00B378DB"/>
    <w:rsid w:val="00B40295"/>
    <w:rsid w:val="00B405E4"/>
    <w:rsid w:val="00B443D4"/>
    <w:rsid w:val="00B460AC"/>
    <w:rsid w:val="00B509E4"/>
    <w:rsid w:val="00B51D56"/>
    <w:rsid w:val="00B5311B"/>
    <w:rsid w:val="00B54019"/>
    <w:rsid w:val="00B543B9"/>
    <w:rsid w:val="00B553F7"/>
    <w:rsid w:val="00B575B6"/>
    <w:rsid w:val="00B65A26"/>
    <w:rsid w:val="00B709ED"/>
    <w:rsid w:val="00B833F2"/>
    <w:rsid w:val="00B84AD7"/>
    <w:rsid w:val="00B872C6"/>
    <w:rsid w:val="00B874C8"/>
    <w:rsid w:val="00B901D0"/>
    <w:rsid w:val="00B915E9"/>
    <w:rsid w:val="00B95453"/>
    <w:rsid w:val="00B9760D"/>
    <w:rsid w:val="00BA0682"/>
    <w:rsid w:val="00BA0D1A"/>
    <w:rsid w:val="00BA1DB8"/>
    <w:rsid w:val="00BB02C4"/>
    <w:rsid w:val="00BB48C9"/>
    <w:rsid w:val="00BB55BF"/>
    <w:rsid w:val="00BC08EA"/>
    <w:rsid w:val="00BC47B2"/>
    <w:rsid w:val="00BC5441"/>
    <w:rsid w:val="00BC55CC"/>
    <w:rsid w:val="00BD0F5F"/>
    <w:rsid w:val="00BD0F60"/>
    <w:rsid w:val="00BD3706"/>
    <w:rsid w:val="00BD417B"/>
    <w:rsid w:val="00BD477C"/>
    <w:rsid w:val="00BE461A"/>
    <w:rsid w:val="00BE7634"/>
    <w:rsid w:val="00BE7BB6"/>
    <w:rsid w:val="00BF0C25"/>
    <w:rsid w:val="00BF1D17"/>
    <w:rsid w:val="00BF7056"/>
    <w:rsid w:val="00BF7269"/>
    <w:rsid w:val="00C02185"/>
    <w:rsid w:val="00C04E79"/>
    <w:rsid w:val="00C10B4B"/>
    <w:rsid w:val="00C141F7"/>
    <w:rsid w:val="00C1730A"/>
    <w:rsid w:val="00C17E00"/>
    <w:rsid w:val="00C252D2"/>
    <w:rsid w:val="00C32EE1"/>
    <w:rsid w:val="00C339D4"/>
    <w:rsid w:val="00C34A66"/>
    <w:rsid w:val="00C35E08"/>
    <w:rsid w:val="00C37BDE"/>
    <w:rsid w:val="00C41387"/>
    <w:rsid w:val="00C42516"/>
    <w:rsid w:val="00C43645"/>
    <w:rsid w:val="00C462B0"/>
    <w:rsid w:val="00C4650C"/>
    <w:rsid w:val="00C50B02"/>
    <w:rsid w:val="00C52339"/>
    <w:rsid w:val="00C61937"/>
    <w:rsid w:val="00C62807"/>
    <w:rsid w:val="00C64C22"/>
    <w:rsid w:val="00C730A6"/>
    <w:rsid w:val="00C7445C"/>
    <w:rsid w:val="00C766DD"/>
    <w:rsid w:val="00C776DA"/>
    <w:rsid w:val="00C825F8"/>
    <w:rsid w:val="00C82A7C"/>
    <w:rsid w:val="00C858C4"/>
    <w:rsid w:val="00C860B2"/>
    <w:rsid w:val="00C86EA3"/>
    <w:rsid w:val="00C92C46"/>
    <w:rsid w:val="00C97E64"/>
    <w:rsid w:val="00CA0466"/>
    <w:rsid w:val="00CA0557"/>
    <w:rsid w:val="00CA1E5A"/>
    <w:rsid w:val="00CA2283"/>
    <w:rsid w:val="00CA2752"/>
    <w:rsid w:val="00CA3EA0"/>
    <w:rsid w:val="00CA4287"/>
    <w:rsid w:val="00CA45FF"/>
    <w:rsid w:val="00CA69BF"/>
    <w:rsid w:val="00CA709C"/>
    <w:rsid w:val="00CA7608"/>
    <w:rsid w:val="00CB3E0B"/>
    <w:rsid w:val="00CB4DB7"/>
    <w:rsid w:val="00CB6B83"/>
    <w:rsid w:val="00CB6FBD"/>
    <w:rsid w:val="00CC040C"/>
    <w:rsid w:val="00CC06C8"/>
    <w:rsid w:val="00CC1873"/>
    <w:rsid w:val="00CC36C1"/>
    <w:rsid w:val="00CC4D36"/>
    <w:rsid w:val="00CD0DA8"/>
    <w:rsid w:val="00CD140E"/>
    <w:rsid w:val="00CD243B"/>
    <w:rsid w:val="00CD7D1E"/>
    <w:rsid w:val="00CE07B9"/>
    <w:rsid w:val="00CE1711"/>
    <w:rsid w:val="00CE6A2F"/>
    <w:rsid w:val="00CF36EA"/>
    <w:rsid w:val="00CF43C0"/>
    <w:rsid w:val="00CF56B1"/>
    <w:rsid w:val="00CF5B86"/>
    <w:rsid w:val="00CF5C11"/>
    <w:rsid w:val="00CF6F44"/>
    <w:rsid w:val="00CF723A"/>
    <w:rsid w:val="00CF7427"/>
    <w:rsid w:val="00D00B71"/>
    <w:rsid w:val="00D011CE"/>
    <w:rsid w:val="00D01C13"/>
    <w:rsid w:val="00D067D2"/>
    <w:rsid w:val="00D10032"/>
    <w:rsid w:val="00D10B84"/>
    <w:rsid w:val="00D11175"/>
    <w:rsid w:val="00D1542D"/>
    <w:rsid w:val="00D15C26"/>
    <w:rsid w:val="00D15C3F"/>
    <w:rsid w:val="00D20BC1"/>
    <w:rsid w:val="00D22BC8"/>
    <w:rsid w:val="00D263AA"/>
    <w:rsid w:val="00D269D0"/>
    <w:rsid w:val="00D3127A"/>
    <w:rsid w:val="00D329B7"/>
    <w:rsid w:val="00D32A0C"/>
    <w:rsid w:val="00D351C0"/>
    <w:rsid w:val="00D40DE9"/>
    <w:rsid w:val="00D41CF6"/>
    <w:rsid w:val="00D42869"/>
    <w:rsid w:val="00D439A2"/>
    <w:rsid w:val="00D460C3"/>
    <w:rsid w:val="00D461F7"/>
    <w:rsid w:val="00D47102"/>
    <w:rsid w:val="00D477C4"/>
    <w:rsid w:val="00D47944"/>
    <w:rsid w:val="00D60DA3"/>
    <w:rsid w:val="00D658AF"/>
    <w:rsid w:val="00D66AA4"/>
    <w:rsid w:val="00D76ED0"/>
    <w:rsid w:val="00D81C35"/>
    <w:rsid w:val="00D83A4B"/>
    <w:rsid w:val="00D853F7"/>
    <w:rsid w:val="00D91596"/>
    <w:rsid w:val="00D9193D"/>
    <w:rsid w:val="00D948C8"/>
    <w:rsid w:val="00D9727A"/>
    <w:rsid w:val="00DA089F"/>
    <w:rsid w:val="00DA3924"/>
    <w:rsid w:val="00DA4770"/>
    <w:rsid w:val="00DB1130"/>
    <w:rsid w:val="00DB46B3"/>
    <w:rsid w:val="00DB62FC"/>
    <w:rsid w:val="00DC19E3"/>
    <w:rsid w:val="00DC22D1"/>
    <w:rsid w:val="00DC3EBF"/>
    <w:rsid w:val="00DC5459"/>
    <w:rsid w:val="00DC6C2B"/>
    <w:rsid w:val="00DD3604"/>
    <w:rsid w:val="00DE0277"/>
    <w:rsid w:val="00DE2AC2"/>
    <w:rsid w:val="00DF3794"/>
    <w:rsid w:val="00DF47A4"/>
    <w:rsid w:val="00E000AE"/>
    <w:rsid w:val="00E00A2B"/>
    <w:rsid w:val="00E01727"/>
    <w:rsid w:val="00E02135"/>
    <w:rsid w:val="00E03185"/>
    <w:rsid w:val="00E04723"/>
    <w:rsid w:val="00E04AAD"/>
    <w:rsid w:val="00E051B7"/>
    <w:rsid w:val="00E11792"/>
    <w:rsid w:val="00E12DE5"/>
    <w:rsid w:val="00E16382"/>
    <w:rsid w:val="00E16BEE"/>
    <w:rsid w:val="00E2028A"/>
    <w:rsid w:val="00E2218B"/>
    <w:rsid w:val="00E223BA"/>
    <w:rsid w:val="00E228C0"/>
    <w:rsid w:val="00E259B2"/>
    <w:rsid w:val="00E263D5"/>
    <w:rsid w:val="00E32B17"/>
    <w:rsid w:val="00E336BE"/>
    <w:rsid w:val="00E358A9"/>
    <w:rsid w:val="00E401FC"/>
    <w:rsid w:val="00E41A02"/>
    <w:rsid w:val="00E44273"/>
    <w:rsid w:val="00E44B23"/>
    <w:rsid w:val="00E45503"/>
    <w:rsid w:val="00E515CF"/>
    <w:rsid w:val="00E51714"/>
    <w:rsid w:val="00E545DC"/>
    <w:rsid w:val="00E55B73"/>
    <w:rsid w:val="00E562D7"/>
    <w:rsid w:val="00E61AC5"/>
    <w:rsid w:val="00E64072"/>
    <w:rsid w:val="00E65F3F"/>
    <w:rsid w:val="00E66DAA"/>
    <w:rsid w:val="00E673DE"/>
    <w:rsid w:val="00E710BD"/>
    <w:rsid w:val="00E72986"/>
    <w:rsid w:val="00E74E52"/>
    <w:rsid w:val="00E7619C"/>
    <w:rsid w:val="00E77C12"/>
    <w:rsid w:val="00E820E1"/>
    <w:rsid w:val="00E83B81"/>
    <w:rsid w:val="00E85937"/>
    <w:rsid w:val="00E8696F"/>
    <w:rsid w:val="00E92354"/>
    <w:rsid w:val="00E93E63"/>
    <w:rsid w:val="00E95F9C"/>
    <w:rsid w:val="00E961D7"/>
    <w:rsid w:val="00E966BB"/>
    <w:rsid w:val="00E96E1E"/>
    <w:rsid w:val="00EA00D1"/>
    <w:rsid w:val="00EA0674"/>
    <w:rsid w:val="00EA0902"/>
    <w:rsid w:val="00EA12DD"/>
    <w:rsid w:val="00EA56E0"/>
    <w:rsid w:val="00EA7524"/>
    <w:rsid w:val="00EB49A5"/>
    <w:rsid w:val="00EB546A"/>
    <w:rsid w:val="00EB5679"/>
    <w:rsid w:val="00EB5C4E"/>
    <w:rsid w:val="00EB7221"/>
    <w:rsid w:val="00EB7969"/>
    <w:rsid w:val="00EC0AC5"/>
    <w:rsid w:val="00EC553B"/>
    <w:rsid w:val="00EC6412"/>
    <w:rsid w:val="00EC6460"/>
    <w:rsid w:val="00ED27D1"/>
    <w:rsid w:val="00ED3413"/>
    <w:rsid w:val="00ED6B40"/>
    <w:rsid w:val="00ED7592"/>
    <w:rsid w:val="00EE3379"/>
    <w:rsid w:val="00EE3748"/>
    <w:rsid w:val="00EE6F99"/>
    <w:rsid w:val="00EE736E"/>
    <w:rsid w:val="00EF028A"/>
    <w:rsid w:val="00EF0320"/>
    <w:rsid w:val="00EF07FB"/>
    <w:rsid w:val="00EF2675"/>
    <w:rsid w:val="00EF2A91"/>
    <w:rsid w:val="00EF3EAD"/>
    <w:rsid w:val="00EF6692"/>
    <w:rsid w:val="00F00B74"/>
    <w:rsid w:val="00F026CE"/>
    <w:rsid w:val="00F03FDB"/>
    <w:rsid w:val="00F0456C"/>
    <w:rsid w:val="00F04B16"/>
    <w:rsid w:val="00F07DDA"/>
    <w:rsid w:val="00F10BFD"/>
    <w:rsid w:val="00F12A64"/>
    <w:rsid w:val="00F132B6"/>
    <w:rsid w:val="00F137AF"/>
    <w:rsid w:val="00F17928"/>
    <w:rsid w:val="00F17C0F"/>
    <w:rsid w:val="00F22A11"/>
    <w:rsid w:val="00F22F51"/>
    <w:rsid w:val="00F233E9"/>
    <w:rsid w:val="00F275D5"/>
    <w:rsid w:val="00F30BDE"/>
    <w:rsid w:val="00F34E62"/>
    <w:rsid w:val="00F50A2F"/>
    <w:rsid w:val="00F523D9"/>
    <w:rsid w:val="00F52683"/>
    <w:rsid w:val="00F5368B"/>
    <w:rsid w:val="00F570A0"/>
    <w:rsid w:val="00F63045"/>
    <w:rsid w:val="00F6616F"/>
    <w:rsid w:val="00F73963"/>
    <w:rsid w:val="00F76E59"/>
    <w:rsid w:val="00F822B3"/>
    <w:rsid w:val="00F84744"/>
    <w:rsid w:val="00F86885"/>
    <w:rsid w:val="00F9063E"/>
    <w:rsid w:val="00F95D1F"/>
    <w:rsid w:val="00F96AF1"/>
    <w:rsid w:val="00F97315"/>
    <w:rsid w:val="00FA0FF4"/>
    <w:rsid w:val="00FA342A"/>
    <w:rsid w:val="00FB093D"/>
    <w:rsid w:val="00FB1EDD"/>
    <w:rsid w:val="00FB1FDF"/>
    <w:rsid w:val="00FD106F"/>
    <w:rsid w:val="00FD1A7C"/>
    <w:rsid w:val="00FE04E3"/>
    <w:rsid w:val="00FE2DBB"/>
    <w:rsid w:val="00FE3C5D"/>
    <w:rsid w:val="00FE4454"/>
    <w:rsid w:val="00FE7937"/>
    <w:rsid w:val="00FF2E5F"/>
    <w:rsid w:val="00FF2FE8"/>
    <w:rsid w:val="00FF4F17"/>
    <w:rsid w:val="00FF79AD"/>
    <w:rsid w:val="00FF7BCA"/>
    <w:rsid w:val="00FF7D61"/>
    <w:rsid w:val="00FF7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D51"/>
    <w:rPr>
      <w:color w:val="0000FF"/>
      <w:u w:val="single"/>
    </w:rPr>
  </w:style>
  <w:style w:type="paragraph" w:styleId="BalloonText">
    <w:name w:val="Balloon Text"/>
    <w:basedOn w:val="Normal"/>
    <w:link w:val="BalloonTextChar"/>
    <w:rsid w:val="00983CF6"/>
    <w:rPr>
      <w:rFonts w:ascii="Tahoma" w:hAnsi="Tahoma" w:cs="Tahoma"/>
      <w:sz w:val="16"/>
      <w:szCs w:val="16"/>
    </w:rPr>
  </w:style>
  <w:style w:type="character" w:customStyle="1" w:styleId="BalloonTextChar">
    <w:name w:val="Balloon Text Char"/>
    <w:link w:val="BalloonText"/>
    <w:rsid w:val="00983CF6"/>
    <w:rPr>
      <w:rFonts w:ascii="Tahoma" w:hAnsi="Tahoma" w:cs="Tahoma"/>
      <w:sz w:val="16"/>
      <w:szCs w:val="16"/>
    </w:rPr>
  </w:style>
  <w:style w:type="paragraph" w:styleId="NormalWeb">
    <w:name w:val="Normal (Web)"/>
    <w:basedOn w:val="Normal"/>
    <w:uiPriority w:val="99"/>
    <w:unhideWhenUsed/>
    <w:rsid w:val="00636AAE"/>
    <w:pPr>
      <w:spacing w:before="100" w:beforeAutospacing="1" w:after="100" w:afterAutospacing="1"/>
    </w:pPr>
  </w:style>
  <w:style w:type="character" w:styleId="CommentReference">
    <w:name w:val="annotation reference"/>
    <w:rsid w:val="00F275D5"/>
    <w:rPr>
      <w:sz w:val="16"/>
      <w:szCs w:val="16"/>
    </w:rPr>
  </w:style>
  <w:style w:type="paragraph" w:styleId="CommentText">
    <w:name w:val="annotation text"/>
    <w:basedOn w:val="Normal"/>
    <w:link w:val="CommentTextChar"/>
    <w:rsid w:val="00F275D5"/>
    <w:rPr>
      <w:sz w:val="20"/>
      <w:szCs w:val="20"/>
    </w:rPr>
  </w:style>
  <w:style w:type="character" w:customStyle="1" w:styleId="CommentTextChar">
    <w:name w:val="Comment Text Char"/>
    <w:basedOn w:val="DefaultParagraphFont"/>
    <w:link w:val="CommentText"/>
    <w:rsid w:val="00F275D5"/>
  </w:style>
  <w:style w:type="paragraph" w:styleId="CommentSubject">
    <w:name w:val="annotation subject"/>
    <w:basedOn w:val="CommentText"/>
    <w:next w:val="CommentText"/>
    <w:link w:val="CommentSubjectChar"/>
    <w:rsid w:val="00F275D5"/>
    <w:rPr>
      <w:b/>
      <w:bCs/>
    </w:rPr>
  </w:style>
  <w:style w:type="character" w:customStyle="1" w:styleId="CommentSubjectChar">
    <w:name w:val="Comment Subject Char"/>
    <w:link w:val="CommentSubject"/>
    <w:rsid w:val="00F275D5"/>
    <w:rPr>
      <w:b/>
      <w:bCs/>
    </w:rPr>
  </w:style>
  <w:style w:type="paragraph" w:styleId="Revision">
    <w:name w:val="Revision"/>
    <w:hidden/>
    <w:uiPriority w:val="99"/>
    <w:semiHidden/>
    <w:rsid w:val="00780C32"/>
    <w:rPr>
      <w:sz w:val="24"/>
      <w:szCs w:val="24"/>
    </w:rPr>
  </w:style>
  <w:style w:type="paragraph" w:styleId="ListParagraph">
    <w:name w:val="List Paragraph"/>
    <w:basedOn w:val="Normal"/>
    <w:uiPriority w:val="34"/>
    <w:qFormat/>
    <w:rsid w:val="006C4D6E"/>
    <w:pPr>
      <w:ind w:left="720"/>
    </w:pPr>
  </w:style>
  <w:style w:type="paragraph" w:styleId="FootnoteText">
    <w:name w:val="footnote text"/>
    <w:basedOn w:val="Normal"/>
    <w:link w:val="FootnoteTextChar"/>
    <w:unhideWhenUsed/>
    <w:rsid w:val="00EB49A5"/>
    <w:rPr>
      <w:rFonts w:eastAsia="Calibri"/>
      <w:sz w:val="20"/>
      <w:szCs w:val="20"/>
    </w:rPr>
  </w:style>
  <w:style w:type="character" w:customStyle="1" w:styleId="FootnoteTextChar">
    <w:name w:val="Footnote Text Char"/>
    <w:basedOn w:val="DefaultParagraphFont"/>
    <w:link w:val="FootnoteText"/>
    <w:rsid w:val="00EB49A5"/>
    <w:rPr>
      <w:rFonts w:eastAsia="Calibri"/>
    </w:rPr>
  </w:style>
  <w:style w:type="character" w:styleId="FootnoteReference">
    <w:name w:val="footnote reference"/>
    <w:unhideWhenUsed/>
    <w:rsid w:val="00EB49A5"/>
    <w:rPr>
      <w:vertAlign w:val="superscript"/>
    </w:rPr>
  </w:style>
  <w:style w:type="paragraph" w:styleId="Header">
    <w:name w:val="header"/>
    <w:basedOn w:val="Normal"/>
    <w:link w:val="HeaderChar"/>
    <w:rsid w:val="00045831"/>
    <w:pPr>
      <w:tabs>
        <w:tab w:val="center" w:pos="4513"/>
        <w:tab w:val="right" w:pos="9026"/>
      </w:tabs>
    </w:pPr>
  </w:style>
  <w:style w:type="character" w:customStyle="1" w:styleId="HeaderChar">
    <w:name w:val="Header Char"/>
    <w:basedOn w:val="DefaultParagraphFont"/>
    <w:link w:val="Header"/>
    <w:rsid w:val="00045831"/>
    <w:rPr>
      <w:sz w:val="24"/>
      <w:szCs w:val="24"/>
    </w:rPr>
  </w:style>
  <w:style w:type="paragraph" w:styleId="Footer">
    <w:name w:val="footer"/>
    <w:basedOn w:val="Normal"/>
    <w:link w:val="FooterChar"/>
    <w:rsid w:val="00045831"/>
    <w:pPr>
      <w:tabs>
        <w:tab w:val="center" w:pos="4513"/>
        <w:tab w:val="right" w:pos="9026"/>
      </w:tabs>
    </w:pPr>
  </w:style>
  <w:style w:type="character" w:customStyle="1" w:styleId="FooterChar">
    <w:name w:val="Footer Char"/>
    <w:basedOn w:val="DefaultParagraphFont"/>
    <w:link w:val="Footer"/>
    <w:rsid w:val="000458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D51"/>
    <w:rPr>
      <w:color w:val="0000FF"/>
      <w:u w:val="single"/>
    </w:rPr>
  </w:style>
  <w:style w:type="paragraph" w:styleId="BalloonText">
    <w:name w:val="Balloon Text"/>
    <w:basedOn w:val="Normal"/>
    <w:link w:val="BalloonTextChar"/>
    <w:rsid w:val="00983CF6"/>
    <w:rPr>
      <w:rFonts w:ascii="Tahoma" w:hAnsi="Tahoma" w:cs="Tahoma"/>
      <w:sz w:val="16"/>
      <w:szCs w:val="16"/>
    </w:rPr>
  </w:style>
  <w:style w:type="character" w:customStyle="1" w:styleId="BalloonTextChar">
    <w:name w:val="Balloon Text Char"/>
    <w:link w:val="BalloonText"/>
    <w:rsid w:val="00983CF6"/>
    <w:rPr>
      <w:rFonts w:ascii="Tahoma" w:hAnsi="Tahoma" w:cs="Tahoma"/>
      <w:sz w:val="16"/>
      <w:szCs w:val="16"/>
    </w:rPr>
  </w:style>
  <w:style w:type="paragraph" w:styleId="NormalWeb">
    <w:name w:val="Normal (Web)"/>
    <w:basedOn w:val="Normal"/>
    <w:uiPriority w:val="99"/>
    <w:unhideWhenUsed/>
    <w:rsid w:val="00636AAE"/>
    <w:pPr>
      <w:spacing w:before="100" w:beforeAutospacing="1" w:after="100" w:afterAutospacing="1"/>
    </w:pPr>
  </w:style>
  <w:style w:type="character" w:styleId="CommentReference">
    <w:name w:val="annotation reference"/>
    <w:rsid w:val="00F275D5"/>
    <w:rPr>
      <w:sz w:val="16"/>
      <w:szCs w:val="16"/>
    </w:rPr>
  </w:style>
  <w:style w:type="paragraph" w:styleId="CommentText">
    <w:name w:val="annotation text"/>
    <w:basedOn w:val="Normal"/>
    <w:link w:val="CommentTextChar"/>
    <w:rsid w:val="00F275D5"/>
    <w:rPr>
      <w:sz w:val="20"/>
      <w:szCs w:val="20"/>
    </w:rPr>
  </w:style>
  <w:style w:type="character" w:customStyle="1" w:styleId="CommentTextChar">
    <w:name w:val="Comment Text Char"/>
    <w:basedOn w:val="DefaultParagraphFont"/>
    <w:link w:val="CommentText"/>
    <w:rsid w:val="00F275D5"/>
  </w:style>
  <w:style w:type="paragraph" w:styleId="CommentSubject">
    <w:name w:val="annotation subject"/>
    <w:basedOn w:val="CommentText"/>
    <w:next w:val="CommentText"/>
    <w:link w:val="CommentSubjectChar"/>
    <w:rsid w:val="00F275D5"/>
    <w:rPr>
      <w:b/>
      <w:bCs/>
    </w:rPr>
  </w:style>
  <w:style w:type="character" w:customStyle="1" w:styleId="CommentSubjectChar">
    <w:name w:val="Comment Subject Char"/>
    <w:link w:val="CommentSubject"/>
    <w:rsid w:val="00F275D5"/>
    <w:rPr>
      <w:b/>
      <w:bCs/>
    </w:rPr>
  </w:style>
  <w:style w:type="paragraph" w:styleId="Revision">
    <w:name w:val="Revision"/>
    <w:hidden/>
    <w:uiPriority w:val="99"/>
    <w:semiHidden/>
    <w:rsid w:val="00780C32"/>
    <w:rPr>
      <w:sz w:val="24"/>
      <w:szCs w:val="24"/>
    </w:rPr>
  </w:style>
  <w:style w:type="paragraph" w:styleId="ListParagraph">
    <w:name w:val="List Paragraph"/>
    <w:basedOn w:val="Normal"/>
    <w:uiPriority w:val="34"/>
    <w:qFormat/>
    <w:rsid w:val="006C4D6E"/>
    <w:pPr>
      <w:ind w:left="720"/>
    </w:pPr>
  </w:style>
  <w:style w:type="paragraph" w:styleId="FootnoteText">
    <w:name w:val="footnote text"/>
    <w:basedOn w:val="Normal"/>
    <w:link w:val="FootnoteTextChar"/>
    <w:unhideWhenUsed/>
    <w:rsid w:val="00EB49A5"/>
    <w:rPr>
      <w:rFonts w:eastAsia="Calibri"/>
      <w:sz w:val="20"/>
      <w:szCs w:val="20"/>
    </w:rPr>
  </w:style>
  <w:style w:type="character" w:customStyle="1" w:styleId="FootnoteTextChar">
    <w:name w:val="Footnote Text Char"/>
    <w:basedOn w:val="DefaultParagraphFont"/>
    <w:link w:val="FootnoteText"/>
    <w:rsid w:val="00EB49A5"/>
    <w:rPr>
      <w:rFonts w:eastAsia="Calibri"/>
    </w:rPr>
  </w:style>
  <w:style w:type="character" w:styleId="FootnoteReference">
    <w:name w:val="footnote reference"/>
    <w:unhideWhenUsed/>
    <w:rsid w:val="00EB49A5"/>
    <w:rPr>
      <w:vertAlign w:val="superscript"/>
    </w:rPr>
  </w:style>
  <w:style w:type="paragraph" w:styleId="Header">
    <w:name w:val="header"/>
    <w:basedOn w:val="Normal"/>
    <w:link w:val="HeaderChar"/>
    <w:rsid w:val="00045831"/>
    <w:pPr>
      <w:tabs>
        <w:tab w:val="center" w:pos="4513"/>
        <w:tab w:val="right" w:pos="9026"/>
      </w:tabs>
    </w:pPr>
  </w:style>
  <w:style w:type="character" w:customStyle="1" w:styleId="HeaderChar">
    <w:name w:val="Header Char"/>
    <w:basedOn w:val="DefaultParagraphFont"/>
    <w:link w:val="Header"/>
    <w:rsid w:val="00045831"/>
    <w:rPr>
      <w:sz w:val="24"/>
      <w:szCs w:val="24"/>
    </w:rPr>
  </w:style>
  <w:style w:type="paragraph" w:styleId="Footer">
    <w:name w:val="footer"/>
    <w:basedOn w:val="Normal"/>
    <w:link w:val="FooterChar"/>
    <w:rsid w:val="00045831"/>
    <w:pPr>
      <w:tabs>
        <w:tab w:val="center" w:pos="4513"/>
        <w:tab w:val="right" w:pos="9026"/>
      </w:tabs>
    </w:pPr>
  </w:style>
  <w:style w:type="character" w:customStyle="1" w:styleId="FooterChar">
    <w:name w:val="Footer Char"/>
    <w:basedOn w:val="DefaultParagraphFont"/>
    <w:link w:val="Footer"/>
    <w:rsid w:val="00045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8530">
      <w:bodyDiv w:val="1"/>
      <w:marLeft w:val="0"/>
      <w:marRight w:val="0"/>
      <w:marTop w:val="0"/>
      <w:marBottom w:val="0"/>
      <w:divBdr>
        <w:top w:val="none" w:sz="0" w:space="0" w:color="auto"/>
        <w:left w:val="none" w:sz="0" w:space="0" w:color="auto"/>
        <w:bottom w:val="none" w:sz="0" w:space="0" w:color="auto"/>
        <w:right w:val="none" w:sz="0" w:space="0" w:color="auto"/>
      </w:divBdr>
    </w:div>
    <w:div w:id="1871839797">
      <w:bodyDiv w:val="1"/>
      <w:marLeft w:val="0"/>
      <w:marRight w:val="0"/>
      <w:marTop w:val="0"/>
      <w:marBottom w:val="0"/>
      <w:divBdr>
        <w:top w:val="none" w:sz="0" w:space="0" w:color="auto"/>
        <w:left w:val="none" w:sz="0" w:space="0" w:color="auto"/>
        <w:bottom w:val="none" w:sz="0" w:space="0" w:color="auto"/>
        <w:right w:val="none" w:sz="0" w:space="0" w:color="auto"/>
      </w:divBdr>
    </w:div>
    <w:div w:id="2134981578">
      <w:bodyDiv w:val="1"/>
      <w:marLeft w:val="0"/>
      <w:marRight w:val="0"/>
      <w:marTop w:val="0"/>
      <w:marBottom w:val="0"/>
      <w:divBdr>
        <w:top w:val="none" w:sz="0" w:space="0" w:color="auto"/>
        <w:left w:val="none" w:sz="0" w:space="0" w:color="auto"/>
        <w:bottom w:val="none" w:sz="0" w:space="0" w:color="auto"/>
        <w:right w:val="none" w:sz="0" w:space="0" w:color="auto"/>
      </w:divBdr>
      <w:divsChild>
        <w:div w:id="1053231548">
          <w:marLeft w:val="0"/>
          <w:marRight w:val="0"/>
          <w:marTop w:val="0"/>
          <w:marBottom w:val="0"/>
          <w:divBdr>
            <w:top w:val="none" w:sz="0" w:space="0" w:color="auto"/>
            <w:left w:val="none" w:sz="0" w:space="0" w:color="auto"/>
            <w:bottom w:val="none" w:sz="0" w:space="0" w:color="auto"/>
            <w:right w:val="none" w:sz="0" w:space="0" w:color="auto"/>
          </w:divBdr>
          <w:divsChild>
            <w:div w:id="1920750469">
              <w:marLeft w:val="0"/>
              <w:marRight w:val="0"/>
              <w:marTop w:val="0"/>
              <w:marBottom w:val="0"/>
              <w:divBdr>
                <w:top w:val="none" w:sz="0" w:space="0" w:color="auto"/>
                <w:left w:val="none" w:sz="0" w:space="0" w:color="auto"/>
                <w:bottom w:val="none" w:sz="0" w:space="0" w:color="auto"/>
                <w:right w:val="none" w:sz="0" w:space="0" w:color="auto"/>
              </w:divBdr>
              <w:divsChild>
                <w:div w:id="909929619">
                  <w:marLeft w:val="0"/>
                  <w:marRight w:val="0"/>
                  <w:marTop w:val="0"/>
                  <w:marBottom w:val="0"/>
                  <w:divBdr>
                    <w:top w:val="none" w:sz="0" w:space="0" w:color="auto"/>
                    <w:left w:val="none" w:sz="0" w:space="0" w:color="auto"/>
                    <w:bottom w:val="none" w:sz="0" w:space="0" w:color="auto"/>
                    <w:right w:val="none" w:sz="0" w:space="0" w:color="auto"/>
                  </w:divBdr>
                  <w:divsChild>
                    <w:div w:id="1882475406">
                      <w:marLeft w:val="0"/>
                      <w:marRight w:val="0"/>
                      <w:marTop w:val="0"/>
                      <w:marBottom w:val="0"/>
                      <w:divBdr>
                        <w:top w:val="none" w:sz="0" w:space="0" w:color="auto"/>
                        <w:left w:val="none" w:sz="0" w:space="0" w:color="auto"/>
                        <w:bottom w:val="none" w:sz="0" w:space="0" w:color="auto"/>
                        <w:right w:val="none" w:sz="0" w:space="0" w:color="auto"/>
                      </w:divBdr>
                      <w:divsChild>
                        <w:div w:id="1783264570">
                          <w:marLeft w:val="0"/>
                          <w:marRight w:val="0"/>
                          <w:marTop w:val="0"/>
                          <w:marBottom w:val="0"/>
                          <w:divBdr>
                            <w:top w:val="none" w:sz="0" w:space="0" w:color="auto"/>
                            <w:left w:val="none" w:sz="0" w:space="0" w:color="auto"/>
                            <w:bottom w:val="none" w:sz="0" w:space="0" w:color="auto"/>
                            <w:right w:val="none" w:sz="0" w:space="0" w:color="auto"/>
                          </w:divBdr>
                          <w:divsChild>
                            <w:div w:id="1093086687">
                              <w:marLeft w:val="0"/>
                              <w:marRight w:val="0"/>
                              <w:marTop w:val="0"/>
                              <w:marBottom w:val="0"/>
                              <w:divBdr>
                                <w:top w:val="none" w:sz="0" w:space="0" w:color="auto"/>
                                <w:left w:val="none" w:sz="0" w:space="0" w:color="auto"/>
                                <w:bottom w:val="none" w:sz="0" w:space="0" w:color="auto"/>
                                <w:right w:val="none" w:sz="0" w:space="0" w:color="auto"/>
                              </w:divBdr>
                              <w:divsChild>
                                <w:div w:id="568224380">
                                  <w:marLeft w:val="0"/>
                                  <w:marRight w:val="0"/>
                                  <w:marTop w:val="0"/>
                                  <w:marBottom w:val="0"/>
                                  <w:divBdr>
                                    <w:top w:val="none" w:sz="0" w:space="0" w:color="auto"/>
                                    <w:left w:val="none" w:sz="0" w:space="0" w:color="auto"/>
                                    <w:bottom w:val="none" w:sz="0" w:space="0" w:color="auto"/>
                                    <w:right w:val="none" w:sz="0" w:space="0" w:color="auto"/>
                                  </w:divBdr>
                                  <w:divsChild>
                                    <w:div w:id="5394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8BF8-E4B6-4431-A498-5CACE624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COMCARE</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whitcombe.ken</dc:creator>
  <cp:lastModifiedBy>Bronwyn Meredith</cp:lastModifiedBy>
  <cp:revision>2</cp:revision>
  <cp:lastPrinted>2014-07-16T23:13:00Z</cp:lastPrinted>
  <dcterms:created xsi:type="dcterms:W3CDTF">2014-07-17T00:36:00Z</dcterms:created>
  <dcterms:modified xsi:type="dcterms:W3CDTF">2014-07-17T00:36:00Z</dcterms:modified>
</cp:coreProperties>
</file>