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B8" w:rsidRPr="003151C7" w:rsidRDefault="007310B8" w:rsidP="00CA1EA4">
      <w:pPr>
        <w:contextualSpacing/>
        <w:jc w:val="center"/>
        <w:rPr>
          <w:b/>
          <w:lang w:eastAsia="en-US"/>
        </w:rPr>
      </w:pPr>
      <w:bookmarkStart w:id="0" w:name="_GoBack"/>
      <w:bookmarkEnd w:id="0"/>
      <w:r w:rsidRPr="003151C7">
        <w:rPr>
          <w:b/>
          <w:lang w:eastAsia="en-US"/>
        </w:rPr>
        <w:t>EXPLANATORY STATEMENT</w:t>
      </w:r>
    </w:p>
    <w:p w:rsidR="007310B8" w:rsidRPr="00277818" w:rsidRDefault="007310B8" w:rsidP="00CA1EA4">
      <w:pPr>
        <w:contextualSpacing/>
        <w:jc w:val="center"/>
        <w:rPr>
          <w:lang w:eastAsia="en-US"/>
        </w:rPr>
      </w:pPr>
    </w:p>
    <w:p w:rsidR="003151C7" w:rsidRDefault="003151C7" w:rsidP="003151C7">
      <w:pPr>
        <w:contextualSpacing/>
        <w:jc w:val="center"/>
        <w:rPr>
          <w:b/>
          <w:i/>
          <w:caps/>
        </w:rPr>
      </w:pPr>
      <w:r>
        <w:rPr>
          <w:b/>
          <w:i/>
          <w:caps/>
        </w:rPr>
        <w:t>Trade support loans act 2014</w:t>
      </w:r>
    </w:p>
    <w:p w:rsidR="003151C7" w:rsidRDefault="003151C7" w:rsidP="003151C7">
      <w:pPr>
        <w:contextualSpacing/>
        <w:jc w:val="center"/>
        <w:rPr>
          <w:b/>
          <w:i/>
          <w:caps/>
        </w:rPr>
      </w:pPr>
    </w:p>
    <w:p w:rsidR="003151C7" w:rsidRPr="000D5873" w:rsidRDefault="003151C7" w:rsidP="003151C7">
      <w:pPr>
        <w:contextualSpacing/>
        <w:jc w:val="center"/>
        <w:rPr>
          <w:b/>
          <w:i/>
          <w:caps/>
        </w:rPr>
      </w:pPr>
      <w:r w:rsidRPr="003151C7">
        <w:rPr>
          <w:b/>
          <w:i/>
          <w:caps/>
        </w:rPr>
        <w:t xml:space="preserve">TRADE SUPPORT LOANS PRIORITY LIST </w:t>
      </w:r>
      <w:r w:rsidRPr="000D5873">
        <w:rPr>
          <w:b/>
          <w:i/>
          <w:caps/>
        </w:rPr>
        <w:t>2014</w:t>
      </w:r>
    </w:p>
    <w:p w:rsidR="007310B8" w:rsidRPr="00277818" w:rsidRDefault="007310B8" w:rsidP="00CA1EA4">
      <w:pPr>
        <w:contextualSpacing/>
        <w:jc w:val="center"/>
        <w:rPr>
          <w:lang w:eastAsia="en-US"/>
        </w:rPr>
      </w:pPr>
    </w:p>
    <w:p w:rsidR="007310B8" w:rsidRPr="00277818" w:rsidRDefault="007310B8" w:rsidP="00CA1EA4">
      <w:pPr>
        <w:contextualSpacing/>
        <w:jc w:val="center"/>
        <w:rPr>
          <w:highlight w:val="yellow"/>
          <w:lang w:eastAsia="en-US"/>
        </w:rPr>
      </w:pPr>
    </w:p>
    <w:p w:rsidR="00DF1E2D" w:rsidRPr="00277818" w:rsidRDefault="00DF1E2D" w:rsidP="003151C7">
      <w:pPr>
        <w:contextualSpacing/>
        <w:rPr>
          <w:lang w:eastAsia="en-US"/>
        </w:rPr>
      </w:pPr>
      <w:r>
        <w:rPr>
          <w:lang w:eastAsia="en-US"/>
        </w:rPr>
        <w:t>Issued by authority of the</w:t>
      </w:r>
      <w:r w:rsidRPr="00277818">
        <w:rPr>
          <w:lang w:eastAsia="en-US"/>
        </w:rPr>
        <w:t xml:space="preserve"> Minister for Industry </w:t>
      </w:r>
    </w:p>
    <w:p w:rsidR="007310B8" w:rsidRDefault="007310B8" w:rsidP="00CA1EA4"/>
    <w:p w:rsidR="003151C7" w:rsidRPr="005164EE" w:rsidRDefault="003151C7" w:rsidP="003151C7">
      <w:pPr>
        <w:rPr>
          <w:color w:val="000000"/>
        </w:rPr>
      </w:pPr>
      <w:r w:rsidRPr="005164EE">
        <w:rPr>
          <w:color w:val="000000"/>
        </w:rPr>
        <w:t>Subject:</w:t>
      </w:r>
      <w:r w:rsidRPr="005164EE">
        <w:rPr>
          <w:color w:val="000000"/>
        </w:rPr>
        <w:tab/>
      </w:r>
      <w:r w:rsidRPr="005164EE">
        <w:rPr>
          <w:color w:val="000000"/>
        </w:rPr>
        <w:tab/>
      </w:r>
      <w:r>
        <w:rPr>
          <w:i/>
          <w:color w:val="000000"/>
        </w:rPr>
        <w:t>Trade Support Loans Act 2014</w:t>
      </w:r>
    </w:p>
    <w:p w:rsidR="003151C7" w:rsidRPr="00134703" w:rsidRDefault="003151C7" w:rsidP="003151C7">
      <w:pPr>
        <w:rPr>
          <w:i/>
          <w:color w:val="000000"/>
        </w:rPr>
      </w:pPr>
      <w:r w:rsidRPr="005164EE">
        <w:rPr>
          <w:color w:val="000000"/>
        </w:rPr>
        <w:tab/>
      </w:r>
      <w:r w:rsidRPr="005164EE">
        <w:rPr>
          <w:color w:val="000000"/>
        </w:rPr>
        <w:tab/>
      </w:r>
      <w:r w:rsidRPr="005164EE">
        <w:rPr>
          <w:color w:val="000000"/>
        </w:rPr>
        <w:tab/>
      </w:r>
      <w:r w:rsidRPr="00134703">
        <w:rPr>
          <w:i/>
          <w:color w:val="000000"/>
        </w:rPr>
        <w:t xml:space="preserve">Trade Support Loans </w:t>
      </w:r>
      <w:r>
        <w:rPr>
          <w:i/>
          <w:color w:val="000000"/>
        </w:rPr>
        <w:t>Priority List</w:t>
      </w:r>
      <w:r w:rsidRPr="00134703">
        <w:rPr>
          <w:i/>
          <w:color w:val="000000"/>
        </w:rPr>
        <w:t xml:space="preserve"> 2014</w:t>
      </w:r>
    </w:p>
    <w:p w:rsidR="003151C7" w:rsidRPr="005164EE" w:rsidRDefault="003151C7" w:rsidP="003151C7">
      <w:pPr>
        <w:rPr>
          <w:color w:val="000000"/>
        </w:rPr>
      </w:pPr>
    </w:p>
    <w:p w:rsidR="003151C7" w:rsidRDefault="003151C7" w:rsidP="003151C7">
      <w:pPr>
        <w:rPr>
          <w:b/>
          <w:color w:val="000000"/>
        </w:rPr>
      </w:pPr>
      <w:r w:rsidRPr="002315C8">
        <w:rPr>
          <w:b/>
          <w:color w:val="000000"/>
        </w:rPr>
        <w:t>AUTHORITY</w:t>
      </w:r>
    </w:p>
    <w:p w:rsidR="003151C7" w:rsidRPr="002315C8" w:rsidRDefault="003151C7" w:rsidP="003151C7">
      <w:pPr>
        <w:rPr>
          <w:b/>
          <w:color w:val="000000"/>
        </w:rPr>
      </w:pPr>
    </w:p>
    <w:p w:rsidR="003151C7" w:rsidRDefault="00F76D6A" w:rsidP="00CA1EA4">
      <w:pPr>
        <w:rPr>
          <w:rFonts w:eastAsia="Calibri"/>
        </w:rPr>
      </w:pPr>
      <w:r>
        <w:rPr>
          <w:rStyle w:val="CharSectno"/>
        </w:rPr>
        <w:t>Section</w:t>
      </w:r>
      <w:r w:rsidR="007310B8">
        <w:rPr>
          <w:rStyle w:val="CharSectno"/>
        </w:rPr>
        <w:t xml:space="preserve"> 105</w:t>
      </w:r>
      <w:r w:rsidR="007310B8" w:rsidRPr="00A155C0">
        <w:rPr>
          <w:rFonts w:eastAsia="Calibri"/>
        </w:rPr>
        <w:t xml:space="preserve"> </w:t>
      </w:r>
      <w:r w:rsidR="007310B8">
        <w:rPr>
          <w:rFonts w:eastAsia="Calibri"/>
        </w:rPr>
        <w:t xml:space="preserve">of the </w:t>
      </w:r>
      <w:r w:rsidR="007310B8">
        <w:rPr>
          <w:rFonts w:eastAsia="Calibri"/>
          <w:i/>
        </w:rPr>
        <w:t xml:space="preserve">Trade Support Loans Act </w:t>
      </w:r>
      <w:r w:rsidR="007310B8" w:rsidRPr="00AD054A">
        <w:rPr>
          <w:rFonts w:eastAsia="Calibri"/>
          <w:i/>
        </w:rPr>
        <w:t>2014</w:t>
      </w:r>
      <w:r w:rsidR="007310B8">
        <w:rPr>
          <w:rFonts w:eastAsia="Calibri"/>
        </w:rPr>
        <w:t xml:space="preserve"> </w:t>
      </w:r>
      <w:r w:rsidR="003151C7">
        <w:rPr>
          <w:rFonts w:eastAsia="Calibri"/>
        </w:rPr>
        <w:t xml:space="preserve">(the Act) </w:t>
      </w:r>
      <w:r w:rsidR="007310B8" w:rsidRPr="00A155C0">
        <w:rPr>
          <w:rFonts w:eastAsia="Calibri"/>
        </w:rPr>
        <w:t>requires the Minister</w:t>
      </w:r>
      <w:r w:rsidR="007310B8">
        <w:rPr>
          <w:rFonts w:eastAsia="Calibri"/>
        </w:rPr>
        <w:t xml:space="preserve"> for Industry </w:t>
      </w:r>
      <w:r w:rsidR="007310B8" w:rsidRPr="00A155C0">
        <w:rPr>
          <w:rFonts w:eastAsia="Calibri"/>
        </w:rPr>
        <w:t xml:space="preserve">to establish and maintain a list to be known as the </w:t>
      </w:r>
      <w:r w:rsidR="007310B8" w:rsidRPr="00A155C0">
        <w:rPr>
          <w:rFonts w:eastAsia="Calibri"/>
          <w:b/>
          <w:i/>
        </w:rPr>
        <w:t xml:space="preserve">TSL Priority List </w:t>
      </w:r>
      <w:r w:rsidR="003151C7" w:rsidRPr="00A314A6">
        <w:rPr>
          <w:rFonts w:eastAsia="Calibri"/>
        </w:rPr>
        <w:t>(the List)</w:t>
      </w:r>
      <w:r w:rsidR="003151C7">
        <w:rPr>
          <w:rFonts w:eastAsia="Calibri"/>
          <w:b/>
        </w:rPr>
        <w:t xml:space="preserve"> </w:t>
      </w:r>
      <w:r w:rsidR="007310B8" w:rsidRPr="00A155C0">
        <w:rPr>
          <w:rFonts w:eastAsia="Calibri"/>
        </w:rPr>
        <w:t xml:space="preserve">which specifies either (or both) the occupations and the qualifications for which, in the opinion of the Minister, skilled persons are a priority. </w:t>
      </w:r>
    </w:p>
    <w:p w:rsidR="003151C7" w:rsidRDefault="003151C7" w:rsidP="00CA1EA4">
      <w:pPr>
        <w:rPr>
          <w:rFonts w:eastAsia="Calibri"/>
        </w:rPr>
      </w:pPr>
    </w:p>
    <w:p w:rsidR="007310B8" w:rsidRDefault="007310B8" w:rsidP="00CA1EA4">
      <w:pPr>
        <w:rPr>
          <w:rFonts w:eastAsia="Calibri"/>
        </w:rPr>
      </w:pPr>
      <w:r w:rsidRPr="00A155C0">
        <w:rPr>
          <w:rFonts w:eastAsia="Calibri"/>
        </w:rPr>
        <w:t xml:space="preserve">The </w:t>
      </w:r>
      <w:r w:rsidRPr="00A155C0">
        <w:rPr>
          <w:rFonts w:eastAsia="Calibri"/>
          <w:b/>
          <w:i/>
        </w:rPr>
        <w:t>TSL Priority List</w:t>
      </w:r>
      <w:r w:rsidRPr="00A155C0">
        <w:rPr>
          <w:rFonts w:eastAsia="Calibri"/>
        </w:rPr>
        <w:t xml:space="preserve"> is a legislative instrument </w:t>
      </w:r>
      <w:r w:rsidR="007E6994">
        <w:rPr>
          <w:rFonts w:eastAsia="Calibri"/>
        </w:rPr>
        <w:t>for the purposes of</w:t>
      </w:r>
      <w:r w:rsidRPr="00A155C0">
        <w:rPr>
          <w:rFonts w:eastAsia="Calibri"/>
        </w:rPr>
        <w:t xml:space="preserve"> the </w:t>
      </w:r>
      <w:r w:rsidRPr="00A155C0">
        <w:rPr>
          <w:rFonts w:eastAsia="Calibri"/>
          <w:i/>
        </w:rPr>
        <w:t>Legislative Instruments Act 2003</w:t>
      </w:r>
      <w:r w:rsidR="003151C7">
        <w:rPr>
          <w:rFonts w:eastAsia="Calibri"/>
          <w:i/>
        </w:rPr>
        <w:t xml:space="preserve"> </w:t>
      </w:r>
      <w:r w:rsidR="003151C7">
        <w:rPr>
          <w:rFonts w:eastAsia="Calibri"/>
        </w:rPr>
        <w:t>(LIA)</w:t>
      </w:r>
      <w:r w:rsidRPr="00A155C0">
        <w:rPr>
          <w:rFonts w:eastAsia="Calibri"/>
        </w:rPr>
        <w:t>.</w:t>
      </w:r>
    </w:p>
    <w:p w:rsidR="003151C7" w:rsidRDefault="003151C7" w:rsidP="00CA1EA4">
      <w:pPr>
        <w:rPr>
          <w:rFonts w:eastAsia="Calibri"/>
        </w:rPr>
      </w:pPr>
    </w:p>
    <w:p w:rsidR="003151C7" w:rsidRDefault="003151C7" w:rsidP="00CA1EA4">
      <w:pPr>
        <w:rPr>
          <w:rFonts w:eastAsia="Calibri"/>
        </w:rPr>
      </w:pPr>
      <w:r>
        <w:rPr>
          <w:rFonts w:eastAsia="Calibri"/>
        </w:rPr>
        <w:t xml:space="preserve">For the purposes of subsection 14(2) of the LIA, subsection 105(2) of the Act allows the List to incorporate material in another instrument (whether or not a legislative instrument) as that instrument exists from time to time. In accordance with subsection 105(2) of the Act, the </w:t>
      </w:r>
      <w:r w:rsidR="0050046A">
        <w:rPr>
          <w:rFonts w:eastAsia="Calibri"/>
        </w:rPr>
        <w:t xml:space="preserve">lists known as the </w:t>
      </w:r>
      <w:r>
        <w:rPr>
          <w:rFonts w:eastAsia="Calibri"/>
        </w:rPr>
        <w:t xml:space="preserve">National Skills Needs List </w:t>
      </w:r>
      <w:r w:rsidR="0050046A">
        <w:rPr>
          <w:rFonts w:eastAsia="Calibri"/>
        </w:rPr>
        <w:t>and the TSL Qualifications List are</w:t>
      </w:r>
      <w:r>
        <w:rPr>
          <w:rFonts w:eastAsia="Calibri"/>
        </w:rPr>
        <w:t xml:space="preserve"> incorporated as </w:t>
      </w:r>
      <w:r w:rsidR="0050046A">
        <w:rPr>
          <w:rFonts w:eastAsia="Calibri"/>
        </w:rPr>
        <w:t>they exist</w:t>
      </w:r>
      <w:r>
        <w:rPr>
          <w:rFonts w:eastAsia="Calibri"/>
        </w:rPr>
        <w:t xml:space="preserve"> from time to time. </w:t>
      </w:r>
    </w:p>
    <w:p w:rsidR="003151C7" w:rsidRDefault="003151C7" w:rsidP="00CA1EA4">
      <w:pPr>
        <w:rPr>
          <w:rFonts w:eastAsia="Calibri"/>
        </w:rPr>
      </w:pPr>
    </w:p>
    <w:p w:rsidR="003151C7" w:rsidRDefault="003151C7" w:rsidP="00CA1EA4">
      <w:pPr>
        <w:rPr>
          <w:rFonts w:eastAsia="Calibri"/>
        </w:rPr>
      </w:pPr>
      <w:r>
        <w:rPr>
          <w:rFonts w:eastAsia="Calibri"/>
        </w:rPr>
        <w:t xml:space="preserve">Copies of the National Skills Needs List can be obtained from </w:t>
      </w:r>
      <w:hyperlink r:id="rId8" w:history="1">
        <w:r w:rsidR="001157EF" w:rsidRPr="005337CF">
          <w:rPr>
            <w:rStyle w:val="Hyperlink"/>
            <w:rFonts w:eastAsia="Calibri"/>
          </w:rPr>
          <w:t>www.industry.gov.au</w:t>
        </w:r>
      </w:hyperlink>
      <w:r w:rsidR="001157EF">
        <w:rPr>
          <w:rFonts w:eastAsia="Calibri"/>
        </w:rPr>
        <w:t xml:space="preserve">. </w:t>
      </w:r>
    </w:p>
    <w:p w:rsidR="0050046A" w:rsidRDefault="0050046A" w:rsidP="00CA1EA4">
      <w:pPr>
        <w:rPr>
          <w:rFonts w:eastAsia="Calibri"/>
        </w:rPr>
      </w:pPr>
    </w:p>
    <w:p w:rsidR="0050046A" w:rsidRDefault="0050046A" w:rsidP="00CA1EA4">
      <w:pPr>
        <w:rPr>
          <w:rFonts w:eastAsia="Calibri"/>
        </w:rPr>
      </w:pPr>
      <w:r>
        <w:rPr>
          <w:rFonts w:eastAsia="Calibri"/>
        </w:rPr>
        <w:t xml:space="preserve">Copies of the TSL Qualifications List can be obtained from </w:t>
      </w:r>
      <w:hyperlink r:id="rId9" w:history="1">
        <w:r w:rsidRPr="0050046A">
          <w:rPr>
            <w:rStyle w:val="Hyperlink"/>
            <w:rFonts w:eastAsia="Calibri"/>
          </w:rPr>
          <w:t>www.industry.gov.au</w:t>
        </w:r>
      </w:hyperlink>
      <w:r>
        <w:rPr>
          <w:rFonts w:eastAsia="Calibri"/>
        </w:rPr>
        <w:t xml:space="preserve">. </w:t>
      </w:r>
    </w:p>
    <w:p w:rsidR="00397D30" w:rsidRDefault="00397D30" w:rsidP="00CA1EA4">
      <w:pPr>
        <w:rPr>
          <w:rFonts w:eastAsia="Calibri"/>
        </w:rPr>
      </w:pPr>
    </w:p>
    <w:p w:rsidR="00397D30" w:rsidRPr="001100B9" w:rsidRDefault="00397D30" w:rsidP="00397D30">
      <w:pPr>
        <w:rPr>
          <w:b/>
        </w:rPr>
      </w:pPr>
      <w:r w:rsidRPr="001100B9">
        <w:rPr>
          <w:b/>
        </w:rPr>
        <w:t>CONSULTATION</w:t>
      </w:r>
    </w:p>
    <w:p w:rsidR="00397D30" w:rsidRDefault="00285757" w:rsidP="00397D30">
      <w:pPr>
        <w:spacing w:after="200" w:line="276" w:lineRule="auto"/>
      </w:pPr>
      <w:r w:rsidRPr="00285757">
        <w:t>This TSL Priority List will have strict criteria and will reflect occupations that are seen to be priority occupations determined through labour market evidence and in consultation with industry</w:t>
      </w:r>
      <w:r>
        <w:t>.</w:t>
      </w:r>
    </w:p>
    <w:p w:rsidR="00397D30" w:rsidRDefault="00397D30" w:rsidP="00397D30">
      <w:pPr>
        <w:spacing w:after="200" w:line="276" w:lineRule="auto"/>
        <w:rPr>
          <w:color w:val="000000" w:themeColor="text1"/>
        </w:rPr>
      </w:pPr>
      <w:r>
        <w:rPr>
          <w:color w:val="000000" w:themeColor="text1"/>
        </w:rPr>
        <w:t>The Department of Industry</w:t>
      </w:r>
      <w:r w:rsidRPr="00FB3434">
        <w:rPr>
          <w:color w:val="000000" w:themeColor="text1"/>
        </w:rPr>
        <w:t xml:space="preserve"> has consulted with the Office of Best Practice Regulation and they have advised that a Regulation Impact Statement </w:t>
      </w:r>
      <w:r w:rsidR="00CA0B7C">
        <w:rPr>
          <w:color w:val="000000" w:themeColor="text1"/>
        </w:rPr>
        <w:t>is</w:t>
      </w:r>
      <w:r w:rsidRPr="00FB3434">
        <w:rPr>
          <w:color w:val="000000" w:themeColor="text1"/>
        </w:rPr>
        <w:t xml:space="preserve"> not required</w:t>
      </w:r>
      <w:r>
        <w:rPr>
          <w:color w:val="000000" w:themeColor="text1"/>
        </w:rPr>
        <w:t xml:space="preserve"> for </w:t>
      </w:r>
      <w:r w:rsidR="00CA0B7C">
        <w:rPr>
          <w:color w:val="000000" w:themeColor="text1"/>
        </w:rPr>
        <w:t>the</w:t>
      </w:r>
      <w:r>
        <w:rPr>
          <w:color w:val="000000" w:themeColor="text1"/>
        </w:rPr>
        <w:t xml:space="preserve"> List.</w:t>
      </w:r>
    </w:p>
    <w:p w:rsidR="003151C7" w:rsidRDefault="003151C7" w:rsidP="003151C7">
      <w:pPr>
        <w:spacing w:after="200" w:line="276" w:lineRule="auto"/>
        <w:rPr>
          <w:b/>
        </w:rPr>
      </w:pPr>
      <w:r>
        <w:rPr>
          <w:b/>
        </w:rPr>
        <w:t>COMMENCEMENT</w:t>
      </w:r>
    </w:p>
    <w:p w:rsidR="003151C7" w:rsidRDefault="003151C7" w:rsidP="003151C7">
      <w:pPr>
        <w:spacing w:after="200" w:line="276" w:lineRule="auto"/>
      </w:pPr>
      <w:r>
        <w:t>The List commences on the day after registration.</w:t>
      </w:r>
    </w:p>
    <w:p w:rsidR="007310B8" w:rsidRDefault="007310B8" w:rsidP="00CA1EA4">
      <w:r>
        <w:br w:type="page"/>
      </w:r>
    </w:p>
    <w:p w:rsidR="00696FA8" w:rsidRPr="00A03966" w:rsidRDefault="00696FA8" w:rsidP="00696FA8">
      <w:pPr>
        <w:spacing w:after="200" w:line="276" w:lineRule="auto"/>
      </w:pPr>
      <w:r w:rsidRPr="005164EE">
        <w:rPr>
          <w:b/>
          <w:color w:val="000000"/>
        </w:rPr>
        <w:lastRenderedPageBreak/>
        <w:t>OVERVIEW OF THE</w:t>
      </w:r>
      <w:r>
        <w:rPr>
          <w:b/>
          <w:color w:val="000000"/>
        </w:rPr>
        <w:t xml:space="preserve"> TRADE SUPPORT LOANS PRIORITY LIST 2014</w:t>
      </w:r>
    </w:p>
    <w:p w:rsidR="007310B8" w:rsidRDefault="007310B8" w:rsidP="00CA1EA4">
      <w:pPr>
        <w:contextualSpacing/>
        <w:rPr>
          <w:b/>
        </w:rPr>
      </w:pPr>
    </w:p>
    <w:p w:rsidR="007310B8" w:rsidRDefault="007310B8" w:rsidP="0058250B">
      <w:pPr>
        <w:pStyle w:val="ListParagraph"/>
        <w:numPr>
          <w:ilvl w:val="0"/>
          <w:numId w:val="7"/>
        </w:numPr>
        <w:rPr>
          <w:b/>
        </w:rPr>
      </w:pPr>
      <w:r>
        <w:rPr>
          <w:b/>
        </w:rPr>
        <w:t>Name of List</w:t>
      </w:r>
    </w:p>
    <w:p w:rsidR="007310B8" w:rsidRDefault="0058250B" w:rsidP="00CA1EA4">
      <w:r>
        <w:t>Clause 1 establishes</w:t>
      </w:r>
      <w:r w:rsidR="007310B8">
        <w:t xml:space="preserve"> the names this legislative instrument as the TSL Priority List. </w:t>
      </w:r>
    </w:p>
    <w:p w:rsidR="004B7B9A" w:rsidRDefault="004B7B9A" w:rsidP="00CA1EA4"/>
    <w:p w:rsidR="007310B8" w:rsidRPr="00B51080" w:rsidRDefault="007310B8" w:rsidP="0058250B">
      <w:pPr>
        <w:pStyle w:val="ListParagraph"/>
        <w:numPr>
          <w:ilvl w:val="0"/>
          <w:numId w:val="7"/>
        </w:numPr>
        <w:rPr>
          <w:b/>
        </w:rPr>
      </w:pPr>
      <w:r>
        <w:rPr>
          <w:b/>
        </w:rPr>
        <w:t>Commencement</w:t>
      </w:r>
    </w:p>
    <w:p w:rsidR="007310B8" w:rsidRDefault="00141F03" w:rsidP="00CA1EA4">
      <w:r>
        <w:t>Clause 2 provides</w:t>
      </w:r>
      <w:r w:rsidR="007310B8">
        <w:t xml:space="preserve"> that the List will commence on the day after registration.</w:t>
      </w:r>
    </w:p>
    <w:p w:rsidR="007310B8" w:rsidRDefault="007310B8" w:rsidP="00CA1EA4"/>
    <w:p w:rsidR="007310B8" w:rsidRDefault="007310B8" w:rsidP="0058250B">
      <w:pPr>
        <w:pStyle w:val="ListParagraph"/>
        <w:numPr>
          <w:ilvl w:val="0"/>
          <w:numId w:val="7"/>
        </w:numPr>
        <w:rPr>
          <w:b/>
        </w:rPr>
      </w:pPr>
      <w:r>
        <w:rPr>
          <w:b/>
        </w:rPr>
        <w:t>Authority</w:t>
      </w:r>
    </w:p>
    <w:p w:rsidR="007310B8" w:rsidRDefault="00141F03" w:rsidP="00CA1EA4">
      <w:r>
        <w:t xml:space="preserve">Clause 3 provides </w:t>
      </w:r>
      <w:r w:rsidR="007310B8">
        <w:t xml:space="preserve">that the List is made under the </w:t>
      </w:r>
      <w:r w:rsidR="007310B8" w:rsidRPr="00850319">
        <w:rPr>
          <w:i/>
        </w:rPr>
        <w:t>Trade Support Loans Act 2014</w:t>
      </w:r>
      <w:r w:rsidR="007310B8">
        <w:t>.</w:t>
      </w:r>
    </w:p>
    <w:p w:rsidR="007310B8" w:rsidRDefault="007310B8" w:rsidP="00CA1EA4"/>
    <w:p w:rsidR="007310B8" w:rsidRPr="00B51080" w:rsidRDefault="007310B8" w:rsidP="0058250B">
      <w:pPr>
        <w:pStyle w:val="ListParagraph"/>
        <w:numPr>
          <w:ilvl w:val="0"/>
          <w:numId w:val="7"/>
        </w:numPr>
        <w:rPr>
          <w:b/>
        </w:rPr>
      </w:pPr>
      <w:r w:rsidRPr="00B51080">
        <w:rPr>
          <w:b/>
        </w:rPr>
        <w:t>Definitions</w:t>
      </w:r>
    </w:p>
    <w:p w:rsidR="007310B8" w:rsidRDefault="00141F03" w:rsidP="00CA1EA4">
      <w:pPr>
        <w:contextualSpacing/>
        <w:rPr>
          <w:rStyle w:val="CharAmSchNo"/>
          <w:kern w:val="28"/>
        </w:rPr>
      </w:pPr>
      <w:r>
        <w:rPr>
          <w:rStyle w:val="CharAmSchNo"/>
          <w:kern w:val="28"/>
        </w:rPr>
        <w:t xml:space="preserve">Clause 4 defines </w:t>
      </w:r>
      <w:r w:rsidR="007310B8" w:rsidRPr="0014419F">
        <w:rPr>
          <w:rStyle w:val="CharAmSchNo"/>
          <w:kern w:val="28"/>
        </w:rPr>
        <w:t xml:space="preserve">certain terms that are used in the </w:t>
      </w:r>
      <w:r w:rsidR="007310B8">
        <w:rPr>
          <w:rStyle w:val="CharAmSchNo"/>
          <w:kern w:val="28"/>
        </w:rPr>
        <w:t>List</w:t>
      </w:r>
      <w:r w:rsidR="007310B8" w:rsidRPr="0014419F">
        <w:rPr>
          <w:rStyle w:val="CharAmSchNo"/>
          <w:kern w:val="28"/>
        </w:rPr>
        <w:t xml:space="preserve">. </w:t>
      </w:r>
      <w:r>
        <w:rPr>
          <w:rStyle w:val="CharAmSchNo"/>
          <w:kern w:val="28"/>
        </w:rPr>
        <w:t xml:space="preserve"> </w:t>
      </w:r>
    </w:p>
    <w:p w:rsidR="007310B8" w:rsidRPr="007310B8" w:rsidRDefault="007310B8" w:rsidP="00CA1EA4">
      <w:pPr>
        <w:rPr>
          <w:b/>
        </w:rPr>
      </w:pPr>
    </w:p>
    <w:p w:rsidR="007310B8" w:rsidRDefault="007310B8" w:rsidP="0058250B">
      <w:pPr>
        <w:pStyle w:val="ListParagraph"/>
        <w:numPr>
          <w:ilvl w:val="0"/>
          <w:numId w:val="7"/>
        </w:numPr>
        <w:rPr>
          <w:b/>
        </w:rPr>
      </w:pPr>
      <w:r w:rsidRPr="007310B8">
        <w:rPr>
          <w:b/>
        </w:rPr>
        <w:t xml:space="preserve">List of occupations for which skilled persons are a priority (the Act, </w:t>
      </w:r>
      <w:proofErr w:type="spellStart"/>
      <w:r w:rsidRPr="007310B8">
        <w:rPr>
          <w:b/>
        </w:rPr>
        <w:t>ss</w:t>
      </w:r>
      <w:proofErr w:type="spellEnd"/>
      <w:r w:rsidRPr="007310B8">
        <w:rPr>
          <w:b/>
        </w:rPr>
        <w:t xml:space="preserve"> 105(1)(a))</w:t>
      </w:r>
    </w:p>
    <w:p w:rsidR="007310B8" w:rsidRDefault="00070C52" w:rsidP="00CA1EA4">
      <w:pPr>
        <w:contextualSpacing/>
      </w:pPr>
      <w:r>
        <w:rPr>
          <w:rStyle w:val="CharAmSchNo"/>
          <w:kern w:val="28"/>
        </w:rPr>
        <w:t>Clause 5 provides</w:t>
      </w:r>
      <w:r w:rsidR="007310B8">
        <w:rPr>
          <w:rStyle w:val="CharAmSchNo"/>
          <w:kern w:val="28"/>
        </w:rPr>
        <w:t xml:space="preserve"> that</w:t>
      </w:r>
      <w:r w:rsidR="001F1DC4">
        <w:rPr>
          <w:rStyle w:val="CharAmSchNo"/>
          <w:kern w:val="28"/>
        </w:rPr>
        <w:t>, for paragraph</w:t>
      </w:r>
      <w:r w:rsidR="003625EC">
        <w:rPr>
          <w:rStyle w:val="CharAmSchNo"/>
          <w:kern w:val="28"/>
        </w:rPr>
        <w:t xml:space="preserve"> </w:t>
      </w:r>
      <w:r w:rsidR="001F1DC4">
        <w:rPr>
          <w:rStyle w:val="CharAmSchNo"/>
          <w:kern w:val="28"/>
        </w:rPr>
        <w:t>105(1</w:t>
      </w:r>
      <w:proofErr w:type="gramStart"/>
      <w:r w:rsidR="001F1DC4">
        <w:rPr>
          <w:rStyle w:val="CharAmSchNo"/>
          <w:kern w:val="28"/>
        </w:rPr>
        <w:t>)(</w:t>
      </w:r>
      <w:proofErr w:type="gramEnd"/>
      <w:r w:rsidR="001F1DC4">
        <w:rPr>
          <w:rStyle w:val="CharAmSchNo"/>
          <w:kern w:val="28"/>
        </w:rPr>
        <w:t>a),</w:t>
      </w:r>
      <w:r w:rsidR="007310B8">
        <w:rPr>
          <w:rStyle w:val="CharAmSchNo"/>
          <w:kern w:val="28"/>
        </w:rPr>
        <w:t xml:space="preserve"> </w:t>
      </w:r>
      <w:r w:rsidR="007310B8">
        <w:t xml:space="preserve">the list of occupations for which skilled persons are a priority is </w:t>
      </w:r>
      <w:r w:rsidR="006E5774">
        <w:t>specified</w:t>
      </w:r>
      <w:r w:rsidR="007310B8">
        <w:t>.</w:t>
      </w:r>
    </w:p>
    <w:p w:rsidR="001F1DC4" w:rsidRDefault="001F1DC4" w:rsidP="00CA1EA4">
      <w:pPr>
        <w:contextualSpacing/>
      </w:pPr>
    </w:p>
    <w:p w:rsidR="001F1DC4" w:rsidRDefault="001F1DC4" w:rsidP="001F1DC4">
      <w:pPr>
        <w:rPr>
          <w:rFonts w:eastAsia="Calibri"/>
        </w:rPr>
      </w:pPr>
      <w:r>
        <w:rPr>
          <w:rFonts w:eastAsia="Calibri"/>
        </w:rPr>
        <w:t>In accordance with subsection 105(2) of the Act, the National Skills Needs List,</w:t>
      </w:r>
      <w:r w:rsidR="003625EC">
        <w:rPr>
          <w:rFonts w:eastAsia="Calibri"/>
        </w:rPr>
        <w:t xml:space="preserve"> which lists the </w:t>
      </w:r>
      <w:r>
        <w:rPr>
          <w:rFonts w:eastAsia="Calibri"/>
        </w:rPr>
        <w:t>occupation</w:t>
      </w:r>
      <w:r w:rsidR="003625EC">
        <w:rPr>
          <w:rFonts w:eastAsia="Calibri"/>
        </w:rPr>
        <w:t>s specified under clause 5,</w:t>
      </w:r>
      <w:r>
        <w:rPr>
          <w:rFonts w:eastAsia="Calibri"/>
        </w:rPr>
        <w:t xml:space="preserve"> is incorporated as it exists from time to time. </w:t>
      </w:r>
    </w:p>
    <w:p w:rsidR="001F1DC4" w:rsidRDefault="001F1DC4" w:rsidP="001F1DC4">
      <w:pPr>
        <w:rPr>
          <w:rFonts w:eastAsia="Calibri"/>
        </w:rPr>
      </w:pPr>
    </w:p>
    <w:p w:rsidR="001F1DC4" w:rsidRPr="00082246" w:rsidRDefault="001F1DC4" w:rsidP="00CA1EA4">
      <w:pPr>
        <w:rPr>
          <w:rStyle w:val="CharAmSchNo"/>
          <w:rFonts w:eastAsia="Calibri"/>
        </w:rPr>
      </w:pPr>
      <w:r>
        <w:rPr>
          <w:rFonts w:eastAsia="Calibri"/>
        </w:rPr>
        <w:t xml:space="preserve">Copies of the National Skills Needs List can be obtained from </w:t>
      </w:r>
      <w:hyperlink r:id="rId10" w:history="1">
        <w:r w:rsidR="001157EF" w:rsidRPr="005337CF">
          <w:rPr>
            <w:rStyle w:val="Hyperlink"/>
            <w:rFonts w:eastAsia="Calibri"/>
          </w:rPr>
          <w:t>www.industry.gov.au</w:t>
        </w:r>
      </w:hyperlink>
      <w:r w:rsidR="001157EF">
        <w:rPr>
          <w:rFonts w:eastAsia="Calibri"/>
        </w:rPr>
        <w:t>.</w:t>
      </w:r>
    </w:p>
    <w:p w:rsidR="007310B8" w:rsidRDefault="007310B8" w:rsidP="00CA1EA4">
      <w:pPr>
        <w:contextualSpacing/>
        <w:rPr>
          <w:rStyle w:val="CharAmSchNo"/>
          <w:kern w:val="28"/>
        </w:rPr>
      </w:pPr>
    </w:p>
    <w:p w:rsidR="007310B8" w:rsidRPr="00B51080" w:rsidRDefault="00173C92" w:rsidP="0058250B">
      <w:pPr>
        <w:pStyle w:val="ListParagraph"/>
        <w:numPr>
          <w:ilvl w:val="0"/>
          <w:numId w:val="7"/>
        </w:numPr>
        <w:rPr>
          <w:b/>
        </w:rPr>
      </w:pPr>
      <w:r w:rsidRPr="00173C92">
        <w:rPr>
          <w:b/>
        </w:rPr>
        <w:t xml:space="preserve">List of qualifications leading to occupations for which skilled persons are a priority (the Act, </w:t>
      </w:r>
      <w:proofErr w:type="spellStart"/>
      <w:r w:rsidRPr="00173C92">
        <w:rPr>
          <w:b/>
        </w:rPr>
        <w:t>ss</w:t>
      </w:r>
      <w:proofErr w:type="spellEnd"/>
      <w:r w:rsidRPr="00173C92">
        <w:rPr>
          <w:b/>
        </w:rPr>
        <w:t xml:space="preserve"> 105(1)(b))</w:t>
      </w:r>
    </w:p>
    <w:p w:rsidR="009954D1" w:rsidRDefault="00070C52" w:rsidP="00CA1EA4">
      <w:r>
        <w:t>Clause 6 provides t</w:t>
      </w:r>
      <w:r w:rsidR="007310B8">
        <w:t>hat</w:t>
      </w:r>
      <w:r w:rsidR="00317A1E">
        <w:t xml:space="preserve">, </w:t>
      </w:r>
      <w:r w:rsidR="00317A1E">
        <w:rPr>
          <w:rStyle w:val="CharAmSchNo"/>
          <w:kern w:val="28"/>
        </w:rPr>
        <w:t>for paragraph 105(1</w:t>
      </w:r>
      <w:proofErr w:type="gramStart"/>
      <w:r w:rsidR="00317A1E">
        <w:rPr>
          <w:rStyle w:val="CharAmSchNo"/>
          <w:kern w:val="28"/>
        </w:rPr>
        <w:t>)(</w:t>
      </w:r>
      <w:proofErr w:type="gramEnd"/>
      <w:r w:rsidR="006E5774">
        <w:rPr>
          <w:rStyle w:val="CharAmSchNo"/>
          <w:kern w:val="28"/>
        </w:rPr>
        <w:t>b</w:t>
      </w:r>
      <w:r w:rsidR="00317A1E">
        <w:rPr>
          <w:rStyle w:val="CharAmSchNo"/>
          <w:kern w:val="28"/>
        </w:rPr>
        <w:t>),</w:t>
      </w:r>
      <w:r w:rsidR="007310B8">
        <w:t xml:space="preserve"> the list of qualifications leading to occupations for which skilled persons are a priority is</w:t>
      </w:r>
      <w:r w:rsidR="009954D1">
        <w:t xml:space="preserve"> specified.</w:t>
      </w:r>
    </w:p>
    <w:p w:rsidR="009954D1" w:rsidRDefault="009954D1" w:rsidP="00CA1EA4"/>
    <w:p w:rsidR="009954D1" w:rsidRDefault="009954D1" w:rsidP="009954D1">
      <w:pPr>
        <w:rPr>
          <w:rFonts w:eastAsia="Calibri"/>
        </w:rPr>
      </w:pPr>
      <w:r>
        <w:rPr>
          <w:rFonts w:eastAsia="Calibri"/>
        </w:rPr>
        <w:t xml:space="preserve">In accordance with subsection 105(2) of the Act, the </w:t>
      </w:r>
      <w:r w:rsidR="00A061C7">
        <w:t>TSL Qualifications List</w:t>
      </w:r>
      <w:r>
        <w:rPr>
          <w:rFonts w:eastAsia="Calibri"/>
        </w:rPr>
        <w:t xml:space="preserve">, which lists the </w:t>
      </w:r>
      <w:r w:rsidR="00A061C7">
        <w:rPr>
          <w:rFonts w:eastAsia="Calibri"/>
        </w:rPr>
        <w:t xml:space="preserve">qualification </w:t>
      </w:r>
      <w:r>
        <w:rPr>
          <w:rFonts w:eastAsia="Calibri"/>
        </w:rPr>
        <w:t xml:space="preserve">specified under clause </w:t>
      </w:r>
      <w:r w:rsidR="00A061C7">
        <w:rPr>
          <w:rFonts w:eastAsia="Calibri"/>
        </w:rPr>
        <w:t>6</w:t>
      </w:r>
      <w:r>
        <w:rPr>
          <w:rFonts w:eastAsia="Calibri"/>
        </w:rPr>
        <w:t xml:space="preserve">, is incorporated as it exists from time to time. </w:t>
      </w:r>
    </w:p>
    <w:p w:rsidR="00A061C7" w:rsidRDefault="00A061C7" w:rsidP="009954D1">
      <w:pPr>
        <w:rPr>
          <w:rFonts w:eastAsia="Calibri"/>
        </w:rPr>
      </w:pPr>
    </w:p>
    <w:p w:rsidR="007310B8" w:rsidRDefault="00A061C7" w:rsidP="00CA1EA4">
      <w:r>
        <w:rPr>
          <w:rFonts w:eastAsia="Calibri"/>
        </w:rPr>
        <w:t xml:space="preserve">Copies of the </w:t>
      </w:r>
      <w:r>
        <w:t xml:space="preserve">TSL Qualifications </w:t>
      </w:r>
      <w:r>
        <w:rPr>
          <w:rFonts w:eastAsia="Calibri"/>
        </w:rPr>
        <w:t>List can be obtained from the website of the Department of Industry (</w:t>
      </w:r>
      <w:hyperlink r:id="rId11" w:history="1">
        <w:r w:rsidR="007310B8" w:rsidRPr="002C7E95">
          <w:rPr>
            <w:rStyle w:val="Hyperlink"/>
          </w:rPr>
          <w:t>www.industry.gov.au</w:t>
        </w:r>
      </w:hyperlink>
      <w:r>
        <w:rPr>
          <w:rStyle w:val="Hyperlink"/>
        </w:rPr>
        <w:t>)</w:t>
      </w:r>
      <w:r w:rsidR="00C755EF">
        <w:t>.</w:t>
      </w:r>
    </w:p>
    <w:p w:rsidR="007310B8" w:rsidRDefault="007310B8" w:rsidP="00CA1EA4"/>
    <w:p w:rsidR="007310B8" w:rsidRPr="007310B8" w:rsidRDefault="007310B8" w:rsidP="0058250B">
      <w:pPr>
        <w:pStyle w:val="ListParagraph"/>
        <w:numPr>
          <w:ilvl w:val="0"/>
          <w:numId w:val="7"/>
        </w:numPr>
        <w:rPr>
          <w:b/>
        </w:rPr>
      </w:pPr>
      <w:r w:rsidRPr="007310B8">
        <w:rPr>
          <w:b/>
        </w:rPr>
        <w:t xml:space="preserve">Provision for matters of an application or transitional nature (the Act, </w:t>
      </w:r>
      <w:proofErr w:type="spellStart"/>
      <w:r w:rsidRPr="007310B8">
        <w:rPr>
          <w:b/>
        </w:rPr>
        <w:t>ss</w:t>
      </w:r>
      <w:proofErr w:type="spellEnd"/>
      <w:r w:rsidRPr="007310B8">
        <w:rPr>
          <w:b/>
        </w:rPr>
        <w:t xml:space="preserve"> 105(3))</w:t>
      </w:r>
    </w:p>
    <w:p w:rsidR="007310B8" w:rsidRPr="00CA1EA4" w:rsidRDefault="00070C52" w:rsidP="00CA1EA4">
      <w:pPr>
        <w:pStyle w:val="R1"/>
        <w:spacing w:before="0" w:line="240" w:lineRule="auto"/>
        <w:ind w:left="0" w:firstLine="0"/>
      </w:pPr>
      <w:r>
        <w:t>Clause 7 provides that</w:t>
      </w:r>
      <w:r w:rsidR="00CA1EA4" w:rsidRPr="00CA1EA4">
        <w:t>:</w:t>
      </w:r>
    </w:p>
    <w:p w:rsidR="00CA1EA4" w:rsidRDefault="00CA1EA4" w:rsidP="00C755EF">
      <w:pPr>
        <w:pStyle w:val="ListParagraph"/>
        <w:numPr>
          <w:ilvl w:val="0"/>
          <w:numId w:val="6"/>
        </w:numPr>
        <w:ind w:left="360"/>
      </w:pPr>
      <w:r w:rsidRPr="00CA1EA4">
        <w:t xml:space="preserve">Where </w:t>
      </w:r>
      <w:r>
        <w:t xml:space="preserve">a qualification has been added to the List after the commencement date or recommencement date of a person’s </w:t>
      </w:r>
      <w:r w:rsidR="00E240DC">
        <w:t xml:space="preserve">apprenticeship, a person can make an application for trade support loan. </w:t>
      </w:r>
    </w:p>
    <w:p w:rsidR="00CA1EA4" w:rsidRDefault="00CA1EA4" w:rsidP="00C755EF">
      <w:pPr>
        <w:pStyle w:val="ListParagraph"/>
        <w:numPr>
          <w:ilvl w:val="0"/>
          <w:numId w:val="6"/>
        </w:numPr>
        <w:ind w:left="360"/>
      </w:pPr>
      <w:r>
        <w:t>Where a qualification has been removed from the List, but a person undertaking that qualification had lodged an application for trade support loan that was not determined before the removal of the qualification, the person will be taken to satisfy paragraph 8(2</w:t>
      </w:r>
      <w:proofErr w:type="gramStart"/>
      <w:r>
        <w:t>)(</w:t>
      </w:r>
      <w:proofErr w:type="gramEnd"/>
      <w:r>
        <w:t>a)(ii) of the Act.</w:t>
      </w:r>
    </w:p>
    <w:p w:rsidR="00CA1EA4" w:rsidRDefault="00CA1EA4" w:rsidP="00C755EF">
      <w:pPr>
        <w:pStyle w:val="ListParagraph"/>
        <w:numPr>
          <w:ilvl w:val="0"/>
          <w:numId w:val="6"/>
        </w:numPr>
        <w:ind w:left="360"/>
      </w:pPr>
      <w:r w:rsidRPr="00BF5EA6">
        <w:t>Where a qualification is removed from the</w:t>
      </w:r>
      <w:r w:rsidR="00E240DC">
        <w:t xml:space="preserve"> List</w:t>
      </w:r>
      <w:r>
        <w:t xml:space="preserve"> </w:t>
      </w:r>
      <w:r w:rsidR="00E240DC">
        <w:t>and</w:t>
      </w:r>
      <w:r>
        <w:t xml:space="preserve"> the Secretary has:</w:t>
      </w:r>
    </w:p>
    <w:p w:rsidR="00CA1EA4" w:rsidRDefault="00CA1EA4" w:rsidP="00C755EF">
      <w:pPr>
        <w:pStyle w:val="ListBullet"/>
        <w:ind w:left="851" w:hanging="425"/>
      </w:pPr>
      <w:r>
        <w:t xml:space="preserve">made determination granting a person’s application for trade support loan that is in effect; or </w:t>
      </w:r>
    </w:p>
    <w:p w:rsidR="00CA1EA4" w:rsidRDefault="00CA1EA4" w:rsidP="00C755EF">
      <w:pPr>
        <w:pStyle w:val="ListBullet"/>
        <w:spacing w:after="0"/>
        <w:ind w:left="851" w:hanging="425"/>
      </w:pPr>
      <w:r>
        <w:t xml:space="preserve">previously made a determination granting the person’s application for trade </w:t>
      </w:r>
      <w:r w:rsidRPr="00BF5EA6">
        <w:t>support loan</w:t>
      </w:r>
    </w:p>
    <w:p w:rsidR="00E240DC" w:rsidRDefault="00E240DC" w:rsidP="00C755EF">
      <w:pPr>
        <w:pStyle w:val="ListBullet"/>
        <w:numPr>
          <w:ilvl w:val="0"/>
          <w:numId w:val="0"/>
        </w:numPr>
        <w:spacing w:after="0"/>
        <w:ind w:left="426"/>
      </w:pPr>
      <w:proofErr w:type="gramStart"/>
      <w:r>
        <w:lastRenderedPageBreak/>
        <w:t>the</w:t>
      </w:r>
      <w:proofErr w:type="gramEnd"/>
      <w:r>
        <w:t xml:space="preserve"> person can continue to make subsequent applications for trade support loan for subsequent instalment periods for that qualification for the remainder of their apprenticeship (including any recommencement), and the person will be taken to have satisfied subparagraph 8(2)(a)(ii) of the Act.</w:t>
      </w:r>
    </w:p>
    <w:p w:rsidR="00CA1EA4" w:rsidRPr="00CA1EA4" w:rsidRDefault="00CA1EA4" w:rsidP="00C755EF">
      <w:pPr>
        <w:pStyle w:val="ListParagraph"/>
        <w:numPr>
          <w:ilvl w:val="0"/>
          <w:numId w:val="6"/>
        </w:numPr>
        <w:ind w:left="360"/>
      </w:pPr>
      <w:r>
        <w:t>Where a qualification is removed from the List, a person who commenced this qualification after the removal date will be taken not to satisfy paragraph 8(2</w:t>
      </w:r>
      <w:proofErr w:type="gramStart"/>
      <w:r>
        <w:t>)(</w:t>
      </w:r>
      <w:proofErr w:type="gramEnd"/>
      <w:r>
        <w:t>a)(ii) of the Act if they make an application for trade support loan in respect of the qualification after the removal date.</w:t>
      </w:r>
    </w:p>
    <w:p w:rsidR="007310B8" w:rsidRDefault="007310B8" w:rsidP="00CA1EA4">
      <w:pPr>
        <w:rPr>
          <w:b/>
        </w:rPr>
      </w:pPr>
    </w:p>
    <w:p w:rsidR="00D60B64" w:rsidRDefault="00D60B64" w:rsidP="00CA1EA4">
      <w:pPr>
        <w:contextualSpacing/>
      </w:pPr>
    </w:p>
    <w:p w:rsidR="00D60B64" w:rsidRDefault="00D60B64" w:rsidP="00CA1EA4">
      <w:pPr>
        <w:contextualSpacing/>
      </w:pPr>
    </w:p>
    <w:p w:rsidR="004C1C53" w:rsidRDefault="004C1C53">
      <w:pPr>
        <w:spacing w:after="200" w:line="276" w:lineRule="auto"/>
        <w:rPr>
          <w:b/>
          <w:bCs/>
          <w:sz w:val="28"/>
          <w:szCs w:val="28"/>
        </w:rPr>
      </w:pPr>
      <w:r>
        <w:rPr>
          <w:b/>
          <w:bCs/>
          <w:sz w:val="28"/>
          <w:szCs w:val="28"/>
        </w:rPr>
        <w:br w:type="page"/>
      </w:r>
    </w:p>
    <w:p w:rsidR="00D60B64" w:rsidRPr="00181BBE" w:rsidRDefault="00D60B64" w:rsidP="00D60B64">
      <w:pPr>
        <w:spacing w:before="100" w:beforeAutospacing="1" w:after="120"/>
        <w:jc w:val="center"/>
      </w:pPr>
      <w:r w:rsidRPr="00181BBE">
        <w:rPr>
          <w:b/>
          <w:bCs/>
          <w:sz w:val="28"/>
          <w:szCs w:val="28"/>
        </w:rPr>
        <w:lastRenderedPageBreak/>
        <w:t>Statement of Compatibility with Human Rights</w:t>
      </w:r>
    </w:p>
    <w:p w:rsidR="00D60B64" w:rsidRPr="00181BBE" w:rsidRDefault="00D60B64" w:rsidP="00D60B64">
      <w:pPr>
        <w:spacing w:before="100" w:beforeAutospacing="1" w:after="100" w:afterAutospacing="1"/>
        <w:jc w:val="center"/>
      </w:pPr>
      <w:r w:rsidRPr="00181BBE">
        <w:rPr>
          <w:i/>
          <w:iCs/>
        </w:rPr>
        <w:t>Prepared in accordance with Part 3 of the Human Rights (Parliamentary Scrutiny) Act 2011</w:t>
      </w:r>
    </w:p>
    <w:p w:rsidR="00D60B64" w:rsidRPr="00181BBE" w:rsidRDefault="00D60B64" w:rsidP="00D60B64">
      <w:pPr>
        <w:spacing w:before="100" w:beforeAutospacing="1" w:after="100" w:afterAutospacing="1"/>
        <w:jc w:val="center"/>
      </w:pPr>
      <w:r>
        <w:rPr>
          <w:b/>
          <w:bCs/>
          <w:i/>
          <w:iCs/>
        </w:rPr>
        <w:t>Trade Support Loans Priority List 2014</w:t>
      </w:r>
    </w:p>
    <w:p w:rsidR="004C1C53" w:rsidRPr="005164EE" w:rsidRDefault="004C1C53" w:rsidP="004C1C53">
      <w:pPr>
        <w:jc w:val="both"/>
        <w:rPr>
          <w:b/>
        </w:rPr>
      </w:pPr>
      <w:r w:rsidRPr="005164EE">
        <w:rPr>
          <w:b/>
        </w:rPr>
        <w:t>Overview of the Legislative Instrument</w:t>
      </w:r>
    </w:p>
    <w:p w:rsidR="004C1C53" w:rsidRPr="005164EE" w:rsidRDefault="004C1C53" w:rsidP="004C1C53">
      <w:pPr>
        <w:jc w:val="both"/>
      </w:pPr>
    </w:p>
    <w:p w:rsidR="004C1C53" w:rsidRDefault="004C1C53" w:rsidP="004C1C53">
      <w:r w:rsidRPr="005164EE">
        <w:t xml:space="preserve">The </w:t>
      </w:r>
      <w:r>
        <w:rPr>
          <w:i/>
        </w:rPr>
        <w:t>Trade Support Loans Priority List 2014</w:t>
      </w:r>
      <w:r w:rsidRPr="005164EE">
        <w:t xml:space="preserve"> </w:t>
      </w:r>
      <w:r>
        <w:t xml:space="preserve">(the List) is </w:t>
      </w:r>
      <w:r w:rsidRPr="005164EE">
        <w:t xml:space="preserve">made by the Minister under section </w:t>
      </w:r>
      <w:r>
        <w:t xml:space="preserve">105 </w:t>
      </w:r>
      <w:r w:rsidRPr="005164EE">
        <w:t xml:space="preserve">of the </w:t>
      </w:r>
      <w:r>
        <w:rPr>
          <w:i/>
        </w:rPr>
        <w:t>Trade Support Act 2014</w:t>
      </w:r>
      <w:r w:rsidRPr="005164EE">
        <w:rPr>
          <w:i/>
        </w:rPr>
        <w:t xml:space="preserve"> </w:t>
      </w:r>
      <w:r w:rsidRPr="005164EE">
        <w:t xml:space="preserve">(the Act). </w:t>
      </w:r>
      <w:r>
        <w:t xml:space="preserve">Trade Support Loans is </w:t>
      </w:r>
      <w:r w:rsidRPr="005164EE">
        <w:t>a</w:t>
      </w:r>
      <w:r>
        <w:t>n income-contingent</w:t>
      </w:r>
      <w:r w:rsidRPr="005164EE">
        <w:t xml:space="preserve"> loan program to assist eligible </w:t>
      </w:r>
      <w:r>
        <w:t>apprentices during the course of their apprenticeships.</w:t>
      </w:r>
    </w:p>
    <w:p w:rsidR="004C1C53" w:rsidRDefault="004C1C53" w:rsidP="004C1C53"/>
    <w:p w:rsidR="004C1C53" w:rsidRDefault="004C1C53" w:rsidP="004C1C53">
      <w:pPr>
        <w:rPr>
          <w:iCs/>
          <w:color w:val="000000"/>
        </w:rPr>
      </w:pPr>
      <w:r>
        <w:rPr>
          <w:iCs/>
          <w:color w:val="000000"/>
        </w:rPr>
        <w:t xml:space="preserve">The List provide for </w:t>
      </w:r>
      <w:r w:rsidR="008F7DD0">
        <w:rPr>
          <w:iCs/>
          <w:color w:val="000000"/>
        </w:rPr>
        <w:t>occupations or qualifications for which skilled persons are a priority. Furthermore, the List provides for matters of a transitional nature in relation to the addition, removal or modification of specified occupations or qualificaitons.</w:t>
      </w:r>
    </w:p>
    <w:p w:rsidR="004C1C53" w:rsidRPr="00134703" w:rsidRDefault="004C1C53" w:rsidP="004C1C53"/>
    <w:p w:rsidR="00D60B64" w:rsidRPr="00EB64CF" w:rsidRDefault="00D60B64" w:rsidP="00D60B64">
      <w:pPr>
        <w:rPr>
          <w:b/>
        </w:rPr>
      </w:pPr>
      <w:r>
        <w:rPr>
          <w:b/>
        </w:rPr>
        <w:t>Human right implications</w:t>
      </w:r>
    </w:p>
    <w:p w:rsidR="00D60B64" w:rsidRDefault="00D60B64" w:rsidP="00D60B64">
      <w:r w:rsidRPr="008850FB">
        <w:t xml:space="preserve">The </w:t>
      </w:r>
      <w:r>
        <w:t>List engages</w:t>
      </w:r>
      <w:r w:rsidRPr="008850FB">
        <w:t xml:space="preserve"> the following human rights:</w:t>
      </w:r>
    </w:p>
    <w:p w:rsidR="00D60B64" w:rsidRDefault="00D60B64" w:rsidP="00D60B64">
      <w:pPr>
        <w:rPr>
          <w:b/>
        </w:rPr>
      </w:pPr>
    </w:p>
    <w:p w:rsidR="00D60B64" w:rsidRPr="00D358FF" w:rsidRDefault="00D60B64" w:rsidP="00D60B64">
      <w:pPr>
        <w:rPr>
          <w:i/>
        </w:rPr>
      </w:pPr>
      <w:r w:rsidRPr="00D358FF">
        <w:rPr>
          <w:i/>
        </w:rPr>
        <w:t>Right to education</w:t>
      </w:r>
    </w:p>
    <w:p w:rsidR="00D60B64" w:rsidRPr="00251E5F" w:rsidRDefault="00D60B64" w:rsidP="00D60B64">
      <w:pPr>
        <w:rPr>
          <w:b/>
        </w:rPr>
      </w:pPr>
    </w:p>
    <w:p w:rsidR="00D60B64" w:rsidRDefault="00D60B64" w:rsidP="00D60B64">
      <w:r>
        <w:t>These Rules</w:t>
      </w:r>
      <w:r w:rsidRPr="0023112D">
        <w:t xml:space="preserve"> engage the right to education contained in </w:t>
      </w:r>
      <w:r>
        <w:t>A</w:t>
      </w:r>
      <w:r w:rsidRPr="0023112D">
        <w:t xml:space="preserve">rticle 13 of the </w:t>
      </w:r>
      <w:r w:rsidRPr="00C82CA7">
        <w:rPr>
          <w:i/>
        </w:rPr>
        <w:t xml:space="preserve">International Covenant on Economic, Social and Cultural Rights </w:t>
      </w:r>
      <w:r w:rsidRPr="0023112D">
        <w:t>(</w:t>
      </w:r>
      <w:r w:rsidRPr="00F42F6F">
        <w:rPr>
          <w:b/>
        </w:rPr>
        <w:t>ICESCR</w:t>
      </w:r>
      <w:r w:rsidRPr="0023112D">
        <w:t xml:space="preserve">). </w:t>
      </w:r>
    </w:p>
    <w:p w:rsidR="00D60B64" w:rsidRDefault="00D60B64" w:rsidP="00D60B64"/>
    <w:p w:rsidR="00D60B64" w:rsidRDefault="00D60B64" w:rsidP="00D60B64">
      <w:r w:rsidRPr="005C5F1F">
        <w:t>In particular, Article 13(2)(b) states that secondary education, including technical and vocational secondary education shall be made generally available and accessible to all by every appropriate means and in particular by the progressive introduction of free education.</w:t>
      </w:r>
    </w:p>
    <w:p w:rsidR="00D60B64" w:rsidRDefault="00D60B64" w:rsidP="00D60B64"/>
    <w:p w:rsidR="00D60B64" w:rsidRDefault="00D60B64" w:rsidP="00D60B64">
      <w:r>
        <w:t>The List</w:t>
      </w:r>
      <w:r w:rsidRPr="008850FB">
        <w:t xml:space="preserve"> </w:t>
      </w:r>
      <w:r w:rsidRPr="00883917">
        <w:t>will promote an individual’s right to education by</w:t>
      </w:r>
      <w:r w:rsidRPr="008850FB">
        <w:t xml:space="preserve"> </w:t>
      </w:r>
      <w:r>
        <w:t>providing access to financial assistance, under the loans, during an apprenticeship.</w:t>
      </w:r>
      <w:r w:rsidRPr="008850FB">
        <w:t xml:space="preserve">  The </w:t>
      </w:r>
      <w:r>
        <w:t>l</w:t>
      </w:r>
      <w:r w:rsidRPr="008850FB">
        <w:t xml:space="preserve">oans are designed to help apprentices with the everyday living expenses associated with training (technical and vocational education). </w:t>
      </w:r>
      <w:r>
        <w:t>This will improve</w:t>
      </w:r>
      <w:r w:rsidRPr="00883917">
        <w:t xml:space="preserve"> the accessibility of tec</w:t>
      </w:r>
      <w:r>
        <w:t>hnical and vocational education, as</w:t>
      </w:r>
      <w:r w:rsidRPr="00883917">
        <w:t xml:space="preserve"> </w:t>
      </w:r>
      <w:r>
        <w:t>i</w:t>
      </w:r>
      <w:r w:rsidRPr="00883917">
        <w:t>ndividual</w:t>
      </w:r>
      <w:r>
        <w:t>s</w:t>
      </w:r>
      <w:r w:rsidRPr="00883917">
        <w:t xml:space="preserve"> need not miss out on enrolment due to</w:t>
      </w:r>
      <w:r>
        <w:t xml:space="preserve"> the prospect of financial</w:t>
      </w:r>
      <w:r w:rsidRPr="00883917">
        <w:t xml:space="preserve"> difficulties</w:t>
      </w:r>
      <w:r>
        <w:t xml:space="preserve"> in undertaking an apprenticeship. </w:t>
      </w:r>
    </w:p>
    <w:p w:rsidR="00D60B64" w:rsidRPr="0023112D" w:rsidRDefault="00D60B64" w:rsidP="00D60B64"/>
    <w:p w:rsidR="00D60B64" w:rsidRPr="008850FB" w:rsidRDefault="00D60B64" w:rsidP="00D60B64">
      <w:r w:rsidRPr="008850FB">
        <w:t>The fact that the loans are repayable once the person reaches a particular income threshold will not limit a person’s right to education.</w:t>
      </w:r>
    </w:p>
    <w:p w:rsidR="00D60B64" w:rsidRPr="008850FB" w:rsidRDefault="00D60B64" w:rsidP="00D60B64">
      <w:pPr>
        <w:pStyle w:val="Bullet"/>
        <w:numPr>
          <w:ilvl w:val="0"/>
          <w:numId w:val="0"/>
        </w:numPr>
        <w:spacing w:after="0"/>
      </w:pPr>
    </w:p>
    <w:p w:rsidR="00D60B64" w:rsidRPr="00D358FF" w:rsidRDefault="00D60B64" w:rsidP="00D60B64">
      <w:pPr>
        <w:rPr>
          <w:i/>
        </w:rPr>
      </w:pPr>
      <w:r w:rsidRPr="00D358FF">
        <w:rPr>
          <w:i/>
        </w:rPr>
        <w:t>Right to equality and non-discrimination</w:t>
      </w:r>
    </w:p>
    <w:p w:rsidR="00D60B64" w:rsidRDefault="00D60B64" w:rsidP="00D60B64"/>
    <w:p w:rsidR="00D60B64" w:rsidRPr="008850FB" w:rsidRDefault="00D60B64" w:rsidP="00D60B64">
      <w:r w:rsidRPr="008850FB">
        <w:t>The right to equality and non-d</w:t>
      </w:r>
      <w:r>
        <w:t>i</w:t>
      </w:r>
      <w:r w:rsidRPr="008850FB">
        <w:t xml:space="preserve">scrimination is protected in </w:t>
      </w:r>
      <w:r>
        <w:t>A</w:t>
      </w:r>
      <w:r w:rsidRPr="008850FB">
        <w:t>rticles 2</w:t>
      </w:r>
      <w:r>
        <w:t xml:space="preserve"> </w:t>
      </w:r>
      <w:r w:rsidRPr="008850FB">
        <w:t xml:space="preserve">and 26 of the </w:t>
      </w:r>
      <w:r w:rsidRPr="008850FB">
        <w:rPr>
          <w:i/>
        </w:rPr>
        <w:t>International Covenant on Civil and Political Rights</w:t>
      </w:r>
      <w:r w:rsidRPr="00AA702F">
        <w:t xml:space="preserve"> (</w:t>
      </w:r>
      <w:r w:rsidRPr="00F42F6F">
        <w:rPr>
          <w:b/>
        </w:rPr>
        <w:t>ICCPR</w:t>
      </w:r>
      <w:r w:rsidRPr="00AA702F">
        <w:t>)</w:t>
      </w:r>
      <w:r w:rsidRPr="008850FB">
        <w:t xml:space="preserve">. </w:t>
      </w:r>
    </w:p>
    <w:p w:rsidR="00D60B64" w:rsidRPr="008850FB" w:rsidRDefault="00D60B64" w:rsidP="00D60B64"/>
    <w:p w:rsidR="00D60B64" w:rsidRDefault="00D60B64" w:rsidP="00D60B64">
      <w:r w:rsidRPr="008850FB">
        <w:t>Article 2(1) of</w:t>
      </w:r>
      <w:r>
        <w:t xml:space="preserve"> the</w:t>
      </w:r>
      <w:r w:rsidRPr="008850FB">
        <w:t xml:space="preserve"> </w:t>
      </w:r>
      <w:r>
        <w:t>ICCPR</w:t>
      </w:r>
      <w:r w:rsidRPr="008850FB">
        <w:rPr>
          <w:i/>
        </w:rPr>
        <w:t xml:space="preserve"> </w:t>
      </w:r>
      <w:r w:rsidRPr="008850FB">
        <w:t>obligates each State party to respect and ensure to all persons within its territory and subject to its jurisdiction the rights recognised in the Covenant without distinction of any kind, such as race, colour, sex, language, religion, political or other opinion, national or social origin, property, birth or other status</w:t>
      </w:r>
      <w:r>
        <w:rPr>
          <w:vertAlign w:val="superscript"/>
        </w:rPr>
        <w:footnoteReference w:id="1"/>
      </w:r>
      <w:r w:rsidRPr="008850FB">
        <w:t>.</w:t>
      </w:r>
      <w:r>
        <w:t xml:space="preserve"> </w:t>
      </w:r>
    </w:p>
    <w:p w:rsidR="00D60B64" w:rsidRPr="008850FB" w:rsidRDefault="00D60B64" w:rsidP="00D60B64"/>
    <w:p w:rsidR="00D60B64" w:rsidRDefault="00D60B64" w:rsidP="00D60B64">
      <w:r w:rsidRPr="008850FB">
        <w:lastRenderedPageBreak/>
        <w:t xml:space="preserve">Article 26 </w:t>
      </w:r>
      <w:r>
        <w:t xml:space="preserve">of the ICCPR </w:t>
      </w:r>
      <w:r w:rsidRPr="008850FB">
        <w:t>not only entitles all persons to equality before the law as well as equal protection of the law, but also prohibits any discrimination under the law and guarantees to all persons equal and effective protection against discrimination on any ground such as race, colour, sex, language, religion, political or other opinion, national or social origin, property, birth or other status</w:t>
      </w:r>
      <w:r>
        <w:rPr>
          <w:vertAlign w:val="superscript"/>
        </w:rPr>
        <w:footnoteReference w:id="2"/>
      </w:r>
      <w:r w:rsidRPr="008850FB">
        <w:t>.</w:t>
      </w:r>
    </w:p>
    <w:p w:rsidR="00D60B64" w:rsidRPr="008850FB" w:rsidRDefault="00D60B64" w:rsidP="00D60B64"/>
    <w:p w:rsidR="00D60B64" w:rsidRDefault="00D60B64" w:rsidP="00D60B64">
      <w:r w:rsidRPr="00901041">
        <w:t>While the Bill limit</w:t>
      </w:r>
      <w:r>
        <w:t>s</w:t>
      </w:r>
      <w:r w:rsidRPr="00901041">
        <w:t xml:space="preserve"> access to the loans based on an individual’s status as an Australian resident and that they are engaged in an eligible apprenticeship, these requirements are compatible with the nature of the ICCPR rights and solely for the purpose of promoting general welfare, as permitted by the Committee on Economic, Social and Cultural Rights in its commentary on differential treatment.</w:t>
      </w:r>
      <w:r>
        <w:rPr>
          <w:rStyle w:val="FootnoteReference"/>
        </w:rPr>
        <w:footnoteReference w:id="3"/>
      </w:r>
      <w:r w:rsidRPr="00901041">
        <w:t xml:space="preserve"> Therefore, </w:t>
      </w:r>
      <w:r w:rsidR="00AC4BB7">
        <w:t>the List</w:t>
      </w:r>
      <w:r>
        <w:t xml:space="preserve"> </w:t>
      </w:r>
      <w:r w:rsidRPr="00901041">
        <w:t>do</w:t>
      </w:r>
      <w:r w:rsidR="00AC4BB7">
        <w:t>es</w:t>
      </w:r>
      <w:r w:rsidRPr="00901041">
        <w:t xml:space="preserve"> not restrict any person’s right to equality and non-discrimination as contained in Articles 2 and 26 of the ICCPR.</w:t>
      </w:r>
    </w:p>
    <w:p w:rsidR="00D60B64" w:rsidRPr="008850FB" w:rsidRDefault="00D60B64" w:rsidP="00D60B64"/>
    <w:p w:rsidR="00D60B64" w:rsidRDefault="00D60B64" w:rsidP="00D60B64">
      <w:pPr>
        <w:keepNext/>
        <w:rPr>
          <w:b/>
        </w:rPr>
      </w:pPr>
      <w:r w:rsidRPr="008850FB">
        <w:rPr>
          <w:b/>
        </w:rPr>
        <w:t>Conclusion</w:t>
      </w:r>
    </w:p>
    <w:p w:rsidR="00D60B64" w:rsidRPr="008850FB" w:rsidRDefault="00D60B64" w:rsidP="00D60B64">
      <w:pPr>
        <w:keepNext/>
        <w:rPr>
          <w:b/>
        </w:rPr>
      </w:pPr>
    </w:p>
    <w:p w:rsidR="00D60B64" w:rsidRDefault="00D60B64" w:rsidP="00D60B64">
      <w:r w:rsidRPr="00234326">
        <w:t xml:space="preserve">The </w:t>
      </w:r>
      <w:r>
        <w:t>List is</w:t>
      </w:r>
      <w:r w:rsidRPr="00234326">
        <w:t xml:space="preserve"> compatible with human rights. To the extent they may have limited impact on a</w:t>
      </w:r>
      <w:r w:rsidRPr="008850FB">
        <w:t xml:space="preserve"> person’s access to education, an adequate standard of living or the right to equality and non</w:t>
      </w:r>
      <w:r w:rsidRPr="008850FB">
        <w:noBreakHyphen/>
        <w:t>discrimination, the limitation is reasonable, proportionate to the policy objective and for legitimate reasons.</w:t>
      </w:r>
    </w:p>
    <w:p w:rsidR="00D60B64" w:rsidRDefault="00D60B64" w:rsidP="00D60B64">
      <w:pPr>
        <w:jc w:val="both"/>
      </w:pPr>
    </w:p>
    <w:p w:rsidR="00D60B64" w:rsidRPr="00EB64CF" w:rsidRDefault="00D60B64" w:rsidP="00D60B64">
      <w:pPr>
        <w:jc w:val="both"/>
        <w:rPr>
          <w:b/>
        </w:rPr>
      </w:pPr>
    </w:p>
    <w:p w:rsidR="00D60B64" w:rsidRPr="00EB64CF" w:rsidRDefault="00D60B64" w:rsidP="00D60B64">
      <w:pPr>
        <w:contextualSpacing/>
        <w:jc w:val="center"/>
        <w:rPr>
          <w:b/>
          <w:lang w:eastAsia="en-US"/>
        </w:rPr>
      </w:pPr>
      <w:r w:rsidRPr="00EB64CF">
        <w:rPr>
          <w:b/>
          <w:lang w:eastAsia="en-US"/>
        </w:rPr>
        <w:t xml:space="preserve">Minister for Industry, </w:t>
      </w:r>
    </w:p>
    <w:p w:rsidR="00D60B64" w:rsidRPr="00EB64CF" w:rsidRDefault="00D60B64" w:rsidP="00D60B64">
      <w:pPr>
        <w:contextualSpacing/>
        <w:jc w:val="center"/>
        <w:rPr>
          <w:b/>
          <w:lang w:eastAsia="en-US"/>
        </w:rPr>
      </w:pPr>
      <w:proofErr w:type="gramStart"/>
      <w:r w:rsidRPr="00EB64CF">
        <w:rPr>
          <w:b/>
          <w:lang w:eastAsia="en-US"/>
        </w:rPr>
        <w:t>the</w:t>
      </w:r>
      <w:proofErr w:type="gramEnd"/>
      <w:r w:rsidRPr="00EB64CF">
        <w:rPr>
          <w:b/>
          <w:lang w:eastAsia="en-US"/>
        </w:rPr>
        <w:t xml:space="preserve"> Honourable Ian MacFarlane MP</w:t>
      </w:r>
    </w:p>
    <w:p w:rsidR="00D60B64" w:rsidRDefault="00D60B64" w:rsidP="00D60B64">
      <w:pPr>
        <w:jc w:val="both"/>
      </w:pPr>
    </w:p>
    <w:p w:rsidR="00D60B64" w:rsidRPr="00B51080" w:rsidRDefault="00D60B64" w:rsidP="00D60B64"/>
    <w:p w:rsidR="00D60B64" w:rsidRPr="00E240DC" w:rsidRDefault="00D60B64" w:rsidP="00CA1EA4">
      <w:pPr>
        <w:contextualSpacing/>
        <w:rPr>
          <w:kern w:val="28"/>
        </w:rPr>
      </w:pPr>
    </w:p>
    <w:sectPr w:rsidR="00D60B64" w:rsidRPr="00E240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321" w:rsidRDefault="001C5321" w:rsidP="00D60B64">
      <w:r>
        <w:separator/>
      </w:r>
    </w:p>
  </w:endnote>
  <w:endnote w:type="continuationSeparator" w:id="0">
    <w:p w:rsidR="001C5321" w:rsidRDefault="001C5321" w:rsidP="00D6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321" w:rsidRDefault="001C5321" w:rsidP="00D60B64">
      <w:r>
        <w:separator/>
      </w:r>
    </w:p>
  </w:footnote>
  <w:footnote w:type="continuationSeparator" w:id="0">
    <w:p w:rsidR="001C5321" w:rsidRDefault="001C5321" w:rsidP="00D60B64">
      <w:r>
        <w:continuationSeparator/>
      </w:r>
    </w:p>
  </w:footnote>
  <w:footnote w:id="1">
    <w:p w:rsidR="00D60B64" w:rsidRPr="00660029" w:rsidRDefault="00D60B64" w:rsidP="00D60B64">
      <w:pPr>
        <w:pStyle w:val="FootnoteText"/>
      </w:pPr>
      <w:r w:rsidRPr="00660029">
        <w:rPr>
          <w:rStyle w:val="FootnoteReference"/>
        </w:rPr>
        <w:footnoteRef/>
      </w:r>
      <w:r w:rsidRPr="00660029">
        <w:t xml:space="preserve"> </w:t>
      </w:r>
      <w:proofErr w:type="gramStart"/>
      <w:r w:rsidRPr="00660029">
        <w:t>CCPR</w:t>
      </w:r>
      <w:r>
        <w:t>,</w:t>
      </w:r>
      <w:r w:rsidRPr="00660029">
        <w:t xml:space="preserve"> General Comment No.</w:t>
      </w:r>
      <w:proofErr w:type="gramEnd"/>
      <w:r w:rsidRPr="00660029">
        <w:t xml:space="preserve">  18</w:t>
      </w:r>
      <w:r>
        <w:t>.</w:t>
      </w:r>
    </w:p>
  </w:footnote>
  <w:footnote w:id="2">
    <w:p w:rsidR="00D60B64" w:rsidRPr="00660029" w:rsidRDefault="00D60B64" w:rsidP="00D60B64">
      <w:pPr>
        <w:pStyle w:val="FootnoteText"/>
      </w:pPr>
      <w:r w:rsidRPr="00660029">
        <w:rPr>
          <w:rStyle w:val="FootnoteReference"/>
        </w:rPr>
        <w:footnoteRef/>
      </w:r>
      <w:r w:rsidRPr="00660029">
        <w:t xml:space="preserve"> </w:t>
      </w:r>
      <w:proofErr w:type="gramStart"/>
      <w:r w:rsidRPr="00660029">
        <w:t>CCPR</w:t>
      </w:r>
      <w:r>
        <w:t>,</w:t>
      </w:r>
      <w:r w:rsidRPr="00660029">
        <w:t xml:space="preserve"> General Comment No.</w:t>
      </w:r>
      <w:proofErr w:type="gramEnd"/>
      <w:r w:rsidRPr="00660029">
        <w:t xml:space="preserve">  18</w:t>
      </w:r>
      <w:r>
        <w:t>.</w:t>
      </w:r>
    </w:p>
  </w:footnote>
  <w:footnote w:id="3">
    <w:p w:rsidR="00D60B64" w:rsidRDefault="00D60B64" w:rsidP="00D60B64">
      <w:pPr>
        <w:pStyle w:val="FootnoteText"/>
      </w:pPr>
      <w:r>
        <w:rPr>
          <w:rStyle w:val="FootnoteReference"/>
        </w:rPr>
        <w:footnoteRef/>
      </w:r>
      <w:r>
        <w:t xml:space="preserve"> </w:t>
      </w:r>
      <w:r w:rsidRPr="00901041">
        <w:t>CESCR, General Comment No 20</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B1C"/>
    <w:multiLevelType w:val="hybridMultilevel"/>
    <w:tmpl w:val="6DFE3D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2CE4F49"/>
    <w:multiLevelType w:val="multilevel"/>
    <w:tmpl w:val="D98AFEB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Bullet"/>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34FA0E22"/>
    <w:multiLevelType w:val="hybridMultilevel"/>
    <w:tmpl w:val="B0321562"/>
    <w:lvl w:ilvl="0" w:tplc="096CAE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BB0EE3"/>
    <w:multiLevelType w:val="hybridMultilevel"/>
    <w:tmpl w:val="8ABA670C"/>
    <w:lvl w:ilvl="0" w:tplc="07AEEAC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
    <w:nsid w:val="54062327"/>
    <w:multiLevelType w:val="hybridMultilevel"/>
    <w:tmpl w:val="80EA2FAE"/>
    <w:lvl w:ilvl="0" w:tplc="9544BCAC">
      <w:start w:val="1"/>
      <w:numFmt w:val="decimal"/>
      <w:lvlText w:val="Claus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92058A8"/>
    <w:multiLevelType w:val="hybridMultilevel"/>
    <w:tmpl w:val="E314188E"/>
    <w:lvl w:ilvl="0" w:tplc="8D0C82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62435E6B"/>
    <w:multiLevelType w:val="hybridMultilevel"/>
    <w:tmpl w:val="AF8C4026"/>
    <w:lvl w:ilvl="0" w:tplc="1D0A82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5A17B89"/>
    <w:multiLevelType w:val="hybridMultilevel"/>
    <w:tmpl w:val="DD443BDA"/>
    <w:lvl w:ilvl="0" w:tplc="5B90122E">
      <w:start w:val="1"/>
      <w:numFmt w:val="decimal"/>
      <w:lvlText w:val="(%1)"/>
      <w:lvlJc w:val="left"/>
      <w:pPr>
        <w:ind w:left="720" w:hanging="360"/>
      </w:pPr>
      <w:rPr>
        <w:rFonts w:ascii="Times New Roman" w:eastAsia="Times New Roman" w:hAnsi="Times New Roman" w:cs="Times New Roman"/>
      </w:rPr>
    </w:lvl>
    <w:lvl w:ilvl="1" w:tplc="9614249A">
      <w:start w:val="1"/>
      <w:numFmt w:val="lowerRoman"/>
      <w:pStyle w:val="ListBullet"/>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B8"/>
    <w:rsid w:val="00070C52"/>
    <w:rsid w:val="00082246"/>
    <w:rsid w:val="00094AA9"/>
    <w:rsid w:val="001157EF"/>
    <w:rsid w:val="00141F03"/>
    <w:rsid w:val="00173C92"/>
    <w:rsid w:val="001C5321"/>
    <w:rsid w:val="001F1DC4"/>
    <w:rsid w:val="00224599"/>
    <w:rsid w:val="00285757"/>
    <w:rsid w:val="003151C7"/>
    <w:rsid w:val="00317A1E"/>
    <w:rsid w:val="003625EC"/>
    <w:rsid w:val="00397D30"/>
    <w:rsid w:val="00467AFB"/>
    <w:rsid w:val="004B7B9A"/>
    <w:rsid w:val="004C1C53"/>
    <w:rsid w:val="004E6ED7"/>
    <w:rsid w:val="0050046A"/>
    <w:rsid w:val="0058250B"/>
    <w:rsid w:val="005F055B"/>
    <w:rsid w:val="0066007C"/>
    <w:rsid w:val="00675EBC"/>
    <w:rsid w:val="00696FA8"/>
    <w:rsid w:val="006A3EA5"/>
    <w:rsid w:val="006C583A"/>
    <w:rsid w:val="006E5774"/>
    <w:rsid w:val="007310B8"/>
    <w:rsid w:val="007C2AFA"/>
    <w:rsid w:val="007D1E51"/>
    <w:rsid w:val="007E3EF7"/>
    <w:rsid w:val="007E6994"/>
    <w:rsid w:val="008F7DD0"/>
    <w:rsid w:val="009954D1"/>
    <w:rsid w:val="00A061C7"/>
    <w:rsid w:val="00A314A6"/>
    <w:rsid w:val="00AC4BB7"/>
    <w:rsid w:val="00AD054A"/>
    <w:rsid w:val="00B203F5"/>
    <w:rsid w:val="00B454E5"/>
    <w:rsid w:val="00C33626"/>
    <w:rsid w:val="00C755EF"/>
    <w:rsid w:val="00CA0B7C"/>
    <w:rsid w:val="00CA1EA4"/>
    <w:rsid w:val="00D60B64"/>
    <w:rsid w:val="00D864B5"/>
    <w:rsid w:val="00DB1ADF"/>
    <w:rsid w:val="00DF1E2D"/>
    <w:rsid w:val="00E240DC"/>
    <w:rsid w:val="00F76D6A"/>
    <w:rsid w:val="00FA5C86"/>
    <w:rsid w:val="00FF2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7310B8"/>
    <w:rPr>
      <w:sz w:val="16"/>
      <w:szCs w:val="16"/>
    </w:rPr>
  </w:style>
  <w:style w:type="paragraph" w:styleId="CommentText">
    <w:name w:val="annotation text"/>
    <w:basedOn w:val="Normal"/>
    <w:link w:val="CommentTextChar"/>
    <w:uiPriority w:val="99"/>
    <w:unhideWhenUsed/>
    <w:rsid w:val="007310B8"/>
    <w:rPr>
      <w:sz w:val="20"/>
      <w:szCs w:val="20"/>
    </w:rPr>
  </w:style>
  <w:style w:type="character" w:customStyle="1" w:styleId="CommentTextChar">
    <w:name w:val="Comment Text Char"/>
    <w:basedOn w:val="DefaultParagraphFont"/>
    <w:link w:val="CommentText"/>
    <w:uiPriority w:val="99"/>
    <w:rsid w:val="007310B8"/>
    <w:rPr>
      <w:rFonts w:ascii="Times New Roman" w:eastAsia="Times New Roman" w:hAnsi="Times New Roman" w:cs="Times New Roman"/>
      <w:sz w:val="20"/>
      <w:szCs w:val="20"/>
      <w:lang w:eastAsia="en-AU"/>
    </w:rPr>
  </w:style>
  <w:style w:type="character" w:customStyle="1" w:styleId="CharSectno">
    <w:name w:val="CharSectno"/>
    <w:basedOn w:val="DefaultParagraphFont"/>
    <w:qFormat/>
    <w:rsid w:val="007310B8"/>
  </w:style>
  <w:style w:type="paragraph" w:styleId="ListParagraph">
    <w:name w:val="List Paragraph"/>
    <w:basedOn w:val="Normal"/>
    <w:link w:val="ListParagraphChar"/>
    <w:uiPriority w:val="34"/>
    <w:qFormat/>
    <w:rsid w:val="007310B8"/>
    <w:pPr>
      <w:ind w:left="720"/>
      <w:contextualSpacing/>
    </w:pPr>
  </w:style>
  <w:style w:type="character" w:customStyle="1" w:styleId="CharAmSchNo">
    <w:name w:val="CharAmSchNo"/>
    <w:qFormat/>
    <w:rsid w:val="007310B8"/>
    <w:rPr>
      <w:rFonts w:cs="Times New Roman"/>
    </w:rPr>
  </w:style>
  <w:style w:type="character" w:customStyle="1" w:styleId="ListParagraphChar">
    <w:name w:val="List Paragraph Char"/>
    <w:link w:val="ListParagraph"/>
    <w:uiPriority w:val="34"/>
    <w:locked/>
    <w:rsid w:val="007310B8"/>
    <w:rPr>
      <w:rFonts w:ascii="Times New Roman" w:eastAsia="Times New Roman" w:hAnsi="Times New Roman" w:cs="Times New Roman"/>
      <w:sz w:val="24"/>
      <w:szCs w:val="24"/>
      <w:lang w:eastAsia="en-AU"/>
    </w:rPr>
  </w:style>
  <w:style w:type="paragraph" w:customStyle="1" w:styleId="R2">
    <w:name w:val="R2"/>
    <w:aliases w:val="(2)"/>
    <w:basedOn w:val="Normal"/>
    <w:rsid w:val="007310B8"/>
    <w:pPr>
      <w:keepLines/>
      <w:tabs>
        <w:tab w:val="right" w:pos="794"/>
      </w:tabs>
      <w:spacing w:before="180" w:line="260" w:lineRule="exact"/>
      <w:ind w:left="964" w:hanging="964"/>
      <w:jc w:val="both"/>
    </w:pPr>
  </w:style>
  <w:style w:type="paragraph" w:customStyle="1" w:styleId="R1">
    <w:name w:val="R1"/>
    <w:aliases w:val="1. or 1.(1)"/>
    <w:basedOn w:val="Normal"/>
    <w:next w:val="R2"/>
    <w:rsid w:val="007310B8"/>
    <w:pPr>
      <w:keepLines/>
      <w:tabs>
        <w:tab w:val="right" w:pos="794"/>
      </w:tabs>
      <w:spacing w:before="120" w:line="260" w:lineRule="exact"/>
      <w:ind w:left="964" w:hanging="964"/>
      <w:jc w:val="both"/>
    </w:pPr>
  </w:style>
  <w:style w:type="paragraph" w:styleId="BalloonText">
    <w:name w:val="Balloon Text"/>
    <w:basedOn w:val="Normal"/>
    <w:link w:val="BalloonTextChar"/>
    <w:uiPriority w:val="99"/>
    <w:semiHidden/>
    <w:unhideWhenUsed/>
    <w:rsid w:val="007310B8"/>
    <w:rPr>
      <w:rFonts w:ascii="Tahoma" w:hAnsi="Tahoma" w:cs="Tahoma"/>
      <w:sz w:val="16"/>
      <w:szCs w:val="16"/>
    </w:rPr>
  </w:style>
  <w:style w:type="character" w:customStyle="1" w:styleId="BalloonTextChar">
    <w:name w:val="Balloon Text Char"/>
    <w:basedOn w:val="DefaultParagraphFont"/>
    <w:link w:val="BalloonText"/>
    <w:uiPriority w:val="99"/>
    <w:semiHidden/>
    <w:rsid w:val="007310B8"/>
    <w:rPr>
      <w:rFonts w:ascii="Tahoma" w:eastAsia="Times New Roman" w:hAnsi="Tahoma" w:cs="Tahoma"/>
      <w:sz w:val="16"/>
      <w:szCs w:val="16"/>
      <w:lang w:eastAsia="en-AU"/>
    </w:rPr>
  </w:style>
  <w:style w:type="paragraph" w:customStyle="1" w:styleId="HR">
    <w:name w:val="HR"/>
    <w:aliases w:val="Regulation Heading"/>
    <w:basedOn w:val="Normal"/>
    <w:next w:val="R1"/>
    <w:rsid w:val="007310B8"/>
    <w:pPr>
      <w:keepNext/>
      <w:keepLines/>
      <w:spacing w:before="360"/>
      <w:ind w:left="964" w:hanging="964"/>
    </w:pPr>
    <w:rPr>
      <w:rFonts w:ascii="Arial" w:hAnsi="Arial"/>
      <w:b/>
    </w:rPr>
  </w:style>
  <w:style w:type="character" w:styleId="Hyperlink">
    <w:name w:val="Hyperlink"/>
    <w:rsid w:val="007310B8"/>
    <w:rPr>
      <w:color w:val="0000FF"/>
      <w:u w:val="single"/>
    </w:rPr>
  </w:style>
  <w:style w:type="paragraph" w:styleId="ListBullet">
    <w:name w:val="List Bullet"/>
    <w:basedOn w:val="Normal"/>
    <w:autoRedefine/>
    <w:rsid w:val="00CA1EA4"/>
    <w:pPr>
      <w:numPr>
        <w:ilvl w:val="1"/>
        <w:numId w:val="6"/>
      </w:numPr>
      <w:spacing w:after="120"/>
    </w:pPr>
  </w:style>
  <w:style w:type="paragraph" w:styleId="FootnoteText">
    <w:name w:val="footnote text"/>
    <w:basedOn w:val="Normal"/>
    <w:link w:val="FootnoteTextChar"/>
    <w:uiPriority w:val="99"/>
    <w:unhideWhenUsed/>
    <w:rsid w:val="00D60B64"/>
    <w:rPr>
      <w:sz w:val="20"/>
      <w:szCs w:val="20"/>
    </w:rPr>
  </w:style>
  <w:style w:type="character" w:customStyle="1" w:styleId="FootnoteTextChar">
    <w:name w:val="Footnote Text Char"/>
    <w:basedOn w:val="DefaultParagraphFont"/>
    <w:link w:val="FootnoteText"/>
    <w:uiPriority w:val="99"/>
    <w:rsid w:val="00D60B64"/>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D60B64"/>
    <w:rPr>
      <w:vertAlign w:val="superscript"/>
    </w:rPr>
  </w:style>
  <w:style w:type="paragraph" w:customStyle="1" w:styleId="Bullet">
    <w:name w:val="Bullet"/>
    <w:basedOn w:val="Normal"/>
    <w:link w:val="BulletChar"/>
    <w:qFormat/>
    <w:rsid w:val="00D60B64"/>
    <w:pPr>
      <w:numPr>
        <w:ilvl w:val="1"/>
        <w:numId w:val="8"/>
      </w:numPr>
      <w:tabs>
        <w:tab w:val="clear" w:pos="1134"/>
        <w:tab w:val="num" w:pos="567"/>
      </w:tabs>
      <w:spacing w:after="240"/>
      <w:ind w:left="567"/>
    </w:pPr>
    <w:rPr>
      <w:lang w:eastAsia="en-US"/>
    </w:rPr>
  </w:style>
  <w:style w:type="character" w:customStyle="1" w:styleId="BulletChar">
    <w:name w:val="Bullet Char"/>
    <w:link w:val="Bullet"/>
    <w:rsid w:val="00D60B64"/>
    <w:rPr>
      <w:rFonts w:ascii="Times New Roman" w:eastAsia="Times New Roman" w:hAnsi="Times New Roman" w:cs="Times New Roman"/>
      <w:sz w:val="24"/>
      <w:szCs w:val="24"/>
    </w:rPr>
  </w:style>
  <w:style w:type="paragraph" w:customStyle="1" w:styleId="DoubleDot">
    <w:name w:val="Double Dot"/>
    <w:basedOn w:val="Normal"/>
    <w:rsid w:val="00D60B64"/>
    <w:pPr>
      <w:numPr>
        <w:ilvl w:val="2"/>
        <w:numId w:val="8"/>
      </w:numPr>
      <w:spacing w:after="240"/>
    </w:pPr>
    <w:rPr>
      <w:lang w:eastAsia="en-US"/>
    </w:rPr>
  </w:style>
  <w:style w:type="paragraph" w:styleId="CommentSubject">
    <w:name w:val="annotation subject"/>
    <w:basedOn w:val="CommentText"/>
    <w:next w:val="CommentText"/>
    <w:link w:val="CommentSubjectChar"/>
    <w:uiPriority w:val="99"/>
    <w:semiHidden/>
    <w:unhideWhenUsed/>
    <w:rsid w:val="003151C7"/>
    <w:rPr>
      <w:b/>
      <w:bCs/>
    </w:rPr>
  </w:style>
  <w:style w:type="character" w:customStyle="1" w:styleId="CommentSubjectChar">
    <w:name w:val="Comment Subject Char"/>
    <w:basedOn w:val="CommentTextChar"/>
    <w:link w:val="CommentSubject"/>
    <w:uiPriority w:val="99"/>
    <w:semiHidden/>
    <w:rsid w:val="003151C7"/>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7310B8"/>
    <w:rPr>
      <w:sz w:val="16"/>
      <w:szCs w:val="16"/>
    </w:rPr>
  </w:style>
  <w:style w:type="paragraph" w:styleId="CommentText">
    <w:name w:val="annotation text"/>
    <w:basedOn w:val="Normal"/>
    <w:link w:val="CommentTextChar"/>
    <w:uiPriority w:val="99"/>
    <w:unhideWhenUsed/>
    <w:rsid w:val="007310B8"/>
    <w:rPr>
      <w:sz w:val="20"/>
      <w:szCs w:val="20"/>
    </w:rPr>
  </w:style>
  <w:style w:type="character" w:customStyle="1" w:styleId="CommentTextChar">
    <w:name w:val="Comment Text Char"/>
    <w:basedOn w:val="DefaultParagraphFont"/>
    <w:link w:val="CommentText"/>
    <w:uiPriority w:val="99"/>
    <w:rsid w:val="007310B8"/>
    <w:rPr>
      <w:rFonts w:ascii="Times New Roman" w:eastAsia="Times New Roman" w:hAnsi="Times New Roman" w:cs="Times New Roman"/>
      <w:sz w:val="20"/>
      <w:szCs w:val="20"/>
      <w:lang w:eastAsia="en-AU"/>
    </w:rPr>
  </w:style>
  <w:style w:type="character" w:customStyle="1" w:styleId="CharSectno">
    <w:name w:val="CharSectno"/>
    <w:basedOn w:val="DefaultParagraphFont"/>
    <w:qFormat/>
    <w:rsid w:val="007310B8"/>
  </w:style>
  <w:style w:type="paragraph" w:styleId="ListParagraph">
    <w:name w:val="List Paragraph"/>
    <w:basedOn w:val="Normal"/>
    <w:link w:val="ListParagraphChar"/>
    <w:uiPriority w:val="34"/>
    <w:qFormat/>
    <w:rsid w:val="007310B8"/>
    <w:pPr>
      <w:ind w:left="720"/>
      <w:contextualSpacing/>
    </w:pPr>
  </w:style>
  <w:style w:type="character" w:customStyle="1" w:styleId="CharAmSchNo">
    <w:name w:val="CharAmSchNo"/>
    <w:qFormat/>
    <w:rsid w:val="007310B8"/>
    <w:rPr>
      <w:rFonts w:cs="Times New Roman"/>
    </w:rPr>
  </w:style>
  <w:style w:type="character" w:customStyle="1" w:styleId="ListParagraphChar">
    <w:name w:val="List Paragraph Char"/>
    <w:link w:val="ListParagraph"/>
    <w:uiPriority w:val="34"/>
    <w:locked/>
    <w:rsid w:val="007310B8"/>
    <w:rPr>
      <w:rFonts w:ascii="Times New Roman" w:eastAsia="Times New Roman" w:hAnsi="Times New Roman" w:cs="Times New Roman"/>
      <w:sz w:val="24"/>
      <w:szCs w:val="24"/>
      <w:lang w:eastAsia="en-AU"/>
    </w:rPr>
  </w:style>
  <w:style w:type="paragraph" w:customStyle="1" w:styleId="R2">
    <w:name w:val="R2"/>
    <w:aliases w:val="(2)"/>
    <w:basedOn w:val="Normal"/>
    <w:rsid w:val="007310B8"/>
    <w:pPr>
      <w:keepLines/>
      <w:tabs>
        <w:tab w:val="right" w:pos="794"/>
      </w:tabs>
      <w:spacing w:before="180" w:line="260" w:lineRule="exact"/>
      <w:ind w:left="964" w:hanging="964"/>
      <w:jc w:val="both"/>
    </w:pPr>
  </w:style>
  <w:style w:type="paragraph" w:customStyle="1" w:styleId="R1">
    <w:name w:val="R1"/>
    <w:aliases w:val="1. or 1.(1)"/>
    <w:basedOn w:val="Normal"/>
    <w:next w:val="R2"/>
    <w:rsid w:val="007310B8"/>
    <w:pPr>
      <w:keepLines/>
      <w:tabs>
        <w:tab w:val="right" w:pos="794"/>
      </w:tabs>
      <w:spacing w:before="120" w:line="260" w:lineRule="exact"/>
      <w:ind w:left="964" w:hanging="964"/>
      <w:jc w:val="both"/>
    </w:pPr>
  </w:style>
  <w:style w:type="paragraph" w:styleId="BalloonText">
    <w:name w:val="Balloon Text"/>
    <w:basedOn w:val="Normal"/>
    <w:link w:val="BalloonTextChar"/>
    <w:uiPriority w:val="99"/>
    <w:semiHidden/>
    <w:unhideWhenUsed/>
    <w:rsid w:val="007310B8"/>
    <w:rPr>
      <w:rFonts w:ascii="Tahoma" w:hAnsi="Tahoma" w:cs="Tahoma"/>
      <w:sz w:val="16"/>
      <w:szCs w:val="16"/>
    </w:rPr>
  </w:style>
  <w:style w:type="character" w:customStyle="1" w:styleId="BalloonTextChar">
    <w:name w:val="Balloon Text Char"/>
    <w:basedOn w:val="DefaultParagraphFont"/>
    <w:link w:val="BalloonText"/>
    <w:uiPriority w:val="99"/>
    <w:semiHidden/>
    <w:rsid w:val="007310B8"/>
    <w:rPr>
      <w:rFonts w:ascii="Tahoma" w:eastAsia="Times New Roman" w:hAnsi="Tahoma" w:cs="Tahoma"/>
      <w:sz w:val="16"/>
      <w:szCs w:val="16"/>
      <w:lang w:eastAsia="en-AU"/>
    </w:rPr>
  </w:style>
  <w:style w:type="paragraph" w:customStyle="1" w:styleId="HR">
    <w:name w:val="HR"/>
    <w:aliases w:val="Regulation Heading"/>
    <w:basedOn w:val="Normal"/>
    <w:next w:val="R1"/>
    <w:rsid w:val="007310B8"/>
    <w:pPr>
      <w:keepNext/>
      <w:keepLines/>
      <w:spacing w:before="360"/>
      <w:ind w:left="964" w:hanging="964"/>
    </w:pPr>
    <w:rPr>
      <w:rFonts w:ascii="Arial" w:hAnsi="Arial"/>
      <w:b/>
    </w:rPr>
  </w:style>
  <w:style w:type="character" w:styleId="Hyperlink">
    <w:name w:val="Hyperlink"/>
    <w:rsid w:val="007310B8"/>
    <w:rPr>
      <w:color w:val="0000FF"/>
      <w:u w:val="single"/>
    </w:rPr>
  </w:style>
  <w:style w:type="paragraph" w:styleId="ListBullet">
    <w:name w:val="List Bullet"/>
    <w:basedOn w:val="Normal"/>
    <w:autoRedefine/>
    <w:rsid w:val="00CA1EA4"/>
    <w:pPr>
      <w:numPr>
        <w:ilvl w:val="1"/>
        <w:numId w:val="6"/>
      </w:numPr>
      <w:spacing w:after="120"/>
    </w:pPr>
  </w:style>
  <w:style w:type="paragraph" w:styleId="FootnoteText">
    <w:name w:val="footnote text"/>
    <w:basedOn w:val="Normal"/>
    <w:link w:val="FootnoteTextChar"/>
    <w:uiPriority w:val="99"/>
    <w:unhideWhenUsed/>
    <w:rsid w:val="00D60B64"/>
    <w:rPr>
      <w:sz w:val="20"/>
      <w:szCs w:val="20"/>
    </w:rPr>
  </w:style>
  <w:style w:type="character" w:customStyle="1" w:styleId="FootnoteTextChar">
    <w:name w:val="Footnote Text Char"/>
    <w:basedOn w:val="DefaultParagraphFont"/>
    <w:link w:val="FootnoteText"/>
    <w:uiPriority w:val="99"/>
    <w:rsid w:val="00D60B64"/>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D60B64"/>
    <w:rPr>
      <w:vertAlign w:val="superscript"/>
    </w:rPr>
  </w:style>
  <w:style w:type="paragraph" w:customStyle="1" w:styleId="Bullet">
    <w:name w:val="Bullet"/>
    <w:basedOn w:val="Normal"/>
    <w:link w:val="BulletChar"/>
    <w:qFormat/>
    <w:rsid w:val="00D60B64"/>
    <w:pPr>
      <w:numPr>
        <w:ilvl w:val="1"/>
        <w:numId w:val="8"/>
      </w:numPr>
      <w:tabs>
        <w:tab w:val="clear" w:pos="1134"/>
        <w:tab w:val="num" w:pos="567"/>
      </w:tabs>
      <w:spacing w:after="240"/>
      <w:ind w:left="567"/>
    </w:pPr>
    <w:rPr>
      <w:lang w:eastAsia="en-US"/>
    </w:rPr>
  </w:style>
  <w:style w:type="character" w:customStyle="1" w:styleId="BulletChar">
    <w:name w:val="Bullet Char"/>
    <w:link w:val="Bullet"/>
    <w:rsid w:val="00D60B64"/>
    <w:rPr>
      <w:rFonts w:ascii="Times New Roman" w:eastAsia="Times New Roman" w:hAnsi="Times New Roman" w:cs="Times New Roman"/>
      <w:sz w:val="24"/>
      <w:szCs w:val="24"/>
    </w:rPr>
  </w:style>
  <w:style w:type="paragraph" w:customStyle="1" w:styleId="DoubleDot">
    <w:name w:val="Double Dot"/>
    <w:basedOn w:val="Normal"/>
    <w:rsid w:val="00D60B64"/>
    <w:pPr>
      <w:numPr>
        <w:ilvl w:val="2"/>
        <w:numId w:val="8"/>
      </w:numPr>
      <w:spacing w:after="240"/>
    </w:pPr>
    <w:rPr>
      <w:lang w:eastAsia="en-US"/>
    </w:rPr>
  </w:style>
  <w:style w:type="paragraph" w:styleId="CommentSubject">
    <w:name w:val="annotation subject"/>
    <w:basedOn w:val="CommentText"/>
    <w:next w:val="CommentText"/>
    <w:link w:val="CommentSubjectChar"/>
    <w:uiPriority w:val="99"/>
    <w:semiHidden/>
    <w:unhideWhenUsed/>
    <w:rsid w:val="003151C7"/>
    <w:rPr>
      <w:b/>
      <w:bCs/>
    </w:rPr>
  </w:style>
  <w:style w:type="character" w:customStyle="1" w:styleId="CommentSubjectChar">
    <w:name w:val="Comment Subject Char"/>
    <w:basedOn w:val="CommentTextChar"/>
    <w:link w:val="CommentSubject"/>
    <w:uiPriority w:val="99"/>
    <w:semiHidden/>
    <w:rsid w:val="003151C7"/>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ustry.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dustry.gov.au" TargetMode="External"/><Relationship Id="rId5" Type="http://schemas.openxmlformats.org/officeDocument/2006/relationships/webSettings" Target="webSettings.xml"/><Relationship Id="rId10" Type="http://schemas.openxmlformats.org/officeDocument/2006/relationships/hyperlink" Target="http://www.industry.gov.au" TargetMode="External"/><Relationship Id="rId4" Type="http://schemas.openxmlformats.org/officeDocument/2006/relationships/settings" Target="settings.xml"/><Relationship Id="rId9" Type="http://schemas.openxmlformats.org/officeDocument/2006/relationships/hyperlink" Target="http://www.industr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Pomroy</dc:creator>
  <cp:lastModifiedBy>Gillespie, Lisa</cp:lastModifiedBy>
  <cp:revision>2</cp:revision>
  <cp:lastPrinted>2014-07-08T04:38:00Z</cp:lastPrinted>
  <dcterms:created xsi:type="dcterms:W3CDTF">2014-07-17T05:46:00Z</dcterms:created>
  <dcterms:modified xsi:type="dcterms:W3CDTF">2014-07-17T05:46:00Z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