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A4" w:rsidRDefault="00675DA4" w:rsidP="00675DA4">
      <w:pPr>
        <w:pStyle w:val="Title"/>
        <w:spacing w:before="120"/>
        <w:rPr>
          <w:sz w:val="26"/>
          <w:szCs w:val="26"/>
        </w:rPr>
      </w:pPr>
      <w:r>
        <w:rPr>
          <w:sz w:val="26"/>
          <w:szCs w:val="26"/>
        </w:rPr>
        <w:t>Commonwealth of Australia</w:t>
      </w:r>
    </w:p>
    <w:p w:rsidR="00675DA4" w:rsidRDefault="00675DA4" w:rsidP="00675DA4">
      <w:pPr>
        <w:pStyle w:val="citation"/>
      </w:pPr>
      <w:r>
        <w:t>Telecommunications Act 1997</w:t>
      </w:r>
    </w:p>
    <w:p w:rsidR="00675DA4" w:rsidRDefault="002D0A46" w:rsidP="00675DA4">
      <w:pPr>
        <w:pStyle w:val="Title"/>
      </w:pPr>
      <w:r>
        <w:t>Carrier Licence Conditions (Telstra Corporation Limited</w:t>
      </w:r>
      <w:r w:rsidR="00675DA4">
        <w:t>) Declaration 1997 (</w:t>
      </w:r>
      <w:r w:rsidR="00675DA4" w:rsidRPr="004D574C">
        <w:t>Amendment</w:t>
      </w:r>
      <w:r w:rsidR="00675DA4">
        <w:t xml:space="preserve"> No. </w:t>
      </w:r>
      <w:r w:rsidR="009C62C3">
        <w:t xml:space="preserve">2 </w:t>
      </w:r>
      <w:r w:rsidR="00675DA4">
        <w:t>of 2014)</w:t>
      </w:r>
    </w:p>
    <w:p w:rsidR="00675DA4" w:rsidRDefault="00675DA4" w:rsidP="00675DA4">
      <w:pPr>
        <w:spacing w:before="600"/>
        <w:jc w:val="both"/>
      </w:pPr>
      <w:r w:rsidRPr="00675DA4">
        <w:t>I, MALCOLM BLIGH TURNBULL, Minister for Communications</w:t>
      </w:r>
      <w:r w:rsidR="00861F89">
        <w:t>,</w:t>
      </w:r>
      <w:r>
        <w:t xml:space="preserve"> make the following </w:t>
      </w:r>
      <w:r w:rsidR="00F10E11">
        <w:t>d</w:t>
      </w:r>
      <w:r>
        <w:t xml:space="preserve">eclaration under subsection 63(5) of the </w:t>
      </w:r>
      <w:r>
        <w:rPr>
          <w:i/>
          <w:iCs/>
        </w:rPr>
        <w:t>Telecommunications Act 1997</w:t>
      </w:r>
      <w:r>
        <w:t>.</w:t>
      </w:r>
    </w:p>
    <w:p w:rsidR="00675DA4" w:rsidRDefault="00675DA4" w:rsidP="00675DA4">
      <w:pPr>
        <w:tabs>
          <w:tab w:val="clear" w:pos="540"/>
          <w:tab w:val="center" w:pos="3960"/>
        </w:tabs>
        <w:spacing w:before="300" w:line="240" w:lineRule="atLeast"/>
      </w:pPr>
      <w:r>
        <w:t xml:space="preserve">Dated </w:t>
      </w:r>
      <w:r w:rsidR="007A2252">
        <w:t xml:space="preserve">14 July </w:t>
      </w:r>
      <w:bookmarkStart w:id="0" w:name="_GoBack"/>
      <w:bookmarkEnd w:id="0"/>
      <w:r>
        <w:t>2014.</w:t>
      </w:r>
    </w:p>
    <w:p w:rsidR="00675DA4" w:rsidRDefault="00675DA4" w:rsidP="00675DA4"/>
    <w:p w:rsidR="00675DA4" w:rsidRDefault="00675DA4" w:rsidP="00675DA4">
      <w:pPr>
        <w:tabs>
          <w:tab w:val="center" w:pos="5840"/>
          <w:tab w:val="right" w:pos="7200"/>
        </w:tabs>
      </w:pPr>
    </w:p>
    <w:p w:rsidR="00675DA4" w:rsidRDefault="00675DA4" w:rsidP="00675DA4"/>
    <w:p w:rsidR="00675DA4" w:rsidRDefault="00675DA4" w:rsidP="00675D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MALCOLM TURNBULL</w:t>
      </w:r>
    </w:p>
    <w:p w:rsidR="00675DA4" w:rsidRPr="00DB4EC1" w:rsidRDefault="00675DA4" w:rsidP="00675DA4">
      <w:pPr>
        <w:jc w:val="center"/>
        <w:rPr>
          <w:rFonts w:ascii="Times New Roman" w:hAnsi="Times New Roman"/>
          <w:sz w:val="24"/>
          <w:szCs w:val="24"/>
        </w:rPr>
      </w:pPr>
      <w:r w:rsidRPr="00DB4EC1">
        <w:rPr>
          <w:rFonts w:ascii="Times New Roman" w:hAnsi="Times New Roman"/>
          <w:sz w:val="24"/>
          <w:szCs w:val="24"/>
        </w:rPr>
        <w:t xml:space="preserve">Minister for Communications </w:t>
      </w:r>
    </w:p>
    <w:p w:rsidR="00675DA4" w:rsidRPr="00DB4EC1" w:rsidRDefault="00675DA4" w:rsidP="00675DA4">
      <w:pPr>
        <w:jc w:val="center"/>
        <w:rPr>
          <w:rFonts w:ascii="Times New Roman" w:hAnsi="Times New Roman"/>
          <w:sz w:val="24"/>
          <w:szCs w:val="24"/>
        </w:rPr>
      </w:pPr>
      <w:r w:rsidRPr="00DB4EC1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675DA4" w:rsidRPr="00FD70EB" w:rsidRDefault="00675DA4" w:rsidP="00675DA4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autoSpaceDE/>
        <w:autoSpaceDN/>
        <w:spacing w:before="400" w:line="300" w:lineRule="atLeast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Name of </w:t>
      </w:r>
      <w:r w:rsidR="00C62D00">
        <w:rPr>
          <w:rFonts w:ascii="Arial" w:hAnsi="Arial"/>
          <w:color w:val="000000"/>
        </w:rPr>
        <w:t>d</w:t>
      </w:r>
      <w:r>
        <w:rPr>
          <w:rFonts w:ascii="Arial" w:hAnsi="Arial"/>
          <w:color w:val="000000"/>
        </w:rPr>
        <w:t>eclaration</w:t>
      </w:r>
    </w:p>
    <w:p w:rsidR="00675DA4" w:rsidRPr="000922C2" w:rsidRDefault="00675DA4" w:rsidP="00675DA4">
      <w:pPr>
        <w:spacing w:before="240"/>
        <w:ind w:left="567"/>
        <w:rPr>
          <w:b/>
          <w:sz w:val="24"/>
        </w:rPr>
      </w:pPr>
      <w:r w:rsidRPr="006F7FEB">
        <w:rPr>
          <w:sz w:val="24"/>
        </w:rPr>
        <w:t xml:space="preserve">This </w:t>
      </w:r>
      <w:r w:rsidR="00C62D00">
        <w:rPr>
          <w:sz w:val="24"/>
        </w:rPr>
        <w:t>d</w:t>
      </w:r>
      <w:r w:rsidRPr="006F7FEB">
        <w:rPr>
          <w:sz w:val="24"/>
        </w:rPr>
        <w:t>e</w:t>
      </w:r>
      <w:r w:rsidR="00452EE0">
        <w:rPr>
          <w:sz w:val="24"/>
        </w:rPr>
        <w:t xml:space="preserve">claration </w:t>
      </w:r>
      <w:r w:rsidRPr="006F7FEB">
        <w:rPr>
          <w:sz w:val="24"/>
        </w:rPr>
        <w:t xml:space="preserve">is the </w:t>
      </w:r>
      <w:r w:rsidRPr="00675DA4">
        <w:rPr>
          <w:i/>
          <w:sz w:val="24"/>
        </w:rPr>
        <w:t>Carrier Licence Conditions (</w:t>
      </w:r>
      <w:r w:rsidR="002D0A46">
        <w:rPr>
          <w:i/>
          <w:sz w:val="24"/>
        </w:rPr>
        <w:t>Telstra Corporation Limited</w:t>
      </w:r>
      <w:r w:rsidRPr="00675DA4">
        <w:rPr>
          <w:i/>
          <w:sz w:val="24"/>
        </w:rPr>
        <w:t xml:space="preserve">) Declaration 1997 (Amendment No. </w:t>
      </w:r>
      <w:r w:rsidR="007C5DBF">
        <w:rPr>
          <w:i/>
          <w:sz w:val="24"/>
        </w:rPr>
        <w:t>2</w:t>
      </w:r>
      <w:r w:rsidR="007C5DBF" w:rsidRPr="00675DA4">
        <w:rPr>
          <w:i/>
          <w:sz w:val="24"/>
        </w:rPr>
        <w:t xml:space="preserve"> </w:t>
      </w:r>
      <w:r w:rsidRPr="00675DA4">
        <w:rPr>
          <w:i/>
          <w:sz w:val="24"/>
        </w:rPr>
        <w:t>of 2014)</w:t>
      </w:r>
      <w:r w:rsidRPr="006F7FEB">
        <w:rPr>
          <w:sz w:val="24"/>
        </w:rPr>
        <w:t>.</w:t>
      </w:r>
    </w:p>
    <w:p w:rsidR="00675DA4" w:rsidRPr="00FD70EB" w:rsidRDefault="00675DA4" w:rsidP="00675DA4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autoSpaceDE/>
        <w:autoSpaceDN/>
        <w:spacing w:before="400" w:line="300" w:lineRule="atLeast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Commencement</w:t>
      </w:r>
    </w:p>
    <w:p w:rsidR="00675DA4" w:rsidRDefault="00675DA4" w:rsidP="00675DA4">
      <w:pPr>
        <w:spacing w:before="240"/>
        <w:ind w:left="567"/>
        <w:rPr>
          <w:sz w:val="24"/>
        </w:rPr>
      </w:pPr>
      <w:r w:rsidRPr="006F7FEB">
        <w:rPr>
          <w:sz w:val="24"/>
        </w:rPr>
        <w:t xml:space="preserve">This </w:t>
      </w:r>
      <w:r w:rsidR="00C62D00">
        <w:rPr>
          <w:sz w:val="24"/>
        </w:rPr>
        <w:t>d</w:t>
      </w:r>
      <w:r w:rsidR="00452EE0" w:rsidRPr="006F7FEB">
        <w:rPr>
          <w:sz w:val="24"/>
        </w:rPr>
        <w:t>e</w:t>
      </w:r>
      <w:r w:rsidR="00452EE0">
        <w:rPr>
          <w:sz w:val="24"/>
        </w:rPr>
        <w:t xml:space="preserve">claration </w:t>
      </w:r>
      <w:r w:rsidRPr="006F7FEB">
        <w:rPr>
          <w:sz w:val="24"/>
        </w:rPr>
        <w:t>commences on the day after it is registered on the Federal Register of Legislative Instruments.</w:t>
      </w:r>
    </w:p>
    <w:p w:rsidR="00675DA4" w:rsidRPr="00FD70EB" w:rsidRDefault="00675DA4" w:rsidP="00675DA4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autoSpaceDE/>
        <w:autoSpaceDN/>
        <w:spacing w:before="400" w:line="300" w:lineRule="atLeast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Variation</w:t>
      </w:r>
    </w:p>
    <w:p w:rsidR="00675DA4" w:rsidRDefault="00675DA4" w:rsidP="00675DA4">
      <w:pPr>
        <w:pStyle w:val="R1"/>
        <w:ind w:left="567"/>
        <w:rPr>
          <w:rFonts w:ascii="Times New Roman" w:hAnsi="Times New Roman" w:cs="Times New Roman"/>
          <w:color w:val="000000"/>
          <w:sz w:val="24"/>
        </w:rPr>
      </w:pPr>
      <w:r w:rsidRPr="006F7FEB">
        <w:rPr>
          <w:rFonts w:ascii="Times New Roman" w:hAnsi="Times New Roman" w:cs="Times New Roman"/>
          <w:color w:val="000000"/>
          <w:sz w:val="24"/>
        </w:rPr>
        <w:t xml:space="preserve">The </w:t>
      </w:r>
      <w:r w:rsidRPr="00675DA4">
        <w:rPr>
          <w:rFonts w:ascii="Times New Roman" w:hAnsi="Times New Roman" w:cs="Times New Roman"/>
          <w:i/>
          <w:color w:val="000000"/>
          <w:sz w:val="24"/>
        </w:rPr>
        <w:t>Carrier Licence Conditions (</w:t>
      </w:r>
      <w:r w:rsidR="002D0A46">
        <w:rPr>
          <w:rFonts w:ascii="Times New Roman" w:hAnsi="Times New Roman" w:cs="Times New Roman"/>
          <w:i/>
          <w:color w:val="000000"/>
          <w:sz w:val="24"/>
        </w:rPr>
        <w:t>Telstra Corporation Limited</w:t>
      </w:r>
      <w:r w:rsidRPr="00675DA4">
        <w:rPr>
          <w:rFonts w:ascii="Times New Roman" w:hAnsi="Times New Roman" w:cs="Times New Roman"/>
          <w:i/>
          <w:color w:val="000000"/>
          <w:sz w:val="24"/>
        </w:rPr>
        <w:t>) Declaration 1997</w:t>
      </w:r>
      <w:r w:rsidRPr="00675DA4">
        <w:rPr>
          <w:rFonts w:ascii="Times New Roman" w:hAnsi="Times New Roman" w:cs="Times New Roman"/>
          <w:color w:val="000000"/>
          <w:sz w:val="24"/>
        </w:rPr>
        <w:t xml:space="preserve"> </w:t>
      </w:r>
      <w:r w:rsidRPr="006F7FEB">
        <w:rPr>
          <w:rFonts w:ascii="Times New Roman" w:hAnsi="Times New Roman" w:cs="Times New Roman"/>
          <w:color w:val="000000"/>
          <w:sz w:val="24"/>
        </w:rPr>
        <w:t>is amended as set out in the Schedule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6F7FEB">
        <w:rPr>
          <w:rFonts w:ascii="Times New Roman" w:hAnsi="Times New Roman" w:cs="Times New Roman"/>
          <w:color w:val="000000"/>
          <w:sz w:val="24"/>
        </w:rPr>
        <w:t xml:space="preserve">to this </w:t>
      </w:r>
      <w:r w:rsidR="00C62D00">
        <w:rPr>
          <w:rFonts w:ascii="Times New Roman" w:hAnsi="Times New Roman" w:cs="Times New Roman"/>
          <w:color w:val="000000"/>
          <w:sz w:val="24"/>
        </w:rPr>
        <w:t>d</w:t>
      </w:r>
      <w:r>
        <w:rPr>
          <w:rFonts w:ascii="Times New Roman" w:hAnsi="Times New Roman" w:cs="Times New Roman"/>
          <w:color w:val="000000"/>
          <w:sz w:val="24"/>
        </w:rPr>
        <w:t>eclaration</w:t>
      </w:r>
      <w:r w:rsidRPr="006F7FEB">
        <w:rPr>
          <w:rFonts w:ascii="Times New Roman" w:hAnsi="Times New Roman" w:cs="Times New Roman"/>
          <w:color w:val="000000"/>
          <w:sz w:val="24"/>
        </w:rPr>
        <w:t>.</w:t>
      </w:r>
    </w:p>
    <w:p w:rsidR="007A05BE" w:rsidRPr="007A05BE" w:rsidRDefault="007A05BE" w:rsidP="007A05BE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autoSpaceDE/>
        <w:autoSpaceDN/>
        <w:spacing w:before="400" w:line="300" w:lineRule="atLeast"/>
        <w:ind w:left="567" w:hanging="567"/>
        <w:rPr>
          <w:rFonts w:ascii="Arial" w:hAnsi="Arial"/>
          <w:color w:val="000000"/>
        </w:rPr>
      </w:pPr>
      <w:r w:rsidRPr="007A05BE">
        <w:rPr>
          <w:rFonts w:ascii="Arial" w:hAnsi="Arial"/>
          <w:color w:val="000000"/>
        </w:rPr>
        <w:t xml:space="preserve">Expiry </w:t>
      </w:r>
    </w:p>
    <w:p w:rsidR="007A05BE" w:rsidRPr="007A05BE" w:rsidRDefault="007A05BE" w:rsidP="007A05BE">
      <w:pPr>
        <w:pStyle w:val="R1"/>
        <w:ind w:left="567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05BE"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 w:rsidR="00DE68B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05BE">
        <w:rPr>
          <w:rFonts w:ascii="Times New Roman" w:hAnsi="Times New Roman" w:cs="Times New Roman"/>
          <w:color w:val="000000"/>
          <w:sz w:val="24"/>
          <w:szCs w:val="24"/>
        </w:rPr>
        <w:t>eclaration expires on the day after it commences</w:t>
      </w:r>
      <w:r w:rsidR="003B2AC8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r w:rsidR="009C62C3">
        <w:rPr>
          <w:rFonts w:ascii="Times New Roman" w:hAnsi="Times New Roman" w:cs="Times New Roman"/>
          <w:color w:val="000000"/>
          <w:sz w:val="24"/>
          <w:szCs w:val="24"/>
        </w:rPr>
        <w:t xml:space="preserve">if it </w:t>
      </w:r>
      <w:r w:rsidR="003B2AC8">
        <w:rPr>
          <w:rFonts w:ascii="Times New Roman" w:hAnsi="Times New Roman" w:cs="Times New Roman"/>
          <w:color w:val="000000"/>
          <w:sz w:val="24"/>
          <w:szCs w:val="24"/>
        </w:rPr>
        <w:t>had been repealed by another legislative instrument</w:t>
      </w:r>
      <w:r w:rsidRPr="007A05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05BE">
        <w:rPr>
          <w:rFonts w:ascii="Times New Roman" w:hAnsi="Times New Roman" w:cs="Times New Roman"/>
          <w:bCs/>
          <w:color w:val="000000"/>
          <w:sz w:val="24"/>
          <w:szCs w:val="24"/>
        </w:rPr>
        <w:br w:type="column"/>
      </w:r>
    </w:p>
    <w:p w:rsidR="003526E4" w:rsidRPr="00EB53FD" w:rsidRDefault="003526E4" w:rsidP="00452EE0">
      <w:pPr>
        <w:pStyle w:val="NoteBody2"/>
        <w:tabs>
          <w:tab w:val="left" w:pos="851"/>
        </w:tabs>
        <w:spacing w:before="0" w:after="0"/>
        <w:rPr>
          <w:rFonts w:ascii="Arial" w:hAnsi="Arial" w:cs="Arial"/>
          <w:b/>
          <w:color w:val="000000"/>
          <w:sz w:val="28"/>
          <w:szCs w:val="28"/>
        </w:rPr>
      </w:pPr>
      <w:r w:rsidRPr="00EB53FD">
        <w:rPr>
          <w:rFonts w:ascii="Arial" w:hAnsi="Arial" w:cs="Arial"/>
          <w:b/>
          <w:color w:val="000000"/>
          <w:sz w:val="28"/>
          <w:szCs w:val="28"/>
        </w:rPr>
        <w:t>Schedule</w:t>
      </w:r>
      <w:r w:rsidRPr="00EB53FD">
        <w:rPr>
          <w:rFonts w:ascii="Arial" w:hAnsi="Arial" w:cs="Arial"/>
          <w:b/>
          <w:color w:val="000000"/>
          <w:sz w:val="28"/>
          <w:szCs w:val="28"/>
        </w:rPr>
        <w:tab/>
      </w:r>
      <w:r w:rsidRPr="00EB53FD">
        <w:rPr>
          <w:rFonts w:ascii="Arial" w:hAnsi="Arial" w:cs="Arial"/>
          <w:b/>
          <w:color w:val="000000"/>
          <w:sz w:val="28"/>
          <w:szCs w:val="28"/>
        </w:rPr>
        <w:tab/>
        <w:t>Amendments</w:t>
      </w:r>
    </w:p>
    <w:p w:rsidR="00452EE0" w:rsidRDefault="00452EE0" w:rsidP="00452E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4A2C">
        <w:rPr>
          <w:sz w:val="20"/>
          <w:szCs w:val="24"/>
        </w:rPr>
        <w:t xml:space="preserve">(Section </w:t>
      </w:r>
      <w:r>
        <w:rPr>
          <w:sz w:val="20"/>
          <w:szCs w:val="24"/>
        </w:rPr>
        <w:t>3</w:t>
      </w:r>
      <w:r w:rsidRPr="00174A2C">
        <w:rPr>
          <w:sz w:val="20"/>
          <w:szCs w:val="24"/>
        </w:rPr>
        <w:t>)</w:t>
      </w:r>
    </w:p>
    <w:p w:rsidR="003526E4" w:rsidRPr="00BB53C6" w:rsidRDefault="003526E4" w:rsidP="003526E4">
      <w:pPr>
        <w:pStyle w:val="R1"/>
        <w:spacing w:before="0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526E4" w:rsidRDefault="003526E4" w:rsidP="003526E4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color w:val="000000"/>
          <w:sz w:val="26"/>
          <w:szCs w:val="26"/>
        </w:rPr>
      </w:pPr>
      <w:r w:rsidRPr="00D7571A">
        <w:rPr>
          <w:rFonts w:ascii="Arial" w:hAnsi="Arial" w:cs="Arial"/>
          <w:b/>
          <w:color w:val="000000"/>
          <w:sz w:val="26"/>
          <w:szCs w:val="26"/>
        </w:rPr>
        <w:t>[</w:t>
      </w:r>
      <w:r w:rsidR="00210FB7">
        <w:rPr>
          <w:rFonts w:ascii="Arial" w:hAnsi="Arial" w:cs="Arial"/>
          <w:b/>
          <w:color w:val="000000"/>
          <w:sz w:val="26"/>
          <w:szCs w:val="26"/>
        </w:rPr>
        <w:t>1</w:t>
      </w:r>
      <w:r w:rsidRPr="00D7571A">
        <w:rPr>
          <w:rFonts w:ascii="Arial" w:hAnsi="Arial" w:cs="Arial"/>
          <w:b/>
          <w:color w:val="000000"/>
          <w:sz w:val="26"/>
          <w:szCs w:val="26"/>
        </w:rPr>
        <w:t>]</w:t>
      </w:r>
      <w:r w:rsidRPr="00D7571A">
        <w:rPr>
          <w:rFonts w:ascii="Arial" w:hAnsi="Arial" w:cs="Arial"/>
          <w:b/>
          <w:color w:val="000000"/>
          <w:sz w:val="26"/>
          <w:szCs w:val="26"/>
        </w:rPr>
        <w:tab/>
        <w:t xml:space="preserve">Clause </w:t>
      </w:r>
      <w:r w:rsidR="007C5DBF">
        <w:rPr>
          <w:rFonts w:ascii="Arial" w:hAnsi="Arial" w:cs="Arial"/>
          <w:b/>
          <w:color w:val="000000"/>
          <w:sz w:val="26"/>
          <w:szCs w:val="26"/>
        </w:rPr>
        <w:t xml:space="preserve">11 </w:t>
      </w:r>
      <w:r w:rsidR="007C5DBF" w:rsidRPr="00A15186">
        <w:rPr>
          <w:rFonts w:ascii="Arial" w:hAnsi="Arial" w:cs="Arial"/>
          <w:b/>
          <w:color w:val="000000"/>
          <w:sz w:val="26"/>
          <w:szCs w:val="26"/>
        </w:rPr>
        <w:t>(Differential charging conditions)</w:t>
      </w:r>
    </w:p>
    <w:p w:rsidR="00E00443" w:rsidRPr="004630B5" w:rsidRDefault="004801F3" w:rsidP="00E00443">
      <w:pPr>
        <w:pStyle w:val="R1"/>
        <w:tabs>
          <w:tab w:val="left" w:pos="851"/>
          <w:tab w:val="left" w:pos="583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B95568" w:rsidRPr="004630B5">
        <w:rPr>
          <w:color w:val="000000"/>
          <w:sz w:val="24"/>
          <w:szCs w:val="24"/>
        </w:rPr>
        <w:t>Repeal</w:t>
      </w:r>
      <w:r w:rsidR="003526E4" w:rsidRPr="004630B5">
        <w:rPr>
          <w:color w:val="000000"/>
          <w:sz w:val="24"/>
          <w:szCs w:val="24"/>
        </w:rPr>
        <w:t xml:space="preserve"> </w:t>
      </w:r>
      <w:r w:rsidR="0095527C" w:rsidRPr="004630B5">
        <w:rPr>
          <w:color w:val="000000"/>
          <w:sz w:val="24"/>
          <w:szCs w:val="24"/>
        </w:rPr>
        <w:t>the clause (including the heading)</w:t>
      </w:r>
      <w:r w:rsidR="004D574C">
        <w:rPr>
          <w:color w:val="000000"/>
          <w:sz w:val="24"/>
          <w:szCs w:val="24"/>
        </w:rPr>
        <w:t>.</w:t>
      </w:r>
    </w:p>
    <w:p w:rsidR="00E00443" w:rsidRPr="00210FB7" w:rsidRDefault="00E00443" w:rsidP="00E004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color w:val="000000"/>
        </w:rPr>
        <w:t xml:space="preserve">[2] </w:t>
      </w:r>
      <w:r>
        <w:rPr>
          <w:rFonts w:ascii="Arial" w:hAnsi="Arial" w:cs="Arial"/>
          <w:b/>
          <w:color w:val="000000"/>
        </w:rPr>
        <w:tab/>
        <w:t>Subclause 19(3) (note) (Priority assistance arrangements)</w:t>
      </w:r>
    </w:p>
    <w:p w:rsidR="00E00443" w:rsidRPr="004630B5" w:rsidRDefault="00E00443" w:rsidP="004801F3">
      <w:pPr>
        <w:tabs>
          <w:tab w:val="clear" w:pos="540"/>
        </w:tabs>
        <w:autoSpaceDE/>
        <w:autoSpaceDN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574C">
        <w:rPr>
          <w:rFonts w:ascii="Times New Roman" w:eastAsia="Times New Roman" w:hAnsi="Times New Roman" w:cs="Times New Roman"/>
          <w:iCs/>
          <w:sz w:val="24"/>
          <w:szCs w:val="24"/>
        </w:rPr>
        <w:t>Omit “a draft”, substitute “an”.</w:t>
      </w:r>
    </w:p>
    <w:p w:rsidR="00A76163" w:rsidRPr="004630B5" w:rsidRDefault="006031C8" w:rsidP="00A76163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strike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</w:t>
      </w:r>
      <w:r w:rsidR="004D574C">
        <w:rPr>
          <w:rFonts w:ascii="Arial" w:hAnsi="Arial" w:cs="Arial"/>
          <w:b/>
          <w:color w:val="000000"/>
          <w:sz w:val="26"/>
          <w:szCs w:val="26"/>
        </w:rPr>
        <w:t>3</w:t>
      </w:r>
      <w:r w:rsidR="00452EE0">
        <w:rPr>
          <w:rFonts w:ascii="Arial" w:hAnsi="Arial" w:cs="Arial"/>
          <w:b/>
          <w:color w:val="000000"/>
          <w:sz w:val="26"/>
          <w:szCs w:val="26"/>
        </w:rPr>
        <w:t>]</w:t>
      </w:r>
      <w:r w:rsidR="00452EE0">
        <w:rPr>
          <w:rFonts w:ascii="Arial" w:hAnsi="Arial" w:cs="Arial"/>
          <w:b/>
          <w:color w:val="000000"/>
          <w:sz w:val="26"/>
          <w:szCs w:val="26"/>
        </w:rPr>
        <w:tab/>
        <w:t xml:space="preserve">Clause </w:t>
      </w:r>
      <w:r w:rsidR="00816D38">
        <w:rPr>
          <w:rFonts w:ascii="Arial" w:hAnsi="Arial" w:cs="Arial"/>
          <w:b/>
          <w:color w:val="000000"/>
          <w:sz w:val="26"/>
          <w:szCs w:val="26"/>
        </w:rPr>
        <w:t xml:space="preserve">22 </w:t>
      </w:r>
      <w:r w:rsidR="00EB53FD" w:rsidRPr="00A15186">
        <w:rPr>
          <w:rFonts w:ascii="Arial" w:hAnsi="Arial" w:cs="Arial"/>
          <w:b/>
          <w:color w:val="000000"/>
          <w:sz w:val="26"/>
          <w:szCs w:val="26"/>
        </w:rPr>
        <w:t>(</w:t>
      </w:r>
      <w:r w:rsidR="00816D38" w:rsidRPr="00A15186">
        <w:rPr>
          <w:rFonts w:ascii="Arial" w:hAnsi="Arial" w:cs="Arial"/>
          <w:b/>
          <w:color w:val="000000"/>
          <w:sz w:val="26"/>
          <w:szCs w:val="26"/>
        </w:rPr>
        <w:t>Low-income measures</w:t>
      </w:r>
      <w:r w:rsidR="006736E9" w:rsidRPr="00A15186">
        <w:rPr>
          <w:rFonts w:ascii="Arial" w:hAnsi="Arial" w:cs="Arial"/>
          <w:b/>
          <w:color w:val="000000"/>
          <w:sz w:val="26"/>
          <w:szCs w:val="26"/>
        </w:rPr>
        <w:t>)</w:t>
      </w:r>
    </w:p>
    <w:p w:rsidR="00452EE0" w:rsidRPr="004630B5" w:rsidRDefault="004801F3" w:rsidP="00452EE0">
      <w:pPr>
        <w:pStyle w:val="R1"/>
        <w:tabs>
          <w:tab w:val="left" w:pos="851"/>
          <w:tab w:val="left" w:pos="5839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3854" w:rsidRPr="004630B5">
        <w:rPr>
          <w:rFonts w:ascii="Times New Roman" w:hAnsi="Times New Roman" w:cs="Times New Roman"/>
          <w:color w:val="000000"/>
          <w:sz w:val="24"/>
          <w:szCs w:val="24"/>
        </w:rPr>
        <w:t>Repeal</w:t>
      </w:r>
      <w:r w:rsidR="00452EE0" w:rsidRPr="00463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967" w:rsidRPr="004630B5">
        <w:rPr>
          <w:rFonts w:ascii="Times New Roman" w:hAnsi="Times New Roman" w:cs="Times New Roman"/>
          <w:color w:val="000000"/>
          <w:sz w:val="24"/>
          <w:szCs w:val="24"/>
        </w:rPr>
        <w:t>sub</w:t>
      </w:r>
      <w:r w:rsidR="0095527C" w:rsidRPr="004630B5">
        <w:rPr>
          <w:rFonts w:ascii="Times New Roman" w:hAnsi="Times New Roman" w:cs="Times New Roman"/>
          <w:color w:val="000000"/>
          <w:sz w:val="24"/>
          <w:szCs w:val="24"/>
        </w:rPr>
        <w:t>clauses</w:t>
      </w:r>
      <w:r w:rsidR="00796967" w:rsidRPr="004630B5">
        <w:rPr>
          <w:rFonts w:ascii="Times New Roman" w:hAnsi="Times New Roman" w:cs="Times New Roman"/>
          <w:color w:val="000000"/>
          <w:sz w:val="24"/>
          <w:szCs w:val="24"/>
        </w:rPr>
        <w:t xml:space="preserve"> (1) to (</w:t>
      </w:r>
      <w:r w:rsidR="00033854" w:rsidRPr="004630B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96967" w:rsidRPr="004630B5">
        <w:rPr>
          <w:rFonts w:ascii="Times New Roman" w:hAnsi="Times New Roman" w:cs="Times New Roman"/>
          <w:color w:val="000000"/>
          <w:sz w:val="24"/>
          <w:szCs w:val="24"/>
        </w:rPr>
        <w:t>), substitute</w:t>
      </w:r>
      <w:r w:rsidR="0095527C" w:rsidRPr="004630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92E0C" w:rsidRPr="004630B5" w:rsidRDefault="00892E0C" w:rsidP="00796967">
      <w:pPr>
        <w:pStyle w:val="Header"/>
        <w:tabs>
          <w:tab w:val="clear" w:pos="4513"/>
          <w:tab w:val="clear" w:pos="9026"/>
          <w:tab w:val="left" w:pos="540"/>
        </w:tabs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:rsidR="00796967" w:rsidRPr="004D574C" w:rsidRDefault="00796967" w:rsidP="004801F3">
      <w:pPr>
        <w:pStyle w:val="r10"/>
        <w:numPr>
          <w:ilvl w:val="0"/>
          <w:numId w:val="6"/>
        </w:numPr>
        <w:spacing w:before="0" w:beforeAutospacing="0" w:after="0" w:afterAutospacing="0"/>
        <w:ind w:left="1418" w:hanging="567"/>
      </w:pPr>
      <w:r w:rsidRPr="004D574C">
        <w:t>The licensee must offer products and arrangements to low</w:t>
      </w:r>
      <w:r w:rsidRPr="004D574C">
        <w:noBreakHyphen/>
        <w:t>income customers (</w:t>
      </w:r>
      <w:r w:rsidRPr="004D574C">
        <w:rPr>
          <w:b/>
          <w:bCs/>
          <w:i/>
          <w:iCs/>
        </w:rPr>
        <w:t>the</w:t>
      </w:r>
      <w:r w:rsidRPr="004D574C">
        <w:t xml:space="preserve"> </w:t>
      </w:r>
      <w:r w:rsidRPr="004D574C">
        <w:rPr>
          <w:b/>
          <w:bCs/>
          <w:i/>
          <w:iCs/>
        </w:rPr>
        <w:t>low</w:t>
      </w:r>
      <w:r w:rsidRPr="004D574C">
        <w:rPr>
          <w:b/>
          <w:bCs/>
          <w:i/>
          <w:iCs/>
        </w:rPr>
        <w:noBreakHyphen/>
        <w:t>income package</w:t>
      </w:r>
      <w:r w:rsidRPr="004D574C">
        <w:t>) that ha</w:t>
      </w:r>
      <w:r w:rsidR="00033854" w:rsidRPr="004D574C">
        <w:t>ve</w:t>
      </w:r>
      <w:r w:rsidRPr="004D574C">
        <w:t xml:space="preserve"> been</w:t>
      </w:r>
      <w:r w:rsidR="00033854" w:rsidRPr="004D574C">
        <w:t xml:space="preserve"> </w:t>
      </w:r>
      <w:r w:rsidRPr="004D574C">
        <w:t>endorsed by low</w:t>
      </w:r>
      <w:r w:rsidRPr="004D574C">
        <w:noBreakHyphen/>
        <w:t>income consumer advocacy groups</w:t>
      </w:r>
      <w:r w:rsidR="00033854" w:rsidRPr="004D574C">
        <w:t>.</w:t>
      </w:r>
    </w:p>
    <w:p w:rsidR="00796967" w:rsidRPr="0010055F" w:rsidRDefault="00796967" w:rsidP="004801F3">
      <w:pPr>
        <w:pStyle w:val="p10"/>
        <w:spacing w:before="0" w:beforeAutospacing="0" w:after="0" w:afterAutospacing="0"/>
        <w:ind w:left="851"/>
      </w:pPr>
    </w:p>
    <w:p w:rsidR="00796967" w:rsidRPr="004D574C" w:rsidRDefault="00796967" w:rsidP="004801F3">
      <w:pPr>
        <w:pStyle w:val="r2"/>
        <w:numPr>
          <w:ilvl w:val="0"/>
          <w:numId w:val="6"/>
        </w:numPr>
        <w:spacing w:before="0" w:beforeAutospacing="0" w:after="0" w:afterAutospacing="0"/>
        <w:ind w:left="1418" w:hanging="567"/>
      </w:pPr>
      <w:r w:rsidRPr="00F8334D">
        <w:t xml:space="preserve">The </w:t>
      </w:r>
      <w:r w:rsidRPr="000A1C27">
        <w:t>licensee must comply with the low</w:t>
      </w:r>
      <w:r w:rsidRPr="000A1C27">
        <w:noBreakHyphen/>
        <w:t>income package as in force or existing from time to time.</w:t>
      </w:r>
    </w:p>
    <w:p w:rsidR="00796967" w:rsidRPr="004D574C" w:rsidRDefault="00796967" w:rsidP="004801F3">
      <w:pPr>
        <w:pStyle w:val="r2"/>
        <w:spacing w:before="0" w:beforeAutospacing="0" w:after="0" w:afterAutospacing="0"/>
        <w:ind w:left="851"/>
      </w:pPr>
    </w:p>
    <w:p w:rsidR="00796967" w:rsidRDefault="00796967" w:rsidP="004801F3">
      <w:pPr>
        <w:pStyle w:val="r2"/>
        <w:numPr>
          <w:ilvl w:val="0"/>
          <w:numId w:val="6"/>
        </w:numPr>
        <w:spacing w:before="0" w:beforeAutospacing="0" w:after="0" w:afterAutospacing="0"/>
        <w:ind w:left="1418" w:hanging="567"/>
      </w:pPr>
      <w:r w:rsidRPr="004D574C">
        <w:t>The licensee must maintain and adequately resource a Low</w:t>
      </w:r>
      <w:r w:rsidRPr="004D574C">
        <w:noBreakHyphen/>
        <w:t>income Measures Assessment Committee (</w:t>
      </w:r>
      <w:r w:rsidRPr="004D574C">
        <w:rPr>
          <w:b/>
          <w:bCs/>
          <w:i/>
          <w:iCs/>
        </w:rPr>
        <w:t>LIMAC</w:t>
      </w:r>
      <w:r w:rsidRPr="004D574C">
        <w:t>), comprising representatives of low</w:t>
      </w:r>
      <w:r w:rsidRPr="004D574C">
        <w:noBreakHyphen/>
        <w:t>income consumer advocacy groups that work on behalf of people on a low income.</w:t>
      </w:r>
    </w:p>
    <w:p w:rsidR="00495CBC" w:rsidRDefault="00495CBC" w:rsidP="004801F3">
      <w:pPr>
        <w:pStyle w:val="ListParagraph"/>
        <w:ind w:left="851"/>
      </w:pPr>
    </w:p>
    <w:p w:rsidR="00495CBC" w:rsidRPr="004D574C" w:rsidRDefault="00495CBC" w:rsidP="004801F3">
      <w:pPr>
        <w:pStyle w:val="r2"/>
        <w:numPr>
          <w:ilvl w:val="0"/>
          <w:numId w:val="6"/>
        </w:numPr>
        <w:spacing w:before="0" w:beforeAutospacing="0" w:after="0" w:afterAutospacing="0"/>
        <w:ind w:left="1418" w:hanging="567"/>
      </w:pPr>
      <w:r>
        <w:t>The role of LIMAC will be to assess proposed changes to the low-income package or to the marketing plan for the low-income package.</w:t>
      </w:r>
    </w:p>
    <w:p w:rsidR="00796967" w:rsidRPr="004D574C" w:rsidRDefault="00796967" w:rsidP="004801F3">
      <w:pPr>
        <w:pStyle w:val="p10"/>
        <w:spacing w:before="0" w:beforeAutospacing="0" w:after="0" w:afterAutospacing="0"/>
        <w:ind w:left="851"/>
      </w:pPr>
    </w:p>
    <w:p w:rsidR="00796967" w:rsidRPr="0010055F" w:rsidRDefault="00796967" w:rsidP="004801F3">
      <w:pPr>
        <w:pStyle w:val="r2"/>
        <w:numPr>
          <w:ilvl w:val="0"/>
          <w:numId w:val="6"/>
        </w:numPr>
        <w:spacing w:before="0" w:beforeAutospacing="0" w:after="0" w:afterAutospacing="0"/>
        <w:ind w:left="1418" w:hanging="567"/>
      </w:pPr>
      <w:r w:rsidRPr="004D574C">
        <w:t>The licensee must have in place a marketing plan for making low</w:t>
      </w:r>
      <w:r w:rsidRPr="004D574C">
        <w:noBreakHyphen/>
        <w:t>income consumers aware of the low</w:t>
      </w:r>
      <w:r w:rsidRPr="004D574C">
        <w:noBreakHyphen/>
        <w:t>income package, being a plan that has been approved by LIMAC.</w:t>
      </w:r>
    </w:p>
    <w:p w:rsidR="00796967" w:rsidRPr="00F8334D" w:rsidRDefault="00796967" w:rsidP="004801F3">
      <w:pPr>
        <w:pStyle w:val="r2"/>
        <w:spacing w:before="0" w:beforeAutospacing="0" w:after="0" w:afterAutospacing="0"/>
        <w:ind w:left="851"/>
      </w:pPr>
    </w:p>
    <w:p w:rsidR="00796967" w:rsidRPr="004D574C" w:rsidRDefault="00796967" w:rsidP="004801F3">
      <w:pPr>
        <w:pStyle w:val="r2"/>
        <w:numPr>
          <w:ilvl w:val="0"/>
          <w:numId w:val="6"/>
        </w:numPr>
        <w:spacing w:before="0" w:beforeAutospacing="0" w:after="0" w:afterAutospacing="0"/>
        <w:ind w:left="1418" w:hanging="567"/>
      </w:pPr>
      <w:r w:rsidRPr="004D574C">
        <w:t>The licensee must seek and consider the views of LIMAC before it makes any significant change to the low</w:t>
      </w:r>
      <w:r w:rsidRPr="004D574C">
        <w:noBreakHyphen/>
        <w:t>income package.</w:t>
      </w:r>
    </w:p>
    <w:p w:rsidR="00796967" w:rsidRPr="00587BA1" w:rsidRDefault="00796967" w:rsidP="004801F3">
      <w:pPr>
        <w:pStyle w:val="r2"/>
        <w:spacing w:before="0" w:beforeAutospacing="0" w:after="0" w:afterAutospacing="0"/>
        <w:ind w:left="851"/>
      </w:pPr>
    </w:p>
    <w:p w:rsidR="004F0B8C" w:rsidRDefault="00796967" w:rsidP="004801F3">
      <w:pPr>
        <w:pStyle w:val="note"/>
        <w:spacing w:before="0" w:beforeAutospacing="0" w:after="0" w:afterAutospacing="0"/>
        <w:ind w:left="1418"/>
      </w:pPr>
      <w:r w:rsidRPr="00587BA1">
        <w:rPr>
          <w:i/>
          <w:iCs/>
        </w:rPr>
        <w:t>Note</w:t>
      </w:r>
      <w:r w:rsidR="009C62C3">
        <w:rPr>
          <w:iCs/>
        </w:rPr>
        <w:t>:</w:t>
      </w:r>
      <w:r w:rsidRPr="00587BA1">
        <w:t xml:space="preserve"> It is intended that the licensee may make minor non</w:t>
      </w:r>
      <w:r w:rsidRPr="00587BA1">
        <w:noBreakHyphen/>
        <w:t>substantive changes to the low</w:t>
      </w:r>
      <w:r w:rsidRPr="00587BA1">
        <w:noBreakHyphen/>
        <w:t xml:space="preserve">income package (such as minor editorial or typographical corrections) without having to seek and consider the views of LIMAC. </w:t>
      </w:r>
      <w:r w:rsidR="00C66171">
        <w:t xml:space="preserve"> </w:t>
      </w:r>
      <w:r w:rsidRPr="00587BA1">
        <w:t>LIMAC is to be consulted on other proposed changes to the low</w:t>
      </w:r>
      <w:r w:rsidRPr="00587BA1">
        <w:noBreakHyphen/>
        <w:t>income package.</w:t>
      </w:r>
    </w:p>
    <w:p w:rsidR="004F0B8C" w:rsidRDefault="004F0B8C" w:rsidP="004630B5">
      <w:pPr>
        <w:pStyle w:val="note"/>
        <w:spacing w:before="0" w:beforeAutospacing="0" w:after="0" w:afterAutospacing="0"/>
        <w:ind w:left="717"/>
        <w:jc w:val="both"/>
      </w:pPr>
    </w:p>
    <w:p w:rsidR="00210FB7" w:rsidRPr="00210FB7" w:rsidRDefault="00E00443" w:rsidP="004630B5">
      <w:pPr>
        <w:tabs>
          <w:tab w:val="clear" w:pos="540"/>
        </w:tabs>
        <w:autoSpaceDE/>
        <w:autoSpaceDN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Del="00E00443">
        <w:rPr>
          <w:rFonts w:ascii="Arial" w:hAnsi="Arial" w:cs="Arial"/>
          <w:b/>
          <w:color w:val="000000"/>
        </w:rPr>
        <w:t xml:space="preserve"> </w:t>
      </w:r>
      <w:r w:rsidR="00210FB7">
        <w:rPr>
          <w:rFonts w:ascii="Arial" w:hAnsi="Arial" w:cs="Arial"/>
          <w:b/>
          <w:color w:val="000000"/>
        </w:rPr>
        <w:t>[</w:t>
      </w:r>
      <w:r w:rsidR="004D574C">
        <w:rPr>
          <w:rFonts w:ascii="Arial" w:hAnsi="Arial" w:cs="Arial"/>
          <w:b/>
          <w:color w:val="000000"/>
        </w:rPr>
        <w:t>4</w:t>
      </w:r>
      <w:r w:rsidR="00210FB7">
        <w:rPr>
          <w:rFonts w:ascii="Arial" w:hAnsi="Arial" w:cs="Arial"/>
          <w:b/>
          <w:color w:val="000000"/>
        </w:rPr>
        <w:t xml:space="preserve">] </w:t>
      </w:r>
      <w:r w:rsidR="00210FB7">
        <w:rPr>
          <w:rFonts w:ascii="Arial" w:hAnsi="Arial" w:cs="Arial"/>
          <w:b/>
          <w:color w:val="000000"/>
        </w:rPr>
        <w:tab/>
      </w:r>
      <w:r w:rsidR="00210FB7">
        <w:rPr>
          <w:rFonts w:ascii="Arial" w:eastAsia="Times New Roman" w:hAnsi="Arial" w:cs="Arial"/>
          <w:b/>
          <w:bCs/>
          <w:sz w:val="24"/>
          <w:szCs w:val="24"/>
        </w:rPr>
        <w:t>After</w:t>
      </w:r>
      <w:r w:rsidR="00210FB7" w:rsidRPr="00210FB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616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210FB7" w:rsidRPr="00210FB7">
        <w:rPr>
          <w:rFonts w:ascii="Arial" w:eastAsia="Times New Roman" w:hAnsi="Arial" w:cs="Arial"/>
          <w:b/>
          <w:bCs/>
          <w:sz w:val="24"/>
          <w:szCs w:val="24"/>
        </w:rPr>
        <w:t>tem (1</w:t>
      </w:r>
      <w:r w:rsidR="00210FB7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210FB7" w:rsidRPr="00210FB7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A76163">
        <w:rPr>
          <w:rFonts w:ascii="Arial" w:eastAsia="Times New Roman" w:hAnsi="Arial" w:cs="Arial"/>
          <w:b/>
          <w:bCs/>
          <w:sz w:val="24"/>
          <w:szCs w:val="24"/>
        </w:rPr>
        <w:t xml:space="preserve"> of Schedule 4</w:t>
      </w:r>
      <w:r w:rsidR="002C7C21">
        <w:rPr>
          <w:rFonts w:ascii="Arial" w:eastAsia="Times New Roman" w:hAnsi="Arial" w:cs="Arial"/>
          <w:b/>
          <w:bCs/>
          <w:sz w:val="24"/>
          <w:szCs w:val="24"/>
        </w:rPr>
        <w:t xml:space="preserve"> (Definitions)</w:t>
      </w:r>
    </w:p>
    <w:p w:rsidR="00210FB7" w:rsidRPr="00D70D2C" w:rsidRDefault="00E37163" w:rsidP="004801F3">
      <w:pPr>
        <w:tabs>
          <w:tab w:val="clear" w:pos="540"/>
        </w:tabs>
        <w:autoSpaceDE/>
        <w:autoSpaceDN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4630B5">
        <w:rPr>
          <w:rFonts w:ascii="Times New Roman" w:eastAsia="Times New Roman" w:hAnsi="Times New Roman" w:cs="Times New Roman"/>
          <w:iCs/>
          <w:sz w:val="24"/>
          <w:szCs w:val="24"/>
        </w:rPr>
        <w:t>Add</w:t>
      </w:r>
      <w:r w:rsidR="00210FB7" w:rsidRPr="004630B5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A15186" w:rsidRPr="002C7C21" w:rsidRDefault="00210FB7" w:rsidP="004801F3">
      <w:pPr>
        <w:tabs>
          <w:tab w:val="clear" w:pos="540"/>
        </w:tabs>
        <w:autoSpaceDE/>
        <w:autoSpaceDN/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15186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="000E1089" w:rsidRPr="002C7C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6163" w:rsidRPr="002C7C2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C7C2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2C7C2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2C7C21">
        <w:rPr>
          <w:rFonts w:ascii="Times New Roman" w:hAnsi="Times New Roman" w:cs="Times New Roman"/>
          <w:sz w:val="24"/>
          <w:szCs w:val="24"/>
        </w:rPr>
        <w:t xml:space="preserve"> the purposes of </w:t>
      </w:r>
      <w:r w:rsidR="007C1F5B" w:rsidRPr="002C7C21">
        <w:rPr>
          <w:rFonts w:ascii="Times New Roman" w:hAnsi="Times New Roman" w:cs="Times New Roman"/>
          <w:sz w:val="24"/>
          <w:szCs w:val="24"/>
        </w:rPr>
        <w:t>this Schedule</w:t>
      </w:r>
      <w:r w:rsidR="00E00443">
        <w:rPr>
          <w:rFonts w:ascii="Times New Roman" w:hAnsi="Times New Roman" w:cs="Times New Roman"/>
          <w:sz w:val="24"/>
          <w:szCs w:val="24"/>
        </w:rPr>
        <w:t>:</w:t>
      </w:r>
    </w:p>
    <w:p w:rsidR="00A15186" w:rsidRPr="004630B5" w:rsidRDefault="00210FB7" w:rsidP="004801F3">
      <w:pPr>
        <w:pStyle w:val="P1"/>
        <w:numPr>
          <w:ilvl w:val="0"/>
          <w:numId w:val="9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 w:rsidRPr="004630B5">
        <w:rPr>
          <w:rFonts w:ascii="Times New Roman" w:hAnsi="Times New Roman" w:cs="Times New Roman"/>
          <w:sz w:val="24"/>
          <w:szCs w:val="24"/>
        </w:rPr>
        <w:t xml:space="preserve">the rules set out in section 577Q of the Act apply for determining whether the licensee is in a position to exercise control of a </w:t>
      </w:r>
      <w:r w:rsidR="0043768C">
        <w:rPr>
          <w:rFonts w:ascii="Times New Roman" w:hAnsi="Times New Roman" w:cs="Times New Roman"/>
          <w:sz w:val="24"/>
          <w:szCs w:val="24"/>
        </w:rPr>
        <w:t>local access network;</w:t>
      </w:r>
    </w:p>
    <w:p w:rsidR="00321FCC" w:rsidRPr="004630B5" w:rsidRDefault="00A15186" w:rsidP="004801F3">
      <w:pPr>
        <w:pStyle w:val="P1"/>
        <w:numPr>
          <w:ilvl w:val="0"/>
          <w:numId w:val="9"/>
        </w:numPr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30B5">
        <w:rPr>
          <w:rFonts w:ascii="Times New Roman" w:hAnsi="Times New Roman" w:cs="Times New Roman"/>
          <w:b/>
          <w:i/>
          <w:sz w:val="24"/>
          <w:szCs w:val="24"/>
        </w:rPr>
        <w:t>local</w:t>
      </w:r>
      <w:proofErr w:type="gramEnd"/>
      <w:r w:rsidRPr="004630B5">
        <w:rPr>
          <w:rFonts w:ascii="Times New Roman" w:hAnsi="Times New Roman" w:cs="Times New Roman"/>
          <w:b/>
          <w:i/>
          <w:sz w:val="24"/>
          <w:szCs w:val="24"/>
        </w:rPr>
        <w:t xml:space="preserve"> access network</w:t>
      </w:r>
      <w:r w:rsidRPr="004630B5">
        <w:rPr>
          <w:rFonts w:ascii="Times New Roman" w:hAnsi="Times New Roman" w:cs="Times New Roman"/>
          <w:sz w:val="24"/>
          <w:szCs w:val="24"/>
        </w:rPr>
        <w:t xml:space="preserve"> has the </w:t>
      </w:r>
      <w:r w:rsidR="00D01F51">
        <w:rPr>
          <w:rFonts w:ascii="Times New Roman" w:hAnsi="Times New Roman" w:cs="Times New Roman"/>
          <w:sz w:val="24"/>
          <w:szCs w:val="24"/>
        </w:rPr>
        <w:t>meaning generally accepted within  the telecommunications industry.</w:t>
      </w:r>
    </w:p>
    <w:p w:rsidR="00F97033" w:rsidRPr="00BF1BF1" w:rsidRDefault="00F97033" w:rsidP="000A1D4A">
      <w:pPr>
        <w:pStyle w:val="NoteBody2"/>
        <w:tabs>
          <w:tab w:val="left" w:pos="0"/>
        </w:tabs>
        <w:jc w:val="left"/>
        <w:rPr>
          <w:rFonts w:ascii="Arial" w:hAnsi="Arial" w:cs="Arial"/>
          <w:b/>
          <w:color w:val="000000"/>
        </w:rPr>
      </w:pPr>
      <w:r w:rsidRPr="00BF1BF1">
        <w:rPr>
          <w:rFonts w:ascii="Arial" w:hAnsi="Arial" w:cs="Arial"/>
          <w:b/>
          <w:color w:val="000000"/>
          <w:sz w:val="26"/>
          <w:szCs w:val="26"/>
        </w:rPr>
        <w:t>[</w:t>
      </w:r>
      <w:r w:rsidR="004D574C">
        <w:rPr>
          <w:rFonts w:ascii="Arial" w:hAnsi="Arial" w:cs="Arial"/>
          <w:b/>
          <w:color w:val="000000"/>
          <w:sz w:val="26"/>
          <w:szCs w:val="26"/>
        </w:rPr>
        <w:t>5</w:t>
      </w:r>
      <w:r w:rsidRPr="00BF1BF1">
        <w:rPr>
          <w:rFonts w:ascii="Arial" w:hAnsi="Arial" w:cs="Arial"/>
          <w:b/>
          <w:color w:val="000000"/>
          <w:sz w:val="26"/>
          <w:szCs w:val="26"/>
        </w:rPr>
        <w:t xml:space="preserve">] </w:t>
      </w:r>
      <w:r>
        <w:rPr>
          <w:rFonts w:ascii="Arial" w:hAnsi="Arial" w:cs="Arial"/>
          <w:b/>
          <w:color w:val="000000"/>
          <w:sz w:val="26"/>
          <w:szCs w:val="26"/>
        </w:rPr>
        <w:t xml:space="preserve">The words immediately before item (6) </w:t>
      </w:r>
      <w:r w:rsidR="002C7C21">
        <w:rPr>
          <w:rFonts w:ascii="Arial" w:hAnsi="Arial" w:cs="Arial"/>
          <w:b/>
          <w:color w:val="000000"/>
          <w:sz w:val="26"/>
          <w:szCs w:val="26"/>
        </w:rPr>
        <w:t>of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BF1BF1">
        <w:rPr>
          <w:rFonts w:ascii="Arial" w:hAnsi="Arial" w:cs="Arial"/>
          <w:b/>
          <w:color w:val="000000"/>
          <w:sz w:val="26"/>
          <w:szCs w:val="26"/>
        </w:rPr>
        <w:t>Schedule 4</w:t>
      </w:r>
      <w:r w:rsidR="00DF4059">
        <w:rPr>
          <w:rFonts w:ascii="Arial" w:hAnsi="Arial" w:cs="Arial"/>
          <w:b/>
          <w:color w:val="000000"/>
          <w:sz w:val="26"/>
          <w:szCs w:val="26"/>
        </w:rPr>
        <w:t xml:space="preserve"> (Priority a</w:t>
      </w:r>
      <w:r w:rsidR="00531BB8">
        <w:rPr>
          <w:rFonts w:ascii="Arial" w:hAnsi="Arial" w:cs="Arial"/>
          <w:b/>
          <w:color w:val="000000"/>
          <w:sz w:val="26"/>
          <w:szCs w:val="26"/>
        </w:rPr>
        <w:t>ssistance –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Connections</w:t>
      </w:r>
      <w:r w:rsidR="00531BB8">
        <w:rPr>
          <w:rFonts w:ascii="Arial" w:hAnsi="Arial" w:cs="Arial"/>
          <w:b/>
          <w:color w:val="000000"/>
          <w:sz w:val="26"/>
          <w:szCs w:val="26"/>
        </w:rPr>
        <w:t>)</w:t>
      </w:r>
    </w:p>
    <w:p w:rsidR="00F97033" w:rsidRPr="004424B8" w:rsidRDefault="00F97033" w:rsidP="004801F3">
      <w:pPr>
        <w:ind w:left="851"/>
        <w:rPr>
          <w:rFonts w:ascii="Times New Roman" w:hAnsi="Times New Roman" w:cs="Times New Roman"/>
          <w:sz w:val="24"/>
          <w:szCs w:val="24"/>
        </w:rPr>
      </w:pPr>
      <w:r w:rsidRPr="004630B5">
        <w:rPr>
          <w:rFonts w:ascii="Times New Roman" w:hAnsi="Times New Roman" w:cs="Times New Roman"/>
          <w:sz w:val="24"/>
          <w:szCs w:val="24"/>
        </w:rPr>
        <w:t>Omit</w:t>
      </w:r>
      <w:r w:rsidRPr="00E859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59EC">
        <w:rPr>
          <w:rFonts w:ascii="Times New Roman" w:hAnsi="Times New Roman" w:cs="Times New Roman"/>
          <w:sz w:val="24"/>
          <w:szCs w:val="24"/>
        </w:rPr>
        <w:t>“The priority assistance policy must satisfy the following objectives</w:t>
      </w:r>
      <w:r w:rsidR="00861F89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E859EC">
        <w:rPr>
          <w:rFonts w:ascii="Times New Roman" w:hAnsi="Times New Roman" w:cs="Times New Roman"/>
          <w:sz w:val="24"/>
          <w:szCs w:val="24"/>
        </w:rPr>
        <w:t>”,</w:t>
      </w:r>
      <w:proofErr w:type="gramEnd"/>
      <w:r w:rsidRPr="00E859EC">
        <w:rPr>
          <w:rFonts w:ascii="Times New Roman" w:hAnsi="Times New Roman" w:cs="Times New Roman"/>
          <w:sz w:val="24"/>
          <w:szCs w:val="24"/>
        </w:rPr>
        <w:t xml:space="preserve"> </w:t>
      </w:r>
      <w:r w:rsidRPr="004630B5">
        <w:rPr>
          <w:rFonts w:ascii="Times New Roman" w:hAnsi="Times New Roman" w:cs="Times New Roman"/>
          <w:sz w:val="24"/>
          <w:szCs w:val="24"/>
        </w:rPr>
        <w:t>substitute</w:t>
      </w:r>
      <w:r w:rsidRPr="00442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04D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Where a</w:t>
      </w:r>
      <w:r w:rsidRPr="004424B8">
        <w:rPr>
          <w:rFonts w:ascii="Times New Roman" w:hAnsi="Times New Roman" w:cs="Times New Roman"/>
          <w:sz w:val="24"/>
          <w:szCs w:val="24"/>
        </w:rPr>
        <w:t xml:space="preserve"> service is supplied using a </w:t>
      </w:r>
      <w:r w:rsidR="00531BB8">
        <w:rPr>
          <w:rFonts w:ascii="Times New Roman" w:hAnsi="Times New Roman" w:cs="Times New Roman"/>
          <w:sz w:val="24"/>
          <w:szCs w:val="24"/>
        </w:rPr>
        <w:t xml:space="preserve">local access network </w:t>
      </w:r>
      <w:r w:rsidRPr="004424B8">
        <w:rPr>
          <w:rFonts w:ascii="Times New Roman" w:hAnsi="Times New Roman" w:cs="Times New Roman"/>
          <w:sz w:val="24"/>
          <w:szCs w:val="24"/>
        </w:rPr>
        <w:t xml:space="preserve">over which the licensee is in a position to exercise control,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859EC">
        <w:rPr>
          <w:rFonts w:ascii="Times New Roman" w:hAnsi="Times New Roman" w:cs="Times New Roman"/>
          <w:sz w:val="24"/>
          <w:szCs w:val="24"/>
        </w:rPr>
        <w:t>he priority assistance policy must satisfy the following objectives</w:t>
      </w:r>
      <w:r>
        <w:rPr>
          <w:rFonts w:ascii="Times New Roman" w:hAnsi="Times New Roman" w:cs="Times New Roman"/>
          <w:sz w:val="24"/>
          <w:szCs w:val="24"/>
        </w:rPr>
        <w:t>:”.</w:t>
      </w:r>
    </w:p>
    <w:p w:rsidR="00F97033" w:rsidRDefault="00F97033" w:rsidP="00F97033"/>
    <w:p w:rsidR="00FB14B4" w:rsidRPr="00BF1BF1" w:rsidRDefault="00FB14B4" w:rsidP="00FB14B4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color w:val="000000"/>
        </w:rPr>
      </w:pPr>
      <w:r w:rsidRPr="00BF1BF1">
        <w:rPr>
          <w:rFonts w:ascii="Arial" w:hAnsi="Arial" w:cs="Arial"/>
          <w:b/>
          <w:color w:val="000000"/>
          <w:sz w:val="26"/>
          <w:szCs w:val="26"/>
        </w:rPr>
        <w:t>[</w:t>
      </w:r>
      <w:r w:rsidR="004D574C">
        <w:rPr>
          <w:rFonts w:ascii="Arial" w:hAnsi="Arial" w:cs="Arial"/>
          <w:b/>
          <w:color w:val="000000"/>
          <w:sz w:val="26"/>
          <w:szCs w:val="26"/>
        </w:rPr>
        <w:t>6</w:t>
      </w:r>
      <w:r w:rsidRPr="00BF1BF1">
        <w:rPr>
          <w:rFonts w:ascii="Arial" w:hAnsi="Arial" w:cs="Arial"/>
          <w:b/>
          <w:color w:val="000000"/>
          <w:sz w:val="26"/>
          <w:szCs w:val="26"/>
        </w:rPr>
        <w:t xml:space="preserve">] </w:t>
      </w:r>
      <w:r w:rsidR="00531BB8">
        <w:rPr>
          <w:rFonts w:ascii="Arial" w:hAnsi="Arial" w:cs="Arial"/>
          <w:b/>
          <w:bCs/>
          <w:color w:val="000000"/>
          <w:sz w:val="26"/>
          <w:szCs w:val="26"/>
        </w:rPr>
        <w:t>Paragraph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(9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)(</w:t>
      </w:r>
      <w:proofErr w:type="gramEnd"/>
      <w:r w:rsidR="0043768C">
        <w:rPr>
          <w:rFonts w:ascii="Arial" w:hAnsi="Arial" w:cs="Arial"/>
          <w:b/>
          <w:bCs/>
          <w:color w:val="000000"/>
          <w:sz w:val="26"/>
          <w:szCs w:val="26"/>
        </w:rPr>
        <w:t>a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) </w:t>
      </w:r>
      <w:r w:rsidR="00531BB8">
        <w:rPr>
          <w:rFonts w:ascii="Arial" w:hAnsi="Arial" w:cs="Arial"/>
          <w:b/>
          <w:bCs/>
          <w:color w:val="000000"/>
          <w:sz w:val="26"/>
          <w:szCs w:val="26"/>
        </w:rPr>
        <w:t>of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Schedule 4 </w:t>
      </w:r>
      <w:r w:rsidR="00F10E11">
        <w:rPr>
          <w:rFonts w:ascii="Arial" w:hAnsi="Arial" w:cs="Arial"/>
          <w:b/>
          <w:bCs/>
          <w:color w:val="000000"/>
          <w:sz w:val="26"/>
          <w:szCs w:val="26"/>
        </w:rPr>
        <w:t xml:space="preserve">(Priority assistance – </w:t>
      </w:r>
      <w:r w:rsidR="0043768C">
        <w:rPr>
          <w:rFonts w:ascii="Arial" w:hAnsi="Arial" w:cs="Arial"/>
          <w:b/>
          <w:bCs/>
          <w:color w:val="000000"/>
          <w:sz w:val="26"/>
          <w:szCs w:val="26"/>
        </w:rPr>
        <w:t>S</w:t>
      </w:r>
      <w:r>
        <w:rPr>
          <w:rFonts w:ascii="Arial" w:hAnsi="Arial" w:cs="Arial"/>
          <w:b/>
          <w:bCs/>
          <w:color w:val="000000"/>
          <w:sz w:val="26"/>
          <w:szCs w:val="26"/>
        </w:rPr>
        <w:t>ervice</w:t>
      </w:r>
      <w:r w:rsidR="00861F89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reliability</w:t>
      </w:r>
      <w:r w:rsidR="00F10E11">
        <w:rPr>
          <w:rFonts w:ascii="Arial" w:hAnsi="Arial" w:cs="Arial"/>
          <w:b/>
          <w:bCs/>
          <w:color w:val="000000"/>
          <w:sz w:val="26"/>
          <w:szCs w:val="26"/>
        </w:rPr>
        <w:t>)</w:t>
      </w:r>
    </w:p>
    <w:p w:rsidR="00F8334D" w:rsidRDefault="00F8334D" w:rsidP="004801F3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Omit “telecommunications network”, substitute “local access network”.</w:t>
      </w:r>
    </w:p>
    <w:p w:rsidR="008C677D" w:rsidRDefault="008C677D" w:rsidP="00FB14B4">
      <w:pPr>
        <w:rPr>
          <w:rFonts w:ascii="Times New Roman" w:hAnsi="Times New Roman" w:cs="Times New Roman"/>
          <w:sz w:val="24"/>
          <w:szCs w:val="24"/>
        </w:rPr>
      </w:pPr>
    </w:p>
    <w:p w:rsidR="008C677D" w:rsidRPr="00BF1BF1" w:rsidRDefault="008C677D" w:rsidP="008C677D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color w:val="000000"/>
        </w:rPr>
      </w:pPr>
      <w:r w:rsidRPr="00BF1BF1">
        <w:rPr>
          <w:rFonts w:ascii="Arial" w:hAnsi="Arial" w:cs="Arial"/>
          <w:b/>
          <w:color w:val="000000"/>
          <w:sz w:val="26"/>
          <w:szCs w:val="26"/>
        </w:rPr>
        <w:t>[</w:t>
      </w:r>
      <w:r>
        <w:rPr>
          <w:rFonts w:ascii="Arial" w:hAnsi="Arial" w:cs="Arial"/>
          <w:b/>
          <w:color w:val="000000"/>
          <w:sz w:val="26"/>
          <w:szCs w:val="26"/>
        </w:rPr>
        <w:t>7</w:t>
      </w:r>
      <w:r w:rsidRPr="00BF1BF1">
        <w:rPr>
          <w:rFonts w:ascii="Arial" w:hAnsi="Arial" w:cs="Arial"/>
          <w:b/>
          <w:color w:val="000000"/>
          <w:sz w:val="26"/>
          <w:szCs w:val="26"/>
        </w:rPr>
        <w:t xml:space="preserve">] </w:t>
      </w:r>
      <w:r>
        <w:rPr>
          <w:rFonts w:ascii="Arial" w:hAnsi="Arial" w:cs="Arial"/>
          <w:b/>
          <w:bCs/>
          <w:color w:val="000000"/>
          <w:sz w:val="26"/>
          <w:szCs w:val="26"/>
        </w:rPr>
        <w:t>Paragraph (9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)(</w:t>
      </w:r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t>c) of Schedule 4 (Priority assistance – Service reliability)</w:t>
      </w:r>
    </w:p>
    <w:p w:rsidR="008C677D" w:rsidRDefault="00B93589" w:rsidP="004801F3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Repeal the paragraph.</w:t>
      </w:r>
    </w:p>
    <w:p w:rsidR="00FB14B4" w:rsidRDefault="00FB14B4" w:rsidP="004630B5"/>
    <w:p w:rsidR="00F97033" w:rsidRPr="00BF1BF1" w:rsidRDefault="00F97033" w:rsidP="0056610F">
      <w:pPr>
        <w:pStyle w:val="NoteBody2"/>
        <w:tabs>
          <w:tab w:val="left" w:pos="851"/>
        </w:tabs>
        <w:jc w:val="left"/>
        <w:rPr>
          <w:rFonts w:ascii="Arial" w:hAnsi="Arial" w:cs="Arial"/>
          <w:b/>
          <w:color w:val="000000"/>
        </w:rPr>
      </w:pPr>
      <w:r w:rsidRPr="00BF1BF1">
        <w:rPr>
          <w:rFonts w:ascii="Arial" w:hAnsi="Arial" w:cs="Arial"/>
          <w:b/>
          <w:color w:val="000000"/>
          <w:sz w:val="26"/>
          <w:szCs w:val="26"/>
        </w:rPr>
        <w:t>[</w:t>
      </w:r>
      <w:r w:rsidR="008C677D">
        <w:rPr>
          <w:rFonts w:ascii="Arial" w:hAnsi="Arial" w:cs="Arial"/>
          <w:b/>
          <w:color w:val="000000"/>
          <w:sz w:val="26"/>
          <w:szCs w:val="26"/>
        </w:rPr>
        <w:t>8</w:t>
      </w:r>
      <w:r w:rsidRPr="00BF1BF1">
        <w:rPr>
          <w:rFonts w:ascii="Arial" w:hAnsi="Arial" w:cs="Arial"/>
          <w:b/>
          <w:color w:val="000000"/>
          <w:sz w:val="26"/>
          <w:szCs w:val="26"/>
        </w:rPr>
        <w:t xml:space="preserve">] </w:t>
      </w:r>
      <w:r>
        <w:rPr>
          <w:rFonts w:ascii="Arial" w:hAnsi="Arial" w:cs="Arial"/>
          <w:b/>
          <w:color w:val="000000"/>
          <w:sz w:val="26"/>
          <w:szCs w:val="26"/>
        </w:rPr>
        <w:t xml:space="preserve">The words immediately before item (10) </w:t>
      </w:r>
      <w:r w:rsidR="0043768C">
        <w:rPr>
          <w:rFonts w:ascii="Arial" w:hAnsi="Arial" w:cs="Arial"/>
          <w:b/>
          <w:color w:val="000000"/>
          <w:sz w:val="26"/>
          <w:szCs w:val="26"/>
        </w:rPr>
        <w:t>of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BF1BF1">
        <w:rPr>
          <w:rFonts w:ascii="Arial" w:hAnsi="Arial" w:cs="Arial"/>
          <w:b/>
          <w:color w:val="000000"/>
          <w:sz w:val="26"/>
          <w:szCs w:val="26"/>
        </w:rPr>
        <w:t>Schedule 4</w:t>
      </w:r>
      <w:r w:rsidR="00D70D2C">
        <w:rPr>
          <w:rFonts w:ascii="Arial" w:hAnsi="Arial" w:cs="Arial"/>
          <w:b/>
          <w:color w:val="000000"/>
          <w:sz w:val="26"/>
          <w:szCs w:val="26"/>
        </w:rPr>
        <w:t xml:space="preserve"> (</w:t>
      </w:r>
      <w:r w:rsidR="00861F89">
        <w:rPr>
          <w:rFonts w:ascii="Arial" w:hAnsi="Arial" w:cs="Arial"/>
          <w:b/>
          <w:color w:val="000000"/>
          <w:sz w:val="26"/>
          <w:szCs w:val="26"/>
        </w:rPr>
        <w:t>Priority assistance</w:t>
      </w:r>
      <w:r w:rsidRPr="00BF1BF1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</w:rPr>
        <w:t>– Fault Rectification</w:t>
      </w:r>
      <w:r w:rsidR="00861F89">
        <w:rPr>
          <w:rFonts w:ascii="Arial" w:hAnsi="Arial" w:cs="Arial"/>
          <w:b/>
          <w:color w:val="000000"/>
          <w:sz w:val="26"/>
          <w:szCs w:val="26"/>
        </w:rPr>
        <w:t>)</w:t>
      </w:r>
    </w:p>
    <w:p w:rsidR="00F97033" w:rsidRPr="004424B8" w:rsidRDefault="00F97033" w:rsidP="004801F3">
      <w:pPr>
        <w:ind w:left="851"/>
        <w:rPr>
          <w:rFonts w:ascii="Times New Roman" w:hAnsi="Times New Roman" w:cs="Times New Roman"/>
          <w:sz w:val="24"/>
          <w:szCs w:val="24"/>
        </w:rPr>
      </w:pPr>
      <w:r w:rsidRPr="004630B5">
        <w:rPr>
          <w:rFonts w:ascii="Times New Roman" w:hAnsi="Times New Roman" w:cs="Times New Roman"/>
          <w:sz w:val="24"/>
          <w:szCs w:val="24"/>
        </w:rPr>
        <w:t>Omit</w:t>
      </w:r>
      <w:r w:rsidRPr="00E859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59EC">
        <w:rPr>
          <w:rFonts w:ascii="Times New Roman" w:hAnsi="Times New Roman" w:cs="Times New Roman"/>
          <w:sz w:val="24"/>
          <w:szCs w:val="24"/>
        </w:rPr>
        <w:t>“The priority assistance policy must satisfy the following objectives</w:t>
      </w:r>
      <w:r w:rsidR="00861F89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E859EC">
        <w:rPr>
          <w:rFonts w:ascii="Times New Roman" w:hAnsi="Times New Roman" w:cs="Times New Roman"/>
          <w:sz w:val="24"/>
          <w:szCs w:val="24"/>
        </w:rPr>
        <w:t>”,</w:t>
      </w:r>
      <w:proofErr w:type="gramEnd"/>
      <w:r w:rsidRPr="00E859EC">
        <w:rPr>
          <w:rFonts w:ascii="Times New Roman" w:hAnsi="Times New Roman" w:cs="Times New Roman"/>
          <w:sz w:val="24"/>
          <w:szCs w:val="24"/>
        </w:rPr>
        <w:t xml:space="preserve"> </w:t>
      </w:r>
      <w:r w:rsidRPr="004630B5">
        <w:rPr>
          <w:rFonts w:ascii="Times New Roman" w:hAnsi="Times New Roman" w:cs="Times New Roman"/>
          <w:sz w:val="24"/>
          <w:szCs w:val="24"/>
        </w:rPr>
        <w:t>substitute</w:t>
      </w:r>
      <w:r w:rsidRPr="00442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04D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Where a</w:t>
      </w:r>
      <w:r w:rsidRPr="004424B8">
        <w:rPr>
          <w:rFonts w:ascii="Times New Roman" w:hAnsi="Times New Roman" w:cs="Times New Roman"/>
          <w:sz w:val="24"/>
          <w:szCs w:val="24"/>
        </w:rPr>
        <w:t xml:space="preserve"> service is supplied using a </w:t>
      </w:r>
      <w:r w:rsidR="00F217F8">
        <w:rPr>
          <w:rFonts w:ascii="Times New Roman" w:hAnsi="Times New Roman" w:cs="Times New Roman"/>
          <w:sz w:val="24"/>
          <w:szCs w:val="24"/>
        </w:rPr>
        <w:t xml:space="preserve">local access network </w:t>
      </w:r>
      <w:r w:rsidRPr="004424B8">
        <w:rPr>
          <w:rFonts w:ascii="Times New Roman" w:hAnsi="Times New Roman" w:cs="Times New Roman"/>
          <w:sz w:val="24"/>
          <w:szCs w:val="24"/>
        </w:rPr>
        <w:t xml:space="preserve">over which the licensee is in a position to exercise control,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859EC">
        <w:rPr>
          <w:rFonts w:ascii="Times New Roman" w:hAnsi="Times New Roman" w:cs="Times New Roman"/>
          <w:sz w:val="24"/>
          <w:szCs w:val="24"/>
        </w:rPr>
        <w:t>he priority assistance policy must satisfy the following objectives</w:t>
      </w:r>
      <w:r>
        <w:rPr>
          <w:rFonts w:ascii="Times New Roman" w:hAnsi="Times New Roman" w:cs="Times New Roman"/>
          <w:sz w:val="24"/>
          <w:szCs w:val="24"/>
        </w:rPr>
        <w:t>:”.</w:t>
      </w:r>
    </w:p>
    <w:p w:rsidR="00F97033" w:rsidRDefault="00F97033" w:rsidP="00F97033">
      <w:pPr>
        <w:pStyle w:val="note"/>
        <w:spacing w:before="0" w:beforeAutospacing="0" w:after="0" w:afterAutospacing="0"/>
        <w:ind w:left="717"/>
      </w:pPr>
    </w:p>
    <w:p w:rsidR="0013043E" w:rsidRPr="00BF1BF1" w:rsidRDefault="0013043E" w:rsidP="0013043E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color w:val="000000"/>
        </w:rPr>
      </w:pPr>
      <w:r w:rsidRPr="00BF1BF1">
        <w:rPr>
          <w:rFonts w:ascii="Arial" w:hAnsi="Arial" w:cs="Arial"/>
          <w:b/>
          <w:color w:val="000000"/>
          <w:sz w:val="26"/>
          <w:szCs w:val="26"/>
        </w:rPr>
        <w:t>[</w:t>
      </w:r>
      <w:r w:rsidR="008C677D">
        <w:rPr>
          <w:rFonts w:ascii="Arial" w:hAnsi="Arial" w:cs="Arial"/>
          <w:b/>
          <w:color w:val="000000"/>
          <w:sz w:val="26"/>
          <w:szCs w:val="26"/>
        </w:rPr>
        <w:t>9]</w:t>
      </w:r>
      <w:r w:rsidRPr="00BF1BF1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A81A67">
        <w:rPr>
          <w:rFonts w:ascii="Arial" w:hAnsi="Arial" w:cs="Arial"/>
          <w:b/>
          <w:color w:val="000000"/>
          <w:sz w:val="26"/>
          <w:szCs w:val="26"/>
        </w:rPr>
        <w:t>I</w:t>
      </w:r>
      <w:r>
        <w:rPr>
          <w:rFonts w:ascii="Arial" w:hAnsi="Arial" w:cs="Arial"/>
          <w:b/>
          <w:color w:val="000000"/>
          <w:sz w:val="26"/>
          <w:szCs w:val="26"/>
        </w:rPr>
        <w:t>tem (</w:t>
      </w:r>
      <w:r w:rsidR="00A81A67">
        <w:rPr>
          <w:rFonts w:ascii="Arial" w:hAnsi="Arial" w:cs="Arial"/>
          <w:b/>
          <w:color w:val="000000"/>
          <w:sz w:val="26"/>
          <w:szCs w:val="26"/>
        </w:rPr>
        <w:t>2</w:t>
      </w:r>
      <w:r>
        <w:rPr>
          <w:rFonts w:ascii="Arial" w:hAnsi="Arial" w:cs="Arial"/>
          <w:b/>
          <w:color w:val="000000"/>
          <w:sz w:val="26"/>
          <w:szCs w:val="26"/>
        </w:rPr>
        <w:t xml:space="preserve">0) </w:t>
      </w:r>
      <w:r w:rsidR="00F217F8">
        <w:rPr>
          <w:rFonts w:ascii="Arial" w:hAnsi="Arial" w:cs="Arial"/>
          <w:b/>
          <w:color w:val="000000"/>
          <w:sz w:val="26"/>
          <w:szCs w:val="26"/>
        </w:rPr>
        <w:t>of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BF1BF1">
        <w:rPr>
          <w:rFonts w:ascii="Arial" w:hAnsi="Arial" w:cs="Arial"/>
          <w:b/>
          <w:color w:val="000000"/>
          <w:sz w:val="26"/>
          <w:szCs w:val="26"/>
        </w:rPr>
        <w:t xml:space="preserve">Schedule 4 </w:t>
      </w:r>
      <w:r w:rsidR="004F0B8C">
        <w:rPr>
          <w:rFonts w:ascii="Arial" w:hAnsi="Arial" w:cs="Arial"/>
          <w:b/>
          <w:color w:val="000000"/>
          <w:sz w:val="26"/>
          <w:szCs w:val="26"/>
        </w:rPr>
        <w:t xml:space="preserve">(Priority assistance </w:t>
      </w:r>
      <w:r>
        <w:rPr>
          <w:rFonts w:ascii="Arial" w:hAnsi="Arial" w:cs="Arial"/>
          <w:b/>
          <w:color w:val="000000"/>
          <w:sz w:val="26"/>
          <w:szCs w:val="26"/>
        </w:rPr>
        <w:t xml:space="preserve">– </w:t>
      </w:r>
      <w:r w:rsidR="004F0B8C">
        <w:rPr>
          <w:rFonts w:ascii="Arial" w:hAnsi="Arial" w:cs="Arial"/>
          <w:b/>
          <w:color w:val="000000"/>
          <w:sz w:val="26"/>
          <w:szCs w:val="26"/>
        </w:rPr>
        <w:t>To be provided in exceptional circumstances)</w:t>
      </w:r>
      <w:r w:rsidR="00A81A67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:rsidR="00F97033" w:rsidRDefault="00A81A67" w:rsidP="004801F3">
      <w:pPr>
        <w:pStyle w:val="note"/>
        <w:spacing w:before="0" w:beforeAutospacing="0" w:after="0" w:afterAutospacing="0"/>
        <w:ind w:left="851"/>
      </w:pPr>
      <w:r w:rsidRPr="004630B5">
        <w:rPr>
          <w:iCs/>
        </w:rPr>
        <w:t>Omit</w:t>
      </w:r>
      <w:r w:rsidRPr="00A81A67">
        <w:rPr>
          <w:i/>
          <w:iCs/>
        </w:rPr>
        <w:t xml:space="preserve"> </w:t>
      </w:r>
      <w:r w:rsidRPr="00A81A67">
        <w:t>“</w:t>
      </w:r>
      <w:r w:rsidR="00141FA5" w:rsidRPr="00EE5A2C">
        <w:t>s</w:t>
      </w:r>
      <w:r w:rsidR="00141FA5" w:rsidRPr="00141FA5">
        <w:t>ection 2.4.4 of the licensee’s approved USO standard marketing plan</w:t>
      </w:r>
      <w:r w:rsidRPr="00A81A67">
        <w:t xml:space="preserve">”, </w:t>
      </w:r>
      <w:r w:rsidRPr="004630B5">
        <w:rPr>
          <w:iCs/>
        </w:rPr>
        <w:t>substitute</w:t>
      </w:r>
      <w:r w:rsidRPr="00A81A67">
        <w:rPr>
          <w:i/>
          <w:iCs/>
        </w:rPr>
        <w:t xml:space="preserve"> </w:t>
      </w:r>
      <w:r w:rsidRPr="00A81A67">
        <w:t>“</w:t>
      </w:r>
      <w:r w:rsidR="00141FA5">
        <w:t xml:space="preserve">the </w:t>
      </w:r>
      <w:r w:rsidRPr="00A81A67">
        <w:t>CSG Standard”.</w:t>
      </w:r>
    </w:p>
    <w:p w:rsidR="004D574C" w:rsidRDefault="004D574C" w:rsidP="00A81A67">
      <w:pPr>
        <w:pStyle w:val="note"/>
        <w:spacing w:before="0" w:beforeAutospacing="0" w:after="0" w:afterAutospacing="0"/>
      </w:pPr>
    </w:p>
    <w:p w:rsidR="004D574C" w:rsidRPr="004801F3" w:rsidRDefault="004D574C" w:rsidP="004D574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42995">
        <w:rPr>
          <w:rFonts w:ascii="Arial" w:hAnsi="Arial" w:cs="Arial"/>
          <w:b/>
          <w:color w:val="000000"/>
        </w:rPr>
        <w:t>[</w:t>
      </w:r>
      <w:r w:rsidR="008C677D" w:rsidRPr="00A42995">
        <w:rPr>
          <w:rFonts w:ascii="Arial" w:hAnsi="Arial" w:cs="Arial"/>
          <w:b/>
          <w:color w:val="000000"/>
        </w:rPr>
        <w:t>10</w:t>
      </w:r>
      <w:r w:rsidRPr="00A42995">
        <w:rPr>
          <w:rFonts w:ascii="Arial" w:hAnsi="Arial" w:cs="Arial"/>
          <w:b/>
          <w:color w:val="000000"/>
        </w:rPr>
        <w:t xml:space="preserve">] </w:t>
      </w:r>
      <w:r w:rsidRPr="00A42995">
        <w:rPr>
          <w:rFonts w:ascii="Arial" w:hAnsi="Arial" w:cs="Arial"/>
          <w:b/>
          <w:color w:val="000000"/>
        </w:rPr>
        <w:tab/>
        <w:t>Subparagraph 20(b</w:t>
      </w:r>
      <w:proofErr w:type="gramStart"/>
      <w:r w:rsidRPr="00A42995">
        <w:rPr>
          <w:rFonts w:ascii="Arial" w:hAnsi="Arial" w:cs="Arial"/>
          <w:b/>
          <w:color w:val="000000"/>
        </w:rPr>
        <w:t>)(</w:t>
      </w:r>
      <w:proofErr w:type="gramEnd"/>
      <w:r w:rsidRPr="00A42995">
        <w:rPr>
          <w:rFonts w:ascii="Arial" w:hAnsi="Arial" w:cs="Arial"/>
          <w:b/>
          <w:color w:val="000000"/>
        </w:rPr>
        <w:t>ii)</w:t>
      </w:r>
      <w:r w:rsidRPr="004801F3">
        <w:rPr>
          <w:rFonts w:ascii="Arial" w:eastAsia="Times New Roman" w:hAnsi="Arial" w:cs="Arial"/>
          <w:b/>
          <w:bCs/>
        </w:rPr>
        <w:t xml:space="preserve"> of Schedule 4 (Priority assistance – To be provided in exceptional</w:t>
      </w:r>
      <w:r w:rsidR="00A42995">
        <w:rPr>
          <w:rFonts w:ascii="Arial" w:eastAsia="Times New Roman" w:hAnsi="Arial" w:cs="Arial"/>
          <w:b/>
          <w:bCs/>
        </w:rPr>
        <w:t xml:space="preserve"> </w:t>
      </w:r>
      <w:r w:rsidRPr="004801F3">
        <w:rPr>
          <w:rFonts w:ascii="Arial" w:eastAsia="Times New Roman" w:hAnsi="Arial" w:cs="Arial"/>
          <w:b/>
          <w:bCs/>
        </w:rPr>
        <w:t>circumstances)</w:t>
      </w:r>
    </w:p>
    <w:p w:rsidR="004D574C" w:rsidRPr="009B6229" w:rsidRDefault="004D574C" w:rsidP="004801F3">
      <w:pPr>
        <w:tabs>
          <w:tab w:val="clear" w:pos="540"/>
        </w:tabs>
        <w:autoSpaceDE/>
        <w:autoSpaceDN/>
        <w:spacing w:before="100" w:beforeAutospacing="1" w:after="100" w:afterAutospacing="1" w:line="240" w:lineRule="auto"/>
        <w:ind w:left="851"/>
      </w:pPr>
      <w:r w:rsidRPr="00A42995">
        <w:rPr>
          <w:rFonts w:ascii="Times New Roman" w:eastAsia="Times New Roman" w:hAnsi="Times New Roman" w:cs="Times New Roman"/>
          <w:iCs/>
          <w:sz w:val="24"/>
          <w:szCs w:val="24"/>
        </w:rPr>
        <w:t>Omit all the words from and including “and report to” to and including “subparagraph (</w:t>
      </w:r>
      <w:proofErr w:type="spellStart"/>
      <w:r w:rsidRPr="00A42995">
        <w:rPr>
          <w:rFonts w:ascii="Times New Roman" w:eastAsia="Times New Roman" w:hAnsi="Times New Roman" w:cs="Times New Roman"/>
          <w:iCs/>
          <w:sz w:val="24"/>
          <w:szCs w:val="24"/>
        </w:rPr>
        <w:t>i</w:t>
      </w:r>
      <w:proofErr w:type="spellEnd"/>
      <w:r w:rsidRPr="00A42995">
        <w:rPr>
          <w:rFonts w:ascii="Times New Roman" w:eastAsia="Times New Roman" w:hAnsi="Times New Roman" w:cs="Times New Roman"/>
          <w:iCs/>
          <w:sz w:val="24"/>
          <w:szCs w:val="24"/>
        </w:rPr>
        <w:t>)”.</w:t>
      </w:r>
    </w:p>
    <w:sectPr w:rsidR="004D574C" w:rsidRPr="009B6229">
      <w:headerReference w:type="default" r:id="rId9"/>
      <w:footerReference w:type="default" r:id="rId10"/>
      <w:headerReference w:type="first" r:id="rId11"/>
      <w:pgSz w:w="11900" w:h="16840"/>
      <w:pgMar w:top="1247" w:right="1701" w:bottom="170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B9" w:rsidRDefault="00F926B9" w:rsidP="003526E4">
      <w:pPr>
        <w:spacing w:line="240" w:lineRule="auto"/>
      </w:pPr>
      <w:r>
        <w:separator/>
      </w:r>
    </w:p>
  </w:endnote>
  <w:endnote w:type="continuationSeparator" w:id="0">
    <w:p w:rsidR="00F926B9" w:rsidRDefault="00F926B9" w:rsidP="00352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A8" w:rsidRDefault="007A2252">
    <w:pPr>
      <w:pStyle w:val="Footer"/>
      <w:widowControl w:val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B9" w:rsidRDefault="00F926B9" w:rsidP="003526E4">
      <w:pPr>
        <w:spacing w:line="240" w:lineRule="auto"/>
      </w:pPr>
      <w:r>
        <w:separator/>
      </w:r>
    </w:p>
  </w:footnote>
  <w:footnote w:type="continuationSeparator" w:id="0">
    <w:p w:rsidR="00F926B9" w:rsidRDefault="00F926B9" w:rsidP="00352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851"/>
      <w:gridCol w:w="6849"/>
      <w:gridCol w:w="851"/>
    </w:tblGrid>
    <w:tr w:rsidR="001171A8">
      <w:trPr>
        <w:cantSplit/>
      </w:trPr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:rsidR="001171A8" w:rsidRDefault="007A2252">
          <w:pPr>
            <w:widowControl w:val="0"/>
          </w:pPr>
        </w:p>
      </w:tc>
      <w:tc>
        <w:tcPr>
          <w:tcW w:w="6849" w:type="dxa"/>
          <w:tcBorders>
            <w:top w:val="nil"/>
            <w:left w:val="nil"/>
            <w:bottom w:val="nil"/>
            <w:right w:val="nil"/>
          </w:tcBorders>
        </w:tcPr>
        <w:p w:rsidR="001171A8" w:rsidRPr="003526E4" w:rsidRDefault="00307599" w:rsidP="0091423F">
          <w:pPr>
            <w:widowControl w:val="0"/>
            <w:jc w:val="center"/>
            <w:rPr>
              <w:i/>
              <w:iCs/>
            </w:rPr>
          </w:pPr>
          <w:r w:rsidRPr="003526E4">
            <w:rPr>
              <w:i/>
              <w:iCs/>
            </w:rPr>
            <w:t>Carrier Licence Conditions (</w:t>
          </w:r>
          <w:r w:rsidR="002D0A46">
            <w:rPr>
              <w:i/>
              <w:sz w:val="24"/>
            </w:rPr>
            <w:t>Telstra Corporation Limited</w:t>
          </w:r>
          <w:r w:rsidRPr="003526E4">
            <w:rPr>
              <w:i/>
              <w:iCs/>
            </w:rPr>
            <w:t>)</w:t>
          </w:r>
          <w:r w:rsidR="003526E4" w:rsidRPr="003526E4">
            <w:rPr>
              <w:i/>
            </w:rPr>
            <w:t xml:space="preserve"> (Amendment No. </w:t>
          </w:r>
          <w:r w:rsidR="0091423F">
            <w:rPr>
              <w:i/>
            </w:rPr>
            <w:t>2</w:t>
          </w:r>
          <w:r w:rsidR="003526E4" w:rsidRPr="003526E4">
            <w:rPr>
              <w:i/>
            </w:rPr>
            <w:t xml:space="preserve"> of 2014)</w:t>
          </w:r>
          <w:r w:rsidRPr="003526E4">
            <w:rPr>
              <w:i/>
              <w:iCs/>
            </w:rPr>
            <w:t xml:space="preserve"> </w:t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:rsidR="001171A8" w:rsidRDefault="00307599">
          <w:pPr>
            <w:widowControl w:val="0"/>
            <w:jc w:val="right"/>
          </w:pPr>
          <w:r>
            <w:pgNum/>
          </w:r>
        </w:p>
      </w:tc>
    </w:tr>
  </w:tbl>
  <w:p w:rsidR="001171A8" w:rsidRDefault="007A2252">
    <w:pPr>
      <w:widowControl w:val="0"/>
      <w:tabs>
        <w:tab w:val="center" w:pos="3629"/>
        <w:tab w:val="right" w:pos="725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A8" w:rsidRDefault="007A2252">
    <w:pPr>
      <w:widowControl w:val="0"/>
      <w:tabs>
        <w:tab w:val="center" w:pos="3629"/>
        <w:tab w:val="right" w:pos="7258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1DF"/>
    <w:multiLevelType w:val="hybridMultilevel"/>
    <w:tmpl w:val="53125108"/>
    <w:lvl w:ilvl="0" w:tplc="83D4ED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5FAD"/>
    <w:multiLevelType w:val="hybridMultilevel"/>
    <w:tmpl w:val="492A4594"/>
    <w:lvl w:ilvl="0" w:tplc="3C1671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13D79"/>
    <w:multiLevelType w:val="hybridMultilevel"/>
    <w:tmpl w:val="E1CCF49C"/>
    <w:lvl w:ilvl="0" w:tplc="6792B74E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B64BB"/>
    <w:multiLevelType w:val="hybridMultilevel"/>
    <w:tmpl w:val="492A4594"/>
    <w:lvl w:ilvl="0" w:tplc="3C1671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804A5"/>
    <w:multiLevelType w:val="hybridMultilevel"/>
    <w:tmpl w:val="E1CCF49C"/>
    <w:lvl w:ilvl="0" w:tplc="6792B74E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65361"/>
    <w:multiLevelType w:val="hybridMultilevel"/>
    <w:tmpl w:val="70A85B34"/>
    <w:lvl w:ilvl="0" w:tplc="83D4ED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027F4"/>
    <w:multiLevelType w:val="hybridMultilevel"/>
    <w:tmpl w:val="E3549A6A"/>
    <w:lvl w:ilvl="0" w:tplc="69D487E0">
      <w:start w:val="1"/>
      <w:numFmt w:val="decimal"/>
      <w:lvlText w:val="(%1)"/>
      <w:lvlJc w:val="left"/>
      <w:pPr>
        <w:ind w:left="28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57" w:hanging="360"/>
      </w:pPr>
    </w:lvl>
    <w:lvl w:ilvl="2" w:tplc="0C09001B" w:tentative="1">
      <w:start w:val="1"/>
      <w:numFmt w:val="lowerRoman"/>
      <w:lvlText w:val="%3."/>
      <w:lvlJc w:val="right"/>
      <w:pPr>
        <w:ind w:left="4277" w:hanging="180"/>
      </w:pPr>
    </w:lvl>
    <w:lvl w:ilvl="3" w:tplc="0C09000F" w:tentative="1">
      <w:start w:val="1"/>
      <w:numFmt w:val="decimal"/>
      <w:lvlText w:val="%4."/>
      <w:lvlJc w:val="left"/>
      <w:pPr>
        <w:ind w:left="4997" w:hanging="360"/>
      </w:pPr>
    </w:lvl>
    <w:lvl w:ilvl="4" w:tplc="0C090019" w:tentative="1">
      <w:start w:val="1"/>
      <w:numFmt w:val="lowerLetter"/>
      <w:lvlText w:val="%5."/>
      <w:lvlJc w:val="left"/>
      <w:pPr>
        <w:ind w:left="5717" w:hanging="360"/>
      </w:pPr>
    </w:lvl>
    <w:lvl w:ilvl="5" w:tplc="0C09001B" w:tentative="1">
      <w:start w:val="1"/>
      <w:numFmt w:val="lowerRoman"/>
      <w:lvlText w:val="%6."/>
      <w:lvlJc w:val="right"/>
      <w:pPr>
        <w:ind w:left="6437" w:hanging="180"/>
      </w:pPr>
    </w:lvl>
    <w:lvl w:ilvl="6" w:tplc="0C09000F" w:tentative="1">
      <w:start w:val="1"/>
      <w:numFmt w:val="decimal"/>
      <w:lvlText w:val="%7."/>
      <w:lvlJc w:val="left"/>
      <w:pPr>
        <w:ind w:left="7157" w:hanging="360"/>
      </w:pPr>
    </w:lvl>
    <w:lvl w:ilvl="7" w:tplc="0C090019" w:tentative="1">
      <w:start w:val="1"/>
      <w:numFmt w:val="lowerLetter"/>
      <w:lvlText w:val="%8."/>
      <w:lvlJc w:val="left"/>
      <w:pPr>
        <w:ind w:left="7877" w:hanging="360"/>
      </w:pPr>
    </w:lvl>
    <w:lvl w:ilvl="8" w:tplc="0C09001B" w:tentative="1">
      <w:start w:val="1"/>
      <w:numFmt w:val="lowerRoman"/>
      <w:lvlText w:val="%9."/>
      <w:lvlJc w:val="right"/>
      <w:pPr>
        <w:ind w:left="8597" w:hanging="180"/>
      </w:pPr>
    </w:lvl>
  </w:abstractNum>
  <w:abstractNum w:abstractNumId="7">
    <w:nsid w:val="72404784"/>
    <w:multiLevelType w:val="hybridMultilevel"/>
    <w:tmpl w:val="E1CCF49C"/>
    <w:lvl w:ilvl="0" w:tplc="6792B74E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34F56"/>
    <w:multiLevelType w:val="hybridMultilevel"/>
    <w:tmpl w:val="E1CCF49C"/>
    <w:lvl w:ilvl="0" w:tplc="6792B74E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CA9"/>
    <w:multiLevelType w:val="multilevel"/>
    <w:tmpl w:val="DCD8D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A4"/>
    <w:rsid w:val="00005F91"/>
    <w:rsid w:val="0003176F"/>
    <w:rsid w:val="00033854"/>
    <w:rsid w:val="0004105A"/>
    <w:rsid w:val="00091225"/>
    <w:rsid w:val="000950AD"/>
    <w:rsid w:val="000A1C27"/>
    <w:rsid w:val="000A1D4A"/>
    <w:rsid w:val="000C79DA"/>
    <w:rsid w:val="000E1089"/>
    <w:rsid w:val="0010055F"/>
    <w:rsid w:val="00107254"/>
    <w:rsid w:val="0013043E"/>
    <w:rsid w:val="00141FA5"/>
    <w:rsid w:val="00151EA6"/>
    <w:rsid w:val="0019619B"/>
    <w:rsid w:val="001B2056"/>
    <w:rsid w:val="001B7BF8"/>
    <w:rsid w:val="001E1597"/>
    <w:rsid w:val="00210FB7"/>
    <w:rsid w:val="00213127"/>
    <w:rsid w:val="002B2E62"/>
    <w:rsid w:val="002B7C38"/>
    <w:rsid w:val="002C3976"/>
    <w:rsid w:val="002C7C21"/>
    <w:rsid w:val="002D0A46"/>
    <w:rsid w:val="002E2635"/>
    <w:rsid w:val="002F1927"/>
    <w:rsid w:val="00307599"/>
    <w:rsid w:val="003178A9"/>
    <w:rsid w:val="00321FCC"/>
    <w:rsid w:val="00331B1B"/>
    <w:rsid w:val="00337E1F"/>
    <w:rsid w:val="003526E4"/>
    <w:rsid w:val="00385801"/>
    <w:rsid w:val="003973D0"/>
    <w:rsid w:val="003B2AC8"/>
    <w:rsid w:val="003B729C"/>
    <w:rsid w:val="0043768C"/>
    <w:rsid w:val="00452EE0"/>
    <w:rsid w:val="004630B5"/>
    <w:rsid w:val="00465E19"/>
    <w:rsid w:val="004801F3"/>
    <w:rsid w:val="00495CBC"/>
    <w:rsid w:val="004A3171"/>
    <w:rsid w:val="004B4147"/>
    <w:rsid w:val="004D1523"/>
    <w:rsid w:val="004D574C"/>
    <w:rsid w:val="004F0B8C"/>
    <w:rsid w:val="00531BB8"/>
    <w:rsid w:val="00533E40"/>
    <w:rsid w:val="00555683"/>
    <w:rsid w:val="0056610F"/>
    <w:rsid w:val="005960B9"/>
    <w:rsid w:val="005B3617"/>
    <w:rsid w:val="005B6034"/>
    <w:rsid w:val="005E49E5"/>
    <w:rsid w:val="005F6B7A"/>
    <w:rsid w:val="005F7A5D"/>
    <w:rsid w:val="006016FC"/>
    <w:rsid w:val="006031C8"/>
    <w:rsid w:val="006251A7"/>
    <w:rsid w:val="0064396B"/>
    <w:rsid w:val="00646529"/>
    <w:rsid w:val="0064733B"/>
    <w:rsid w:val="0067077B"/>
    <w:rsid w:val="006736E9"/>
    <w:rsid w:val="00675DA4"/>
    <w:rsid w:val="00693E6A"/>
    <w:rsid w:val="006C14E8"/>
    <w:rsid w:val="006D30FB"/>
    <w:rsid w:val="00700128"/>
    <w:rsid w:val="00707994"/>
    <w:rsid w:val="00771896"/>
    <w:rsid w:val="00781506"/>
    <w:rsid w:val="00796967"/>
    <w:rsid w:val="007A05BE"/>
    <w:rsid w:val="007A2252"/>
    <w:rsid w:val="007C1F5B"/>
    <w:rsid w:val="007C3070"/>
    <w:rsid w:val="007C5DBF"/>
    <w:rsid w:val="007D0AF3"/>
    <w:rsid w:val="007F0792"/>
    <w:rsid w:val="0080455F"/>
    <w:rsid w:val="00816CBE"/>
    <w:rsid w:val="00816D38"/>
    <w:rsid w:val="00824352"/>
    <w:rsid w:val="00861F89"/>
    <w:rsid w:val="00892E0C"/>
    <w:rsid w:val="00895A25"/>
    <w:rsid w:val="008C677D"/>
    <w:rsid w:val="008C6E97"/>
    <w:rsid w:val="008D5120"/>
    <w:rsid w:val="0091423F"/>
    <w:rsid w:val="00936108"/>
    <w:rsid w:val="0095527C"/>
    <w:rsid w:val="00977366"/>
    <w:rsid w:val="00997C91"/>
    <w:rsid w:val="009B6229"/>
    <w:rsid w:val="009C62C3"/>
    <w:rsid w:val="009E2619"/>
    <w:rsid w:val="00A00850"/>
    <w:rsid w:val="00A022F4"/>
    <w:rsid w:val="00A10F57"/>
    <w:rsid w:val="00A15186"/>
    <w:rsid w:val="00A1787A"/>
    <w:rsid w:val="00A224FB"/>
    <w:rsid w:val="00A31154"/>
    <w:rsid w:val="00A42995"/>
    <w:rsid w:val="00A53C55"/>
    <w:rsid w:val="00A70339"/>
    <w:rsid w:val="00A76163"/>
    <w:rsid w:val="00A81A67"/>
    <w:rsid w:val="00A92379"/>
    <w:rsid w:val="00AA2FCC"/>
    <w:rsid w:val="00AB5E99"/>
    <w:rsid w:val="00AE2CB5"/>
    <w:rsid w:val="00B92632"/>
    <w:rsid w:val="00B93589"/>
    <w:rsid w:val="00B95568"/>
    <w:rsid w:val="00BF1BF1"/>
    <w:rsid w:val="00BF6E17"/>
    <w:rsid w:val="00C0051D"/>
    <w:rsid w:val="00C31310"/>
    <w:rsid w:val="00C52469"/>
    <w:rsid w:val="00C6127B"/>
    <w:rsid w:val="00C62D00"/>
    <w:rsid w:val="00C66171"/>
    <w:rsid w:val="00C72D89"/>
    <w:rsid w:val="00C924A5"/>
    <w:rsid w:val="00CC2265"/>
    <w:rsid w:val="00D01F15"/>
    <w:rsid w:val="00D01F51"/>
    <w:rsid w:val="00D34BF0"/>
    <w:rsid w:val="00D51DED"/>
    <w:rsid w:val="00D70D2C"/>
    <w:rsid w:val="00D7571A"/>
    <w:rsid w:val="00D76479"/>
    <w:rsid w:val="00DB13DB"/>
    <w:rsid w:val="00DE68B6"/>
    <w:rsid w:val="00DF02EA"/>
    <w:rsid w:val="00DF4059"/>
    <w:rsid w:val="00E00443"/>
    <w:rsid w:val="00E07492"/>
    <w:rsid w:val="00E37163"/>
    <w:rsid w:val="00E43569"/>
    <w:rsid w:val="00E5153D"/>
    <w:rsid w:val="00E57441"/>
    <w:rsid w:val="00E57DFB"/>
    <w:rsid w:val="00E854A6"/>
    <w:rsid w:val="00EB2305"/>
    <w:rsid w:val="00EB53FD"/>
    <w:rsid w:val="00ED379A"/>
    <w:rsid w:val="00EE5A2C"/>
    <w:rsid w:val="00EF7047"/>
    <w:rsid w:val="00F00F53"/>
    <w:rsid w:val="00F10E11"/>
    <w:rsid w:val="00F1221D"/>
    <w:rsid w:val="00F217F8"/>
    <w:rsid w:val="00F4517A"/>
    <w:rsid w:val="00F8334D"/>
    <w:rsid w:val="00F91B82"/>
    <w:rsid w:val="00F926B9"/>
    <w:rsid w:val="00F97033"/>
    <w:rsid w:val="00FB14B4"/>
    <w:rsid w:val="00F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A4"/>
    <w:pPr>
      <w:tabs>
        <w:tab w:val="left" w:pos="540"/>
      </w:tabs>
      <w:autoSpaceDE w:val="0"/>
      <w:autoSpaceDN w:val="0"/>
      <w:spacing w:after="0" w:line="300" w:lineRule="atLeast"/>
    </w:pPr>
    <w:rPr>
      <w:rFonts w:ascii="Times" w:eastAsiaTheme="minorEastAsia" w:hAnsi="Times" w:cs="Times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5DA4"/>
    <w:pPr>
      <w:tabs>
        <w:tab w:val="clear" w:pos="540"/>
        <w:tab w:val="center" w:pos="3600"/>
        <w:tab w:val="center" w:pos="4320"/>
        <w:tab w:val="right" w:pos="7200"/>
        <w:tab w:val="right" w:pos="8640"/>
      </w:tabs>
      <w:spacing w:line="240" w:lineRule="auto"/>
      <w:jc w:val="both"/>
    </w:pPr>
    <w:rPr>
      <w:rFonts w:ascii="Helvetica" w:hAnsi="Helvetica" w:cs="Helvetica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75DA4"/>
    <w:rPr>
      <w:rFonts w:ascii="Helvetica" w:eastAsiaTheme="minorEastAsia" w:hAnsi="Helvetica" w:cs="Helvetica"/>
      <w:sz w:val="18"/>
      <w:szCs w:val="18"/>
      <w:lang w:eastAsia="en-AU"/>
    </w:rPr>
  </w:style>
  <w:style w:type="paragraph" w:customStyle="1" w:styleId="HR">
    <w:name w:val="HR"/>
    <w:aliases w:val="Regulation Heading"/>
    <w:basedOn w:val="Normal"/>
    <w:next w:val="R1"/>
    <w:uiPriority w:val="99"/>
    <w:rsid w:val="00675DA4"/>
    <w:pPr>
      <w:keepNext/>
      <w:spacing w:before="480" w:line="240" w:lineRule="atLeast"/>
      <w:jc w:val="both"/>
    </w:pPr>
    <w:rPr>
      <w:b/>
      <w:bCs/>
    </w:rPr>
  </w:style>
  <w:style w:type="paragraph" w:customStyle="1" w:styleId="R1">
    <w:name w:val="R1"/>
    <w:aliases w:val="1. or 1.(1)"/>
    <w:basedOn w:val="Normal"/>
    <w:next w:val="P1"/>
    <w:rsid w:val="00675DA4"/>
    <w:pPr>
      <w:tabs>
        <w:tab w:val="clear" w:pos="540"/>
        <w:tab w:val="right" w:pos="1080"/>
        <w:tab w:val="left" w:pos="1260"/>
        <w:tab w:val="left" w:pos="1800"/>
      </w:tabs>
      <w:spacing w:before="120" w:line="240" w:lineRule="auto"/>
      <w:jc w:val="both"/>
    </w:pPr>
  </w:style>
  <w:style w:type="paragraph" w:customStyle="1" w:styleId="P1">
    <w:name w:val="P1"/>
    <w:aliases w:val="(a)"/>
    <w:basedOn w:val="Normal"/>
    <w:uiPriority w:val="99"/>
    <w:rsid w:val="00675DA4"/>
    <w:pPr>
      <w:tabs>
        <w:tab w:val="clear" w:pos="540"/>
        <w:tab w:val="right" w:pos="1080"/>
      </w:tabs>
      <w:spacing w:before="40" w:line="260" w:lineRule="atLeast"/>
      <w:ind w:left="1276" w:hanging="1280"/>
      <w:jc w:val="both"/>
    </w:pPr>
  </w:style>
  <w:style w:type="paragraph" w:styleId="Title">
    <w:name w:val="Title"/>
    <w:basedOn w:val="Normal"/>
    <w:next w:val="Normal"/>
    <w:link w:val="TitleChar"/>
    <w:uiPriority w:val="99"/>
    <w:qFormat/>
    <w:rsid w:val="00675DA4"/>
    <w:pPr>
      <w:spacing w:before="480" w:line="240" w:lineRule="auto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675DA4"/>
    <w:rPr>
      <w:rFonts w:ascii="Times" w:eastAsiaTheme="minorEastAsia" w:hAnsi="Times" w:cs="Times"/>
      <w:b/>
      <w:bCs/>
      <w:sz w:val="36"/>
      <w:szCs w:val="36"/>
      <w:lang w:eastAsia="en-AU"/>
    </w:rPr>
  </w:style>
  <w:style w:type="paragraph" w:customStyle="1" w:styleId="citation">
    <w:name w:val="citation"/>
    <w:basedOn w:val="Normal"/>
    <w:uiPriority w:val="99"/>
    <w:rsid w:val="00675DA4"/>
    <w:pPr>
      <w:spacing w:before="240"/>
      <w:jc w:val="center"/>
    </w:pPr>
    <w:rPr>
      <w:i/>
      <w:iCs/>
    </w:rPr>
  </w:style>
  <w:style w:type="paragraph" w:customStyle="1" w:styleId="definition">
    <w:name w:val="definition"/>
    <w:basedOn w:val="Normal"/>
    <w:uiPriority w:val="99"/>
    <w:rsid w:val="00675DA4"/>
    <w:pPr>
      <w:keepNext/>
      <w:tabs>
        <w:tab w:val="clear" w:pos="540"/>
      </w:tabs>
      <w:spacing w:before="240" w:line="260" w:lineRule="atLeast"/>
      <w:jc w:val="both"/>
    </w:pPr>
    <w:rPr>
      <w:color w:val="000000"/>
    </w:rPr>
  </w:style>
  <w:style w:type="paragraph" w:customStyle="1" w:styleId="NoteBody2">
    <w:name w:val="Note Body 2"/>
    <w:basedOn w:val="Normal"/>
    <w:rsid w:val="003526E4"/>
    <w:pPr>
      <w:tabs>
        <w:tab w:val="clear" w:pos="540"/>
      </w:tabs>
      <w:spacing w:before="120" w:after="120" w:line="260" w:lineRule="atLeast"/>
      <w:jc w:val="both"/>
    </w:pPr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26E4"/>
    <w:pPr>
      <w:tabs>
        <w:tab w:val="clear" w:pos="54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6E4"/>
    <w:rPr>
      <w:rFonts w:ascii="Times" w:eastAsiaTheme="minorEastAsia" w:hAnsi="Times" w:cs="Times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0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AD"/>
    <w:rPr>
      <w:rFonts w:ascii="Tahoma" w:eastAsiaTheme="minorEastAsia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892E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154"/>
    <w:rPr>
      <w:rFonts w:ascii="Times" w:eastAsiaTheme="minorEastAsia" w:hAnsi="Times" w:cs="Times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154"/>
    <w:rPr>
      <w:rFonts w:ascii="Times" w:eastAsiaTheme="minorEastAsia" w:hAnsi="Times" w:cs="Times"/>
      <w:b/>
      <w:bCs/>
      <w:sz w:val="20"/>
      <w:szCs w:val="20"/>
      <w:lang w:eastAsia="en-AU"/>
    </w:rPr>
  </w:style>
  <w:style w:type="paragraph" w:customStyle="1" w:styleId="r10">
    <w:name w:val="r1"/>
    <w:basedOn w:val="Normal"/>
    <w:rsid w:val="00796967"/>
    <w:pPr>
      <w:tabs>
        <w:tab w:val="clear" w:pos="540"/>
      </w:tabs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"/>
    <w:basedOn w:val="Normal"/>
    <w:rsid w:val="00796967"/>
    <w:pPr>
      <w:tabs>
        <w:tab w:val="clear" w:pos="540"/>
      </w:tabs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basedOn w:val="Normal"/>
    <w:rsid w:val="00796967"/>
    <w:pPr>
      <w:tabs>
        <w:tab w:val="clear" w:pos="540"/>
      </w:tabs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796967"/>
    <w:pPr>
      <w:tabs>
        <w:tab w:val="clear" w:pos="540"/>
      </w:tabs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A4"/>
    <w:pPr>
      <w:tabs>
        <w:tab w:val="left" w:pos="540"/>
      </w:tabs>
      <w:autoSpaceDE w:val="0"/>
      <w:autoSpaceDN w:val="0"/>
      <w:spacing w:after="0" w:line="300" w:lineRule="atLeast"/>
    </w:pPr>
    <w:rPr>
      <w:rFonts w:ascii="Times" w:eastAsiaTheme="minorEastAsia" w:hAnsi="Times" w:cs="Times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5DA4"/>
    <w:pPr>
      <w:tabs>
        <w:tab w:val="clear" w:pos="540"/>
        <w:tab w:val="center" w:pos="3600"/>
        <w:tab w:val="center" w:pos="4320"/>
        <w:tab w:val="right" w:pos="7200"/>
        <w:tab w:val="right" w:pos="8640"/>
      </w:tabs>
      <w:spacing w:line="240" w:lineRule="auto"/>
      <w:jc w:val="both"/>
    </w:pPr>
    <w:rPr>
      <w:rFonts w:ascii="Helvetica" w:hAnsi="Helvetica" w:cs="Helvetica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75DA4"/>
    <w:rPr>
      <w:rFonts w:ascii="Helvetica" w:eastAsiaTheme="minorEastAsia" w:hAnsi="Helvetica" w:cs="Helvetica"/>
      <w:sz w:val="18"/>
      <w:szCs w:val="18"/>
      <w:lang w:eastAsia="en-AU"/>
    </w:rPr>
  </w:style>
  <w:style w:type="paragraph" w:customStyle="1" w:styleId="HR">
    <w:name w:val="HR"/>
    <w:aliases w:val="Regulation Heading"/>
    <w:basedOn w:val="Normal"/>
    <w:next w:val="R1"/>
    <w:uiPriority w:val="99"/>
    <w:rsid w:val="00675DA4"/>
    <w:pPr>
      <w:keepNext/>
      <w:spacing w:before="480" w:line="240" w:lineRule="atLeast"/>
      <w:jc w:val="both"/>
    </w:pPr>
    <w:rPr>
      <w:b/>
      <w:bCs/>
    </w:rPr>
  </w:style>
  <w:style w:type="paragraph" w:customStyle="1" w:styleId="R1">
    <w:name w:val="R1"/>
    <w:aliases w:val="1. or 1.(1)"/>
    <w:basedOn w:val="Normal"/>
    <w:next w:val="P1"/>
    <w:rsid w:val="00675DA4"/>
    <w:pPr>
      <w:tabs>
        <w:tab w:val="clear" w:pos="540"/>
        <w:tab w:val="right" w:pos="1080"/>
        <w:tab w:val="left" w:pos="1260"/>
        <w:tab w:val="left" w:pos="1800"/>
      </w:tabs>
      <w:spacing w:before="120" w:line="240" w:lineRule="auto"/>
      <w:jc w:val="both"/>
    </w:pPr>
  </w:style>
  <w:style w:type="paragraph" w:customStyle="1" w:styleId="P1">
    <w:name w:val="P1"/>
    <w:aliases w:val="(a)"/>
    <w:basedOn w:val="Normal"/>
    <w:uiPriority w:val="99"/>
    <w:rsid w:val="00675DA4"/>
    <w:pPr>
      <w:tabs>
        <w:tab w:val="clear" w:pos="540"/>
        <w:tab w:val="right" w:pos="1080"/>
      </w:tabs>
      <w:spacing w:before="40" w:line="260" w:lineRule="atLeast"/>
      <w:ind w:left="1276" w:hanging="1280"/>
      <w:jc w:val="both"/>
    </w:pPr>
  </w:style>
  <w:style w:type="paragraph" w:styleId="Title">
    <w:name w:val="Title"/>
    <w:basedOn w:val="Normal"/>
    <w:next w:val="Normal"/>
    <w:link w:val="TitleChar"/>
    <w:uiPriority w:val="99"/>
    <w:qFormat/>
    <w:rsid w:val="00675DA4"/>
    <w:pPr>
      <w:spacing w:before="480" w:line="240" w:lineRule="auto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675DA4"/>
    <w:rPr>
      <w:rFonts w:ascii="Times" w:eastAsiaTheme="minorEastAsia" w:hAnsi="Times" w:cs="Times"/>
      <w:b/>
      <w:bCs/>
      <w:sz w:val="36"/>
      <w:szCs w:val="36"/>
      <w:lang w:eastAsia="en-AU"/>
    </w:rPr>
  </w:style>
  <w:style w:type="paragraph" w:customStyle="1" w:styleId="citation">
    <w:name w:val="citation"/>
    <w:basedOn w:val="Normal"/>
    <w:uiPriority w:val="99"/>
    <w:rsid w:val="00675DA4"/>
    <w:pPr>
      <w:spacing w:before="240"/>
      <w:jc w:val="center"/>
    </w:pPr>
    <w:rPr>
      <w:i/>
      <w:iCs/>
    </w:rPr>
  </w:style>
  <w:style w:type="paragraph" w:customStyle="1" w:styleId="definition">
    <w:name w:val="definition"/>
    <w:basedOn w:val="Normal"/>
    <w:uiPriority w:val="99"/>
    <w:rsid w:val="00675DA4"/>
    <w:pPr>
      <w:keepNext/>
      <w:tabs>
        <w:tab w:val="clear" w:pos="540"/>
      </w:tabs>
      <w:spacing w:before="240" w:line="260" w:lineRule="atLeast"/>
      <w:jc w:val="both"/>
    </w:pPr>
    <w:rPr>
      <w:color w:val="000000"/>
    </w:rPr>
  </w:style>
  <w:style w:type="paragraph" w:customStyle="1" w:styleId="NoteBody2">
    <w:name w:val="Note Body 2"/>
    <w:basedOn w:val="Normal"/>
    <w:rsid w:val="003526E4"/>
    <w:pPr>
      <w:tabs>
        <w:tab w:val="clear" w:pos="540"/>
      </w:tabs>
      <w:spacing w:before="120" w:after="120" w:line="260" w:lineRule="atLeast"/>
      <w:jc w:val="both"/>
    </w:pPr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26E4"/>
    <w:pPr>
      <w:tabs>
        <w:tab w:val="clear" w:pos="54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6E4"/>
    <w:rPr>
      <w:rFonts w:ascii="Times" w:eastAsiaTheme="minorEastAsia" w:hAnsi="Times" w:cs="Times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0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AD"/>
    <w:rPr>
      <w:rFonts w:ascii="Tahoma" w:eastAsiaTheme="minorEastAsia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892E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154"/>
    <w:rPr>
      <w:rFonts w:ascii="Times" w:eastAsiaTheme="minorEastAsia" w:hAnsi="Times" w:cs="Times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154"/>
    <w:rPr>
      <w:rFonts w:ascii="Times" w:eastAsiaTheme="minorEastAsia" w:hAnsi="Times" w:cs="Times"/>
      <w:b/>
      <w:bCs/>
      <w:sz w:val="20"/>
      <w:szCs w:val="20"/>
      <w:lang w:eastAsia="en-AU"/>
    </w:rPr>
  </w:style>
  <w:style w:type="paragraph" w:customStyle="1" w:styleId="r10">
    <w:name w:val="r1"/>
    <w:basedOn w:val="Normal"/>
    <w:rsid w:val="00796967"/>
    <w:pPr>
      <w:tabs>
        <w:tab w:val="clear" w:pos="540"/>
      </w:tabs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"/>
    <w:basedOn w:val="Normal"/>
    <w:rsid w:val="00796967"/>
    <w:pPr>
      <w:tabs>
        <w:tab w:val="clear" w:pos="540"/>
      </w:tabs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basedOn w:val="Normal"/>
    <w:rsid w:val="00796967"/>
    <w:pPr>
      <w:tabs>
        <w:tab w:val="clear" w:pos="540"/>
      </w:tabs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796967"/>
    <w:pPr>
      <w:tabs>
        <w:tab w:val="clear" w:pos="540"/>
      </w:tabs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516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5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1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88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62C9-BA05-4139-AD3A-A90B1755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DBCDE</dc:creator>
  <cp:lastModifiedBy>kstirling</cp:lastModifiedBy>
  <cp:revision>3</cp:revision>
  <cp:lastPrinted>2014-06-10T03:48:00Z</cp:lastPrinted>
  <dcterms:created xsi:type="dcterms:W3CDTF">2014-07-15T01:47:00Z</dcterms:created>
  <dcterms:modified xsi:type="dcterms:W3CDTF">2014-07-15T22:53:00Z</dcterms:modified>
</cp:coreProperties>
</file>